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479" w:tblpY="766"/>
        <w:tblOverlap w:val="never"/>
        <w:tblW w:w="141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9"/>
        <w:gridCol w:w="3345"/>
        <w:gridCol w:w="3210"/>
        <w:gridCol w:w="2730"/>
        <w:gridCol w:w="540"/>
        <w:gridCol w:w="675"/>
        <w:gridCol w:w="510"/>
        <w:gridCol w:w="645"/>
        <w:gridCol w:w="209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val="en-US" w:eastAsia="zh-CN" w:bidi="ar"/>
              </w:rPr>
              <w:t xml:space="preserve">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2019年度行政许可实施情况统计表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剑阁县财政局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3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33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32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2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23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行政许可实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施数量（件）</w:t>
            </w:r>
          </w:p>
        </w:tc>
        <w:tc>
          <w:tcPr>
            <w:tcW w:w="20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both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撤销许可的数量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5" w:hRule="atLeast"/>
        </w:trPr>
        <w:tc>
          <w:tcPr>
            <w:tcW w:w="3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2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申请数量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受理数量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许可的数量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不予许可的数量</w:t>
            </w:r>
          </w:p>
        </w:tc>
        <w:tc>
          <w:tcPr>
            <w:tcW w:w="2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11510721008474366U</w:t>
            </w: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008474366U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剑阁县财政局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96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</w:trPr>
        <w:tc>
          <w:tcPr>
            <w:tcW w:w="141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ind w:right="938"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 “申请数量”的统计范围为统计年度1月1日至12月31日期间许可部门收到当事人许可申请的数量。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 “受理数量”、“许可的数量”、“不予许可的数量”、“撤销许可的数量”的统计范围为统计年度1月1日至12月31日期间许可部门作出受理决定、许可决定、不予许可决定的数量，以及撤销许可决定的数量。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 准予变更、延续和不予变更、延续的数量，分别计入“许可的数量”、“不予许可的数量”。</w:t>
            </w:r>
          </w:p>
        </w:tc>
      </w:tr>
    </w:tbl>
    <w:tbl>
      <w:tblPr>
        <w:tblStyle w:val="6"/>
        <w:tblpPr w:leftFromText="180" w:rightFromText="180" w:vertAnchor="text" w:horzAnchor="page" w:tblpX="1498" w:tblpY="1052"/>
        <w:tblOverlap w:val="never"/>
        <w:tblW w:w="1359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0"/>
        <w:gridCol w:w="3135"/>
        <w:gridCol w:w="3180"/>
        <w:gridCol w:w="2820"/>
        <w:gridCol w:w="240"/>
        <w:gridCol w:w="240"/>
        <w:gridCol w:w="570"/>
        <w:gridCol w:w="375"/>
        <w:gridCol w:w="465"/>
        <w:gridCol w:w="240"/>
        <w:gridCol w:w="435"/>
        <w:gridCol w:w="285"/>
        <w:gridCol w:w="480"/>
        <w:gridCol w:w="360"/>
        <w:gridCol w:w="31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val="en-US" w:eastAsia="zh-CN" w:bidi="ar"/>
              </w:rPr>
            </w:pPr>
          </w:p>
          <w:p>
            <w:pPr>
              <w:widowControl/>
              <w:ind w:right="938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val="en-US" w:eastAsia="zh-CN" w:bidi="ar"/>
              </w:rPr>
            </w:pPr>
          </w:p>
          <w:p>
            <w:pPr>
              <w:widowControl/>
              <w:ind w:right="938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val="en-US" w:eastAsia="zh-CN" w:bidi="ar"/>
              </w:rPr>
              <w:t>2019年度行政处罚实施情况统计表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剑阁县财政局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31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31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28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33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行政处罚实施数量（件）</w:t>
            </w:r>
          </w:p>
        </w:tc>
        <w:tc>
          <w:tcPr>
            <w:tcW w:w="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罚没金额（万元）</w:t>
            </w:r>
          </w:p>
        </w:tc>
        <w:tc>
          <w:tcPr>
            <w:tcW w:w="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1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警告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罚款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没收违法所得、没收非法财物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暂扣许可证、执照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责令停产停业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吊销许可证、执照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行政拘留</w:t>
            </w:r>
          </w:p>
        </w:tc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其他行政处罚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 计（件）</w:t>
            </w: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 w:rightChars="0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11510721008474366U</w:t>
            </w:r>
          </w:p>
        </w:tc>
        <w:tc>
          <w:tcPr>
            <w:tcW w:w="3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 w:rightChars="0"/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008474366U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ind w:right="938" w:rightChars="0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剑阁县财政局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1.行政处罚实施数量的统计范围为统计年度1月1日至12月31日期间作出行政处罚决定的数量（包括经行政复议或者行政诉讼被撤销的行政处罚决定数量）。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2.其他行政处罚，为法律、行政法规规定的其他行政处罚，比如通报批评、驱逐出境等。 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单处一个类别行政处罚的，计入相应的行政处罚类别；并处两种以上行政处罚的，算一宗行政处罚，计入最重的行政处罚类别。如“没收违法所得，并处罚款”，计入“没收违法所得、没收非法财物”类别；并处明确类别的行政处罚和其他行政处罚的，计入明确类别的行政处罚，如“处罚款，并处其他行政处罚”，计入“罚款”类别。行政处罚类别从轻到重的顺序：（1）警告，（2）罚款，（3）没收违法所得、没收非法财物，（4）暂扣许可证、执照，（5）责令停产停业，（6）吊销许可证、执照，（7）行政拘留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4.没收违法所得、没收非法财物能确定金额的，计入“罚没金额”；不能确定金额的，不计入“罚没金额”。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5.“罚没金额”以处罚决定书确定的金额为准。</w:t>
            </w:r>
          </w:p>
        </w:tc>
      </w:tr>
    </w:tbl>
    <w:p>
      <w:pPr>
        <w:spacing w:line="580" w:lineRule="exact"/>
        <w:rPr>
          <w:rFonts w:ascii="仿宋_GB2312" w:eastAsia="仿宋_GB2312"/>
          <w:spacing w:val="-6"/>
          <w:sz w:val="32"/>
          <w:szCs w:val="32"/>
        </w:rPr>
        <w:sectPr>
          <w:footerReference r:id="rId5" w:type="first"/>
          <w:footerReference r:id="rId3" w:type="default"/>
          <w:footerReference r:id="rId4" w:type="even"/>
          <w:pgSz w:w="16838" w:h="11906" w:orient="landscape"/>
          <w:pgMar w:top="720" w:right="720" w:bottom="720" w:left="720" w:header="851" w:footer="992" w:gutter="0"/>
          <w:pgNumType w:fmt="numberInDash" w:start="1" w:chapStyle="1"/>
          <w:cols w:space="0" w:num="1"/>
          <w:titlePg/>
          <w:docGrid w:type="lines" w:linePitch="312" w:charSpace="0"/>
        </w:sectPr>
      </w:pPr>
    </w:p>
    <w:tbl>
      <w:tblPr>
        <w:tblStyle w:val="6"/>
        <w:tblW w:w="153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3134"/>
        <w:gridCol w:w="2385"/>
        <w:gridCol w:w="2025"/>
        <w:gridCol w:w="735"/>
        <w:gridCol w:w="600"/>
        <w:gridCol w:w="585"/>
        <w:gridCol w:w="765"/>
        <w:gridCol w:w="675"/>
        <w:gridCol w:w="705"/>
        <w:gridCol w:w="780"/>
        <w:gridCol w:w="540"/>
        <w:gridCol w:w="330"/>
        <w:gridCol w:w="645"/>
        <w:gridCol w:w="570"/>
        <w:gridCol w:w="29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val="en-US" w:eastAsia="zh-CN" w:bidi="ar"/>
              </w:rPr>
              <w:t>2019年度行政强制实施情况统计表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剑阁县财政局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3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23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268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行政强制措施实施数量（件） </w:t>
            </w:r>
          </w:p>
        </w:tc>
        <w:tc>
          <w:tcPr>
            <w:tcW w:w="42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行政强制执行实施数量（件）</w:t>
            </w:r>
          </w:p>
        </w:tc>
        <w:tc>
          <w:tcPr>
            <w:tcW w:w="2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 行政部门强制执行</w:t>
            </w:r>
          </w:p>
        </w:tc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申请法院强制执行</w:t>
            </w:r>
          </w:p>
        </w:tc>
        <w:tc>
          <w:tcPr>
            <w:tcW w:w="2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1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查封场所、设施或者财物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扣押财物 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冻结存款、汇款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其他行政强制措施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加处罚款或者滞纳金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划拨存款、汇款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拍卖或者依法处理查封、扣押的场所、设施或者财物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排除妨害、恢复原状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代履行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其他强制执行方式</w:t>
            </w:r>
          </w:p>
        </w:tc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 w:rightChars="0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11510721008474366U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 w:rightChars="0"/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008474366U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ind w:right="938" w:rightChars="0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剑阁县财政局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81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合计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4" w:hRule="atLeast"/>
        </w:trPr>
        <w:tc>
          <w:tcPr>
            <w:tcW w:w="1534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1.行政强制措施实施数量的统计范围为统计年度1月1日至12月31日期间作出“查封场所、设施或者财物”、“扣押财物”、“冻结存款、汇款”或者“其他行政强制措施”决定的数量。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行政强制执行实施数量的统计范围为统计年度1月1日至12月31日期间“加处罚款或者滞纳金”、“划拨存款、汇款”、“拍卖或者依法处理查封、扣押的场所、设施或者财物”、“排除妨碍、恢复原状”、“代履行”和“其他强制执行方式”等执行完毕或者终结执行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3.其他强制执行方式，如《城乡规划法》规定的强制拆除；《煤炭法》规定的强制停产、强制消除安全隐患；《金银管理条例》规定的强制收购；《外汇管理条例》规定的回兑等。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4.申请法院强制执行数量的统计范围为统计年度1月1日至12月31日期间向法院申请强制执行的数量，时间以申请日期为准。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tbl>
      <w:tblPr>
        <w:tblStyle w:val="6"/>
        <w:tblpPr w:leftFromText="180" w:rightFromText="180" w:vertAnchor="text" w:horzAnchor="page" w:tblpX="1327" w:tblpY="60"/>
        <w:tblOverlap w:val="never"/>
        <w:tblW w:w="139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3270"/>
        <w:gridCol w:w="3158"/>
        <w:gridCol w:w="2805"/>
        <w:gridCol w:w="39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333333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val="en-US" w:eastAsia="zh-CN" w:bidi="ar"/>
              </w:rPr>
              <w:t>2019年度行政检查实施情况统计表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剑阁县财政局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7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3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31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2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39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1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 w:rightChars="0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11510721008474366U</w:t>
            </w:r>
          </w:p>
        </w:tc>
        <w:tc>
          <w:tcPr>
            <w:tcW w:w="3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 w:rightChars="0"/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008474366U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ind w:right="938" w:rightChars="0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剑阁县财政局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00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</w:trPr>
        <w:tc>
          <w:tcPr>
            <w:tcW w:w="13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的统计范围为统计年度1月1日至12月31日期间开展行政检查的次数。检查1个检查对象，有完整、详细的检查记录，计为检查1次。无特定检查对象的巡查、巡逻，无完整、详细检查记录，检查后作出行政处罚等其他行政执法行为的，均不计为检查次数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/>
    <w:p/>
    <w:p/>
    <w:p/>
    <w:p/>
    <w:p/>
    <w:p/>
    <w:p/>
    <w:p/>
    <w:p/>
    <w:p/>
    <w:p/>
    <w:p/>
    <w:p/>
    <w:p/>
    <w:p/>
    <w:p/>
    <w:p/>
    <w:p/>
    <w:p/>
    <w:p>
      <w:pPr>
        <w:pStyle w:val="2"/>
      </w:pPr>
    </w:p>
    <w:p>
      <w:pPr>
        <w:pStyle w:val="2"/>
      </w:pPr>
    </w:p>
    <w:p>
      <w:pPr>
        <w:pStyle w:val="2"/>
        <w:ind w:left="0" w:leftChars="0" w:firstLine="0" w:firstLineChars="0"/>
        <w:sectPr>
          <w:pgSz w:w="16838" w:h="11906" w:orient="landscape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剑阁县财政局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201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年度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</w:rPr>
        <w:t>行政执法情况说明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一、行政许可实施情况说明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年度行政许可申请总数为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宗，予以许可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（含不予受理、予以许可和不予许可）被申请行政复议0宗，占行政许可申请总数的0%；行政复议决定履行法定职责、撤销、变更或者确认违法0宗，占被申请行政复议宗数的0%，占行政许可申请总数的0%。（2）行政复议后又被提起行政诉讼0宗，判决履行法定职责、撤销、部分撤销、变更、确认违法或者确认无效0宗，占行政复议后又被提起行政诉讼宗数的0%，占行政许可申请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（含不予受理、予以许可和不予许可）直接被提起行政诉讼0宗，占行政许可申请总数的0%；判决履行法定职责、撤销、部分撤销、变更、确认违法或者确认无效0宗，占直接被提起行政诉讼宗数的0%，占行政许可申请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二、行政处罚实施情况说明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宗，罚没金额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元。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被申请行政复议0宗，占行政处罚总数的0%；行政复议决定撤销、变更或者确认违法0宗，占被申请行政复议宗数的0%，占行政处罚总数的0%。（2）行政复议后又被提起行政诉讼0宗，判决撤销、部分撤销、变更、确认违法或者确认无效0宗，占行政复议后又被提起行政诉讼宗数的0%，占行政处罚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年度行政处罚直接被提起行政诉讼0宗，占行政处罚总数的0%；判决撤销、部分撤销、变更、确认违法或者确认无效0宗，占直接被提起行政诉讼宗数的0%，占行政处罚总数的0%。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三、行政强制实施情况说明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年度行政强制总数为0宗。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被申请行政复议0宗，占行政强制总数的0%；行政复议决定撤销、变更或者确认违法0宗，占被申请行政复议宗数的0%，占行政强制总数的0%。（2）行政复议后又被提起行政诉讼0宗，判决撤销、部分撤销、变更、确认违法或者确认无效0宗，占行政复议后又被提起行政诉讼宗数的0%，占行政强制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年度行政强制直接被提起行政诉讼0宗，占行政强制总数的0%；判决撤销、部分撤销、变更、确认违法或者确认无效0宗，占直接被提起行政诉讼宗数的0%，占行政强制总数的0%。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、行政检查实施情况说明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次。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被申请行政复议0宗，占行政检查总数的0%；行政复议决定确认违法0宗，占被申请行政复议宗数的0%，占行政检查总数的0%。（2）行政复议后又被提起行政诉讼0宗，判决确认违法0宗，占行政复议后又被提起行政诉讼宗数的0%，占行政检查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年度行政检查直接被提起行政诉讼0宗，占行政检查总数的0%；判决确认违法0宗，占直接被提起行政诉讼宗数的0%，占行政检查总数的0%。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1" w:right="0" w:firstLine="6412" w:firstLineChars="2004"/>
        <w:jc w:val="both"/>
        <w:textAlignment w:val="bottom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剑阁县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财政局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080" w:firstLineChars="1900"/>
        <w:jc w:val="both"/>
        <w:textAlignment w:val="bottom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2019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日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C72121"/>
    <w:rsid w:val="06E755C5"/>
    <w:rsid w:val="0AC72121"/>
    <w:rsid w:val="1128310E"/>
    <w:rsid w:val="11EC4822"/>
    <w:rsid w:val="157A52AE"/>
    <w:rsid w:val="191C4052"/>
    <w:rsid w:val="21171078"/>
    <w:rsid w:val="275B7EC4"/>
    <w:rsid w:val="27797156"/>
    <w:rsid w:val="2B892F91"/>
    <w:rsid w:val="302B458F"/>
    <w:rsid w:val="329C6132"/>
    <w:rsid w:val="33A330E2"/>
    <w:rsid w:val="36DB3039"/>
    <w:rsid w:val="38BF3341"/>
    <w:rsid w:val="432B2554"/>
    <w:rsid w:val="53F84B28"/>
    <w:rsid w:val="5C230D8C"/>
    <w:rsid w:val="5C480B1B"/>
    <w:rsid w:val="5CB75B63"/>
    <w:rsid w:val="61DF1523"/>
    <w:rsid w:val="68F30629"/>
    <w:rsid w:val="69F240AC"/>
    <w:rsid w:val="6B0B10B5"/>
    <w:rsid w:val="6E2A59AE"/>
    <w:rsid w:val="6EBD36AA"/>
    <w:rsid w:val="71FA1629"/>
    <w:rsid w:val="7DA3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Chars="100" w:rightChars="10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font61"/>
    <w:basedOn w:val="7"/>
    <w:qFormat/>
    <w:uiPriority w:val="0"/>
    <w:rPr>
      <w:rFonts w:hint="eastAsia" w:ascii="方正小标宋简体" w:hAnsi="方正小标宋简体" w:eastAsia="方正小标宋简体" w:cs="方正小标宋简体"/>
      <w:color w:val="000000"/>
      <w:sz w:val="28"/>
      <w:szCs w:val="28"/>
      <w:u w:val="none"/>
    </w:rPr>
  </w:style>
  <w:style w:type="character" w:customStyle="1" w:styleId="9">
    <w:name w:val="font7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2020-01-02T03:45:00Z</dcterms:created>
  <dc:creator>丽雅</dc:creator>
  <cp:lastModifiedBy>魏姸娇</cp:lastModifiedBy>
  <cp:lastPrinted>2020-01-03T07:43:00Z</cp:lastPrinted>
  <dcterms:modified xsi:type="dcterms:W3CDTF">2020-01-06T02:51:05Z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