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00" w:lineRule="exact"/>
        <w:textAlignment w:val="auto"/>
        <w:outlineLvl w:val="9"/>
        <w:rPr>
          <w:rStyle w:val="8"/>
          <w:rFonts w:hint="eastAsia" w:asciiTheme="minorEastAsia" w:hAnsiTheme="minorEastAsia" w:eastAsiaTheme="minorEastAsia" w:cstheme="minorEastAsia"/>
          <w:b/>
          <w:bCs/>
          <w:color w:val="000000"/>
          <w:sz w:val="28"/>
          <w:szCs w:val="28"/>
        </w:rPr>
      </w:pPr>
      <w:bookmarkStart w:id="0" w:name="_GoBack"/>
      <w:bookmarkEnd w:id="0"/>
      <w:r>
        <w:rPr>
          <w:rStyle w:val="8"/>
          <w:rFonts w:hint="eastAsia" w:asciiTheme="minorEastAsia" w:hAnsiTheme="minorEastAsia" w:eastAsiaTheme="minorEastAsia" w:cstheme="minorEastAsia"/>
          <w:b/>
          <w:bCs/>
          <w:color w:val="000000"/>
          <w:sz w:val="28"/>
          <w:szCs w:val="28"/>
        </w:rPr>
        <w:t>附件1</w:t>
      </w:r>
    </w:p>
    <w:p>
      <w:pPr>
        <w:keepNext w:val="0"/>
        <w:keepLines w:val="0"/>
        <w:pageBreakBefore w:val="0"/>
        <w:kinsoku/>
        <w:wordWrap/>
        <w:overflowPunct/>
        <w:topLinePunct w:val="0"/>
        <w:autoSpaceDE/>
        <w:autoSpaceDN/>
        <w:bidi w:val="0"/>
        <w:adjustRightInd w:val="0"/>
        <w:snapToGrid w:val="0"/>
        <w:spacing w:line="500" w:lineRule="exact"/>
        <w:textAlignment w:val="auto"/>
        <w:outlineLvl w:val="9"/>
        <w:rPr>
          <w:rStyle w:val="8"/>
          <w:rFonts w:hint="eastAsia" w:asciiTheme="minorEastAsia" w:hAnsiTheme="minorEastAsia" w:eastAsiaTheme="minorEastAsia" w:cstheme="minorEastAsia"/>
          <w:color w:val="000000"/>
          <w:sz w:val="28"/>
          <w:szCs w:val="28"/>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9"/>
        <w:rPr>
          <w:rStyle w:val="8"/>
          <w:rFonts w:hint="eastAsia" w:asciiTheme="minorEastAsia" w:hAnsiTheme="minorEastAsia" w:eastAsiaTheme="minorEastAsia" w:cstheme="minorEastAsia"/>
          <w:b/>
          <w:bCs/>
          <w:color w:val="000000"/>
          <w:sz w:val="28"/>
          <w:szCs w:val="28"/>
        </w:rPr>
      </w:pPr>
      <w:r>
        <w:rPr>
          <w:rStyle w:val="8"/>
          <w:rFonts w:hint="eastAsia" w:asciiTheme="minorEastAsia" w:hAnsiTheme="minorEastAsia" w:eastAsiaTheme="minorEastAsia" w:cstheme="minorEastAsia"/>
          <w:b/>
          <w:bCs/>
          <w:color w:val="000000"/>
          <w:sz w:val="28"/>
          <w:szCs w:val="28"/>
        </w:rPr>
        <w:t>政府信息公开情况统计表</w:t>
      </w:r>
    </w:p>
    <w:p>
      <w:pPr>
        <w:keepNext w:val="0"/>
        <w:keepLines w:val="0"/>
        <w:pageBreakBefore w:val="0"/>
        <w:kinsoku/>
        <w:wordWrap/>
        <w:overflowPunct/>
        <w:topLinePunct w:val="0"/>
        <w:autoSpaceDE/>
        <w:autoSpaceDN/>
        <w:bidi w:val="0"/>
        <w:adjustRightInd w:val="0"/>
        <w:snapToGrid w:val="0"/>
        <w:spacing w:beforeLines="50" w:line="500" w:lineRule="exact"/>
        <w:jc w:val="center"/>
        <w:textAlignment w:val="auto"/>
        <w:outlineLvl w:val="9"/>
        <w:rPr>
          <w:rStyle w:val="8"/>
          <w:rFonts w:hint="eastAsia" w:asciiTheme="minorEastAsia" w:hAnsiTheme="minorEastAsia" w:eastAsiaTheme="minorEastAsia" w:cstheme="minorEastAsia"/>
          <w:b/>
          <w:bCs/>
          <w:color w:val="000000"/>
          <w:sz w:val="28"/>
          <w:szCs w:val="28"/>
        </w:rPr>
      </w:pPr>
      <w:r>
        <w:rPr>
          <w:rStyle w:val="8"/>
          <w:rFonts w:hint="eastAsia" w:asciiTheme="minorEastAsia" w:hAnsiTheme="minorEastAsia" w:eastAsiaTheme="minorEastAsia" w:cstheme="minorEastAsia"/>
          <w:b/>
          <w:bCs/>
          <w:color w:val="000000"/>
          <w:sz w:val="28"/>
          <w:szCs w:val="28"/>
        </w:rPr>
        <w:t>（2017年度）</w:t>
      </w:r>
    </w:p>
    <w:p>
      <w:pPr>
        <w:keepNext w:val="0"/>
        <w:keepLines w:val="0"/>
        <w:pageBreakBefore w:val="0"/>
        <w:kinsoku/>
        <w:wordWrap/>
        <w:overflowPunct/>
        <w:topLinePunct w:val="0"/>
        <w:autoSpaceDE/>
        <w:autoSpaceDN/>
        <w:bidi w:val="0"/>
        <w:adjustRightInd w:val="0"/>
        <w:snapToGrid w:val="0"/>
        <w:spacing w:line="500" w:lineRule="exact"/>
        <w:textAlignment w:val="auto"/>
        <w:outlineLvl w:val="9"/>
        <w:rPr>
          <w:rStyle w:val="8"/>
          <w:rFonts w:hint="eastAsia" w:asciiTheme="minorEastAsia" w:hAnsiTheme="minorEastAsia" w:eastAsiaTheme="minorEastAsia" w:cstheme="minorEastAsia"/>
          <w:color w:val="000000"/>
          <w:sz w:val="28"/>
          <w:szCs w:val="28"/>
        </w:rPr>
      </w:pPr>
      <w:r>
        <w:rPr>
          <w:rStyle w:val="8"/>
          <w:rFonts w:hint="eastAsia" w:asciiTheme="minorEastAsia" w:hAnsiTheme="minorEastAsia" w:eastAsiaTheme="minorEastAsia" w:cstheme="minorEastAsia"/>
          <w:color w:val="000000"/>
          <w:sz w:val="28"/>
          <w:szCs w:val="28"/>
        </w:rPr>
        <w:t xml:space="preserve">填报单位（盖章）： </w:t>
      </w:r>
    </w:p>
    <w:tbl>
      <w:tblPr>
        <w:tblStyle w:val="5"/>
        <w:tblW w:w="9354"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
      <w:tblGrid>
        <w:gridCol w:w="7246"/>
        <w:gridCol w:w="842"/>
        <w:gridCol w:w="126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tblHeader/>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统　计　指　标</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单位</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一、主动公开情况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（一）主动公开政府信息数 </w:t>
            </w: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（不同渠道和方式公开相同信息计1条）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其中：主动公开规范性文件数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ind w:firstLine="840" w:firstLineChars="300"/>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制发规范性文件总数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（二）通过不同渠道和方式公开政府信息的情况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1.政府公报公开政府信息数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2.政府网站公开政府信息数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3.政务微博公开政府信息数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4.政务微信公开政府信息数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5.其他方式公开政府信息数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461"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二、回应解读情况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1266" w:type="dxa"/>
            <w:tcBorders>
              <w:top w:val="outset" w:color="000000" w:sz="6" w:space="0"/>
              <w:bottom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461"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（一）回应公众关注热点或重大舆情数</w:t>
            </w: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（不同方式回应同一热点或舆情计1次）</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（二）通过不同渠道和方式回应解读的情况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1.参加或举办新闻发布会总次数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其中：主要负责同志参加新闻发布会次数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2.政府网站在线访谈次数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其中：主要负责同志参加政府网站在线访谈次数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3.政策解读稿件发布数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篇</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4.微博微信回应事件数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5.其他方式回应事件数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三、依申请公开情况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1266" w:type="dxa"/>
            <w:tcBorders>
              <w:top w:val="outset" w:color="000000" w:sz="6" w:space="0"/>
              <w:bottom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（一）收到申请数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1.当面申请数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2.传真申请数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3.网络申请数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4.信函申请数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（二）申请办结数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1.按时办结数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2.延期办结数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（三）申请答复数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1.属于已主动公开范围数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2.同意公开答复数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3.同意部分公开答复数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4.不同意公开答复数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其中：涉及国家秘密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ind w:firstLine="840" w:firstLineChars="300"/>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涉及商业秘密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ind w:firstLine="840" w:firstLineChars="300"/>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涉及个人隐私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ind w:firstLine="840" w:firstLineChars="300"/>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危及国家安全、公共安全、经济安全和社会稳定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ind w:firstLine="840" w:firstLineChars="300"/>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不是《条例》所指政府信息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4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ind w:firstLine="840" w:firstLineChars="300"/>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法律法规规定的其他情形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4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5.不属于本行政机关公开数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6.申请信息不存在数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7.告知作出更改补充数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8.告知通过其他途径办理数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四、行政复议数量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（一）维持具体行政行为数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（二）被依法纠错数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（三）其他情形数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五、行政诉讼数量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（一）维持具体行政行为或者驳回原告诉讼请求数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（二）被依法纠错数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（三）其他情形数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六、举报投诉数量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七、依申请公开信息收取的费用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万元</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八、机构建设和保障经费情况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（一）政府信息公开工作专门机构数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个</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（二）设置政府信息公开查阅点数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个</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（三）从事政府信息公开工作人员数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人</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1.专职人员数（不包括政府公报及政府网站工作人员数）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人</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2.兼职人员数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人</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645"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ind w:left="31680" w:hanging="1400" w:hangingChars="500"/>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（四）政府信息公开专项经费（不包括用于政府公报编辑管理及政</w:t>
            </w:r>
          </w:p>
          <w:p>
            <w:pPr>
              <w:keepNext w:val="0"/>
              <w:keepLines w:val="0"/>
              <w:pageBreakBefore w:val="0"/>
              <w:kinsoku/>
              <w:wordWrap/>
              <w:overflowPunct/>
              <w:topLinePunct w:val="0"/>
              <w:autoSpaceDE/>
              <w:autoSpaceDN/>
              <w:bidi w:val="0"/>
              <w:spacing w:line="500" w:lineRule="exact"/>
              <w:ind w:left="31680" w:hanging="1400" w:hangingChars="500"/>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府网站建设维护等方面的经费）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万元</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九、政府信息公开会议和培训情况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（一）召开政府信息公开工作会议或专题会议数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（二）举办各类培训班数 </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（三）接受培训人员数</w:t>
            </w:r>
          </w:p>
        </w:tc>
        <w:tc>
          <w:tcPr>
            <w:tcW w:w="842"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人次</w:t>
            </w:r>
          </w:p>
        </w:tc>
        <w:tc>
          <w:tcPr>
            <w:tcW w:w="1266"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r>
    </w:tbl>
    <w:p>
      <w:pPr>
        <w:keepNext w:val="0"/>
        <w:keepLines w:val="0"/>
        <w:pageBreakBefore w:val="0"/>
        <w:kinsoku/>
        <w:wordWrap/>
        <w:overflowPunct/>
        <w:topLinePunct w:val="0"/>
        <w:autoSpaceDE/>
        <w:autoSpaceDN/>
        <w:bidi w:val="0"/>
        <w:adjustRightInd w:val="0"/>
        <w:snapToGrid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单位负责人：　　　   　    审核人：　　　　  　　　　  填报人： 　    </w:t>
      </w:r>
    </w:p>
    <w:p>
      <w:pPr>
        <w:keepNext w:val="0"/>
        <w:keepLines w:val="0"/>
        <w:pageBreakBefore w:val="0"/>
        <w:kinsoku/>
        <w:wordWrap/>
        <w:overflowPunct/>
        <w:topLinePunct w:val="0"/>
        <w:autoSpaceDE/>
        <w:autoSpaceDN/>
        <w:bidi w:val="0"/>
        <w:adjustRightInd w:val="0"/>
        <w:snapToGrid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联系电话：　　　　　　　　　　　　　　　　　　       　填报日期：</w:t>
      </w:r>
    </w:p>
    <w:p>
      <w:pPr>
        <w:keepNext w:val="0"/>
        <w:keepLines w:val="0"/>
        <w:pageBreakBefore w:val="0"/>
        <w:kinsoku/>
        <w:wordWrap/>
        <w:overflowPunct/>
        <w:topLinePunct w:val="0"/>
        <w:autoSpaceDE/>
        <w:autoSpaceDN/>
        <w:bidi w:val="0"/>
        <w:adjustRightInd w:val="0"/>
        <w:snapToGrid w:val="0"/>
        <w:spacing w:line="500" w:lineRule="exact"/>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附件2</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政府信息公开分项统计表</w:t>
      </w: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9"/>
        <w:rPr>
          <w:rFonts w:hint="eastAsia" w:asciiTheme="minorEastAsia" w:hAnsiTheme="minorEastAsia" w:eastAsiaTheme="minorEastAsia" w:cstheme="minorEastAsia"/>
          <w:b/>
          <w:bCs/>
          <w:color w:val="000000"/>
          <w:sz w:val="28"/>
          <w:szCs w:val="28"/>
        </w:rPr>
      </w:pPr>
      <w:r>
        <w:rPr>
          <w:rStyle w:val="8"/>
          <w:rFonts w:hint="eastAsia" w:asciiTheme="minorEastAsia" w:hAnsiTheme="minorEastAsia" w:eastAsiaTheme="minorEastAsia" w:cstheme="minorEastAsia"/>
          <w:b/>
          <w:bCs/>
          <w:color w:val="000000"/>
          <w:sz w:val="28"/>
          <w:szCs w:val="28"/>
        </w:rPr>
        <w:t>（2017年度）</w:t>
      </w: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填报单位：（盖章）             </w:t>
      </w:r>
    </w:p>
    <w:tbl>
      <w:tblPr>
        <w:tblStyle w:val="5"/>
        <w:tblW w:w="964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3"/>
        <w:gridCol w:w="210"/>
        <w:gridCol w:w="6062"/>
        <w:gridCol w:w="662"/>
        <w:gridCol w:w="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blHeader/>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分项指标</w:t>
            </w:r>
          </w:p>
        </w:tc>
        <w:tc>
          <w:tcPr>
            <w:tcW w:w="662" w:type="dxa"/>
            <w:tcBorders>
              <w:right w:val="single" w:color="auto" w:sz="4" w:space="0"/>
            </w:tcBorders>
            <w:vAlign w:val="center"/>
          </w:tcPr>
          <w:p>
            <w:pPr>
              <w:keepNext w:val="0"/>
              <w:keepLines w:val="0"/>
              <w:pageBreakBefore w:val="0"/>
              <w:kinsoku/>
              <w:wordWrap/>
              <w:overflowPunct/>
              <w:topLinePunct w:val="0"/>
              <w:autoSpaceDE/>
              <w:autoSpaceDN/>
              <w:bidi w:val="0"/>
              <w:adjustRightInd w:val="0"/>
              <w:spacing w:line="500" w:lineRule="exact"/>
              <w:jc w:val="center"/>
              <w:textAlignment w:val="auto"/>
              <w:outlineLvl w:val="9"/>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单位</w:t>
            </w:r>
          </w:p>
        </w:tc>
        <w:tc>
          <w:tcPr>
            <w:tcW w:w="751" w:type="dxa"/>
            <w:tcBorders>
              <w:left w:val="single" w:color="auto" w:sz="4" w:space="0"/>
            </w:tcBorders>
            <w:vAlign w:val="center"/>
          </w:tcPr>
          <w:p>
            <w:pPr>
              <w:keepNext w:val="0"/>
              <w:keepLines w:val="0"/>
              <w:pageBreakBefore w:val="0"/>
              <w:kinsoku/>
              <w:wordWrap/>
              <w:overflowPunct/>
              <w:topLinePunct w:val="0"/>
              <w:autoSpaceDE/>
              <w:autoSpaceDN/>
              <w:bidi w:val="0"/>
              <w:adjustRightInd w:val="0"/>
              <w:spacing w:line="500" w:lineRule="exact"/>
              <w:jc w:val="center"/>
              <w:textAlignment w:val="auto"/>
              <w:outlineLvl w:val="9"/>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一、主动公开政府信息情况（同一条信息只能在以下8项中选择1项，不重复计算）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ind w:firstLine="560" w:firstLineChars="200"/>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主动公开政府信息数</w:t>
            </w: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（与“总表”中的数据一致，应等于以下8项数据之和）</w:t>
            </w:r>
          </w:p>
        </w:tc>
        <w:tc>
          <w:tcPr>
            <w:tcW w:w="662" w:type="dxa"/>
            <w:vAlign w:val="center"/>
          </w:tcPr>
          <w:p>
            <w:pPr>
              <w:keepNext w:val="0"/>
              <w:keepLines w:val="0"/>
              <w:pageBreakBefore w:val="0"/>
              <w:kinsoku/>
              <w:wordWrap/>
              <w:overflowPunct/>
              <w:topLinePunct w:val="0"/>
              <w:autoSpaceDE/>
              <w:autoSpaceDN/>
              <w:bidi w:val="0"/>
              <w:adjustRightInd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vAlign w:val="center"/>
          </w:tcPr>
          <w:p>
            <w:pPr>
              <w:keepNext w:val="0"/>
              <w:keepLines w:val="0"/>
              <w:pageBreakBefore w:val="0"/>
              <w:kinsoku/>
              <w:wordWrap/>
              <w:overflowPunct/>
              <w:topLinePunct w:val="0"/>
              <w:autoSpaceDE/>
              <w:autoSpaceDN/>
              <w:bidi w:val="0"/>
              <w:adjustRightInd w:val="0"/>
              <w:spacing w:line="500" w:lineRule="exact"/>
              <w:ind w:firstLine="280" w:firstLineChars="100"/>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（一）概况信息数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vAlign w:val="center"/>
          </w:tcPr>
          <w:p>
            <w:pPr>
              <w:keepNext w:val="0"/>
              <w:keepLines w:val="0"/>
              <w:pageBreakBefore w:val="0"/>
              <w:kinsoku/>
              <w:wordWrap/>
              <w:overflowPunct/>
              <w:topLinePunct w:val="0"/>
              <w:autoSpaceDE/>
              <w:autoSpaceDN/>
              <w:bidi w:val="0"/>
              <w:adjustRightInd w:val="0"/>
              <w:spacing w:line="500" w:lineRule="exact"/>
              <w:ind w:firstLine="280" w:firstLineChars="100"/>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（二）计划总结信息数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vAlign w:val="center"/>
          </w:tcPr>
          <w:p>
            <w:pPr>
              <w:keepNext w:val="0"/>
              <w:keepLines w:val="0"/>
              <w:pageBreakBefore w:val="0"/>
              <w:kinsoku/>
              <w:wordWrap/>
              <w:overflowPunct/>
              <w:topLinePunct w:val="0"/>
              <w:autoSpaceDE/>
              <w:autoSpaceDN/>
              <w:bidi w:val="0"/>
              <w:adjustRightInd w:val="0"/>
              <w:spacing w:line="500" w:lineRule="exact"/>
              <w:ind w:firstLine="280" w:firstLineChars="100"/>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（三）规范性文件信息数（与“总表”中的数据一致）</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vAlign w:val="center"/>
          </w:tcPr>
          <w:p>
            <w:pPr>
              <w:keepNext w:val="0"/>
              <w:keepLines w:val="0"/>
              <w:pageBreakBefore w:val="0"/>
              <w:kinsoku/>
              <w:wordWrap/>
              <w:overflowPunct/>
              <w:topLinePunct w:val="0"/>
              <w:autoSpaceDE/>
              <w:autoSpaceDN/>
              <w:bidi w:val="0"/>
              <w:adjustRightInd w:val="0"/>
              <w:spacing w:line="500" w:lineRule="exact"/>
              <w:ind w:firstLine="280" w:firstLineChars="100"/>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（四）工作动态信息数 </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vAlign w:val="center"/>
          </w:tcPr>
          <w:p>
            <w:pPr>
              <w:keepNext w:val="0"/>
              <w:keepLines w:val="0"/>
              <w:pageBreakBefore w:val="0"/>
              <w:kinsoku/>
              <w:wordWrap/>
              <w:overflowPunct/>
              <w:topLinePunct w:val="0"/>
              <w:autoSpaceDE/>
              <w:autoSpaceDN/>
              <w:bidi w:val="0"/>
              <w:adjustRightInd w:val="0"/>
              <w:spacing w:line="500" w:lineRule="exact"/>
              <w:ind w:firstLine="280" w:firstLineChars="100"/>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（五）人事信息数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vAlign w:val="center"/>
          </w:tcPr>
          <w:p>
            <w:pPr>
              <w:keepNext w:val="0"/>
              <w:keepLines w:val="0"/>
              <w:pageBreakBefore w:val="0"/>
              <w:kinsoku/>
              <w:wordWrap/>
              <w:overflowPunct/>
              <w:topLinePunct w:val="0"/>
              <w:autoSpaceDE/>
              <w:autoSpaceDN/>
              <w:bidi w:val="0"/>
              <w:adjustRightInd w:val="0"/>
              <w:spacing w:line="500" w:lineRule="exact"/>
              <w:ind w:firstLine="280" w:firstLineChars="100"/>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（六）财政信息数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vAlign w:val="center"/>
          </w:tcPr>
          <w:p>
            <w:pPr>
              <w:keepNext w:val="0"/>
              <w:keepLines w:val="0"/>
              <w:pageBreakBefore w:val="0"/>
              <w:kinsoku/>
              <w:wordWrap/>
              <w:overflowPunct/>
              <w:topLinePunct w:val="0"/>
              <w:autoSpaceDE/>
              <w:autoSpaceDN/>
              <w:bidi w:val="0"/>
              <w:adjustRightInd w:val="0"/>
              <w:spacing w:line="500" w:lineRule="exact"/>
              <w:ind w:firstLine="280" w:firstLineChars="100"/>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（七）行政执法信息数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vAlign w:val="center"/>
          </w:tcPr>
          <w:p>
            <w:pPr>
              <w:keepNext w:val="0"/>
              <w:keepLines w:val="0"/>
              <w:pageBreakBefore w:val="0"/>
              <w:kinsoku/>
              <w:wordWrap/>
              <w:overflowPunct/>
              <w:topLinePunct w:val="0"/>
              <w:autoSpaceDE/>
              <w:autoSpaceDN/>
              <w:bidi w:val="0"/>
              <w:adjustRightInd w:val="0"/>
              <w:spacing w:line="500" w:lineRule="exact"/>
              <w:ind w:firstLine="280" w:firstLineChars="100"/>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（八）其他信息数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vAlign w:val="center"/>
          </w:tcPr>
          <w:p>
            <w:pPr>
              <w:keepNext w:val="0"/>
              <w:keepLines w:val="0"/>
              <w:pageBreakBefore w:val="0"/>
              <w:kinsoku/>
              <w:wordWrap/>
              <w:overflowPunct/>
              <w:topLinePunct w:val="0"/>
              <w:autoSpaceDE/>
              <w:autoSpaceDN/>
              <w:bidi w:val="0"/>
              <w:adjustRightInd w:val="0"/>
              <w:spacing w:line="500" w:lineRule="exact"/>
              <w:ind w:firstLine="280" w:firstLineChars="100"/>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Borders>
              <w:top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二、重点领域信息公开情况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Borders>
              <w:top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（一）围绕“稳增长”推进公开情况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1963" w:type="dxa"/>
            <w:vMerge w:val="restart"/>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经济预期引导</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信息公开</w:t>
            </w:r>
          </w:p>
        </w:tc>
        <w:tc>
          <w:tcPr>
            <w:tcW w:w="6272" w:type="dxa"/>
            <w:gridSpan w:val="2"/>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围绕省委省政府、市委市政府出台的重要财政政策、就业创业政策开展解读次数</w:t>
            </w:r>
          </w:p>
        </w:tc>
        <w:tc>
          <w:tcPr>
            <w:tcW w:w="66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751" w:type="dxa"/>
            <w:tcBorders>
              <w:top w:val="single" w:color="auto" w:sz="4" w:space="0"/>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spacing w:val="-10"/>
                <w:kern w:val="0"/>
                <w:sz w:val="28"/>
                <w:szCs w:val="28"/>
              </w:rPr>
            </w:pPr>
            <w:r>
              <w:rPr>
                <w:rFonts w:hint="eastAsia" w:asciiTheme="minorEastAsia" w:hAnsiTheme="minorEastAsia" w:eastAsiaTheme="minorEastAsia" w:cstheme="minorEastAsia"/>
                <w:color w:val="000000"/>
                <w:spacing w:val="-10"/>
                <w:kern w:val="0"/>
                <w:sz w:val="28"/>
                <w:szCs w:val="28"/>
              </w:rPr>
              <w:t>对发现的涉及我市经济社会发展的误导和不实信息的回应数</w:t>
            </w:r>
          </w:p>
        </w:tc>
        <w:tc>
          <w:tcPr>
            <w:tcW w:w="662"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是否按月公开财政收支执行总体情况、财政收支重点科目完成情况和增减变动情况</w:t>
            </w:r>
          </w:p>
        </w:tc>
        <w:tc>
          <w:tcPr>
            <w:tcW w:w="662" w:type="dxa"/>
            <w:tcBorders>
              <w:left w:val="single" w:color="auto" w:sz="4" w:space="0"/>
              <w:bottom w:val="single" w:color="auto" w:sz="4" w:space="0"/>
              <w:right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组织召开经济运行情况新闻发布会次数</w:t>
            </w:r>
          </w:p>
        </w:tc>
        <w:tc>
          <w:tcPr>
            <w:tcW w:w="662"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751" w:type="dxa"/>
            <w:tcBorders>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发布解读社会关注的重要经济指标数据次数</w:t>
            </w:r>
          </w:p>
        </w:tc>
        <w:tc>
          <w:tcPr>
            <w:tcW w:w="662"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751" w:type="dxa"/>
            <w:tcBorders>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是否公开重大政策措施落实情况跟踪审计结果</w:t>
            </w:r>
          </w:p>
        </w:tc>
        <w:tc>
          <w:tcPr>
            <w:tcW w:w="662" w:type="dxa"/>
            <w:tcBorders>
              <w:top w:val="single" w:color="auto" w:sz="4" w:space="0"/>
              <w:bottom w:val="single" w:color="auto" w:sz="4" w:space="0"/>
              <w:right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restart"/>
            <w:tcBorders>
              <w:top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pacing w:val="-14"/>
                <w:kern w:val="0"/>
                <w:sz w:val="28"/>
                <w:szCs w:val="28"/>
              </w:rPr>
            </w:pPr>
            <w:r>
              <w:rPr>
                <w:rFonts w:hint="eastAsia" w:asciiTheme="minorEastAsia" w:hAnsiTheme="minorEastAsia" w:eastAsiaTheme="minorEastAsia" w:cstheme="minorEastAsia"/>
                <w:color w:val="000000"/>
                <w:spacing w:val="-14"/>
                <w:kern w:val="0"/>
                <w:sz w:val="28"/>
                <w:szCs w:val="28"/>
              </w:rPr>
              <w:t>减税、降费、降低</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pacing w:val="-14"/>
                <w:kern w:val="0"/>
                <w:sz w:val="28"/>
                <w:szCs w:val="28"/>
              </w:rPr>
              <w:t>要素成本信息公开</w:t>
            </w:r>
          </w:p>
        </w:tc>
        <w:tc>
          <w:tcPr>
            <w:tcW w:w="6272" w:type="dxa"/>
            <w:gridSpan w:val="2"/>
            <w:tcBorders>
              <w:top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减税降费政策及其贯彻执行情况的公开数</w:t>
            </w:r>
          </w:p>
        </w:tc>
        <w:tc>
          <w:tcPr>
            <w:tcW w:w="662"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top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中央、省、市清理规范涉企收费和降低企业用电用气、用地用矿、物流运输、制度性交易等成本的政策措施以及执行落实情况公开数</w:t>
            </w:r>
          </w:p>
        </w:tc>
        <w:tc>
          <w:tcPr>
            <w:tcW w:w="662"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阶段性降低社会保险费率、缓缴社保费等政策及执行情况公开数</w:t>
            </w:r>
          </w:p>
        </w:tc>
        <w:tc>
          <w:tcPr>
            <w:tcW w:w="662"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1963" w:type="dxa"/>
            <w:vMerge w:val="restart"/>
            <w:tcBorders>
              <w:top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重大建设项目</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信息公开</w:t>
            </w:r>
          </w:p>
        </w:tc>
        <w:tc>
          <w:tcPr>
            <w:tcW w:w="6272" w:type="dxa"/>
            <w:gridSpan w:val="2"/>
            <w:tcBorders>
              <w:top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围绕2017年“项目年”工作方案，重大建设项目审批、核准、备案及项目基本信息等情况公开数</w:t>
            </w:r>
          </w:p>
        </w:tc>
        <w:tc>
          <w:tcPr>
            <w:tcW w:w="662"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963" w:type="dxa"/>
            <w:vMerge w:val="continue"/>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重大建设项目实施过程、结果和社会效果等情况公开数</w:t>
            </w:r>
          </w:p>
        </w:tc>
        <w:tc>
          <w:tcPr>
            <w:tcW w:w="662"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1963" w:type="dxa"/>
            <w:tcBorders>
              <w:top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公共资源配置</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信息公开</w:t>
            </w:r>
          </w:p>
        </w:tc>
        <w:tc>
          <w:tcPr>
            <w:tcW w:w="6272" w:type="dxa"/>
            <w:gridSpan w:val="2"/>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建设工程项目招投标、政府采购等各类资源交易公告、资格审查、交易过程、成交及履约等情况公开数</w:t>
            </w:r>
          </w:p>
        </w:tc>
        <w:tc>
          <w:tcPr>
            <w:tcW w:w="662"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1963"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pacing w:val="-14"/>
                <w:kern w:val="0"/>
                <w:sz w:val="28"/>
                <w:szCs w:val="28"/>
              </w:rPr>
              <w:t>PPP项目信息公开</w:t>
            </w:r>
          </w:p>
        </w:tc>
        <w:tc>
          <w:tcPr>
            <w:tcW w:w="627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PPP相关法律政策、社会资本参与方式、项目合同、回报机制，以及项目进展、专家库、咨询机构参与项目情况等公开数</w:t>
            </w:r>
          </w:p>
        </w:tc>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9648" w:type="dxa"/>
            <w:gridSpan w:val="5"/>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lef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（二）围绕“促改革”推进公开情况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963" w:type="dxa"/>
            <w:vMerge w:val="restart"/>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eastAsia="zh-CN"/>
              </w:rPr>
              <w:t>“放管服”</w:t>
            </w:r>
            <w:r>
              <w:rPr>
                <w:rFonts w:hint="eastAsia" w:asciiTheme="minorEastAsia" w:hAnsiTheme="minorEastAsia" w:eastAsiaTheme="minorEastAsia" w:cstheme="minorEastAsia"/>
                <w:color w:val="000000"/>
                <w:kern w:val="0"/>
                <w:sz w:val="28"/>
                <w:szCs w:val="28"/>
              </w:rPr>
              <w:t>改革信息公开</w:t>
            </w: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行政许可、行政处罚结果公开数</w:t>
            </w:r>
          </w:p>
        </w:tc>
        <w:tc>
          <w:tcPr>
            <w:tcW w:w="662" w:type="dxa"/>
            <w:tcBorders>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963" w:type="dxa"/>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是否公开政务服务事项目录</w:t>
            </w:r>
          </w:p>
        </w:tc>
        <w:tc>
          <w:tcPr>
            <w:tcW w:w="662" w:type="dxa"/>
            <w:tcBorders>
              <w:top w:val="single" w:color="auto" w:sz="4" w:space="0"/>
              <w:bottom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政策文件的废止情况公开数</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政策文件失效情况公开数</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随机抽查结果和查处情况公开数</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条</w:t>
            </w:r>
          </w:p>
        </w:tc>
        <w:tc>
          <w:tcPr>
            <w:tcW w:w="751" w:type="dxa"/>
            <w:tcBorders>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服务事项上网办理数</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w:t>
            </w:r>
          </w:p>
        </w:tc>
        <w:tc>
          <w:tcPr>
            <w:tcW w:w="751" w:type="dxa"/>
            <w:tcBorders>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restart"/>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pacing w:val="-14"/>
                <w:kern w:val="0"/>
                <w:sz w:val="28"/>
                <w:szCs w:val="28"/>
              </w:rPr>
            </w:pPr>
            <w:r>
              <w:rPr>
                <w:rFonts w:hint="eastAsia" w:asciiTheme="minorEastAsia" w:hAnsiTheme="minorEastAsia" w:eastAsiaTheme="minorEastAsia" w:cstheme="minorEastAsia"/>
                <w:color w:val="000000"/>
                <w:spacing w:val="-14"/>
                <w:kern w:val="0"/>
                <w:sz w:val="28"/>
                <w:szCs w:val="28"/>
              </w:rPr>
              <w:t>国资国企信息公开</w:t>
            </w: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国有产权交易、增资项目信息披露和结果公示公开数</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条</w:t>
            </w:r>
          </w:p>
        </w:tc>
        <w:tc>
          <w:tcPr>
            <w:tcW w:w="751" w:type="dxa"/>
            <w:tcBorders>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是否按月公开国有及国有控股企业主要经济效益指标、主要行业盈利、重大变化事项等情况</w:t>
            </w:r>
          </w:p>
        </w:tc>
        <w:tc>
          <w:tcPr>
            <w:tcW w:w="662" w:type="dxa"/>
            <w:tcBorders>
              <w:top w:val="single" w:color="auto" w:sz="4" w:space="0"/>
              <w:bottom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p>
        </w:tc>
        <w:tc>
          <w:tcPr>
            <w:tcW w:w="751" w:type="dxa"/>
            <w:tcBorders>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是否按年度公开国有企业财务决算指标，包括经济效益、盈利能力、资产状况等情况</w:t>
            </w:r>
          </w:p>
        </w:tc>
        <w:tc>
          <w:tcPr>
            <w:tcW w:w="662" w:type="dxa"/>
            <w:tcBorders>
              <w:top w:val="single" w:color="auto" w:sz="4" w:space="0"/>
              <w:bottom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p>
        </w:tc>
        <w:tc>
          <w:tcPr>
            <w:tcW w:w="751" w:type="dxa"/>
            <w:tcBorders>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1963" w:type="dxa"/>
            <w:vMerge w:val="restart"/>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农业供给侧结构性改革信息公开</w:t>
            </w: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蔬菜、水果、生猪等农产品价格公开数</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条</w:t>
            </w:r>
          </w:p>
        </w:tc>
        <w:tc>
          <w:tcPr>
            <w:tcW w:w="751" w:type="dxa"/>
            <w:tcBorders>
              <w:top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惠农政策公开数</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1963" w:type="dxa"/>
            <w:vMerge w:val="restart"/>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财税体制改革和</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审计信息公开</w:t>
            </w:r>
          </w:p>
        </w:tc>
        <w:tc>
          <w:tcPr>
            <w:tcW w:w="6272"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地方政府债券、税制改革相关政策公开数</w:t>
            </w:r>
          </w:p>
        </w:tc>
        <w:tc>
          <w:tcPr>
            <w:tcW w:w="662" w:type="dxa"/>
            <w:tcBorders>
              <w:top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营改增政策、改革进展及成效等公开数</w:t>
            </w:r>
          </w:p>
        </w:tc>
        <w:tc>
          <w:tcPr>
            <w:tcW w:w="662" w:type="dxa"/>
            <w:tcBorders>
              <w:top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是否公开预算执行及其他财政收支审计工作报告、审计整改报告、审计整改结果</w:t>
            </w:r>
          </w:p>
        </w:tc>
        <w:tc>
          <w:tcPr>
            <w:tcW w:w="662" w:type="dxa"/>
            <w:tcBorders>
              <w:left w:val="single" w:color="auto" w:sz="4" w:space="0"/>
              <w:right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相关收入表及支出表是否按要求公开到相应款级或项级科目</w:t>
            </w:r>
          </w:p>
        </w:tc>
        <w:tc>
          <w:tcPr>
            <w:tcW w:w="662" w:type="dxa"/>
            <w:tcBorders>
              <w:left w:val="single" w:color="auto" w:sz="4" w:space="0"/>
              <w:right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是否公开本级和本部门（单位）“三公”经费的预决算财政拨款总额和分项数额，并对增减变化的原因进行说明</w:t>
            </w:r>
          </w:p>
        </w:tc>
        <w:tc>
          <w:tcPr>
            <w:tcW w:w="662" w:type="dxa"/>
            <w:tcBorders>
              <w:left w:val="single" w:color="auto" w:sz="4" w:space="0"/>
              <w:right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脱贫攻坚、教育、医疗卫生、社会保障和就业、住房保障等领域财政专项资金分配使用情况公开数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政府采购信息公开数</w:t>
            </w:r>
            <w:r>
              <w:rPr>
                <w:rFonts w:hint="eastAsia" w:asciiTheme="minorEastAsia" w:hAnsiTheme="minorEastAsia" w:eastAsiaTheme="minorEastAsia" w:cstheme="minorEastAsia"/>
                <w:color w:val="000000"/>
                <w:kern w:val="0"/>
                <w:sz w:val="28"/>
                <w:szCs w:val="28"/>
              </w:rPr>
              <w:tab/>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tabs>
                <w:tab w:val="left" w:pos="651"/>
              </w:tabs>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县区政府债务种类、规模、结构和使用、偿还等情况公开数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vAlign w:val="center"/>
          </w:tcPr>
          <w:p>
            <w:pPr>
              <w:keepNext w:val="0"/>
              <w:keepLines w:val="0"/>
              <w:pageBreakBefore w:val="0"/>
              <w:kinsoku/>
              <w:wordWrap/>
              <w:overflowPunct/>
              <w:topLinePunct w:val="0"/>
              <w:autoSpaceDE/>
              <w:autoSpaceDN/>
              <w:bidi w:val="0"/>
              <w:spacing w:line="500" w:lineRule="exact"/>
              <w:jc w:val="lef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（三）围绕“调结构”推进公开情况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pacing w:val="-10"/>
                <w:kern w:val="0"/>
                <w:sz w:val="28"/>
                <w:szCs w:val="28"/>
              </w:rPr>
            </w:pPr>
            <w:r>
              <w:rPr>
                <w:rFonts w:hint="eastAsia" w:asciiTheme="minorEastAsia" w:hAnsiTheme="minorEastAsia" w:eastAsiaTheme="minorEastAsia" w:cstheme="minorEastAsia"/>
                <w:color w:val="000000"/>
                <w:spacing w:val="-10"/>
                <w:kern w:val="0"/>
                <w:sz w:val="28"/>
                <w:szCs w:val="28"/>
              </w:rPr>
              <w:t>发展新产业、培育</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新动能信息公开</w:t>
            </w:r>
          </w:p>
        </w:tc>
        <w:tc>
          <w:tcPr>
            <w:tcW w:w="6272" w:type="dxa"/>
            <w:gridSpan w:val="2"/>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围绕推进制造强市建设、加大战略性新兴产业（产品）发展、开展全面创新改革试验、新动能相关情况公开数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深化科技计划管理改革、激励科技人员创新创业政策等执行情况及结果公开数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推进化解过剩产能工作信息公开</w:t>
            </w:r>
          </w:p>
        </w:tc>
        <w:tc>
          <w:tcPr>
            <w:tcW w:w="6272" w:type="dxa"/>
            <w:gridSpan w:val="2"/>
            <w:tcBorders>
              <w:lef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化解过剩产能情况公开数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是否分批次向社会公示承担化解过剩产能任务的企业名单、已完成化解过剩产能任务的企业名单，公布企业产能、奖补资金分配、违法违规建设生产和不达标情况</w:t>
            </w:r>
          </w:p>
        </w:tc>
        <w:tc>
          <w:tcPr>
            <w:tcW w:w="662" w:type="dxa"/>
            <w:tcBorders>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推进消费升级和产品质量提升</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工作信息公开</w:t>
            </w:r>
          </w:p>
        </w:tc>
        <w:tc>
          <w:tcPr>
            <w:tcW w:w="6272" w:type="dxa"/>
            <w:gridSpan w:val="2"/>
            <w:tcBorders>
              <w:left w:val="single" w:color="auto" w:sz="4" w:space="0"/>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与群众密切相关的蔬菜、肉类、粮油等居民生活必需品的消费情况和价格走势情况公开数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vMerge w:val="restart"/>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流通领域商品质量抽检结果公开数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vMerge w:val="continue"/>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加强产品质量监管政策法规、标准、程序和质量执法、质量监督抽查结果、质量违法行为记录、缺陷产品召回及后续处理情况公开数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vMerge w:val="continue"/>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648" w:type="dxa"/>
            <w:gridSpan w:val="5"/>
            <w:vAlign w:val="center"/>
          </w:tcPr>
          <w:p>
            <w:pPr>
              <w:keepNext w:val="0"/>
              <w:keepLines w:val="0"/>
              <w:pageBreakBefore w:val="0"/>
              <w:kinsoku/>
              <w:wordWrap/>
              <w:overflowPunct/>
              <w:topLinePunct w:val="0"/>
              <w:autoSpaceDE/>
              <w:autoSpaceDN/>
              <w:bidi w:val="0"/>
              <w:spacing w:line="500" w:lineRule="exact"/>
              <w:jc w:val="lef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（四）围绕“惠民生”推进公开情况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扶贫脱贫和社会</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救助信息公开</w:t>
            </w:r>
          </w:p>
        </w:tc>
        <w:tc>
          <w:tcPr>
            <w:tcW w:w="6272" w:type="dxa"/>
            <w:gridSpan w:val="2"/>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是否属于贫困县</w:t>
            </w:r>
            <w:r>
              <w:rPr>
                <w:rFonts w:hint="eastAsia" w:asciiTheme="minorEastAsia" w:hAnsiTheme="minorEastAsia" w:eastAsiaTheme="minorEastAsia" w:cstheme="minorEastAsia"/>
                <w:color w:val="000000"/>
                <w:sz w:val="28"/>
                <w:szCs w:val="28"/>
              </w:rPr>
              <w:t>▲</w:t>
            </w:r>
          </w:p>
        </w:tc>
        <w:tc>
          <w:tcPr>
            <w:tcW w:w="662" w:type="dxa"/>
            <w:tcBorders>
              <w:tr2bl w:val="single" w:color="000000"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贫困县统筹整合使用的涉农资金来源、用途和项目建设等公开数</w:t>
            </w:r>
            <w:r>
              <w:rPr>
                <w:rFonts w:hint="eastAsia" w:asciiTheme="minorEastAsia" w:hAnsiTheme="minorEastAsia" w:eastAsiaTheme="minorEastAsia" w:cstheme="minorEastAsia"/>
                <w:color w:val="000000"/>
                <w:sz w:val="28"/>
                <w:szCs w:val="28"/>
              </w:rPr>
              <w:t>▲</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困难群众救助情况公开数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财政专项扶贫资金分配、使用情况公开数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城乡低保、特困人员救助供养、医疗救助、临时救助政策公开数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就业社保信息</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公开</w:t>
            </w: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促进就业创业方面的法规、政策、措施及其实施情况，最低工资标准和企业工资指导线，公务员考录和事业单位公开招聘，人力资源市场供求状况分析信息、职业供求信息和职业培训信息，就业需求信息等公开数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社会保险法规政策、办理流程，基本医疗保险、工伤保险、生育保险涉及的药品目录、诊疗项目范围、医院和药店名录、社保关系转续经办机构等社会保障信息公开数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是否定期公开各项社会保险基金的收入、支出、结余和社会保险参保人数及待遇享受人数</w:t>
            </w:r>
          </w:p>
        </w:tc>
        <w:tc>
          <w:tcPr>
            <w:tcW w:w="662" w:type="dxa"/>
            <w:tcBorders>
              <w:left w:val="single" w:color="auto" w:sz="4" w:space="0"/>
              <w:right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环境保护信息</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公开</w:t>
            </w: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空气质量监测预警信息公开数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重污染空气质量专题预警预报数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水环境质量状况公开数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土壤污染防治项目基本情况公开数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教育卫生领域</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信息公开</w:t>
            </w: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是否发布高校（本科、高职高专）教学质量报告、毕业生就业质量年度报告和高校信息公开年度报告</w:t>
            </w:r>
          </w:p>
        </w:tc>
        <w:tc>
          <w:tcPr>
            <w:tcW w:w="662" w:type="dxa"/>
            <w:tcBorders>
              <w:left w:val="single" w:color="auto" w:sz="4" w:space="0"/>
              <w:right w:val="single" w:color="auto" w:sz="4" w:space="0"/>
              <w:tr2bl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是否发布教育督导评估监测报告</w:t>
            </w:r>
          </w:p>
        </w:tc>
        <w:tc>
          <w:tcPr>
            <w:tcW w:w="662" w:type="dxa"/>
            <w:tcBorders>
              <w:left w:val="single" w:color="auto" w:sz="4" w:space="0"/>
              <w:right w:val="single" w:color="auto" w:sz="4" w:space="0"/>
              <w:tr2bl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市、各县区内学校是否公开义务教育招生入学政策、招生范围、招生条件、学校情况、招生结果等信息</w:t>
            </w:r>
          </w:p>
        </w:tc>
        <w:tc>
          <w:tcPr>
            <w:tcW w:w="662" w:type="dxa"/>
            <w:tcBorders>
              <w:left w:val="single" w:color="auto" w:sz="4" w:space="0"/>
              <w:right w:val="single" w:color="auto" w:sz="4" w:space="0"/>
              <w:tr2bl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市、各县区内公立医院是否公示10个单病种次均住院费用</w:t>
            </w:r>
          </w:p>
        </w:tc>
        <w:tc>
          <w:tcPr>
            <w:tcW w:w="662" w:type="dxa"/>
            <w:tcBorders>
              <w:left w:val="single" w:color="auto" w:sz="4" w:space="0"/>
              <w:right w:val="single" w:color="auto" w:sz="4" w:space="0"/>
              <w:tr2bl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市、各县区内医疗机构是否公开常规医疗服务价格、常用药品和主要医用耗材价格信息</w:t>
            </w:r>
          </w:p>
        </w:tc>
        <w:tc>
          <w:tcPr>
            <w:tcW w:w="662" w:type="dxa"/>
            <w:tcBorders>
              <w:left w:val="single" w:color="auto" w:sz="4" w:space="0"/>
              <w:right w:val="single" w:color="auto" w:sz="4" w:space="0"/>
              <w:tr2bl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食品药品安全领域信息公开</w:t>
            </w: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“四品一械”质量抽检信息和抽检结果公开数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发布食品药品风险警示、消费提示公开次数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发布“四品一械”行政处罚案件及专项整治行动进展、成效等公开数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235" w:type="dxa"/>
            <w:gridSpan w:val="3"/>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（五）围绕“防风险”推进公开情况</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963" w:type="dxa"/>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围绕防范金融风险信息公开</w:t>
            </w: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发布资本市场违法违规案件查处情况和稽查执法工作动态及行政处罚决定、市场禁入决定和行政许可决定等公开数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围绕促进房地产</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市场平稳健康发展信息公开</w:t>
            </w: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房地产市场金融管控、土地供应、整顿规范市场秩序等信息公开数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国有土地上房屋征收补偿信息公开数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保障性安居工程相关任务完成情况公开数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围绕防范遏制重特大生产安全事故信息公开</w:t>
            </w:r>
          </w:p>
        </w:tc>
        <w:tc>
          <w:tcPr>
            <w:tcW w:w="6272" w:type="dxa"/>
            <w:gridSpan w:val="2"/>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发布可能引发重特大生产安全事故风险预警和安全提示信息数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常规检查执法、暗查暗访、突击检查、随机抽查等执法信息公开数</w:t>
            </w:r>
          </w:p>
        </w:tc>
        <w:tc>
          <w:tcPr>
            <w:tcW w:w="66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条</w:t>
            </w: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是否公开安全生产“黑名单”</w:t>
            </w:r>
          </w:p>
        </w:tc>
        <w:tc>
          <w:tcPr>
            <w:tcW w:w="662" w:type="dxa"/>
            <w:tcBorders>
              <w:left w:val="single" w:color="auto" w:sz="4" w:space="0"/>
              <w:right w:val="single" w:color="auto" w:sz="4" w:space="0"/>
              <w:tr2bl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围绕防范重大舆情及突发事件影响社会稳定推进公开</w:t>
            </w: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是否建立健全政务舆情收集、研判、处置和回应常态化工作机制</w:t>
            </w:r>
          </w:p>
        </w:tc>
        <w:tc>
          <w:tcPr>
            <w:tcW w:w="662" w:type="dxa"/>
            <w:tcBorders>
              <w:left w:val="single" w:color="auto" w:sz="4" w:space="0"/>
              <w:right w:val="single" w:color="auto" w:sz="4" w:space="0"/>
              <w:tr2bl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年内是否发生特别重大、重大突发事件</w:t>
            </w:r>
          </w:p>
        </w:tc>
        <w:tc>
          <w:tcPr>
            <w:tcW w:w="662" w:type="dxa"/>
            <w:tcBorders>
              <w:left w:val="single" w:color="auto" w:sz="4" w:space="0"/>
              <w:right w:val="single" w:color="auto" w:sz="4" w:space="0"/>
              <w:tr2bl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6272" w:type="dxa"/>
            <w:gridSpan w:val="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特别重大、重大突发事件是否最迟5小时内发布权威信息、24小时内举行新闻发布会</w:t>
            </w:r>
          </w:p>
        </w:tc>
        <w:tc>
          <w:tcPr>
            <w:tcW w:w="662" w:type="dxa"/>
            <w:tcBorders>
              <w:left w:val="single" w:color="auto" w:sz="4" w:space="0"/>
              <w:right w:val="single" w:color="auto" w:sz="4" w:space="0"/>
              <w:tr2bl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left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（六）建议提案结果公开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人大建议结果公开数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政协提案结果公开数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三、依申请公开情况（同一条信息只能在以下5项中选择1项，不重复计算）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收到申请数</w:t>
            </w: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（与“总表”中的数据一致，应等于以下5项数据之和）</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件</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（一）土地征用和房屋拆迁类信息申请数  </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件</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（二）财政资金类信息申请数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件</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（三）行政执法类信息申请数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件</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（四）劳动就业和社会保障类信息申请数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件</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（五）其他信息申请数</w:t>
            </w:r>
          </w:p>
        </w:tc>
        <w:tc>
          <w:tcPr>
            <w:tcW w:w="662" w:type="dxa"/>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件</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是否告知不公开救济渠道</w:t>
            </w:r>
          </w:p>
        </w:tc>
        <w:tc>
          <w:tcPr>
            <w:tcW w:w="662" w:type="dxa"/>
            <w:tcBorders>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四、信息公开载体建设情况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173" w:type="dxa"/>
            <w:gridSpan w:val="2"/>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政务微博</w:t>
            </w:r>
          </w:p>
        </w:tc>
        <w:tc>
          <w:tcPr>
            <w:tcW w:w="6062" w:type="dxa"/>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是否开设政务微博          </w:t>
            </w:r>
          </w:p>
        </w:tc>
        <w:tc>
          <w:tcPr>
            <w:tcW w:w="662" w:type="dxa"/>
            <w:tcBorders>
              <w:top w:val="single" w:color="auto" w:sz="4" w:space="0"/>
              <w:bottom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173" w:type="dxa"/>
            <w:gridSpan w:val="2"/>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政务微信</w:t>
            </w:r>
          </w:p>
        </w:tc>
        <w:tc>
          <w:tcPr>
            <w:tcW w:w="6062" w:type="dxa"/>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是否开设政务微信</w:t>
            </w:r>
          </w:p>
        </w:tc>
        <w:tc>
          <w:tcPr>
            <w:tcW w:w="662" w:type="dxa"/>
            <w:tcBorders>
              <w:top w:val="single" w:color="auto" w:sz="4" w:space="0"/>
              <w:bottom w:val="single" w:color="auto" w:sz="4" w:space="0"/>
              <w:tr2bl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751" w:type="dxa"/>
            <w:tcBorders>
              <w:top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政务服务</w:t>
            </w:r>
          </w:p>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中心</w:t>
            </w:r>
          </w:p>
        </w:tc>
        <w:tc>
          <w:tcPr>
            <w:tcW w:w="6062" w:type="dxa"/>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信息公开查阅点个数 </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个</w:t>
            </w:r>
          </w:p>
        </w:tc>
        <w:tc>
          <w:tcPr>
            <w:tcW w:w="751" w:type="dxa"/>
            <w:tcBorders>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062" w:type="dxa"/>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全年接待公众查询人次数 </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人次</w:t>
            </w:r>
          </w:p>
        </w:tc>
        <w:tc>
          <w:tcPr>
            <w:tcW w:w="751" w:type="dxa"/>
            <w:tcBorders>
              <w:top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档案馆</w:t>
            </w:r>
          </w:p>
        </w:tc>
        <w:tc>
          <w:tcPr>
            <w:tcW w:w="6062" w:type="dxa"/>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信息公开查阅点个数 </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个</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continue"/>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p>
        </w:tc>
        <w:tc>
          <w:tcPr>
            <w:tcW w:w="6062" w:type="dxa"/>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全年接待公众查询人次数 </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人次</w:t>
            </w:r>
          </w:p>
        </w:tc>
        <w:tc>
          <w:tcPr>
            <w:tcW w:w="751" w:type="dxa"/>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图书馆</w:t>
            </w:r>
          </w:p>
        </w:tc>
        <w:tc>
          <w:tcPr>
            <w:tcW w:w="6062" w:type="dxa"/>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信息公开查阅点个数 </w:t>
            </w:r>
          </w:p>
        </w:tc>
        <w:tc>
          <w:tcPr>
            <w:tcW w:w="66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个</w:t>
            </w:r>
          </w:p>
        </w:tc>
        <w:tc>
          <w:tcPr>
            <w:tcW w:w="751" w:type="dxa"/>
            <w:tcBorders>
              <w:bottom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2173" w:type="dxa"/>
            <w:gridSpan w:val="2"/>
            <w:vMerge w:val="continue"/>
          </w:tcPr>
          <w:p>
            <w:pPr>
              <w:keepNext w:val="0"/>
              <w:keepLines w:val="0"/>
              <w:pageBreakBefore w:val="0"/>
              <w:kinsoku/>
              <w:wordWrap/>
              <w:overflowPunct/>
              <w:topLinePunct w:val="0"/>
              <w:autoSpaceDE/>
              <w:autoSpaceDN/>
              <w:bidi w:val="0"/>
              <w:spacing w:line="500" w:lineRule="exact"/>
              <w:ind w:firstLine="560" w:firstLineChars="200"/>
              <w:textAlignment w:val="auto"/>
              <w:outlineLvl w:val="9"/>
              <w:rPr>
                <w:rFonts w:hint="eastAsia" w:asciiTheme="minorEastAsia" w:hAnsiTheme="minorEastAsia" w:eastAsiaTheme="minorEastAsia" w:cstheme="minorEastAsia"/>
                <w:color w:val="000000"/>
                <w:kern w:val="0"/>
                <w:sz w:val="28"/>
                <w:szCs w:val="28"/>
              </w:rPr>
            </w:pPr>
          </w:p>
        </w:tc>
        <w:tc>
          <w:tcPr>
            <w:tcW w:w="6062" w:type="dxa"/>
            <w:vAlign w:val="center"/>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全年接待公众查询人次数 </w:t>
            </w:r>
          </w:p>
        </w:tc>
        <w:tc>
          <w:tcPr>
            <w:tcW w:w="662" w:type="dxa"/>
            <w:tcBorders>
              <w:top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人次</w:t>
            </w:r>
          </w:p>
        </w:tc>
        <w:tc>
          <w:tcPr>
            <w:tcW w:w="751" w:type="dxa"/>
            <w:tcBorders>
              <w:top w:val="single" w:color="auto" w:sz="4" w:space="0"/>
            </w:tcBorders>
          </w:tcPr>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color w:val="000000"/>
                <w:kern w:val="0"/>
                <w:sz w:val="28"/>
                <w:szCs w:val="28"/>
              </w:rPr>
            </w:pPr>
          </w:p>
        </w:tc>
      </w:tr>
    </w:tbl>
    <w:p>
      <w:pPr>
        <w:keepNext w:val="0"/>
        <w:keepLines w:val="0"/>
        <w:pageBreakBefore w:val="0"/>
        <w:kinsoku/>
        <w:wordWrap/>
        <w:overflowPunct/>
        <w:topLinePunct w:val="0"/>
        <w:autoSpaceDE/>
        <w:autoSpaceDN/>
        <w:bidi w:val="0"/>
        <w:adjustRightInd w:val="0"/>
        <w:snapToGrid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单位负责人：               审核人：                 填报人： </w:t>
      </w:r>
    </w:p>
    <w:p>
      <w:pPr>
        <w:keepNext w:val="0"/>
        <w:keepLines w:val="0"/>
        <w:pageBreakBefore w:val="0"/>
        <w:kinsoku/>
        <w:wordWrap/>
        <w:overflowPunct/>
        <w:topLinePunct w:val="0"/>
        <w:autoSpaceDE/>
        <w:autoSpaceDN/>
        <w:bidi w:val="0"/>
        <w:adjustRightInd w:val="0"/>
        <w:snapToGrid w:val="0"/>
        <w:spacing w:line="500" w:lineRule="exact"/>
        <w:textAlignment w:val="auto"/>
        <w:outlineLvl w:val="9"/>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联系电话：                                          填报日期：</w:t>
      </w:r>
    </w:p>
    <w:p>
      <w:pPr>
        <w:keepNext w:val="0"/>
        <w:keepLines w:val="0"/>
        <w:pageBreakBefore w:val="0"/>
        <w:kinsoku/>
        <w:wordWrap/>
        <w:overflowPunct/>
        <w:topLinePunct w:val="0"/>
        <w:autoSpaceDE/>
        <w:autoSpaceDN/>
        <w:bidi w:val="0"/>
        <w:adjustRightInd w:val="0"/>
        <w:snapToGrid w:val="0"/>
        <w:spacing w:line="500" w:lineRule="exact"/>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填表说明：</w:t>
      </w:r>
    </w:p>
    <w:p>
      <w:pPr>
        <w:keepNext w:val="0"/>
        <w:keepLines w:val="0"/>
        <w:pageBreakBefore w:val="0"/>
        <w:kinsoku/>
        <w:wordWrap/>
        <w:overflowPunct/>
        <w:topLinePunct w:val="0"/>
        <w:autoSpaceDE/>
        <w:autoSpaceDN/>
        <w:bidi w:val="0"/>
        <w:adjustRightInd w:val="0"/>
        <w:snapToGrid w:val="0"/>
        <w:spacing w:line="500" w:lineRule="exact"/>
        <w:ind w:firstLine="548" w:firstLineChars="196"/>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1.表格中统计时间从2017年1月1日至2017年12月31日。</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outlineLvl w:val="9"/>
        <w:rPr>
          <w:rStyle w:val="8"/>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2.重点领域信息公开情况中的指标解释参照《剑阁县人民政府办公室关于印发〈剑阁县2017年度政务公开工作要点〉的通知》（剑府办发〔2017〕72号）。</w:t>
      </w: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spacing w:line="500" w:lineRule="exact"/>
        <w:textAlignment w:val="auto"/>
        <w:outlineLvl w:val="9"/>
        <w:rPr>
          <w:rFonts w:hint="eastAsia" w:asciiTheme="minorEastAsia" w:hAnsiTheme="minorEastAsia" w:eastAsiaTheme="minorEastAsia" w:cstheme="minorEastAsia"/>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textAlignment w:val="auto"/>
        <w:outlineLvl w:val="9"/>
        <w:rPr>
          <w:rFonts w:hint="eastAsia" w:asciiTheme="minorEastAsia" w:hAnsiTheme="minorEastAsia" w:eastAsiaTheme="minorEastAsia" w:cstheme="minorEastAsia"/>
          <w:b/>
          <w:bCs/>
          <w:sz w:val="28"/>
          <w:szCs w:val="28"/>
        </w:rPr>
      </w:pP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00" w:lineRule="exact"/>
        <w:ind w:firstLine="275" w:firstLineChars="98"/>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信息公开选项：主动公开</w:t>
      </w:r>
    </w:p>
    <w:p>
      <w:pPr>
        <w:pStyle w:val="4"/>
        <w:keepNext w:val="0"/>
        <w:keepLines w:val="0"/>
        <w:pageBreakBefore w:val="0"/>
        <w:pBdr>
          <w:top w:val="single" w:color="auto" w:sz="6" w:space="1"/>
          <w:bottom w:val="single" w:color="auto" w:sz="6" w:space="1"/>
        </w:pBdr>
        <w:shd w:val="clear" w:color="auto" w:fill="FFFFFF"/>
        <w:kinsoku/>
        <w:wordWrap/>
        <w:overflowPunct/>
        <w:topLinePunct w:val="0"/>
        <w:autoSpaceDE/>
        <w:autoSpaceDN/>
        <w:bidi w:val="0"/>
        <w:spacing w:before="0" w:beforeAutospacing="0" w:after="0" w:afterAutospacing="0" w:line="500" w:lineRule="exact"/>
        <w:ind w:firstLine="280" w:firstLineChars="1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剑阁县人民政府办公室                    2018年2月22日印发</w:t>
      </w:r>
    </w:p>
    <w:sectPr>
      <w:headerReference r:id="rId3" w:type="default"/>
      <w:footerReference r:id="rId4" w:type="default"/>
      <w:pgSz w:w="11907" w:h="16840" w:orient="landscape"/>
      <w:pgMar w:top="2098" w:right="1588" w:bottom="1418" w:left="1474" w:header="851" w:footer="1361" w:gutter="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cs="宋体"/>
        <w:sz w:val="28"/>
        <w:szCs w:val="28"/>
      </w:rPr>
    </w:pPr>
    <w:r>
      <w:rPr>
        <w:rStyle w:val="7"/>
        <w:rFonts w:ascii="宋体" w:hAnsi="宋体" w:cs="宋体"/>
        <w:sz w:val="28"/>
        <w:szCs w:val="28"/>
      </w:rPr>
      <w:t>—</w:t>
    </w: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12</w:t>
    </w:r>
    <w:r>
      <w:rPr>
        <w:rStyle w:val="7"/>
        <w:rFonts w:ascii="宋体" w:hAnsi="宋体" w:cs="宋体"/>
        <w:sz w:val="28"/>
        <w:szCs w:val="28"/>
      </w:rPr>
      <w:fldChar w:fldCharType="end"/>
    </w:r>
    <w:r>
      <w:rPr>
        <w:rStyle w:val="7"/>
        <w:rFonts w:ascii="宋体" w:hAnsi="宋体" w:cs="宋体"/>
        <w:sz w:val="28"/>
        <w:szCs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printTwoOnOne w:val="true"/>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6D"/>
    <w:rsid w:val="000E083E"/>
    <w:rsid w:val="00123A41"/>
    <w:rsid w:val="001F1817"/>
    <w:rsid w:val="00317D8F"/>
    <w:rsid w:val="003377F5"/>
    <w:rsid w:val="00386E7C"/>
    <w:rsid w:val="003A7DBC"/>
    <w:rsid w:val="004046C1"/>
    <w:rsid w:val="00406D6D"/>
    <w:rsid w:val="00434ECF"/>
    <w:rsid w:val="00482B80"/>
    <w:rsid w:val="004A25F4"/>
    <w:rsid w:val="005639AF"/>
    <w:rsid w:val="005639F5"/>
    <w:rsid w:val="005B4AF6"/>
    <w:rsid w:val="005C2AA2"/>
    <w:rsid w:val="00623466"/>
    <w:rsid w:val="00652BD9"/>
    <w:rsid w:val="00652D4A"/>
    <w:rsid w:val="00704996"/>
    <w:rsid w:val="00706279"/>
    <w:rsid w:val="007607AC"/>
    <w:rsid w:val="007B3D66"/>
    <w:rsid w:val="008326BE"/>
    <w:rsid w:val="008357BE"/>
    <w:rsid w:val="009D58AE"/>
    <w:rsid w:val="009F55EE"/>
    <w:rsid w:val="00A64521"/>
    <w:rsid w:val="00AB3544"/>
    <w:rsid w:val="00B65F0A"/>
    <w:rsid w:val="00BA3290"/>
    <w:rsid w:val="00BA3B02"/>
    <w:rsid w:val="00BE0DD7"/>
    <w:rsid w:val="00BF6475"/>
    <w:rsid w:val="00C458A0"/>
    <w:rsid w:val="00CB7DCB"/>
    <w:rsid w:val="00D56D01"/>
    <w:rsid w:val="00DC386A"/>
    <w:rsid w:val="00E24615"/>
    <w:rsid w:val="00F44CE7"/>
    <w:rsid w:val="3E193A58"/>
    <w:rsid w:val="7AAE84E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jc w:val="left"/>
    </w:pPr>
    <w:rPr>
      <w:kern w:val="0"/>
      <w:sz w:val="18"/>
      <w:szCs w:val="18"/>
    </w:rPr>
  </w:style>
  <w:style w:type="paragraph" w:styleId="3">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styleId="8">
    <w:name w:val="Emphasis"/>
    <w:basedOn w:val="6"/>
    <w:qFormat/>
    <w:uiPriority w:val="99"/>
  </w:style>
  <w:style w:type="character" w:styleId="9">
    <w:name w:val="Hyperlink"/>
    <w:basedOn w:val="6"/>
    <w:qFormat/>
    <w:uiPriority w:val="99"/>
    <w:rPr>
      <w:color w:val="0000FF"/>
      <w:u w:val="single"/>
    </w:rPr>
  </w:style>
  <w:style w:type="character" w:customStyle="1" w:styleId="10">
    <w:name w:val="Header Char"/>
    <w:link w:val="3"/>
    <w:qFormat/>
    <w:locked/>
    <w:uiPriority w:val="99"/>
    <w:rPr>
      <w:rFonts w:ascii="Times New Roman" w:hAnsi="Times New Roman" w:eastAsia="宋体" w:cs="Times New Roman"/>
      <w:sz w:val="18"/>
      <w:szCs w:val="18"/>
    </w:rPr>
  </w:style>
  <w:style w:type="character" w:customStyle="1" w:styleId="11">
    <w:name w:val="Footer Char"/>
    <w:link w:val="2"/>
    <w:qFormat/>
    <w:locked/>
    <w:uiPriority w:val="99"/>
    <w:rPr>
      <w:rFonts w:ascii="Times New Roman" w:hAnsi="Times New Roman" w:eastAsia="宋体" w:cs="Times New Roman"/>
      <w:sz w:val="18"/>
      <w:szCs w:val="18"/>
    </w:rPr>
  </w:style>
  <w:style w:type="character" w:customStyle="1" w:styleId="12">
    <w:name w:val="Header Char1"/>
    <w:basedOn w:val="6"/>
    <w:link w:val="3"/>
    <w:semiHidden/>
    <w:qFormat/>
    <w:uiPriority w:val="99"/>
    <w:rPr>
      <w:rFonts w:ascii="Times New Roman" w:hAnsi="Times New Roman"/>
      <w:sz w:val="18"/>
      <w:szCs w:val="18"/>
    </w:rPr>
  </w:style>
  <w:style w:type="character" w:customStyle="1" w:styleId="13">
    <w:name w:val="页眉 Char1"/>
    <w:basedOn w:val="6"/>
    <w:link w:val="3"/>
    <w:semiHidden/>
    <w:qFormat/>
    <w:locked/>
    <w:uiPriority w:val="99"/>
    <w:rPr>
      <w:rFonts w:ascii="Times New Roman" w:hAnsi="Times New Roman" w:eastAsia="宋体" w:cs="Times New Roman"/>
      <w:sz w:val="18"/>
      <w:szCs w:val="18"/>
    </w:rPr>
  </w:style>
  <w:style w:type="character" w:customStyle="1" w:styleId="14">
    <w:name w:val="Footer Char1"/>
    <w:basedOn w:val="6"/>
    <w:link w:val="2"/>
    <w:semiHidden/>
    <w:qFormat/>
    <w:uiPriority w:val="99"/>
    <w:rPr>
      <w:rFonts w:ascii="Times New Roman" w:hAnsi="Times New Roman"/>
      <w:sz w:val="18"/>
      <w:szCs w:val="18"/>
    </w:rPr>
  </w:style>
  <w:style w:type="character" w:customStyle="1" w:styleId="15">
    <w:name w:val="页脚 Char1"/>
    <w:basedOn w:val="6"/>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934</Words>
  <Characters>5325</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2018-02-24T10:32:00Z</dcterms:created>
  <dc:creator>Administrator</dc:creator>
  <cp:lastModifiedBy>user</cp:lastModifiedBy>
  <cp:lastPrinted>2018-02-24T10:47:00Z</cp:lastPrinted>
  <dcterms:modified xsi:type="dcterms:W3CDTF">2024-11-11T15:37:13Z</dcterms:modified>
  <dc:title>剑府办函〔2018〕5号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