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193"/>
      <w:bookmarkStart w:id="3" w:name="_Toc15377425"/>
      <w:bookmarkStart w:id="4" w:name="_Toc15378441"/>
      <w:bookmarkStart w:id="5" w:name="_Toc15396475"/>
      <w:bookmarkStart w:id="6" w:name="_Toc19834"/>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5396476"/>
      <w:bookmarkStart w:id="8" w:name="_Toc15378442"/>
      <w:bookmarkStart w:id="9" w:name="_Toc15396598"/>
      <w:bookmarkStart w:id="10" w:name="_Toc15377426"/>
      <w:bookmarkStart w:id="11" w:name="_Toc15377194"/>
      <w:bookmarkStart w:id="12" w:name="_Toc4569"/>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lang w:eastAsia="zh-CN"/>
        </w:rPr>
        <w:t>木马镇卫生院</w:t>
      </w:r>
      <w:r>
        <w:rPr>
          <w:rFonts w:hint="eastAsia" w:ascii="方正小标宋简体" w:hAnsi="方正小标宋简体" w:eastAsia="方正小标宋简体" w:cs="方正小标宋简体"/>
          <w:sz w:val="72"/>
          <w:szCs w:val="72"/>
        </w:rPr>
        <w:t>决算</w:t>
      </w:r>
      <w:bookmarkEnd w:id="7"/>
      <w:bookmarkEnd w:id="8"/>
      <w:bookmarkEnd w:id="9"/>
      <w:bookmarkEnd w:id="10"/>
      <w:bookmarkEnd w:id="11"/>
      <w:bookmarkEnd w:id="12"/>
      <w:bookmarkEnd w:id="13"/>
    </w:p>
    <w:p>
      <w:pPr>
        <w:pStyle w:val="17"/>
        <w:rPr>
          <w:rFonts w:hint="default" w:eastAsia="方正小标宋简体"/>
          <w:lang w:val="en-US" w:eastAsia="zh-CN"/>
        </w:rPr>
      </w:pPr>
      <w:r>
        <w:rPr>
          <w:rFonts w:hint="eastAsia" w:ascii="方正小标宋简体" w:hAnsi="方正小标宋简体" w:eastAsia="方正小标宋简体" w:cs="方正小标宋简体"/>
          <w:sz w:val="72"/>
          <w:szCs w:val="72"/>
          <w:lang w:val="en-US" w:eastAsia="zh-CN"/>
        </w:rPr>
        <w:t xml:space="preserve">    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ascii="仿宋" w:hAnsi="仿宋" w:eastAsia="仿宋" w:cs="仿宋"/>
          <w:sz w:val="32"/>
          <w:szCs w:val="32"/>
          <w:lang w:val="en-US" w:eastAsia="zh-CN"/>
        </w:rPr>
        <w:t>10</w:t>
      </w:r>
      <w:r>
        <w:rPr>
          <w:rFonts w:hint="eastAsia" w:ascii="仿宋" w:hAnsi="仿宋" w:eastAsia="仿宋" w:cs="仿宋"/>
          <w:sz w:val="32"/>
          <w:szCs w:val="32"/>
        </w:rPr>
        <w:t xml:space="preserve">月 </w:t>
      </w:r>
      <w:r>
        <w:rPr>
          <w:rFonts w:hint="eastAsia" w:cs="仿宋"/>
          <w:sz w:val="32"/>
          <w:szCs w:val="32"/>
          <w:lang w:val="en-US" w:eastAsia="zh-CN"/>
        </w:rPr>
        <w:t>29</w:t>
      </w:r>
      <w:r>
        <w:rPr>
          <w:rFonts w:hint="eastAsia" w:ascii="仿宋" w:hAnsi="仿宋" w:eastAsia="仿宋" w:cs="仿宋"/>
          <w:sz w:val="32"/>
          <w:szCs w:val="32"/>
        </w:rPr>
        <w:t>日</w:t>
      </w:r>
    </w:p>
    <w:p>
      <w:pPr>
        <w:rPr>
          <w:rFonts w:hint="eastAsia" w:ascii="仿宋" w:hAnsi="仿宋" w:eastAsia="仿宋" w:cs="仿宋"/>
          <w:sz w:val="32"/>
          <w:szCs w:val="32"/>
        </w:rPr>
      </w:pPr>
      <w:bookmarkStart w:id="106" w:name="_GoBack"/>
      <w:bookmarkEnd w:id="106"/>
    </w:p>
    <w:p>
      <w:pPr>
        <w:pStyle w:val="13"/>
        <w:tabs>
          <w:tab w:val="right" w:leader="dot" w:pos="9746"/>
          <w:tab w:val="clear" w:pos="8296"/>
        </w:tabs>
      </w:pPr>
      <w:bookmarkStart w:id="14" w:name="_Toc15396599"/>
      <w:bookmarkStart w:id="15" w:name="_Toc15377196"/>
      <w:r>
        <w:fldChar w:fldCharType="begin"/>
      </w:r>
      <w:r>
        <w:instrText xml:space="preserve">TOC \o "1-9" \h \u </w:instrText>
      </w:r>
      <w:r>
        <w:fldChar w:fldCharType="separate"/>
      </w:r>
    </w:p>
    <w:p>
      <w:pPr>
        <w:pStyle w:val="13"/>
        <w:tabs>
          <w:tab w:val="right" w:leader="dot" w:pos="9746"/>
          <w:tab w:val="clear" w:pos="8296"/>
        </w:tabs>
      </w:pPr>
      <w:r>
        <w:fldChar w:fldCharType="begin"/>
      </w:r>
      <w:r>
        <w:instrText xml:space="preserve"> HYPERLINK \l _Toc3380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_Toc3380 \h </w:instrText>
      </w:r>
      <w:r>
        <w:fldChar w:fldCharType="separate"/>
      </w:r>
      <w:r>
        <w:t>4</w:t>
      </w:r>
      <w:r>
        <w:fldChar w:fldCharType="end"/>
      </w:r>
      <w:r>
        <w:fldChar w:fldCharType="end"/>
      </w:r>
    </w:p>
    <w:p>
      <w:pPr>
        <w:pStyle w:val="14"/>
        <w:tabs>
          <w:tab w:val="right" w:leader="dot" w:pos="9746"/>
          <w:tab w:val="clear" w:pos="8296"/>
        </w:tabs>
      </w:pPr>
      <w:r>
        <w:fldChar w:fldCharType="begin"/>
      </w:r>
      <w:r>
        <w:instrText xml:space="preserve"> HYPERLINK \l _Toc8622 </w:instrText>
      </w:r>
      <w:r>
        <w:fldChar w:fldCharType="separate"/>
      </w:r>
      <w:r>
        <w:rPr>
          <w:rFonts w:hint="eastAsia" w:ascii="黑体" w:hAnsi="黑体" w:eastAsia="黑体"/>
          <w:bCs w:val="0"/>
        </w:rPr>
        <w:t>一、 主要职责</w:t>
      </w:r>
      <w:r>
        <w:tab/>
      </w:r>
      <w:r>
        <w:fldChar w:fldCharType="begin"/>
      </w:r>
      <w:r>
        <w:instrText xml:space="preserve"> PAGEREF _Toc8622 \h </w:instrText>
      </w:r>
      <w:r>
        <w:fldChar w:fldCharType="separate"/>
      </w:r>
      <w:r>
        <w:t>4</w:t>
      </w:r>
      <w:r>
        <w:fldChar w:fldCharType="end"/>
      </w:r>
      <w:r>
        <w:fldChar w:fldCharType="end"/>
      </w:r>
    </w:p>
    <w:p>
      <w:pPr>
        <w:pStyle w:val="14"/>
        <w:tabs>
          <w:tab w:val="right" w:leader="dot" w:pos="9746"/>
          <w:tab w:val="clear" w:pos="8296"/>
        </w:tabs>
      </w:pPr>
      <w:r>
        <w:fldChar w:fldCharType="begin"/>
      </w:r>
      <w:r>
        <w:instrText xml:space="preserve"> HYPERLINK \l _Toc28880 </w:instrText>
      </w:r>
      <w:r>
        <w:fldChar w:fldCharType="separate"/>
      </w:r>
      <w:r>
        <w:rPr>
          <w:rFonts w:hint="eastAsia" w:ascii="黑体" w:hAnsi="黑体" w:eastAsia="黑体"/>
        </w:rPr>
        <w:t>二、 机构设置</w:t>
      </w:r>
      <w:r>
        <w:tab/>
      </w:r>
      <w:r>
        <w:fldChar w:fldCharType="begin"/>
      </w:r>
      <w:r>
        <w:instrText xml:space="preserve"> PAGEREF _Toc28880 \h </w:instrText>
      </w:r>
      <w:r>
        <w:fldChar w:fldCharType="separate"/>
      </w:r>
      <w:r>
        <w:t>4</w:t>
      </w:r>
      <w:r>
        <w:fldChar w:fldCharType="end"/>
      </w:r>
      <w:r>
        <w:fldChar w:fldCharType="end"/>
      </w:r>
    </w:p>
    <w:p>
      <w:pPr>
        <w:pStyle w:val="13"/>
        <w:tabs>
          <w:tab w:val="right" w:leader="dot" w:pos="9746"/>
          <w:tab w:val="clear" w:pos="8296"/>
        </w:tabs>
      </w:pPr>
      <w:r>
        <w:fldChar w:fldCharType="begin"/>
      </w:r>
      <w:r>
        <w:instrText xml:space="preserve"> HYPERLINK \l _Toc15655 </w:instrText>
      </w:r>
      <w:r>
        <w:fldChar w:fldCharType="separate"/>
      </w:r>
      <w:r>
        <w:rPr>
          <w:rFonts w:hint="eastAsia" w:ascii="黑体" w:hAnsi="黑体" w:eastAsia="黑体"/>
        </w:rPr>
        <w:t>第二部分 2022年度</w:t>
      </w:r>
      <w:r>
        <w:rPr>
          <w:rFonts w:hint="eastAsia" w:ascii="黑体" w:hAnsi="黑体" w:eastAsia="黑体"/>
          <w:bCs/>
        </w:rPr>
        <w:t>单位决算情况说明</w:t>
      </w:r>
      <w:r>
        <w:tab/>
      </w:r>
      <w:r>
        <w:fldChar w:fldCharType="begin"/>
      </w:r>
      <w:r>
        <w:instrText xml:space="preserve"> PAGEREF _Toc15655 \h </w:instrText>
      </w:r>
      <w:r>
        <w:fldChar w:fldCharType="separate"/>
      </w:r>
      <w:r>
        <w:t>5</w:t>
      </w:r>
      <w:r>
        <w:fldChar w:fldCharType="end"/>
      </w:r>
      <w:r>
        <w:fldChar w:fldCharType="end"/>
      </w:r>
    </w:p>
    <w:p>
      <w:pPr>
        <w:pStyle w:val="14"/>
        <w:tabs>
          <w:tab w:val="right" w:leader="dot" w:pos="9746"/>
          <w:tab w:val="clear" w:pos="8296"/>
        </w:tabs>
      </w:pPr>
      <w:r>
        <w:fldChar w:fldCharType="begin"/>
      </w:r>
      <w:r>
        <w:instrText xml:space="preserve"> HYPERLINK \l _Toc19613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_Toc19613 \h </w:instrText>
      </w:r>
      <w:r>
        <w:fldChar w:fldCharType="separate"/>
      </w:r>
      <w:r>
        <w:t>5</w:t>
      </w:r>
      <w:r>
        <w:fldChar w:fldCharType="end"/>
      </w:r>
      <w:r>
        <w:fldChar w:fldCharType="end"/>
      </w:r>
    </w:p>
    <w:p>
      <w:pPr>
        <w:pStyle w:val="14"/>
        <w:tabs>
          <w:tab w:val="right" w:leader="dot" w:pos="9746"/>
          <w:tab w:val="clear" w:pos="8296"/>
        </w:tabs>
      </w:pPr>
      <w:r>
        <w:fldChar w:fldCharType="begin"/>
      </w:r>
      <w:r>
        <w:instrText xml:space="preserve"> HYPERLINK \l _Toc7100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_Toc7100 \h </w:instrText>
      </w:r>
      <w:r>
        <w:fldChar w:fldCharType="separate"/>
      </w:r>
      <w:r>
        <w:t>5</w:t>
      </w:r>
      <w:r>
        <w:fldChar w:fldCharType="end"/>
      </w:r>
      <w:r>
        <w:fldChar w:fldCharType="end"/>
      </w:r>
    </w:p>
    <w:p>
      <w:pPr>
        <w:pStyle w:val="14"/>
        <w:tabs>
          <w:tab w:val="right" w:leader="dot" w:pos="9746"/>
          <w:tab w:val="clear" w:pos="8296"/>
        </w:tabs>
      </w:pPr>
      <w:r>
        <w:fldChar w:fldCharType="begin"/>
      </w:r>
      <w:r>
        <w:instrText xml:space="preserve"> HYPERLINK \l _Toc25866 </w:instrText>
      </w:r>
      <w:r>
        <w:fldChar w:fldCharType="separate"/>
      </w:r>
      <w:r>
        <w:rPr>
          <w:rFonts w:ascii="仿宋" w:hAnsi="仿宋" w:eastAsia="仿宋"/>
          <w:szCs w:val="32"/>
        </w:rPr>
        <w:t>20</w:t>
      </w:r>
      <w:r>
        <w:rPr>
          <w:rFonts w:hint="eastAsia" w:ascii="仿宋" w:hAnsi="仿宋" w:eastAsia="仿宋"/>
          <w:szCs w:val="32"/>
        </w:rPr>
        <w:t>22年本年收入合计</w:t>
      </w:r>
      <w:r>
        <w:rPr>
          <w:rFonts w:hint="eastAsia" w:ascii="仿宋" w:hAnsi="仿宋" w:eastAsia="仿宋" w:cs="仿宋"/>
          <w:i w:val="0"/>
          <w:iCs w:val="0"/>
          <w:caps w:val="0"/>
          <w:spacing w:val="0"/>
          <w:szCs w:val="32"/>
        </w:rPr>
        <w:t>857</w:t>
      </w:r>
      <w:r>
        <w:rPr>
          <w:rFonts w:hint="eastAsia" w:ascii="仿宋" w:hAnsi="仿宋" w:eastAsia="仿宋" w:cs="仿宋"/>
          <w:i w:val="0"/>
          <w:iCs w:val="0"/>
          <w:caps w:val="0"/>
          <w:spacing w:val="0"/>
          <w:szCs w:val="32"/>
          <w:lang w:val="en-US" w:eastAsia="zh-CN"/>
        </w:rPr>
        <w:t>.</w:t>
      </w:r>
      <w:r>
        <w:rPr>
          <w:rFonts w:hint="eastAsia" w:ascii="仿宋" w:hAnsi="仿宋" w:eastAsia="仿宋" w:cs="仿宋"/>
          <w:i w:val="0"/>
          <w:iCs w:val="0"/>
          <w:caps w:val="0"/>
          <w:spacing w:val="0"/>
          <w:szCs w:val="32"/>
        </w:rPr>
        <w:t>7</w:t>
      </w:r>
      <w:r>
        <w:rPr>
          <w:rFonts w:hint="eastAsia" w:ascii="仿宋" w:hAnsi="仿宋" w:eastAsia="仿宋" w:cs="仿宋"/>
          <w:i w:val="0"/>
          <w:iCs w:val="0"/>
          <w:caps w:val="0"/>
          <w:spacing w:val="0"/>
          <w:szCs w:val="32"/>
          <w:lang w:val="en-US" w:eastAsia="zh-CN"/>
        </w:rPr>
        <w:t>3</w:t>
      </w:r>
      <w:r>
        <w:rPr>
          <w:rFonts w:hint="eastAsia" w:ascii="仿宋" w:hAnsi="仿宋" w:eastAsia="仿宋"/>
          <w:szCs w:val="32"/>
        </w:rPr>
        <w:t>万元，其中：一般公共预算财政拨款收入</w:t>
      </w:r>
      <w:r>
        <w:rPr>
          <w:rFonts w:hint="eastAsia" w:ascii="仿宋" w:hAnsi="仿宋" w:eastAsia="仿宋" w:cs="仿宋"/>
          <w:i w:val="0"/>
          <w:iCs w:val="0"/>
          <w:caps w:val="0"/>
          <w:spacing w:val="0"/>
          <w:szCs w:val="32"/>
        </w:rPr>
        <w:t>222</w:t>
      </w:r>
      <w:r>
        <w:rPr>
          <w:rFonts w:hint="eastAsia" w:ascii="仿宋" w:hAnsi="仿宋" w:eastAsia="仿宋" w:cs="仿宋"/>
          <w:i w:val="0"/>
          <w:iCs w:val="0"/>
          <w:caps w:val="0"/>
          <w:spacing w:val="0"/>
          <w:szCs w:val="32"/>
          <w:lang w:val="en-US" w:eastAsia="zh-CN"/>
        </w:rPr>
        <w:t>.</w:t>
      </w:r>
      <w:r>
        <w:rPr>
          <w:rFonts w:hint="eastAsia" w:ascii="仿宋" w:hAnsi="仿宋" w:eastAsia="仿宋" w:cs="仿宋"/>
          <w:i w:val="0"/>
          <w:iCs w:val="0"/>
          <w:caps w:val="0"/>
          <w:spacing w:val="0"/>
          <w:szCs w:val="32"/>
        </w:rPr>
        <w:t>1</w:t>
      </w:r>
      <w:r>
        <w:rPr>
          <w:rFonts w:hint="eastAsia" w:ascii="仿宋" w:hAnsi="仿宋" w:eastAsia="仿宋" w:cs="仿宋"/>
          <w:i w:val="0"/>
          <w:iCs w:val="0"/>
          <w:caps w:val="0"/>
          <w:spacing w:val="0"/>
          <w:szCs w:val="32"/>
          <w:lang w:val="en-US" w:eastAsia="zh-CN"/>
        </w:rPr>
        <w:t>3</w:t>
      </w:r>
      <w:r>
        <w:rPr>
          <w:rFonts w:hint="eastAsia" w:ascii="仿宋" w:hAnsi="仿宋" w:eastAsia="仿宋"/>
          <w:szCs w:val="32"/>
        </w:rPr>
        <w:t>万元，占</w:t>
      </w:r>
      <w:r>
        <w:rPr>
          <w:rFonts w:hint="eastAsia" w:ascii="仿宋" w:hAnsi="仿宋" w:eastAsia="仿宋"/>
          <w:szCs w:val="32"/>
          <w:lang w:val="en-US" w:eastAsia="zh-CN"/>
        </w:rPr>
        <w:t>25.89</w:t>
      </w:r>
      <w:r>
        <w:rPr>
          <w:rFonts w:ascii="仿宋" w:hAnsi="仿宋" w:eastAsia="仿宋"/>
          <w:szCs w:val="32"/>
        </w:rPr>
        <w:t>%</w:t>
      </w:r>
      <w:r>
        <w:rPr>
          <w:rFonts w:hint="eastAsia" w:ascii="仿宋" w:hAnsi="仿宋" w:eastAsia="仿宋"/>
          <w:szCs w:val="32"/>
        </w:rPr>
        <w:t>；政府性基金预算财政拨款收入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；国有资本经营预算财政拨款收入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；上级补助收入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；事业收入</w:t>
      </w:r>
      <w:r>
        <w:rPr>
          <w:rFonts w:hint="eastAsia" w:ascii="仿宋" w:hAnsi="仿宋" w:eastAsia="仿宋" w:cs="仿宋"/>
          <w:i w:val="0"/>
          <w:iCs w:val="0"/>
          <w:caps w:val="0"/>
          <w:spacing w:val="0"/>
          <w:szCs w:val="32"/>
        </w:rPr>
        <w:t>577</w:t>
      </w:r>
      <w:r>
        <w:rPr>
          <w:rFonts w:hint="eastAsia" w:ascii="仿宋" w:hAnsi="仿宋" w:eastAsia="仿宋" w:cs="仿宋"/>
          <w:i w:val="0"/>
          <w:iCs w:val="0"/>
          <w:caps w:val="0"/>
          <w:spacing w:val="0"/>
          <w:szCs w:val="32"/>
          <w:lang w:val="en-US" w:eastAsia="zh-CN"/>
        </w:rPr>
        <w:t>.</w:t>
      </w:r>
      <w:r>
        <w:rPr>
          <w:rFonts w:hint="eastAsia" w:ascii="仿宋" w:hAnsi="仿宋" w:eastAsia="仿宋" w:cs="仿宋"/>
          <w:i w:val="0"/>
          <w:iCs w:val="0"/>
          <w:caps w:val="0"/>
          <w:spacing w:val="0"/>
          <w:szCs w:val="32"/>
        </w:rPr>
        <w:t>3</w:t>
      </w:r>
      <w:r>
        <w:rPr>
          <w:rFonts w:hint="eastAsia" w:ascii="仿宋" w:hAnsi="仿宋" w:eastAsia="仿宋" w:cs="仿宋"/>
          <w:i w:val="0"/>
          <w:iCs w:val="0"/>
          <w:caps w:val="0"/>
          <w:spacing w:val="0"/>
          <w:szCs w:val="32"/>
          <w:lang w:val="en-US" w:eastAsia="zh-CN"/>
        </w:rPr>
        <w:t>8</w:t>
      </w:r>
      <w:r>
        <w:rPr>
          <w:rFonts w:hint="eastAsia" w:ascii="仿宋" w:hAnsi="仿宋" w:eastAsia="仿宋"/>
          <w:szCs w:val="32"/>
        </w:rPr>
        <w:t>万元，占</w:t>
      </w:r>
      <w:r>
        <w:rPr>
          <w:rFonts w:hint="eastAsia" w:ascii="仿宋" w:hAnsi="仿宋" w:eastAsia="仿宋"/>
          <w:szCs w:val="32"/>
          <w:lang w:val="en-US" w:eastAsia="zh-CN"/>
        </w:rPr>
        <w:t>67.31</w:t>
      </w:r>
      <w:r>
        <w:rPr>
          <w:rFonts w:ascii="仿宋" w:hAnsi="仿宋" w:eastAsia="仿宋"/>
          <w:szCs w:val="32"/>
        </w:rPr>
        <w:t>%</w:t>
      </w:r>
      <w:r>
        <w:rPr>
          <w:rFonts w:hint="eastAsia" w:ascii="仿宋" w:hAnsi="仿宋" w:eastAsia="仿宋"/>
          <w:szCs w:val="32"/>
        </w:rPr>
        <w:t>；经营收入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；附属单位上缴收入</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；其他收入</w:t>
      </w:r>
      <w:r>
        <w:rPr>
          <w:rFonts w:hint="eastAsia" w:ascii="仿宋" w:hAnsi="仿宋" w:eastAsia="仿宋" w:cs="仿宋"/>
          <w:i w:val="0"/>
          <w:iCs w:val="0"/>
          <w:caps w:val="0"/>
          <w:spacing w:val="0"/>
          <w:szCs w:val="32"/>
        </w:rPr>
        <w:t>58</w:t>
      </w:r>
      <w:r>
        <w:rPr>
          <w:rFonts w:hint="eastAsia" w:ascii="仿宋" w:hAnsi="仿宋" w:eastAsia="仿宋" w:cs="仿宋"/>
          <w:i w:val="0"/>
          <w:iCs w:val="0"/>
          <w:caps w:val="0"/>
          <w:spacing w:val="0"/>
          <w:szCs w:val="32"/>
          <w:lang w:val="en-US" w:eastAsia="zh-CN"/>
        </w:rPr>
        <w:t>.</w:t>
      </w:r>
      <w:r>
        <w:rPr>
          <w:rFonts w:hint="eastAsia" w:ascii="仿宋" w:hAnsi="仿宋" w:eastAsia="仿宋" w:cs="仿宋"/>
          <w:i w:val="0"/>
          <w:iCs w:val="0"/>
          <w:caps w:val="0"/>
          <w:spacing w:val="0"/>
          <w:szCs w:val="32"/>
        </w:rPr>
        <w:t>22</w:t>
      </w:r>
      <w:r>
        <w:rPr>
          <w:rFonts w:hint="eastAsia" w:ascii="仿宋" w:hAnsi="仿宋" w:eastAsia="仿宋"/>
          <w:szCs w:val="32"/>
        </w:rPr>
        <w:t>万元，占</w:t>
      </w:r>
      <w:r>
        <w:rPr>
          <w:rFonts w:hint="eastAsia" w:ascii="仿宋" w:hAnsi="仿宋" w:eastAsia="仿宋" w:cs="仿宋"/>
          <w:i w:val="0"/>
          <w:iCs w:val="0"/>
          <w:caps w:val="0"/>
          <w:spacing w:val="0"/>
          <w:szCs w:val="32"/>
          <w:lang w:val="en-US" w:eastAsia="zh-CN"/>
        </w:rPr>
        <w:t>6.8</w:t>
      </w:r>
      <w:r>
        <w:rPr>
          <w:rFonts w:ascii="仿宋" w:hAnsi="仿宋" w:eastAsia="仿宋"/>
          <w:szCs w:val="32"/>
        </w:rPr>
        <w:t>%</w:t>
      </w:r>
      <w:r>
        <w:rPr>
          <w:rFonts w:hint="eastAsia" w:ascii="仿宋" w:hAnsi="仿宋" w:eastAsia="仿宋"/>
          <w:szCs w:val="32"/>
        </w:rPr>
        <w:t>。</w:t>
      </w:r>
      <w:r>
        <w:tab/>
      </w:r>
      <w:r>
        <w:fldChar w:fldCharType="begin"/>
      </w:r>
      <w:r>
        <w:instrText xml:space="preserve"> PAGEREF _Toc25866 \h </w:instrText>
      </w:r>
      <w:r>
        <w:fldChar w:fldCharType="separate"/>
      </w:r>
      <w:r>
        <w:t>5</w:t>
      </w:r>
      <w:r>
        <w:fldChar w:fldCharType="end"/>
      </w:r>
      <w:r>
        <w:fldChar w:fldCharType="end"/>
      </w:r>
    </w:p>
    <w:p>
      <w:pPr>
        <w:pStyle w:val="14"/>
        <w:tabs>
          <w:tab w:val="right" w:leader="dot" w:pos="9746"/>
          <w:tab w:val="clear" w:pos="8296"/>
        </w:tabs>
      </w:pPr>
      <w:r>
        <w:fldChar w:fldCharType="begin"/>
      </w:r>
      <w:r>
        <w:instrText xml:space="preserve"> HYPERLINK \l _Toc6034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_Toc6034 \h </w:instrText>
      </w:r>
      <w:r>
        <w:fldChar w:fldCharType="separate"/>
      </w:r>
      <w:r>
        <w:t>5</w:t>
      </w:r>
      <w:r>
        <w:fldChar w:fldCharType="end"/>
      </w:r>
      <w:r>
        <w:fldChar w:fldCharType="end"/>
      </w:r>
    </w:p>
    <w:p>
      <w:pPr>
        <w:pStyle w:val="14"/>
        <w:tabs>
          <w:tab w:val="right" w:leader="dot" w:pos="9746"/>
          <w:tab w:val="clear" w:pos="8296"/>
        </w:tabs>
      </w:pPr>
      <w:r>
        <w:fldChar w:fldCharType="begin"/>
      </w:r>
      <w:r>
        <w:instrText xml:space="preserve"> HYPERLINK \l _Toc32083 </w:instrText>
      </w:r>
      <w:r>
        <w:fldChar w:fldCharType="separate"/>
      </w:r>
      <w:r>
        <w:rPr>
          <w:rFonts w:ascii="仿宋" w:hAnsi="仿宋" w:eastAsia="仿宋"/>
          <w:szCs w:val="32"/>
        </w:rPr>
        <w:t>20</w:t>
      </w:r>
      <w:r>
        <w:rPr>
          <w:rFonts w:hint="eastAsia" w:ascii="仿宋" w:hAnsi="仿宋" w:eastAsia="仿宋"/>
          <w:szCs w:val="32"/>
        </w:rPr>
        <w:t>22年本年支出合计</w:t>
      </w:r>
      <w:r>
        <w:rPr>
          <w:rFonts w:hint="eastAsia" w:ascii="仿宋" w:hAnsi="仿宋" w:eastAsia="仿宋" w:cs="仿宋"/>
          <w:i w:val="0"/>
          <w:iCs w:val="0"/>
          <w:caps w:val="0"/>
          <w:spacing w:val="0"/>
          <w:szCs w:val="32"/>
        </w:rPr>
        <w:t>857</w:t>
      </w:r>
      <w:r>
        <w:rPr>
          <w:rFonts w:hint="eastAsia" w:ascii="仿宋" w:hAnsi="仿宋" w:eastAsia="仿宋" w:cs="仿宋"/>
          <w:i w:val="0"/>
          <w:iCs w:val="0"/>
          <w:caps w:val="0"/>
          <w:spacing w:val="0"/>
          <w:szCs w:val="32"/>
          <w:lang w:val="en-US" w:eastAsia="zh-CN"/>
        </w:rPr>
        <w:t>.</w:t>
      </w:r>
      <w:r>
        <w:rPr>
          <w:rFonts w:hint="eastAsia" w:ascii="仿宋" w:hAnsi="仿宋" w:eastAsia="仿宋" w:cs="仿宋"/>
          <w:i w:val="0"/>
          <w:iCs w:val="0"/>
          <w:caps w:val="0"/>
          <w:spacing w:val="0"/>
          <w:szCs w:val="32"/>
        </w:rPr>
        <w:t>7</w:t>
      </w:r>
      <w:r>
        <w:rPr>
          <w:rFonts w:hint="eastAsia" w:ascii="仿宋" w:hAnsi="仿宋" w:eastAsia="仿宋" w:cs="仿宋"/>
          <w:i w:val="0"/>
          <w:iCs w:val="0"/>
          <w:caps w:val="0"/>
          <w:spacing w:val="0"/>
          <w:szCs w:val="32"/>
          <w:lang w:val="en-US" w:eastAsia="zh-CN"/>
        </w:rPr>
        <w:t>3</w:t>
      </w:r>
      <w:r>
        <w:rPr>
          <w:rFonts w:hint="eastAsia" w:ascii="仿宋" w:hAnsi="仿宋" w:eastAsia="仿宋"/>
          <w:szCs w:val="32"/>
        </w:rPr>
        <w:t>万元，其中：基本支出</w:t>
      </w:r>
      <w:r>
        <w:rPr>
          <w:rFonts w:hint="eastAsia" w:ascii="仿宋" w:hAnsi="仿宋" w:eastAsia="仿宋" w:cs="仿宋"/>
          <w:i w:val="0"/>
          <w:iCs w:val="0"/>
          <w:caps w:val="0"/>
          <w:spacing w:val="0"/>
          <w:szCs w:val="32"/>
        </w:rPr>
        <w:t>857</w:t>
      </w:r>
      <w:r>
        <w:rPr>
          <w:rFonts w:hint="eastAsia" w:ascii="仿宋" w:hAnsi="仿宋" w:eastAsia="仿宋" w:cs="仿宋"/>
          <w:i w:val="0"/>
          <w:iCs w:val="0"/>
          <w:caps w:val="0"/>
          <w:spacing w:val="0"/>
          <w:szCs w:val="32"/>
          <w:lang w:val="en-US" w:eastAsia="zh-CN"/>
        </w:rPr>
        <w:t>.</w:t>
      </w:r>
      <w:r>
        <w:rPr>
          <w:rFonts w:hint="eastAsia" w:ascii="仿宋" w:hAnsi="仿宋" w:eastAsia="仿宋" w:cs="仿宋"/>
          <w:i w:val="0"/>
          <w:iCs w:val="0"/>
          <w:caps w:val="0"/>
          <w:spacing w:val="0"/>
          <w:szCs w:val="32"/>
        </w:rPr>
        <w:t>7</w:t>
      </w:r>
      <w:r>
        <w:rPr>
          <w:rFonts w:hint="eastAsia" w:ascii="仿宋" w:hAnsi="仿宋" w:eastAsia="仿宋" w:cs="仿宋"/>
          <w:i w:val="0"/>
          <w:iCs w:val="0"/>
          <w:caps w:val="0"/>
          <w:spacing w:val="0"/>
          <w:szCs w:val="32"/>
          <w:lang w:val="en-US" w:eastAsia="zh-CN"/>
        </w:rPr>
        <w:t>3</w:t>
      </w:r>
      <w:r>
        <w:rPr>
          <w:rFonts w:hint="eastAsia" w:ascii="仿宋" w:hAnsi="仿宋" w:eastAsia="仿宋"/>
          <w:szCs w:val="32"/>
        </w:rPr>
        <w:t>万元，占</w:t>
      </w:r>
      <w:r>
        <w:rPr>
          <w:rFonts w:hint="eastAsia" w:ascii="仿宋" w:hAnsi="仿宋" w:eastAsia="仿宋"/>
          <w:szCs w:val="32"/>
          <w:lang w:val="en-US" w:eastAsia="zh-CN"/>
        </w:rPr>
        <w:t>100</w:t>
      </w:r>
      <w:r>
        <w:rPr>
          <w:rFonts w:ascii="仿宋" w:hAnsi="仿宋" w:eastAsia="仿宋"/>
          <w:szCs w:val="32"/>
        </w:rPr>
        <w:t>%</w:t>
      </w:r>
      <w:r>
        <w:rPr>
          <w:rFonts w:hint="eastAsia" w:ascii="仿宋" w:hAnsi="仿宋" w:eastAsia="仿宋"/>
          <w:szCs w:val="32"/>
        </w:rPr>
        <w:t>；项目支出</w:t>
      </w:r>
      <w:r>
        <w:rPr>
          <w:rFonts w:hint="eastAsia" w:ascii="仿宋" w:hAnsi="仿宋" w:eastAsia="仿宋" w:cs="仿宋"/>
          <w:i w:val="0"/>
          <w:iCs w:val="0"/>
          <w:caps w:val="0"/>
          <w:spacing w:val="0"/>
          <w:szCs w:val="32"/>
          <w:lang w:val="en-US" w:eastAsia="zh-CN"/>
        </w:rPr>
        <w:t>0</w:t>
      </w:r>
      <w:r>
        <w:rPr>
          <w:rFonts w:hint="eastAsia" w:ascii="仿宋" w:hAnsi="仿宋" w:eastAsia="仿宋"/>
          <w:szCs w:val="32"/>
        </w:rPr>
        <w:t>万元，占</w:t>
      </w:r>
      <w:r>
        <w:rPr>
          <w:rFonts w:hint="eastAsia" w:ascii="仿宋" w:hAnsi="仿宋" w:eastAsia="仿宋" w:cs="仿宋"/>
          <w:i w:val="0"/>
          <w:iCs w:val="0"/>
          <w:caps w:val="0"/>
          <w:spacing w:val="0"/>
          <w:szCs w:val="32"/>
          <w:lang w:val="en-US" w:eastAsia="zh-CN"/>
        </w:rPr>
        <w:t>0</w:t>
      </w:r>
      <w:r>
        <w:rPr>
          <w:rFonts w:ascii="仿宋" w:hAnsi="仿宋" w:eastAsia="仿宋"/>
          <w:szCs w:val="32"/>
        </w:rPr>
        <w:t>%</w:t>
      </w:r>
      <w:r>
        <w:rPr>
          <w:rFonts w:hint="eastAsia" w:ascii="仿宋" w:hAnsi="仿宋" w:eastAsia="仿宋"/>
          <w:szCs w:val="32"/>
        </w:rPr>
        <w:t>；上缴上级支出</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；经营支出</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；对附属单位补助支出</w:t>
      </w:r>
      <w:r>
        <w:rPr>
          <w:rFonts w:hint="eastAsia" w:ascii="仿宋" w:hAnsi="仿宋" w:eastAsia="仿宋"/>
          <w:szCs w:val="32"/>
          <w:lang w:val="en-US" w:eastAsia="zh-CN"/>
        </w:rPr>
        <w:t>0</w:t>
      </w:r>
      <w:r>
        <w:rPr>
          <w:rFonts w:hint="eastAsia" w:ascii="仿宋" w:hAnsi="仿宋" w:eastAsia="仿宋"/>
          <w:szCs w:val="32"/>
        </w:rPr>
        <w:t>万元，占</w:t>
      </w:r>
      <w:r>
        <w:rPr>
          <w:rFonts w:hint="eastAsia" w:ascii="仿宋" w:hAnsi="仿宋" w:eastAsia="仿宋"/>
          <w:szCs w:val="32"/>
          <w:lang w:val="en-US" w:eastAsia="zh-CN"/>
        </w:rPr>
        <w:t>0</w:t>
      </w:r>
      <w:r>
        <w:rPr>
          <w:rFonts w:ascii="仿宋" w:hAnsi="仿宋" w:eastAsia="仿宋"/>
          <w:szCs w:val="32"/>
        </w:rPr>
        <w:t>%</w:t>
      </w:r>
      <w:r>
        <w:rPr>
          <w:rFonts w:hint="eastAsia" w:ascii="仿宋" w:hAnsi="仿宋" w:eastAsia="仿宋"/>
          <w:szCs w:val="32"/>
        </w:rPr>
        <w:t>。</w:t>
      </w:r>
      <w:r>
        <w:tab/>
      </w:r>
      <w:r>
        <w:fldChar w:fldCharType="begin"/>
      </w:r>
      <w:r>
        <w:instrText xml:space="preserve"> PAGEREF _Toc32083 \h </w:instrText>
      </w:r>
      <w:r>
        <w:fldChar w:fldCharType="separate"/>
      </w:r>
      <w:r>
        <w:t>5</w:t>
      </w:r>
      <w:r>
        <w:fldChar w:fldCharType="end"/>
      </w:r>
      <w:r>
        <w:fldChar w:fldCharType="end"/>
      </w:r>
    </w:p>
    <w:p>
      <w:pPr>
        <w:pStyle w:val="14"/>
        <w:tabs>
          <w:tab w:val="right" w:leader="dot" w:pos="9746"/>
          <w:tab w:val="clear" w:pos="8296"/>
        </w:tabs>
      </w:pPr>
      <w:r>
        <w:fldChar w:fldCharType="begin"/>
      </w:r>
      <w:r>
        <w:instrText xml:space="preserve"> HYPERLINK \l _Toc6644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_Toc6644 \h </w:instrText>
      </w:r>
      <w:r>
        <w:fldChar w:fldCharType="separate"/>
      </w:r>
      <w:r>
        <w:t>6</w:t>
      </w:r>
      <w:r>
        <w:fldChar w:fldCharType="end"/>
      </w:r>
      <w:r>
        <w:fldChar w:fldCharType="end"/>
      </w:r>
    </w:p>
    <w:p>
      <w:pPr>
        <w:pStyle w:val="14"/>
        <w:tabs>
          <w:tab w:val="right" w:leader="dot" w:pos="9746"/>
          <w:tab w:val="clear" w:pos="8296"/>
        </w:tabs>
      </w:pPr>
      <w:r>
        <w:fldChar w:fldCharType="begin"/>
      </w:r>
      <w:r>
        <w:instrText xml:space="preserve"> HYPERLINK \l _Toc18577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_Toc18577 \h </w:instrText>
      </w:r>
      <w:r>
        <w:fldChar w:fldCharType="separate"/>
      </w:r>
      <w:r>
        <w:t>6</w:t>
      </w:r>
      <w:r>
        <w:fldChar w:fldCharType="end"/>
      </w:r>
      <w:r>
        <w:fldChar w:fldCharType="end"/>
      </w:r>
    </w:p>
    <w:p>
      <w:pPr>
        <w:pStyle w:val="8"/>
        <w:tabs>
          <w:tab w:val="right" w:leader="dot" w:pos="9746"/>
          <w:tab w:val="clear" w:pos="8296"/>
        </w:tabs>
      </w:pPr>
      <w:r>
        <w:fldChar w:fldCharType="begin"/>
      </w:r>
      <w:r>
        <w:instrText xml:space="preserve"> HYPERLINK \l _Toc9390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_Toc9390 \h </w:instrText>
      </w:r>
      <w:r>
        <w:fldChar w:fldCharType="separate"/>
      </w:r>
      <w:r>
        <w:t>6</w:t>
      </w:r>
      <w:r>
        <w:fldChar w:fldCharType="end"/>
      </w:r>
      <w:r>
        <w:fldChar w:fldCharType="end"/>
      </w:r>
    </w:p>
    <w:p>
      <w:pPr>
        <w:pStyle w:val="8"/>
        <w:tabs>
          <w:tab w:val="right" w:leader="dot" w:pos="9746"/>
          <w:tab w:val="clear" w:pos="8296"/>
        </w:tabs>
      </w:pPr>
      <w:r>
        <w:fldChar w:fldCharType="begin"/>
      </w:r>
      <w:r>
        <w:instrText xml:space="preserve"> HYPERLINK \l _Toc14380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_Toc14380 \h </w:instrText>
      </w:r>
      <w:r>
        <w:fldChar w:fldCharType="separate"/>
      </w:r>
      <w:r>
        <w:t>6</w:t>
      </w:r>
      <w:r>
        <w:fldChar w:fldCharType="end"/>
      </w:r>
      <w:r>
        <w:fldChar w:fldCharType="end"/>
      </w:r>
    </w:p>
    <w:p>
      <w:pPr>
        <w:pStyle w:val="8"/>
        <w:tabs>
          <w:tab w:val="right" w:leader="dot" w:pos="9746"/>
          <w:tab w:val="clear" w:pos="8296"/>
        </w:tabs>
      </w:pPr>
      <w:r>
        <w:fldChar w:fldCharType="begin"/>
      </w:r>
      <w:r>
        <w:instrText xml:space="preserve"> HYPERLINK \l _Toc10023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_Toc10023 \h </w:instrText>
      </w:r>
      <w:r>
        <w:fldChar w:fldCharType="separate"/>
      </w:r>
      <w:r>
        <w:t>6</w:t>
      </w:r>
      <w:r>
        <w:fldChar w:fldCharType="end"/>
      </w:r>
      <w:r>
        <w:fldChar w:fldCharType="end"/>
      </w:r>
    </w:p>
    <w:p>
      <w:pPr>
        <w:pStyle w:val="8"/>
        <w:tabs>
          <w:tab w:val="right" w:leader="dot" w:pos="9746"/>
          <w:tab w:val="clear" w:pos="8296"/>
        </w:tabs>
      </w:pPr>
      <w:r>
        <w:fldChar w:fldCharType="begin"/>
      </w:r>
      <w:r>
        <w:instrText xml:space="preserve"> HYPERLINK \l _Toc15107 </w:instrText>
      </w:r>
      <w:r>
        <w:fldChar w:fldCharType="separate"/>
      </w:r>
      <w:r>
        <w:rPr>
          <w:rFonts w:hint="eastAsia" w:ascii="仿宋" w:hAnsi="仿宋" w:eastAsia="仿宋"/>
          <w:szCs w:val="32"/>
        </w:rPr>
        <w:t>2022年一般公共预算支出决算数为</w:t>
      </w:r>
      <w:r>
        <w:rPr>
          <w:rFonts w:hint="eastAsia" w:ascii="仿宋" w:hAnsi="仿宋" w:eastAsia="仿宋"/>
          <w:szCs w:val="32"/>
          <w:lang w:val="en-US" w:eastAsia="zh-CN"/>
        </w:rPr>
        <w:t>222.13</w:t>
      </w:r>
      <w:r>
        <w:rPr>
          <w:rFonts w:hint="eastAsia" w:ascii="仿宋" w:hAnsi="仿宋" w:eastAsia="仿宋"/>
          <w:szCs w:val="32"/>
        </w:rPr>
        <w:t>，</w:t>
      </w:r>
      <w:r>
        <w:rPr>
          <w:rFonts w:hint="eastAsia" w:ascii="仿宋" w:hAnsi="仿宋" w:eastAsia="仿宋"/>
          <w:bCs/>
          <w:szCs w:val="32"/>
        </w:rPr>
        <w:t>完成预算</w:t>
      </w:r>
      <w:r>
        <w:rPr>
          <w:rFonts w:hint="eastAsia" w:ascii="仿宋" w:hAnsi="仿宋" w:eastAsia="仿宋"/>
          <w:bCs/>
          <w:szCs w:val="32"/>
          <w:lang w:val="en-US" w:eastAsia="zh-CN"/>
        </w:rPr>
        <w:t>100</w:t>
      </w:r>
      <w:r>
        <w:rPr>
          <w:rFonts w:ascii="仿宋" w:hAnsi="仿宋" w:eastAsia="仿宋"/>
          <w:bCs/>
          <w:szCs w:val="32"/>
        </w:rPr>
        <w:t>%</w:t>
      </w:r>
      <w:r>
        <w:rPr>
          <w:rFonts w:hint="eastAsia" w:ascii="仿宋" w:hAnsi="仿宋" w:eastAsia="仿宋"/>
          <w:bCs/>
          <w:szCs w:val="32"/>
        </w:rPr>
        <w:t>。其中：</w:t>
      </w:r>
      <w:r>
        <w:tab/>
      </w:r>
      <w:r>
        <w:fldChar w:fldCharType="begin"/>
      </w:r>
      <w:r>
        <w:instrText xml:space="preserve"> PAGEREF _Toc15107 \h </w:instrText>
      </w:r>
      <w:r>
        <w:fldChar w:fldCharType="separate"/>
      </w:r>
      <w:r>
        <w:t>6</w:t>
      </w:r>
      <w:r>
        <w:fldChar w:fldCharType="end"/>
      </w:r>
      <w:r>
        <w:fldChar w:fldCharType="end"/>
      </w:r>
    </w:p>
    <w:p>
      <w:pPr>
        <w:pStyle w:val="14"/>
        <w:tabs>
          <w:tab w:val="right" w:leader="dot" w:pos="9746"/>
          <w:tab w:val="clear" w:pos="8296"/>
        </w:tabs>
      </w:pPr>
      <w:r>
        <w:fldChar w:fldCharType="begin"/>
      </w:r>
      <w:r>
        <w:instrText xml:space="preserve"> HYPERLINK \l _Toc1394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_Toc1394 \h </w:instrText>
      </w:r>
      <w:r>
        <w:fldChar w:fldCharType="separate"/>
      </w:r>
      <w:r>
        <w:t>7</w:t>
      </w:r>
      <w:r>
        <w:fldChar w:fldCharType="end"/>
      </w:r>
      <w:r>
        <w:fldChar w:fldCharType="end"/>
      </w:r>
    </w:p>
    <w:p>
      <w:pPr>
        <w:pStyle w:val="14"/>
        <w:tabs>
          <w:tab w:val="right" w:leader="dot" w:pos="9746"/>
          <w:tab w:val="clear" w:pos="8296"/>
        </w:tabs>
      </w:pPr>
      <w:r>
        <w:fldChar w:fldCharType="begin"/>
      </w:r>
      <w:r>
        <w:instrText xml:space="preserve"> HYPERLINK \l _Toc23249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_Toc23249 \h </w:instrText>
      </w:r>
      <w:r>
        <w:fldChar w:fldCharType="separate"/>
      </w:r>
      <w:r>
        <w:t>7</w:t>
      </w:r>
      <w:r>
        <w:fldChar w:fldCharType="end"/>
      </w:r>
      <w:r>
        <w:fldChar w:fldCharType="end"/>
      </w:r>
    </w:p>
    <w:p>
      <w:pPr>
        <w:pStyle w:val="8"/>
        <w:tabs>
          <w:tab w:val="right" w:leader="dot" w:pos="9746"/>
          <w:tab w:val="clear" w:pos="8296"/>
        </w:tabs>
      </w:pPr>
      <w:r>
        <w:fldChar w:fldCharType="begin"/>
      </w:r>
      <w:r>
        <w:instrText xml:space="preserve"> HYPERLINK \l _Toc10404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_Toc10404 \h </w:instrText>
      </w:r>
      <w:r>
        <w:fldChar w:fldCharType="separate"/>
      </w:r>
      <w:r>
        <w:t>7</w:t>
      </w:r>
      <w:r>
        <w:fldChar w:fldCharType="end"/>
      </w:r>
      <w:r>
        <w:fldChar w:fldCharType="end"/>
      </w:r>
    </w:p>
    <w:p>
      <w:pPr>
        <w:pStyle w:val="8"/>
        <w:tabs>
          <w:tab w:val="right" w:leader="dot" w:pos="9746"/>
          <w:tab w:val="clear" w:pos="8296"/>
        </w:tabs>
      </w:pPr>
      <w:r>
        <w:fldChar w:fldCharType="begin"/>
      </w:r>
      <w:r>
        <w:instrText xml:space="preserve"> HYPERLINK \l _Toc20870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_Toc20870 \h </w:instrText>
      </w:r>
      <w:r>
        <w:fldChar w:fldCharType="separate"/>
      </w:r>
      <w:r>
        <w:t>8</w:t>
      </w:r>
      <w:r>
        <w:fldChar w:fldCharType="end"/>
      </w:r>
      <w:r>
        <w:fldChar w:fldCharType="end"/>
      </w:r>
    </w:p>
    <w:p>
      <w:pPr>
        <w:pStyle w:val="14"/>
        <w:tabs>
          <w:tab w:val="right" w:leader="dot" w:pos="9746"/>
          <w:tab w:val="clear" w:pos="8296"/>
        </w:tabs>
      </w:pPr>
      <w:r>
        <w:fldChar w:fldCharType="begin"/>
      </w:r>
      <w:r>
        <w:instrText xml:space="preserve"> HYPERLINK \l _Toc27452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_Toc27452 \h </w:instrText>
      </w:r>
      <w:r>
        <w:fldChar w:fldCharType="separate"/>
      </w:r>
      <w:r>
        <w:t>9</w:t>
      </w:r>
      <w:r>
        <w:fldChar w:fldCharType="end"/>
      </w:r>
      <w:r>
        <w:fldChar w:fldCharType="end"/>
      </w:r>
    </w:p>
    <w:p>
      <w:pPr>
        <w:pStyle w:val="14"/>
        <w:tabs>
          <w:tab w:val="right" w:leader="dot" w:pos="9746"/>
          <w:tab w:val="clear" w:pos="8296"/>
        </w:tabs>
      </w:pPr>
      <w:r>
        <w:fldChar w:fldCharType="begin"/>
      </w:r>
      <w:r>
        <w:instrText xml:space="preserve"> HYPERLINK \l _Toc16057 </w:instrText>
      </w:r>
      <w:r>
        <w:fldChar w:fldCharType="separate"/>
      </w:r>
      <w:r>
        <w:rPr>
          <w:rFonts w:hint="eastAsia" w:ascii="黑体" w:hAnsi="黑体" w:eastAsia="黑体"/>
        </w:rPr>
        <w:t>九、 国有资本经营预算支出决算情况说明</w:t>
      </w:r>
      <w:r>
        <w:tab/>
      </w:r>
      <w:r>
        <w:fldChar w:fldCharType="begin"/>
      </w:r>
      <w:r>
        <w:instrText xml:space="preserve"> PAGEREF _Toc16057 \h </w:instrText>
      </w:r>
      <w:r>
        <w:fldChar w:fldCharType="separate"/>
      </w:r>
      <w:r>
        <w:t>9</w:t>
      </w:r>
      <w:r>
        <w:fldChar w:fldCharType="end"/>
      </w:r>
      <w:r>
        <w:fldChar w:fldCharType="end"/>
      </w:r>
    </w:p>
    <w:p>
      <w:pPr>
        <w:pStyle w:val="14"/>
        <w:tabs>
          <w:tab w:val="right" w:leader="dot" w:pos="9746"/>
          <w:tab w:val="clear" w:pos="8296"/>
        </w:tabs>
      </w:pPr>
      <w:r>
        <w:fldChar w:fldCharType="begin"/>
      </w:r>
      <w:r>
        <w:instrText xml:space="preserve"> HYPERLINK \l _Toc2394 </w:instrText>
      </w:r>
      <w:r>
        <w:fldChar w:fldCharType="separate"/>
      </w:r>
      <w:r>
        <w:rPr>
          <w:rFonts w:hint="eastAsia" w:ascii="黑体" w:hAnsi="黑体" w:eastAsia="黑体"/>
        </w:rPr>
        <w:t>十、 其他重要事项的情况说明</w:t>
      </w:r>
      <w:r>
        <w:tab/>
      </w:r>
      <w:r>
        <w:fldChar w:fldCharType="begin"/>
      </w:r>
      <w:r>
        <w:instrText xml:space="preserve"> PAGEREF _Toc2394 \h </w:instrText>
      </w:r>
      <w:r>
        <w:fldChar w:fldCharType="separate"/>
      </w:r>
      <w:r>
        <w:t>9</w:t>
      </w:r>
      <w:r>
        <w:fldChar w:fldCharType="end"/>
      </w:r>
      <w:r>
        <w:fldChar w:fldCharType="end"/>
      </w:r>
    </w:p>
    <w:p>
      <w:pPr>
        <w:pStyle w:val="8"/>
        <w:tabs>
          <w:tab w:val="right" w:leader="dot" w:pos="9746"/>
          <w:tab w:val="clear" w:pos="8296"/>
        </w:tabs>
      </w:pPr>
      <w:r>
        <w:fldChar w:fldCharType="begin"/>
      </w:r>
      <w:r>
        <w:instrText xml:space="preserve"> HYPERLINK \l _Toc9565 </w:instrText>
      </w:r>
      <w:r>
        <w:fldChar w:fldCharType="separate"/>
      </w:r>
      <w:r>
        <w:rPr>
          <w:rFonts w:hint="eastAsia" w:ascii="仿宋" w:hAnsi="仿宋" w:eastAsia="仿宋"/>
          <w:szCs w:val="32"/>
        </w:rPr>
        <w:t>（一）机关运行经费支出情况</w:t>
      </w:r>
      <w:r>
        <w:tab/>
      </w:r>
      <w:r>
        <w:fldChar w:fldCharType="begin"/>
      </w:r>
      <w:r>
        <w:instrText xml:space="preserve"> PAGEREF _Toc9565 \h </w:instrText>
      </w:r>
      <w:r>
        <w:fldChar w:fldCharType="separate"/>
      </w:r>
      <w:r>
        <w:t>9</w:t>
      </w:r>
      <w:r>
        <w:fldChar w:fldCharType="end"/>
      </w:r>
      <w:r>
        <w:fldChar w:fldCharType="end"/>
      </w:r>
    </w:p>
    <w:p>
      <w:pPr>
        <w:pStyle w:val="8"/>
        <w:tabs>
          <w:tab w:val="right" w:leader="dot" w:pos="9746"/>
          <w:tab w:val="clear" w:pos="8296"/>
        </w:tabs>
      </w:pPr>
      <w:r>
        <w:fldChar w:fldCharType="begin"/>
      </w:r>
      <w:r>
        <w:instrText xml:space="preserve"> HYPERLINK \l _Toc15381 </w:instrText>
      </w:r>
      <w:r>
        <w:fldChar w:fldCharType="separate"/>
      </w:r>
      <w:r>
        <w:rPr>
          <w:rFonts w:hint="eastAsia" w:ascii="仿宋" w:hAnsi="仿宋" w:eastAsia="仿宋"/>
          <w:szCs w:val="32"/>
        </w:rPr>
        <w:t>（二）政府采购支出情况</w:t>
      </w:r>
      <w:r>
        <w:tab/>
      </w:r>
      <w:r>
        <w:fldChar w:fldCharType="begin"/>
      </w:r>
      <w:r>
        <w:instrText xml:space="preserve"> PAGEREF _Toc15381 \h </w:instrText>
      </w:r>
      <w:r>
        <w:fldChar w:fldCharType="separate"/>
      </w:r>
      <w:r>
        <w:t>9</w:t>
      </w:r>
      <w:r>
        <w:fldChar w:fldCharType="end"/>
      </w:r>
      <w:r>
        <w:fldChar w:fldCharType="end"/>
      </w:r>
    </w:p>
    <w:p>
      <w:pPr>
        <w:pStyle w:val="8"/>
        <w:tabs>
          <w:tab w:val="right" w:leader="dot" w:pos="9746"/>
          <w:tab w:val="clear" w:pos="8296"/>
        </w:tabs>
      </w:pPr>
      <w:r>
        <w:fldChar w:fldCharType="begin"/>
      </w:r>
      <w:r>
        <w:instrText xml:space="preserve"> HYPERLINK \l _Toc23640 </w:instrText>
      </w:r>
      <w:r>
        <w:fldChar w:fldCharType="separate"/>
      </w:r>
      <w:r>
        <w:rPr>
          <w:rFonts w:hint="eastAsia" w:ascii="仿宋" w:hAnsi="仿宋" w:eastAsia="仿宋"/>
          <w:szCs w:val="32"/>
        </w:rPr>
        <w:t>（三）国有资产占有使用情况</w:t>
      </w:r>
      <w:r>
        <w:tab/>
      </w:r>
      <w:r>
        <w:fldChar w:fldCharType="begin"/>
      </w:r>
      <w:r>
        <w:instrText xml:space="preserve"> PAGEREF _Toc23640 \h </w:instrText>
      </w:r>
      <w:r>
        <w:fldChar w:fldCharType="separate"/>
      </w:r>
      <w:r>
        <w:t>10</w:t>
      </w:r>
      <w:r>
        <w:fldChar w:fldCharType="end"/>
      </w:r>
      <w:r>
        <w:fldChar w:fldCharType="end"/>
      </w:r>
    </w:p>
    <w:p>
      <w:pPr>
        <w:pStyle w:val="13"/>
        <w:tabs>
          <w:tab w:val="right" w:leader="dot" w:pos="9746"/>
          <w:tab w:val="clear" w:pos="8296"/>
        </w:tabs>
      </w:pPr>
      <w:r>
        <w:fldChar w:fldCharType="begin"/>
      </w:r>
      <w:r>
        <w:instrText xml:space="preserve"> HYPERLINK \l _Toc8252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_Toc8252 \h </w:instrText>
      </w:r>
      <w:r>
        <w:fldChar w:fldCharType="separate"/>
      </w:r>
      <w:r>
        <w:t>11</w:t>
      </w:r>
      <w:r>
        <w:fldChar w:fldCharType="end"/>
      </w:r>
      <w:r>
        <w:fldChar w:fldCharType="end"/>
      </w:r>
    </w:p>
    <w:p>
      <w:pPr>
        <w:pStyle w:val="13"/>
        <w:tabs>
          <w:tab w:val="right" w:leader="dot" w:pos="9746"/>
          <w:tab w:val="clear" w:pos="8296"/>
        </w:tabs>
      </w:pPr>
      <w:r>
        <w:fldChar w:fldCharType="begin"/>
      </w:r>
      <w:r>
        <w:instrText xml:space="preserve"> HYPERLINK \l _Toc12473 </w:instrText>
      </w:r>
      <w:r>
        <w:fldChar w:fldCharType="separate"/>
      </w:r>
      <w:r>
        <w:rPr>
          <w:rFonts w:hint="eastAsia" w:ascii="黑体" w:hAnsi="黑体" w:eastAsia="黑体"/>
          <w:szCs w:val="44"/>
        </w:rPr>
        <w:t>第</w:t>
      </w:r>
      <w:r>
        <w:rPr>
          <w:rFonts w:hint="eastAsia" w:ascii="黑体" w:hAnsi="黑体" w:eastAsia="黑体"/>
          <w:lang w:eastAsia="zh-CN"/>
        </w:rPr>
        <w:t>四</w:t>
      </w:r>
      <w:r>
        <w:rPr>
          <w:rFonts w:hint="eastAsia" w:ascii="黑体" w:hAnsi="黑体" w:eastAsia="黑体"/>
        </w:rPr>
        <w:t>部分 附表</w:t>
      </w:r>
      <w:r>
        <w:tab/>
      </w:r>
      <w:r>
        <w:fldChar w:fldCharType="begin"/>
      </w:r>
      <w:r>
        <w:instrText xml:space="preserve"> PAGEREF _Toc12473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_Toc19510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_Toc19510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_Toc11923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_Toc11923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_Toc21994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_Toc21994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_Toc28113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_Toc28113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_Toc20684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_Toc20684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_Toc27256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_Toc27256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_Toc19853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_Toc19853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_Toc27700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_Toc27700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_Toc28665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_Toc28665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_Toc24364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_Toc24364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_Toc5378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_Toc5378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_Toc20574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_Toc20574 \h </w:instrText>
      </w:r>
      <w:r>
        <w:fldChar w:fldCharType="separate"/>
      </w:r>
      <w:r>
        <w:t>13</w:t>
      </w:r>
      <w:r>
        <w:fldChar w:fldCharType="end"/>
      </w:r>
      <w:r>
        <w:fldChar w:fldCharType="end"/>
      </w:r>
    </w:p>
    <w:p>
      <w:pPr>
        <w:pStyle w:val="14"/>
        <w:tabs>
          <w:tab w:val="right" w:leader="dot" w:pos="9746"/>
          <w:tab w:val="clear" w:pos="8296"/>
        </w:tabs>
      </w:pPr>
      <w:r>
        <w:fldChar w:fldCharType="begin"/>
      </w:r>
      <w:r>
        <w:instrText xml:space="preserve"> HYPERLINK \l _Toc4635 </w:instrText>
      </w:r>
      <w:r>
        <w:fldChar w:fldCharType="separate"/>
      </w:r>
      <w:r>
        <w:rPr>
          <w:rFonts w:hint="eastAsia" w:ascii="仿宋" w:hAnsi="仿宋" w:eastAsia="仿宋"/>
          <w:bCs w:val="0"/>
        </w:rPr>
        <w:t>十三、财政拨款“三公”经费支出决算表</w:t>
      </w:r>
      <w:r>
        <w:tab/>
      </w:r>
      <w:r>
        <w:fldChar w:fldCharType="begin"/>
      </w:r>
      <w:r>
        <w:instrText xml:space="preserve"> PAGEREF _Toc4635 \h </w:instrText>
      </w:r>
      <w:r>
        <w:fldChar w:fldCharType="separate"/>
      </w:r>
      <w:r>
        <w:t>13</w:t>
      </w:r>
      <w:r>
        <w:fldChar w:fldCharType="end"/>
      </w:r>
      <w:r>
        <w:fldChar w:fldCharType="end"/>
      </w:r>
    </w:p>
    <w:p>
      <w:r>
        <w:fldChar w:fldCharType="end"/>
      </w:r>
    </w:p>
    <w:p>
      <w:pPr>
        <w:widowControl/>
        <w:spacing w:line="440" w:lineRule="exact"/>
        <w:jc w:val="left"/>
        <w:rPr>
          <w:rFonts w:hint="eastAsia" w:ascii="仿宋" w:hAnsi="仿宋" w:eastAsia="仿宋" w:cs="仿宋"/>
          <w:bCs/>
          <w:kern w:val="44"/>
          <w:sz w:val="32"/>
          <w:szCs w:val="32"/>
        </w:rPr>
      </w:pPr>
      <w:r>
        <w:rPr>
          <w:rFonts w:hint="eastAsia" w:ascii="仿宋" w:hAnsi="仿宋" w:eastAsia="仿宋" w:cs="仿宋"/>
          <w:b/>
          <w:sz w:val="32"/>
          <w:szCs w:val="32"/>
        </w:rPr>
        <w:br w:type="page"/>
      </w:r>
    </w:p>
    <w:bookmarkEnd w:id="14"/>
    <w:bookmarkEnd w:id="15"/>
    <w:p>
      <w:pPr>
        <w:pStyle w:val="3"/>
        <w:jc w:val="center"/>
        <w:rPr>
          <w:rStyle w:val="30"/>
          <w:rFonts w:ascii="黑体" w:hAnsi="黑体" w:eastAsia="黑体"/>
          <w:b/>
          <w:bCs w:val="0"/>
        </w:rPr>
      </w:pPr>
      <w:bookmarkStart w:id="16" w:name="_Toc3380"/>
      <w:r>
        <w:rPr>
          <w:rFonts w:hint="eastAsia" w:ascii="黑体" w:hAnsi="黑体" w:eastAsia="黑体"/>
          <w:b w:val="0"/>
        </w:rPr>
        <w:t>第一部分 单位</w:t>
      </w:r>
      <w:r>
        <w:rPr>
          <w:rStyle w:val="30"/>
          <w:rFonts w:hint="eastAsia" w:ascii="黑体" w:hAnsi="黑体" w:eastAsia="黑体"/>
          <w:b w:val="0"/>
          <w:bCs w:val="0"/>
        </w:rPr>
        <w:t>概况</w:t>
      </w:r>
      <w:bookmarkEnd w:id="16"/>
    </w:p>
    <w:p>
      <w:pPr>
        <w:widowControl/>
        <w:jc w:val="left"/>
        <w:rPr>
          <w:rFonts w:ascii="黑体" w:eastAsia="黑体"/>
          <w:sz w:val="32"/>
          <w:szCs w:val="32"/>
        </w:rPr>
      </w:pPr>
    </w:p>
    <w:p>
      <w:pPr>
        <w:pStyle w:val="4"/>
        <w:numPr>
          <w:ilvl w:val="0"/>
          <w:numId w:val="1"/>
        </w:numPr>
        <w:ind w:left="420" w:leftChars="0" w:firstLineChars="0"/>
        <w:rPr>
          <w:rStyle w:val="31"/>
          <w:rFonts w:ascii="黑体" w:hAnsi="黑体" w:eastAsia="黑体"/>
          <w:b w:val="0"/>
          <w:bCs w:val="0"/>
        </w:rPr>
      </w:pPr>
      <w:bookmarkStart w:id="17" w:name="_Toc8622"/>
      <w:bookmarkStart w:id="18" w:name="_Toc15377197"/>
      <w:bookmarkStart w:id="19" w:name="_Toc15396600"/>
      <w:r>
        <w:rPr>
          <w:rStyle w:val="31"/>
          <w:rFonts w:hint="eastAsia" w:ascii="黑体" w:hAnsi="黑体" w:eastAsia="黑体"/>
          <w:b w:val="0"/>
          <w:bCs w:val="0"/>
        </w:rPr>
        <w:t>主要职责</w:t>
      </w:r>
      <w:bookmarkEnd w:id="17"/>
    </w:p>
    <w:p>
      <w:pPr>
        <w:keepNext w:val="0"/>
        <w:keepLines w:val="0"/>
        <w:widowControl w:val="0"/>
        <w:suppressLineNumbers w:val="0"/>
        <w:snapToGrid w:val="0"/>
        <w:spacing w:before="0" w:beforeAutospacing="0" w:after="0" w:afterAutospacing="0" w:line="360" w:lineRule="auto"/>
        <w:ind w:left="0" w:right="0" w:firstLine="960" w:firstLineChars="300"/>
        <w:jc w:val="both"/>
        <w:rPr>
          <w:rFonts w:hint="eastAsia" w:ascii="仿宋" w:hAnsi="仿宋" w:eastAsia="仿宋" w:cs="仿宋"/>
          <w:kern w:val="2"/>
          <w:sz w:val="32"/>
          <w:szCs w:val="32"/>
          <w:lang w:val="en-US" w:eastAsia="zh-CN" w:bidi="ar"/>
        </w:rPr>
      </w:pPr>
      <w:r>
        <w:rPr>
          <w:rFonts w:hint="eastAsia" w:ascii="仿宋" w:hAnsi="仿宋" w:eastAsia="仿宋" w:cs="仿宋"/>
          <w:color w:val="000000"/>
          <w:kern w:val="2"/>
          <w:sz w:val="32"/>
          <w:szCs w:val="32"/>
          <w:lang w:val="en-US" w:eastAsia="zh-CN" w:bidi="ar"/>
        </w:rPr>
        <w:t>剑阁县木马镇位于剑阁县东北部，剑苍线（剑阁段）中段距县城（下寺镇）56公里，距国家级5A景区剑门关50公里，东与昭化区陈江乡、青牛乡相连，南与店子乡接攘，西与柏桠乡相邻，北与江口镇相连。全镇面积68平方公里，属亚热带气候，山区丘陵地带，海拔高度997米，以农业种植为主。全镇设村卫生站13个，村卫生站人员26人。</w:t>
      </w:r>
    </w:p>
    <w:p>
      <w:pPr>
        <w:keepNext w:val="0"/>
        <w:keepLines w:val="0"/>
        <w:widowControl w:val="0"/>
        <w:suppressLineNumbers w:val="0"/>
        <w:snapToGrid w:val="0"/>
        <w:spacing w:before="0" w:beforeAutospacing="0" w:after="0" w:afterAutospacing="0" w:line="360" w:lineRule="auto"/>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木马镇卫生院始建于上世纪五十年代，是国家医疗保险定点单位，提供公共卫生、预防、保健、基本医疗等综合服务。</w:t>
      </w:r>
    </w:p>
    <w:p>
      <w:pPr>
        <w:pStyle w:val="4"/>
        <w:numPr>
          <w:ilvl w:val="0"/>
          <w:numId w:val="1"/>
        </w:numPr>
        <w:ind w:left="420" w:leftChars="0" w:firstLine="0" w:firstLineChars="0"/>
        <w:rPr>
          <w:rFonts w:hint="eastAsia" w:ascii="黑体" w:hAnsi="黑体" w:eastAsia="黑体"/>
          <w:b w:val="0"/>
        </w:rPr>
      </w:pPr>
      <w:bookmarkStart w:id="20" w:name="_Toc28880"/>
      <w:r>
        <w:rPr>
          <w:rFonts w:hint="eastAsia" w:ascii="黑体" w:hAnsi="黑体" w:eastAsia="黑体"/>
          <w:b w:val="0"/>
        </w:rPr>
        <w:t>机构设置</w:t>
      </w:r>
      <w:bookmarkEnd w:id="20"/>
    </w:p>
    <w:p>
      <w:pPr>
        <w:pStyle w:val="16"/>
        <w:numPr>
          <w:ilvl w:val="0"/>
          <w:numId w:val="0"/>
        </w:numPr>
        <w:ind w:firstLine="640" w:firstLineChars="200"/>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剑阁县木马卫生院无下属单位，无纳入2022年度部门预算编制范围的二级预算单位。</w:t>
      </w:r>
    </w:p>
    <w:p>
      <w:pPr>
        <w:numPr>
          <w:ilvl w:val="0"/>
          <w:numId w:val="0"/>
        </w:numPr>
        <w:ind w:leftChars="0"/>
      </w:pPr>
    </w:p>
    <w:bookmarkEnd w:id="18"/>
    <w:bookmarkEnd w:id="19"/>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21" w:name="_Toc15377204"/>
      <w:bookmarkStart w:id="22" w:name="_Toc15396602"/>
      <w:bookmarkStart w:id="23" w:name="_Toc15655"/>
      <w:r>
        <w:rPr>
          <w:rFonts w:hint="eastAsia" w:ascii="黑体" w:hAnsi="黑体" w:eastAsia="黑体"/>
          <w:b w:val="0"/>
        </w:rPr>
        <w:t>第二部分 2022年度</w:t>
      </w:r>
      <w:r>
        <w:rPr>
          <w:rStyle w:val="30"/>
          <w:rFonts w:hint="eastAsia" w:ascii="黑体" w:hAnsi="黑体" w:eastAsia="黑体"/>
          <w:b w:val="0"/>
          <w:bCs/>
        </w:rPr>
        <w:t>单位决算情况说明</w:t>
      </w:r>
      <w:bookmarkEnd w:id="21"/>
      <w:bookmarkEnd w:id="22"/>
      <w:bookmarkEnd w:id="23"/>
    </w:p>
    <w:p/>
    <w:p>
      <w:pPr>
        <w:pStyle w:val="29"/>
        <w:numPr>
          <w:ilvl w:val="0"/>
          <w:numId w:val="2"/>
        </w:numPr>
        <w:spacing w:line="600" w:lineRule="exact"/>
        <w:ind w:firstLineChars="0"/>
        <w:outlineLvl w:val="1"/>
        <w:rPr>
          <w:rStyle w:val="31"/>
          <w:rFonts w:ascii="黑体" w:hAnsi="黑体" w:eastAsia="黑体"/>
          <w:b w:val="0"/>
        </w:rPr>
      </w:pPr>
      <w:bookmarkStart w:id="24" w:name="_Toc15396603"/>
      <w:bookmarkStart w:id="25" w:name="_Toc15377205"/>
      <w:bookmarkStart w:id="26" w:name="_Toc19613"/>
      <w:r>
        <w:rPr>
          <w:rFonts w:hint="eastAsia" w:ascii="黑体" w:hAnsi="黑体" w:eastAsia="黑体"/>
          <w:sz w:val="32"/>
          <w:szCs w:val="32"/>
        </w:rPr>
        <w:t>收</w:t>
      </w:r>
      <w:r>
        <w:rPr>
          <w:rStyle w:val="31"/>
          <w:rFonts w:hint="eastAsia" w:ascii="黑体" w:hAnsi="黑体" w:eastAsia="黑体"/>
          <w:b w:val="0"/>
        </w:rPr>
        <w:t>入支出决算总体情况说明</w:t>
      </w:r>
      <w:bookmarkEnd w:id="24"/>
      <w:bookmarkEnd w:id="25"/>
      <w:bookmarkEnd w:id="26"/>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w:t>
      </w:r>
      <w:r>
        <w:rPr>
          <w:rFonts w:hint="eastAsia" w:ascii="仿宋" w:hAnsi="仿宋" w:eastAsia="仿宋"/>
          <w:sz w:val="32"/>
          <w:szCs w:val="32"/>
        </w:rPr>
        <w:t>支总计</w:t>
      </w:r>
      <w:r>
        <w:rPr>
          <w:rFonts w:hint="eastAsia" w:ascii="仿宋" w:hAnsi="仿宋" w:eastAsia="仿宋" w:cs="仿宋"/>
          <w:i w:val="0"/>
          <w:iCs w:val="0"/>
          <w:caps w:val="0"/>
          <w:color w:val="333333"/>
          <w:spacing w:val="0"/>
          <w:sz w:val="32"/>
          <w:szCs w:val="32"/>
          <w:lang w:val="en-US" w:eastAsia="zh-CN"/>
        </w:rPr>
        <w:t>857.73</w:t>
      </w:r>
      <w:r>
        <w:rPr>
          <w:rFonts w:hint="eastAsia" w:ascii="仿宋" w:hAnsi="仿宋" w:eastAsia="仿宋"/>
          <w:sz w:val="32"/>
          <w:szCs w:val="32"/>
        </w:rPr>
        <w:t>万元。</w:t>
      </w:r>
      <w:r>
        <w:rPr>
          <w:rFonts w:hint="eastAsia" w:ascii="仿宋" w:hAnsi="仿宋" w:eastAsia="仿宋" w:cs="仿宋"/>
          <w:sz w:val="32"/>
          <w:szCs w:val="32"/>
        </w:rPr>
        <w:t>2021年本单位未单独填报决算，由系统统一填报部门决算，故无法对比。</w:t>
      </w:r>
    </w:p>
    <w:p>
      <w:pPr>
        <w:pStyle w:val="29"/>
        <w:numPr>
          <w:ilvl w:val="0"/>
          <w:numId w:val="2"/>
        </w:numPr>
        <w:spacing w:line="600" w:lineRule="exact"/>
        <w:ind w:firstLineChars="0"/>
        <w:outlineLvl w:val="1"/>
        <w:rPr>
          <w:rStyle w:val="31"/>
          <w:rFonts w:ascii="黑体" w:hAnsi="黑体" w:eastAsia="黑体"/>
          <w:b w:val="0"/>
        </w:rPr>
      </w:pPr>
      <w:bookmarkStart w:id="27" w:name="_Toc15377206"/>
      <w:bookmarkStart w:id="28" w:name="_Toc15396604"/>
      <w:bookmarkStart w:id="29" w:name="_Toc7100"/>
      <w:r>
        <w:rPr>
          <w:rFonts w:hint="eastAsia" w:ascii="黑体" w:hAnsi="黑体" w:eastAsia="黑体"/>
          <w:sz w:val="32"/>
          <w:szCs w:val="32"/>
        </w:rPr>
        <w:t>收</w:t>
      </w:r>
      <w:r>
        <w:rPr>
          <w:rStyle w:val="31"/>
          <w:rFonts w:hint="eastAsia" w:ascii="黑体" w:hAnsi="黑体" w:eastAsia="黑体"/>
          <w:b w:val="0"/>
        </w:rPr>
        <w:t>入决算情况说明</w:t>
      </w:r>
      <w:bookmarkEnd w:id="27"/>
      <w:bookmarkEnd w:id="28"/>
      <w:bookmarkEnd w:id="29"/>
    </w:p>
    <w:p>
      <w:pPr>
        <w:spacing w:line="600" w:lineRule="exact"/>
        <w:ind w:firstLine="640" w:firstLineChars="200"/>
        <w:outlineLvl w:val="1"/>
        <w:rPr>
          <w:rFonts w:ascii="仿宋" w:hAnsi="仿宋" w:eastAsia="仿宋"/>
          <w:sz w:val="32"/>
          <w:szCs w:val="32"/>
        </w:rPr>
      </w:pPr>
      <w:bookmarkStart w:id="30" w:name="_Toc25866"/>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cs="仿宋"/>
          <w:i w:val="0"/>
          <w:iCs w:val="0"/>
          <w:caps w:val="0"/>
          <w:color w:val="333333"/>
          <w:spacing w:val="0"/>
          <w:sz w:val="32"/>
          <w:szCs w:val="32"/>
        </w:rPr>
        <w:t>857</w:t>
      </w:r>
      <w:r>
        <w:rPr>
          <w:rFonts w:hint="eastAsia" w:ascii="仿宋" w:hAnsi="仿宋" w:eastAsia="仿宋" w:cs="仿宋"/>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7</w:t>
      </w:r>
      <w:r>
        <w:rPr>
          <w:rFonts w:hint="eastAsia" w:ascii="仿宋" w:hAnsi="仿宋" w:eastAsia="仿宋" w:cs="仿宋"/>
          <w:i w:val="0"/>
          <w:iCs w:val="0"/>
          <w:caps w:val="0"/>
          <w:color w:val="333333"/>
          <w:spacing w:val="0"/>
          <w:sz w:val="32"/>
          <w:szCs w:val="32"/>
          <w:lang w:val="en-US" w:eastAsia="zh-CN"/>
        </w:rPr>
        <w:t>3</w:t>
      </w:r>
      <w:r>
        <w:rPr>
          <w:rFonts w:hint="eastAsia" w:ascii="仿宋" w:hAnsi="仿宋" w:eastAsia="仿宋"/>
          <w:sz w:val="32"/>
          <w:szCs w:val="32"/>
        </w:rPr>
        <w:t>万元，其中：一般公共预算财政拨款收入</w:t>
      </w:r>
      <w:r>
        <w:rPr>
          <w:rFonts w:hint="eastAsia" w:ascii="仿宋" w:hAnsi="仿宋" w:eastAsia="仿宋" w:cs="仿宋"/>
          <w:i w:val="0"/>
          <w:iCs w:val="0"/>
          <w:caps w:val="0"/>
          <w:color w:val="333333"/>
          <w:spacing w:val="0"/>
          <w:sz w:val="32"/>
          <w:szCs w:val="32"/>
        </w:rPr>
        <w:t>222</w:t>
      </w:r>
      <w:r>
        <w:rPr>
          <w:rFonts w:hint="eastAsia" w:ascii="仿宋" w:hAnsi="仿宋" w:eastAsia="仿宋" w:cs="仿宋"/>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1</w:t>
      </w:r>
      <w:r>
        <w:rPr>
          <w:rFonts w:hint="eastAsia" w:ascii="仿宋" w:hAnsi="仿宋" w:eastAsia="仿宋" w:cs="仿宋"/>
          <w:i w:val="0"/>
          <w:iCs w:val="0"/>
          <w:caps w:val="0"/>
          <w:color w:val="333333"/>
          <w:spacing w:val="0"/>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25.89</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cs="仿宋"/>
          <w:i w:val="0"/>
          <w:iCs w:val="0"/>
          <w:caps w:val="0"/>
          <w:color w:val="333333"/>
          <w:spacing w:val="0"/>
          <w:sz w:val="32"/>
          <w:szCs w:val="32"/>
        </w:rPr>
        <w:t>577</w:t>
      </w:r>
      <w:r>
        <w:rPr>
          <w:rFonts w:hint="eastAsia" w:ascii="仿宋" w:hAnsi="仿宋" w:eastAsia="仿宋" w:cs="仿宋"/>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3</w:t>
      </w:r>
      <w:r>
        <w:rPr>
          <w:rFonts w:hint="eastAsia" w:ascii="仿宋" w:hAnsi="仿宋" w:eastAsia="仿宋" w:cs="仿宋"/>
          <w:i w:val="0"/>
          <w:iCs w:val="0"/>
          <w:caps w:val="0"/>
          <w:color w:val="333333"/>
          <w:spacing w:val="0"/>
          <w:sz w:val="32"/>
          <w:szCs w:val="32"/>
          <w:lang w:val="en-US" w:eastAsia="zh-CN"/>
        </w:rPr>
        <w:t>8</w:t>
      </w:r>
      <w:r>
        <w:rPr>
          <w:rFonts w:hint="eastAsia" w:ascii="仿宋" w:hAnsi="仿宋" w:eastAsia="仿宋"/>
          <w:sz w:val="32"/>
          <w:szCs w:val="32"/>
        </w:rPr>
        <w:t>万元，占</w:t>
      </w:r>
      <w:r>
        <w:rPr>
          <w:rFonts w:hint="eastAsia" w:ascii="仿宋" w:hAnsi="仿宋" w:eastAsia="仿宋"/>
          <w:sz w:val="32"/>
          <w:szCs w:val="32"/>
          <w:lang w:val="en-US" w:eastAsia="zh-CN"/>
        </w:rPr>
        <w:t>67.31</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cs="仿宋"/>
          <w:i w:val="0"/>
          <w:iCs w:val="0"/>
          <w:caps w:val="0"/>
          <w:color w:val="333333"/>
          <w:spacing w:val="0"/>
          <w:sz w:val="32"/>
          <w:szCs w:val="32"/>
        </w:rPr>
        <w:t>58</w:t>
      </w:r>
      <w:r>
        <w:rPr>
          <w:rFonts w:hint="eastAsia" w:ascii="仿宋" w:hAnsi="仿宋" w:eastAsia="仿宋" w:cs="仿宋"/>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22</w:t>
      </w:r>
      <w:r>
        <w:rPr>
          <w:rFonts w:hint="eastAsia" w:ascii="仿宋" w:hAnsi="仿宋" w:eastAsia="仿宋"/>
          <w:sz w:val="32"/>
          <w:szCs w:val="32"/>
        </w:rPr>
        <w:t>万元，占</w:t>
      </w:r>
      <w:r>
        <w:rPr>
          <w:rFonts w:hint="eastAsia" w:ascii="仿宋" w:hAnsi="仿宋" w:eastAsia="仿宋" w:cs="仿宋"/>
          <w:i w:val="0"/>
          <w:iCs w:val="0"/>
          <w:caps w:val="0"/>
          <w:color w:val="333333"/>
          <w:spacing w:val="0"/>
          <w:sz w:val="32"/>
          <w:szCs w:val="32"/>
          <w:lang w:val="en-US" w:eastAsia="zh-CN"/>
        </w:rPr>
        <w:t>6.8</w:t>
      </w:r>
      <w:r>
        <w:rPr>
          <w:rFonts w:ascii="仿宋" w:hAnsi="仿宋" w:eastAsia="仿宋"/>
          <w:sz w:val="32"/>
          <w:szCs w:val="32"/>
        </w:rPr>
        <w:t>%</w:t>
      </w:r>
      <w:r>
        <w:rPr>
          <w:rFonts w:hint="eastAsia" w:ascii="仿宋" w:hAnsi="仿宋" w:eastAsia="仿宋"/>
          <w:sz w:val="32"/>
          <w:szCs w:val="32"/>
        </w:rPr>
        <w:t>。</w:t>
      </w:r>
      <w:bookmarkEnd w:id="30"/>
    </w:p>
    <w:p>
      <w:pPr>
        <w:pStyle w:val="17"/>
        <w:rPr>
          <w:rFonts w:ascii="仿宋_GB2312" w:eastAsia="仿宋_GB2312"/>
          <w:sz w:val="32"/>
          <w:szCs w:val="32"/>
        </w:rPr>
      </w:pPr>
      <w:r>
        <w:drawing>
          <wp:inline distT="0" distB="0" distL="114300" distR="114300">
            <wp:extent cx="4458970" cy="2777490"/>
            <wp:effectExtent l="4445" t="5080" r="13335" b="177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2"/>
        </w:numPr>
        <w:spacing w:line="600" w:lineRule="exact"/>
        <w:ind w:firstLineChars="0"/>
        <w:outlineLvl w:val="1"/>
        <w:rPr>
          <w:rStyle w:val="31"/>
          <w:rFonts w:ascii="黑体" w:hAnsi="黑体" w:eastAsia="黑体"/>
          <w:b w:val="0"/>
        </w:rPr>
      </w:pPr>
      <w:bookmarkStart w:id="31" w:name="_Toc15377207"/>
      <w:bookmarkStart w:id="32" w:name="_Toc15396605"/>
      <w:bookmarkStart w:id="33" w:name="_Toc6034"/>
      <w:r>
        <w:rPr>
          <w:rFonts w:hint="eastAsia" w:ascii="黑体" w:hAnsi="黑体" w:eastAsia="黑体"/>
          <w:sz w:val="32"/>
          <w:szCs w:val="32"/>
        </w:rPr>
        <w:t>支</w:t>
      </w:r>
      <w:r>
        <w:rPr>
          <w:rStyle w:val="31"/>
          <w:rFonts w:hint="eastAsia" w:ascii="黑体" w:hAnsi="黑体" w:eastAsia="黑体"/>
          <w:b w:val="0"/>
        </w:rPr>
        <w:t>出决算情况说明</w:t>
      </w:r>
      <w:bookmarkEnd w:id="31"/>
      <w:bookmarkEnd w:id="32"/>
      <w:bookmarkEnd w:id="33"/>
    </w:p>
    <w:p>
      <w:pPr>
        <w:spacing w:line="600" w:lineRule="exact"/>
        <w:ind w:firstLine="640" w:firstLineChars="200"/>
        <w:outlineLvl w:val="1"/>
        <w:rPr>
          <w:rFonts w:ascii="仿宋_GB2312" w:eastAsia="仿宋_GB2312"/>
          <w:sz w:val="32"/>
          <w:szCs w:val="32"/>
        </w:rPr>
      </w:pPr>
      <w:bookmarkStart w:id="34" w:name="_Toc32083"/>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cs="仿宋"/>
          <w:i w:val="0"/>
          <w:iCs w:val="0"/>
          <w:caps w:val="0"/>
          <w:color w:val="333333"/>
          <w:spacing w:val="0"/>
          <w:sz w:val="32"/>
          <w:szCs w:val="32"/>
        </w:rPr>
        <w:t>857</w:t>
      </w:r>
      <w:r>
        <w:rPr>
          <w:rFonts w:hint="eastAsia" w:ascii="仿宋" w:hAnsi="仿宋" w:eastAsia="仿宋" w:cs="仿宋"/>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7</w:t>
      </w:r>
      <w:r>
        <w:rPr>
          <w:rFonts w:hint="eastAsia" w:ascii="仿宋" w:hAnsi="仿宋" w:eastAsia="仿宋" w:cs="仿宋"/>
          <w:i w:val="0"/>
          <w:iCs w:val="0"/>
          <w:caps w:val="0"/>
          <w:color w:val="333333"/>
          <w:spacing w:val="0"/>
          <w:sz w:val="32"/>
          <w:szCs w:val="32"/>
          <w:lang w:val="en-US" w:eastAsia="zh-CN"/>
        </w:rPr>
        <w:t>3</w:t>
      </w:r>
      <w:r>
        <w:rPr>
          <w:rFonts w:hint="eastAsia" w:ascii="仿宋" w:hAnsi="仿宋" w:eastAsia="仿宋"/>
          <w:sz w:val="32"/>
          <w:szCs w:val="32"/>
        </w:rPr>
        <w:t>万元，其中：基本支出</w:t>
      </w:r>
      <w:r>
        <w:rPr>
          <w:rFonts w:hint="eastAsia" w:ascii="仿宋" w:hAnsi="仿宋" w:eastAsia="仿宋" w:cs="仿宋"/>
          <w:i w:val="0"/>
          <w:iCs w:val="0"/>
          <w:caps w:val="0"/>
          <w:color w:val="333333"/>
          <w:spacing w:val="0"/>
          <w:sz w:val="32"/>
          <w:szCs w:val="32"/>
        </w:rPr>
        <w:t>857</w:t>
      </w:r>
      <w:r>
        <w:rPr>
          <w:rFonts w:hint="eastAsia" w:ascii="仿宋" w:hAnsi="仿宋" w:eastAsia="仿宋" w:cs="仿宋"/>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7</w:t>
      </w:r>
      <w:r>
        <w:rPr>
          <w:rFonts w:hint="eastAsia" w:ascii="仿宋" w:hAnsi="仿宋" w:eastAsia="仿宋" w:cs="仿宋"/>
          <w:i w:val="0"/>
          <w:iCs w:val="0"/>
          <w:caps w:val="0"/>
          <w:color w:val="333333"/>
          <w:spacing w:val="0"/>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cs="仿宋"/>
          <w:i w:val="0"/>
          <w:iCs w:val="0"/>
          <w:caps w:val="0"/>
          <w:color w:val="333333"/>
          <w:spacing w:val="0"/>
          <w:sz w:val="32"/>
          <w:szCs w:val="32"/>
          <w:lang w:val="en-US" w:eastAsia="zh-CN"/>
        </w:rPr>
        <w:t>0</w:t>
      </w:r>
      <w:r>
        <w:rPr>
          <w:rFonts w:hint="eastAsia" w:ascii="仿宋" w:hAnsi="仿宋" w:eastAsia="仿宋"/>
          <w:sz w:val="32"/>
          <w:szCs w:val="32"/>
        </w:rPr>
        <w:t>万元，占</w:t>
      </w:r>
      <w:r>
        <w:rPr>
          <w:rFonts w:hint="eastAsia" w:ascii="仿宋" w:hAnsi="仿宋" w:eastAsia="仿宋" w:cs="仿宋"/>
          <w:i w:val="0"/>
          <w:iCs w:val="0"/>
          <w:caps w:val="0"/>
          <w:color w:val="333333"/>
          <w:spacing w:val="0"/>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bookmarkEnd w:id="34"/>
    </w:p>
    <w:p>
      <w:pPr>
        <w:spacing w:line="600" w:lineRule="exact"/>
        <w:ind w:firstLine="640" w:firstLineChars="200"/>
        <w:outlineLvl w:val="1"/>
        <w:rPr>
          <w:rStyle w:val="31"/>
          <w:rFonts w:ascii="黑体" w:hAnsi="黑体" w:eastAsia="黑体"/>
          <w:b w:val="0"/>
        </w:rPr>
      </w:pPr>
      <w:bookmarkStart w:id="35" w:name="_Toc15377208"/>
      <w:bookmarkStart w:id="36" w:name="_Toc15396606"/>
      <w:bookmarkStart w:id="37" w:name="_Toc6644"/>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5"/>
      <w:bookmarkEnd w:id="36"/>
      <w:bookmarkEnd w:id="37"/>
    </w:p>
    <w:p>
      <w:pPr>
        <w:pStyle w:val="17"/>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cs="仿宋"/>
          <w:i w:val="0"/>
          <w:iCs w:val="0"/>
          <w:caps w:val="0"/>
          <w:color w:val="333333"/>
          <w:spacing w:val="0"/>
          <w:sz w:val="32"/>
          <w:szCs w:val="32"/>
          <w:lang w:val="en-US" w:eastAsia="zh-CN"/>
        </w:rPr>
        <w:t>222.13</w:t>
      </w:r>
      <w:r>
        <w:rPr>
          <w:rFonts w:hint="eastAsia" w:ascii="仿宋" w:hAnsi="仿宋" w:eastAsia="仿宋"/>
          <w:sz w:val="32"/>
          <w:szCs w:val="32"/>
        </w:rPr>
        <w:t>万元。</w:t>
      </w:r>
      <w:r>
        <w:rPr>
          <w:rFonts w:hint="eastAsia" w:ascii="仿宋" w:hAnsi="仿宋" w:eastAsia="仿宋" w:cs="仿宋"/>
          <w:sz w:val="32"/>
          <w:szCs w:val="32"/>
        </w:rPr>
        <w:t>2021年本单位未单独填报决算，由系统统一填报部门决算，故无法对比。</w:t>
      </w:r>
    </w:p>
    <w:p>
      <w:pPr>
        <w:spacing w:line="600" w:lineRule="exact"/>
        <w:ind w:firstLine="640" w:firstLineChars="200"/>
        <w:outlineLvl w:val="1"/>
        <w:rPr>
          <w:rStyle w:val="31"/>
          <w:rFonts w:ascii="黑体" w:hAnsi="黑体" w:eastAsia="黑体"/>
          <w:b w:val="0"/>
        </w:rPr>
      </w:pPr>
      <w:bookmarkStart w:id="38" w:name="_Toc15396607"/>
      <w:bookmarkStart w:id="39" w:name="_Toc15377209"/>
      <w:bookmarkStart w:id="40" w:name="_Toc1857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rPr>
      </w:pPr>
      <w:bookmarkStart w:id="41" w:name="_Toc15377210"/>
      <w:bookmarkStart w:id="42" w:name="_Toc9390"/>
      <w:r>
        <w:rPr>
          <w:rFonts w:hint="eastAsia" w:ascii="仿宋" w:hAnsi="仿宋" w:eastAsia="仿宋"/>
          <w:b/>
          <w:sz w:val="32"/>
          <w:szCs w:val="32"/>
        </w:rPr>
        <w:t>（一）一般公共预算财政拨款支出决算总体情况</w:t>
      </w:r>
      <w:bookmarkEnd w:id="41"/>
      <w:bookmarkEnd w:id="42"/>
    </w:p>
    <w:p>
      <w:pPr>
        <w:pStyle w:val="17"/>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cs="仿宋"/>
          <w:i w:val="0"/>
          <w:iCs w:val="0"/>
          <w:caps w:val="0"/>
          <w:color w:val="333333"/>
          <w:spacing w:val="0"/>
          <w:sz w:val="32"/>
          <w:szCs w:val="32"/>
          <w:lang w:val="en-US" w:eastAsia="zh-CN"/>
        </w:rPr>
        <w:t>222.13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仿宋"/>
          <w:sz w:val="32"/>
          <w:szCs w:val="32"/>
        </w:rPr>
        <w:t>2021年本单位未单独填报决算，由系统统一填报部门决算，故无法对比。</w:t>
      </w:r>
    </w:p>
    <w:p>
      <w:pPr>
        <w:spacing w:line="600" w:lineRule="exact"/>
        <w:ind w:firstLine="643" w:firstLineChars="200"/>
        <w:outlineLvl w:val="2"/>
        <w:rPr>
          <w:rFonts w:ascii="仿宋" w:hAnsi="仿宋" w:eastAsia="仿宋"/>
          <w:b/>
          <w:sz w:val="32"/>
          <w:szCs w:val="32"/>
        </w:rPr>
      </w:pPr>
      <w:bookmarkStart w:id="43" w:name="_Toc15377211"/>
      <w:bookmarkStart w:id="44" w:name="_Toc14380"/>
      <w:r>
        <w:rPr>
          <w:rFonts w:hint="eastAsia" w:ascii="仿宋" w:hAnsi="仿宋" w:eastAsia="仿宋"/>
          <w:b/>
          <w:sz w:val="32"/>
          <w:szCs w:val="32"/>
        </w:rPr>
        <w:t>（二）一般公共预算财政拨款支出决算结构情况</w:t>
      </w:r>
      <w:bookmarkEnd w:id="43"/>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222.12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cs="仿宋"/>
          <w:b w:val="0"/>
          <w:bCs/>
          <w:color w:val="auto"/>
          <w:sz w:val="32"/>
          <w:szCs w:val="32"/>
          <w:lang w:val="en-US" w:eastAsia="zh-CN"/>
        </w:rPr>
        <w:t>13.79</w:t>
      </w:r>
      <w:r>
        <w:rPr>
          <w:rFonts w:hint="eastAsia" w:ascii="仿宋" w:hAnsi="仿宋" w:eastAsia="仿宋"/>
          <w:sz w:val="32"/>
          <w:szCs w:val="32"/>
        </w:rPr>
        <w:t>万元，占</w:t>
      </w:r>
      <w:r>
        <w:rPr>
          <w:rFonts w:hint="eastAsia" w:ascii="仿宋" w:hAnsi="仿宋" w:eastAsia="仿宋"/>
          <w:sz w:val="32"/>
          <w:szCs w:val="32"/>
          <w:lang w:val="en-US" w:eastAsia="zh-CN"/>
        </w:rPr>
        <w:t>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cs="仿宋"/>
          <w:b w:val="0"/>
          <w:bCs/>
          <w:color w:val="auto"/>
          <w:sz w:val="32"/>
          <w:szCs w:val="32"/>
          <w:lang w:val="en-US" w:eastAsia="zh-CN"/>
        </w:rPr>
        <w:t>202.72</w:t>
      </w:r>
      <w:r>
        <w:rPr>
          <w:rFonts w:hint="eastAsia" w:ascii="仿宋" w:hAnsi="仿宋" w:eastAsia="仿宋"/>
          <w:sz w:val="32"/>
          <w:szCs w:val="32"/>
        </w:rPr>
        <w:t>万元，占</w:t>
      </w:r>
      <w:r>
        <w:rPr>
          <w:rFonts w:hint="eastAsia" w:ascii="仿宋" w:hAnsi="仿宋" w:eastAsia="仿宋" w:cs="仿宋"/>
          <w:b w:val="0"/>
          <w:bCs/>
          <w:color w:val="auto"/>
          <w:sz w:val="32"/>
          <w:szCs w:val="32"/>
          <w:lang w:val="en-US" w:eastAsia="zh-CN"/>
        </w:rPr>
        <w:t>91.26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cs="仿宋"/>
          <w:b w:val="0"/>
          <w:bCs/>
          <w:color w:val="auto"/>
          <w:sz w:val="32"/>
          <w:szCs w:val="32"/>
          <w:lang w:val="en-US" w:eastAsia="zh-CN"/>
        </w:rPr>
        <w:t>5.62</w:t>
      </w:r>
      <w:r>
        <w:rPr>
          <w:rFonts w:hint="eastAsia" w:ascii="仿宋" w:hAnsi="仿宋" w:eastAsia="仿宋"/>
          <w:sz w:val="32"/>
          <w:szCs w:val="32"/>
        </w:rPr>
        <w:t>万元，占</w:t>
      </w:r>
      <w:r>
        <w:rPr>
          <w:rFonts w:hint="eastAsia" w:ascii="仿宋" w:hAnsi="仿宋" w:eastAsia="仿宋" w:cs="仿宋"/>
          <w:b w:val="0"/>
          <w:bCs/>
          <w:color w:val="auto"/>
          <w:sz w:val="32"/>
          <w:szCs w:val="32"/>
          <w:lang w:val="en-US" w:eastAsia="zh-CN"/>
        </w:rPr>
        <w:t>2.54</w:t>
      </w:r>
      <w:r>
        <w:rPr>
          <w:rFonts w:ascii="仿宋" w:hAnsi="仿宋" w:eastAsia="仿宋"/>
          <w:sz w:val="32"/>
          <w:szCs w:val="32"/>
        </w:rPr>
        <w:t>%</w:t>
      </w:r>
      <w:r>
        <w:rPr>
          <w:rFonts w:hint="eastAsia" w:ascii="仿宋" w:hAnsi="仿宋" w:eastAsia="仿宋"/>
          <w:sz w:val="32"/>
          <w:szCs w:val="32"/>
        </w:rPr>
        <w:t>。</w:t>
      </w:r>
    </w:p>
    <w:p>
      <w:pPr>
        <w:pStyle w:val="16"/>
        <w:ind w:left="0" w:leftChars="0" w:firstLine="0" w:firstLineChars="0"/>
        <w:rPr>
          <w:rFonts w:ascii="仿宋" w:hAnsi="仿宋" w:eastAsia="仿宋"/>
          <w:sz w:val="32"/>
          <w:szCs w:val="32"/>
        </w:rPr>
      </w:pPr>
      <w:r>
        <w:rPr>
          <w:rFonts w:hint="eastAsia"/>
          <w:lang w:val="en-US" w:eastAsia="zh-CN"/>
        </w:rPr>
        <w:t xml:space="preserve">     </w:t>
      </w:r>
      <w:r>
        <w:drawing>
          <wp:inline distT="0" distB="0" distL="114300" distR="114300">
            <wp:extent cx="4572000" cy="2440305"/>
            <wp:effectExtent l="4445" t="4445" r="14605" b="1270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3" w:firstLineChars="200"/>
        <w:outlineLvl w:val="2"/>
        <w:rPr>
          <w:rFonts w:ascii="仿宋" w:hAnsi="仿宋" w:eastAsia="仿宋"/>
          <w:b/>
          <w:sz w:val="32"/>
          <w:szCs w:val="32"/>
        </w:rPr>
      </w:pPr>
      <w:bookmarkStart w:id="45" w:name="_Toc15377212"/>
      <w:bookmarkStart w:id="46" w:name="_Toc10023"/>
      <w:r>
        <w:rPr>
          <w:rFonts w:hint="eastAsia" w:ascii="仿宋" w:hAnsi="仿宋" w:eastAsia="仿宋"/>
          <w:b/>
          <w:sz w:val="32"/>
          <w:szCs w:val="32"/>
        </w:rPr>
        <w:t>（三）一般公共预算财政拨款支出决算具体情况</w:t>
      </w:r>
      <w:bookmarkEnd w:id="45"/>
      <w:bookmarkEnd w:id="46"/>
    </w:p>
    <w:p>
      <w:pPr>
        <w:spacing w:line="600" w:lineRule="exact"/>
        <w:ind w:firstLine="643" w:firstLineChars="200"/>
        <w:outlineLvl w:val="2"/>
        <w:rPr>
          <w:rFonts w:ascii="仿宋" w:hAnsi="仿宋" w:eastAsia="仿宋"/>
          <w:sz w:val="32"/>
          <w:szCs w:val="32"/>
        </w:rPr>
      </w:pPr>
      <w:bookmarkStart w:id="47" w:name="_Toc15377213"/>
      <w:bookmarkStart w:id="48" w:name="_Toc15378460"/>
      <w:bookmarkStart w:id="49" w:name="_Toc15377444"/>
      <w:bookmarkStart w:id="50" w:name="_Toc15107"/>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222.13</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47"/>
      <w:bookmarkEnd w:id="48"/>
      <w:bookmarkEnd w:id="49"/>
      <w:bookmarkEnd w:id="50"/>
    </w:p>
    <w:p>
      <w:pPr>
        <w:numPr>
          <w:ilvl w:val="0"/>
          <w:numId w:val="0"/>
        </w:numPr>
        <w:spacing w:line="600" w:lineRule="exact"/>
        <w:ind w:firstLine="643"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1.</w:t>
      </w:r>
      <w:r>
        <w:rPr>
          <w:rStyle w:val="20"/>
          <w:rFonts w:hint="eastAsia" w:ascii="仿宋" w:hAnsi="仿宋" w:eastAsia="仿宋"/>
          <w:bCs/>
          <w:sz w:val="32"/>
          <w:szCs w:val="32"/>
        </w:rPr>
        <w:t>社会保障和就业（类）</w:t>
      </w:r>
      <w:r>
        <w:rPr>
          <w:rStyle w:val="20"/>
          <w:rFonts w:hint="eastAsia" w:ascii="仿宋" w:hAnsi="仿宋" w:eastAsia="仿宋"/>
          <w:bCs/>
          <w:sz w:val="32"/>
          <w:szCs w:val="32"/>
          <w:lang w:val="en-US" w:eastAsia="zh-CN"/>
        </w:rPr>
        <w:t>行政事业单位养老支出</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 xml:space="preserve">  机关事业单位基本养老保险缴费支出</w:t>
      </w:r>
      <w:r>
        <w:rPr>
          <w:rStyle w:val="20"/>
          <w:rFonts w:hint="eastAsia" w:ascii="仿宋" w:hAnsi="仿宋" w:eastAsia="仿宋"/>
          <w:bCs/>
          <w:sz w:val="32"/>
          <w:szCs w:val="32"/>
        </w:rPr>
        <w:t>（项）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13.79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pPr>
      <w:r>
        <w:rPr>
          <w:rFonts w:hint="eastAsia" w:ascii="仿宋" w:hAnsi="仿宋" w:eastAsia="仿宋"/>
          <w:b/>
          <w:bCs/>
          <w:sz w:val="32"/>
          <w:szCs w:val="32"/>
          <w:lang w:val="en-US" w:eastAsia="zh-CN"/>
        </w:rPr>
        <w:t>2.</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基层医疗卫生机构</w:t>
      </w:r>
      <w:r>
        <w:rPr>
          <w:rStyle w:val="20"/>
          <w:rFonts w:hint="eastAsia" w:ascii="仿宋" w:hAnsi="仿宋" w:eastAsia="仿宋"/>
          <w:bCs/>
          <w:sz w:val="32"/>
          <w:szCs w:val="32"/>
        </w:rPr>
        <w:t>（款）  乡镇卫生院（项）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120.81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spacing w:line="600" w:lineRule="exact"/>
        <w:ind w:firstLine="643"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3</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基层医疗卫生机构</w:t>
      </w:r>
      <w:r>
        <w:rPr>
          <w:rStyle w:val="20"/>
          <w:rFonts w:hint="eastAsia" w:ascii="仿宋" w:hAnsi="仿宋" w:eastAsia="仿宋"/>
          <w:bCs/>
          <w:sz w:val="32"/>
          <w:szCs w:val="32"/>
        </w:rPr>
        <w:t>（款）其他基层医疗卫生机构支出（项）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14.89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17"/>
        <w:ind w:left="0" w:leftChars="0" w:firstLine="643"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4</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公共卫生</w:t>
      </w:r>
      <w:r>
        <w:rPr>
          <w:rStyle w:val="20"/>
          <w:rFonts w:hint="eastAsia" w:ascii="仿宋" w:hAnsi="仿宋" w:eastAsia="仿宋"/>
          <w:bCs/>
          <w:sz w:val="32"/>
          <w:szCs w:val="32"/>
        </w:rPr>
        <w:t>（款） 基本公共卫生服务（项）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60.12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pStyle w:val="16"/>
        <w:ind w:firstLine="643" w:firstLineChars="200"/>
        <w:rPr>
          <w:rStyle w:val="20"/>
          <w:rFonts w:hint="eastAsia" w:ascii="仿宋" w:hAnsi="仿宋" w:eastAsia="仿宋"/>
          <w:b w:val="0"/>
          <w:bCs/>
          <w:sz w:val="32"/>
          <w:szCs w:val="32"/>
        </w:rPr>
      </w:pPr>
      <w:r>
        <w:rPr>
          <w:rStyle w:val="20"/>
          <w:rFonts w:hint="eastAsia" w:ascii="仿宋" w:hAnsi="仿宋" w:eastAsia="仿宋"/>
          <w:bCs/>
          <w:sz w:val="32"/>
          <w:szCs w:val="32"/>
          <w:lang w:val="en-US" w:eastAsia="zh-CN"/>
        </w:rPr>
        <w:t>5</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w:t>
      </w:r>
      <w:r>
        <w:rPr>
          <w:rStyle w:val="20"/>
          <w:rFonts w:hint="eastAsia" w:ascii="仿宋" w:hAnsi="仿宋" w:eastAsia="仿宋"/>
          <w:bCs/>
          <w:sz w:val="32"/>
          <w:szCs w:val="32"/>
          <w:lang w:eastAsia="zh-CN"/>
        </w:rPr>
        <w:t>（款）事业单位医疗（项）：</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6.89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pStyle w:val="16"/>
        <w:ind w:firstLine="643" w:firstLineChars="200"/>
        <w:rPr>
          <w:rFonts w:ascii="仿宋" w:hAnsi="仿宋" w:eastAsia="仿宋"/>
          <w:b/>
          <w:sz w:val="32"/>
          <w:szCs w:val="32"/>
        </w:rPr>
      </w:pPr>
      <w:r>
        <w:rPr>
          <w:rFonts w:hint="eastAsia" w:ascii="仿宋" w:hAnsi="仿宋" w:eastAsia="仿宋"/>
          <w:b/>
          <w:bCs/>
          <w:sz w:val="32"/>
          <w:szCs w:val="32"/>
          <w:lang w:val="en-US" w:eastAsia="zh-CN"/>
        </w:rPr>
        <w:t>6.</w:t>
      </w:r>
      <w:r>
        <w:rPr>
          <w:rFonts w:hint="eastAsia" w:ascii="仿宋" w:hAnsi="仿宋" w:eastAsia="仿宋"/>
          <w:b/>
          <w:bCs/>
          <w:sz w:val="32"/>
          <w:szCs w:val="32"/>
        </w:rPr>
        <w:t>住房保障支出</w:t>
      </w:r>
      <w:r>
        <w:rPr>
          <w:rStyle w:val="20"/>
          <w:rFonts w:hint="eastAsia" w:ascii="仿宋" w:hAnsi="仿宋" w:eastAsia="仿宋"/>
          <w:bCs/>
          <w:sz w:val="32"/>
          <w:szCs w:val="32"/>
        </w:rPr>
        <w:t>（类）住房改革支出</w:t>
      </w:r>
      <w:r>
        <w:rPr>
          <w:rStyle w:val="20"/>
          <w:rFonts w:hint="eastAsia" w:ascii="仿宋" w:hAnsi="仿宋" w:eastAsia="仿宋"/>
          <w:bCs/>
          <w:sz w:val="32"/>
          <w:szCs w:val="32"/>
          <w:lang w:eastAsia="zh-CN"/>
        </w:rPr>
        <w:t>（款）  住房公积金（项）：</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5.62</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p>
    <w:p>
      <w:pPr>
        <w:tabs>
          <w:tab w:val="right" w:pos="8306"/>
        </w:tabs>
        <w:spacing w:line="600" w:lineRule="exact"/>
        <w:ind w:firstLine="640"/>
        <w:outlineLvl w:val="1"/>
        <w:rPr>
          <w:rStyle w:val="31"/>
        </w:rPr>
      </w:pPr>
      <w:bookmarkStart w:id="51" w:name="_Toc15377214"/>
      <w:bookmarkStart w:id="52" w:name="_Toc15396608"/>
      <w:bookmarkStart w:id="53" w:name="_Toc139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51"/>
      <w:bookmarkEnd w:id="52"/>
      <w:bookmarkEnd w:id="53"/>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222.13</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184.41</w:t>
      </w:r>
      <w:r>
        <w:rPr>
          <w:rFonts w:hint="eastAsia" w:ascii="仿宋" w:hAnsi="仿宋" w:eastAsia="仿宋"/>
          <w:sz w:val="32"/>
          <w:szCs w:val="32"/>
        </w:rPr>
        <w:t>万元，主要包括：基本工资、津贴补贴、绩效工资、机关事业单位基本养老保险缴费、</w:t>
      </w:r>
      <w:r>
        <w:rPr>
          <w:rFonts w:hint="eastAsia" w:ascii="仿宋" w:hAnsi="仿宋" w:eastAsia="仿宋"/>
          <w:sz w:val="32"/>
          <w:szCs w:val="32"/>
          <w:lang w:eastAsia="zh-CN"/>
        </w:rPr>
        <w:t>职工基本医疗保险</w:t>
      </w:r>
      <w:r>
        <w:rPr>
          <w:rFonts w:hint="eastAsia" w:ascii="仿宋" w:hAnsi="仿宋" w:eastAsia="仿宋"/>
          <w:sz w:val="32"/>
          <w:szCs w:val="32"/>
          <w:lang w:val="en-US" w:eastAsia="zh-CN"/>
        </w:rPr>
        <w:t>、</w:t>
      </w:r>
      <w:r>
        <w:rPr>
          <w:rFonts w:hint="eastAsia" w:ascii="仿宋" w:hAnsi="仿宋" w:eastAsia="仿宋"/>
          <w:sz w:val="32"/>
          <w:szCs w:val="32"/>
        </w:rPr>
        <w:t>其他社会保障缴费、其他工资福利支出、生活补助、住房公积金等。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37.71</w:t>
      </w:r>
      <w:r>
        <w:rPr>
          <w:rFonts w:hint="eastAsia" w:ascii="仿宋" w:hAnsi="仿宋" w:eastAsia="仿宋"/>
          <w:sz w:val="32"/>
          <w:szCs w:val="32"/>
        </w:rPr>
        <w:t>万元，主要包括：办公费、印刷费、水费、电费、邮电费、差旅费、培训费、公务接待费、</w:t>
      </w:r>
      <w:r>
        <w:rPr>
          <w:rFonts w:hint="eastAsia" w:ascii="仿宋" w:hAnsi="仿宋" w:eastAsia="仿宋"/>
          <w:sz w:val="32"/>
          <w:szCs w:val="32"/>
          <w:lang w:eastAsia="zh-CN"/>
        </w:rPr>
        <w:t>专用材料</w:t>
      </w:r>
      <w:r>
        <w:rPr>
          <w:rFonts w:hint="eastAsia" w:ascii="仿宋" w:hAnsi="仿宋" w:eastAsia="仿宋"/>
          <w:sz w:val="32"/>
          <w:szCs w:val="32"/>
          <w:lang w:val="en-US" w:eastAsia="zh-CN"/>
        </w:rPr>
        <w:t>、</w:t>
      </w:r>
      <w:r>
        <w:rPr>
          <w:rFonts w:hint="eastAsia" w:ascii="仿宋" w:hAnsi="仿宋" w:eastAsia="仿宋"/>
          <w:sz w:val="32"/>
          <w:szCs w:val="32"/>
        </w:rPr>
        <w:t>其他交通费、其他商品和服务支出等。</w:t>
      </w:r>
    </w:p>
    <w:p>
      <w:pPr>
        <w:spacing w:line="600" w:lineRule="exact"/>
        <w:ind w:firstLine="640"/>
        <w:outlineLvl w:val="1"/>
        <w:rPr>
          <w:rStyle w:val="31"/>
          <w:rFonts w:ascii="黑体" w:hAnsi="黑体" w:eastAsia="黑体"/>
          <w:b w:val="0"/>
        </w:rPr>
      </w:pPr>
      <w:bookmarkStart w:id="54" w:name="_Toc15377215"/>
      <w:bookmarkStart w:id="55" w:name="_Toc15396609"/>
      <w:bookmarkStart w:id="56" w:name="_Toc2324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4"/>
      <w:bookmarkEnd w:id="55"/>
      <w:bookmarkEnd w:id="56"/>
    </w:p>
    <w:p>
      <w:pPr>
        <w:spacing w:line="600" w:lineRule="exact"/>
        <w:ind w:firstLine="640"/>
        <w:outlineLvl w:val="2"/>
        <w:rPr>
          <w:rFonts w:ascii="仿宋" w:hAnsi="仿宋" w:eastAsia="仿宋"/>
          <w:b/>
          <w:color w:val="auto"/>
          <w:sz w:val="32"/>
          <w:szCs w:val="32"/>
        </w:rPr>
      </w:pPr>
      <w:bookmarkStart w:id="57" w:name="_Toc15377216"/>
      <w:bookmarkStart w:id="58" w:name="_Toc10404"/>
      <w:r>
        <w:rPr>
          <w:rFonts w:hint="eastAsia" w:ascii="仿宋" w:hAnsi="仿宋" w:eastAsia="仿宋"/>
          <w:b/>
          <w:color w:val="auto"/>
          <w:sz w:val="32"/>
          <w:szCs w:val="32"/>
        </w:rPr>
        <w:t>（一）“三公”经费财政拨款支出决算总体情况说明</w:t>
      </w:r>
      <w:bookmarkEnd w:id="57"/>
      <w:bookmarkEnd w:id="58"/>
    </w:p>
    <w:p>
      <w:pPr>
        <w:spacing w:line="600" w:lineRule="exact"/>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22年“三公”经费财政拨款支出决算为</w:t>
      </w:r>
      <w:r>
        <w:rPr>
          <w:rFonts w:hint="eastAsia" w:ascii="仿宋" w:hAnsi="仿宋" w:eastAsia="仿宋"/>
          <w:color w:val="auto"/>
          <w:sz w:val="32"/>
          <w:szCs w:val="32"/>
          <w:lang w:val="en-US" w:eastAsia="zh-CN"/>
        </w:rPr>
        <w:t>0.58</w:t>
      </w:r>
      <w:r>
        <w:rPr>
          <w:rFonts w:hint="eastAsia" w:ascii="仿宋" w:hAnsi="仿宋" w:eastAsia="仿宋"/>
          <w:color w:val="auto"/>
          <w:sz w:val="32"/>
          <w:szCs w:val="32"/>
        </w:rPr>
        <w:t>万元，完成预算</w:t>
      </w:r>
      <w:r>
        <w:rPr>
          <w:rFonts w:hint="eastAsia" w:ascii="仿宋" w:hAnsi="仿宋" w:eastAsia="仿宋"/>
          <w:color w:val="auto"/>
          <w:sz w:val="32"/>
          <w:szCs w:val="32"/>
          <w:lang w:val="en-US" w:eastAsia="zh-CN"/>
        </w:rPr>
        <w:t>76.31</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s="仿宋"/>
          <w:sz w:val="32"/>
          <w:szCs w:val="32"/>
        </w:rPr>
        <w:t>2021年本单位未单独填报决算，由系统统一填报部门决算，故无法对比。</w:t>
      </w:r>
    </w:p>
    <w:p>
      <w:pPr>
        <w:spacing w:line="600" w:lineRule="exact"/>
        <w:ind w:firstLine="640"/>
        <w:outlineLvl w:val="2"/>
        <w:rPr>
          <w:rFonts w:ascii="仿宋" w:hAnsi="仿宋" w:eastAsia="仿宋"/>
          <w:b/>
          <w:sz w:val="32"/>
          <w:szCs w:val="32"/>
        </w:rPr>
      </w:pPr>
      <w:bookmarkStart w:id="59" w:name="_Toc15377217"/>
      <w:bookmarkStart w:id="60" w:name="_Toc20870"/>
      <w:r>
        <w:rPr>
          <w:rFonts w:hint="eastAsia" w:ascii="仿宋" w:hAnsi="仿宋" w:eastAsia="仿宋"/>
          <w:b/>
          <w:sz w:val="32"/>
          <w:szCs w:val="32"/>
        </w:rPr>
        <w:t>（二）“三公”经费财政拨款支出决算具体情况说明</w:t>
      </w:r>
      <w:bookmarkEnd w:id="59"/>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0.58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6"/>
        <w:rPr>
          <w:rFonts w:hint="eastAsia" w:ascii="仿宋" w:hAnsi="仿宋" w:eastAsia="仿宋"/>
          <w:sz w:val="32"/>
          <w:szCs w:val="32"/>
        </w:rPr>
      </w:pPr>
      <w:r>
        <w:drawing>
          <wp:inline distT="0" distB="0" distL="114300" distR="114300">
            <wp:extent cx="4847590" cy="3395980"/>
            <wp:effectExtent l="4445" t="5080" r="5715" b="889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Style w:val="20"/>
          <w:rFonts w:hint="eastAsia" w:ascii="仿宋" w:hAnsi="仿宋" w:eastAsia="仿宋"/>
          <w:b w:val="0"/>
          <w:bCs/>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Style w:val="20"/>
          <w:rFonts w:hint="eastAsia" w:ascii="仿宋" w:hAnsi="仿宋" w:eastAsia="仿宋"/>
          <w:b w:val="0"/>
          <w:bCs/>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Style w:val="20"/>
          <w:rFonts w:hint="eastAsia" w:ascii="仿宋" w:hAnsi="仿宋" w:eastAsia="仿宋"/>
          <w:b w:val="0"/>
          <w:bCs/>
          <w:sz w:val="32"/>
          <w:szCs w:val="32"/>
          <w:lang w:val="en-US" w:eastAsia="zh-CN"/>
        </w:rPr>
        <w:t>0</w:t>
      </w:r>
      <w:r>
        <w:rPr>
          <w:rFonts w:hint="eastAsia" w:ascii="仿宋_GB2312" w:eastAsia="仿宋_GB2312"/>
          <w:sz w:val="32"/>
          <w:szCs w:val="32"/>
        </w:rPr>
        <w:t>万元。全年按规定更新购置公务用车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辆，其中：轿车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辆、金额</w:t>
      </w:r>
      <w:r>
        <w:rPr>
          <w:rStyle w:val="20"/>
          <w:rFonts w:hint="eastAsia" w:ascii="仿宋" w:hAnsi="仿宋" w:eastAsia="仿宋"/>
          <w:b w:val="0"/>
          <w:bCs/>
          <w:sz w:val="32"/>
          <w:szCs w:val="32"/>
          <w:lang w:val="en-US" w:eastAsia="zh-CN"/>
        </w:rPr>
        <w:t>0</w:t>
      </w:r>
      <w:r>
        <w:rPr>
          <w:rFonts w:hint="eastAsia" w:ascii="仿宋_GB2312" w:eastAsia="仿宋_GB2312"/>
          <w:sz w:val="32"/>
          <w:szCs w:val="32"/>
        </w:rPr>
        <w:t>万元，越野车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辆、金额</w:t>
      </w:r>
      <w:r>
        <w:rPr>
          <w:rStyle w:val="20"/>
          <w:rFonts w:hint="eastAsia" w:ascii="仿宋" w:hAnsi="仿宋" w:eastAsia="仿宋"/>
          <w:b w:val="0"/>
          <w:bCs/>
          <w:sz w:val="32"/>
          <w:szCs w:val="32"/>
          <w:lang w:val="en-US" w:eastAsia="zh-CN"/>
        </w:rPr>
        <w:t>0</w:t>
      </w:r>
      <w:r>
        <w:rPr>
          <w:rFonts w:hint="eastAsia" w:ascii="仿宋_GB2312" w:eastAsia="仿宋_GB2312"/>
          <w:sz w:val="32"/>
          <w:szCs w:val="32"/>
        </w:rPr>
        <w:t>万元，载客汽车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辆、金额</w:t>
      </w:r>
      <w:r>
        <w:rPr>
          <w:rStyle w:val="20"/>
          <w:rFonts w:hint="eastAsia" w:ascii="仿宋" w:hAnsi="仿宋" w:eastAsia="仿宋"/>
          <w:b w:val="0"/>
          <w:bCs/>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辆，其中：轿车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辆、越野车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辆、载客汽车</w:t>
      </w:r>
      <w:r>
        <w:rPr>
          <w:rStyle w:val="20"/>
          <w:rFonts w:hint="eastAsia" w:ascii="仿宋" w:hAnsi="仿宋" w:eastAsia="仿宋"/>
          <w:b w:val="0"/>
          <w:bCs/>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Style w:val="20"/>
          <w:rFonts w:hint="eastAsia" w:ascii="仿宋" w:hAnsi="仿宋" w:eastAsia="仿宋"/>
          <w:b w:val="0"/>
          <w:bCs/>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0.58</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76</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0.15</w:t>
      </w:r>
      <w:r>
        <w:rPr>
          <w:rFonts w:hint="eastAsia" w:ascii="仿宋_GB2312" w:eastAsia="仿宋_GB2312"/>
          <w:sz w:val="32"/>
          <w:szCs w:val="32"/>
        </w:rPr>
        <w:t>万元，增长</w:t>
      </w:r>
      <w:r>
        <w:rPr>
          <w:rFonts w:hint="eastAsia" w:ascii="仿宋_GB2312" w:eastAsia="仿宋_GB2312"/>
          <w:sz w:val="32"/>
          <w:szCs w:val="32"/>
          <w:lang w:val="en-US" w:eastAsia="zh-CN"/>
        </w:rPr>
        <w:t>13.5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单位合并</w:t>
      </w:r>
      <w:r>
        <w:rPr>
          <w:rFonts w:hint="eastAsia" w:ascii="仿宋_GB2312" w:eastAsia="仿宋_GB2312"/>
          <w:sz w:val="32"/>
          <w:szCs w:val="32"/>
        </w:rPr>
        <w:t>。其中：</w:t>
      </w:r>
    </w:p>
    <w:p>
      <w:pPr>
        <w:spacing w:line="600" w:lineRule="exact"/>
        <w:ind w:firstLine="64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lang w:val="en-US" w:eastAsia="zh-CN"/>
        </w:rPr>
        <w:t>0.58</w:t>
      </w:r>
      <w:r>
        <w:rPr>
          <w:rFonts w:hint="eastAsia" w:ascii="仿宋_GB2312" w:eastAsia="仿宋_GB2312"/>
          <w:color w:val="auto"/>
          <w:sz w:val="32"/>
          <w:szCs w:val="32"/>
        </w:rPr>
        <w:t>万元，主要用于……(执行公务、开展业务活动开支的交通费、住宿费、用餐费等)。国内公务接待</w:t>
      </w:r>
      <w:r>
        <w:rPr>
          <w:rFonts w:hint="eastAsia" w:ascii="仿宋_GB2312" w:eastAsia="仿宋_GB2312"/>
          <w:color w:val="auto"/>
          <w:sz w:val="32"/>
          <w:szCs w:val="32"/>
          <w:lang w:val="en-US" w:eastAsia="zh-CN"/>
        </w:rPr>
        <w:t>36</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190</w:t>
      </w:r>
      <w:r>
        <w:rPr>
          <w:rFonts w:hint="eastAsia" w:ascii="仿宋_GB2312" w:eastAsia="仿宋_GB2312"/>
          <w:color w:val="auto"/>
          <w:sz w:val="32"/>
          <w:szCs w:val="32"/>
        </w:rPr>
        <w:t>人次（不包括陪同人员），共计支出</w:t>
      </w:r>
      <w:r>
        <w:rPr>
          <w:rFonts w:hint="eastAsia" w:ascii="仿宋_GB2312" w:eastAsia="仿宋_GB2312"/>
          <w:color w:val="auto"/>
          <w:sz w:val="32"/>
          <w:szCs w:val="32"/>
          <w:lang w:val="en-US" w:eastAsia="zh-CN"/>
        </w:rPr>
        <w:t>0.58</w:t>
      </w:r>
      <w:r>
        <w:rPr>
          <w:rFonts w:hint="eastAsia" w:ascii="仿宋_GB2312" w:eastAsia="仿宋_GB2312"/>
          <w:color w:val="auto"/>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Style w:val="31"/>
          <w:rFonts w:ascii="黑体" w:hAnsi="黑体" w:eastAsia="黑体"/>
        </w:rPr>
      </w:pPr>
      <w:bookmarkStart w:id="61" w:name="_Toc15396610"/>
      <w:bookmarkStart w:id="62" w:name="_Toc15377218"/>
      <w:bookmarkStart w:id="63" w:name="_Toc27452"/>
      <w:r>
        <w:rPr>
          <w:rFonts w:hint="eastAsia" w:ascii="黑体" w:eastAsia="黑体"/>
          <w:sz w:val="32"/>
          <w:szCs w:val="32"/>
        </w:rPr>
        <w:t>八、</w:t>
      </w:r>
      <w:r>
        <w:rPr>
          <w:rStyle w:val="31"/>
          <w:rFonts w:hint="eastAsia" w:ascii="黑体" w:hAnsi="黑体" w:eastAsia="黑体"/>
          <w:b w:val="0"/>
        </w:rPr>
        <w:t>政府性基金预算支出决算情况说明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64" w:name="_Toc15377219"/>
      <w:bookmarkStart w:id="65" w:name="_Toc15396611"/>
      <w:bookmarkStart w:id="66" w:name="_Toc16057"/>
      <w:r>
        <w:rPr>
          <w:rStyle w:val="31"/>
          <w:rFonts w:hint="eastAsia" w:ascii="黑体" w:hAnsi="黑体" w:eastAsia="黑体"/>
          <w:b w:val="0"/>
        </w:rPr>
        <w:t>国有资本经营预算支出决算情况说明</w:t>
      </w:r>
      <w:bookmarkEnd w:id="64"/>
      <w:bookmarkEnd w:id="65"/>
      <w:bookmarkEnd w:id="6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1"/>
          <w:rFonts w:ascii="黑体" w:hAnsi="黑体" w:eastAsia="黑体"/>
          <w:b w:val="0"/>
        </w:rPr>
      </w:pPr>
      <w:bookmarkStart w:id="67" w:name="_Toc15377221"/>
      <w:bookmarkStart w:id="68" w:name="_Toc15396612"/>
      <w:bookmarkStart w:id="69" w:name="_Toc2394"/>
      <w:r>
        <w:rPr>
          <w:rStyle w:val="31"/>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15377222"/>
      <w:bookmarkStart w:id="71" w:name="_Toc9565"/>
      <w:r>
        <w:rPr>
          <w:rFonts w:hint="eastAsia" w:ascii="仿宋" w:hAnsi="仿宋" w:eastAsia="仿宋"/>
          <w:b/>
          <w:sz w:val="32"/>
          <w:szCs w:val="32"/>
        </w:rPr>
        <w:t>（一）机关运行经费支出情况</w:t>
      </w:r>
      <w:bookmarkEnd w:id="70"/>
      <w:bookmarkEnd w:id="71"/>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剑阁县木马镇卫生院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本单位属于事业单位，无机关运行经费支出。</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3"/>
      <w:bookmarkStart w:id="73" w:name="_Toc15381"/>
      <w:r>
        <w:rPr>
          <w:rFonts w:hint="eastAsia" w:ascii="仿宋" w:hAnsi="仿宋" w:eastAsia="仿宋"/>
          <w:b/>
          <w:sz w:val="32"/>
          <w:szCs w:val="32"/>
        </w:rPr>
        <w:t>（二）政府采购支出情况</w:t>
      </w:r>
      <w:bookmarkEnd w:id="72"/>
      <w:bookmarkEnd w:id="7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剑阁县木马镇卫生院</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4" w:name="_Toc15377224"/>
      <w:bookmarkStart w:id="75" w:name="_Toc23640"/>
      <w:r>
        <w:rPr>
          <w:rFonts w:hint="eastAsia" w:ascii="仿宋" w:hAnsi="仿宋" w:eastAsia="仿宋"/>
          <w:b/>
          <w:sz w:val="32"/>
          <w:szCs w:val="32"/>
        </w:rPr>
        <w:t>（三）国有资产占有使用情况</w:t>
      </w:r>
      <w:bookmarkEnd w:id="74"/>
      <w:bookmarkEnd w:id="75"/>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0</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rPr>
      </w:pPr>
      <w:bookmarkStart w:id="76" w:name="_Toc15396613"/>
      <w:bookmarkStart w:id="77" w:name="_Toc15377225"/>
      <w:bookmarkStart w:id="78" w:name="_Toc8252"/>
      <w:r>
        <w:rPr>
          <w:rFonts w:hint="eastAsia" w:ascii="黑体" w:hAnsi="黑体" w:eastAsia="黑体"/>
          <w:sz w:val="44"/>
          <w:szCs w:val="44"/>
        </w:rPr>
        <w:t>名</w:t>
      </w:r>
      <w:r>
        <w:rPr>
          <w:rStyle w:val="30"/>
          <w:rFonts w:hint="eastAsia" w:ascii="黑体" w:hAnsi="黑体" w:eastAsia="黑体"/>
          <w:b w:val="0"/>
        </w:rPr>
        <w:t>词解释</w:t>
      </w:r>
      <w:bookmarkEnd w:id="76"/>
      <w:bookmarkEnd w:id="77"/>
      <w:bookmarkEnd w:id="78"/>
    </w:p>
    <w:p>
      <w:pPr>
        <w:spacing w:line="600" w:lineRule="exact"/>
        <w:jc w:val="left"/>
        <w:rPr>
          <w:rFonts w:ascii="宋体"/>
          <w:b/>
          <w:sz w:val="44"/>
          <w:szCs w:val="44"/>
        </w:rPr>
      </w:pP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 xml:space="preserve">.其他收入：指单位取得的除上述收入以外的各项收入。 </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4.卫生健康支出</w:t>
      </w:r>
      <w:r>
        <w:rPr>
          <w:rFonts w:hint="default" w:ascii="仿宋_GB2312" w:eastAsia="仿宋_GB2312"/>
          <w:color w:val="auto"/>
          <w:sz w:val="32"/>
          <w:szCs w:val="32"/>
          <w:lang w:val="en-US" w:eastAsia="zh-CN"/>
        </w:rPr>
        <w:t>（类）</w:t>
      </w:r>
      <w:r>
        <w:rPr>
          <w:rFonts w:hint="eastAsia" w:ascii="仿宋_GB2312" w:eastAsia="仿宋_GB2312"/>
          <w:color w:val="auto"/>
          <w:sz w:val="32"/>
          <w:szCs w:val="32"/>
          <w:lang w:val="en-US" w:eastAsia="zh-CN"/>
        </w:rPr>
        <w:t>基层医疗卫生机构</w:t>
      </w:r>
      <w:r>
        <w:rPr>
          <w:rFonts w:hint="default" w:ascii="仿宋_GB2312" w:eastAsia="仿宋_GB2312"/>
          <w:color w:val="auto"/>
          <w:sz w:val="32"/>
          <w:szCs w:val="32"/>
          <w:lang w:val="en-US" w:eastAsia="zh-CN"/>
        </w:rPr>
        <w:t>（款） 其他基层医疗卫生机构支出（项）</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反映除上述项目以外的其他用于基层医疗卫生机构的支出</w:t>
      </w:r>
    </w:p>
    <w:p>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5.卫生健康支出</w:t>
      </w:r>
      <w:r>
        <w:rPr>
          <w:rFonts w:hint="default" w:ascii="仿宋_GB2312" w:eastAsia="仿宋_GB2312"/>
          <w:color w:val="auto"/>
          <w:sz w:val="32"/>
          <w:szCs w:val="32"/>
          <w:lang w:val="en-US" w:eastAsia="zh-CN"/>
        </w:rPr>
        <w:t>（类）</w:t>
      </w:r>
      <w:r>
        <w:rPr>
          <w:rFonts w:hint="eastAsia" w:ascii="仿宋_GB2312" w:eastAsia="仿宋_GB2312"/>
          <w:color w:val="auto"/>
          <w:sz w:val="32"/>
          <w:szCs w:val="32"/>
          <w:lang w:val="en-US" w:eastAsia="zh-CN"/>
        </w:rPr>
        <w:t>公共卫生（款）基本公共卫生服务（项）：指基层医疗机构提供基本公共卫生服务支出</w:t>
      </w:r>
      <w:r>
        <w:rPr>
          <w:rFonts w:hint="default" w:ascii="仿宋_GB2312" w:eastAsia="仿宋_GB2312"/>
          <w:color w:val="auto"/>
          <w:sz w:val="32"/>
          <w:szCs w:val="32"/>
          <w:lang w:val="en-US" w:eastAsia="zh-CN"/>
        </w:rPr>
        <w:t>。</w:t>
      </w:r>
    </w:p>
    <w:p>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6.卫生健康（类）公共卫生（款）重大公共卫生服务（项）：指重大疾病、重大传染病预防控制等重大公共卫生服务项目支出。</w:t>
      </w:r>
    </w:p>
    <w:p>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7.农林水支出（类）巩固脱贫衔接乡村振兴（款）社会发展（项）：指农村欠发达地区中小学教育、文化、广播、电视、卫生健康等方面的支出。</w:t>
      </w:r>
    </w:p>
    <w:p>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8.</w:t>
      </w:r>
      <w:r>
        <w:rPr>
          <w:rFonts w:hint="default" w:ascii="仿宋_GB2312" w:eastAsia="仿宋_GB2312"/>
          <w:color w:val="auto"/>
          <w:sz w:val="32"/>
          <w:szCs w:val="32"/>
          <w:lang w:val="en-US" w:eastAsia="zh-CN"/>
        </w:rPr>
        <w:t>社会保障和就业（类）行政事业单位离退休（款）机关事业单位基本养老保险缴费支出（项）：指部门实施养老保险制度由单位缴纳的养老保险费的支出。</w:t>
      </w:r>
    </w:p>
    <w:p>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9.</w:t>
      </w:r>
      <w:r>
        <w:rPr>
          <w:rFonts w:hint="default" w:ascii="仿宋_GB2312" w:eastAsia="仿宋_GB2312"/>
          <w:color w:val="auto"/>
          <w:sz w:val="32"/>
          <w:szCs w:val="32"/>
          <w:lang w:val="en-US" w:eastAsia="zh-CN"/>
        </w:rPr>
        <w:t>卫生健康（类）行政事业单位医疗（款）事业单位医疗（项）：指事业单位用于缴纳单位基本医疗保险支出。</w:t>
      </w:r>
    </w:p>
    <w:p>
      <w:pPr>
        <w:pStyle w:val="28"/>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10.</w:t>
      </w:r>
      <w:r>
        <w:rPr>
          <w:rFonts w:hint="default" w:ascii="仿宋_GB2312" w:eastAsia="仿宋_GB2312"/>
          <w:color w:val="auto"/>
          <w:sz w:val="32"/>
          <w:szCs w:val="32"/>
          <w:lang w:val="en-US" w:eastAsia="zh-CN"/>
        </w:rPr>
        <w:t>住房保障（类）住房改革支出（款）住房公积金（项）：指按照《住房公积金管理条例》的规定，由单位及其在职职工缴存的长期住房储金。</w:t>
      </w:r>
    </w:p>
    <w:p>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11.卫生健康支出</w:t>
      </w:r>
      <w:r>
        <w:rPr>
          <w:rFonts w:hint="default" w:ascii="仿宋_GB2312" w:eastAsia="仿宋_GB2312"/>
          <w:color w:val="auto"/>
          <w:sz w:val="32"/>
          <w:szCs w:val="32"/>
          <w:lang w:val="en-US" w:eastAsia="zh-CN"/>
        </w:rPr>
        <w:t>（类）</w:t>
      </w:r>
      <w:r>
        <w:rPr>
          <w:rFonts w:hint="eastAsia" w:ascii="仿宋_GB2312" w:eastAsia="仿宋_GB2312"/>
          <w:color w:val="auto"/>
          <w:sz w:val="32"/>
          <w:szCs w:val="32"/>
          <w:lang w:val="en-US" w:eastAsia="zh-CN"/>
        </w:rPr>
        <w:t>基层医疗卫生机构</w:t>
      </w:r>
      <w:r>
        <w:rPr>
          <w:rFonts w:hint="default" w:ascii="仿宋_GB2312" w:eastAsia="仿宋_GB2312"/>
          <w:color w:val="auto"/>
          <w:sz w:val="32"/>
          <w:szCs w:val="32"/>
          <w:lang w:val="en-US" w:eastAsia="zh-CN"/>
        </w:rPr>
        <w:t>（款）</w:t>
      </w:r>
      <w:r>
        <w:rPr>
          <w:rFonts w:hint="eastAsia" w:ascii="仿宋_GB2312" w:eastAsia="仿宋_GB2312"/>
          <w:color w:val="auto"/>
          <w:sz w:val="32"/>
          <w:szCs w:val="32"/>
          <w:lang w:val="en-US" w:eastAsia="zh-CN"/>
        </w:rPr>
        <w:t>乡镇卫生院</w:t>
      </w:r>
      <w:r>
        <w:rPr>
          <w:rFonts w:hint="default" w:ascii="仿宋_GB2312" w:eastAsia="仿宋_GB2312"/>
          <w:color w:val="auto"/>
          <w:sz w:val="32"/>
          <w:szCs w:val="32"/>
          <w:lang w:val="en-US" w:eastAsia="zh-CN"/>
        </w:rPr>
        <w:t>（项）</w:t>
      </w:r>
      <w:r>
        <w:rPr>
          <w:rFonts w:hint="eastAsia" w:ascii="仿宋_GB2312" w:eastAsia="仿宋_GB2312"/>
          <w:color w:val="auto"/>
          <w:sz w:val="32"/>
          <w:szCs w:val="32"/>
          <w:lang w:val="en-US" w:eastAsia="zh-CN"/>
        </w:rPr>
        <w:t>：指为保证机构正常运转，完成日常工作任务而发生的人员经费以及日常公用经费。</w:t>
      </w:r>
    </w:p>
    <w:p>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12.卫生健康支出（类） 其他卫生健康支出（款）其他卫生健康支出（项）：指用于机构其他卫生健康相关事务支出。</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.基本支出：指为保障机构正常运转、完成日常工作任务而发生的人员支出和公用支出。</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 xml:space="preserve">.项目支出：指在基本支出之外为完成特定行政任务和事业发展目标所发生的支出。 </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仿宋" w:hAnsi="仿宋" w:eastAsia="仿宋"/>
        </w:rPr>
      </w:pPr>
      <w:r>
        <w:rPr>
          <w:rFonts w:ascii="宋体"/>
          <w:b/>
          <w:sz w:val="44"/>
          <w:szCs w:val="44"/>
        </w:rPr>
        <w:br w:type="page"/>
      </w:r>
      <w:bookmarkStart w:id="79" w:name="_Toc12473"/>
      <w:r>
        <w:rPr>
          <w:rFonts w:hint="eastAsia" w:ascii="黑体" w:hAnsi="黑体" w:eastAsia="黑体"/>
          <w:sz w:val="44"/>
          <w:szCs w:val="44"/>
        </w:rPr>
        <w:t>第</w:t>
      </w:r>
      <w:r>
        <w:rPr>
          <w:rStyle w:val="30"/>
          <w:rFonts w:hint="eastAsia" w:ascii="黑体" w:hAnsi="黑体" w:eastAsia="黑体"/>
          <w:b w:val="0"/>
          <w:lang w:eastAsia="zh-CN"/>
        </w:rPr>
        <w:t>四</w:t>
      </w:r>
      <w:r>
        <w:rPr>
          <w:rStyle w:val="30"/>
          <w:rFonts w:hint="eastAsia" w:ascii="黑体" w:hAnsi="黑体" w:eastAsia="黑体"/>
          <w:b w:val="0"/>
        </w:rPr>
        <w:t>部分 附表</w:t>
      </w:r>
      <w:bookmarkEnd w:id="79"/>
      <w:bookmarkStart w:id="80" w:name="_Toc15396619"/>
    </w:p>
    <w:p>
      <w:pPr>
        <w:pStyle w:val="4"/>
        <w:rPr>
          <w:rFonts w:ascii="仿宋" w:hAnsi="仿宋" w:eastAsia="仿宋"/>
        </w:rPr>
      </w:pPr>
      <w:bookmarkStart w:id="81" w:name="_Toc19510"/>
      <w:r>
        <w:rPr>
          <w:rFonts w:hint="eastAsia" w:ascii="仿宋" w:hAnsi="仿宋" w:eastAsia="仿宋"/>
          <w:b w:val="0"/>
        </w:rPr>
        <w:t>一、收</w:t>
      </w:r>
      <w:r>
        <w:rPr>
          <w:rStyle w:val="31"/>
          <w:rFonts w:hint="eastAsia" w:ascii="仿宋" w:hAnsi="仿宋" w:eastAsia="仿宋"/>
          <w:b w:val="0"/>
          <w:bCs w:val="0"/>
        </w:rPr>
        <w:t>入支出决算总表</w:t>
      </w:r>
      <w:bookmarkEnd w:id="80"/>
      <w:bookmarkEnd w:id="81"/>
    </w:p>
    <w:p>
      <w:pPr>
        <w:pStyle w:val="4"/>
        <w:rPr>
          <w:rFonts w:ascii="仿宋" w:hAnsi="仿宋" w:eastAsia="仿宋"/>
        </w:rPr>
      </w:pPr>
      <w:bookmarkStart w:id="82" w:name="_Toc15396620"/>
      <w:bookmarkStart w:id="83" w:name="_Toc11923"/>
      <w:r>
        <w:rPr>
          <w:rFonts w:hint="eastAsia" w:ascii="仿宋" w:hAnsi="仿宋" w:eastAsia="仿宋"/>
          <w:b w:val="0"/>
        </w:rPr>
        <w:t>二、收</w:t>
      </w:r>
      <w:r>
        <w:rPr>
          <w:rStyle w:val="31"/>
          <w:rFonts w:hint="eastAsia" w:ascii="仿宋" w:hAnsi="仿宋" w:eastAsia="仿宋"/>
          <w:b w:val="0"/>
          <w:bCs w:val="0"/>
        </w:rPr>
        <w:t>入决算表</w:t>
      </w:r>
      <w:bookmarkEnd w:id="82"/>
      <w:bookmarkEnd w:id="83"/>
    </w:p>
    <w:p>
      <w:pPr>
        <w:pStyle w:val="4"/>
        <w:rPr>
          <w:rFonts w:ascii="仿宋" w:hAnsi="仿宋" w:eastAsia="仿宋"/>
        </w:rPr>
      </w:pPr>
      <w:bookmarkStart w:id="84" w:name="_Toc15396621"/>
      <w:bookmarkStart w:id="85" w:name="_Toc21994"/>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84"/>
      <w:bookmarkEnd w:id="85"/>
    </w:p>
    <w:p>
      <w:pPr>
        <w:pStyle w:val="4"/>
        <w:rPr>
          <w:rFonts w:ascii="仿宋" w:hAnsi="仿宋" w:eastAsia="仿宋"/>
          <w:b w:val="0"/>
        </w:rPr>
      </w:pPr>
      <w:bookmarkStart w:id="86" w:name="_Toc15396622"/>
      <w:bookmarkStart w:id="87" w:name="_Toc28113"/>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86"/>
      <w:bookmarkEnd w:id="87"/>
    </w:p>
    <w:p>
      <w:pPr>
        <w:pStyle w:val="4"/>
        <w:rPr>
          <w:rStyle w:val="31"/>
          <w:rFonts w:ascii="仿宋" w:hAnsi="仿宋" w:eastAsia="仿宋"/>
          <w:b w:val="0"/>
          <w:bCs w:val="0"/>
        </w:rPr>
      </w:pPr>
      <w:bookmarkStart w:id="88" w:name="_Toc15396623"/>
      <w:bookmarkStart w:id="89" w:name="_Toc20684"/>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88"/>
      <w:bookmarkEnd w:id="89"/>
      <w:bookmarkStart w:id="90" w:name="_Toc15396624"/>
    </w:p>
    <w:p>
      <w:pPr>
        <w:pStyle w:val="4"/>
        <w:rPr>
          <w:rFonts w:ascii="仿宋" w:hAnsi="仿宋" w:eastAsia="仿宋"/>
        </w:rPr>
      </w:pPr>
      <w:bookmarkStart w:id="91" w:name="_Toc27256"/>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90"/>
      <w:bookmarkEnd w:id="91"/>
    </w:p>
    <w:p>
      <w:pPr>
        <w:pStyle w:val="4"/>
        <w:rPr>
          <w:rFonts w:ascii="仿宋" w:hAnsi="仿宋" w:eastAsia="仿宋"/>
        </w:rPr>
      </w:pPr>
      <w:bookmarkStart w:id="92" w:name="_Toc15396625"/>
      <w:bookmarkStart w:id="93" w:name="_Toc19853"/>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92"/>
      <w:bookmarkEnd w:id="93"/>
    </w:p>
    <w:p>
      <w:pPr>
        <w:pStyle w:val="4"/>
        <w:rPr>
          <w:rFonts w:ascii="仿宋" w:hAnsi="仿宋" w:eastAsia="仿宋"/>
        </w:rPr>
      </w:pPr>
      <w:bookmarkStart w:id="94" w:name="_Toc15396626"/>
      <w:bookmarkStart w:id="95" w:name="_Toc27700"/>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94"/>
      <w:bookmarkEnd w:id="95"/>
    </w:p>
    <w:p>
      <w:pPr>
        <w:pStyle w:val="4"/>
        <w:rPr>
          <w:rFonts w:ascii="仿宋" w:hAnsi="仿宋" w:eastAsia="仿宋"/>
        </w:rPr>
      </w:pPr>
      <w:bookmarkStart w:id="96" w:name="_Toc15396627"/>
      <w:bookmarkStart w:id="97" w:name="_Toc28665"/>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96"/>
      <w:bookmarkEnd w:id="97"/>
    </w:p>
    <w:p>
      <w:pPr>
        <w:pStyle w:val="4"/>
        <w:rPr>
          <w:rFonts w:ascii="仿宋" w:hAnsi="仿宋" w:eastAsia="仿宋"/>
        </w:rPr>
      </w:pPr>
      <w:bookmarkStart w:id="98" w:name="_Toc15396628"/>
      <w:bookmarkStart w:id="99" w:name="_Toc24364"/>
      <w:r>
        <w:rPr>
          <w:rStyle w:val="31"/>
          <w:rFonts w:hint="eastAsia" w:ascii="仿宋" w:hAnsi="仿宋" w:eastAsia="仿宋"/>
          <w:b w:val="0"/>
          <w:bCs w:val="0"/>
        </w:rPr>
        <w:t>十、</w:t>
      </w:r>
      <w:bookmarkEnd w:id="98"/>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99"/>
    </w:p>
    <w:p>
      <w:pPr>
        <w:pStyle w:val="4"/>
        <w:rPr>
          <w:rFonts w:ascii="仿宋" w:hAnsi="仿宋" w:eastAsia="仿宋"/>
        </w:rPr>
      </w:pPr>
      <w:bookmarkStart w:id="100" w:name="_Toc15396629"/>
      <w:bookmarkStart w:id="101" w:name="_Toc5378"/>
      <w:r>
        <w:rPr>
          <w:rStyle w:val="31"/>
          <w:rFonts w:hint="eastAsia" w:ascii="仿宋" w:hAnsi="仿宋" w:eastAsia="仿宋"/>
          <w:b w:val="0"/>
          <w:bCs w:val="0"/>
        </w:rPr>
        <w:t>十一、</w:t>
      </w:r>
      <w:bookmarkEnd w:id="100"/>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01"/>
    </w:p>
    <w:p>
      <w:pPr>
        <w:pStyle w:val="4"/>
        <w:rPr>
          <w:rFonts w:ascii="仿宋" w:hAnsi="仿宋" w:eastAsia="仿宋"/>
        </w:rPr>
      </w:pPr>
      <w:bookmarkStart w:id="102" w:name="_Toc15396630"/>
      <w:bookmarkStart w:id="103" w:name="_Toc20574"/>
      <w:r>
        <w:rPr>
          <w:rStyle w:val="31"/>
          <w:rFonts w:hint="eastAsia" w:ascii="仿宋" w:hAnsi="仿宋" w:eastAsia="仿宋"/>
          <w:b w:val="0"/>
          <w:bCs w:val="0"/>
        </w:rPr>
        <w:t>十二、</w:t>
      </w:r>
      <w:bookmarkEnd w:id="102"/>
      <w:r>
        <w:rPr>
          <w:rStyle w:val="31"/>
          <w:rFonts w:hint="eastAsia" w:ascii="仿宋" w:hAnsi="仿宋" w:eastAsia="仿宋"/>
          <w:b w:val="0"/>
          <w:bCs w:val="0"/>
        </w:rPr>
        <w:t>国有资本经营预算财政拨款支出决算表</w:t>
      </w:r>
      <w:bookmarkEnd w:id="103"/>
    </w:p>
    <w:p>
      <w:pPr>
        <w:pStyle w:val="4"/>
        <w:rPr>
          <w:rFonts w:eastAsia="仿宋"/>
        </w:rPr>
      </w:pPr>
      <w:bookmarkStart w:id="104" w:name="_Toc15396631"/>
      <w:bookmarkStart w:id="105" w:name="_Toc4635"/>
      <w:r>
        <w:rPr>
          <w:rStyle w:val="31"/>
          <w:rFonts w:hint="eastAsia" w:ascii="仿宋" w:hAnsi="仿宋" w:eastAsia="仿宋"/>
          <w:b w:val="0"/>
          <w:bCs w:val="0"/>
        </w:rPr>
        <w:t>十三、</w:t>
      </w:r>
      <w:bookmarkEnd w:id="104"/>
      <w:r>
        <w:rPr>
          <w:rStyle w:val="31"/>
          <w:rFonts w:hint="eastAsia" w:ascii="仿宋" w:hAnsi="仿宋" w:eastAsia="仿宋"/>
          <w:b w:val="0"/>
          <w:bCs w:val="0"/>
        </w:rPr>
        <w:t>财政拨款“三公”经费支出决算表</w:t>
      </w:r>
      <w:bookmarkEnd w:id="105"/>
    </w:p>
    <w:p/>
    <w:p>
      <w:pPr>
        <w:pStyle w:val="4"/>
        <w:rPr>
          <w:rFonts w:eastAsia="仿宋"/>
        </w:rPr>
      </w:pPr>
    </w:p>
    <w:sectPr>
      <w:headerReference r:id="rId3" w:type="default"/>
      <w:footerReference r:id="rId4" w:type="default"/>
      <w:pgSz w:w="11906" w:h="16838"/>
      <w:pgMar w:top="1440" w:right="1080" w:bottom="1440" w:left="108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pPr>
        <w:ind w:left="42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0BBF20D4"/>
    <w:rsid w:val="10C055FF"/>
    <w:rsid w:val="118107EC"/>
    <w:rsid w:val="11DD6519"/>
    <w:rsid w:val="16BB723D"/>
    <w:rsid w:val="18015F3F"/>
    <w:rsid w:val="18C67E75"/>
    <w:rsid w:val="1BE8440E"/>
    <w:rsid w:val="1D155CEE"/>
    <w:rsid w:val="20F57F95"/>
    <w:rsid w:val="240371BF"/>
    <w:rsid w:val="25711CC6"/>
    <w:rsid w:val="25C741E6"/>
    <w:rsid w:val="27842671"/>
    <w:rsid w:val="28D86FEE"/>
    <w:rsid w:val="29653D28"/>
    <w:rsid w:val="29FD04D3"/>
    <w:rsid w:val="2ABE7A3E"/>
    <w:rsid w:val="2CA234A8"/>
    <w:rsid w:val="2EFA178C"/>
    <w:rsid w:val="30B46D73"/>
    <w:rsid w:val="319F7F4E"/>
    <w:rsid w:val="383D272C"/>
    <w:rsid w:val="387939C8"/>
    <w:rsid w:val="39AE70AB"/>
    <w:rsid w:val="39C852E9"/>
    <w:rsid w:val="3C0C0783"/>
    <w:rsid w:val="3DEC2A6B"/>
    <w:rsid w:val="3F9F3A96"/>
    <w:rsid w:val="48BF60AB"/>
    <w:rsid w:val="493C27E9"/>
    <w:rsid w:val="496F39ED"/>
    <w:rsid w:val="49FF41D3"/>
    <w:rsid w:val="4B3A55EB"/>
    <w:rsid w:val="4B9F6E4A"/>
    <w:rsid w:val="4BE068DB"/>
    <w:rsid w:val="4BF6002B"/>
    <w:rsid w:val="4CFE23D7"/>
    <w:rsid w:val="4ECE2238"/>
    <w:rsid w:val="4F135B85"/>
    <w:rsid w:val="51782617"/>
    <w:rsid w:val="51DB4B86"/>
    <w:rsid w:val="55333C3E"/>
    <w:rsid w:val="553F3322"/>
    <w:rsid w:val="55BA31FE"/>
    <w:rsid w:val="5AF15FF4"/>
    <w:rsid w:val="5C735A74"/>
    <w:rsid w:val="5FDD5E49"/>
    <w:rsid w:val="64CA39A1"/>
    <w:rsid w:val="666705B5"/>
    <w:rsid w:val="678B28F3"/>
    <w:rsid w:val="69630ADE"/>
    <w:rsid w:val="69F91C18"/>
    <w:rsid w:val="6C4A05C8"/>
    <w:rsid w:val="6D3B1A89"/>
    <w:rsid w:val="71BF4EC2"/>
    <w:rsid w:val="72734D90"/>
    <w:rsid w:val="7412278C"/>
    <w:rsid w:val="79E7B28D"/>
    <w:rsid w:val="7CC34878"/>
    <w:rsid w:val="7D627D20"/>
    <w:rsid w:val="7D884F7D"/>
    <w:rsid w:val="7DDD7B37"/>
    <w:rsid w:val="7E60495A"/>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Lines="0" w:afterAutospacing="0"/>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semiHidden/>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仿宋_GB2312" w:cs="Courier New"/>
      <w:b/>
      <w:kern w:val="2"/>
      <w:sz w:val="32"/>
      <w:szCs w:val="32"/>
      <w:lang w:val="en-US" w:eastAsia="zh-CN" w:bidi="ar"/>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6"/>
    <w:qFormat/>
    <w:uiPriority w:val="0"/>
    <w:pPr>
      <w:ind w:firstLine="420" w:firstLineChars="100"/>
    </w:pPr>
  </w:style>
  <w:style w:type="paragraph" w:styleId="17">
    <w:name w:val="Body Text First Indent 2"/>
    <w:basedOn w:val="7"/>
    <w:next w:val="16"/>
    <w:qFormat/>
    <w:uiPriority w:val="0"/>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9"/>
    <w:link w:val="3"/>
    <w:qFormat/>
    <w:uiPriority w:val="9"/>
    <w:rPr>
      <w:rFonts w:ascii="Times New Roman" w:hAnsi="Times New Roman"/>
      <w:b/>
      <w:bCs/>
      <w:kern w:val="44"/>
      <w:sz w:val="44"/>
      <w:szCs w:val="44"/>
    </w:rPr>
  </w:style>
  <w:style w:type="character" w:customStyle="1" w:styleId="31">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10"/>
    <w:semiHidden/>
    <w:qFormat/>
    <w:uiPriority w:val="99"/>
    <w:rPr>
      <w:rFonts w:ascii="Times New Roman" w:hAnsi="Times New Roman"/>
      <w:kern w:val="2"/>
      <w:sz w:val="18"/>
      <w:szCs w:val="18"/>
    </w:rPr>
  </w:style>
  <w:style w:type="character" w:customStyle="1" w:styleId="34">
    <w:name w:val="标题 3 字符"/>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2&#24180;&#37096;&#38376;&#20915;&#31639;&#20844;&#24320;\&#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2&#24180;&#37096;&#38376;&#20915;&#31639;&#20844;&#24320;\&#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2&#24180;&#37096;&#38376;&#20915;&#31639;&#20844;&#24320;\&#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0.2589</c:v>
                </c:pt>
                <c:pt idx="1">
                  <c:v>0</c:v>
                </c:pt>
                <c:pt idx="2">
                  <c:v>0</c:v>
                </c:pt>
                <c:pt idx="3">
                  <c:v>0.6731</c:v>
                </c:pt>
                <c:pt idx="4">
                  <c:v>0</c:v>
                </c:pt>
                <c:pt idx="5">
                  <c:v>0.068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一般公共服务（类）支出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0</c:v>
                </c:pt>
                <c:pt idx="1">
                  <c:v>13.79</c:v>
                </c:pt>
                <c:pt idx="2">
                  <c:v>202.7</c:v>
                </c:pt>
                <c:pt idx="3">
                  <c:v>5.61</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0.58</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11655</Words>
  <Characters>13334</Characters>
  <Lines>1</Lines>
  <Paragraphs>1</Paragraphs>
  <TotalTime>2</TotalTime>
  <ScaleCrop>false</ScaleCrop>
  <LinksUpToDate>false</LinksUpToDate>
  <CharactersWithSpaces>13387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NO LOVE</cp:lastModifiedBy>
  <cp:lastPrinted>2023-07-31T02:35:00Z</cp:lastPrinted>
  <dcterms:modified xsi:type="dcterms:W3CDTF">2023-10-29T01:17:53Z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588A841DA77B4D25A40CD03BC672D5A4_13</vt:lpwstr>
  </property>
</Properties>
</file>