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方正小标宋简体" w:hAnsi="宋体" w:eastAsia="方正小标宋简体"/>
          <w:szCs w:val="21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" w:name="_Toc15377425"/>
      <w:bookmarkStart w:id="2" w:name="_Toc30741"/>
      <w:bookmarkStart w:id="3" w:name="_Toc15396597"/>
      <w:bookmarkStart w:id="4" w:name="_Toc15378441"/>
      <w:bookmarkStart w:id="5" w:name="_Toc15377193"/>
      <w:bookmarkStart w:id="6" w:name="_Toc15396475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2022年度</w:t>
      </w:r>
      <w:bookmarkEnd w:id="1"/>
      <w:bookmarkEnd w:id="2"/>
      <w:bookmarkEnd w:id="3"/>
      <w:bookmarkEnd w:id="4"/>
      <w:bookmarkEnd w:id="5"/>
      <w:bookmarkEnd w:id="6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bookmarkStart w:id="7" w:name="_Toc14821"/>
      <w:bookmarkStart w:id="8" w:name="_Toc15396476"/>
      <w:bookmarkStart w:id="9" w:name="_Toc15378442"/>
      <w:bookmarkStart w:id="10" w:name="_Toc15377194"/>
      <w:bookmarkStart w:id="11" w:name="_Toc15377426"/>
      <w:bookmarkStart w:id="12" w:name="_Toc15396598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剑阁县</w:t>
      </w:r>
      <w:bookmarkEnd w:id="0"/>
      <w:bookmarkStart w:id="13" w:name="_Toc15306268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张王镇卫生院</w:t>
      </w:r>
      <w:bookmarkEnd w:id="7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4" w:name="_Toc2137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单位决算</w:t>
      </w:r>
      <w:bookmarkEnd w:id="8"/>
      <w:bookmarkEnd w:id="9"/>
      <w:bookmarkEnd w:id="10"/>
      <w:bookmarkEnd w:id="11"/>
      <w:bookmarkEnd w:id="12"/>
      <w:bookmarkEnd w:id="13"/>
      <w:bookmarkEnd w:id="14"/>
    </w:p>
    <w:p>
      <w:pPr>
        <w:widowControl/>
        <w:jc w:val="center"/>
        <w:rPr>
          <w:rFonts w:ascii="黑体" w:hAnsi="黑体" w:eastAsia="黑体"/>
          <w:sz w:val="48"/>
          <w:szCs w:val="48"/>
        </w:rPr>
      </w:pPr>
      <w:r>
        <w:rPr>
          <w:rFonts w:ascii="方正小标宋简体" w:hAnsi="宋体" w:eastAsia="方正小标宋简体"/>
          <w:sz w:val="36"/>
          <w:szCs w:val="36"/>
        </w:rPr>
        <w:br w:type="page"/>
      </w:r>
      <w:r>
        <w:rPr>
          <w:rFonts w:hint="eastAsia" w:ascii="黑体" w:hAnsi="黑体" w:eastAsia="黑体"/>
          <w:sz w:val="48"/>
          <w:szCs w:val="48"/>
        </w:rPr>
        <w:t>目录</w:t>
      </w:r>
    </w:p>
    <w:p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</w:p>
    <w:p>
      <w:pPr>
        <w:pStyle w:val="13"/>
      </w:pPr>
      <w:r>
        <w:rPr>
          <w:rFonts w:hint="eastAsia"/>
        </w:rPr>
        <w:t>公开时间：2023年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  <w:bookmarkStart w:id="15" w:name="_Toc15396599"/>
      <w:bookmarkStart w:id="16" w:name="_Toc15377196"/>
      <w:r>
        <w:fldChar w:fldCharType="begin"/>
      </w:r>
      <w:r>
        <w:instrText xml:space="preserve">TOC \o "1-9" \h \u </w:instrText>
      </w:r>
      <w:r>
        <w:fldChar w:fldCharType="separate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_Toc9684 </w:instrText>
      </w:r>
      <w:r>
        <w:fldChar w:fldCharType="separate"/>
      </w:r>
      <w:r>
        <w:rPr>
          <w:rFonts w:hint="eastAsia" w:ascii="黑体" w:hAnsi="黑体" w:eastAsia="黑体"/>
        </w:rPr>
        <w:t>第一部分 单位</w:t>
      </w:r>
      <w:r>
        <w:rPr>
          <w:rFonts w:hint="eastAsia" w:ascii="黑体" w:hAnsi="黑体" w:eastAsia="黑体"/>
          <w:bCs w:val="0"/>
        </w:rPr>
        <w:t>概况</w:t>
      </w:r>
      <w:r>
        <w:tab/>
      </w:r>
      <w:r>
        <w:fldChar w:fldCharType="begin"/>
      </w:r>
      <w:r>
        <w:instrText xml:space="preserve"> PAGEREF _Toc9684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_Toc9371 </w:instrText>
      </w:r>
      <w:r>
        <w:fldChar w:fldCharType="separate"/>
      </w:r>
      <w:r>
        <w:rPr>
          <w:rFonts w:hint="eastAsia" w:ascii="黑体" w:hAnsi="黑体" w:eastAsia="黑体"/>
          <w:bCs w:val="0"/>
        </w:rPr>
        <w:t>一、 主要职责</w:t>
      </w:r>
      <w:r>
        <w:tab/>
      </w:r>
      <w:r>
        <w:fldChar w:fldCharType="begin"/>
      </w:r>
      <w:r>
        <w:instrText xml:space="preserve"> PAGEREF _Toc9371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_Toc21411 </w:instrText>
      </w:r>
      <w:r>
        <w:fldChar w:fldCharType="separate"/>
      </w:r>
      <w:r>
        <w:rPr>
          <w:rFonts w:hint="eastAsia" w:ascii="黑体" w:hAnsi="黑体" w:eastAsia="黑体"/>
        </w:rPr>
        <w:t>二、 机构设置</w:t>
      </w:r>
      <w:r>
        <w:tab/>
      </w:r>
      <w:r>
        <w:fldChar w:fldCharType="begin"/>
      </w:r>
      <w:r>
        <w:instrText xml:space="preserve"> PAGEREF _Toc21411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_Toc23518 </w:instrText>
      </w:r>
      <w:r>
        <w:fldChar w:fldCharType="separate"/>
      </w:r>
      <w:r>
        <w:rPr>
          <w:rFonts w:hint="eastAsia" w:ascii="黑体" w:hAnsi="黑体" w:eastAsia="黑体"/>
        </w:rPr>
        <w:t>第二部分 2022年度</w:t>
      </w:r>
      <w:r>
        <w:rPr>
          <w:rFonts w:hint="eastAsia" w:ascii="黑体" w:hAnsi="黑体" w:eastAsia="黑体"/>
          <w:bCs/>
        </w:rPr>
        <w:t>单位决算情况说明</w:t>
      </w:r>
      <w:r>
        <w:tab/>
      </w:r>
      <w:r>
        <w:fldChar w:fldCharType="begin"/>
      </w:r>
      <w:r>
        <w:instrText xml:space="preserve"> PAGEREF _Toc23518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_Toc31974 </w:instrText>
      </w:r>
      <w:r>
        <w:fldChar w:fldCharType="separate"/>
      </w:r>
      <w:r>
        <w:rPr>
          <w:rFonts w:hint="default" w:ascii="黑体" w:hAnsi="黑体" w:eastAsia="黑体"/>
        </w:rPr>
        <w:t xml:space="preserve">一、 </w:t>
      </w:r>
      <w:r>
        <w:rPr>
          <w:rFonts w:hint="eastAsia" w:ascii="黑体" w:hAnsi="黑体" w:eastAsia="黑体"/>
          <w:szCs w:val="32"/>
        </w:rPr>
        <w:t>收</w:t>
      </w:r>
      <w:r>
        <w:rPr>
          <w:rFonts w:hint="eastAsia" w:ascii="黑体" w:hAnsi="黑体" w:eastAsia="黑体"/>
        </w:rPr>
        <w:t>入支出决算总体情况说明</w:t>
      </w:r>
      <w:r>
        <w:tab/>
      </w:r>
      <w:r>
        <w:fldChar w:fldCharType="begin"/>
      </w:r>
      <w:r>
        <w:instrText xml:space="preserve"> PAGEREF _Toc31974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_Toc16278 </w:instrText>
      </w:r>
      <w:r>
        <w:fldChar w:fldCharType="separate"/>
      </w:r>
      <w:r>
        <w:rPr>
          <w:rFonts w:hint="default" w:ascii="黑体" w:hAnsi="黑体" w:eastAsia="黑体"/>
        </w:rPr>
        <w:t xml:space="preserve">二、 </w:t>
      </w:r>
      <w:r>
        <w:rPr>
          <w:rFonts w:hint="eastAsia" w:ascii="黑体" w:hAnsi="黑体" w:eastAsia="黑体"/>
          <w:szCs w:val="32"/>
        </w:rPr>
        <w:t>收</w:t>
      </w:r>
      <w:r>
        <w:rPr>
          <w:rFonts w:hint="eastAsia" w:ascii="黑体" w:hAnsi="黑体" w:eastAsia="黑体"/>
        </w:rPr>
        <w:t>入决算情况说明</w:t>
      </w:r>
      <w:r>
        <w:tab/>
      </w:r>
      <w:r>
        <w:fldChar w:fldCharType="begin"/>
      </w:r>
      <w:r>
        <w:instrText xml:space="preserve"> PAGEREF _Toc16278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_Toc5161 </w:instrText>
      </w:r>
      <w:r>
        <w:fldChar w:fldCharType="separate"/>
      </w:r>
      <w:r>
        <w:rPr>
          <w:rFonts w:hint="default" w:ascii="黑体" w:hAnsi="黑体" w:eastAsia="黑体"/>
        </w:rPr>
        <w:t xml:space="preserve">三、 </w:t>
      </w:r>
      <w:r>
        <w:rPr>
          <w:rFonts w:hint="eastAsia" w:ascii="黑体" w:hAnsi="黑体" w:eastAsia="黑体"/>
          <w:szCs w:val="32"/>
        </w:rPr>
        <w:t>支</w:t>
      </w:r>
      <w:r>
        <w:rPr>
          <w:rFonts w:hint="eastAsia" w:ascii="黑体" w:hAnsi="黑体" w:eastAsia="黑体"/>
        </w:rPr>
        <w:t>出决算情况说明</w:t>
      </w:r>
      <w:r>
        <w:tab/>
      </w:r>
      <w:r>
        <w:fldChar w:fldCharType="begin"/>
      </w:r>
      <w:r>
        <w:instrText xml:space="preserve"> PAGEREF _Toc5161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_Toc21544 </w:instrText>
      </w:r>
      <w:r>
        <w:fldChar w:fldCharType="separate"/>
      </w:r>
      <w:r>
        <w:rPr>
          <w:rFonts w:hint="eastAsia" w:ascii="黑体" w:hAnsi="黑体" w:eastAsia="黑体"/>
          <w:szCs w:val="32"/>
        </w:rPr>
        <w:t>四、财</w:t>
      </w:r>
      <w:r>
        <w:rPr>
          <w:rFonts w:hint="eastAsia" w:ascii="黑体" w:hAnsi="黑体" w:eastAsia="黑体"/>
        </w:rPr>
        <w:t>政拨款收入支出决算总体情况说明</w:t>
      </w:r>
      <w:r>
        <w:tab/>
      </w:r>
      <w:r>
        <w:fldChar w:fldCharType="begin"/>
      </w:r>
      <w:r>
        <w:instrText xml:space="preserve"> PAGEREF _Toc21544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_Toc21948 </w:instrText>
      </w:r>
      <w:r>
        <w:fldChar w:fldCharType="separate"/>
      </w:r>
      <w:r>
        <w:rPr>
          <w:rFonts w:hint="eastAsia" w:ascii="黑体" w:hAnsi="黑体" w:eastAsia="黑体"/>
          <w:szCs w:val="32"/>
        </w:rPr>
        <w:t>五、一</w:t>
      </w:r>
      <w:r>
        <w:rPr>
          <w:rFonts w:hint="eastAsia" w:ascii="黑体" w:hAnsi="黑体" w:eastAsia="黑体"/>
        </w:rPr>
        <w:t>般公共预算财政拨款支出决算情况说明</w:t>
      </w:r>
      <w:r>
        <w:tab/>
      </w:r>
      <w:r>
        <w:fldChar w:fldCharType="begin"/>
      </w:r>
      <w:r>
        <w:instrText xml:space="preserve"> PAGEREF _Toc21948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_Toc25722 </w:instrText>
      </w:r>
      <w:r>
        <w:fldChar w:fldCharType="separate"/>
      </w:r>
      <w:r>
        <w:rPr>
          <w:rFonts w:hint="eastAsia" w:ascii="仿宋" w:hAnsi="仿宋" w:eastAsia="仿宋"/>
          <w:szCs w:val="32"/>
        </w:rPr>
        <w:t>（一）一般公共预算财政拨款支出决算总体情况</w:t>
      </w:r>
      <w:r>
        <w:tab/>
      </w:r>
      <w:r>
        <w:fldChar w:fldCharType="begin"/>
      </w:r>
      <w:r>
        <w:instrText xml:space="preserve"> PAGEREF _Toc25722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_Toc29439 </w:instrText>
      </w:r>
      <w:r>
        <w:fldChar w:fldCharType="separate"/>
      </w:r>
      <w:r>
        <w:rPr>
          <w:rFonts w:hint="eastAsia" w:ascii="仿宋" w:hAnsi="仿宋" w:eastAsia="仿宋"/>
          <w:szCs w:val="32"/>
        </w:rPr>
        <w:t>（二）一般公共预算财政拨款支出决算结构情况</w:t>
      </w:r>
      <w:r>
        <w:tab/>
      </w:r>
      <w:r>
        <w:fldChar w:fldCharType="begin"/>
      </w:r>
      <w:r>
        <w:instrText xml:space="preserve"> PAGEREF _Toc29439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_Toc30632 </w:instrText>
      </w:r>
      <w:r>
        <w:fldChar w:fldCharType="separate"/>
      </w:r>
      <w:r>
        <w:rPr>
          <w:rFonts w:hint="eastAsia" w:ascii="仿宋" w:hAnsi="仿宋" w:eastAsia="仿宋"/>
          <w:szCs w:val="32"/>
        </w:rPr>
        <w:t>（三）一般公共预算财政拨款支出决算具体情况</w:t>
      </w:r>
      <w:r>
        <w:tab/>
      </w:r>
      <w:r>
        <w:fldChar w:fldCharType="begin"/>
      </w:r>
      <w:r>
        <w:instrText xml:space="preserve"> PAGEREF _Toc30632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_Toc30645 </w:instrText>
      </w:r>
      <w:r>
        <w:fldChar w:fldCharType="separate"/>
      </w:r>
      <w:r>
        <w:rPr>
          <w:rFonts w:hint="eastAsia" w:ascii="仿宋" w:hAnsi="仿宋" w:eastAsia="仿宋"/>
          <w:szCs w:val="32"/>
        </w:rPr>
        <w:t>2022年一般公共预算支出决算数为</w:t>
      </w:r>
      <w:r>
        <w:rPr>
          <w:rFonts w:hint="eastAsia" w:ascii="仿宋" w:hAnsi="仿宋" w:eastAsia="仿宋"/>
          <w:szCs w:val="32"/>
          <w:lang w:val="en-US" w:eastAsia="zh-CN"/>
        </w:rPr>
        <w:t>128.37</w:t>
      </w:r>
      <w:r>
        <w:rPr>
          <w:rFonts w:hint="eastAsia" w:ascii="仿宋" w:hAnsi="仿宋" w:eastAsia="仿宋"/>
          <w:szCs w:val="32"/>
        </w:rPr>
        <w:t>，</w:t>
      </w:r>
      <w:r>
        <w:rPr>
          <w:rFonts w:hint="eastAsia" w:ascii="仿宋" w:hAnsi="仿宋" w:eastAsia="仿宋"/>
          <w:bCs/>
          <w:szCs w:val="32"/>
        </w:rPr>
        <w:t>完成预算</w:t>
      </w:r>
      <w:r>
        <w:rPr>
          <w:rFonts w:hint="eastAsia" w:ascii="仿宋" w:hAnsi="仿宋" w:eastAsia="仿宋"/>
          <w:bCs/>
          <w:szCs w:val="32"/>
          <w:lang w:val="en-US" w:eastAsia="zh-CN"/>
        </w:rPr>
        <w:t>100</w:t>
      </w:r>
      <w:r>
        <w:rPr>
          <w:rFonts w:ascii="仿宋" w:hAnsi="仿宋" w:eastAsia="仿宋"/>
          <w:bCs/>
          <w:szCs w:val="32"/>
        </w:rPr>
        <w:t>%</w:t>
      </w:r>
      <w:r>
        <w:rPr>
          <w:rFonts w:hint="eastAsia" w:ascii="仿宋" w:hAnsi="仿宋" w:eastAsia="仿宋"/>
          <w:bCs/>
          <w:szCs w:val="32"/>
        </w:rPr>
        <w:t>。其中：</w:t>
      </w:r>
      <w:r>
        <w:tab/>
      </w:r>
      <w:r>
        <w:fldChar w:fldCharType="begin"/>
      </w:r>
      <w:r>
        <w:instrText xml:space="preserve"> PAGEREF _Toc30645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_Toc12645 </w:instrText>
      </w:r>
      <w:r>
        <w:fldChar w:fldCharType="separate"/>
      </w:r>
      <w:r>
        <w:rPr>
          <w:rFonts w:hint="eastAsia" w:ascii="黑体" w:eastAsia="黑体"/>
          <w:szCs w:val="32"/>
        </w:rPr>
        <w:t>六、</w:t>
      </w:r>
      <w:r>
        <w:rPr>
          <w:rFonts w:hint="eastAsia" w:ascii="黑体" w:hAnsi="黑体" w:eastAsia="黑体"/>
          <w:szCs w:val="32"/>
        </w:rPr>
        <w:t>一</w:t>
      </w:r>
      <w:r>
        <w:rPr>
          <w:rFonts w:hint="eastAsia" w:ascii="黑体" w:hAnsi="黑体" w:eastAsia="黑体"/>
        </w:rPr>
        <w:t>般公共预算财政拨款基本支出决算情况说明</w:t>
      </w:r>
      <w:r>
        <w:tab/>
      </w:r>
      <w:r>
        <w:fldChar w:fldCharType="begin"/>
      </w:r>
      <w:r>
        <w:instrText xml:space="preserve"> PAGEREF _Toc12645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_Toc27391 </w:instrText>
      </w:r>
      <w:r>
        <w:fldChar w:fldCharType="separate"/>
      </w:r>
      <w:r>
        <w:rPr>
          <w:rFonts w:hint="eastAsia" w:ascii="黑体" w:eastAsia="黑体"/>
          <w:szCs w:val="32"/>
        </w:rPr>
        <w:t>七、</w:t>
      </w:r>
      <w:r>
        <w:rPr>
          <w:rFonts w:hint="eastAsia" w:ascii="黑体" w:hAnsi="黑体" w:eastAsia="黑体"/>
        </w:rPr>
        <w:t>财政拨款“三公”经费支出决算情况说明</w:t>
      </w:r>
      <w:r>
        <w:tab/>
      </w:r>
      <w:r>
        <w:fldChar w:fldCharType="begin"/>
      </w:r>
      <w:r>
        <w:instrText xml:space="preserve"> PAGEREF _Toc27391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_Toc3491 </w:instrText>
      </w:r>
      <w:r>
        <w:fldChar w:fldCharType="separate"/>
      </w:r>
      <w:r>
        <w:rPr>
          <w:rFonts w:hint="eastAsia" w:ascii="仿宋" w:hAnsi="仿宋" w:eastAsia="仿宋"/>
          <w:szCs w:val="32"/>
        </w:rPr>
        <w:t>（一）“三公”经费财政拨款支出决算总体情况说明</w:t>
      </w:r>
      <w:r>
        <w:tab/>
      </w:r>
      <w:r>
        <w:fldChar w:fldCharType="begin"/>
      </w:r>
      <w:r>
        <w:instrText xml:space="preserve"> PAGEREF _Toc3491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_Toc27922 </w:instrText>
      </w:r>
      <w:r>
        <w:fldChar w:fldCharType="separate"/>
      </w:r>
      <w:r>
        <w:rPr>
          <w:rFonts w:hint="eastAsia" w:ascii="仿宋" w:hAnsi="仿宋" w:eastAsia="仿宋"/>
          <w:szCs w:val="32"/>
        </w:rPr>
        <w:t>（二）“三公”经费财政拨款支出决算具体情况说明</w:t>
      </w:r>
      <w:r>
        <w:tab/>
      </w:r>
      <w:r>
        <w:fldChar w:fldCharType="begin"/>
      </w:r>
      <w:r>
        <w:instrText xml:space="preserve"> PAGEREF _Toc27922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_Toc6050 </w:instrText>
      </w:r>
      <w:r>
        <w:fldChar w:fldCharType="separate"/>
      </w:r>
      <w:r>
        <w:rPr>
          <w:rFonts w:hint="eastAsia" w:ascii="黑体" w:eastAsia="黑体"/>
          <w:szCs w:val="32"/>
        </w:rPr>
        <w:t>八、</w:t>
      </w:r>
      <w:r>
        <w:rPr>
          <w:rFonts w:hint="eastAsia" w:ascii="黑体" w:hAnsi="黑体" w:eastAsia="黑体"/>
        </w:rPr>
        <w:t>政府性基金预算支出决算情况说明</w:t>
      </w:r>
      <w:r>
        <w:tab/>
      </w:r>
      <w:r>
        <w:fldChar w:fldCharType="begin"/>
      </w:r>
      <w:r>
        <w:instrText xml:space="preserve"> PAGEREF _Toc6050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_Toc8325 </w:instrText>
      </w:r>
      <w:r>
        <w:fldChar w:fldCharType="separate"/>
      </w:r>
      <w:r>
        <w:rPr>
          <w:rFonts w:hint="eastAsia" w:ascii="黑体" w:hAnsi="黑体" w:eastAsia="黑体"/>
        </w:rPr>
        <w:t>九、 国有资本经营预算支出决算情况说明</w:t>
      </w:r>
      <w:r>
        <w:tab/>
      </w:r>
      <w:r>
        <w:fldChar w:fldCharType="begin"/>
      </w:r>
      <w:r>
        <w:instrText xml:space="preserve"> PAGEREF _Toc8325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_Toc660 </w:instrText>
      </w:r>
      <w:r>
        <w:fldChar w:fldCharType="separate"/>
      </w:r>
      <w:r>
        <w:rPr>
          <w:rFonts w:hint="eastAsia" w:ascii="黑体" w:hAnsi="黑体" w:eastAsia="黑体"/>
        </w:rPr>
        <w:t>十、 其他重要事项的情况说明</w:t>
      </w:r>
      <w:r>
        <w:tab/>
      </w:r>
      <w:r>
        <w:fldChar w:fldCharType="begin"/>
      </w:r>
      <w:r>
        <w:instrText xml:space="preserve"> PAGEREF _Toc660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_Toc25331 </w:instrText>
      </w:r>
      <w:r>
        <w:fldChar w:fldCharType="separate"/>
      </w:r>
      <w:r>
        <w:rPr>
          <w:rFonts w:hint="eastAsia" w:ascii="仿宋" w:hAnsi="仿宋" w:eastAsia="仿宋"/>
          <w:szCs w:val="32"/>
        </w:rPr>
        <w:t>（一）机关运行经费支出情况</w:t>
      </w:r>
      <w:r>
        <w:tab/>
      </w:r>
      <w:r>
        <w:fldChar w:fldCharType="begin"/>
      </w:r>
      <w:r>
        <w:instrText xml:space="preserve"> PAGEREF _Toc25331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_Toc30760 </w:instrText>
      </w:r>
      <w:r>
        <w:fldChar w:fldCharType="separate"/>
      </w:r>
      <w:r>
        <w:rPr>
          <w:rFonts w:hint="eastAsia" w:ascii="仿宋" w:hAnsi="仿宋" w:eastAsia="仿宋"/>
          <w:szCs w:val="32"/>
        </w:rPr>
        <w:t>（二）政府采购支出情况</w:t>
      </w:r>
      <w:r>
        <w:tab/>
      </w:r>
      <w:r>
        <w:fldChar w:fldCharType="begin"/>
      </w:r>
      <w:r>
        <w:instrText xml:space="preserve"> PAGEREF _Toc30760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8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_Toc30654 </w:instrText>
      </w:r>
      <w:r>
        <w:fldChar w:fldCharType="separate"/>
      </w:r>
      <w:r>
        <w:rPr>
          <w:rFonts w:hint="eastAsia" w:ascii="仿宋" w:hAnsi="仿宋" w:eastAsia="仿宋"/>
          <w:szCs w:val="32"/>
        </w:rPr>
        <w:t>（三）国有资产占有使用情况</w:t>
      </w:r>
      <w:r>
        <w:tab/>
      </w:r>
      <w:r>
        <w:fldChar w:fldCharType="begin"/>
      </w:r>
      <w:r>
        <w:instrText xml:space="preserve"> PAGEREF _Toc30654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  <w:bookmarkStart w:id="110" w:name="_GoBack"/>
      <w:bookmarkEnd w:id="110"/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_Toc7686 </w:instrText>
      </w:r>
      <w:r>
        <w:fldChar w:fldCharType="separate"/>
      </w:r>
      <w:r>
        <w:rPr>
          <w:rFonts w:hint="eastAsia" w:ascii="黑体" w:hAnsi="黑体" w:eastAsia="黑体" w:cs="黑体"/>
          <w:szCs w:val="44"/>
        </w:rPr>
        <w:t xml:space="preserve">第三部分 </w:t>
      </w:r>
      <w:r>
        <w:rPr>
          <w:rFonts w:hint="eastAsia" w:ascii="黑体" w:hAnsi="黑体" w:eastAsia="黑体"/>
          <w:szCs w:val="44"/>
        </w:rPr>
        <w:t>名</w:t>
      </w:r>
      <w:r>
        <w:rPr>
          <w:rFonts w:hint="eastAsia" w:ascii="黑体" w:hAnsi="黑体" w:eastAsia="黑体"/>
        </w:rPr>
        <w:t>词解释</w:t>
      </w:r>
      <w:r>
        <w:tab/>
      </w:r>
      <w:r>
        <w:fldChar w:fldCharType="begin"/>
      </w:r>
      <w:r>
        <w:instrText xml:space="preserve"> PAGEREF _Toc7686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_Toc19522 </w:instrText>
      </w:r>
      <w:r>
        <w:fldChar w:fldCharType="separate"/>
      </w:r>
      <w:r>
        <w:rPr>
          <w:rFonts w:hint="eastAsia" w:ascii="黑体" w:hAnsi="黑体" w:eastAsia="黑体"/>
          <w:szCs w:val="44"/>
        </w:rPr>
        <w:t>第</w:t>
      </w:r>
      <w:r>
        <w:rPr>
          <w:rFonts w:hint="eastAsia" w:ascii="黑体" w:hAnsi="黑体" w:eastAsia="黑体"/>
          <w:lang w:eastAsia="zh-CN"/>
        </w:rPr>
        <w:t>四</w:t>
      </w:r>
      <w:r>
        <w:rPr>
          <w:rFonts w:hint="eastAsia" w:ascii="黑体" w:hAnsi="黑体" w:eastAsia="黑体"/>
        </w:rPr>
        <w:t>部分 附表</w:t>
      </w:r>
      <w:r>
        <w:tab/>
      </w:r>
      <w:r>
        <w:fldChar w:fldCharType="begin"/>
      </w:r>
      <w:r>
        <w:instrText xml:space="preserve"> PAGEREF _Toc19522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_Toc8763 </w:instrText>
      </w:r>
      <w:r>
        <w:fldChar w:fldCharType="separate"/>
      </w:r>
      <w:r>
        <w:rPr>
          <w:rFonts w:hint="eastAsia" w:ascii="仿宋" w:hAnsi="仿宋" w:eastAsia="仿宋"/>
        </w:rPr>
        <w:t>一、收</w:t>
      </w:r>
      <w:r>
        <w:rPr>
          <w:rFonts w:hint="eastAsia" w:ascii="仿宋" w:hAnsi="仿宋" w:eastAsia="仿宋"/>
          <w:bCs w:val="0"/>
        </w:rPr>
        <w:t>入支出决算总表</w:t>
      </w:r>
      <w:r>
        <w:tab/>
      </w:r>
      <w:r>
        <w:fldChar w:fldCharType="begin"/>
      </w:r>
      <w:r>
        <w:instrText xml:space="preserve"> PAGEREF _Toc8763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_Toc20996 </w:instrText>
      </w:r>
      <w:r>
        <w:fldChar w:fldCharType="separate"/>
      </w:r>
      <w:r>
        <w:rPr>
          <w:rFonts w:hint="eastAsia" w:ascii="仿宋" w:hAnsi="仿宋" w:eastAsia="仿宋"/>
        </w:rPr>
        <w:t>二、收</w:t>
      </w:r>
      <w:r>
        <w:rPr>
          <w:rFonts w:hint="eastAsia" w:ascii="仿宋" w:hAnsi="仿宋" w:eastAsia="仿宋"/>
          <w:bCs w:val="0"/>
        </w:rPr>
        <w:t>入决算表</w:t>
      </w:r>
      <w:r>
        <w:tab/>
      </w:r>
      <w:r>
        <w:fldChar w:fldCharType="begin"/>
      </w:r>
      <w:r>
        <w:instrText xml:space="preserve"> PAGEREF _Toc20996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_Toc7418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三、</w:t>
      </w:r>
      <w:r>
        <w:rPr>
          <w:rFonts w:hint="eastAsia" w:ascii="仿宋" w:hAnsi="仿宋" w:eastAsia="仿宋"/>
        </w:rPr>
        <w:t>支</w:t>
      </w:r>
      <w:r>
        <w:rPr>
          <w:rFonts w:hint="eastAsia" w:ascii="仿宋" w:hAnsi="仿宋" w:eastAsia="仿宋"/>
          <w:bCs w:val="0"/>
        </w:rPr>
        <w:t>出决算表</w:t>
      </w:r>
      <w:r>
        <w:tab/>
      </w:r>
      <w:r>
        <w:fldChar w:fldCharType="begin"/>
      </w:r>
      <w:r>
        <w:instrText xml:space="preserve"> PAGEREF _Toc7418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_Toc7896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四、</w:t>
      </w:r>
      <w:r>
        <w:rPr>
          <w:rFonts w:hint="eastAsia" w:ascii="仿宋" w:hAnsi="仿宋" w:eastAsia="仿宋"/>
        </w:rPr>
        <w:t>财</w:t>
      </w:r>
      <w:r>
        <w:rPr>
          <w:rFonts w:hint="eastAsia" w:ascii="仿宋" w:hAnsi="仿宋" w:eastAsia="仿宋"/>
          <w:bCs w:val="0"/>
        </w:rPr>
        <w:t>政拨款收入支出决算总表</w:t>
      </w:r>
      <w:r>
        <w:tab/>
      </w:r>
      <w:r>
        <w:fldChar w:fldCharType="begin"/>
      </w:r>
      <w:r>
        <w:instrText xml:space="preserve"> PAGEREF _Toc7896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_Toc23539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五、</w:t>
      </w:r>
      <w:r>
        <w:rPr>
          <w:rFonts w:hint="eastAsia" w:ascii="仿宋" w:hAnsi="仿宋" w:eastAsia="仿宋"/>
        </w:rPr>
        <w:t>财</w:t>
      </w:r>
      <w:r>
        <w:rPr>
          <w:rFonts w:hint="eastAsia" w:ascii="仿宋" w:hAnsi="仿宋" w:eastAsia="仿宋"/>
          <w:bCs w:val="0"/>
        </w:rPr>
        <w:t>政拨款支出决算明细表</w:t>
      </w:r>
      <w:r>
        <w:tab/>
      </w:r>
      <w:r>
        <w:fldChar w:fldCharType="begin"/>
      </w:r>
      <w:r>
        <w:instrText xml:space="preserve"> PAGEREF _Toc23539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_Toc23471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六、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般公共预算财政拨款支出决算表</w:t>
      </w:r>
      <w:r>
        <w:tab/>
      </w:r>
      <w:r>
        <w:fldChar w:fldCharType="begin"/>
      </w:r>
      <w:r>
        <w:instrText xml:space="preserve"> PAGEREF _Toc23471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_Toc31170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七、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般公共预算财政拨款支出决算明细表</w:t>
      </w:r>
      <w:r>
        <w:tab/>
      </w:r>
      <w:r>
        <w:fldChar w:fldCharType="begin"/>
      </w:r>
      <w:r>
        <w:instrText xml:space="preserve"> PAGEREF _Toc31170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_Toc16486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八、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般公共预算财政拨款基本支出决算表</w:t>
      </w:r>
      <w:r>
        <w:tab/>
      </w:r>
      <w:r>
        <w:fldChar w:fldCharType="begin"/>
      </w:r>
      <w:r>
        <w:instrText xml:space="preserve"> PAGEREF _Toc16486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_Toc24530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九、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般公共预算财政拨款项目支出决算表</w:t>
      </w:r>
      <w:r>
        <w:tab/>
      </w:r>
      <w:r>
        <w:fldChar w:fldCharType="begin"/>
      </w:r>
      <w:r>
        <w:instrText xml:space="preserve"> PAGEREF _Toc24530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_Toc26033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十、</w:t>
      </w:r>
      <w:r>
        <w:rPr>
          <w:rFonts w:hint="eastAsia" w:ascii="仿宋" w:hAnsi="仿宋" w:eastAsia="仿宋"/>
        </w:rPr>
        <w:t>政</w:t>
      </w:r>
      <w:r>
        <w:rPr>
          <w:rFonts w:hint="eastAsia" w:ascii="仿宋" w:hAnsi="仿宋" w:eastAsia="仿宋"/>
          <w:bCs w:val="0"/>
        </w:rPr>
        <w:t>府性基金预算财政拨款收入支出决算表</w:t>
      </w:r>
      <w:r>
        <w:tab/>
      </w:r>
      <w:r>
        <w:fldChar w:fldCharType="begin"/>
      </w:r>
      <w:r>
        <w:instrText xml:space="preserve"> PAGEREF _Toc26033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_Toc11550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十一、</w:t>
      </w:r>
      <w:r>
        <w:rPr>
          <w:rFonts w:hint="eastAsia" w:ascii="仿宋" w:hAnsi="仿宋" w:eastAsia="仿宋"/>
        </w:rPr>
        <w:t>国</w:t>
      </w:r>
      <w:r>
        <w:rPr>
          <w:rFonts w:hint="eastAsia" w:ascii="仿宋" w:hAnsi="仿宋" w:eastAsia="仿宋"/>
          <w:bCs w:val="0"/>
        </w:rPr>
        <w:t>有资本经营预算财政拨款收入支出决算表</w:t>
      </w:r>
      <w:r>
        <w:tab/>
      </w:r>
      <w:r>
        <w:fldChar w:fldCharType="begin"/>
      </w:r>
      <w:r>
        <w:instrText xml:space="preserve"> PAGEREF _Toc11550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_Toc31598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十二、国有资本经营预算财政拨款支出决算表</w:t>
      </w:r>
      <w:r>
        <w:tab/>
      </w:r>
      <w:r>
        <w:fldChar w:fldCharType="begin"/>
      </w:r>
      <w:r>
        <w:instrText xml:space="preserve"> PAGEREF _Toc31598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_Toc21414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十三、财政拨款“三公”经费支出决算表</w:t>
      </w:r>
      <w:r>
        <w:tab/>
      </w:r>
      <w:r>
        <w:fldChar w:fldCharType="begin"/>
      </w:r>
      <w:r>
        <w:instrText xml:space="preserve"> PAGEREF _Toc21414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widowControl/>
        <w:spacing w:line="440" w:lineRule="exact"/>
        <w:jc w:val="left"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br w:type="page"/>
      </w:r>
    </w:p>
    <w:p>
      <w:pPr>
        <w:pStyle w:val="4"/>
        <w:jc w:val="center"/>
        <w:rPr>
          <w:rFonts w:ascii="黑体" w:eastAsia="黑体"/>
          <w:sz w:val="32"/>
          <w:szCs w:val="32"/>
        </w:rPr>
      </w:pPr>
      <w:bookmarkStart w:id="17" w:name="_Toc9684"/>
      <w:r>
        <w:rPr>
          <w:rFonts w:hint="eastAsia" w:ascii="黑体" w:hAnsi="黑体" w:eastAsia="黑体"/>
          <w:b w:val="0"/>
        </w:rPr>
        <w:t>第一部分 单位</w:t>
      </w:r>
      <w:r>
        <w:rPr>
          <w:rStyle w:val="29"/>
          <w:rFonts w:hint="eastAsia" w:ascii="黑体" w:hAnsi="黑体" w:eastAsia="黑体"/>
          <w:b w:val="0"/>
          <w:bCs w:val="0"/>
        </w:rPr>
        <w:t>概况</w:t>
      </w:r>
      <w:bookmarkEnd w:id="15"/>
      <w:bookmarkEnd w:id="16"/>
      <w:bookmarkEnd w:id="17"/>
    </w:p>
    <w:p>
      <w:pPr>
        <w:pStyle w:val="5"/>
        <w:numPr>
          <w:ilvl w:val="0"/>
          <w:numId w:val="1"/>
        </w:numPr>
        <w:rPr>
          <w:rStyle w:val="30"/>
          <w:rFonts w:ascii="黑体" w:hAnsi="黑体" w:eastAsia="黑体"/>
          <w:b w:val="0"/>
          <w:bCs w:val="0"/>
        </w:rPr>
      </w:pPr>
      <w:bookmarkStart w:id="18" w:name="_Toc9371"/>
      <w:bookmarkStart w:id="19" w:name="_Toc15396600"/>
      <w:bookmarkStart w:id="20" w:name="_Toc15377197"/>
      <w:r>
        <w:rPr>
          <w:rStyle w:val="30"/>
          <w:rFonts w:hint="eastAsia" w:ascii="黑体" w:hAnsi="黑体" w:eastAsia="黑体"/>
          <w:b w:val="0"/>
          <w:bCs w:val="0"/>
        </w:rPr>
        <w:t>主要职责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一、职能简介</w:t>
      </w:r>
    </w:p>
    <w:p>
      <w:pPr>
        <w:pStyle w:val="9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剑阁县张王镇卫生院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地处剑阁县张王镇嘉陵江畔，剑门关风景区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剑门山系延伸地带。距新县城35公里、老县城普安镇43公里，剑门关仅23公里，风景秀美。属于嘉陵江亭子口水利枢纽淹没库区。是一所集医疗、公卫为一体的“国家一级乙等”综合医院。成立于1956年，现占地2222.83平方米，建筑面积1788平方米，固定资产461万元。医院现有职工11人，其中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中级职称1人，初级职称7人，全科医生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人。</w:t>
      </w:r>
    </w:p>
    <w:p>
      <w:pPr>
        <w:pStyle w:val="9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我院门诊开设中西医内科、外科、儿科、针炙理疗康复、妇产、放射科、检验科等10多个临床医疗医技科。病床设编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张，开放床位12张。拥有 CR 、 B 超、全自动生化分析仪、尿液分析仪、全自动 BC -3200血液细胞分析仪、心电监护仪、牵引床、电脑中频治疗仪、多功能微波治疗仪、心电图机等一批先进的现代化诊疗检测设备，具有较高诊疗技术手段及急救能力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二、2022年重点工作</w:t>
      </w:r>
    </w:p>
    <w:p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我院紧紧</w:t>
      </w:r>
      <w:r>
        <w:rPr>
          <w:rFonts w:hint="eastAsia" w:ascii="仿宋" w:hAnsi="仿宋" w:eastAsia="仿宋" w:cs="仿宋"/>
          <w:sz w:val="30"/>
          <w:szCs w:val="30"/>
        </w:rPr>
        <w:t>围绕“改善民生、服务健康”这一目标，按照“建立健全覆盖城乡居民的基本医疗服务卫生制度”、“进一步促进城乡居民人人享有基本公共卫生逐步均等化”的要求，努力发展卫生事业，全力服务健康，倾情造福人民，进一步促进社会和谐稳定。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1.院</w:t>
      </w:r>
      <w:r>
        <w:rPr>
          <w:rFonts w:hint="eastAsia" w:ascii="仿宋" w:hAnsi="仿宋" w:eastAsia="仿宋" w:cs="仿宋"/>
          <w:sz w:val="30"/>
          <w:szCs w:val="30"/>
        </w:rPr>
        <w:t>内感染治理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院内感染控制工作，是提高医疗质量的重要保证和具体体现，是防范医疗事故的重要途径，是以病人为中心、文明优质服务的重要内容。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医疗安全治理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随着人们文化生活水平的提高，思维意识的转变，各地医疗纠纷频繁发生，医疗安全工作一直是每一个医院工作中的重中之重，防范医疗差错、杜绝医疗事故成为医院生存发展的根本。</w:t>
      </w:r>
    </w:p>
    <w:p>
      <w:pPr>
        <w:pStyle w:val="9"/>
        <w:numPr>
          <w:ilvl w:val="0"/>
          <w:numId w:val="0"/>
        </w:numPr>
        <w:ind w:left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医疗质量治理</w:t>
      </w:r>
    </w:p>
    <w:p>
      <w:pPr>
        <w:pStyle w:val="9"/>
        <w:numPr>
          <w:ilvl w:val="0"/>
          <w:numId w:val="0"/>
        </w:numPr>
        <w:ind w:left="0" w:firstLine="0" w:firstLineChars="0"/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医疗质量治理是针对医疗系统活动全过程进行的组织、计划、协调和控制，其目的是通过加强医疗治理从而提高全院的医疗技术水平，为广大患者服务。</w:t>
      </w:r>
    </w:p>
    <w:p>
      <w:pPr>
        <w:pStyle w:val="9"/>
        <w:numPr>
          <w:ilvl w:val="0"/>
          <w:numId w:val="0"/>
        </w:numPr>
        <w:ind w:left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护理质量治理</w:t>
      </w:r>
    </w:p>
    <w:p>
      <w:pPr>
        <w:pStyle w:val="9"/>
        <w:numPr>
          <w:ilvl w:val="0"/>
          <w:numId w:val="0"/>
        </w:numPr>
        <w:ind w:left="0" w:firstLine="0" w:firstLineChars="0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护理质量的高低是反映一个医院整体服务水平，是医院服务形象建设的窗口，也是医院医疗业务水平高低的具体体现。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医技质量治理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加强医技科室建设是提高医院整体诊疗水平，树立医院良好社会形象的重要手段。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药品质量治理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药品质量的好坏是关系老百姓生命安全，也是医院生存和发展的先决条件，其优质可靠的药品是提高医院医疗质量和医疗安全的重要保证。</w:t>
      </w:r>
    </w:p>
    <w:p>
      <w:pPr>
        <w:pStyle w:val="9"/>
        <w:numPr>
          <w:ilvl w:val="0"/>
          <w:numId w:val="0"/>
        </w:numPr>
        <w:ind w:left="301" w:hanging="301" w:hanging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公共卫生服务</w:t>
      </w:r>
    </w:p>
    <w:p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继续推进电子健康档案向个人开放和务实应用；以高血压、糖尿病等慢性病为重点，持续推进基层慢病医防融合服务；深化老年人健康管理服务和儿童健康管理水平，做好0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6岁儿童眼保健和视力防控宣传、健康教育和检查。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医院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行风建设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继续抓好党风廉政建设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行风评议和综合治理。加强医德医风建设，培养医务人员爱岗敬业、乐于奉献、认真负责的工作作风，切实改善服务态度，努力同病人及其家属沟通思想，避免因服务不周而引起的医患纠纷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加强医院财务管理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严格执行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院财务管理制度，落实固定资产购置处理、开支审批等制度，确保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院财务管理工作严格规范。强化财务监督和审计，定期组织专项检查，严肃查处违纪行为。</w:t>
      </w: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10.加强对村卫生室管理</w:t>
      </w:r>
    </w:p>
    <w:p>
      <w:pPr>
        <w:pStyle w:val="9"/>
        <w:numPr>
          <w:ilvl w:val="0"/>
          <w:numId w:val="0"/>
        </w:numPr>
        <w:ind w:firstLine="640" w:firstLineChars="200"/>
        <w:rPr>
          <w:rFonts w:hint="default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通过进一步加强乡村医生一体化服务管理，使得农村卫生室资源得到有效利用；村卫生室基础设施和服务条件得到完善；乡村医生业务素质不断提高，基础医疗卫生服务行为进一步规范；乡村医生开展基本公卫服务、基本医疗、疾病预防等技能进一步提高；乡村医生的队伍更加稳定；全镇居民健康需求得到进一步保障。</w:t>
      </w:r>
    </w:p>
    <w:p/>
    <w:p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b w:val="0"/>
        </w:rPr>
      </w:pPr>
      <w:bookmarkStart w:id="21" w:name="_Toc21411"/>
      <w:r>
        <w:rPr>
          <w:rFonts w:hint="eastAsia" w:ascii="黑体" w:hAnsi="黑体" w:eastAsia="黑体"/>
          <w:b w:val="0"/>
        </w:rPr>
        <w:t>机构设置</w:t>
      </w:r>
      <w:bookmarkEnd w:id="21"/>
    </w:p>
    <w:bookmarkEnd w:id="19"/>
    <w:bookmarkEnd w:id="20"/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剑阁县张王镇卫生院无下属二级单位，无纳入2022年度部门预算编制范围的二级预算单位。</w:t>
      </w:r>
    </w:p>
    <w:p>
      <w:pPr>
        <w:widowControl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4"/>
        <w:ind w:right="440"/>
        <w:jc w:val="center"/>
        <w:rPr>
          <w:rStyle w:val="29"/>
          <w:rFonts w:ascii="黑体" w:hAnsi="黑体" w:eastAsia="黑体"/>
          <w:b w:val="0"/>
          <w:bCs/>
        </w:rPr>
      </w:pPr>
      <w:bookmarkStart w:id="22" w:name="_Toc23518"/>
      <w:bookmarkStart w:id="23" w:name="_Toc15396602"/>
      <w:bookmarkStart w:id="24" w:name="_Toc15377204"/>
      <w:r>
        <w:rPr>
          <w:rFonts w:hint="eastAsia" w:ascii="黑体" w:hAnsi="黑体" w:eastAsia="黑体"/>
          <w:b w:val="0"/>
        </w:rPr>
        <w:t>第二部分 2022年度</w:t>
      </w:r>
      <w:r>
        <w:rPr>
          <w:rStyle w:val="29"/>
          <w:rFonts w:hint="eastAsia" w:ascii="黑体" w:hAnsi="黑体" w:eastAsia="黑体"/>
          <w:b w:val="0"/>
          <w:bCs/>
        </w:rPr>
        <w:t>单位决算情况说明</w:t>
      </w:r>
      <w:bookmarkEnd w:id="22"/>
      <w:bookmarkEnd w:id="23"/>
      <w:bookmarkEnd w:id="24"/>
    </w:p>
    <w:p/>
    <w:p>
      <w:pPr>
        <w:pStyle w:val="28"/>
        <w:numPr>
          <w:ilvl w:val="0"/>
          <w:numId w:val="2"/>
        </w:numPr>
        <w:spacing w:line="600" w:lineRule="exact"/>
        <w:ind w:firstLineChars="0"/>
        <w:outlineLvl w:val="1"/>
        <w:rPr>
          <w:rStyle w:val="30"/>
          <w:rFonts w:ascii="黑体" w:hAnsi="黑体" w:eastAsia="黑体"/>
          <w:b w:val="0"/>
        </w:rPr>
      </w:pPr>
      <w:bookmarkStart w:id="25" w:name="_Toc31974"/>
      <w:bookmarkStart w:id="26" w:name="_Toc15377205"/>
      <w:bookmarkStart w:id="27" w:name="_Toc15396603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30"/>
          <w:rFonts w:hint="eastAsia" w:ascii="黑体" w:hAnsi="黑体" w:eastAsia="黑体"/>
          <w:b w:val="0"/>
        </w:rPr>
        <w:t>入支出决算总体情况说明</w:t>
      </w:r>
      <w:bookmarkEnd w:id="25"/>
      <w:bookmarkEnd w:id="26"/>
      <w:bookmarkEnd w:id="27"/>
    </w:p>
    <w:p>
      <w:pPr>
        <w:spacing w:line="60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2022年度收</w:t>
      </w:r>
      <w:r>
        <w:rPr>
          <w:rFonts w:hint="eastAsia" w:ascii="仿宋" w:hAnsi="仿宋" w:eastAsia="仿宋"/>
          <w:sz w:val="32"/>
          <w:szCs w:val="32"/>
          <w:lang w:eastAsia="zh-CN"/>
        </w:rPr>
        <w:t>入</w:t>
      </w:r>
      <w:r>
        <w:rPr>
          <w:rFonts w:hint="eastAsia" w:ascii="仿宋" w:hAnsi="仿宋" w:eastAsia="仿宋"/>
          <w:sz w:val="32"/>
          <w:szCs w:val="32"/>
        </w:rPr>
        <w:t>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311.44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。2021年本单位未单独填报决算，由系统统一填报部门决算，故无法对比。</w:t>
      </w:r>
    </w:p>
    <w:p>
      <w:pPr>
        <w:pStyle w:val="28"/>
        <w:numPr>
          <w:ilvl w:val="0"/>
          <w:numId w:val="2"/>
        </w:numPr>
        <w:spacing w:line="600" w:lineRule="exact"/>
        <w:ind w:firstLineChars="0"/>
        <w:outlineLvl w:val="1"/>
        <w:rPr>
          <w:rStyle w:val="30"/>
          <w:rFonts w:ascii="黑体" w:hAnsi="黑体" w:eastAsia="黑体"/>
          <w:b w:val="0"/>
        </w:rPr>
      </w:pPr>
      <w:bookmarkStart w:id="28" w:name="_Toc16278"/>
      <w:bookmarkStart w:id="29" w:name="_Toc15396604"/>
      <w:bookmarkStart w:id="30" w:name="_Toc15377206"/>
      <w:r>
        <w:rPr>
          <w:rStyle w:val="30"/>
          <w:rFonts w:hint="eastAsia" w:ascii="黑体" w:hAnsi="黑体" w:eastAsia="黑体"/>
          <w:b w:val="0"/>
        </w:rPr>
        <w:t>决算情况说明</w:t>
      </w:r>
      <w:bookmarkEnd w:id="28"/>
      <w:bookmarkEnd w:id="29"/>
      <w:bookmarkEnd w:id="30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31" w:name="_Toc19805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22年本年收入合计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311.44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128.37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41.22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；政府性基金预算财政拨款收入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；国有资本经营预算财政拨款收入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；上级补助收入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；事业收入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180.28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57.88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；附属单位上缴收入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；其他收入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2.79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1"/>
    </w:p>
    <w:p>
      <w:pPr>
        <w:pStyle w:val="2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114300" distR="114300">
            <wp:extent cx="4154170" cy="2926080"/>
            <wp:effectExtent l="4445" t="5080" r="17145" b="10160"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28"/>
        <w:numPr>
          <w:ilvl w:val="0"/>
          <w:numId w:val="2"/>
        </w:numPr>
        <w:spacing w:line="600" w:lineRule="exact"/>
        <w:ind w:firstLineChars="0"/>
        <w:outlineLvl w:val="1"/>
        <w:rPr>
          <w:rStyle w:val="30"/>
          <w:rFonts w:ascii="黑体" w:hAnsi="黑体" w:eastAsia="黑体"/>
          <w:b w:val="0"/>
        </w:rPr>
      </w:pPr>
      <w:bookmarkStart w:id="32" w:name="_Toc5161"/>
      <w:bookmarkStart w:id="33" w:name="_Toc15396605"/>
      <w:bookmarkStart w:id="34" w:name="_Toc15377207"/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30"/>
          <w:rFonts w:hint="eastAsia" w:ascii="黑体" w:hAnsi="黑体" w:eastAsia="黑体"/>
          <w:b w:val="0"/>
        </w:rPr>
        <w:t>出决算情况说明</w:t>
      </w:r>
      <w:bookmarkEnd w:id="32"/>
      <w:bookmarkEnd w:id="33"/>
      <w:bookmarkEnd w:id="34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35" w:name="_Toc27280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22年本年支出合计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311.44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311.44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；上缴上级支出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；经营支出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；对附属单位补助支出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5"/>
    </w:p>
    <w:p>
      <w:pPr>
        <w:pStyle w:val="2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114300" distR="114300">
            <wp:extent cx="4091940" cy="2926080"/>
            <wp:effectExtent l="4445" t="5080" r="18415" b="1016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spacing w:line="600" w:lineRule="exact"/>
        <w:ind w:firstLine="640" w:firstLineChars="200"/>
        <w:outlineLvl w:val="1"/>
        <w:rPr>
          <w:rStyle w:val="30"/>
          <w:rFonts w:ascii="黑体" w:hAnsi="黑体" w:eastAsia="黑体"/>
          <w:b w:val="0"/>
        </w:rPr>
      </w:pPr>
      <w:bookmarkStart w:id="36" w:name="_Toc21544"/>
      <w:bookmarkStart w:id="37" w:name="_Toc15396606"/>
      <w:bookmarkStart w:id="38" w:name="_Toc15377208"/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30"/>
          <w:rFonts w:hint="eastAsia" w:ascii="黑体" w:hAnsi="黑体" w:eastAsia="黑体"/>
          <w:b w:val="0"/>
        </w:rPr>
        <w:t>政拨款收入支出决算总体情况说明</w:t>
      </w:r>
      <w:bookmarkEnd w:id="36"/>
      <w:bookmarkEnd w:id="37"/>
      <w:bookmarkEnd w:id="38"/>
    </w:p>
    <w:p>
      <w:pPr>
        <w:spacing w:line="600" w:lineRule="exact"/>
        <w:ind w:firstLine="640"/>
        <w:rPr>
          <w:rFonts w:hint="eastAsia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22年财政拨款收、支总计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128.37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spacing w:line="600" w:lineRule="exact"/>
        <w:ind w:firstLine="640" w:firstLineChars="200"/>
        <w:outlineLvl w:val="1"/>
        <w:rPr>
          <w:rStyle w:val="30"/>
          <w:rFonts w:ascii="黑体" w:hAnsi="黑体" w:eastAsia="黑体"/>
          <w:b w:val="0"/>
        </w:rPr>
      </w:pPr>
      <w:bookmarkStart w:id="39" w:name="_Toc15377209"/>
      <w:bookmarkStart w:id="40" w:name="_Toc21948"/>
      <w:bookmarkStart w:id="41" w:name="_Toc15396607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30"/>
          <w:rFonts w:hint="eastAsia" w:ascii="黑体" w:hAnsi="黑体" w:eastAsia="黑体"/>
          <w:b w:val="0"/>
        </w:rPr>
        <w:t>般公共预算财政拨款支出决算情况说明</w:t>
      </w:r>
      <w:bookmarkEnd w:id="39"/>
      <w:bookmarkEnd w:id="40"/>
      <w:bookmarkEnd w:id="41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2" w:name="_Toc25722"/>
      <w:bookmarkStart w:id="43" w:name="_Toc15377210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42"/>
      <w:bookmarkEnd w:id="43"/>
    </w:p>
    <w:p>
      <w:pPr>
        <w:spacing w:line="600" w:lineRule="exact"/>
        <w:ind w:firstLine="640"/>
        <w:rPr>
          <w:rFonts w:hint="eastAsia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128.37</w:t>
      </w:r>
      <w:r>
        <w:rPr>
          <w:rFonts w:hint="eastAsia" w:ascii="仿宋" w:hAnsi="仿宋" w:eastAsia="仿宋"/>
          <w:sz w:val="32"/>
          <w:szCs w:val="32"/>
        </w:rPr>
        <w:t>万元，占本年支出合计的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41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spacing w:line="600" w:lineRule="exact"/>
        <w:ind w:firstLine="321" w:firstLineChars="100"/>
        <w:outlineLvl w:val="2"/>
        <w:rPr>
          <w:rFonts w:ascii="仿宋" w:hAnsi="仿宋" w:eastAsia="仿宋"/>
          <w:b/>
          <w:sz w:val="32"/>
          <w:szCs w:val="32"/>
        </w:rPr>
      </w:pPr>
      <w:bookmarkStart w:id="44" w:name="_Toc15377211"/>
      <w:bookmarkStart w:id="45" w:name="_Toc29439"/>
      <w:r>
        <w:rPr>
          <w:rFonts w:hint="eastAsia" w:ascii="仿宋" w:hAnsi="仿宋" w:eastAsia="仿宋"/>
          <w:b/>
          <w:sz w:val="32"/>
          <w:szCs w:val="32"/>
        </w:rPr>
        <w:t>（二）一般公共预算财政拨款支出决算结构情况</w:t>
      </w:r>
      <w:bookmarkEnd w:id="44"/>
      <w:bookmarkEnd w:id="45"/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128.37</w:t>
      </w:r>
      <w:r>
        <w:rPr>
          <w:rFonts w:hint="eastAsia" w:ascii="仿宋" w:hAnsi="仿宋" w:eastAsia="仿宋"/>
          <w:sz w:val="32"/>
          <w:szCs w:val="32"/>
        </w:rPr>
        <w:t>万元，主要用于以下方面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b/>
          <w:sz w:val="32"/>
          <w:szCs w:val="32"/>
        </w:rPr>
        <w:t>一般公共服务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教育支出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科学技术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文化旅游体育与传媒支出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万元，占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b/>
          <w:bCs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sz w:val="32"/>
          <w:szCs w:val="32"/>
        </w:rPr>
        <w:t>社会保障和就业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7.56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5.89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119.91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93.41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420" w:firstLineChars="200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203200</wp:posOffset>
            </wp:positionV>
            <wp:extent cx="4533265" cy="2926080"/>
            <wp:effectExtent l="4445" t="4445" r="19050" b="10795"/>
            <wp:wrapNone/>
            <wp:docPr id="1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pStyle w:val="2"/>
        <w:rPr>
          <w:rFonts w:ascii="仿宋" w:hAnsi="仿宋" w:eastAsia="仿宋"/>
          <w:sz w:val="32"/>
          <w:szCs w:val="32"/>
        </w:rPr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6" w:name="_Toc15377212"/>
      <w:bookmarkStart w:id="47" w:name="_Toc30632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46"/>
      <w:bookmarkEnd w:id="47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48" w:name="_Toc15377444"/>
      <w:bookmarkStart w:id="49" w:name="_Toc15378460"/>
      <w:bookmarkStart w:id="50" w:name="_Toc30645"/>
      <w:bookmarkStart w:id="51" w:name="_Toc15377213"/>
      <w:r>
        <w:rPr>
          <w:rFonts w:hint="eastAsia" w:ascii="仿宋" w:hAnsi="仿宋" w:eastAsia="仿宋"/>
          <w:b/>
          <w:sz w:val="32"/>
          <w:szCs w:val="32"/>
        </w:rPr>
        <w:t>2022年一般公共预算支出决算数为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128.37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完成预算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。其中：</w:t>
      </w:r>
      <w:bookmarkEnd w:id="48"/>
      <w:bookmarkEnd w:id="49"/>
      <w:bookmarkEnd w:id="50"/>
      <w:bookmarkEnd w:id="51"/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社会保障和就业（类）行政事业单位养老支出（款）机关事业单位基本养老保险缴费支出（项）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7.56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9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（类）基层医疗卫生机构（款）乡镇卫生院（项）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75.24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9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（类）基层医疗卫生机构（款）其他基层医疗卫生机构支出（项）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10.41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9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（类）公共卫生（款）基本公共卫生服务（项）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30.48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9"/>
          <w:rFonts w:hint="eastAsia" w:ascii="仿宋" w:hAnsi="仿宋" w:eastAsia="仿宋"/>
          <w:b w:val="0"/>
          <w:bCs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5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（类）行政事业单位医疗（款）事业单位医疗（项）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3.78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pStyle w:val="2"/>
        <w:ind w:left="0" w:leftChars="0" w:firstLine="643" w:firstLineChars="200"/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（类）住房改革支出（款）住房公积金（项）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0.9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30"/>
        </w:rPr>
      </w:pPr>
      <w:bookmarkStart w:id="52" w:name="_Toc15377214"/>
      <w:bookmarkStart w:id="53" w:name="_Toc12645"/>
      <w:bookmarkStart w:id="54" w:name="_Toc15396608"/>
      <w:r>
        <w:rPr>
          <w:rFonts w:hint="eastAsia" w:ascii="黑体" w:eastAsia="黑体"/>
          <w:sz w:val="32"/>
          <w:szCs w:val="32"/>
        </w:rPr>
        <w:t>六</w:t>
      </w:r>
      <w:r>
        <w:rPr>
          <w:rFonts w:hint="eastAsia" w:asci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30"/>
          <w:rFonts w:hint="eastAsia" w:ascii="黑体" w:hAnsi="黑体" w:eastAsia="黑体"/>
          <w:b w:val="0"/>
        </w:rPr>
        <w:t>般公共预算财政拨款基本支出决算情况说明</w:t>
      </w:r>
      <w:bookmarkEnd w:id="52"/>
      <w:bookmarkEnd w:id="53"/>
      <w:bookmarkEnd w:id="54"/>
      <w:r>
        <w:rPr>
          <w:rStyle w:val="30"/>
          <w:rFonts w:ascii="黑体" w:hAnsi="黑体" w:eastAsia="黑体"/>
          <w:b w:val="0"/>
        </w:rPr>
        <w:tab/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128.37</w:t>
      </w:r>
      <w:r>
        <w:rPr>
          <w:rFonts w:hint="eastAsia" w:ascii="仿宋" w:hAnsi="仿宋" w:eastAsia="仿宋"/>
          <w:sz w:val="32"/>
          <w:szCs w:val="32"/>
        </w:rPr>
        <w:t>万元，其中：</w:t>
      </w: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99.94</w:t>
      </w:r>
      <w:r>
        <w:rPr>
          <w:rFonts w:hint="eastAsia" w:ascii="仿宋" w:hAnsi="仿宋" w:eastAsia="仿宋"/>
          <w:sz w:val="32"/>
          <w:szCs w:val="32"/>
        </w:rPr>
        <w:t>万元，主要包括：基本工资、津贴补贴、绩效工资、机关事业单位基本养老保险缴费、其他社会保障缴费、住房公积金。</w:t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28.43</w:t>
      </w:r>
      <w:r>
        <w:rPr>
          <w:rFonts w:hint="eastAsia" w:ascii="仿宋" w:hAnsi="仿宋" w:eastAsia="仿宋"/>
          <w:sz w:val="32"/>
          <w:szCs w:val="32"/>
        </w:rPr>
        <w:t>万元，主要包括：办公费、印刷费、手续费、水费、电费、邮电费、差旅费、维修（护）费、会议费、培训费、公务接待费、工会经费、其他交通费、其他商品和服务支出。</w:t>
      </w:r>
    </w:p>
    <w:p>
      <w:pPr>
        <w:spacing w:line="600" w:lineRule="exact"/>
        <w:ind w:firstLine="640"/>
        <w:outlineLvl w:val="1"/>
        <w:rPr>
          <w:rStyle w:val="30"/>
          <w:rFonts w:ascii="黑体" w:hAnsi="黑体" w:eastAsia="黑体"/>
          <w:b w:val="0"/>
        </w:rPr>
      </w:pPr>
      <w:bookmarkStart w:id="55" w:name="_Toc27391"/>
      <w:bookmarkStart w:id="56" w:name="_Toc15396609"/>
      <w:bookmarkStart w:id="57" w:name="_Toc15377215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30"/>
          <w:rFonts w:hint="eastAsia" w:ascii="黑体" w:hAnsi="黑体" w:eastAsia="黑体"/>
          <w:b w:val="0"/>
        </w:rPr>
        <w:t>财政拨款</w:t>
      </w:r>
      <w:r>
        <w:rPr>
          <w:rStyle w:val="30"/>
          <w:rFonts w:hint="eastAsia" w:ascii="黑体" w:hAnsi="黑体" w:eastAsia="黑体"/>
        </w:rPr>
        <w:t>“</w:t>
      </w:r>
      <w:r>
        <w:rPr>
          <w:rStyle w:val="30"/>
          <w:rFonts w:hint="eastAsia" w:ascii="黑体" w:hAnsi="黑体" w:eastAsia="黑体"/>
          <w:b w:val="0"/>
        </w:rPr>
        <w:t>三公”经费支出决算情况说明</w:t>
      </w:r>
      <w:bookmarkEnd w:id="55"/>
      <w:bookmarkEnd w:id="56"/>
      <w:bookmarkEnd w:id="57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58" w:name="_Toc3491"/>
      <w:bookmarkStart w:id="59" w:name="_Toc15377216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58"/>
      <w:bookmarkEnd w:id="59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0.73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bookmarkStart w:id="60" w:name="_Toc15377217"/>
      <w:bookmarkStart w:id="61" w:name="_Toc27922"/>
      <w:r>
        <w:rPr>
          <w:rFonts w:hint="eastAsia" w:ascii="仿宋" w:hAnsi="仿宋" w:eastAsia="仿宋"/>
          <w:b/>
          <w:sz w:val="32"/>
          <w:szCs w:val="32"/>
        </w:rPr>
        <w:t>二）“三公”经费财政拨款支出决算具体情况说明</w:t>
      </w:r>
      <w:bookmarkEnd w:id="60"/>
      <w:bookmarkEnd w:id="61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22年“三公”经费财政拨款支出决算中，因公出国（境）费支出决算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；公务接待费支出决算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0.73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因公出国（境）经费支出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全年安排因公出国（境）团组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次，出国（境）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人。因公出国（境）支出决算比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21年增加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万元,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eastAsia="zh-CN"/>
        </w:rPr>
        <w:t>本单位无公务用车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3.</w:t>
      </w:r>
      <w:r>
        <w:rPr>
          <w:rFonts w:hint="eastAsia" w:ascii="仿宋_GB2312" w:eastAsia="仿宋_GB2312"/>
          <w:b/>
          <w:sz w:val="32"/>
          <w:szCs w:val="32"/>
        </w:rPr>
        <w:t>公务接待费支出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0.73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96.05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国内公务接待支出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0.73</w:t>
      </w:r>
      <w:r>
        <w:rPr>
          <w:rFonts w:hint="eastAsia" w:ascii="仿宋_GB2312" w:eastAsia="仿宋_GB2312"/>
          <w:sz w:val="32"/>
          <w:szCs w:val="32"/>
        </w:rPr>
        <w:t>万元，主要用于执行公务、开展业务活动开支的交通费、住宿费、用餐费等)。国内公务接待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0.73</w:t>
      </w:r>
      <w:r>
        <w:rPr>
          <w:rFonts w:hint="eastAsia" w:ascii="仿宋_GB2312" w:eastAsia="仿宋_GB2312"/>
          <w:sz w:val="32"/>
          <w:szCs w:val="32"/>
        </w:rPr>
        <w:t>万元，具体内容包括：</w:t>
      </w:r>
      <w:r>
        <w:rPr>
          <w:rFonts w:hint="eastAsia" w:ascii="仿宋_GB2312" w:eastAsia="仿宋_GB2312"/>
          <w:sz w:val="32"/>
          <w:szCs w:val="32"/>
          <w:lang w:eastAsia="zh-CN"/>
        </w:rPr>
        <w:t>上级机构的各项检查以及业务指导，疫情防控接待支出。</w:t>
      </w:r>
    </w:p>
    <w:p>
      <w:pPr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外事接待支出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万元，主要用于接待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（具体项目）。外事接待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/>
        <w:outlineLvl w:val="1"/>
        <w:rPr>
          <w:rStyle w:val="30"/>
          <w:rFonts w:ascii="黑体" w:hAnsi="黑体" w:eastAsia="黑体"/>
        </w:rPr>
      </w:pPr>
      <w:bookmarkStart w:id="62" w:name="_Toc15396610"/>
      <w:bookmarkStart w:id="63" w:name="_Toc15377218"/>
      <w:bookmarkStart w:id="64" w:name="_Toc6050"/>
      <w:r>
        <w:rPr>
          <w:rFonts w:hint="eastAsia" w:ascii="黑体" w:eastAsia="黑体"/>
          <w:sz w:val="32"/>
          <w:szCs w:val="32"/>
        </w:rPr>
        <w:t>八、</w:t>
      </w:r>
      <w:r>
        <w:rPr>
          <w:rStyle w:val="30"/>
          <w:rFonts w:hint="eastAsia" w:ascii="黑体" w:hAnsi="黑体" w:eastAsia="黑体"/>
          <w:b w:val="0"/>
        </w:rPr>
        <w:t>政府性基金预算支出决算情况说明</w:t>
      </w:r>
      <w:bookmarkEnd w:id="62"/>
      <w:bookmarkEnd w:id="63"/>
      <w:bookmarkEnd w:id="64"/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22年政府性基金预算财政拨款支出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30"/>
          <w:rFonts w:ascii="黑体" w:hAnsi="黑体" w:eastAsia="黑体"/>
          <w:b w:val="0"/>
        </w:rPr>
      </w:pPr>
      <w:bookmarkStart w:id="65" w:name="_Toc8325"/>
      <w:bookmarkStart w:id="66" w:name="_Toc15396611"/>
      <w:bookmarkStart w:id="67" w:name="_Toc15377219"/>
      <w:r>
        <w:rPr>
          <w:rStyle w:val="30"/>
          <w:rFonts w:hint="eastAsia" w:ascii="黑体" w:hAnsi="黑体" w:eastAsia="黑体"/>
          <w:b w:val="0"/>
        </w:rPr>
        <w:t>国有资本经营预算支出决算情况说明</w:t>
      </w:r>
      <w:bookmarkEnd w:id="65"/>
      <w:bookmarkEnd w:id="66"/>
      <w:bookmarkEnd w:id="67"/>
    </w:p>
    <w:p>
      <w:pPr>
        <w:spacing w:line="600" w:lineRule="exact"/>
        <w:ind w:firstLine="64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22年国有资本经营预算财政拨款支出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30"/>
          <w:rFonts w:ascii="黑体" w:hAnsi="黑体" w:eastAsia="黑体"/>
          <w:b w:val="0"/>
        </w:rPr>
      </w:pPr>
      <w:bookmarkStart w:id="68" w:name="_Toc660"/>
      <w:bookmarkStart w:id="69" w:name="_Toc15377221"/>
      <w:bookmarkStart w:id="70" w:name="_Toc15396612"/>
      <w:r>
        <w:rPr>
          <w:rStyle w:val="30"/>
          <w:rFonts w:hint="eastAsia" w:ascii="黑体" w:hAnsi="黑体" w:eastAsia="黑体"/>
          <w:b w:val="0"/>
        </w:rPr>
        <w:t>其他重要事项的情况说明</w:t>
      </w:r>
      <w:bookmarkEnd w:id="68"/>
      <w:bookmarkEnd w:id="69"/>
      <w:bookmarkEnd w:id="70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71" w:name="_Toc25331"/>
      <w:bookmarkStart w:id="72" w:name="_Toc15377222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71"/>
      <w:bookmarkEnd w:id="72"/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剑阁县张王镇卫生院</w:t>
      </w:r>
      <w:r>
        <w:rPr>
          <w:rFonts w:hint="eastAsia" w:ascii="仿宋_GB2312" w:eastAsia="仿宋_GB2312"/>
          <w:sz w:val="32"/>
          <w:szCs w:val="32"/>
        </w:rPr>
        <w:t>机关运行经费支出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，本单位为事业单位无</w:t>
      </w:r>
      <w:r>
        <w:rPr>
          <w:rFonts w:hint="eastAsia" w:ascii="仿宋_GB2312" w:eastAsia="仿宋_GB2312"/>
          <w:sz w:val="32"/>
          <w:szCs w:val="32"/>
        </w:rPr>
        <w:t>机关运行经费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3" w:name="_Toc30760"/>
      <w:bookmarkStart w:id="74" w:name="_Toc15377223"/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73"/>
      <w:bookmarkEnd w:id="74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hint="eastAsia" w:ascii="仿宋_GB2312" w:eastAsia="仿宋_GB2312"/>
          <w:sz w:val="32"/>
          <w:szCs w:val="32"/>
          <w:lang w:eastAsia="zh-CN"/>
        </w:rPr>
        <w:t>剑阁县张王镇卫生院</w:t>
      </w:r>
      <w:r>
        <w:rPr>
          <w:rFonts w:hint="eastAsia" w:ascii="仿宋_GB2312" w:eastAsia="仿宋_GB2312"/>
          <w:sz w:val="32"/>
          <w:szCs w:val="32"/>
        </w:rPr>
        <w:t>政府采购支出总额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万元，其中：政府采购货物支出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万元、政府采购工程支出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万元。授予中小企业合同金额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，其中：授予小微企业合同金额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bookmarkStart w:id="75" w:name="_Toc15377224"/>
      <w:bookmarkStart w:id="76" w:name="_Toc30654"/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75"/>
      <w:bookmarkEnd w:id="76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eastAsia="zh-CN"/>
        </w:rPr>
        <w:t>剑阁县张王镇卫生院</w:t>
      </w:r>
      <w:r>
        <w:rPr>
          <w:rFonts w:hint="eastAsia" w:ascii="仿宋_GB2312" w:eastAsia="仿宋_GB2312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辆，其中：主要领导干部用车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辆、机要通信用车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辆、应急保障用车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辆、其他用车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numPr>
          <w:ilvl w:val="0"/>
          <w:numId w:val="4"/>
        </w:numPr>
        <w:spacing w:line="600" w:lineRule="exact"/>
        <w:ind w:firstLine="660" w:firstLineChars="150"/>
        <w:jc w:val="center"/>
        <w:outlineLvl w:val="0"/>
        <w:rPr>
          <w:rStyle w:val="29"/>
          <w:rFonts w:ascii="黑体" w:hAnsi="黑体" w:eastAsia="黑体"/>
          <w:b w:val="0"/>
        </w:rPr>
      </w:pPr>
      <w:bookmarkStart w:id="77" w:name="_Toc15396613"/>
      <w:bookmarkStart w:id="78" w:name="_Toc15377225"/>
      <w:bookmarkStart w:id="79" w:name="_Toc7686"/>
      <w:r>
        <w:rPr>
          <w:rFonts w:hint="eastAsia" w:ascii="黑体" w:hAnsi="黑体" w:eastAsia="黑体"/>
          <w:sz w:val="44"/>
          <w:szCs w:val="44"/>
        </w:rPr>
        <w:t>名</w:t>
      </w:r>
      <w:r>
        <w:rPr>
          <w:rStyle w:val="29"/>
          <w:rFonts w:hint="eastAsia" w:ascii="黑体" w:hAnsi="黑体" w:eastAsia="黑体"/>
          <w:b w:val="0"/>
        </w:rPr>
        <w:t>词解释</w:t>
      </w:r>
      <w:bookmarkEnd w:id="77"/>
      <w:bookmarkEnd w:id="78"/>
      <w:bookmarkEnd w:id="79"/>
    </w:p>
    <w:p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>
      <w:pPr>
        <w:pStyle w:val="2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bookmarkStart w:id="80" w:name="_Toc15396614"/>
      <w:bookmarkStart w:id="81" w:name="_Toc15377226"/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财政拨款收入：指单位从同级财政部门取得的财政预算资金。</w:t>
      </w:r>
    </w:p>
    <w:p>
      <w:pPr>
        <w:pStyle w:val="2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事业收入：指事业单位开展专业业务活动及辅助活动取得的收入。</w:t>
      </w:r>
    </w:p>
    <w:p>
      <w:pPr>
        <w:pStyle w:val="27"/>
        <w:spacing w:line="560" w:lineRule="exact"/>
        <w:ind w:left="638" w:leftChars="304" w:firstLine="0"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其他收入：指单位取得的除上述收入以外的各项收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入。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社会保障和就业（类）行政事业单位离退休（款）机关事业单位基本养老保险缴费支出（项）：指部门实施养老保险制度由单位缴纳的养老保险费的支出。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卫生健康（类）行政事业单位医疗（款）事业单位医疗（项）：指事业单位用于缴纳单位基本医疗保险支出。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住房保障（类）住房改革支出（款）住房公积金（项）：指按照《住房公积金管理条例》的规定，由单位及其在职职工缴存的长期住房储金。</w:t>
      </w:r>
    </w:p>
    <w:p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卫生健康支出（类）公共卫生（款）基本公共卫生服务（项）：指基层医疗机构提供基本公共卫生服务支出。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基层医疗机构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（款）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乡镇卫生院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（项）：指基层医疗机构提供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医疗服务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支出。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卫生健康支出（类）基层医疗卫生机构（款）其他基层医疗卫生机构支出（项）：指基层医疗机构村卫生室补助支出。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基本支出：指为保障机构正常运转、完成日常工作任务而发生的人员支出和公用支出。</w:t>
      </w:r>
    </w:p>
    <w:p>
      <w:pPr>
        <w:pStyle w:val="2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“三公”经费：指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pStyle w:val="27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bookmarkEnd w:id="80"/>
    <w:p>
      <w:pPr>
        <w:spacing w:line="600" w:lineRule="exact"/>
        <w:jc w:val="center"/>
        <w:outlineLvl w:val="0"/>
        <w:rPr>
          <w:rFonts w:ascii="仿宋" w:hAnsi="仿宋" w:eastAsia="仿宋"/>
        </w:rPr>
      </w:pPr>
      <w:bookmarkStart w:id="82" w:name="_Toc15396618"/>
      <w:bookmarkStart w:id="83" w:name="_Toc19522"/>
      <w:r>
        <w:rPr>
          <w:rFonts w:hint="eastAsia" w:ascii="黑体" w:hAnsi="黑体" w:eastAsia="黑体"/>
          <w:sz w:val="44"/>
          <w:szCs w:val="44"/>
        </w:rPr>
        <w:t>第</w:t>
      </w:r>
      <w:r>
        <w:rPr>
          <w:rStyle w:val="29"/>
          <w:rFonts w:hint="eastAsia" w:ascii="黑体" w:hAnsi="黑体" w:eastAsia="黑体"/>
          <w:b w:val="0"/>
          <w:lang w:eastAsia="zh-CN"/>
        </w:rPr>
        <w:t>四</w:t>
      </w:r>
      <w:r>
        <w:rPr>
          <w:rStyle w:val="29"/>
          <w:rFonts w:hint="eastAsia" w:ascii="黑体" w:hAnsi="黑体" w:eastAsia="黑体"/>
          <w:b w:val="0"/>
        </w:rPr>
        <w:t>部分 附表</w:t>
      </w:r>
      <w:bookmarkEnd w:id="81"/>
      <w:bookmarkEnd w:id="82"/>
      <w:bookmarkEnd w:id="83"/>
      <w:bookmarkStart w:id="84" w:name="_Toc15396619"/>
    </w:p>
    <w:p>
      <w:pPr>
        <w:pStyle w:val="5"/>
        <w:rPr>
          <w:rFonts w:ascii="仿宋" w:hAnsi="仿宋" w:eastAsia="仿宋"/>
        </w:rPr>
      </w:pPr>
      <w:bookmarkStart w:id="85" w:name="_Toc8763"/>
      <w:r>
        <w:rPr>
          <w:rFonts w:hint="eastAsia" w:ascii="仿宋" w:hAnsi="仿宋" w:eastAsia="仿宋"/>
          <w:b w:val="0"/>
        </w:rPr>
        <w:t>一、收</w:t>
      </w:r>
      <w:r>
        <w:rPr>
          <w:rStyle w:val="30"/>
          <w:rFonts w:hint="eastAsia" w:ascii="仿宋" w:hAnsi="仿宋" w:eastAsia="仿宋"/>
          <w:b w:val="0"/>
          <w:bCs w:val="0"/>
        </w:rPr>
        <w:t>入支出决算总表</w:t>
      </w:r>
      <w:bookmarkEnd w:id="84"/>
      <w:bookmarkEnd w:id="85"/>
    </w:p>
    <w:p>
      <w:pPr>
        <w:pStyle w:val="5"/>
        <w:rPr>
          <w:rFonts w:ascii="仿宋" w:hAnsi="仿宋" w:eastAsia="仿宋"/>
        </w:rPr>
      </w:pPr>
      <w:bookmarkStart w:id="86" w:name="_Toc15396620"/>
      <w:bookmarkStart w:id="87" w:name="_Toc20996"/>
      <w:r>
        <w:rPr>
          <w:rFonts w:hint="eastAsia" w:ascii="仿宋" w:hAnsi="仿宋" w:eastAsia="仿宋"/>
          <w:b w:val="0"/>
        </w:rPr>
        <w:t>二、收</w:t>
      </w:r>
      <w:r>
        <w:rPr>
          <w:rStyle w:val="30"/>
          <w:rFonts w:hint="eastAsia" w:ascii="仿宋" w:hAnsi="仿宋" w:eastAsia="仿宋"/>
          <w:b w:val="0"/>
          <w:bCs w:val="0"/>
        </w:rPr>
        <w:t>入决算表</w:t>
      </w:r>
      <w:bookmarkEnd w:id="86"/>
      <w:bookmarkEnd w:id="87"/>
    </w:p>
    <w:p>
      <w:pPr>
        <w:pStyle w:val="5"/>
        <w:rPr>
          <w:rFonts w:ascii="仿宋" w:hAnsi="仿宋" w:eastAsia="仿宋"/>
        </w:rPr>
      </w:pPr>
      <w:bookmarkStart w:id="88" w:name="_Toc15396621"/>
      <w:bookmarkStart w:id="89" w:name="_Toc7418"/>
      <w:r>
        <w:rPr>
          <w:rStyle w:val="30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</w:rPr>
        <w:t>支</w:t>
      </w:r>
      <w:r>
        <w:rPr>
          <w:rStyle w:val="30"/>
          <w:rFonts w:hint="eastAsia" w:ascii="仿宋" w:hAnsi="仿宋" w:eastAsia="仿宋"/>
          <w:b w:val="0"/>
          <w:bCs w:val="0"/>
        </w:rPr>
        <w:t>出决算表</w:t>
      </w:r>
      <w:bookmarkEnd w:id="88"/>
      <w:bookmarkEnd w:id="89"/>
    </w:p>
    <w:p>
      <w:pPr>
        <w:pStyle w:val="5"/>
        <w:rPr>
          <w:rFonts w:ascii="仿宋" w:hAnsi="仿宋" w:eastAsia="仿宋"/>
          <w:b w:val="0"/>
        </w:rPr>
      </w:pPr>
      <w:bookmarkStart w:id="90" w:name="_Toc15396622"/>
      <w:bookmarkStart w:id="91" w:name="_Toc7896"/>
      <w:r>
        <w:rPr>
          <w:rStyle w:val="30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0"/>
          <w:rFonts w:hint="eastAsia" w:ascii="仿宋" w:hAnsi="仿宋" w:eastAsia="仿宋"/>
          <w:b w:val="0"/>
          <w:bCs w:val="0"/>
        </w:rPr>
        <w:t>政拨款收入支出决算总表</w:t>
      </w:r>
      <w:bookmarkEnd w:id="90"/>
      <w:bookmarkEnd w:id="91"/>
    </w:p>
    <w:p>
      <w:pPr>
        <w:pStyle w:val="5"/>
        <w:rPr>
          <w:rStyle w:val="30"/>
          <w:rFonts w:ascii="仿宋" w:hAnsi="仿宋" w:eastAsia="仿宋"/>
          <w:b w:val="0"/>
          <w:bCs w:val="0"/>
        </w:rPr>
      </w:pPr>
      <w:bookmarkStart w:id="92" w:name="_Toc15396623"/>
      <w:bookmarkStart w:id="93" w:name="_Toc23539"/>
      <w:r>
        <w:rPr>
          <w:rStyle w:val="30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0"/>
          <w:rFonts w:hint="eastAsia" w:ascii="仿宋" w:hAnsi="仿宋" w:eastAsia="仿宋"/>
          <w:b w:val="0"/>
          <w:bCs w:val="0"/>
        </w:rPr>
        <w:t>政拨款支出决算明细表</w:t>
      </w:r>
      <w:bookmarkEnd w:id="92"/>
      <w:bookmarkEnd w:id="93"/>
      <w:bookmarkStart w:id="94" w:name="_Toc15396624"/>
    </w:p>
    <w:p>
      <w:pPr>
        <w:pStyle w:val="5"/>
        <w:rPr>
          <w:rFonts w:ascii="仿宋" w:hAnsi="仿宋" w:eastAsia="仿宋"/>
        </w:rPr>
      </w:pPr>
      <w:bookmarkStart w:id="95" w:name="_Toc23471"/>
      <w:r>
        <w:rPr>
          <w:rStyle w:val="30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般公共预算财政拨款支出决算表</w:t>
      </w:r>
      <w:bookmarkEnd w:id="94"/>
      <w:bookmarkEnd w:id="95"/>
    </w:p>
    <w:p>
      <w:pPr>
        <w:pStyle w:val="5"/>
        <w:rPr>
          <w:rFonts w:ascii="仿宋" w:hAnsi="仿宋" w:eastAsia="仿宋"/>
        </w:rPr>
      </w:pPr>
      <w:bookmarkStart w:id="96" w:name="_Toc15396625"/>
      <w:bookmarkStart w:id="97" w:name="_Toc31170"/>
      <w:r>
        <w:rPr>
          <w:rStyle w:val="30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般公共预算财政拨款支出决算明细表</w:t>
      </w:r>
      <w:bookmarkEnd w:id="96"/>
      <w:bookmarkEnd w:id="97"/>
    </w:p>
    <w:p>
      <w:pPr>
        <w:pStyle w:val="5"/>
        <w:rPr>
          <w:rFonts w:ascii="仿宋" w:hAnsi="仿宋" w:eastAsia="仿宋"/>
        </w:rPr>
      </w:pPr>
      <w:bookmarkStart w:id="98" w:name="_Toc15396626"/>
      <w:bookmarkStart w:id="99" w:name="_Toc16486"/>
      <w:r>
        <w:rPr>
          <w:rStyle w:val="30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般公共预算财政拨款基本支出决算表</w:t>
      </w:r>
      <w:bookmarkEnd w:id="98"/>
      <w:bookmarkEnd w:id="99"/>
    </w:p>
    <w:p>
      <w:pPr>
        <w:pStyle w:val="5"/>
        <w:rPr>
          <w:rFonts w:ascii="仿宋" w:hAnsi="仿宋" w:eastAsia="仿宋"/>
        </w:rPr>
      </w:pPr>
      <w:bookmarkStart w:id="100" w:name="_Toc15396627"/>
      <w:bookmarkStart w:id="101" w:name="_Toc24530"/>
      <w:r>
        <w:rPr>
          <w:rStyle w:val="30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般公共预算财政拨款项目支出决算表</w:t>
      </w:r>
      <w:bookmarkEnd w:id="100"/>
      <w:bookmarkEnd w:id="101"/>
    </w:p>
    <w:p>
      <w:pPr>
        <w:pStyle w:val="5"/>
        <w:rPr>
          <w:rFonts w:ascii="仿宋" w:hAnsi="仿宋" w:eastAsia="仿宋"/>
        </w:rPr>
      </w:pPr>
      <w:bookmarkStart w:id="102" w:name="_Toc15396628"/>
      <w:bookmarkStart w:id="103" w:name="_Toc26033"/>
      <w:r>
        <w:rPr>
          <w:rStyle w:val="30"/>
          <w:rFonts w:hint="eastAsia" w:ascii="仿宋" w:hAnsi="仿宋" w:eastAsia="仿宋"/>
          <w:b w:val="0"/>
          <w:bCs w:val="0"/>
        </w:rPr>
        <w:t>十、</w:t>
      </w:r>
      <w:bookmarkEnd w:id="102"/>
      <w:r>
        <w:rPr>
          <w:rFonts w:hint="eastAsia" w:ascii="仿宋" w:hAnsi="仿宋" w:eastAsia="仿宋"/>
          <w:b w:val="0"/>
        </w:rPr>
        <w:t>政</w:t>
      </w:r>
      <w:r>
        <w:rPr>
          <w:rStyle w:val="30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103"/>
    </w:p>
    <w:p>
      <w:pPr>
        <w:pStyle w:val="5"/>
        <w:rPr>
          <w:rFonts w:ascii="仿宋" w:hAnsi="仿宋" w:eastAsia="仿宋"/>
        </w:rPr>
      </w:pPr>
      <w:bookmarkStart w:id="104" w:name="_Toc15396629"/>
      <w:bookmarkStart w:id="105" w:name="_Toc11550"/>
      <w:r>
        <w:rPr>
          <w:rStyle w:val="30"/>
          <w:rFonts w:hint="eastAsia" w:ascii="仿宋" w:hAnsi="仿宋" w:eastAsia="仿宋"/>
          <w:b w:val="0"/>
          <w:bCs w:val="0"/>
        </w:rPr>
        <w:t>十一、</w:t>
      </w:r>
      <w:bookmarkEnd w:id="104"/>
      <w:r>
        <w:rPr>
          <w:rFonts w:hint="eastAsia" w:ascii="仿宋" w:hAnsi="仿宋" w:eastAsia="仿宋"/>
          <w:b w:val="0"/>
        </w:rPr>
        <w:t>国</w:t>
      </w:r>
      <w:r>
        <w:rPr>
          <w:rStyle w:val="30"/>
          <w:rFonts w:hint="eastAsia" w:ascii="仿宋" w:hAnsi="仿宋" w:eastAsia="仿宋"/>
          <w:b w:val="0"/>
          <w:bCs w:val="0"/>
        </w:rPr>
        <w:t>有资本经营预算财政拨款收入支出决算表</w:t>
      </w:r>
      <w:bookmarkEnd w:id="105"/>
    </w:p>
    <w:p>
      <w:pPr>
        <w:pStyle w:val="5"/>
        <w:rPr>
          <w:rFonts w:ascii="仿宋" w:hAnsi="仿宋" w:eastAsia="仿宋"/>
        </w:rPr>
      </w:pPr>
      <w:bookmarkStart w:id="106" w:name="_Toc15396630"/>
      <w:bookmarkStart w:id="107" w:name="_Toc31598"/>
      <w:r>
        <w:rPr>
          <w:rStyle w:val="30"/>
          <w:rFonts w:hint="eastAsia" w:ascii="仿宋" w:hAnsi="仿宋" w:eastAsia="仿宋"/>
          <w:b w:val="0"/>
          <w:bCs w:val="0"/>
        </w:rPr>
        <w:t>十二、</w:t>
      </w:r>
      <w:bookmarkEnd w:id="106"/>
      <w:r>
        <w:rPr>
          <w:rStyle w:val="30"/>
          <w:rFonts w:hint="eastAsia" w:ascii="仿宋" w:hAnsi="仿宋" w:eastAsia="仿宋"/>
          <w:b w:val="0"/>
          <w:bCs w:val="0"/>
        </w:rPr>
        <w:t>国有资本经营预算财政拨款支出决算表</w:t>
      </w:r>
      <w:bookmarkEnd w:id="107"/>
    </w:p>
    <w:p>
      <w:pPr>
        <w:pStyle w:val="5"/>
        <w:rPr>
          <w:rFonts w:eastAsia="仿宋"/>
        </w:rPr>
      </w:pPr>
      <w:bookmarkStart w:id="108" w:name="_Toc15396631"/>
      <w:bookmarkStart w:id="109" w:name="_Toc21414"/>
      <w:r>
        <w:rPr>
          <w:rStyle w:val="30"/>
          <w:rFonts w:hint="eastAsia" w:ascii="仿宋" w:hAnsi="仿宋" w:eastAsia="仿宋"/>
          <w:b w:val="0"/>
          <w:bCs w:val="0"/>
        </w:rPr>
        <w:t>十三、</w:t>
      </w:r>
      <w:bookmarkEnd w:id="108"/>
      <w:r>
        <w:rPr>
          <w:rStyle w:val="30"/>
          <w:rFonts w:hint="eastAsia" w:ascii="仿宋" w:hAnsi="仿宋" w:eastAsia="仿宋"/>
          <w:b w:val="0"/>
          <w:bCs w:val="0"/>
        </w:rPr>
        <w:t>财政拨款“三公”经费支出决算表</w:t>
      </w:r>
      <w:bookmarkEnd w:id="10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44"/>
        <w:szCs w:val="44"/>
      </w:rPr>
    </w:lvl>
  </w:abstractNum>
  <w:abstractNum w:abstractNumId="2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jZhOThhOGZiYzQwNWYwZTFhMmI3MTU3Nzg2NjEifQ=="/>
  </w:docVars>
  <w:rsids>
    <w:rsidRoot w:val="00F1361C"/>
    <w:rsid w:val="000222C6"/>
    <w:rsid w:val="0002549F"/>
    <w:rsid w:val="000409D9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A3C1B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C7CD4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7BF4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87AA4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0E31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1F29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575B9"/>
    <w:rsid w:val="0096294D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873A9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1671B"/>
    <w:rsid w:val="00C33E72"/>
    <w:rsid w:val="00C354B2"/>
    <w:rsid w:val="00C35554"/>
    <w:rsid w:val="00C42709"/>
    <w:rsid w:val="00C533CC"/>
    <w:rsid w:val="00C56F3A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4A2DD9"/>
    <w:rsid w:val="024C2B81"/>
    <w:rsid w:val="04903CBD"/>
    <w:rsid w:val="053A62B5"/>
    <w:rsid w:val="05DF682E"/>
    <w:rsid w:val="096609CC"/>
    <w:rsid w:val="09C676BC"/>
    <w:rsid w:val="0A2032A3"/>
    <w:rsid w:val="0A6A629A"/>
    <w:rsid w:val="0B8A37D8"/>
    <w:rsid w:val="0F1B166C"/>
    <w:rsid w:val="10C055FF"/>
    <w:rsid w:val="10D7775A"/>
    <w:rsid w:val="113B44EC"/>
    <w:rsid w:val="115B4B8E"/>
    <w:rsid w:val="118107EC"/>
    <w:rsid w:val="11DD6519"/>
    <w:rsid w:val="167A4C34"/>
    <w:rsid w:val="1699418F"/>
    <w:rsid w:val="16BB723D"/>
    <w:rsid w:val="17704531"/>
    <w:rsid w:val="18015F3F"/>
    <w:rsid w:val="18C922BC"/>
    <w:rsid w:val="199844A2"/>
    <w:rsid w:val="1BE8440E"/>
    <w:rsid w:val="1D155CEE"/>
    <w:rsid w:val="20F57F95"/>
    <w:rsid w:val="227A69DA"/>
    <w:rsid w:val="23203542"/>
    <w:rsid w:val="240371BF"/>
    <w:rsid w:val="25711CC6"/>
    <w:rsid w:val="25C741E6"/>
    <w:rsid w:val="27842671"/>
    <w:rsid w:val="27B415EB"/>
    <w:rsid w:val="28B27332"/>
    <w:rsid w:val="29EA6657"/>
    <w:rsid w:val="29FD04D3"/>
    <w:rsid w:val="2AAA02F8"/>
    <w:rsid w:val="2ABE7A3E"/>
    <w:rsid w:val="2CA234A8"/>
    <w:rsid w:val="2DF67CC1"/>
    <w:rsid w:val="2EFA178C"/>
    <w:rsid w:val="30790437"/>
    <w:rsid w:val="30B46D73"/>
    <w:rsid w:val="30F009F7"/>
    <w:rsid w:val="31894064"/>
    <w:rsid w:val="319F7F4E"/>
    <w:rsid w:val="328B3C41"/>
    <w:rsid w:val="337C47C4"/>
    <w:rsid w:val="34A456AE"/>
    <w:rsid w:val="34F12F90"/>
    <w:rsid w:val="35697267"/>
    <w:rsid w:val="36A4475E"/>
    <w:rsid w:val="37083742"/>
    <w:rsid w:val="3726623C"/>
    <w:rsid w:val="37E24D33"/>
    <w:rsid w:val="383D272C"/>
    <w:rsid w:val="39AE70AB"/>
    <w:rsid w:val="39E26A08"/>
    <w:rsid w:val="3B293484"/>
    <w:rsid w:val="3B334658"/>
    <w:rsid w:val="3C0C0783"/>
    <w:rsid w:val="3CE172E8"/>
    <w:rsid w:val="3D5A3DC8"/>
    <w:rsid w:val="3F9F3A96"/>
    <w:rsid w:val="408A49C4"/>
    <w:rsid w:val="40AF442B"/>
    <w:rsid w:val="424C5D66"/>
    <w:rsid w:val="435E7A42"/>
    <w:rsid w:val="43E53CEE"/>
    <w:rsid w:val="45AC0F39"/>
    <w:rsid w:val="47D46525"/>
    <w:rsid w:val="48BF60AB"/>
    <w:rsid w:val="49105C83"/>
    <w:rsid w:val="493C27E9"/>
    <w:rsid w:val="496F39ED"/>
    <w:rsid w:val="49FF41D3"/>
    <w:rsid w:val="4BD760A8"/>
    <w:rsid w:val="4BE068DB"/>
    <w:rsid w:val="4BF6002B"/>
    <w:rsid w:val="4E5A015E"/>
    <w:rsid w:val="4ECE2238"/>
    <w:rsid w:val="4F204C1F"/>
    <w:rsid w:val="4F3617A0"/>
    <w:rsid w:val="50772AFB"/>
    <w:rsid w:val="51DB4B86"/>
    <w:rsid w:val="523F1387"/>
    <w:rsid w:val="55333C3E"/>
    <w:rsid w:val="5B0A6C6C"/>
    <w:rsid w:val="5BF3746A"/>
    <w:rsid w:val="5D1325D5"/>
    <w:rsid w:val="5E197728"/>
    <w:rsid w:val="5F28567D"/>
    <w:rsid w:val="5F3E78B7"/>
    <w:rsid w:val="60281EC1"/>
    <w:rsid w:val="64CA39A1"/>
    <w:rsid w:val="655C6080"/>
    <w:rsid w:val="65B41564"/>
    <w:rsid w:val="663F4FF0"/>
    <w:rsid w:val="66AC7A28"/>
    <w:rsid w:val="69630ADE"/>
    <w:rsid w:val="6AA84736"/>
    <w:rsid w:val="6C4A05C8"/>
    <w:rsid w:val="6D3B1A89"/>
    <w:rsid w:val="6E034D5B"/>
    <w:rsid w:val="6E132BAB"/>
    <w:rsid w:val="6EB36F9D"/>
    <w:rsid w:val="704E5A96"/>
    <w:rsid w:val="71BF4EC2"/>
    <w:rsid w:val="72734D90"/>
    <w:rsid w:val="73DF1A23"/>
    <w:rsid w:val="7412278C"/>
    <w:rsid w:val="74BF3A24"/>
    <w:rsid w:val="74DB7A9F"/>
    <w:rsid w:val="79E7B28D"/>
    <w:rsid w:val="7AA303A2"/>
    <w:rsid w:val="7B5B24DE"/>
    <w:rsid w:val="7C52743D"/>
    <w:rsid w:val="7CAF79BD"/>
    <w:rsid w:val="7D3D00ED"/>
    <w:rsid w:val="7F8813C8"/>
    <w:rsid w:val="7F9F20EE"/>
    <w:rsid w:val="9E3A10E2"/>
    <w:rsid w:val="F2E1F9D4"/>
    <w:rsid w:val="F78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Lines="0" w:afterAutospacing="0"/>
      <w:ind w:left="420" w:leftChars="200"/>
    </w:pPr>
  </w:style>
  <w:style w:type="paragraph" w:styleId="7">
    <w:name w:val="Body Text"/>
    <w:basedOn w:val="1"/>
    <w:link w:val="26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9">
    <w:name w:val="Plain Text"/>
    <w:basedOn w:val="1"/>
    <w:qFormat/>
    <w:uiPriority w:val="99"/>
    <w:rPr>
      <w:rFonts w:ascii="宋体" w:hAnsi="Courier New" w:eastAsia="仿宋_GB2312" w:cs="Courier New"/>
      <w:b/>
      <w:sz w:val="32"/>
      <w:szCs w:val="21"/>
    </w:rPr>
  </w:style>
  <w:style w:type="paragraph" w:styleId="10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2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7"/>
    <w:qFormat/>
    <w:uiPriority w:val="0"/>
    <w:pPr>
      <w:ind w:firstLine="420" w:firstLineChars="100"/>
    </w:pPr>
  </w:style>
  <w:style w:type="character" w:styleId="19">
    <w:name w:val="Strong"/>
    <w:basedOn w:val="18"/>
    <w:qFormat/>
    <w:uiPriority w:val="99"/>
    <w:rPr>
      <w:b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2">
    <w:name w:val="页眉 字符"/>
    <w:link w:val="12"/>
    <w:semiHidden/>
    <w:qFormat/>
    <w:locked/>
    <w:uiPriority w:val="99"/>
    <w:rPr>
      <w:sz w:val="18"/>
    </w:rPr>
  </w:style>
  <w:style w:type="character" w:customStyle="1" w:styleId="23">
    <w:name w:val="Foot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4">
    <w:name w:val="页脚 字符"/>
    <w:link w:val="11"/>
    <w:qFormat/>
    <w:locked/>
    <w:uiPriority w:val="99"/>
    <w:rPr>
      <w:sz w:val="18"/>
    </w:rPr>
  </w:style>
  <w:style w:type="character" w:customStyle="1" w:styleId="25">
    <w:name w:val="Body Text Char"/>
    <w:basedOn w:val="18"/>
    <w:semiHidden/>
    <w:qFormat/>
    <w:uiPriority w:val="99"/>
    <w:rPr>
      <w:rFonts w:ascii="Times New Roman" w:hAnsi="Times New Roman"/>
      <w:szCs w:val="24"/>
    </w:rPr>
  </w:style>
  <w:style w:type="character" w:customStyle="1" w:styleId="26">
    <w:name w:val="正文文本 字符"/>
    <w:link w:val="7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1 字符"/>
    <w:basedOn w:val="18"/>
    <w:link w:val="4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0">
    <w:name w:val="标题 2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1">
    <w:name w:val="TOC 标题1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批注框文本 字符"/>
    <w:basedOn w:val="18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3">
    <w:name w:val="标题 3 字符"/>
    <w:basedOn w:val="18"/>
    <w:link w:val="6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4">
    <w:name w:val="TOC 标题2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caiwu\AppData\Local\Temp\360zip$Temp\360$6\&#24352;&#29579;&#20915;&#31639;&#20844;&#24320;&#25554;&#22270;&#21046;&#20316;&#31034;&#2036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iwu\AppData\Local\Temp\360zip$Temp\360$6\&#24352;&#29579;&#20915;&#31639;&#20844;&#24320;&#25554;&#22270;&#21046;&#20316;&#31034;&#2036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iwu\AppData\Local\Temp\360zip$Temp\360$6\&#24352;&#29579;&#20915;&#31639;&#20844;&#24320;&#25554;&#22270;&#21046;&#20316;&#31034;&#2036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2:</a:t>
            </a:r>
            <a:r>
              <a:rPr altLang="en-US"/>
              <a:t>收入决算结构图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42013888888889"/>
          <c:y val="0.176388888888889"/>
          <c:w val="0.324305555555556"/>
          <c:h val="0.540509259259259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[张王决算公开插图制作示例.xlsx]图二!$A$1:$A$6</c:f>
              <c:strCache>
                <c:ptCount val="6"/>
                <c:pt idx="0">
                  <c:v>一、一般公共预算财政拨款收入</c:v>
                </c:pt>
                <c:pt idx="1">
                  <c:v>二、政府性基金预算财政拨款收入</c:v>
                </c:pt>
                <c:pt idx="2">
                  <c:v>三、国有资本经营预算财政拨款收入</c:v>
                </c:pt>
                <c:pt idx="3">
                  <c:v>四、事业收入</c:v>
                </c:pt>
                <c:pt idx="4">
                  <c:v>五、经营收入</c:v>
                </c:pt>
                <c:pt idx="5">
                  <c:v>六、其他收入</c:v>
                </c:pt>
              </c:strCache>
            </c:strRef>
          </c:cat>
          <c:val>
            <c:numRef>
              <c:f>[张王决算公开插图制作示例.xlsx]图二!$B$1:$B$6</c:f>
              <c:numCache>
                <c:formatCode>General</c:formatCode>
                <c:ptCount val="6"/>
                <c:pt idx="0">
                  <c:v>128</c:v>
                </c:pt>
                <c:pt idx="3">
                  <c:v>180.2</c:v>
                </c:pt>
                <c:pt idx="5">
                  <c:v>2.79</c:v>
                </c:pt>
              </c:numCache>
            </c:numRef>
          </c:val>
        </c:ser>
        <c:ser>
          <c:idx val="1"/>
          <c:order val="1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0321654287916653"/>
                  <c:y val="-0.14979027458553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[张王决算公开插图制作示例.xlsx]图二!$A$1:$A$6</c:f>
              <c:strCache>
                <c:ptCount val="6"/>
                <c:pt idx="0">
                  <c:v>一、一般公共预算财政拨款收入</c:v>
                </c:pt>
                <c:pt idx="1">
                  <c:v>二、政府性基金预算财政拨款收入</c:v>
                </c:pt>
                <c:pt idx="2">
                  <c:v>三、国有资本经营预算财政拨款收入</c:v>
                </c:pt>
                <c:pt idx="3">
                  <c:v>四、事业收入</c:v>
                </c:pt>
                <c:pt idx="4">
                  <c:v>五、经营收入</c:v>
                </c:pt>
                <c:pt idx="5">
                  <c:v>六、其他收入</c:v>
                </c:pt>
              </c:strCache>
            </c:strRef>
          </c:cat>
          <c:val>
            <c:numRef>
              <c:f>[张王决算公开插图制作示例.xlsx]图二!$C$1:$C$6</c:f>
              <c:numCache>
                <c:formatCode>0.00%</c:formatCode>
                <c:ptCount val="6"/>
                <c:pt idx="0">
                  <c:v>0.4122</c:v>
                </c:pt>
                <c:pt idx="1">
                  <c:v>0</c:v>
                </c:pt>
                <c:pt idx="2">
                  <c:v>0</c:v>
                </c:pt>
                <c:pt idx="3">
                  <c:v>0.5788</c:v>
                </c:pt>
                <c:pt idx="4">
                  <c:v>0</c:v>
                </c:pt>
                <c:pt idx="5">
                  <c:v>0.009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24846894138"/>
          <c:y val="0.150462962962963"/>
          <c:w val="0.566371172353456"/>
          <c:h val="0.689814814814815"/>
        </c:manualLayout>
      </c:layout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0.0848707349081365"/>
                  <c:y val="-0.17157334499854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86458880139982"/>
                  <c:y val="0.14014727325750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[张王决算公开插图制作示例.xlsx]图三!$A$2:$B$2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[张王决算公开插图制作示例.xlsx]图三!$A$3:$B$3</c:f>
              <c:numCache>
                <c:formatCode>0.00%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7043088363955"/>
          <c:y val="0.434801326917469"/>
          <c:w val="0.1868458005249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0.0483216316710411"/>
                  <c:y val="0.097738043161271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46208442694663"/>
                  <c:y val="-0.03596310877806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00951443569554"/>
                  <c:y val="-0.13227836103820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66543197725284"/>
                  <c:y val="-0.10867344706911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[张王决算公开插图制作示例.xlsx]图6!$A$2:$A$5</c:f>
              <c:strCache>
                <c:ptCount val="4"/>
                <c:pt idx="0">
                  <c:v>一般公共服务（类）支出</c:v>
                </c:pt>
                <c:pt idx="1">
                  <c:v>社会保障和就业（类）支出</c:v>
                </c:pt>
                <c:pt idx="2">
                  <c:v>卫生健康(类)支出</c:v>
                </c:pt>
                <c:pt idx="3">
                  <c:v>住房保障（类）支出</c:v>
                </c:pt>
              </c:strCache>
            </c:strRef>
          </c:cat>
          <c:val>
            <c:numRef>
              <c:f>[张王决算公开插图制作示例.xlsx]图6!$B$2:$B$5</c:f>
              <c:numCache>
                <c:formatCode>General</c:formatCode>
                <c:ptCount val="4"/>
                <c:pt idx="0">
                  <c:v>0</c:v>
                </c:pt>
                <c:pt idx="1">
                  <c:v>7.56</c:v>
                </c:pt>
                <c:pt idx="2">
                  <c:v>119.91</c:v>
                </c:pt>
                <c:pt idx="3">
                  <c:v>0.9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31</Pages>
  <Words>11683</Words>
  <Characters>13228</Characters>
  <Lines>5</Lines>
  <Paragraphs>11</Paragraphs>
  <TotalTime>0</TotalTime>
  <ScaleCrop>false</ScaleCrop>
  <LinksUpToDate>false</LinksUpToDate>
  <CharactersWithSpaces>13280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NO LOVE</cp:lastModifiedBy>
  <cp:lastPrinted>2023-07-31T02:35:00Z</cp:lastPrinted>
  <dcterms:modified xsi:type="dcterms:W3CDTF">2023-10-29T03:28:31Z</dcterms:modified>
  <dc:title>四川省***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0C1C119DE1934203A2819EB37A032C3C_13</vt:lpwstr>
  </property>
</Properties>
</file>