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Arial Unicode MS" w:hAnsi="宋体" w:eastAsia="Arial Unicode MS"/>
          <w:szCs w:val="21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Arial Unicode MS" w:hAnsi="宋体" w:eastAsia="Arial Unicode MS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Arial Unicode MS" w:hAnsi="宋体" w:eastAsia="Arial Unicode MS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Arial Unicode MS" w:hAnsi="Arial Unicode MS" w:eastAsia="Arial Unicode MS" w:cs="Arial Unicode MS"/>
          <w:sz w:val="72"/>
          <w:szCs w:val="72"/>
        </w:rPr>
      </w:pPr>
      <w:bookmarkStart w:id="1" w:name="_Toc15377193"/>
      <w:bookmarkStart w:id="2" w:name="_Toc15377425"/>
      <w:bookmarkStart w:id="3" w:name="_Toc15396475"/>
      <w:bookmarkStart w:id="4" w:name="_Toc15396597"/>
      <w:bookmarkStart w:id="5" w:name="_Toc21166"/>
      <w:bookmarkStart w:id="6" w:name="_Toc13898"/>
      <w:bookmarkStart w:id="7" w:name="_Toc15378441"/>
      <w:r>
        <w:rPr>
          <w:rFonts w:hint="eastAsia" w:ascii="Arial Unicode MS" w:hAnsi="Arial Unicode MS" w:eastAsia="Arial Unicode MS" w:cs="Arial Unicode MS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adjustRightInd w:val="0"/>
        <w:snapToGrid w:val="0"/>
        <w:spacing w:line="360" w:lineRule="auto"/>
        <w:jc w:val="center"/>
        <w:outlineLvl w:val="0"/>
        <w:rPr>
          <w:rFonts w:ascii="Arial Unicode MS" w:hAnsi="Arial Unicode MS" w:eastAsia="Arial Unicode MS" w:cs="Arial Unicode MS"/>
          <w:sz w:val="72"/>
          <w:szCs w:val="72"/>
        </w:rPr>
      </w:pPr>
      <w:bookmarkStart w:id="8" w:name="_Toc15378442"/>
      <w:bookmarkStart w:id="9" w:name="_Toc15377194"/>
      <w:bookmarkStart w:id="10" w:name="_Toc15396476"/>
      <w:bookmarkStart w:id="11" w:name="_Toc15396598"/>
      <w:bookmarkStart w:id="12" w:name="_Toc16390"/>
      <w:bookmarkStart w:id="13" w:name="_Toc12691"/>
      <w:bookmarkStart w:id="14" w:name="_Toc15377426"/>
      <w:r>
        <w:rPr>
          <w:rFonts w:hint="eastAsia" w:ascii="Arial Unicode MS" w:hAnsi="Arial Unicode MS" w:eastAsia="Arial Unicode MS" w:cs="Arial Unicode MS"/>
          <w:sz w:val="72"/>
          <w:szCs w:val="72"/>
        </w:rPr>
        <w:t>剑阁</w:t>
      </w:r>
      <w:r>
        <w:rPr>
          <w:rFonts w:hint="eastAsia" w:ascii="Arial Unicode MS" w:hAnsi="Arial Unicode MS" w:eastAsia="Arial Unicode MS" w:cs="Arial Unicode MS"/>
          <w:sz w:val="72"/>
          <w:szCs w:val="72"/>
          <w:lang w:eastAsia="zh-CN"/>
        </w:rPr>
        <w:t>县</w:t>
      </w:r>
      <w:bookmarkEnd w:id="0"/>
      <w:bookmarkStart w:id="15" w:name="_Toc15306268"/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  <w:lang w:eastAsia="zh-CN"/>
        </w:rPr>
        <w:t>演圣</w:t>
      </w:r>
      <w:r>
        <w:rPr>
          <w:rFonts w:hint="eastAsia" w:ascii="Arial Unicode MS" w:hAnsi="Arial Unicode MS" w:eastAsia="Arial Unicode MS" w:cs="Arial Unicode MS"/>
          <w:sz w:val="72"/>
          <w:szCs w:val="72"/>
          <w:lang w:eastAsia="zh-CN"/>
        </w:rPr>
        <w:t>镇卫生院</w:t>
      </w:r>
      <w:r>
        <w:rPr>
          <w:rFonts w:hint="eastAsia" w:ascii="Arial Unicode MS" w:hAnsi="Arial Unicode MS" w:eastAsia="Arial Unicode MS" w:cs="Arial Unicode MS"/>
          <w:sz w:val="72"/>
          <w:szCs w:val="72"/>
        </w:rPr>
        <w:t>单位决算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/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ascii="Arial Unicode MS" w:hAnsi="宋体" w:eastAsia="Arial Unicode MS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3"/>
      </w:pPr>
      <w:r>
        <w:rPr>
          <w:rFonts w:hint="eastAsia"/>
        </w:rPr>
        <w:t xml:space="preserve">公开时间：2023年 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p/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82727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_Toc3944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6"/>
            </w:rPr>
            <w:t xml:space="preserve">第一部分 </w:t>
          </w:r>
          <w:r>
            <w:rPr>
              <w:rFonts w:hint="eastAsia" w:ascii="黑体" w:hAnsi="黑体" w:eastAsia="黑体"/>
              <w:szCs w:val="36"/>
              <w:lang w:val="en-US" w:eastAsia="zh-CN"/>
            </w:rPr>
            <w:t>剑阁县演圣镇卫生院</w:t>
          </w:r>
          <w:r>
            <w:rPr>
              <w:rFonts w:hint="eastAsia" w:ascii="黑体" w:hAnsi="黑体" w:eastAsia="黑体"/>
              <w:szCs w:val="36"/>
            </w:rPr>
            <w:t>单位</w:t>
          </w:r>
          <w:r>
            <w:rPr>
              <w:rFonts w:hint="eastAsia" w:ascii="黑体" w:hAnsi="黑体" w:eastAsia="黑体"/>
              <w:bCs w:val="0"/>
              <w:szCs w:val="36"/>
            </w:rPr>
            <w:t>概况</w:t>
          </w:r>
          <w:r>
            <w:tab/>
          </w:r>
          <w:r>
            <w:fldChar w:fldCharType="begin"/>
          </w:r>
          <w:r>
            <w:instrText xml:space="preserve"> PAGEREF _Toc3944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_Toc10441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bCs w:val="0"/>
              <w:szCs w:val="28"/>
            </w:rPr>
            <w:t xml:space="preserve">一、 </w:t>
          </w:r>
          <w:r>
            <w:rPr>
              <w:rFonts w:hint="eastAsia" w:ascii="黑体" w:hAnsi="黑体" w:eastAsia="黑体"/>
              <w:bCs w:val="0"/>
              <w:szCs w:val="32"/>
            </w:rPr>
            <w:t>主要职责</w:t>
          </w:r>
          <w:r>
            <w:tab/>
          </w:r>
          <w:r>
            <w:fldChar w:fldCharType="begin"/>
          </w:r>
          <w:r>
            <w:instrText xml:space="preserve"> PAGEREF _Toc10441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_Toc7354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kern w:val="0"/>
              <w:szCs w:val="28"/>
            </w:rPr>
            <w:t xml:space="preserve">二、 </w:t>
          </w:r>
          <w:r>
            <w:rPr>
              <w:rFonts w:hint="eastAsia" w:ascii="黑体" w:hAnsi="黑体" w:eastAsia="黑体"/>
              <w:szCs w:val="32"/>
            </w:rPr>
            <w:t>机构设置</w:t>
          </w:r>
          <w:r>
            <w:tab/>
          </w:r>
          <w:r>
            <w:fldChar w:fldCharType="begin"/>
          </w:r>
          <w:r>
            <w:instrText xml:space="preserve"> PAGEREF _Toc7354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  <w:tab w:val="clear" w:pos="8296"/>
            </w:tabs>
            <w:jc w:val="both"/>
          </w:pPr>
          <w:r>
            <w:fldChar w:fldCharType="begin"/>
          </w:r>
          <w:r>
            <w:instrText xml:space="preserve"> HYPERLINK \l _Toc9753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6"/>
            </w:rPr>
            <w:t xml:space="preserve">第二部分 </w:t>
          </w:r>
          <w:r>
            <w:rPr>
              <w:rFonts w:hint="eastAsia" w:ascii="黑体" w:hAnsi="黑体" w:eastAsia="黑体"/>
              <w:szCs w:val="36"/>
              <w:lang w:val="en-US" w:eastAsia="zh-CN"/>
            </w:rPr>
            <w:t>剑阁县演圣镇卫生院</w:t>
          </w:r>
          <w:r>
            <w:rPr>
              <w:rFonts w:hint="eastAsia" w:ascii="黑体" w:hAnsi="黑体" w:eastAsia="黑体"/>
              <w:szCs w:val="36"/>
            </w:rPr>
            <w:t>2022年度</w:t>
          </w:r>
          <w:r>
            <w:rPr>
              <w:rFonts w:hint="eastAsia" w:ascii="黑体" w:hAnsi="黑体" w:eastAsia="黑体"/>
              <w:bCs/>
              <w:szCs w:val="36"/>
            </w:rPr>
            <w:t>单位决算情况说明</w:t>
          </w:r>
          <w:r>
            <w:tab/>
          </w:r>
          <w:r>
            <w:fldChar w:fldCharType="begin"/>
          </w:r>
          <w:r>
            <w:instrText xml:space="preserve"> PAGEREF _Toc9753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_Toc1463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一、 </w:t>
          </w:r>
          <w:r>
            <w:rPr>
              <w:rFonts w:hint="eastAsia" w:ascii="黑体" w:hAnsi="黑体" w:eastAsia="黑体"/>
              <w:szCs w:val="32"/>
            </w:rPr>
            <w:t>收</w:t>
          </w:r>
          <w:r>
            <w:rPr>
              <w:rFonts w:hint="eastAsia" w:ascii="黑体" w:hAnsi="黑体" w:eastAsia="黑体"/>
            </w:rPr>
            <w:t>入支出决算总体情况说明</w:t>
          </w:r>
          <w:r>
            <w:tab/>
          </w:r>
          <w:r>
            <w:fldChar w:fldCharType="begin"/>
          </w:r>
          <w:r>
            <w:instrText xml:space="preserve"> PAGEREF _Toc1463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_Toc27693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二、 </w:t>
          </w:r>
          <w:r>
            <w:rPr>
              <w:rFonts w:hint="eastAsia" w:ascii="黑体" w:hAnsi="黑体" w:eastAsia="黑体"/>
              <w:szCs w:val="32"/>
            </w:rPr>
            <w:t>收</w:t>
          </w:r>
          <w:r>
            <w:rPr>
              <w:rFonts w:hint="eastAsia" w:ascii="黑体" w:hAnsi="黑体" w:eastAsia="黑体"/>
            </w:rPr>
            <w:t>入决算情况说明</w:t>
          </w:r>
          <w:r>
            <w:tab/>
          </w:r>
          <w:r>
            <w:fldChar w:fldCharType="begin"/>
          </w:r>
          <w:r>
            <w:instrText xml:space="preserve"> PAGEREF _Toc27693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_Toc23324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三、 </w:t>
          </w:r>
          <w:r>
            <w:rPr>
              <w:rFonts w:hint="eastAsia" w:ascii="黑体" w:hAnsi="黑体" w:eastAsia="黑体"/>
              <w:szCs w:val="32"/>
            </w:rPr>
            <w:t>支</w:t>
          </w:r>
          <w:r>
            <w:rPr>
              <w:rFonts w:hint="eastAsia" w:ascii="黑体" w:hAnsi="黑体" w:eastAsia="黑体"/>
            </w:rPr>
            <w:t>出决算情况说明</w:t>
          </w:r>
          <w:r>
            <w:tab/>
          </w:r>
          <w:r>
            <w:fldChar w:fldCharType="begin"/>
          </w:r>
          <w:r>
            <w:instrText xml:space="preserve"> PAGEREF _Toc23324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_Toc14341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2"/>
            </w:rPr>
            <w:t>四、财</w:t>
          </w:r>
          <w:r>
            <w:rPr>
              <w:rFonts w:hint="eastAsia" w:ascii="黑体" w:hAnsi="黑体" w:eastAsia="黑体"/>
            </w:rPr>
            <w:t>政拨款收入支出决算总体情况说明</w:t>
          </w:r>
          <w:r>
            <w:tab/>
          </w:r>
          <w:r>
            <w:fldChar w:fldCharType="begin"/>
          </w:r>
          <w:r>
            <w:instrText xml:space="preserve"> PAGEREF _Toc14341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_Toc9344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2"/>
            </w:rPr>
            <w:t>五、一</w:t>
          </w:r>
          <w:r>
            <w:rPr>
              <w:rFonts w:hint="eastAsia" w:ascii="黑体" w:hAnsi="黑体" w:eastAsia="黑体"/>
            </w:rPr>
            <w:t>般公共预算财政拨款支出决算情况说明</w:t>
          </w:r>
          <w:r>
            <w:tab/>
          </w:r>
          <w:r>
            <w:fldChar w:fldCharType="begin"/>
          </w:r>
          <w:r>
            <w:instrText xml:space="preserve"> PAGEREF _Toc9344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_Toc18313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（一）一般公共预算财政拨款支出决算总体情况</w:t>
          </w:r>
          <w:r>
            <w:tab/>
          </w:r>
          <w:r>
            <w:fldChar w:fldCharType="begin"/>
          </w:r>
          <w:r>
            <w:instrText xml:space="preserve"> PAGEREF _Toc18313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_Toc24692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（二）一般公共预算财政拨款支出决算结构情况</w:t>
          </w:r>
          <w:r>
            <w:tab/>
          </w:r>
          <w:r>
            <w:fldChar w:fldCharType="begin"/>
          </w:r>
          <w:r>
            <w:instrText xml:space="preserve"> PAGEREF _Toc24692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_Toc7501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（三）一般公共预算财政拨款支出决算具体情况</w:t>
          </w:r>
          <w:r>
            <w:tab/>
          </w:r>
          <w:r>
            <w:fldChar w:fldCharType="begin"/>
          </w:r>
          <w:r>
            <w:instrText xml:space="preserve"> PAGEREF _Toc7501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_Toc1240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六、</w:t>
          </w:r>
          <w:r>
            <w:rPr>
              <w:rFonts w:hint="eastAsia" w:ascii="黑体" w:hAnsi="黑体" w:eastAsia="黑体"/>
              <w:szCs w:val="32"/>
            </w:rPr>
            <w:t>一</w:t>
          </w:r>
          <w:r>
            <w:rPr>
              <w:rFonts w:hint="eastAsia" w:ascii="黑体" w:hAnsi="黑体" w:eastAsia="黑体"/>
            </w:rPr>
            <w:t>般公共预算财政拨款基本支出决算情况说明</w:t>
          </w:r>
          <w:r>
            <w:tab/>
          </w:r>
          <w:r>
            <w:fldChar w:fldCharType="begin"/>
          </w:r>
          <w:r>
            <w:instrText xml:space="preserve"> PAGEREF _Toc1240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_Toc2355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七、</w:t>
          </w:r>
          <w:r>
            <w:rPr>
              <w:rFonts w:hint="eastAsia" w:ascii="黑体" w:hAnsi="黑体" w:eastAsia="黑体"/>
            </w:rPr>
            <w:t>财政拨款“三公”经费支出决算情况说明</w:t>
          </w:r>
          <w:r>
            <w:tab/>
          </w:r>
          <w:r>
            <w:fldChar w:fldCharType="begin"/>
          </w:r>
          <w:r>
            <w:instrText xml:space="preserve"> PAGEREF _Toc2355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_Toc13899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（一）“三公”经费财政拨款支出决算总体情况说明</w:t>
          </w:r>
          <w:r>
            <w:tab/>
          </w:r>
          <w:r>
            <w:fldChar w:fldCharType="begin"/>
          </w:r>
          <w:r>
            <w:instrText xml:space="preserve"> PAGEREF _Toc13899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_Toc17020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（二）“三公”经费财政拨款支出决算具体情况说明</w:t>
          </w:r>
          <w:r>
            <w:tab/>
          </w:r>
          <w:r>
            <w:fldChar w:fldCharType="begin"/>
          </w:r>
          <w:r>
            <w:instrText xml:space="preserve"> PAGEREF _Toc17020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_Toc23983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八、</w:t>
          </w:r>
          <w:r>
            <w:rPr>
              <w:rFonts w:hint="eastAsia" w:ascii="黑体" w:hAnsi="黑体" w:eastAsia="黑体"/>
            </w:rPr>
            <w:t>政府性基金预算支出决算情况说明</w:t>
          </w:r>
          <w:r>
            <w:tab/>
          </w:r>
          <w:r>
            <w:fldChar w:fldCharType="begin"/>
          </w:r>
          <w:r>
            <w:instrText xml:space="preserve"> PAGEREF _Toc23983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_Toc7731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九、 国有资本经营预算支出决算情况说明</w:t>
          </w:r>
          <w:r>
            <w:tab/>
          </w:r>
          <w:r>
            <w:fldChar w:fldCharType="begin"/>
          </w:r>
          <w:r>
            <w:instrText xml:space="preserve"> PAGEREF _Toc7731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_Toc29178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十、 其他重要事项的情况说明</w:t>
          </w:r>
          <w:r>
            <w:tab/>
          </w:r>
          <w:r>
            <w:fldChar w:fldCharType="begin"/>
          </w:r>
          <w:r>
            <w:instrText xml:space="preserve"> PAGEREF _Toc29178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_Toc5022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（一）机关运行经费支出情况</w:t>
          </w:r>
          <w:r>
            <w:tab/>
          </w:r>
          <w:r>
            <w:fldChar w:fldCharType="begin"/>
          </w:r>
          <w:r>
            <w:instrText xml:space="preserve"> PAGEREF _Toc5022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_Toc249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（二）政府采购支出情况</w:t>
          </w:r>
          <w:r>
            <w:tab/>
          </w:r>
          <w:r>
            <w:fldChar w:fldCharType="begin"/>
          </w:r>
          <w:r>
            <w:instrText xml:space="preserve"> PAGEREF _Toc249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_Toc1669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（三）国有资产占有使用情况</w:t>
          </w:r>
          <w:r>
            <w:tab/>
          </w:r>
          <w:r>
            <w:fldChar w:fldCharType="begin"/>
          </w:r>
          <w:r>
            <w:instrText xml:space="preserve"> PAGEREF _Toc1669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_Toc24189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szCs w:val="44"/>
            </w:rPr>
            <w:t xml:space="preserve">第三部分 </w:t>
          </w:r>
          <w:r>
            <w:rPr>
              <w:rFonts w:hint="eastAsia" w:ascii="黑体" w:hAnsi="黑体" w:eastAsia="黑体"/>
              <w:szCs w:val="44"/>
            </w:rPr>
            <w:t>名</w:t>
          </w:r>
          <w:r>
            <w:rPr>
              <w:rFonts w:hint="eastAsia" w:ascii="黑体" w:hAnsi="黑体" w:eastAsia="黑体"/>
            </w:rPr>
            <w:t>词解释</w:t>
          </w:r>
          <w:bookmarkStart w:id="152" w:name="_GoBack"/>
          <w:bookmarkEnd w:id="152"/>
          <w:r>
            <w:tab/>
          </w:r>
          <w:r>
            <w:fldChar w:fldCharType="begin"/>
          </w:r>
          <w:r>
            <w:instrText xml:space="preserve"> PAGEREF _Toc24189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_Toc9018 </w:instrText>
          </w:r>
          <w:r>
            <w:fldChar w:fldCharType="separate"/>
          </w:r>
          <w:r>
            <w:rPr>
              <w:rFonts w:hint="eastAsia" w:ascii="黑体" w:hAnsi="黑体" w:eastAsia="黑体"/>
              <w:szCs w:val="44"/>
            </w:rPr>
            <w:t>第</w:t>
          </w:r>
          <w:r>
            <w:rPr>
              <w:rFonts w:hint="eastAsia" w:ascii="黑体" w:hAnsi="黑体" w:eastAsia="黑体"/>
              <w:lang w:eastAsia="zh-CN"/>
            </w:rPr>
            <w:t>四</w:t>
          </w:r>
          <w:r>
            <w:rPr>
              <w:rFonts w:hint="eastAsia" w:ascii="黑体" w:hAnsi="黑体" w:eastAsia="黑体"/>
            </w:rPr>
            <w:t>部分 附表</w:t>
          </w:r>
          <w:r>
            <w:tab/>
          </w:r>
          <w:r>
            <w:fldChar w:fldCharType="begin"/>
          </w:r>
          <w:r>
            <w:instrText xml:space="preserve"> PAGEREF _Toc9018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_Toc31260 </w:instrText>
          </w:r>
          <w:r>
            <w:fldChar w:fldCharType="separate"/>
          </w:r>
          <w:r>
            <w:rPr>
              <w:rFonts w:hint="eastAsia" w:ascii="仿宋" w:hAnsi="仿宋" w:eastAsia="仿宋"/>
            </w:rPr>
            <w:t>一、收</w:t>
          </w:r>
          <w:r>
            <w:rPr>
              <w:rFonts w:hint="eastAsia" w:ascii="仿宋" w:hAnsi="仿宋" w:eastAsia="仿宋"/>
              <w:bCs w:val="0"/>
            </w:rPr>
            <w:t>入支出决算总表</w:t>
          </w:r>
          <w:r>
            <w:tab/>
          </w:r>
          <w:r>
            <w:fldChar w:fldCharType="begin"/>
          </w:r>
          <w:r>
            <w:instrText xml:space="preserve"> PAGEREF _Toc31260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_Toc27571 </w:instrText>
          </w:r>
          <w:r>
            <w:fldChar w:fldCharType="separate"/>
          </w:r>
          <w:r>
            <w:rPr>
              <w:rFonts w:hint="eastAsia" w:ascii="仿宋" w:hAnsi="仿宋" w:eastAsia="仿宋"/>
            </w:rPr>
            <w:t>二、收</w:t>
          </w:r>
          <w:r>
            <w:rPr>
              <w:rFonts w:hint="eastAsia" w:ascii="仿宋" w:hAnsi="仿宋" w:eastAsia="仿宋"/>
              <w:bCs w:val="0"/>
            </w:rPr>
            <w:t>入决算表</w:t>
          </w:r>
          <w:r>
            <w:tab/>
          </w:r>
          <w:r>
            <w:fldChar w:fldCharType="begin"/>
          </w:r>
          <w:r>
            <w:instrText xml:space="preserve"> PAGEREF _Toc27571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_Toc1256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三、</w:t>
          </w:r>
          <w:r>
            <w:rPr>
              <w:rFonts w:hint="eastAsia" w:ascii="仿宋" w:hAnsi="仿宋" w:eastAsia="仿宋"/>
            </w:rPr>
            <w:t>支</w:t>
          </w:r>
          <w:r>
            <w:rPr>
              <w:rFonts w:hint="eastAsia" w:ascii="仿宋" w:hAnsi="仿宋" w:eastAsia="仿宋"/>
              <w:bCs w:val="0"/>
            </w:rPr>
            <w:t>出决算表</w:t>
          </w:r>
          <w:r>
            <w:tab/>
          </w:r>
          <w:r>
            <w:fldChar w:fldCharType="begin"/>
          </w:r>
          <w:r>
            <w:instrText xml:space="preserve"> PAGEREF _Toc1256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_Toc15690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四、</w:t>
          </w:r>
          <w:r>
            <w:rPr>
              <w:rFonts w:hint="eastAsia" w:ascii="仿宋" w:hAnsi="仿宋" w:eastAsia="仿宋"/>
            </w:rPr>
            <w:t>财</w:t>
          </w:r>
          <w:r>
            <w:rPr>
              <w:rFonts w:hint="eastAsia" w:ascii="仿宋" w:hAnsi="仿宋" w:eastAsia="仿宋"/>
              <w:bCs w:val="0"/>
            </w:rPr>
            <w:t>政拨款收入支出决算总表</w:t>
          </w:r>
          <w:r>
            <w:tab/>
          </w:r>
          <w:r>
            <w:fldChar w:fldCharType="begin"/>
          </w:r>
          <w:r>
            <w:instrText xml:space="preserve"> PAGEREF _Toc15690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_Toc24148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五、</w:t>
          </w:r>
          <w:r>
            <w:rPr>
              <w:rFonts w:hint="eastAsia" w:ascii="仿宋" w:hAnsi="仿宋" w:eastAsia="仿宋"/>
            </w:rPr>
            <w:t>财</w:t>
          </w:r>
          <w:r>
            <w:rPr>
              <w:rFonts w:hint="eastAsia" w:ascii="仿宋" w:hAnsi="仿宋" w:eastAsia="仿宋"/>
              <w:bCs w:val="0"/>
            </w:rPr>
            <w:t>政拨款支出决算明细表</w:t>
          </w:r>
          <w:r>
            <w:tab/>
          </w:r>
          <w:r>
            <w:fldChar w:fldCharType="begin"/>
          </w:r>
          <w:r>
            <w:instrText xml:space="preserve"> PAGEREF _Toc24148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_Toc23060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六、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般公共预算财政拨款支出决算表</w:t>
          </w:r>
          <w:r>
            <w:tab/>
          </w:r>
          <w:r>
            <w:fldChar w:fldCharType="begin"/>
          </w:r>
          <w:r>
            <w:instrText xml:space="preserve"> PAGEREF _Toc23060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_Toc20969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七、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般公共预算财政拨款支出决算明细表</w:t>
          </w:r>
          <w:r>
            <w:tab/>
          </w:r>
          <w:r>
            <w:fldChar w:fldCharType="begin"/>
          </w:r>
          <w:r>
            <w:instrText xml:space="preserve"> PAGEREF _Toc20969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_Toc21020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八、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般公共预算财政拨款基本支出决算表</w:t>
          </w:r>
          <w:r>
            <w:tab/>
          </w:r>
          <w:r>
            <w:fldChar w:fldCharType="begin"/>
          </w:r>
          <w:r>
            <w:instrText xml:space="preserve"> PAGEREF _Toc21020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_Toc24484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九、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般公共预算财政拨款项目支出决算表</w:t>
          </w:r>
          <w:r>
            <w:tab/>
          </w:r>
          <w:r>
            <w:fldChar w:fldCharType="begin"/>
          </w:r>
          <w:r>
            <w:instrText xml:space="preserve"> PAGEREF _Toc24484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_Toc32023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十、</w:t>
          </w:r>
          <w:r>
            <w:rPr>
              <w:rFonts w:hint="eastAsia" w:ascii="仿宋" w:hAnsi="仿宋" w:eastAsia="仿宋"/>
            </w:rPr>
            <w:t>政</w:t>
          </w:r>
          <w:r>
            <w:rPr>
              <w:rFonts w:hint="eastAsia" w:ascii="仿宋" w:hAnsi="仿宋" w:eastAsia="仿宋"/>
              <w:bCs w:val="0"/>
            </w:rPr>
            <w:t>府性基金预算财政拨款收入支出决算表</w:t>
          </w:r>
          <w:r>
            <w:tab/>
          </w:r>
          <w:r>
            <w:fldChar w:fldCharType="begin"/>
          </w:r>
          <w:r>
            <w:instrText xml:space="preserve"> PAGEREF _Toc32023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_Toc16714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十一、</w:t>
          </w:r>
          <w:r>
            <w:rPr>
              <w:rFonts w:hint="eastAsia" w:ascii="仿宋" w:hAnsi="仿宋" w:eastAsia="仿宋"/>
            </w:rPr>
            <w:t>国</w:t>
          </w:r>
          <w:r>
            <w:rPr>
              <w:rFonts w:hint="eastAsia" w:ascii="仿宋" w:hAnsi="仿宋" w:eastAsia="仿宋"/>
              <w:bCs w:val="0"/>
            </w:rPr>
            <w:t>有资本经营预算财政拨款收入支出决算表</w:t>
          </w:r>
          <w:r>
            <w:tab/>
          </w:r>
          <w:r>
            <w:fldChar w:fldCharType="begin"/>
          </w:r>
          <w:r>
            <w:instrText xml:space="preserve"> PAGEREF _Toc16714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_Toc4859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十二、国有资本经营预算财政拨款支出决算表</w:t>
          </w:r>
          <w:r>
            <w:tab/>
          </w:r>
          <w:r>
            <w:fldChar w:fldCharType="begin"/>
          </w:r>
          <w:r>
            <w:instrText xml:space="preserve"> PAGEREF _Toc4859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_Toc10040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十三、财政拨款“三公”经费支出决算表</w:t>
          </w:r>
          <w:r>
            <w:tab/>
          </w:r>
          <w:r>
            <w:fldChar w:fldCharType="begin"/>
          </w:r>
          <w:r>
            <w:instrText xml:space="preserve"> PAGEREF _Toc10040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widowControl/>
            <w:adjustRightInd w:val="0"/>
            <w:snapToGrid w:val="0"/>
            <w:spacing w:line="440" w:lineRule="exact"/>
            <w:ind w:firstLine="1155" w:firstLineChars="550"/>
            <w:jc w:val="left"/>
            <w:rPr>
              <w:rFonts w:ascii="仿宋" w:hAnsi="仿宋" w:eastAsia="仿宋"/>
              <w:sz w:val="24"/>
            </w:rPr>
          </w:pPr>
          <w:r>
            <w:fldChar w:fldCharType="end"/>
          </w:r>
        </w:p>
      </w:sdtContent>
    </w:sdt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  <w:bookmarkStart w:id="16" w:name="_Toc15377196"/>
      <w:bookmarkStart w:id="17" w:name="_Toc15396599"/>
      <w:r>
        <w:rPr>
          <w:rFonts w:ascii="仿宋" w:hAnsi="仿宋" w:eastAsia="仿宋"/>
          <w:b/>
          <w:sz w:val="24"/>
        </w:rPr>
        <w:br w:type="page"/>
      </w:r>
    </w:p>
    <w:p>
      <w:pPr>
        <w:pStyle w:val="6"/>
        <w:jc w:val="center"/>
        <w:rPr>
          <w:rStyle w:val="28"/>
          <w:rFonts w:ascii="黑体" w:hAnsi="黑体" w:eastAsia="黑体"/>
          <w:b/>
          <w:bCs w:val="0"/>
          <w:sz w:val="36"/>
          <w:szCs w:val="36"/>
        </w:rPr>
      </w:pPr>
      <w:bookmarkStart w:id="18" w:name="_Toc3944"/>
      <w:bookmarkStart w:id="19" w:name="_Toc5879"/>
      <w:r>
        <w:rPr>
          <w:rFonts w:hint="eastAsia" w:ascii="黑体" w:hAnsi="黑体" w:eastAsia="黑体"/>
          <w:b w:val="0"/>
          <w:sz w:val="36"/>
          <w:szCs w:val="36"/>
        </w:rPr>
        <w:t xml:space="preserve">第一部分 </w:t>
      </w:r>
      <w:r>
        <w:rPr>
          <w:rFonts w:hint="eastAsia" w:ascii="黑体" w:hAnsi="黑体" w:eastAsia="黑体"/>
          <w:b w:val="0"/>
          <w:sz w:val="36"/>
          <w:szCs w:val="36"/>
          <w:lang w:val="en-US" w:eastAsia="zh-CN"/>
        </w:rPr>
        <w:t>剑阁县演圣镇卫生院</w:t>
      </w:r>
      <w:r>
        <w:rPr>
          <w:rFonts w:hint="eastAsia" w:ascii="黑体" w:hAnsi="黑体" w:eastAsia="黑体"/>
          <w:b w:val="0"/>
          <w:sz w:val="36"/>
          <w:szCs w:val="36"/>
        </w:rPr>
        <w:t>单位</w:t>
      </w:r>
      <w:r>
        <w:rPr>
          <w:rStyle w:val="28"/>
          <w:rFonts w:hint="eastAsia" w:ascii="黑体" w:hAnsi="黑体" w:eastAsia="黑体"/>
          <w:b w:val="0"/>
          <w:bCs w:val="0"/>
          <w:sz w:val="36"/>
          <w:szCs w:val="36"/>
        </w:rPr>
        <w:t>概况</w:t>
      </w:r>
      <w:bookmarkEnd w:id="16"/>
      <w:bookmarkEnd w:id="17"/>
      <w:bookmarkEnd w:id="18"/>
      <w:bookmarkEnd w:id="19"/>
    </w:p>
    <w:p>
      <w:pPr>
        <w:pStyle w:val="7"/>
        <w:numPr>
          <w:ilvl w:val="0"/>
          <w:numId w:val="1"/>
        </w:numPr>
        <w:rPr>
          <w:rStyle w:val="29"/>
          <w:rFonts w:ascii="黑体" w:hAnsi="黑体" w:eastAsia="黑体"/>
          <w:b w:val="0"/>
          <w:bCs w:val="0"/>
          <w:sz w:val="32"/>
          <w:szCs w:val="32"/>
        </w:rPr>
      </w:pPr>
      <w:bookmarkStart w:id="20" w:name="_Toc10441"/>
      <w:bookmarkStart w:id="21" w:name="_Toc23849"/>
      <w:bookmarkStart w:id="22" w:name="_Toc15377197"/>
      <w:bookmarkStart w:id="23" w:name="_Toc15396600"/>
      <w:r>
        <w:rPr>
          <w:rStyle w:val="29"/>
          <w:rFonts w:hint="eastAsia" w:ascii="黑体" w:hAnsi="黑体" w:eastAsia="黑体"/>
          <w:b w:val="0"/>
          <w:bCs w:val="0"/>
          <w:sz w:val="32"/>
          <w:szCs w:val="32"/>
        </w:rPr>
        <w:t>主要职责</w:t>
      </w:r>
      <w:bookmarkEnd w:id="20"/>
      <w:bookmarkEnd w:id="21"/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阁县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演圣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卫生院是由政府举办，不以营利为目的，具有公共卫生性质的公益性事业单位，是提供基本公共卫生和基本医疗服务的基层卫生院。坚持以群体保健工作为基础，面向基层、预防为主，为群众提供健康教育、预防保健等公共卫生服务。在切实履行公共卫生职责的同时，开展基本医疗服务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是财政全额拨款的事业单位，现有在职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,其中在编在职人员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，临聘人员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lang w:val="en-US" w:eastAsia="zh-CN"/>
        </w:rPr>
        <w:t>二、2022年重点工作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（一）积极做好家庭医生签约服务和基本公共卫生服务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、推进家庭医生签约服务高质量发展，扩大家庭医生来源渠道，引导二级及以上医疗机构和非公医疗机构医生加入家庭医生队伍。不断丰富签约服务内涵和服务方式，全面实行弹性化服务协议和签约服务回访，在确保服务质量和签约履约基础上，各地力争使签约率每年提高1-3个百分点。尚未落实签约服务费的地方抓紧协调落实签约服务费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、基本公共卫生服务方面，切实用好财政资金投入，在深化慢病医防融合和重点人群健康管理服务上做好文章，真正增强群众获得感，提高满意度，各地要积极研提优化基本公共卫生项目的建议，中央建立项目候选备选动态数据库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3、长期卧床病人服务方面，医院已制定了老年人“健康敲门行动”管理方案，组建了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支由村、乡、医生组成的健康服务团队，为行动不便的高龄、独居老人提供了1次“敲门行动”服务活动。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基本医疗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方面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全院职工始终坚持全心全意为人民服务思想，提高服务能力，提升服务质量，持继稳定的促进我镇医疗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健康事业发展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制定了各项管理规章制度及相关工作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实施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方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案。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3.信息化方面挂号、查询、收费等系统已完全正常使用。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（三）基层临床特色科室建设方面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1、人才培养：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积极向上级卫生主管部门争取专业技术人才引进，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加强专科建设力度，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成立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中医理疗科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室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，把握最新成果，力求自主创新，增强核心竞争力来培育和开拓医疗市场。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、完善各项规章制度建设。重点加强医院“内部管理制度”、“人员管理制度”、“医疗质量安全制度”以及“其他制度”建设。加强思想政治工作和医德医风建设。健全绩效考核制度，引导绩效工资及待遇向临床一线倾斜，激发人员内生动力。</w:t>
      </w:r>
    </w:p>
    <w:p>
      <w:pPr>
        <w:pStyle w:val="7"/>
        <w:numPr>
          <w:ilvl w:val="0"/>
          <w:numId w:val="1"/>
        </w:numPr>
        <w:ind w:left="0" w:leftChars="0" w:firstLine="0" w:firstLineChars="0"/>
        <w:rPr>
          <w:rFonts w:ascii="仿宋" w:hAnsi="仿宋" w:eastAsia="仿宋"/>
          <w:color w:val="auto"/>
          <w:kern w:val="0"/>
          <w:sz w:val="32"/>
          <w:szCs w:val="32"/>
        </w:rPr>
      </w:pPr>
      <w:bookmarkStart w:id="24" w:name="_Toc7354"/>
      <w:bookmarkStart w:id="25" w:name="_Toc29489"/>
      <w:r>
        <w:rPr>
          <w:rFonts w:hint="eastAsia" w:ascii="黑体" w:hAnsi="黑体" w:eastAsia="黑体"/>
          <w:b w:val="0"/>
          <w:color w:val="auto"/>
          <w:sz w:val="32"/>
          <w:szCs w:val="32"/>
        </w:rPr>
        <w:t>机构设置</w:t>
      </w:r>
      <w:bookmarkEnd w:id="24"/>
      <w:bookmarkEnd w:id="25"/>
    </w:p>
    <w:p>
      <w:pPr>
        <w:pStyle w:val="7"/>
        <w:numPr>
          <w:ilvl w:val="0"/>
          <w:numId w:val="0"/>
        </w:numPr>
        <w:ind w:leftChars="0" w:firstLine="640" w:firstLineChars="200"/>
        <w:rPr>
          <w:rFonts w:hint="default"/>
          <w:color w:val="auto"/>
          <w:lang w:val="en-US"/>
        </w:rPr>
      </w:pPr>
      <w:bookmarkStart w:id="26" w:name="_Toc23091"/>
      <w:bookmarkStart w:id="27" w:name="_Toc13976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剑阁县演圣镇卫生院无下属二级单位，</w:t>
      </w:r>
      <w:bookmarkEnd w:id="26"/>
      <w:bookmarkEnd w:id="27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下设综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合管理科室：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财务科、医务科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公卫科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、门诊部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等科室，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临床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科室：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预防保健科、全科医疗、内科、妇女保健科、儿科、儿童保健科、医学检验科、中医科、中西医结合科。</w:t>
      </w:r>
    </w:p>
    <w:bookmarkEnd w:id="22"/>
    <w:bookmarkEnd w:id="23"/>
    <w:p>
      <w:pPr>
        <w:pStyle w:val="6"/>
        <w:ind w:right="440"/>
        <w:jc w:val="center"/>
        <w:rPr>
          <w:rStyle w:val="28"/>
          <w:rFonts w:ascii="黑体" w:hAnsi="黑体" w:eastAsia="黑体"/>
          <w:b w:val="0"/>
          <w:bCs/>
          <w:sz w:val="36"/>
          <w:szCs w:val="36"/>
        </w:rPr>
      </w:pPr>
      <w:bookmarkStart w:id="28" w:name="_Toc9753"/>
      <w:bookmarkStart w:id="29" w:name="_Toc15377204"/>
      <w:bookmarkStart w:id="30" w:name="_Toc15396602"/>
      <w:bookmarkStart w:id="31" w:name="_Toc16649"/>
      <w:r>
        <w:rPr>
          <w:rFonts w:hint="eastAsia" w:ascii="黑体" w:hAnsi="黑体" w:eastAsia="黑体"/>
          <w:b w:val="0"/>
          <w:sz w:val="36"/>
          <w:szCs w:val="36"/>
        </w:rPr>
        <w:t xml:space="preserve">第二部分 </w:t>
      </w:r>
      <w:r>
        <w:rPr>
          <w:rFonts w:hint="eastAsia" w:ascii="黑体" w:hAnsi="黑体" w:eastAsia="黑体"/>
          <w:b w:val="0"/>
          <w:sz w:val="36"/>
          <w:szCs w:val="36"/>
          <w:lang w:val="en-US" w:eastAsia="zh-CN"/>
        </w:rPr>
        <w:t>剑阁县演圣镇卫生院</w:t>
      </w:r>
      <w:r>
        <w:rPr>
          <w:rFonts w:hint="eastAsia" w:ascii="黑体" w:hAnsi="黑体" w:eastAsia="黑体"/>
          <w:b w:val="0"/>
          <w:sz w:val="36"/>
          <w:szCs w:val="36"/>
        </w:rPr>
        <w:t>2022年度</w:t>
      </w:r>
      <w:r>
        <w:rPr>
          <w:rStyle w:val="28"/>
          <w:rFonts w:hint="eastAsia" w:ascii="黑体" w:hAnsi="黑体" w:eastAsia="黑体"/>
          <w:b w:val="0"/>
          <w:bCs/>
          <w:sz w:val="36"/>
          <w:szCs w:val="36"/>
        </w:rPr>
        <w:t>单位决算情况说明</w:t>
      </w:r>
      <w:bookmarkEnd w:id="28"/>
      <w:bookmarkEnd w:id="29"/>
      <w:bookmarkEnd w:id="30"/>
      <w:bookmarkEnd w:id="31"/>
    </w:p>
    <w:p/>
    <w:p>
      <w:pPr>
        <w:pStyle w:val="27"/>
        <w:numPr>
          <w:ilvl w:val="0"/>
          <w:numId w:val="2"/>
        </w:numPr>
        <w:spacing w:line="600" w:lineRule="exact"/>
        <w:ind w:firstLineChars="0"/>
        <w:outlineLvl w:val="1"/>
        <w:rPr>
          <w:rStyle w:val="29"/>
          <w:rFonts w:ascii="黑体" w:hAnsi="黑体" w:eastAsia="黑体"/>
          <w:b w:val="0"/>
        </w:rPr>
      </w:pPr>
      <w:bookmarkStart w:id="32" w:name="_Toc15396603"/>
      <w:bookmarkStart w:id="33" w:name="_Toc15377205"/>
      <w:bookmarkStart w:id="34" w:name="_Toc13157"/>
      <w:bookmarkStart w:id="35" w:name="_Toc1463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9"/>
          <w:rFonts w:hint="eastAsia" w:ascii="黑体" w:hAnsi="黑体" w:eastAsia="黑体"/>
          <w:b w:val="0"/>
        </w:rPr>
        <w:t>入支出决算总体情况说明</w:t>
      </w:r>
      <w:bookmarkEnd w:id="32"/>
      <w:bookmarkEnd w:id="33"/>
      <w:bookmarkEnd w:id="34"/>
      <w:bookmarkEnd w:id="35"/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2022年度收、支总计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265.70万元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pStyle w:val="27"/>
        <w:numPr>
          <w:ilvl w:val="0"/>
          <w:numId w:val="2"/>
        </w:numPr>
        <w:spacing w:line="600" w:lineRule="exact"/>
        <w:ind w:firstLineChars="0"/>
        <w:outlineLvl w:val="1"/>
        <w:rPr>
          <w:rStyle w:val="29"/>
          <w:rFonts w:ascii="黑体" w:hAnsi="黑体" w:eastAsia="黑体"/>
          <w:b w:val="0"/>
        </w:rPr>
      </w:pPr>
      <w:bookmarkStart w:id="36" w:name="_Toc15377206"/>
      <w:bookmarkStart w:id="37" w:name="_Toc14443"/>
      <w:bookmarkStart w:id="38" w:name="_Toc27693"/>
      <w:bookmarkStart w:id="39" w:name="_Toc15396604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9"/>
          <w:rFonts w:hint="eastAsia" w:ascii="黑体" w:hAnsi="黑体" w:eastAsia="黑体"/>
          <w:b w:val="0"/>
        </w:rPr>
        <w:t>入决算情况说明</w:t>
      </w:r>
      <w:bookmarkEnd w:id="36"/>
      <w:bookmarkEnd w:id="37"/>
      <w:bookmarkEnd w:id="38"/>
      <w:bookmarkEnd w:id="39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40" w:name="_Toc14796"/>
      <w:bookmarkStart w:id="41" w:name="_Toc25338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265.70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120.3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45.28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；事业收入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123.76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46.58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；其他收入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21.64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8.14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40"/>
      <w:bookmarkEnd w:id="41"/>
    </w:p>
    <w:p>
      <w:pPr>
        <w:pStyle w:val="4"/>
        <w:ind w:left="0" w:leftChars="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80000" cy="2167890"/>
            <wp:effectExtent l="5080" t="4445" r="20320" b="1841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7"/>
        <w:numPr>
          <w:ilvl w:val="0"/>
          <w:numId w:val="2"/>
        </w:numPr>
        <w:spacing w:line="600" w:lineRule="exact"/>
        <w:ind w:firstLineChars="0"/>
        <w:outlineLvl w:val="1"/>
        <w:rPr>
          <w:rStyle w:val="29"/>
          <w:rFonts w:ascii="黑体" w:hAnsi="黑体" w:eastAsia="黑体"/>
          <w:b w:val="0"/>
        </w:rPr>
      </w:pPr>
      <w:bookmarkStart w:id="42" w:name="_Toc15396605"/>
      <w:bookmarkStart w:id="43" w:name="_Toc3228"/>
      <w:bookmarkStart w:id="44" w:name="_Toc23324"/>
      <w:bookmarkStart w:id="45" w:name="_Toc15377207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29"/>
          <w:rFonts w:hint="eastAsia" w:ascii="黑体" w:hAnsi="黑体" w:eastAsia="黑体"/>
          <w:b w:val="0"/>
        </w:rPr>
        <w:t>出决算情况说明</w:t>
      </w:r>
      <w:bookmarkEnd w:id="42"/>
      <w:bookmarkEnd w:id="43"/>
      <w:bookmarkEnd w:id="44"/>
      <w:bookmarkEnd w:id="45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46" w:name="_Toc20788"/>
      <w:bookmarkStart w:id="47" w:name="_Toc28954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265.70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265.70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；上缴上级支出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；经营支出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；对附属单位补助支出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46"/>
      <w:bookmarkEnd w:id="47"/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80000" cy="2469515"/>
            <wp:effectExtent l="4445" t="4445" r="20955" b="2159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600" w:lineRule="exact"/>
        <w:ind w:firstLine="640" w:firstLineChars="200"/>
        <w:outlineLvl w:val="1"/>
        <w:rPr>
          <w:rStyle w:val="29"/>
          <w:rFonts w:ascii="黑体" w:hAnsi="黑体" w:eastAsia="黑体"/>
          <w:b w:val="0"/>
        </w:rPr>
      </w:pPr>
      <w:bookmarkStart w:id="48" w:name="_Toc18082"/>
      <w:bookmarkStart w:id="49" w:name="_Toc14341"/>
      <w:bookmarkStart w:id="50" w:name="_Toc15396606"/>
      <w:bookmarkStart w:id="51" w:name="_Toc15377208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29"/>
          <w:rFonts w:hint="eastAsia" w:ascii="黑体" w:hAnsi="黑体" w:eastAsia="黑体"/>
          <w:b w:val="0"/>
        </w:rPr>
        <w:t>政拨款收入支出决算总体情况说明</w:t>
      </w:r>
      <w:bookmarkEnd w:id="48"/>
      <w:bookmarkEnd w:id="49"/>
      <w:bookmarkEnd w:id="50"/>
      <w:bookmarkEnd w:id="51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120.3万元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640" w:firstLineChars="200"/>
        <w:outlineLvl w:val="1"/>
        <w:rPr>
          <w:rStyle w:val="29"/>
          <w:rFonts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52" w:name="_Toc17832"/>
      <w:bookmarkStart w:id="53" w:name="_Toc15396607"/>
      <w:bookmarkStart w:id="54" w:name="_Toc15377209"/>
      <w:bookmarkStart w:id="55" w:name="_Toc9344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Style w:val="29"/>
          <w:rFonts w:hint="eastAsia"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  <w:t>般公共预算财政拨款支出决算情况说明</w:t>
      </w:r>
      <w:bookmarkEnd w:id="52"/>
      <w:bookmarkEnd w:id="53"/>
      <w:bookmarkEnd w:id="54"/>
      <w:bookmarkEnd w:id="55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56" w:name="_Toc15377210"/>
      <w:bookmarkStart w:id="57" w:name="_Toc18313"/>
      <w:bookmarkStart w:id="58" w:name="_Toc28629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56"/>
      <w:bookmarkEnd w:id="57"/>
      <w:bookmarkEnd w:id="58"/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120.30</w:t>
      </w:r>
      <w:r>
        <w:rPr>
          <w:rFonts w:hint="eastAsia" w:ascii="仿宋" w:hAnsi="仿宋" w:eastAsia="仿宋"/>
          <w:sz w:val="32"/>
          <w:szCs w:val="32"/>
        </w:rPr>
        <w:t>万元，占本年支出合计的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45.28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59" w:name="_Toc24692"/>
      <w:bookmarkStart w:id="60" w:name="_Toc15377211"/>
      <w:bookmarkStart w:id="61" w:name="_Toc27642"/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59"/>
      <w:bookmarkEnd w:id="60"/>
      <w:bookmarkEnd w:id="61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120.30</w:t>
      </w:r>
      <w:r>
        <w:rPr>
          <w:rFonts w:hint="eastAsia" w:ascii="仿宋" w:hAnsi="仿宋" w:eastAsia="仿宋"/>
          <w:sz w:val="32"/>
          <w:szCs w:val="32"/>
        </w:rPr>
        <w:t>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社会保障和就业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7.48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6.21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107.22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89.12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5.61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4.67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80000" cy="3810000"/>
            <wp:effectExtent l="4445" t="4445" r="20955" b="14605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62" w:name="_Toc7501"/>
      <w:bookmarkStart w:id="63" w:name="_Toc30264"/>
      <w:bookmarkStart w:id="64" w:name="_Toc15377212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62"/>
      <w:bookmarkEnd w:id="63"/>
      <w:bookmarkEnd w:id="64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65" w:name="_Toc20331"/>
      <w:bookmarkStart w:id="66" w:name="_Toc15377213"/>
      <w:bookmarkStart w:id="67" w:name="_Toc15377444"/>
      <w:bookmarkStart w:id="68" w:name="_Toc26343"/>
      <w:bookmarkStart w:id="69" w:name="_Toc15378460"/>
      <w:r>
        <w:rPr>
          <w:rFonts w:hint="eastAsia" w:ascii="仿宋" w:hAnsi="仿宋" w:eastAsia="仿宋"/>
          <w:b/>
          <w:sz w:val="32"/>
          <w:szCs w:val="32"/>
        </w:rPr>
        <w:t>2022年一般公共预算支出决算数为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120.30万元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8"/>
          <w:rFonts w:hint="eastAsia" w:ascii="仿宋" w:hAnsi="仿宋" w:eastAsia="仿宋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Cs/>
          <w:sz w:val="32"/>
          <w:szCs w:val="32"/>
        </w:rPr>
        <w:t>。其中：</w:t>
      </w:r>
      <w:bookmarkEnd w:id="65"/>
      <w:bookmarkEnd w:id="66"/>
      <w:bookmarkEnd w:id="67"/>
      <w:bookmarkEnd w:id="68"/>
      <w:bookmarkEnd w:id="69"/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8"/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.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社会保障和就业（类）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行政事业单位离退休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（款）机关事业单位基本养老保险缴费（项）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: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7.48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8"/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基层医疗机构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乡镇卫生院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62.61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pStyle w:val="2"/>
        <w:ind w:left="0" w:leftChars="0" w:firstLine="643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Style w:val="18"/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住房保障</w:t>
      </w:r>
      <w:r>
        <w:rPr>
          <w:rStyle w:val="18"/>
          <w:rFonts w:hint="eastAsia" w:ascii="仿宋" w:hAnsi="仿宋" w:eastAsia="仿宋"/>
          <w:b/>
          <w:bCs w:val="0"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住房改革</w:t>
      </w:r>
      <w:r>
        <w:rPr>
          <w:rStyle w:val="18"/>
          <w:rFonts w:hint="eastAsia" w:ascii="仿宋" w:hAnsi="仿宋" w:eastAsia="仿宋"/>
          <w:b/>
          <w:bCs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住房公积金</w:t>
      </w:r>
      <w:r>
        <w:rPr>
          <w:rStyle w:val="18"/>
          <w:rFonts w:hint="eastAsia" w:ascii="仿宋" w:hAnsi="仿宋" w:eastAsia="仿宋"/>
          <w:b/>
          <w:bCs w:val="0"/>
          <w:sz w:val="32"/>
          <w:szCs w:val="32"/>
        </w:rPr>
        <w:t>（项）</w:t>
      </w:r>
      <w:r>
        <w:rPr>
          <w:rStyle w:val="18"/>
          <w:rFonts w:ascii="仿宋" w:hAnsi="仿宋" w:eastAsia="仿宋"/>
          <w:b/>
          <w:bCs w:val="0"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5.61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pStyle w:val="4"/>
        <w:ind w:firstLine="640" w:firstLineChars="200"/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基层医疗机构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其他基层医疗卫生机构支出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（项）</w:t>
      </w:r>
      <w:r>
        <w:rPr>
          <w:rStyle w:val="18"/>
          <w:rFonts w:ascii="仿宋" w:hAnsi="仿宋" w:eastAsia="仿宋"/>
          <w:b/>
          <w:bCs/>
          <w:color w:val="auto"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8.38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color w:val="auto"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。</w:t>
      </w:r>
    </w:p>
    <w:p>
      <w:pPr>
        <w:pStyle w:val="4"/>
        <w:ind w:firstLine="640" w:firstLineChars="200"/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公共卫生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基本公共卫生服务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（项）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：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32.48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color w:val="auto"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18"/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行政事业单位医疗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事业单位医疗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</w:rPr>
        <w:t>（项）</w:t>
      </w:r>
      <w:r>
        <w:rPr>
          <w:rStyle w:val="18"/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：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3.74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color w:val="auto"/>
          <w:sz w:val="32"/>
          <w:szCs w:val="32"/>
        </w:rPr>
        <w:t>%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9"/>
        </w:rPr>
      </w:pPr>
      <w:bookmarkStart w:id="70" w:name="_Toc16449"/>
      <w:bookmarkStart w:id="71" w:name="_Toc1240"/>
      <w:bookmarkStart w:id="72" w:name="_Toc15396608"/>
      <w:bookmarkStart w:id="73" w:name="_Toc15377214"/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29"/>
          <w:rFonts w:hint="eastAsia" w:ascii="黑体" w:hAnsi="黑体" w:eastAsia="黑体"/>
          <w:b w:val="0"/>
        </w:rPr>
        <w:t>般公共预算财政拨款基本支出决算情况说明</w:t>
      </w:r>
      <w:bookmarkEnd w:id="70"/>
      <w:bookmarkEnd w:id="71"/>
      <w:bookmarkEnd w:id="72"/>
      <w:bookmarkEnd w:id="73"/>
      <w:r>
        <w:rPr>
          <w:rStyle w:val="29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120.30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79.43万元，</w:t>
      </w:r>
      <w:r>
        <w:rPr>
          <w:rFonts w:hint="eastAsia" w:ascii="仿宋" w:hAnsi="仿宋" w:eastAsia="仿宋"/>
          <w:sz w:val="32"/>
          <w:szCs w:val="32"/>
        </w:rPr>
        <w:t>主要包括：基本工资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津贴补贴、绩效工资、机关事业单位基本养老保险缴费、职工基本医疗保险缴费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其他社会保障缴费、其他工资福利支出、住房公积金。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40.87万元，</w:t>
      </w:r>
      <w:r>
        <w:rPr>
          <w:rFonts w:hint="eastAsia" w:ascii="仿宋" w:hAnsi="仿宋" w:eastAsia="仿宋"/>
          <w:sz w:val="32"/>
          <w:szCs w:val="32"/>
        </w:rPr>
        <w:t>主要包括：印刷费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其他商品和服务支出。</w:t>
      </w:r>
    </w:p>
    <w:p>
      <w:pPr>
        <w:spacing w:line="600" w:lineRule="exact"/>
        <w:ind w:firstLine="640"/>
        <w:outlineLvl w:val="1"/>
        <w:rPr>
          <w:rStyle w:val="29"/>
          <w:rFonts w:ascii="黑体" w:hAnsi="黑体" w:eastAsia="黑体"/>
          <w:b w:val="0"/>
        </w:rPr>
      </w:pPr>
      <w:bookmarkStart w:id="74" w:name="_Toc15377215"/>
      <w:bookmarkStart w:id="75" w:name="_Toc2355"/>
      <w:bookmarkStart w:id="76" w:name="_Toc15396609"/>
      <w:bookmarkStart w:id="77" w:name="_Toc3044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29"/>
          <w:rFonts w:hint="eastAsia" w:ascii="黑体" w:hAnsi="黑体" w:eastAsia="黑体"/>
          <w:b w:val="0"/>
        </w:rPr>
        <w:t>财政拨款</w:t>
      </w:r>
      <w:r>
        <w:rPr>
          <w:rStyle w:val="29"/>
          <w:rFonts w:hint="eastAsia" w:ascii="黑体" w:hAnsi="黑体" w:eastAsia="黑体"/>
        </w:rPr>
        <w:t>“</w:t>
      </w:r>
      <w:r>
        <w:rPr>
          <w:rStyle w:val="29"/>
          <w:rFonts w:hint="eastAsia" w:ascii="黑体" w:hAnsi="黑体" w:eastAsia="黑体"/>
          <w:b w:val="0"/>
        </w:rPr>
        <w:t>三公”经费支出决算情况说明</w:t>
      </w:r>
      <w:bookmarkEnd w:id="74"/>
      <w:bookmarkEnd w:id="75"/>
      <w:bookmarkEnd w:id="76"/>
      <w:bookmarkEnd w:id="77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78" w:name="_Toc21561"/>
      <w:bookmarkStart w:id="79" w:name="_Toc15377216"/>
      <w:bookmarkStart w:id="80" w:name="_Toc13899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78"/>
      <w:bookmarkEnd w:id="79"/>
      <w:bookmarkEnd w:id="80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201年本单位未单独填报决算，由系统统一填报部门决算，故无法对比。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81" w:name="_Toc17020"/>
      <w:bookmarkStart w:id="82" w:name="_Toc15377217"/>
      <w:bookmarkStart w:id="83" w:name="_Toc10350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81"/>
      <w:bookmarkEnd w:id="82"/>
      <w:bookmarkEnd w:id="83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22年“三公”经费财政拨款支出决算中，因公出国（境）费支出决算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全年安排因公出国（境）团组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次，出国（境）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人。因公出国（境）支出决算比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万元,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b/>
          <w:sz w:val="32"/>
          <w:szCs w:val="32"/>
        </w:rPr>
        <w:t>公务用车购置支出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万元。全年按规定更新购置公务用车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万元，主要用于…。截至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公务接待费支出决算比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国内公务接待支出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万元，主要用于开展业务活动开支的住宿费、用餐费等。国内公务接待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人次（不包括陪同人员），共计支出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万元，具体内容包括：…（接待具体项目、金额）。</w:t>
      </w:r>
    </w:p>
    <w:p>
      <w:pPr>
        <w:spacing w:line="600" w:lineRule="exact"/>
        <w:ind w:firstLine="640"/>
        <w:outlineLvl w:val="1"/>
        <w:rPr>
          <w:rFonts w:hint="eastAsia" w:ascii="仿宋_GB2312" w:eastAsia="仿宋_GB2312"/>
          <w:sz w:val="32"/>
          <w:szCs w:val="32"/>
        </w:rPr>
      </w:pPr>
      <w:bookmarkStart w:id="84" w:name="_Toc15396610"/>
      <w:bookmarkStart w:id="85" w:name="_Toc23983"/>
      <w:bookmarkStart w:id="86" w:name="_Toc22374"/>
      <w:bookmarkStart w:id="87" w:name="_Toc15377218"/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万元。外事接待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00" w:lineRule="exact"/>
        <w:ind w:firstLine="640"/>
        <w:outlineLvl w:val="1"/>
        <w:rPr>
          <w:rStyle w:val="29"/>
          <w:rFonts w:ascii="黑体" w:hAnsi="黑体" w:eastAsia="黑体"/>
        </w:rPr>
      </w:pPr>
      <w:r>
        <w:rPr>
          <w:rFonts w:hint="eastAsia" w:ascii="黑体" w:eastAsia="黑体"/>
          <w:sz w:val="32"/>
          <w:szCs w:val="32"/>
        </w:rPr>
        <w:t>八、</w:t>
      </w:r>
      <w:r>
        <w:rPr>
          <w:rStyle w:val="29"/>
          <w:rFonts w:hint="eastAsia" w:ascii="黑体" w:hAnsi="黑体" w:eastAsia="黑体"/>
          <w:b w:val="0"/>
        </w:rPr>
        <w:t>政府性基金预算支出决算情况说明</w:t>
      </w:r>
      <w:bookmarkEnd w:id="84"/>
      <w:bookmarkEnd w:id="85"/>
      <w:bookmarkEnd w:id="86"/>
      <w:bookmarkEnd w:id="87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22年政府性基金预算财政拨款支出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9"/>
          <w:rFonts w:ascii="黑体" w:hAnsi="黑体" w:eastAsia="黑体"/>
          <w:b w:val="0"/>
        </w:rPr>
      </w:pPr>
      <w:bookmarkStart w:id="88" w:name="_Toc28201"/>
      <w:bookmarkStart w:id="89" w:name="_Toc15377219"/>
      <w:bookmarkStart w:id="90" w:name="_Toc15396611"/>
      <w:bookmarkStart w:id="91" w:name="_Toc7731"/>
      <w:r>
        <w:rPr>
          <w:rStyle w:val="29"/>
          <w:rFonts w:hint="eastAsia" w:ascii="黑体" w:hAnsi="黑体" w:eastAsia="黑体"/>
          <w:b w:val="0"/>
        </w:rPr>
        <w:t>国有资本经营预算支出决算情况说明</w:t>
      </w:r>
      <w:bookmarkEnd w:id="88"/>
      <w:bookmarkEnd w:id="89"/>
      <w:bookmarkEnd w:id="90"/>
      <w:bookmarkEnd w:id="91"/>
    </w:p>
    <w:p>
      <w:pPr>
        <w:spacing w:line="600" w:lineRule="exact"/>
        <w:ind w:firstLine="640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22年国有资本经营预算财政拨款支出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9"/>
          <w:rFonts w:ascii="黑体" w:hAnsi="黑体" w:eastAsia="黑体"/>
          <w:b w:val="0"/>
        </w:rPr>
      </w:pPr>
      <w:bookmarkStart w:id="92" w:name="_Toc15377221"/>
      <w:bookmarkStart w:id="93" w:name="_Toc15396612"/>
      <w:bookmarkStart w:id="94" w:name="_Toc2958"/>
      <w:bookmarkStart w:id="95" w:name="_Toc29178"/>
      <w:r>
        <w:rPr>
          <w:rStyle w:val="29"/>
          <w:rFonts w:hint="eastAsia" w:ascii="黑体" w:hAnsi="黑体" w:eastAsia="黑体"/>
          <w:b w:val="0"/>
        </w:rPr>
        <w:t>其他重要事项的情况说明</w:t>
      </w:r>
      <w:bookmarkEnd w:id="92"/>
      <w:bookmarkEnd w:id="93"/>
      <w:bookmarkEnd w:id="94"/>
      <w:bookmarkEnd w:id="95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96" w:name="_Toc5022"/>
      <w:bookmarkStart w:id="97" w:name="_Toc15377222"/>
      <w:bookmarkStart w:id="98" w:name="_Toc26692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96"/>
      <w:bookmarkEnd w:id="97"/>
      <w:bookmarkEnd w:id="98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剑阁县演圣镇卫生院</w:t>
      </w:r>
      <w:r>
        <w:rPr>
          <w:rFonts w:hint="eastAsia" w:ascii="仿宋_GB2312" w:eastAsia="仿宋_GB2312"/>
          <w:sz w:val="32"/>
          <w:szCs w:val="32"/>
        </w:rPr>
        <w:t>机关运行经费支出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本单位属于事业单位，无机关运行经费。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99" w:name="_Toc15377223"/>
      <w:bookmarkStart w:id="100" w:name="_Toc249"/>
      <w:bookmarkStart w:id="101" w:name="_Toc26014"/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99"/>
      <w:bookmarkEnd w:id="100"/>
      <w:bookmarkEnd w:id="101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剑阁县演圣镇卫生院</w:t>
      </w:r>
      <w:r>
        <w:rPr>
          <w:rFonts w:hint="eastAsia" w:ascii="仿宋_GB2312" w:eastAsia="仿宋_GB2312"/>
          <w:sz w:val="32"/>
          <w:szCs w:val="32"/>
        </w:rPr>
        <w:t>政府采购支出总额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万元、政府采购工程支出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万元。主要用于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（具体工作）。授予中小企业合同金额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102" w:name="_Toc15377224"/>
      <w:bookmarkStart w:id="103" w:name="_Toc23695"/>
      <w:bookmarkStart w:id="104" w:name="_Toc1669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102"/>
      <w:bookmarkEnd w:id="103"/>
      <w:bookmarkEnd w:id="104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剑阁县演圣镇卫生院</w:t>
      </w:r>
      <w:r>
        <w:rPr>
          <w:rFonts w:hint="eastAsia" w:ascii="仿宋_GB2312" w:eastAsia="仿宋_GB2312"/>
          <w:sz w:val="32"/>
          <w:szCs w:val="32"/>
        </w:rPr>
        <w:t>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辆，其中：主要领导干部用车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辆、机要通信用车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辆、应急保障用车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辆，其他用车主要是用于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护理及运送病员的特种车辆，疫苗接种及公卫下乡体检车辆</w:t>
      </w:r>
      <w:r>
        <w:rPr>
          <w:rFonts w:hint="eastAsia" w:ascii="仿宋_GB2312" w:eastAsia="仿宋_GB2312"/>
          <w:sz w:val="32"/>
          <w:szCs w:val="32"/>
        </w:rPr>
        <w:t>。单价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4"/>
        <w:rPr>
          <w:rFonts w:hint="eastAsia" w:ascii="仿宋_GB2312" w:eastAsia="仿宋_GB2312"/>
          <w:sz w:val="32"/>
          <w:szCs w:val="32"/>
        </w:rPr>
      </w:pPr>
    </w:p>
    <w:p>
      <w:pPr>
        <w:pStyle w:val="4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4"/>
        </w:numPr>
        <w:spacing w:line="600" w:lineRule="exact"/>
        <w:ind w:firstLine="660" w:firstLineChars="150"/>
        <w:jc w:val="center"/>
        <w:outlineLvl w:val="0"/>
        <w:rPr>
          <w:rStyle w:val="28"/>
          <w:rFonts w:ascii="黑体" w:hAnsi="黑体" w:eastAsia="黑体"/>
          <w:b w:val="0"/>
        </w:rPr>
      </w:pPr>
      <w:bookmarkStart w:id="105" w:name="_Toc15396613"/>
      <w:bookmarkStart w:id="106" w:name="_Toc18826"/>
      <w:bookmarkStart w:id="107" w:name="_Toc24189"/>
      <w:bookmarkStart w:id="108" w:name="_Toc15377225"/>
      <w:r>
        <w:rPr>
          <w:rFonts w:hint="eastAsia" w:ascii="黑体" w:hAnsi="黑体" w:eastAsia="黑体"/>
          <w:sz w:val="44"/>
          <w:szCs w:val="44"/>
        </w:rPr>
        <w:t>名</w:t>
      </w:r>
      <w:r>
        <w:rPr>
          <w:rStyle w:val="28"/>
          <w:rFonts w:hint="eastAsia" w:ascii="黑体" w:hAnsi="黑体" w:eastAsia="黑体"/>
          <w:b w:val="0"/>
        </w:rPr>
        <w:t>词解释</w:t>
      </w:r>
      <w:bookmarkEnd w:id="105"/>
      <w:bookmarkEnd w:id="106"/>
      <w:bookmarkEnd w:id="107"/>
      <w:bookmarkEnd w:id="108"/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</w:p>
    <w:p>
      <w:pPr>
        <w:pStyle w:val="26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财政拨款收入：指单位从同级财政部门取得的财政预算资金。</w:t>
      </w:r>
    </w:p>
    <w:p>
      <w:pPr>
        <w:pStyle w:val="26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事业收入：指事业单位开展专业业务活动及辅助活动取得的收入。</w:t>
      </w:r>
    </w:p>
    <w:p>
      <w:pPr>
        <w:pStyle w:val="26"/>
        <w:spacing w:line="560" w:lineRule="exact"/>
        <w:ind w:left="638" w:leftChars="304"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其他收入：指单位取得的除上述收入以外的各项收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入。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社会保障和就业（类）行政事业单位离退休（款）机关事业单位基本养老保险缴费支出（项）：指部门实施养老保险制度由单位缴纳的养老保险费的支出。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卫生健康（类）行政事业单位医疗（款）事业单位医疗（项）：指事业单位用于缴纳单位基本医疗保险支出。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住房保障（类）住房改革支出（款）住房公积金（项）：指按照《住房公积金管理条例》的规定，由单位及其在职职工缴存的长期住房储金。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卫生健康支出（类）公共卫生（款）基本公共卫生服务（项）：指基层医疗机构提供基本公共卫生服务支出。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基层医疗机构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乡镇卫生院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（项）：指基层医疗机构提供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卫生健康支出（类）基层医疗卫生机构（款）其他基层医疗卫生机构支出（项）：指基层医疗机构村卫生室补助支出。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基本支出：指为保障机构正常运转、完成日常工作任务而发生的人员支出和公用支出。</w:t>
      </w:r>
    </w:p>
    <w:p>
      <w:pPr>
        <w:pStyle w:val="26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spacing w:line="600" w:lineRule="exact"/>
        <w:jc w:val="both"/>
        <w:outlineLvl w:val="0"/>
        <w:rPr>
          <w:rFonts w:hint="eastAsia" w:ascii="黑体" w:hAnsi="黑体" w:eastAsia="黑体"/>
          <w:sz w:val="44"/>
          <w:szCs w:val="44"/>
        </w:rPr>
      </w:pPr>
      <w:bookmarkStart w:id="109" w:name="_Toc15396618"/>
      <w:bookmarkStart w:id="110" w:name="_Toc15377226"/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  <w:bookmarkStart w:id="111" w:name="_Toc9018"/>
      <w:bookmarkStart w:id="112" w:name="_Toc16584"/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仿宋" w:hAnsi="仿宋" w:eastAsia="仿宋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Style w:val="28"/>
          <w:rFonts w:hint="eastAsia" w:ascii="黑体" w:hAnsi="黑体" w:eastAsia="黑体"/>
          <w:b w:val="0"/>
          <w:lang w:eastAsia="zh-CN"/>
        </w:rPr>
        <w:t>四</w:t>
      </w:r>
      <w:r>
        <w:rPr>
          <w:rStyle w:val="28"/>
          <w:rFonts w:hint="eastAsia" w:ascii="黑体" w:hAnsi="黑体" w:eastAsia="黑体"/>
          <w:b w:val="0"/>
        </w:rPr>
        <w:t>部分 附表</w:t>
      </w:r>
      <w:bookmarkEnd w:id="109"/>
      <w:bookmarkEnd w:id="110"/>
      <w:bookmarkEnd w:id="111"/>
      <w:bookmarkEnd w:id="112"/>
      <w:bookmarkStart w:id="113" w:name="_Toc15396619"/>
    </w:p>
    <w:p>
      <w:pPr>
        <w:pStyle w:val="7"/>
        <w:rPr>
          <w:rFonts w:ascii="仿宋" w:hAnsi="仿宋" w:eastAsia="仿宋"/>
        </w:rPr>
      </w:pPr>
      <w:bookmarkStart w:id="114" w:name="_Toc31260"/>
      <w:bookmarkStart w:id="115" w:name="_Toc28528"/>
      <w:r>
        <w:rPr>
          <w:rFonts w:hint="eastAsia" w:ascii="仿宋" w:hAnsi="仿宋" w:eastAsia="仿宋"/>
          <w:b w:val="0"/>
        </w:rPr>
        <w:t>一、收</w:t>
      </w:r>
      <w:r>
        <w:rPr>
          <w:rStyle w:val="29"/>
          <w:rFonts w:hint="eastAsia" w:ascii="仿宋" w:hAnsi="仿宋" w:eastAsia="仿宋"/>
          <w:b w:val="0"/>
          <w:bCs w:val="0"/>
        </w:rPr>
        <w:t>入支出决算总表</w:t>
      </w:r>
      <w:bookmarkEnd w:id="113"/>
      <w:bookmarkEnd w:id="114"/>
      <w:bookmarkEnd w:id="115"/>
    </w:p>
    <w:p>
      <w:pPr>
        <w:pStyle w:val="7"/>
        <w:rPr>
          <w:rFonts w:ascii="仿宋" w:hAnsi="仿宋" w:eastAsia="仿宋"/>
        </w:rPr>
      </w:pPr>
      <w:bookmarkStart w:id="116" w:name="_Toc15396620"/>
      <w:bookmarkStart w:id="117" w:name="_Toc25982"/>
      <w:bookmarkStart w:id="118" w:name="_Toc27571"/>
      <w:r>
        <w:rPr>
          <w:rFonts w:hint="eastAsia" w:ascii="仿宋" w:hAnsi="仿宋" w:eastAsia="仿宋"/>
          <w:b w:val="0"/>
        </w:rPr>
        <w:t>二、收</w:t>
      </w:r>
      <w:r>
        <w:rPr>
          <w:rStyle w:val="29"/>
          <w:rFonts w:hint="eastAsia" w:ascii="仿宋" w:hAnsi="仿宋" w:eastAsia="仿宋"/>
          <w:b w:val="0"/>
          <w:bCs w:val="0"/>
        </w:rPr>
        <w:t>入决算表</w:t>
      </w:r>
      <w:bookmarkEnd w:id="116"/>
      <w:bookmarkEnd w:id="117"/>
      <w:bookmarkEnd w:id="118"/>
    </w:p>
    <w:p>
      <w:pPr>
        <w:pStyle w:val="7"/>
        <w:rPr>
          <w:rFonts w:ascii="仿宋" w:hAnsi="仿宋" w:eastAsia="仿宋"/>
        </w:rPr>
      </w:pPr>
      <w:bookmarkStart w:id="119" w:name="_Toc16117"/>
      <w:bookmarkStart w:id="120" w:name="_Toc1256"/>
      <w:bookmarkStart w:id="121" w:name="_Toc15396621"/>
      <w:r>
        <w:rPr>
          <w:rStyle w:val="29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29"/>
          <w:rFonts w:hint="eastAsia" w:ascii="仿宋" w:hAnsi="仿宋" w:eastAsia="仿宋"/>
          <w:b w:val="0"/>
          <w:bCs w:val="0"/>
        </w:rPr>
        <w:t>出决算表</w:t>
      </w:r>
      <w:bookmarkEnd w:id="119"/>
      <w:bookmarkEnd w:id="120"/>
      <w:bookmarkEnd w:id="121"/>
    </w:p>
    <w:p>
      <w:pPr>
        <w:pStyle w:val="7"/>
        <w:rPr>
          <w:rFonts w:ascii="仿宋" w:hAnsi="仿宋" w:eastAsia="仿宋"/>
          <w:b w:val="0"/>
        </w:rPr>
      </w:pPr>
      <w:bookmarkStart w:id="122" w:name="_Toc31385"/>
      <w:bookmarkStart w:id="123" w:name="_Toc15396622"/>
      <w:bookmarkStart w:id="124" w:name="_Toc15690"/>
      <w:r>
        <w:rPr>
          <w:rStyle w:val="29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29"/>
          <w:rFonts w:hint="eastAsia" w:ascii="仿宋" w:hAnsi="仿宋" w:eastAsia="仿宋"/>
          <w:b w:val="0"/>
          <w:bCs w:val="0"/>
        </w:rPr>
        <w:t>政拨款收入支出决算总表</w:t>
      </w:r>
      <w:bookmarkEnd w:id="122"/>
      <w:bookmarkEnd w:id="123"/>
      <w:bookmarkEnd w:id="124"/>
    </w:p>
    <w:p>
      <w:pPr>
        <w:pStyle w:val="7"/>
        <w:rPr>
          <w:rStyle w:val="29"/>
          <w:rFonts w:ascii="仿宋" w:hAnsi="仿宋" w:eastAsia="仿宋"/>
          <w:b w:val="0"/>
          <w:bCs w:val="0"/>
        </w:rPr>
      </w:pPr>
      <w:bookmarkStart w:id="125" w:name="_Toc16064"/>
      <w:bookmarkStart w:id="126" w:name="_Toc24148"/>
      <w:bookmarkStart w:id="127" w:name="_Toc15396623"/>
      <w:r>
        <w:rPr>
          <w:rStyle w:val="29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29"/>
          <w:rFonts w:hint="eastAsia" w:ascii="仿宋" w:hAnsi="仿宋" w:eastAsia="仿宋"/>
          <w:b w:val="0"/>
          <w:bCs w:val="0"/>
        </w:rPr>
        <w:t>政拨款支出决算明细表</w:t>
      </w:r>
      <w:bookmarkEnd w:id="125"/>
      <w:bookmarkEnd w:id="126"/>
      <w:bookmarkEnd w:id="127"/>
      <w:bookmarkStart w:id="128" w:name="_Toc15396624"/>
    </w:p>
    <w:p>
      <w:pPr>
        <w:pStyle w:val="7"/>
        <w:rPr>
          <w:rFonts w:ascii="仿宋" w:hAnsi="仿宋" w:eastAsia="仿宋"/>
        </w:rPr>
      </w:pPr>
      <w:bookmarkStart w:id="129" w:name="_Toc23060"/>
      <w:bookmarkStart w:id="130" w:name="_Toc24453"/>
      <w:r>
        <w:rPr>
          <w:rStyle w:val="29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般公共预算财政拨款支出决算表</w:t>
      </w:r>
      <w:bookmarkEnd w:id="128"/>
      <w:bookmarkEnd w:id="129"/>
      <w:bookmarkEnd w:id="130"/>
    </w:p>
    <w:p>
      <w:pPr>
        <w:pStyle w:val="7"/>
        <w:rPr>
          <w:rFonts w:ascii="仿宋" w:hAnsi="仿宋" w:eastAsia="仿宋"/>
        </w:rPr>
      </w:pPr>
      <w:bookmarkStart w:id="131" w:name="_Toc20969"/>
      <w:bookmarkStart w:id="132" w:name="_Toc15396625"/>
      <w:bookmarkStart w:id="133" w:name="_Toc32312"/>
      <w:r>
        <w:rPr>
          <w:rStyle w:val="29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般公共预算财政拨款支出决算明细表</w:t>
      </w:r>
      <w:bookmarkEnd w:id="131"/>
      <w:bookmarkEnd w:id="132"/>
      <w:bookmarkEnd w:id="133"/>
    </w:p>
    <w:p>
      <w:pPr>
        <w:pStyle w:val="7"/>
        <w:rPr>
          <w:rFonts w:ascii="仿宋" w:hAnsi="仿宋" w:eastAsia="仿宋"/>
        </w:rPr>
      </w:pPr>
      <w:bookmarkStart w:id="134" w:name="_Toc1292"/>
      <w:bookmarkStart w:id="135" w:name="_Toc15396626"/>
      <w:bookmarkStart w:id="136" w:name="_Toc21020"/>
      <w:r>
        <w:rPr>
          <w:rStyle w:val="29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般公共预算财政拨款基本支出决算表</w:t>
      </w:r>
      <w:bookmarkEnd w:id="134"/>
      <w:bookmarkEnd w:id="135"/>
      <w:bookmarkEnd w:id="136"/>
    </w:p>
    <w:p>
      <w:pPr>
        <w:pStyle w:val="7"/>
        <w:rPr>
          <w:rFonts w:ascii="仿宋" w:hAnsi="仿宋" w:eastAsia="仿宋"/>
        </w:rPr>
      </w:pPr>
      <w:bookmarkStart w:id="137" w:name="_Toc15396627"/>
      <w:bookmarkStart w:id="138" w:name="_Toc22008"/>
      <w:bookmarkStart w:id="139" w:name="_Toc24484"/>
      <w:r>
        <w:rPr>
          <w:rStyle w:val="29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般公共预算财政拨款项目支出决算表</w:t>
      </w:r>
      <w:bookmarkEnd w:id="137"/>
      <w:bookmarkEnd w:id="138"/>
      <w:bookmarkEnd w:id="139"/>
    </w:p>
    <w:p>
      <w:pPr>
        <w:pStyle w:val="7"/>
        <w:rPr>
          <w:rFonts w:ascii="仿宋" w:hAnsi="仿宋" w:eastAsia="仿宋"/>
        </w:rPr>
      </w:pPr>
      <w:bookmarkStart w:id="140" w:name="_Toc15396628"/>
      <w:bookmarkStart w:id="141" w:name="_Toc18544"/>
      <w:bookmarkStart w:id="142" w:name="_Toc32023"/>
      <w:r>
        <w:rPr>
          <w:rStyle w:val="29"/>
          <w:rFonts w:hint="eastAsia" w:ascii="仿宋" w:hAnsi="仿宋" w:eastAsia="仿宋"/>
          <w:b w:val="0"/>
          <w:bCs w:val="0"/>
        </w:rPr>
        <w:t>十、</w:t>
      </w:r>
      <w:bookmarkEnd w:id="140"/>
      <w:r>
        <w:rPr>
          <w:rFonts w:hint="eastAsia" w:ascii="仿宋" w:hAnsi="仿宋" w:eastAsia="仿宋"/>
          <w:b w:val="0"/>
        </w:rPr>
        <w:t>政</w:t>
      </w:r>
      <w:r>
        <w:rPr>
          <w:rStyle w:val="29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141"/>
      <w:bookmarkEnd w:id="142"/>
    </w:p>
    <w:p>
      <w:pPr>
        <w:pStyle w:val="7"/>
        <w:rPr>
          <w:rFonts w:ascii="仿宋" w:hAnsi="仿宋" w:eastAsia="仿宋"/>
        </w:rPr>
      </w:pPr>
      <w:bookmarkStart w:id="143" w:name="_Toc15396629"/>
      <w:bookmarkStart w:id="144" w:name="_Toc16714"/>
      <w:bookmarkStart w:id="145" w:name="_Toc16642"/>
      <w:r>
        <w:rPr>
          <w:rStyle w:val="29"/>
          <w:rFonts w:hint="eastAsia" w:ascii="仿宋" w:hAnsi="仿宋" w:eastAsia="仿宋"/>
          <w:b w:val="0"/>
          <w:bCs w:val="0"/>
        </w:rPr>
        <w:t>十一、</w:t>
      </w:r>
      <w:bookmarkEnd w:id="143"/>
      <w:r>
        <w:rPr>
          <w:rFonts w:hint="eastAsia" w:ascii="仿宋" w:hAnsi="仿宋" w:eastAsia="仿宋"/>
          <w:b w:val="0"/>
        </w:rPr>
        <w:t>国</w:t>
      </w:r>
      <w:r>
        <w:rPr>
          <w:rStyle w:val="29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144"/>
      <w:bookmarkEnd w:id="145"/>
    </w:p>
    <w:p>
      <w:pPr>
        <w:pStyle w:val="7"/>
        <w:rPr>
          <w:rFonts w:ascii="仿宋" w:hAnsi="仿宋" w:eastAsia="仿宋"/>
        </w:rPr>
      </w:pPr>
      <w:bookmarkStart w:id="146" w:name="_Toc15396630"/>
      <w:bookmarkStart w:id="147" w:name="_Toc4859"/>
      <w:bookmarkStart w:id="148" w:name="_Toc10313"/>
      <w:r>
        <w:rPr>
          <w:rStyle w:val="29"/>
          <w:rFonts w:hint="eastAsia" w:ascii="仿宋" w:hAnsi="仿宋" w:eastAsia="仿宋"/>
          <w:b w:val="0"/>
          <w:bCs w:val="0"/>
        </w:rPr>
        <w:t>十二、</w:t>
      </w:r>
      <w:bookmarkEnd w:id="146"/>
      <w:r>
        <w:rPr>
          <w:rStyle w:val="29"/>
          <w:rFonts w:hint="eastAsia" w:ascii="仿宋" w:hAnsi="仿宋" w:eastAsia="仿宋"/>
          <w:b w:val="0"/>
          <w:bCs w:val="0"/>
        </w:rPr>
        <w:t>国有资本经营预算财政拨款支出决算表</w:t>
      </w:r>
      <w:bookmarkEnd w:id="147"/>
      <w:bookmarkEnd w:id="148"/>
    </w:p>
    <w:p>
      <w:pPr>
        <w:pStyle w:val="7"/>
        <w:rPr>
          <w:rFonts w:eastAsia="仿宋"/>
        </w:rPr>
      </w:pPr>
      <w:bookmarkStart w:id="149" w:name="_Toc15396631"/>
      <w:bookmarkStart w:id="150" w:name="_Toc31915"/>
      <w:bookmarkStart w:id="151" w:name="_Toc10040"/>
      <w:r>
        <w:rPr>
          <w:rStyle w:val="29"/>
          <w:rFonts w:hint="eastAsia" w:ascii="仿宋" w:hAnsi="仿宋" w:eastAsia="仿宋"/>
          <w:b w:val="0"/>
          <w:bCs w:val="0"/>
        </w:rPr>
        <w:t>十三、</w:t>
      </w:r>
      <w:bookmarkEnd w:id="149"/>
      <w:r>
        <w:rPr>
          <w:rStyle w:val="29"/>
          <w:rFonts w:hint="eastAsia" w:ascii="仿宋" w:hAnsi="仿宋" w:eastAsia="仿宋"/>
          <w:b w:val="0"/>
          <w:bCs w:val="0"/>
        </w:rPr>
        <w:t>财政拨款“三公”经费支出决算表</w:t>
      </w:r>
      <w:bookmarkEnd w:id="150"/>
      <w:bookmarkEnd w:id="15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723293-6228-492E-ADDD-929A6FE1AE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  <w:embedRegular r:id="rId2" w:fontKey="{9ADA716D-20A2-47FB-AA7B-FB5E77D345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855DE89-EA2C-4D08-8EF1-386EAF6BB5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8293954-B8B1-4974-929E-02E6B9E5EE4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5" w:fontKey="{9EFE22C2-E969-42F0-AA98-7130DD6F23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18A09A"/>
    <w:multiLevelType w:val="singleLevel"/>
    <w:tmpl w:val="3818A09A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28"/>
        <w:szCs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jZhOThhOGZiYzQwNWYwZTFhMmI3MTU3Nzg2NjEifQ=="/>
  </w:docVars>
  <w:rsids>
    <w:rsidRoot w:val="00F1361C"/>
    <w:rsid w:val="000222C6"/>
    <w:rsid w:val="0002549F"/>
    <w:rsid w:val="000409D9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873A9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1A56261"/>
    <w:rsid w:val="01CC561F"/>
    <w:rsid w:val="02145195"/>
    <w:rsid w:val="03103BAE"/>
    <w:rsid w:val="04245B63"/>
    <w:rsid w:val="04A9357F"/>
    <w:rsid w:val="04ED2F4A"/>
    <w:rsid w:val="05257DE5"/>
    <w:rsid w:val="053A62B5"/>
    <w:rsid w:val="05AC4062"/>
    <w:rsid w:val="060139A4"/>
    <w:rsid w:val="061E75AD"/>
    <w:rsid w:val="08185400"/>
    <w:rsid w:val="0A2032A3"/>
    <w:rsid w:val="0A430D0D"/>
    <w:rsid w:val="0A5922DF"/>
    <w:rsid w:val="0B464891"/>
    <w:rsid w:val="0B8A37D8"/>
    <w:rsid w:val="0BF046BB"/>
    <w:rsid w:val="0D9B4355"/>
    <w:rsid w:val="0FAD2C92"/>
    <w:rsid w:val="0FCA41C0"/>
    <w:rsid w:val="107E5052"/>
    <w:rsid w:val="10C055FF"/>
    <w:rsid w:val="118107EC"/>
    <w:rsid w:val="11DD6519"/>
    <w:rsid w:val="11FC1C84"/>
    <w:rsid w:val="13A7230D"/>
    <w:rsid w:val="145931C0"/>
    <w:rsid w:val="15DB1C9B"/>
    <w:rsid w:val="16BB723D"/>
    <w:rsid w:val="17C05D2B"/>
    <w:rsid w:val="18015F3F"/>
    <w:rsid w:val="19185113"/>
    <w:rsid w:val="1A1104E0"/>
    <w:rsid w:val="1B32070E"/>
    <w:rsid w:val="1B9F0A33"/>
    <w:rsid w:val="1BE8440E"/>
    <w:rsid w:val="1C1D5FFC"/>
    <w:rsid w:val="1C1D6A6C"/>
    <w:rsid w:val="1D155CEE"/>
    <w:rsid w:val="1DB4365C"/>
    <w:rsid w:val="1DE657E0"/>
    <w:rsid w:val="1FFB7D3A"/>
    <w:rsid w:val="20F57F95"/>
    <w:rsid w:val="210B0FC1"/>
    <w:rsid w:val="212B654C"/>
    <w:rsid w:val="212D10FE"/>
    <w:rsid w:val="2174059D"/>
    <w:rsid w:val="227E7A51"/>
    <w:rsid w:val="240371BF"/>
    <w:rsid w:val="247A2E95"/>
    <w:rsid w:val="25711CC6"/>
    <w:rsid w:val="25C741E6"/>
    <w:rsid w:val="26C35EDD"/>
    <w:rsid w:val="26EE4EFA"/>
    <w:rsid w:val="27842671"/>
    <w:rsid w:val="27B44246"/>
    <w:rsid w:val="28700CDA"/>
    <w:rsid w:val="290702B1"/>
    <w:rsid w:val="29AA0009"/>
    <w:rsid w:val="29FD04D3"/>
    <w:rsid w:val="2A3A313B"/>
    <w:rsid w:val="2ABE7A3E"/>
    <w:rsid w:val="2BD81BE9"/>
    <w:rsid w:val="2C2412FF"/>
    <w:rsid w:val="2C59335D"/>
    <w:rsid w:val="2CA234A8"/>
    <w:rsid w:val="2CA36B38"/>
    <w:rsid w:val="2D333817"/>
    <w:rsid w:val="2D483DC1"/>
    <w:rsid w:val="2EFA178C"/>
    <w:rsid w:val="2F0F2DE8"/>
    <w:rsid w:val="307373A7"/>
    <w:rsid w:val="308D6252"/>
    <w:rsid w:val="30B46D73"/>
    <w:rsid w:val="319F7F4E"/>
    <w:rsid w:val="337D6194"/>
    <w:rsid w:val="36B14785"/>
    <w:rsid w:val="377E033B"/>
    <w:rsid w:val="37DE0C4B"/>
    <w:rsid w:val="383D272C"/>
    <w:rsid w:val="39113C01"/>
    <w:rsid w:val="3999325B"/>
    <w:rsid w:val="39AE70AB"/>
    <w:rsid w:val="3A773F37"/>
    <w:rsid w:val="3B335CBB"/>
    <w:rsid w:val="3C0C0783"/>
    <w:rsid w:val="3CED6733"/>
    <w:rsid w:val="3E723B83"/>
    <w:rsid w:val="3F9F3A96"/>
    <w:rsid w:val="41A122D7"/>
    <w:rsid w:val="41DD4139"/>
    <w:rsid w:val="43F916C0"/>
    <w:rsid w:val="44456A0A"/>
    <w:rsid w:val="4487414F"/>
    <w:rsid w:val="44C9538F"/>
    <w:rsid w:val="457529DA"/>
    <w:rsid w:val="466C6651"/>
    <w:rsid w:val="48A905A4"/>
    <w:rsid w:val="48B71005"/>
    <w:rsid w:val="48BF60AB"/>
    <w:rsid w:val="48D93480"/>
    <w:rsid w:val="4924255B"/>
    <w:rsid w:val="493C27E9"/>
    <w:rsid w:val="496F39ED"/>
    <w:rsid w:val="49FF41D3"/>
    <w:rsid w:val="4AD34882"/>
    <w:rsid w:val="4BE01C54"/>
    <w:rsid w:val="4BE068DB"/>
    <w:rsid w:val="4BF6002B"/>
    <w:rsid w:val="4C516D74"/>
    <w:rsid w:val="4C79769B"/>
    <w:rsid w:val="4CB16321"/>
    <w:rsid w:val="4D5A2A63"/>
    <w:rsid w:val="4D9329DF"/>
    <w:rsid w:val="4DC219A6"/>
    <w:rsid w:val="4ECE2238"/>
    <w:rsid w:val="4F2A7373"/>
    <w:rsid w:val="5175252B"/>
    <w:rsid w:val="5175503B"/>
    <w:rsid w:val="51C90F12"/>
    <w:rsid w:val="51DB4B86"/>
    <w:rsid w:val="52405CB5"/>
    <w:rsid w:val="5358625C"/>
    <w:rsid w:val="53B94BD7"/>
    <w:rsid w:val="5475511D"/>
    <w:rsid w:val="548A298C"/>
    <w:rsid w:val="55333C3E"/>
    <w:rsid w:val="55760700"/>
    <w:rsid w:val="57212896"/>
    <w:rsid w:val="57AA40AF"/>
    <w:rsid w:val="5A4C30A9"/>
    <w:rsid w:val="5C097CAA"/>
    <w:rsid w:val="5DD0497D"/>
    <w:rsid w:val="5E21105E"/>
    <w:rsid w:val="5EAC5F89"/>
    <w:rsid w:val="5F64242D"/>
    <w:rsid w:val="5F8305AA"/>
    <w:rsid w:val="5FBF0E0E"/>
    <w:rsid w:val="60C43183"/>
    <w:rsid w:val="621500A7"/>
    <w:rsid w:val="6329434E"/>
    <w:rsid w:val="63F773CC"/>
    <w:rsid w:val="645C60CA"/>
    <w:rsid w:val="64CA39A1"/>
    <w:rsid w:val="6636605E"/>
    <w:rsid w:val="67972F65"/>
    <w:rsid w:val="67B33F51"/>
    <w:rsid w:val="67F70B76"/>
    <w:rsid w:val="69540E1C"/>
    <w:rsid w:val="69630ADE"/>
    <w:rsid w:val="6C4A05C8"/>
    <w:rsid w:val="6C4B61BE"/>
    <w:rsid w:val="6C4E249B"/>
    <w:rsid w:val="6C517895"/>
    <w:rsid w:val="6D3B1A89"/>
    <w:rsid w:val="6E0E0133"/>
    <w:rsid w:val="6E4875EA"/>
    <w:rsid w:val="6EB0599B"/>
    <w:rsid w:val="6EB80153"/>
    <w:rsid w:val="6F2572E9"/>
    <w:rsid w:val="6F5E29F5"/>
    <w:rsid w:val="6FFD6D35"/>
    <w:rsid w:val="700F0193"/>
    <w:rsid w:val="70924225"/>
    <w:rsid w:val="70932B72"/>
    <w:rsid w:val="70FA04FB"/>
    <w:rsid w:val="7119242A"/>
    <w:rsid w:val="711E68DF"/>
    <w:rsid w:val="719E3838"/>
    <w:rsid w:val="71BF4EC2"/>
    <w:rsid w:val="71D0798D"/>
    <w:rsid w:val="72734D90"/>
    <w:rsid w:val="72957000"/>
    <w:rsid w:val="734A20E3"/>
    <w:rsid w:val="7412278C"/>
    <w:rsid w:val="74DC4AE7"/>
    <w:rsid w:val="789336DE"/>
    <w:rsid w:val="78947487"/>
    <w:rsid w:val="78C54D23"/>
    <w:rsid w:val="797A7885"/>
    <w:rsid w:val="79C87FA2"/>
    <w:rsid w:val="79E7B28D"/>
    <w:rsid w:val="7A326E6D"/>
    <w:rsid w:val="7A6774E3"/>
    <w:rsid w:val="7A8678F9"/>
    <w:rsid w:val="7AFE2D3C"/>
    <w:rsid w:val="7C2E5873"/>
    <w:rsid w:val="7E3808B5"/>
    <w:rsid w:val="7EF90044"/>
    <w:rsid w:val="7F9F20EE"/>
    <w:rsid w:val="9E3A10E2"/>
    <w:rsid w:val="F2E1F9D4"/>
    <w:rsid w:val="F78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link w:val="25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10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2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8">
    <w:name w:val="Strong"/>
    <w:basedOn w:val="17"/>
    <w:qFormat/>
    <w:uiPriority w:val="99"/>
    <w:rPr>
      <w:b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Header Char"/>
    <w:basedOn w:val="1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页眉 字符"/>
    <w:link w:val="12"/>
    <w:semiHidden/>
    <w:qFormat/>
    <w:locked/>
    <w:uiPriority w:val="99"/>
    <w:rPr>
      <w:sz w:val="18"/>
    </w:rPr>
  </w:style>
  <w:style w:type="character" w:customStyle="1" w:styleId="22">
    <w:name w:val="Footer Char"/>
    <w:basedOn w:val="1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3">
    <w:name w:val="页脚 字符"/>
    <w:link w:val="11"/>
    <w:qFormat/>
    <w:locked/>
    <w:uiPriority w:val="99"/>
    <w:rPr>
      <w:sz w:val="18"/>
    </w:rPr>
  </w:style>
  <w:style w:type="character" w:customStyle="1" w:styleId="24">
    <w:name w:val="Body Text Char"/>
    <w:basedOn w:val="17"/>
    <w:semiHidden/>
    <w:qFormat/>
    <w:uiPriority w:val="99"/>
    <w:rPr>
      <w:rFonts w:ascii="Times New Roman" w:hAnsi="Times New Roman"/>
      <w:szCs w:val="24"/>
    </w:rPr>
  </w:style>
  <w:style w:type="character" w:customStyle="1" w:styleId="25">
    <w:name w:val="正文文本 字符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标题 1 字符"/>
    <w:basedOn w:val="17"/>
    <w:link w:val="6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9">
    <w:name w:val="标题 2 字符"/>
    <w:basedOn w:val="17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0">
    <w:name w:val="TOC 标题1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批注框文本 字符"/>
    <w:basedOn w:val="17"/>
    <w:link w:val="10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标题 3 字符"/>
    <w:basedOn w:val="17"/>
    <w:link w:val="8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3">
    <w:name w:val="TOC 标题2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font41"/>
    <w:basedOn w:val="1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收入决算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一般公共预算财政拨款收入</c:v>
                </c:pt>
                <c:pt idx="1">
                  <c:v>政府性基金预算财政拨款</c:v>
                </c:pt>
                <c:pt idx="2">
                  <c:v>国有资本经营预算财政拨款收入</c:v>
                </c:pt>
                <c:pt idx="3">
                  <c:v>上级补助收入</c:v>
                </c:pt>
                <c:pt idx="4">
                  <c:v>事业收入</c:v>
                </c:pt>
                <c:pt idx="5">
                  <c:v>经营收入</c:v>
                </c:pt>
                <c:pt idx="6">
                  <c:v>附属单位上缴收入</c:v>
                </c:pt>
                <c:pt idx="7">
                  <c:v>其他收入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0.4528</c:v>
                </c:pt>
                <c:pt idx="4">
                  <c:v>0.4658</c:v>
                </c:pt>
                <c:pt idx="7">
                  <c:v>0.0814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支出决算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基本支出</c:v>
                </c:pt>
                <c:pt idx="1">
                  <c:v>项目支出</c:v>
                </c:pt>
                <c:pt idx="2">
                  <c:v>上缴上级支出</c:v>
                </c:pt>
                <c:pt idx="3">
                  <c:v>经营支出</c:v>
                </c:pt>
                <c:pt idx="4">
                  <c:v>对附属单位补助支出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1</c:v>
                </c:pt>
                <c:pt idx="1" c: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一般公共预算财政拨款支出决算结构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社会保障和就业支出</c:v>
                </c:pt>
                <c:pt idx="1">
                  <c:v>卫生健康支出</c:v>
                </c:pt>
                <c:pt idx="2">
                  <c:v>住房保障支出</c:v>
                </c:pt>
                <c:pt idx="3">
                  <c:v>农林水支出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0.0621</c:v>
                </c:pt>
                <c:pt idx="1">
                  <c:v>0.8912</c:v>
                </c:pt>
                <c:pt idx="2">
                  <c:v>0.0467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34</Pages>
  <Words>14634</Words>
  <Characters>16819</Characters>
  <Lines>5</Lines>
  <Paragraphs>11</Paragraphs>
  <TotalTime>10</TotalTime>
  <ScaleCrop>false</ScaleCrop>
  <LinksUpToDate>false</LinksUpToDate>
  <CharactersWithSpaces>16982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2020-08-05T01:49:00Z</dcterms:created>
  <dc:creator>曹颖</dc:creator>
  <cp:lastModifiedBy>NO LOVE</cp:lastModifiedBy>
  <cp:lastPrinted>2023-07-31T02:35:00Z</cp:lastPrinted>
  <dcterms:modified xsi:type="dcterms:W3CDTF">2023-10-29T03:05:34Z</dcterms:modified>
  <dc:title>四川省***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18F6DCD9555442D5AF3762EE8E93B952_13</vt:lpwstr>
  </property>
</Properties>
</file>