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bookmarkStart w:id="200" w:name="_GoBack"/>
      <w:bookmarkEnd w:id="200"/>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21231"/>
      <w:bookmarkStart w:id="2" w:name="_Toc15378441"/>
      <w:bookmarkStart w:id="3" w:name="_Toc15377193"/>
      <w:bookmarkStart w:id="4" w:name="_Toc17296"/>
      <w:bookmarkStart w:id="5" w:name="_Toc15377425"/>
      <w:bookmarkStart w:id="6" w:name="_Toc15396597"/>
      <w:bookmarkStart w:id="7" w:name="_Toc15396475"/>
      <w:bookmarkStart w:id="8" w:name="_Toc9860"/>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bookmarkEnd w:id="6"/>
      <w:bookmarkEnd w:id="7"/>
      <w:bookmarkEnd w:id="8"/>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9" w:name="_Toc17550"/>
      <w:bookmarkStart w:id="10" w:name="_Toc15396476"/>
      <w:bookmarkStart w:id="11" w:name="_Toc15377426"/>
      <w:bookmarkStart w:id="12" w:name="_Toc15396598"/>
      <w:bookmarkStart w:id="13" w:name="_Toc1603"/>
      <w:bookmarkStart w:id="14" w:name="_Toc7180"/>
      <w:bookmarkStart w:id="15" w:name="_Toc15377194"/>
      <w:bookmarkStart w:id="16" w:name="_Toc15378442"/>
      <w:r>
        <w:rPr>
          <w:rFonts w:hint="eastAsia" w:ascii="方正小标宋简体" w:hAnsi="方正小标宋简体" w:eastAsia="方正小标宋简体" w:cs="方正小标宋简体"/>
          <w:sz w:val="72"/>
          <w:szCs w:val="72"/>
        </w:rPr>
        <w:t>剑阁县</w:t>
      </w:r>
      <w:bookmarkEnd w:id="0"/>
      <w:bookmarkStart w:id="17" w:name="_Toc15306268"/>
      <w:r>
        <w:rPr>
          <w:rFonts w:hint="eastAsia" w:ascii="方正小标宋简体" w:hAnsi="方正小标宋简体" w:eastAsia="方正小标宋简体" w:cs="方正小标宋简体"/>
          <w:sz w:val="72"/>
          <w:szCs w:val="72"/>
        </w:rPr>
        <w:t>汉阳镇卫生院决算</w:t>
      </w:r>
      <w:bookmarkEnd w:id="9"/>
      <w:bookmarkEnd w:id="10"/>
      <w:bookmarkEnd w:id="11"/>
      <w:bookmarkEnd w:id="12"/>
      <w:bookmarkEnd w:id="13"/>
      <w:bookmarkEnd w:id="14"/>
      <w:bookmarkEnd w:id="15"/>
      <w:bookmarkEnd w:id="16"/>
      <w:bookmarkEnd w:id="17"/>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8" w:name="_Toc25665"/>
      <w:bookmarkStart w:id="19" w:name="_Toc30186"/>
      <w:bookmarkStart w:id="20" w:name="_Toc15662"/>
      <w:r>
        <w:rPr>
          <w:rFonts w:hint="eastAsia" w:ascii="方正小标宋简体" w:hAnsi="方正小标宋简体" w:eastAsia="方正小标宋简体" w:cs="方正小标宋简体"/>
          <w:sz w:val="72"/>
          <w:szCs w:val="72"/>
        </w:rPr>
        <w:t>公开</w:t>
      </w:r>
      <w:bookmarkEnd w:id="18"/>
      <w:bookmarkEnd w:id="19"/>
      <w:bookmarkEnd w:id="20"/>
    </w:p>
    <w:p>
      <w:pPr>
        <w:adjustRightInd w:val="0"/>
        <w:snapToGrid w:val="0"/>
        <w:spacing w:line="360" w:lineRule="auto"/>
        <w:jc w:val="center"/>
        <w:outlineLvl w:val="0"/>
        <w:rPr>
          <w:rFonts w:ascii="方正小标宋简体" w:hAnsi="宋体" w:eastAsia="方正小标宋简体"/>
          <w:sz w:val="52"/>
          <w:szCs w:val="52"/>
        </w:rPr>
      </w:pP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jc w:val="center"/>
      </w:pPr>
      <w:r>
        <w:rPr>
          <w:rFonts w:hint="eastAsia"/>
        </w:rPr>
        <w:t>公开时间：2023年 10月29日</w:t>
      </w:r>
      <w:bookmarkStart w:id="21" w:name="_Toc15396599"/>
      <w:bookmarkStart w:id="22" w:name="_Toc15377196"/>
    </w:p>
    <w:p>
      <w:pPr>
        <w:pStyle w:val="11"/>
        <w:tabs>
          <w:tab w:val="right" w:leader="dot" w:pos="8924"/>
          <w:tab w:val="clear" w:pos="8296"/>
        </w:tabs>
      </w:pPr>
      <w:r>
        <w:rPr>
          <w:rFonts w:hint="eastAsia"/>
        </w:rPr>
        <w:fldChar w:fldCharType="begin"/>
      </w:r>
      <w:r>
        <w:rPr>
          <w:rFonts w:hint="eastAsia"/>
        </w:rPr>
        <w:instrText xml:space="preserve">TOC \o "1-9" \h \u </w:instrText>
      </w:r>
      <w:r>
        <w:rPr>
          <w:rFonts w:hint="eastAsia"/>
        </w:rPr>
        <w:fldChar w:fldCharType="separate"/>
      </w:r>
    </w:p>
    <w:p>
      <w:pPr>
        <w:pStyle w:val="11"/>
        <w:tabs>
          <w:tab w:val="right" w:leader="dot" w:pos="8924"/>
          <w:tab w:val="clear" w:pos="8296"/>
        </w:tabs>
      </w:pPr>
      <w:r>
        <w:fldChar w:fldCharType="begin"/>
      </w:r>
      <w:r>
        <w:instrText xml:space="preserve"> HYPERLINK \l "_Toc21796" </w:instrText>
      </w:r>
      <w:r>
        <w:fldChar w:fldCharType="separate"/>
      </w:r>
      <w:r>
        <w:rPr>
          <w:rFonts w:hint="eastAsia" w:ascii="黑体" w:hAnsi="黑体" w:eastAsia="黑体"/>
        </w:rPr>
        <w:t>第一部分 单位概况</w:t>
      </w:r>
      <w:r>
        <w:tab/>
      </w:r>
      <w:r>
        <w:fldChar w:fldCharType="begin"/>
      </w:r>
      <w:r>
        <w:instrText xml:space="preserve"> PAGEREF _Toc21796 \h </w:instrText>
      </w:r>
      <w:r>
        <w:fldChar w:fldCharType="separate"/>
      </w:r>
      <w:r>
        <w:t>4</w:t>
      </w:r>
      <w:r>
        <w:fldChar w:fldCharType="end"/>
      </w:r>
      <w:r>
        <w:fldChar w:fldCharType="end"/>
      </w:r>
    </w:p>
    <w:p>
      <w:pPr>
        <w:pStyle w:val="12"/>
        <w:tabs>
          <w:tab w:val="right" w:leader="dot" w:pos="8924"/>
          <w:tab w:val="clear" w:pos="8296"/>
        </w:tabs>
      </w:pPr>
      <w:r>
        <w:fldChar w:fldCharType="begin"/>
      </w:r>
      <w:r>
        <w:instrText xml:space="preserve"> HYPERLINK \l "_Toc6705" </w:instrText>
      </w:r>
      <w:r>
        <w:fldChar w:fldCharType="separate"/>
      </w:r>
      <w:r>
        <w:rPr>
          <w:rFonts w:hint="eastAsia" w:ascii="黑体" w:hAnsi="黑体" w:eastAsia="黑体"/>
        </w:rPr>
        <w:t>一、 主要职责</w:t>
      </w:r>
      <w:r>
        <w:tab/>
      </w:r>
      <w:r>
        <w:fldChar w:fldCharType="begin"/>
      </w:r>
      <w:r>
        <w:instrText xml:space="preserve"> PAGEREF _Toc6705 \h </w:instrText>
      </w:r>
      <w:r>
        <w:fldChar w:fldCharType="separate"/>
      </w:r>
      <w:r>
        <w:t>4</w:t>
      </w:r>
      <w:r>
        <w:fldChar w:fldCharType="end"/>
      </w:r>
      <w:r>
        <w:fldChar w:fldCharType="end"/>
      </w:r>
    </w:p>
    <w:p>
      <w:pPr>
        <w:pStyle w:val="12"/>
        <w:tabs>
          <w:tab w:val="right" w:leader="dot" w:pos="8924"/>
          <w:tab w:val="clear" w:pos="8296"/>
        </w:tabs>
      </w:pPr>
      <w:r>
        <w:fldChar w:fldCharType="begin"/>
      </w:r>
      <w:r>
        <w:instrText xml:space="preserve"> HYPERLINK \l "_Toc11484" </w:instrText>
      </w:r>
      <w:r>
        <w:fldChar w:fldCharType="separate"/>
      </w:r>
      <w:r>
        <w:rPr>
          <w:rFonts w:hint="eastAsia" w:ascii="黑体" w:hAnsi="黑体" w:eastAsia="黑体"/>
        </w:rPr>
        <w:t>二、机构设置</w:t>
      </w:r>
      <w:r>
        <w:tab/>
      </w:r>
      <w:r>
        <w:fldChar w:fldCharType="begin"/>
      </w:r>
      <w:r>
        <w:instrText xml:space="preserve"> PAGEREF _Toc11484 \h </w:instrText>
      </w:r>
      <w:r>
        <w:fldChar w:fldCharType="separate"/>
      </w:r>
      <w:r>
        <w:t>11</w:t>
      </w:r>
      <w:r>
        <w:fldChar w:fldCharType="end"/>
      </w:r>
      <w:r>
        <w:fldChar w:fldCharType="end"/>
      </w:r>
    </w:p>
    <w:p>
      <w:pPr>
        <w:pStyle w:val="11"/>
        <w:tabs>
          <w:tab w:val="right" w:leader="dot" w:pos="8924"/>
          <w:tab w:val="clear" w:pos="8296"/>
        </w:tabs>
      </w:pPr>
      <w:r>
        <w:fldChar w:fldCharType="begin"/>
      </w:r>
      <w:r>
        <w:instrText xml:space="preserve"> HYPERLINK \l "_Toc5276" </w:instrText>
      </w:r>
      <w:r>
        <w:fldChar w:fldCharType="separate"/>
      </w:r>
      <w:r>
        <w:rPr>
          <w:rFonts w:hint="eastAsia" w:ascii="黑体" w:hAnsi="黑体" w:eastAsia="黑体"/>
        </w:rPr>
        <w:t>第二部分 2022年度</w:t>
      </w:r>
      <w:r>
        <w:rPr>
          <w:rFonts w:hint="eastAsia" w:ascii="黑体" w:hAnsi="黑体" w:eastAsia="黑体"/>
          <w:bCs/>
        </w:rPr>
        <w:t>单位决算情况说明</w:t>
      </w:r>
      <w:r>
        <w:tab/>
      </w:r>
      <w:r>
        <w:fldChar w:fldCharType="begin"/>
      </w:r>
      <w:r>
        <w:instrText xml:space="preserve"> PAGEREF _Toc5276 \h </w:instrText>
      </w:r>
      <w:r>
        <w:fldChar w:fldCharType="separate"/>
      </w:r>
      <w:r>
        <w:t>12</w:t>
      </w:r>
      <w:r>
        <w:fldChar w:fldCharType="end"/>
      </w:r>
      <w:r>
        <w:fldChar w:fldCharType="end"/>
      </w:r>
    </w:p>
    <w:p>
      <w:pPr>
        <w:pStyle w:val="12"/>
        <w:tabs>
          <w:tab w:val="right" w:leader="dot" w:pos="8924"/>
          <w:tab w:val="clear" w:pos="8296"/>
        </w:tabs>
      </w:pPr>
      <w:r>
        <w:fldChar w:fldCharType="begin"/>
      </w:r>
      <w:r>
        <w:instrText xml:space="preserve"> HYPERLINK \l "_Toc28294" </w:instrText>
      </w:r>
      <w:r>
        <w:fldChar w:fldCharType="separate"/>
      </w:r>
      <w:r>
        <w:rPr>
          <w:rFonts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_Toc28294 \h </w:instrText>
      </w:r>
      <w:r>
        <w:fldChar w:fldCharType="separate"/>
      </w:r>
      <w:r>
        <w:t>12</w:t>
      </w:r>
      <w:r>
        <w:fldChar w:fldCharType="end"/>
      </w:r>
      <w:r>
        <w:fldChar w:fldCharType="end"/>
      </w:r>
    </w:p>
    <w:p>
      <w:pPr>
        <w:pStyle w:val="12"/>
        <w:tabs>
          <w:tab w:val="right" w:leader="dot" w:pos="8924"/>
          <w:tab w:val="clear" w:pos="8296"/>
        </w:tabs>
      </w:pPr>
      <w:r>
        <w:fldChar w:fldCharType="begin"/>
      </w:r>
      <w:r>
        <w:instrText xml:space="preserve"> HYPERLINK \l "_Toc7156" </w:instrText>
      </w:r>
      <w:r>
        <w:fldChar w:fldCharType="separate"/>
      </w:r>
      <w:r>
        <w:rPr>
          <w:rFonts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_Toc7156 \h </w:instrText>
      </w:r>
      <w:r>
        <w:fldChar w:fldCharType="separate"/>
      </w:r>
      <w:r>
        <w:t>12</w:t>
      </w:r>
      <w:r>
        <w:fldChar w:fldCharType="end"/>
      </w:r>
      <w:r>
        <w:fldChar w:fldCharType="end"/>
      </w:r>
    </w:p>
    <w:p>
      <w:pPr>
        <w:pStyle w:val="12"/>
        <w:tabs>
          <w:tab w:val="right" w:leader="dot" w:pos="8924"/>
          <w:tab w:val="clear" w:pos="8296"/>
        </w:tabs>
      </w:pPr>
      <w:r>
        <w:fldChar w:fldCharType="begin"/>
      </w:r>
      <w:r>
        <w:instrText xml:space="preserve"> HYPERLINK \l "_Toc17569" </w:instrText>
      </w:r>
      <w:r>
        <w:fldChar w:fldCharType="separate"/>
      </w:r>
      <w:r>
        <w:rPr>
          <w:rFonts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_Toc17569 \h </w:instrText>
      </w:r>
      <w:r>
        <w:fldChar w:fldCharType="separate"/>
      </w:r>
      <w:r>
        <w:t>13</w:t>
      </w:r>
      <w:r>
        <w:fldChar w:fldCharType="end"/>
      </w:r>
      <w:r>
        <w:fldChar w:fldCharType="end"/>
      </w:r>
    </w:p>
    <w:p>
      <w:pPr>
        <w:pStyle w:val="12"/>
        <w:tabs>
          <w:tab w:val="right" w:leader="dot" w:pos="8924"/>
          <w:tab w:val="clear" w:pos="8296"/>
        </w:tabs>
      </w:pPr>
      <w:r>
        <w:fldChar w:fldCharType="begin"/>
      </w:r>
      <w:r>
        <w:instrText xml:space="preserve"> HYPERLINK \l "_Toc31720"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_Toc31720 \h </w:instrText>
      </w:r>
      <w:r>
        <w:fldChar w:fldCharType="separate"/>
      </w:r>
      <w:r>
        <w:t>13</w:t>
      </w:r>
      <w:r>
        <w:fldChar w:fldCharType="end"/>
      </w:r>
      <w:r>
        <w:fldChar w:fldCharType="end"/>
      </w:r>
    </w:p>
    <w:p>
      <w:pPr>
        <w:pStyle w:val="12"/>
        <w:tabs>
          <w:tab w:val="right" w:leader="dot" w:pos="8924"/>
          <w:tab w:val="clear" w:pos="8296"/>
        </w:tabs>
      </w:pPr>
      <w:r>
        <w:fldChar w:fldCharType="begin"/>
      </w:r>
      <w:r>
        <w:instrText xml:space="preserve"> HYPERLINK \l "_Toc4952"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_Toc4952 \h </w:instrText>
      </w:r>
      <w:r>
        <w:fldChar w:fldCharType="separate"/>
      </w:r>
      <w:r>
        <w:t>14</w:t>
      </w:r>
      <w:r>
        <w:fldChar w:fldCharType="end"/>
      </w:r>
      <w:r>
        <w:fldChar w:fldCharType="end"/>
      </w:r>
    </w:p>
    <w:p>
      <w:pPr>
        <w:pStyle w:val="7"/>
        <w:tabs>
          <w:tab w:val="right" w:leader="dot" w:pos="8924"/>
          <w:tab w:val="clear" w:pos="8296"/>
        </w:tabs>
      </w:pPr>
      <w:r>
        <w:fldChar w:fldCharType="begin"/>
      </w:r>
      <w:r>
        <w:instrText xml:space="preserve"> HYPERLINK \l "_Toc5939" </w:instrText>
      </w:r>
      <w:r>
        <w:fldChar w:fldCharType="separate"/>
      </w:r>
      <w:r>
        <w:rPr>
          <w:rFonts w:hint="eastAsia" w:ascii="仿宋" w:hAnsi="仿宋" w:eastAsia="仿宋"/>
          <w:szCs w:val="32"/>
        </w:rPr>
        <w:t>（一）一般公共预算财政拨款支出决算总体情况</w:t>
      </w:r>
      <w:r>
        <w:tab/>
      </w:r>
      <w:r>
        <w:fldChar w:fldCharType="begin"/>
      </w:r>
      <w:r>
        <w:instrText xml:space="preserve"> PAGEREF _Toc5939 \h </w:instrText>
      </w:r>
      <w:r>
        <w:fldChar w:fldCharType="separate"/>
      </w:r>
      <w:r>
        <w:t>14</w:t>
      </w:r>
      <w:r>
        <w:fldChar w:fldCharType="end"/>
      </w:r>
      <w:r>
        <w:fldChar w:fldCharType="end"/>
      </w:r>
    </w:p>
    <w:p>
      <w:pPr>
        <w:pStyle w:val="7"/>
        <w:tabs>
          <w:tab w:val="right" w:leader="dot" w:pos="8924"/>
          <w:tab w:val="clear" w:pos="8296"/>
        </w:tabs>
      </w:pPr>
      <w:r>
        <w:fldChar w:fldCharType="begin"/>
      </w:r>
      <w:r>
        <w:instrText xml:space="preserve"> HYPERLINK \l "_Toc31182" </w:instrText>
      </w:r>
      <w:r>
        <w:fldChar w:fldCharType="separate"/>
      </w:r>
      <w:r>
        <w:rPr>
          <w:rFonts w:hint="eastAsia" w:ascii="仿宋" w:hAnsi="仿宋" w:eastAsia="仿宋"/>
          <w:szCs w:val="32"/>
        </w:rPr>
        <w:t>（二）一般公共预算财政拨款支出决算结构情况</w:t>
      </w:r>
      <w:r>
        <w:tab/>
      </w:r>
      <w:r>
        <w:fldChar w:fldCharType="begin"/>
      </w:r>
      <w:r>
        <w:instrText xml:space="preserve"> PAGEREF _Toc31182 \h </w:instrText>
      </w:r>
      <w:r>
        <w:fldChar w:fldCharType="separate"/>
      </w:r>
      <w:r>
        <w:t>14</w:t>
      </w:r>
      <w:r>
        <w:fldChar w:fldCharType="end"/>
      </w:r>
      <w:r>
        <w:fldChar w:fldCharType="end"/>
      </w:r>
    </w:p>
    <w:p>
      <w:pPr>
        <w:pStyle w:val="7"/>
        <w:tabs>
          <w:tab w:val="right" w:leader="dot" w:pos="8924"/>
          <w:tab w:val="clear" w:pos="8296"/>
        </w:tabs>
      </w:pPr>
      <w:r>
        <w:fldChar w:fldCharType="begin"/>
      </w:r>
      <w:r>
        <w:instrText xml:space="preserve"> HYPERLINK \l "_Toc24934" </w:instrText>
      </w:r>
      <w:r>
        <w:fldChar w:fldCharType="separate"/>
      </w:r>
      <w:r>
        <w:rPr>
          <w:rFonts w:hint="eastAsia" w:ascii="仿宋" w:hAnsi="仿宋" w:eastAsia="仿宋"/>
          <w:szCs w:val="32"/>
        </w:rPr>
        <w:t>（三）一般公共预算财政拨款支出决算具体情况</w:t>
      </w:r>
      <w:r>
        <w:tab/>
      </w:r>
      <w:r>
        <w:fldChar w:fldCharType="begin"/>
      </w:r>
      <w:r>
        <w:instrText xml:space="preserve"> PAGEREF _Toc24934 \h </w:instrText>
      </w:r>
      <w:r>
        <w:fldChar w:fldCharType="separate"/>
      </w:r>
      <w:r>
        <w:t>15</w:t>
      </w:r>
      <w:r>
        <w:fldChar w:fldCharType="end"/>
      </w:r>
      <w:r>
        <w:fldChar w:fldCharType="end"/>
      </w:r>
    </w:p>
    <w:p>
      <w:pPr>
        <w:pStyle w:val="12"/>
        <w:tabs>
          <w:tab w:val="right" w:leader="dot" w:pos="8924"/>
          <w:tab w:val="clear" w:pos="8296"/>
        </w:tabs>
      </w:pPr>
      <w:r>
        <w:fldChar w:fldCharType="begin"/>
      </w:r>
      <w:r>
        <w:instrText xml:space="preserve"> HYPERLINK \l "_Toc25725"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_Toc25725 \h </w:instrText>
      </w:r>
      <w:r>
        <w:fldChar w:fldCharType="separate"/>
      </w:r>
      <w:r>
        <w:t>16</w:t>
      </w:r>
      <w:r>
        <w:fldChar w:fldCharType="end"/>
      </w:r>
      <w:r>
        <w:fldChar w:fldCharType="end"/>
      </w:r>
    </w:p>
    <w:p>
      <w:pPr>
        <w:pStyle w:val="12"/>
        <w:tabs>
          <w:tab w:val="right" w:leader="dot" w:pos="8924"/>
          <w:tab w:val="clear" w:pos="8296"/>
        </w:tabs>
      </w:pPr>
      <w:r>
        <w:fldChar w:fldCharType="begin"/>
      </w:r>
      <w:r>
        <w:instrText xml:space="preserve"> HYPERLINK \l "_Toc11785"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_Toc11785 \h </w:instrText>
      </w:r>
      <w:r>
        <w:fldChar w:fldCharType="separate"/>
      </w:r>
      <w:r>
        <w:t>16</w:t>
      </w:r>
      <w:r>
        <w:fldChar w:fldCharType="end"/>
      </w:r>
      <w:r>
        <w:fldChar w:fldCharType="end"/>
      </w:r>
    </w:p>
    <w:p>
      <w:pPr>
        <w:pStyle w:val="7"/>
        <w:tabs>
          <w:tab w:val="right" w:leader="dot" w:pos="8924"/>
          <w:tab w:val="clear" w:pos="8296"/>
        </w:tabs>
      </w:pPr>
      <w:r>
        <w:fldChar w:fldCharType="begin"/>
      </w:r>
      <w:r>
        <w:instrText xml:space="preserve"> HYPERLINK \l "_Toc1195" </w:instrText>
      </w:r>
      <w:r>
        <w:fldChar w:fldCharType="separate"/>
      </w:r>
      <w:r>
        <w:rPr>
          <w:rFonts w:hint="eastAsia" w:ascii="仿宋" w:hAnsi="仿宋" w:eastAsia="仿宋"/>
          <w:szCs w:val="32"/>
        </w:rPr>
        <w:t>（一）“三公”经费财政拨款支出决算总体情况说明</w:t>
      </w:r>
      <w:r>
        <w:tab/>
      </w:r>
      <w:r>
        <w:fldChar w:fldCharType="begin"/>
      </w:r>
      <w:r>
        <w:instrText xml:space="preserve"> PAGEREF _Toc1195 \h </w:instrText>
      </w:r>
      <w:r>
        <w:fldChar w:fldCharType="separate"/>
      </w:r>
      <w:r>
        <w:t>16</w:t>
      </w:r>
      <w:r>
        <w:fldChar w:fldCharType="end"/>
      </w:r>
      <w:r>
        <w:fldChar w:fldCharType="end"/>
      </w:r>
    </w:p>
    <w:p>
      <w:pPr>
        <w:pStyle w:val="7"/>
        <w:tabs>
          <w:tab w:val="right" w:leader="dot" w:pos="8924"/>
          <w:tab w:val="clear" w:pos="8296"/>
        </w:tabs>
      </w:pPr>
      <w:r>
        <w:fldChar w:fldCharType="begin"/>
      </w:r>
      <w:r>
        <w:instrText xml:space="preserve"> HYPERLINK \l "_Toc18465" </w:instrText>
      </w:r>
      <w:r>
        <w:fldChar w:fldCharType="separate"/>
      </w:r>
      <w:r>
        <w:rPr>
          <w:rFonts w:hint="eastAsia" w:ascii="仿宋" w:hAnsi="仿宋" w:eastAsia="仿宋"/>
          <w:szCs w:val="32"/>
        </w:rPr>
        <w:t>（二）“三公”经费财政拨款支出决算具体情况说明</w:t>
      </w:r>
      <w:r>
        <w:tab/>
      </w:r>
      <w:r>
        <w:fldChar w:fldCharType="begin"/>
      </w:r>
      <w:r>
        <w:instrText xml:space="preserve"> PAGEREF _Toc18465 \h </w:instrText>
      </w:r>
      <w:r>
        <w:fldChar w:fldCharType="separate"/>
      </w:r>
      <w:r>
        <w:t>17</w:t>
      </w:r>
      <w:r>
        <w:fldChar w:fldCharType="end"/>
      </w:r>
      <w:r>
        <w:fldChar w:fldCharType="end"/>
      </w:r>
    </w:p>
    <w:p>
      <w:pPr>
        <w:pStyle w:val="12"/>
        <w:tabs>
          <w:tab w:val="right" w:leader="dot" w:pos="8924"/>
          <w:tab w:val="clear" w:pos="8296"/>
        </w:tabs>
      </w:pPr>
      <w:r>
        <w:fldChar w:fldCharType="begin"/>
      </w:r>
      <w:r>
        <w:instrText xml:space="preserve"> HYPERLINK \l "_Toc17434"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_Toc17434 \h </w:instrText>
      </w:r>
      <w:r>
        <w:fldChar w:fldCharType="separate"/>
      </w:r>
      <w:r>
        <w:t>18</w:t>
      </w:r>
      <w:r>
        <w:fldChar w:fldCharType="end"/>
      </w:r>
      <w:r>
        <w:fldChar w:fldCharType="end"/>
      </w:r>
    </w:p>
    <w:p>
      <w:pPr>
        <w:pStyle w:val="12"/>
        <w:tabs>
          <w:tab w:val="right" w:leader="dot" w:pos="8924"/>
          <w:tab w:val="clear" w:pos="8296"/>
        </w:tabs>
      </w:pPr>
      <w:r>
        <w:fldChar w:fldCharType="begin"/>
      </w:r>
      <w:r>
        <w:instrText xml:space="preserve"> HYPERLINK \l "_Toc26576" </w:instrText>
      </w:r>
      <w:r>
        <w:fldChar w:fldCharType="separate"/>
      </w:r>
      <w:r>
        <w:rPr>
          <w:rFonts w:hint="eastAsia" w:ascii="黑体" w:hAnsi="黑体" w:eastAsia="黑体"/>
        </w:rPr>
        <w:t>九、 国有资本经营预算支出决算情况说明</w:t>
      </w:r>
      <w:r>
        <w:tab/>
      </w:r>
      <w:r>
        <w:fldChar w:fldCharType="begin"/>
      </w:r>
      <w:r>
        <w:instrText xml:space="preserve"> PAGEREF _Toc26576 \h </w:instrText>
      </w:r>
      <w:r>
        <w:fldChar w:fldCharType="separate"/>
      </w:r>
      <w:r>
        <w:t>18</w:t>
      </w:r>
      <w:r>
        <w:fldChar w:fldCharType="end"/>
      </w:r>
      <w:r>
        <w:fldChar w:fldCharType="end"/>
      </w:r>
    </w:p>
    <w:p>
      <w:pPr>
        <w:pStyle w:val="12"/>
        <w:tabs>
          <w:tab w:val="right" w:leader="dot" w:pos="8924"/>
          <w:tab w:val="clear" w:pos="8296"/>
        </w:tabs>
      </w:pPr>
      <w:r>
        <w:fldChar w:fldCharType="begin"/>
      </w:r>
      <w:r>
        <w:instrText xml:space="preserve"> HYPERLINK \l "_Toc13761" </w:instrText>
      </w:r>
      <w:r>
        <w:fldChar w:fldCharType="separate"/>
      </w:r>
      <w:r>
        <w:rPr>
          <w:rFonts w:hint="eastAsia" w:ascii="黑体" w:hAnsi="黑体" w:eastAsia="黑体"/>
        </w:rPr>
        <w:t>十、 其他重要事项的情况说明</w:t>
      </w:r>
      <w:r>
        <w:tab/>
      </w:r>
      <w:r>
        <w:fldChar w:fldCharType="begin"/>
      </w:r>
      <w:r>
        <w:instrText xml:space="preserve"> PAGEREF _Toc13761 \h </w:instrText>
      </w:r>
      <w:r>
        <w:fldChar w:fldCharType="separate"/>
      </w:r>
      <w:r>
        <w:t>18</w:t>
      </w:r>
      <w:r>
        <w:fldChar w:fldCharType="end"/>
      </w:r>
      <w:r>
        <w:fldChar w:fldCharType="end"/>
      </w:r>
    </w:p>
    <w:p>
      <w:pPr>
        <w:pStyle w:val="7"/>
        <w:tabs>
          <w:tab w:val="right" w:leader="dot" w:pos="8924"/>
          <w:tab w:val="clear" w:pos="8296"/>
        </w:tabs>
      </w:pPr>
      <w:r>
        <w:fldChar w:fldCharType="begin"/>
      </w:r>
      <w:r>
        <w:instrText xml:space="preserve"> HYPERLINK \l "_Toc24806" </w:instrText>
      </w:r>
      <w:r>
        <w:fldChar w:fldCharType="separate"/>
      </w:r>
      <w:r>
        <w:rPr>
          <w:rFonts w:hint="eastAsia" w:ascii="仿宋" w:hAnsi="仿宋" w:eastAsia="仿宋"/>
          <w:szCs w:val="32"/>
        </w:rPr>
        <w:t>（一）机关运行经费支出情况</w:t>
      </w:r>
      <w:r>
        <w:tab/>
      </w:r>
      <w:r>
        <w:fldChar w:fldCharType="begin"/>
      </w:r>
      <w:r>
        <w:instrText xml:space="preserve"> PAGEREF _Toc24806 \h </w:instrText>
      </w:r>
      <w:r>
        <w:fldChar w:fldCharType="separate"/>
      </w:r>
      <w:r>
        <w:t>18</w:t>
      </w:r>
      <w:r>
        <w:fldChar w:fldCharType="end"/>
      </w:r>
      <w:r>
        <w:fldChar w:fldCharType="end"/>
      </w:r>
    </w:p>
    <w:p>
      <w:pPr>
        <w:pStyle w:val="7"/>
        <w:tabs>
          <w:tab w:val="right" w:leader="dot" w:pos="8924"/>
          <w:tab w:val="clear" w:pos="8296"/>
        </w:tabs>
      </w:pPr>
      <w:r>
        <w:fldChar w:fldCharType="begin"/>
      </w:r>
      <w:r>
        <w:instrText xml:space="preserve"> HYPERLINK \l "_Toc25309" </w:instrText>
      </w:r>
      <w:r>
        <w:fldChar w:fldCharType="separate"/>
      </w:r>
      <w:r>
        <w:rPr>
          <w:rFonts w:hint="eastAsia" w:ascii="仿宋" w:hAnsi="仿宋" w:eastAsia="仿宋"/>
          <w:szCs w:val="32"/>
        </w:rPr>
        <w:t>（二）政府采购支出情况</w:t>
      </w:r>
      <w:r>
        <w:tab/>
      </w:r>
      <w:r>
        <w:fldChar w:fldCharType="begin"/>
      </w:r>
      <w:r>
        <w:instrText xml:space="preserve"> PAGEREF _Toc25309 \h </w:instrText>
      </w:r>
      <w:r>
        <w:fldChar w:fldCharType="separate"/>
      </w:r>
      <w:r>
        <w:t>18</w:t>
      </w:r>
      <w:r>
        <w:fldChar w:fldCharType="end"/>
      </w:r>
      <w:r>
        <w:fldChar w:fldCharType="end"/>
      </w:r>
    </w:p>
    <w:p>
      <w:pPr>
        <w:pStyle w:val="7"/>
        <w:tabs>
          <w:tab w:val="right" w:leader="dot" w:pos="8924"/>
          <w:tab w:val="clear" w:pos="8296"/>
        </w:tabs>
      </w:pPr>
      <w:r>
        <w:fldChar w:fldCharType="begin"/>
      </w:r>
      <w:r>
        <w:instrText xml:space="preserve"> HYPERLINK \l "_Toc5313" </w:instrText>
      </w:r>
      <w:r>
        <w:fldChar w:fldCharType="separate"/>
      </w:r>
      <w:r>
        <w:rPr>
          <w:rFonts w:hint="eastAsia" w:ascii="仿宋" w:hAnsi="仿宋" w:eastAsia="仿宋"/>
          <w:szCs w:val="32"/>
        </w:rPr>
        <w:t>（三）国有资产占有使用情况</w:t>
      </w:r>
      <w:r>
        <w:tab/>
      </w:r>
      <w:r>
        <w:fldChar w:fldCharType="begin"/>
      </w:r>
      <w:r>
        <w:instrText xml:space="preserve"> PAGEREF _Toc5313 \h </w:instrText>
      </w:r>
      <w:r>
        <w:fldChar w:fldCharType="separate"/>
      </w:r>
      <w:r>
        <w:t>18</w:t>
      </w:r>
      <w:r>
        <w:fldChar w:fldCharType="end"/>
      </w:r>
      <w:r>
        <w:fldChar w:fldCharType="end"/>
      </w:r>
    </w:p>
    <w:p>
      <w:pPr>
        <w:pStyle w:val="7"/>
        <w:tabs>
          <w:tab w:val="right" w:leader="dot" w:pos="8924"/>
          <w:tab w:val="clear" w:pos="8296"/>
        </w:tabs>
      </w:pPr>
      <w:r>
        <w:fldChar w:fldCharType="begin"/>
      </w:r>
      <w:r>
        <w:instrText xml:space="preserve"> HYPERLINK \l "_Toc24232" </w:instrText>
      </w:r>
      <w:r>
        <w:fldChar w:fldCharType="separate"/>
      </w:r>
      <w:r>
        <w:rPr>
          <w:rFonts w:hint="eastAsia" w:ascii="仿宋" w:hAnsi="仿宋" w:eastAsia="仿宋"/>
          <w:szCs w:val="32"/>
        </w:rPr>
        <w:t>（四）预算绩效管理情况</w:t>
      </w:r>
      <w:r>
        <w:tab/>
      </w:r>
      <w:r>
        <w:fldChar w:fldCharType="begin"/>
      </w:r>
      <w:r>
        <w:instrText xml:space="preserve"> PAGEREF _Toc24232 \h </w:instrText>
      </w:r>
      <w:r>
        <w:fldChar w:fldCharType="separate"/>
      </w:r>
      <w:r>
        <w:t>18</w:t>
      </w:r>
      <w:r>
        <w:fldChar w:fldCharType="end"/>
      </w:r>
      <w:r>
        <w:fldChar w:fldCharType="end"/>
      </w:r>
    </w:p>
    <w:p>
      <w:pPr>
        <w:pStyle w:val="11"/>
        <w:tabs>
          <w:tab w:val="right" w:leader="dot" w:pos="8924"/>
          <w:tab w:val="clear" w:pos="8296"/>
        </w:tabs>
      </w:pPr>
      <w:r>
        <w:fldChar w:fldCharType="begin"/>
      </w:r>
      <w:r>
        <w:instrText xml:space="preserve"> HYPERLINK \l "_Toc13486" </w:instrText>
      </w:r>
      <w:r>
        <w:fldChar w:fldCharType="separate"/>
      </w:r>
      <w:r>
        <w:rPr>
          <w:rFonts w:hint="eastAsia" w:ascii="黑体" w:hAnsi="黑体" w:eastAsia="黑体" w:cs="黑体"/>
          <w:szCs w:val="44"/>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_Toc13486 \h </w:instrText>
      </w:r>
      <w:r>
        <w:fldChar w:fldCharType="separate"/>
      </w:r>
      <w:r>
        <w:t>19</w:t>
      </w:r>
      <w:r>
        <w:fldChar w:fldCharType="end"/>
      </w:r>
      <w:r>
        <w:fldChar w:fldCharType="end"/>
      </w:r>
    </w:p>
    <w:p>
      <w:pPr>
        <w:pStyle w:val="11"/>
        <w:tabs>
          <w:tab w:val="right" w:leader="dot" w:pos="8924"/>
          <w:tab w:val="clear" w:pos="8296"/>
        </w:tabs>
      </w:pPr>
      <w:r>
        <w:fldChar w:fldCharType="begin"/>
      </w:r>
      <w:r>
        <w:instrText xml:space="preserve"> HYPERLINK \l "_Toc15163" </w:instrText>
      </w:r>
      <w:r>
        <w:fldChar w:fldCharType="separate"/>
      </w:r>
      <w:r>
        <w:rPr>
          <w:rFonts w:hint="eastAsia" w:ascii="黑体" w:hAnsi="黑体" w:eastAsia="黑体"/>
          <w:szCs w:val="44"/>
        </w:rPr>
        <w:t>第</w:t>
      </w:r>
      <w:r>
        <w:rPr>
          <w:rFonts w:hint="eastAsia" w:ascii="黑体" w:hAnsi="黑体" w:eastAsia="黑体"/>
        </w:rPr>
        <w:t>四部分 附表</w:t>
      </w:r>
      <w:r>
        <w:tab/>
      </w:r>
      <w:r>
        <w:fldChar w:fldCharType="begin"/>
      </w:r>
      <w:r>
        <w:instrText xml:space="preserve"> PAGEREF _Toc15163 \h </w:instrText>
      </w:r>
      <w:r>
        <w:fldChar w:fldCharType="separate"/>
      </w:r>
      <w:r>
        <w:t>22</w:t>
      </w:r>
      <w:r>
        <w:fldChar w:fldCharType="end"/>
      </w:r>
      <w:r>
        <w:fldChar w:fldCharType="end"/>
      </w:r>
    </w:p>
    <w:p>
      <w:pPr>
        <w:pStyle w:val="12"/>
        <w:tabs>
          <w:tab w:val="right" w:leader="dot" w:pos="8924"/>
          <w:tab w:val="clear" w:pos="8296"/>
        </w:tabs>
      </w:pPr>
      <w:r>
        <w:fldChar w:fldCharType="begin"/>
      </w:r>
      <w:r>
        <w:instrText xml:space="preserve"> HYPERLINK \l "_Toc8137" </w:instrText>
      </w:r>
      <w:r>
        <w:fldChar w:fldCharType="separate"/>
      </w:r>
      <w:r>
        <w:rPr>
          <w:rFonts w:hint="eastAsia" w:ascii="仿宋" w:hAnsi="仿宋" w:eastAsia="仿宋"/>
        </w:rPr>
        <w:t>一、收入支出决算总表</w:t>
      </w:r>
      <w:r>
        <w:tab/>
      </w:r>
      <w:r>
        <w:fldChar w:fldCharType="begin"/>
      </w:r>
      <w:r>
        <w:instrText xml:space="preserve"> PAGEREF _Toc8137 \h </w:instrText>
      </w:r>
      <w:r>
        <w:fldChar w:fldCharType="separate"/>
      </w:r>
      <w:r>
        <w:t>22</w:t>
      </w:r>
      <w:r>
        <w:fldChar w:fldCharType="end"/>
      </w:r>
      <w:r>
        <w:fldChar w:fldCharType="end"/>
      </w:r>
    </w:p>
    <w:p>
      <w:pPr>
        <w:pStyle w:val="12"/>
        <w:tabs>
          <w:tab w:val="right" w:leader="dot" w:pos="8924"/>
          <w:tab w:val="clear" w:pos="8296"/>
        </w:tabs>
      </w:pPr>
      <w:r>
        <w:fldChar w:fldCharType="begin"/>
      </w:r>
      <w:r>
        <w:instrText xml:space="preserve"> HYPERLINK \l "_Toc9692" </w:instrText>
      </w:r>
      <w:r>
        <w:fldChar w:fldCharType="separate"/>
      </w:r>
      <w:r>
        <w:rPr>
          <w:rFonts w:hint="eastAsia" w:ascii="仿宋" w:hAnsi="仿宋" w:eastAsia="仿宋"/>
        </w:rPr>
        <w:t>二、收入决算表</w:t>
      </w:r>
      <w:r>
        <w:tab/>
      </w:r>
      <w:r>
        <w:fldChar w:fldCharType="begin"/>
      </w:r>
      <w:r>
        <w:instrText xml:space="preserve"> PAGEREF _Toc9692 \h </w:instrText>
      </w:r>
      <w:r>
        <w:fldChar w:fldCharType="separate"/>
      </w:r>
      <w:r>
        <w:t>22</w:t>
      </w:r>
      <w:r>
        <w:fldChar w:fldCharType="end"/>
      </w:r>
      <w:r>
        <w:fldChar w:fldCharType="end"/>
      </w:r>
    </w:p>
    <w:p>
      <w:pPr>
        <w:pStyle w:val="12"/>
        <w:tabs>
          <w:tab w:val="right" w:leader="dot" w:pos="8924"/>
          <w:tab w:val="clear" w:pos="8296"/>
        </w:tabs>
      </w:pPr>
      <w:r>
        <w:fldChar w:fldCharType="begin"/>
      </w:r>
      <w:r>
        <w:instrText xml:space="preserve"> HYPERLINK \l "_Toc30749" </w:instrText>
      </w:r>
      <w:r>
        <w:fldChar w:fldCharType="separate"/>
      </w:r>
      <w:r>
        <w:rPr>
          <w:rFonts w:hint="eastAsia" w:ascii="仿宋" w:hAnsi="仿宋" w:eastAsia="仿宋"/>
        </w:rPr>
        <w:t>三、支出决算表</w:t>
      </w:r>
      <w:r>
        <w:tab/>
      </w:r>
      <w:r>
        <w:fldChar w:fldCharType="begin"/>
      </w:r>
      <w:r>
        <w:instrText xml:space="preserve"> PAGEREF _Toc30749 \h </w:instrText>
      </w:r>
      <w:r>
        <w:fldChar w:fldCharType="separate"/>
      </w:r>
      <w:r>
        <w:t>22</w:t>
      </w:r>
      <w:r>
        <w:fldChar w:fldCharType="end"/>
      </w:r>
      <w:r>
        <w:fldChar w:fldCharType="end"/>
      </w:r>
    </w:p>
    <w:p>
      <w:pPr>
        <w:pStyle w:val="12"/>
        <w:tabs>
          <w:tab w:val="right" w:leader="dot" w:pos="8924"/>
          <w:tab w:val="clear" w:pos="8296"/>
        </w:tabs>
      </w:pPr>
      <w:r>
        <w:fldChar w:fldCharType="begin"/>
      </w:r>
      <w:r>
        <w:instrText xml:space="preserve"> HYPERLINK \l "_Toc5336" </w:instrText>
      </w:r>
      <w:r>
        <w:fldChar w:fldCharType="separate"/>
      </w:r>
      <w:r>
        <w:rPr>
          <w:rFonts w:hint="eastAsia" w:ascii="仿宋" w:hAnsi="仿宋" w:eastAsia="仿宋"/>
        </w:rPr>
        <w:t>四、财政拨款收入支出决算总表</w:t>
      </w:r>
      <w:r>
        <w:tab/>
      </w:r>
      <w:r>
        <w:fldChar w:fldCharType="begin"/>
      </w:r>
      <w:r>
        <w:instrText xml:space="preserve"> PAGEREF _Toc5336 \h </w:instrText>
      </w:r>
      <w:r>
        <w:fldChar w:fldCharType="separate"/>
      </w:r>
      <w:r>
        <w:t>22</w:t>
      </w:r>
      <w:r>
        <w:fldChar w:fldCharType="end"/>
      </w:r>
      <w:r>
        <w:fldChar w:fldCharType="end"/>
      </w:r>
    </w:p>
    <w:p>
      <w:pPr>
        <w:pStyle w:val="12"/>
        <w:tabs>
          <w:tab w:val="right" w:leader="dot" w:pos="8924"/>
          <w:tab w:val="clear" w:pos="8296"/>
        </w:tabs>
      </w:pPr>
      <w:r>
        <w:fldChar w:fldCharType="begin"/>
      </w:r>
      <w:r>
        <w:instrText xml:space="preserve"> HYPERLINK \l "_Toc350" </w:instrText>
      </w:r>
      <w:r>
        <w:fldChar w:fldCharType="separate"/>
      </w:r>
      <w:r>
        <w:rPr>
          <w:rFonts w:hint="eastAsia" w:ascii="仿宋" w:hAnsi="仿宋" w:eastAsia="仿宋"/>
        </w:rPr>
        <w:t>五、财政拨款支出决算明细表</w:t>
      </w:r>
      <w:r>
        <w:tab/>
      </w:r>
      <w:r>
        <w:fldChar w:fldCharType="begin"/>
      </w:r>
      <w:r>
        <w:instrText xml:space="preserve"> PAGEREF _Toc350 \h </w:instrText>
      </w:r>
      <w:r>
        <w:fldChar w:fldCharType="separate"/>
      </w:r>
      <w:r>
        <w:t>22</w:t>
      </w:r>
      <w:r>
        <w:fldChar w:fldCharType="end"/>
      </w:r>
      <w:r>
        <w:fldChar w:fldCharType="end"/>
      </w:r>
    </w:p>
    <w:p>
      <w:pPr>
        <w:pStyle w:val="12"/>
        <w:tabs>
          <w:tab w:val="right" w:leader="dot" w:pos="8924"/>
          <w:tab w:val="clear" w:pos="8296"/>
        </w:tabs>
      </w:pPr>
      <w:r>
        <w:fldChar w:fldCharType="begin"/>
      </w:r>
      <w:r>
        <w:instrText xml:space="preserve"> HYPERLINK \l "_Toc15383" </w:instrText>
      </w:r>
      <w:r>
        <w:fldChar w:fldCharType="separate"/>
      </w:r>
      <w:r>
        <w:rPr>
          <w:rFonts w:hint="eastAsia" w:ascii="仿宋" w:hAnsi="仿宋" w:eastAsia="仿宋"/>
        </w:rPr>
        <w:t>六、一般公共预算财政拨款支出决算表</w:t>
      </w:r>
      <w:r>
        <w:tab/>
      </w:r>
      <w:r>
        <w:fldChar w:fldCharType="begin"/>
      </w:r>
      <w:r>
        <w:instrText xml:space="preserve"> PAGEREF _Toc15383 \h </w:instrText>
      </w:r>
      <w:r>
        <w:fldChar w:fldCharType="separate"/>
      </w:r>
      <w:r>
        <w:t>22</w:t>
      </w:r>
      <w:r>
        <w:fldChar w:fldCharType="end"/>
      </w:r>
      <w:r>
        <w:fldChar w:fldCharType="end"/>
      </w:r>
    </w:p>
    <w:p>
      <w:pPr>
        <w:pStyle w:val="12"/>
        <w:tabs>
          <w:tab w:val="right" w:leader="dot" w:pos="8924"/>
          <w:tab w:val="clear" w:pos="8296"/>
        </w:tabs>
      </w:pPr>
      <w:r>
        <w:fldChar w:fldCharType="begin"/>
      </w:r>
      <w:r>
        <w:instrText xml:space="preserve"> HYPERLINK \l "_Toc29120" </w:instrText>
      </w:r>
      <w:r>
        <w:fldChar w:fldCharType="separate"/>
      </w:r>
      <w:r>
        <w:rPr>
          <w:rFonts w:hint="eastAsia" w:ascii="仿宋" w:hAnsi="仿宋" w:eastAsia="仿宋"/>
        </w:rPr>
        <w:t>七、一般公共预算财政拨款支出决算明细表</w:t>
      </w:r>
      <w:r>
        <w:tab/>
      </w:r>
      <w:r>
        <w:fldChar w:fldCharType="begin"/>
      </w:r>
      <w:r>
        <w:instrText xml:space="preserve"> PAGEREF _Toc29120 \h </w:instrText>
      </w:r>
      <w:r>
        <w:fldChar w:fldCharType="separate"/>
      </w:r>
      <w:r>
        <w:t>22</w:t>
      </w:r>
      <w:r>
        <w:fldChar w:fldCharType="end"/>
      </w:r>
      <w:r>
        <w:fldChar w:fldCharType="end"/>
      </w:r>
    </w:p>
    <w:p>
      <w:pPr>
        <w:pStyle w:val="12"/>
        <w:tabs>
          <w:tab w:val="right" w:leader="dot" w:pos="8924"/>
          <w:tab w:val="clear" w:pos="8296"/>
        </w:tabs>
      </w:pPr>
      <w:r>
        <w:fldChar w:fldCharType="begin"/>
      </w:r>
      <w:r>
        <w:instrText xml:space="preserve"> HYPERLINK \l "_Toc11070" </w:instrText>
      </w:r>
      <w:r>
        <w:fldChar w:fldCharType="separate"/>
      </w:r>
      <w:r>
        <w:rPr>
          <w:rFonts w:hint="eastAsia" w:ascii="仿宋" w:hAnsi="仿宋" w:eastAsia="仿宋"/>
        </w:rPr>
        <w:t>八、一般公共预算财政拨款基本支出决算表</w:t>
      </w:r>
      <w:r>
        <w:tab/>
      </w:r>
      <w:r>
        <w:fldChar w:fldCharType="begin"/>
      </w:r>
      <w:r>
        <w:instrText xml:space="preserve"> PAGEREF _Toc11070 \h </w:instrText>
      </w:r>
      <w:r>
        <w:fldChar w:fldCharType="separate"/>
      </w:r>
      <w:r>
        <w:t>22</w:t>
      </w:r>
      <w:r>
        <w:fldChar w:fldCharType="end"/>
      </w:r>
      <w:r>
        <w:fldChar w:fldCharType="end"/>
      </w:r>
    </w:p>
    <w:p>
      <w:pPr>
        <w:pStyle w:val="12"/>
        <w:tabs>
          <w:tab w:val="right" w:leader="dot" w:pos="8924"/>
          <w:tab w:val="clear" w:pos="8296"/>
        </w:tabs>
      </w:pPr>
      <w:r>
        <w:fldChar w:fldCharType="begin"/>
      </w:r>
      <w:r>
        <w:instrText xml:space="preserve"> HYPERLINK \l "_Toc2950" </w:instrText>
      </w:r>
      <w:r>
        <w:fldChar w:fldCharType="separate"/>
      </w:r>
      <w:r>
        <w:rPr>
          <w:rFonts w:hint="eastAsia" w:ascii="仿宋" w:hAnsi="仿宋" w:eastAsia="仿宋"/>
        </w:rPr>
        <w:t>九、一般公共预算财政拨款项目支出决算表</w:t>
      </w:r>
      <w:r>
        <w:tab/>
      </w:r>
      <w:r>
        <w:fldChar w:fldCharType="begin"/>
      </w:r>
      <w:r>
        <w:instrText xml:space="preserve"> PAGEREF _Toc2950 \h </w:instrText>
      </w:r>
      <w:r>
        <w:fldChar w:fldCharType="separate"/>
      </w:r>
      <w:r>
        <w:t>22</w:t>
      </w:r>
      <w:r>
        <w:fldChar w:fldCharType="end"/>
      </w:r>
      <w:r>
        <w:fldChar w:fldCharType="end"/>
      </w:r>
    </w:p>
    <w:p>
      <w:pPr>
        <w:pStyle w:val="12"/>
        <w:tabs>
          <w:tab w:val="right" w:leader="dot" w:pos="8924"/>
          <w:tab w:val="clear" w:pos="8296"/>
        </w:tabs>
      </w:pPr>
      <w:r>
        <w:fldChar w:fldCharType="begin"/>
      </w:r>
      <w:r>
        <w:instrText xml:space="preserve"> HYPERLINK \l "_Toc12242" </w:instrText>
      </w:r>
      <w:r>
        <w:fldChar w:fldCharType="separate"/>
      </w:r>
      <w:r>
        <w:rPr>
          <w:rFonts w:hint="eastAsia" w:ascii="仿宋" w:hAnsi="仿宋" w:eastAsia="仿宋"/>
        </w:rPr>
        <w:t>十、政府性基金预算财政拨款收入支出决算表</w:t>
      </w:r>
      <w:r>
        <w:tab/>
      </w:r>
      <w:r>
        <w:fldChar w:fldCharType="begin"/>
      </w:r>
      <w:r>
        <w:instrText xml:space="preserve"> PAGEREF _Toc12242 \h </w:instrText>
      </w:r>
      <w:r>
        <w:fldChar w:fldCharType="separate"/>
      </w:r>
      <w:r>
        <w:t>22</w:t>
      </w:r>
      <w:r>
        <w:fldChar w:fldCharType="end"/>
      </w:r>
      <w:r>
        <w:fldChar w:fldCharType="end"/>
      </w:r>
    </w:p>
    <w:p>
      <w:pPr>
        <w:pStyle w:val="12"/>
        <w:tabs>
          <w:tab w:val="right" w:leader="dot" w:pos="8924"/>
          <w:tab w:val="clear" w:pos="8296"/>
        </w:tabs>
      </w:pPr>
      <w:r>
        <w:fldChar w:fldCharType="begin"/>
      </w:r>
      <w:r>
        <w:instrText xml:space="preserve"> HYPERLINK \l "_Toc28978" </w:instrText>
      </w:r>
      <w:r>
        <w:fldChar w:fldCharType="separate"/>
      </w:r>
      <w:r>
        <w:rPr>
          <w:rFonts w:hint="eastAsia" w:ascii="仿宋" w:hAnsi="仿宋" w:eastAsia="仿宋"/>
        </w:rPr>
        <w:t>十一、国有资本经营预算财政拨款收入支出决算表</w:t>
      </w:r>
      <w:r>
        <w:tab/>
      </w:r>
      <w:r>
        <w:fldChar w:fldCharType="begin"/>
      </w:r>
      <w:r>
        <w:instrText xml:space="preserve"> PAGEREF _Toc28978 \h </w:instrText>
      </w:r>
      <w:r>
        <w:fldChar w:fldCharType="separate"/>
      </w:r>
      <w:r>
        <w:t>22</w:t>
      </w:r>
      <w:r>
        <w:fldChar w:fldCharType="end"/>
      </w:r>
      <w:r>
        <w:fldChar w:fldCharType="end"/>
      </w:r>
    </w:p>
    <w:p>
      <w:pPr>
        <w:pStyle w:val="12"/>
        <w:tabs>
          <w:tab w:val="right" w:leader="dot" w:pos="8924"/>
          <w:tab w:val="clear" w:pos="8296"/>
        </w:tabs>
      </w:pPr>
      <w:r>
        <w:fldChar w:fldCharType="begin"/>
      </w:r>
      <w:r>
        <w:instrText xml:space="preserve"> HYPERLINK \l "_Toc26932" </w:instrText>
      </w:r>
      <w:r>
        <w:fldChar w:fldCharType="separate"/>
      </w:r>
      <w:r>
        <w:rPr>
          <w:rFonts w:hint="eastAsia" w:ascii="仿宋" w:hAnsi="仿宋" w:eastAsia="仿宋"/>
        </w:rPr>
        <w:t>十二、国有资本经营预算财政拨款支出决算表</w:t>
      </w:r>
      <w:r>
        <w:tab/>
      </w:r>
      <w:r>
        <w:fldChar w:fldCharType="begin"/>
      </w:r>
      <w:r>
        <w:instrText xml:space="preserve"> PAGEREF _Toc26932 \h </w:instrText>
      </w:r>
      <w:r>
        <w:fldChar w:fldCharType="separate"/>
      </w:r>
      <w:r>
        <w:t>22</w:t>
      </w:r>
      <w:r>
        <w:fldChar w:fldCharType="end"/>
      </w:r>
      <w:r>
        <w:fldChar w:fldCharType="end"/>
      </w:r>
    </w:p>
    <w:p>
      <w:pPr>
        <w:pStyle w:val="12"/>
        <w:tabs>
          <w:tab w:val="right" w:leader="dot" w:pos="8924"/>
          <w:tab w:val="clear" w:pos="8296"/>
        </w:tabs>
      </w:pPr>
      <w:r>
        <w:fldChar w:fldCharType="begin"/>
      </w:r>
      <w:r>
        <w:instrText xml:space="preserve"> HYPERLINK \l "_Toc14331" </w:instrText>
      </w:r>
      <w:r>
        <w:fldChar w:fldCharType="separate"/>
      </w:r>
      <w:r>
        <w:rPr>
          <w:rFonts w:hint="eastAsia" w:ascii="仿宋" w:hAnsi="仿宋" w:eastAsia="仿宋"/>
        </w:rPr>
        <w:t>十三、财政拨款“三公”经费支出决算表</w:t>
      </w:r>
      <w:r>
        <w:tab/>
      </w:r>
      <w:r>
        <w:fldChar w:fldCharType="begin"/>
      </w:r>
      <w:r>
        <w:instrText xml:space="preserve"> PAGEREF _Toc14331 \h </w:instrText>
      </w:r>
      <w:r>
        <w:fldChar w:fldCharType="separate"/>
      </w:r>
      <w:r>
        <w:t>22</w:t>
      </w:r>
      <w:r>
        <w:fldChar w:fldCharType="end"/>
      </w:r>
      <w:r>
        <w:fldChar w:fldCharType="end"/>
      </w:r>
    </w:p>
    <w:p>
      <w:r>
        <w:rPr>
          <w:rFonts w:hint="eastAsia"/>
        </w:rPr>
        <w:fldChar w:fldCharType="end"/>
      </w:r>
    </w:p>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2"/>
        <w:jc w:val="center"/>
        <w:rPr>
          <w:rFonts w:ascii="黑体" w:eastAsia="黑体"/>
          <w:sz w:val="32"/>
          <w:szCs w:val="32"/>
        </w:rPr>
      </w:pPr>
      <w:bookmarkStart w:id="23" w:name="_Toc21796"/>
      <w:bookmarkStart w:id="24" w:name="_Toc10806"/>
      <w:bookmarkStart w:id="25" w:name="_Toc22714"/>
      <w:r>
        <w:rPr>
          <w:rFonts w:hint="eastAsia" w:ascii="黑体" w:hAnsi="黑体" w:eastAsia="黑体"/>
          <w:b w:val="0"/>
        </w:rPr>
        <w:t>第一部分 单位</w:t>
      </w:r>
      <w:r>
        <w:rPr>
          <w:rStyle w:val="28"/>
          <w:rFonts w:hint="eastAsia" w:ascii="黑体" w:hAnsi="黑体" w:eastAsia="黑体"/>
          <w:b w:val="0"/>
          <w:bCs w:val="0"/>
        </w:rPr>
        <w:t>概况</w:t>
      </w:r>
      <w:bookmarkEnd w:id="21"/>
      <w:bookmarkEnd w:id="22"/>
      <w:bookmarkEnd w:id="23"/>
      <w:bookmarkEnd w:id="24"/>
      <w:bookmarkEnd w:id="25"/>
    </w:p>
    <w:p>
      <w:pPr>
        <w:pStyle w:val="3"/>
        <w:numPr>
          <w:ilvl w:val="0"/>
          <w:numId w:val="1"/>
        </w:numPr>
        <w:rPr>
          <w:rStyle w:val="29"/>
          <w:rFonts w:ascii="黑体" w:hAnsi="黑体" w:eastAsia="黑体"/>
          <w:b w:val="0"/>
          <w:bCs w:val="0"/>
        </w:rPr>
      </w:pPr>
      <w:bookmarkStart w:id="26" w:name="_Toc28398"/>
      <w:bookmarkStart w:id="27" w:name="_Toc6705"/>
      <w:bookmarkStart w:id="28" w:name="_Toc16710"/>
      <w:bookmarkStart w:id="29" w:name="_Toc15377197"/>
      <w:bookmarkStart w:id="30" w:name="_Toc15396600"/>
      <w:r>
        <w:rPr>
          <w:rStyle w:val="29"/>
          <w:rFonts w:hint="eastAsia" w:ascii="黑体" w:hAnsi="黑体" w:eastAsia="黑体"/>
          <w:b w:val="0"/>
          <w:bCs w:val="0"/>
        </w:rPr>
        <w:t>主要职责</w:t>
      </w:r>
      <w:bookmarkEnd w:id="26"/>
      <w:bookmarkEnd w:id="27"/>
      <w:bookmarkEnd w:id="28"/>
    </w:p>
    <w:p>
      <w:pPr>
        <w:pStyle w:val="12"/>
        <w:numPr>
          <w:ilvl w:val="0"/>
          <w:numId w:val="2"/>
        </w:numPr>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单位职责</w:t>
      </w:r>
    </w:p>
    <w:p>
      <w:pPr>
        <w:jc w:val="left"/>
      </w:pPr>
      <w:r>
        <w:rPr>
          <w:rFonts w:hint="eastAsia" w:ascii="仿宋" w:hAnsi="仿宋" w:eastAsia="仿宋" w:cs="仿宋"/>
          <w:sz w:val="30"/>
          <w:szCs w:val="30"/>
        </w:rPr>
        <w:t>剑阁县汉阳镇卫生院，始建于1956年，地处108线国道并紧临5A景区“翠雲廊”，是一所集医疗、预防保健为一体的综合性国家“一级甲等”乡镇卫生院，2015年成功创建为全国“群众满意度乡镇卫生院”。我院承担着全镇11个行政村和1个社区，1.1万余人的医疗及预防保健任务。医院占地面积约5000平方米，使用面积约3305平方米，固定资产约704万元，开放病床22张。现有职工24人，遗属1人，退休职工7人。在职人员中各类医技人员22人，其中高级职称2人，中级职称3人、初级职称17人。配备有DR数字化摄片机、彩超、全自动生化检测仪、多功能手术床、电脑中频治疗仪、救护车等大中型设备，能有效的进行急危重症的抢救、转送，远程会诊以及对常见病、多发病的诊治、手术等。 我院始终坚持以“救死扶伤、全心全意为人民健康服务”为宗旨，以基本医疗及公共卫生服务作为工作重点，推行“建设等级化、管理规范化、服务标准化”的服务模式，全天24小时应诊，努力为广大患者提供优质、高效、便捷、廉价的医疗卫生服务。</w:t>
      </w:r>
    </w:p>
    <w:p>
      <w:pPr>
        <w:pStyle w:val="12"/>
        <w:adjustRightInd w:val="0"/>
        <w:snapToGrid w:val="0"/>
        <w:spacing w:line="440" w:lineRule="exact"/>
        <w:jc w:val="left"/>
        <w:rPr>
          <w:rFonts w:ascii="黑体" w:hAnsi="黑体" w:eastAsia="黑体" w:cs="黑体"/>
          <w:b/>
          <w:bCs/>
          <w:sz w:val="32"/>
          <w:szCs w:val="32"/>
        </w:rPr>
      </w:pPr>
      <w:r>
        <w:rPr>
          <w:rFonts w:hint="eastAsia" w:ascii="黑体" w:hAnsi="黑体" w:eastAsia="黑体" w:cs="黑体"/>
          <w:sz w:val="32"/>
          <w:szCs w:val="32"/>
        </w:rPr>
        <w:t>（二）2022年重点工作完成情况</w:t>
      </w:r>
    </w:p>
    <w:p>
      <w:pPr>
        <w:spacing w:line="576" w:lineRule="exact"/>
        <w:ind w:firstLine="602" w:firstLineChars="200"/>
        <w:rPr>
          <w:rFonts w:ascii="仿宋" w:hAnsi="仿宋" w:eastAsia="仿宋" w:cs="仿宋"/>
          <w:b/>
          <w:color w:val="000000"/>
          <w:sz w:val="30"/>
          <w:szCs w:val="30"/>
        </w:rPr>
      </w:pPr>
      <w:r>
        <w:rPr>
          <w:rFonts w:hint="eastAsia" w:ascii="仿宋" w:hAnsi="仿宋" w:eastAsia="仿宋" w:cs="仿宋"/>
          <w:b/>
          <w:color w:val="000000"/>
          <w:sz w:val="30"/>
          <w:szCs w:val="30"/>
        </w:rPr>
        <w:t>一、狠抓政治思想工作加强党风廉政建设</w:t>
      </w:r>
    </w:p>
    <w:p>
      <w:pPr>
        <w:spacing w:line="576"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今年我院严格落实上级各部门《关于贯彻落实中央八项规定》的通知及卫健局关于加强卫生行业作风建设的规定。明确领导班子成员在行风建设中的任务和责任分工，形成齐抓共管的领导格局和工作机制，建立责任追究制度，把行风工作纳入领导干部考核目标管理。其次是加强医德医风和职业道德教育，全面动员，全员参与，教育广大医务人员牢固树立全心全意为人民服务的思想，强化职业责任、职业道德、职业纪律、增强服务意识。对卫技人员职业道德年度进行考核，并与各种奖惩挂钩。三是坚决纠正医药购销中的不正之风，规范药品及卫生设备采购行为，严格执行国家基本药品目录。坚决查处临床促销费、开单费、统方费、处方费等回扣行为和开大处方、乱检查、乱收费等问题，做到合理检查，合理用药，合理收费，严禁收受患者“红包”。同时我院把推进廉政风险防控工作作为惩治和预防腐败体系工作的重要举措，强化防控措施、健全完善制度，构筑起“以积极预防为核心，以强化管理为手段，以确保医务人员行为规范、廉洁、安全、以工作高效为目的”的科学廉政风险防控机制，进一步解放思想，与时俱进、实事求事，用新的思维谋划医院建设，用新方法改进医院工作。一年来，我院始终坚持“以人为本”的价值观，就是尊重职工的人格，重视职工的文化需求，把激发职工积极性作为医院建设的动力，各项工作均得到上级领导的肯定。</w:t>
      </w:r>
    </w:p>
    <w:p>
      <w:pPr>
        <w:spacing w:line="576" w:lineRule="exact"/>
        <w:ind w:firstLine="602" w:firstLineChars="200"/>
        <w:rPr>
          <w:rFonts w:ascii="仿宋" w:hAnsi="仿宋" w:eastAsia="仿宋" w:cs="仿宋"/>
          <w:b/>
          <w:color w:val="000000"/>
          <w:sz w:val="30"/>
          <w:szCs w:val="30"/>
        </w:rPr>
      </w:pPr>
      <w:r>
        <w:rPr>
          <w:rFonts w:hint="eastAsia" w:ascii="仿宋" w:hAnsi="仿宋" w:eastAsia="仿宋" w:cs="仿宋"/>
          <w:b/>
          <w:color w:val="000000"/>
          <w:sz w:val="30"/>
          <w:szCs w:val="30"/>
        </w:rPr>
        <w:t>二、医疗业务管理</w:t>
      </w:r>
    </w:p>
    <w:p>
      <w:pPr>
        <w:numPr>
          <w:ilvl w:val="0"/>
          <w:numId w:val="3"/>
        </w:numPr>
        <w:spacing w:line="576"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建立健全质控体系，加大督导检查力度。医院进一步细化完善了质量控制方案与质量考核标准，每月由院长牵头，由各科室主任对全院医疗质量进行检查，检查结果向全院通报，存在问题的限期进行整改，并将医疗质量考核结果与效益挂钩，使医务人员重视医疗质量，人人参与医疗质量的管理，促使医院医疗质量的持续提高。</w:t>
      </w:r>
    </w:p>
    <w:p>
      <w:pPr>
        <w:numPr>
          <w:ilvl w:val="0"/>
          <w:numId w:val="3"/>
        </w:numPr>
        <w:spacing w:line="576"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为进一步推进医疗机构“建设等级化、管理规范化、服务标准化”全面提高基层医疗卫生机构综合服务能力，整体提升医疗卫生服务的质量和水平，不断满足基层农村居民的医疗卫生服务需求。</w:t>
      </w:r>
    </w:p>
    <w:p>
      <w:pPr>
        <w:numPr>
          <w:ilvl w:val="0"/>
          <w:numId w:val="3"/>
        </w:numPr>
        <w:spacing w:line="576"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认真开展医疗安全知识宣教，组织职工认真学习各项医疗核心制度和相关的法律、法规，重点落实首诊负责制，疑难病例讨论制度、院内外医师会诊制度、危重患者抢救制度等核心制度，认真执行各项签字制度，重点抓好门诊观察病人、新入院病人、危重的病人管理。建立和完善了医疗安全事件应急处理预案和医疗安全报告制度，确保医疗安全，杜绝了重大安全事故的发生。</w:t>
      </w:r>
    </w:p>
    <w:p>
      <w:pPr>
        <w:numPr>
          <w:ilvl w:val="0"/>
          <w:numId w:val="3"/>
        </w:numPr>
        <w:spacing w:line="576"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加强药品管理，保障临床用药安全。一是建立并完善落实药品质量管理制度，按规定采购、保管和使用药品，麻醉药品实行“五专”管理，做到账物相符，管理规范，确保药品安全；二是严格执行国家及四川省《基本用药目录》，按规定使用目录内药品，公示国家基本药物目录和价格，全部基本物物实行网上集中采购，实行零利润销售；三是加强医生处方权管理，建立并落实处方点评制度，对处方实施动态监测及超常预警，对不合理用药及时于以干预；四是规范临床医生的用药行为，合理使用抗菌药物，定期开展临床合理使用抗菌药物检查和分析，要求医生严格掌握静脉输液的目的和适应症，减少不必要的静脉输液，防止滥用药品，提高抗菌素的使用疗效，降低了药品不良反应发生的风险。</w:t>
      </w:r>
    </w:p>
    <w:p>
      <w:pPr>
        <w:numPr>
          <w:ilvl w:val="0"/>
          <w:numId w:val="3"/>
        </w:numPr>
        <w:spacing w:line="576"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医院对辖区乡村医生进行学习培训制度。定期下村免费服务等多项措施。致力于改善我院的服务水平，提升我院医疗质量，通过一系列的措施，医院的服务水平、医疗质量得到的很大的改善，同时老百姓的满意度也得到了很大的提升。</w:t>
      </w:r>
    </w:p>
    <w:p>
      <w:pPr>
        <w:spacing w:line="576"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6、加强窗口服务行业的职业道德建设，加大对员工医德医风的教育力度，强化窗口行业服务意识，成立控制医药费用增长领导工作小组，严格规范廉政，廉洁行医，坚决抵制药品回扣和商业贿赂。</w:t>
      </w:r>
    </w:p>
    <w:p>
      <w:pPr>
        <w:spacing w:line="576"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7、深化院务公开制度，公开投诉渠道，设置对外、对内公开栏群众意见箱，公开价格及投诉电话。</w:t>
      </w:r>
    </w:p>
    <w:p>
      <w:pPr>
        <w:spacing w:line="576"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8、医疗业务收入情况</w:t>
      </w:r>
    </w:p>
    <w:p>
      <w:pPr>
        <w:ind w:firstLine="600" w:firstLineChars="200"/>
        <w:rPr>
          <w:rFonts w:ascii="仿宋" w:hAnsi="仿宋" w:eastAsia="仿宋" w:cs="仿宋"/>
          <w:sz w:val="30"/>
          <w:szCs w:val="30"/>
        </w:rPr>
      </w:pPr>
      <w:r>
        <w:rPr>
          <w:rFonts w:hint="eastAsia" w:ascii="仿宋" w:hAnsi="仿宋" w:eastAsia="仿宋" w:cs="仿宋"/>
          <w:sz w:val="30"/>
          <w:szCs w:val="30"/>
        </w:rPr>
        <w:t>全年完成总收入742.32万元，其中财政补助收入189.98万元，医疗业务总收入515.91万元，其他收入36.43万元。业务总收入中：医疗收入216.94万元，药品收入245.76万元，材料收入5.68万元，其它医疗收入47.53万元。总收入与去年同期相比，增加39.86万元，其中财政补助收入减少115.71万元，医疗业务总收入增加346.71万元。医疗业务收入中：材料收入减少0.26万元，药品收入增加29.89万元，医疗收入增加8.45万元，其他收入增加2.2万元。全年住院人次1632人次，与去年同期相比增长30％；住院病人实际占用床日数8144床日，比去年增12％；住院病人人均住院床日4.99日,比去年下降14.7%；全年B超收入5.53万元，心电图收入0.94万元，化验收入55.91万元，放射收入14.1万元，门诊人次28608人次，与去年同期相比增加13.17％。</w:t>
      </w:r>
    </w:p>
    <w:p>
      <w:pPr>
        <w:spacing w:line="576" w:lineRule="exact"/>
        <w:ind w:firstLine="602" w:firstLineChars="200"/>
        <w:rPr>
          <w:rFonts w:ascii="仿宋" w:hAnsi="仿宋" w:eastAsia="仿宋" w:cs="仿宋"/>
          <w:b/>
          <w:color w:val="000000"/>
          <w:sz w:val="30"/>
          <w:szCs w:val="30"/>
        </w:rPr>
      </w:pPr>
      <w:r>
        <w:rPr>
          <w:rFonts w:hint="eastAsia" w:ascii="仿宋" w:hAnsi="仿宋" w:eastAsia="仿宋" w:cs="仿宋"/>
          <w:b/>
          <w:color w:val="000000"/>
          <w:sz w:val="30"/>
          <w:szCs w:val="30"/>
        </w:rPr>
        <w:t>三、城乡居民医保医疗管理情况</w:t>
      </w:r>
    </w:p>
    <w:p>
      <w:pPr>
        <w:spacing w:line="576"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2022年城乡居民医保按照实施方案要求，组织全院职工和全镇乡村医生进行了认真学习，明确了工作的重点，对报销补偿范围、不予补偿的项目和范围进行了深入学习。在门诊大厅走廊醒目位置悬挂医保就诊程序、补偿范围、补偿标准及补偿所需提供材料，将患者的补偿金额进行了公示，并公布举报电话，接受社会各界监督。全年没有发生不按规定比例报销补偿现象。</w:t>
      </w:r>
    </w:p>
    <w:p>
      <w:pPr>
        <w:spacing w:line="576" w:lineRule="exact"/>
        <w:ind w:firstLine="602" w:firstLineChars="200"/>
        <w:rPr>
          <w:rFonts w:ascii="仿宋" w:hAnsi="仿宋" w:eastAsia="仿宋" w:cs="仿宋"/>
          <w:b/>
          <w:color w:val="000000"/>
          <w:sz w:val="30"/>
          <w:szCs w:val="30"/>
        </w:rPr>
      </w:pPr>
      <w:r>
        <w:rPr>
          <w:rFonts w:hint="eastAsia" w:ascii="仿宋" w:hAnsi="仿宋" w:eastAsia="仿宋" w:cs="仿宋"/>
          <w:b/>
          <w:color w:val="000000"/>
          <w:sz w:val="30"/>
          <w:szCs w:val="30"/>
        </w:rPr>
        <w:t>四、围绕公共卫生服务确保人人享有</w:t>
      </w:r>
    </w:p>
    <w:p>
      <w:pPr>
        <w:spacing w:line="576"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按照县卫健局2022年开展公共卫生工作的思路和要求，结合全镇卫生工作实际和现状，我院将城乡居民健康档案管理、健康教育、预防接种、传染病报告和处理、0-36月儿童保健、孕产妇保健、老年人健康管理、慢性病及精神病管理作为全年公共卫生工作的重点，工作任务、目标落实到人，责任落实到人，圆满完成了2022年公共卫生服务工作，全年无一例公共卫生安全事件。</w:t>
      </w:r>
    </w:p>
    <w:p>
      <w:pPr>
        <w:spacing w:line="576" w:lineRule="exact"/>
        <w:ind w:firstLine="602" w:firstLineChars="200"/>
        <w:rPr>
          <w:rFonts w:ascii="仿宋" w:hAnsi="仿宋" w:eastAsia="仿宋" w:cs="仿宋"/>
          <w:b/>
          <w:color w:val="000000"/>
          <w:sz w:val="30"/>
          <w:szCs w:val="30"/>
        </w:rPr>
      </w:pPr>
      <w:r>
        <w:rPr>
          <w:rFonts w:hint="eastAsia" w:ascii="仿宋" w:hAnsi="仿宋" w:eastAsia="仿宋" w:cs="仿宋"/>
          <w:b/>
          <w:color w:val="000000"/>
          <w:sz w:val="30"/>
          <w:szCs w:val="30"/>
        </w:rPr>
        <w:t>1、居民健康档案</w:t>
      </w:r>
    </w:p>
    <w:p>
      <w:pPr>
        <w:spacing w:line="576"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2022年底，全镇累计已建立健康档案5866份，电子档案数5856份，常住人口5900人，常住人口建档数</w:t>
      </w:r>
      <w:r>
        <w:rPr>
          <w:rFonts w:hint="eastAsia" w:ascii="仿宋" w:hAnsi="仿宋" w:eastAsia="仿宋" w:cs="仿宋"/>
          <w:sz w:val="30"/>
          <w:szCs w:val="30"/>
        </w:rPr>
        <w:t>5866</w:t>
      </w:r>
      <w:r>
        <w:rPr>
          <w:rFonts w:hint="eastAsia" w:ascii="仿宋" w:hAnsi="仿宋" w:eastAsia="仿宋" w:cs="仿宋"/>
          <w:color w:val="000000"/>
          <w:sz w:val="30"/>
          <w:szCs w:val="30"/>
        </w:rPr>
        <w:t>，常住人口建档率99.4%，常住老年人建档并在管1245人、高血压患者建档521人、糖尿病患者建档131人、严重精神障碍患者建档47人、0-6岁儿童建档数为164人、孕产妇建档数为13份。</w:t>
      </w:r>
    </w:p>
    <w:p>
      <w:pPr>
        <w:spacing w:line="576" w:lineRule="exact"/>
        <w:ind w:firstLine="602" w:firstLineChars="200"/>
        <w:rPr>
          <w:rFonts w:ascii="仿宋" w:hAnsi="仿宋" w:eastAsia="仿宋" w:cs="仿宋"/>
          <w:b/>
          <w:color w:val="000000"/>
          <w:sz w:val="30"/>
          <w:szCs w:val="30"/>
        </w:rPr>
      </w:pPr>
      <w:r>
        <w:rPr>
          <w:rFonts w:hint="eastAsia" w:ascii="仿宋" w:hAnsi="仿宋" w:eastAsia="仿宋" w:cs="仿宋"/>
          <w:b/>
          <w:color w:val="000000"/>
          <w:sz w:val="30"/>
          <w:szCs w:val="30"/>
        </w:rPr>
        <w:t>2、健康教育服务</w:t>
      </w:r>
    </w:p>
    <w:p>
      <w:pPr>
        <w:spacing w:line="576"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2022年在公卫科的带领下，分别对汉阳中、小学进行了、冬春季、夏秋季传染病及新冠疫情防治知识讲座，年度到学校举办专题讲座活4次，发放各类宣传资料1400余份；医院按公共卫生工作要求更换健康宣传栏6期，11个村卫生室累计更换宣传栏66期，</w:t>
      </w:r>
      <w:r>
        <w:rPr>
          <w:rFonts w:hint="eastAsia" w:ascii="仿宋" w:hAnsi="仿宋" w:eastAsia="仿宋" w:cs="仿宋"/>
          <w:sz w:val="30"/>
          <w:szCs w:val="30"/>
        </w:rPr>
        <w:t>播放健康教育影像72次，播放种类达43种，播放时长累计达169小时。</w:t>
      </w:r>
      <w:r>
        <w:rPr>
          <w:rFonts w:hint="eastAsia" w:ascii="仿宋" w:hAnsi="仿宋" w:eastAsia="仿宋" w:cs="仿宋"/>
          <w:color w:val="000000"/>
          <w:sz w:val="30"/>
          <w:szCs w:val="30"/>
        </w:rPr>
        <w:t>全年利用各主题宣传日开展公众健康咨、宣传、义诊活动17场，在院内及各村累计开展健康教育讲座共计15次，共计发放印刷资料、宣传单、宣传画和宣传折页26种类，累计发放宣传资料4785余份，咨询及受教人数达4000余人；通过采取多种形式对辖区内居民进行健康教育指导，提高了全镇居民的健康意识，得到了广大居民良好的反响和好评。</w:t>
      </w:r>
    </w:p>
    <w:p>
      <w:pPr>
        <w:spacing w:line="576" w:lineRule="exact"/>
        <w:ind w:firstLine="602" w:firstLineChars="200"/>
        <w:rPr>
          <w:rFonts w:ascii="仿宋" w:hAnsi="仿宋" w:eastAsia="仿宋" w:cs="仿宋"/>
          <w:b/>
          <w:color w:val="000000"/>
          <w:sz w:val="30"/>
          <w:szCs w:val="30"/>
        </w:rPr>
      </w:pPr>
      <w:r>
        <w:rPr>
          <w:rFonts w:hint="eastAsia" w:ascii="仿宋" w:hAnsi="仿宋" w:eastAsia="仿宋" w:cs="仿宋"/>
          <w:b/>
          <w:color w:val="000000"/>
          <w:sz w:val="30"/>
          <w:szCs w:val="30"/>
        </w:rPr>
        <w:t>3、预防接种服务</w:t>
      </w:r>
    </w:p>
    <w:p>
      <w:pPr>
        <w:spacing w:line="576"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2022年，我院为全镇新出生常住和流动儿童进行了建卡建证，建卡建证率为100%。国家免疫规划疫苗全程接种率达到了98.6%，麻疹疫苗及时接种率达到了95%，新生儿乙肝首针及时接种率达到了100%，脊灰、麻疹、乙脑、流脑、百白破、甲肝、A+C白破等疫苗的加强免疫接种率达了98.6%，6岁以下流动儿童建卡率100%，五苗单苗接种率达99%。全年共接种一类疫苗1318针次，二类疫苗1380针次。并认真切切实开展了学校学生和幼儿园入托儿童的预防接种证的查验相关工作查验证率达100％。</w:t>
      </w:r>
    </w:p>
    <w:p>
      <w:pPr>
        <w:spacing w:line="576" w:lineRule="exact"/>
        <w:ind w:firstLine="602" w:firstLineChars="200"/>
        <w:rPr>
          <w:rFonts w:ascii="仿宋" w:hAnsi="仿宋" w:eastAsia="仿宋" w:cs="仿宋"/>
          <w:color w:val="000000"/>
          <w:sz w:val="30"/>
          <w:szCs w:val="30"/>
        </w:rPr>
      </w:pPr>
      <w:r>
        <w:rPr>
          <w:rFonts w:hint="eastAsia" w:ascii="仿宋" w:hAnsi="仿宋" w:eastAsia="仿宋" w:cs="仿宋"/>
          <w:b/>
          <w:color w:val="000000"/>
          <w:sz w:val="30"/>
          <w:szCs w:val="30"/>
        </w:rPr>
        <w:t>4、传染病及突发公共卫生事件报告、培训和处理</w:t>
      </w:r>
    </w:p>
    <w:p>
      <w:pPr>
        <w:spacing w:line="576"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为加强重大传染病管理，有效的控制我镇重大传染病的发生与流行、我院公卫科利用世界结核病日、肝炎日、艾滋病日等重大传染病宣传日多形式的开展大型宣传、咨询活动。同时、加强对乡村医生及全院医务工作者的防治工作培训，年度对乡村医生开展了疟疾、结核病、麻风病、艾滋病、水痘、乙肝等4次以上培训，医务工作者（包括性上岗人员）开展了4次传染病报告及重点传染病的培训工作。</w:t>
      </w:r>
    </w:p>
    <w:p>
      <w:pPr>
        <w:spacing w:line="576"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（3）2022我院开展了新冠感染肺炎核酸采样工作，全年共计采样53186次。</w:t>
      </w:r>
    </w:p>
    <w:p>
      <w:pPr>
        <w:spacing w:line="576" w:lineRule="exact"/>
        <w:ind w:firstLine="602" w:firstLineChars="200"/>
        <w:rPr>
          <w:rFonts w:ascii="仿宋" w:hAnsi="仿宋" w:eastAsia="仿宋" w:cs="仿宋"/>
          <w:b/>
          <w:color w:val="000000"/>
          <w:sz w:val="30"/>
          <w:szCs w:val="30"/>
        </w:rPr>
      </w:pPr>
      <w:r>
        <w:rPr>
          <w:rFonts w:hint="eastAsia" w:ascii="仿宋" w:hAnsi="仿宋" w:eastAsia="仿宋" w:cs="仿宋"/>
          <w:b/>
          <w:color w:val="000000"/>
          <w:sz w:val="30"/>
          <w:szCs w:val="30"/>
        </w:rPr>
        <w:t>5、卫生监督协管服务</w:t>
      </w:r>
    </w:p>
    <w:p>
      <w:pPr>
        <w:spacing w:line="576" w:lineRule="exact"/>
        <w:ind w:firstLine="600" w:firstLineChars="200"/>
        <w:rPr>
          <w:sz w:val="30"/>
          <w:szCs w:val="30"/>
        </w:rPr>
      </w:pPr>
      <w:r>
        <w:rPr>
          <w:rFonts w:hint="eastAsia" w:ascii="仿宋" w:hAnsi="仿宋" w:eastAsia="仿宋" w:cs="仿宋"/>
          <w:color w:val="000000"/>
          <w:sz w:val="30"/>
          <w:szCs w:val="30"/>
        </w:rPr>
        <w:t>2022年度积极开展了对公共场所、学校卫生、医疗机构、集中式供水等单位从业人员进行了相关卫生知识培训，培训率98%。同时对辖区内非法行医、采供血进行了巡查：全年累计开展巡查活动近95余次。</w:t>
      </w:r>
    </w:p>
    <w:p>
      <w:pPr>
        <w:spacing w:line="576" w:lineRule="exact"/>
        <w:ind w:firstLine="602" w:firstLineChars="200"/>
        <w:rPr>
          <w:rFonts w:ascii="仿宋" w:hAnsi="仿宋" w:eastAsia="仿宋" w:cs="仿宋"/>
          <w:b/>
          <w:color w:val="000000"/>
          <w:sz w:val="30"/>
          <w:szCs w:val="30"/>
        </w:rPr>
      </w:pPr>
      <w:r>
        <w:rPr>
          <w:rFonts w:hint="eastAsia" w:ascii="仿宋" w:hAnsi="仿宋" w:eastAsia="仿宋" w:cs="仿宋"/>
          <w:b/>
          <w:color w:val="000000"/>
          <w:sz w:val="30"/>
          <w:szCs w:val="30"/>
        </w:rPr>
        <w:t>6、儿童保健和孕产妇保健管理</w:t>
      </w:r>
    </w:p>
    <w:p>
      <w:pPr>
        <w:spacing w:line="576"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孕产妇、儿童管理。2022年我院严格按照要求对本镇孕产妇及0-6岁儿童实行健康管理，重点加强对0—3岁儿童系统管理，儿童“四病”的防治及学龄前儿童体检工作。（2）孕优孕育工作，在新冠疫情防控的同时全面高质量完成上级下发任务数。避孕药具：发放避孕套1800只，宣传资料800余份，避孕药具随访85人次。</w:t>
      </w:r>
    </w:p>
    <w:p>
      <w:pPr>
        <w:spacing w:line="576" w:lineRule="exact"/>
        <w:ind w:firstLine="602" w:firstLineChars="200"/>
        <w:rPr>
          <w:rFonts w:ascii="仿宋" w:hAnsi="仿宋" w:eastAsia="仿宋" w:cs="仿宋"/>
          <w:b/>
          <w:color w:val="000000"/>
          <w:sz w:val="30"/>
          <w:szCs w:val="30"/>
        </w:rPr>
      </w:pPr>
      <w:r>
        <w:rPr>
          <w:rFonts w:hint="eastAsia" w:ascii="仿宋" w:hAnsi="仿宋" w:eastAsia="仿宋" w:cs="仿宋"/>
          <w:b/>
          <w:color w:val="000000"/>
          <w:sz w:val="30"/>
          <w:szCs w:val="30"/>
        </w:rPr>
        <w:t>五、严抓安全生产 推动稳步发展</w:t>
      </w:r>
    </w:p>
    <w:p>
      <w:pPr>
        <w:spacing w:line="576"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安全生产是一项长期的、不可忽视的工作，关系到人民群众生命和国家财产安全，是摆在我院工作的</w:t>
      </w:r>
      <w:r>
        <w:rPr>
          <w:rFonts w:hint="eastAsia" w:ascii="仿宋" w:hAnsi="仿宋" w:eastAsia="仿宋" w:cs="仿宋"/>
          <w:color w:val="000000"/>
          <w:sz w:val="30"/>
          <w:szCs w:val="30"/>
          <w:lang w:eastAsia="zh-CN"/>
        </w:rPr>
        <w:t>重中之重</w:t>
      </w:r>
      <w:r>
        <w:rPr>
          <w:rFonts w:hint="eastAsia" w:ascii="仿宋" w:hAnsi="仿宋" w:eastAsia="仿宋" w:cs="仿宋"/>
          <w:color w:val="000000"/>
          <w:sz w:val="30"/>
          <w:szCs w:val="30"/>
        </w:rPr>
        <w:t>。今年与县卫健局签定《剑阁县卫健系统安全生产目标管理责任书》。院领导高度重视，亲自负责，成立了安全生产领导小组，责任到人，狠抓安全生产，确保医疗服务安全。按要求做好精心部署准备，通过经常性检查、自查、抽查，加强医院消防、治安隐患排查与治理，杜绝安全生产事故，进一步提高医疗质量，保证诊疗秩序正常运行。同时做到目标明确、责任到人、强化检查监督，防范事件的发生。为使各项制度有效落实，坚持每季一次安全大检查，加大对重点科室的巡查力度，对检查出的问题及时提出整改意见。</w:t>
      </w:r>
    </w:p>
    <w:p>
      <w:pPr>
        <w:spacing w:line="576" w:lineRule="exact"/>
        <w:rPr>
          <w:rFonts w:ascii="仿宋" w:hAnsi="仿宋" w:eastAsia="仿宋" w:cs="仿宋"/>
          <w:color w:val="000000"/>
          <w:sz w:val="30"/>
          <w:szCs w:val="30"/>
        </w:rPr>
      </w:pPr>
      <w:r>
        <w:rPr>
          <w:rFonts w:hint="eastAsia" w:ascii="仿宋" w:hAnsi="仿宋" w:eastAsia="仿宋" w:cs="仿宋"/>
          <w:color w:val="000000"/>
          <w:sz w:val="30"/>
          <w:szCs w:val="30"/>
        </w:rPr>
        <w:t>今年为加强职工安全意识教育和使职工掌握消防器械的使用，我院每月通过职工会都要进行消防器材的使用教学，为职工讲解法学知识，使职工切实做到学法、知法、守法、用法。全年无一例安全责任事故发生。</w:t>
      </w:r>
    </w:p>
    <w:p>
      <w:pPr>
        <w:pStyle w:val="3"/>
        <w:rPr>
          <w:rFonts w:ascii="黑体" w:hAnsi="黑体" w:eastAsia="黑体"/>
          <w:b w:val="0"/>
        </w:rPr>
      </w:pPr>
      <w:bookmarkStart w:id="31" w:name="_Toc11484"/>
      <w:bookmarkStart w:id="32" w:name="_Toc13465"/>
      <w:bookmarkStart w:id="33" w:name="_Toc13132"/>
      <w:r>
        <w:rPr>
          <w:rFonts w:hint="eastAsia" w:ascii="黑体" w:hAnsi="黑体" w:eastAsia="黑体"/>
          <w:b w:val="0"/>
        </w:rPr>
        <w:t>二、机构设置</w:t>
      </w:r>
      <w:bookmarkEnd w:id="31"/>
      <w:bookmarkEnd w:id="32"/>
      <w:bookmarkEnd w:id="33"/>
    </w:p>
    <w:bookmarkEnd w:id="29"/>
    <w:bookmarkEnd w:id="30"/>
    <w:p>
      <w:pPr>
        <w:pStyle w:val="13"/>
        <w:widowControl/>
        <w:spacing w:beforeAutospacing="0" w:afterAutospacing="0" w:line="30" w:lineRule="atLeast"/>
        <w:ind w:firstLine="640" w:firstLineChars="200"/>
        <w:jc w:val="both"/>
        <w:rPr>
          <w:rFonts w:ascii="仿宋" w:hAnsi="仿宋" w:eastAsia="仿宋"/>
          <w:sz w:val="32"/>
          <w:szCs w:val="32"/>
        </w:rPr>
      </w:pPr>
      <w:r>
        <w:rPr>
          <w:rFonts w:hint="eastAsia" w:ascii="仿宋" w:hAnsi="仿宋" w:eastAsia="仿宋" w:cs="仿宋"/>
          <w:color w:val="000000"/>
          <w:sz w:val="32"/>
          <w:szCs w:val="32"/>
        </w:rPr>
        <w:t>剑阁县汉阳镇卫生院无下属二级单位，无纳入2022年度部门预算编制范围的二级预算单位。</w:t>
      </w:r>
      <w:r>
        <w:rPr>
          <w:rFonts w:hint="eastAsia" w:ascii="仿宋" w:hAnsi="仿宋" w:eastAsia="仿宋" w:cs="仿宋"/>
          <w:sz w:val="32"/>
          <w:szCs w:val="32"/>
        </w:rPr>
        <w:t>医院设有中西医内外科、儿科、口腔科、五官科、针灸理疗科等十余个科室。</w:t>
      </w:r>
    </w:p>
    <w:p>
      <w:pPr>
        <w:pStyle w:val="2"/>
        <w:ind w:right="440"/>
        <w:jc w:val="center"/>
        <w:rPr>
          <w:sz w:val="36"/>
          <w:szCs w:val="36"/>
        </w:rPr>
      </w:pPr>
      <w:bookmarkStart w:id="34" w:name="_Toc15926"/>
      <w:bookmarkStart w:id="35" w:name="_Toc15396602"/>
      <w:bookmarkStart w:id="36" w:name="_Toc648"/>
      <w:bookmarkStart w:id="37" w:name="_Toc15377204"/>
      <w:bookmarkStart w:id="38" w:name="_Toc5276"/>
      <w:r>
        <w:rPr>
          <w:rFonts w:hint="eastAsia" w:ascii="黑体" w:hAnsi="黑体" w:eastAsia="黑体"/>
          <w:b w:val="0"/>
          <w:sz w:val="36"/>
          <w:szCs w:val="36"/>
        </w:rPr>
        <w:t>第二部分 剑阁县汉阳镇卫生院2022年度</w:t>
      </w:r>
      <w:r>
        <w:rPr>
          <w:rStyle w:val="28"/>
          <w:rFonts w:hint="eastAsia" w:ascii="黑体" w:hAnsi="黑体" w:eastAsia="黑体"/>
          <w:b w:val="0"/>
          <w:bCs/>
          <w:sz w:val="36"/>
          <w:szCs w:val="36"/>
        </w:rPr>
        <w:t>单位决算情况说明</w:t>
      </w:r>
      <w:bookmarkEnd w:id="34"/>
      <w:bookmarkEnd w:id="35"/>
      <w:bookmarkEnd w:id="36"/>
      <w:bookmarkEnd w:id="37"/>
      <w:bookmarkEnd w:id="38"/>
    </w:p>
    <w:p>
      <w:pPr>
        <w:pStyle w:val="27"/>
        <w:numPr>
          <w:ilvl w:val="0"/>
          <w:numId w:val="4"/>
        </w:numPr>
        <w:spacing w:line="600" w:lineRule="exact"/>
        <w:ind w:firstLineChars="0"/>
        <w:outlineLvl w:val="1"/>
        <w:rPr>
          <w:rStyle w:val="29"/>
          <w:rFonts w:ascii="黑体" w:hAnsi="黑体" w:eastAsia="黑体"/>
          <w:b w:val="0"/>
        </w:rPr>
      </w:pPr>
      <w:bookmarkStart w:id="39" w:name="_Toc1050"/>
      <w:bookmarkStart w:id="40" w:name="_Toc28294"/>
      <w:bookmarkStart w:id="41" w:name="_Toc15396603"/>
      <w:bookmarkStart w:id="42" w:name="_Toc15377205"/>
      <w:bookmarkStart w:id="43" w:name="_Toc30517"/>
      <w:r>
        <w:rPr>
          <w:rFonts w:hint="eastAsia" w:ascii="黑体" w:hAnsi="黑体" w:eastAsia="黑体"/>
          <w:sz w:val="32"/>
          <w:szCs w:val="32"/>
        </w:rPr>
        <w:t>收</w:t>
      </w:r>
      <w:r>
        <w:rPr>
          <w:rStyle w:val="29"/>
          <w:rFonts w:hint="eastAsia" w:ascii="黑体" w:hAnsi="黑体" w:eastAsia="黑体"/>
          <w:b w:val="0"/>
        </w:rPr>
        <w:t>入支出决算总体情况说明</w:t>
      </w:r>
      <w:bookmarkEnd w:id="39"/>
      <w:bookmarkEnd w:id="40"/>
      <w:bookmarkEnd w:id="41"/>
      <w:bookmarkEnd w:id="42"/>
      <w:bookmarkEnd w:id="43"/>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2022年度收、支总计742.32万元。2021年本单位未单独填报决算，由系统统一填报部门决算，故无法对比。</w:t>
      </w:r>
    </w:p>
    <w:p>
      <w:pPr>
        <w:pStyle w:val="27"/>
        <w:numPr>
          <w:ilvl w:val="0"/>
          <w:numId w:val="4"/>
        </w:numPr>
        <w:spacing w:line="600" w:lineRule="exact"/>
        <w:ind w:firstLineChars="0"/>
        <w:outlineLvl w:val="1"/>
        <w:rPr>
          <w:rStyle w:val="29"/>
          <w:rFonts w:ascii="黑体" w:hAnsi="黑体" w:eastAsia="黑体"/>
          <w:b w:val="0"/>
        </w:rPr>
      </w:pPr>
      <w:bookmarkStart w:id="44" w:name="_Toc15377206"/>
      <w:bookmarkStart w:id="45" w:name="_Toc7156"/>
      <w:bookmarkStart w:id="46" w:name="_Toc22946"/>
      <w:bookmarkStart w:id="47" w:name="_Toc15396604"/>
      <w:bookmarkStart w:id="48" w:name="_Toc21507"/>
      <w:r>
        <w:rPr>
          <w:rFonts w:hint="eastAsia" w:ascii="黑体" w:hAnsi="黑体" w:eastAsia="黑体"/>
          <w:sz w:val="32"/>
          <w:szCs w:val="32"/>
        </w:rPr>
        <w:t>收</w:t>
      </w:r>
      <w:r>
        <w:rPr>
          <w:rStyle w:val="29"/>
          <w:rFonts w:hint="eastAsia" w:ascii="黑体" w:hAnsi="黑体" w:eastAsia="黑体"/>
          <w:b w:val="0"/>
        </w:rPr>
        <w:t>入决算情况说明</w:t>
      </w:r>
      <w:bookmarkEnd w:id="44"/>
      <w:bookmarkEnd w:id="45"/>
      <w:bookmarkEnd w:id="46"/>
      <w:bookmarkEnd w:id="47"/>
      <w:bookmarkEnd w:id="48"/>
    </w:p>
    <w:p>
      <w:pPr>
        <w:spacing w:line="600" w:lineRule="exact"/>
        <w:ind w:firstLine="640" w:firstLineChars="200"/>
        <w:outlineLvl w:val="1"/>
        <w:rPr>
          <w:rFonts w:ascii="仿宋" w:hAnsi="仿宋" w:eastAsia="仿宋"/>
          <w:sz w:val="32"/>
          <w:szCs w:val="32"/>
        </w:rPr>
      </w:pPr>
      <w:bookmarkStart w:id="49" w:name="_Toc16157"/>
      <w:bookmarkStart w:id="50" w:name="_Toc7499"/>
      <w:bookmarkStart w:id="51" w:name="_Toc22037"/>
      <w:r>
        <w:rPr>
          <w:rFonts w:ascii="仿宋" w:hAnsi="仿宋" w:eastAsia="仿宋"/>
          <w:sz w:val="32"/>
          <w:szCs w:val="32"/>
        </w:rPr>
        <w:t>20</w:t>
      </w:r>
      <w:r>
        <w:rPr>
          <w:rFonts w:hint="eastAsia" w:ascii="仿宋" w:hAnsi="仿宋" w:eastAsia="仿宋"/>
          <w:sz w:val="32"/>
          <w:szCs w:val="32"/>
        </w:rPr>
        <w:t>22年本年收入合计742.32万元，其中：一般公共预算财政拨款收入189.99万元，占25.6</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；事业收入515.92万元，占69.5</w:t>
      </w:r>
      <w:r>
        <w:rPr>
          <w:rFonts w:ascii="仿宋" w:hAnsi="仿宋" w:eastAsia="仿宋"/>
          <w:sz w:val="32"/>
          <w:szCs w:val="32"/>
        </w:rPr>
        <w:t>%</w:t>
      </w:r>
      <w:r>
        <w:rPr>
          <w:rFonts w:hint="eastAsia" w:ascii="仿宋" w:hAnsi="仿宋" w:eastAsia="仿宋"/>
          <w:sz w:val="32"/>
          <w:szCs w:val="32"/>
        </w:rPr>
        <w:t>；</w:t>
      </w:r>
      <w:bookmarkEnd w:id="49"/>
      <w:bookmarkEnd w:id="50"/>
      <w:bookmarkEnd w:id="51"/>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；其他收入36.42万元，占4.9</w:t>
      </w:r>
      <w:r>
        <w:rPr>
          <w:rFonts w:ascii="仿宋" w:hAnsi="仿宋" w:eastAsia="仿宋"/>
          <w:sz w:val="32"/>
          <w:szCs w:val="32"/>
        </w:rPr>
        <w:t>%</w:t>
      </w:r>
      <w:r>
        <w:rPr>
          <w:rFonts w:hint="eastAsia" w:ascii="仿宋" w:hAnsi="仿宋" w:eastAsia="仿宋"/>
          <w:sz w:val="32"/>
          <w:szCs w:val="32"/>
        </w:rPr>
        <w:t>。</w:t>
      </w:r>
    </w:p>
    <w:p>
      <w:pPr>
        <w:rPr>
          <w:rFonts w:ascii="仿宋_GB2312" w:eastAsia="仿宋_GB2312"/>
          <w:sz w:val="32"/>
          <w:szCs w:val="32"/>
        </w:rPr>
      </w:pPr>
      <w:r>
        <w:drawing>
          <wp:inline distT="0" distB="0" distL="114300" distR="114300">
            <wp:extent cx="5009515" cy="2620010"/>
            <wp:effectExtent l="4445" t="4445" r="15240" b="23495"/>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7"/>
        <w:numPr>
          <w:ilvl w:val="0"/>
          <w:numId w:val="4"/>
        </w:numPr>
        <w:spacing w:line="600" w:lineRule="exact"/>
        <w:ind w:firstLineChars="0"/>
        <w:outlineLvl w:val="1"/>
        <w:rPr>
          <w:rStyle w:val="29"/>
          <w:rFonts w:ascii="黑体" w:hAnsi="黑体" w:eastAsia="黑体"/>
          <w:b w:val="0"/>
        </w:rPr>
      </w:pPr>
      <w:bookmarkStart w:id="52" w:name="_Toc956"/>
      <w:bookmarkStart w:id="53" w:name="_Toc17569"/>
      <w:bookmarkStart w:id="54" w:name="_Toc15396605"/>
      <w:bookmarkStart w:id="55" w:name="_Toc15377207"/>
      <w:bookmarkStart w:id="56" w:name="_Toc9024"/>
      <w:r>
        <w:rPr>
          <w:rFonts w:hint="eastAsia" w:ascii="黑体" w:hAnsi="黑体" w:eastAsia="黑体"/>
          <w:sz w:val="32"/>
          <w:szCs w:val="32"/>
        </w:rPr>
        <w:t>支</w:t>
      </w:r>
      <w:r>
        <w:rPr>
          <w:rStyle w:val="29"/>
          <w:rFonts w:hint="eastAsia" w:ascii="黑体" w:hAnsi="黑体" w:eastAsia="黑体"/>
          <w:b w:val="0"/>
        </w:rPr>
        <w:t>出决算情况说明</w:t>
      </w:r>
      <w:bookmarkEnd w:id="52"/>
      <w:bookmarkEnd w:id="53"/>
      <w:bookmarkEnd w:id="54"/>
      <w:bookmarkEnd w:id="55"/>
      <w:bookmarkEnd w:id="56"/>
    </w:p>
    <w:p>
      <w:pPr>
        <w:spacing w:line="600" w:lineRule="exact"/>
        <w:ind w:firstLine="640" w:firstLineChars="200"/>
        <w:outlineLvl w:val="1"/>
        <w:rPr>
          <w:rFonts w:ascii="仿宋" w:hAnsi="仿宋" w:eastAsia="仿宋"/>
          <w:sz w:val="32"/>
          <w:szCs w:val="32"/>
        </w:rPr>
      </w:pPr>
      <w:bookmarkStart w:id="57" w:name="_Toc13731"/>
      <w:bookmarkStart w:id="58" w:name="_Toc26374"/>
      <w:bookmarkStart w:id="59" w:name="_Toc9393"/>
      <w:r>
        <w:rPr>
          <w:rFonts w:ascii="仿宋" w:hAnsi="仿宋" w:eastAsia="仿宋"/>
          <w:sz w:val="32"/>
          <w:szCs w:val="32"/>
        </w:rPr>
        <w:t>20</w:t>
      </w:r>
      <w:r>
        <w:rPr>
          <w:rFonts w:hint="eastAsia" w:ascii="仿宋" w:hAnsi="仿宋" w:eastAsia="仿宋"/>
          <w:sz w:val="32"/>
          <w:szCs w:val="32"/>
        </w:rPr>
        <w:t>22年本年支出合计742.32万元，其中：基本支出742.32万元，占100</w:t>
      </w:r>
      <w:r>
        <w:rPr>
          <w:rFonts w:ascii="仿宋" w:hAnsi="仿宋" w:eastAsia="仿宋"/>
          <w:sz w:val="32"/>
          <w:szCs w:val="32"/>
        </w:rPr>
        <w:t>%</w:t>
      </w:r>
      <w:r>
        <w:rPr>
          <w:rFonts w:hint="eastAsia" w:ascii="仿宋" w:hAnsi="仿宋" w:eastAsia="仿宋"/>
          <w:sz w:val="32"/>
          <w:szCs w:val="32"/>
        </w:rPr>
        <w:t>；项目支出0万元</w:t>
      </w:r>
      <w:bookmarkEnd w:id="57"/>
      <w:bookmarkEnd w:id="58"/>
      <w:bookmarkEnd w:id="59"/>
      <w:r>
        <w:rPr>
          <w:rFonts w:hint="eastAsia" w:ascii="仿宋" w:hAnsi="仿宋" w:eastAsia="仿宋"/>
          <w:sz w:val="32"/>
          <w:szCs w:val="32"/>
        </w:rPr>
        <w:t>,占0</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p>
    <w:p>
      <w:pPr>
        <w:spacing w:line="600" w:lineRule="exact"/>
        <w:ind w:firstLine="420" w:firstLineChars="200"/>
        <w:outlineLvl w:val="1"/>
        <w:rPr>
          <w:rFonts w:ascii="仿宋" w:hAnsi="仿宋" w:eastAsia="仿宋"/>
          <w:sz w:val="32"/>
          <w:szCs w:val="32"/>
        </w:rPr>
      </w:pPr>
      <w:r>
        <w:drawing>
          <wp:anchor distT="0" distB="0" distL="114300" distR="114300" simplePos="0" relativeHeight="251659264" behindDoc="1" locked="0" layoutInCell="1" allowOverlap="1">
            <wp:simplePos x="0" y="0"/>
            <wp:positionH relativeFrom="column">
              <wp:posOffset>71120</wp:posOffset>
            </wp:positionH>
            <wp:positionV relativeFrom="paragraph">
              <wp:posOffset>128270</wp:posOffset>
            </wp:positionV>
            <wp:extent cx="5928360" cy="2875915"/>
            <wp:effectExtent l="4445" t="4445" r="10795" b="5715"/>
            <wp:wrapNone/>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outlineLvl w:val="1"/>
        <w:rPr>
          <w:rFonts w:ascii="黑体" w:hAnsi="黑体" w:eastAsia="黑体"/>
          <w:sz w:val="32"/>
          <w:szCs w:val="32"/>
        </w:rPr>
      </w:pPr>
      <w:bookmarkStart w:id="60" w:name="_Toc15396606"/>
      <w:bookmarkStart w:id="61" w:name="_Toc15377208"/>
    </w:p>
    <w:p>
      <w:pPr>
        <w:spacing w:line="600" w:lineRule="exact"/>
        <w:outlineLvl w:val="1"/>
        <w:rPr>
          <w:rFonts w:ascii="黑体" w:hAnsi="黑体" w:eastAsia="黑体"/>
          <w:sz w:val="32"/>
          <w:szCs w:val="32"/>
        </w:rPr>
      </w:pPr>
    </w:p>
    <w:p>
      <w:pPr>
        <w:spacing w:line="600" w:lineRule="exact"/>
        <w:outlineLvl w:val="1"/>
        <w:rPr>
          <w:rFonts w:ascii="黑体" w:hAnsi="黑体" w:eastAsia="黑体"/>
          <w:sz w:val="32"/>
          <w:szCs w:val="32"/>
        </w:rPr>
      </w:pPr>
    </w:p>
    <w:p>
      <w:pPr>
        <w:spacing w:line="600" w:lineRule="exact"/>
        <w:outlineLvl w:val="1"/>
        <w:rPr>
          <w:rFonts w:ascii="黑体" w:hAnsi="黑体" w:eastAsia="黑体"/>
          <w:sz w:val="32"/>
          <w:szCs w:val="32"/>
        </w:rPr>
      </w:pPr>
    </w:p>
    <w:p>
      <w:pPr>
        <w:spacing w:line="600" w:lineRule="exact"/>
        <w:outlineLvl w:val="1"/>
        <w:rPr>
          <w:rFonts w:ascii="黑体" w:hAnsi="黑体" w:eastAsia="黑体"/>
          <w:sz w:val="32"/>
          <w:szCs w:val="32"/>
        </w:rPr>
      </w:pPr>
    </w:p>
    <w:p>
      <w:pPr>
        <w:spacing w:line="600" w:lineRule="exact"/>
        <w:outlineLvl w:val="1"/>
        <w:rPr>
          <w:rFonts w:ascii="黑体" w:hAnsi="黑体" w:eastAsia="黑体"/>
          <w:sz w:val="32"/>
          <w:szCs w:val="32"/>
        </w:rPr>
      </w:pPr>
    </w:p>
    <w:p>
      <w:pPr>
        <w:spacing w:line="600" w:lineRule="exact"/>
        <w:outlineLvl w:val="1"/>
        <w:rPr>
          <w:rFonts w:ascii="黑体" w:hAnsi="黑体" w:eastAsia="黑体"/>
          <w:sz w:val="32"/>
          <w:szCs w:val="32"/>
        </w:rPr>
      </w:pPr>
    </w:p>
    <w:p>
      <w:pPr>
        <w:spacing w:line="600" w:lineRule="exact"/>
        <w:ind w:firstLine="640" w:firstLineChars="200"/>
        <w:outlineLvl w:val="1"/>
        <w:rPr>
          <w:rStyle w:val="29"/>
          <w:rFonts w:ascii="黑体" w:hAnsi="黑体" w:eastAsia="黑体"/>
          <w:b w:val="0"/>
        </w:rPr>
      </w:pPr>
      <w:bookmarkStart w:id="62" w:name="_Toc11414"/>
      <w:bookmarkStart w:id="63" w:name="_Toc31720"/>
      <w:bookmarkStart w:id="64" w:name="_Toc2909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60"/>
      <w:bookmarkEnd w:id="61"/>
      <w:bookmarkEnd w:id="62"/>
      <w:bookmarkEnd w:id="63"/>
      <w:bookmarkEnd w:id="64"/>
    </w:p>
    <w:p>
      <w:pPr>
        <w:spacing w:line="600" w:lineRule="exact"/>
        <w:ind w:firstLine="640"/>
      </w:pPr>
      <w:r>
        <w:rPr>
          <w:rFonts w:ascii="仿宋" w:hAnsi="仿宋" w:eastAsia="仿宋"/>
          <w:sz w:val="32"/>
          <w:szCs w:val="32"/>
        </w:rPr>
        <w:t>20</w:t>
      </w:r>
      <w:r>
        <w:rPr>
          <w:rFonts w:hint="eastAsia" w:ascii="仿宋" w:hAnsi="仿宋" w:eastAsia="仿宋"/>
          <w:sz w:val="32"/>
          <w:szCs w:val="32"/>
        </w:rPr>
        <w:t>22年财政拨款收、支总计189.99万元。2021年本单位未单独填报决算，由系统统一填报部门决算，故无法对比。</w:t>
      </w:r>
    </w:p>
    <w:p>
      <w:pPr>
        <w:spacing w:line="600" w:lineRule="exact"/>
        <w:ind w:firstLine="640" w:firstLineChars="200"/>
        <w:outlineLvl w:val="1"/>
        <w:rPr>
          <w:rStyle w:val="29"/>
          <w:rFonts w:ascii="黑体" w:hAnsi="黑体" w:eastAsia="黑体"/>
          <w:b w:val="0"/>
        </w:rPr>
      </w:pPr>
      <w:bookmarkStart w:id="65" w:name="_Toc15377209"/>
      <w:bookmarkStart w:id="66" w:name="_Toc20881"/>
      <w:bookmarkStart w:id="67" w:name="_Toc4952"/>
      <w:bookmarkStart w:id="68" w:name="_Toc11819"/>
      <w:bookmarkStart w:id="69" w:name="_Toc15396607"/>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65"/>
      <w:bookmarkEnd w:id="66"/>
      <w:bookmarkEnd w:id="67"/>
      <w:bookmarkEnd w:id="68"/>
      <w:bookmarkEnd w:id="69"/>
    </w:p>
    <w:p>
      <w:pPr>
        <w:spacing w:line="600" w:lineRule="exact"/>
        <w:ind w:firstLine="643" w:firstLineChars="200"/>
        <w:outlineLvl w:val="2"/>
        <w:rPr>
          <w:rFonts w:ascii="仿宋" w:hAnsi="仿宋" w:eastAsia="仿宋"/>
          <w:b/>
          <w:sz w:val="32"/>
          <w:szCs w:val="32"/>
        </w:rPr>
      </w:pPr>
      <w:bookmarkStart w:id="70" w:name="_Toc5939"/>
      <w:bookmarkStart w:id="71" w:name="_Toc15377210"/>
      <w:bookmarkStart w:id="72" w:name="_Toc12174"/>
      <w:bookmarkStart w:id="73" w:name="_Toc28318"/>
      <w:r>
        <w:rPr>
          <w:rFonts w:hint="eastAsia" w:ascii="仿宋" w:hAnsi="仿宋" w:eastAsia="仿宋"/>
          <w:b/>
          <w:sz w:val="32"/>
          <w:szCs w:val="32"/>
        </w:rPr>
        <w:t>（一）一般公共预算财政拨款支出决算总体情况</w:t>
      </w:r>
      <w:bookmarkEnd w:id="70"/>
      <w:bookmarkEnd w:id="71"/>
      <w:bookmarkEnd w:id="72"/>
      <w:bookmarkEnd w:id="73"/>
    </w:p>
    <w:p>
      <w:pPr>
        <w:spacing w:line="600" w:lineRule="exact"/>
      </w:pPr>
      <w:r>
        <w:rPr>
          <w:rFonts w:ascii="仿宋" w:hAnsi="仿宋" w:eastAsia="仿宋"/>
          <w:sz w:val="32"/>
          <w:szCs w:val="32"/>
        </w:rPr>
        <w:t>20</w:t>
      </w:r>
      <w:r>
        <w:rPr>
          <w:rFonts w:hint="eastAsia" w:ascii="仿宋" w:hAnsi="仿宋" w:eastAsia="仿宋"/>
          <w:sz w:val="32"/>
          <w:szCs w:val="32"/>
        </w:rPr>
        <w:t>22年一般公共预算财政拨款支出189.99万元，占本年支出合计的25.60</w:t>
      </w:r>
      <w:r>
        <w:rPr>
          <w:rFonts w:ascii="仿宋" w:hAnsi="仿宋" w:eastAsia="仿宋"/>
          <w:sz w:val="32"/>
          <w:szCs w:val="32"/>
        </w:rPr>
        <w:t>%</w:t>
      </w:r>
      <w:r>
        <w:rPr>
          <w:rFonts w:hint="eastAsia" w:ascii="仿宋" w:hAnsi="仿宋" w:eastAsia="仿宋"/>
          <w:sz w:val="32"/>
          <w:szCs w:val="32"/>
        </w:rPr>
        <w:t>。2021年本单位未单独填报决算，由系统统一填报部门决算，故无法对比。</w:t>
      </w:r>
    </w:p>
    <w:p>
      <w:pPr>
        <w:spacing w:line="600" w:lineRule="exact"/>
        <w:ind w:firstLine="643" w:firstLineChars="200"/>
        <w:outlineLvl w:val="2"/>
        <w:rPr>
          <w:rFonts w:ascii="仿宋" w:hAnsi="仿宋" w:eastAsia="仿宋"/>
          <w:b/>
          <w:sz w:val="32"/>
          <w:szCs w:val="32"/>
        </w:rPr>
      </w:pPr>
      <w:bookmarkStart w:id="74" w:name="_Toc31182"/>
      <w:bookmarkStart w:id="75" w:name="_Toc7954"/>
      <w:bookmarkStart w:id="76" w:name="_Toc13482"/>
      <w:bookmarkStart w:id="77" w:name="_Toc15377211"/>
      <w:r>
        <w:rPr>
          <w:rFonts w:hint="eastAsia" w:ascii="仿宋" w:hAnsi="仿宋" w:eastAsia="仿宋"/>
          <w:b/>
          <w:sz w:val="32"/>
          <w:szCs w:val="32"/>
        </w:rPr>
        <w:t>（二）一般公共预算财政拨款支出决算结构情况</w:t>
      </w:r>
      <w:bookmarkEnd w:id="74"/>
      <w:bookmarkEnd w:id="75"/>
      <w:bookmarkEnd w:id="76"/>
      <w:bookmarkEnd w:id="7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22年一般公共预算财政拨款支出189.99万元，主要用于以下方面</w:t>
      </w:r>
      <w:r>
        <w:rPr>
          <w:rFonts w:ascii="仿宋" w:hAnsi="仿宋" w:eastAsia="仿宋"/>
          <w:sz w:val="32"/>
          <w:szCs w:val="32"/>
        </w:rPr>
        <w:t>:</w:t>
      </w:r>
      <w:r>
        <w:rPr>
          <w:rFonts w:hint="eastAsia" w:ascii="仿宋" w:hAnsi="仿宋" w:eastAsia="仿宋"/>
          <w:bCs/>
          <w:sz w:val="32"/>
          <w:szCs w:val="32"/>
        </w:rPr>
        <w:t>一般公共服务支出0万元，占0</w:t>
      </w:r>
      <w:r>
        <w:rPr>
          <w:rFonts w:ascii="仿宋" w:hAnsi="仿宋" w:eastAsia="仿宋"/>
          <w:bCs/>
          <w:sz w:val="32"/>
          <w:szCs w:val="32"/>
        </w:rPr>
        <w:t>%</w:t>
      </w:r>
      <w:r>
        <w:rPr>
          <w:rFonts w:hint="eastAsia" w:ascii="仿宋" w:hAnsi="仿宋" w:eastAsia="仿宋"/>
          <w:bCs/>
          <w:sz w:val="32"/>
          <w:szCs w:val="32"/>
        </w:rPr>
        <w:t>；教育支出0万元，占0</w:t>
      </w:r>
      <w:r>
        <w:rPr>
          <w:rFonts w:ascii="仿宋" w:hAnsi="仿宋" w:eastAsia="仿宋"/>
          <w:bCs/>
          <w:sz w:val="32"/>
          <w:szCs w:val="32"/>
        </w:rPr>
        <w:t>%</w:t>
      </w:r>
      <w:r>
        <w:rPr>
          <w:rFonts w:hint="eastAsia" w:ascii="仿宋" w:hAnsi="仿宋" w:eastAsia="仿宋"/>
          <w:bCs/>
          <w:sz w:val="32"/>
          <w:szCs w:val="32"/>
        </w:rPr>
        <w:t>；科学技术支出0万元，占0</w:t>
      </w:r>
      <w:r>
        <w:rPr>
          <w:rFonts w:ascii="仿宋" w:hAnsi="仿宋" w:eastAsia="仿宋"/>
          <w:bCs/>
          <w:sz w:val="32"/>
          <w:szCs w:val="32"/>
        </w:rPr>
        <w:t>%</w:t>
      </w:r>
      <w:r>
        <w:rPr>
          <w:rFonts w:hint="eastAsia" w:ascii="仿宋" w:hAnsi="仿宋" w:eastAsia="仿宋"/>
          <w:bCs/>
          <w:sz w:val="32"/>
          <w:szCs w:val="32"/>
        </w:rPr>
        <w:t>；文化旅游体育与传媒支出0万元，占0</w:t>
      </w:r>
      <w:r>
        <w:rPr>
          <w:rFonts w:ascii="仿宋" w:hAnsi="仿宋" w:eastAsia="仿宋"/>
          <w:bCs/>
          <w:sz w:val="32"/>
          <w:szCs w:val="32"/>
        </w:rPr>
        <w:t>%</w:t>
      </w:r>
      <w:r>
        <w:rPr>
          <w:rFonts w:hint="eastAsia" w:ascii="仿宋" w:hAnsi="仿宋" w:eastAsia="仿宋"/>
          <w:bCs/>
          <w:sz w:val="32"/>
          <w:szCs w:val="32"/>
        </w:rPr>
        <w:t>；</w:t>
      </w:r>
      <w:r>
        <w:rPr>
          <w:rFonts w:hint="eastAsia" w:ascii="仿宋" w:hAnsi="仿宋" w:eastAsia="仿宋"/>
          <w:sz w:val="32"/>
          <w:szCs w:val="32"/>
        </w:rPr>
        <w:t>社会保障和就业支出14.28万元，占7.52</w:t>
      </w:r>
      <w:r>
        <w:rPr>
          <w:rFonts w:ascii="仿宋" w:hAnsi="仿宋" w:eastAsia="仿宋"/>
          <w:sz w:val="32"/>
          <w:szCs w:val="32"/>
        </w:rPr>
        <w:t>%</w:t>
      </w:r>
      <w:r>
        <w:rPr>
          <w:rFonts w:hint="eastAsia" w:ascii="仿宋" w:hAnsi="仿宋" w:eastAsia="仿宋"/>
          <w:sz w:val="32"/>
          <w:szCs w:val="32"/>
        </w:rPr>
        <w:t>；卫生健康支出170.10万元，占89.54</w:t>
      </w:r>
      <w:r>
        <w:rPr>
          <w:rFonts w:ascii="仿宋" w:hAnsi="仿宋" w:eastAsia="仿宋"/>
          <w:sz w:val="32"/>
          <w:szCs w:val="32"/>
        </w:rPr>
        <w:t>%</w:t>
      </w:r>
      <w:r>
        <w:rPr>
          <w:rFonts w:hint="eastAsia" w:ascii="仿宋" w:hAnsi="仿宋" w:eastAsia="仿宋"/>
          <w:sz w:val="32"/>
          <w:szCs w:val="32"/>
        </w:rPr>
        <w:t>；住房保障支出5.61万元，占2.94</w:t>
      </w:r>
      <w:r>
        <w:rPr>
          <w:rFonts w:ascii="仿宋" w:hAnsi="仿宋" w:eastAsia="仿宋"/>
          <w:sz w:val="32"/>
          <w:szCs w:val="32"/>
        </w:rPr>
        <w:t>%</w:t>
      </w:r>
      <w:r>
        <w:rPr>
          <w:rFonts w:hint="eastAsia" w:ascii="仿宋" w:hAnsi="仿宋" w:eastAsia="仿宋"/>
          <w:sz w:val="32"/>
          <w:szCs w:val="32"/>
        </w:rPr>
        <w:t>。</w:t>
      </w:r>
    </w:p>
    <w:p>
      <w:pPr>
        <w:ind w:firstLine="420" w:firstLineChars="200"/>
        <w:rPr>
          <w:rFonts w:ascii="仿宋" w:hAnsi="仿宋" w:eastAsia="仿宋"/>
          <w:sz w:val="32"/>
          <w:szCs w:val="32"/>
        </w:rPr>
      </w:pPr>
      <w:r>
        <w:drawing>
          <wp:inline distT="0" distB="0" distL="114300" distR="114300">
            <wp:extent cx="4904740" cy="2562225"/>
            <wp:effectExtent l="4445" t="4445" r="5715" b="508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3" w:firstLineChars="200"/>
        <w:outlineLvl w:val="2"/>
        <w:rPr>
          <w:rFonts w:ascii="仿宋" w:hAnsi="仿宋" w:eastAsia="仿宋"/>
          <w:b/>
          <w:sz w:val="32"/>
          <w:szCs w:val="32"/>
        </w:rPr>
      </w:pPr>
      <w:bookmarkStart w:id="78" w:name="_Toc24934"/>
      <w:bookmarkStart w:id="79" w:name="_Toc1883"/>
      <w:bookmarkStart w:id="80" w:name="_Toc15377212"/>
      <w:bookmarkStart w:id="81" w:name="_Toc27693"/>
      <w:r>
        <w:rPr>
          <w:rFonts w:hint="eastAsia" w:ascii="仿宋" w:hAnsi="仿宋" w:eastAsia="仿宋"/>
          <w:b/>
          <w:sz w:val="32"/>
          <w:szCs w:val="32"/>
        </w:rPr>
        <w:t>（三）一般公共预算财政拨款支出决算具体情况</w:t>
      </w:r>
      <w:bookmarkEnd w:id="78"/>
      <w:bookmarkEnd w:id="79"/>
      <w:bookmarkEnd w:id="80"/>
      <w:bookmarkEnd w:id="81"/>
    </w:p>
    <w:p>
      <w:pPr>
        <w:spacing w:line="600" w:lineRule="exact"/>
        <w:ind w:firstLine="640" w:firstLineChars="200"/>
        <w:outlineLvl w:val="2"/>
        <w:rPr>
          <w:rFonts w:ascii="仿宋" w:hAnsi="仿宋" w:eastAsia="仿宋"/>
          <w:bCs/>
          <w:sz w:val="32"/>
          <w:szCs w:val="32"/>
        </w:rPr>
      </w:pPr>
      <w:bookmarkStart w:id="82" w:name="_Toc11929"/>
      <w:bookmarkStart w:id="83" w:name="_Toc15378460"/>
      <w:bookmarkStart w:id="84" w:name="_Toc15377213"/>
      <w:bookmarkStart w:id="85" w:name="_Toc3546"/>
      <w:bookmarkStart w:id="86" w:name="_Toc15377444"/>
      <w:bookmarkStart w:id="87" w:name="_Toc27519"/>
      <w:r>
        <w:rPr>
          <w:rFonts w:hint="eastAsia" w:ascii="仿宋" w:hAnsi="仿宋" w:eastAsia="仿宋"/>
          <w:bCs/>
          <w:sz w:val="32"/>
          <w:szCs w:val="32"/>
        </w:rPr>
        <w:t>2022年一般公共预算支出决算数为189.99，</w:t>
      </w:r>
      <w:r>
        <w:rPr>
          <w:rStyle w:val="18"/>
          <w:rFonts w:hint="eastAsia" w:ascii="仿宋" w:hAnsi="仿宋" w:eastAsia="仿宋"/>
          <w:b w:val="0"/>
          <w:bCs/>
          <w:sz w:val="32"/>
          <w:szCs w:val="32"/>
        </w:rPr>
        <w:t>完成预算100</w:t>
      </w:r>
      <w:r>
        <w:rPr>
          <w:rStyle w:val="18"/>
          <w:rFonts w:ascii="仿宋" w:hAnsi="仿宋" w:eastAsia="仿宋"/>
          <w:b w:val="0"/>
          <w:bCs/>
          <w:sz w:val="32"/>
          <w:szCs w:val="32"/>
        </w:rPr>
        <w:t>%</w:t>
      </w:r>
      <w:r>
        <w:rPr>
          <w:rStyle w:val="18"/>
          <w:rFonts w:hint="eastAsia" w:ascii="仿宋" w:hAnsi="仿宋" w:eastAsia="仿宋"/>
          <w:b w:val="0"/>
          <w:bCs/>
          <w:sz w:val="32"/>
          <w:szCs w:val="32"/>
        </w:rPr>
        <w:t>。其中：</w:t>
      </w:r>
      <w:bookmarkEnd w:id="82"/>
      <w:bookmarkEnd w:id="83"/>
      <w:bookmarkEnd w:id="84"/>
      <w:bookmarkEnd w:id="85"/>
      <w:bookmarkEnd w:id="86"/>
      <w:bookmarkEnd w:id="87"/>
    </w:p>
    <w:p>
      <w:pPr>
        <w:spacing w:line="600" w:lineRule="exact"/>
        <w:ind w:firstLine="640" w:firstLineChars="200"/>
        <w:rPr>
          <w:rFonts w:ascii="仿宋" w:hAnsi="仿宋" w:eastAsia="仿宋"/>
          <w:bCs/>
          <w:sz w:val="32"/>
          <w:szCs w:val="32"/>
        </w:rPr>
      </w:pPr>
      <w:r>
        <w:rPr>
          <w:rStyle w:val="18"/>
          <w:rFonts w:hint="eastAsia" w:ascii="仿宋" w:hAnsi="仿宋" w:eastAsia="仿宋"/>
          <w:b w:val="0"/>
          <w:bCs/>
          <w:sz w:val="32"/>
          <w:szCs w:val="32"/>
        </w:rPr>
        <w:t>1</w:t>
      </w:r>
      <w:r>
        <w:rPr>
          <w:rStyle w:val="18"/>
          <w:rFonts w:ascii="仿宋" w:hAnsi="仿宋" w:eastAsia="仿宋"/>
          <w:b w:val="0"/>
          <w:bCs/>
          <w:sz w:val="32"/>
          <w:szCs w:val="32"/>
        </w:rPr>
        <w:t>.</w:t>
      </w:r>
      <w:r>
        <w:rPr>
          <w:rStyle w:val="18"/>
          <w:rFonts w:hint="eastAsia" w:ascii="仿宋" w:hAnsi="仿宋" w:eastAsia="仿宋"/>
          <w:b w:val="0"/>
          <w:bCs/>
          <w:sz w:val="32"/>
          <w:szCs w:val="32"/>
        </w:rPr>
        <w:t>社会保障和就业（类）行政事业单位养老支出（款）机关事业单位养老保险支出（项）</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支出决算为2.02万元，完成预算100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firstLineChars="200"/>
        <w:rPr>
          <w:rStyle w:val="18"/>
          <w:rFonts w:ascii="仿宋" w:hAnsi="仿宋" w:eastAsia="仿宋"/>
          <w:b w:val="0"/>
          <w:bCs/>
          <w:sz w:val="32"/>
          <w:szCs w:val="32"/>
        </w:rPr>
      </w:pPr>
      <w:r>
        <w:rPr>
          <w:rStyle w:val="18"/>
          <w:rFonts w:hint="eastAsia" w:ascii="仿宋" w:hAnsi="仿宋" w:eastAsia="仿宋"/>
          <w:b w:val="0"/>
          <w:bCs/>
          <w:sz w:val="32"/>
          <w:szCs w:val="32"/>
        </w:rPr>
        <w:t>2</w:t>
      </w:r>
      <w:r>
        <w:rPr>
          <w:rStyle w:val="18"/>
          <w:rFonts w:ascii="仿宋" w:hAnsi="仿宋" w:eastAsia="仿宋"/>
          <w:b w:val="0"/>
          <w:bCs/>
          <w:sz w:val="32"/>
          <w:szCs w:val="32"/>
        </w:rPr>
        <w:t>.</w:t>
      </w:r>
      <w:r>
        <w:rPr>
          <w:rFonts w:hint="eastAsia" w:ascii="仿宋" w:hAnsi="仿宋" w:eastAsia="仿宋"/>
          <w:bCs/>
          <w:sz w:val="32"/>
          <w:szCs w:val="32"/>
        </w:rPr>
        <w:t>卫生健康</w:t>
      </w:r>
      <w:r>
        <w:rPr>
          <w:rStyle w:val="18"/>
          <w:rFonts w:hint="eastAsia" w:ascii="仿宋" w:hAnsi="仿宋" w:eastAsia="仿宋"/>
          <w:b w:val="0"/>
          <w:bCs/>
          <w:sz w:val="32"/>
          <w:szCs w:val="32"/>
        </w:rPr>
        <w:t>（类）基层医疗卫生机构（款）乡镇卫生院（项）</w:t>
      </w:r>
      <w:r>
        <w:rPr>
          <w:rStyle w:val="18"/>
          <w:rFonts w:ascii="仿宋" w:hAnsi="仿宋" w:eastAsia="仿宋"/>
          <w:b w:val="0"/>
          <w:bCs/>
          <w:sz w:val="32"/>
          <w:szCs w:val="32"/>
        </w:rPr>
        <w:t>:</w:t>
      </w:r>
      <w:r>
        <w:rPr>
          <w:rStyle w:val="18"/>
          <w:rFonts w:hint="eastAsia" w:ascii="仿宋" w:hAnsi="仿宋" w:eastAsia="仿宋"/>
          <w:b w:val="0"/>
          <w:bCs/>
          <w:sz w:val="32"/>
          <w:szCs w:val="32"/>
        </w:rPr>
        <w:t>支出决算为204.58万元，完成预算100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firstLineChars="200"/>
        <w:rPr>
          <w:rStyle w:val="18"/>
          <w:rFonts w:ascii="仿宋" w:hAnsi="仿宋" w:eastAsia="仿宋"/>
          <w:b w:val="0"/>
          <w:bCs/>
          <w:sz w:val="32"/>
          <w:szCs w:val="32"/>
        </w:rPr>
      </w:pPr>
      <w:r>
        <w:rPr>
          <w:rStyle w:val="18"/>
          <w:rFonts w:hint="eastAsia" w:ascii="仿宋" w:hAnsi="仿宋" w:eastAsia="仿宋"/>
          <w:b w:val="0"/>
          <w:bCs/>
          <w:sz w:val="32"/>
          <w:szCs w:val="32"/>
        </w:rPr>
        <w:t>3</w:t>
      </w:r>
      <w:r>
        <w:rPr>
          <w:rStyle w:val="18"/>
          <w:rFonts w:ascii="仿宋" w:hAnsi="仿宋" w:eastAsia="仿宋"/>
          <w:b w:val="0"/>
          <w:bCs/>
          <w:sz w:val="32"/>
          <w:szCs w:val="32"/>
        </w:rPr>
        <w:t>.</w:t>
      </w:r>
      <w:r>
        <w:rPr>
          <w:rFonts w:hint="eastAsia" w:ascii="仿宋" w:hAnsi="仿宋" w:eastAsia="仿宋"/>
          <w:bCs/>
          <w:sz w:val="32"/>
          <w:szCs w:val="32"/>
        </w:rPr>
        <w:t>卫生健康</w:t>
      </w:r>
      <w:r>
        <w:rPr>
          <w:rStyle w:val="18"/>
          <w:rFonts w:hint="eastAsia" w:ascii="仿宋" w:hAnsi="仿宋" w:eastAsia="仿宋"/>
          <w:b w:val="0"/>
          <w:bCs/>
          <w:sz w:val="32"/>
          <w:szCs w:val="32"/>
        </w:rPr>
        <w:t>（类）基层医疗卫生机构（款）其他基层医疗卫生机构（项）</w:t>
      </w:r>
      <w:r>
        <w:rPr>
          <w:rStyle w:val="18"/>
          <w:rFonts w:ascii="仿宋" w:hAnsi="仿宋" w:eastAsia="仿宋"/>
          <w:b w:val="0"/>
          <w:bCs/>
          <w:sz w:val="32"/>
          <w:szCs w:val="32"/>
        </w:rPr>
        <w:t>:</w:t>
      </w:r>
      <w:r>
        <w:rPr>
          <w:rStyle w:val="18"/>
          <w:rFonts w:hint="eastAsia" w:ascii="仿宋" w:hAnsi="仿宋" w:eastAsia="仿宋"/>
          <w:b w:val="0"/>
          <w:bCs/>
          <w:sz w:val="32"/>
          <w:szCs w:val="32"/>
        </w:rPr>
        <w:t>支出决算为7.87万元，完成预算100%。</w:t>
      </w:r>
    </w:p>
    <w:p>
      <w:pPr>
        <w:spacing w:line="600" w:lineRule="exact"/>
        <w:ind w:firstLine="640" w:firstLineChars="200"/>
        <w:rPr>
          <w:rStyle w:val="18"/>
          <w:rFonts w:ascii="仿宋" w:hAnsi="仿宋" w:eastAsia="仿宋"/>
          <w:b w:val="0"/>
          <w:bCs/>
          <w:sz w:val="32"/>
          <w:szCs w:val="32"/>
        </w:rPr>
      </w:pPr>
      <w:r>
        <w:rPr>
          <w:rFonts w:hint="eastAsia" w:ascii="仿宋" w:hAnsi="仿宋" w:eastAsia="仿宋"/>
          <w:bCs/>
          <w:sz w:val="32"/>
          <w:szCs w:val="32"/>
        </w:rPr>
        <w:t>4.卫生健康</w:t>
      </w:r>
      <w:r>
        <w:rPr>
          <w:rStyle w:val="18"/>
          <w:rFonts w:hint="eastAsia" w:ascii="仿宋" w:hAnsi="仿宋" w:eastAsia="仿宋"/>
          <w:b w:val="0"/>
          <w:bCs/>
          <w:sz w:val="32"/>
          <w:szCs w:val="32"/>
        </w:rPr>
        <w:t>（类）行政事业单位医疗（款）事业单位医疗（项）</w:t>
      </w:r>
      <w:r>
        <w:rPr>
          <w:rStyle w:val="18"/>
          <w:rFonts w:ascii="仿宋" w:hAnsi="仿宋" w:eastAsia="仿宋"/>
          <w:b w:val="0"/>
          <w:bCs/>
          <w:sz w:val="32"/>
          <w:szCs w:val="32"/>
        </w:rPr>
        <w:t>:</w:t>
      </w:r>
      <w:r>
        <w:rPr>
          <w:rStyle w:val="18"/>
          <w:rFonts w:hint="eastAsia" w:ascii="仿宋" w:hAnsi="仿宋" w:eastAsia="仿宋"/>
          <w:b w:val="0"/>
          <w:bCs/>
          <w:sz w:val="32"/>
          <w:szCs w:val="32"/>
        </w:rPr>
        <w:t>支出决算为1.01万元，完成预算100%。</w:t>
      </w:r>
    </w:p>
    <w:p>
      <w:pPr>
        <w:spacing w:line="600" w:lineRule="exact"/>
        <w:ind w:firstLine="640" w:firstLineChars="200"/>
        <w:rPr>
          <w:rStyle w:val="18"/>
          <w:rFonts w:ascii="仿宋" w:hAnsi="仿宋" w:eastAsia="仿宋"/>
          <w:b w:val="0"/>
          <w:bCs/>
          <w:sz w:val="32"/>
          <w:szCs w:val="32"/>
        </w:rPr>
      </w:pPr>
      <w:r>
        <w:rPr>
          <w:rStyle w:val="18"/>
          <w:rFonts w:hint="eastAsia" w:ascii="仿宋" w:hAnsi="仿宋" w:eastAsia="仿宋"/>
          <w:b w:val="0"/>
          <w:bCs/>
          <w:sz w:val="32"/>
          <w:szCs w:val="32"/>
        </w:rPr>
        <w:t>5.</w:t>
      </w:r>
      <w:r>
        <w:rPr>
          <w:rFonts w:hint="eastAsia" w:ascii="仿宋" w:hAnsi="仿宋" w:eastAsia="仿宋"/>
          <w:bCs/>
          <w:sz w:val="32"/>
          <w:szCs w:val="32"/>
        </w:rPr>
        <w:t>卫生健康</w:t>
      </w:r>
      <w:r>
        <w:rPr>
          <w:rStyle w:val="18"/>
          <w:rFonts w:hint="eastAsia" w:ascii="仿宋" w:hAnsi="仿宋" w:eastAsia="仿宋"/>
          <w:b w:val="0"/>
          <w:bCs/>
          <w:sz w:val="32"/>
          <w:szCs w:val="32"/>
        </w:rPr>
        <w:t>（类）公共卫生（款）基本公共卫生服务（项）</w:t>
      </w:r>
      <w:r>
        <w:rPr>
          <w:rStyle w:val="18"/>
          <w:rFonts w:ascii="仿宋" w:hAnsi="仿宋" w:eastAsia="仿宋"/>
          <w:b w:val="0"/>
          <w:bCs/>
          <w:sz w:val="32"/>
          <w:szCs w:val="32"/>
        </w:rPr>
        <w:t>:</w:t>
      </w:r>
      <w:r>
        <w:rPr>
          <w:rStyle w:val="18"/>
          <w:rFonts w:hint="eastAsia" w:ascii="仿宋" w:hAnsi="仿宋" w:eastAsia="仿宋"/>
          <w:b w:val="0"/>
          <w:bCs/>
          <w:sz w:val="32"/>
          <w:szCs w:val="32"/>
        </w:rPr>
        <w:t>支出决算为33.63万元，完成预算100%。</w:t>
      </w:r>
    </w:p>
    <w:p>
      <w:pPr>
        <w:spacing w:line="600" w:lineRule="exact"/>
        <w:ind w:firstLine="640" w:firstLineChars="200"/>
        <w:rPr>
          <w:rFonts w:ascii="仿宋" w:hAnsi="仿宋" w:eastAsia="仿宋"/>
          <w:bCs/>
          <w:sz w:val="32"/>
          <w:szCs w:val="32"/>
        </w:rPr>
      </w:pPr>
      <w:r>
        <w:rPr>
          <w:rStyle w:val="18"/>
          <w:rFonts w:hint="eastAsia" w:ascii="仿宋" w:hAnsi="仿宋" w:eastAsia="仿宋"/>
          <w:b w:val="0"/>
          <w:bCs/>
          <w:sz w:val="32"/>
          <w:szCs w:val="32"/>
        </w:rPr>
        <w:t>6</w:t>
      </w:r>
      <w:r>
        <w:rPr>
          <w:rStyle w:val="18"/>
          <w:rFonts w:ascii="仿宋" w:hAnsi="仿宋" w:eastAsia="仿宋"/>
          <w:b w:val="0"/>
          <w:bCs/>
          <w:sz w:val="32"/>
          <w:szCs w:val="32"/>
        </w:rPr>
        <w:t>.</w:t>
      </w:r>
      <w:r>
        <w:rPr>
          <w:rStyle w:val="18"/>
          <w:rFonts w:hint="eastAsia" w:ascii="仿宋" w:hAnsi="仿宋" w:eastAsia="仿宋"/>
          <w:b w:val="0"/>
          <w:bCs/>
          <w:sz w:val="32"/>
          <w:szCs w:val="32"/>
        </w:rPr>
        <w:t>住房保障（类）住房改革支出（款）住房公积金（项）</w:t>
      </w:r>
      <w:r>
        <w:rPr>
          <w:rStyle w:val="18"/>
          <w:rFonts w:ascii="仿宋" w:hAnsi="仿宋" w:eastAsia="仿宋"/>
          <w:b w:val="0"/>
          <w:bCs/>
          <w:sz w:val="32"/>
          <w:szCs w:val="32"/>
        </w:rPr>
        <w:t>:</w:t>
      </w:r>
      <w:r>
        <w:rPr>
          <w:rStyle w:val="18"/>
          <w:rFonts w:hint="eastAsia" w:ascii="仿宋" w:hAnsi="仿宋" w:eastAsia="仿宋"/>
          <w:b w:val="0"/>
          <w:bCs/>
          <w:sz w:val="32"/>
          <w:szCs w:val="32"/>
        </w:rPr>
        <w:t>支出决算数为1.52万元，完成预算100%。</w:t>
      </w:r>
    </w:p>
    <w:p>
      <w:pPr>
        <w:tabs>
          <w:tab w:val="right" w:pos="8306"/>
        </w:tabs>
        <w:spacing w:line="600" w:lineRule="exact"/>
        <w:ind w:firstLine="640"/>
        <w:outlineLvl w:val="1"/>
        <w:rPr>
          <w:rStyle w:val="29"/>
        </w:rPr>
      </w:pPr>
      <w:bookmarkStart w:id="88" w:name="_Toc15396608"/>
      <w:bookmarkStart w:id="89" w:name="_Toc14858"/>
      <w:bookmarkStart w:id="90" w:name="_Toc2651"/>
      <w:bookmarkStart w:id="91" w:name="_Toc25725"/>
      <w:bookmarkStart w:id="92"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88"/>
      <w:bookmarkEnd w:id="89"/>
      <w:bookmarkEnd w:id="90"/>
      <w:bookmarkEnd w:id="91"/>
      <w:bookmarkEnd w:id="92"/>
      <w:r>
        <w:rPr>
          <w:rStyle w:val="2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22年一般公共预算财政拨款基本支出189.99万元，其中：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人员经费173.61万元，主要包括：基本工资、津贴补贴、绩效工资、机关事业单位基本养老保险缴费、职业年金缴费、其他社会保障缴费、其他工资福利支出、生活补助、住房公积金等。</w:t>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公用经费16.38万元，主要包括：办公费、印刷费、手续费、水费、电费、邮电费、差旅费、维修（护）费、会议费、培训费、公务接待费、劳务费、工会经费、福利费、其他商品和服务支出等。</w:t>
      </w:r>
    </w:p>
    <w:p>
      <w:pPr>
        <w:spacing w:line="600" w:lineRule="exact"/>
        <w:ind w:firstLine="640"/>
        <w:outlineLvl w:val="1"/>
        <w:rPr>
          <w:rStyle w:val="29"/>
          <w:rFonts w:ascii="黑体" w:hAnsi="黑体" w:eastAsia="黑体"/>
          <w:b w:val="0"/>
        </w:rPr>
      </w:pPr>
      <w:bookmarkStart w:id="93" w:name="_Toc15681"/>
      <w:bookmarkStart w:id="94" w:name="_Toc11785"/>
      <w:bookmarkStart w:id="95" w:name="_Toc15396609"/>
      <w:bookmarkStart w:id="96" w:name="_Toc27673"/>
      <w:bookmarkStart w:id="97" w:name="_Toc15377215"/>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93"/>
      <w:bookmarkEnd w:id="94"/>
      <w:bookmarkEnd w:id="95"/>
      <w:bookmarkEnd w:id="96"/>
      <w:bookmarkEnd w:id="97"/>
    </w:p>
    <w:p>
      <w:pPr>
        <w:spacing w:line="600" w:lineRule="exact"/>
        <w:ind w:firstLine="640"/>
        <w:outlineLvl w:val="2"/>
        <w:rPr>
          <w:rFonts w:ascii="仿宋" w:hAnsi="仿宋" w:eastAsia="仿宋"/>
          <w:b/>
          <w:sz w:val="32"/>
          <w:szCs w:val="32"/>
        </w:rPr>
      </w:pPr>
      <w:bookmarkStart w:id="98" w:name="_Toc27484"/>
      <w:bookmarkStart w:id="99" w:name="_Toc1195"/>
      <w:bookmarkStart w:id="100" w:name="_Toc15377216"/>
      <w:bookmarkStart w:id="101" w:name="_Toc10740"/>
      <w:r>
        <w:rPr>
          <w:rFonts w:hint="eastAsia" w:ascii="仿宋" w:hAnsi="仿宋" w:eastAsia="仿宋"/>
          <w:b/>
          <w:sz w:val="32"/>
          <w:szCs w:val="32"/>
        </w:rPr>
        <w:t>（一）“三公”经费财政拨款支出决算总体情况说明</w:t>
      </w:r>
      <w:bookmarkEnd w:id="98"/>
      <w:bookmarkEnd w:id="99"/>
      <w:bookmarkEnd w:id="100"/>
      <w:bookmarkEnd w:id="101"/>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22年“三公”经费财政拨款支出决算为0.76万元，完成预算100</w:t>
      </w:r>
      <w:r>
        <w:rPr>
          <w:rFonts w:ascii="仿宋" w:hAnsi="仿宋" w:eastAsia="仿宋"/>
          <w:sz w:val="32"/>
          <w:szCs w:val="32"/>
        </w:rPr>
        <w:t>%</w:t>
      </w:r>
      <w:r>
        <w:rPr>
          <w:rFonts w:hint="eastAsia" w:ascii="仿宋" w:hAnsi="仿宋" w:eastAsia="仿宋"/>
          <w:sz w:val="32"/>
          <w:szCs w:val="32"/>
        </w:rPr>
        <w:t>，2021年本单位未单独填报决算，由系统统一填报部门决算，故无法对比。</w:t>
      </w:r>
    </w:p>
    <w:p>
      <w:pPr>
        <w:spacing w:line="600" w:lineRule="exact"/>
        <w:ind w:firstLine="640"/>
        <w:outlineLvl w:val="2"/>
        <w:rPr>
          <w:rFonts w:ascii="仿宋" w:hAnsi="仿宋" w:eastAsia="仿宋"/>
          <w:b/>
          <w:sz w:val="32"/>
          <w:szCs w:val="32"/>
        </w:rPr>
      </w:pPr>
      <w:bookmarkStart w:id="102" w:name="_Toc15377217"/>
      <w:bookmarkStart w:id="103" w:name="_Toc8652"/>
      <w:bookmarkStart w:id="104" w:name="_Toc18465"/>
      <w:bookmarkStart w:id="105" w:name="_Toc6081"/>
      <w:r>
        <w:rPr>
          <w:rFonts w:hint="eastAsia" w:ascii="仿宋" w:hAnsi="仿宋" w:eastAsia="仿宋"/>
          <w:b/>
          <w:sz w:val="32"/>
          <w:szCs w:val="32"/>
        </w:rPr>
        <w:t>（二）“三公”经费财政拨款支出决算具体情况说明</w:t>
      </w:r>
      <w:bookmarkEnd w:id="102"/>
      <w:bookmarkEnd w:id="103"/>
      <w:bookmarkEnd w:id="104"/>
      <w:bookmarkEnd w:id="10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22年“三公”经费财政拨款支出决算中，因公出国（境）费支出决算0万元，占0%；公务用车购置及运行维护费支出决算0万元，占0%；公务接待费支出决算0.76万元，占100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r>
        <w:drawing>
          <wp:anchor distT="0" distB="0" distL="114300" distR="114300" simplePos="0" relativeHeight="251660288" behindDoc="1" locked="0" layoutInCell="1" allowOverlap="1">
            <wp:simplePos x="0" y="0"/>
            <wp:positionH relativeFrom="column">
              <wp:posOffset>391795</wp:posOffset>
            </wp:positionH>
            <wp:positionV relativeFrom="paragraph">
              <wp:posOffset>172720</wp:posOffset>
            </wp:positionV>
            <wp:extent cx="4847590" cy="2572385"/>
            <wp:effectExtent l="4445" t="5080" r="5715" b="13335"/>
            <wp:wrapNone/>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rPr>
          <w:rFonts w:ascii="仿宋" w:hAnsi="仿宋" w:eastAsia="仿宋"/>
          <w:sz w:val="32"/>
          <w:szCs w:val="32"/>
        </w:rPr>
      </w:pPr>
    </w:p>
    <w:p>
      <w:pPr>
        <w:spacing w:line="600" w:lineRule="exact"/>
        <w:rPr>
          <w:rFonts w:ascii="仿宋" w:hAnsi="仿宋" w:eastAsia="仿宋"/>
          <w:sz w:val="32"/>
          <w:szCs w:val="32"/>
        </w:rPr>
      </w:pPr>
    </w:p>
    <w:p>
      <w:pPr>
        <w:spacing w:line="600" w:lineRule="exact"/>
        <w:ind w:firstLine="640"/>
        <w:rPr>
          <w:rFonts w:ascii="仿宋_GB2312" w:eastAsia="仿宋_GB2312"/>
          <w:b/>
          <w:sz w:val="32"/>
          <w:szCs w:val="32"/>
        </w:rPr>
      </w:pPr>
    </w:p>
    <w:p>
      <w:pPr>
        <w:spacing w:line="600" w:lineRule="exact"/>
        <w:ind w:firstLine="640"/>
        <w:rPr>
          <w:rFonts w:ascii="仿宋_GB2312" w:eastAsia="仿宋_GB2312"/>
          <w:b/>
          <w:sz w:val="32"/>
          <w:szCs w:val="32"/>
        </w:rPr>
      </w:pPr>
    </w:p>
    <w:p>
      <w:pPr>
        <w:spacing w:line="600" w:lineRule="exact"/>
        <w:ind w:firstLine="640"/>
        <w:rPr>
          <w:rFonts w:ascii="仿宋_GB2312" w:eastAsia="仿宋_GB2312"/>
          <w:b/>
          <w:sz w:val="32"/>
          <w:szCs w:val="32"/>
        </w:rPr>
      </w:pPr>
    </w:p>
    <w:p>
      <w:pPr>
        <w:spacing w:line="600" w:lineRule="exact"/>
        <w:ind w:firstLine="640"/>
        <w:rPr>
          <w:rFonts w:ascii="仿宋_GB2312" w:eastAsia="仿宋_GB2312"/>
          <w:b/>
          <w:sz w:val="32"/>
          <w:szCs w:val="32"/>
        </w:rPr>
      </w:pP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8"/>
          <w:rFonts w:hint="eastAsia" w:ascii="仿宋" w:hAnsi="仿宋" w:eastAsia="仿宋"/>
          <w:b w:val="0"/>
          <w:bCs/>
          <w:sz w:val="32"/>
          <w:szCs w:val="32"/>
        </w:rPr>
        <w:t>完成预算0。</w:t>
      </w:r>
      <w:r>
        <w:rPr>
          <w:rFonts w:hint="eastAsia" w:ascii="仿宋_GB2312" w:eastAsia="仿宋_GB2312"/>
          <w:sz w:val="32"/>
          <w:szCs w:val="32"/>
        </w:rPr>
        <w:t>全年安排因公出国（境）团组0次，出国（境）0人。</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8"/>
          <w:rFonts w:hint="eastAsia" w:ascii="仿宋" w:hAnsi="仿宋" w:eastAsia="仿宋"/>
          <w:b w:val="0"/>
          <w:bCs/>
          <w:sz w:val="32"/>
          <w:szCs w:val="32"/>
        </w:rPr>
        <w:t>完成预算0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公务用车购置支出0</w:t>
      </w:r>
      <w:r>
        <w:rPr>
          <w:rFonts w:hint="eastAsia" w:ascii="仿宋_GB2312" w:eastAsia="仿宋_GB2312"/>
          <w:sz w:val="32"/>
          <w:szCs w:val="32"/>
        </w:rPr>
        <w:t>万元。全年按规定更新购置公务用车0辆，其中：轿车0辆、金额0万元，越野车0辆、金额0万元，载客汽车0辆、金额0万元，主要用于…。截至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pPr>
        <w:spacing w:line="600" w:lineRule="exact"/>
        <w:ind w:firstLine="640"/>
        <w:rPr>
          <w:rFonts w:ascii="仿宋_GB2312" w:eastAsia="仿宋_GB2312"/>
          <w:b/>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0万元。主要用于</w:t>
      </w:r>
      <w:r>
        <w:rPr>
          <w:rFonts w:ascii="仿宋_GB2312" w:eastAsia="仿宋_GB2312"/>
          <w:sz w:val="32"/>
          <w:szCs w:val="32"/>
        </w:rPr>
        <w:t>…</w:t>
      </w:r>
      <w:r>
        <w:rPr>
          <w:rFonts w:hint="eastAsia" w:ascii="仿宋_GB2312" w:eastAsia="仿宋_GB2312"/>
          <w:sz w:val="32"/>
          <w:szCs w:val="32"/>
        </w:rPr>
        <w:t>（具体工作）等所需的公务用车燃料费、维修费、过路过桥费、保险费等支出。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0.76万元，</w:t>
      </w:r>
      <w:r>
        <w:rPr>
          <w:rStyle w:val="18"/>
          <w:rFonts w:hint="eastAsia" w:ascii="仿宋" w:hAnsi="仿宋" w:eastAsia="仿宋"/>
          <w:b w:val="0"/>
          <w:bCs/>
          <w:sz w:val="32"/>
          <w:szCs w:val="32"/>
        </w:rPr>
        <w:t>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 w:hAnsi="仿宋" w:eastAsia="仿宋"/>
          <w:b/>
          <w:sz w:val="32"/>
          <w:szCs w:val="32"/>
        </w:rPr>
        <w:t>国内公务接待支出</w:t>
      </w:r>
      <w:r>
        <w:rPr>
          <w:rFonts w:hint="eastAsia" w:ascii="仿宋" w:hAnsi="仿宋" w:eastAsia="仿宋"/>
          <w:sz w:val="32"/>
          <w:szCs w:val="32"/>
        </w:rPr>
        <w:t>0.76</w:t>
      </w:r>
      <w:r>
        <w:rPr>
          <w:rFonts w:hint="eastAsia" w:ascii="仿宋_GB2312" w:eastAsia="仿宋_GB2312"/>
          <w:sz w:val="32"/>
          <w:szCs w:val="32"/>
        </w:rPr>
        <w:t>万元，主要用于疫情防控检查督导培训等生活接待。国内公务接待20批次，110人次（不包括陪同人员），共计支出0.76万元。</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万元。外事接待0批次，0人次（不包括陪同人员），共计支出0万元。</w:t>
      </w:r>
      <w:bookmarkStart w:id="106" w:name="_Toc15396610"/>
      <w:bookmarkStart w:id="107" w:name="_Toc15377218"/>
    </w:p>
    <w:p>
      <w:pPr>
        <w:spacing w:line="600" w:lineRule="exact"/>
        <w:ind w:firstLine="640"/>
        <w:outlineLvl w:val="1"/>
        <w:rPr>
          <w:rStyle w:val="29"/>
          <w:rFonts w:ascii="黑体" w:hAnsi="黑体" w:eastAsia="黑体"/>
        </w:rPr>
      </w:pPr>
      <w:bookmarkStart w:id="108" w:name="_Toc17434"/>
      <w:bookmarkStart w:id="109" w:name="_Toc11739"/>
      <w:bookmarkStart w:id="110" w:name="_Toc15551"/>
      <w:r>
        <w:rPr>
          <w:rFonts w:hint="eastAsia" w:ascii="黑体" w:eastAsia="黑体"/>
          <w:sz w:val="32"/>
          <w:szCs w:val="32"/>
        </w:rPr>
        <w:t>八、</w:t>
      </w:r>
      <w:r>
        <w:rPr>
          <w:rStyle w:val="29"/>
          <w:rFonts w:hint="eastAsia" w:ascii="黑体" w:hAnsi="黑体" w:eastAsia="黑体"/>
          <w:b w:val="0"/>
        </w:rPr>
        <w:t>政府性基金预算支出决算情况说明</w:t>
      </w:r>
      <w:bookmarkEnd w:id="106"/>
      <w:bookmarkEnd w:id="107"/>
      <w:bookmarkEnd w:id="108"/>
      <w:bookmarkEnd w:id="109"/>
      <w:bookmarkEnd w:id="110"/>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22年政府性基金预算财政拨款支出0万元。</w:t>
      </w:r>
    </w:p>
    <w:p>
      <w:pPr>
        <w:numPr>
          <w:ilvl w:val="0"/>
          <w:numId w:val="5"/>
        </w:numPr>
        <w:spacing w:line="600" w:lineRule="exact"/>
        <w:ind w:firstLine="640"/>
        <w:outlineLvl w:val="1"/>
        <w:rPr>
          <w:rStyle w:val="29"/>
          <w:rFonts w:ascii="黑体" w:hAnsi="黑体" w:eastAsia="黑体"/>
          <w:b w:val="0"/>
        </w:rPr>
      </w:pPr>
      <w:bookmarkStart w:id="111" w:name="_Toc15396611"/>
      <w:bookmarkStart w:id="112" w:name="_Toc7034"/>
      <w:bookmarkStart w:id="113" w:name="_Toc26576"/>
      <w:bookmarkStart w:id="114" w:name="_Toc24656"/>
      <w:bookmarkStart w:id="115" w:name="_Toc15377219"/>
      <w:r>
        <w:rPr>
          <w:rStyle w:val="29"/>
          <w:rFonts w:hint="eastAsia" w:ascii="黑体" w:hAnsi="黑体" w:eastAsia="黑体"/>
          <w:b w:val="0"/>
        </w:rPr>
        <w:t>国有资本经营预算支出决算情况说明</w:t>
      </w:r>
      <w:bookmarkEnd w:id="111"/>
      <w:bookmarkEnd w:id="112"/>
      <w:bookmarkEnd w:id="113"/>
      <w:bookmarkEnd w:id="114"/>
      <w:bookmarkEnd w:id="115"/>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pPr>
        <w:numPr>
          <w:ilvl w:val="0"/>
          <w:numId w:val="5"/>
        </w:numPr>
        <w:spacing w:line="600" w:lineRule="exact"/>
        <w:ind w:firstLine="640"/>
        <w:outlineLvl w:val="1"/>
        <w:rPr>
          <w:rStyle w:val="29"/>
          <w:rFonts w:ascii="黑体" w:hAnsi="黑体" w:eastAsia="黑体"/>
          <w:b w:val="0"/>
        </w:rPr>
      </w:pPr>
      <w:bookmarkStart w:id="116" w:name="_Toc19152"/>
      <w:bookmarkStart w:id="117" w:name="_Toc13761"/>
      <w:bookmarkStart w:id="118" w:name="_Toc15377221"/>
      <w:bookmarkStart w:id="119" w:name="_Toc6023"/>
      <w:bookmarkStart w:id="120" w:name="_Toc15396612"/>
      <w:r>
        <w:rPr>
          <w:rStyle w:val="29"/>
          <w:rFonts w:hint="eastAsia" w:ascii="黑体" w:hAnsi="黑体" w:eastAsia="黑体"/>
          <w:b w:val="0"/>
        </w:rPr>
        <w:t>其他重要事项的情况说明</w:t>
      </w:r>
      <w:bookmarkEnd w:id="116"/>
      <w:bookmarkEnd w:id="117"/>
      <w:bookmarkEnd w:id="118"/>
      <w:bookmarkEnd w:id="119"/>
      <w:bookmarkEnd w:id="120"/>
    </w:p>
    <w:p>
      <w:pPr>
        <w:spacing w:line="600" w:lineRule="exact"/>
        <w:ind w:firstLine="643" w:firstLineChars="200"/>
        <w:outlineLvl w:val="2"/>
        <w:rPr>
          <w:rFonts w:ascii="仿宋" w:hAnsi="仿宋" w:eastAsia="仿宋"/>
          <w:sz w:val="32"/>
          <w:szCs w:val="32"/>
        </w:rPr>
      </w:pPr>
      <w:bookmarkStart w:id="121" w:name="_Toc8018"/>
      <w:bookmarkStart w:id="122" w:name="_Toc15377222"/>
      <w:bookmarkStart w:id="123" w:name="_Toc30298"/>
      <w:bookmarkStart w:id="124" w:name="_Toc15377224"/>
      <w:bookmarkStart w:id="125" w:name="_Toc10782"/>
      <w:bookmarkStart w:id="126" w:name="_Toc5313"/>
      <w:bookmarkStart w:id="127" w:name="_Toc9976"/>
      <w:r>
        <w:rPr>
          <w:rFonts w:hint="eastAsia" w:ascii="仿宋" w:hAnsi="仿宋" w:eastAsia="仿宋"/>
          <w:b/>
          <w:sz w:val="32"/>
          <w:szCs w:val="32"/>
        </w:rPr>
        <w:t>（一）机关运行经费支出情况</w:t>
      </w:r>
      <w:bookmarkEnd w:id="121"/>
      <w:bookmarkEnd w:id="122"/>
      <w:bookmarkEnd w:id="123"/>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22年，机关运行经费支出0万元，比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128" w:name="_Toc17386"/>
      <w:bookmarkStart w:id="129" w:name="_Toc15377223"/>
      <w:bookmarkStart w:id="130" w:name="_Toc4609"/>
      <w:r>
        <w:rPr>
          <w:rFonts w:hint="eastAsia" w:ascii="仿宋" w:hAnsi="仿宋" w:eastAsia="仿宋"/>
          <w:b/>
          <w:sz w:val="32"/>
          <w:szCs w:val="32"/>
        </w:rPr>
        <w:t>（二）政府采购支出情况</w:t>
      </w:r>
      <w:bookmarkEnd w:id="128"/>
      <w:bookmarkEnd w:id="129"/>
      <w:bookmarkEnd w:id="130"/>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22年，政府采购支出总额0万元，其中：政府采购货物支出0万元、政府采购工程支出0万元、政府采购服务支出0万元。授予中小企业合同金额0万元，占政府采购支出总额的0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bookmarkEnd w:id="124"/>
      <w:bookmarkEnd w:id="125"/>
      <w:bookmarkEnd w:id="126"/>
      <w:bookmarkEnd w:id="127"/>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日，共有车辆1辆，主要为其他用车1辆，其他用车主要是用于医疗救护。单价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131" w:name="_Toc17288"/>
      <w:bookmarkStart w:id="132" w:name="_Toc24232"/>
      <w:bookmarkStart w:id="133" w:name="_Toc21506"/>
      <w:r>
        <w:rPr>
          <w:rFonts w:hint="eastAsia" w:ascii="仿宋" w:hAnsi="仿宋" w:eastAsia="仿宋"/>
          <w:b/>
          <w:sz w:val="32"/>
          <w:szCs w:val="32"/>
        </w:rPr>
        <w:t>（四）预算绩效管理情况</w:t>
      </w:r>
      <w:bookmarkEnd w:id="131"/>
      <w:bookmarkEnd w:id="132"/>
      <w:bookmarkEnd w:id="133"/>
    </w:p>
    <w:p>
      <w:pPr>
        <w:pStyle w:val="5"/>
        <w:spacing w:before="93"/>
        <w:ind w:firstLine="640" w:firstLineChars="200"/>
        <w:rPr>
          <w:highlight w:val="yellow"/>
        </w:rPr>
      </w:pPr>
      <w:r>
        <w:rPr>
          <w:rFonts w:hint="eastAsia" w:hAnsi="仿宋_GB2312" w:cs="仿宋_GB2312"/>
          <w:sz w:val="32"/>
          <w:szCs w:val="32"/>
        </w:rPr>
        <w:t>根据预算绩效管理要求，本单位在2022年度预算编制阶段，组织对基本公卫服务、村卫生室补助、医疗机构运转等3个项目开展了预算事前绩效评估，对3个项目编制了绩效目标，预算执行过程中，选取3个项目开展绩效监控，组织对3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6"/>
        </w:numPr>
        <w:spacing w:line="600" w:lineRule="exact"/>
        <w:ind w:firstLine="660" w:firstLineChars="150"/>
        <w:jc w:val="center"/>
        <w:outlineLvl w:val="0"/>
        <w:rPr>
          <w:rStyle w:val="28"/>
          <w:rFonts w:ascii="黑体" w:hAnsi="黑体" w:eastAsia="黑体"/>
          <w:b w:val="0"/>
        </w:rPr>
      </w:pPr>
      <w:bookmarkStart w:id="134" w:name="_Toc15377225"/>
      <w:bookmarkStart w:id="135" w:name="_Toc13486"/>
      <w:bookmarkStart w:id="136" w:name="_Toc15396613"/>
      <w:bookmarkStart w:id="137" w:name="_Toc28013"/>
      <w:bookmarkStart w:id="138" w:name="_Toc17757"/>
      <w:r>
        <w:rPr>
          <w:rFonts w:hint="eastAsia" w:ascii="黑体" w:hAnsi="黑体" w:eastAsia="黑体"/>
          <w:sz w:val="44"/>
          <w:szCs w:val="44"/>
        </w:rPr>
        <w:t>名</w:t>
      </w:r>
      <w:r>
        <w:rPr>
          <w:rStyle w:val="28"/>
          <w:rFonts w:hint="eastAsia" w:ascii="黑体" w:hAnsi="黑体" w:eastAsia="黑体"/>
          <w:b w:val="0"/>
        </w:rPr>
        <w:t>词解释</w:t>
      </w:r>
      <w:bookmarkEnd w:id="134"/>
      <w:bookmarkEnd w:id="135"/>
      <w:bookmarkEnd w:id="136"/>
      <w:bookmarkEnd w:id="137"/>
      <w:bookmarkEnd w:id="138"/>
    </w:p>
    <w:p>
      <w:pPr>
        <w:spacing w:line="600" w:lineRule="exact"/>
        <w:jc w:val="left"/>
        <w:rPr>
          <w:rFonts w:ascii="宋体"/>
          <w:b/>
          <w:sz w:val="44"/>
          <w:szCs w:val="44"/>
        </w:rPr>
      </w:pP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w:t>
      </w:r>
    </w:p>
    <w:p>
      <w:pPr>
        <w:pStyle w:val="13"/>
        <w:widowControl/>
        <w:spacing w:beforeAutospacing="0" w:afterAutospacing="0" w:line="30" w:lineRule="atLeast"/>
        <w:ind w:firstLine="640" w:firstLineChars="200"/>
        <w:jc w:val="both"/>
        <w:rPr>
          <w:rFonts w:ascii="仿宋" w:hAnsi="仿宋" w:eastAsia="仿宋" w:cs="仿宋"/>
          <w:sz w:val="32"/>
          <w:szCs w:val="32"/>
        </w:rPr>
      </w:pPr>
      <w:r>
        <w:rPr>
          <w:rFonts w:hint="eastAsia" w:ascii="仿宋" w:hAnsi="仿宋" w:eastAsia="仿宋" w:cs="仿宋"/>
          <w:color w:val="000000"/>
          <w:sz w:val="32"/>
          <w:szCs w:val="32"/>
        </w:rPr>
        <w:t>4.卫生健康支出（类）基层医疗卫生机构（款）其他基层医疗卫生机构支出（项）：指基层医疗机构村卫生室补助支出。</w:t>
      </w:r>
    </w:p>
    <w:p>
      <w:pPr>
        <w:pStyle w:val="13"/>
        <w:widowControl/>
        <w:spacing w:beforeAutospacing="0" w:afterAutospacing="0" w:line="30" w:lineRule="atLeast"/>
        <w:ind w:firstLine="640" w:firstLineChars="200"/>
        <w:jc w:val="both"/>
        <w:rPr>
          <w:rFonts w:ascii="仿宋" w:hAnsi="仿宋" w:eastAsia="仿宋" w:cs="仿宋"/>
          <w:sz w:val="32"/>
          <w:szCs w:val="32"/>
        </w:rPr>
      </w:pPr>
      <w:r>
        <w:rPr>
          <w:rFonts w:hint="eastAsia" w:ascii="仿宋" w:hAnsi="仿宋" w:eastAsia="仿宋" w:cs="仿宋"/>
          <w:color w:val="000000"/>
          <w:sz w:val="32"/>
          <w:szCs w:val="32"/>
        </w:rPr>
        <w:t>5.卫生健康支出（类）公共卫生（款）基本公共卫生服务（项）：指基层医疗机构提供基本公共卫生服务支出。</w:t>
      </w:r>
    </w:p>
    <w:p>
      <w:pPr>
        <w:pStyle w:val="13"/>
        <w:widowControl/>
        <w:spacing w:beforeAutospacing="0" w:afterAutospacing="0" w:line="30" w:lineRule="atLeast"/>
        <w:ind w:firstLine="640" w:firstLineChars="200"/>
        <w:jc w:val="both"/>
        <w:rPr>
          <w:rFonts w:ascii="仿宋" w:hAnsi="仿宋" w:eastAsia="仿宋" w:cs="仿宋"/>
          <w:sz w:val="32"/>
          <w:szCs w:val="32"/>
        </w:rPr>
      </w:pPr>
      <w:r>
        <w:rPr>
          <w:rFonts w:hint="eastAsia" w:ascii="仿宋" w:hAnsi="仿宋" w:eastAsia="仿宋" w:cs="仿宋"/>
          <w:color w:val="000000"/>
          <w:sz w:val="32"/>
          <w:szCs w:val="32"/>
        </w:rPr>
        <w:t>6.社会保障和就业（类）行政事业单位离退休（款）机关事业单位基本养老保险缴费支出（项）：指部门实施养老保险制度由单位缴纳的养老保险费的支出。</w:t>
      </w:r>
    </w:p>
    <w:p>
      <w:pPr>
        <w:pStyle w:val="13"/>
        <w:widowControl/>
        <w:spacing w:beforeAutospacing="0" w:afterAutospacing="0" w:line="30" w:lineRule="atLeast"/>
        <w:ind w:firstLine="640" w:firstLineChars="200"/>
        <w:jc w:val="both"/>
        <w:rPr>
          <w:rFonts w:ascii="仿宋" w:hAnsi="仿宋" w:eastAsia="仿宋" w:cs="仿宋"/>
          <w:sz w:val="32"/>
          <w:szCs w:val="32"/>
        </w:rPr>
      </w:pPr>
      <w:r>
        <w:rPr>
          <w:rFonts w:hint="eastAsia" w:ascii="仿宋" w:hAnsi="仿宋" w:eastAsia="仿宋" w:cs="仿宋"/>
          <w:color w:val="000000"/>
          <w:sz w:val="32"/>
          <w:szCs w:val="32"/>
        </w:rPr>
        <w:t>7.卫生健康（类）行政事业单位医疗（款）事业单位医疗（项）：指事业单位用于缴纳单位基本医疗保险支出。</w:t>
      </w:r>
    </w:p>
    <w:p>
      <w:pPr>
        <w:pStyle w:val="13"/>
        <w:widowControl/>
        <w:spacing w:beforeAutospacing="0" w:afterAutospacing="0" w:line="30" w:lineRule="atLeast"/>
        <w:ind w:firstLine="640" w:firstLineChars="200"/>
        <w:jc w:val="both"/>
        <w:rPr>
          <w:rFonts w:ascii="仿宋" w:hAnsi="仿宋" w:eastAsia="仿宋" w:cs="仿宋"/>
          <w:sz w:val="32"/>
          <w:szCs w:val="32"/>
        </w:rPr>
      </w:pPr>
      <w:r>
        <w:rPr>
          <w:rFonts w:hint="eastAsia" w:ascii="仿宋" w:hAnsi="仿宋" w:eastAsia="仿宋" w:cs="仿宋"/>
          <w:color w:val="000000"/>
          <w:sz w:val="32"/>
          <w:szCs w:val="32"/>
        </w:rPr>
        <w:t>8.住房保障（类）住房改革支出（款）住房公积金（项）：指按照《住房公积金管理条例》的规定，由单位及其在职职工缴存的长期住房储金。</w:t>
      </w:r>
    </w:p>
    <w:p>
      <w:pPr>
        <w:ind w:firstLine="640" w:firstLineChars="200"/>
        <w:rPr>
          <w:rFonts w:ascii="仿宋_GB2312" w:eastAsia="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10</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Fonts w:ascii="黑体" w:hAnsi="黑体" w:eastAsia="黑体"/>
          <w:sz w:val="44"/>
          <w:szCs w:val="44"/>
        </w:rPr>
      </w:pPr>
      <w:bookmarkStart w:id="139" w:name="_Toc26794"/>
      <w:bookmarkStart w:id="140" w:name="_Toc15396614"/>
      <w:bookmarkStart w:id="141" w:name="_Toc24606"/>
      <w:bookmarkStart w:id="142" w:name="_Toc4595"/>
      <w:bookmarkStart w:id="143" w:name="_Toc15377226"/>
    </w:p>
    <w:bookmarkEnd w:id="139"/>
    <w:bookmarkEnd w:id="140"/>
    <w:bookmarkEnd w:id="141"/>
    <w:bookmarkEnd w:id="142"/>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Style w:val="28"/>
          <w:rFonts w:ascii="黑体" w:hAnsi="黑体" w:eastAsia="黑体"/>
          <w:b w:val="0"/>
        </w:rPr>
      </w:pPr>
    </w:p>
    <w:p>
      <w:pPr>
        <w:spacing w:line="600" w:lineRule="exact"/>
        <w:ind w:firstLine="2640" w:firstLineChars="600"/>
        <w:outlineLvl w:val="0"/>
        <w:rPr>
          <w:rFonts w:ascii="仿宋" w:hAnsi="仿宋" w:eastAsia="仿宋"/>
        </w:rPr>
      </w:pPr>
      <w:bookmarkStart w:id="144" w:name="_Toc2907"/>
      <w:bookmarkStart w:id="145" w:name="_Toc15396618"/>
      <w:bookmarkStart w:id="146" w:name="_Toc6896"/>
      <w:bookmarkStart w:id="147" w:name="_Toc15163"/>
      <w:r>
        <w:rPr>
          <w:rFonts w:hint="eastAsia" w:ascii="黑体" w:hAnsi="黑体" w:eastAsia="黑体"/>
          <w:sz w:val="44"/>
          <w:szCs w:val="44"/>
        </w:rPr>
        <w:t>第</w:t>
      </w:r>
      <w:r>
        <w:rPr>
          <w:rStyle w:val="28"/>
          <w:rFonts w:hint="eastAsia" w:ascii="黑体" w:hAnsi="黑体" w:eastAsia="黑体"/>
          <w:b w:val="0"/>
        </w:rPr>
        <w:t>四部分 附表</w:t>
      </w:r>
      <w:bookmarkEnd w:id="143"/>
      <w:bookmarkEnd w:id="144"/>
      <w:bookmarkEnd w:id="145"/>
      <w:bookmarkEnd w:id="146"/>
      <w:bookmarkEnd w:id="147"/>
      <w:bookmarkStart w:id="148" w:name="_Toc15396619"/>
    </w:p>
    <w:p>
      <w:pPr>
        <w:pStyle w:val="3"/>
      </w:pPr>
      <w:bookmarkStart w:id="149" w:name="_Toc17596"/>
      <w:bookmarkStart w:id="150" w:name="_Toc25965"/>
      <w:bookmarkStart w:id="151" w:name="_Toc8137"/>
      <w:r>
        <w:rPr>
          <w:rFonts w:hint="eastAsia" w:ascii="仿宋" w:hAnsi="仿宋" w:eastAsia="仿宋"/>
          <w:b w:val="0"/>
        </w:rPr>
        <w:t>一、收</w:t>
      </w:r>
      <w:r>
        <w:rPr>
          <w:rStyle w:val="29"/>
          <w:rFonts w:hint="eastAsia" w:ascii="仿宋" w:hAnsi="仿宋" w:eastAsia="仿宋"/>
          <w:b w:val="0"/>
          <w:bCs w:val="0"/>
        </w:rPr>
        <w:t>入支出决算总表</w:t>
      </w:r>
      <w:bookmarkEnd w:id="148"/>
      <w:bookmarkEnd w:id="149"/>
      <w:bookmarkEnd w:id="150"/>
      <w:bookmarkEnd w:id="151"/>
    </w:p>
    <w:p>
      <w:pPr>
        <w:pStyle w:val="3"/>
        <w:rPr>
          <w:rFonts w:ascii="仿宋" w:hAnsi="仿宋" w:eastAsia="仿宋"/>
        </w:rPr>
      </w:pPr>
      <w:bookmarkStart w:id="152" w:name="_Toc9692"/>
      <w:bookmarkStart w:id="153" w:name="_Toc6394"/>
      <w:bookmarkStart w:id="154" w:name="_Toc16322"/>
      <w:bookmarkStart w:id="155" w:name="_Toc15396620"/>
      <w:r>
        <w:rPr>
          <w:rFonts w:hint="eastAsia" w:ascii="仿宋" w:hAnsi="仿宋" w:eastAsia="仿宋"/>
          <w:b w:val="0"/>
        </w:rPr>
        <w:t>二、收</w:t>
      </w:r>
      <w:r>
        <w:rPr>
          <w:rStyle w:val="29"/>
          <w:rFonts w:hint="eastAsia" w:ascii="仿宋" w:hAnsi="仿宋" w:eastAsia="仿宋"/>
          <w:b w:val="0"/>
          <w:bCs w:val="0"/>
        </w:rPr>
        <w:t>入决算表</w:t>
      </w:r>
      <w:bookmarkEnd w:id="152"/>
      <w:bookmarkEnd w:id="153"/>
      <w:bookmarkEnd w:id="154"/>
      <w:bookmarkEnd w:id="155"/>
    </w:p>
    <w:p>
      <w:pPr>
        <w:pStyle w:val="3"/>
        <w:rPr>
          <w:rFonts w:ascii="仿宋" w:hAnsi="仿宋" w:eastAsia="仿宋"/>
        </w:rPr>
      </w:pPr>
      <w:bookmarkStart w:id="156" w:name="_Toc24697"/>
      <w:bookmarkStart w:id="157" w:name="_Toc30749"/>
      <w:bookmarkStart w:id="158" w:name="_Toc15396621"/>
      <w:bookmarkStart w:id="159" w:name="_Toc20834"/>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156"/>
      <w:bookmarkEnd w:id="157"/>
      <w:bookmarkEnd w:id="158"/>
      <w:bookmarkEnd w:id="159"/>
    </w:p>
    <w:p>
      <w:pPr>
        <w:pStyle w:val="3"/>
        <w:rPr>
          <w:rFonts w:ascii="仿宋" w:hAnsi="仿宋" w:eastAsia="仿宋"/>
          <w:b w:val="0"/>
        </w:rPr>
      </w:pPr>
      <w:bookmarkStart w:id="160" w:name="_Toc15396622"/>
      <w:bookmarkStart w:id="161" w:name="_Toc4252"/>
      <w:bookmarkStart w:id="162" w:name="_Toc11575"/>
      <w:bookmarkStart w:id="163" w:name="_Toc5336"/>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160"/>
      <w:bookmarkEnd w:id="161"/>
      <w:bookmarkEnd w:id="162"/>
      <w:bookmarkEnd w:id="163"/>
    </w:p>
    <w:p>
      <w:pPr>
        <w:pStyle w:val="3"/>
        <w:rPr>
          <w:rStyle w:val="29"/>
          <w:rFonts w:ascii="仿宋" w:hAnsi="仿宋" w:eastAsia="仿宋"/>
          <w:b w:val="0"/>
          <w:bCs w:val="0"/>
        </w:rPr>
      </w:pPr>
      <w:bookmarkStart w:id="164" w:name="_Toc16441"/>
      <w:bookmarkStart w:id="165" w:name="_Toc15396623"/>
      <w:bookmarkStart w:id="166" w:name="_Toc350"/>
      <w:bookmarkStart w:id="167" w:name="_Toc16906"/>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164"/>
      <w:bookmarkEnd w:id="165"/>
      <w:bookmarkEnd w:id="166"/>
      <w:bookmarkEnd w:id="167"/>
      <w:bookmarkStart w:id="168" w:name="_Toc15396624"/>
    </w:p>
    <w:p>
      <w:pPr>
        <w:pStyle w:val="3"/>
        <w:rPr>
          <w:rFonts w:ascii="仿宋" w:hAnsi="仿宋" w:eastAsia="仿宋"/>
        </w:rPr>
      </w:pPr>
      <w:bookmarkStart w:id="169" w:name="_Toc15901"/>
      <w:bookmarkStart w:id="170" w:name="_Toc15383"/>
      <w:bookmarkStart w:id="171" w:name="_Toc12976"/>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168"/>
      <w:bookmarkEnd w:id="169"/>
      <w:bookmarkEnd w:id="170"/>
      <w:bookmarkEnd w:id="171"/>
    </w:p>
    <w:p>
      <w:pPr>
        <w:pStyle w:val="3"/>
        <w:rPr>
          <w:rFonts w:ascii="仿宋" w:hAnsi="仿宋" w:eastAsia="仿宋"/>
        </w:rPr>
      </w:pPr>
      <w:bookmarkStart w:id="172" w:name="_Toc29120"/>
      <w:bookmarkStart w:id="173" w:name="_Toc15396625"/>
      <w:bookmarkStart w:id="174" w:name="_Toc16318"/>
      <w:bookmarkStart w:id="175" w:name="_Toc21319"/>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172"/>
      <w:bookmarkEnd w:id="173"/>
      <w:bookmarkEnd w:id="174"/>
      <w:bookmarkEnd w:id="175"/>
    </w:p>
    <w:p>
      <w:pPr>
        <w:pStyle w:val="3"/>
        <w:rPr>
          <w:rFonts w:ascii="仿宋" w:hAnsi="仿宋" w:eastAsia="仿宋"/>
        </w:rPr>
      </w:pPr>
      <w:bookmarkStart w:id="176" w:name="_Toc15396626"/>
      <w:bookmarkStart w:id="177" w:name="_Toc11070"/>
      <w:bookmarkStart w:id="178" w:name="_Toc9344"/>
      <w:bookmarkStart w:id="179" w:name="_Toc23101"/>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176"/>
      <w:bookmarkEnd w:id="177"/>
      <w:bookmarkEnd w:id="178"/>
      <w:bookmarkEnd w:id="179"/>
    </w:p>
    <w:p>
      <w:pPr>
        <w:pStyle w:val="3"/>
        <w:rPr>
          <w:rFonts w:ascii="仿宋" w:hAnsi="仿宋" w:eastAsia="仿宋"/>
        </w:rPr>
      </w:pPr>
      <w:bookmarkStart w:id="180" w:name="_Toc15396627"/>
      <w:bookmarkStart w:id="181" w:name="_Toc6076"/>
      <w:bookmarkStart w:id="182" w:name="_Toc2950"/>
      <w:bookmarkStart w:id="183" w:name="_Toc22812"/>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180"/>
      <w:bookmarkEnd w:id="181"/>
      <w:bookmarkEnd w:id="182"/>
      <w:bookmarkEnd w:id="183"/>
    </w:p>
    <w:p>
      <w:pPr>
        <w:pStyle w:val="3"/>
        <w:rPr>
          <w:rFonts w:ascii="仿宋" w:hAnsi="仿宋" w:eastAsia="仿宋"/>
        </w:rPr>
      </w:pPr>
      <w:bookmarkStart w:id="184" w:name="_Toc15396628"/>
      <w:bookmarkStart w:id="185" w:name="_Toc30574"/>
      <w:bookmarkStart w:id="186" w:name="_Toc32307"/>
      <w:bookmarkStart w:id="187" w:name="_Toc12242"/>
      <w:r>
        <w:rPr>
          <w:rStyle w:val="29"/>
          <w:rFonts w:hint="eastAsia" w:ascii="仿宋" w:hAnsi="仿宋" w:eastAsia="仿宋"/>
          <w:b w:val="0"/>
          <w:bCs w:val="0"/>
        </w:rPr>
        <w:t>十、</w:t>
      </w:r>
      <w:bookmarkEnd w:id="184"/>
      <w:r>
        <w:rPr>
          <w:rFonts w:hint="eastAsia" w:ascii="仿宋" w:hAnsi="仿宋" w:eastAsia="仿宋"/>
          <w:b w:val="0"/>
        </w:rPr>
        <w:t>政</w:t>
      </w:r>
      <w:r>
        <w:rPr>
          <w:rStyle w:val="29"/>
          <w:rFonts w:hint="eastAsia" w:ascii="仿宋" w:hAnsi="仿宋" w:eastAsia="仿宋"/>
          <w:b w:val="0"/>
          <w:bCs w:val="0"/>
        </w:rPr>
        <w:t>府性基金预算财政拨款收入支出决算表</w:t>
      </w:r>
      <w:bookmarkEnd w:id="185"/>
      <w:bookmarkEnd w:id="186"/>
      <w:bookmarkEnd w:id="187"/>
    </w:p>
    <w:p>
      <w:pPr>
        <w:pStyle w:val="3"/>
        <w:rPr>
          <w:rFonts w:ascii="仿宋" w:hAnsi="仿宋" w:eastAsia="仿宋"/>
        </w:rPr>
      </w:pPr>
      <w:bookmarkStart w:id="188" w:name="_Toc15396629"/>
      <w:bookmarkStart w:id="189" w:name="_Toc2325"/>
      <w:bookmarkStart w:id="190" w:name="_Toc28978"/>
      <w:bookmarkStart w:id="191" w:name="_Toc23611"/>
      <w:r>
        <w:rPr>
          <w:rStyle w:val="29"/>
          <w:rFonts w:hint="eastAsia" w:ascii="仿宋" w:hAnsi="仿宋" w:eastAsia="仿宋"/>
          <w:b w:val="0"/>
          <w:bCs w:val="0"/>
        </w:rPr>
        <w:t>十一、</w:t>
      </w:r>
      <w:bookmarkEnd w:id="188"/>
      <w:r>
        <w:rPr>
          <w:rFonts w:hint="eastAsia" w:ascii="仿宋" w:hAnsi="仿宋" w:eastAsia="仿宋"/>
          <w:b w:val="0"/>
        </w:rPr>
        <w:t>国</w:t>
      </w:r>
      <w:r>
        <w:rPr>
          <w:rStyle w:val="29"/>
          <w:rFonts w:hint="eastAsia" w:ascii="仿宋" w:hAnsi="仿宋" w:eastAsia="仿宋"/>
          <w:b w:val="0"/>
          <w:bCs w:val="0"/>
        </w:rPr>
        <w:t>有资本经营预算财政拨款收入支出决算表</w:t>
      </w:r>
      <w:bookmarkEnd w:id="189"/>
      <w:bookmarkEnd w:id="190"/>
      <w:bookmarkEnd w:id="191"/>
    </w:p>
    <w:p>
      <w:pPr>
        <w:pStyle w:val="3"/>
        <w:rPr>
          <w:rFonts w:ascii="仿宋" w:hAnsi="仿宋" w:eastAsia="仿宋"/>
        </w:rPr>
      </w:pPr>
      <w:bookmarkStart w:id="192" w:name="_Toc15396630"/>
      <w:bookmarkStart w:id="193" w:name="_Toc5622"/>
      <w:bookmarkStart w:id="194" w:name="_Toc26932"/>
      <w:bookmarkStart w:id="195" w:name="_Toc22541"/>
      <w:r>
        <w:rPr>
          <w:rStyle w:val="29"/>
          <w:rFonts w:hint="eastAsia" w:ascii="仿宋" w:hAnsi="仿宋" w:eastAsia="仿宋"/>
          <w:b w:val="0"/>
          <w:bCs w:val="0"/>
        </w:rPr>
        <w:t>十二、</w:t>
      </w:r>
      <w:bookmarkEnd w:id="192"/>
      <w:r>
        <w:rPr>
          <w:rStyle w:val="29"/>
          <w:rFonts w:hint="eastAsia" w:ascii="仿宋" w:hAnsi="仿宋" w:eastAsia="仿宋"/>
          <w:b w:val="0"/>
          <w:bCs w:val="0"/>
        </w:rPr>
        <w:t>国有资本经营预算财政拨款支出决算表</w:t>
      </w:r>
      <w:bookmarkEnd w:id="193"/>
      <w:bookmarkEnd w:id="194"/>
      <w:bookmarkEnd w:id="195"/>
    </w:p>
    <w:p>
      <w:pPr>
        <w:pStyle w:val="3"/>
        <w:rPr>
          <w:rStyle w:val="29"/>
          <w:rFonts w:ascii="仿宋" w:hAnsi="仿宋" w:eastAsia="仿宋"/>
          <w:b w:val="0"/>
          <w:bCs w:val="0"/>
        </w:rPr>
      </w:pPr>
      <w:bookmarkStart w:id="196" w:name="_Toc15396631"/>
      <w:bookmarkStart w:id="197" w:name="_Toc21189"/>
      <w:bookmarkStart w:id="198" w:name="_Toc14331"/>
      <w:bookmarkStart w:id="199" w:name="_Toc1098"/>
      <w:r>
        <w:rPr>
          <w:rStyle w:val="29"/>
          <w:rFonts w:hint="eastAsia" w:ascii="仿宋" w:hAnsi="仿宋" w:eastAsia="仿宋"/>
          <w:b w:val="0"/>
          <w:bCs w:val="0"/>
        </w:rPr>
        <w:t>十三、</w:t>
      </w:r>
      <w:bookmarkEnd w:id="196"/>
      <w:r>
        <w:rPr>
          <w:rStyle w:val="29"/>
          <w:rFonts w:hint="eastAsia" w:ascii="仿宋" w:hAnsi="仿宋" w:eastAsia="仿宋"/>
          <w:b w:val="0"/>
          <w:bCs w:val="0"/>
        </w:rPr>
        <w:t>财政拨款“三公”经费支出决算表</w:t>
      </w:r>
      <w:bookmarkEnd w:id="197"/>
      <w:bookmarkEnd w:id="198"/>
      <w:bookmarkEnd w:id="199"/>
    </w:p>
    <w:p/>
    <w:p/>
    <w:sectPr>
      <w:headerReference r:id="rId3" w:type="default"/>
      <w:footerReference r:id="rId4" w:type="default"/>
      <w:pgSz w:w="11906" w:h="16838"/>
      <w:pgMar w:top="1440" w:right="1746" w:bottom="1440" w:left="1293" w:header="851" w:footer="992" w:gutter="0"/>
      <w:pgNumType w:start="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C99AF4-EF9D-4869-939C-9196C74849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81949C9F-6407-46E5-B5B3-2F034C04F71B}"/>
  </w:font>
  <w:font w:name="仿宋_GB2312">
    <w:panose1 w:val="02010609030101010101"/>
    <w:charset w:val="86"/>
    <w:family w:val="modern"/>
    <w:pitch w:val="default"/>
    <w:sig w:usb0="00000001" w:usb1="080E0000" w:usb2="00000000" w:usb3="00000000" w:csb0="00040000" w:csb1="00000000"/>
    <w:embedRegular r:id="rId3" w:fontKey="{21DC256E-3F2F-42E4-A685-94117F1FF3AD}"/>
  </w:font>
  <w:font w:name="仿宋">
    <w:panose1 w:val="02010609060101010101"/>
    <w:charset w:val="86"/>
    <w:family w:val="modern"/>
    <w:pitch w:val="default"/>
    <w:sig w:usb0="800002BF" w:usb1="38CF7CFA" w:usb2="00000016" w:usb3="00000000" w:csb0="00040001" w:csb1="00000000"/>
    <w:embedRegular r:id="rId4" w:fontKey="{19F2EB0E-E78B-4096-9118-76B057886ED1}"/>
  </w:font>
  <w:font w:name="方正小标宋简体">
    <w:panose1 w:val="02000000000000000000"/>
    <w:charset w:val="86"/>
    <w:family w:val="auto"/>
    <w:pitch w:val="default"/>
    <w:sig w:usb0="A00002BF" w:usb1="184F6CFA" w:usb2="00000012" w:usb3="00000000" w:csb0="00040001" w:csb1="00000000"/>
    <w:embedRegular r:id="rId5" w:fontKey="{76CE2E38-A8E2-4414-9970-183D31F24C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20</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08024749"/>
    <w:multiLevelType w:val="singleLevel"/>
    <w:tmpl w:val="08024749"/>
    <w:lvl w:ilvl="0" w:tentative="0">
      <w:start w:val="1"/>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abstractNum w:abstractNumId="5">
    <w:nsid w:val="5A2DDD23"/>
    <w:multiLevelType w:val="singleLevel"/>
    <w:tmpl w:val="5A2DDD23"/>
    <w:lvl w:ilvl="0" w:tentative="0">
      <w:start w:val="1"/>
      <w:numFmt w:val="decimal"/>
      <w:suff w:val="nothing"/>
      <w:lvlText w:val="%1、"/>
      <w:lvlJc w:val="left"/>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ExOWY2NTQ1YThjMWM1NjVmYWUwMzRmZWZmNDUzOTg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A6B66"/>
    <w:rsid w:val="003B0BE0"/>
    <w:rsid w:val="003B0C1B"/>
    <w:rsid w:val="003B688C"/>
    <w:rsid w:val="003C0291"/>
    <w:rsid w:val="003C39AE"/>
    <w:rsid w:val="003C7B60"/>
    <w:rsid w:val="003D0C0F"/>
    <w:rsid w:val="003D1F66"/>
    <w:rsid w:val="003D1FB2"/>
    <w:rsid w:val="003D66DA"/>
    <w:rsid w:val="003E1310"/>
    <w:rsid w:val="003E2E74"/>
    <w:rsid w:val="003E6F55"/>
    <w:rsid w:val="003E7DC4"/>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D138C"/>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4E"/>
    <w:rsid w:val="00C533CC"/>
    <w:rsid w:val="00C56F3A"/>
    <w:rsid w:val="00C5751C"/>
    <w:rsid w:val="00C61BFC"/>
    <w:rsid w:val="00C62B85"/>
    <w:rsid w:val="00C65438"/>
    <w:rsid w:val="00C87FD8"/>
    <w:rsid w:val="00C91381"/>
    <w:rsid w:val="00C91CBB"/>
    <w:rsid w:val="00CA08F7"/>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2737"/>
    <w:rsid w:val="036208AE"/>
    <w:rsid w:val="0442248D"/>
    <w:rsid w:val="04FD0A58"/>
    <w:rsid w:val="053A62B5"/>
    <w:rsid w:val="067F20E5"/>
    <w:rsid w:val="084B19FE"/>
    <w:rsid w:val="097053A7"/>
    <w:rsid w:val="09AF3CD4"/>
    <w:rsid w:val="0A2032A3"/>
    <w:rsid w:val="0A2C39C3"/>
    <w:rsid w:val="0AE61DC4"/>
    <w:rsid w:val="0B2E5C8D"/>
    <w:rsid w:val="0B8A37D8"/>
    <w:rsid w:val="0E1E34B1"/>
    <w:rsid w:val="0E8770BF"/>
    <w:rsid w:val="0F4D2659"/>
    <w:rsid w:val="10802373"/>
    <w:rsid w:val="10C055FF"/>
    <w:rsid w:val="118107EC"/>
    <w:rsid w:val="11DD6519"/>
    <w:rsid w:val="11E54A82"/>
    <w:rsid w:val="11F34DC7"/>
    <w:rsid w:val="130D32C4"/>
    <w:rsid w:val="134F73BC"/>
    <w:rsid w:val="13BA3DEE"/>
    <w:rsid w:val="157B135B"/>
    <w:rsid w:val="16BB723D"/>
    <w:rsid w:val="16BF171B"/>
    <w:rsid w:val="173051DB"/>
    <w:rsid w:val="18015F3F"/>
    <w:rsid w:val="182809D4"/>
    <w:rsid w:val="18833979"/>
    <w:rsid w:val="18B07FD1"/>
    <w:rsid w:val="18BF3C55"/>
    <w:rsid w:val="18C43019"/>
    <w:rsid w:val="19265A82"/>
    <w:rsid w:val="1A4C63EB"/>
    <w:rsid w:val="1B2D4623"/>
    <w:rsid w:val="1B714137"/>
    <w:rsid w:val="1BA949C0"/>
    <w:rsid w:val="1BE8440E"/>
    <w:rsid w:val="1BF90DBD"/>
    <w:rsid w:val="1C8036FB"/>
    <w:rsid w:val="1CAB69CA"/>
    <w:rsid w:val="1CB857AF"/>
    <w:rsid w:val="1D0165EA"/>
    <w:rsid w:val="1D155CEE"/>
    <w:rsid w:val="1DC463F0"/>
    <w:rsid w:val="1E01086B"/>
    <w:rsid w:val="1E596E61"/>
    <w:rsid w:val="1E9D2342"/>
    <w:rsid w:val="1F7A3EAC"/>
    <w:rsid w:val="1FC75EE7"/>
    <w:rsid w:val="2003024E"/>
    <w:rsid w:val="204327EB"/>
    <w:rsid w:val="20653333"/>
    <w:rsid w:val="20F57F95"/>
    <w:rsid w:val="210879E4"/>
    <w:rsid w:val="21DD342E"/>
    <w:rsid w:val="222C235B"/>
    <w:rsid w:val="23553279"/>
    <w:rsid w:val="240371BF"/>
    <w:rsid w:val="25711CC6"/>
    <w:rsid w:val="259D724A"/>
    <w:rsid w:val="25C741E6"/>
    <w:rsid w:val="25D32AED"/>
    <w:rsid w:val="260B04D9"/>
    <w:rsid w:val="26D42FC1"/>
    <w:rsid w:val="275639D6"/>
    <w:rsid w:val="27842671"/>
    <w:rsid w:val="27B729CE"/>
    <w:rsid w:val="27F01BB5"/>
    <w:rsid w:val="28235FAE"/>
    <w:rsid w:val="287C29F4"/>
    <w:rsid w:val="29017971"/>
    <w:rsid w:val="295D5CDC"/>
    <w:rsid w:val="29FD04D3"/>
    <w:rsid w:val="2A041897"/>
    <w:rsid w:val="2A506E02"/>
    <w:rsid w:val="2AA9206F"/>
    <w:rsid w:val="2ABE7A3E"/>
    <w:rsid w:val="2C2F7C88"/>
    <w:rsid w:val="2C5219A4"/>
    <w:rsid w:val="2CA234A8"/>
    <w:rsid w:val="2CB75225"/>
    <w:rsid w:val="2E7349E8"/>
    <w:rsid w:val="2EFA178C"/>
    <w:rsid w:val="2F611EBB"/>
    <w:rsid w:val="2F994DA8"/>
    <w:rsid w:val="305D5DD5"/>
    <w:rsid w:val="30B46D73"/>
    <w:rsid w:val="31321010"/>
    <w:rsid w:val="31857392"/>
    <w:rsid w:val="319F7F4E"/>
    <w:rsid w:val="31D9592F"/>
    <w:rsid w:val="31EC7411"/>
    <w:rsid w:val="3240150B"/>
    <w:rsid w:val="326D68D7"/>
    <w:rsid w:val="32EB02D1"/>
    <w:rsid w:val="332E3A59"/>
    <w:rsid w:val="337B4EF0"/>
    <w:rsid w:val="34BC415E"/>
    <w:rsid w:val="34D1479A"/>
    <w:rsid w:val="35136D40"/>
    <w:rsid w:val="35F47172"/>
    <w:rsid w:val="368C11C2"/>
    <w:rsid w:val="383D272C"/>
    <w:rsid w:val="38AC1310"/>
    <w:rsid w:val="38FB6918"/>
    <w:rsid w:val="3942200C"/>
    <w:rsid w:val="399E5685"/>
    <w:rsid w:val="39AE70AB"/>
    <w:rsid w:val="39D41706"/>
    <w:rsid w:val="3A2B217C"/>
    <w:rsid w:val="3A741FEA"/>
    <w:rsid w:val="3AE40CEB"/>
    <w:rsid w:val="3B98710E"/>
    <w:rsid w:val="3C0C0783"/>
    <w:rsid w:val="3CBA7D68"/>
    <w:rsid w:val="3E3F5A34"/>
    <w:rsid w:val="3E772758"/>
    <w:rsid w:val="3F9F3A96"/>
    <w:rsid w:val="3FE45BCB"/>
    <w:rsid w:val="40152228"/>
    <w:rsid w:val="40297A82"/>
    <w:rsid w:val="402B539A"/>
    <w:rsid w:val="41B869D1"/>
    <w:rsid w:val="42755200"/>
    <w:rsid w:val="42AE24C0"/>
    <w:rsid w:val="42E45EE2"/>
    <w:rsid w:val="443000E0"/>
    <w:rsid w:val="44995E27"/>
    <w:rsid w:val="451A55F9"/>
    <w:rsid w:val="45537E57"/>
    <w:rsid w:val="45AD4CB1"/>
    <w:rsid w:val="462F1B6A"/>
    <w:rsid w:val="4685563A"/>
    <w:rsid w:val="4839282C"/>
    <w:rsid w:val="48BF60AB"/>
    <w:rsid w:val="493C27E9"/>
    <w:rsid w:val="496F0BFB"/>
    <w:rsid w:val="496F39ED"/>
    <w:rsid w:val="49FF41D3"/>
    <w:rsid w:val="4A79723B"/>
    <w:rsid w:val="4ADB5A9C"/>
    <w:rsid w:val="4B80311A"/>
    <w:rsid w:val="4BE068DB"/>
    <w:rsid w:val="4BF6002B"/>
    <w:rsid w:val="4C2537F3"/>
    <w:rsid w:val="4C3C28EB"/>
    <w:rsid w:val="4CF17B79"/>
    <w:rsid w:val="4D007DBC"/>
    <w:rsid w:val="4E9E788D"/>
    <w:rsid w:val="4ECE2238"/>
    <w:rsid w:val="508F7316"/>
    <w:rsid w:val="513D15DF"/>
    <w:rsid w:val="51DB4B86"/>
    <w:rsid w:val="52713C1C"/>
    <w:rsid w:val="533D3F0B"/>
    <w:rsid w:val="541225C5"/>
    <w:rsid w:val="543B7A3B"/>
    <w:rsid w:val="54C86632"/>
    <w:rsid w:val="55333C3E"/>
    <w:rsid w:val="577613A7"/>
    <w:rsid w:val="58922210"/>
    <w:rsid w:val="5984568E"/>
    <w:rsid w:val="59A10231"/>
    <w:rsid w:val="59C420EB"/>
    <w:rsid w:val="5AA91A93"/>
    <w:rsid w:val="5B0F7F07"/>
    <w:rsid w:val="5B3C46B5"/>
    <w:rsid w:val="5CF11A01"/>
    <w:rsid w:val="5CF54B1C"/>
    <w:rsid w:val="5D0122A3"/>
    <w:rsid w:val="5D186A5C"/>
    <w:rsid w:val="5D276C9F"/>
    <w:rsid w:val="5EAA549F"/>
    <w:rsid w:val="5FB567E4"/>
    <w:rsid w:val="60E750C3"/>
    <w:rsid w:val="60F63558"/>
    <w:rsid w:val="610417D1"/>
    <w:rsid w:val="618B54F0"/>
    <w:rsid w:val="61D7370C"/>
    <w:rsid w:val="631D35FB"/>
    <w:rsid w:val="634B78F8"/>
    <w:rsid w:val="641D732B"/>
    <w:rsid w:val="644249C0"/>
    <w:rsid w:val="64714F79"/>
    <w:rsid w:val="64CA39A1"/>
    <w:rsid w:val="67C938CC"/>
    <w:rsid w:val="681D1441"/>
    <w:rsid w:val="69630ADE"/>
    <w:rsid w:val="6A0E546F"/>
    <w:rsid w:val="6A4F747A"/>
    <w:rsid w:val="6ACC5E97"/>
    <w:rsid w:val="6B685053"/>
    <w:rsid w:val="6B813CCC"/>
    <w:rsid w:val="6C474C68"/>
    <w:rsid w:val="6C4A05C8"/>
    <w:rsid w:val="6C733137"/>
    <w:rsid w:val="6C746ADF"/>
    <w:rsid w:val="6CA200F0"/>
    <w:rsid w:val="6CF92406"/>
    <w:rsid w:val="6D0A4613"/>
    <w:rsid w:val="6D224DB1"/>
    <w:rsid w:val="6D3B1A89"/>
    <w:rsid w:val="6DCE3893"/>
    <w:rsid w:val="6E571D97"/>
    <w:rsid w:val="6EC17750"/>
    <w:rsid w:val="6F03756C"/>
    <w:rsid w:val="6FB1521A"/>
    <w:rsid w:val="70057314"/>
    <w:rsid w:val="707B1384"/>
    <w:rsid w:val="70D30931"/>
    <w:rsid w:val="71BF4EC2"/>
    <w:rsid w:val="72734D90"/>
    <w:rsid w:val="72BD6505"/>
    <w:rsid w:val="73C92595"/>
    <w:rsid w:val="7412278C"/>
    <w:rsid w:val="74842EFD"/>
    <w:rsid w:val="74E4399C"/>
    <w:rsid w:val="753541F8"/>
    <w:rsid w:val="75E63744"/>
    <w:rsid w:val="763B583E"/>
    <w:rsid w:val="77084DD3"/>
    <w:rsid w:val="777D4AFF"/>
    <w:rsid w:val="78006D3F"/>
    <w:rsid w:val="788D434B"/>
    <w:rsid w:val="78A71992"/>
    <w:rsid w:val="78B82996"/>
    <w:rsid w:val="78D807AF"/>
    <w:rsid w:val="797A667D"/>
    <w:rsid w:val="79E7B28D"/>
    <w:rsid w:val="7B4A207F"/>
    <w:rsid w:val="7BAE6634"/>
    <w:rsid w:val="7BDE7397"/>
    <w:rsid w:val="7CB023B6"/>
    <w:rsid w:val="7D127178"/>
    <w:rsid w:val="7D1961AD"/>
    <w:rsid w:val="7D197119"/>
    <w:rsid w:val="7D2863F0"/>
    <w:rsid w:val="7D851A94"/>
    <w:rsid w:val="7E1F6B85"/>
    <w:rsid w:val="7E33329E"/>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autoRedefine/>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autoRedefine/>
    <w:qFormat/>
    <w:uiPriority w:val="99"/>
    <w:pPr>
      <w:spacing w:beforeLines="30"/>
    </w:pPr>
    <w:rPr>
      <w:rFonts w:ascii="仿宋_GB2312" w:eastAsia="仿宋_GB2312"/>
      <w:kern w:val="0"/>
      <w:sz w:val="30"/>
    </w:rPr>
  </w:style>
  <w:style w:type="paragraph" w:styleId="6">
    <w:name w:val="Body Text Indent"/>
    <w:basedOn w:val="1"/>
    <w:autoRedefine/>
    <w:qFormat/>
    <w:uiPriority w:val="0"/>
    <w:pPr>
      <w:ind w:left="420" w:leftChars="200"/>
    </w:pPr>
  </w:style>
  <w:style w:type="paragraph" w:styleId="7">
    <w:name w:val="toc 3"/>
    <w:basedOn w:val="1"/>
    <w:next w:val="1"/>
    <w:autoRedefine/>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autoRedefine/>
    <w:unhideWhenUsed/>
    <w:qFormat/>
    <w:uiPriority w:val="39"/>
    <w:pPr>
      <w:tabs>
        <w:tab w:val="right" w:leader="dot" w:pos="8296"/>
      </w:tabs>
      <w:ind w:left="420" w:leftChars="200"/>
    </w:pPr>
  </w:style>
  <w:style w:type="paragraph" w:styleId="13">
    <w:name w:val="Normal (Web)"/>
    <w:basedOn w:val="1"/>
    <w:autoRedefine/>
    <w:qFormat/>
    <w:uiPriority w:val="0"/>
    <w:pPr>
      <w:spacing w:beforeAutospacing="1" w:afterAutospacing="1"/>
      <w:jc w:val="left"/>
    </w:pPr>
    <w:rPr>
      <w:kern w:val="0"/>
      <w:sz w:val="24"/>
    </w:rPr>
  </w:style>
  <w:style w:type="paragraph" w:styleId="14">
    <w:name w:val="Body Text First Indent"/>
    <w:basedOn w:val="5"/>
    <w:autoRedefine/>
    <w:qFormat/>
    <w:uiPriority w:val="0"/>
    <w:pPr>
      <w:ind w:firstLine="420" w:firstLineChars="100"/>
    </w:pPr>
  </w:style>
  <w:style w:type="paragraph" w:styleId="15">
    <w:name w:val="Body Text First Indent 2"/>
    <w:basedOn w:val="6"/>
    <w:next w:val="14"/>
    <w:qFormat/>
    <w:uiPriority w:val="0"/>
    <w:pPr>
      <w:ind w:firstLine="420" w:firstLineChars="200"/>
    </w:pPr>
  </w:style>
  <w:style w:type="character" w:styleId="18">
    <w:name w:val="Strong"/>
    <w:basedOn w:val="17"/>
    <w:autoRedefine/>
    <w:qFormat/>
    <w:uiPriority w:val="99"/>
    <w:rPr>
      <w:b/>
    </w:rPr>
  </w:style>
  <w:style w:type="character" w:styleId="19">
    <w:name w:val="Hyperlink"/>
    <w:basedOn w:val="17"/>
    <w:autoRedefine/>
    <w:unhideWhenUsed/>
    <w:qFormat/>
    <w:uiPriority w:val="99"/>
    <w:rPr>
      <w:color w:val="0000FF" w:themeColor="hyperlink"/>
      <w:u w:val="single"/>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0"/>
    <w:autoRedefine/>
    <w:semiHidden/>
    <w:qFormat/>
    <w:locked/>
    <w:uiPriority w:val="99"/>
    <w:rPr>
      <w:sz w:val="18"/>
    </w:rPr>
  </w:style>
  <w:style w:type="character" w:customStyle="1" w:styleId="22">
    <w:name w:val="Footer Char"/>
    <w:basedOn w:val="17"/>
    <w:autoRedefine/>
    <w:semiHidden/>
    <w:qFormat/>
    <w:uiPriority w:val="99"/>
    <w:rPr>
      <w:rFonts w:ascii="Times New Roman" w:hAnsi="Times New Roman"/>
      <w:sz w:val="18"/>
      <w:szCs w:val="18"/>
    </w:rPr>
  </w:style>
  <w:style w:type="character" w:customStyle="1" w:styleId="23">
    <w:name w:val="页脚 Char"/>
    <w:link w:val="9"/>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2"/>
    <w:qFormat/>
    <w:uiPriority w:val="9"/>
    <w:rPr>
      <w:rFonts w:ascii="Times New Roman" w:hAnsi="Times New Roman"/>
      <w:b/>
      <w:bCs/>
      <w:kern w:val="44"/>
      <w:sz w:val="44"/>
      <w:szCs w:val="44"/>
    </w:rPr>
  </w:style>
  <w:style w:type="character" w:customStyle="1" w:styleId="29">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7"/>
    <w:link w:val="8"/>
    <w:semiHidden/>
    <w:qFormat/>
    <w:uiPriority w:val="99"/>
    <w:rPr>
      <w:rFonts w:ascii="Times New Roman" w:hAnsi="Times New Roman"/>
      <w:kern w:val="2"/>
      <w:sz w:val="18"/>
      <w:szCs w:val="18"/>
    </w:rPr>
  </w:style>
  <w:style w:type="character" w:customStyle="1" w:styleId="32">
    <w:name w:val="标题 3 Char"/>
    <w:basedOn w:val="17"/>
    <w:link w:val="4"/>
    <w:qFormat/>
    <w:uiPriority w:val="9"/>
    <w:rPr>
      <w:rFonts w:ascii="Times New Roman" w:hAnsi="Times New Roman"/>
      <w:b/>
      <w:bCs/>
      <w:kern w:val="2"/>
      <w:sz w:val="32"/>
      <w:szCs w:val="32"/>
    </w:rPr>
  </w:style>
  <w:style w:type="paragraph" w:customStyle="1" w:styleId="33">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H:\&#25253;&#34920;&#12289;&#39044;&#31639;&#12289;&#36130;&#21153;&#20998;&#26512;\&#39044;&#31639;&#20915;&#31639;\&#20915;&#31639;\2022&#20915;&#31639;\&#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25253;&#34920;&#12289;&#39044;&#31639;&#12289;&#36130;&#21153;&#20998;&#26512;\&#39044;&#31639;&#20915;&#31639;\&#20915;&#31639;\2022&#20915;&#31639;\&#20844;&#24320;&#21450;&#25209;&#22797;&#26448;&#26009;&#65288;&#20379;&#21442;&#32771;&#65289;\&#30465;&#26412;&#32423;\&#20844;&#24320;&#26448;&#26009;\&#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25253;&#34920;&#12289;&#39044;&#31639;&#12289;&#36130;&#21153;&#20998;&#26512;\&#39044;&#31639;&#20915;&#31639;\&#20915;&#31639;\2022&#20915;&#31639;\&#20844;&#24320;&#21450;&#25209;&#22797;&#26448;&#26009;&#65288;&#20379;&#21442;&#32771;&#65289;\&#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25253;&#34920;&#12289;&#39044;&#31639;&#12289;&#36130;&#21153;&#20998;&#26512;\&#39044;&#31639;&#20915;&#31639;\&#20915;&#31639;\2022&#20915;&#31639;\&#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2013888888889"/>
          <c:y val="0.176388888888889"/>
          <c:w val="0.324305555555556"/>
          <c:h val="0.540509259259259"/>
        </c:manualLayout>
      </c:layout>
      <c:pieChart>
        <c:varyColors val="1"/>
        <c:ser>
          <c:idx val="0"/>
          <c:order val="0"/>
          <c:spPr/>
          <c:explosion val="0"/>
          <c:dLbls>
            <c:delete val="1"/>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delete val="1"/>
            </c:dLbl>
            <c:dLbl>
              <c:idx val="2"/>
              <c:delete val="1"/>
            </c:dLbl>
            <c:dLbl>
              <c:idx val="4"/>
              <c:delete val="1"/>
            </c:dLbl>
            <c:dLbl>
              <c:idx val="5"/>
              <c:layout>
                <c:manualLayout>
                  <c:x val="0.0269434946542406"/>
                  <c:y val="0.104986972647739"/>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188194444444444"/>
                      <c:h val="0.10162037037037"/>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0.256</c:v>
                </c:pt>
                <c:pt idx="1">
                  <c:v>0</c:v>
                </c:pt>
                <c:pt idx="2">
                  <c:v>0</c:v>
                </c:pt>
                <c:pt idx="3">
                  <c:v>0.695</c:v>
                </c:pt>
                <c:pt idx="4">
                  <c:v>0</c:v>
                </c:pt>
                <c:pt idx="5">
                  <c:v>0.049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1</c:v>
                </c:pt>
                <c:pt idx="1">
                  <c:v>0</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Lbls>
            <c:dLbl>
              <c:idx val="0"/>
              <c:layout>
                <c:manualLayout>
                  <c:x val="0.0483216316710411"/>
                  <c:y val="0.09773804316127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53791557305337"/>
                  <c:y val="0.030009113444152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30118110236221"/>
                  <c:y val="-0.1947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[决算公开插图制作示例.xlsx]图6!$A$2:$A$5</c:f>
              <c:strCache>
                <c:ptCount val="4"/>
                <c:pt idx="1">
                  <c:v>社会保障和就业（类）支出</c:v>
                </c:pt>
                <c:pt idx="2">
                  <c:v>卫生健康(类)支出</c:v>
                </c:pt>
                <c:pt idx="3">
                  <c:v>住房保障（类）支出</c:v>
                </c:pt>
              </c:strCache>
            </c:strRef>
          </c:cat>
          <c:val>
            <c:numRef>
              <c:f>[决算公开插图制作示例.xlsx]图6!$B$2:$B$5</c:f>
              <c:numCache>
                <c:formatCode>General</c:formatCode>
                <c:ptCount val="4"/>
                <c:pt idx="1">
                  <c:v>14.28</c:v>
                </c:pt>
                <c:pt idx="2">
                  <c:v>170.1</c:v>
                </c:pt>
                <c:pt idx="3">
                  <c:v>5.6</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egendEntry>
        <c:idx val="0"/>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0.76</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20</Pages>
  <Words>7897</Words>
  <Characters>2845</Characters>
  <Lines>23</Lines>
  <Paragraphs>21</Paragraphs>
  <TotalTime>13</TotalTime>
  <ScaleCrop>false</ScaleCrop>
  <LinksUpToDate>false</LinksUpToDate>
  <CharactersWithSpaces>10721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我有一个小小的科员梦</cp:lastModifiedBy>
  <cp:lastPrinted>2023-07-31T02:35:00Z</cp:lastPrinted>
  <dcterms:modified xsi:type="dcterms:W3CDTF">2024-01-12T01:30:19Z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FF0D765E7F174A08AA23F066C63641C8_12</vt:lpwstr>
  </property>
</Properties>
</file>