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597"/>
      <w:bookmarkStart w:id="3" w:name="_Toc15377193"/>
      <w:bookmarkStart w:id="4" w:name="_Toc15377425"/>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78442"/>
      <w:bookmarkStart w:id="9" w:name="_Toc15377194"/>
      <w:bookmarkStart w:id="10" w:name="_Toc15396598"/>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rPr>
        <w:t>职业高级中学校</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公开时间：2023年10月26日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sz w:val="24"/>
        </w:rPr>
      </w:pPr>
      <w:r>
        <w:rPr>
          <w:rFonts w:hint="eastAsia"/>
          <w:sz w:val="24"/>
        </w:rPr>
        <w:t>（一）单位</w:t>
      </w:r>
      <w:r>
        <w:rPr>
          <w:sz w:val="24"/>
        </w:rPr>
        <w:t>职责</w:t>
      </w:r>
    </w:p>
    <w:p>
      <w:pPr>
        <w:pStyle w:val="12"/>
        <w:adjustRightInd w:val="0"/>
        <w:snapToGrid w:val="0"/>
        <w:spacing w:line="440" w:lineRule="exact"/>
        <w:jc w:val="left"/>
        <w:rPr>
          <w:b/>
          <w:bCs/>
          <w:sz w:val="24"/>
        </w:rPr>
      </w:pPr>
      <w:r>
        <w:rPr>
          <w:rFonts w:hint="eastAsia"/>
          <w:sz w:val="24"/>
        </w:rPr>
        <w:t>（二）2022年重点工作完成情况</w:t>
      </w:r>
    </w:p>
    <w:p>
      <w:pPr>
        <w:pStyle w:val="12"/>
        <w:adjustRightInd w:val="0"/>
        <w:snapToGrid w:val="0"/>
        <w:spacing w:line="440" w:lineRule="exact"/>
        <w:jc w:val="left"/>
        <w:rPr>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w:t>
      </w:r>
    </w:p>
    <w:p>
      <w:pPr>
        <w:spacing w:line="500" w:lineRule="exact"/>
        <w:ind w:firstLine="425" w:firstLineChars="133"/>
        <w:rPr>
          <w:rFonts w:ascii="仿宋" w:hAnsi="仿宋" w:eastAsia="仿宋" w:cs="宋体"/>
          <w:sz w:val="32"/>
          <w:szCs w:val="32"/>
        </w:rPr>
      </w:pPr>
      <w:r>
        <w:rPr>
          <w:rFonts w:hint="eastAsia" w:ascii="仿宋" w:hAnsi="仿宋" w:eastAsia="仿宋" w:cs="宋体"/>
          <w:sz w:val="32"/>
          <w:szCs w:val="32"/>
        </w:rPr>
        <w:t>（一）职业高中（中专）学历教育；</w:t>
      </w:r>
    </w:p>
    <w:p>
      <w:pPr>
        <w:spacing w:line="500" w:lineRule="exact"/>
        <w:ind w:firstLine="425" w:firstLineChars="133"/>
        <w:rPr>
          <w:rFonts w:ascii="仿宋" w:hAnsi="仿宋" w:eastAsia="仿宋" w:cs="宋体"/>
          <w:sz w:val="32"/>
          <w:szCs w:val="32"/>
        </w:rPr>
      </w:pPr>
      <w:r>
        <w:rPr>
          <w:rFonts w:hint="eastAsia" w:ascii="仿宋" w:hAnsi="仿宋" w:eastAsia="仿宋" w:cs="宋体"/>
          <w:sz w:val="32"/>
          <w:szCs w:val="32"/>
        </w:rPr>
        <w:t>（二）职业技能培训；</w:t>
      </w:r>
    </w:p>
    <w:p>
      <w:pPr>
        <w:spacing w:line="500" w:lineRule="exact"/>
        <w:ind w:firstLine="425" w:firstLineChars="133"/>
        <w:rPr>
          <w:rFonts w:ascii="仿宋" w:hAnsi="仿宋" w:eastAsia="仿宋" w:cs="宋体"/>
          <w:sz w:val="32"/>
          <w:szCs w:val="32"/>
        </w:rPr>
      </w:pPr>
      <w:r>
        <w:rPr>
          <w:rFonts w:hint="eastAsia" w:ascii="仿宋" w:hAnsi="仿宋" w:eastAsia="仿宋" w:cs="宋体"/>
          <w:sz w:val="32"/>
          <w:szCs w:val="32"/>
        </w:rPr>
        <w:t>（三）职业技能等级鉴定；</w:t>
      </w:r>
    </w:p>
    <w:p>
      <w:pPr>
        <w:spacing w:line="500" w:lineRule="exact"/>
        <w:ind w:firstLine="425" w:firstLineChars="133"/>
        <w:rPr>
          <w:rFonts w:ascii="仿宋" w:hAnsi="仿宋" w:eastAsia="仿宋"/>
          <w:sz w:val="32"/>
          <w:szCs w:val="32"/>
        </w:rPr>
      </w:pPr>
      <w:r>
        <w:rPr>
          <w:rFonts w:hint="eastAsia" w:ascii="仿宋" w:hAnsi="仿宋" w:eastAsia="仿宋" w:cs="宋体"/>
          <w:sz w:val="32"/>
          <w:szCs w:val="32"/>
        </w:rPr>
        <w:t>（四）正确贯彻执行党和国家的教育方针、政策、法规；</w:t>
      </w:r>
    </w:p>
    <w:p>
      <w:pPr>
        <w:widowControl/>
        <w:spacing w:line="560" w:lineRule="exact"/>
        <w:ind w:firstLine="425" w:firstLineChars="133"/>
        <w:jc w:val="left"/>
        <w:rPr>
          <w:rFonts w:ascii="仿宋" w:hAnsi="仿宋" w:eastAsia="仿宋" w:cs="宋体"/>
          <w:sz w:val="32"/>
          <w:szCs w:val="32"/>
        </w:rPr>
      </w:pPr>
      <w:r>
        <w:rPr>
          <w:rFonts w:hint="eastAsia" w:ascii="仿宋" w:hAnsi="仿宋" w:eastAsia="仿宋" w:cs="宋体"/>
          <w:sz w:val="32"/>
          <w:szCs w:val="32"/>
        </w:rPr>
        <w:t>（五）维护学校的教学秩序，为学生创造良好的学习环境；</w:t>
      </w:r>
    </w:p>
    <w:p>
      <w:pPr>
        <w:widowControl/>
        <w:spacing w:line="560" w:lineRule="exact"/>
        <w:ind w:firstLine="425" w:firstLineChars="133"/>
        <w:jc w:val="left"/>
        <w:rPr>
          <w:rFonts w:ascii="仿宋" w:hAnsi="仿宋" w:eastAsia="仿宋" w:cs="宋体"/>
          <w:sz w:val="32"/>
          <w:szCs w:val="32"/>
        </w:rPr>
      </w:pPr>
      <w:r>
        <w:rPr>
          <w:rFonts w:hint="eastAsia" w:ascii="仿宋" w:hAnsi="仿宋" w:eastAsia="仿宋" w:cs="宋体"/>
          <w:sz w:val="32"/>
          <w:szCs w:val="32"/>
        </w:rPr>
        <w:t>（六）积极稳妥地推进教育改革，按</w:t>
      </w:r>
      <w:r>
        <w:fldChar w:fldCharType="begin"/>
      </w:r>
      <w:r>
        <w:instrText xml:space="preserve"> HYPERLINK "https://www.baidu.com/s?wd=%E6%95%99%E8%82%B2%E8%A7%84%E5%BE%8B&amp;tn=SE_PcZhidaonwhc_ngpagmjz&amp;rsv_dl=gh_pc_zhidao" \t "_blank" </w:instrText>
      </w:r>
      <w:r>
        <w:fldChar w:fldCharType="separate"/>
      </w:r>
      <w:r>
        <w:rPr>
          <w:rFonts w:hint="eastAsia" w:ascii="仿宋" w:hAnsi="仿宋" w:eastAsia="仿宋" w:cs="宋体"/>
          <w:sz w:val="32"/>
          <w:szCs w:val="32"/>
        </w:rPr>
        <w:t>教育规律</w:t>
      </w:r>
      <w:r>
        <w:rPr>
          <w:rFonts w:hint="eastAsia" w:ascii="仿宋" w:hAnsi="仿宋" w:eastAsia="仿宋" w:cs="宋体"/>
          <w:sz w:val="32"/>
          <w:szCs w:val="32"/>
        </w:rPr>
        <w:fldChar w:fldCharType="end"/>
      </w:r>
      <w:r>
        <w:rPr>
          <w:rFonts w:hint="eastAsia" w:ascii="仿宋" w:hAnsi="仿宋" w:eastAsia="仿宋" w:cs="宋体"/>
          <w:sz w:val="32"/>
          <w:szCs w:val="32"/>
        </w:rPr>
        <w:t>办事，不断提高</w:t>
      </w:r>
      <w:r>
        <w:fldChar w:fldCharType="begin"/>
      </w:r>
      <w:r>
        <w:instrText xml:space="preserve"> HYPERLINK "https://www.baidu.com/s?wd=%E6%95%99%E8%82%B2%E8%B4%A8%E9%87%8F&amp;tn=SE_PcZhidaonwhc_ngpagmjz&amp;rsv_dl=gh_pc_zhidao" \t "_blank" </w:instrText>
      </w:r>
      <w:r>
        <w:fldChar w:fldCharType="separate"/>
      </w:r>
      <w:r>
        <w:rPr>
          <w:rFonts w:hint="eastAsia" w:ascii="仿宋" w:hAnsi="仿宋" w:eastAsia="仿宋" w:cs="宋体"/>
          <w:sz w:val="32"/>
          <w:szCs w:val="32"/>
        </w:rPr>
        <w:t>教育质量</w:t>
      </w:r>
      <w:r>
        <w:rPr>
          <w:rFonts w:hint="eastAsia" w:ascii="仿宋" w:hAnsi="仿宋" w:eastAsia="仿宋" w:cs="宋体"/>
          <w:sz w:val="32"/>
          <w:szCs w:val="32"/>
        </w:rPr>
        <w:fldChar w:fldCharType="end"/>
      </w:r>
      <w:r>
        <w:rPr>
          <w:rFonts w:hint="eastAsia" w:ascii="仿宋" w:hAnsi="仿宋" w:eastAsia="仿宋" w:cs="宋体"/>
          <w:sz w:val="32"/>
          <w:szCs w:val="32"/>
        </w:rPr>
        <w:t>；</w:t>
      </w:r>
    </w:p>
    <w:p>
      <w:pPr>
        <w:widowControl/>
        <w:spacing w:line="560" w:lineRule="exact"/>
        <w:ind w:firstLine="425" w:firstLineChars="133"/>
        <w:jc w:val="left"/>
        <w:rPr>
          <w:rFonts w:ascii="仿宋" w:hAnsi="仿宋" w:eastAsia="仿宋" w:cs="宋体"/>
          <w:sz w:val="32"/>
          <w:szCs w:val="32"/>
        </w:rPr>
      </w:pPr>
      <w:r>
        <w:rPr>
          <w:rFonts w:hint="eastAsia" w:ascii="仿宋" w:hAnsi="仿宋" w:eastAsia="仿宋" w:cs="宋体"/>
          <w:sz w:val="32"/>
          <w:szCs w:val="32"/>
        </w:rPr>
        <w:t>（七）根据学校规模，设置学校管理机构，建立健全各项规章制度和</w:t>
      </w:r>
      <w:r>
        <w:fldChar w:fldCharType="begin"/>
      </w:r>
      <w:r>
        <w:instrText xml:space="preserve"> HYPERLINK "https://www.baidu.com/s?wd=%E5%B2%97%E4%BD%8D%E8%B4%A3%E4%BB%BB%E5%88%B6&amp;tn=SE_PcZhidaonwhc_ngpagmjz&amp;rsv_dl=gh_pc_zhidao" \t "_blank" </w:instrText>
      </w:r>
      <w:r>
        <w:fldChar w:fldCharType="separate"/>
      </w:r>
      <w:r>
        <w:rPr>
          <w:rFonts w:hint="eastAsia" w:ascii="仿宋" w:hAnsi="仿宋" w:eastAsia="仿宋" w:cs="宋体"/>
          <w:sz w:val="32"/>
          <w:szCs w:val="32"/>
        </w:rPr>
        <w:t>岗位责任制</w:t>
      </w:r>
      <w:r>
        <w:rPr>
          <w:rFonts w:hint="eastAsia" w:ascii="仿宋" w:hAnsi="仿宋" w:eastAsia="仿宋" w:cs="宋体"/>
          <w:sz w:val="32"/>
          <w:szCs w:val="32"/>
        </w:rPr>
        <w:fldChar w:fldCharType="end"/>
      </w:r>
      <w:r>
        <w:rPr>
          <w:rFonts w:hint="eastAsia" w:ascii="仿宋" w:hAnsi="仿宋" w:eastAsia="仿宋" w:cs="宋体"/>
          <w:sz w:val="32"/>
          <w:szCs w:val="32"/>
        </w:rPr>
        <w:t>；</w:t>
      </w:r>
    </w:p>
    <w:p>
      <w:pPr>
        <w:widowControl/>
        <w:spacing w:line="560" w:lineRule="exact"/>
        <w:ind w:firstLine="425" w:firstLineChars="133"/>
        <w:jc w:val="left"/>
        <w:rPr>
          <w:rFonts w:ascii="仿宋" w:hAnsi="仿宋" w:eastAsia="仿宋" w:cs="宋体"/>
          <w:sz w:val="32"/>
          <w:szCs w:val="32"/>
        </w:rPr>
      </w:pPr>
      <w:r>
        <w:rPr>
          <w:rFonts w:hint="eastAsia" w:ascii="仿宋" w:hAnsi="仿宋" w:eastAsia="仿宋" w:cs="宋体"/>
          <w:sz w:val="32"/>
          <w:szCs w:val="32"/>
        </w:rPr>
        <w:t>（八）坚持教书育人，服务育人，环境育人方针，加强对学生的</w:t>
      </w:r>
      <w:r>
        <w:fldChar w:fldCharType="begin"/>
      </w:r>
      <w:r>
        <w:instrText xml:space="preserve"> HYPERLINK "https://www.baidu.com/s?wd=%E6%80%9D%E6%83%B3%E5%93%81%E5%BE%B7&amp;tn=SE_PcZhidaonwhc_ngpagmjz&amp;rsv_dl=gh_pc_zhidao" \t "_blank" </w:instrText>
      </w:r>
      <w:r>
        <w:fldChar w:fldCharType="separate"/>
      </w:r>
      <w:r>
        <w:rPr>
          <w:rFonts w:hint="eastAsia" w:ascii="仿宋" w:hAnsi="仿宋" w:eastAsia="仿宋" w:cs="宋体"/>
          <w:sz w:val="32"/>
          <w:szCs w:val="32"/>
        </w:rPr>
        <w:t>思想品德</w:t>
      </w:r>
      <w:r>
        <w:rPr>
          <w:rFonts w:hint="eastAsia" w:ascii="仿宋" w:hAnsi="仿宋" w:eastAsia="仿宋" w:cs="宋体"/>
          <w:sz w:val="32"/>
          <w:szCs w:val="32"/>
        </w:rPr>
        <w:fldChar w:fldCharType="end"/>
      </w:r>
      <w:r>
        <w:rPr>
          <w:rFonts w:hint="eastAsia" w:ascii="仿宋" w:hAnsi="仿宋" w:eastAsia="仿宋" w:cs="宋体"/>
          <w:sz w:val="32"/>
          <w:szCs w:val="32"/>
        </w:rPr>
        <w:t>教育，使学生的德智体美全面发展；</w:t>
      </w:r>
      <w:r>
        <w:rPr>
          <w:rFonts w:ascii="仿宋" w:hAnsi="仿宋" w:eastAsia="仿宋" w:cs="宋体"/>
          <w:sz w:val="32"/>
          <w:szCs w:val="32"/>
        </w:rPr>
        <w:br w:type="textWrapping"/>
      </w:r>
      <w:r>
        <w:rPr>
          <w:rFonts w:ascii="仿宋" w:hAnsi="仿宋" w:eastAsia="仿宋" w:cs="宋体"/>
          <w:sz w:val="32"/>
          <w:szCs w:val="32"/>
        </w:rPr>
        <w:t xml:space="preserve">  </w:t>
      </w:r>
      <w:r>
        <w:rPr>
          <w:rFonts w:hint="eastAsia" w:ascii="仿宋" w:hAnsi="仿宋" w:eastAsia="仿宋" w:cs="宋体"/>
          <w:sz w:val="32"/>
          <w:szCs w:val="32"/>
        </w:rPr>
        <w:t xml:space="preserve"> （九）抓好教师队伍建设，使每个教师都热心于教育事业；</w:t>
      </w:r>
    </w:p>
    <w:p>
      <w:pPr>
        <w:pStyle w:val="2"/>
        <w:spacing w:before="93"/>
        <w:ind w:firstLine="425" w:firstLineChars="133"/>
      </w:pPr>
      <w:r>
        <w:rPr>
          <w:rFonts w:hint="eastAsia" w:ascii="仿宋" w:hAnsi="仿宋" w:eastAsia="仿宋" w:cs="宋体"/>
          <w:sz w:val="32"/>
          <w:szCs w:val="32"/>
        </w:rPr>
        <w:t>（十）做好安全防范，保证学生的</w:t>
      </w:r>
      <w:r>
        <w:rPr>
          <w:rFonts w:hint="eastAsia" w:ascii="仿宋" w:hAnsi="仿宋" w:eastAsia="仿宋" w:cs="宋体"/>
          <w:sz w:val="32"/>
          <w:szCs w:val="32"/>
          <w:lang w:eastAsia="zh-CN"/>
        </w:rPr>
        <w:t>人身安全</w:t>
      </w:r>
      <w:r>
        <w:rPr>
          <w:rFonts w:hint="eastAsia" w:ascii="仿宋" w:hAnsi="仿宋" w:eastAsia="仿宋" w:cs="宋体"/>
          <w:sz w:val="32"/>
          <w:szCs w:val="32"/>
        </w:rPr>
        <w:t>。</w:t>
      </w:r>
    </w:p>
    <w:p>
      <w:pPr>
        <w:pStyle w:val="4"/>
        <w:rPr>
          <w:rFonts w:ascii="黑体" w:hAnsi="黑体" w:eastAsia="黑体"/>
          <w:b w:val="0"/>
        </w:rPr>
      </w:pPr>
      <w:r>
        <w:rPr>
          <w:rFonts w:hint="eastAsia" w:ascii="黑体" w:hAnsi="黑体" w:eastAsia="黑体"/>
          <w:b w:val="0"/>
        </w:rPr>
        <w:t>二、机构设置</w:t>
      </w:r>
    </w:p>
    <w:p>
      <w:pPr>
        <w:ind w:firstLine="566" w:firstLineChars="177"/>
        <w:rPr>
          <w:rFonts w:ascii="仿宋" w:hAnsi="仿宋" w:eastAsia="仿宋"/>
          <w:kern w:val="0"/>
          <w:sz w:val="32"/>
          <w:szCs w:val="32"/>
        </w:rPr>
      </w:pPr>
      <w:r>
        <w:rPr>
          <w:rFonts w:hint="eastAsia" w:ascii="仿宋" w:hAnsi="仿宋" w:eastAsia="仿宋"/>
          <w:sz w:val="32"/>
          <w:szCs w:val="32"/>
        </w:rPr>
        <w:t>剑阁职业高级中学校下属二级单位0个，其中行政单位0个，参照公务员法管理的事业单位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bookmarkEnd w:id="14"/>
      <w:bookmarkEnd w:id="15"/>
      <w:r>
        <w:rPr>
          <w:rFonts w:ascii="仿宋" w:hAnsi="仿宋" w:eastAsia="仿宋"/>
          <w:sz w:val="32"/>
          <w:szCs w:val="32"/>
        </w:rPr>
        <w:br w:type="page"/>
      </w:r>
    </w:p>
    <w:p>
      <w:pPr>
        <w:pStyle w:val="3"/>
        <w:ind w:right="440"/>
        <w:jc w:val="center"/>
        <w:rPr>
          <w:rStyle w:val="26"/>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6"/>
          <w:rFonts w:hint="eastAsia" w:ascii="黑体" w:hAnsi="黑体" w:eastAsia="黑体"/>
          <w:b w:val="0"/>
          <w:bCs/>
        </w:rPr>
        <w:t>单位决算情况说明</w:t>
      </w:r>
      <w:bookmarkEnd w:id="16"/>
      <w:bookmarkEnd w:id="17"/>
    </w:p>
    <w:p/>
    <w:p>
      <w:pPr>
        <w:pStyle w:val="25"/>
        <w:numPr>
          <w:ilvl w:val="0"/>
          <w:numId w:val="2"/>
        </w:numPr>
        <w:spacing w:line="600" w:lineRule="exact"/>
        <w:ind w:firstLineChars="0"/>
        <w:outlineLvl w:val="1"/>
        <w:rPr>
          <w:rStyle w:val="27"/>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2022年度收、支总计6129.26万元。与2021年相比，收、支总计各减少6400.29万元，下降51.08</w:t>
      </w:r>
      <w:r>
        <w:rPr>
          <w:rFonts w:ascii="仿宋" w:hAnsi="仿宋" w:eastAsia="仿宋"/>
          <w:sz w:val="32"/>
          <w:szCs w:val="32"/>
        </w:rPr>
        <w:t>%</w:t>
      </w:r>
      <w:r>
        <w:rPr>
          <w:rFonts w:hint="eastAsia" w:ascii="仿宋" w:hAnsi="仿宋" w:eastAsia="仿宋"/>
          <w:sz w:val="32"/>
          <w:szCs w:val="32"/>
        </w:rPr>
        <w:t>。主要变动原因是2021年有政府专项债券资金5000万元，上年结转资金1145.88万元。</w:t>
      </w:r>
    </w:p>
    <w:p>
      <w:pPr>
        <w:pStyle w:val="2"/>
        <w:spacing w:before="93"/>
      </w:pPr>
      <w:r>
        <w:rPr>
          <w:rFonts w:hint="eastAsia"/>
        </w:rPr>
        <w:drawing>
          <wp:inline distT="0" distB="0" distL="0" distR="0">
            <wp:extent cx="4438650" cy="2333625"/>
            <wp:effectExtent l="0" t="0" r="1905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numPr>
          <w:ilvl w:val="0"/>
          <w:numId w:val="2"/>
        </w:numPr>
        <w:spacing w:line="600" w:lineRule="exact"/>
        <w:ind w:firstLineChars="0"/>
        <w:outlineLvl w:val="1"/>
        <w:rPr>
          <w:rStyle w:val="27"/>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22年本年收入合计4983.38万元，其中：一般公共预算财政拨款收入4864.44万元，占97.61</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；事业收入118.94万元，占2.39</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pStyle w:val="2"/>
        <w:spacing w:before="93"/>
      </w:pPr>
      <w:r>
        <w:rPr>
          <w:rFonts w:hint="eastAsia" w:ascii="仿宋" w:hAnsi="仿宋" w:eastAsia="仿宋"/>
          <w:sz w:val="32"/>
          <w:szCs w:val="32"/>
        </w:rPr>
        <w:drawing>
          <wp:inline distT="0" distB="0" distL="0" distR="0">
            <wp:extent cx="4552950" cy="1476375"/>
            <wp:effectExtent l="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5"/>
        <w:numPr>
          <w:ilvl w:val="0"/>
          <w:numId w:val="2"/>
        </w:numPr>
        <w:spacing w:line="600" w:lineRule="exact"/>
        <w:ind w:firstLineChars="0"/>
        <w:outlineLvl w:val="1"/>
        <w:rPr>
          <w:rStyle w:val="27"/>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22年本年支出合计6129.26万元，其中：基本支出5368.46万元，占87.59</w:t>
      </w:r>
      <w:r>
        <w:rPr>
          <w:rFonts w:ascii="仿宋" w:hAnsi="仿宋" w:eastAsia="仿宋"/>
          <w:sz w:val="32"/>
          <w:szCs w:val="32"/>
        </w:rPr>
        <w:t>%</w:t>
      </w:r>
      <w:r>
        <w:rPr>
          <w:rFonts w:hint="eastAsia" w:ascii="仿宋" w:hAnsi="仿宋" w:eastAsia="仿宋"/>
          <w:sz w:val="32"/>
          <w:szCs w:val="32"/>
        </w:rPr>
        <w:t>；项目支出760.80万元，占12.41</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pStyle w:val="2"/>
        <w:spacing w:before="93"/>
        <w:ind w:firstLine="707" w:firstLineChars="221"/>
      </w:pPr>
      <w:r>
        <w:rPr>
          <w:rFonts w:hint="eastAsia" w:ascii="仿宋" w:hAnsi="仿宋" w:eastAsia="仿宋"/>
          <w:sz w:val="32"/>
          <w:szCs w:val="32"/>
          <w:shd w:val="pct10" w:color="auto" w:fill="FFFFFF"/>
        </w:rPr>
        <w:drawing>
          <wp:inline distT="0" distB="0" distL="0" distR="0">
            <wp:extent cx="3190875" cy="2162175"/>
            <wp:effectExtent l="0" t="0" r="952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7"/>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22年财政拨款收、支总计6010.32万元。与</w:t>
      </w:r>
      <w:r>
        <w:rPr>
          <w:rFonts w:ascii="仿宋" w:hAnsi="仿宋" w:eastAsia="仿宋"/>
          <w:sz w:val="32"/>
          <w:szCs w:val="32"/>
        </w:rPr>
        <w:t>20</w:t>
      </w:r>
      <w:r>
        <w:rPr>
          <w:rFonts w:hint="eastAsia" w:ascii="仿宋" w:hAnsi="仿宋" w:eastAsia="仿宋"/>
          <w:sz w:val="32"/>
          <w:szCs w:val="32"/>
        </w:rPr>
        <w:t>21年相比，财政拨款收、支总计各减少4027.45万元，下降40.12</w:t>
      </w:r>
      <w:r>
        <w:rPr>
          <w:rFonts w:ascii="仿宋" w:hAnsi="仿宋" w:eastAsia="仿宋"/>
          <w:sz w:val="32"/>
          <w:szCs w:val="32"/>
        </w:rPr>
        <w:t>%</w:t>
      </w:r>
      <w:r>
        <w:rPr>
          <w:rFonts w:hint="eastAsia" w:ascii="仿宋" w:hAnsi="仿宋" w:eastAsia="仿宋"/>
          <w:sz w:val="32"/>
          <w:szCs w:val="32"/>
        </w:rPr>
        <w:t>。主要变动原因是2021年有政府债券资金5000万元，2022年没有。</w:t>
      </w:r>
    </w:p>
    <w:p>
      <w:pPr>
        <w:spacing w:line="600" w:lineRule="exact"/>
        <w:rPr>
          <w:rFonts w:ascii="仿宋" w:hAnsi="仿宋" w:eastAsia="仿宋"/>
          <w:sz w:val="32"/>
          <w:szCs w:val="32"/>
        </w:rPr>
      </w:pPr>
    </w:p>
    <w:p>
      <w:pPr>
        <w:pStyle w:val="2"/>
        <w:spacing w:before="93"/>
        <w:ind w:firstLine="566" w:firstLineChars="177"/>
      </w:pPr>
      <w:r>
        <w:rPr>
          <w:rFonts w:hint="eastAsia" w:ascii="仿宋" w:hAnsi="仿宋" w:eastAsia="仿宋"/>
          <w:sz w:val="32"/>
          <w:szCs w:val="32"/>
        </w:rPr>
        <w:drawing>
          <wp:inline distT="0" distB="0" distL="0" distR="0">
            <wp:extent cx="4257675" cy="1571625"/>
            <wp:effectExtent l="0" t="0" r="952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22年一般公共预算财政拨款支出6010.32万元，占本年支出合计的98.06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21年相比，一般公共预算财政拨款支出减少275.69万元，下降4.39</w:t>
      </w:r>
      <w:r>
        <w:rPr>
          <w:rFonts w:ascii="仿宋" w:hAnsi="仿宋" w:eastAsia="仿宋"/>
          <w:sz w:val="32"/>
          <w:szCs w:val="32"/>
        </w:rPr>
        <w:t>%</w:t>
      </w:r>
      <w:r>
        <w:rPr>
          <w:rFonts w:hint="eastAsia" w:ascii="仿宋" w:hAnsi="仿宋" w:eastAsia="仿宋"/>
          <w:sz w:val="32"/>
          <w:szCs w:val="32"/>
        </w:rPr>
        <w:t>。主要变动原因是项目支出减少和人员减少。</w:t>
      </w:r>
    </w:p>
    <w:p>
      <w:pPr>
        <w:pStyle w:val="2"/>
        <w:spacing w:before="93"/>
        <w:ind w:firstLine="708" w:firstLineChars="236"/>
      </w:pPr>
      <w:r>
        <w:drawing>
          <wp:inline distT="0" distB="0" distL="0" distR="0">
            <wp:extent cx="3352800" cy="14859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22年一般公共预算财政拨款支出6010.32万元，主要用于以下方面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教育支出5270.85</w:t>
      </w:r>
      <w:r>
        <w:rPr>
          <w:rFonts w:hint="eastAsia" w:ascii="仿宋" w:hAnsi="仿宋" w:eastAsia="仿宋"/>
          <w:sz w:val="32"/>
          <w:szCs w:val="32"/>
        </w:rPr>
        <w:t>万元，占87.70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支出328.65</w:t>
      </w:r>
      <w:r>
        <w:rPr>
          <w:rFonts w:hint="eastAsia" w:ascii="仿宋" w:hAnsi="仿宋" w:eastAsia="仿宋"/>
          <w:sz w:val="32"/>
          <w:szCs w:val="32"/>
        </w:rPr>
        <w:t>万元，占5.47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卫生健康支出164.33</w:t>
      </w:r>
      <w:r>
        <w:rPr>
          <w:rFonts w:hint="eastAsia" w:ascii="仿宋" w:hAnsi="仿宋" w:eastAsia="仿宋"/>
          <w:sz w:val="32"/>
          <w:szCs w:val="32"/>
        </w:rPr>
        <w:t>万元，占2.73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住房保障支出246.49</w:t>
      </w:r>
      <w:r>
        <w:rPr>
          <w:rFonts w:hint="eastAsia" w:ascii="仿宋" w:hAnsi="仿宋" w:eastAsia="仿宋"/>
          <w:sz w:val="32"/>
          <w:szCs w:val="32"/>
        </w:rPr>
        <w:t>万元，占4.10</w:t>
      </w:r>
      <w:r>
        <w:rPr>
          <w:rFonts w:ascii="仿宋" w:hAnsi="仿宋" w:eastAsia="仿宋"/>
          <w:sz w:val="32"/>
          <w:szCs w:val="32"/>
        </w:rPr>
        <w:t>%</w:t>
      </w:r>
      <w:r>
        <w:rPr>
          <w:rFonts w:hint="eastAsia" w:ascii="仿宋" w:hAnsi="仿宋" w:eastAsia="仿宋"/>
          <w:sz w:val="32"/>
          <w:szCs w:val="32"/>
        </w:rPr>
        <w:t>。</w:t>
      </w:r>
    </w:p>
    <w:p>
      <w:pPr>
        <w:pStyle w:val="2"/>
        <w:spacing w:before="93"/>
        <w:rPr>
          <w:rFonts w:ascii="仿宋" w:hAnsi="仿宋" w:eastAsia="仿宋"/>
          <w:sz w:val="32"/>
          <w:szCs w:val="32"/>
        </w:rPr>
      </w:pPr>
      <w:r>
        <w:drawing>
          <wp:inline distT="0" distB="0" distL="114300" distR="114300">
            <wp:extent cx="3660775" cy="2164715"/>
            <wp:effectExtent l="4445" t="4445" r="7620" b="1016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2022年一般公共预算支出决算数为6010.32万元</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1.教育（类）职业教育（款）中等职业教育（项）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支出决算为5164.85万元，完成预算100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社会保障和就业（类）社会保障和就业支出（款）行政事业单位养老支出（项）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支出决算为328.65万元，完成预算100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（类）卫生健康支出（款）行政事业单位医疗（项）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支出决算为164.33万元，完成预算100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Style w:val="16"/>
          <w:rFonts w:ascii="仿宋" w:hAnsi="仿宋" w:eastAsia="仿宋"/>
          <w:b w:val="0"/>
          <w:bCs/>
          <w:sz w:val="32"/>
          <w:szCs w:val="32"/>
        </w:rPr>
      </w:pPr>
      <w:r>
        <w:rPr>
          <w:rStyle w:val="16"/>
          <w:rFonts w:hint="eastAsia" w:ascii="仿宋" w:hAnsi="仿宋" w:eastAsia="仿宋"/>
          <w:bCs/>
          <w:sz w:val="32"/>
          <w:szCs w:val="32"/>
        </w:rPr>
        <w:t>4</w:t>
      </w:r>
      <w:r>
        <w:rPr>
          <w:rStyle w:val="16"/>
          <w:rFonts w:ascii="仿宋" w:hAnsi="仿宋" w:eastAsia="仿宋"/>
          <w:bCs/>
          <w:sz w:val="32"/>
          <w:szCs w:val="32"/>
        </w:rPr>
        <w:t>.</w:t>
      </w:r>
      <w:r>
        <w:rPr>
          <w:rStyle w:val="16"/>
          <w:rFonts w:hint="eastAsia" w:ascii="仿宋" w:hAnsi="仿宋" w:eastAsia="仿宋"/>
          <w:bCs/>
          <w:sz w:val="32"/>
          <w:szCs w:val="32"/>
        </w:rPr>
        <w:t>住房保障支出（类）住房改革支出（款）住房公积金（项）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支出决算为246.49万元，完成预算100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tabs>
          <w:tab w:val="right" w:pos="8306"/>
        </w:tabs>
        <w:spacing w:line="600" w:lineRule="exact"/>
        <w:ind w:firstLine="640"/>
        <w:outlineLvl w:val="1"/>
        <w:rPr>
          <w:rStyle w:val="27"/>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22年一般公共预算财政拨款基本支出5249.52万元，其中：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4162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1087.52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22年“三公”经费财政拨款支出决算为1.52万元，完成预算100</w:t>
      </w:r>
      <w:r>
        <w:rPr>
          <w:rFonts w:ascii="仿宋" w:hAnsi="仿宋" w:eastAsia="仿宋"/>
          <w:sz w:val="32"/>
          <w:szCs w:val="32"/>
        </w:rPr>
        <w:t>%</w:t>
      </w:r>
      <w:r>
        <w:rPr>
          <w:rFonts w:hint="eastAsia" w:ascii="仿宋" w:hAnsi="仿宋" w:eastAsia="仿宋"/>
          <w:sz w:val="32"/>
          <w:szCs w:val="32"/>
        </w:rPr>
        <w:t>，较上年减少0.38万元，下降20%。</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；公务接待费支出决算1.52万元，占100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drawing>
          <wp:anchor distT="0" distB="0" distL="0" distR="0" simplePos="0" relativeHeight="251659264" behindDoc="0" locked="0" layoutInCell="1" allowOverlap="1">
            <wp:simplePos x="0" y="0"/>
            <wp:positionH relativeFrom="column">
              <wp:posOffset>1502410</wp:posOffset>
            </wp:positionH>
            <wp:positionV relativeFrom="paragraph">
              <wp:posOffset>351790</wp:posOffset>
            </wp:positionV>
            <wp:extent cx="2972435" cy="1329690"/>
            <wp:effectExtent l="5080" t="4445" r="9525" b="698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lang w:eastAsia="zh-CN"/>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公务用车运行维护费支出0</w:t>
      </w:r>
      <w:r>
        <w:rPr>
          <w:rFonts w:hint="eastAsia" w:ascii="仿宋_GB2312" w:eastAsia="仿宋_GB2312"/>
          <w:sz w:val="32"/>
          <w:szCs w:val="32"/>
        </w:rPr>
        <w:t>万元。主要用于公务用车燃料费、维修费、过路过桥费、保险费等支出。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公务接待费支出1.52</w:t>
      </w:r>
      <w:r>
        <w:rPr>
          <w:rFonts w:hint="eastAsia" w:ascii="仿宋_GB2312" w:eastAsia="仿宋_GB2312"/>
          <w:sz w:val="32"/>
          <w:szCs w:val="32"/>
        </w:rPr>
        <w:t>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21年减少0.38万元，下降20</w:t>
      </w:r>
      <w:r>
        <w:rPr>
          <w:rFonts w:ascii="仿宋_GB2312" w:eastAsia="仿宋_GB2312"/>
          <w:sz w:val="32"/>
          <w:szCs w:val="32"/>
        </w:rPr>
        <w:t>%</w:t>
      </w:r>
      <w:r>
        <w:rPr>
          <w:rFonts w:hint="eastAsia" w:ascii="仿宋_GB2312" w:eastAsia="仿宋_GB2312"/>
          <w:sz w:val="32"/>
          <w:szCs w:val="32"/>
        </w:rPr>
        <w:t>。主要原因是节省开支。其中：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国内公务接待支出1.52</w:t>
      </w:r>
      <w:r>
        <w:rPr>
          <w:rFonts w:hint="eastAsia" w:ascii="仿宋_GB2312" w:eastAsia="仿宋_GB2312"/>
          <w:sz w:val="32"/>
          <w:szCs w:val="32"/>
        </w:rPr>
        <w:t>万元，主要用于(执行公务、开展业务活动开支的交通费、住宿费、用餐费</w:t>
      </w:r>
      <w:r>
        <w:rPr>
          <w:rFonts w:hint="eastAsia" w:ascii="仿宋_GB2312" w:eastAsia="仿宋_GB2312"/>
          <w:color w:val="auto"/>
          <w:sz w:val="32"/>
          <w:szCs w:val="32"/>
        </w:rPr>
        <w:t>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224</w:t>
      </w:r>
      <w:r>
        <w:rPr>
          <w:rFonts w:hint="eastAsia" w:ascii="仿宋_GB2312" w:eastAsia="仿宋_GB2312"/>
          <w:color w:val="auto"/>
          <w:sz w:val="32"/>
          <w:szCs w:val="32"/>
          <w:highlight w:val="none"/>
        </w:rPr>
        <w:t xml:space="preserve"> 人次（不包括陪同人员）</w:t>
      </w:r>
      <w:r>
        <w:rPr>
          <w:rFonts w:hint="eastAsia" w:ascii="仿宋_GB2312" w:eastAsia="仿宋_GB2312"/>
          <w:sz w:val="32"/>
          <w:szCs w:val="32"/>
          <w:highlight w:val="none"/>
        </w:rPr>
        <w:t>，</w:t>
      </w:r>
      <w:r>
        <w:rPr>
          <w:rFonts w:hint="eastAsia" w:ascii="仿宋_GB2312" w:eastAsia="仿宋_GB2312"/>
          <w:sz w:val="32"/>
          <w:szCs w:val="32"/>
        </w:rPr>
        <w:t>共计支出1.52万元，具体内容包括：接待上级检查</w:t>
      </w:r>
      <w:bookmarkStart w:id="67" w:name="_GoBack"/>
      <w:bookmarkEnd w:id="67"/>
      <w:r>
        <w:rPr>
          <w:rFonts w:hint="eastAsia" w:ascii="仿宋_GB2312" w:eastAsia="仿宋_GB2312"/>
          <w:sz w:val="32"/>
          <w:szCs w:val="32"/>
        </w:rPr>
        <w:t>工作，其他学校参观交流。</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外事接待支出0</w:t>
      </w:r>
      <w:r>
        <w:rPr>
          <w:rFonts w:hint="eastAsia" w:ascii="仿宋_GB2312" w:eastAsia="仿宋_GB2312"/>
          <w:sz w:val="32"/>
          <w:szCs w:val="32"/>
        </w:rPr>
        <w:t>万元，外事接待0批次，0人次（不包括陪同人员），共计支出0万元。</w:t>
      </w:r>
    </w:p>
    <w:p>
      <w:pPr>
        <w:spacing w:line="600" w:lineRule="exact"/>
        <w:ind w:firstLine="640"/>
        <w:outlineLvl w:val="1"/>
        <w:rPr>
          <w:rStyle w:val="27"/>
          <w:rFonts w:ascii="黑体" w:hAnsi="黑体" w:eastAsia="黑体"/>
        </w:rPr>
      </w:pPr>
      <w:bookmarkStart w:id="40" w:name="_Toc15377218"/>
      <w:bookmarkStart w:id="41" w:name="_Toc15396610"/>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7"/>
          <w:rFonts w:ascii="黑体" w:hAnsi="黑体" w:eastAsia="黑体"/>
          <w:b w:val="0"/>
        </w:rPr>
      </w:pPr>
      <w:bookmarkStart w:id="42" w:name="_Toc15377219"/>
      <w:bookmarkStart w:id="43" w:name="_Toc15396611"/>
      <w:r>
        <w:rPr>
          <w:rStyle w:val="27"/>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7"/>
          <w:rFonts w:ascii="黑体" w:hAnsi="黑体" w:eastAsia="黑体"/>
          <w:b w:val="0"/>
        </w:rPr>
      </w:pPr>
      <w:bookmarkStart w:id="44" w:name="_Toc15377221"/>
      <w:bookmarkStart w:id="45" w:name="_Toc15396612"/>
      <w:r>
        <w:rPr>
          <w:rStyle w:val="2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22年，剑阁职中机关运行经费支出0万元，比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22年，剑阁职中政府采购支出总额</w:t>
      </w:r>
      <w:r>
        <w:rPr>
          <w:rFonts w:ascii="仿宋_GB2312" w:eastAsia="仿宋_GB2312"/>
          <w:sz w:val="32"/>
          <w:szCs w:val="32"/>
        </w:rPr>
        <w:t>1,011.56</w:t>
      </w:r>
      <w:r>
        <w:rPr>
          <w:rFonts w:hint="eastAsia" w:ascii="仿宋_GB2312" w:eastAsia="仿宋_GB2312"/>
          <w:sz w:val="32"/>
          <w:szCs w:val="32"/>
        </w:rPr>
        <w:t>万元，其中：政府采购货物支出</w:t>
      </w:r>
      <w:r>
        <w:rPr>
          <w:rFonts w:ascii="仿宋_GB2312" w:eastAsia="仿宋_GB2312"/>
          <w:sz w:val="32"/>
          <w:szCs w:val="32"/>
        </w:rPr>
        <w:t>1,011.56</w:t>
      </w:r>
      <w:r>
        <w:rPr>
          <w:rFonts w:hint="eastAsia" w:ascii="仿宋_GB2312" w:eastAsia="仿宋_GB2312"/>
          <w:sz w:val="32"/>
          <w:szCs w:val="32"/>
        </w:rPr>
        <w:t>万元、政府采购工程支出0万元、政府采购服务支出0万元。授予中小企业合同金额</w:t>
      </w:r>
      <w:r>
        <w:rPr>
          <w:rFonts w:ascii="仿宋_GB2312" w:eastAsia="仿宋_GB2312"/>
          <w:sz w:val="32"/>
          <w:szCs w:val="32"/>
        </w:rPr>
        <w:t>627.31</w:t>
      </w:r>
      <w:r>
        <w:rPr>
          <w:rFonts w:hint="eastAsia" w:ascii="仿宋_GB2312" w:eastAsia="仿宋_GB2312"/>
          <w:sz w:val="32"/>
          <w:szCs w:val="32"/>
        </w:rPr>
        <w:t>万元，占政府采购支出总额的72</w:t>
      </w:r>
      <w:r>
        <w:rPr>
          <w:rFonts w:ascii="仿宋_GB2312" w:eastAsia="仿宋_GB2312"/>
          <w:sz w:val="32"/>
          <w:szCs w:val="32"/>
        </w:rPr>
        <w:t>%</w:t>
      </w:r>
      <w:r>
        <w:rPr>
          <w:rFonts w:hint="eastAsia" w:ascii="仿宋_GB2312" w:eastAsia="仿宋_GB2312"/>
          <w:sz w:val="32"/>
          <w:szCs w:val="32"/>
        </w:rPr>
        <w:t>，其中：授予小微企业合同金额896.54万元，占政府采购支出总额的62</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日，剑阁职中共有车辆0辆，其中：主要领导干部用车0辆、机要通信用车0辆、应急保障用车0辆、其他用车0辆。单价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color w:val="auto"/>
          <w:highlight w:val="yellow"/>
        </w:rPr>
      </w:pPr>
      <w:r>
        <w:rPr>
          <w:rFonts w:hint="eastAsia" w:hAnsi="仿宋_GB2312" w:cs="仿宋_GB2312"/>
          <w:color w:val="auto"/>
          <w:sz w:val="32"/>
          <w:szCs w:val="32"/>
        </w:rPr>
        <w:t>根据预算绩效管理要求，本单位在2022年度预算编制阶段，组织对产教融合建设项目（项目名称）等20个项目开展了预算事前绩效评估，对20个项目编制了绩效目标，预算执行过程中，选取20个项目开展绩效监控，组织对20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6"/>
          <w:rFonts w:hint="eastAsia" w:ascii="黑体" w:hAnsi="黑体" w:eastAsia="黑体"/>
          <w:b w:val="0"/>
        </w:rPr>
        <w:t>词解释</w:t>
      </w:r>
      <w:bookmarkEnd w:id="49"/>
      <w:bookmarkEnd w:id="50"/>
    </w:p>
    <w:p>
      <w:pPr>
        <w:spacing w:line="600" w:lineRule="exact"/>
        <w:jc w:val="left"/>
        <w:rPr>
          <w:rFonts w:ascii="宋体"/>
          <w:b/>
          <w:sz w:val="44"/>
          <w:szCs w:val="44"/>
        </w:rPr>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4"/>
        <w:spacing w:line="560" w:lineRule="exact"/>
        <w:ind w:firstLine="640" w:firstLineChars="200"/>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教育（类）职业教育（款）中等职业教育（项）：指反映各部门举办的中等职业教育支出。</w:t>
      </w:r>
    </w:p>
    <w:p>
      <w:pPr>
        <w:spacing w:line="5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社会保障和就业（类）行政事业单位养老支出（款）事业单位离退休（项）：指反映事业单位开支的离退休经费。</w:t>
      </w:r>
    </w:p>
    <w:p>
      <w:pPr>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sz w:val="32"/>
          <w:szCs w:val="32"/>
        </w:rPr>
        <w:t xml:space="preserve"> 医疗卫生与计划生育（类）医疗保障（款）事业单位医疗（项）：</w:t>
      </w:r>
      <w:r>
        <w:rPr>
          <w:rFonts w:hint="eastAsia" w:ascii="仿宋_GB2312" w:eastAsia="仿宋_GB2312"/>
          <w:color w:val="000000"/>
          <w:sz w:val="32"/>
          <w:szCs w:val="32"/>
        </w:rPr>
        <w:t>指事业单位基本医疗保险缴费经费。</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住房保障支出（类）住房改革支出（款）住房公积金（项）：指反映行政事业单位按人力资源和社会保障部、财政部规定的基本工资和津贴补贴以及按规定比例为职工缴纳的住房公积金。</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spacing w:line="5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仿宋_GB2312" w:hAnsi="仿宋_GB2312" w:eastAsia="仿宋_GB2312" w:cs="仿宋_GB2312"/>
          <w:sz w:val="32"/>
          <w:szCs w:val="32"/>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6"/>
          <w:rFonts w:hint="eastAsia" w:ascii="黑体" w:hAnsi="黑体" w:eastAsia="黑体"/>
          <w:b w:val="0"/>
        </w:rPr>
        <w:t>四部分 附件</w:t>
      </w:r>
      <w:bookmarkEnd w:id="52"/>
    </w:p>
    <w:p>
      <w:pPr>
        <w:spacing w:line="600" w:lineRule="exact"/>
        <w:ind w:firstLine="640" w:firstLineChars="200"/>
        <w:jc w:val="left"/>
        <w:outlineLvl w:val="0"/>
      </w:pPr>
      <w:bookmarkStart w:id="53" w:name="_Toc15396618"/>
      <w:r>
        <w:rPr>
          <w:rFonts w:hint="eastAsia" w:ascii="宋体" w:hAnsi="宋体" w:cs="宋体"/>
          <w:kern w:val="0"/>
          <w:sz w:val="32"/>
          <w:szCs w:val="32"/>
        </w:rPr>
        <w:t xml:space="preserve">  </w:t>
      </w:r>
    </w:p>
    <w:p>
      <w:pPr>
        <w:adjustRightInd w:val="0"/>
        <w:snapToGrid w:val="0"/>
        <w:spacing w:line="580" w:lineRule="exact"/>
        <w:jc w:val="center"/>
        <w:rPr>
          <w:rFonts w:ascii="华文中宋" w:hAnsi="华文中宋" w:eastAsia="华文中宋" w:cs="华文中宋"/>
          <w:b/>
          <w:bCs/>
          <w:sz w:val="40"/>
          <w:szCs w:val="40"/>
          <w:lang w:val="zh-CN"/>
        </w:rPr>
      </w:pPr>
      <w:r>
        <w:rPr>
          <w:rFonts w:hint="eastAsia" w:ascii="华文中宋" w:hAnsi="华文中宋" w:eastAsia="华文中宋" w:cs="华文中宋"/>
          <w:b/>
          <w:bCs/>
          <w:sz w:val="40"/>
          <w:szCs w:val="40"/>
          <w:lang w:val="zh-CN"/>
        </w:rPr>
        <w:t>项目支出绩效自评报告</w:t>
      </w:r>
    </w:p>
    <w:p>
      <w:pPr>
        <w:adjustRightInd w:val="0"/>
        <w:snapToGrid w:val="0"/>
        <w:spacing w:line="580" w:lineRule="exact"/>
        <w:jc w:val="center"/>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（2022年中等职业学校实训设备购置项目）</w:t>
      </w:r>
    </w:p>
    <w:p>
      <w:pPr>
        <w:adjustRightInd w:val="0"/>
        <w:snapToGrid w:val="0"/>
        <w:spacing w:line="580" w:lineRule="exact"/>
        <w:ind w:firstLine="720"/>
        <w:rPr>
          <w:rFonts w:ascii="仿宋_GB2312" w:hAnsi="宋体"/>
          <w:lang w:val="zh-CN"/>
        </w:rPr>
      </w:pPr>
    </w:p>
    <w:p>
      <w:pPr>
        <w:adjustRightInd w:val="0"/>
        <w:snapToGrid w:val="0"/>
        <w:spacing w:line="520" w:lineRule="exact"/>
        <w:ind w:firstLine="720"/>
        <w:rPr>
          <w:rFonts w:ascii="黑体" w:hAnsi="黑体" w:eastAsia="黑体" w:cs="黑体"/>
          <w:b/>
          <w:bCs/>
          <w:sz w:val="32"/>
          <w:szCs w:val="32"/>
          <w:lang w:val="zh-CN"/>
        </w:rPr>
      </w:pPr>
      <w:r>
        <w:rPr>
          <w:rFonts w:hint="eastAsia" w:ascii="黑体" w:hAnsi="黑体" w:eastAsia="黑体" w:cs="黑体"/>
          <w:b/>
          <w:bCs/>
          <w:sz w:val="32"/>
          <w:szCs w:val="32"/>
          <w:lang w:val="zh-CN"/>
        </w:rPr>
        <w:t>一、项目概况</w:t>
      </w:r>
    </w:p>
    <w:p>
      <w:pPr>
        <w:spacing w:line="520" w:lineRule="exact"/>
        <w:ind w:firstLine="645"/>
        <w:jc w:val="left"/>
        <w:rPr>
          <w:rFonts w:ascii="仿宋" w:hAnsi="仿宋" w:eastAsia="仿宋"/>
          <w:sz w:val="32"/>
          <w:szCs w:val="32"/>
        </w:rPr>
      </w:pPr>
      <w:r>
        <w:rPr>
          <w:rFonts w:hint="eastAsia" w:ascii="仿宋_GB2312" w:hAnsi="仿宋_GB2312" w:eastAsia="仿宋_GB2312" w:cs="仿宋_GB2312"/>
          <w:sz w:val="32"/>
          <w:szCs w:val="32"/>
        </w:rPr>
        <w:t>根据剑阁县财政局下达我校2022年改善办学条件设备购资金要求</w:t>
      </w:r>
      <w:r>
        <w:rPr>
          <w:rFonts w:hint="eastAsia" w:ascii="仿宋" w:hAnsi="仿宋" w:eastAsia="仿宋"/>
          <w:sz w:val="32"/>
          <w:szCs w:val="32"/>
        </w:rPr>
        <w:t>，2022年下达我校项目资金106万元，用于改善办学条件设备。</w:t>
      </w:r>
    </w:p>
    <w:p>
      <w:pPr>
        <w:adjustRightInd w:val="0"/>
        <w:snapToGrid w:val="0"/>
        <w:spacing w:line="52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（一）项目资金申报及批复情况。</w:t>
      </w:r>
    </w:p>
    <w:p>
      <w:pPr>
        <w:spacing w:line="520" w:lineRule="exact"/>
        <w:ind w:firstLine="645"/>
        <w:jc w:val="left"/>
        <w:rPr>
          <w:rFonts w:ascii="仿宋" w:hAnsi="仿宋" w:eastAsia="仿宋"/>
          <w:sz w:val="32"/>
          <w:szCs w:val="32"/>
        </w:rPr>
      </w:pPr>
      <w:r>
        <w:rPr>
          <w:rFonts w:hint="eastAsia" w:ascii="仿宋" w:hAnsi="仿宋" w:eastAsia="仿宋"/>
          <w:sz w:val="32"/>
          <w:szCs w:val="32"/>
        </w:rPr>
        <w:t>根据学校建设现代中等职业学校的申请，县财政局下达我校配套资金106万元，用于改善办学条件。</w:t>
      </w:r>
    </w:p>
    <w:p>
      <w:pPr>
        <w:adjustRightInd w:val="0"/>
        <w:snapToGrid w:val="0"/>
        <w:spacing w:line="52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（二）项目绩效目标。</w:t>
      </w:r>
    </w:p>
    <w:p>
      <w:pPr>
        <w:adjustRightInd w:val="0"/>
        <w:snapToGrid w:val="0"/>
        <w:spacing w:line="520" w:lineRule="exact"/>
        <w:ind w:firstLine="720"/>
        <w:rPr>
          <w:rFonts w:ascii="仿宋_GB2312" w:hAnsi="仿宋_GB2312" w:eastAsia="仿宋_GB2312" w:cs="仿宋_GB2312"/>
          <w:sz w:val="32"/>
          <w:szCs w:val="32"/>
        </w:rPr>
      </w:pPr>
      <w:r>
        <w:rPr>
          <w:rFonts w:hint="eastAsia" w:ascii="仿宋" w:hAnsi="仿宋" w:eastAsia="仿宋" w:cs="仿宋"/>
          <w:sz w:val="32"/>
          <w:szCs w:val="32"/>
          <w:lang w:val="zh-CN"/>
        </w:rPr>
        <w:t>根据项目资金使用需求，科学制定项目绩效目标。本次106万元用于实训设备</w:t>
      </w:r>
      <w:r>
        <w:rPr>
          <w:rFonts w:hint="eastAsia" w:ascii="仿宋_GB2312" w:hAnsi="仿宋_GB2312" w:eastAsia="仿宋_GB2312" w:cs="仿宋_GB2312"/>
          <w:sz w:val="32"/>
          <w:szCs w:val="32"/>
        </w:rPr>
        <w:t>。</w:t>
      </w:r>
    </w:p>
    <w:p>
      <w:pPr>
        <w:adjustRightInd w:val="0"/>
        <w:snapToGrid w:val="0"/>
        <w:spacing w:line="60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（三）项目资金申报相符性。</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剑阁职中2022年中职学校改善办学条件资金申报，是按照省厅相关要求组织实施</w:t>
      </w:r>
      <w:r>
        <w:rPr>
          <w:rFonts w:hint="eastAsia" w:ascii="仿宋" w:hAnsi="仿宋" w:eastAsia="仿宋" w:cs="宋体"/>
          <w:color w:val="000000"/>
          <w:kern w:val="0"/>
          <w:sz w:val="32"/>
          <w:szCs w:val="32"/>
        </w:rPr>
        <w:t>。</w:t>
      </w:r>
      <w:r>
        <w:rPr>
          <w:rFonts w:hint="eastAsia" w:ascii="仿宋" w:hAnsi="仿宋" w:eastAsia="仿宋" w:cs="仿宋"/>
          <w:sz w:val="32"/>
          <w:szCs w:val="32"/>
          <w:lang w:val="zh-CN"/>
        </w:rPr>
        <w:t>具体实施内容与申报内容完全相符，申报目标合理可行。</w:t>
      </w:r>
    </w:p>
    <w:p>
      <w:pPr>
        <w:adjustRightInd w:val="0"/>
        <w:snapToGrid w:val="0"/>
        <w:spacing w:line="520" w:lineRule="exact"/>
        <w:ind w:firstLine="720"/>
        <w:rPr>
          <w:rFonts w:ascii="黑体" w:hAnsi="黑体" w:eastAsia="黑体" w:cs="黑体"/>
          <w:b/>
          <w:bCs/>
          <w:sz w:val="32"/>
          <w:szCs w:val="32"/>
          <w:lang w:val="zh-CN"/>
        </w:rPr>
      </w:pPr>
      <w:r>
        <w:rPr>
          <w:rFonts w:hint="eastAsia" w:ascii="黑体" w:hAnsi="黑体" w:eastAsia="黑体" w:cs="黑体"/>
          <w:b/>
          <w:bCs/>
          <w:sz w:val="32"/>
          <w:szCs w:val="32"/>
          <w:lang w:val="zh-CN"/>
        </w:rPr>
        <w:t>二、项目实施及管理情况</w:t>
      </w:r>
    </w:p>
    <w:p>
      <w:pPr>
        <w:adjustRightInd w:val="0"/>
        <w:snapToGrid w:val="0"/>
        <w:spacing w:line="52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ab/>
      </w:r>
      <w:r>
        <w:rPr>
          <w:rFonts w:hint="eastAsia" w:ascii="华文楷体" w:hAnsi="华文楷体" w:eastAsia="华文楷体" w:cs="华文楷体"/>
          <w:b/>
          <w:bCs/>
          <w:sz w:val="32"/>
          <w:szCs w:val="32"/>
          <w:lang w:val="zh-CN"/>
        </w:rPr>
        <w:t>（一）资金计划、到位及使用情况。</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1．资金计划及到位。</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2022年到位资金106万元，到位率100%。资金到位及时。</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2．资金使用。</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截至评价时，资金共支出106万元，支付进度100%。</w:t>
      </w:r>
    </w:p>
    <w:p>
      <w:pPr>
        <w:spacing w:line="520" w:lineRule="exact"/>
        <w:ind w:firstLine="707" w:firstLineChars="221"/>
        <w:jc w:val="left"/>
        <w:rPr>
          <w:rFonts w:ascii="仿宋" w:hAnsi="仿宋" w:eastAsia="仿宋" w:cs="仿宋"/>
          <w:sz w:val="32"/>
          <w:szCs w:val="32"/>
          <w:lang w:val="zh-CN"/>
        </w:rPr>
      </w:pPr>
      <w:r>
        <w:rPr>
          <w:rFonts w:hint="eastAsia" w:ascii="仿宋" w:hAnsi="仿宋" w:eastAsia="仿宋" w:cs="仿宋"/>
          <w:sz w:val="32"/>
          <w:szCs w:val="32"/>
          <w:lang w:val="zh-CN"/>
        </w:rPr>
        <w:t>资金支付严格按照财经法纪和项目资金管理相关要求支付，支付依据合规合法，资金支付严格按照预算执行。</w:t>
      </w:r>
    </w:p>
    <w:p>
      <w:pPr>
        <w:adjustRightInd w:val="0"/>
        <w:snapToGrid w:val="0"/>
        <w:spacing w:line="52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（二）项目财务管理情况。</w:t>
      </w:r>
    </w:p>
    <w:p>
      <w:pPr>
        <w:spacing w:line="520" w:lineRule="exact"/>
        <w:ind w:firstLine="707" w:firstLineChars="221"/>
        <w:jc w:val="left"/>
        <w:rPr>
          <w:rFonts w:ascii="仿宋" w:hAnsi="仿宋" w:eastAsia="仿宋" w:cs="仿宋"/>
          <w:sz w:val="32"/>
          <w:szCs w:val="32"/>
          <w:lang w:val="zh-CN"/>
        </w:rPr>
      </w:pPr>
      <w:r>
        <w:rPr>
          <w:rFonts w:hint="eastAsia" w:ascii="仿宋" w:hAnsi="仿宋" w:eastAsia="仿宋" w:cs="仿宋"/>
          <w:sz w:val="32"/>
          <w:szCs w:val="32"/>
          <w:lang w:val="zh-CN"/>
        </w:rPr>
        <w:t>为了规范项目资金使用及管理，明确组织机构及职责，落实实施和监控管理机制，严格执行国家相关财经制度，建立专项资金的预算、支出管理、决算管理、监督检查与绩效考评制度，确保专项资金能合理合法使用并发挥资金的最大效益。使项目建设管理工作有章可循，有法可依。</w:t>
      </w:r>
    </w:p>
    <w:p>
      <w:pPr>
        <w:spacing w:line="520" w:lineRule="exact"/>
        <w:ind w:firstLine="707" w:firstLineChars="221"/>
        <w:jc w:val="left"/>
        <w:rPr>
          <w:rFonts w:ascii="仿宋" w:hAnsi="仿宋" w:eastAsia="仿宋" w:cs="仿宋"/>
          <w:sz w:val="32"/>
          <w:szCs w:val="32"/>
          <w:lang w:val="zh-CN"/>
        </w:rPr>
      </w:pPr>
      <w:r>
        <w:rPr>
          <w:rFonts w:hint="eastAsia" w:ascii="仿宋" w:hAnsi="仿宋" w:eastAsia="仿宋" w:cs="仿宋"/>
          <w:sz w:val="32"/>
          <w:szCs w:val="32"/>
          <w:lang w:val="zh-CN"/>
        </w:rPr>
        <w:t>根据任务执行要求，对项目资金统一规划管理、单独核算、专款专用。会计核算严格执行示范学校审定的建设方案和任务，建立专项资金管理台账、专款专用，单独核算，做好支出台账，对支出票据的要素、附件、程序严格把关，对资金使用范围、审批权限、项目预算加强管理，随时报告资金的使用进度。资金支付严格遵循项目资金管理办法，严格执行财务管理制度、财务处理及时、会计核算规范。</w:t>
      </w:r>
    </w:p>
    <w:p>
      <w:pPr>
        <w:adjustRightInd w:val="0"/>
        <w:snapToGrid w:val="0"/>
        <w:spacing w:line="52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（三）项目组织实施情况。</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项目建设制定了项目进度计划，并落实阶段工作任务、责任人和协调单位，学校项目建设工作小组按照进度计划按月定期验收检查，发现问题及时纠正，取得经验迅速推广。</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项目建设中涉及的招投标和政府采购、项目公示等，严格按国家要求，按程序规范实施。</w:t>
      </w:r>
    </w:p>
    <w:p>
      <w:pPr>
        <w:adjustRightInd w:val="0"/>
        <w:snapToGrid w:val="0"/>
        <w:spacing w:line="520" w:lineRule="exact"/>
        <w:ind w:firstLine="720"/>
        <w:rPr>
          <w:rFonts w:ascii="黑体" w:hAnsi="黑体" w:eastAsia="黑体" w:cs="黑体"/>
          <w:b/>
          <w:bCs/>
          <w:sz w:val="32"/>
          <w:szCs w:val="32"/>
          <w:lang w:val="zh-CN"/>
        </w:rPr>
      </w:pPr>
      <w:r>
        <w:rPr>
          <w:rFonts w:hint="eastAsia" w:ascii="黑体" w:hAnsi="黑体" w:eastAsia="黑体" w:cs="黑体"/>
          <w:b/>
          <w:bCs/>
          <w:sz w:val="32"/>
          <w:szCs w:val="32"/>
          <w:lang w:val="zh-CN"/>
        </w:rPr>
        <w:t>三、项目绩效情况</w:t>
      </w:r>
      <w:r>
        <w:rPr>
          <w:rFonts w:hint="eastAsia" w:ascii="黑体" w:hAnsi="黑体" w:eastAsia="黑体" w:cs="黑体"/>
          <w:b/>
          <w:bCs/>
          <w:sz w:val="32"/>
          <w:szCs w:val="32"/>
          <w:lang w:val="zh-CN"/>
        </w:rPr>
        <w:tab/>
      </w:r>
    </w:p>
    <w:p>
      <w:pPr>
        <w:adjustRightInd w:val="0"/>
        <w:snapToGrid w:val="0"/>
        <w:spacing w:line="52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（一）项目完成情况。</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剑阁职中2022年学校设备采购项目已完成，项目实施时严控项目质量，严格控制实施成本，项目质量和成本控制较好。</w:t>
      </w:r>
    </w:p>
    <w:p>
      <w:pPr>
        <w:adjustRightInd w:val="0"/>
        <w:snapToGrid w:val="0"/>
        <w:spacing w:line="520" w:lineRule="exact"/>
        <w:ind w:firstLine="720"/>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（二）项目效益情况。</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通过项目建设，必将推动学校生产性实训基地及现代职业教育体系建设等再上新台阶，更好发挥引领、示范和辐射作用，实现学校的可持续、健康发展，推进现代职校建设，项目经济效益体现在每年为社会输送技术技能型人才700多人，社会效益体现在中职毕业生就业率达96%，每年职业教育学生大于3000人，可持续影响指标体现在持续提升学校对地区经济社会发展的贡献力，学生、家长抽样调查满意度指标大于90%。</w:t>
      </w:r>
    </w:p>
    <w:p>
      <w:pPr>
        <w:adjustRightInd w:val="0"/>
        <w:snapToGrid w:val="0"/>
        <w:spacing w:line="520" w:lineRule="exact"/>
        <w:ind w:firstLine="720"/>
        <w:rPr>
          <w:rFonts w:ascii="黑体" w:hAnsi="黑体" w:eastAsia="黑体" w:cs="黑体"/>
          <w:b/>
          <w:bCs/>
          <w:sz w:val="32"/>
          <w:szCs w:val="32"/>
          <w:lang w:val="zh-CN"/>
        </w:rPr>
      </w:pPr>
      <w:r>
        <w:rPr>
          <w:rFonts w:hint="eastAsia" w:ascii="黑体" w:hAnsi="黑体" w:eastAsia="黑体" w:cs="黑体"/>
          <w:b/>
          <w:bCs/>
          <w:sz w:val="32"/>
          <w:szCs w:val="32"/>
          <w:lang w:val="zh-CN"/>
        </w:rPr>
        <w:t>四、问题及建议</w:t>
      </w:r>
    </w:p>
    <w:p>
      <w:pPr>
        <w:adjustRightInd w:val="0"/>
        <w:snapToGrid w:val="0"/>
        <w:spacing w:line="520" w:lineRule="exact"/>
        <w:ind w:firstLine="720"/>
        <w:rPr>
          <w:rFonts w:ascii="仿宋" w:hAnsi="仿宋" w:eastAsia="仿宋" w:cs="仿宋"/>
          <w:sz w:val="32"/>
          <w:szCs w:val="32"/>
          <w:lang w:val="zh-CN"/>
        </w:rPr>
      </w:pPr>
      <w:r>
        <w:rPr>
          <w:rFonts w:hint="eastAsia" w:ascii="华文楷体" w:hAnsi="华文楷体" w:eastAsia="华文楷体" w:cs="华文楷体"/>
          <w:b/>
          <w:bCs/>
          <w:sz w:val="32"/>
          <w:szCs w:val="32"/>
          <w:lang w:val="zh-CN"/>
        </w:rPr>
        <w:t>（一）存在的问题。</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由于学校产教融合债券项目修建的实训大楼正在建设中，各实训室建设的设备采购还不能同步进行。</w:t>
      </w:r>
    </w:p>
    <w:p>
      <w:pPr>
        <w:spacing w:line="520" w:lineRule="exact"/>
        <w:ind w:firstLine="708" w:firstLineChars="221"/>
        <w:rPr>
          <w:rFonts w:ascii="华文楷体" w:hAnsi="华文楷体" w:eastAsia="华文楷体" w:cs="华文楷体"/>
          <w:b/>
          <w:bCs/>
          <w:sz w:val="32"/>
          <w:szCs w:val="32"/>
          <w:lang w:val="zh-CN"/>
        </w:rPr>
      </w:pPr>
      <w:r>
        <w:rPr>
          <w:rFonts w:hint="eastAsia" w:ascii="华文楷体" w:hAnsi="华文楷体" w:eastAsia="华文楷体" w:cs="华文楷体"/>
          <w:b/>
          <w:bCs/>
          <w:sz w:val="32"/>
          <w:szCs w:val="32"/>
          <w:lang w:val="zh-CN"/>
        </w:rPr>
        <w:t>（二）相关建议。</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无。</w:t>
      </w:r>
    </w:p>
    <w:p>
      <w:pPr>
        <w:adjustRightInd w:val="0"/>
        <w:snapToGrid w:val="0"/>
        <w:spacing w:line="520" w:lineRule="exact"/>
        <w:ind w:firstLine="720"/>
        <w:rPr>
          <w:rFonts w:ascii="仿宋" w:hAnsi="仿宋" w:eastAsia="仿宋" w:cs="仿宋"/>
          <w:sz w:val="32"/>
          <w:szCs w:val="32"/>
          <w:lang w:val="zh-CN"/>
        </w:rPr>
      </w:pPr>
      <w:r>
        <w:rPr>
          <w:rFonts w:hint="eastAsia" w:ascii="仿宋" w:hAnsi="仿宋" w:eastAsia="仿宋" w:cs="仿宋"/>
          <w:sz w:val="32"/>
          <w:szCs w:val="32"/>
          <w:lang w:val="zh-CN"/>
        </w:rPr>
        <w:t xml:space="preserve">                四川省剑阁职业高级中学校</w:t>
      </w:r>
    </w:p>
    <w:p>
      <w:pPr>
        <w:pStyle w:val="2"/>
        <w:spacing w:before="93"/>
        <w:rPr>
          <w:rFonts w:hAnsi="Calibri" w:cs="仿宋"/>
          <w:sz w:val="32"/>
          <w:szCs w:val="32"/>
        </w:rPr>
      </w:pPr>
      <w:r>
        <w:rPr>
          <w:rFonts w:hint="eastAsia" w:ascii="仿宋" w:hAnsi="仿宋" w:eastAsia="仿宋" w:cs="仿宋"/>
          <w:sz w:val="32"/>
          <w:szCs w:val="32"/>
          <w:lang w:val="zh-CN"/>
        </w:rPr>
        <w:t xml:space="preserve">                        2023年2月20日</w:t>
      </w:r>
    </w:p>
    <w:p>
      <w:pPr>
        <w:pStyle w:val="2"/>
        <w:spacing w:before="93"/>
        <w:rPr>
          <w:rFonts w:hAnsi="Calibri" w:cs="仿宋"/>
          <w:sz w:val="32"/>
          <w:szCs w:val="32"/>
        </w:rPr>
      </w:pPr>
    </w:p>
    <w:p>
      <w:pPr>
        <w:adjustRightInd w:val="0"/>
        <w:snapToGrid w:val="0"/>
        <w:spacing w:line="580" w:lineRule="exact"/>
        <w:jc w:val="center"/>
        <w:rPr>
          <w:rFonts w:hint="eastAsia" w:ascii="华文中宋" w:hAnsi="华文中宋" w:eastAsia="华文中宋" w:cs="华文中宋"/>
          <w:b/>
          <w:bCs/>
          <w:sz w:val="40"/>
          <w:szCs w:val="40"/>
          <w:lang w:val="zh-CN"/>
        </w:rPr>
      </w:pPr>
    </w:p>
    <w:p>
      <w:pPr>
        <w:adjustRightInd w:val="0"/>
        <w:snapToGrid w:val="0"/>
        <w:spacing w:line="580" w:lineRule="exact"/>
        <w:jc w:val="center"/>
        <w:rPr>
          <w:rFonts w:hint="eastAsia" w:ascii="华文中宋" w:hAnsi="华文中宋" w:eastAsia="华文中宋" w:cs="华文中宋"/>
          <w:b/>
          <w:bCs/>
          <w:sz w:val="40"/>
          <w:szCs w:val="40"/>
          <w:lang w:val="zh-CN"/>
        </w:rPr>
      </w:pPr>
    </w:p>
    <w:p>
      <w:pPr>
        <w:adjustRightInd w:val="0"/>
        <w:snapToGrid w:val="0"/>
        <w:spacing w:line="580" w:lineRule="exact"/>
        <w:jc w:val="center"/>
        <w:rPr>
          <w:rFonts w:hint="eastAsia" w:ascii="华文中宋" w:hAnsi="华文中宋" w:eastAsia="华文中宋" w:cs="华文中宋"/>
          <w:b/>
          <w:bCs/>
          <w:sz w:val="40"/>
          <w:szCs w:val="40"/>
          <w:lang w:val="zh-CN"/>
        </w:rPr>
      </w:pPr>
    </w:p>
    <w:p>
      <w:pPr>
        <w:adjustRightInd w:val="0"/>
        <w:snapToGrid w:val="0"/>
        <w:spacing w:line="580" w:lineRule="exact"/>
        <w:jc w:val="center"/>
        <w:rPr>
          <w:rFonts w:hint="eastAsia" w:ascii="华文中宋" w:hAnsi="华文中宋" w:eastAsia="华文中宋" w:cs="华文中宋"/>
          <w:b/>
          <w:bCs/>
          <w:sz w:val="40"/>
          <w:szCs w:val="40"/>
          <w:lang w:val="zh-CN"/>
        </w:rPr>
      </w:pPr>
    </w:p>
    <w:p>
      <w:pPr>
        <w:adjustRightInd w:val="0"/>
        <w:snapToGrid w:val="0"/>
        <w:spacing w:line="580" w:lineRule="exact"/>
        <w:jc w:val="center"/>
        <w:rPr>
          <w:rFonts w:hint="eastAsia" w:ascii="华文中宋" w:hAnsi="华文中宋" w:eastAsia="华文中宋" w:cs="华文中宋"/>
          <w:b/>
          <w:bCs/>
          <w:sz w:val="40"/>
          <w:szCs w:val="40"/>
          <w:lang w:val="zh-CN"/>
        </w:rPr>
      </w:pPr>
    </w:p>
    <w:p>
      <w:pPr>
        <w:adjustRightInd w:val="0"/>
        <w:snapToGrid w:val="0"/>
        <w:spacing w:line="580" w:lineRule="exact"/>
        <w:jc w:val="center"/>
        <w:rPr>
          <w:rFonts w:hint="eastAsia" w:ascii="华文中宋" w:hAnsi="华文中宋" w:eastAsia="华文中宋" w:cs="华文中宋"/>
          <w:b/>
          <w:bCs/>
          <w:sz w:val="40"/>
          <w:szCs w:val="40"/>
          <w:lang w:val="zh-CN"/>
        </w:rPr>
      </w:pPr>
    </w:p>
    <w:p>
      <w:pPr>
        <w:adjustRightInd w:val="0"/>
        <w:snapToGrid w:val="0"/>
        <w:spacing w:line="580" w:lineRule="exact"/>
        <w:jc w:val="center"/>
        <w:rPr>
          <w:rFonts w:hint="eastAsia" w:ascii="华文中宋" w:hAnsi="华文中宋" w:eastAsia="华文中宋" w:cs="华文中宋"/>
          <w:b/>
          <w:bCs/>
          <w:sz w:val="40"/>
          <w:szCs w:val="40"/>
          <w:lang w:val="zh-CN"/>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pPr>
        <w:pStyle w:val="4"/>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pPr>
        <w:pStyle w:val="4"/>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7"/>
          <w:rFonts w:hint="eastAsia" w:ascii="仿宋" w:hAnsi="仿宋" w:eastAsia="仿宋"/>
          <w:b w:val="0"/>
          <w:bCs w:val="0"/>
        </w:rPr>
        <w:t>十、</w:t>
      </w:r>
      <w:bookmarkEnd w:id="63"/>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pPr>
        <w:pStyle w:val="4"/>
        <w:rPr>
          <w:rFonts w:eastAsia="仿宋"/>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C92F8C-EAE5-4916-970F-1D1F1B8DD5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D289D8B-AD76-439B-AA88-29DECFC3C909}"/>
  </w:font>
  <w:font w:name="Cambria">
    <w:panose1 w:val="02040503050406030204"/>
    <w:charset w:val="00"/>
    <w:family w:val="roman"/>
    <w:pitch w:val="default"/>
    <w:sig w:usb0="E00006FF" w:usb1="420024FF" w:usb2="02000000" w:usb3="00000000" w:csb0="2000019F" w:csb1="00000000"/>
    <w:embedRegular r:id="rId3" w:fontKey="{1C7137A7-D76F-4A33-B968-B32C8EEE5275}"/>
  </w:font>
  <w:font w:name="仿宋_GB2312">
    <w:altName w:val="仿宋"/>
    <w:panose1 w:val="02010609030101010101"/>
    <w:charset w:val="86"/>
    <w:family w:val="modern"/>
    <w:pitch w:val="default"/>
    <w:sig w:usb0="00000000" w:usb1="00000000" w:usb2="00000010" w:usb3="00000000" w:csb0="00040000" w:csb1="00000000"/>
    <w:embedRegular r:id="rId4" w:fontKey="{17424BAF-B668-44F8-B480-6D24D899751E}"/>
  </w:font>
  <w:font w:name="仿宋">
    <w:panose1 w:val="02010609060101010101"/>
    <w:charset w:val="86"/>
    <w:family w:val="modern"/>
    <w:pitch w:val="default"/>
    <w:sig w:usb0="800002BF" w:usb1="38CF7CFA" w:usb2="00000016" w:usb3="00000000" w:csb0="00040001" w:csb1="00000000"/>
    <w:embedRegular r:id="rId5" w:fontKey="{33716A7E-0D84-43A2-B772-D704FF122362}"/>
  </w:font>
  <w:font w:name="方正小标宋简体">
    <w:panose1 w:val="02000000000000000000"/>
    <w:charset w:val="86"/>
    <w:family w:val="script"/>
    <w:pitch w:val="default"/>
    <w:sig w:usb0="00000001" w:usb1="08000000" w:usb2="00000000" w:usb3="00000000" w:csb0="00040000" w:csb1="00000000"/>
    <w:embedRegular r:id="rId6" w:fontKey="{C2DD66F3-E112-4940-A02D-4710A179AE89}"/>
  </w:font>
  <w:font w:name="华文中宋">
    <w:panose1 w:val="02010600040101010101"/>
    <w:charset w:val="86"/>
    <w:family w:val="auto"/>
    <w:pitch w:val="default"/>
    <w:sig w:usb0="00000287" w:usb1="080F0000" w:usb2="00000000" w:usb3="00000000" w:csb0="0004009F" w:csb1="DFD70000"/>
    <w:embedRegular r:id="rId7" w:fontKey="{A83B66FB-C91B-467B-8B94-1EC1DCE2ED29}"/>
  </w:font>
  <w:font w:name="华文楷体">
    <w:panose1 w:val="02010600040101010101"/>
    <w:charset w:val="86"/>
    <w:family w:val="auto"/>
    <w:pitch w:val="default"/>
    <w:sig w:usb0="00000287" w:usb1="080F0000" w:usb2="00000000" w:usb3="00000000" w:csb0="0004009F" w:csb1="DFD70000"/>
    <w:embedRegular r:id="rId8" w:fontKey="{B05392AD-AE74-4968-A62D-22F8345C468C}"/>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01EA7"/>
    <w:rsid w:val="000222C6"/>
    <w:rsid w:val="0002549F"/>
    <w:rsid w:val="000259A8"/>
    <w:rsid w:val="000409D9"/>
    <w:rsid w:val="000468DB"/>
    <w:rsid w:val="0006487A"/>
    <w:rsid w:val="00065F8F"/>
    <w:rsid w:val="00066126"/>
    <w:rsid w:val="00070A43"/>
    <w:rsid w:val="000768F2"/>
    <w:rsid w:val="00086260"/>
    <w:rsid w:val="0009184B"/>
    <w:rsid w:val="0009196E"/>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E2F"/>
    <w:rsid w:val="00114E9B"/>
    <w:rsid w:val="00142216"/>
    <w:rsid w:val="00144D6A"/>
    <w:rsid w:val="0014729F"/>
    <w:rsid w:val="00157BAB"/>
    <w:rsid w:val="00164462"/>
    <w:rsid w:val="001654D1"/>
    <w:rsid w:val="00174518"/>
    <w:rsid w:val="0018106D"/>
    <w:rsid w:val="001877A7"/>
    <w:rsid w:val="00191536"/>
    <w:rsid w:val="00196687"/>
    <w:rsid w:val="001A3C1B"/>
    <w:rsid w:val="001C0962"/>
    <w:rsid w:val="001D073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6C57"/>
    <w:rsid w:val="002B2613"/>
    <w:rsid w:val="002C7CD4"/>
    <w:rsid w:val="002D6D05"/>
    <w:rsid w:val="002F1818"/>
    <w:rsid w:val="002F567B"/>
    <w:rsid w:val="003216A9"/>
    <w:rsid w:val="00335A74"/>
    <w:rsid w:val="0036561B"/>
    <w:rsid w:val="0037013F"/>
    <w:rsid w:val="00380C92"/>
    <w:rsid w:val="00384E74"/>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2B1B"/>
    <w:rsid w:val="00487E5D"/>
    <w:rsid w:val="00491B28"/>
    <w:rsid w:val="004A711F"/>
    <w:rsid w:val="004B199D"/>
    <w:rsid w:val="004B4690"/>
    <w:rsid w:val="004D7BF4"/>
    <w:rsid w:val="004E0A2D"/>
    <w:rsid w:val="004E206B"/>
    <w:rsid w:val="004E6DF7"/>
    <w:rsid w:val="004F0FBD"/>
    <w:rsid w:val="004F6EB0"/>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2750"/>
    <w:rsid w:val="00662C12"/>
    <w:rsid w:val="0066343B"/>
    <w:rsid w:val="00664777"/>
    <w:rsid w:val="006748A4"/>
    <w:rsid w:val="00681A31"/>
    <w:rsid w:val="00683E73"/>
    <w:rsid w:val="006A3141"/>
    <w:rsid w:val="006A5E34"/>
    <w:rsid w:val="006B2422"/>
    <w:rsid w:val="006B2B9A"/>
    <w:rsid w:val="006C1937"/>
    <w:rsid w:val="006F020C"/>
    <w:rsid w:val="006F595C"/>
    <w:rsid w:val="007127B7"/>
    <w:rsid w:val="0071798E"/>
    <w:rsid w:val="007416B6"/>
    <w:rsid w:val="00746F48"/>
    <w:rsid w:val="0075404D"/>
    <w:rsid w:val="0076182A"/>
    <w:rsid w:val="00767B7E"/>
    <w:rsid w:val="007770C3"/>
    <w:rsid w:val="0078196C"/>
    <w:rsid w:val="00784D24"/>
    <w:rsid w:val="00785FBA"/>
    <w:rsid w:val="00786E4A"/>
    <w:rsid w:val="007875EB"/>
    <w:rsid w:val="0079426B"/>
    <w:rsid w:val="007D1682"/>
    <w:rsid w:val="007D312A"/>
    <w:rsid w:val="007D3F19"/>
    <w:rsid w:val="007D5975"/>
    <w:rsid w:val="007E23B0"/>
    <w:rsid w:val="007E23E5"/>
    <w:rsid w:val="007F1991"/>
    <w:rsid w:val="007F2C2F"/>
    <w:rsid w:val="007F55FC"/>
    <w:rsid w:val="007F5665"/>
    <w:rsid w:val="00800112"/>
    <w:rsid w:val="00813348"/>
    <w:rsid w:val="00814455"/>
    <w:rsid w:val="00821C92"/>
    <w:rsid w:val="008253BB"/>
    <w:rsid w:val="0083706E"/>
    <w:rsid w:val="008408F6"/>
    <w:rsid w:val="008423A5"/>
    <w:rsid w:val="00850625"/>
    <w:rsid w:val="00852102"/>
    <w:rsid w:val="00853718"/>
    <w:rsid w:val="00855221"/>
    <w:rsid w:val="00860645"/>
    <w:rsid w:val="00864FC7"/>
    <w:rsid w:val="00871F71"/>
    <w:rsid w:val="00872FD8"/>
    <w:rsid w:val="00885AF4"/>
    <w:rsid w:val="008939CD"/>
    <w:rsid w:val="008B3BC0"/>
    <w:rsid w:val="008B768C"/>
    <w:rsid w:val="008C4DB1"/>
    <w:rsid w:val="008C4EAF"/>
    <w:rsid w:val="008C5176"/>
    <w:rsid w:val="008C7FD0"/>
    <w:rsid w:val="008E1DE7"/>
    <w:rsid w:val="008E707C"/>
    <w:rsid w:val="008E76F3"/>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416A"/>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5DEF"/>
    <w:rsid w:val="00AA41A9"/>
    <w:rsid w:val="00AB64C9"/>
    <w:rsid w:val="00AC3C6A"/>
    <w:rsid w:val="00AD5620"/>
    <w:rsid w:val="00AD656B"/>
    <w:rsid w:val="00AD7C1B"/>
    <w:rsid w:val="00AE16BA"/>
    <w:rsid w:val="00AE1EBE"/>
    <w:rsid w:val="00AE3086"/>
    <w:rsid w:val="00B03C9D"/>
    <w:rsid w:val="00B060AE"/>
    <w:rsid w:val="00B10517"/>
    <w:rsid w:val="00B11A0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264C"/>
    <w:rsid w:val="00B944D6"/>
    <w:rsid w:val="00BB4DF0"/>
    <w:rsid w:val="00BC289F"/>
    <w:rsid w:val="00BC2D50"/>
    <w:rsid w:val="00BC5361"/>
    <w:rsid w:val="00BC5460"/>
    <w:rsid w:val="00BC6B50"/>
    <w:rsid w:val="00BC7F2A"/>
    <w:rsid w:val="00BD0E25"/>
    <w:rsid w:val="00BF5BD6"/>
    <w:rsid w:val="00C03E31"/>
    <w:rsid w:val="00C1671B"/>
    <w:rsid w:val="00C33E72"/>
    <w:rsid w:val="00C354B2"/>
    <w:rsid w:val="00C35554"/>
    <w:rsid w:val="00C42709"/>
    <w:rsid w:val="00C44312"/>
    <w:rsid w:val="00C533CC"/>
    <w:rsid w:val="00C56F3A"/>
    <w:rsid w:val="00C5751C"/>
    <w:rsid w:val="00C61BFC"/>
    <w:rsid w:val="00C62B85"/>
    <w:rsid w:val="00C65438"/>
    <w:rsid w:val="00C87FD8"/>
    <w:rsid w:val="00C91381"/>
    <w:rsid w:val="00C91CBB"/>
    <w:rsid w:val="00CB4E70"/>
    <w:rsid w:val="00CC09B6"/>
    <w:rsid w:val="00CC4868"/>
    <w:rsid w:val="00CC666F"/>
    <w:rsid w:val="00CD1E3F"/>
    <w:rsid w:val="00CE44F6"/>
    <w:rsid w:val="00CE49DA"/>
    <w:rsid w:val="00CE7B61"/>
    <w:rsid w:val="00CF6789"/>
    <w:rsid w:val="00D00095"/>
    <w:rsid w:val="00D114F0"/>
    <w:rsid w:val="00D12AF4"/>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80716"/>
    <w:rsid w:val="053A62B5"/>
    <w:rsid w:val="0A2032A3"/>
    <w:rsid w:val="0B8A37D8"/>
    <w:rsid w:val="10C055FF"/>
    <w:rsid w:val="118107EC"/>
    <w:rsid w:val="11DD6519"/>
    <w:rsid w:val="16BB723D"/>
    <w:rsid w:val="18015F3F"/>
    <w:rsid w:val="1BE8440E"/>
    <w:rsid w:val="1D155CEE"/>
    <w:rsid w:val="20F57F95"/>
    <w:rsid w:val="229E735A"/>
    <w:rsid w:val="240371BF"/>
    <w:rsid w:val="25711CC6"/>
    <w:rsid w:val="25C741E6"/>
    <w:rsid w:val="27842671"/>
    <w:rsid w:val="29FD04D3"/>
    <w:rsid w:val="29FF1F86"/>
    <w:rsid w:val="2ABE7A3E"/>
    <w:rsid w:val="2CA234A8"/>
    <w:rsid w:val="2EFA178C"/>
    <w:rsid w:val="30B46D73"/>
    <w:rsid w:val="319F7F4E"/>
    <w:rsid w:val="35A6787F"/>
    <w:rsid w:val="383D272C"/>
    <w:rsid w:val="39AE70AB"/>
    <w:rsid w:val="3C0C0783"/>
    <w:rsid w:val="3C3E7C69"/>
    <w:rsid w:val="3F9F3A96"/>
    <w:rsid w:val="446F3F18"/>
    <w:rsid w:val="48BF60AB"/>
    <w:rsid w:val="493C27E9"/>
    <w:rsid w:val="496F39ED"/>
    <w:rsid w:val="49FF41D3"/>
    <w:rsid w:val="4BE068DB"/>
    <w:rsid w:val="4BF6002B"/>
    <w:rsid w:val="4ECE2238"/>
    <w:rsid w:val="51DB4B86"/>
    <w:rsid w:val="534447AC"/>
    <w:rsid w:val="55333C3E"/>
    <w:rsid w:val="59C56616"/>
    <w:rsid w:val="5E046B8A"/>
    <w:rsid w:val="635E5A56"/>
    <w:rsid w:val="64CA39A1"/>
    <w:rsid w:val="69630ADE"/>
    <w:rsid w:val="6C4A05C8"/>
    <w:rsid w:val="6D3B1A89"/>
    <w:rsid w:val="71BF4EC2"/>
    <w:rsid w:val="72734D90"/>
    <w:rsid w:val="7412278C"/>
    <w:rsid w:val="79E7B28D"/>
    <w:rsid w:val="7AF366E7"/>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3"/>
    <w:autoRedefine/>
    <w:qFormat/>
    <w:uiPriority w:val="99"/>
    <w:pPr>
      <w:spacing w:beforeLines="30"/>
    </w:pPr>
    <w:rPr>
      <w:rFonts w:ascii="仿宋_GB2312" w:eastAsia="仿宋_GB2312"/>
      <w:kern w:val="0"/>
      <w:sz w:val="30"/>
    </w:rPr>
  </w:style>
  <w:style w:type="paragraph" w:styleId="6">
    <w:name w:val="Body Text Indent"/>
    <w:basedOn w:val="1"/>
    <w:link w:val="32"/>
    <w:semiHidden/>
    <w:unhideWhenUsed/>
    <w:qFormat/>
    <w:uiPriority w:val="99"/>
    <w:pPr>
      <w:spacing w:after="120"/>
      <w:ind w:left="420" w:leftChars="200"/>
    </w:pPr>
  </w:style>
  <w:style w:type="paragraph" w:styleId="7">
    <w:name w:val="toc 3"/>
    <w:basedOn w:val="1"/>
    <w:next w:val="1"/>
    <w:autoRedefine/>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autoRedefine/>
    <w:unhideWhenUsed/>
    <w:qFormat/>
    <w:uiPriority w:val="39"/>
    <w:pPr>
      <w:tabs>
        <w:tab w:val="right" w:leader="dot" w:pos="8296"/>
      </w:tabs>
      <w:ind w:left="420" w:leftChars="200"/>
    </w:pPr>
  </w:style>
  <w:style w:type="paragraph" w:styleId="13">
    <w:name w:val="Body Text First Indent 2"/>
    <w:basedOn w:val="6"/>
    <w:link w:val="33"/>
    <w:semiHidden/>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autoRedefine/>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autoRedefine/>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autoRedefine/>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正文文本缩进 Char"/>
    <w:basedOn w:val="15"/>
    <w:link w:val="6"/>
    <w:autoRedefine/>
    <w:semiHidden/>
    <w:qFormat/>
    <w:uiPriority w:val="99"/>
    <w:rPr>
      <w:rFonts w:ascii="Times New Roman" w:hAnsi="Times New Roman" w:eastAsia="宋体" w:cs="Times New Roman"/>
      <w:kern w:val="2"/>
      <w:sz w:val="21"/>
      <w:szCs w:val="24"/>
    </w:rPr>
  </w:style>
  <w:style w:type="character" w:customStyle="1" w:styleId="33">
    <w:name w:val="正文首行缩进 2 Char"/>
    <w:basedOn w:val="32"/>
    <w:link w:val="13"/>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收支总额</c:v>
                </c:pt>
              </c:strCache>
            </c:strRef>
          </c:tx>
          <c:invertIfNegative val="0"/>
          <c:dLbls>
            <c:delete val="1"/>
          </c:dLbls>
          <c:cat>
            <c:numRef>
              <c:f>Sheet1!$A$2:$A$3</c:f>
              <c:numCache>
                <c:formatCode>General</c:formatCode>
                <c:ptCount val="2"/>
                <c:pt idx="0">
                  <c:v>2021</c:v>
                </c:pt>
                <c:pt idx="1">
                  <c:v>2022</c:v>
                </c:pt>
              </c:numCache>
            </c:numRef>
          </c:cat>
          <c:val>
            <c:numRef>
              <c:f>Sheet1!$B$2:$B$3</c:f>
              <c:numCache>
                <c:formatCode>General</c:formatCode>
                <c:ptCount val="2"/>
                <c:pt idx="0">
                  <c:v>12529.55</c:v>
                </c:pt>
                <c:pt idx="1">
                  <c:v>6129.26</c:v>
                </c:pt>
              </c:numCache>
            </c:numRef>
          </c:val>
        </c:ser>
        <c:dLbls>
          <c:showLegendKey val="0"/>
          <c:showVal val="0"/>
          <c:showCatName val="0"/>
          <c:showSerName val="0"/>
          <c:showPercent val="0"/>
          <c:showBubbleSize val="0"/>
        </c:dLbls>
        <c:gapWidth val="150"/>
        <c:overlap val="100"/>
        <c:axId val="196649344"/>
        <c:axId val="196650880"/>
      </c:barChart>
      <c:catAx>
        <c:axId val="19664934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650880"/>
        <c:crosses val="autoZero"/>
        <c:auto val="1"/>
        <c:lblAlgn val="ctr"/>
        <c:lblOffset val="100"/>
        <c:noMultiLvlLbl val="0"/>
      </c:catAx>
      <c:valAx>
        <c:axId val="196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本年收入</a:t>
            </a:r>
            <a:endParaRPr lang="zh-CN" altLang="en-US"/>
          </a:p>
        </c:rich>
      </c:tx>
      <c:layout/>
      <c:overlay val="0"/>
    </c:title>
    <c:autoTitleDeleted val="0"/>
    <c:plotArea>
      <c:layout/>
      <c:pieChart>
        <c:varyColors val="1"/>
        <c:ser>
          <c:idx val="0"/>
          <c:order val="0"/>
          <c:tx>
            <c:strRef>
              <c:f>Sheet1!$B$1</c:f>
              <c:strCache>
                <c:ptCount val="1"/>
                <c:pt idx="0">
                  <c:v>金额</c:v>
                </c:pt>
              </c:strCache>
            </c:strRef>
          </c:tx>
          <c:explosion val="0"/>
          <c:dPt>
            <c:idx val="0"/>
            <c:bubble3D val="0"/>
          </c:dPt>
          <c:dPt>
            <c:idx val="1"/>
            <c:bubble3D val="0"/>
          </c:dPt>
          <c:dLbls>
            <c:delete val="1"/>
          </c:dLbls>
          <c:cat>
            <c:strRef>
              <c:f>Sheet1!$A$2:$A$3</c:f>
              <c:strCache>
                <c:ptCount val="2"/>
                <c:pt idx="0">
                  <c:v>一般公共预算财政拨款收入</c:v>
                </c:pt>
                <c:pt idx="1">
                  <c:v>事业收入</c:v>
                </c:pt>
              </c:strCache>
            </c:strRef>
          </c:cat>
          <c:val>
            <c:numRef>
              <c:f>Sheet1!$B$2:$B$3</c:f>
              <c:numCache>
                <c:formatCode>General</c:formatCode>
                <c:ptCount val="2"/>
                <c:pt idx="0">
                  <c:v>4864.44</c:v>
                </c:pt>
                <c:pt idx="1">
                  <c:v>118.94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本年支出</a:t>
            </a:r>
            <a:endParaRPr lang="zh-CN"/>
          </a:p>
        </c:rich>
      </c:tx>
      <c:layout/>
      <c:overlay val="0"/>
    </c:title>
    <c:autoTitleDeleted val="0"/>
    <c:plotArea>
      <c:layout>
        <c:manualLayout>
          <c:layoutTarget val="inner"/>
          <c:xMode val="edge"/>
          <c:yMode val="edge"/>
          <c:x val="0.207809114769745"/>
          <c:y val="0.22456131486238"/>
          <c:w val="0.452323621478449"/>
          <c:h val="0.775438596491228"/>
        </c:manualLayout>
      </c:layout>
      <c:pieChart>
        <c:varyColors val="1"/>
        <c:ser>
          <c:idx val="0"/>
          <c:order val="0"/>
          <c:tx>
            <c:strRef>
              <c:f>Sheet1!$B$1</c:f>
              <c:strCache>
                <c:ptCount val="1"/>
                <c:pt idx="0">
                  <c:v>销售额</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5368.46</c:v>
                </c:pt>
                <c:pt idx="1">
                  <c:v>760.8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483450474731"/>
          <c:y val="0.0493132903841565"/>
          <c:w val="0.844516549525269"/>
          <c:h val="0.701421140539251"/>
        </c:manualLayout>
      </c:layout>
      <c:barChart>
        <c:barDir val="col"/>
        <c:grouping val="clustered"/>
        <c:varyColors val="0"/>
        <c:ser>
          <c:idx val="0"/>
          <c:order val="0"/>
          <c:tx>
            <c:strRef>
              <c:f>Sheet1!$B$1</c:f>
              <c:strCache>
                <c:ptCount val="1"/>
                <c:pt idx="0">
                  <c:v>系列 1</c:v>
                </c:pt>
              </c:strCache>
            </c:strRef>
          </c:tx>
          <c:invertIfNegative val="0"/>
          <c:dLbls>
            <c:delete val="1"/>
          </c:dLbls>
          <c:cat>
            <c:strRef>
              <c:f>Sheet1!$A$2:$A$3</c:f>
              <c:strCache>
                <c:ptCount val="2"/>
                <c:pt idx="0">
                  <c:v>2022年</c:v>
                </c:pt>
                <c:pt idx="1">
                  <c:v>2021年</c:v>
                </c:pt>
              </c:strCache>
            </c:strRef>
          </c:cat>
          <c:val>
            <c:numRef>
              <c:f>Sheet1!$B$2:$B$3</c:f>
              <c:numCache>
                <c:formatCode>General</c:formatCode>
                <c:ptCount val="2"/>
                <c:pt idx="0">
                  <c:v>6010.32</c:v>
                </c:pt>
                <c:pt idx="1">
                  <c:v>10037.77</c:v>
                </c:pt>
              </c:numCache>
            </c:numRef>
          </c:val>
        </c:ser>
        <c:dLbls>
          <c:showLegendKey val="0"/>
          <c:showVal val="0"/>
          <c:showCatName val="0"/>
          <c:showSerName val="0"/>
          <c:showPercent val="0"/>
          <c:showBubbleSize val="0"/>
        </c:dLbls>
        <c:gapWidth val="150"/>
        <c:axId val="196442752"/>
        <c:axId val="196452736"/>
      </c:barChart>
      <c:catAx>
        <c:axId val="1964427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452736"/>
        <c:crosses val="autoZero"/>
        <c:auto val="1"/>
        <c:lblAlgn val="ctr"/>
        <c:lblOffset val="100"/>
        <c:noMultiLvlLbl val="0"/>
      </c:catAx>
      <c:valAx>
        <c:axId val="196452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44275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32731846019"/>
          <c:y val="0.113000138140627"/>
          <c:w val="0.836611712598425"/>
          <c:h val="0.74070783257356"/>
        </c:manualLayout>
      </c:layout>
      <c:barChart>
        <c:barDir val="col"/>
        <c:grouping val="clustered"/>
        <c:varyColors val="0"/>
        <c:ser>
          <c:idx val="0"/>
          <c:order val="0"/>
          <c:tx>
            <c:strRef>
              <c:f>Sheet1!$B$1</c:f>
              <c:strCache>
                <c:ptCount val="1"/>
                <c:pt idx="0">
                  <c:v>系列 1</c:v>
                </c:pt>
              </c:strCache>
            </c:strRef>
          </c:tx>
          <c:invertIfNegative val="0"/>
          <c:dLbls>
            <c:delete val="1"/>
          </c:dLbls>
          <c:cat>
            <c:strRef>
              <c:f>Sheet1!$A$2:$A$3</c:f>
              <c:strCache>
                <c:ptCount val="2"/>
                <c:pt idx="0">
                  <c:v>2022年</c:v>
                </c:pt>
                <c:pt idx="1">
                  <c:v>2021年</c:v>
                </c:pt>
              </c:strCache>
            </c:strRef>
          </c:cat>
          <c:val>
            <c:numRef>
              <c:f>Sheet1!$B$2:$B$3</c:f>
              <c:numCache>
                <c:formatCode>General</c:formatCode>
                <c:ptCount val="2"/>
                <c:pt idx="0">
                  <c:v>6010.32</c:v>
                </c:pt>
                <c:pt idx="1">
                  <c:v>6286.01</c:v>
                </c:pt>
              </c:numCache>
            </c:numRef>
          </c:val>
        </c:ser>
        <c:dLbls>
          <c:showLegendKey val="0"/>
          <c:showVal val="0"/>
          <c:showCatName val="0"/>
          <c:showSerName val="0"/>
          <c:showPercent val="0"/>
          <c:showBubbleSize val="0"/>
        </c:dLbls>
        <c:gapWidth val="150"/>
        <c:axId val="196476288"/>
        <c:axId val="70083712"/>
      </c:barChart>
      <c:catAx>
        <c:axId val="19647628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083712"/>
        <c:crosses val="autoZero"/>
        <c:auto val="1"/>
        <c:lblAlgn val="ctr"/>
        <c:lblOffset val="100"/>
        <c:noMultiLvlLbl val="0"/>
      </c:catAx>
      <c:valAx>
        <c:axId val="700837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647628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[工作簿1]Sheet1!$C$5:$C$8</c:f>
              <c:strCache>
                <c:ptCount val="4"/>
                <c:pt idx="0">
                  <c:v>教育支出</c:v>
                </c:pt>
                <c:pt idx="1">
                  <c:v>社会保障和就业支出</c:v>
                </c:pt>
                <c:pt idx="2">
                  <c:v>卫生健康支出</c:v>
                </c:pt>
                <c:pt idx="3">
                  <c:v>住房保障支出</c:v>
                </c:pt>
              </c:strCache>
            </c:strRef>
          </c:cat>
          <c:val>
            <c:numRef>
              <c:f>[工作簿1]Sheet1!$D$5:$D$8</c:f>
              <c:numCache>
                <c:formatCode>#,##0.00</c:formatCode>
                <c:ptCount val="4"/>
                <c:pt idx="0">
                  <c:v>5270.85</c:v>
                </c:pt>
                <c:pt idx="1">
                  <c:v>328.65</c:v>
                </c:pt>
                <c:pt idx="2">
                  <c:v>164.33</c:v>
                </c:pt>
                <c:pt idx="3">
                  <c:v>246.49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elete val="1"/>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1.9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2608417004914"/>
          <c:y val="0.093361986628462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1494</Words>
  <Characters>8516</Characters>
  <Lines>70</Lines>
  <Paragraphs>19</Paragraphs>
  <TotalTime>164</TotalTime>
  <ScaleCrop>false</ScaleCrop>
  <LinksUpToDate>false</LinksUpToDate>
  <CharactersWithSpaces>9991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2024-01-04T03:38:41Z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96F0FCA9FDD44E498B6287DD12F235B1_12</vt:lpwstr>
  </property>
</Properties>
</file>