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52"/>
          <w:szCs w:val="52"/>
        </w:rPr>
      </w:pPr>
      <w:bookmarkStart w:id="1" w:name="_Toc15396597"/>
      <w:bookmarkStart w:id="2" w:name="_Toc15377193"/>
      <w:bookmarkStart w:id="3" w:name="_Toc15377425"/>
      <w:bookmarkStart w:id="4" w:name="_Toc15396475"/>
      <w:bookmarkStart w:id="5" w:name="_Toc15378441"/>
      <w:r>
        <w:rPr>
          <w:rFonts w:hint="eastAsia" w:ascii="方正小标宋简体" w:hAnsi="方正小标宋简体" w:eastAsia="方正小标宋简体" w:cs="方正小标宋简体"/>
          <w:sz w:val="52"/>
          <w:szCs w:val="52"/>
        </w:rPr>
        <w:t>2022年度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52"/>
          <w:szCs w:val="52"/>
        </w:rPr>
      </w:pPr>
      <w:bookmarkStart w:id="6" w:name="_Toc15378442"/>
      <w:bookmarkStart w:id="7" w:name="_Toc15396598"/>
      <w:bookmarkStart w:id="8" w:name="_Toc15377426"/>
      <w:bookmarkStart w:id="9" w:name="_Toc15377194"/>
      <w:bookmarkStart w:id="10" w:name="_Toc15396476"/>
      <w:r>
        <w:rPr>
          <w:rFonts w:hint="eastAsia" w:ascii="方正小标宋简体" w:hAnsi="方正小标宋简体" w:eastAsia="方正小标宋简体" w:cs="方正小标宋简体"/>
          <w:sz w:val="52"/>
          <w:szCs w:val="52"/>
        </w:rPr>
        <w:t>剑阁县</w:t>
      </w:r>
      <w:bookmarkEnd w:id="0"/>
      <w:bookmarkStart w:id="11" w:name="_Toc15306268"/>
      <w:r>
        <w:rPr>
          <w:rFonts w:hint="eastAsia" w:ascii="方正小标宋简体" w:hAnsi="方正小标宋简体" w:eastAsia="方正小标宋简体" w:cs="方正小标宋简体"/>
          <w:sz w:val="52"/>
          <w:szCs w:val="52"/>
          <w:lang w:eastAsia="zh-CN"/>
        </w:rPr>
        <w:t>柘坝小学校</w:t>
      </w:r>
      <w:r>
        <w:rPr>
          <w:rFonts w:hint="eastAsia" w:ascii="方正小标宋简体" w:hAnsi="方正小标宋简体" w:eastAsia="方正小标宋简体" w:cs="方正小标宋简体"/>
          <w:sz w:val="52"/>
          <w:szCs w:val="52"/>
        </w:rPr>
        <w:t>单位决算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sz w:val="52"/>
          <w:szCs w:val="52"/>
        </w:rPr>
      </w:pPr>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1"/>
      </w:pPr>
      <w:r>
        <w:rPr>
          <w:rFonts w:hint="eastAsia"/>
        </w:rPr>
        <w:t>公开时间：2023年</w:t>
      </w:r>
      <w:r>
        <w:rPr>
          <w:rFonts w:hint="eastAsia"/>
          <w:lang w:val="en-US" w:eastAsia="zh-CN"/>
        </w:rPr>
        <w:t>11</w:t>
      </w:r>
      <w:r>
        <w:rPr>
          <w:rFonts w:hint="eastAsia"/>
        </w:rPr>
        <w:t>月</w:t>
      </w:r>
      <w:r>
        <w:rPr>
          <w:rFonts w:hint="eastAsia"/>
          <w:lang w:val="en-US" w:eastAsia="zh-CN"/>
        </w:rPr>
        <w:t>29</w:t>
      </w:r>
      <w:r>
        <w:rPr>
          <w:rFonts w:hint="eastAsia"/>
        </w:rPr>
        <w:t>日</w:t>
      </w:r>
    </w:p>
    <w:p/>
    <w:p>
      <w:pPr>
        <w:pStyle w:val="11"/>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pPr>
        <w:pStyle w:val="12"/>
        <w:adjustRightInd w:val="0"/>
        <w:snapToGrid w:val="0"/>
        <w:spacing w:line="440" w:lineRule="exact"/>
        <w:jc w:val="left"/>
        <w:rPr>
          <w:sz w:val="24"/>
        </w:rPr>
      </w:pPr>
      <w:r>
        <w:rPr>
          <w:rFonts w:hint="eastAsia"/>
          <w:sz w:val="24"/>
        </w:rPr>
        <w:t>一、主要职责及重点</w:t>
      </w:r>
      <w:r>
        <w:rPr>
          <w:sz w:val="24"/>
        </w:rPr>
        <w:t>工作</w:t>
      </w:r>
    </w:p>
    <w:p>
      <w:pPr>
        <w:pStyle w:val="12"/>
        <w:adjustRightInd w:val="0"/>
        <w:snapToGrid w:val="0"/>
        <w:spacing w:line="440" w:lineRule="exact"/>
        <w:jc w:val="left"/>
        <w:rPr>
          <w:rFonts w:hint="eastAsia"/>
          <w:sz w:val="24"/>
        </w:rPr>
      </w:pPr>
      <w:r>
        <w:rPr>
          <w:rFonts w:hint="eastAsia"/>
          <w:sz w:val="24"/>
        </w:rPr>
        <w:t>（一）单位</w:t>
      </w:r>
      <w:r>
        <w:rPr>
          <w:sz w:val="24"/>
        </w:rPr>
        <w:t>职责</w:t>
      </w:r>
    </w:p>
    <w:p>
      <w:pPr>
        <w:pStyle w:val="12"/>
        <w:adjustRightInd w:val="0"/>
        <w:snapToGrid w:val="0"/>
        <w:spacing w:line="440" w:lineRule="exact"/>
        <w:jc w:val="left"/>
        <w:rPr>
          <w:rFonts w:hint="eastAsia"/>
          <w:b/>
          <w:bCs/>
          <w:sz w:val="24"/>
        </w:rPr>
      </w:pPr>
      <w:r>
        <w:rPr>
          <w:rFonts w:hint="eastAsia"/>
          <w:sz w:val="24"/>
        </w:rPr>
        <w:t>（二）2022年重点工作完成情况</w:t>
      </w:r>
    </w:p>
    <w:p>
      <w:pPr>
        <w:pStyle w:val="12"/>
        <w:adjustRightInd w:val="0"/>
        <w:snapToGrid w:val="0"/>
        <w:spacing w:line="440" w:lineRule="exact"/>
        <w:jc w:val="left"/>
        <w:rPr>
          <w:rFonts w:hint="eastAsia"/>
          <w:sz w:val="24"/>
        </w:rPr>
      </w:pPr>
      <w:r>
        <w:rPr>
          <w:rFonts w:hint="eastAsia"/>
          <w:sz w:val="24"/>
        </w:rPr>
        <w:t>二、机构设置</w:t>
      </w:r>
    </w:p>
    <w:p>
      <w:pPr>
        <w:pStyle w:val="11"/>
        <w:adjustRightInd w:val="0"/>
        <w:snapToGrid w:val="0"/>
        <w:spacing w:before="0" w:line="440" w:lineRule="exact"/>
        <w:jc w:val="left"/>
        <w:rPr>
          <w:sz w:val="24"/>
          <w:szCs w:val="24"/>
        </w:rPr>
      </w:pPr>
      <w:r>
        <w:rPr>
          <w:rFonts w:hint="eastAsia"/>
          <w:sz w:val="24"/>
        </w:rPr>
        <w:t>第二部分 2022年度单位决算情况说明</w:t>
      </w:r>
    </w:p>
    <w:p>
      <w:pPr>
        <w:pStyle w:val="12"/>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2"/>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2"/>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2"/>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2"/>
        <w:adjustRightInd w:val="0"/>
        <w:snapToGrid w:val="0"/>
        <w:spacing w:line="440" w:lineRule="exact"/>
        <w:jc w:val="left"/>
        <w:rPr>
          <w:sz w:val="24"/>
        </w:rPr>
      </w:pPr>
      <w:r>
        <w:rPr>
          <w:rFonts w:hint="eastAsia"/>
          <w:sz w:val="24"/>
        </w:rPr>
        <w:t>九、国有资本经营预算支出决算情况说明</w:t>
      </w:r>
    </w:p>
    <w:p>
      <w:pPr>
        <w:pStyle w:val="12"/>
        <w:adjustRightInd w:val="0"/>
        <w:snapToGrid w:val="0"/>
        <w:spacing w:line="440" w:lineRule="exact"/>
        <w:jc w:val="left"/>
        <w:rPr>
          <w:sz w:val="24"/>
        </w:rPr>
      </w:pPr>
      <w:r>
        <w:rPr>
          <w:rFonts w:hint="eastAsia"/>
          <w:sz w:val="24"/>
        </w:rPr>
        <w:t>十、其他重要事项的情况说明</w:t>
      </w:r>
    </w:p>
    <w:p>
      <w:pPr>
        <w:pStyle w:val="11"/>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1"/>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2"/>
        <w:adjustRightInd w:val="0"/>
        <w:snapToGrid w:val="0"/>
        <w:spacing w:line="440" w:lineRule="exact"/>
        <w:jc w:val="left"/>
        <w:rPr>
          <w:sz w:val="24"/>
        </w:rPr>
      </w:pPr>
      <w:r>
        <w:rPr>
          <w:rFonts w:hint="eastAsia"/>
          <w:sz w:val="24"/>
        </w:rPr>
        <w:t>一、收入支出决算总表</w:t>
      </w:r>
    </w:p>
    <w:p>
      <w:pPr>
        <w:pStyle w:val="12"/>
        <w:adjustRightInd w:val="0"/>
        <w:snapToGrid w:val="0"/>
        <w:spacing w:line="440" w:lineRule="exact"/>
        <w:jc w:val="left"/>
        <w:rPr>
          <w:sz w:val="24"/>
        </w:rPr>
      </w:pPr>
      <w:r>
        <w:rPr>
          <w:rFonts w:hint="eastAsia"/>
          <w:sz w:val="24"/>
        </w:rPr>
        <w:t>二、收入决算表</w:t>
      </w:r>
    </w:p>
    <w:p>
      <w:pPr>
        <w:pStyle w:val="12"/>
        <w:adjustRightInd w:val="0"/>
        <w:snapToGrid w:val="0"/>
        <w:spacing w:line="440" w:lineRule="exact"/>
        <w:jc w:val="left"/>
        <w:rPr>
          <w:sz w:val="24"/>
        </w:rPr>
      </w:pPr>
      <w:r>
        <w:rPr>
          <w:rFonts w:hint="eastAsia"/>
          <w:sz w:val="24"/>
        </w:rPr>
        <w:t>三、支出决算表</w:t>
      </w:r>
    </w:p>
    <w:p>
      <w:pPr>
        <w:pStyle w:val="12"/>
        <w:adjustRightInd w:val="0"/>
        <w:snapToGrid w:val="0"/>
        <w:spacing w:line="440" w:lineRule="exact"/>
        <w:jc w:val="left"/>
        <w:rPr>
          <w:sz w:val="24"/>
        </w:rPr>
      </w:pPr>
      <w:r>
        <w:rPr>
          <w:rFonts w:hint="eastAsia"/>
          <w:sz w:val="24"/>
        </w:rPr>
        <w:t>四、财政拨款收入支出决算总表</w:t>
      </w:r>
    </w:p>
    <w:p>
      <w:pPr>
        <w:pStyle w:val="12"/>
        <w:adjustRightInd w:val="0"/>
        <w:snapToGrid w:val="0"/>
        <w:spacing w:line="440" w:lineRule="exact"/>
        <w:jc w:val="left"/>
        <w:rPr>
          <w:sz w:val="24"/>
        </w:rPr>
      </w:pPr>
      <w:r>
        <w:rPr>
          <w:rFonts w:hint="eastAsia"/>
          <w:sz w:val="24"/>
        </w:rPr>
        <w:t>五、财政拨款支出决算明细表</w:t>
      </w:r>
    </w:p>
    <w:p>
      <w:pPr>
        <w:pStyle w:val="12"/>
        <w:adjustRightInd w:val="0"/>
        <w:snapToGrid w:val="0"/>
        <w:spacing w:line="440" w:lineRule="exact"/>
        <w:jc w:val="left"/>
        <w:rPr>
          <w:sz w:val="24"/>
        </w:rPr>
      </w:pPr>
      <w:r>
        <w:rPr>
          <w:rFonts w:hint="eastAsia"/>
          <w:sz w:val="24"/>
        </w:rPr>
        <w:t>六、一般公共预算财政拨款支出决算表</w:t>
      </w:r>
    </w:p>
    <w:p>
      <w:pPr>
        <w:pStyle w:val="12"/>
        <w:adjustRightInd w:val="0"/>
        <w:snapToGrid w:val="0"/>
        <w:spacing w:line="440" w:lineRule="exact"/>
        <w:jc w:val="left"/>
        <w:rPr>
          <w:sz w:val="24"/>
        </w:rPr>
      </w:pPr>
      <w:r>
        <w:rPr>
          <w:rFonts w:hint="eastAsia"/>
          <w:sz w:val="24"/>
        </w:rPr>
        <w:t>七、一般公共预算财政拨款支出决算明细表</w:t>
      </w:r>
    </w:p>
    <w:p>
      <w:pPr>
        <w:pStyle w:val="12"/>
        <w:adjustRightInd w:val="0"/>
        <w:snapToGrid w:val="0"/>
        <w:spacing w:line="440" w:lineRule="exact"/>
        <w:jc w:val="left"/>
        <w:rPr>
          <w:sz w:val="24"/>
        </w:rPr>
      </w:pPr>
      <w:r>
        <w:rPr>
          <w:rFonts w:hint="eastAsia"/>
          <w:sz w:val="24"/>
        </w:rPr>
        <w:t>八、一般公共预算财政拨款基本支出决算明细表</w:t>
      </w:r>
    </w:p>
    <w:p>
      <w:pPr>
        <w:pStyle w:val="12"/>
        <w:adjustRightInd w:val="0"/>
        <w:snapToGrid w:val="0"/>
        <w:spacing w:line="440" w:lineRule="exact"/>
        <w:jc w:val="left"/>
        <w:rPr>
          <w:sz w:val="24"/>
        </w:rPr>
      </w:pPr>
      <w:r>
        <w:rPr>
          <w:rFonts w:hint="eastAsia"/>
          <w:sz w:val="24"/>
        </w:rPr>
        <w:t>九、一般公共预算财政拨款项目支出决算表</w:t>
      </w:r>
    </w:p>
    <w:p>
      <w:pPr>
        <w:pStyle w:val="12"/>
        <w:adjustRightInd w:val="0"/>
        <w:snapToGrid w:val="0"/>
        <w:spacing w:line="440" w:lineRule="exact"/>
        <w:jc w:val="left"/>
        <w:rPr>
          <w:sz w:val="24"/>
        </w:rPr>
      </w:pPr>
      <w:r>
        <w:rPr>
          <w:rFonts w:hint="eastAsia"/>
          <w:sz w:val="24"/>
        </w:rPr>
        <w:t>十、政府性基金预算财政拨款收入支出决算表</w:t>
      </w:r>
    </w:p>
    <w:p>
      <w:pPr>
        <w:pStyle w:val="12"/>
        <w:adjustRightInd w:val="0"/>
        <w:snapToGrid w:val="0"/>
        <w:spacing w:line="440" w:lineRule="exact"/>
        <w:jc w:val="left"/>
        <w:rPr>
          <w:sz w:val="24"/>
        </w:rPr>
      </w:pPr>
      <w:r>
        <w:rPr>
          <w:rFonts w:hint="eastAsia"/>
          <w:sz w:val="24"/>
        </w:rPr>
        <w:t>十一、国有资本经营预算财政拨款收入支出决算表</w:t>
      </w:r>
    </w:p>
    <w:p>
      <w:pPr>
        <w:pStyle w:val="12"/>
        <w:adjustRightInd w:val="0"/>
        <w:snapToGrid w:val="0"/>
        <w:spacing w:line="440" w:lineRule="exact"/>
        <w:jc w:val="left"/>
        <w:rPr>
          <w:sz w:val="24"/>
        </w:rPr>
      </w:pPr>
      <w:r>
        <w:rPr>
          <w:rFonts w:hint="eastAsia"/>
          <w:sz w:val="24"/>
        </w:rPr>
        <w:t>十二、国有资本经营预算财政拨款支出决算表</w:t>
      </w:r>
    </w:p>
    <w:p>
      <w:pPr>
        <w:pStyle w:val="12"/>
        <w:adjustRightInd w:val="0"/>
        <w:snapToGrid w:val="0"/>
        <w:spacing w:line="440" w:lineRule="exact"/>
        <w:jc w:val="left"/>
        <w:rPr>
          <w:sz w:val="24"/>
        </w:rPr>
      </w:pPr>
      <w:r>
        <w:rPr>
          <w:rFonts w:hint="eastAsia"/>
          <w:sz w:val="24"/>
        </w:rPr>
        <w:t>十三、财政拨款“三公”经费支出决算表</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Style w:val="28"/>
          <w:rFonts w:ascii="黑体" w:hAnsi="黑体" w:eastAsia="黑体"/>
          <w:b/>
          <w:bCs w:val="0"/>
        </w:rPr>
      </w:pPr>
      <w:r>
        <w:rPr>
          <w:rFonts w:hint="eastAsia" w:ascii="黑体" w:hAnsi="黑体" w:eastAsia="黑体"/>
          <w:b w:val="0"/>
        </w:rPr>
        <w:t>第一部分 单位</w:t>
      </w:r>
      <w:r>
        <w:rPr>
          <w:rStyle w:val="28"/>
          <w:rFonts w:hint="eastAsia" w:ascii="黑体" w:hAnsi="黑体" w:eastAsia="黑体"/>
          <w:b w:val="0"/>
          <w:bCs w:val="0"/>
        </w:rPr>
        <w:t>概况</w:t>
      </w:r>
      <w:bookmarkEnd w:id="12"/>
      <w:bookmarkEnd w:id="13"/>
    </w:p>
    <w:p>
      <w:pPr>
        <w:widowControl/>
        <w:jc w:val="left"/>
        <w:rPr>
          <w:rFonts w:ascii="黑体" w:eastAsia="黑体"/>
          <w:sz w:val="32"/>
          <w:szCs w:val="32"/>
        </w:rPr>
      </w:pPr>
    </w:p>
    <w:p>
      <w:pPr>
        <w:pStyle w:val="4"/>
        <w:pageBreakBefore w:val="0"/>
        <w:numPr>
          <w:ilvl w:val="0"/>
          <w:numId w:val="1"/>
        </w:numPr>
        <w:kinsoku/>
        <w:wordWrap/>
        <w:overflowPunct/>
        <w:topLinePunct w:val="0"/>
        <w:autoSpaceDN/>
        <w:bidi w:val="0"/>
        <w:adjustRightInd/>
        <w:snapToGrid/>
        <w:spacing w:before="0" w:after="0" w:line="400" w:lineRule="exact"/>
        <w:ind w:firstLine="0" w:firstLineChars="0"/>
        <w:textAlignment w:val="auto"/>
        <w:rPr>
          <w:rStyle w:val="29"/>
          <w:rFonts w:ascii="黑体" w:hAnsi="黑体" w:eastAsia="黑体"/>
          <w:b w:val="0"/>
          <w:bCs w:val="0"/>
        </w:rPr>
      </w:pPr>
      <w:bookmarkStart w:id="14" w:name="_Toc15396600"/>
      <w:bookmarkStart w:id="15" w:name="_Toc15377197"/>
      <w:r>
        <w:rPr>
          <w:rStyle w:val="29"/>
          <w:rFonts w:hint="eastAsia" w:ascii="黑体" w:hAnsi="黑体" w:eastAsia="黑体"/>
          <w:b w:val="0"/>
          <w:bCs w:val="0"/>
        </w:rPr>
        <w:t>主要职责</w:t>
      </w:r>
      <w:r>
        <w:rPr>
          <w:rStyle w:val="29"/>
          <w:rFonts w:hint="eastAsia" w:ascii="黑体" w:hAnsi="黑体" w:eastAsia="黑体"/>
          <w:b w:val="0"/>
          <w:bCs w:val="0"/>
          <w:lang w:eastAsia="zh-CN"/>
        </w:rPr>
        <w:t>及重点工作</w:t>
      </w:r>
    </w:p>
    <w:p>
      <w:pPr>
        <w:pageBreakBefore w:val="0"/>
        <w:kinsoku/>
        <w:wordWrap/>
        <w:overflowPunct/>
        <w:topLinePunct w:val="0"/>
        <w:autoSpaceDN/>
        <w:bidi w:val="0"/>
        <w:adjustRightInd/>
        <w:snapToGrid/>
        <w:spacing w:line="400" w:lineRule="exact"/>
        <w:ind w:firstLine="0" w:firstLineChars="0"/>
        <w:textAlignment w:val="auto"/>
        <w:rPr>
          <w:rStyle w:val="29"/>
          <w:rFonts w:hint="eastAsia" w:ascii="黑体" w:hAnsi="黑体" w:eastAsia="黑体"/>
          <w:b w:val="0"/>
          <w:bCs w:val="0"/>
          <w:lang w:eastAsia="zh-CN"/>
        </w:rPr>
      </w:pPr>
      <w:r>
        <w:rPr>
          <w:rStyle w:val="29"/>
          <w:rFonts w:hint="eastAsia" w:ascii="黑体" w:hAnsi="黑体" w:eastAsia="黑体"/>
          <w:b w:val="0"/>
          <w:bCs w:val="0"/>
          <w:lang w:eastAsia="zh-CN"/>
        </w:rPr>
        <w:t>（一）单位职责</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lang w:eastAsia="zh-CN"/>
        </w:rPr>
      </w:pPr>
      <w:r>
        <w:rPr>
          <w:rFonts w:hint="eastAsia" w:ascii="仿宋" w:hAnsi="仿宋" w:eastAsia="仿宋" w:cs="仿宋"/>
          <w:bCs/>
          <w:color w:val="000000"/>
          <w:sz w:val="32"/>
          <w:szCs w:val="32"/>
          <w:lang w:eastAsia="zh-CN"/>
        </w:rPr>
        <w:t>剑阁县柘坝小学校属财政预算一级单位，执行事业单位会计制度，宗旨和业务范围：实施小学业务教育，促进基础教育发展。</w:t>
      </w:r>
    </w:p>
    <w:p>
      <w:pPr>
        <w:pStyle w:val="2"/>
        <w:pageBreakBefore w:val="0"/>
        <w:kinsoku/>
        <w:wordWrap/>
        <w:overflowPunct/>
        <w:topLinePunct w:val="0"/>
        <w:autoSpaceDN/>
        <w:bidi w:val="0"/>
        <w:adjustRightInd/>
        <w:snapToGrid/>
        <w:spacing w:beforeLines="0" w:line="400" w:lineRule="exact"/>
        <w:ind w:firstLine="0" w:firstLineChars="0"/>
        <w:textAlignment w:val="auto"/>
        <w:rPr>
          <w:rStyle w:val="29"/>
          <w:rFonts w:hint="default" w:ascii="黑体" w:hAnsi="黑体" w:eastAsia="黑体"/>
          <w:b w:val="0"/>
          <w:bCs w:val="0"/>
          <w:lang w:val="en-US" w:eastAsia="zh-CN"/>
        </w:rPr>
      </w:pPr>
      <w:r>
        <w:rPr>
          <w:rStyle w:val="29"/>
          <w:rFonts w:hint="eastAsia" w:ascii="黑体" w:hAnsi="黑体" w:eastAsia="黑体"/>
          <w:b w:val="0"/>
          <w:bCs w:val="0"/>
          <w:lang w:eastAsia="zh-CN"/>
        </w:rPr>
        <w:t>（二）</w:t>
      </w:r>
      <w:r>
        <w:rPr>
          <w:rStyle w:val="29"/>
          <w:rFonts w:hint="eastAsia" w:ascii="黑体" w:hAnsi="黑体" w:eastAsia="黑体"/>
          <w:b w:val="0"/>
          <w:bCs w:val="0"/>
          <w:lang w:val="en-US" w:eastAsia="zh-CN"/>
        </w:rPr>
        <w:t>2022年重点工作完成情况</w:t>
      </w:r>
    </w:p>
    <w:p>
      <w:pPr>
        <w:pStyle w:val="34"/>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400" w:lineRule="exact"/>
        <w:ind w:left="0" w:leftChars="0" w:right="0" w:rightChars="0" w:firstLine="640" w:firstLineChars="200"/>
        <w:textAlignment w:val="auto"/>
        <w:rPr>
          <w:rFonts w:hint="eastAsia" w:ascii="仿宋" w:hAnsi="仿宋" w:eastAsia="仿宋" w:cs="仿宋"/>
          <w:b w:val="0"/>
          <w:bCs/>
          <w:i w:val="0"/>
          <w:iCs w:val="0"/>
          <w:caps w:val="0"/>
          <w:spacing w:val="0"/>
          <w:kern w:val="0"/>
          <w:sz w:val="32"/>
          <w:szCs w:val="32"/>
          <w:shd w:val="clear" w:fill="FFFFFF"/>
          <w:lang w:eastAsia="zh-CN"/>
        </w:rPr>
      </w:pPr>
      <w:r>
        <w:rPr>
          <w:rFonts w:hint="eastAsia" w:ascii="仿宋" w:hAnsi="仿宋" w:eastAsia="仿宋" w:cs="仿宋"/>
          <w:b w:val="0"/>
          <w:bCs/>
          <w:kern w:val="0"/>
          <w:sz w:val="32"/>
          <w:szCs w:val="32"/>
          <w:shd w:val="clear" w:fill="FFFFFF"/>
          <w:lang w:val="en-US" w:eastAsia="zh-CN"/>
        </w:rPr>
        <w:t>1.</w:t>
      </w:r>
      <w:r>
        <w:rPr>
          <w:rFonts w:hint="eastAsia" w:ascii="仿宋" w:hAnsi="仿宋" w:eastAsia="仿宋" w:cs="仿宋"/>
          <w:b w:val="0"/>
          <w:bCs/>
          <w:kern w:val="0"/>
          <w:sz w:val="32"/>
          <w:szCs w:val="32"/>
          <w:shd w:val="clear" w:fill="FFFFFF"/>
        </w:rPr>
        <w:t>党建引领，严格把握学校办学方向</w:t>
      </w:r>
      <w:r>
        <w:rPr>
          <w:rFonts w:hint="eastAsia" w:ascii="仿宋" w:hAnsi="仿宋" w:eastAsia="仿宋" w:cs="仿宋"/>
          <w:b w:val="0"/>
          <w:bCs/>
          <w:kern w:val="0"/>
          <w:sz w:val="32"/>
          <w:szCs w:val="32"/>
          <w:shd w:val="clear" w:fill="FFFFFF"/>
          <w:lang w:eastAsia="zh-CN"/>
        </w:rPr>
        <w:t>。</w:t>
      </w:r>
    </w:p>
    <w:p>
      <w:pPr>
        <w:keepNext w:val="0"/>
        <w:keepLines w:val="0"/>
        <w:pageBreakBefore w:val="0"/>
        <w:widowControl w:val="0"/>
        <w:suppressLineNumbers w:val="0"/>
        <w:kinsoku/>
        <w:wordWrap/>
        <w:overflowPunct/>
        <w:topLinePunct w:val="0"/>
        <w:autoSpaceDE w:val="0"/>
        <w:autoSpaceDN/>
        <w:bidi w:val="0"/>
        <w:adjustRightInd/>
        <w:snapToGrid/>
        <w:spacing w:line="400" w:lineRule="exact"/>
        <w:ind w:left="0" w:firstLine="640" w:firstLineChars="200"/>
        <w:jc w:val="both"/>
        <w:textAlignment w:val="auto"/>
        <w:rPr>
          <w:rFonts w:hint="eastAsia" w:ascii="仿宋" w:hAnsi="仿宋" w:eastAsia="仿宋" w:cs="仿宋"/>
          <w:b w:val="0"/>
          <w:bCs/>
          <w:kern w:val="2"/>
          <w:sz w:val="32"/>
          <w:szCs w:val="32"/>
        </w:rPr>
      </w:pPr>
      <w:r>
        <w:rPr>
          <w:rFonts w:hint="eastAsia" w:ascii="仿宋" w:hAnsi="仿宋" w:eastAsia="仿宋" w:cs="仿宋"/>
          <w:b w:val="0"/>
          <w:bCs/>
          <w:i w:val="0"/>
          <w:iCs w:val="0"/>
          <w:caps w:val="0"/>
          <w:spacing w:val="0"/>
          <w:kern w:val="2"/>
          <w:sz w:val="32"/>
          <w:szCs w:val="32"/>
          <w:shd w:val="clear" w:fill="FFFFFF"/>
        </w:rPr>
        <w:t>一年来，我认真组织全体教职员工一起认真学习领会党的</w:t>
      </w:r>
      <w:r>
        <w:rPr>
          <w:rFonts w:hint="eastAsia" w:ascii="仿宋" w:hAnsi="仿宋" w:eastAsia="仿宋" w:cs="仿宋"/>
          <w:b w:val="0"/>
          <w:bCs/>
          <w:i w:val="0"/>
          <w:iCs w:val="0"/>
          <w:caps w:val="0"/>
          <w:spacing w:val="0"/>
          <w:kern w:val="2"/>
          <w:sz w:val="32"/>
          <w:szCs w:val="32"/>
          <w:shd w:val="clear" w:fill="FFFFFF"/>
          <w:lang w:eastAsia="zh-CN"/>
        </w:rPr>
        <w:t>二十</w:t>
      </w:r>
      <w:r>
        <w:rPr>
          <w:rFonts w:hint="eastAsia" w:ascii="仿宋" w:hAnsi="仿宋" w:eastAsia="仿宋" w:cs="仿宋"/>
          <w:b w:val="0"/>
          <w:bCs/>
          <w:i w:val="0"/>
          <w:iCs w:val="0"/>
          <w:caps w:val="0"/>
          <w:spacing w:val="0"/>
          <w:kern w:val="2"/>
          <w:sz w:val="32"/>
          <w:szCs w:val="32"/>
          <w:shd w:val="clear" w:fill="FFFFFF"/>
        </w:rPr>
        <w:t>大精神，尤其是</w:t>
      </w:r>
      <w:r>
        <w:rPr>
          <w:rFonts w:hint="eastAsia" w:ascii="仿宋" w:hAnsi="仿宋" w:eastAsia="仿宋" w:cs="仿宋"/>
          <w:b w:val="0"/>
          <w:bCs/>
          <w:i w:val="0"/>
          <w:iCs w:val="0"/>
          <w:caps w:val="0"/>
          <w:spacing w:val="0"/>
          <w:kern w:val="2"/>
          <w:sz w:val="32"/>
          <w:szCs w:val="32"/>
          <w:shd w:val="clear" w:fill="FFFFFF"/>
          <w:lang w:val="en-US" w:eastAsia="zh-CN"/>
        </w:rPr>
        <w:t>党的</w:t>
      </w:r>
      <w:r>
        <w:rPr>
          <w:rFonts w:hint="eastAsia" w:ascii="仿宋" w:hAnsi="仿宋" w:eastAsia="仿宋" w:cs="仿宋"/>
          <w:b w:val="0"/>
          <w:bCs/>
          <w:i w:val="0"/>
          <w:iCs w:val="0"/>
          <w:caps w:val="0"/>
          <w:spacing w:val="0"/>
          <w:kern w:val="2"/>
          <w:sz w:val="32"/>
          <w:szCs w:val="32"/>
          <w:shd w:val="clear" w:fill="FFFFFF"/>
          <w:lang w:eastAsia="zh-CN"/>
        </w:rPr>
        <w:t>二十</w:t>
      </w:r>
      <w:r>
        <w:rPr>
          <w:rFonts w:hint="eastAsia" w:ascii="仿宋" w:hAnsi="仿宋" w:eastAsia="仿宋" w:cs="仿宋"/>
          <w:b w:val="0"/>
          <w:bCs/>
          <w:i w:val="0"/>
          <w:iCs w:val="0"/>
          <w:caps w:val="0"/>
          <w:spacing w:val="0"/>
          <w:kern w:val="2"/>
          <w:sz w:val="32"/>
          <w:szCs w:val="32"/>
          <w:shd w:val="clear" w:fill="FFFFFF"/>
        </w:rPr>
        <w:t>大</w:t>
      </w:r>
      <w:r>
        <w:rPr>
          <w:rFonts w:hint="eastAsia" w:ascii="仿宋" w:hAnsi="仿宋" w:eastAsia="仿宋" w:cs="仿宋"/>
          <w:b w:val="0"/>
          <w:bCs/>
          <w:i w:val="0"/>
          <w:iCs w:val="0"/>
          <w:caps w:val="0"/>
          <w:spacing w:val="0"/>
          <w:kern w:val="2"/>
          <w:sz w:val="32"/>
          <w:szCs w:val="32"/>
          <w:shd w:val="clear" w:fill="FFFFFF"/>
          <w:lang w:eastAsia="zh-CN"/>
        </w:rPr>
        <w:t>精神</w:t>
      </w:r>
      <w:r>
        <w:rPr>
          <w:rFonts w:hint="eastAsia" w:ascii="仿宋" w:hAnsi="仿宋" w:eastAsia="仿宋" w:cs="仿宋"/>
          <w:b w:val="0"/>
          <w:bCs/>
          <w:i w:val="0"/>
          <w:iCs w:val="0"/>
          <w:caps w:val="0"/>
          <w:spacing w:val="0"/>
          <w:kern w:val="2"/>
          <w:sz w:val="32"/>
          <w:szCs w:val="32"/>
          <w:shd w:val="clear" w:fill="FFFFFF"/>
        </w:rPr>
        <w:t>关于教育的内容</w:t>
      </w:r>
      <w:r>
        <w:rPr>
          <w:rFonts w:hint="eastAsia" w:ascii="仿宋" w:hAnsi="仿宋" w:eastAsia="仿宋" w:cs="仿宋"/>
          <w:b w:val="0"/>
          <w:bCs/>
          <w:i w:val="0"/>
          <w:iCs w:val="0"/>
          <w:caps w:val="0"/>
          <w:spacing w:val="0"/>
          <w:kern w:val="2"/>
          <w:sz w:val="32"/>
          <w:szCs w:val="32"/>
          <w:shd w:val="clear" w:fill="FFFFFF"/>
          <w:lang w:eastAsia="zh-CN"/>
        </w:rPr>
        <w:t>，</w:t>
      </w:r>
      <w:r>
        <w:rPr>
          <w:rFonts w:hint="eastAsia" w:ascii="仿宋" w:hAnsi="仿宋" w:eastAsia="仿宋" w:cs="仿宋"/>
          <w:b w:val="0"/>
          <w:bCs/>
          <w:i w:val="0"/>
          <w:iCs w:val="0"/>
          <w:caps w:val="0"/>
          <w:spacing w:val="0"/>
          <w:kern w:val="2"/>
          <w:sz w:val="32"/>
          <w:szCs w:val="32"/>
          <w:shd w:val="clear" w:fill="FFFFFF"/>
        </w:rPr>
        <w:t>我们在实际工作中认真领会、切实践行。我校坚持做到了如下工作</w:t>
      </w:r>
      <w:r>
        <w:rPr>
          <w:rFonts w:hint="eastAsia" w:ascii="仿宋" w:hAnsi="仿宋" w:eastAsia="仿宋" w:cs="仿宋"/>
          <w:b w:val="0"/>
          <w:bCs/>
          <w:i w:val="0"/>
          <w:iCs w:val="0"/>
          <w:caps w:val="0"/>
          <w:spacing w:val="0"/>
          <w:kern w:val="2"/>
          <w:sz w:val="32"/>
          <w:szCs w:val="32"/>
          <w:shd w:val="clear" w:fill="FFFFFF"/>
          <w:lang w:eastAsia="zh-CN"/>
        </w:rPr>
        <w:t>：</w:t>
      </w:r>
      <w:r>
        <w:rPr>
          <w:rFonts w:hint="eastAsia" w:ascii="仿宋" w:hAnsi="仿宋" w:eastAsia="仿宋" w:cs="仿宋"/>
          <w:b w:val="0"/>
          <w:bCs/>
          <w:kern w:val="2"/>
          <w:sz w:val="32"/>
          <w:szCs w:val="32"/>
        </w:rPr>
        <w:t>讨论制定了学校党支部学年度工作计划；2022年9月27日，在学校党支部带领下开展“立德树人践行使命”主题党日活动；每月至少组织教师集中学习《习近平谈治国理政》第四卷一次，并且教师</w:t>
      </w:r>
      <w:r>
        <w:rPr>
          <w:rFonts w:hint="eastAsia" w:ascii="仿宋" w:hAnsi="仿宋" w:eastAsia="仿宋" w:cs="仿宋"/>
          <w:b w:val="0"/>
          <w:bCs/>
          <w:kern w:val="2"/>
          <w:sz w:val="32"/>
          <w:szCs w:val="32"/>
          <w:lang w:eastAsia="zh-CN"/>
        </w:rPr>
        <w:t>做好</w:t>
      </w:r>
      <w:r>
        <w:rPr>
          <w:rFonts w:hint="eastAsia" w:ascii="仿宋" w:hAnsi="仿宋" w:eastAsia="仿宋" w:cs="仿宋"/>
          <w:b w:val="0"/>
          <w:bCs/>
          <w:kern w:val="2"/>
          <w:sz w:val="32"/>
          <w:szCs w:val="32"/>
        </w:rPr>
        <w:t>学习笔记，同时一学期结束必须写不少于1000字的心得体会一篇；2022年10月28日，在</w:t>
      </w:r>
      <w:bookmarkStart w:id="67" w:name="_GoBack"/>
      <w:bookmarkEnd w:id="67"/>
      <w:r>
        <w:rPr>
          <w:rFonts w:hint="eastAsia" w:ascii="仿宋" w:hAnsi="仿宋" w:eastAsia="仿宋" w:cs="仿宋"/>
          <w:b w:val="0"/>
          <w:bCs/>
          <w:kern w:val="2"/>
          <w:sz w:val="32"/>
          <w:szCs w:val="32"/>
        </w:rPr>
        <w:t>学校党支部带领下开展“祖国在我心中”主题党日活动；2022年11月25日，在学校党支部带领下“美化环境，党员先行”主题党日活动。2022年9月---12月，学校支部组织开展了廉洁文化进校园活动；坚持对学校“三重一大”进行</w:t>
      </w:r>
      <w:r>
        <w:rPr>
          <w:rFonts w:hint="eastAsia" w:ascii="仿宋" w:hAnsi="仿宋" w:eastAsia="仿宋" w:cs="仿宋"/>
          <w:b w:val="0"/>
          <w:bCs/>
          <w:kern w:val="2"/>
          <w:sz w:val="32"/>
          <w:szCs w:val="32"/>
          <w:lang w:eastAsia="zh-CN"/>
        </w:rPr>
        <w:t>全过程</w:t>
      </w:r>
      <w:r>
        <w:rPr>
          <w:rFonts w:hint="eastAsia" w:ascii="仿宋" w:hAnsi="仿宋" w:eastAsia="仿宋" w:cs="仿宋"/>
          <w:b w:val="0"/>
          <w:bCs/>
          <w:kern w:val="2"/>
          <w:sz w:val="32"/>
          <w:szCs w:val="32"/>
        </w:rPr>
        <w:t>监督，会议民主决策。</w:t>
      </w:r>
    </w:p>
    <w:p>
      <w:pPr>
        <w:pStyle w:val="34"/>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400" w:lineRule="exact"/>
        <w:ind w:left="0" w:right="0" w:firstLine="640" w:firstLineChars="200"/>
        <w:textAlignment w:val="auto"/>
        <w:rPr>
          <w:rFonts w:hint="eastAsia" w:ascii="仿宋" w:hAnsi="仿宋" w:eastAsia="仿宋" w:cs="仿宋"/>
          <w:b w:val="0"/>
          <w:bCs/>
          <w:kern w:val="0"/>
          <w:sz w:val="32"/>
          <w:szCs w:val="32"/>
          <w:shd w:val="clear" w:fill="FFFFFF"/>
          <w:lang w:eastAsia="zh-CN"/>
        </w:rPr>
      </w:pPr>
      <w:r>
        <w:rPr>
          <w:rFonts w:hint="eastAsia" w:ascii="仿宋" w:hAnsi="仿宋" w:eastAsia="仿宋" w:cs="仿宋"/>
          <w:b w:val="0"/>
          <w:bCs/>
          <w:kern w:val="0"/>
          <w:sz w:val="32"/>
          <w:szCs w:val="32"/>
          <w:shd w:val="clear" w:fill="FFFFFF"/>
          <w:lang w:val="en-US" w:eastAsia="zh-CN"/>
        </w:rPr>
        <w:t>2.</w:t>
      </w:r>
      <w:r>
        <w:rPr>
          <w:rFonts w:hint="eastAsia" w:ascii="仿宋" w:hAnsi="仿宋" w:eastAsia="仿宋" w:cs="仿宋"/>
          <w:b w:val="0"/>
          <w:bCs/>
          <w:kern w:val="0"/>
          <w:sz w:val="32"/>
          <w:szCs w:val="32"/>
          <w:shd w:val="clear" w:fill="FFFFFF"/>
        </w:rPr>
        <w:t>立德树人，切实培养学生全面发展</w:t>
      </w:r>
      <w:r>
        <w:rPr>
          <w:rFonts w:hint="eastAsia" w:ascii="仿宋" w:hAnsi="仿宋" w:eastAsia="仿宋" w:cs="仿宋"/>
          <w:b w:val="0"/>
          <w:bCs/>
          <w:kern w:val="0"/>
          <w:sz w:val="32"/>
          <w:szCs w:val="32"/>
          <w:shd w:val="clear" w:fill="FFFFFF"/>
          <w:lang w:eastAsia="zh-CN"/>
        </w:rPr>
        <w:t>。</w:t>
      </w:r>
    </w:p>
    <w:p>
      <w:pPr>
        <w:keepNext w:val="0"/>
        <w:keepLines w:val="0"/>
        <w:pageBreakBefore w:val="0"/>
        <w:widowControl w:val="0"/>
        <w:suppressLineNumbers w:val="0"/>
        <w:kinsoku/>
        <w:wordWrap/>
        <w:overflowPunct/>
        <w:topLinePunct w:val="0"/>
        <w:autoSpaceDE w:val="0"/>
        <w:autoSpaceDN/>
        <w:bidi w:val="0"/>
        <w:adjustRightInd/>
        <w:snapToGrid/>
        <w:spacing w:line="400" w:lineRule="exact"/>
        <w:ind w:left="0" w:firstLine="640" w:firstLineChars="200"/>
        <w:jc w:val="left"/>
        <w:textAlignment w:val="auto"/>
        <w:rPr>
          <w:rFonts w:hint="eastAsia" w:ascii="仿宋" w:hAnsi="仿宋" w:eastAsia="仿宋" w:cs="仿宋"/>
          <w:b w:val="0"/>
          <w:bCs/>
          <w:kern w:val="2"/>
          <w:sz w:val="32"/>
          <w:szCs w:val="32"/>
        </w:rPr>
      </w:pPr>
      <w:r>
        <w:rPr>
          <w:rFonts w:hint="eastAsia" w:ascii="仿宋" w:hAnsi="仿宋" w:eastAsia="仿宋" w:cs="仿宋"/>
          <w:b w:val="0"/>
          <w:bCs/>
          <w:i w:val="0"/>
          <w:iCs w:val="0"/>
          <w:caps w:val="0"/>
          <w:spacing w:val="0"/>
          <w:kern w:val="2"/>
          <w:sz w:val="32"/>
          <w:szCs w:val="32"/>
          <w:shd w:val="clear" w:fill="FFFFFF"/>
        </w:rPr>
        <w:t>我校牢牢抓住立德树人的关键，落实立德树人根本任务，就是要全面贯彻党的教育方针，始终坚持社会主义办学方向，结合新时代的新要求将其全面落到实处。教师要围绕这个目标来教，学生要围绕这个目标来学。坚持素质教育，教育引导学生培养综合能力，鼓励和培养学生的创新精神；树立健康第一的思想，不断增强学生的体质，培养学生积极向上的健康心态，健全人格、锤炼意志；坚持以美育人、以文化人，提高学生审美和人文素养；加强劳动教育，引导学生崇尚劳动、尊重劳动，懂得劳动最光荣、劳动最崇高、劳动最伟大、劳动最美丽的道理。</w:t>
      </w:r>
      <w:r>
        <w:rPr>
          <w:rFonts w:hint="eastAsia" w:ascii="仿宋" w:hAnsi="仿宋" w:eastAsia="仿宋" w:cs="仿宋"/>
          <w:b w:val="0"/>
          <w:bCs/>
          <w:kern w:val="2"/>
          <w:sz w:val="32"/>
          <w:szCs w:val="32"/>
        </w:rPr>
        <w:t>围绕学校工作计划，学校在提高德育工作的针对性、实效性上下功夫，努力开创德育工作新局面，一年来，学校按教育局安排，扎实以活动为载体，认真开展了劳动节、体育节、艺术节、读书节。</w:t>
      </w:r>
    </w:p>
    <w:p>
      <w:pPr>
        <w:pStyle w:val="4"/>
        <w:pageBreakBefore w:val="0"/>
        <w:widowControl w:val="0"/>
        <w:kinsoku/>
        <w:wordWrap/>
        <w:overflowPunct/>
        <w:topLinePunct w:val="0"/>
        <w:autoSpaceDN/>
        <w:bidi w:val="0"/>
        <w:adjustRightInd/>
        <w:snapToGrid/>
        <w:spacing w:before="0" w:after="0" w:line="400" w:lineRule="exact"/>
        <w:textAlignment w:val="auto"/>
        <w:rPr>
          <w:rFonts w:hint="eastAsia" w:ascii="黑体" w:hAnsi="黑体" w:eastAsia="黑体"/>
          <w:b w:val="0"/>
        </w:rPr>
      </w:pPr>
      <w:r>
        <w:rPr>
          <w:rFonts w:hint="eastAsia" w:ascii="黑体" w:hAnsi="黑体" w:eastAsia="黑体"/>
          <w:b w:val="0"/>
        </w:rPr>
        <w:t>二、机构设置</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剑阁县</w:t>
      </w:r>
      <w:r>
        <w:rPr>
          <w:rFonts w:hint="eastAsia" w:ascii="仿宋" w:hAnsi="仿宋" w:eastAsia="仿宋" w:cs="仿宋"/>
          <w:bCs/>
          <w:sz w:val="32"/>
          <w:szCs w:val="32"/>
          <w:lang w:eastAsia="zh-CN"/>
        </w:rPr>
        <w:t>柘坝</w:t>
      </w:r>
      <w:r>
        <w:rPr>
          <w:rFonts w:hint="eastAsia" w:ascii="仿宋" w:hAnsi="仿宋" w:eastAsia="仿宋" w:cs="仿宋"/>
          <w:bCs/>
          <w:sz w:val="32"/>
          <w:szCs w:val="32"/>
        </w:rPr>
        <w:t>小学校是全额拨款事业单位，属一级预算</w:t>
      </w:r>
      <w:r>
        <w:rPr>
          <w:rFonts w:hint="eastAsia" w:ascii="仿宋" w:hAnsi="仿宋" w:eastAsia="仿宋" w:cs="仿宋"/>
          <w:bCs/>
          <w:sz w:val="32"/>
          <w:szCs w:val="32"/>
          <w:lang w:eastAsia="zh-CN"/>
        </w:rPr>
        <w:t>单位</w:t>
      </w:r>
      <w:r>
        <w:rPr>
          <w:rFonts w:hint="eastAsia" w:ascii="仿宋" w:hAnsi="仿宋" w:eastAsia="仿宋" w:cs="仿宋"/>
          <w:bCs/>
          <w:sz w:val="32"/>
          <w:szCs w:val="32"/>
        </w:rPr>
        <w:t>，无下属二级预算单位。</w:t>
      </w:r>
    </w:p>
    <w:p>
      <w:pPr>
        <w:pageBreakBefore w:val="0"/>
        <w:widowControl w:val="0"/>
        <w:kinsoku/>
        <w:wordWrap/>
        <w:overflowPunct/>
        <w:topLinePunct w:val="0"/>
        <w:autoSpaceDN/>
        <w:bidi w:val="0"/>
        <w:adjustRightInd/>
        <w:snapToGrid/>
        <w:spacing w:line="400"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rPr>
        <w:t>剑阁县</w:t>
      </w:r>
      <w:r>
        <w:rPr>
          <w:rFonts w:hint="eastAsia" w:ascii="仿宋" w:hAnsi="仿宋" w:eastAsia="仿宋" w:cs="仿宋"/>
          <w:b w:val="0"/>
          <w:bCs w:val="0"/>
          <w:sz w:val="32"/>
          <w:szCs w:val="32"/>
          <w:lang w:eastAsia="zh-CN"/>
        </w:rPr>
        <w:t>柘坝</w:t>
      </w:r>
      <w:r>
        <w:rPr>
          <w:rFonts w:hint="eastAsia" w:ascii="仿宋" w:hAnsi="仿宋" w:eastAsia="仿宋" w:cs="仿宋"/>
          <w:b w:val="0"/>
          <w:bCs w:val="0"/>
          <w:sz w:val="32"/>
          <w:szCs w:val="32"/>
        </w:rPr>
        <w:t>小学校总编制</w:t>
      </w:r>
      <w:r>
        <w:rPr>
          <w:rFonts w:hint="eastAsia" w:ascii="仿宋" w:hAnsi="仿宋" w:eastAsia="仿宋" w:cs="仿宋"/>
          <w:b w:val="0"/>
          <w:bCs w:val="0"/>
          <w:sz w:val="32"/>
          <w:szCs w:val="32"/>
          <w:lang w:val="en-US" w:eastAsia="zh-CN"/>
        </w:rPr>
        <w:t>16</w:t>
      </w:r>
      <w:r>
        <w:rPr>
          <w:rFonts w:hint="eastAsia" w:ascii="仿宋" w:hAnsi="仿宋" w:eastAsia="仿宋" w:cs="仿宋"/>
          <w:b w:val="0"/>
          <w:bCs w:val="0"/>
          <w:sz w:val="32"/>
          <w:szCs w:val="32"/>
        </w:rPr>
        <w:t>名，其中行政编制0名，参公编制0名，事业编制</w:t>
      </w:r>
      <w:r>
        <w:rPr>
          <w:rFonts w:hint="eastAsia" w:ascii="仿宋" w:hAnsi="仿宋" w:eastAsia="仿宋" w:cs="仿宋"/>
          <w:b w:val="0"/>
          <w:bCs w:val="0"/>
          <w:sz w:val="32"/>
          <w:szCs w:val="32"/>
          <w:lang w:val="en-US" w:eastAsia="zh-CN"/>
        </w:rPr>
        <w:t>16</w:t>
      </w:r>
      <w:r>
        <w:rPr>
          <w:rFonts w:hint="eastAsia" w:ascii="仿宋" w:hAnsi="仿宋" w:eastAsia="仿宋" w:cs="仿宋"/>
          <w:b w:val="0"/>
          <w:bCs w:val="0"/>
          <w:sz w:val="32"/>
          <w:szCs w:val="32"/>
        </w:rPr>
        <w:t>名，工勤编制</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名。在职人员总数</w:t>
      </w:r>
      <w:r>
        <w:rPr>
          <w:rFonts w:hint="eastAsia" w:ascii="仿宋" w:hAnsi="仿宋" w:eastAsia="仿宋" w:cs="仿宋"/>
          <w:b w:val="0"/>
          <w:bCs w:val="0"/>
          <w:sz w:val="32"/>
          <w:szCs w:val="32"/>
          <w:lang w:val="en-US" w:eastAsia="zh-CN"/>
        </w:rPr>
        <w:t>15</w:t>
      </w:r>
      <w:r>
        <w:rPr>
          <w:rFonts w:hint="eastAsia" w:ascii="仿宋" w:hAnsi="仿宋" w:eastAsia="仿宋" w:cs="仿宋"/>
          <w:b w:val="0"/>
          <w:bCs w:val="0"/>
          <w:sz w:val="32"/>
          <w:szCs w:val="32"/>
        </w:rPr>
        <w:t>人，其中行政人员0人，参公人员0人，事业人员</w:t>
      </w:r>
      <w:r>
        <w:rPr>
          <w:rFonts w:hint="eastAsia" w:ascii="仿宋" w:hAnsi="仿宋" w:eastAsia="仿宋" w:cs="仿宋"/>
          <w:b w:val="0"/>
          <w:bCs w:val="0"/>
          <w:sz w:val="32"/>
          <w:szCs w:val="32"/>
          <w:lang w:val="en-US" w:eastAsia="zh-CN"/>
        </w:rPr>
        <w:t>15</w:t>
      </w:r>
      <w:r>
        <w:rPr>
          <w:rFonts w:hint="eastAsia" w:ascii="仿宋" w:hAnsi="仿宋" w:eastAsia="仿宋" w:cs="仿宋"/>
          <w:b w:val="0"/>
          <w:bCs w:val="0"/>
          <w:sz w:val="32"/>
          <w:szCs w:val="32"/>
        </w:rPr>
        <w:t>人，工勤人员</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人；离休人员0人，退休人员</w:t>
      </w:r>
      <w:r>
        <w:rPr>
          <w:rFonts w:hint="eastAsia" w:ascii="仿宋" w:hAnsi="仿宋" w:eastAsia="仿宋" w:cs="仿宋"/>
          <w:b w:val="0"/>
          <w:bCs w:val="0"/>
          <w:sz w:val="32"/>
          <w:szCs w:val="32"/>
          <w:lang w:val="en-US" w:eastAsia="zh-CN"/>
        </w:rPr>
        <w:t>30</w:t>
      </w:r>
      <w:r>
        <w:rPr>
          <w:rFonts w:hint="eastAsia" w:ascii="仿宋" w:hAnsi="仿宋" w:eastAsia="仿宋" w:cs="仿宋"/>
          <w:b w:val="0"/>
          <w:bCs w:val="0"/>
          <w:sz w:val="32"/>
          <w:szCs w:val="32"/>
        </w:rPr>
        <w:t>人。</w:t>
      </w:r>
    </w:p>
    <w:bookmarkEnd w:id="14"/>
    <w:bookmarkEnd w:id="15"/>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8"/>
          <w:rFonts w:ascii="黑体" w:hAnsi="黑体" w:eastAsia="黑体"/>
          <w:b w:val="0"/>
          <w:bCs/>
        </w:rPr>
      </w:pPr>
      <w:bookmarkStart w:id="16" w:name="_Toc15377204"/>
      <w:bookmarkStart w:id="17" w:name="_Toc15396602"/>
      <w:r>
        <w:rPr>
          <w:rFonts w:hint="eastAsia" w:ascii="黑体" w:hAnsi="黑体" w:eastAsia="黑体"/>
          <w:b w:val="0"/>
        </w:rPr>
        <w:t>第二部分 2022年度</w:t>
      </w:r>
      <w:r>
        <w:rPr>
          <w:rStyle w:val="28"/>
          <w:rFonts w:hint="eastAsia" w:ascii="黑体" w:hAnsi="黑体" w:eastAsia="黑体"/>
          <w:b w:val="0"/>
          <w:bCs/>
        </w:rPr>
        <w:t>单位决算情况说明</w:t>
      </w:r>
      <w:bookmarkEnd w:id="16"/>
      <w:bookmarkEnd w:id="17"/>
    </w:p>
    <w:p/>
    <w:p>
      <w:pPr>
        <w:pStyle w:val="27"/>
        <w:numPr>
          <w:ilvl w:val="0"/>
          <w:numId w:val="2"/>
        </w:numPr>
        <w:spacing w:line="600" w:lineRule="exact"/>
        <w:ind w:firstLineChars="0"/>
        <w:outlineLvl w:val="1"/>
        <w:rPr>
          <w:rStyle w:val="29"/>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29"/>
          <w:rFonts w:hint="eastAsia" w:ascii="黑体" w:hAnsi="黑体" w:eastAsia="黑体"/>
          <w:b w:val="0"/>
        </w:rPr>
        <w:t>入支出决算总体情况说明</w:t>
      </w:r>
      <w:bookmarkEnd w:id="18"/>
      <w:bookmarkEnd w:id="19"/>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2022年度收、支总计</w:t>
      </w:r>
      <w:r>
        <w:rPr>
          <w:rFonts w:hint="eastAsia" w:ascii="仿宋" w:hAnsi="仿宋" w:eastAsia="仿宋"/>
          <w:sz w:val="32"/>
          <w:szCs w:val="32"/>
          <w:lang w:val="en-US" w:eastAsia="zh-CN"/>
        </w:rPr>
        <w:t>261.83</w:t>
      </w:r>
      <w:r>
        <w:rPr>
          <w:rFonts w:hint="eastAsia" w:ascii="仿宋" w:hAnsi="仿宋" w:eastAsia="仿宋"/>
          <w:sz w:val="32"/>
          <w:szCs w:val="32"/>
        </w:rPr>
        <w:t>万元。与2021年相比，收、支总计各</w:t>
      </w:r>
      <w:r>
        <w:rPr>
          <w:rFonts w:hint="eastAsia" w:ascii="仿宋" w:hAnsi="仿宋" w:eastAsia="仿宋"/>
          <w:sz w:val="32"/>
          <w:szCs w:val="32"/>
          <w:lang w:eastAsia="zh-CN"/>
        </w:rPr>
        <w:t>增长</w:t>
      </w:r>
      <w:r>
        <w:rPr>
          <w:rFonts w:hint="eastAsia" w:ascii="仿宋" w:hAnsi="仿宋" w:eastAsia="仿宋"/>
          <w:sz w:val="32"/>
          <w:szCs w:val="32"/>
          <w:lang w:val="en-US" w:eastAsia="zh-CN"/>
        </w:rPr>
        <w:t>12.69</w:t>
      </w:r>
      <w:r>
        <w:rPr>
          <w:rFonts w:hint="eastAsia" w:ascii="仿宋" w:hAnsi="仿宋" w:eastAsia="仿宋"/>
          <w:sz w:val="32"/>
          <w:szCs w:val="32"/>
        </w:rPr>
        <w:t>万元，增长</w:t>
      </w:r>
      <w:r>
        <w:rPr>
          <w:rFonts w:hint="eastAsia" w:ascii="仿宋" w:hAnsi="仿宋" w:eastAsia="仿宋"/>
          <w:sz w:val="32"/>
          <w:szCs w:val="32"/>
          <w:lang w:val="en-US" w:eastAsia="zh-CN"/>
        </w:rPr>
        <w:t>5.1</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人员工资增加</w:t>
      </w:r>
      <w:r>
        <w:rPr>
          <w:rFonts w:hint="eastAsia" w:ascii="仿宋" w:hAnsi="仿宋" w:eastAsia="仿宋"/>
          <w:sz w:val="32"/>
          <w:szCs w:val="32"/>
        </w:rPr>
        <w:t>。</w:t>
      </w:r>
    </w:p>
    <w:p>
      <w:pPr>
        <w:pStyle w:val="2"/>
        <w:ind w:firstLine="2409" w:firstLineChars="800"/>
        <w:rPr>
          <w:rFonts w:hint="eastAsia"/>
        </w:rPr>
      </w:pPr>
      <w:r>
        <w:rPr>
          <w:rFonts w:hint="eastAsia"/>
          <w:b/>
          <w:bCs/>
        </w:rPr>
        <w:t>收支决算总计变动情况图</w:t>
      </w:r>
    </w:p>
    <w:p>
      <w:pPr>
        <w:pStyle w:val="2"/>
        <w:rPr>
          <w:rFonts w:ascii="仿宋_GB2312" w:eastAsia="仿宋_GB2312"/>
          <w:sz w:val="32"/>
          <w:szCs w:val="32"/>
        </w:rPr>
      </w:pPr>
      <w:r>
        <w:rPr>
          <w:rFonts w:hint="eastAsia"/>
          <w:lang w:val="en-US" w:eastAsia="zh-CN"/>
        </w:rPr>
        <w:t xml:space="preserve">     </w:t>
      </w: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7"/>
        <w:numPr>
          <w:ilvl w:val="0"/>
          <w:numId w:val="2"/>
        </w:numPr>
        <w:spacing w:line="600" w:lineRule="exact"/>
        <w:ind w:firstLineChars="0"/>
        <w:outlineLvl w:val="1"/>
        <w:rPr>
          <w:rStyle w:val="29"/>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29"/>
          <w:rFonts w:hint="eastAsia" w:ascii="黑体" w:hAnsi="黑体" w:eastAsia="黑体"/>
          <w:b w:val="0"/>
        </w:rPr>
        <w:t>入决算情况说明</w:t>
      </w:r>
      <w:bookmarkEnd w:id="20"/>
      <w:bookmarkEnd w:id="21"/>
    </w:p>
    <w:p>
      <w:pPr>
        <w:spacing w:line="600" w:lineRule="exact"/>
        <w:ind w:firstLine="640" w:firstLineChars="200"/>
        <w:outlineLvl w:val="1"/>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261.83</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261.83</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pStyle w:val="2"/>
        <w:ind w:firstLine="2570" w:firstLineChars="800"/>
        <w:rPr>
          <w:rFonts w:hint="eastAsia" w:ascii="仿宋" w:hAnsi="仿宋" w:eastAsia="仿宋"/>
          <w:b/>
          <w:bCs/>
          <w:sz w:val="32"/>
          <w:szCs w:val="32"/>
          <w:lang w:eastAsia="zh-CN"/>
        </w:rPr>
      </w:pPr>
    </w:p>
    <w:p>
      <w:pPr>
        <w:pStyle w:val="2"/>
        <w:ind w:firstLine="2570" w:firstLineChars="800"/>
        <w:rPr>
          <w:rFonts w:hint="eastAsia" w:ascii="仿宋" w:hAnsi="仿宋" w:eastAsia="仿宋"/>
          <w:b/>
          <w:bCs/>
          <w:sz w:val="32"/>
          <w:szCs w:val="32"/>
          <w:lang w:eastAsia="zh-CN"/>
        </w:rPr>
      </w:pPr>
      <w:r>
        <w:rPr>
          <w:rFonts w:hint="eastAsia" w:ascii="仿宋" w:hAnsi="仿宋" w:eastAsia="仿宋"/>
          <w:b/>
          <w:bCs/>
          <w:sz w:val="32"/>
          <w:szCs w:val="32"/>
          <w:lang w:eastAsia="zh-CN"/>
        </w:rPr>
        <w:t>收入决算结构图</w:t>
      </w:r>
    </w:p>
    <w:p>
      <w:pPr>
        <w:pStyle w:val="2"/>
        <w:rPr>
          <w:rFonts w:hint="eastAsia" w:ascii="仿宋" w:hAnsi="仿宋" w:eastAsia="仿宋"/>
          <w:sz w:val="32"/>
          <w:szCs w:val="32"/>
        </w:rPr>
      </w:pPr>
      <w:r>
        <w:rPr>
          <w:rFonts w:hint="eastAsia"/>
          <w:lang w:val="en-US" w:eastAsia="zh-CN"/>
        </w:rPr>
        <w:t xml:space="preserve">     </w:t>
      </w:r>
      <w:r>
        <w:drawing>
          <wp:inline distT="0" distB="0" distL="114300" distR="114300">
            <wp:extent cx="4572000" cy="2334260"/>
            <wp:effectExtent l="5080" t="4445" r="13970" b="2349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7"/>
        <w:numPr>
          <w:ilvl w:val="0"/>
          <w:numId w:val="2"/>
        </w:numPr>
        <w:spacing w:line="600" w:lineRule="exact"/>
        <w:ind w:firstLineChars="0"/>
        <w:outlineLvl w:val="1"/>
        <w:rPr>
          <w:rStyle w:val="29"/>
          <w:rFonts w:ascii="黑体" w:hAnsi="黑体" w:eastAsia="黑体"/>
          <w:b w:val="0"/>
        </w:rPr>
      </w:pPr>
      <w:bookmarkStart w:id="22" w:name="_Toc15396605"/>
      <w:bookmarkStart w:id="23" w:name="_Toc15377207"/>
      <w:r>
        <w:rPr>
          <w:rFonts w:hint="eastAsia" w:ascii="黑体" w:hAnsi="黑体" w:eastAsia="黑体"/>
          <w:sz w:val="32"/>
          <w:szCs w:val="32"/>
        </w:rPr>
        <w:t>支</w:t>
      </w:r>
      <w:r>
        <w:rPr>
          <w:rStyle w:val="29"/>
          <w:rFonts w:hint="eastAsia" w:ascii="黑体" w:hAnsi="黑体" w:eastAsia="黑体"/>
          <w:b w:val="0"/>
        </w:rPr>
        <w:t>出决算情况说明</w:t>
      </w:r>
      <w:bookmarkEnd w:id="22"/>
      <w:bookmarkEnd w:id="23"/>
    </w:p>
    <w:p>
      <w:pPr>
        <w:spacing w:line="600" w:lineRule="exact"/>
        <w:ind w:firstLine="640" w:firstLineChars="200"/>
        <w:outlineLvl w:val="1"/>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261.83</w:t>
      </w:r>
      <w:r>
        <w:rPr>
          <w:rFonts w:hint="eastAsia" w:ascii="仿宋" w:hAnsi="仿宋" w:eastAsia="仿宋"/>
          <w:sz w:val="32"/>
          <w:szCs w:val="32"/>
        </w:rPr>
        <w:t>万元，其中：基本支出</w:t>
      </w:r>
      <w:r>
        <w:rPr>
          <w:rFonts w:hint="eastAsia" w:ascii="仿宋" w:hAnsi="仿宋" w:eastAsia="仿宋"/>
          <w:sz w:val="32"/>
          <w:szCs w:val="32"/>
          <w:lang w:val="en-US" w:eastAsia="zh-CN"/>
        </w:rPr>
        <w:t>261.83</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pStyle w:val="2"/>
        <w:ind w:firstLine="3312" w:firstLineChars="1100"/>
        <w:rPr>
          <w:rFonts w:hint="eastAsia"/>
        </w:rPr>
      </w:pPr>
      <w:r>
        <w:rPr>
          <w:rFonts w:hint="eastAsia"/>
          <w:b/>
          <w:bCs/>
        </w:rPr>
        <w:t>支出决算结构图</w:t>
      </w:r>
    </w:p>
    <w:p>
      <w:pPr>
        <w:pStyle w:val="2"/>
      </w:pPr>
      <w:r>
        <w:rPr>
          <w:rFonts w:hint="eastAsia"/>
          <w:lang w:val="en-US" w:eastAsia="zh-CN"/>
        </w:rPr>
        <w:t xml:space="preserve">        </w:t>
      </w:r>
      <w:r>
        <w:drawing>
          <wp:inline distT="0" distB="0" distL="114300" distR="114300">
            <wp:extent cx="3582670" cy="1951990"/>
            <wp:effectExtent l="5080" t="4445" r="12700" b="571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29"/>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24"/>
      <w:bookmarkEnd w:id="25"/>
    </w:p>
    <w:p>
      <w:pPr>
        <w:spacing w:line="600" w:lineRule="exact"/>
        <w:ind w:firstLine="640"/>
        <w:rPr>
          <w:rFonts w:hint="eastAsia" w:ascii="仿宋" w:hAnsi="仿宋" w:eastAsia="仿宋"/>
          <w:sz w:val="32"/>
          <w:szCs w:val="32"/>
          <w:lang w:eastAsia="zh-CN"/>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val="en-US" w:eastAsia="zh-CN"/>
        </w:rPr>
        <w:t>261.83</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21年相比，财政拨款收、支总计各增加</w:t>
      </w:r>
      <w:r>
        <w:rPr>
          <w:rFonts w:hint="eastAsia" w:ascii="仿宋" w:hAnsi="仿宋" w:eastAsia="仿宋"/>
          <w:sz w:val="32"/>
          <w:szCs w:val="32"/>
          <w:lang w:val="en-US" w:eastAsia="zh-CN"/>
        </w:rPr>
        <w:t>12.69</w:t>
      </w:r>
      <w:r>
        <w:rPr>
          <w:rFonts w:hint="eastAsia" w:ascii="仿宋" w:hAnsi="仿宋" w:eastAsia="仿宋"/>
          <w:sz w:val="32"/>
          <w:szCs w:val="32"/>
        </w:rPr>
        <w:t>万元，增长</w:t>
      </w:r>
      <w:r>
        <w:rPr>
          <w:rFonts w:hint="eastAsia" w:ascii="仿宋" w:hAnsi="仿宋" w:eastAsia="仿宋"/>
          <w:sz w:val="32"/>
          <w:szCs w:val="32"/>
          <w:lang w:val="en-US" w:eastAsia="zh-CN"/>
        </w:rPr>
        <w:t>5.1</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人员工资增加</w:t>
      </w:r>
      <w:bookmarkStart w:id="26" w:name="_Toc15377209"/>
      <w:bookmarkStart w:id="27" w:name="_Toc15396607"/>
    </w:p>
    <w:p>
      <w:pPr>
        <w:pStyle w:val="2"/>
        <w:ind w:firstLine="1606" w:firstLineChars="500"/>
        <w:rPr>
          <w:rFonts w:hint="eastAsia" w:ascii="仿宋" w:hAnsi="仿宋" w:eastAsia="仿宋"/>
          <w:sz w:val="32"/>
          <w:szCs w:val="32"/>
          <w:lang w:eastAsia="zh-CN"/>
        </w:rPr>
      </w:pPr>
      <w:r>
        <w:rPr>
          <w:rFonts w:hint="eastAsia" w:ascii="仿宋" w:hAnsi="仿宋" w:eastAsia="仿宋"/>
          <w:b/>
          <w:bCs/>
          <w:sz w:val="32"/>
          <w:szCs w:val="32"/>
          <w:lang w:eastAsia="zh-CN"/>
        </w:rPr>
        <w:t>财政拨款收、决算总计变动情况图</w:t>
      </w:r>
    </w:p>
    <w:p>
      <w:pPr>
        <w:pStyle w:val="2"/>
        <w:rPr>
          <w:rFonts w:hint="eastAsia" w:ascii="仿宋" w:hAnsi="仿宋" w:eastAsia="仿宋"/>
          <w:sz w:val="32"/>
          <w:szCs w:val="32"/>
          <w:lang w:eastAsia="zh-CN"/>
        </w:rPr>
      </w:pPr>
      <w:r>
        <w:rPr>
          <w:rFonts w:hint="eastAsia"/>
          <w:lang w:val="en-US" w:eastAsia="zh-CN"/>
        </w:rPr>
        <w:t xml:space="preserve">     </w:t>
      </w:r>
      <w:r>
        <w:drawing>
          <wp:inline distT="0" distB="0" distL="114300" distR="114300">
            <wp:extent cx="4572000" cy="2743200"/>
            <wp:effectExtent l="4445" t="4445" r="14605" b="14605"/>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rPr>
          <w:rStyle w:val="29"/>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26"/>
      <w:bookmarkEnd w:id="27"/>
    </w:p>
    <w:p>
      <w:pPr>
        <w:spacing w:line="600" w:lineRule="exact"/>
        <w:ind w:firstLine="642"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hint="eastAsia" w:ascii="仿宋" w:hAnsi="仿宋" w:eastAsia="仿宋"/>
          <w:sz w:val="32"/>
          <w:szCs w:val="32"/>
          <w:lang w:eastAsia="zh-CN"/>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261.83</w:t>
      </w:r>
      <w:r>
        <w:rPr>
          <w:rFonts w:hint="eastAsia" w:ascii="仿宋" w:hAnsi="仿宋" w:eastAsia="仿宋"/>
          <w:sz w:val="32"/>
          <w:szCs w:val="32"/>
        </w:rPr>
        <w:t>万元，占本年支出合计的</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w:t>
      </w:r>
      <w:r>
        <w:rPr>
          <w:rFonts w:hint="eastAsia" w:ascii="仿宋" w:hAnsi="仿宋" w:eastAsia="仿宋"/>
          <w:sz w:val="32"/>
          <w:szCs w:val="32"/>
          <w:lang w:val="en-US" w:eastAsia="zh-CN"/>
        </w:rPr>
        <w:t>12.69</w:t>
      </w:r>
      <w:r>
        <w:rPr>
          <w:rFonts w:hint="eastAsia" w:ascii="仿宋" w:hAnsi="仿宋" w:eastAsia="仿宋"/>
          <w:sz w:val="32"/>
          <w:szCs w:val="32"/>
        </w:rPr>
        <w:t>万元，增长</w:t>
      </w:r>
      <w:r>
        <w:rPr>
          <w:rFonts w:hint="eastAsia" w:ascii="仿宋" w:hAnsi="仿宋" w:eastAsia="仿宋"/>
          <w:sz w:val="32"/>
          <w:szCs w:val="32"/>
          <w:lang w:val="en-US" w:eastAsia="zh-CN"/>
        </w:rPr>
        <w:t>5.1</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人员工资增加。</w:t>
      </w:r>
    </w:p>
    <w:p>
      <w:pPr>
        <w:pStyle w:val="2"/>
        <w:ind w:firstLine="963" w:firstLineChars="300"/>
        <w:rPr>
          <w:rFonts w:hint="eastAsia" w:ascii="仿宋" w:hAnsi="仿宋" w:eastAsia="仿宋"/>
          <w:sz w:val="32"/>
          <w:szCs w:val="32"/>
          <w:lang w:eastAsia="zh-CN"/>
        </w:rPr>
      </w:pPr>
      <w:r>
        <w:rPr>
          <w:rFonts w:hint="eastAsia" w:ascii="仿宋" w:hAnsi="仿宋" w:eastAsia="仿宋"/>
          <w:b/>
          <w:bCs/>
          <w:sz w:val="32"/>
          <w:szCs w:val="32"/>
          <w:lang w:eastAsia="zh-CN"/>
        </w:rPr>
        <w:t>一般公共预算财政拨款支出决算变动情况图</w:t>
      </w:r>
    </w:p>
    <w:p>
      <w:pPr>
        <w:pStyle w:val="2"/>
        <w:rPr>
          <w:rFonts w:hint="eastAsia" w:ascii="仿宋" w:hAnsi="仿宋" w:eastAsia="仿宋"/>
          <w:sz w:val="32"/>
          <w:szCs w:val="32"/>
          <w:lang w:eastAsia="zh-CN"/>
        </w:rPr>
      </w:pPr>
      <w:r>
        <w:rPr>
          <w:rFonts w:hint="eastAsia"/>
          <w:lang w:val="en-US" w:eastAsia="zh-CN"/>
        </w:rPr>
        <w:t xml:space="preserve">    </w:t>
      </w:r>
      <w:r>
        <w:drawing>
          <wp:inline distT="0" distB="0" distL="114300" distR="114300">
            <wp:extent cx="4572000" cy="2172335"/>
            <wp:effectExtent l="5080" t="4445" r="13970" b="13970"/>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2"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261.83</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lang w:val="en-US" w:eastAsia="zh-CN"/>
        </w:rPr>
        <w:t>221.90</w:t>
      </w:r>
      <w:r>
        <w:rPr>
          <w:rFonts w:hint="eastAsia" w:ascii="仿宋" w:hAnsi="仿宋" w:eastAsia="仿宋"/>
          <w:sz w:val="32"/>
          <w:szCs w:val="32"/>
        </w:rPr>
        <w:t>万元，占</w:t>
      </w:r>
      <w:r>
        <w:rPr>
          <w:rFonts w:hint="eastAsia" w:ascii="仿宋" w:hAnsi="仿宋" w:eastAsia="仿宋"/>
          <w:sz w:val="32"/>
          <w:szCs w:val="32"/>
          <w:lang w:val="en-US" w:eastAsia="zh-CN"/>
        </w:rPr>
        <w:t>84.75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b/>
          <w:bCs/>
          <w:sz w:val="32"/>
          <w:szCs w:val="32"/>
          <w:lang w:val="en-US" w:eastAsia="zh-CN"/>
        </w:rPr>
        <w:t>0</w:t>
      </w:r>
      <w:r>
        <w:rPr>
          <w:rFonts w:hint="eastAsia" w:ascii="仿宋" w:hAnsi="仿宋" w:eastAsia="仿宋"/>
          <w:b/>
          <w:bCs/>
          <w:sz w:val="32"/>
          <w:szCs w:val="32"/>
        </w:rPr>
        <w:t>万元，占</w:t>
      </w:r>
      <w:r>
        <w:rPr>
          <w:rFonts w:hint="eastAsia" w:ascii="仿宋" w:hAnsi="仿宋" w:eastAsia="仿宋"/>
          <w:b/>
          <w:bCs/>
          <w:sz w:val="32"/>
          <w:szCs w:val="32"/>
          <w:lang w:val="en-US" w:eastAsia="zh-CN"/>
        </w:rPr>
        <w:t>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17.75</w:t>
      </w:r>
      <w:r>
        <w:rPr>
          <w:rFonts w:hint="eastAsia" w:ascii="仿宋" w:hAnsi="仿宋" w:eastAsia="仿宋"/>
          <w:sz w:val="32"/>
          <w:szCs w:val="32"/>
        </w:rPr>
        <w:t>万元，占</w:t>
      </w:r>
      <w:r>
        <w:rPr>
          <w:rFonts w:hint="eastAsia" w:ascii="仿宋" w:hAnsi="仿宋" w:eastAsia="仿宋"/>
          <w:sz w:val="32"/>
          <w:szCs w:val="32"/>
          <w:lang w:val="en-US" w:eastAsia="zh-CN"/>
        </w:rPr>
        <w:t>6.78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8.87</w:t>
      </w:r>
      <w:r>
        <w:rPr>
          <w:rFonts w:hint="eastAsia" w:ascii="仿宋" w:hAnsi="仿宋" w:eastAsia="仿宋"/>
          <w:sz w:val="32"/>
          <w:szCs w:val="32"/>
        </w:rPr>
        <w:t>万元，占</w:t>
      </w:r>
      <w:r>
        <w:rPr>
          <w:rFonts w:hint="eastAsia" w:ascii="仿宋" w:hAnsi="仿宋" w:eastAsia="仿宋"/>
          <w:sz w:val="32"/>
          <w:szCs w:val="32"/>
          <w:lang w:val="en-US" w:eastAsia="zh-CN"/>
        </w:rPr>
        <w:t>3.39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13.31</w:t>
      </w:r>
      <w:r>
        <w:rPr>
          <w:rFonts w:hint="eastAsia" w:ascii="仿宋" w:hAnsi="仿宋" w:eastAsia="仿宋"/>
          <w:sz w:val="32"/>
          <w:szCs w:val="32"/>
        </w:rPr>
        <w:t>万元，占</w:t>
      </w:r>
      <w:r>
        <w:rPr>
          <w:rFonts w:hint="eastAsia" w:ascii="仿宋" w:hAnsi="仿宋" w:eastAsia="仿宋"/>
          <w:sz w:val="32"/>
          <w:szCs w:val="32"/>
          <w:lang w:val="en-US" w:eastAsia="zh-CN"/>
        </w:rPr>
        <w:t>5.08</w:t>
      </w:r>
      <w:r>
        <w:rPr>
          <w:rFonts w:ascii="仿宋" w:hAnsi="仿宋" w:eastAsia="仿宋"/>
          <w:sz w:val="32"/>
          <w:szCs w:val="32"/>
        </w:rPr>
        <w:t>%</w:t>
      </w:r>
      <w:r>
        <w:rPr>
          <w:rFonts w:hint="eastAsia" w:ascii="仿宋" w:hAnsi="仿宋" w:eastAsia="仿宋"/>
          <w:sz w:val="32"/>
          <w:szCs w:val="32"/>
        </w:rPr>
        <w:t>。</w:t>
      </w:r>
    </w:p>
    <w:p>
      <w:pPr>
        <w:pStyle w:val="2"/>
        <w:ind w:firstLine="1606" w:firstLineChars="500"/>
        <w:rPr>
          <w:rFonts w:hint="eastAsia" w:ascii="仿宋" w:hAnsi="仿宋" w:eastAsia="仿宋"/>
          <w:sz w:val="32"/>
          <w:szCs w:val="32"/>
        </w:rPr>
      </w:pPr>
      <w:r>
        <w:rPr>
          <w:rFonts w:hint="eastAsia" w:ascii="仿宋" w:hAnsi="仿宋" w:eastAsia="仿宋"/>
          <w:b/>
          <w:bCs/>
          <w:sz w:val="32"/>
          <w:szCs w:val="32"/>
        </w:rPr>
        <w:t>一般公共预算财政拨款支出决算结构图</w:t>
      </w:r>
    </w:p>
    <w:p>
      <w:pPr>
        <w:pStyle w:val="2"/>
        <w:rPr>
          <w:rFonts w:hint="eastAsia" w:ascii="仿宋" w:hAnsi="仿宋" w:eastAsia="仿宋"/>
          <w:sz w:val="32"/>
          <w:szCs w:val="32"/>
        </w:rPr>
      </w:pPr>
      <w:r>
        <w:rPr>
          <w:rFonts w:hint="eastAsia"/>
          <w:lang w:val="en-US" w:eastAsia="zh-CN"/>
        </w:rPr>
        <w:t xml:space="preserve">     </w:t>
      </w:r>
      <w:r>
        <w:drawing>
          <wp:inline distT="0" distB="0" distL="114300" distR="114300">
            <wp:extent cx="4572000" cy="2372360"/>
            <wp:effectExtent l="4445" t="4445" r="14605" b="23495"/>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2"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2" w:firstLineChars="200"/>
        <w:outlineLvl w:val="2"/>
        <w:rPr>
          <w:rFonts w:ascii="仿宋" w:hAnsi="仿宋" w:eastAsia="仿宋"/>
          <w:sz w:val="32"/>
          <w:szCs w:val="32"/>
        </w:rPr>
      </w:pPr>
      <w:bookmarkStart w:id="31" w:name="_Toc15377444"/>
      <w:bookmarkStart w:id="32" w:name="_Toc15377213"/>
      <w:bookmarkStart w:id="33" w:name="_Toc15378460"/>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261.83</w:t>
      </w:r>
      <w:r>
        <w:rPr>
          <w:rFonts w:hint="eastAsia" w:ascii="仿宋" w:hAnsi="仿宋" w:eastAsia="仿宋"/>
          <w:sz w:val="32"/>
          <w:szCs w:val="32"/>
        </w:rPr>
        <w:t>，</w:t>
      </w:r>
      <w:r>
        <w:rPr>
          <w:rStyle w:val="18"/>
          <w:rFonts w:hint="eastAsia" w:ascii="仿宋" w:hAnsi="仿宋" w:eastAsia="仿宋"/>
          <w:bCs/>
          <w:sz w:val="32"/>
          <w:szCs w:val="32"/>
        </w:rPr>
        <w:t>完成预算</w:t>
      </w:r>
      <w:r>
        <w:rPr>
          <w:rStyle w:val="18"/>
          <w:rFonts w:hint="eastAsia" w:ascii="仿宋" w:hAnsi="仿宋" w:eastAsia="仿宋"/>
          <w:bCs/>
          <w:sz w:val="32"/>
          <w:szCs w:val="32"/>
          <w:lang w:val="en-US" w:eastAsia="zh-CN"/>
        </w:rPr>
        <w:t>100</w:t>
      </w:r>
      <w:r>
        <w:rPr>
          <w:rStyle w:val="18"/>
          <w:rFonts w:ascii="仿宋" w:hAnsi="仿宋" w:eastAsia="仿宋"/>
          <w:bCs/>
          <w:sz w:val="32"/>
          <w:szCs w:val="32"/>
        </w:rPr>
        <w:t>%</w:t>
      </w:r>
      <w:r>
        <w:rPr>
          <w:rStyle w:val="18"/>
          <w:rFonts w:hint="eastAsia" w:ascii="仿宋" w:hAnsi="仿宋" w:eastAsia="仿宋"/>
          <w:bCs/>
          <w:sz w:val="32"/>
          <w:szCs w:val="32"/>
        </w:rPr>
        <w:t>。其中：</w:t>
      </w:r>
      <w:bookmarkEnd w:id="31"/>
      <w:bookmarkEnd w:id="32"/>
      <w:bookmarkEnd w:id="33"/>
    </w:p>
    <w:p>
      <w:pPr>
        <w:spacing w:line="600" w:lineRule="exact"/>
        <w:ind w:firstLine="642" w:firstLineChars="200"/>
        <w:rPr>
          <w:rStyle w:val="18"/>
          <w:rFonts w:ascii="仿宋" w:hAnsi="仿宋" w:eastAsia="仿宋"/>
          <w:bCs/>
          <w:sz w:val="32"/>
          <w:szCs w:val="32"/>
        </w:rPr>
      </w:pPr>
      <w:r>
        <w:rPr>
          <w:rStyle w:val="18"/>
          <w:rFonts w:ascii="仿宋" w:hAnsi="仿宋" w:eastAsia="仿宋"/>
          <w:bCs/>
          <w:sz w:val="32"/>
          <w:szCs w:val="32"/>
        </w:rPr>
        <w:t>1.</w:t>
      </w:r>
      <w:r>
        <w:rPr>
          <w:rStyle w:val="18"/>
          <w:rFonts w:hint="eastAsia" w:ascii="仿宋" w:hAnsi="仿宋" w:eastAsia="仿宋"/>
          <w:bCs/>
          <w:sz w:val="32"/>
          <w:szCs w:val="32"/>
        </w:rPr>
        <w:t>教育（类）</w:t>
      </w:r>
      <w:r>
        <w:rPr>
          <w:rStyle w:val="18"/>
          <w:rFonts w:hint="eastAsia" w:ascii="仿宋" w:hAnsi="仿宋" w:eastAsia="仿宋"/>
          <w:bCs/>
          <w:color w:val="000000"/>
          <w:sz w:val="32"/>
          <w:szCs w:val="32"/>
          <w:lang w:eastAsia="zh-CN"/>
        </w:rPr>
        <w:t>普通教育</w:t>
      </w:r>
      <w:r>
        <w:rPr>
          <w:rStyle w:val="18"/>
          <w:rFonts w:hint="eastAsia" w:ascii="仿宋" w:hAnsi="仿宋" w:eastAsia="仿宋"/>
          <w:bCs/>
          <w:sz w:val="32"/>
          <w:szCs w:val="32"/>
        </w:rPr>
        <w:t>（款）</w:t>
      </w:r>
      <w:r>
        <w:rPr>
          <w:rStyle w:val="18"/>
          <w:rFonts w:hint="eastAsia" w:ascii="仿宋" w:hAnsi="仿宋" w:eastAsia="仿宋"/>
          <w:bCs/>
          <w:sz w:val="32"/>
          <w:szCs w:val="32"/>
          <w:lang w:eastAsia="zh-CN"/>
        </w:rPr>
        <w:t>学前教育</w:t>
      </w:r>
      <w:r>
        <w:rPr>
          <w:rStyle w:val="18"/>
          <w:rFonts w:hint="eastAsia" w:ascii="仿宋" w:hAnsi="仿宋" w:eastAsia="仿宋"/>
          <w:bCs/>
          <w:sz w:val="32"/>
          <w:szCs w:val="32"/>
        </w:rPr>
        <w:t>（项）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13.21</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spacing w:line="600" w:lineRule="exact"/>
        <w:ind w:firstLine="642" w:firstLineChars="200"/>
        <w:rPr>
          <w:rFonts w:ascii="仿宋" w:hAnsi="仿宋" w:eastAsia="仿宋"/>
          <w:b/>
          <w:sz w:val="32"/>
          <w:szCs w:val="32"/>
        </w:rPr>
      </w:pPr>
      <w:r>
        <w:rPr>
          <w:rStyle w:val="18"/>
          <w:rFonts w:ascii="仿宋" w:hAnsi="仿宋" w:eastAsia="仿宋"/>
          <w:bCs/>
          <w:sz w:val="32"/>
          <w:szCs w:val="32"/>
        </w:rPr>
        <w:t>2.</w:t>
      </w:r>
      <w:r>
        <w:rPr>
          <w:rStyle w:val="18"/>
          <w:rFonts w:hint="eastAsia" w:ascii="仿宋" w:hAnsi="仿宋" w:eastAsia="仿宋"/>
          <w:bCs/>
          <w:sz w:val="32"/>
          <w:szCs w:val="32"/>
        </w:rPr>
        <w:t>教育（类）</w:t>
      </w:r>
      <w:r>
        <w:rPr>
          <w:rStyle w:val="18"/>
          <w:rFonts w:hint="eastAsia" w:ascii="仿宋" w:hAnsi="仿宋" w:eastAsia="仿宋"/>
          <w:bCs/>
          <w:sz w:val="32"/>
          <w:szCs w:val="32"/>
          <w:lang w:eastAsia="zh-CN"/>
        </w:rPr>
        <w:t>普通教育</w:t>
      </w:r>
      <w:r>
        <w:rPr>
          <w:rStyle w:val="18"/>
          <w:rFonts w:hint="eastAsia" w:ascii="仿宋" w:hAnsi="仿宋" w:eastAsia="仿宋"/>
          <w:bCs/>
          <w:sz w:val="32"/>
          <w:szCs w:val="32"/>
        </w:rPr>
        <w:t>（款）</w:t>
      </w:r>
      <w:r>
        <w:rPr>
          <w:rStyle w:val="18"/>
          <w:rFonts w:hint="eastAsia" w:ascii="仿宋" w:hAnsi="仿宋" w:eastAsia="仿宋"/>
          <w:bCs/>
          <w:sz w:val="32"/>
          <w:szCs w:val="32"/>
          <w:lang w:eastAsia="zh-CN"/>
        </w:rPr>
        <w:t>小学教育</w:t>
      </w:r>
      <w:r>
        <w:rPr>
          <w:rStyle w:val="18"/>
          <w:rFonts w:hint="eastAsia" w:ascii="仿宋" w:hAnsi="仿宋" w:eastAsia="仿宋"/>
          <w:bCs/>
          <w:sz w:val="32"/>
          <w:szCs w:val="32"/>
        </w:rPr>
        <w:t>（项）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208.69</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spacing w:line="600" w:lineRule="exact"/>
        <w:ind w:firstLine="642" w:firstLineChars="200"/>
        <w:rPr>
          <w:rStyle w:val="18"/>
          <w:rFonts w:hint="eastAsia" w:ascii="仿宋" w:hAnsi="仿宋" w:eastAsia="仿宋"/>
          <w:bCs/>
          <w:sz w:val="32"/>
          <w:szCs w:val="32"/>
          <w:lang w:eastAsia="zh-CN"/>
        </w:rPr>
      </w:pPr>
      <w:r>
        <w:rPr>
          <w:rStyle w:val="18"/>
          <w:rFonts w:ascii="仿宋" w:hAnsi="仿宋" w:eastAsia="仿宋"/>
          <w:bCs/>
          <w:sz w:val="32"/>
          <w:szCs w:val="32"/>
        </w:rPr>
        <w:t>3.</w:t>
      </w:r>
      <w:r>
        <w:rPr>
          <w:rStyle w:val="18"/>
          <w:rFonts w:hint="eastAsia" w:ascii="仿宋" w:hAnsi="仿宋" w:eastAsia="仿宋"/>
          <w:bCs/>
          <w:sz w:val="32"/>
          <w:szCs w:val="32"/>
        </w:rPr>
        <w:t>社会保障和就业（类）</w:t>
      </w:r>
      <w:r>
        <w:rPr>
          <w:rStyle w:val="18"/>
          <w:rFonts w:hint="eastAsia" w:ascii="仿宋" w:hAnsi="仿宋" w:eastAsia="仿宋"/>
          <w:bCs/>
          <w:sz w:val="32"/>
          <w:szCs w:val="32"/>
          <w:lang w:eastAsia="zh-CN"/>
        </w:rPr>
        <w:t>行政事业单位养老</w:t>
      </w:r>
      <w:r>
        <w:rPr>
          <w:rStyle w:val="18"/>
          <w:rFonts w:hint="eastAsia" w:ascii="仿宋" w:hAnsi="仿宋" w:eastAsia="仿宋"/>
          <w:bCs/>
          <w:sz w:val="32"/>
          <w:szCs w:val="32"/>
        </w:rPr>
        <w:t>（款）</w:t>
      </w:r>
      <w:r>
        <w:rPr>
          <w:rStyle w:val="18"/>
          <w:rFonts w:hint="eastAsia" w:ascii="仿宋" w:hAnsi="仿宋" w:eastAsia="仿宋"/>
          <w:bCs/>
          <w:color w:val="000000"/>
          <w:sz w:val="32"/>
          <w:szCs w:val="32"/>
        </w:rPr>
        <w:t>机关事业单位基本养老保险缴费</w:t>
      </w:r>
      <w:r>
        <w:rPr>
          <w:rStyle w:val="18"/>
          <w:rFonts w:hint="eastAsia" w:ascii="仿宋" w:hAnsi="仿宋" w:eastAsia="仿宋"/>
          <w:bCs/>
          <w:sz w:val="32"/>
          <w:szCs w:val="32"/>
        </w:rPr>
        <w:t>（项）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17.75</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r>
        <w:rPr>
          <w:rStyle w:val="18"/>
          <w:rFonts w:hint="eastAsia" w:ascii="仿宋" w:hAnsi="仿宋" w:eastAsia="仿宋"/>
          <w:b w:val="0"/>
          <w:bCs/>
          <w:sz w:val="32"/>
          <w:szCs w:val="32"/>
          <w:lang w:eastAsia="zh-CN"/>
        </w:rPr>
        <w:t>。</w:t>
      </w:r>
    </w:p>
    <w:p>
      <w:pPr>
        <w:spacing w:line="600" w:lineRule="exact"/>
        <w:ind w:firstLine="642" w:firstLineChars="200"/>
        <w:rPr>
          <w:rStyle w:val="18"/>
          <w:rFonts w:ascii="仿宋" w:hAnsi="仿宋" w:eastAsia="仿宋"/>
          <w:bCs/>
          <w:sz w:val="32"/>
          <w:szCs w:val="32"/>
        </w:rPr>
      </w:pPr>
      <w:r>
        <w:rPr>
          <w:rStyle w:val="18"/>
          <w:rFonts w:ascii="仿宋" w:hAnsi="仿宋" w:eastAsia="仿宋"/>
          <w:bCs/>
          <w:sz w:val="32"/>
          <w:szCs w:val="32"/>
        </w:rPr>
        <w:t>4.</w:t>
      </w:r>
      <w:r>
        <w:rPr>
          <w:rFonts w:hint="eastAsia" w:ascii="仿宋" w:hAnsi="仿宋" w:eastAsia="仿宋"/>
          <w:b/>
          <w:bCs/>
          <w:sz w:val="32"/>
          <w:szCs w:val="32"/>
        </w:rPr>
        <w:t>卫生健康</w:t>
      </w:r>
      <w:r>
        <w:rPr>
          <w:rStyle w:val="18"/>
          <w:rFonts w:hint="eastAsia" w:ascii="仿宋" w:hAnsi="仿宋" w:eastAsia="仿宋"/>
          <w:bCs/>
          <w:sz w:val="32"/>
          <w:szCs w:val="32"/>
        </w:rPr>
        <w:t>（类）</w:t>
      </w:r>
      <w:r>
        <w:rPr>
          <w:rStyle w:val="18"/>
          <w:rFonts w:hint="eastAsia" w:ascii="仿宋" w:hAnsi="仿宋" w:eastAsia="仿宋"/>
          <w:bCs/>
          <w:color w:val="000000"/>
          <w:sz w:val="32"/>
          <w:szCs w:val="32"/>
        </w:rPr>
        <w:t>行政事业单位医疗</w:t>
      </w:r>
      <w:r>
        <w:rPr>
          <w:rStyle w:val="18"/>
          <w:rFonts w:hint="eastAsia" w:ascii="仿宋" w:hAnsi="仿宋" w:eastAsia="仿宋"/>
          <w:bCs/>
          <w:sz w:val="32"/>
          <w:szCs w:val="32"/>
        </w:rPr>
        <w:t>（款）</w:t>
      </w:r>
      <w:r>
        <w:rPr>
          <w:rStyle w:val="18"/>
          <w:rFonts w:hint="eastAsia" w:ascii="仿宋" w:hAnsi="仿宋" w:eastAsia="仿宋"/>
          <w:bCs/>
          <w:color w:val="000000"/>
          <w:sz w:val="32"/>
          <w:szCs w:val="32"/>
        </w:rPr>
        <w:t>事业单位医疗</w:t>
      </w:r>
      <w:r>
        <w:rPr>
          <w:rStyle w:val="18"/>
          <w:rFonts w:hint="eastAsia" w:ascii="仿宋" w:hAnsi="仿宋" w:eastAsia="仿宋"/>
          <w:bCs/>
          <w:sz w:val="32"/>
          <w:szCs w:val="32"/>
        </w:rPr>
        <w:t>（项）</w:t>
      </w:r>
      <w:r>
        <w:rPr>
          <w:rStyle w:val="18"/>
          <w:rFonts w:hint="eastAsia" w:ascii="仿宋" w:hAnsi="仿宋" w:eastAsia="仿宋"/>
          <w:bCs/>
          <w:sz w:val="32"/>
          <w:szCs w:val="32"/>
          <w:lang w:eastAsia="zh-CN"/>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8.87</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spacing w:line="600" w:lineRule="exact"/>
        <w:ind w:firstLine="642" w:firstLineChars="200"/>
        <w:rPr>
          <w:rFonts w:ascii="仿宋" w:hAnsi="仿宋" w:eastAsia="仿宋"/>
          <w:b/>
          <w:sz w:val="32"/>
          <w:szCs w:val="32"/>
        </w:rPr>
      </w:pPr>
      <w:r>
        <w:rPr>
          <w:rStyle w:val="18"/>
          <w:rFonts w:ascii="仿宋" w:hAnsi="仿宋" w:eastAsia="仿宋"/>
          <w:bCs/>
          <w:sz w:val="32"/>
          <w:szCs w:val="32"/>
        </w:rPr>
        <w:t>5.</w:t>
      </w:r>
      <w:r>
        <w:rPr>
          <w:rFonts w:hint="eastAsia" w:ascii="仿宋" w:hAnsi="仿宋" w:eastAsia="仿宋"/>
          <w:b/>
          <w:bCs/>
          <w:color w:val="000000"/>
          <w:sz w:val="32"/>
          <w:szCs w:val="32"/>
        </w:rPr>
        <w:t>住房保障</w:t>
      </w:r>
      <w:r>
        <w:rPr>
          <w:rStyle w:val="18"/>
          <w:rFonts w:hint="eastAsia" w:ascii="仿宋" w:hAnsi="仿宋" w:eastAsia="仿宋"/>
          <w:bCs/>
          <w:color w:val="000000"/>
          <w:sz w:val="32"/>
          <w:szCs w:val="32"/>
        </w:rPr>
        <w:t>（类）住房改革（款）住房公积金（项）</w:t>
      </w:r>
      <w:r>
        <w:rPr>
          <w:rStyle w:val="18"/>
          <w:rFonts w:hint="eastAsia" w:ascii="仿宋" w:hAnsi="仿宋" w:eastAsia="仿宋"/>
          <w:bCs/>
          <w:color w:val="000000"/>
          <w:sz w:val="32"/>
          <w:szCs w:val="32"/>
          <w:lang w:eastAsia="zh-CN"/>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13.31</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w:t>
      </w:r>
      <w:r>
        <w:rPr>
          <w:rStyle w:val="18"/>
          <w:rFonts w:hint="eastAsia" w:ascii="仿宋" w:hAnsi="仿宋" w:eastAsia="仿宋"/>
          <w:b w:val="0"/>
          <w:bCs/>
          <w:color w:val="000000"/>
          <w:sz w:val="32"/>
          <w:szCs w:val="32"/>
          <w:lang w:eastAsia="zh-CN"/>
        </w:rPr>
        <w:t>等</w:t>
      </w:r>
      <w:r>
        <w:rPr>
          <w:rStyle w:val="18"/>
          <w:rFonts w:hint="eastAsia" w:ascii="仿宋" w:hAnsi="仿宋" w:eastAsia="仿宋"/>
          <w:b w:val="0"/>
          <w:bCs/>
          <w:color w:val="000000"/>
          <w:sz w:val="32"/>
          <w:szCs w:val="32"/>
        </w:rPr>
        <w:t>于预算数。</w:t>
      </w:r>
    </w:p>
    <w:p>
      <w:pPr>
        <w:tabs>
          <w:tab w:val="right" w:pos="8306"/>
        </w:tabs>
        <w:spacing w:line="600" w:lineRule="exact"/>
        <w:ind w:firstLine="640"/>
        <w:outlineLvl w:val="1"/>
        <w:rPr>
          <w:rStyle w:val="29"/>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34"/>
      <w:bookmarkEnd w:id="35"/>
      <w:r>
        <w:rPr>
          <w:rStyle w:val="29"/>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261.83</w:t>
      </w:r>
      <w:r>
        <w:rPr>
          <w:rFonts w:hint="eastAsia" w:ascii="仿宋" w:hAnsi="仿宋" w:eastAsia="仿宋"/>
          <w:sz w:val="32"/>
          <w:szCs w:val="32"/>
        </w:rPr>
        <w:t>万元，其中：</w:t>
      </w:r>
    </w:p>
    <w:p>
      <w:pPr>
        <w:spacing w:line="600" w:lineRule="exact"/>
        <w:ind w:firstLine="645"/>
        <w:rPr>
          <w:rFonts w:ascii="仿宋" w:hAnsi="仿宋" w:eastAsia="仿宋"/>
          <w:b/>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234.38</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27.45</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9"/>
          <w:rFonts w:ascii="黑体" w:hAnsi="黑体" w:eastAsia="黑体"/>
          <w:b w:val="0"/>
        </w:rPr>
      </w:pPr>
      <w:bookmarkStart w:id="36" w:name="_Toc15377215"/>
      <w:bookmarkStart w:id="37" w:name="_Toc15396609"/>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0.38</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，较上年减少</w:t>
      </w:r>
      <w:r>
        <w:rPr>
          <w:rFonts w:hint="eastAsia" w:ascii="仿宋" w:hAnsi="仿宋" w:eastAsia="仿宋"/>
          <w:sz w:val="32"/>
          <w:szCs w:val="32"/>
          <w:lang w:val="en-US" w:eastAsia="zh-CN"/>
        </w:rPr>
        <w:t>0.1</w:t>
      </w:r>
      <w:r>
        <w:rPr>
          <w:rFonts w:hint="eastAsia" w:ascii="仿宋" w:hAnsi="仿宋" w:eastAsia="仿宋"/>
          <w:sz w:val="32"/>
          <w:szCs w:val="32"/>
        </w:rPr>
        <w:t>万元，下降</w:t>
      </w:r>
      <w:r>
        <w:rPr>
          <w:rFonts w:hint="eastAsia" w:ascii="仿宋" w:hAnsi="仿宋" w:eastAsia="仿宋"/>
          <w:sz w:val="32"/>
          <w:szCs w:val="32"/>
          <w:lang w:val="en-US" w:eastAsia="zh-CN"/>
        </w:rPr>
        <w:t>20.83</w:t>
      </w:r>
      <w:r>
        <w:rPr>
          <w:rFonts w:hint="eastAsia" w:ascii="仿宋" w:hAnsi="仿宋" w:eastAsia="仿宋"/>
          <w:sz w:val="32"/>
          <w:szCs w:val="32"/>
        </w:rPr>
        <w:t>%。决算数与预算数持平。</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0.38</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pStyle w:val="2"/>
        <w:ind w:firstLine="1606" w:firstLineChars="500"/>
        <w:rPr>
          <w:rFonts w:hint="eastAsia" w:ascii="仿宋" w:hAnsi="仿宋" w:eastAsia="仿宋"/>
          <w:sz w:val="32"/>
          <w:szCs w:val="32"/>
        </w:rPr>
      </w:pPr>
      <w:r>
        <w:rPr>
          <w:rFonts w:hint="eastAsia" w:ascii="仿宋" w:hAnsi="仿宋" w:eastAsia="仿宋"/>
          <w:b/>
          <w:bCs/>
          <w:sz w:val="32"/>
          <w:szCs w:val="32"/>
        </w:rPr>
        <w:t>“三公”经费财政拨款支出结构图</w:t>
      </w:r>
    </w:p>
    <w:p>
      <w:pPr>
        <w:pStyle w:val="2"/>
        <w:rPr>
          <w:rFonts w:hint="eastAsia" w:ascii="仿宋" w:hAnsi="仿宋" w:eastAsia="仿宋"/>
          <w:sz w:val="32"/>
          <w:szCs w:val="32"/>
        </w:rPr>
      </w:pPr>
      <w:r>
        <w:rPr>
          <w:rFonts w:hint="eastAsia" w:ascii="仿宋" w:hAnsi="仿宋" w:eastAsia="仿宋"/>
          <w:sz w:val="32"/>
          <w:szCs w:val="32"/>
          <w:lang w:val="en-US" w:eastAsia="zh-CN"/>
        </w:rPr>
        <w:t xml:space="preserve">    </w:t>
      </w:r>
      <w:r>
        <w:drawing>
          <wp:inline distT="0" distB="0" distL="114300" distR="114300">
            <wp:extent cx="4333875" cy="2048510"/>
            <wp:effectExtent l="4445" t="4445" r="5080" b="23495"/>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eastAsia="zh-CN"/>
        </w:rPr>
        <w:t>持平</w:t>
      </w:r>
      <w:r>
        <w:rPr>
          <w:rFonts w:hint="eastAsia" w:ascii="仿宋_GB2312" w:eastAsia="仿宋_GB2312"/>
          <w:sz w:val="32"/>
          <w:szCs w:val="32"/>
        </w:rPr>
        <w:t>。主要原因是</w:t>
      </w:r>
      <w:r>
        <w:rPr>
          <w:rFonts w:hint="eastAsia" w:ascii="仿宋" w:hAnsi="仿宋" w:eastAsia="仿宋"/>
          <w:sz w:val="32"/>
          <w:szCs w:val="32"/>
          <w:highlight w:val="none"/>
        </w:rPr>
        <w:t>无因公出国（境）安排</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Style w:val="18"/>
          <w:rFonts w:hint="eastAsia" w:ascii="仿宋" w:hAnsi="仿宋" w:eastAsia="仿宋"/>
          <w:b w:val="0"/>
          <w:bCs/>
          <w:color w:val="000000"/>
          <w:sz w:val="32"/>
          <w:szCs w:val="32"/>
          <w:highlight w:val="none"/>
          <w:lang w:eastAsia="zh-CN"/>
        </w:rPr>
        <w:t>公务用车购置及运行维护费支出决算与</w:t>
      </w:r>
      <w:r>
        <w:rPr>
          <w:rStyle w:val="18"/>
          <w:rFonts w:hint="eastAsia" w:ascii="仿宋" w:hAnsi="仿宋" w:eastAsia="仿宋"/>
          <w:b w:val="0"/>
          <w:bCs/>
          <w:color w:val="000000"/>
          <w:sz w:val="32"/>
          <w:szCs w:val="32"/>
          <w:highlight w:val="none"/>
          <w:lang w:val="en-US" w:eastAsia="zh-CN"/>
        </w:rPr>
        <w:t>2021年持平</w:t>
      </w:r>
      <w:r>
        <w:rPr>
          <w:rStyle w:val="18"/>
          <w:rFonts w:hint="eastAsia" w:ascii="仿宋" w:hAnsi="仿宋" w:eastAsia="仿宋"/>
          <w:b w:val="0"/>
          <w:bCs/>
          <w:color w:val="000000"/>
          <w:sz w:val="32"/>
          <w:szCs w:val="32"/>
          <w:highlight w:val="none"/>
          <w:lang w:eastAsia="zh-CN"/>
        </w:rPr>
        <w:t>，主要原因是</w:t>
      </w:r>
      <w:r>
        <w:rPr>
          <w:rStyle w:val="18"/>
          <w:rFonts w:hint="eastAsia" w:ascii="仿宋" w:hAnsi="仿宋" w:eastAsia="仿宋" w:cs="仿宋"/>
          <w:b w:val="0"/>
          <w:bCs w:val="0"/>
          <w:color w:val="000000"/>
          <w:sz w:val="32"/>
          <w:szCs w:val="32"/>
          <w:highlight w:val="none"/>
          <w:lang w:eastAsia="zh-CN"/>
        </w:rPr>
        <w:t>学校没有</w:t>
      </w:r>
      <w:r>
        <w:rPr>
          <w:rFonts w:hint="eastAsia" w:ascii="仿宋_GB2312" w:eastAsia="仿宋_GB2312" w:cs="仿宋_GB2312"/>
          <w:color w:val="000000"/>
          <w:sz w:val="32"/>
          <w:szCs w:val="32"/>
          <w:highlight w:val="none"/>
        </w:rPr>
        <w:t>公务用车购置及运行维护费支出</w:t>
      </w:r>
      <w:r>
        <w:rPr>
          <w:rFonts w:hint="eastAsia" w:ascii="仿宋_GB2312" w:eastAsia="仿宋_GB2312" w:cs="仿宋_GB2312"/>
          <w:color w:val="000000"/>
          <w:sz w:val="32"/>
          <w:szCs w:val="32"/>
          <w:highlight w:val="none"/>
          <w:lang w:eastAsia="zh-CN"/>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hint="eastAsia" w:ascii="仿宋_GB2312" w:eastAsia="仿宋_GB2312" w:cs="仿宋_GB2312"/>
          <w:color w:val="000000"/>
          <w:sz w:val="32"/>
          <w:szCs w:val="32"/>
          <w:highlight w:val="none"/>
          <w:lang w:eastAsia="zh-CN"/>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8"/>
          <w:rFonts w:hint="eastAsia" w:ascii="仿宋" w:hAnsi="仿宋" w:eastAsia="仿宋" w:cs="仿宋"/>
          <w:b w:val="0"/>
          <w:bCs w:val="0"/>
          <w:color w:val="000000"/>
          <w:sz w:val="32"/>
          <w:szCs w:val="32"/>
          <w:highlight w:val="none"/>
          <w:lang w:eastAsia="zh-CN"/>
        </w:rPr>
        <w:t>学校没有</w:t>
      </w:r>
      <w:r>
        <w:rPr>
          <w:rFonts w:hint="eastAsia" w:ascii="仿宋_GB2312" w:eastAsia="仿宋_GB2312" w:cs="仿宋_GB2312"/>
          <w:color w:val="000000"/>
          <w:sz w:val="32"/>
          <w:szCs w:val="32"/>
          <w:highlight w:val="none"/>
        </w:rPr>
        <w:t>公务用车购置及运行维护费支出</w:t>
      </w:r>
      <w:r>
        <w:rPr>
          <w:rFonts w:hint="eastAsia" w:ascii="仿宋_GB2312" w:eastAsia="仿宋_GB2312" w:cs="仿宋_GB2312"/>
          <w:color w:val="000000"/>
          <w:sz w:val="32"/>
          <w:szCs w:val="32"/>
          <w:highlight w:val="none"/>
          <w:lang w:eastAsia="zh-CN"/>
        </w:rPr>
        <w:t>。</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0.38</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0.1</w:t>
      </w:r>
      <w:r>
        <w:rPr>
          <w:rFonts w:hint="eastAsia" w:ascii="仿宋_GB2312" w:eastAsia="仿宋_GB2312"/>
          <w:sz w:val="32"/>
          <w:szCs w:val="32"/>
        </w:rPr>
        <w:t>万元，下降</w:t>
      </w:r>
      <w:r>
        <w:rPr>
          <w:rFonts w:hint="eastAsia" w:ascii="仿宋_GB2312" w:eastAsia="仿宋_GB2312"/>
          <w:sz w:val="32"/>
          <w:szCs w:val="32"/>
          <w:lang w:val="en-US" w:eastAsia="zh-CN"/>
        </w:rPr>
        <w:t>20.83</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根据国家政策厉行节约</w:t>
      </w:r>
      <w:r>
        <w:rPr>
          <w:rFonts w:hint="eastAsia" w:ascii="仿宋_GB2312" w:eastAsia="仿宋_GB2312"/>
          <w:sz w:val="32"/>
          <w:szCs w:val="32"/>
        </w:rPr>
        <w:t>。其中：</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0.38</w:t>
      </w:r>
      <w:r>
        <w:rPr>
          <w:rFonts w:hint="eastAsia" w:ascii="仿宋_GB2312" w:eastAsia="仿宋_GB2312"/>
          <w:sz w:val="32"/>
          <w:szCs w:val="32"/>
        </w:rPr>
        <w:t>万元，</w:t>
      </w:r>
      <w:r>
        <w:rPr>
          <w:rFonts w:hint="eastAsia" w:ascii="仿宋_GB2312" w:eastAsia="仿宋_GB2312"/>
          <w:b w:val="0"/>
          <w:bCs/>
          <w:color w:val="000000"/>
          <w:sz w:val="32"/>
          <w:szCs w:val="32"/>
          <w:lang w:val="en-US" w:eastAsia="zh-CN"/>
        </w:rPr>
        <w:t>主要用于开展业务活动开支的交通费、住宿费、用餐费。国内公务接待10批次，60人次（不包含陪同人员），共计支出0.38万元，具体内容包括：开展业务活动开支的用餐费0.38万元</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bookmarkStart w:id="40" w:name="_Toc15396610"/>
      <w:bookmarkStart w:id="41" w:name="_Toc15377218"/>
    </w:p>
    <w:p>
      <w:pPr>
        <w:spacing w:line="600" w:lineRule="exact"/>
        <w:ind w:firstLine="640"/>
        <w:outlineLvl w:val="1"/>
        <w:rPr>
          <w:rStyle w:val="29"/>
          <w:rFonts w:ascii="黑体" w:hAnsi="黑体" w:eastAsia="黑体"/>
        </w:rPr>
      </w:pPr>
      <w:r>
        <w:rPr>
          <w:rFonts w:hint="eastAsia" w:ascii="黑体" w:eastAsia="黑体"/>
          <w:sz w:val="32"/>
          <w:szCs w:val="32"/>
        </w:rPr>
        <w:t>八、</w:t>
      </w:r>
      <w:r>
        <w:rPr>
          <w:rStyle w:val="29"/>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3"/>
        </w:numPr>
        <w:spacing w:line="600" w:lineRule="exact"/>
        <w:ind w:firstLine="640"/>
        <w:outlineLvl w:val="1"/>
        <w:rPr>
          <w:rStyle w:val="29"/>
          <w:rFonts w:ascii="黑体" w:hAnsi="黑体" w:eastAsia="黑体"/>
          <w:b w:val="0"/>
        </w:rPr>
      </w:pPr>
      <w:bookmarkStart w:id="42" w:name="_Toc15377219"/>
      <w:bookmarkStart w:id="43" w:name="_Toc15396611"/>
      <w:r>
        <w:rPr>
          <w:rStyle w:val="29"/>
          <w:rFonts w:hint="eastAsia" w:ascii="黑体" w:hAnsi="黑体" w:eastAsia="黑体"/>
          <w:b w:val="0"/>
        </w:rPr>
        <w:t>国有资本经营预算支出决算情况说明</w:t>
      </w:r>
      <w:bookmarkEnd w:id="42"/>
      <w:bookmarkEnd w:id="43"/>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3"/>
        </w:numPr>
        <w:spacing w:line="600" w:lineRule="exact"/>
        <w:ind w:firstLine="640"/>
        <w:outlineLvl w:val="1"/>
        <w:rPr>
          <w:rStyle w:val="29"/>
          <w:rFonts w:ascii="黑体" w:hAnsi="黑体" w:eastAsia="黑体"/>
          <w:b w:val="0"/>
        </w:rPr>
      </w:pPr>
      <w:bookmarkStart w:id="44" w:name="_Toc15377221"/>
      <w:bookmarkStart w:id="45" w:name="_Toc15396612"/>
      <w:r>
        <w:rPr>
          <w:rStyle w:val="29"/>
          <w:rFonts w:hint="eastAsia" w:ascii="黑体" w:hAnsi="黑体" w:eastAsia="黑体"/>
          <w:b w:val="0"/>
        </w:rPr>
        <w:t>其他重要事项的情况说明</w:t>
      </w:r>
      <w:bookmarkEnd w:id="44"/>
      <w:bookmarkEnd w:id="45"/>
    </w:p>
    <w:p>
      <w:pPr>
        <w:spacing w:line="600" w:lineRule="exact"/>
        <w:ind w:firstLine="642"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ascii="仿宋" w:hAnsi="仿宋" w:eastAsia="仿宋"/>
          <w:b/>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剑阁县柘坝小学校</w:t>
      </w:r>
      <w:r>
        <w:rPr>
          <w:rFonts w:hint="eastAsia" w:ascii="仿宋_GB2312" w:eastAsia="仿宋_GB2312"/>
          <w:sz w:val="32"/>
          <w:szCs w:val="32"/>
        </w:rPr>
        <w:t>机关运行经费支出</w:t>
      </w:r>
      <w:r>
        <w:rPr>
          <w:rFonts w:hint="eastAsia" w:ascii="仿宋_GB2312" w:eastAsia="仿宋_GB2312"/>
          <w:sz w:val="32"/>
          <w:szCs w:val="32"/>
          <w:lang w:val="en-US" w:eastAsia="zh-CN"/>
        </w:rPr>
        <w:t>0</w:t>
      </w:r>
      <w:r>
        <w:rPr>
          <w:rFonts w:hint="eastAsia" w:ascii="仿宋_GB2312" w:eastAsia="仿宋_GB2312"/>
          <w:sz w:val="32"/>
          <w:szCs w:val="32"/>
        </w:rPr>
        <w:t>万元，与</w:t>
      </w:r>
      <w:r>
        <w:rPr>
          <w:rFonts w:ascii="仿宋_GB2312" w:eastAsia="仿宋_GB2312"/>
          <w:sz w:val="32"/>
          <w:szCs w:val="32"/>
        </w:rPr>
        <w:t>20</w:t>
      </w:r>
      <w:r>
        <w:rPr>
          <w:rFonts w:hint="eastAsia" w:ascii="仿宋_GB2312" w:eastAsia="仿宋_GB2312"/>
          <w:sz w:val="32"/>
          <w:szCs w:val="32"/>
        </w:rPr>
        <w:t>21年决算数持平</w:t>
      </w:r>
      <w:r>
        <w:rPr>
          <w:rFonts w:hint="eastAsia" w:ascii="仿宋_GB2312" w:eastAsia="仿宋_GB2312"/>
          <w:sz w:val="32"/>
          <w:szCs w:val="32"/>
          <w:lang w:eastAsia="zh-CN"/>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 w:hAnsi="仿宋" w:eastAsia="仿宋"/>
          <w:b/>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剑阁县柘坝小学校</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 w:hAnsi="仿宋" w:eastAsia="仿宋"/>
          <w:b/>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eastAsia="zh-CN"/>
        </w:rPr>
        <w:t>剑阁县柘坝小学校</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2"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2"/>
        <w:spacing w:before="93"/>
        <w:ind w:firstLine="640" w:firstLineChars="200"/>
        <w:rPr>
          <w:highlight w:val="yellow"/>
        </w:rPr>
      </w:pPr>
      <w:r>
        <w:rPr>
          <w:rFonts w:hint="eastAsia" w:hAnsi="仿宋_GB2312" w:cs="仿宋_GB2312"/>
          <w:sz w:val="32"/>
          <w:szCs w:val="32"/>
        </w:rPr>
        <w:t>根据预算绩效管理要求，本单位在2022年度预算编制阶段，组织对</w:t>
      </w:r>
      <w:r>
        <w:rPr>
          <w:rFonts w:hint="eastAsia" w:hAnsi="仿宋_GB2312" w:cs="仿宋_GB2312"/>
          <w:sz w:val="32"/>
          <w:szCs w:val="32"/>
          <w:lang w:eastAsia="zh-CN"/>
        </w:rPr>
        <w:t>幼儿资助、贫困寄宿生生活补助项目等</w:t>
      </w:r>
      <w:r>
        <w:rPr>
          <w:rFonts w:hint="eastAsia" w:hAnsi="仿宋_GB2312" w:cs="仿宋_GB2312"/>
          <w:sz w:val="32"/>
          <w:szCs w:val="32"/>
          <w:lang w:val="en-US" w:eastAsia="zh-CN"/>
        </w:rPr>
        <w:t>2</w:t>
      </w:r>
      <w:r>
        <w:rPr>
          <w:rFonts w:hint="eastAsia" w:hAnsi="仿宋_GB2312" w:cs="仿宋_GB2312"/>
          <w:sz w:val="32"/>
          <w:szCs w:val="32"/>
        </w:rPr>
        <w:t>个项目开展了预算事前绩效评估，对</w:t>
      </w:r>
      <w:r>
        <w:rPr>
          <w:rFonts w:hint="eastAsia" w:hAnsi="仿宋_GB2312" w:cs="仿宋_GB2312"/>
          <w:sz w:val="32"/>
          <w:szCs w:val="32"/>
          <w:lang w:val="en-US" w:eastAsia="zh-CN"/>
        </w:rPr>
        <w:t>2</w:t>
      </w:r>
      <w:r>
        <w:rPr>
          <w:rFonts w:hint="eastAsia" w:hAnsi="仿宋_GB2312" w:cs="仿宋_GB2312"/>
          <w:sz w:val="32"/>
          <w:szCs w:val="32"/>
        </w:rPr>
        <w:t>个项目编制了绩效目标，预算执行过程中，选取</w:t>
      </w:r>
      <w:r>
        <w:rPr>
          <w:rFonts w:hint="eastAsia" w:hAnsi="仿宋_GB2312" w:cs="仿宋_GB2312"/>
          <w:sz w:val="32"/>
          <w:szCs w:val="32"/>
          <w:lang w:val="en-US" w:eastAsia="zh-CN"/>
        </w:rPr>
        <w:t>2</w:t>
      </w:r>
      <w:r>
        <w:rPr>
          <w:rFonts w:hint="eastAsia" w:hAnsi="仿宋_GB2312" w:cs="仿宋_GB2312"/>
          <w:sz w:val="32"/>
          <w:szCs w:val="32"/>
        </w:rPr>
        <w:t>个项目开展绩效监控，组织开展绩效自评，绩效自评表详见第四部分附件。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8"/>
          <w:rFonts w:ascii="黑体" w:hAnsi="黑体" w:eastAsia="黑体"/>
          <w:b w:val="0"/>
        </w:rPr>
      </w:pPr>
      <w:bookmarkStart w:id="49" w:name="_Toc15377225"/>
      <w:bookmarkStart w:id="50" w:name="_Toc15396613"/>
      <w:r>
        <w:rPr>
          <w:rFonts w:hint="eastAsia" w:ascii="黑体" w:hAnsi="黑体" w:eastAsia="黑体"/>
          <w:sz w:val="44"/>
          <w:szCs w:val="44"/>
        </w:rPr>
        <w:t>名</w:t>
      </w:r>
      <w:r>
        <w:rPr>
          <w:rStyle w:val="28"/>
          <w:rFonts w:hint="eastAsia" w:ascii="黑体" w:hAnsi="黑体" w:eastAsia="黑体"/>
          <w:b w:val="0"/>
        </w:rPr>
        <w:t>词解释</w:t>
      </w:r>
      <w:bookmarkEnd w:id="49"/>
      <w:bookmarkEnd w:id="50"/>
    </w:p>
    <w:p>
      <w:pPr>
        <w:spacing w:line="600" w:lineRule="exact"/>
        <w:jc w:val="left"/>
        <w:rPr>
          <w:rFonts w:ascii="宋体"/>
          <w:b/>
          <w:sz w:val="44"/>
          <w:szCs w:val="44"/>
        </w:rPr>
      </w:pP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s="仿宋_GB2312"/>
          <w:color w:val="000000"/>
          <w:sz w:val="32"/>
          <w:szCs w:val="32"/>
        </w:rPr>
        <w:t>教育（类）</w:t>
      </w:r>
      <w:r>
        <w:rPr>
          <w:rFonts w:hint="eastAsia" w:ascii="仿宋_GB2312" w:eastAsia="仿宋_GB2312" w:cs="仿宋_GB2312"/>
          <w:color w:val="000000"/>
          <w:sz w:val="32"/>
          <w:szCs w:val="32"/>
          <w:lang w:eastAsia="zh-CN"/>
        </w:rPr>
        <w:t>普通教育</w:t>
      </w:r>
      <w:r>
        <w:rPr>
          <w:rFonts w:hint="eastAsia" w:ascii="仿宋_GB2312" w:eastAsia="仿宋_GB2312" w:cs="仿宋_GB2312"/>
          <w:color w:val="000000"/>
          <w:sz w:val="32"/>
          <w:szCs w:val="32"/>
        </w:rPr>
        <w:t>（款）</w:t>
      </w:r>
      <w:r>
        <w:rPr>
          <w:rFonts w:hint="eastAsia" w:ascii="仿宋_GB2312" w:eastAsia="仿宋_GB2312" w:cs="仿宋_GB2312"/>
          <w:color w:val="000000"/>
          <w:sz w:val="32"/>
          <w:szCs w:val="32"/>
          <w:lang w:eastAsia="zh-CN"/>
        </w:rPr>
        <w:t>学前教育</w:t>
      </w:r>
      <w:r>
        <w:rPr>
          <w:rFonts w:hint="eastAsia" w:ascii="仿宋_GB2312" w:eastAsia="仿宋_GB2312" w:cs="仿宋_GB2312"/>
          <w:color w:val="000000"/>
          <w:sz w:val="32"/>
          <w:szCs w:val="32"/>
        </w:rPr>
        <w:t>（项）：指</w:t>
      </w:r>
      <w:r>
        <w:rPr>
          <w:rFonts w:hint="eastAsia" w:ascii="仿宋_GB2312" w:eastAsia="仿宋_GB2312" w:cs="仿宋_GB2312"/>
          <w:color w:val="000000"/>
          <w:sz w:val="32"/>
          <w:szCs w:val="32"/>
          <w:lang w:eastAsia="zh-CN"/>
        </w:rPr>
        <w:t>本单位学前教育支出</w:t>
      </w:r>
      <w:r>
        <w:rPr>
          <w:rFonts w:hint="eastAsia" w:ascii="仿宋_GB2312" w:eastAsia="仿宋_GB2312" w:cs="仿宋_GB2312"/>
          <w:color w:val="000000"/>
          <w:sz w:val="32"/>
          <w:szCs w:val="32"/>
        </w:rPr>
        <w:t>。</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s="仿宋_GB2312"/>
          <w:color w:val="000000"/>
          <w:sz w:val="32"/>
          <w:szCs w:val="32"/>
        </w:rPr>
        <w:t>教育（类）</w:t>
      </w:r>
      <w:r>
        <w:rPr>
          <w:rFonts w:hint="eastAsia" w:ascii="仿宋_GB2312" w:eastAsia="仿宋_GB2312" w:cs="仿宋_GB2312"/>
          <w:color w:val="000000"/>
          <w:sz w:val="32"/>
          <w:szCs w:val="32"/>
          <w:lang w:eastAsia="zh-CN"/>
        </w:rPr>
        <w:t>普通教育</w:t>
      </w:r>
      <w:r>
        <w:rPr>
          <w:rFonts w:hint="eastAsia" w:ascii="仿宋_GB2312" w:eastAsia="仿宋_GB2312" w:cs="仿宋_GB2312"/>
          <w:color w:val="000000"/>
          <w:sz w:val="32"/>
          <w:szCs w:val="32"/>
        </w:rPr>
        <w:t>（款）</w:t>
      </w:r>
      <w:r>
        <w:rPr>
          <w:rFonts w:hint="eastAsia" w:ascii="仿宋_GB2312" w:eastAsia="仿宋_GB2312" w:cs="仿宋_GB2312"/>
          <w:color w:val="000000"/>
          <w:sz w:val="32"/>
          <w:szCs w:val="32"/>
          <w:lang w:eastAsia="zh-CN"/>
        </w:rPr>
        <w:t>小学教育</w:t>
      </w:r>
      <w:r>
        <w:rPr>
          <w:rFonts w:hint="eastAsia" w:ascii="仿宋_GB2312" w:eastAsia="仿宋_GB2312" w:cs="仿宋_GB2312"/>
          <w:color w:val="000000"/>
          <w:sz w:val="32"/>
          <w:szCs w:val="32"/>
        </w:rPr>
        <w:t>（项）：指</w:t>
      </w:r>
      <w:r>
        <w:rPr>
          <w:rFonts w:hint="eastAsia" w:ascii="仿宋_GB2312" w:eastAsia="仿宋_GB2312" w:cs="仿宋_GB2312"/>
          <w:color w:val="000000"/>
          <w:sz w:val="32"/>
          <w:szCs w:val="32"/>
          <w:lang w:eastAsia="zh-CN"/>
        </w:rPr>
        <w:t>本单位小学教育支出</w:t>
      </w:r>
      <w:r>
        <w:rPr>
          <w:rFonts w:hint="eastAsia" w:ascii="仿宋_GB2312" w:eastAsia="仿宋_GB2312" w:cs="仿宋_GB2312"/>
          <w:color w:val="000000"/>
          <w:sz w:val="32"/>
          <w:szCs w:val="32"/>
        </w:rPr>
        <w:t>。</w:t>
      </w:r>
    </w:p>
    <w:p>
      <w:pPr>
        <w:pStyle w:val="26"/>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s="仿宋_GB2312"/>
          <w:color w:val="000000"/>
          <w:sz w:val="32"/>
          <w:szCs w:val="32"/>
        </w:rPr>
        <w:t>社会保障和就业（类）行政事业单位离退休（款）机关事业单位基本养老保险缴费支出（项）：指</w:t>
      </w:r>
      <w:r>
        <w:rPr>
          <w:rFonts w:hint="eastAsia" w:ascii="仿宋_GB2312" w:eastAsia="仿宋_GB2312"/>
          <w:sz w:val="32"/>
          <w:szCs w:val="32"/>
        </w:rPr>
        <w:t>机关事业单位实施养老保险制度由单位缴纳的基本养老保险费的支出。</w:t>
      </w:r>
      <w:r>
        <w:rPr>
          <w:rFonts w:ascii="仿宋_GB2312" w:eastAsia="仿宋_GB2312"/>
          <w:color w:val="auto"/>
          <w:sz w:val="32"/>
          <w:szCs w:val="32"/>
        </w:rPr>
        <w:t xml:space="preserve"> </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s="仿宋_GB2312"/>
          <w:color w:val="000000"/>
          <w:sz w:val="32"/>
          <w:szCs w:val="32"/>
        </w:rPr>
        <w:t>医疗卫生与计划生育（类）行政事业单位医疗（款）事业单位医疗（项）：指</w:t>
      </w:r>
      <w:r>
        <w:rPr>
          <w:rFonts w:hint="eastAsia" w:ascii="仿宋_GB2312" w:eastAsia="仿宋_GB2312"/>
          <w:sz w:val="32"/>
          <w:szCs w:val="32"/>
        </w:rPr>
        <w:t>财政部门集中安排的行政单位基本医疗保险缴费经费，未参加医疗保险的行政单位的公费医疗经费，按国家规定享受离休人员、红军老战士待遇人员的医疗经费。</w:t>
      </w:r>
      <w:r>
        <w:rPr>
          <w:rFonts w:ascii="仿宋_GB2312" w:eastAsia="仿宋_GB2312"/>
          <w:color w:val="auto"/>
          <w:sz w:val="32"/>
          <w:szCs w:val="32"/>
        </w:rPr>
        <w:t xml:space="preserve"> </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s="仿宋_GB2312"/>
          <w:color w:val="000000"/>
          <w:sz w:val="32"/>
          <w:szCs w:val="32"/>
        </w:rPr>
        <w:t>住房保障（类）住房改革支出（款）住房公积金（项）：指</w:t>
      </w:r>
      <w:r>
        <w:rPr>
          <w:rFonts w:hint="eastAsia" w:ascii="仿宋_GB2312" w:eastAsia="仿宋_GB2312"/>
          <w:sz w:val="32"/>
          <w:szCs w:val="32"/>
        </w:rPr>
        <w:t>本单位按人力资源和社会保障部、财政部规定的基本工资和津贴补贴以及规定比例为职工缴纳的住房公积金。</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w:t>
      </w:r>
      <w:r>
        <w:rPr>
          <w:rFonts w:ascii="仿宋_GB2312" w:eastAsia="仿宋_GB2312"/>
          <w:color w:val="auto"/>
          <w:sz w:val="32"/>
          <w:szCs w:val="32"/>
        </w:rPr>
        <w:t>0.</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ascii="仿宋_GB2312" w:eastAsia="仿宋_GB2312"/>
          <w:color w:val="auto"/>
          <w:sz w:val="32"/>
          <w:szCs w:val="32"/>
        </w:rPr>
      </w:pPr>
    </w:p>
    <w:p>
      <w:pPr>
        <w:pStyle w:val="26"/>
        <w:spacing w:line="560" w:lineRule="exact"/>
        <w:ind w:firstLine="883" w:firstLineChars="200"/>
        <w:rPr>
          <w:rFonts w:ascii="仿宋_GB2312" w:hAnsi="仿宋_GB2312" w:eastAsia="仿宋_GB2312" w:cs="仿宋_GB2312"/>
          <w:sz w:val="32"/>
          <w:szCs w:val="32"/>
        </w:rPr>
      </w:pPr>
      <w:bookmarkStart w:id="51" w:name="_Toc15377226"/>
      <w:r>
        <w:rPr>
          <w:rFonts w:ascii="宋体"/>
          <w:b/>
          <w:sz w:val="44"/>
          <w:szCs w:val="44"/>
        </w:rPr>
        <w:br w:type="page"/>
      </w:r>
      <w:bookmarkStart w:id="52" w:name="_Toc15396614"/>
      <w:r>
        <w:rPr>
          <w:rFonts w:hint="eastAsia" w:ascii="宋体"/>
          <w:b/>
          <w:sz w:val="44"/>
          <w:szCs w:val="44"/>
          <w:lang w:val="en-US" w:eastAsia="zh-CN"/>
        </w:rPr>
        <w:t xml:space="preserve">         </w:t>
      </w:r>
      <w:r>
        <w:rPr>
          <w:rFonts w:hint="eastAsia" w:ascii="黑体" w:hAnsi="黑体" w:eastAsia="黑体"/>
          <w:sz w:val="44"/>
          <w:szCs w:val="44"/>
        </w:rPr>
        <w:t>第</w:t>
      </w:r>
      <w:r>
        <w:rPr>
          <w:rStyle w:val="28"/>
          <w:rFonts w:hint="eastAsia" w:ascii="黑体" w:hAnsi="黑体" w:eastAsia="黑体"/>
          <w:b w:val="0"/>
        </w:rPr>
        <w:t>四部分 附件</w:t>
      </w:r>
      <w:bookmarkEnd w:id="52"/>
    </w:p>
    <w:tbl>
      <w:tblPr>
        <w:tblStyle w:val="16"/>
        <w:tblpPr w:leftFromText="180" w:rightFromText="180" w:vertAnchor="text" w:horzAnchor="page" w:tblpX="1036" w:tblpY="1142"/>
        <w:tblOverlap w:val="never"/>
        <w:tblW w:w="102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0"/>
        <w:gridCol w:w="1525"/>
        <w:gridCol w:w="1350"/>
        <w:gridCol w:w="1140"/>
        <w:gridCol w:w="645"/>
        <w:gridCol w:w="720"/>
        <w:gridCol w:w="945"/>
        <w:gridCol w:w="600"/>
        <w:gridCol w:w="675"/>
        <w:gridCol w:w="1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2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bookmarkStart w:id="53" w:name="_Toc15396618"/>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51082322T000005310767</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幼儿资助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94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剑阁县柘坝小学校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8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2.05万元</w:t>
            </w:r>
          </w:p>
        </w:tc>
        <w:tc>
          <w:tcPr>
            <w:tcW w:w="42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根据项目年度目标，2022年底顺利完成该项目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加大宣传力度，落实学前免保教费资助政策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iCs/>
                <w:color w:val="000000"/>
                <w:sz w:val="18"/>
                <w:szCs w:val="18"/>
                <w:u w:val="none"/>
                <w:lang w:val="en-US" w:eastAsia="zh-CN"/>
              </w:rPr>
            </w:pPr>
            <w:r>
              <w:rPr>
                <w:rFonts w:hint="eastAsia" w:ascii="黑体" w:hAnsi="黑体" w:eastAsia="黑体" w:cs="黑体"/>
                <w:i/>
                <w:iCs/>
                <w:color w:val="000000"/>
                <w:sz w:val="15"/>
                <w:szCs w:val="15"/>
                <w:u w:val="none"/>
                <w:lang w:val="en-US" w:eastAsia="zh-CN"/>
              </w:rPr>
              <w:t>1.预算执行率=预算执行数/调整后预算数，预算执行率未达到90%的需说明原因（100字以内）；2.年中发生预算调整的（追加或追减），应单独说明理由；3.其他资金包括：社会投入资金、银行贷款。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产出指标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质量指标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受助比例</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产出指标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质量指标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资助覆盖率</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产出指标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数量指标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资助困难家庭子女人数</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default" w:ascii="Arial" w:hAnsi="Arial" w:eastAsia="宋体" w:cs="Arial"/>
                <w:i w:val="0"/>
                <w:iCs w:val="0"/>
                <w:color w:val="000000"/>
                <w:sz w:val="18"/>
                <w:szCs w:val="18"/>
                <w:u w:val="none"/>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效益指标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社会效益指标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缓解学生家庭经济困难</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default" w:ascii="Arial" w:hAnsi="Arial" w:eastAsia="宋体" w:cs="Arial"/>
                <w:i w:val="0"/>
                <w:iCs w:val="0"/>
                <w:color w:val="000000"/>
                <w:sz w:val="18"/>
                <w:szCs w:val="18"/>
                <w:u w:val="none"/>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满意度指标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服务对象满意度指标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受助学生及家长满意度</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default" w:ascii="Arial" w:hAnsi="Arial" w:eastAsia="宋体" w:cs="Arial"/>
                <w:i w:val="0"/>
                <w:iCs w:val="0"/>
                <w:color w:val="000000"/>
                <w:sz w:val="18"/>
                <w:szCs w:val="18"/>
                <w:u w:val="none"/>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8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根据年度目标及预算执行情况和预算执行率，该项目自评得分100。贫困寄宿生生活补助于2022年底全面顺利完成，做到应助尽助，得到学生及家长和社会的认可，取得了预期的效果。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8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8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bl>
    <w:p>
      <w:pPr>
        <w:spacing w:line="600" w:lineRule="exact"/>
        <w:jc w:val="center"/>
        <w:outlineLvl w:val="0"/>
        <w:rPr>
          <w:rFonts w:ascii="宋体" w:hAnsi="宋体" w:cs="宋体"/>
          <w:kern w:val="0"/>
          <w:sz w:val="32"/>
          <w:szCs w:val="32"/>
        </w:rPr>
      </w:pPr>
      <w:r>
        <w:rPr>
          <w:rFonts w:hint="eastAsia" w:ascii="宋体" w:hAnsi="宋体" w:cs="宋体"/>
          <w:kern w:val="0"/>
          <w:sz w:val="32"/>
          <w:szCs w:val="32"/>
        </w:rPr>
        <w:t>部门预算项目支出绩效自评表（2022年度）</w:t>
      </w:r>
    </w:p>
    <w:tbl>
      <w:tblPr>
        <w:tblStyle w:val="16"/>
        <w:tblpPr w:leftFromText="180" w:rightFromText="180" w:vertAnchor="text" w:horzAnchor="page" w:tblpX="1216" w:tblpY="595"/>
        <w:tblOverlap w:val="never"/>
        <w:tblW w:w="102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360"/>
        <w:gridCol w:w="1320"/>
        <w:gridCol w:w="1200"/>
        <w:gridCol w:w="765"/>
        <w:gridCol w:w="900"/>
        <w:gridCol w:w="750"/>
        <w:gridCol w:w="570"/>
        <w:gridCol w:w="570"/>
        <w:gridCol w:w="2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02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2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51082322T000005306788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贫困寄宿生生活补助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1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75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3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剑阁县柘坝小学校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1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0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1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4.6万元</w:t>
            </w:r>
          </w:p>
        </w:tc>
        <w:tc>
          <w:tcPr>
            <w:tcW w:w="40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根据项目年度目标，2022年底顺利完成该项目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2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解决寄宿困难学生上学难问题，促进教育事业发展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4.60</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sz w:val="15"/>
                <w:szCs w:val="15"/>
                <w:u w:val="none"/>
                <w:lang w:val="en-US" w:eastAsia="zh-CN"/>
              </w:rPr>
              <w:t>1.预算执行率=预算执行数/调整后预算数，预算执行率未达到90%的需说明原因（100字以内）；2.年中发生预算调整的（追加或追减），应单独说明理由；3.其他资金包括：社会投入资金、银行贷款。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4.60</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产出指标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数量指标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资助寄宿贫困生覆盖率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产出指标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质量指标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资金到位率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产出指标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时效指标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完成时间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2022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效益指标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社会效益指标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解决学生上学难等</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定性</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优良中低差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优</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满意度指标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服务对象满意度指标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学生及家长满意度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default" w:ascii="Arial" w:hAnsi="Arial" w:eastAsia="宋体" w:cs="Arial"/>
                <w:i w:val="0"/>
                <w:iCs w:val="0"/>
                <w:color w:val="000000"/>
                <w:sz w:val="18"/>
                <w:szCs w:val="18"/>
                <w:u w:val="none"/>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8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lang w:val="en-US"/>
              </w:rPr>
            </w:pPr>
            <w:r>
              <w:rPr>
                <w:rFonts w:hint="eastAsia" w:ascii="微软雅黑" w:hAnsi="微软雅黑" w:eastAsia="微软雅黑" w:cs="微软雅黑"/>
                <w:i w:val="0"/>
                <w:iCs w:val="0"/>
                <w:color w:val="000000"/>
                <w:kern w:val="0"/>
                <w:sz w:val="16"/>
                <w:szCs w:val="16"/>
                <w:u w:val="none"/>
                <w:lang w:val="en-US" w:eastAsia="zh-CN" w:bidi="ar"/>
              </w:rPr>
              <w:t>根据年度目标及预算执行情况和预算执行率，该项目自评得分100。贫困寄宿生生活补助于2022年底全面顺利完成，做到应助尽助，得到学生及家长和社会的认可，取得了预期的效果。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8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8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bl>
    <w:p>
      <w:pPr>
        <w:pStyle w:val="2"/>
        <w:spacing w:before="93"/>
        <w:rPr>
          <w:rFonts w:hAnsi="Calibri" w:cs="仿宋"/>
          <w:sz w:val="32"/>
          <w:szCs w:val="32"/>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8"/>
          <w:rFonts w:hint="eastAsia" w:ascii="黑体" w:hAnsi="黑体" w:eastAsia="黑体"/>
          <w:b w:val="0"/>
        </w:rPr>
        <w:t>五部分 附表</w:t>
      </w:r>
      <w:bookmarkEnd w:id="51"/>
      <w:bookmarkEnd w:id="53"/>
      <w:bookmarkStart w:id="54" w:name="_Toc15396619"/>
    </w:p>
    <w:p>
      <w:pPr>
        <w:pStyle w:val="4"/>
        <w:rPr>
          <w:rFonts w:ascii="仿宋" w:hAnsi="仿宋" w:eastAsia="仿宋"/>
        </w:rPr>
      </w:pPr>
      <w:r>
        <w:rPr>
          <w:rFonts w:hint="eastAsia" w:ascii="仿宋" w:hAnsi="仿宋" w:eastAsia="仿宋"/>
          <w:b w:val="0"/>
        </w:rPr>
        <w:t>一、收</w:t>
      </w:r>
      <w:r>
        <w:rPr>
          <w:rStyle w:val="29"/>
          <w:rFonts w:hint="eastAsia" w:ascii="仿宋" w:hAnsi="仿宋" w:eastAsia="仿宋"/>
          <w:b w:val="0"/>
          <w:bCs w:val="0"/>
        </w:rPr>
        <w:t>入支出决算总表</w:t>
      </w:r>
      <w:bookmarkEnd w:id="54"/>
    </w:p>
    <w:p>
      <w:pPr>
        <w:pStyle w:val="4"/>
        <w:rPr>
          <w:rFonts w:ascii="仿宋" w:hAnsi="仿宋" w:eastAsia="仿宋"/>
        </w:rPr>
      </w:pPr>
      <w:bookmarkStart w:id="55" w:name="_Toc15396620"/>
      <w:r>
        <w:rPr>
          <w:rFonts w:hint="eastAsia" w:ascii="仿宋" w:hAnsi="仿宋" w:eastAsia="仿宋"/>
          <w:b w:val="0"/>
        </w:rPr>
        <w:t>二、收</w:t>
      </w:r>
      <w:r>
        <w:rPr>
          <w:rStyle w:val="29"/>
          <w:rFonts w:hint="eastAsia" w:ascii="仿宋" w:hAnsi="仿宋" w:eastAsia="仿宋"/>
          <w:b w:val="0"/>
          <w:bCs w:val="0"/>
        </w:rPr>
        <w:t>入决算表</w:t>
      </w:r>
      <w:bookmarkEnd w:id="55"/>
    </w:p>
    <w:p>
      <w:pPr>
        <w:pStyle w:val="4"/>
        <w:rPr>
          <w:rFonts w:ascii="仿宋" w:hAnsi="仿宋" w:eastAsia="仿宋"/>
        </w:rPr>
      </w:pPr>
      <w:bookmarkStart w:id="56" w:name="_Toc15396621"/>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56"/>
    </w:p>
    <w:p>
      <w:pPr>
        <w:pStyle w:val="4"/>
        <w:rPr>
          <w:rFonts w:ascii="仿宋" w:hAnsi="仿宋" w:eastAsia="仿宋"/>
          <w:b w:val="0"/>
        </w:rPr>
      </w:pPr>
      <w:bookmarkStart w:id="57" w:name="_Toc15396622"/>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57"/>
    </w:p>
    <w:p>
      <w:pPr>
        <w:pStyle w:val="4"/>
        <w:rPr>
          <w:rStyle w:val="29"/>
          <w:rFonts w:ascii="仿宋" w:hAnsi="仿宋" w:eastAsia="仿宋"/>
          <w:b w:val="0"/>
          <w:bCs w:val="0"/>
        </w:rPr>
      </w:pPr>
      <w:bookmarkStart w:id="58" w:name="_Toc15396623"/>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58"/>
      <w:bookmarkStart w:id="59" w:name="_Toc15396624"/>
    </w:p>
    <w:p>
      <w:pPr>
        <w:pStyle w:val="4"/>
        <w:rPr>
          <w:rFonts w:ascii="仿宋" w:hAnsi="仿宋" w:eastAsia="仿宋"/>
        </w:rPr>
      </w:pPr>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59"/>
    </w:p>
    <w:p>
      <w:pPr>
        <w:pStyle w:val="4"/>
        <w:rPr>
          <w:rFonts w:ascii="仿宋" w:hAnsi="仿宋" w:eastAsia="仿宋"/>
        </w:rPr>
      </w:pPr>
      <w:bookmarkStart w:id="60" w:name="_Toc15396625"/>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60"/>
    </w:p>
    <w:p>
      <w:pPr>
        <w:pStyle w:val="4"/>
        <w:rPr>
          <w:rFonts w:ascii="仿宋" w:hAnsi="仿宋" w:eastAsia="仿宋"/>
        </w:rPr>
      </w:pPr>
      <w:bookmarkStart w:id="61" w:name="_Toc15396626"/>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61"/>
    </w:p>
    <w:p>
      <w:pPr>
        <w:pStyle w:val="4"/>
        <w:rPr>
          <w:rFonts w:ascii="仿宋" w:hAnsi="仿宋" w:eastAsia="仿宋"/>
        </w:rPr>
      </w:pPr>
      <w:bookmarkStart w:id="62" w:name="_Toc15396627"/>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62"/>
    </w:p>
    <w:p>
      <w:pPr>
        <w:pStyle w:val="4"/>
        <w:rPr>
          <w:rFonts w:ascii="仿宋" w:hAnsi="仿宋" w:eastAsia="仿宋"/>
        </w:rPr>
      </w:pPr>
      <w:bookmarkStart w:id="63" w:name="_Toc15396628"/>
      <w:r>
        <w:rPr>
          <w:rStyle w:val="29"/>
          <w:rFonts w:hint="eastAsia" w:ascii="仿宋" w:hAnsi="仿宋" w:eastAsia="仿宋"/>
          <w:b w:val="0"/>
          <w:bCs w:val="0"/>
        </w:rPr>
        <w:t>十、</w:t>
      </w:r>
      <w:bookmarkEnd w:id="63"/>
      <w:r>
        <w:rPr>
          <w:rFonts w:hint="eastAsia" w:ascii="仿宋" w:hAnsi="仿宋" w:eastAsia="仿宋"/>
          <w:b w:val="0"/>
        </w:rPr>
        <w:t>政</w:t>
      </w:r>
      <w:r>
        <w:rPr>
          <w:rStyle w:val="29"/>
          <w:rFonts w:hint="eastAsia" w:ascii="仿宋" w:hAnsi="仿宋" w:eastAsia="仿宋"/>
          <w:b w:val="0"/>
          <w:bCs w:val="0"/>
        </w:rPr>
        <w:t>府性基金预算财政拨款收入支出决算表</w:t>
      </w:r>
    </w:p>
    <w:p>
      <w:pPr>
        <w:pStyle w:val="4"/>
        <w:rPr>
          <w:rFonts w:ascii="仿宋" w:hAnsi="仿宋" w:eastAsia="仿宋"/>
        </w:rPr>
      </w:pPr>
      <w:bookmarkStart w:id="64" w:name="_Toc15396629"/>
      <w:r>
        <w:rPr>
          <w:rStyle w:val="29"/>
          <w:rFonts w:hint="eastAsia" w:ascii="仿宋" w:hAnsi="仿宋" w:eastAsia="仿宋"/>
          <w:b w:val="0"/>
          <w:bCs w:val="0"/>
        </w:rPr>
        <w:t>十一、</w:t>
      </w:r>
      <w:bookmarkEnd w:id="64"/>
      <w:r>
        <w:rPr>
          <w:rFonts w:hint="eastAsia" w:ascii="仿宋" w:hAnsi="仿宋" w:eastAsia="仿宋"/>
          <w:b w:val="0"/>
        </w:rPr>
        <w:t>国</w:t>
      </w:r>
      <w:r>
        <w:rPr>
          <w:rStyle w:val="29"/>
          <w:rFonts w:hint="eastAsia" w:ascii="仿宋" w:hAnsi="仿宋" w:eastAsia="仿宋"/>
          <w:b w:val="0"/>
          <w:bCs w:val="0"/>
        </w:rPr>
        <w:t>有资本经营预算财政拨款收入支出决算表</w:t>
      </w:r>
    </w:p>
    <w:p>
      <w:pPr>
        <w:pStyle w:val="4"/>
        <w:rPr>
          <w:rFonts w:ascii="仿宋" w:hAnsi="仿宋" w:eastAsia="仿宋"/>
        </w:rPr>
      </w:pPr>
      <w:bookmarkStart w:id="65" w:name="_Toc15396630"/>
      <w:r>
        <w:rPr>
          <w:rStyle w:val="29"/>
          <w:rFonts w:hint="eastAsia" w:ascii="仿宋" w:hAnsi="仿宋" w:eastAsia="仿宋"/>
          <w:b w:val="0"/>
          <w:bCs w:val="0"/>
        </w:rPr>
        <w:t>十二、</w:t>
      </w:r>
      <w:bookmarkEnd w:id="65"/>
      <w:r>
        <w:rPr>
          <w:rStyle w:val="29"/>
          <w:rFonts w:hint="eastAsia" w:ascii="仿宋" w:hAnsi="仿宋" w:eastAsia="仿宋"/>
          <w:b w:val="0"/>
          <w:bCs w:val="0"/>
        </w:rPr>
        <w:t>国有资本经营预算财政拨款支出决算表</w:t>
      </w:r>
    </w:p>
    <w:p>
      <w:pPr>
        <w:pStyle w:val="4"/>
        <w:rPr>
          <w:rFonts w:eastAsia="仿宋"/>
        </w:rPr>
      </w:pPr>
      <w:bookmarkStart w:id="66" w:name="_Toc15396631"/>
      <w:r>
        <w:rPr>
          <w:rStyle w:val="29"/>
          <w:rFonts w:hint="eastAsia" w:ascii="仿宋" w:hAnsi="仿宋" w:eastAsia="仿宋"/>
          <w:b w:val="0"/>
          <w:bCs w:val="0"/>
        </w:rPr>
        <w:t>十三、</w:t>
      </w:r>
      <w:bookmarkEnd w:id="66"/>
      <w:r>
        <w:rPr>
          <w:rStyle w:val="29"/>
          <w:rFonts w:hint="eastAsia" w:ascii="仿宋" w:hAnsi="仿宋" w:eastAsia="仿宋"/>
          <w:b w:val="0"/>
          <w:bCs w:val="0"/>
        </w:rPr>
        <w:t>财政拨款“三公”经费支出决算表</w:t>
      </w:r>
    </w:p>
    <w:sectPr>
      <w:headerReference r:id="rId3" w:type="default"/>
      <w:footerReference r:id="rId4" w:type="default"/>
      <w:pgSz w:w="11906" w:h="16838"/>
      <w:pgMar w:top="1240" w:right="1800" w:bottom="1318"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2</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F1361C"/>
    <w:rsid w:val="000222C6"/>
    <w:rsid w:val="0002549F"/>
    <w:rsid w:val="000409D9"/>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D7BF4"/>
    <w:rsid w:val="004E0A2D"/>
    <w:rsid w:val="004E206B"/>
    <w:rsid w:val="004E6DF7"/>
    <w:rsid w:val="004F0FBD"/>
    <w:rsid w:val="00505A47"/>
    <w:rsid w:val="00512FDA"/>
    <w:rsid w:val="00520DA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1671B"/>
    <w:rsid w:val="00C33E72"/>
    <w:rsid w:val="00C354B2"/>
    <w:rsid w:val="00C35554"/>
    <w:rsid w:val="00C42709"/>
    <w:rsid w:val="00C533CC"/>
    <w:rsid w:val="00C56F3A"/>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8277F"/>
    <w:rsid w:val="053A62B5"/>
    <w:rsid w:val="07702E6D"/>
    <w:rsid w:val="07BE5FBE"/>
    <w:rsid w:val="0A2032A3"/>
    <w:rsid w:val="0A43011E"/>
    <w:rsid w:val="0A45307F"/>
    <w:rsid w:val="0B8A37D8"/>
    <w:rsid w:val="0F2F63EA"/>
    <w:rsid w:val="0F9221F3"/>
    <w:rsid w:val="10097B88"/>
    <w:rsid w:val="10155B3B"/>
    <w:rsid w:val="10254FCF"/>
    <w:rsid w:val="10933CC8"/>
    <w:rsid w:val="10C055FF"/>
    <w:rsid w:val="10D865D3"/>
    <w:rsid w:val="118107EC"/>
    <w:rsid w:val="11DD6519"/>
    <w:rsid w:val="130C1A30"/>
    <w:rsid w:val="134C3473"/>
    <w:rsid w:val="166A6A91"/>
    <w:rsid w:val="16BB723D"/>
    <w:rsid w:val="17667DE9"/>
    <w:rsid w:val="18015F3F"/>
    <w:rsid w:val="1AEC7156"/>
    <w:rsid w:val="1BE8440E"/>
    <w:rsid w:val="1D155CEE"/>
    <w:rsid w:val="1D8F4AF6"/>
    <w:rsid w:val="1FF72796"/>
    <w:rsid w:val="20996BE1"/>
    <w:rsid w:val="20F57F95"/>
    <w:rsid w:val="22CC1448"/>
    <w:rsid w:val="235A27C5"/>
    <w:rsid w:val="240371BF"/>
    <w:rsid w:val="246762B0"/>
    <w:rsid w:val="25711CC6"/>
    <w:rsid w:val="25C741E6"/>
    <w:rsid w:val="27842671"/>
    <w:rsid w:val="27E924A0"/>
    <w:rsid w:val="288D6CD9"/>
    <w:rsid w:val="29FD04D3"/>
    <w:rsid w:val="2ABE7A3E"/>
    <w:rsid w:val="2B095AD8"/>
    <w:rsid w:val="2BF0264B"/>
    <w:rsid w:val="2C1A4B3D"/>
    <w:rsid w:val="2CA234A8"/>
    <w:rsid w:val="2ED14494"/>
    <w:rsid w:val="2EFA178C"/>
    <w:rsid w:val="2F824E7B"/>
    <w:rsid w:val="30B46D73"/>
    <w:rsid w:val="319F7F4E"/>
    <w:rsid w:val="33865DBA"/>
    <w:rsid w:val="37F47AED"/>
    <w:rsid w:val="383D272C"/>
    <w:rsid w:val="398B5761"/>
    <w:rsid w:val="39AE70AB"/>
    <w:rsid w:val="3B0B5268"/>
    <w:rsid w:val="3C0C0783"/>
    <w:rsid w:val="3DB845A5"/>
    <w:rsid w:val="3F9F3A96"/>
    <w:rsid w:val="3FE75327"/>
    <w:rsid w:val="404235E7"/>
    <w:rsid w:val="41086DF1"/>
    <w:rsid w:val="41810886"/>
    <w:rsid w:val="42A67168"/>
    <w:rsid w:val="44E9417E"/>
    <w:rsid w:val="4682169A"/>
    <w:rsid w:val="484F5591"/>
    <w:rsid w:val="48BF60AB"/>
    <w:rsid w:val="493C27E9"/>
    <w:rsid w:val="496F39ED"/>
    <w:rsid w:val="49D10890"/>
    <w:rsid w:val="49FF41D3"/>
    <w:rsid w:val="4BE068DB"/>
    <w:rsid w:val="4BF6002B"/>
    <w:rsid w:val="4CC6456C"/>
    <w:rsid w:val="4E847321"/>
    <w:rsid w:val="4ECE2238"/>
    <w:rsid w:val="4FB07878"/>
    <w:rsid w:val="51DB4B86"/>
    <w:rsid w:val="53232567"/>
    <w:rsid w:val="54A97AB6"/>
    <w:rsid w:val="5501777A"/>
    <w:rsid w:val="550D4B37"/>
    <w:rsid w:val="55333C3E"/>
    <w:rsid w:val="55A36F45"/>
    <w:rsid w:val="574C2076"/>
    <w:rsid w:val="5943175D"/>
    <w:rsid w:val="5B411D2B"/>
    <w:rsid w:val="5C154A2D"/>
    <w:rsid w:val="5D5F41A7"/>
    <w:rsid w:val="5F6E761F"/>
    <w:rsid w:val="61ED57BA"/>
    <w:rsid w:val="62760DB4"/>
    <w:rsid w:val="63884C82"/>
    <w:rsid w:val="63F311B3"/>
    <w:rsid w:val="63F402B7"/>
    <w:rsid w:val="64CA39A1"/>
    <w:rsid w:val="650730DA"/>
    <w:rsid w:val="689F3B33"/>
    <w:rsid w:val="69630ADE"/>
    <w:rsid w:val="69DD52B6"/>
    <w:rsid w:val="6C4A05C8"/>
    <w:rsid w:val="6D3B1A89"/>
    <w:rsid w:val="6DA02882"/>
    <w:rsid w:val="70EC4EED"/>
    <w:rsid w:val="71BF4EC2"/>
    <w:rsid w:val="71C81560"/>
    <w:rsid w:val="72734D90"/>
    <w:rsid w:val="733C336F"/>
    <w:rsid w:val="7412278C"/>
    <w:rsid w:val="743C765D"/>
    <w:rsid w:val="76E838D5"/>
    <w:rsid w:val="79E7B28D"/>
    <w:rsid w:val="7EA877E8"/>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qFormat/>
    <w:uiPriority w:val="0"/>
    <w:pPr>
      <w:spacing w:afterLines="0" w:afterAutospacing="0"/>
      <w:ind w:left="420" w:leftChars="200"/>
    </w:p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1"/>
    <w:semiHidden/>
    <w:unhideWhenUsed/>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w:basedOn w:val="2"/>
    <w:qFormat/>
    <w:uiPriority w:val="0"/>
    <w:pPr>
      <w:ind w:firstLine="420" w:firstLineChars="100"/>
    </w:pPr>
  </w:style>
  <w:style w:type="paragraph" w:styleId="15">
    <w:name w:val="Body Text First Indent 2"/>
    <w:basedOn w:val="6"/>
    <w:next w:val="14"/>
    <w:qFormat/>
    <w:uiPriority w:val="0"/>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字符"/>
    <w:link w:val="10"/>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字符"/>
    <w:link w:val="9"/>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字符"/>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7"/>
    <w:link w:val="3"/>
    <w:qFormat/>
    <w:uiPriority w:val="9"/>
    <w:rPr>
      <w:rFonts w:ascii="Times New Roman" w:hAnsi="Times New Roman"/>
      <w:b/>
      <w:bCs/>
      <w:kern w:val="44"/>
      <w:sz w:val="44"/>
      <w:szCs w:val="44"/>
    </w:rPr>
  </w:style>
  <w:style w:type="character" w:customStyle="1" w:styleId="29">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7"/>
    <w:link w:val="8"/>
    <w:semiHidden/>
    <w:qFormat/>
    <w:uiPriority w:val="99"/>
    <w:rPr>
      <w:rFonts w:ascii="Times New Roman" w:hAnsi="Times New Roman"/>
      <w:kern w:val="2"/>
      <w:sz w:val="18"/>
      <w:szCs w:val="18"/>
    </w:rPr>
  </w:style>
  <w:style w:type="character" w:customStyle="1" w:styleId="32">
    <w:name w:val="标题 3 字符"/>
    <w:basedOn w:val="17"/>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普通(网站) Char"/>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844;&#24320;&#21450;&#25209;&#22797;&#26448;&#26009;&#65288;&#20379;&#21442;&#32771;&#65289;\&#30465;&#26412;&#32423;\&#20844;&#24320;&#26448;&#26009;\&#20915;&#31639;&#20844;&#24320;&#25554;&#22270;&#21046;&#20316;&#31034;&#2036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0844;&#24320;&#21450;&#25209;&#22797;&#26448;&#26009;&#65288;&#20379;&#21442;&#32771;&#65289;\&#30465;&#26412;&#32423;\&#20844;&#24320;&#26448;&#26009;\&#20915;&#31639;&#20844;&#24320;&#25554;&#22270;&#21046;&#20316;&#31034;&#2036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844;&#24320;&#21450;&#25209;&#22797;&#26448;&#26009;&#65288;&#20379;&#21442;&#32771;&#65289;\&#30465;&#26412;&#32423;\&#20844;&#24320;&#26448;&#26009;\&#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844;&#24320;&#21450;&#25209;&#22797;&#26448;&#26009;&#65288;&#20379;&#21442;&#32771;&#65289;\&#30465;&#26412;&#32423;\&#20844;&#24320;&#26448;&#26009;\&#20915;&#31639;&#20844;&#24320;&#25554;&#22270;&#21046;&#20316;&#31034;&#2036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0844;&#24320;&#21450;&#25209;&#22797;&#26448;&#26009;&#65288;&#20379;&#21442;&#32771;&#65289;\&#30465;&#26412;&#32423;\&#20844;&#24320;&#26448;&#26009;\&#20915;&#31639;&#20844;&#24320;&#25554;&#22270;&#21046;&#20316;&#31034;&#2036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0844;&#24320;&#21450;&#25209;&#22797;&#26448;&#26009;&#65288;&#20379;&#21442;&#32771;&#65289;\&#30465;&#26412;&#32423;\&#20844;&#24320;&#26448;&#26009;\&#20915;&#31639;&#20844;&#24320;&#25554;&#22270;&#21046;&#20316;&#31034;&#2036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0844;&#24320;&#21450;&#25209;&#22797;&#26448;&#26009;&#65288;&#20379;&#21442;&#32771;&#65289;\&#30465;&#26412;&#32423;\&#20844;&#24320;&#26448;&#26009;\&#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spPr>
            <a:solidFill>
              <a:schemeClr val="accent1"/>
            </a:solidFill>
          </c:spPr>
          <c:invertIfNegative val="false"/>
          <c:dPt>
            <c:idx val="1"/>
            <c:invertIfNegative val="false"/>
            <c:bubble3D val="false"/>
            <c:spPr>
              <a:solidFill>
                <a:srgbClr val="FFC000"/>
              </a:solidFill>
            </c:spPr>
          </c:dPt>
          <c:dLbls>
            <c:dLbl>
              <c:idx val="0"/>
              <c:layout/>
              <c:tx>
                <c:rich>
                  <a:bodyPr rot="0" spcFirstLastPara="0" vertOverflow="ellipsis" vert="horz" wrap="square" lIns="38100" tIns="19050" rIns="38100" bIns="19050" anchor="ctr" anchorCtr="true"/>
                  <a:lstStyle/>
                  <a:p>
                    <a:pPr defTabSz="914400">
                      <a:defRPr lang="zh-CN" sz="1000" b="0" i="0" u="none" strike="noStrike" kern="1200" baseline="0">
                        <a:solidFill>
                          <a:schemeClr val="tx1"/>
                        </a:solidFill>
                        <a:latin typeface="+mn-lt"/>
                        <a:ea typeface="+mn-ea"/>
                        <a:cs typeface="+mn-cs"/>
                      </a:defRPr>
                    </a:pPr>
                    <a:r>
                      <a:rPr lang="en-US" altLang="zh-CN"/>
                      <a:t>249.14</a:t>
                    </a:r>
                    <a:endParaRPr lang="en-US" altLang="zh-CN"/>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true"/>
                  <a:lstStyle/>
                  <a:p>
                    <a:pPr defTabSz="914400">
                      <a:defRPr lang="zh-CN" sz="1000" b="0" i="0" u="none" strike="noStrike" kern="1200" baseline="0">
                        <a:solidFill>
                          <a:schemeClr val="tx1"/>
                        </a:solidFill>
                        <a:latin typeface="+mn-lt"/>
                        <a:ea typeface="+mn-ea"/>
                        <a:cs typeface="+mn-cs"/>
                      </a:defRPr>
                    </a:pPr>
                    <a:r>
                      <a:rPr lang="en-US" altLang="zh-CN"/>
                      <a:t>261.83</a:t>
                    </a:r>
                    <a:endParaRPr lang="en-US" altLang="zh-CN"/>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[决算公开插图制作示例.xlsx]图一!$A$1:$B$1</c:f>
              <c:strCache>
                <c:ptCount val="2"/>
                <c:pt idx="0">
                  <c:v>2021年</c:v>
                </c:pt>
                <c:pt idx="1">
                  <c:v>2022年</c:v>
                </c:pt>
              </c:strCache>
            </c:strRef>
          </c:cat>
          <c:val>
            <c:numRef>
              <c:f>[决算公开插图制作示例.xlsx]图一!$A$2:$B$2</c:f>
              <c:numCache>
                <c:formatCode>General</c:formatCode>
                <c:ptCount val="2"/>
                <c:pt idx="0">
                  <c:v>249.14</c:v>
                </c:pt>
                <c:pt idx="1">
                  <c:v>261.83</c:v>
                </c:pt>
              </c:numCache>
            </c:numRef>
          </c:val>
        </c:ser>
        <c:dLbls>
          <c:showLegendKey val="false"/>
          <c:showVal val="true"/>
          <c:showCatName val="false"/>
          <c:showSerName val="false"/>
          <c:showPercent val="false"/>
          <c:showBubbleSize val="false"/>
        </c:dLbls>
        <c:gapWidth val="150"/>
        <c:axId val="132649344"/>
        <c:axId val="132650880"/>
      </c:barChart>
      <c:catAx>
        <c:axId val="132649344"/>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2650880"/>
        <c:crosses val="autoZero"/>
        <c:auto val="true"/>
        <c:lblAlgn val="ctr"/>
        <c:lblOffset val="100"/>
        <c:noMultiLvlLbl val="false"/>
      </c:catAx>
      <c:valAx>
        <c:axId val="132650880"/>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2649344"/>
        <c:crosses val="autoZero"/>
        <c:crossBetween val="between"/>
      </c:valAx>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342013888888889"/>
          <c:y val="0.176388888888889"/>
          <c:w val="0.324305555555556"/>
          <c:h val="0.540509259259259"/>
        </c:manualLayout>
      </c:layout>
      <c:pieChart>
        <c:varyColors val="true"/>
        <c:ser>
          <c:idx val="1"/>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Pt>
            <c:idx val="5"/>
            <c:bubble3D val="false"/>
            <c:spPr>
              <a:solidFill>
                <a:schemeClr val="accent6"/>
              </a:solidFill>
              <a:ln w="19050">
                <a:solidFill>
                  <a:schemeClr val="lt1"/>
                </a:solidFill>
              </a:ln>
              <a:effectLst/>
            </c:spPr>
          </c:dPt>
          <c:dLbls>
            <c:dLbl>
              <c:idx val="1"/>
              <c:layout>
                <c:manualLayout>
                  <c:x val="0.0321654287916653"/>
                  <c:y val="-0.149790274585539"/>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[决算公开插图制作示例.xlsx]图二!$C$1:$C$6</c:f>
              <c:numCache>
                <c:formatCode>0.00%</c:formatCode>
                <c:ptCount val="6"/>
                <c:pt idx="0">
                  <c:v>1</c:v>
                </c:pt>
                <c:pt idx="1">
                  <c:v>0</c:v>
                </c:pt>
                <c:pt idx="2">
                  <c:v>0</c:v>
                </c:pt>
                <c:pt idx="3">
                  <c:v>0</c:v>
                </c:pt>
                <c:pt idx="4">
                  <c:v>0</c:v>
                </c:pt>
                <c:pt idx="5">
                  <c:v>0</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69224846894138"/>
          <c:y val="0.150462962962963"/>
          <c:w val="0.566371172353456"/>
          <c:h val="0.689814814814815"/>
        </c:manualLayout>
      </c:layout>
      <c:pieChart>
        <c:varyColors val="true"/>
        <c:ser>
          <c:idx val="0"/>
          <c:order val="0"/>
          <c:explosion val="0"/>
          <c:dPt>
            <c:idx val="0"/>
            <c:bubble3D val="false"/>
          </c:dPt>
          <c:dPt>
            <c:idx val="1"/>
            <c:bubble3D val="false"/>
          </c:dPt>
          <c:dLbls>
            <c:dLbl>
              <c:idx val="0"/>
              <c:layout>
                <c:manualLayout>
                  <c:x val="0.0848707349081365"/>
                  <c:y val="-0.171573344998542"/>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286458880139982"/>
                  <c:y val="0.140147273257509"/>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1</c:v>
                </c:pt>
                <c:pt idx="1">
                  <c:v>0</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19668853893263"/>
          <c:y val="0.0514005540974045"/>
          <c:w val="0.587929790026247"/>
          <c:h val="0.824965368912219"/>
        </c:manualLayout>
      </c:layout>
      <c:barChart>
        <c:barDir val="col"/>
        <c:grouping val="clustered"/>
        <c:varyColors val="false"/>
        <c:ser>
          <c:idx val="0"/>
          <c:order val="0"/>
          <c:invertIfNegative val="false"/>
          <c:dPt>
            <c:idx val="1"/>
            <c:invertIfNegative val="false"/>
            <c:bubble3D val="false"/>
            <c:spPr>
              <a:solidFill>
                <a:srgbClr val="C00000"/>
              </a:solidFill>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'[决算公开插图制作示例.xlsx]图4 '!$A$1:$B$1</c:f>
              <c:strCache>
                <c:ptCount val="2"/>
                <c:pt idx="0">
                  <c:v>2021年</c:v>
                </c:pt>
                <c:pt idx="1">
                  <c:v>2022年</c:v>
                </c:pt>
              </c:strCache>
            </c:strRef>
          </c:cat>
          <c:val>
            <c:numRef>
              <c:f>'[决算公开插图制作示例.xlsx]图4 '!$A$2:$B$2</c:f>
              <c:numCache>
                <c:formatCode>General</c:formatCode>
                <c:ptCount val="2"/>
                <c:pt idx="0">
                  <c:v>249.14</c:v>
                </c:pt>
                <c:pt idx="1">
                  <c:v>261.83</c:v>
                </c:pt>
              </c:numCache>
            </c:numRef>
          </c:val>
        </c:ser>
        <c:dLbls>
          <c:showLegendKey val="false"/>
          <c:showVal val="true"/>
          <c:showCatName val="false"/>
          <c:showSerName val="false"/>
          <c:showPercent val="false"/>
          <c:showBubbleSize val="false"/>
        </c:dLbls>
        <c:gapWidth val="150"/>
        <c:axId val="133066112"/>
        <c:axId val="133084288"/>
      </c:barChart>
      <c:catAx>
        <c:axId val="133066112"/>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600" b="0" i="0" u="none" strike="noStrike" kern="1200" baseline="0">
                <a:solidFill>
                  <a:schemeClr val="tx1"/>
                </a:solidFill>
                <a:latin typeface="+mn-lt"/>
                <a:ea typeface="+mn-ea"/>
                <a:cs typeface="+mn-cs"/>
              </a:defRPr>
            </a:pPr>
          </a:p>
        </c:txPr>
        <c:crossAx val="133084288"/>
        <c:crosses val="autoZero"/>
        <c:auto val="true"/>
        <c:lblAlgn val="ctr"/>
        <c:lblOffset val="100"/>
        <c:noMultiLvlLbl val="false"/>
      </c:catAx>
      <c:valAx>
        <c:axId val="133084288"/>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3066112"/>
        <c:crosses val="autoZero"/>
        <c:crossBetween val="between"/>
      </c:valAx>
    </c:plotArea>
    <c:legend>
      <c:legendPos val="r"/>
      <c:layout>
        <c:manualLayout>
          <c:xMode val="edge"/>
          <c:yMode val="edge"/>
          <c:x val="0.763154199475066"/>
          <c:y val="0.360343394575678"/>
          <c:w val="0.220179133858268"/>
          <c:h val="0.279313210848644"/>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098571741032371"/>
          <c:y val="0.168676727909011"/>
          <c:w val="0.606249125109361"/>
          <c:h val="0.679911417322835"/>
        </c:manualLayout>
      </c:layout>
      <c:barChart>
        <c:barDir val="col"/>
        <c:grouping val="clustered"/>
        <c:varyColors val="false"/>
        <c:ser>
          <c:idx val="0"/>
          <c:order val="0"/>
          <c:invertIfNegative val="false"/>
          <c:dPt>
            <c:idx val="1"/>
            <c:invertIfNegative val="false"/>
            <c:bubble3D val="false"/>
            <c:spPr>
              <a:solidFill>
                <a:srgbClr val="FF0000"/>
              </a:solidFill>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[决算公开插图制作示例.xlsx]图5!$A$1:$B$1</c:f>
              <c:strCache>
                <c:ptCount val="2"/>
                <c:pt idx="0">
                  <c:v>2021年</c:v>
                </c:pt>
                <c:pt idx="1">
                  <c:v>2022年</c:v>
                </c:pt>
              </c:strCache>
            </c:strRef>
          </c:cat>
          <c:val>
            <c:numRef>
              <c:f>[决算公开插图制作示例.xlsx]图5!$A$2:$B$2</c:f>
              <c:numCache>
                <c:formatCode>General</c:formatCode>
                <c:ptCount val="2"/>
                <c:pt idx="0">
                  <c:v>249.14</c:v>
                </c:pt>
                <c:pt idx="1">
                  <c:v>261.83</c:v>
                </c:pt>
              </c:numCache>
            </c:numRef>
          </c:val>
        </c:ser>
        <c:dLbls>
          <c:showLegendKey val="false"/>
          <c:showVal val="true"/>
          <c:showCatName val="false"/>
          <c:showSerName val="false"/>
          <c:showPercent val="false"/>
          <c:showBubbleSize val="false"/>
        </c:dLbls>
        <c:gapWidth val="150"/>
        <c:axId val="133142016"/>
        <c:axId val="133143552"/>
      </c:barChart>
      <c:catAx>
        <c:axId val="133142016"/>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600" b="0" i="0" u="none" strike="noStrike" kern="1200" baseline="0">
                <a:solidFill>
                  <a:schemeClr val="tx1"/>
                </a:solidFill>
                <a:latin typeface="+mn-lt"/>
                <a:ea typeface="+mn-ea"/>
                <a:cs typeface="+mn-cs"/>
              </a:defRPr>
            </a:pPr>
          </a:p>
        </c:txPr>
        <c:crossAx val="133143552"/>
        <c:crosses val="autoZero"/>
        <c:auto val="true"/>
        <c:lblAlgn val="ctr"/>
        <c:lblOffset val="100"/>
        <c:noMultiLvlLbl val="false"/>
      </c:catAx>
      <c:valAx>
        <c:axId val="133143552"/>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3142016"/>
        <c:crosses val="autoZero"/>
        <c:crossBetween val="between"/>
      </c:valAx>
    </c:plotArea>
    <c:legend>
      <c:legendPos val="tr"/>
      <c:layout>
        <c:manualLayout>
          <c:xMode val="edge"/>
          <c:yMode val="edge"/>
          <c:x val="0.765931977252843"/>
          <c:y val="0.236111111111111"/>
          <c:w val="0.211845800524934"/>
          <c:h val="0.45523913677457"/>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explosion val="0"/>
          <c:dPt>
            <c:idx val="0"/>
            <c:bubble3D val="false"/>
            <c:spPr>
              <a:solidFill>
                <a:schemeClr val="tx2">
                  <a:lumMod val="40000"/>
                  <a:lumOff val="60000"/>
                </a:schemeClr>
              </a:solidFill>
            </c:spPr>
          </c:dPt>
          <c:dPt>
            <c:idx val="1"/>
            <c:bubble3D val="false"/>
          </c:dPt>
          <c:dPt>
            <c:idx val="2"/>
            <c:bubble3D val="false"/>
          </c:dPt>
          <c:dPt>
            <c:idx val="3"/>
            <c:bubble3D val="false"/>
          </c:dPt>
          <c:dLbls>
            <c:dLbl>
              <c:idx val="0"/>
              <c:layout>
                <c:manualLayout>
                  <c:x val="0.0483216316710411"/>
                  <c:y val="0.0977380431612715"/>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546208442694663"/>
                  <c:y val="-0.0359631087780694"/>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100951443569554"/>
                  <c:y val="-0.132278361038204"/>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166543197725284"/>
                  <c:y val="-0.108673447069116"/>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[决算公开插图制作示例.xlsx]图6!$A$2:$A$5</c:f>
              <c:strCache>
                <c:ptCount val="4"/>
                <c:pt idx="0">
                  <c:v>教育（类）支出</c:v>
                </c:pt>
                <c:pt idx="1">
                  <c:v>社会保障和就业（类）支出</c:v>
                </c:pt>
                <c:pt idx="2">
                  <c:v>卫生健康(类)支出</c:v>
                </c:pt>
                <c:pt idx="3">
                  <c:v>住房保障（类）支出</c:v>
                </c:pt>
              </c:strCache>
            </c:strRef>
          </c:cat>
          <c:val>
            <c:numRef>
              <c:f>[决算公开插图制作示例.xlsx]图6!$B$2:$B$5</c:f>
              <c:numCache>
                <c:formatCode>General</c:formatCode>
                <c:ptCount val="4"/>
                <c:pt idx="0">
                  <c:v>221.9</c:v>
                </c:pt>
                <c:pt idx="1">
                  <c:v>17.75</c:v>
                </c:pt>
                <c:pt idx="2">
                  <c:v>8.87</c:v>
                </c:pt>
                <c:pt idx="3">
                  <c:v>13.31</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explosion val="0"/>
          <c:dPt>
            <c:idx val="0"/>
            <c:bubble3D val="false"/>
          </c:dPt>
          <c:dPt>
            <c:idx val="1"/>
            <c:bubble3D val="false"/>
          </c:dPt>
          <c:dPt>
            <c:idx val="2"/>
            <c:bubble3D val="false"/>
          </c:dPt>
          <c:dLbls>
            <c:dLbl>
              <c:idx val="0"/>
              <c:layout>
                <c:manualLayout>
                  <c:x val="-0.0677309711286089"/>
                  <c:y val="-0.062589676290463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112130139982502"/>
                  <c:y val="-0.0498581948089822"/>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179491251093613"/>
                  <c:y val="0.054969743365412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[决算公开插图制作示例.xlsx]图7!$A$2:$A$4</c:f>
              <c:strCache>
                <c:ptCount val="3"/>
                <c:pt idx="0">
                  <c:v>因公出国（境）费支出</c:v>
                </c:pt>
                <c:pt idx="1">
                  <c:v>公务用车购置及运行维护费支出</c:v>
                </c:pt>
                <c:pt idx="2">
                  <c:v>公务接待费支出</c:v>
                </c:pt>
              </c:strCache>
            </c:strRef>
          </c:cat>
          <c:val>
            <c:numRef>
              <c:f>[决算公开插图制作示例.xlsx]图7!$B$2:$B$4</c:f>
              <c:numCache>
                <c:formatCode>General</c:formatCode>
                <c:ptCount val="3"/>
                <c:pt idx="0">
                  <c:v>0</c:v>
                </c:pt>
                <c:pt idx="1">
                  <c:v>0</c:v>
                </c:pt>
                <c:pt idx="2">
                  <c:v>0.38</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manualLayout>
          <c:xMode val="edge"/>
          <c:yMode val="edge"/>
          <c:x val="0.664920094314907"/>
          <c:y val="0.341517389739563"/>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18</Pages>
  <Words>6513</Words>
  <Characters>7148</Characters>
  <Lines>5</Lines>
  <Paragraphs>11</Paragraphs>
  <TotalTime>19</TotalTime>
  <ScaleCrop>false</ScaleCrop>
  <LinksUpToDate>false</LinksUpToDate>
  <CharactersWithSpaces>7213</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user</cp:lastModifiedBy>
  <cp:lastPrinted>2023-10-26T20:17:00Z</cp:lastPrinted>
  <dcterms:modified xsi:type="dcterms:W3CDTF">2024-01-05T15:50:32Z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8E40AEF0B5B84ADDB9310138B530B17D_12</vt:lpwstr>
  </property>
</Properties>
</file>