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hint="eastAsia" w:ascii="方正小标宋简体" w:hAnsi="方正小标宋简体" w:eastAsia="方正小标宋简体" w:cs="方正小标宋简体"/>
          <w:sz w:val="56"/>
          <w:szCs w:val="56"/>
        </w:rPr>
      </w:pPr>
      <w:bookmarkStart w:id="1" w:name="_Toc15396597"/>
      <w:bookmarkStart w:id="2" w:name="_Toc15377425"/>
      <w:bookmarkStart w:id="3" w:name="_Toc15378441"/>
      <w:bookmarkStart w:id="4" w:name="_Toc15396475"/>
      <w:bookmarkStart w:id="5" w:name="_Toc15377193"/>
    </w:p>
    <w:p>
      <w:pPr>
        <w:adjustRightInd w:val="0"/>
        <w:snapToGrid w:val="0"/>
        <w:spacing w:line="360" w:lineRule="auto"/>
        <w:jc w:val="center"/>
        <w:outlineLvl w:val="0"/>
        <w:rPr>
          <w:rFonts w:hint="eastAsia" w:ascii="方正小标宋简体" w:hAnsi="方正小标宋简体" w:eastAsia="方正小标宋简体" w:cs="方正小标宋简体"/>
          <w:sz w:val="56"/>
          <w:szCs w:val="56"/>
        </w:rPr>
      </w:pPr>
    </w:p>
    <w:p>
      <w:pPr>
        <w:adjustRightInd w:val="0"/>
        <w:snapToGrid w:val="0"/>
        <w:spacing w:line="360" w:lineRule="auto"/>
        <w:jc w:val="center"/>
        <w:outlineLvl w:val="0"/>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56"/>
          <w:szCs w:val="56"/>
        </w:rPr>
      </w:pPr>
      <w:bookmarkStart w:id="6" w:name="_Toc15378442"/>
      <w:bookmarkStart w:id="7" w:name="_Toc15396476"/>
      <w:bookmarkStart w:id="8" w:name="_Toc15377426"/>
      <w:bookmarkStart w:id="9" w:name="_Toc15396598"/>
      <w:bookmarkStart w:id="10" w:name="_Toc15377194"/>
      <w:r>
        <w:rPr>
          <w:rFonts w:hint="eastAsia" w:ascii="方正小标宋简体" w:hAnsi="方正小标宋简体" w:eastAsia="方正小标宋简体" w:cs="方正小标宋简体"/>
          <w:sz w:val="56"/>
          <w:szCs w:val="56"/>
        </w:rPr>
        <w:t>剑阁县</w:t>
      </w:r>
      <w:bookmarkStart w:id="11" w:name="_Toc15306268"/>
      <w:r>
        <w:rPr>
          <w:rFonts w:hint="eastAsia" w:ascii="方正小标宋简体" w:hAnsi="方正小标宋简体" w:eastAsia="方正小标宋简体" w:cs="方正小标宋简体"/>
          <w:sz w:val="56"/>
          <w:szCs w:val="56"/>
          <w:lang w:val="en-US" w:eastAsia="zh-CN"/>
        </w:rPr>
        <w:t>公店小学校</w:t>
      </w:r>
      <w:r>
        <w:rPr>
          <w:rFonts w:hint="eastAsia" w:ascii="方正小标宋简体" w:hAnsi="方正小标宋简体" w:eastAsia="方正小标宋简体" w:cs="方正小标宋简体"/>
          <w:sz w:val="56"/>
          <w:szCs w:val="56"/>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color w:val="000000"/>
          <w:sz w:val="36"/>
          <w:szCs w:val="36"/>
        </w:rPr>
        <w:br w:type="page"/>
      </w:r>
      <w:bookmarkStart w:id="12" w:name="_Toc15377196"/>
      <w:bookmarkStart w:id="13" w:name="_Toc15396599"/>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29</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sz w:val="24"/>
        </w:rPr>
      </w:pPr>
      <w:r>
        <w:rPr>
          <w:rFonts w:hint="eastAsia"/>
          <w:sz w:val="24"/>
        </w:rPr>
        <w:t>（一）单位</w:t>
      </w:r>
      <w:r>
        <w:rPr>
          <w:sz w:val="24"/>
        </w:rPr>
        <w:t>职责</w:t>
      </w:r>
    </w:p>
    <w:p>
      <w:pPr>
        <w:pStyle w:val="11"/>
        <w:adjustRightInd w:val="0"/>
        <w:snapToGrid w:val="0"/>
        <w:spacing w:line="440" w:lineRule="exact"/>
        <w:jc w:val="left"/>
        <w:rPr>
          <w:b/>
          <w:bCs/>
          <w:sz w:val="24"/>
        </w:rPr>
      </w:pPr>
      <w:r>
        <w:rPr>
          <w:rFonts w:hint="eastAsia"/>
          <w:sz w:val="24"/>
        </w:rPr>
        <w:t>（二）2022年重点工作完成情况</w:t>
      </w:r>
    </w:p>
    <w:p>
      <w:pPr>
        <w:pStyle w:val="11"/>
        <w:adjustRightInd w:val="0"/>
        <w:snapToGrid w:val="0"/>
        <w:spacing w:line="440" w:lineRule="exact"/>
        <w:jc w:val="left"/>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pStyle w:val="3"/>
        <w:spacing w:before="0" w:after="0" w:line="400" w:lineRule="exact"/>
        <w:jc w:val="center"/>
        <w:rPr>
          <w:rFonts w:ascii="黑体" w:hAnsi="黑体" w:eastAsia="黑体"/>
          <w:b w:val="0"/>
        </w:rPr>
      </w:pPr>
    </w:p>
    <w:p>
      <w:pPr>
        <w:pStyle w:val="3"/>
        <w:spacing w:before="0" w:after="0" w:line="400" w:lineRule="exact"/>
        <w:jc w:val="center"/>
        <w:rPr>
          <w:rFonts w:ascii="黑体" w:hAnsi="黑体" w:eastAsia="黑体"/>
          <w:b w:val="0"/>
        </w:rPr>
      </w:pPr>
    </w:p>
    <w:p>
      <w:pPr>
        <w:pStyle w:val="3"/>
        <w:spacing w:before="0" w:after="0" w:line="400" w:lineRule="exact"/>
        <w:jc w:val="center"/>
        <w:rPr>
          <w:rFonts w:ascii="黑体" w:hAnsi="黑体" w:eastAsia="黑体"/>
          <w:b w:val="0"/>
        </w:rPr>
      </w:pPr>
    </w:p>
    <w:p>
      <w:pPr>
        <w:pStyle w:val="3"/>
        <w:spacing w:before="0" w:after="0" w:line="400" w:lineRule="exact"/>
        <w:jc w:val="center"/>
        <w:rPr>
          <w:rFonts w:ascii="黑体" w:hAnsi="黑体" w:eastAsia="黑体"/>
          <w:b w:val="0"/>
        </w:rPr>
      </w:pPr>
    </w:p>
    <w:p>
      <w:pPr>
        <w:pStyle w:val="3"/>
        <w:spacing w:before="0" w:after="0" w:line="400" w:lineRule="exact"/>
        <w:jc w:val="center"/>
        <w:rPr>
          <w:rFonts w:ascii="黑体" w:hAnsi="黑体" w:eastAsia="黑体"/>
          <w:b w:val="0"/>
        </w:rPr>
      </w:pPr>
    </w:p>
    <w:p>
      <w:pPr>
        <w:spacing w:line="400" w:lineRule="exact"/>
      </w:pPr>
    </w:p>
    <w:p>
      <w:pPr>
        <w:pStyle w:val="3"/>
        <w:spacing w:before="0" w:after="0" w:line="400" w:lineRule="exact"/>
        <w:jc w:val="center"/>
        <w:rPr>
          <w:rFonts w:ascii="黑体" w:hAnsi="黑体" w:eastAsia="黑体"/>
          <w:b w:val="0"/>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p>
    <w:p>
      <w:pPr>
        <w:rPr>
          <w:rFonts w:ascii="黑体" w:hAnsi="黑体" w:eastAsia="黑体"/>
          <w:b/>
        </w:rPr>
      </w:pPr>
      <w:r>
        <w:rPr>
          <w:rFonts w:ascii="黑体" w:hAnsi="黑体" w:eastAsia="黑体"/>
          <w:b/>
        </w:rPr>
        <w:br w:type="page"/>
      </w:r>
    </w:p>
    <w:p>
      <w:pPr>
        <w:pStyle w:val="3"/>
        <w:spacing w:before="0" w:after="0" w:line="480" w:lineRule="exact"/>
        <w:jc w:val="center"/>
        <w:rPr>
          <w:rStyle w:val="16"/>
          <w:rFonts w:ascii="黑体" w:hAnsi="黑体" w:eastAsia="黑体"/>
          <w:b w:val="0"/>
          <w:bCs w:val="0"/>
        </w:rPr>
      </w:pPr>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2"/>
      <w:bookmarkEnd w:id="13"/>
    </w:p>
    <w:p/>
    <w:p/>
    <w:p>
      <w:pPr>
        <w:pStyle w:val="4"/>
        <w:spacing w:before="0" w:after="0" w:line="400" w:lineRule="exact"/>
        <w:rPr>
          <w:rStyle w:val="17"/>
          <w:rFonts w:hint="default" w:ascii="仿宋" w:hAnsi="仿宋" w:eastAsia="黑体"/>
          <w:b w:val="0"/>
          <w:bCs w:val="0"/>
          <w:lang w:val="en-US" w:eastAsia="zh-CN"/>
        </w:rPr>
      </w:pPr>
      <w:bookmarkStart w:id="14" w:name="_Toc15396600"/>
      <w:bookmarkStart w:id="15" w:name="_Toc15377197"/>
      <w:r>
        <w:rPr>
          <w:rFonts w:hint="eastAsia" w:ascii="黑体" w:hAnsi="黑体" w:eastAsia="黑体"/>
          <w:b w:val="0"/>
          <w:color w:val="000000"/>
        </w:rPr>
        <w:t>一、</w:t>
      </w:r>
      <w:bookmarkEnd w:id="14"/>
      <w:bookmarkEnd w:id="15"/>
      <w:r>
        <w:rPr>
          <w:rFonts w:hint="eastAsia" w:ascii="黑体" w:hAnsi="黑体" w:eastAsia="黑体"/>
          <w:b w:val="0"/>
          <w:color w:val="000000"/>
          <w:lang w:val="en-US" w:eastAsia="zh-CN"/>
        </w:rPr>
        <w:t>主要职能</w:t>
      </w:r>
    </w:p>
    <w:p>
      <w:pPr>
        <w:pStyle w:val="2"/>
        <w:adjustRightInd w:val="0"/>
        <w:snapToGrid w:val="0"/>
        <w:spacing w:beforeLines="0" w:line="400" w:lineRule="exact"/>
        <w:ind w:firstLine="672" w:firstLineChars="210"/>
        <w:outlineLvl w:val="2"/>
        <w:rPr>
          <w:rFonts w:ascii="仿宋" w:hAnsi="仿宋" w:eastAsia="仿宋"/>
          <w:bCs/>
          <w:color w:val="000000"/>
          <w:sz w:val="32"/>
          <w:szCs w:val="32"/>
        </w:rPr>
      </w:pPr>
      <w:bookmarkStart w:id="16" w:name="_Toc15377198"/>
      <w:bookmarkStart w:id="17" w:name="_Toc15378445"/>
      <w:bookmarkStart w:id="18" w:name="_Toc15396601"/>
      <w:bookmarkStart w:id="19" w:name="_Toc15377200"/>
      <w:r>
        <w:rPr>
          <w:rFonts w:hint="eastAsia" w:ascii="仿宋" w:hAnsi="仿宋" w:eastAsia="仿宋"/>
          <w:bCs/>
          <w:color w:val="000000"/>
          <w:sz w:val="32"/>
          <w:szCs w:val="32"/>
        </w:rPr>
        <w:t>（一）主要职能。</w:t>
      </w:r>
      <w:bookmarkEnd w:id="16"/>
      <w:bookmarkEnd w:id="17"/>
    </w:p>
    <w:p>
      <w:pPr>
        <w:pStyle w:val="2"/>
        <w:adjustRightInd w:val="0"/>
        <w:snapToGrid w:val="0"/>
        <w:spacing w:beforeLines="0" w:line="400" w:lineRule="exact"/>
        <w:ind w:firstLine="672" w:firstLineChars="210"/>
        <w:outlineLvl w:val="2"/>
        <w:rPr>
          <w:rFonts w:ascii="仿宋" w:hAnsi="仿宋" w:eastAsia="仿宋"/>
          <w:bCs/>
          <w:color w:val="000000"/>
          <w:sz w:val="32"/>
          <w:szCs w:val="32"/>
        </w:rPr>
      </w:pPr>
      <w:r>
        <w:rPr>
          <w:rFonts w:hint="eastAsia" w:ascii="仿宋" w:hAnsi="仿宋" w:eastAsia="仿宋" w:cs="仿宋"/>
          <w:bCs/>
          <w:color w:val="000000"/>
          <w:sz w:val="32"/>
          <w:szCs w:val="32"/>
        </w:rPr>
        <w:t>剑阁县公店小学校属财政预算一级单位，执行事业单位会计制度，宗旨和业务范围：实施小学业务教育，促进基础教育发展。</w:t>
      </w:r>
    </w:p>
    <w:p>
      <w:pPr>
        <w:pStyle w:val="2"/>
        <w:adjustRightInd w:val="0"/>
        <w:snapToGrid w:val="0"/>
        <w:spacing w:beforeLines="0" w:line="400" w:lineRule="exact"/>
        <w:ind w:firstLine="672" w:firstLineChars="210"/>
        <w:outlineLvl w:val="2"/>
        <w:rPr>
          <w:rFonts w:ascii="仿宋" w:hAnsi="仿宋" w:eastAsia="仿宋"/>
          <w:bCs/>
          <w:color w:val="000000"/>
          <w:sz w:val="32"/>
          <w:szCs w:val="32"/>
        </w:rPr>
      </w:pPr>
      <w:bookmarkStart w:id="20" w:name="_Toc15378446"/>
      <w:bookmarkStart w:id="21" w:name="_Toc15377199"/>
      <w:r>
        <w:rPr>
          <w:rFonts w:hint="eastAsia" w:ascii="仿宋" w:hAnsi="仿宋" w:eastAsia="仿宋"/>
          <w:bCs/>
          <w:color w:val="000000"/>
          <w:sz w:val="32"/>
          <w:szCs w:val="32"/>
        </w:rPr>
        <w:t>（二）</w:t>
      </w:r>
      <w:r>
        <w:rPr>
          <w:rFonts w:hint="eastAsia" w:ascii="仿宋" w:hAnsi="仿宋" w:eastAsia="仿宋"/>
          <w:bCs/>
          <w:color w:val="000000"/>
          <w:sz w:val="32"/>
          <w:szCs w:val="32"/>
          <w:lang w:eastAsia="zh-CN"/>
        </w:rPr>
        <w:t>202</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年重点工作完成情况。</w:t>
      </w:r>
      <w:bookmarkEnd w:id="20"/>
      <w:bookmarkEnd w:id="21"/>
    </w:p>
    <w:p>
      <w:pPr>
        <w:pStyle w:val="2"/>
        <w:adjustRightInd w:val="0"/>
        <w:snapToGrid w:val="0"/>
        <w:spacing w:beforeLines="0" w:line="400" w:lineRule="exact"/>
        <w:ind w:firstLine="672" w:firstLineChars="210"/>
        <w:outlineLvl w:val="2"/>
        <w:rPr>
          <w:rFonts w:ascii="仿宋" w:hAnsi="仿宋" w:eastAsia="仿宋" w:cs="仿宋"/>
          <w:bCs/>
          <w:color w:val="000000"/>
          <w:sz w:val="32"/>
          <w:szCs w:val="32"/>
        </w:rPr>
      </w:pPr>
      <w:r>
        <w:rPr>
          <w:rFonts w:hint="eastAsia" w:ascii="仿宋" w:hAnsi="仿宋" w:eastAsia="仿宋" w:cs="仿宋"/>
          <w:bCs/>
          <w:color w:val="000000"/>
          <w:sz w:val="32"/>
          <w:szCs w:val="32"/>
        </w:rPr>
        <w:t>一是学习</w:t>
      </w:r>
      <w:bookmarkStart w:id="73" w:name="_GoBack"/>
      <w:bookmarkEnd w:id="73"/>
      <w:r>
        <w:rPr>
          <w:rFonts w:hint="eastAsia" w:ascii="仿宋" w:hAnsi="仿宋" w:eastAsia="仿宋" w:cs="仿宋"/>
          <w:bCs/>
          <w:color w:val="000000"/>
          <w:sz w:val="32"/>
          <w:szCs w:val="32"/>
        </w:rPr>
        <w:t>习近平总书记</w:t>
      </w:r>
      <w:r>
        <w:rPr>
          <w:rFonts w:hint="eastAsia" w:ascii="仿宋" w:hAnsi="仿宋" w:eastAsia="仿宋" w:cs="仿宋"/>
          <w:bCs/>
          <w:color w:val="000000"/>
          <w:sz w:val="32"/>
          <w:szCs w:val="32"/>
          <w:lang w:val="en-US" w:eastAsia="zh-CN"/>
        </w:rPr>
        <w:t>系列重要</w:t>
      </w:r>
      <w:r>
        <w:rPr>
          <w:rFonts w:hint="eastAsia" w:ascii="仿宋" w:hAnsi="仿宋" w:eastAsia="仿宋" w:cs="仿宋"/>
          <w:bCs/>
          <w:color w:val="000000"/>
          <w:sz w:val="32"/>
          <w:szCs w:val="32"/>
        </w:rPr>
        <w:t>讲话</w:t>
      </w:r>
      <w:r>
        <w:rPr>
          <w:rFonts w:hint="eastAsia" w:ascii="仿宋" w:hAnsi="仿宋" w:eastAsia="仿宋" w:cs="仿宋"/>
          <w:bCs/>
          <w:color w:val="000000"/>
          <w:sz w:val="32"/>
          <w:szCs w:val="32"/>
          <w:lang w:val="en-US" w:eastAsia="zh-CN"/>
        </w:rPr>
        <w:t>精神</w:t>
      </w:r>
      <w:r>
        <w:rPr>
          <w:rFonts w:hint="eastAsia" w:ascii="仿宋" w:hAnsi="仿宋" w:eastAsia="仿宋" w:cs="仿宋"/>
          <w:bCs/>
          <w:color w:val="000000"/>
          <w:sz w:val="32"/>
          <w:szCs w:val="32"/>
        </w:rPr>
        <w:t>。进一步深入学习宣传习近平总书记</w:t>
      </w:r>
      <w:r>
        <w:rPr>
          <w:rFonts w:hint="eastAsia" w:ascii="仿宋" w:hAnsi="仿宋" w:eastAsia="仿宋" w:cs="仿宋"/>
          <w:bCs/>
          <w:color w:val="000000"/>
          <w:sz w:val="32"/>
          <w:szCs w:val="32"/>
          <w:lang w:val="en-US" w:eastAsia="zh-CN"/>
        </w:rPr>
        <w:t>系列重要</w:t>
      </w:r>
      <w:r>
        <w:rPr>
          <w:rFonts w:hint="eastAsia" w:ascii="仿宋" w:hAnsi="仿宋" w:eastAsia="仿宋" w:cs="仿宋"/>
          <w:bCs/>
          <w:color w:val="000000"/>
          <w:sz w:val="32"/>
          <w:szCs w:val="32"/>
        </w:rPr>
        <w:t>讲话</w:t>
      </w:r>
      <w:r>
        <w:rPr>
          <w:rFonts w:hint="eastAsia" w:ascii="仿宋" w:hAnsi="仿宋" w:eastAsia="仿宋" w:cs="仿宋"/>
          <w:bCs/>
          <w:color w:val="000000"/>
          <w:sz w:val="32"/>
          <w:szCs w:val="32"/>
          <w:lang w:val="en-US" w:eastAsia="zh-CN"/>
        </w:rPr>
        <w:t>精神</w:t>
      </w:r>
      <w:r>
        <w:rPr>
          <w:rFonts w:hint="eastAsia" w:ascii="仿宋" w:hAnsi="仿宋" w:eastAsia="仿宋" w:cs="仿宋"/>
          <w:bCs/>
          <w:color w:val="000000"/>
          <w:sz w:val="32"/>
          <w:szCs w:val="32"/>
        </w:rPr>
        <w:t>，把思想和行动统一到讲话精神上来，把智慧和力量凝聚到落实</w:t>
      </w:r>
      <w:r>
        <w:rPr>
          <w:rFonts w:hint="eastAsia" w:ascii="仿宋" w:hAnsi="仿宋" w:eastAsia="仿宋" w:cs="仿宋"/>
          <w:bCs/>
          <w:color w:val="000000"/>
          <w:sz w:val="32"/>
          <w:szCs w:val="32"/>
          <w:lang w:eastAsia="zh-CN"/>
        </w:rPr>
        <w:t>202</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年目标任务上。</w:t>
      </w:r>
    </w:p>
    <w:p>
      <w:pPr>
        <w:pStyle w:val="2"/>
        <w:adjustRightInd w:val="0"/>
        <w:snapToGrid w:val="0"/>
        <w:spacing w:beforeLines="0" w:line="400" w:lineRule="exact"/>
        <w:ind w:firstLine="672" w:firstLineChars="210"/>
        <w:outlineLvl w:val="2"/>
        <w:rPr>
          <w:rFonts w:ascii="仿宋" w:hAnsi="仿宋" w:eastAsia="仿宋" w:cs="仿宋"/>
          <w:bCs/>
          <w:color w:val="000000"/>
          <w:sz w:val="32"/>
          <w:szCs w:val="32"/>
        </w:rPr>
      </w:pPr>
      <w:r>
        <w:rPr>
          <w:rFonts w:hint="eastAsia" w:ascii="仿宋" w:hAnsi="仿宋" w:eastAsia="仿宋" w:cs="仿宋"/>
          <w:bCs/>
          <w:color w:val="000000"/>
          <w:sz w:val="32"/>
          <w:szCs w:val="32"/>
        </w:rPr>
        <w:t xml:space="preserve">二是抓脱贫攻坚工作。充分发挥义务教育作用，坚持教育扶贫扶智，一个不少，一分不少。 </w:t>
      </w:r>
    </w:p>
    <w:p>
      <w:pPr>
        <w:pStyle w:val="2"/>
        <w:adjustRightInd w:val="0"/>
        <w:snapToGrid w:val="0"/>
        <w:spacing w:beforeLines="0" w:line="400" w:lineRule="exact"/>
        <w:ind w:firstLine="672" w:firstLineChars="210"/>
        <w:outlineLvl w:val="2"/>
        <w:rPr>
          <w:rFonts w:ascii="仿宋" w:hAnsi="仿宋" w:eastAsia="仿宋" w:cs="仿宋"/>
          <w:bCs/>
          <w:color w:val="000000"/>
          <w:sz w:val="32"/>
          <w:szCs w:val="32"/>
        </w:rPr>
      </w:pPr>
      <w:r>
        <w:rPr>
          <w:rFonts w:hint="eastAsia" w:ascii="仿宋" w:hAnsi="仿宋" w:eastAsia="仿宋" w:cs="仿宋"/>
          <w:bCs/>
          <w:color w:val="000000"/>
          <w:sz w:val="32"/>
          <w:szCs w:val="32"/>
        </w:rPr>
        <w:t>三是全面提高教育教学质量。坚持教书育人，服务育人，环境育人方针，加强对学生的思想品德教育，同时抓好教师队伍建设。</w:t>
      </w:r>
    </w:p>
    <w:p>
      <w:pPr>
        <w:pStyle w:val="2"/>
        <w:adjustRightInd w:val="0"/>
        <w:snapToGrid w:val="0"/>
        <w:spacing w:beforeLines="0" w:line="400" w:lineRule="exact"/>
        <w:ind w:firstLine="672" w:firstLineChars="210"/>
        <w:outlineLvl w:val="2"/>
        <w:rPr>
          <w:rFonts w:ascii="仿宋" w:hAnsi="仿宋" w:eastAsia="仿宋"/>
          <w:bCs/>
          <w:color w:val="000000"/>
          <w:sz w:val="32"/>
          <w:szCs w:val="32"/>
        </w:rPr>
      </w:pPr>
      <w:r>
        <w:rPr>
          <w:rFonts w:hint="eastAsia" w:ascii="仿宋" w:hAnsi="仿宋" w:eastAsia="仿宋" w:cs="仿宋"/>
          <w:bCs/>
          <w:color w:val="000000"/>
          <w:sz w:val="32"/>
          <w:szCs w:val="32"/>
        </w:rPr>
        <w:t>四是</w:t>
      </w:r>
      <w:r>
        <w:rPr>
          <w:rFonts w:hint="eastAsia" w:ascii="仿宋" w:hAnsi="仿宋" w:eastAsia="仿宋" w:cs="仿宋"/>
          <w:color w:val="000000"/>
          <w:sz w:val="32"/>
          <w:szCs w:val="32"/>
        </w:rPr>
        <w:t>做好安全防范，保证学生的</w:t>
      </w:r>
      <w:r>
        <w:rPr>
          <w:rFonts w:hint="eastAsia" w:ascii="仿宋" w:hAnsi="仿宋" w:eastAsia="仿宋" w:cs="仿宋"/>
          <w:color w:val="000000"/>
          <w:sz w:val="32"/>
          <w:szCs w:val="32"/>
          <w:lang w:eastAsia="zh-CN"/>
        </w:rPr>
        <w:t>人身安全</w:t>
      </w:r>
      <w:r>
        <w:rPr>
          <w:rFonts w:hint="eastAsia" w:ascii="仿宋" w:hAnsi="仿宋" w:eastAsia="仿宋" w:cs="仿宋"/>
          <w:color w:val="000000"/>
          <w:sz w:val="32"/>
          <w:szCs w:val="32"/>
        </w:rPr>
        <w:t>。</w:t>
      </w:r>
    </w:p>
    <w:p>
      <w:pPr>
        <w:pStyle w:val="4"/>
        <w:spacing w:before="0" w:after="0" w:line="400" w:lineRule="exact"/>
        <w:rPr>
          <w:rStyle w:val="17"/>
          <w:b w:val="0"/>
          <w:bCs w:val="0"/>
        </w:rPr>
      </w:pPr>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18"/>
      <w:bookmarkEnd w:id="19"/>
    </w:p>
    <w:p>
      <w:pPr>
        <w:pStyle w:val="2"/>
        <w:adjustRightInd w:val="0"/>
        <w:snapToGrid w:val="0"/>
        <w:spacing w:beforeLines="0" w:line="480" w:lineRule="exact"/>
        <w:ind w:firstLine="640" w:firstLineChars="200"/>
        <w:jc w:val="left"/>
        <w:rPr>
          <w:rFonts w:ascii="仿宋" w:hAnsi="仿宋" w:eastAsia="仿宋" w:cs="仿宋"/>
          <w:sz w:val="32"/>
          <w:szCs w:val="32"/>
        </w:rPr>
      </w:pPr>
      <w:r>
        <w:rPr>
          <w:rFonts w:hint="eastAsia" w:ascii="仿宋_GB2312" w:hAnsi="仿宋_GB2312" w:eastAsia="仿宋_GB2312" w:cs="仿宋_GB2312"/>
          <w:sz w:val="32"/>
          <w:szCs w:val="32"/>
        </w:rPr>
        <w:t>剑阁县公店小学校</w:t>
      </w:r>
      <w:r>
        <w:rPr>
          <w:rFonts w:hint="eastAsia" w:ascii="仿宋" w:hAnsi="仿宋" w:eastAsia="仿宋" w:cs="仿宋"/>
          <w:sz w:val="32"/>
          <w:szCs w:val="32"/>
        </w:rPr>
        <w:t>下属二级单位0个，其中行政单位0个，参照公务员法管理的事业单位0个，其他事业单位0个。</w:t>
      </w:r>
      <w:r>
        <w:rPr>
          <w:rFonts w:hint="eastAsia" w:ascii="仿宋_GB2312" w:hAnsi="仿宋_GB2312" w:eastAsia="仿宋_GB2312" w:cs="仿宋_GB2312"/>
          <w:sz w:val="32"/>
          <w:szCs w:val="32"/>
        </w:rPr>
        <w:t>剑阁县公店小学校总编制</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人，其中行政编制0名，参公编制0名，管理岗编制1名，专业技术编制1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名，事业工勤编制0名。</w:t>
      </w:r>
      <w:r>
        <w:rPr>
          <w:rFonts w:hint="eastAsia" w:ascii="仿宋_GB2312" w:hAnsi="仿宋_GB2312" w:eastAsia="仿宋_GB2312" w:cs="仿宋_GB2312"/>
          <w:sz w:val="32"/>
          <w:szCs w:val="32"/>
          <w:lang w:eastAsia="zh-CN"/>
        </w:rPr>
        <w:t>202</w:t>
      </w:r>
      <w:r>
        <w:rPr>
          <w:rFonts w:hint="eastAsia" w:hAnsi="仿宋_GB2312" w:cs="仿宋_GB2312"/>
          <w:sz w:val="32"/>
          <w:szCs w:val="32"/>
          <w:lang w:val="en-US" w:eastAsia="zh-CN"/>
        </w:rPr>
        <w:t>2</w:t>
      </w:r>
      <w:r>
        <w:rPr>
          <w:rFonts w:hint="eastAsia" w:ascii="仿宋_GB2312" w:hAnsi="仿宋_GB2312" w:eastAsia="仿宋_GB2312" w:cs="仿宋_GB2312"/>
          <w:sz w:val="32"/>
          <w:szCs w:val="32"/>
        </w:rPr>
        <w:t>年末实有在职人员总数</w:t>
      </w:r>
      <w:r>
        <w:rPr>
          <w:rFonts w:hint="eastAsia" w:hAnsi="仿宋_GB2312" w:cs="仿宋_GB2312"/>
          <w:sz w:val="32"/>
          <w:szCs w:val="32"/>
          <w:lang w:val="en-US" w:eastAsia="zh-CN"/>
        </w:rPr>
        <w:t>16</w:t>
      </w:r>
      <w:r>
        <w:rPr>
          <w:rFonts w:hint="eastAsia" w:ascii="仿宋_GB2312" w:hAnsi="仿宋_GB2312" w:eastAsia="仿宋_GB2312" w:cs="仿宋_GB2312"/>
          <w:sz w:val="32"/>
          <w:szCs w:val="32"/>
        </w:rPr>
        <w:t>人，其中行政人员0人，参公人员0人，事业</w:t>
      </w:r>
      <w:r>
        <w:rPr>
          <w:rFonts w:hint="eastAsia" w:hAnsi="仿宋_GB2312" w:cs="仿宋_GB2312"/>
          <w:sz w:val="32"/>
          <w:szCs w:val="32"/>
          <w:lang w:eastAsia="zh-CN"/>
        </w:rPr>
        <w:t>人员</w:t>
      </w:r>
      <w:r>
        <w:rPr>
          <w:rFonts w:hint="eastAsia" w:hAnsi="仿宋_GB2312" w:cs="仿宋_GB2312"/>
          <w:sz w:val="32"/>
          <w:szCs w:val="32"/>
          <w:lang w:val="en-US" w:eastAsia="zh-CN"/>
        </w:rPr>
        <w:t>16</w:t>
      </w:r>
      <w:r>
        <w:rPr>
          <w:rFonts w:hint="eastAsia" w:ascii="仿宋_GB2312" w:hAnsi="仿宋_GB2312" w:eastAsia="仿宋_GB2312" w:cs="仿宋_GB2312"/>
          <w:sz w:val="32"/>
          <w:szCs w:val="32"/>
        </w:rPr>
        <w:t>，工勤人员0人；离休人员0人，退休</w:t>
      </w:r>
      <w:r>
        <w:rPr>
          <w:rFonts w:hint="eastAsia" w:hAnsi="仿宋_GB2312" w:cs="仿宋_GB2312"/>
          <w:sz w:val="32"/>
          <w:szCs w:val="32"/>
          <w:lang w:eastAsia="zh-CN"/>
        </w:rPr>
        <w:t>人员</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人。</w:t>
      </w:r>
    </w:p>
    <w:p>
      <w:pPr>
        <w:pStyle w:val="2"/>
        <w:adjustRightInd w:val="0"/>
        <w:snapToGrid w:val="0"/>
        <w:spacing w:beforeLines="0" w:line="480" w:lineRule="exact"/>
        <w:ind w:firstLine="640" w:firstLineChars="200"/>
        <w:jc w:val="left"/>
        <w:rPr>
          <w:rFonts w:ascii="仿宋" w:hAnsi="仿宋" w:eastAsia="仿宋" w:cs="仿宋"/>
          <w:sz w:val="32"/>
          <w:szCs w:val="32"/>
        </w:rPr>
      </w:pPr>
    </w:p>
    <w:p>
      <w:pPr>
        <w:pStyle w:val="2"/>
        <w:adjustRightInd w:val="0"/>
        <w:snapToGrid w:val="0"/>
        <w:spacing w:beforeLines="0" w:line="480" w:lineRule="exact"/>
        <w:ind w:firstLine="640" w:firstLineChars="200"/>
        <w:jc w:val="left"/>
        <w:rPr>
          <w:rFonts w:ascii="仿宋" w:hAnsi="仿宋" w:eastAsia="仿宋" w:cs="仿宋"/>
          <w:sz w:val="32"/>
          <w:szCs w:val="32"/>
        </w:rPr>
      </w:pPr>
    </w:p>
    <w:p>
      <w:pPr>
        <w:rPr>
          <w:rFonts w:hint="eastAsia" w:ascii="黑体" w:hAnsi="黑体" w:eastAsia="黑体"/>
          <w:b w:val="0"/>
          <w:color w:val="000000"/>
        </w:rPr>
      </w:pPr>
      <w:bookmarkStart w:id="22" w:name="_Toc15396602"/>
      <w:bookmarkStart w:id="23" w:name="_Toc15377204"/>
      <w:r>
        <w:rPr>
          <w:rFonts w:hint="eastAsia" w:ascii="黑体" w:hAnsi="黑体" w:eastAsia="黑体"/>
          <w:b w:val="0"/>
          <w:color w:val="000000"/>
        </w:rPr>
        <w:br w:type="page"/>
      </w:r>
    </w:p>
    <w:p>
      <w:pPr>
        <w:pStyle w:val="3"/>
        <w:spacing w:before="0" w:after="0" w:line="480" w:lineRule="exact"/>
        <w:ind w:right="440"/>
        <w:jc w:val="right"/>
        <w:rPr>
          <w:rStyle w:val="16"/>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16"/>
          <w:rFonts w:hint="eastAsia" w:ascii="黑体" w:hAnsi="黑体" w:eastAsia="黑体"/>
          <w:b w:val="0"/>
          <w:bCs w:val="0"/>
          <w:lang w:eastAsia="zh-CN"/>
        </w:rPr>
        <w:t>2022</w:t>
      </w:r>
      <w:r>
        <w:rPr>
          <w:rStyle w:val="16"/>
          <w:rFonts w:hint="eastAsia" w:ascii="黑体" w:hAnsi="黑体" w:eastAsia="黑体"/>
          <w:b w:val="0"/>
          <w:bCs w:val="0"/>
        </w:rPr>
        <w:t>年度部门决算情况说明</w:t>
      </w:r>
      <w:bookmarkEnd w:id="22"/>
      <w:bookmarkEnd w:id="23"/>
    </w:p>
    <w:p/>
    <w:p/>
    <w:p>
      <w:pPr>
        <w:pStyle w:val="26"/>
        <w:numPr>
          <w:ilvl w:val="0"/>
          <w:numId w:val="1"/>
        </w:numPr>
        <w:spacing w:line="400" w:lineRule="exact"/>
        <w:ind w:firstLineChars="0"/>
        <w:outlineLvl w:val="1"/>
        <w:rPr>
          <w:rStyle w:val="17"/>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4"/>
      <w:bookmarkEnd w:id="25"/>
    </w:p>
    <w:p>
      <w:pPr>
        <w:spacing w:line="4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年度收、支总计</w:t>
      </w:r>
      <w:r>
        <w:rPr>
          <w:rFonts w:hint="eastAsia" w:ascii="仿宋" w:hAnsi="仿宋" w:eastAsia="仿宋"/>
          <w:color w:val="000000"/>
          <w:sz w:val="32"/>
          <w:szCs w:val="32"/>
          <w:lang w:eastAsia="zh-CN"/>
        </w:rPr>
        <w:t>263.95万元</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2021年</w:t>
      </w:r>
      <w:r>
        <w:rPr>
          <w:rFonts w:hint="eastAsia" w:ascii="仿宋" w:hAnsi="仿宋" w:eastAsia="仿宋"/>
          <w:color w:val="000000"/>
          <w:sz w:val="32"/>
          <w:szCs w:val="32"/>
        </w:rPr>
        <w:t>相比，</w:t>
      </w:r>
      <w:r>
        <w:rPr>
          <w:rFonts w:hint="eastAsia" w:ascii="仿宋" w:hAnsi="仿宋" w:eastAsia="仿宋"/>
          <w:color w:val="000000"/>
          <w:sz w:val="32"/>
          <w:szCs w:val="32"/>
          <w:lang w:val="en-US" w:eastAsia="zh-CN"/>
        </w:rPr>
        <w:t>减少34.12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减少11.45%</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生源流失，</w:t>
      </w:r>
      <w:r>
        <w:rPr>
          <w:rFonts w:hint="eastAsia" w:ascii="仿宋" w:hAnsi="仿宋" w:eastAsia="仿宋"/>
          <w:color w:val="000000"/>
          <w:sz w:val="32"/>
          <w:szCs w:val="32"/>
        </w:rPr>
        <w:t>人员</w:t>
      </w:r>
      <w:r>
        <w:rPr>
          <w:rFonts w:hint="eastAsia" w:ascii="仿宋" w:hAnsi="仿宋" w:eastAsia="仿宋"/>
          <w:color w:val="000000"/>
          <w:sz w:val="32"/>
          <w:szCs w:val="32"/>
          <w:lang w:val="en-US" w:eastAsia="zh-CN"/>
        </w:rPr>
        <w:t>减少导致预算减少，开支需求降低</w:t>
      </w:r>
      <w:r>
        <w:rPr>
          <w:rFonts w:hint="eastAsia" w:ascii="仿宋" w:hAnsi="仿宋" w:eastAsia="仿宋"/>
          <w:color w:val="000000"/>
          <w:sz w:val="32"/>
          <w:szCs w:val="32"/>
        </w:rPr>
        <w:t>。</w:t>
      </w:r>
    </w:p>
    <w:p>
      <w:pPr>
        <w:pStyle w:val="2"/>
        <w:rPr>
          <w:rFonts w:hint="eastAsia" w:eastAsia="仿宋_GB2312"/>
          <w:lang w:eastAsia="zh-CN"/>
        </w:rPr>
      </w:pPr>
      <w:r>
        <w:rPr>
          <w:rFonts w:hint="eastAsia" w:eastAsia="仿宋_GB2312"/>
          <w:lang w:eastAsia="zh-CN"/>
        </w:rPr>
        <w:drawing>
          <wp:inline distT="0" distB="0" distL="114300" distR="114300">
            <wp:extent cx="5268595" cy="3947160"/>
            <wp:effectExtent l="0" t="0" r="4445" b="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6"/>
                    <a:stretch>
                      <a:fillRect/>
                    </a:stretch>
                  </pic:blipFill>
                  <pic:spPr>
                    <a:xfrm>
                      <a:off x="0" y="0"/>
                      <a:ext cx="5268595" cy="3947160"/>
                    </a:xfrm>
                    <a:prstGeom prst="rect">
                      <a:avLst/>
                    </a:prstGeom>
                  </pic:spPr>
                </pic:pic>
              </a:graphicData>
            </a:graphic>
          </wp:inline>
        </w:drawing>
      </w:r>
    </w:p>
    <w:p>
      <w:pPr>
        <w:pStyle w:val="26"/>
        <w:numPr>
          <w:ilvl w:val="0"/>
          <w:numId w:val="1"/>
        </w:numPr>
        <w:spacing w:line="400" w:lineRule="exact"/>
        <w:ind w:firstLineChars="0"/>
        <w:outlineLvl w:val="1"/>
        <w:rPr>
          <w:rStyle w:val="17"/>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17"/>
          <w:rFonts w:hint="eastAsia" w:ascii="黑体" w:hAnsi="黑体" w:eastAsia="黑体"/>
          <w:b w:val="0"/>
        </w:rPr>
        <w:t>入决算情况说明</w:t>
      </w:r>
      <w:bookmarkEnd w:id="26"/>
      <w:bookmarkEnd w:id="27"/>
    </w:p>
    <w:p>
      <w:pPr>
        <w:spacing w:line="4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年本年收入合计</w:t>
      </w:r>
      <w:r>
        <w:rPr>
          <w:rFonts w:hint="eastAsia" w:ascii="仿宋" w:hAnsi="仿宋" w:eastAsia="仿宋"/>
          <w:color w:val="000000"/>
          <w:sz w:val="32"/>
          <w:szCs w:val="32"/>
          <w:lang w:eastAsia="zh-CN"/>
        </w:rPr>
        <w:t>263.95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eastAsia="zh-CN"/>
        </w:rPr>
        <w:t>263.95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pStyle w:val="2"/>
        <w:rPr>
          <w:rFonts w:hint="default"/>
          <w:lang w:val="en-US" w:eastAsia="zh-CN"/>
        </w:rPr>
      </w:pPr>
      <w:r>
        <w:rPr>
          <w:rFonts w:hint="default"/>
          <w:lang w:val="en-US" w:eastAsia="zh-CN"/>
        </w:rPr>
        <w:drawing>
          <wp:inline distT="0" distB="0" distL="114300" distR="114300">
            <wp:extent cx="4810125" cy="3533775"/>
            <wp:effectExtent l="0" t="0" r="5715" b="190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7"/>
                    <a:stretch>
                      <a:fillRect/>
                    </a:stretch>
                  </pic:blipFill>
                  <pic:spPr>
                    <a:xfrm>
                      <a:off x="0" y="0"/>
                      <a:ext cx="4810125" cy="3533775"/>
                    </a:xfrm>
                    <a:prstGeom prst="rect">
                      <a:avLst/>
                    </a:prstGeom>
                  </pic:spPr>
                </pic:pic>
              </a:graphicData>
            </a:graphic>
          </wp:inline>
        </w:drawing>
      </w:r>
    </w:p>
    <w:p>
      <w:pPr>
        <w:pStyle w:val="26"/>
        <w:numPr>
          <w:ilvl w:val="0"/>
          <w:numId w:val="1"/>
        </w:numPr>
        <w:spacing w:line="400" w:lineRule="exact"/>
        <w:ind w:firstLineChars="0"/>
        <w:outlineLvl w:val="1"/>
        <w:rPr>
          <w:rStyle w:val="17"/>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17"/>
          <w:rFonts w:hint="eastAsia" w:ascii="黑体" w:hAnsi="黑体" w:eastAsia="黑体"/>
          <w:b w:val="0"/>
        </w:rPr>
        <w:t>出决算情况说明</w:t>
      </w:r>
      <w:bookmarkEnd w:id="28"/>
      <w:bookmarkEnd w:id="29"/>
    </w:p>
    <w:p>
      <w:pPr>
        <w:spacing w:line="4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263.95</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263.95</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w:t>
      </w:r>
    </w:p>
    <w:p>
      <w:pPr>
        <w:pStyle w:val="2"/>
        <w:rPr>
          <w:rFonts w:hint="eastAsia" w:eastAsia="仿宋_GB2312"/>
          <w:lang w:eastAsia="zh-CN"/>
        </w:rPr>
      </w:pPr>
      <w:r>
        <w:rPr>
          <w:rFonts w:hint="eastAsia" w:eastAsia="仿宋_GB2312"/>
          <w:lang w:eastAsia="zh-CN"/>
        </w:rPr>
        <w:drawing>
          <wp:inline distT="0" distB="0" distL="114300" distR="114300">
            <wp:extent cx="5271135" cy="3931285"/>
            <wp:effectExtent l="0" t="0" r="1905" b="635"/>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8"/>
                    <a:stretch>
                      <a:fillRect/>
                    </a:stretch>
                  </pic:blipFill>
                  <pic:spPr>
                    <a:xfrm>
                      <a:off x="0" y="0"/>
                      <a:ext cx="5271135" cy="3931285"/>
                    </a:xfrm>
                    <a:prstGeom prst="rect">
                      <a:avLst/>
                    </a:prstGeom>
                  </pic:spPr>
                </pic:pic>
              </a:graphicData>
            </a:graphic>
          </wp:inline>
        </w:drawing>
      </w:r>
    </w:p>
    <w:p>
      <w:pPr>
        <w:spacing w:line="400" w:lineRule="exact"/>
        <w:ind w:firstLine="640" w:firstLineChars="200"/>
        <w:outlineLvl w:val="1"/>
        <w:rPr>
          <w:rStyle w:val="17"/>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0"/>
      <w:bookmarkEnd w:id="31"/>
    </w:p>
    <w:p>
      <w:pPr>
        <w:spacing w:line="4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年财政拨款收入总计</w:t>
      </w:r>
      <w:r>
        <w:rPr>
          <w:rFonts w:hint="eastAsia" w:ascii="仿宋" w:hAnsi="仿宋" w:eastAsia="仿宋"/>
          <w:color w:val="000000"/>
          <w:sz w:val="32"/>
          <w:szCs w:val="32"/>
          <w:lang w:val="en-US" w:eastAsia="zh-CN"/>
        </w:rPr>
        <w:t>263.95</w:t>
      </w:r>
      <w:r>
        <w:rPr>
          <w:rFonts w:hint="eastAsia" w:ascii="仿宋" w:hAnsi="仿宋" w:eastAsia="仿宋"/>
          <w:color w:val="000000"/>
          <w:sz w:val="32"/>
          <w:szCs w:val="32"/>
        </w:rPr>
        <w:t>万元，支出总计</w:t>
      </w:r>
      <w:r>
        <w:rPr>
          <w:rFonts w:hint="eastAsia" w:ascii="仿宋" w:hAnsi="仿宋" w:eastAsia="仿宋"/>
          <w:color w:val="000000"/>
          <w:sz w:val="32"/>
          <w:szCs w:val="32"/>
          <w:lang w:val="en-US" w:eastAsia="zh-CN"/>
        </w:rPr>
        <w:t>263.95</w:t>
      </w:r>
      <w:r>
        <w:rPr>
          <w:rFonts w:hint="eastAsia" w:ascii="仿宋" w:hAnsi="仿宋" w:eastAsia="仿宋"/>
          <w:color w:val="000000"/>
          <w:sz w:val="32"/>
          <w:szCs w:val="32"/>
        </w:rPr>
        <w:t>万元，年末结转</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sz w:val="32"/>
          <w:szCs w:val="32"/>
        </w:rPr>
        <w:t>与</w:t>
      </w:r>
      <w:r>
        <w:rPr>
          <w:rFonts w:hint="eastAsia" w:ascii="仿宋" w:hAnsi="仿宋" w:eastAsia="仿宋"/>
          <w:sz w:val="32"/>
          <w:szCs w:val="32"/>
          <w:lang w:eastAsia="zh-CN"/>
        </w:rPr>
        <w:t>2021年</w:t>
      </w:r>
      <w:r>
        <w:rPr>
          <w:rFonts w:hint="eastAsia" w:ascii="仿宋" w:hAnsi="仿宋" w:eastAsia="仿宋"/>
          <w:sz w:val="32"/>
          <w:szCs w:val="32"/>
        </w:rPr>
        <w:t>相比，</w:t>
      </w:r>
      <w:r>
        <w:rPr>
          <w:rFonts w:hint="eastAsia" w:ascii="仿宋" w:hAnsi="仿宋" w:eastAsia="仿宋"/>
          <w:color w:val="000000"/>
          <w:sz w:val="32"/>
          <w:szCs w:val="32"/>
        </w:rPr>
        <w:t>财政拨款收入总计</w:t>
      </w:r>
      <w:r>
        <w:rPr>
          <w:rFonts w:hint="eastAsia" w:ascii="仿宋" w:hAnsi="仿宋" w:eastAsia="仿宋"/>
          <w:color w:val="000000"/>
          <w:sz w:val="32"/>
          <w:szCs w:val="32"/>
          <w:lang w:val="en-US" w:eastAsia="zh-CN"/>
        </w:rPr>
        <w:t>减少34.12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减少11.45%</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生源流失，</w:t>
      </w:r>
      <w:r>
        <w:rPr>
          <w:rFonts w:hint="eastAsia" w:ascii="仿宋" w:hAnsi="仿宋" w:eastAsia="仿宋"/>
          <w:color w:val="000000"/>
          <w:sz w:val="32"/>
          <w:szCs w:val="32"/>
        </w:rPr>
        <w:t>人员</w:t>
      </w:r>
      <w:r>
        <w:rPr>
          <w:rFonts w:hint="eastAsia" w:ascii="仿宋" w:hAnsi="仿宋" w:eastAsia="仿宋"/>
          <w:color w:val="000000"/>
          <w:sz w:val="32"/>
          <w:szCs w:val="32"/>
          <w:lang w:val="en-US" w:eastAsia="zh-CN"/>
        </w:rPr>
        <w:t>减少导致预算减少，开支需求降低</w:t>
      </w:r>
      <w:r>
        <w:rPr>
          <w:rFonts w:hint="eastAsia" w:ascii="仿宋" w:hAnsi="仿宋" w:eastAsia="仿宋"/>
          <w:color w:val="000000"/>
          <w:sz w:val="32"/>
          <w:szCs w:val="32"/>
        </w:rPr>
        <w:t>。</w:t>
      </w:r>
    </w:p>
    <w:p>
      <w:pPr>
        <w:pStyle w:val="2"/>
        <w:rPr>
          <w:rFonts w:hint="eastAsia" w:eastAsia="仿宋_GB2312"/>
          <w:lang w:eastAsia="zh-CN"/>
        </w:rPr>
      </w:pPr>
      <w:r>
        <w:rPr>
          <w:rFonts w:hint="eastAsia" w:eastAsia="仿宋_GB2312"/>
          <w:lang w:eastAsia="zh-CN"/>
        </w:rPr>
        <w:drawing>
          <wp:inline distT="0" distB="0" distL="114300" distR="114300">
            <wp:extent cx="5271135" cy="4063365"/>
            <wp:effectExtent l="0" t="0" r="1905" b="5715"/>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9"/>
                    <a:stretch>
                      <a:fillRect/>
                    </a:stretch>
                  </pic:blipFill>
                  <pic:spPr>
                    <a:xfrm>
                      <a:off x="0" y="0"/>
                      <a:ext cx="5271135" cy="4063365"/>
                    </a:xfrm>
                    <a:prstGeom prst="rect">
                      <a:avLst/>
                    </a:prstGeom>
                  </pic:spPr>
                </pic:pic>
              </a:graphicData>
            </a:graphic>
          </wp:inline>
        </w:drawing>
      </w:r>
    </w:p>
    <w:p>
      <w:pPr>
        <w:spacing w:line="400" w:lineRule="exact"/>
        <w:ind w:firstLine="640" w:firstLineChars="200"/>
        <w:outlineLvl w:val="1"/>
        <w:rPr>
          <w:rStyle w:val="17"/>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2"/>
      <w:bookmarkEnd w:id="33"/>
    </w:p>
    <w:p>
      <w:pPr>
        <w:spacing w:line="4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400" w:lineRule="exact"/>
        <w:ind w:firstLine="640" w:firstLineChars="200"/>
        <w:outlineLvl w:val="2"/>
        <w:rPr>
          <w:rFonts w:hint="eastAsia" w:ascii="仿宋" w:hAnsi="仿宋" w:eastAsia="仿宋"/>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263.95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sz w:val="32"/>
          <w:szCs w:val="32"/>
        </w:rPr>
        <w:t>与</w:t>
      </w:r>
      <w:r>
        <w:rPr>
          <w:rFonts w:hint="eastAsia" w:ascii="仿宋" w:hAnsi="仿宋" w:eastAsia="仿宋"/>
          <w:sz w:val="32"/>
          <w:szCs w:val="32"/>
          <w:lang w:eastAsia="zh-CN"/>
        </w:rPr>
        <w:t>2021年</w:t>
      </w:r>
      <w:r>
        <w:rPr>
          <w:rFonts w:hint="eastAsia" w:ascii="仿宋" w:hAnsi="仿宋" w:eastAsia="仿宋"/>
          <w:sz w:val="32"/>
          <w:szCs w:val="32"/>
        </w:rPr>
        <w:t>相比，一般公共预算财政拨款</w:t>
      </w:r>
      <w:r>
        <w:rPr>
          <w:rFonts w:hint="eastAsia" w:ascii="仿宋" w:hAnsi="仿宋" w:eastAsia="仿宋"/>
          <w:sz w:val="32"/>
          <w:szCs w:val="32"/>
          <w:lang w:val="en-US" w:eastAsia="zh-CN"/>
        </w:rPr>
        <w:t>减少13.27</w:t>
      </w:r>
      <w:r>
        <w:rPr>
          <w:rFonts w:hint="eastAsia" w:ascii="仿宋" w:hAnsi="仿宋" w:eastAsia="仿宋"/>
          <w:sz w:val="32"/>
          <w:szCs w:val="32"/>
        </w:rPr>
        <w:t>万元，</w:t>
      </w:r>
      <w:r>
        <w:rPr>
          <w:rFonts w:hint="eastAsia" w:ascii="仿宋" w:hAnsi="仿宋" w:eastAsia="仿宋"/>
          <w:sz w:val="32"/>
          <w:szCs w:val="32"/>
          <w:lang w:val="en-US" w:eastAsia="zh-CN"/>
        </w:rPr>
        <w:t>减少4.79%</w:t>
      </w:r>
      <w:r>
        <w:rPr>
          <w:rFonts w:hint="eastAsia" w:ascii="仿宋" w:hAnsi="仿宋" w:eastAsia="仿宋"/>
          <w:sz w:val="32"/>
          <w:szCs w:val="32"/>
        </w:rPr>
        <w:t>。</w:t>
      </w:r>
      <w:bookmarkStart w:id="35" w:name="_Toc15377211"/>
      <w:r>
        <w:rPr>
          <w:rFonts w:hint="eastAsia" w:ascii="仿宋" w:hAnsi="仿宋" w:eastAsia="仿宋"/>
          <w:sz w:val="32"/>
          <w:szCs w:val="32"/>
        </w:rPr>
        <w:t>主要原因是</w:t>
      </w:r>
      <w:r>
        <w:rPr>
          <w:rFonts w:hint="eastAsia" w:ascii="仿宋" w:hAnsi="仿宋" w:eastAsia="仿宋"/>
          <w:sz w:val="32"/>
          <w:szCs w:val="32"/>
          <w:lang w:val="en-US" w:eastAsia="zh-CN"/>
        </w:rPr>
        <w:t>生源流失，</w:t>
      </w:r>
      <w:r>
        <w:rPr>
          <w:rFonts w:hint="eastAsia" w:ascii="仿宋" w:hAnsi="仿宋" w:eastAsia="仿宋"/>
          <w:sz w:val="32"/>
          <w:szCs w:val="32"/>
        </w:rPr>
        <w:t>人员</w:t>
      </w:r>
      <w:r>
        <w:rPr>
          <w:rFonts w:hint="eastAsia" w:ascii="仿宋" w:hAnsi="仿宋" w:eastAsia="仿宋"/>
          <w:sz w:val="32"/>
          <w:szCs w:val="32"/>
          <w:lang w:val="en-US" w:eastAsia="zh-CN"/>
        </w:rPr>
        <w:t>减少导致预算减少，开支需求降低</w:t>
      </w:r>
      <w:r>
        <w:rPr>
          <w:rFonts w:hint="eastAsia" w:ascii="仿宋" w:hAnsi="仿宋" w:eastAsia="仿宋"/>
          <w:sz w:val="32"/>
          <w:szCs w:val="32"/>
        </w:rPr>
        <w:t>。</w:t>
      </w:r>
    </w:p>
    <w:p>
      <w:pPr>
        <w:pStyle w:val="2"/>
        <w:rPr>
          <w:rFonts w:hint="eastAsia" w:eastAsia="仿宋_GB2312"/>
          <w:lang w:eastAsia="zh-CN"/>
        </w:rPr>
      </w:pPr>
      <w:r>
        <w:rPr>
          <w:rFonts w:hint="eastAsia" w:eastAsia="仿宋_GB2312"/>
          <w:lang w:eastAsia="zh-CN"/>
        </w:rPr>
        <w:drawing>
          <wp:inline distT="0" distB="0" distL="114300" distR="114300">
            <wp:extent cx="5272405" cy="4091940"/>
            <wp:effectExtent l="0" t="0" r="635" b="7620"/>
            <wp:docPr id="6"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
                    <pic:cNvPicPr>
                      <a:picLocks noChangeAspect="1"/>
                    </pic:cNvPicPr>
                  </pic:nvPicPr>
                  <pic:blipFill>
                    <a:blip r:embed="rId10"/>
                    <a:stretch>
                      <a:fillRect/>
                    </a:stretch>
                  </pic:blipFill>
                  <pic:spPr>
                    <a:xfrm>
                      <a:off x="0" y="0"/>
                      <a:ext cx="5272405" cy="4091940"/>
                    </a:xfrm>
                    <a:prstGeom prst="rect">
                      <a:avLst/>
                    </a:prstGeom>
                  </pic:spPr>
                </pic:pic>
              </a:graphicData>
            </a:graphic>
          </wp:inline>
        </w:drawing>
      </w:r>
    </w:p>
    <w:p>
      <w:pPr>
        <w:spacing w:line="4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4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263.95</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b/>
          <w:color w:val="000000"/>
          <w:sz w:val="32"/>
          <w:szCs w:val="32"/>
        </w:rPr>
        <w:t>教育支出（类）</w:t>
      </w:r>
      <w:r>
        <w:rPr>
          <w:rFonts w:hint="eastAsia" w:ascii="仿宋" w:hAnsi="仿宋" w:eastAsia="仿宋"/>
          <w:b/>
          <w:color w:val="000000"/>
          <w:sz w:val="32"/>
          <w:szCs w:val="32"/>
          <w:lang w:val="en-US" w:eastAsia="zh-CN"/>
        </w:rPr>
        <w:t>220.69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83.61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19.22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7.28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9.61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3.64</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14.42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5.46</w:t>
      </w:r>
      <w:r>
        <w:rPr>
          <w:rFonts w:ascii="仿宋" w:hAnsi="仿宋" w:eastAsia="仿宋"/>
          <w:color w:val="000000"/>
          <w:sz w:val="32"/>
          <w:szCs w:val="32"/>
        </w:rPr>
        <w:t>%</w:t>
      </w:r>
      <w:r>
        <w:rPr>
          <w:rFonts w:hint="eastAsia" w:ascii="仿宋" w:hAnsi="仿宋" w:eastAsia="仿宋"/>
          <w:color w:val="000000"/>
          <w:sz w:val="32"/>
          <w:szCs w:val="32"/>
        </w:rPr>
        <w:t>。</w:t>
      </w:r>
    </w:p>
    <w:p>
      <w:pPr>
        <w:pStyle w:val="2"/>
        <w:rPr>
          <w:rFonts w:hint="eastAsia" w:eastAsia="仿宋_GB2312"/>
          <w:lang w:eastAsia="zh-CN"/>
        </w:rPr>
      </w:pPr>
      <w:r>
        <w:rPr>
          <w:rFonts w:hint="eastAsia" w:eastAsia="仿宋_GB2312"/>
          <w:lang w:eastAsia="zh-CN"/>
        </w:rPr>
        <w:drawing>
          <wp:inline distT="0" distB="0" distL="114300" distR="114300">
            <wp:extent cx="5271770" cy="4139565"/>
            <wp:effectExtent l="0" t="0" r="1270" b="5715"/>
            <wp:docPr id="7" name="图片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
                    <pic:cNvPicPr>
                      <a:picLocks noChangeAspect="1"/>
                    </pic:cNvPicPr>
                  </pic:nvPicPr>
                  <pic:blipFill>
                    <a:blip r:embed="rId11"/>
                    <a:stretch>
                      <a:fillRect/>
                    </a:stretch>
                  </pic:blipFill>
                  <pic:spPr>
                    <a:xfrm>
                      <a:off x="0" y="0"/>
                      <a:ext cx="5271770" cy="4139565"/>
                    </a:xfrm>
                    <a:prstGeom prst="rect">
                      <a:avLst/>
                    </a:prstGeom>
                  </pic:spPr>
                </pic:pic>
              </a:graphicData>
            </a:graphic>
          </wp:inline>
        </w:drawing>
      </w:r>
    </w:p>
    <w:p>
      <w:pPr>
        <w:spacing w:line="4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4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sz w:val="32"/>
          <w:szCs w:val="32"/>
          <w:lang w:eastAsia="zh-CN"/>
        </w:rPr>
        <w:t>2022</w:t>
      </w:r>
      <w:r>
        <w:rPr>
          <w:rFonts w:hint="eastAsia" w:ascii="仿宋" w:hAnsi="仿宋" w:eastAsia="仿宋"/>
          <w:b/>
          <w:color w:val="000000"/>
          <w:sz w:val="32"/>
          <w:szCs w:val="32"/>
        </w:rPr>
        <w:t>年一般公共预算支出决算数为</w:t>
      </w:r>
      <w:r>
        <w:rPr>
          <w:rFonts w:hint="eastAsia" w:ascii="仿宋" w:hAnsi="仿宋" w:eastAsia="仿宋"/>
          <w:b/>
          <w:color w:val="000000"/>
          <w:sz w:val="32"/>
          <w:szCs w:val="32"/>
          <w:lang w:val="en-US" w:eastAsia="zh-CN"/>
        </w:rPr>
        <w:t>263.95万元</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400" w:lineRule="exact"/>
        <w:ind w:firstLine="643" w:firstLineChars="200"/>
        <w:rPr>
          <w:rStyle w:val="14"/>
          <w:rFonts w:ascii="仿宋" w:hAnsi="仿宋" w:eastAsia="仿宋"/>
          <w:b w:val="0"/>
          <w:bCs/>
          <w:color w:val="FF0000"/>
          <w:sz w:val="32"/>
          <w:szCs w:val="32"/>
        </w:rPr>
      </w:pPr>
      <w:r>
        <w:rPr>
          <w:rStyle w:val="14"/>
          <w:rFonts w:ascii="仿宋" w:hAnsi="仿宋" w:eastAsia="仿宋"/>
          <w:bCs/>
          <w:color w:val="000000"/>
          <w:sz w:val="32"/>
          <w:szCs w:val="32"/>
        </w:rPr>
        <w:t>1.</w:t>
      </w:r>
      <w:r>
        <w:rPr>
          <w:rStyle w:val="14"/>
          <w:rFonts w:hint="eastAsia" w:ascii="仿宋" w:hAnsi="仿宋" w:eastAsia="仿宋"/>
          <w:bCs/>
          <w:sz w:val="32"/>
          <w:szCs w:val="32"/>
        </w:rPr>
        <w:t>教育（类）普通教育（款）学前教育（项）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1.83</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决算数等于预算数</w:t>
      </w:r>
      <w:r>
        <w:rPr>
          <w:rStyle w:val="14"/>
          <w:rFonts w:hint="eastAsia" w:ascii="仿宋" w:hAnsi="仿宋" w:eastAsia="仿宋"/>
          <w:b w:val="0"/>
          <w:bCs/>
          <w:sz w:val="32"/>
          <w:szCs w:val="32"/>
        </w:rPr>
        <w:t>。</w:t>
      </w:r>
    </w:p>
    <w:p>
      <w:pPr>
        <w:spacing w:line="400" w:lineRule="exact"/>
        <w:ind w:firstLine="640" w:firstLineChars="200"/>
        <w:rPr>
          <w:rFonts w:ascii="仿宋" w:hAnsi="仿宋" w:eastAsia="仿宋"/>
          <w:b/>
          <w:color w:val="FF0000"/>
          <w:sz w:val="32"/>
          <w:szCs w:val="32"/>
        </w:rPr>
      </w:pPr>
      <w:r>
        <w:rPr>
          <w:rStyle w:val="14"/>
          <w:rFonts w:hint="eastAsia" w:ascii="仿宋" w:hAnsi="仿宋" w:eastAsia="仿宋"/>
          <w:b w:val="0"/>
          <w:bCs/>
          <w:color w:val="000000"/>
          <w:sz w:val="32"/>
          <w:szCs w:val="32"/>
          <w:lang w:val="en-US" w:eastAsia="zh-CN"/>
        </w:rPr>
        <w:t>2</w:t>
      </w:r>
      <w:r>
        <w:rPr>
          <w:rStyle w:val="14"/>
          <w:rFonts w:hint="eastAsia" w:ascii="仿宋" w:hAnsi="仿宋" w:eastAsia="仿宋"/>
          <w:b w:val="0"/>
          <w:bCs/>
          <w:color w:val="000000"/>
          <w:sz w:val="32"/>
          <w:szCs w:val="32"/>
        </w:rPr>
        <w:t>.</w:t>
      </w:r>
      <w:r>
        <w:rPr>
          <w:rStyle w:val="14"/>
          <w:rFonts w:hint="eastAsia" w:ascii="仿宋" w:hAnsi="仿宋" w:eastAsia="仿宋"/>
          <w:bCs/>
          <w:color w:val="000000"/>
          <w:sz w:val="32"/>
          <w:szCs w:val="32"/>
        </w:rPr>
        <w:t>教育（类）普通教育（款）小学教育（项）</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218.87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sz w:val="32"/>
          <w:szCs w:val="32"/>
        </w:rPr>
        <w:t>决算数</w:t>
      </w:r>
      <w:r>
        <w:rPr>
          <w:rStyle w:val="14"/>
          <w:rFonts w:hint="eastAsia" w:ascii="仿宋" w:hAnsi="仿宋" w:eastAsia="仿宋"/>
          <w:b w:val="0"/>
          <w:bCs/>
          <w:sz w:val="32"/>
          <w:szCs w:val="32"/>
          <w:lang w:val="en-US" w:eastAsia="zh-CN"/>
        </w:rPr>
        <w:t>等</w:t>
      </w:r>
      <w:r>
        <w:rPr>
          <w:rStyle w:val="14"/>
          <w:rFonts w:hint="eastAsia" w:ascii="仿宋" w:hAnsi="仿宋" w:eastAsia="仿宋"/>
          <w:b w:val="0"/>
          <w:bCs/>
          <w:sz w:val="32"/>
          <w:szCs w:val="32"/>
        </w:rPr>
        <w:t>于预算数。</w:t>
      </w:r>
    </w:p>
    <w:p>
      <w:pPr>
        <w:spacing w:line="4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社会保障和就业（类）行政事业单位养老（款）机关事业单位基本养老保险缴费（项）</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19.22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决算数等于预算数。</w:t>
      </w:r>
    </w:p>
    <w:p>
      <w:pPr>
        <w:spacing w:line="4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（类）行政事业单位医疗（款） 事业单位医疗（项）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9.61</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决算数等于预算数</w:t>
      </w:r>
      <w:r>
        <w:rPr>
          <w:rStyle w:val="14"/>
          <w:rFonts w:hint="eastAsia" w:ascii="仿宋" w:hAnsi="仿宋" w:eastAsia="仿宋"/>
          <w:b w:val="0"/>
          <w:bCs/>
          <w:sz w:val="32"/>
          <w:szCs w:val="32"/>
        </w:rPr>
        <w:t>。</w:t>
      </w:r>
    </w:p>
    <w:p>
      <w:pPr>
        <w:spacing w:line="400" w:lineRule="exact"/>
        <w:ind w:firstLine="643" w:firstLineChars="200"/>
        <w:rPr>
          <w:rFonts w:ascii="仿宋" w:hAnsi="仿宋" w:eastAsia="仿宋"/>
          <w:b/>
          <w:color w:val="000000"/>
          <w:sz w:val="32"/>
          <w:szCs w:val="32"/>
        </w:rPr>
      </w:pPr>
      <w:r>
        <w:rPr>
          <w:rStyle w:val="14"/>
          <w:rFonts w:hint="eastAsia" w:ascii="仿宋" w:hAnsi="仿宋" w:eastAsia="仿宋"/>
          <w:color w:val="000000"/>
          <w:sz w:val="32"/>
          <w:szCs w:val="32"/>
          <w:lang w:val="en-US" w:eastAsia="zh-CN"/>
        </w:rPr>
        <w:t>5</w:t>
      </w:r>
      <w:r>
        <w:rPr>
          <w:rStyle w:val="14"/>
          <w:rFonts w:hint="eastAsia" w:ascii="仿宋" w:hAnsi="仿宋" w:eastAsia="仿宋"/>
          <w:color w:val="000000"/>
          <w:sz w:val="32"/>
          <w:szCs w:val="32"/>
        </w:rPr>
        <w:t>.</w:t>
      </w:r>
      <w:r>
        <w:rPr>
          <w:rFonts w:hint="eastAsia" w:ascii="仿宋" w:hAnsi="仿宋" w:eastAsia="仿宋"/>
          <w:b/>
          <w:bCs/>
          <w:color w:val="000000"/>
          <w:sz w:val="32"/>
          <w:szCs w:val="32"/>
        </w:rPr>
        <w:t>住房保障</w:t>
      </w:r>
      <w:r>
        <w:rPr>
          <w:rStyle w:val="14"/>
          <w:rFonts w:hint="eastAsia" w:ascii="仿宋" w:hAnsi="仿宋" w:eastAsia="仿宋"/>
          <w:bCs/>
          <w:color w:val="000000"/>
          <w:sz w:val="32"/>
          <w:szCs w:val="32"/>
        </w:rPr>
        <w:t>（类）住房改革（款）住房公积金（项）</w:t>
      </w:r>
      <w:r>
        <w:rPr>
          <w:rStyle w:val="14"/>
          <w:rFonts w:hint="eastAsia" w:ascii="仿宋" w:hAnsi="仿宋" w:eastAsia="仿宋"/>
          <w:bCs/>
          <w:color w:val="000000"/>
          <w:sz w:val="32"/>
          <w:szCs w:val="32"/>
          <w:lang w:eastAsia="zh-CN"/>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14.42</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tabs>
          <w:tab w:val="right" w:pos="8306"/>
        </w:tabs>
        <w:spacing w:line="400" w:lineRule="exact"/>
        <w:ind w:firstLine="640"/>
        <w:outlineLvl w:val="1"/>
        <w:rPr>
          <w:rStyle w:val="17"/>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0"/>
      <w:bookmarkEnd w:id="41"/>
      <w:r>
        <w:rPr>
          <w:rStyle w:val="17"/>
          <w:rFonts w:ascii="黑体" w:hAnsi="黑体" w:eastAsia="黑体"/>
          <w:b w:val="0"/>
        </w:rPr>
        <w:tab/>
      </w:r>
    </w:p>
    <w:p>
      <w:pPr>
        <w:spacing w:line="4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263.95</w:t>
      </w:r>
      <w:r>
        <w:rPr>
          <w:rFonts w:hint="eastAsia" w:ascii="仿宋" w:hAnsi="仿宋" w:eastAsia="仿宋"/>
          <w:color w:val="000000"/>
          <w:sz w:val="32"/>
          <w:szCs w:val="32"/>
        </w:rPr>
        <w:t>万元，其中：</w:t>
      </w:r>
    </w:p>
    <w:p>
      <w:pPr>
        <w:spacing w:line="4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251.51</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84.04</w:t>
      </w:r>
      <w:r>
        <w:rPr>
          <w:rFonts w:hint="eastAsia" w:ascii="仿宋" w:hAnsi="仿宋" w:eastAsia="仿宋"/>
          <w:color w:val="000000"/>
          <w:sz w:val="32"/>
          <w:szCs w:val="32"/>
        </w:rPr>
        <w:t>万元、津贴补贴</w:t>
      </w:r>
      <w:r>
        <w:rPr>
          <w:rFonts w:hint="eastAsia" w:ascii="仿宋" w:hAnsi="仿宋" w:eastAsia="仿宋"/>
          <w:color w:val="000000"/>
          <w:sz w:val="32"/>
          <w:szCs w:val="32"/>
          <w:lang w:val="en-US" w:eastAsia="zh-CN"/>
        </w:rPr>
        <w:t>11.95</w:t>
      </w:r>
      <w:r>
        <w:rPr>
          <w:rFonts w:hint="eastAsia" w:ascii="仿宋" w:hAnsi="仿宋" w:eastAsia="仿宋"/>
          <w:color w:val="000000"/>
          <w:sz w:val="32"/>
          <w:szCs w:val="32"/>
        </w:rPr>
        <w:t>万元、奖金</w:t>
      </w:r>
      <w:r>
        <w:rPr>
          <w:rFonts w:hint="eastAsia" w:ascii="仿宋" w:hAnsi="仿宋" w:eastAsia="仿宋"/>
          <w:color w:val="000000"/>
          <w:sz w:val="32"/>
          <w:szCs w:val="32"/>
          <w:lang w:val="en-US" w:eastAsia="zh-CN"/>
        </w:rPr>
        <w:t>41.16</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45.61</w:t>
      </w:r>
      <w:r>
        <w:rPr>
          <w:rFonts w:hint="eastAsia" w:ascii="仿宋" w:hAnsi="仿宋" w:eastAsia="仿宋"/>
          <w:color w:val="000000"/>
          <w:sz w:val="32"/>
          <w:szCs w:val="32"/>
        </w:rPr>
        <w:t>万元、机关事业单位基本养老保险缴费</w:t>
      </w:r>
      <w:r>
        <w:rPr>
          <w:rFonts w:hint="eastAsia" w:ascii="仿宋" w:hAnsi="仿宋" w:eastAsia="仿宋"/>
          <w:color w:val="000000"/>
          <w:sz w:val="32"/>
          <w:szCs w:val="32"/>
          <w:lang w:val="en-US" w:eastAsia="zh-CN"/>
        </w:rPr>
        <w:t>19.22</w:t>
      </w:r>
      <w:r>
        <w:rPr>
          <w:rFonts w:hint="eastAsia" w:ascii="仿宋" w:hAnsi="仿宋" w:eastAsia="仿宋"/>
          <w:color w:val="000000"/>
          <w:sz w:val="32"/>
          <w:szCs w:val="32"/>
        </w:rPr>
        <w:t>万元、职工基本医疗保险缴费</w:t>
      </w:r>
      <w:r>
        <w:rPr>
          <w:rFonts w:hint="eastAsia" w:ascii="仿宋" w:hAnsi="仿宋" w:eastAsia="仿宋"/>
          <w:color w:val="000000"/>
          <w:sz w:val="32"/>
          <w:szCs w:val="32"/>
          <w:lang w:val="en-US" w:eastAsia="zh-CN"/>
        </w:rPr>
        <w:t>9.61</w:t>
      </w:r>
      <w:r>
        <w:rPr>
          <w:rFonts w:hint="eastAsia" w:ascii="仿宋" w:hAnsi="仿宋" w:eastAsia="仿宋"/>
          <w:color w:val="000000"/>
          <w:sz w:val="32"/>
          <w:szCs w:val="32"/>
        </w:rPr>
        <w:t>万元、其他社会保障缴费</w:t>
      </w:r>
      <w:r>
        <w:rPr>
          <w:rFonts w:hint="eastAsia" w:ascii="仿宋" w:hAnsi="仿宋" w:eastAsia="仿宋"/>
          <w:color w:val="000000"/>
          <w:sz w:val="32"/>
          <w:szCs w:val="32"/>
          <w:lang w:val="en-US" w:eastAsia="zh-CN"/>
        </w:rPr>
        <w:t>1.32</w:t>
      </w:r>
      <w:r>
        <w:rPr>
          <w:rFonts w:hint="eastAsia" w:ascii="仿宋" w:hAnsi="仿宋" w:eastAsia="仿宋"/>
          <w:color w:val="000000"/>
          <w:sz w:val="32"/>
          <w:szCs w:val="32"/>
        </w:rPr>
        <w:t>万元、生活补助</w:t>
      </w:r>
      <w:r>
        <w:rPr>
          <w:rFonts w:hint="eastAsia" w:ascii="仿宋" w:hAnsi="仿宋" w:eastAsia="仿宋"/>
          <w:color w:val="000000"/>
          <w:sz w:val="32"/>
          <w:szCs w:val="32"/>
          <w:lang w:val="en-US" w:eastAsia="zh-CN"/>
        </w:rPr>
        <w:t>23.86</w:t>
      </w:r>
      <w:r>
        <w:rPr>
          <w:rFonts w:hint="eastAsia" w:ascii="仿宋" w:hAnsi="仿宋" w:eastAsia="仿宋"/>
          <w:color w:val="000000"/>
          <w:sz w:val="32"/>
          <w:szCs w:val="32"/>
        </w:rPr>
        <w:t>万元、住房公积金</w:t>
      </w:r>
      <w:r>
        <w:rPr>
          <w:rFonts w:hint="eastAsia" w:ascii="仿宋" w:hAnsi="仿宋" w:eastAsia="仿宋"/>
          <w:color w:val="000000"/>
          <w:sz w:val="32"/>
          <w:szCs w:val="32"/>
          <w:lang w:val="en-US" w:eastAsia="zh-CN"/>
        </w:rPr>
        <w:t>14.42</w:t>
      </w:r>
      <w:r>
        <w:rPr>
          <w:rFonts w:hint="eastAsia" w:ascii="仿宋" w:hAnsi="仿宋" w:eastAsia="仿宋"/>
          <w:color w:val="000000"/>
          <w:sz w:val="32"/>
          <w:szCs w:val="32"/>
        </w:rPr>
        <w:t>万元、其他对个人和家庭的补助支出</w:t>
      </w:r>
      <w:r>
        <w:rPr>
          <w:rFonts w:hint="eastAsia" w:ascii="仿宋" w:hAnsi="仿宋" w:eastAsia="仿宋"/>
          <w:color w:val="000000"/>
          <w:sz w:val="32"/>
          <w:szCs w:val="32"/>
          <w:lang w:val="en-US" w:eastAsia="zh-CN"/>
        </w:rPr>
        <w:t>0.31</w:t>
      </w:r>
      <w:r>
        <w:rPr>
          <w:rFonts w:hint="eastAsia" w:ascii="仿宋" w:hAnsi="仿宋" w:eastAsia="仿宋"/>
          <w:color w:val="000000"/>
          <w:sz w:val="32"/>
          <w:szCs w:val="32"/>
        </w:rPr>
        <w:t>万元。</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12.43</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0.54</w:t>
      </w:r>
      <w:r>
        <w:rPr>
          <w:rFonts w:hint="eastAsia" w:ascii="仿宋" w:hAnsi="仿宋" w:eastAsia="仿宋"/>
          <w:color w:val="000000"/>
          <w:sz w:val="32"/>
          <w:szCs w:val="32"/>
        </w:rPr>
        <w:t>万元、印刷费</w:t>
      </w:r>
      <w:r>
        <w:rPr>
          <w:rFonts w:hint="eastAsia" w:ascii="仿宋" w:hAnsi="仿宋" w:eastAsia="仿宋"/>
          <w:color w:val="000000"/>
          <w:sz w:val="32"/>
          <w:szCs w:val="32"/>
          <w:lang w:val="en-US" w:eastAsia="zh-CN"/>
        </w:rPr>
        <w:t>0.37</w:t>
      </w:r>
      <w:r>
        <w:rPr>
          <w:rFonts w:hint="eastAsia" w:ascii="仿宋" w:hAnsi="仿宋" w:eastAsia="仿宋"/>
          <w:color w:val="000000"/>
          <w:sz w:val="32"/>
          <w:szCs w:val="32"/>
        </w:rPr>
        <w:t>万元、水费</w:t>
      </w:r>
      <w:r>
        <w:rPr>
          <w:rFonts w:hint="eastAsia" w:ascii="仿宋" w:hAnsi="仿宋" w:eastAsia="仿宋"/>
          <w:color w:val="000000"/>
          <w:sz w:val="32"/>
          <w:szCs w:val="32"/>
          <w:lang w:val="en-US" w:eastAsia="zh-CN"/>
        </w:rPr>
        <w:t>0.3</w:t>
      </w:r>
      <w:r>
        <w:rPr>
          <w:rFonts w:hint="eastAsia" w:ascii="仿宋" w:hAnsi="仿宋" w:eastAsia="仿宋"/>
          <w:color w:val="000000"/>
          <w:sz w:val="32"/>
          <w:szCs w:val="32"/>
        </w:rPr>
        <w:t>万元、电费</w:t>
      </w:r>
      <w:r>
        <w:rPr>
          <w:rFonts w:ascii="仿宋" w:hAnsi="仿宋" w:eastAsia="仿宋"/>
          <w:color w:val="000000"/>
          <w:sz w:val="32"/>
          <w:szCs w:val="32"/>
        </w:rPr>
        <w:t>0.</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万元、邮电费</w:t>
      </w:r>
      <w:r>
        <w:rPr>
          <w:rFonts w:ascii="仿宋" w:hAnsi="仿宋" w:eastAsia="仿宋"/>
          <w:color w:val="000000"/>
          <w:sz w:val="32"/>
          <w:szCs w:val="32"/>
        </w:rPr>
        <w:t>0.</w:t>
      </w:r>
      <w:r>
        <w:rPr>
          <w:rFonts w:hint="eastAsia" w:ascii="仿宋" w:hAnsi="仿宋" w:eastAsia="仿宋"/>
          <w:color w:val="000000"/>
          <w:sz w:val="32"/>
          <w:szCs w:val="32"/>
          <w:lang w:val="en-US" w:eastAsia="zh-CN"/>
        </w:rPr>
        <w:t>27</w:t>
      </w:r>
      <w:r>
        <w:rPr>
          <w:rFonts w:hint="eastAsia" w:ascii="仿宋" w:hAnsi="仿宋" w:eastAsia="仿宋"/>
          <w:color w:val="000000"/>
          <w:sz w:val="32"/>
          <w:szCs w:val="32"/>
        </w:rPr>
        <w:t>万元、差旅费</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万元、维修（护）费</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万元、培训费</w:t>
      </w:r>
      <w:r>
        <w:rPr>
          <w:rFonts w:hint="eastAsia" w:ascii="仿宋" w:hAnsi="仿宋" w:eastAsia="仿宋"/>
          <w:color w:val="000000"/>
          <w:sz w:val="32"/>
          <w:szCs w:val="32"/>
          <w:lang w:val="en-US" w:eastAsia="zh-CN"/>
        </w:rPr>
        <w:t>0.4</w:t>
      </w:r>
      <w:r>
        <w:rPr>
          <w:rFonts w:hint="eastAsia" w:ascii="仿宋" w:hAnsi="仿宋" w:eastAsia="仿宋"/>
          <w:color w:val="000000"/>
          <w:sz w:val="32"/>
          <w:szCs w:val="32"/>
        </w:rPr>
        <w:t>万元、公务接待费</w:t>
      </w:r>
      <w:r>
        <w:rPr>
          <w:rFonts w:hint="eastAsia" w:ascii="仿宋" w:hAnsi="仿宋" w:eastAsia="仿宋"/>
          <w:color w:val="000000"/>
          <w:sz w:val="32"/>
          <w:szCs w:val="32"/>
          <w:lang w:val="en-US" w:eastAsia="zh-CN"/>
        </w:rPr>
        <w:t>0.38</w:t>
      </w:r>
      <w:r>
        <w:rPr>
          <w:rFonts w:hint="eastAsia" w:ascii="仿宋" w:hAnsi="仿宋" w:eastAsia="仿宋"/>
          <w:color w:val="000000"/>
          <w:sz w:val="32"/>
          <w:szCs w:val="32"/>
        </w:rPr>
        <w:t>、工会经费</w:t>
      </w:r>
      <w:r>
        <w:rPr>
          <w:rFonts w:hint="eastAsia" w:ascii="仿宋" w:hAnsi="仿宋" w:eastAsia="仿宋"/>
          <w:color w:val="000000"/>
          <w:sz w:val="32"/>
          <w:szCs w:val="32"/>
          <w:lang w:val="en-US" w:eastAsia="zh-CN"/>
        </w:rPr>
        <w:t>0.81</w:t>
      </w:r>
      <w:r>
        <w:rPr>
          <w:rFonts w:hint="eastAsia" w:ascii="仿宋" w:hAnsi="仿宋" w:eastAsia="仿宋"/>
          <w:color w:val="000000"/>
          <w:sz w:val="32"/>
          <w:szCs w:val="32"/>
        </w:rPr>
        <w:t>万元、福利费</w:t>
      </w:r>
      <w:r>
        <w:rPr>
          <w:rFonts w:ascii="仿宋" w:hAnsi="仿宋" w:eastAsia="仿宋"/>
          <w:color w:val="000000"/>
          <w:sz w:val="32"/>
          <w:szCs w:val="32"/>
        </w:rPr>
        <w:t>1.34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其他商品和服务支出3.23万元</w:t>
      </w:r>
      <w:r>
        <w:rPr>
          <w:rFonts w:hint="eastAsia" w:ascii="仿宋" w:hAnsi="仿宋" w:eastAsia="仿宋"/>
          <w:color w:val="000000"/>
          <w:sz w:val="32"/>
          <w:szCs w:val="32"/>
        </w:rPr>
        <w:t>。</w:t>
      </w:r>
    </w:p>
    <w:p>
      <w:pPr>
        <w:spacing w:line="400" w:lineRule="exact"/>
        <w:ind w:firstLine="640"/>
        <w:outlineLvl w:val="1"/>
        <w:rPr>
          <w:rStyle w:val="17"/>
          <w:rFonts w:ascii="黑体" w:hAnsi="黑体" w:eastAsia="黑体"/>
          <w:b w:val="0"/>
        </w:rPr>
      </w:pPr>
      <w:bookmarkStart w:id="42" w:name="_Toc15377215"/>
      <w:bookmarkStart w:id="43" w:name="_Toc15396609"/>
      <w:r>
        <w:rPr>
          <w:rFonts w:hint="eastAsia" w:ascii="黑体" w:eastAsia="黑体"/>
          <w:sz w:val="32"/>
          <w:szCs w:val="32"/>
        </w:rPr>
        <w:t>七、</w:t>
      </w:r>
      <w:r>
        <w:rPr>
          <w:rStyle w:val="17"/>
          <w:rFonts w:hint="eastAsia" w:ascii="黑体" w:hAnsi="黑体" w:eastAsia="黑体"/>
          <w:b w:val="0"/>
        </w:rPr>
        <w:t>财政拨款</w:t>
      </w:r>
      <w:r>
        <w:rPr>
          <w:rStyle w:val="17"/>
          <w:rFonts w:hint="eastAsia" w:ascii="黑体" w:hAnsi="黑体" w:eastAsia="黑体"/>
        </w:rPr>
        <w:t>“</w:t>
      </w:r>
      <w:r>
        <w:rPr>
          <w:rStyle w:val="17"/>
          <w:rFonts w:hint="eastAsia" w:ascii="黑体" w:hAnsi="黑体" w:eastAsia="黑体"/>
          <w:b w:val="0"/>
        </w:rPr>
        <w:t>三公”经费支出决算情况说明</w:t>
      </w:r>
      <w:bookmarkEnd w:id="42"/>
      <w:bookmarkEnd w:id="43"/>
    </w:p>
    <w:p>
      <w:pPr>
        <w:spacing w:line="4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4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年“三公”经费财政拨款支出决算为0</w:t>
      </w:r>
      <w:r>
        <w:rPr>
          <w:rFonts w:hint="eastAsia" w:ascii="仿宋" w:hAnsi="仿宋" w:eastAsia="仿宋"/>
          <w:color w:val="000000"/>
          <w:sz w:val="32"/>
          <w:szCs w:val="32"/>
          <w:lang w:val="en-US" w:eastAsia="zh-CN"/>
        </w:rPr>
        <w:t>.38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_GB2312" w:eastAsia="仿宋_GB2312"/>
          <w:color w:val="000000"/>
          <w:sz w:val="32"/>
          <w:szCs w:val="32"/>
        </w:rPr>
        <w:t>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主要原因为预算调整</w:t>
      </w:r>
      <w:r>
        <w:rPr>
          <w:rFonts w:hint="eastAsia" w:ascii="仿宋" w:hAnsi="仿宋" w:eastAsia="仿宋"/>
          <w:color w:val="000000"/>
          <w:sz w:val="32"/>
          <w:szCs w:val="32"/>
        </w:rPr>
        <w:t>。</w:t>
      </w:r>
    </w:p>
    <w:p>
      <w:pPr>
        <w:spacing w:line="4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4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w:t>
      </w:r>
      <w:r>
        <w:rPr>
          <w:rFonts w:hint="eastAsia" w:ascii="仿宋" w:hAnsi="仿宋" w:eastAsia="仿宋"/>
          <w:color w:val="000000"/>
          <w:sz w:val="32"/>
          <w:szCs w:val="32"/>
          <w:lang w:val="en-US" w:eastAsia="zh-CN"/>
        </w:rPr>
        <w:t>.38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pStyle w:val="2"/>
        <w:rPr>
          <w:rFonts w:hint="eastAsia" w:eastAsia="仿宋"/>
          <w:lang w:eastAsia="zh-CN"/>
        </w:rPr>
      </w:pPr>
      <w:r>
        <w:rPr>
          <w:rFonts w:hint="eastAsia" w:eastAsia="仿宋"/>
          <w:lang w:eastAsia="zh-CN"/>
        </w:rPr>
        <w:drawing>
          <wp:inline distT="0" distB="0" distL="114300" distR="114300">
            <wp:extent cx="5271770" cy="3710305"/>
            <wp:effectExtent l="0" t="0" r="1270" b="8255"/>
            <wp:docPr id="1" name="图片 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
                    <pic:cNvPicPr>
                      <a:picLocks noChangeAspect="1"/>
                    </pic:cNvPicPr>
                  </pic:nvPicPr>
                  <pic:blipFill>
                    <a:blip r:embed="rId12"/>
                    <a:stretch>
                      <a:fillRect/>
                    </a:stretch>
                  </pic:blipFill>
                  <pic:spPr>
                    <a:xfrm>
                      <a:off x="0" y="0"/>
                      <a:ext cx="5271770" cy="3710305"/>
                    </a:xfrm>
                    <a:prstGeom prst="rect">
                      <a:avLst/>
                    </a:prstGeom>
                  </pic:spPr>
                </pic:pic>
              </a:graphicData>
            </a:graphic>
          </wp:inline>
        </w:drawing>
      </w:r>
    </w:p>
    <w:p>
      <w:pPr>
        <w:spacing w:line="400" w:lineRule="exact"/>
        <w:ind w:firstLine="640"/>
        <w:rPr>
          <w:rFonts w:hint="eastAsia"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w:t>
      </w:r>
      <w:r>
        <w:rPr>
          <w:rFonts w:hint="eastAsia" w:ascii="仿宋_GB2312" w:eastAsia="仿宋_GB2312"/>
          <w:color w:val="000000"/>
          <w:sz w:val="32"/>
          <w:szCs w:val="32"/>
          <w:lang w:eastAsia="zh-CN"/>
        </w:rPr>
        <w:t>与2021</w:t>
      </w:r>
      <w:r>
        <w:rPr>
          <w:rFonts w:hint="eastAsia" w:ascii="仿宋_GB2312" w:eastAsia="仿宋_GB2312"/>
          <w:color w:val="000000"/>
          <w:sz w:val="32"/>
          <w:szCs w:val="32"/>
        </w:rPr>
        <w:t>年持平，主要原因是无因公出国（境）安排。</w:t>
      </w:r>
    </w:p>
    <w:p>
      <w:pPr>
        <w:spacing w:line="4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hint="eastAsia" w:ascii="仿宋_GB2312" w:eastAsia="仿宋_GB2312"/>
          <w:color w:val="000000"/>
          <w:sz w:val="32"/>
          <w:szCs w:val="32"/>
          <w:lang w:eastAsia="zh-CN"/>
        </w:rPr>
        <w:t>，</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与2021年持平，主要原因是</w:t>
      </w:r>
      <w:r>
        <w:rPr>
          <w:rStyle w:val="14"/>
          <w:rFonts w:hint="eastAsia" w:ascii="仿宋" w:hAnsi="仿宋" w:eastAsia="仿宋" w:cs="仿宋"/>
          <w:b w:val="0"/>
          <w:color w:val="000000"/>
          <w:sz w:val="32"/>
          <w:szCs w:val="32"/>
        </w:rPr>
        <w:t>没有</w:t>
      </w:r>
      <w:r>
        <w:rPr>
          <w:rFonts w:hint="eastAsia" w:ascii="仿宋_GB2312" w:eastAsia="仿宋_GB2312" w:cs="仿宋_GB2312"/>
          <w:color w:val="000000"/>
          <w:sz w:val="32"/>
          <w:szCs w:val="32"/>
        </w:rPr>
        <w:t>公务用车</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不存在</w:t>
      </w:r>
      <w:r>
        <w:rPr>
          <w:rFonts w:hint="eastAsia" w:ascii="仿宋_GB2312" w:eastAsia="仿宋_GB2312" w:cs="仿宋_GB2312"/>
          <w:color w:val="000000"/>
          <w:sz w:val="32"/>
          <w:szCs w:val="32"/>
        </w:rPr>
        <w:t>购置及运行维护费支出。</w:t>
      </w:r>
    </w:p>
    <w:p>
      <w:pPr>
        <w:spacing w:line="4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其中：</w:t>
      </w:r>
    </w:p>
    <w:p>
      <w:pPr>
        <w:spacing w:line="40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w:t>
      </w:r>
    </w:p>
    <w:p>
      <w:pPr>
        <w:spacing w:line="40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numPr>
          <w:ilvl w:val="0"/>
          <w:numId w:val="2"/>
        </w:numPr>
        <w:spacing w:line="400" w:lineRule="exact"/>
        <w:ind w:firstLine="640"/>
        <w:rPr>
          <w:rFonts w:hint="eastAsia" w:ascii="仿宋" w:hAnsi="仿宋" w:eastAsia="仿宋"/>
          <w:color w:val="000000"/>
          <w:sz w:val="32"/>
          <w:szCs w:val="32"/>
        </w:rPr>
      </w:pPr>
      <w:r>
        <w:rPr>
          <w:rFonts w:hint="eastAsia" w:ascii="仿宋_GB2312" w:eastAsia="仿宋_GB2312"/>
          <w:b/>
          <w:color w:val="000000"/>
          <w:sz w:val="32"/>
          <w:szCs w:val="32"/>
        </w:rPr>
        <w:t>公务接待费支出</w:t>
      </w:r>
      <w:r>
        <w:rPr>
          <w:rFonts w:hint="eastAsia" w:ascii="仿宋" w:hAnsi="仿宋" w:eastAsia="仿宋"/>
          <w:sz w:val="32"/>
          <w:szCs w:val="32"/>
          <w:lang w:val="en-US" w:eastAsia="zh-CN"/>
        </w:rPr>
        <w:t>0.38</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2021年</w:t>
      </w:r>
      <w:r>
        <w:rPr>
          <w:rFonts w:hint="eastAsia" w:ascii="仿宋_GB2312" w:eastAsia="仿宋_GB2312"/>
          <w:color w:val="000000"/>
          <w:sz w:val="32"/>
          <w:szCs w:val="32"/>
          <w:lang w:val="en-US" w:eastAsia="zh-CN"/>
        </w:rPr>
        <w:t>减少0.1</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主要原因为预算调整</w:t>
      </w:r>
      <w:r>
        <w:rPr>
          <w:rFonts w:hint="eastAsia" w:ascii="仿宋" w:hAnsi="仿宋" w:eastAsia="仿宋"/>
          <w:color w:val="000000"/>
          <w:sz w:val="32"/>
          <w:szCs w:val="32"/>
        </w:rPr>
        <w:t>。</w:t>
      </w:r>
    </w:p>
    <w:p>
      <w:pPr>
        <w:numPr>
          <w:ilvl w:val="0"/>
          <w:numId w:val="0"/>
        </w:numPr>
        <w:spacing w:line="4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其中：</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 w:hAnsi="仿宋" w:eastAsia="仿宋"/>
          <w:sz w:val="32"/>
          <w:szCs w:val="32"/>
        </w:rPr>
        <w:t>万元，主要用于开展业务活动开支的交通费、住宿费等。国内公务接待</w:t>
      </w:r>
      <w:r>
        <w:rPr>
          <w:rFonts w:hint="eastAsia" w:ascii="仿宋" w:hAnsi="仿宋" w:eastAsia="仿宋"/>
          <w:sz w:val="32"/>
          <w:szCs w:val="32"/>
          <w:lang w:val="en-US" w:eastAsia="zh-CN"/>
        </w:rPr>
        <w:t>21</w:t>
      </w:r>
      <w:r>
        <w:rPr>
          <w:rFonts w:hint="eastAsia" w:ascii="仿宋" w:hAnsi="仿宋" w:eastAsia="仿宋"/>
          <w:sz w:val="32"/>
          <w:szCs w:val="32"/>
        </w:rPr>
        <w:t>批次，</w:t>
      </w:r>
      <w:r>
        <w:rPr>
          <w:rFonts w:hint="eastAsia" w:ascii="仿宋" w:hAnsi="仿宋" w:eastAsia="仿宋"/>
          <w:sz w:val="32"/>
          <w:szCs w:val="32"/>
          <w:lang w:val="en-US" w:eastAsia="zh-CN"/>
        </w:rPr>
        <w:t>97</w:t>
      </w:r>
      <w:r>
        <w:rPr>
          <w:rFonts w:hint="eastAsia" w:ascii="仿宋" w:hAnsi="仿宋" w:eastAsia="仿宋"/>
          <w:sz w:val="32"/>
          <w:szCs w:val="32"/>
        </w:rPr>
        <w:t>人次（不包括陪同人员），共计支出</w:t>
      </w:r>
      <w:r>
        <w:rPr>
          <w:rFonts w:hint="eastAsia" w:ascii="仿宋" w:hAnsi="仿宋" w:eastAsia="仿宋"/>
          <w:sz w:val="32"/>
          <w:szCs w:val="32"/>
          <w:lang w:val="en-US" w:eastAsia="zh-CN"/>
        </w:rPr>
        <w:t>0.38</w:t>
      </w:r>
      <w:r>
        <w:rPr>
          <w:rFonts w:hint="eastAsia" w:ascii="仿宋" w:hAnsi="仿宋" w:eastAsia="仿宋"/>
          <w:sz w:val="32"/>
          <w:szCs w:val="32"/>
        </w:rPr>
        <w:t>万元，具体内容包括：</w:t>
      </w:r>
      <w:r>
        <w:rPr>
          <w:rFonts w:hint="eastAsia" w:ascii="仿宋" w:hAnsi="仿宋" w:eastAsia="仿宋"/>
          <w:color w:val="000000" w:themeColor="text1"/>
          <w:sz w:val="32"/>
          <w:szCs w:val="32"/>
          <w14:textFill>
            <w14:solidFill>
              <w14:schemeClr w14:val="tx1"/>
            </w14:solidFill>
          </w14:textFill>
        </w:rPr>
        <w:t>上级督导</w:t>
      </w:r>
      <w:r>
        <w:rPr>
          <w:rFonts w:hint="eastAsia" w:ascii="仿宋" w:hAnsi="仿宋" w:eastAsia="仿宋"/>
          <w:color w:val="000000" w:themeColor="text1"/>
          <w:sz w:val="32"/>
          <w:szCs w:val="32"/>
          <w:lang w:val="en-US" w:eastAsia="zh-CN"/>
          <w14:textFill>
            <w14:solidFill>
              <w14:schemeClr w14:val="tx1"/>
            </w14:solidFill>
          </w14:textFill>
        </w:rPr>
        <w:t>督查</w:t>
      </w:r>
      <w:r>
        <w:rPr>
          <w:rFonts w:hint="eastAsia" w:ascii="仿宋" w:hAnsi="仿宋" w:eastAsia="仿宋"/>
          <w:color w:val="000000" w:themeColor="text1"/>
          <w:sz w:val="32"/>
          <w:szCs w:val="32"/>
          <w14:textFill>
            <w14:solidFill>
              <w14:schemeClr w14:val="tx1"/>
            </w14:solidFill>
          </w14:textFill>
        </w:rPr>
        <w:t>公务接待支出</w:t>
      </w:r>
      <w:r>
        <w:rPr>
          <w:rFonts w:hint="eastAsia" w:ascii="仿宋" w:hAnsi="仿宋" w:eastAsia="仿宋"/>
          <w:color w:val="000000" w:themeColor="text1"/>
          <w:sz w:val="32"/>
          <w:szCs w:val="32"/>
          <w:lang w:val="en-US" w:eastAsia="zh-CN"/>
          <w14:textFill>
            <w14:solidFill>
              <w14:schemeClr w14:val="tx1"/>
            </w14:solidFill>
          </w14:textFill>
        </w:rPr>
        <w:t>0.2</w:t>
      </w:r>
      <w:r>
        <w:rPr>
          <w:rFonts w:hint="eastAsia" w:ascii="仿宋" w:hAnsi="仿宋" w:eastAsia="仿宋"/>
          <w:color w:val="000000" w:themeColor="text1"/>
          <w:sz w:val="32"/>
          <w:szCs w:val="32"/>
          <w14:textFill>
            <w14:solidFill>
              <w14:schemeClr w14:val="tx1"/>
            </w14:solidFill>
          </w14:textFill>
        </w:rPr>
        <w:t>万元、工作检查调研支出</w:t>
      </w:r>
      <w:r>
        <w:rPr>
          <w:rFonts w:hint="eastAsia" w:ascii="仿宋" w:hAnsi="仿宋" w:eastAsia="仿宋"/>
          <w:color w:val="000000" w:themeColor="text1"/>
          <w:sz w:val="32"/>
          <w:szCs w:val="32"/>
          <w:lang w:val="en-US" w:eastAsia="zh-CN"/>
          <w14:textFill>
            <w14:solidFill>
              <w14:schemeClr w14:val="tx1"/>
            </w14:solidFill>
          </w14:textFill>
        </w:rPr>
        <w:t>0.18</w:t>
      </w:r>
      <w:r>
        <w:rPr>
          <w:rFonts w:hint="eastAsia" w:ascii="仿宋" w:hAnsi="仿宋" w:eastAsia="仿宋"/>
          <w:color w:val="000000" w:themeColor="text1"/>
          <w:sz w:val="32"/>
          <w:szCs w:val="32"/>
          <w14:textFill>
            <w14:solidFill>
              <w14:schemeClr w14:val="tx1"/>
            </w14:solidFill>
          </w14:textFill>
        </w:rPr>
        <w:t>万元。</w:t>
      </w:r>
    </w:p>
    <w:p>
      <w:pPr>
        <w:pStyle w:val="2"/>
        <w:rPr>
          <w:rFonts w:hint="default" w:eastAsia="仿宋"/>
          <w:lang w:val="en-US" w:eastAsia="zh-CN"/>
        </w:rPr>
      </w:pP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b/>
          <w:sz w:val="32"/>
          <w:szCs w:val="32"/>
        </w:rPr>
        <w:t>外事接待支出</w:t>
      </w:r>
      <w:r>
        <w:rPr>
          <w:rFonts w:hint="eastAsia" w:ascii="仿宋" w:hAnsi="仿宋" w:eastAsia="仿宋"/>
          <w:sz w:val="32"/>
          <w:szCs w:val="32"/>
        </w:rPr>
        <w:t>0万元，外事接待0批次，0人，共计支出0万元。</w:t>
      </w:r>
    </w:p>
    <w:p>
      <w:pPr>
        <w:spacing w:line="400" w:lineRule="exact"/>
        <w:ind w:firstLine="640"/>
        <w:outlineLvl w:val="1"/>
        <w:rPr>
          <w:rStyle w:val="17"/>
          <w:rFonts w:ascii="黑体" w:hAnsi="黑体" w:eastAsia="黑体"/>
        </w:rPr>
      </w:pPr>
      <w:bookmarkStart w:id="46" w:name="_Toc15377218"/>
      <w:bookmarkStart w:id="47" w:name="_Toc15396610"/>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6"/>
      <w:bookmarkEnd w:id="47"/>
    </w:p>
    <w:p>
      <w:pPr>
        <w:spacing w:line="4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年政府性基金预算拨款支出0万元。</w:t>
      </w:r>
    </w:p>
    <w:p>
      <w:pPr>
        <w:numPr>
          <w:ilvl w:val="0"/>
          <w:numId w:val="3"/>
        </w:numPr>
        <w:spacing w:line="400" w:lineRule="exact"/>
        <w:ind w:firstLine="640"/>
        <w:outlineLvl w:val="1"/>
        <w:rPr>
          <w:rStyle w:val="17"/>
          <w:rFonts w:ascii="黑体" w:hAnsi="黑体" w:eastAsia="黑体"/>
          <w:b w:val="0"/>
        </w:rPr>
      </w:pPr>
      <w:bookmarkStart w:id="48" w:name="_Toc15396611"/>
      <w:bookmarkStart w:id="49" w:name="_Toc15377219"/>
      <w:r>
        <w:rPr>
          <w:rStyle w:val="17"/>
          <w:rFonts w:hint="eastAsia" w:ascii="黑体" w:hAnsi="黑体" w:eastAsia="黑体"/>
          <w:b w:val="0"/>
        </w:rPr>
        <w:t>国有资本经营预算支出决算情况说明</w:t>
      </w:r>
      <w:bookmarkEnd w:id="48"/>
      <w:bookmarkEnd w:id="49"/>
    </w:p>
    <w:p>
      <w:pPr>
        <w:spacing w:line="4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年国有资本经营预算拨款支出0万元。</w:t>
      </w:r>
    </w:p>
    <w:p>
      <w:pPr>
        <w:spacing w:line="400" w:lineRule="exact"/>
        <w:ind w:firstLine="800" w:firstLineChars="250"/>
        <w:outlineLvl w:val="1"/>
        <w:rPr>
          <w:rStyle w:val="17"/>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17"/>
          <w:rFonts w:hint="eastAsia" w:ascii="黑体" w:hAnsi="黑体" w:eastAsia="黑体"/>
        </w:rPr>
        <w:t>、</w:t>
      </w:r>
      <w:r>
        <w:rPr>
          <w:rStyle w:val="17"/>
          <w:rFonts w:hint="eastAsia" w:ascii="黑体" w:hAnsi="黑体" w:eastAsia="黑体"/>
          <w:b w:val="0"/>
        </w:rPr>
        <w:t>其他重要事项的情况说明</w:t>
      </w:r>
      <w:bookmarkEnd w:id="50"/>
      <w:bookmarkEnd w:id="51"/>
    </w:p>
    <w:p>
      <w:pPr>
        <w:spacing w:line="4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4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年，剑阁县公店小学校机关运行经费支出0万元，与</w:t>
      </w: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决算数持平。</w:t>
      </w:r>
    </w:p>
    <w:p>
      <w:pPr>
        <w:autoSpaceDE w:val="0"/>
        <w:autoSpaceDN w:val="0"/>
        <w:adjustRightInd w:val="0"/>
        <w:spacing w:line="4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400" w:lineRule="exact"/>
        <w:ind w:firstLine="640" w:firstLineChars="200"/>
        <w:rPr>
          <w:rFonts w:ascii="仿宋" w:hAnsi="仿宋" w:eastAsia="仿宋"/>
          <w:b/>
          <w:color w:val="FF0000"/>
          <w:sz w:val="32"/>
          <w:szCs w:val="32"/>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年，剑阁县公店小学校政府采购支出总额0万元，其中：政府采购货物支出0万元、政府采购工程支出0万元、政府采购服务支出0万元。授予中小企业合同金额0万元，占政府采购支出总额的0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4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4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日，剑阁县公店小学校共有车辆0辆，其中：主要领导干部用车0辆、机要通信用车0辆、应急保障用车0辆、其他用车0辆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4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autoSpaceDE w:val="0"/>
        <w:autoSpaceDN w:val="0"/>
        <w:adjustRightInd w:val="0"/>
        <w:spacing w:line="400" w:lineRule="exact"/>
        <w:ind w:firstLine="640" w:firstLineChars="200"/>
        <w:jc w:val="left"/>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根据预算绩效管理要求，本单位在2022年度预算编制阶段，组织对</w:t>
      </w:r>
      <w:r>
        <w:rPr>
          <w:rFonts w:hint="eastAsia" w:ascii="仿宋_GB2312" w:hAnsi="仿宋_GB2312" w:eastAsia="仿宋_GB2312" w:cs="仿宋_GB2312"/>
          <w:sz w:val="32"/>
          <w:szCs w:val="32"/>
          <w:lang w:val="en-US" w:eastAsia="zh-CN"/>
        </w:rPr>
        <w:t>贫困寄宿（非寄宿）生生活补助 、幼儿保教费、免作业本费、食堂人员经费及学生营养改善计划</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个项目开展绩效监控，组织对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个项目开展绩效自评，绩效自评表详见第四部分附件。</w:t>
      </w:r>
    </w:p>
    <w:p>
      <w:pPr>
        <w:autoSpaceDE w:val="0"/>
        <w:autoSpaceDN w:val="0"/>
        <w:adjustRightInd w:val="0"/>
        <w:spacing w:line="400" w:lineRule="exact"/>
        <w:ind w:firstLine="640" w:firstLineChars="200"/>
        <w:jc w:val="left"/>
        <w:outlineLvl w:val="2"/>
        <w:rPr>
          <w:rFonts w:ascii="仿宋_GB2312" w:hAnsi="仿宋_GB2312" w:eastAsia="仿宋_GB2312" w:cs="仿宋_GB2312"/>
          <w:sz w:val="32"/>
          <w:szCs w:val="32"/>
        </w:rPr>
      </w:pPr>
    </w:p>
    <w:p>
      <w:pPr>
        <w:autoSpaceDE w:val="0"/>
        <w:autoSpaceDN w:val="0"/>
        <w:adjustRightInd w:val="0"/>
        <w:spacing w:line="400" w:lineRule="exact"/>
        <w:ind w:firstLine="640" w:firstLineChars="200"/>
        <w:jc w:val="left"/>
        <w:outlineLvl w:val="2"/>
        <w:rPr>
          <w:rFonts w:ascii="仿宋_GB2312" w:hAnsi="仿宋_GB2312" w:eastAsia="仿宋_GB2312" w:cs="仿宋_GB2312"/>
          <w:sz w:val="32"/>
          <w:szCs w:val="32"/>
        </w:rPr>
      </w:pPr>
    </w:p>
    <w:p>
      <w:pPr>
        <w:autoSpaceDE w:val="0"/>
        <w:autoSpaceDN w:val="0"/>
        <w:adjustRightInd w:val="0"/>
        <w:spacing w:line="600" w:lineRule="exact"/>
        <w:ind w:firstLine="640" w:firstLineChars="200"/>
        <w:jc w:val="left"/>
        <w:outlineLvl w:val="2"/>
        <w:rPr>
          <w:rFonts w:ascii="仿宋_GB2312" w:hAnsi="仿宋_GB2312" w:eastAsia="仿宋_GB2312" w:cs="仿宋_GB2312"/>
          <w:sz w:val="32"/>
          <w:szCs w:val="32"/>
        </w:rPr>
      </w:pPr>
    </w:p>
    <w:p>
      <w:pPr>
        <w:pStyle w:val="2"/>
      </w:pPr>
    </w:p>
    <w:p>
      <w:pPr>
        <w:numPr>
          <w:ilvl w:val="0"/>
          <w:numId w:val="4"/>
        </w:numPr>
        <w:spacing w:line="480" w:lineRule="exact"/>
        <w:ind w:firstLine="660" w:firstLineChars="150"/>
        <w:jc w:val="center"/>
        <w:outlineLvl w:val="0"/>
        <w:rPr>
          <w:rStyle w:val="16"/>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16"/>
          <w:rFonts w:hint="eastAsia" w:ascii="黑体" w:hAnsi="黑体" w:eastAsia="黑体"/>
          <w:b w:val="0"/>
        </w:rPr>
        <w:t>词解释</w:t>
      </w:r>
      <w:bookmarkEnd w:id="55"/>
      <w:bookmarkEnd w:id="56"/>
    </w:p>
    <w:p>
      <w:pPr>
        <w:spacing w:line="400" w:lineRule="exact"/>
        <w:jc w:val="left"/>
        <w:rPr>
          <w:rFonts w:ascii="宋体"/>
          <w:b/>
          <w:color w:val="000000"/>
          <w:sz w:val="44"/>
          <w:szCs w:val="44"/>
        </w:rPr>
      </w:pPr>
    </w:p>
    <w:p>
      <w:pPr>
        <w:pStyle w:val="27"/>
        <w:spacing w:line="400" w:lineRule="exact"/>
        <w:ind w:firstLine="640" w:firstLineChars="200"/>
        <w:rPr>
          <w:rFonts w:ascii="仿宋_GB2312" w:eastAsia="仿宋_GB2312" w:cs="Times New Roman"/>
          <w:sz w:val="32"/>
          <w:szCs w:val="32"/>
        </w:rPr>
      </w:pPr>
      <w:bookmarkStart w:id="57" w:name="_Toc15396614"/>
      <w:bookmarkStart w:id="58" w:name="_Toc15377226"/>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7"/>
        <w:spacing w:line="40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spacing w:line="40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w:t>
      </w:r>
      <w:r>
        <w:rPr>
          <w:rFonts w:ascii="仿宋_GB2312" w:eastAsia="仿宋_GB2312" w:cs="仿宋_GB2312"/>
          <w:color w:val="000000"/>
          <w:sz w:val="32"/>
          <w:szCs w:val="32"/>
        </w:rPr>
        <w:t>.</w:t>
      </w:r>
      <w:r>
        <w:rPr>
          <w:rFonts w:hint="eastAsia" w:ascii="仿宋_GB2312" w:eastAsia="仿宋_GB2312" w:cs="仿宋_GB2312"/>
          <w:color w:val="000000"/>
          <w:sz w:val="32"/>
          <w:szCs w:val="32"/>
        </w:rPr>
        <w:t>教育（类）普通教育（款）学前教育（项）：指本单位学前教育支出。</w:t>
      </w:r>
    </w:p>
    <w:p>
      <w:pPr>
        <w:spacing w:line="40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4.教育（类）普通教育（款）小学教育（项）：指本单位小学教育支出。</w:t>
      </w:r>
    </w:p>
    <w:p>
      <w:pPr>
        <w:spacing w:line="4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5.</w:t>
      </w:r>
      <w:r>
        <w:rPr>
          <w:rFonts w:hint="eastAsia" w:ascii="仿宋_GB2312" w:eastAsia="仿宋_GB2312" w:cs="仿宋_GB2312"/>
          <w:color w:val="000000"/>
          <w:sz w:val="32"/>
          <w:szCs w:val="32"/>
        </w:rPr>
        <w:t>社会保障和就业（类）行政事业单位离退休（款）机关事业单位基本养老保险缴费支出（项）：指</w:t>
      </w:r>
      <w:r>
        <w:rPr>
          <w:rFonts w:hint="eastAsia" w:ascii="仿宋_GB2312" w:eastAsia="仿宋_GB2312"/>
          <w:sz w:val="32"/>
          <w:szCs w:val="32"/>
        </w:rPr>
        <w:t>机关事业单位实施养老保险制度由单位缴纳的基本养老保险费的支出。</w:t>
      </w:r>
    </w:p>
    <w:p>
      <w:pPr>
        <w:spacing w:line="4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6.</w:t>
      </w:r>
      <w:r>
        <w:rPr>
          <w:rFonts w:hint="eastAsia" w:ascii="仿宋_GB2312" w:eastAsia="仿宋_GB2312" w:cs="仿宋_GB2312"/>
          <w:color w:val="000000"/>
          <w:sz w:val="32"/>
          <w:szCs w:val="32"/>
        </w:rPr>
        <w:t>医疗卫生与计划生育（类）行政事业单位医疗（款）事业单位医疗（项）：指</w:t>
      </w:r>
      <w:r>
        <w:rPr>
          <w:rFonts w:hint="eastAsia" w:ascii="仿宋_GB2312" w:eastAsia="仿宋_GB2312"/>
          <w:sz w:val="32"/>
          <w:szCs w:val="32"/>
        </w:rPr>
        <w:t>财政部门集中安排的行政单位基本医疗保险缴费经费，未参加医疗保险的行政单位的公费医疗经费，按国家规定享受离休人员、红军老战士待遇人员的医疗经费。</w:t>
      </w:r>
    </w:p>
    <w:p>
      <w:pPr>
        <w:spacing w:line="4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7</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住房保障（类）住房改革支出（款）住房公积金（项）：指</w:t>
      </w:r>
      <w:r>
        <w:rPr>
          <w:rFonts w:hint="eastAsia" w:ascii="仿宋_GB2312" w:eastAsia="仿宋_GB2312"/>
          <w:sz w:val="32"/>
          <w:szCs w:val="32"/>
        </w:rPr>
        <w:t>本单位按人力资源和社会保障部、财政部规定的基本工资和津贴补贴以及规定比例为职工缴纳的住房公积金</w:t>
      </w:r>
      <w:r>
        <w:rPr>
          <w:rFonts w:hint="eastAsia" w:ascii="仿宋_GB2312" w:eastAsia="仿宋_GB2312"/>
          <w:sz w:val="32"/>
          <w:szCs w:val="32"/>
          <w:lang w:eastAsia="zh-CN"/>
        </w:rPr>
        <w:t>。</w:t>
      </w:r>
    </w:p>
    <w:p>
      <w:pPr>
        <w:spacing w:line="4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8</w:t>
      </w:r>
      <w:r>
        <w:rPr>
          <w:rFonts w:ascii="仿宋_GB2312" w:eastAsia="仿宋_GB2312" w:cs="仿宋_GB2312"/>
          <w:color w:val="000000"/>
          <w:sz w:val="32"/>
          <w:szCs w:val="32"/>
        </w:rPr>
        <w:t>.</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40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9</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pStyle w:val="27"/>
        <w:spacing w:line="4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1</w:t>
      </w:r>
      <w:r>
        <w:rPr>
          <w:rFonts w:ascii="仿宋_GB2312" w:eastAsia="仿宋_GB2312" w:cs="仿宋_GB2312"/>
          <w:sz w:val="32"/>
          <w:szCs w:val="32"/>
        </w:rPr>
        <w:t>0.</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jc w:val="center"/>
        <w:rPr>
          <w:rFonts w:hint="eastAsia" w:ascii="黑体" w:hAnsi="黑体" w:eastAsia="黑体"/>
          <w:color w:val="000000"/>
          <w:sz w:val="44"/>
          <w:szCs w:val="44"/>
        </w:rPr>
      </w:pPr>
      <w:r>
        <w:rPr>
          <w:rFonts w:hint="eastAsia" w:ascii="黑体" w:hAnsi="黑体" w:eastAsia="黑体"/>
          <w:color w:val="000000"/>
          <w:sz w:val="44"/>
          <w:szCs w:val="44"/>
        </w:rPr>
        <w:br w:type="page"/>
      </w:r>
    </w:p>
    <w:p>
      <w:pPr>
        <w:jc w:val="center"/>
        <w:rPr>
          <w:rStyle w:val="16"/>
          <w:rFonts w:ascii="黑体" w:hAnsi="黑体" w:eastAsia="黑体"/>
          <w:b w:val="0"/>
        </w:rPr>
      </w:pPr>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57"/>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剑阁县公店小学校</w:t>
      </w:r>
    </w:p>
    <w:p>
      <w:pPr>
        <w:spacing w:line="600" w:lineRule="exact"/>
        <w:jc w:val="center"/>
        <w:rPr>
          <w:rFonts w:ascii="仿宋_GB2312" w:hAnsi="宋体" w:eastAsia="仿宋_GB2312"/>
          <w:sz w:val="32"/>
          <w:szCs w:val="32"/>
          <w:shd w:val="clear" w:color="auto" w:fill="FFFFFF"/>
        </w:rPr>
      </w:pPr>
      <w:r>
        <w:rPr>
          <w:rFonts w:hint="eastAsia" w:ascii="方正小标宋简体" w:hAnsi="宋体" w:eastAsia="方正小标宋简体"/>
          <w:color w:val="000000"/>
          <w:kern w:val="0"/>
          <w:sz w:val="40"/>
          <w:szCs w:val="44"/>
          <w:lang w:eastAsia="zh-CN"/>
        </w:rPr>
        <w:t>2022</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4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4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40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剑阁县公店小学校属于全额财政拨款一级预算事业单位，是一所农村义务教育寄宿制完全小学，</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年度执行政府会计制度。</w:t>
      </w:r>
    </w:p>
    <w:p>
      <w:pPr>
        <w:spacing w:line="400" w:lineRule="exact"/>
        <w:ind w:firstLine="800" w:firstLineChars="25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剑阁县公店小学校下属二级单位0个，其中行政单位0个，参照公务员法管理的事业单位0个，其他事业单位0个。</w:t>
      </w:r>
    </w:p>
    <w:p>
      <w:pPr>
        <w:widowControl/>
        <w:adjustRightInd w:val="0"/>
        <w:snapToGrid w:val="0"/>
        <w:spacing w:line="40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（二）机构职能。</w:t>
      </w:r>
    </w:p>
    <w:p>
      <w:pPr>
        <w:widowControl/>
        <w:adjustRightInd w:val="0"/>
        <w:snapToGrid w:val="0"/>
        <w:spacing w:line="40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本单位主要职能职责是实施小学义务教育，促进基础教育均衡发展。</w:t>
      </w:r>
    </w:p>
    <w:p>
      <w:pPr>
        <w:widowControl/>
        <w:adjustRightInd w:val="0"/>
        <w:snapToGrid w:val="0"/>
        <w:spacing w:line="40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（三）人员概况。</w:t>
      </w:r>
    </w:p>
    <w:p>
      <w:pPr>
        <w:widowControl/>
        <w:adjustRightInd w:val="0"/>
        <w:snapToGrid w:val="0"/>
        <w:spacing w:line="40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剑阁县公店小学校总编制</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人，其中行政编制0名，参公编制0名，管理岗编制1名，专业技术编制1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名，事业工勤编制0名。</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年末实有在职人员总数1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人，其中行政人员0人，参公人员0人，事业人员1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人，工勤人员0人；离休人员0人，退休</w:t>
      </w:r>
      <w:r>
        <w:rPr>
          <w:rFonts w:hint="eastAsia" w:ascii="仿宋_GB2312" w:hAnsi="仿宋_GB2312" w:eastAsia="仿宋_GB2312" w:cs="仿宋_GB2312"/>
          <w:sz w:val="32"/>
          <w:szCs w:val="32"/>
          <w:lang w:eastAsia="zh-CN"/>
        </w:rPr>
        <w:t>人员</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人。</w:t>
      </w:r>
    </w:p>
    <w:p>
      <w:pPr>
        <w:widowControl/>
        <w:adjustRightInd w:val="0"/>
        <w:snapToGrid w:val="0"/>
        <w:spacing w:line="4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40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p>
    <w:p>
      <w:pPr>
        <w:pStyle w:val="26"/>
        <w:spacing w:line="400" w:lineRule="exact"/>
        <w:ind w:firstLine="732" w:firstLineChars="229"/>
        <w:outlineLvl w:val="1"/>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eastAsia="zh-CN"/>
        </w:rPr>
        <w:t>263.95</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eastAsia="zh-CN"/>
        </w:rPr>
        <w:t>263.95</w:t>
      </w:r>
      <w:r>
        <w:rPr>
          <w:rFonts w:hint="eastAsia" w:ascii="仿宋_GB2312" w:hAnsi="仿宋_GB2312" w:eastAsia="仿宋_GB2312" w:cs="仿宋_GB2312"/>
          <w:sz w:val="32"/>
          <w:szCs w:val="32"/>
        </w:rPr>
        <w:t>万元，占1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上级补助收入0万元，占0%；经营收入0万元，占0%；附属单位上缴收入0万元，占0%；其他收入0万元，占0%。</w:t>
      </w:r>
    </w:p>
    <w:p>
      <w:pPr>
        <w:widowControl/>
        <w:adjustRightInd w:val="0"/>
        <w:snapToGrid w:val="0"/>
        <w:spacing w:line="40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（二）部门财政资金支出情况。</w:t>
      </w:r>
    </w:p>
    <w:p>
      <w:pPr>
        <w:widowControl/>
        <w:spacing w:line="400" w:lineRule="exact"/>
        <w:ind w:firstLine="60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263.95</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227.02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76.16</w:t>
      </w:r>
      <w:r>
        <w:rPr>
          <w:rFonts w:hint="eastAsia" w:ascii="仿宋_GB2312" w:hAnsi="仿宋_GB2312" w:eastAsia="仿宋_GB2312" w:cs="仿宋_GB2312"/>
          <w:sz w:val="32"/>
          <w:szCs w:val="32"/>
        </w:rPr>
        <w:t>%；商品服务支出</w:t>
      </w:r>
      <w:r>
        <w:rPr>
          <w:rFonts w:hint="eastAsia" w:ascii="仿宋_GB2312" w:hAnsi="仿宋_GB2312" w:eastAsia="仿宋_GB2312" w:cs="仿宋_GB2312"/>
          <w:sz w:val="32"/>
          <w:szCs w:val="32"/>
          <w:lang w:val="en-US" w:eastAsia="zh-CN"/>
        </w:rPr>
        <w:t>17.91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60.09</w:t>
      </w:r>
      <w:r>
        <w:rPr>
          <w:rFonts w:hint="eastAsia" w:ascii="仿宋_GB2312" w:hAnsi="仿宋_GB2312" w:eastAsia="仿宋_GB2312" w:cs="仿宋_GB2312"/>
          <w:sz w:val="32"/>
          <w:szCs w:val="32"/>
        </w:rPr>
        <w:t>%；对个人和家庭的补助支出</w:t>
      </w:r>
      <w:r>
        <w:rPr>
          <w:rFonts w:hint="eastAsia" w:ascii="仿宋_GB2312" w:hAnsi="仿宋_GB2312" w:eastAsia="仿宋_GB2312" w:cs="仿宋_GB2312"/>
          <w:sz w:val="32"/>
          <w:szCs w:val="32"/>
          <w:lang w:val="en-US" w:eastAsia="zh-CN"/>
        </w:rPr>
        <w:t>53.14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17.83</w:t>
      </w:r>
      <w:r>
        <w:rPr>
          <w:rFonts w:hint="eastAsia" w:ascii="仿宋_GB2312" w:hAnsi="仿宋_GB2312" w:eastAsia="仿宋_GB2312" w:cs="仿宋_GB2312"/>
          <w:sz w:val="32"/>
          <w:szCs w:val="32"/>
        </w:rPr>
        <w:t>%；项目支出0万元，占0%。</w:t>
      </w:r>
    </w:p>
    <w:p>
      <w:pPr>
        <w:widowControl/>
        <w:adjustRightInd w:val="0"/>
        <w:snapToGrid w:val="0"/>
        <w:spacing w:line="4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40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（一）部门预算管理。</w:t>
      </w:r>
    </w:p>
    <w:p>
      <w:pPr>
        <w:widowControl/>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我校在剑阁县人民政府、剑阁县财政局、剑阁县教育局的坚强领导下，</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年初就制定了绩效目标，经过一年的管理，我单位绩效目标实现比较理想，达到了年初设定的目标。在编制预算时，充分考虑的学校的具体情况，资金需求量，基本上符合学校的实际需要。根据上级要求，我们在支出是分上下半年，按计划按实际需求使用预算资金，会计核算也真实、准确。有部分没有纳入预算的资金，也及时在后期做了调整。单位上报的计划上级单位也及时进行了支付。各项支出严格按照各项制度进行，资金使用规范，无违规情况出现。</w:t>
      </w:r>
    </w:p>
    <w:p>
      <w:pPr>
        <w:widowControl/>
        <w:adjustRightInd w:val="0"/>
        <w:snapToGrid w:val="0"/>
        <w:spacing w:line="40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（二）结果应用情况。</w:t>
      </w:r>
    </w:p>
    <w:p>
      <w:pPr>
        <w:widowControl/>
        <w:adjustRightInd w:val="0"/>
        <w:snapToGrid w:val="0"/>
        <w:spacing w:line="400" w:lineRule="exact"/>
        <w:ind w:firstLine="640" w:firstLineChars="200"/>
        <w:contextualSpacing/>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学校严格执行国家的政策方针，严格遵守国家的财经纪律，做到支出有预算，票据规范，让资金发挥最大效益。做好绩效评价自评工作，并及时将评价结果向社会公示。</w:t>
      </w:r>
    </w:p>
    <w:p>
      <w:pPr>
        <w:widowControl/>
        <w:adjustRightInd w:val="0"/>
        <w:snapToGrid w:val="0"/>
        <w:spacing w:line="4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spacing w:line="400" w:lineRule="exac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（一）评价结论。</w:t>
      </w:r>
    </w:p>
    <w:p>
      <w:pPr>
        <w:widowControl/>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年，我单位严格按照年初预算批复认真组织实施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严格执行财经纪律相关管理规定，做到各项收支安排使用符合事业发展计划和财政政策的要求，全年基本支出保证了部门的正常运行和日常工作的正常开展，全年项目支出达到预期绩效目标。在资金使用和管理方面，进一步强化资金统筹，优化资金结构，明确开支范围，细化资金用途，确保单位职责任务顺利完成。资金收支管理及会计核算较规范，能够按照政府制度和财务管理办法进行核算。</w:t>
      </w:r>
    </w:p>
    <w:p>
      <w:pPr>
        <w:widowControl/>
        <w:adjustRightInd w:val="0"/>
        <w:snapToGrid w:val="0"/>
        <w:spacing w:line="40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综合</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年度财政预决算项目绩效评价情况，我单位通过绩效评价树立了绩效理念，加强了对资金的监管，提高了财政资金的使用效率。</w:t>
      </w:r>
    </w:p>
    <w:p>
      <w:pPr>
        <w:spacing w:line="400" w:lineRule="exact"/>
        <w:ind w:firstLine="640" w:firstLineChars="20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（二）存在问题。</w:t>
      </w:r>
    </w:p>
    <w:p>
      <w:pPr>
        <w:spacing w:line="4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1.部分资金支付进度滞后。 </w:t>
      </w:r>
    </w:p>
    <w:p>
      <w:pPr>
        <w:widowControl/>
        <w:adjustRightInd w:val="0"/>
        <w:snapToGrid w:val="0"/>
        <w:spacing w:line="40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sz w:val="32"/>
          <w:szCs w:val="32"/>
        </w:rPr>
        <w:t>2.对预算编制的预见性还需进一步加强。</w:t>
      </w:r>
    </w:p>
    <w:p>
      <w:pPr>
        <w:spacing w:line="400" w:lineRule="exact"/>
        <w:ind w:firstLine="640" w:firstLineChars="20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（三）改进建议。</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1、科学合理编制预算，严格执行预算。进一步提高预算编制到位率，做准做全基本支出预算，做全项目支出预算，加强预算支出的审核、跟踪及预算执行情况分析，提高预算编制严谨性和可控性。　</w:t>
      </w:r>
    </w:p>
    <w:p>
      <w:pPr>
        <w:widowControl/>
        <w:adjustRightInd w:val="0"/>
        <w:snapToGrid w:val="0"/>
        <w:spacing w:line="40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2、进一步加强项目资金管理。严格实行项目管理程序化，实现项目申报、实施、拨付、评价全流程监督与控制，规范专项资金管理，提高专项资金的使用效益。</w:t>
      </w:r>
    </w:p>
    <w:p>
      <w:pPr>
        <w:pStyle w:val="2"/>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附表：</w:t>
      </w:r>
    </w:p>
    <w:tbl>
      <w:tblPr>
        <w:tblStyle w:val="12"/>
        <w:tblW w:w="82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830"/>
        <w:gridCol w:w="859"/>
        <w:gridCol w:w="1231"/>
        <w:gridCol w:w="396"/>
        <w:gridCol w:w="686"/>
        <w:gridCol w:w="396"/>
        <w:gridCol w:w="846"/>
        <w:gridCol w:w="576"/>
        <w:gridCol w:w="396"/>
        <w:gridCol w:w="1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14"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3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17"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7.87</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7.87</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7.87</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7.87</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40.71</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40.71</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51082321R000000044136-工资性支出数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shd w:val="clear" w:color="auto" w:fill="auto"/>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11.24</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11.18</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84.57%</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11.24</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11.18</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84.57%</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162.38</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178.31</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177.54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99.57%</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162.38</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178.31</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177.54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99.57%</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74.53%</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74.53%</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80.12%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80.12%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51082322T000005305572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农村义务教育综合奖补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0.26</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72.35%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0.26</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72.35%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剑阁县公店小学校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8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3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8298"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8298"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8298"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8298"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rPr>
          <w:rFonts w:hint="eastAsia" w:ascii="黑体" w:hAnsi="黑体" w:eastAsia="黑体"/>
          <w:color w:val="000000"/>
          <w:sz w:val="44"/>
          <w:szCs w:val="44"/>
        </w:rPr>
      </w:pPr>
      <w:bookmarkStart w:id="59" w:name="_Toc15396618"/>
      <w:r>
        <w:rPr>
          <w:rFonts w:hint="eastAsia" w:ascii="黑体" w:hAnsi="黑体" w:eastAsia="黑体"/>
          <w:color w:val="000000"/>
          <w:sz w:val="44"/>
          <w:szCs w:val="44"/>
        </w:rPr>
        <w:br w:type="page"/>
      </w:r>
    </w:p>
    <w:bookmarkEnd w:id="58"/>
    <w:bookmarkEnd w:id="59"/>
    <w:p>
      <w:pPr>
        <w:spacing w:line="600" w:lineRule="exact"/>
        <w:jc w:val="center"/>
        <w:outlineLvl w:val="0"/>
        <w:rPr>
          <w:rFonts w:ascii="仿宋" w:hAnsi="仿宋" w:eastAsia="仿宋"/>
        </w:rPr>
      </w:pPr>
      <w:r>
        <w:rPr>
          <w:rFonts w:hint="eastAsia" w:ascii="黑体" w:hAnsi="黑体" w:eastAsia="黑体"/>
          <w:sz w:val="44"/>
          <w:szCs w:val="44"/>
        </w:rPr>
        <w:t>第</w:t>
      </w:r>
      <w:r>
        <w:rPr>
          <w:rStyle w:val="16"/>
          <w:rFonts w:hint="eastAsia" w:ascii="黑体" w:hAnsi="黑体" w:eastAsia="黑体"/>
          <w:b w:val="0"/>
        </w:rPr>
        <w:t>五部分 附表</w:t>
      </w:r>
      <w:bookmarkStart w:id="60" w:name="_Toc15396619"/>
    </w:p>
    <w:p>
      <w:pPr>
        <w:pStyle w:val="4"/>
        <w:rPr>
          <w:rFonts w:ascii="仿宋" w:hAnsi="仿宋" w:eastAsia="仿宋"/>
        </w:rPr>
      </w:pPr>
      <w:r>
        <w:rPr>
          <w:rFonts w:hint="eastAsia" w:ascii="仿宋" w:hAnsi="仿宋" w:eastAsia="仿宋"/>
          <w:b w:val="0"/>
        </w:rPr>
        <w:t>一、收</w:t>
      </w:r>
      <w:r>
        <w:rPr>
          <w:rStyle w:val="17"/>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17"/>
          <w:rFonts w:hint="eastAsia" w:ascii="仿宋" w:hAnsi="仿宋" w:eastAsia="仿宋"/>
          <w:b w:val="0"/>
          <w:bCs w:val="0"/>
        </w:rPr>
        <w:t>入决算表</w:t>
      </w:r>
      <w:bookmarkEnd w:id="61"/>
    </w:p>
    <w:p>
      <w:pPr>
        <w:pStyle w:val="4"/>
        <w:rPr>
          <w:rFonts w:ascii="仿宋" w:hAnsi="仿宋" w:eastAsia="仿宋"/>
        </w:rPr>
      </w:pPr>
      <w:bookmarkStart w:id="62" w:name="_Toc15396621"/>
      <w:r>
        <w:rPr>
          <w:rStyle w:val="17"/>
          <w:rFonts w:hint="eastAsia" w:ascii="仿宋" w:hAnsi="仿宋" w:eastAsia="仿宋"/>
          <w:b w:val="0"/>
          <w:bCs w:val="0"/>
        </w:rPr>
        <w:t>三、</w:t>
      </w:r>
      <w:r>
        <w:rPr>
          <w:rFonts w:hint="eastAsia" w:ascii="仿宋" w:hAnsi="仿宋" w:eastAsia="仿宋"/>
          <w:b w:val="0"/>
        </w:rPr>
        <w:t>支</w:t>
      </w:r>
      <w:r>
        <w:rPr>
          <w:rStyle w:val="17"/>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17"/>
          <w:rFonts w:hint="eastAsia" w:ascii="仿宋" w:hAnsi="仿宋" w:eastAsia="仿宋"/>
          <w:b w:val="0"/>
          <w:bCs w:val="0"/>
        </w:rPr>
        <w:t>四、</w:t>
      </w:r>
      <w:r>
        <w:rPr>
          <w:rFonts w:hint="eastAsia" w:ascii="仿宋" w:hAnsi="仿宋" w:eastAsia="仿宋"/>
          <w:b w:val="0"/>
        </w:rPr>
        <w:t>财</w:t>
      </w:r>
      <w:r>
        <w:rPr>
          <w:rStyle w:val="17"/>
          <w:rFonts w:hint="eastAsia" w:ascii="仿宋" w:hAnsi="仿宋" w:eastAsia="仿宋"/>
          <w:b w:val="0"/>
          <w:bCs w:val="0"/>
        </w:rPr>
        <w:t>政拨款收入支出决算总表</w:t>
      </w:r>
      <w:bookmarkEnd w:id="63"/>
    </w:p>
    <w:p>
      <w:pPr>
        <w:pStyle w:val="4"/>
        <w:rPr>
          <w:rStyle w:val="17"/>
          <w:rFonts w:ascii="仿宋" w:hAnsi="仿宋" w:eastAsia="仿宋"/>
          <w:b w:val="0"/>
          <w:bCs w:val="0"/>
        </w:rPr>
      </w:pPr>
      <w:bookmarkStart w:id="64" w:name="_Toc15396623"/>
      <w:r>
        <w:rPr>
          <w:rStyle w:val="17"/>
          <w:rFonts w:hint="eastAsia" w:ascii="仿宋" w:hAnsi="仿宋" w:eastAsia="仿宋"/>
          <w:b w:val="0"/>
          <w:bCs w:val="0"/>
        </w:rPr>
        <w:t>五、</w:t>
      </w:r>
      <w:r>
        <w:rPr>
          <w:rFonts w:hint="eastAsia" w:ascii="仿宋" w:hAnsi="仿宋" w:eastAsia="仿宋"/>
          <w:b w:val="0"/>
        </w:rPr>
        <w:t>财</w:t>
      </w:r>
      <w:r>
        <w:rPr>
          <w:rStyle w:val="17"/>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17"/>
          <w:rFonts w:hint="eastAsia" w:ascii="仿宋" w:hAnsi="仿宋" w:eastAsia="仿宋"/>
          <w:b w:val="0"/>
          <w:bCs w:val="0"/>
        </w:rPr>
        <w:t>六、</w:t>
      </w:r>
      <w:r>
        <w:rPr>
          <w:rFonts w:hint="eastAsia" w:ascii="仿宋" w:hAnsi="仿宋" w:eastAsia="仿宋"/>
          <w:b w:val="0"/>
        </w:rPr>
        <w:t>一</w:t>
      </w:r>
      <w:r>
        <w:rPr>
          <w:rStyle w:val="17"/>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17"/>
          <w:rFonts w:hint="eastAsia" w:ascii="仿宋" w:hAnsi="仿宋" w:eastAsia="仿宋"/>
          <w:b w:val="0"/>
          <w:bCs w:val="0"/>
        </w:rPr>
        <w:t>七、</w:t>
      </w:r>
      <w:r>
        <w:rPr>
          <w:rFonts w:hint="eastAsia" w:ascii="仿宋" w:hAnsi="仿宋" w:eastAsia="仿宋"/>
          <w:b w:val="0"/>
        </w:rPr>
        <w:t>一</w:t>
      </w:r>
      <w:r>
        <w:rPr>
          <w:rStyle w:val="17"/>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17"/>
          <w:rFonts w:hint="eastAsia" w:ascii="仿宋" w:hAnsi="仿宋" w:eastAsia="仿宋"/>
          <w:b w:val="0"/>
          <w:bCs w:val="0"/>
        </w:rPr>
        <w:t>八、</w:t>
      </w:r>
      <w:r>
        <w:rPr>
          <w:rFonts w:hint="eastAsia" w:ascii="仿宋" w:hAnsi="仿宋" w:eastAsia="仿宋"/>
          <w:b w:val="0"/>
        </w:rPr>
        <w:t>一</w:t>
      </w:r>
      <w:r>
        <w:rPr>
          <w:rStyle w:val="17"/>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17"/>
          <w:rFonts w:hint="eastAsia" w:ascii="仿宋" w:hAnsi="仿宋" w:eastAsia="仿宋"/>
          <w:b w:val="0"/>
          <w:bCs w:val="0"/>
        </w:rPr>
        <w:t>九、</w:t>
      </w:r>
      <w:r>
        <w:rPr>
          <w:rFonts w:hint="eastAsia" w:ascii="仿宋" w:hAnsi="仿宋" w:eastAsia="仿宋"/>
          <w:b w:val="0"/>
        </w:rPr>
        <w:t>一</w:t>
      </w:r>
      <w:r>
        <w:rPr>
          <w:rStyle w:val="17"/>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17"/>
          <w:rFonts w:hint="eastAsia" w:ascii="仿宋" w:hAnsi="仿宋" w:eastAsia="仿宋"/>
          <w:b w:val="0"/>
          <w:bCs w:val="0"/>
        </w:rPr>
        <w:t>十、</w:t>
      </w:r>
      <w:bookmarkEnd w:id="69"/>
      <w:r>
        <w:rPr>
          <w:rFonts w:hint="eastAsia" w:ascii="仿宋" w:hAnsi="仿宋" w:eastAsia="仿宋"/>
          <w:b w:val="0"/>
        </w:rPr>
        <w:t>政</w:t>
      </w:r>
      <w:r>
        <w:rPr>
          <w:rStyle w:val="17"/>
          <w:rFonts w:hint="eastAsia" w:ascii="仿宋" w:hAnsi="仿宋" w:eastAsia="仿宋"/>
          <w:b w:val="0"/>
          <w:bCs w:val="0"/>
        </w:rPr>
        <w:t>府性基金预算财政拨款收入支出决算表</w:t>
      </w:r>
    </w:p>
    <w:p>
      <w:pPr>
        <w:pStyle w:val="4"/>
        <w:rPr>
          <w:rFonts w:ascii="仿宋" w:hAnsi="仿宋" w:eastAsia="仿宋"/>
        </w:rPr>
      </w:pPr>
      <w:bookmarkStart w:id="70" w:name="_Toc15396629"/>
      <w:r>
        <w:rPr>
          <w:rStyle w:val="17"/>
          <w:rFonts w:hint="eastAsia" w:ascii="仿宋" w:hAnsi="仿宋" w:eastAsia="仿宋"/>
          <w:b w:val="0"/>
          <w:bCs w:val="0"/>
        </w:rPr>
        <w:t>十一、</w:t>
      </w:r>
      <w:bookmarkEnd w:id="70"/>
      <w:r>
        <w:rPr>
          <w:rFonts w:hint="eastAsia" w:ascii="仿宋" w:hAnsi="仿宋" w:eastAsia="仿宋"/>
          <w:b w:val="0"/>
        </w:rPr>
        <w:t>国</w:t>
      </w:r>
      <w:r>
        <w:rPr>
          <w:rStyle w:val="17"/>
          <w:rFonts w:hint="eastAsia" w:ascii="仿宋" w:hAnsi="仿宋" w:eastAsia="仿宋"/>
          <w:b w:val="0"/>
          <w:bCs w:val="0"/>
        </w:rPr>
        <w:t>有资本经营预算财政拨款收入支出决算表</w:t>
      </w:r>
    </w:p>
    <w:p>
      <w:pPr>
        <w:pStyle w:val="4"/>
        <w:rPr>
          <w:rFonts w:ascii="仿宋" w:hAnsi="仿宋" w:eastAsia="仿宋"/>
        </w:rPr>
      </w:pPr>
      <w:bookmarkStart w:id="71" w:name="_Toc15396630"/>
      <w:r>
        <w:rPr>
          <w:rStyle w:val="17"/>
          <w:rFonts w:hint="eastAsia" w:ascii="仿宋" w:hAnsi="仿宋" w:eastAsia="仿宋"/>
          <w:b w:val="0"/>
          <w:bCs w:val="0"/>
        </w:rPr>
        <w:t>十二、</w:t>
      </w:r>
      <w:bookmarkEnd w:id="71"/>
      <w:r>
        <w:rPr>
          <w:rStyle w:val="17"/>
          <w:rFonts w:hint="eastAsia" w:ascii="仿宋" w:hAnsi="仿宋" w:eastAsia="仿宋"/>
          <w:b w:val="0"/>
          <w:bCs w:val="0"/>
        </w:rPr>
        <w:t>国有资本经营预算财政拨款支出决算表</w:t>
      </w:r>
    </w:p>
    <w:p>
      <w:pPr>
        <w:pStyle w:val="4"/>
        <w:rPr>
          <w:rFonts w:eastAsia="仿宋"/>
        </w:rPr>
      </w:pPr>
      <w:bookmarkStart w:id="72" w:name="_Toc15396631"/>
      <w:r>
        <w:rPr>
          <w:rStyle w:val="17"/>
          <w:rFonts w:hint="eastAsia" w:ascii="仿宋" w:hAnsi="仿宋" w:eastAsia="仿宋"/>
          <w:b w:val="0"/>
          <w:bCs w:val="0"/>
        </w:rPr>
        <w:t>十三、</w:t>
      </w:r>
      <w:bookmarkEnd w:id="72"/>
      <w:r>
        <w:rPr>
          <w:rStyle w:val="17"/>
          <w:rFonts w:hint="eastAsia" w:ascii="仿宋" w:hAnsi="仿宋" w:eastAsia="仿宋"/>
          <w:b w:val="0"/>
          <w:bCs w:val="0"/>
        </w:rPr>
        <w:t>财政拨款“三公”经费支出决算表</w:t>
      </w:r>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8B123A-C7B2-48BC-B6A2-DBD32A7CB0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AC1CCF92-F091-44B1-971A-B67DD7C62E3B}"/>
  </w:font>
  <w:font w:name="仿宋_GB2312">
    <w:altName w:val="仿宋"/>
    <w:panose1 w:val="00000000000000000000"/>
    <w:charset w:val="00"/>
    <w:family w:val="auto"/>
    <w:pitch w:val="default"/>
    <w:sig w:usb0="00000000" w:usb1="00000000" w:usb2="00000000" w:usb3="00000000" w:csb0="00000000" w:csb1="00000000"/>
    <w:embedRegular r:id="rId3" w:fontKey="{E3A4B615-AF68-4B74-A873-706C22135E58}"/>
  </w:font>
  <w:font w:name="仿宋">
    <w:panose1 w:val="02010609060101010101"/>
    <w:charset w:val="86"/>
    <w:family w:val="modern"/>
    <w:pitch w:val="default"/>
    <w:sig w:usb0="800002BF" w:usb1="38CF7CFA" w:usb2="00000016" w:usb3="00000000" w:csb0="00040001" w:csb1="00000000"/>
    <w:embedRegular r:id="rId4" w:fontKey="{8DDBC860-3B87-42FE-B293-896295C03B34}"/>
  </w:font>
  <w:font w:name="方正小标宋简体">
    <w:panose1 w:val="02000000000000000000"/>
    <w:charset w:val="86"/>
    <w:family w:val="script"/>
    <w:pitch w:val="default"/>
    <w:sig w:usb0="00000001" w:usb1="08000000" w:usb2="00000000" w:usb3="00000000" w:csb0="00040000" w:csb1="00000000"/>
    <w:embedRegular r:id="rId5" w:fontKey="{679A9B99-1D20-4464-89E7-1AB88A7E28A2}"/>
  </w:font>
  <w:font w:name="微软雅黑">
    <w:panose1 w:val="020B0503020204020204"/>
    <w:charset w:val="86"/>
    <w:family w:val="auto"/>
    <w:pitch w:val="default"/>
    <w:sig w:usb0="80000287" w:usb1="2ACF3C50" w:usb2="00000016" w:usb3="00000000" w:csb0="0004001F" w:csb1="00000000"/>
    <w:embedRegular r:id="rId6" w:fontKey="{CF3E2D81-DF05-4BFF-A7C6-1403D4CDE4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25</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5855C12C"/>
    <w:multiLevelType w:val="singleLevel"/>
    <w:tmpl w:val="5855C12C"/>
    <w:lvl w:ilvl="0" w:tentative="0">
      <w:start w:val="3"/>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1690A"/>
    <w:rsid w:val="001319E1"/>
    <w:rsid w:val="00142216"/>
    <w:rsid w:val="00144D6A"/>
    <w:rsid w:val="0014729F"/>
    <w:rsid w:val="00157BAB"/>
    <w:rsid w:val="001654D1"/>
    <w:rsid w:val="00174518"/>
    <w:rsid w:val="0018106D"/>
    <w:rsid w:val="001877A7"/>
    <w:rsid w:val="00191536"/>
    <w:rsid w:val="00196687"/>
    <w:rsid w:val="001C0962"/>
    <w:rsid w:val="001D7531"/>
    <w:rsid w:val="001E4BF0"/>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80496"/>
    <w:rsid w:val="00294DC9"/>
    <w:rsid w:val="00295495"/>
    <w:rsid w:val="002A31DE"/>
    <w:rsid w:val="002B2613"/>
    <w:rsid w:val="002C53DB"/>
    <w:rsid w:val="002D6D05"/>
    <w:rsid w:val="002F1818"/>
    <w:rsid w:val="002F567B"/>
    <w:rsid w:val="003216A9"/>
    <w:rsid w:val="00335A74"/>
    <w:rsid w:val="0036561B"/>
    <w:rsid w:val="0037013F"/>
    <w:rsid w:val="00380C92"/>
    <w:rsid w:val="003A484F"/>
    <w:rsid w:val="003A4883"/>
    <w:rsid w:val="003A65EF"/>
    <w:rsid w:val="003B0BE0"/>
    <w:rsid w:val="003B0C1B"/>
    <w:rsid w:val="003B688C"/>
    <w:rsid w:val="003C0291"/>
    <w:rsid w:val="003C39AE"/>
    <w:rsid w:val="003C7B60"/>
    <w:rsid w:val="003D0C0F"/>
    <w:rsid w:val="003D1FB2"/>
    <w:rsid w:val="003D66DA"/>
    <w:rsid w:val="003E1310"/>
    <w:rsid w:val="003E6F55"/>
    <w:rsid w:val="00406254"/>
    <w:rsid w:val="00415A90"/>
    <w:rsid w:val="004223DE"/>
    <w:rsid w:val="00434489"/>
    <w:rsid w:val="00437085"/>
    <w:rsid w:val="00443880"/>
    <w:rsid w:val="004463D9"/>
    <w:rsid w:val="004464F4"/>
    <w:rsid w:val="004517CE"/>
    <w:rsid w:val="00471401"/>
    <w:rsid w:val="00473F31"/>
    <w:rsid w:val="0048263A"/>
    <w:rsid w:val="00487E5D"/>
    <w:rsid w:val="004A711F"/>
    <w:rsid w:val="004B199D"/>
    <w:rsid w:val="004B4690"/>
    <w:rsid w:val="004E064A"/>
    <w:rsid w:val="004E0A2D"/>
    <w:rsid w:val="004E206B"/>
    <w:rsid w:val="004E6DF7"/>
    <w:rsid w:val="004F0FBD"/>
    <w:rsid w:val="0050564C"/>
    <w:rsid w:val="00505A47"/>
    <w:rsid w:val="00512FDA"/>
    <w:rsid w:val="00520DA0"/>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2C7"/>
    <w:rsid w:val="00683E73"/>
    <w:rsid w:val="00693CAE"/>
    <w:rsid w:val="006A3141"/>
    <w:rsid w:val="006A5E34"/>
    <w:rsid w:val="006B2422"/>
    <w:rsid w:val="006B2B9A"/>
    <w:rsid w:val="006C1937"/>
    <w:rsid w:val="006F020C"/>
    <w:rsid w:val="007127B7"/>
    <w:rsid w:val="0071798E"/>
    <w:rsid w:val="007416B6"/>
    <w:rsid w:val="00746F48"/>
    <w:rsid w:val="0075404D"/>
    <w:rsid w:val="007546C7"/>
    <w:rsid w:val="0076182A"/>
    <w:rsid w:val="00767B7E"/>
    <w:rsid w:val="00773376"/>
    <w:rsid w:val="007770C3"/>
    <w:rsid w:val="00784D24"/>
    <w:rsid w:val="00785FBA"/>
    <w:rsid w:val="00786E4A"/>
    <w:rsid w:val="007875EB"/>
    <w:rsid w:val="00792AF4"/>
    <w:rsid w:val="0079426B"/>
    <w:rsid w:val="007D1682"/>
    <w:rsid w:val="007D312A"/>
    <w:rsid w:val="007D3F19"/>
    <w:rsid w:val="007D45D9"/>
    <w:rsid w:val="007E23B0"/>
    <w:rsid w:val="007E23E5"/>
    <w:rsid w:val="007F1991"/>
    <w:rsid w:val="007F2C2F"/>
    <w:rsid w:val="007F55FC"/>
    <w:rsid w:val="007F5665"/>
    <w:rsid w:val="00800112"/>
    <w:rsid w:val="00813348"/>
    <w:rsid w:val="008253BB"/>
    <w:rsid w:val="0083706E"/>
    <w:rsid w:val="008408F6"/>
    <w:rsid w:val="008423A5"/>
    <w:rsid w:val="00850625"/>
    <w:rsid w:val="00851FCE"/>
    <w:rsid w:val="00853718"/>
    <w:rsid w:val="00855221"/>
    <w:rsid w:val="00860645"/>
    <w:rsid w:val="00871F71"/>
    <w:rsid w:val="00872FD8"/>
    <w:rsid w:val="00885AF4"/>
    <w:rsid w:val="008939CD"/>
    <w:rsid w:val="008952F6"/>
    <w:rsid w:val="008B768C"/>
    <w:rsid w:val="008C4DB1"/>
    <w:rsid w:val="008C4EAF"/>
    <w:rsid w:val="008C5176"/>
    <w:rsid w:val="008C7FD0"/>
    <w:rsid w:val="008E1DE7"/>
    <w:rsid w:val="008E707C"/>
    <w:rsid w:val="00900B08"/>
    <w:rsid w:val="00902155"/>
    <w:rsid w:val="00902FA3"/>
    <w:rsid w:val="0090520E"/>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03B3"/>
    <w:rsid w:val="009C22F4"/>
    <w:rsid w:val="009C2A4B"/>
    <w:rsid w:val="009C2E98"/>
    <w:rsid w:val="009D3447"/>
    <w:rsid w:val="009D4711"/>
    <w:rsid w:val="009F0E3A"/>
    <w:rsid w:val="009F1185"/>
    <w:rsid w:val="009F18CD"/>
    <w:rsid w:val="009F2A13"/>
    <w:rsid w:val="009F7527"/>
    <w:rsid w:val="00A04EB0"/>
    <w:rsid w:val="00A13CC1"/>
    <w:rsid w:val="00A16847"/>
    <w:rsid w:val="00A231BB"/>
    <w:rsid w:val="00A237D8"/>
    <w:rsid w:val="00A268C4"/>
    <w:rsid w:val="00A307CD"/>
    <w:rsid w:val="00A331C8"/>
    <w:rsid w:val="00A40A00"/>
    <w:rsid w:val="00A4142F"/>
    <w:rsid w:val="00A422EB"/>
    <w:rsid w:val="00A45BB7"/>
    <w:rsid w:val="00A56DF2"/>
    <w:rsid w:val="00A56E6E"/>
    <w:rsid w:val="00A67AB5"/>
    <w:rsid w:val="00A717DF"/>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0168"/>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14C8D"/>
    <w:rsid w:val="00C33E72"/>
    <w:rsid w:val="00C354B2"/>
    <w:rsid w:val="00C35554"/>
    <w:rsid w:val="00C42709"/>
    <w:rsid w:val="00C533CC"/>
    <w:rsid w:val="00C5413B"/>
    <w:rsid w:val="00C5751C"/>
    <w:rsid w:val="00C61BFC"/>
    <w:rsid w:val="00C62B85"/>
    <w:rsid w:val="00C65438"/>
    <w:rsid w:val="00C706A2"/>
    <w:rsid w:val="00C725DE"/>
    <w:rsid w:val="00C87FD8"/>
    <w:rsid w:val="00C91381"/>
    <w:rsid w:val="00C91CBB"/>
    <w:rsid w:val="00C97560"/>
    <w:rsid w:val="00CB4E70"/>
    <w:rsid w:val="00CC09B6"/>
    <w:rsid w:val="00CC666F"/>
    <w:rsid w:val="00CD1E3F"/>
    <w:rsid w:val="00CE3374"/>
    <w:rsid w:val="00CE44F6"/>
    <w:rsid w:val="00CE49DA"/>
    <w:rsid w:val="00CE7B61"/>
    <w:rsid w:val="00CF3B00"/>
    <w:rsid w:val="00D00095"/>
    <w:rsid w:val="00D114F0"/>
    <w:rsid w:val="00D20620"/>
    <w:rsid w:val="00D254F7"/>
    <w:rsid w:val="00D26091"/>
    <w:rsid w:val="00D2685C"/>
    <w:rsid w:val="00D34E7C"/>
    <w:rsid w:val="00D35489"/>
    <w:rsid w:val="00D36AFE"/>
    <w:rsid w:val="00D51276"/>
    <w:rsid w:val="00D51741"/>
    <w:rsid w:val="00D7035F"/>
    <w:rsid w:val="00DA634F"/>
    <w:rsid w:val="00DA65AC"/>
    <w:rsid w:val="00DB1913"/>
    <w:rsid w:val="00DC410D"/>
    <w:rsid w:val="00DC5A81"/>
    <w:rsid w:val="00DC68CA"/>
    <w:rsid w:val="00DC7CBA"/>
    <w:rsid w:val="00DD53D2"/>
    <w:rsid w:val="00DD73B7"/>
    <w:rsid w:val="00DF28BC"/>
    <w:rsid w:val="00DF34B9"/>
    <w:rsid w:val="00E00314"/>
    <w:rsid w:val="00E01053"/>
    <w:rsid w:val="00E07ACF"/>
    <w:rsid w:val="00E32CAD"/>
    <w:rsid w:val="00E331A1"/>
    <w:rsid w:val="00E33202"/>
    <w:rsid w:val="00E336A9"/>
    <w:rsid w:val="00E472B1"/>
    <w:rsid w:val="00E50624"/>
    <w:rsid w:val="00E568DF"/>
    <w:rsid w:val="00E64269"/>
    <w:rsid w:val="00E807FA"/>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3679"/>
    <w:rsid w:val="00FD3CC1"/>
    <w:rsid w:val="00FD609A"/>
    <w:rsid w:val="00FF1E02"/>
    <w:rsid w:val="00FF30B4"/>
    <w:rsid w:val="01710365"/>
    <w:rsid w:val="01787187"/>
    <w:rsid w:val="02006B00"/>
    <w:rsid w:val="028D0D85"/>
    <w:rsid w:val="04B20631"/>
    <w:rsid w:val="097C0ABC"/>
    <w:rsid w:val="0A2032A3"/>
    <w:rsid w:val="0CEA6AC4"/>
    <w:rsid w:val="0FA47B58"/>
    <w:rsid w:val="10C055FF"/>
    <w:rsid w:val="118107EC"/>
    <w:rsid w:val="16BB723D"/>
    <w:rsid w:val="17072E32"/>
    <w:rsid w:val="1715336C"/>
    <w:rsid w:val="185D773B"/>
    <w:rsid w:val="1A905E49"/>
    <w:rsid w:val="1D155CEE"/>
    <w:rsid w:val="1D6B055C"/>
    <w:rsid w:val="1ED755CA"/>
    <w:rsid w:val="1F6A19AD"/>
    <w:rsid w:val="1FD17FCD"/>
    <w:rsid w:val="240371BF"/>
    <w:rsid w:val="26064C4C"/>
    <w:rsid w:val="265719B9"/>
    <w:rsid w:val="27FE48B2"/>
    <w:rsid w:val="29FD04D3"/>
    <w:rsid w:val="2DD613CD"/>
    <w:rsid w:val="2EB8384E"/>
    <w:rsid w:val="2EE60438"/>
    <w:rsid w:val="304B105A"/>
    <w:rsid w:val="305527C4"/>
    <w:rsid w:val="319F7F4E"/>
    <w:rsid w:val="33E15440"/>
    <w:rsid w:val="37BB4CE7"/>
    <w:rsid w:val="3ADF1663"/>
    <w:rsid w:val="3B917228"/>
    <w:rsid w:val="3D0C2C7D"/>
    <w:rsid w:val="3DAF3204"/>
    <w:rsid w:val="419371A3"/>
    <w:rsid w:val="4416239B"/>
    <w:rsid w:val="4476700E"/>
    <w:rsid w:val="4BFE4DF5"/>
    <w:rsid w:val="4D523EEE"/>
    <w:rsid w:val="4E9E69BB"/>
    <w:rsid w:val="4ECE2238"/>
    <w:rsid w:val="4F774777"/>
    <w:rsid w:val="545C21D5"/>
    <w:rsid w:val="59D154E8"/>
    <w:rsid w:val="5AA81130"/>
    <w:rsid w:val="5B152C85"/>
    <w:rsid w:val="5B3038C2"/>
    <w:rsid w:val="5B767BC7"/>
    <w:rsid w:val="63412C4F"/>
    <w:rsid w:val="649A0C06"/>
    <w:rsid w:val="67386679"/>
    <w:rsid w:val="68A560F2"/>
    <w:rsid w:val="69CE3115"/>
    <w:rsid w:val="6C4A05C8"/>
    <w:rsid w:val="6E2A65EF"/>
    <w:rsid w:val="709C09E2"/>
    <w:rsid w:val="72734D90"/>
    <w:rsid w:val="72B34E05"/>
    <w:rsid w:val="752D211F"/>
    <w:rsid w:val="78711ACF"/>
    <w:rsid w:val="793A4484"/>
    <w:rsid w:val="79AE6327"/>
    <w:rsid w:val="7B61548E"/>
    <w:rsid w:val="7BFB30AD"/>
    <w:rsid w:val="7E2507CC"/>
    <w:rsid w:val="7FEF5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18"/>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99"/>
    <w:pPr>
      <w:spacing w:beforeLines="30"/>
    </w:pPr>
    <w:rPr>
      <w:rFonts w:ascii="仿宋_GB2312" w:eastAsia="仿宋_GB2312"/>
      <w:kern w:val="0"/>
      <w:sz w:val="24"/>
      <w:szCs w:val="2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0"/>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qFormat/>
    <w:uiPriority w:val="99"/>
    <w:rPr>
      <w:rFonts w:cs="Times New Roman"/>
      <w:b/>
    </w:rPr>
  </w:style>
  <w:style w:type="character" w:styleId="15">
    <w:name w:val="Hyperlink"/>
    <w:unhideWhenUsed/>
    <w:qFormat/>
    <w:uiPriority w:val="99"/>
    <w:rPr>
      <w:rFonts w:cs="Times New Roman"/>
      <w:color w:val="0000FF"/>
      <w:u w:val="single"/>
    </w:rPr>
  </w:style>
  <w:style w:type="character" w:customStyle="1" w:styleId="16">
    <w:name w:val="标题 1 字符"/>
    <w:basedOn w:val="13"/>
    <w:link w:val="3"/>
    <w:qFormat/>
    <w:locked/>
    <w:uiPriority w:val="9"/>
    <w:rPr>
      <w:rFonts w:ascii="Times New Roman" w:hAnsi="Times New Roman" w:cs="Times New Roman"/>
      <w:b/>
      <w:bCs/>
      <w:kern w:val="44"/>
      <w:sz w:val="44"/>
      <w:szCs w:val="44"/>
    </w:rPr>
  </w:style>
  <w:style w:type="character" w:customStyle="1" w:styleId="17">
    <w:name w:val="标题 2 字符"/>
    <w:basedOn w:val="13"/>
    <w:link w:val="4"/>
    <w:qFormat/>
    <w:locked/>
    <w:uiPriority w:val="9"/>
    <w:rPr>
      <w:rFonts w:ascii="Cambria" w:hAnsi="Cambria" w:eastAsia="宋体" w:cs="Times New Roman"/>
      <w:b/>
      <w:bCs/>
      <w:kern w:val="2"/>
      <w:sz w:val="32"/>
      <w:szCs w:val="32"/>
    </w:rPr>
  </w:style>
  <w:style w:type="character" w:customStyle="1" w:styleId="18">
    <w:name w:val="标题 3 字符"/>
    <w:link w:val="5"/>
    <w:qFormat/>
    <w:locked/>
    <w:uiPriority w:val="9"/>
    <w:rPr>
      <w:rFonts w:ascii="Times New Roman" w:hAnsi="Times New Roman" w:cs="Times New Roman"/>
      <w:b/>
      <w:bCs/>
      <w:kern w:val="2"/>
      <w:sz w:val="32"/>
      <w:szCs w:val="32"/>
    </w:rPr>
  </w:style>
  <w:style w:type="character" w:customStyle="1" w:styleId="19">
    <w:name w:val="正文文本 字符"/>
    <w:link w:val="2"/>
    <w:qFormat/>
    <w:locked/>
    <w:uiPriority w:val="99"/>
    <w:rPr>
      <w:rFonts w:ascii="仿宋_GB2312" w:hAnsi="Times New Roman" w:eastAsia="仿宋_GB2312"/>
      <w:sz w:val="24"/>
    </w:rPr>
  </w:style>
  <w:style w:type="character" w:customStyle="1" w:styleId="20">
    <w:name w:val="批注框文本 字符"/>
    <w:link w:val="7"/>
    <w:semiHidden/>
    <w:qFormat/>
    <w:locked/>
    <w:uiPriority w:val="99"/>
    <w:rPr>
      <w:rFonts w:ascii="Times New Roman" w:hAnsi="Times New Roman" w:cs="Times New Roman"/>
      <w:kern w:val="2"/>
      <w:sz w:val="18"/>
      <w:szCs w:val="18"/>
    </w:rPr>
  </w:style>
  <w:style w:type="character" w:customStyle="1" w:styleId="21">
    <w:name w:val="页脚 字符"/>
    <w:link w:val="8"/>
    <w:qFormat/>
    <w:locked/>
    <w:uiPriority w:val="99"/>
    <w:rPr>
      <w:sz w:val="18"/>
    </w:rPr>
  </w:style>
  <w:style w:type="character" w:customStyle="1" w:styleId="22">
    <w:name w:val="页眉 字符"/>
    <w:link w:val="9"/>
    <w:semiHidden/>
    <w:qFormat/>
    <w:locked/>
    <w:uiPriority w:val="99"/>
    <w:rPr>
      <w:sz w:val="18"/>
    </w:rPr>
  </w:style>
  <w:style w:type="character" w:customStyle="1" w:styleId="23">
    <w:name w:val="Footer Char"/>
    <w:semiHidden/>
    <w:qFormat/>
    <w:uiPriority w:val="99"/>
    <w:rPr>
      <w:rFonts w:ascii="Times New Roman" w:hAnsi="Times New Roman" w:cs="Times New Roman"/>
      <w:sz w:val="18"/>
      <w:szCs w:val="18"/>
    </w:rPr>
  </w:style>
  <w:style w:type="character" w:customStyle="1" w:styleId="24">
    <w:name w:val="Body Text Char"/>
    <w:semiHidden/>
    <w:qFormat/>
    <w:uiPriority w:val="99"/>
    <w:rPr>
      <w:rFonts w:ascii="Times New Roman" w:hAnsi="Times New Roman" w:cs="Times New Roman"/>
      <w:sz w:val="24"/>
      <w:szCs w:val="24"/>
    </w:rPr>
  </w:style>
  <w:style w:type="character" w:customStyle="1" w:styleId="25">
    <w:name w:val="Header Char"/>
    <w:semiHidden/>
    <w:qFormat/>
    <w:uiPriority w:val="99"/>
    <w:rPr>
      <w:rFonts w:ascii="Times New Roman" w:hAnsi="Times New Roman" w:cs="Times New Roman"/>
      <w:sz w:val="18"/>
      <w:szCs w:val="18"/>
    </w:rPr>
  </w:style>
  <w:style w:type="paragraph" w:customStyle="1" w:styleId="26">
    <w:name w:val="列表段落1"/>
    <w:basedOn w:val="1"/>
    <w:qFormat/>
    <w:uiPriority w:val="34"/>
    <w:pPr>
      <w:ind w:firstLine="420" w:firstLineChars="200"/>
    </w:p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9">
    <w:name w:val="TOC Heading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13333</Words>
  <Characters>15419</Characters>
  <Lines>55</Lines>
  <Paragraphs>15</Paragraphs>
  <TotalTime>0</TotalTime>
  <ScaleCrop>false</ScaleCrop>
  <LinksUpToDate>false</LinksUpToDate>
  <CharactersWithSpaces>15460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2021-10-20T10:04:00Z</dcterms:created>
  <dc:creator>曹颖</dc:creator>
  <cp:lastModifiedBy>罗汉</cp:lastModifiedBy>
  <cp:lastPrinted>2021-07-29T03:56:00Z</cp:lastPrinted>
  <dcterms:modified xsi:type="dcterms:W3CDTF">2023-12-28T07:00:39Z</dcterms:modified>
  <dc:title>四川省***</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35FFC35ECC264126BF8D812CE9868EC3</vt:lpwstr>
  </property>
</Properties>
</file>