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78441"/>
      <w:bookmarkStart w:id="4" w:name="_Toc15377425"/>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78442"/>
      <w:bookmarkStart w:id="7" w:name="_Toc15377426"/>
      <w:bookmarkStart w:id="8" w:name="_Toc15396476"/>
      <w:bookmarkStart w:id="9" w:name="_Toc15396598"/>
      <w:bookmarkStart w:id="10" w:name="_Toc15377194"/>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元山小学校</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lang w:val="en-US" w:eastAsia="zh-CN"/>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rPr>
          <w:rFonts w:hint="eastAsia"/>
          <w:sz w:val="24"/>
        </w:rPr>
      </w:pPr>
    </w:p>
    <w:p>
      <w:pPr>
        <w:pStyle w:val="11"/>
        <w:adjustRightInd w:val="0"/>
        <w:snapToGrid w:val="0"/>
        <w:spacing w:line="440" w:lineRule="exact"/>
        <w:jc w:val="left"/>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主要职责</w:t>
      </w:r>
    </w:p>
    <w:p>
      <w:pPr>
        <w:pStyle w:val="2"/>
        <w:pageBreakBefore w:val="0"/>
        <w:widowControl w:val="0"/>
        <w:kinsoku/>
        <w:wordWrap/>
        <w:overflowPunct/>
        <w:topLinePunct w:val="0"/>
        <w:autoSpaceDE/>
        <w:autoSpaceDN/>
        <w:bidi w:val="0"/>
        <w:adjustRightInd w:val="0"/>
        <w:snapToGrid w:val="0"/>
        <w:spacing w:beforeLines="0" w:line="240" w:lineRule="auto"/>
        <w:ind w:firstLine="588" w:firstLineChars="210"/>
        <w:textAlignment w:val="auto"/>
        <w:outlineLvl w:val="2"/>
        <w:rPr>
          <w:rFonts w:hint="eastAsia" w:ascii="宋体" w:hAnsi="宋体" w:eastAsia="宋体" w:cs="宋体"/>
          <w:bCs/>
          <w:color w:val="000000"/>
          <w:sz w:val="28"/>
          <w:szCs w:val="28"/>
        </w:rPr>
      </w:pPr>
      <w:bookmarkStart w:id="16" w:name="_Toc15377198"/>
      <w:bookmarkStart w:id="17" w:name="_Toc15378445"/>
      <w:r>
        <w:rPr>
          <w:rFonts w:hint="eastAsia" w:ascii="宋体" w:hAnsi="宋体" w:eastAsia="宋体" w:cs="宋体"/>
          <w:bCs/>
          <w:color w:val="000000"/>
          <w:sz w:val="28"/>
          <w:szCs w:val="28"/>
        </w:rPr>
        <w:t>（一）主要职能。</w:t>
      </w:r>
      <w:bookmarkEnd w:id="16"/>
      <w:bookmarkEnd w:id="17"/>
    </w:p>
    <w:p>
      <w:pPr>
        <w:pStyle w:val="2"/>
        <w:keepNext w:val="0"/>
        <w:keepLines w:val="0"/>
        <w:pageBreakBefore w:val="0"/>
        <w:widowControl w:val="0"/>
        <w:kinsoku/>
        <w:wordWrap/>
        <w:overflowPunct/>
        <w:topLinePunct w:val="0"/>
        <w:autoSpaceDE/>
        <w:autoSpaceDN/>
        <w:bidi w:val="0"/>
        <w:adjustRightInd/>
        <w:snapToGrid/>
        <w:spacing w:before="93" w:line="240" w:lineRule="auto"/>
        <w:ind w:firstLine="588" w:firstLineChars="210"/>
        <w:textAlignment w:val="auto"/>
        <w:outlineLvl w:val="2"/>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lang w:eastAsia="zh-CN"/>
        </w:rPr>
        <w:t>剑阁县</w:t>
      </w:r>
      <w:r>
        <w:rPr>
          <w:rFonts w:hint="eastAsia" w:ascii="宋体" w:hAnsi="宋体" w:eastAsia="宋体" w:cs="宋体"/>
          <w:bCs/>
          <w:color w:val="000000"/>
          <w:sz w:val="28"/>
          <w:szCs w:val="28"/>
          <w:lang w:val="en-US" w:eastAsia="zh-CN"/>
        </w:rPr>
        <w:t>元山</w:t>
      </w:r>
      <w:r>
        <w:rPr>
          <w:rFonts w:hint="eastAsia" w:ascii="宋体" w:hAnsi="宋体" w:eastAsia="宋体" w:cs="宋体"/>
          <w:bCs/>
          <w:color w:val="000000"/>
          <w:sz w:val="28"/>
          <w:szCs w:val="28"/>
          <w:lang w:eastAsia="zh-CN"/>
        </w:rPr>
        <w:t>小学校属财政预算一级单位，执行事业单位会计制度，本单位现有</w:t>
      </w:r>
      <w:r>
        <w:rPr>
          <w:rFonts w:hint="eastAsia" w:ascii="宋体" w:hAnsi="宋体" w:eastAsia="宋体" w:cs="宋体"/>
          <w:bCs/>
          <w:color w:val="000000"/>
          <w:sz w:val="28"/>
          <w:szCs w:val="28"/>
          <w:lang w:val="en-US" w:eastAsia="zh-CN"/>
        </w:rPr>
        <w:t>23个教学班，70位教职工.</w:t>
      </w:r>
      <w:bookmarkStart w:id="18" w:name="_Toc15377199"/>
      <w:bookmarkStart w:id="19" w:name="_Toc15378446"/>
      <w:r>
        <w:rPr>
          <w:rFonts w:hint="eastAsia" w:ascii="宋体" w:hAnsi="宋体" w:eastAsia="宋体" w:cs="宋体"/>
          <w:bCs/>
          <w:color w:val="000000"/>
          <w:sz w:val="28"/>
          <w:szCs w:val="28"/>
        </w:rPr>
        <w:t>其基本职能及主要工作是实施初中义务教育，促进基础教育发展。</w:t>
      </w:r>
    </w:p>
    <w:p>
      <w:pPr>
        <w:pStyle w:val="2"/>
        <w:keepNext w:val="0"/>
        <w:keepLines w:val="0"/>
        <w:pageBreakBefore w:val="0"/>
        <w:widowControl w:val="0"/>
        <w:kinsoku/>
        <w:wordWrap/>
        <w:overflowPunct/>
        <w:topLinePunct w:val="0"/>
        <w:autoSpaceDE/>
        <w:autoSpaceDN/>
        <w:bidi w:val="0"/>
        <w:adjustRightInd w:val="0"/>
        <w:snapToGrid w:val="0"/>
        <w:spacing w:beforeLines="0" w:line="288" w:lineRule="auto"/>
        <w:ind w:firstLine="588" w:firstLineChars="210"/>
        <w:textAlignment w:val="auto"/>
        <w:outlineLvl w:val="2"/>
        <w:rPr>
          <w:rFonts w:hint="eastAsia" w:ascii="宋体" w:hAnsi="宋体" w:eastAsia="宋体" w:cs="宋体"/>
          <w:bCs/>
          <w:color w:val="000000"/>
          <w:sz w:val="28"/>
          <w:szCs w:val="28"/>
        </w:rPr>
      </w:pPr>
      <w:r>
        <w:rPr>
          <w:rFonts w:hint="eastAsia" w:ascii="宋体" w:hAnsi="宋体" w:eastAsia="宋体" w:cs="宋体"/>
          <w:bCs/>
          <w:color w:val="000000"/>
          <w:sz w:val="28"/>
          <w:szCs w:val="28"/>
        </w:rPr>
        <w:t>（二）202</w:t>
      </w:r>
      <w:r>
        <w:rPr>
          <w:rFonts w:hint="eastAsia" w:ascii="宋体" w:hAnsi="宋体" w:eastAsia="宋体" w:cs="宋体"/>
          <w:bCs/>
          <w:color w:val="000000"/>
          <w:sz w:val="28"/>
          <w:szCs w:val="28"/>
          <w:lang w:val="en-US" w:eastAsia="zh-CN"/>
        </w:rPr>
        <w:t>2</w:t>
      </w:r>
      <w:r>
        <w:rPr>
          <w:rFonts w:hint="eastAsia" w:ascii="宋体" w:hAnsi="宋体" w:eastAsia="宋体" w:cs="宋体"/>
          <w:bCs/>
          <w:color w:val="000000"/>
          <w:sz w:val="28"/>
          <w:szCs w:val="28"/>
        </w:rPr>
        <w:t>年重点工作完成情况。</w:t>
      </w:r>
      <w:bookmarkEnd w:id="18"/>
      <w:bookmarkEnd w:id="19"/>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学年度</w:t>
      </w:r>
      <w:r>
        <w:rPr>
          <w:rFonts w:hint="eastAsia" w:ascii="宋体" w:hAnsi="宋体" w:eastAsia="宋体" w:cs="宋体"/>
          <w:sz w:val="28"/>
          <w:szCs w:val="28"/>
        </w:rPr>
        <w:t>，我校以党的</w:t>
      </w:r>
      <w:r>
        <w:rPr>
          <w:rFonts w:hint="eastAsia" w:ascii="宋体" w:hAnsi="宋体" w:eastAsia="宋体" w:cs="宋体"/>
          <w:sz w:val="28"/>
          <w:szCs w:val="28"/>
          <w:lang w:eastAsia="zh-CN"/>
        </w:rPr>
        <w:t>十九</w:t>
      </w:r>
      <w:r>
        <w:rPr>
          <w:rFonts w:hint="eastAsia" w:ascii="宋体" w:hAnsi="宋体" w:eastAsia="宋体" w:cs="宋体"/>
          <w:sz w:val="28"/>
          <w:szCs w:val="28"/>
        </w:rPr>
        <w:t>大精神为指针，坚持科学发展观，认真落实市、县教育工作会议精神和要求，在上级教育部门的正确领导下，</w:t>
      </w:r>
      <w:r>
        <w:rPr>
          <w:rFonts w:hint="eastAsia" w:ascii="宋体" w:hAnsi="宋体" w:eastAsia="宋体" w:cs="宋体"/>
          <w:sz w:val="28"/>
          <w:szCs w:val="28"/>
          <w:lang w:eastAsia="zh-CN"/>
        </w:rPr>
        <w:t>我校</w:t>
      </w:r>
      <w:r>
        <w:rPr>
          <w:rFonts w:hint="eastAsia" w:ascii="宋体" w:hAnsi="宋体" w:eastAsia="宋体" w:cs="宋体"/>
          <w:sz w:val="28"/>
          <w:szCs w:val="28"/>
        </w:rPr>
        <w:t>全面推进学校素质教育，加快教育现代化步伐，加大教育教学改革力度，加强师资队伍建设，积极实施</w:t>
      </w:r>
      <w:r>
        <w:rPr>
          <w:rFonts w:hint="eastAsia" w:ascii="宋体" w:hAnsi="宋体" w:eastAsia="宋体" w:cs="宋体"/>
          <w:sz w:val="28"/>
          <w:szCs w:val="28"/>
          <w:lang w:eastAsia="zh-CN"/>
        </w:rPr>
        <w:t>课题研究</w:t>
      </w:r>
      <w:r>
        <w:rPr>
          <w:rFonts w:hint="eastAsia" w:ascii="宋体" w:hAnsi="宋体" w:eastAsia="宋体" w:cs="宋体"/>
          <w:sz w:val="28"/>
          <w:szCs w:val="28"/>
        </w:rPr>
        <w:t>，努力构筑教育发展新平台，不断提升学校办学层次。一年来，在全体师生的共同努力下，各项工作得以顺利开展，并取得了可喜的成绩</w:t>
      </w:r>
      <w:r>
        <w:rPr>
          <w:rFonts w:hint="eastAsia" w:ascii="宋体" w:hAnsi="宋体" w:eastAsia="宋体" w:cs="宋体"/>
          <w:sz w:val="28"/>
          <w:szCs w:val="28"/>
          <w:lang w:eastAsia="zh-CN"/>
        </w:rPr>
        <w:t>。</w:t>
      </w:r>
    </w:p>
    <w:p>
      <w:pPr>
        <w:ind w:firstLine="640" w:firstLineChars="200"/>
        <w:rPr>
          <w:rFonts w:hint="eastAsia" w:ascii="黑体" w:hAnsi="黑体" w:eastAsia="黑体" w:cs="黑体"/>
          <w:b w:val="0"/>
          <w:sz w:val="32"/>
          <w:szCs w:val="32"/>
        </w:rPr>
      </w:pPr>
      <w:r>
        <w:rPr>
          <w:rFonts w:hint="eastAsia" w:ascii="黑体" w:hAnsi="黑体" w:eastAsia="黑体" w:cs="黑体"/>
          <w:sz w:val="32"/>
          <w:szCs w:val="32"/>
          <w:lang w:val="en-US" w:eastAsia="zh-CN"/>
        </w:rPr>
        <w:t>二、</w:t>
      </w:r>
      <w:r>
        <w:rPr>
          <w:rFonts w:hint="eastAsia" w:ascii="黑体" w:hAnsi="黑体" w:eastAsia="黑体" w:cs="黑体"/>
          <w:b w:val="0"/>
          <w:sz w:val="32"/>
          <w:szCs w:val="32"/>
        </w:rPr>
        <w:t>机构设置</w:t>
      </w:r>
    </w:p>
    <w:p>
      <w:pPr>
        <w:pStyle w:val="4"/>
        <w:pageBreakBefore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剑阁县</w:t>
      </w:r>
      <w:r>
        <w:rPr>
          <w:rFonts w:hint="eastAsia" w:ascii="宋体" w:hAnsi="宋体" w:eastAsia="宋体" w:cs="宋体"/>
          <w:b w:val="0"/>
          <w:bCs w:val="0"/>
          <w:sz w:val="28"/>
          <w:szCs w:val="28"/>
          <w:lang w:val="en-US" w:eastAsia="zh-CN"/>
        </w:rPr>
        <w:t>元山</w:t>
      </w:r>
      <w:r>
        <w:rPr>
          <w:rFonts w:hint="eastAsia" w:ascii="宋体" w:hAnsi="宋体" w:eastAsia="宋体" w:cs="宋体"/>
          <w:b w:val="0"/>
          <w:bCs w:val="0"/>
          <w:sz w:val="28"/>
          <w:szCs w:val="28"/>
          <w:lang w:eastAsia="zh-CN"/>
        </w:rPr>
        <w:t>小学校</w:t>
      </w:r>
      <w:r>
        <w:rPr>
          <w:rFonts w:hint="eastAsia" w:ascii="宋体" w:hAnsi="宋体" w:eastAsia="宋体" w:cs="宋体"/>
          <w:b w:val="0"/>
          <w:bCs w:val="0"/>
          <w:sz w:val="28"/>
          <w:szCs w:val="28"/>
        </w:rPr>
        <w:t>独立编制机构数1个，独立核算机构数1个，全年编制机构数和独立核算机构数无变化。</w:t>
      </w:r>
    </w:p>
    <w:p>
      <w:pPr>
        <w:pStyle w:val="4"/>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 xml:space="preserve">无纳入剑阁县元山小学校 2022年度部门决算编制范围的二级预算单位。 </w:t>
      </w:r>
    </w:p>
    <w:p>
      <w:pPr>
        <w:pStyle w:val="4"/>
        <w:rPr>
          <w:rFonts w:ascii="黑体" w:hAnsi="黑体" w:eastAsia="黑体"/>
          <w:b w:val="0"/>
        </w:rPr>
      </w:pP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20" w:name="_Toc15396602"/>
      <w:bookmarkStart w:id="21" w:name="_Toc15377204"/>
      <w:r>
        <w:rPr>
          <w:rFonts w:hint="eastAsia" w:ascii="黑体" w:hAnsi="黑体" w:eastAsia="黑体"/>
          <w:b w:val="0"/>
        </w:rPr>
        <w:t>第二部分 2022年度</w:t>
      </w:r>
      <w:r>
        <w:rPr>
          <w:rStyle w:val="25"/>
          <w:rFonts w:hint="eastAsia" w:ascii="黑体" w:hAnsi="黑体" w:eastAsia="黑体"/>
          <w:b w:val="0"/>
          <w:bCs/>
        </w:rPr>
        <w:t>单位决算情况说明</w:t>
      </w:r>
      <w:bookmarkEnd w:id="20"/>
      <w:bookmarkEnd w:id="21"/>
    </w:p>
    <w:p/>
    <w:p>
      <w:pPr>
        <w:pStyle w:val="24"/>
        <w:numPr>
          <w:ilvl w:val="0"/>
          <w:numId w:val="2"/>
        </w:numPr>
        <w:spacing w:line="600" w:lineRule="exact"/>
        <w:ind w:firstLineChars="0"/>
        <w:outlineLvl w:val="1"/>
        <w:rPr>
          <w:rStyle w:val="26"/>
          <w:rFonts w:ascii="黑体" w:hAnsi="黑体" w:eastAsia="黑体"/>
          <w:b w:val="0"/>
        </w:rPr>
      </w:pPr>
      <w:bookmarkStart w:id="22" w:name="_Toc15377205"/>
      <w:bookmarkStart w:id="23"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2"/>
      <w:bookmarkEnd w:id="23"/>
    </w:p>
    <w:p>
      <w:pPr>
        <w:spacing w:line="240" w:lineRule="auto"/>
        <w:ind w:firstLine="0" w:firstLineChars="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1360.31</w:t>
      </w:r>
      <w:r>
        <w:rPr>
          <w:rFonts w:hint="eastAsia" w:ascii="仿宋" w:hAnsi="仿宋" w:eastAsia="仿宋"/>
          <w:sz w:val="32"/>
          <w:szCs w:val="32"/>
        </w:rPr>
        <w:t>万元。与2021年相比，收、支总计</w:t>
      </w:r>
      <w:r>
        <w:rPr>
          <w:rFonts w:hint="eastAsia" w:ascii="仿宋" w:hAnsi="仿宋" w:eastAsia="仿宋"/>
          <w:sz w:val="32"/>
          <w:szCs w:val="32"/>
          <w:lang w:val="en-US" w:eastAsia="zh-CN"/>
        </w:rPr>
        <w:t>各</w:t>
      </w:r>
      <w:r>
        <w:rPr>
          <w:rFonts w:hint="eastAsia" w:ascii="仿宋" w:hAnsi="仿宋" w:eastAsia="仿宋"/>
          <w:sz w:val="32"/>
          <w:szCs w:val="32"/>
        </w:rPr>
        <w:t>减少</w:t>
      </w:r>
      <w:r>
        <w:rPr>
          <w:rFonts w:hint="eastAsia" w:ascii="仿宋" w:hAnsi="仿宋" w:eastAsia="仿宋"/>
          <w:sz w:val="32"/>
          <w:szCs w:val="32"/>
          <w:lang w:val="en-US" w:eastAsia="zh-CN"/>
        </w:rPr>
        <w:t>207.14</w:t>
      </w:r>
      <w:r>
        <w:rPr>
          <w:rFonts w:hint="eastAsia" w:ascii="仿宋" w:hAnsi="仿宋" w:eastAsia="仿宋"/>
          <w:sz w:val="32"/>
          <w:szCs w:val="32"/>
        </w:rPr>
        <w:t>万元，下降</w:t>
      </w:r>
      <w:r>
        <w:rPr>
          <w:rFonts w:hint="eastAsia" w:ascii="仿宋" w:hAnsi="仿宋" w:eastAsia="仿宋"/>
          <w:sz w:val="32"/>
          <w:szCs w:val="32"/>
          <w:lang w:val="en-US" w:eastAsia="zh-CN"/>
        </w:rPr>
        <w:t>13.22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退休教师一次性补助减少、学生、教师人数减少造成人员经费、生均公用经费减少等</w:t>
      </w:r>
      <w:r>
        <w:rPr>
          <w:rFonts w:hint="eastAsia" w:ascii="仿宋" w:hAnsi="仿宋" w:eastAsia="仿宋"/>
          <w:sz w:val="32"/>
          <w:szCs w:val="32"/>
        </w:rPr>
        <w:t>。</w:t>
      </w:r>
      <w:r>
        <w:drawing>
          <wp:inline distT="0" distB="0" distL="114300" distR="114300">
            <wp:extent cx="4572000" cy="28194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hint="eastAsia"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4" w:name="_Toc15377206"/>
      <w:bookmarkStart w:id="25" w:name="_Toc15396604"/>
      <w:r>
        <w:rPr>
          <w:rFonts w:hint="eastAsia" w:ascii="黑体" w:hAnsi="黑体" w:eastAsia="黑体"/>
          <w:sz w:val="32"/>
          <w:szCs w:val="32"/>
        </w:rPr>
        <w:t>收</w:t>
      </w:r>
      <w:r>
        <w:rPr>
          <w:rStyle w:val="26"/>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1360.31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1358.31</w:t>
      </w:r>
      <w:r>
        <w:rPr>
          <w:rFonts w:hint="eastAsia" w:ascii="仿宋" w:hAnsi="仿宋" w:eastAsia="仿宋"/>
          <w:sz w:val="32"/>
          <w:szCs w:val="32"/>
        </w:rPr>
        <w:t>万元，占</w:t>
      </w:r>
      <w:r>
        <w:rPr>
          <w:rFonts w:hint="eastAsia" w:ascii="仿宋" w:hAnsi="仿宋" w:eastAsia="仿宋"/>
          <w:sz w:val="32"/>
          <w:szCs w:val="32"/>
          <w:lang w:val="en-US" w:eastAsia="zh-CN"/>
        </w:rPr>
        <w:t>99.85</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2</w:t>
      </w:r>
      <w:r>
        <w:rPr>
          <w:rFonts w:hint="eastAsia" w:ascii="仿宋" w:hAnsi="仿宋" w:eastAsia="仿宋"/>
          <w:sz w:val="32"/>
          <w:szCs w:val="32"/>
        </w:rPr>
        <w:t>万元，占</w:t>
      </w:r>
      <w:r>
        <w:rPr>
          <w:rFonts w:hint="eastAsia" w:ascii="仿宋" w:hAnsi="仿宋" w:eastAsia="仿宋"/>
          <w:sz w:val="32"/>
          <w:szCs w:val="32"/>
          <w:lang w:val="en-US" w:eastAsia="zh-CN"/>
        </w:rPr>
        <w:t>0.15</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hint="eastAsia" w:ascii="仿宋" w:hAnsi="仿宋" w:eastAsia="仿宋"/>
          <w:sz w:val="32"/>
          <w:szCs w:val="32"/>
        </w:rPr>
      </w:pPr>
    </w:p>
    <w:p>
      <w:pPr>
        <w:pStyle w:val="2"/>
        <w:rPr>
          <w:rFonts w:hint="eastAsia" w:ascii="仿宋" w:hAnsi="仿宋" w:eastAsia="仿宋"/>
          <w:sz w:val="32"/>
          <w:szCs w:val="32"/>
        </w:rPr>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ascii="仿宋" w:hAnsi="仿宋" w:eastAsia="仿宋"/>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6" w:name="_Toc15396605"/>
      <w:bookmarkStart w:id="27" w:name="_Toc15377207"/>
      <w:r>
        <w:rPr>
          <w:rFonts w:hint="eastAsia" w:ascii="黑体" w:hAnsi="黑体" w:eastAsia="黑体"/>
          <w:sz w:val="32"/>
          <w:szCs w:val="32"/>
        </w:rPr>
        <w:t>支</w:t>
      </w:r>
      <w:r>
        <w:rPr>
          <w:rStyle w:val="26"/>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1358.31</w:t>
      </w:r>
      <w:r>
        <w:rPr>
          <w:rFonts w:hint="eastAsia" w:ascii="仿宋" w:hAnsi="仿宋" w:eastAsia="仿宋"/>
          <w:sz w:val="32"/>
          <w:szCs w:val="32"/>
        </w:rPr>
        <w:t>万元，其中：基本支出</w:t>
      </w:r>
      <w:r>
        <w:rPr>
          <w:rFonts w:hint="eastAsia" w:ascii="仿宋" w:hAnsi="仿宋" w:eastAsia="仿宋"/>
          <w:sz w:val="32"/>
          <w:szCs w:val="32"/>
          <w:lang w:val="en-US" w:eastAsia="zh-CN"/>
        </w:rPr>
        <w:t>1328.31</w:t>
      </w:r>
      <w:r>
        <w:rPr>
          <w:rFonts w:hint="eastAsia" w:ascii="仿宋" w:hAnsi="仿宋" w:eastAsia="仿宋"/>
          <w:sz w:val="32"/>
          <w:szCs w:val="32"/>
        </w:rPr>
        <w:t>万元，占</w:t>
      </w:r>
      <w:r>
        <w:rPr>
          <w:rFonts w:hint="eastAsia" w:ascii="仿宋" w:hAnsi="仿宋" w:eastAsia="仿宋"/>
          <w:sz w:val="32"/>
          <w:szCs w:val="32"/>
          <w:lang w:val="en-US" w:eastAsia="zh-CN"/>
        </w:rPr>
        <w:t>97.79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32</w:t>
      </w:r>
      <w:r>
        <w:rPr>
          <w:rFonts w:hint="eastAsia" w:ascii="仿宋" w:hAnsi="仿宋" w:eastAsia="仿宋"/>
          <w:sz w:val="32"/>
          <w:szCs w:val="32"/>
        </w:rPr>
        <w:t>万元，占</w:t>
      </w:r>
      <w:r>
        <w:rPr>
          <w:rFonts w:hint="eastAsia" w:ascii="仿宋" w:hAnsi="仿宋" w:eastAsia="仿宋"/>
          <w:sz w:val="32"/>
          <w:szCs w:val="32"/>
          <w:lang w:val="en-US" w:eastAsia="zh-CN"/>
        </w:rPr>
        <w:t>2.21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pPr>
    </w:p>
    <w:p>
      <w:pPr>
        <w:pStyle w:val="2"/>
      </w:pPr>
      <w:r>
        <w:drawing>
          <wp:inline distT="0" distB="0" distL="114300" distR="114300">
            <wp:extent cx="4572000" cy="2743200"/>
            <wp:effectExtent l="4445" t="4445" r="1460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28" w:name="_Toc15396606"/>
      <w:bookmarkStart w:id="29"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8"/>
      <w:bookmarkEnd w:id="2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1360.31</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207.14</w:t>
      </w:r>
      <w:r>
        <w:rPr>
          <w:rFonts w:hint="eastAsia" w:ascii="仿宋" w:hAnsi="仿宋" w:eastAsia="仿宋"/>
          <w:sz w:val="32"/>
          <w:szCs w:val="32"/>
        </w:rPr>
        <w:t>万元，下降</w:t>
      </w:r>
      <w:r>
        <w:rPr>
          <w:rFonts w:hint="eastAsia" w:ascii="仿宋" w:hAnsi="仿宋" w:eastAsia="仿宋"/>
          <w:sz w:val="32"/>
          <w:szCs w:val="32"/>
          <w:lang w:val="en-US" w:eastAsia="zh-CN"/>
        </w:rPr>
        <w:t>13.22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退休教师一次性补助、学生人数、教职工人数减少造成人员经费、生均公用经费减少。</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afterAutospacing="0" w:line="600" w:lineRule="exact"/>
        <w:rPr>
          <w:rFonts w:hint="eastAsia" w:ascii="仿宋" w:hAnsi="仿宋" w:eastAsia="仿宋"/>
          <w:sz w:val="32"/>
          <w:szCs w:val="32"/>
        </w:rPr>
      </w:pPr>
    </w:p>
    <w:p>
      <w:pPr>
        <w:spacing w:before="5463" w:beforeLines="1750" w:beforeAutospacing="0" w:line="600" w:lineRule="exact"/>
        <w:ind w:firstLine="420" w:firstLineChars="200"/>
        <w:rPr>
          <w:rFonts w:hint="eastAsia" w:ascii="仿宋" w:hAnsi="仿宋" w:eastAsia="仿宋"/>
          <w:sz w:val="32"/>
          <w:szCs w:val="32"/>
        </w:rPr>
      </w:pPr>
      <w:r>
        <w:drawing>
          <wp:inline distT="0" distB="0" distL="114300" distR="114300">
            <wp:extent cx="4747260" cy="3403600"/>
            <wp:effectExtent l="4445" t="4445" r="10795" b="2095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1358.31</w:t>
      </w:r>
      <w:r>
        <w:rPr>
          <w:rFonts w:hint="eastAsia" w:ascii="仿宋" w:hAnsi="仿宋" w:eastAsia="仿宋"/>
          <w:sz w:val="32"/>
          <w:szCs w:val="32"/>
        </w:rPr>
        <w:t>万元，占本年支出合计的</w:t>
      </w:r>
      <w:r>
        <w:rPr>
          <w:rFonts w:hint="eastAsia" w:ascii="仿宋" w:hAnsi="仿宋" w:eastAsia="仿宋"/>
          <w:sz w:val="32"/>
          <w:szCs w:val="32"/>
          <w:lang w:val="en-US" w:eastAsia="zh-CN"/>
        </w:rPr>
        <w:t>99.85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203.52</w:t>
      </w:r>
      <w:r>
        <w:rPr>
          <w:rFonts w:hint="eastAsia" w:ascii="仿宋" w:hAnsi="仿宋" w:eastAsia="仿宋"/>
          <w:sz w:val="32"/>
          <w:szCs w:val="32"/>
        </w:rPr>
        <w:t>万元，下降</w:t>
      </w:r>
      <w:r>
        <w:rPr>
          <w:rFonts w:hint="eastAsia" w:ascii="仿宋" w:hAnsi="仿宋" w:eastAsia="仿宋"/>
          <w:sz w:val="32"/>
          <w:szCs w:val="32"/>
          <w:lang w:val="en-US" w:eastAsia="zh-CN"/>
        </w:rPr>
        <w:t>13.03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退休教师一次性补助、学生人数、教职工人数减少造成人员经费、生均公用经费减少。</w:t>
      </w: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r>
        <w:drawing>
          <wp:inline distT="0" distB="0" distL="114300" distR="114300">
            <wp:extent cx="4686300" cy="2926715"/>
            <wp:effectExtent l="4445" t="5080" r="14605" b="2095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1358.31</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1162.27</w:t>
      </w:r>
      <w:r>
        <w:rPr>
          <w:rFonts w:hint="eastAsia" w:ascii="仿宋" w:hAnsi="仿宋" w:eastAsia="仿宋"/>
          <w:sz w:val="32"/>
          <w:szCs w:val="32"/>
        </w:rPr>
        <w:t>万元，占</w:t>
      </w:r>
      <w:r>
        <w:rPr>
          <w:rFonts w:hint="eastAsia" w:ascii="仿宋" w:hAnsi="仿宋" w:eastAsia="仿宋"/>
          <w:sz w:val="32"/>
          <w:szCs w:val="32"/>
          <w:lang w:val="en-US" w:eastAsia="zh-CN"/>
        </w:rPr>
        <w:t>85.57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87.13</w:t>
      </w:r>
      <w:r>
        <w:rPr>
          <w:rFonts w:hint="eastAsia" w:ascii="仿宋" w:hAnsi="仿宋" w:eastAsia="仿宋"/>
          <w:sz w:val="32"/>
          <w:szCs w:val="32"/>
        </w:rPr>
        <w:t>万元，占</w:t>
      </w:r>
      <w:r>
        <w:rPr>
          <w:rFonts w:hint="eastAsia" w:ascii="仿宋" w:hAnsi="仿宋" w:eastAsia="仿宋"/>
          <w:sz w:val="32"/>
          <w:szCs w:val="32"/>
          <w:lang w:val="en-US" w:eastAsia="zh-CN"/>
        </w:rPr>
        <w:t>6.41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43.56</w:t>
      </w:r>
      <w:r>
        <w:rPr>
          <w:rFonts w:hint="eastAsia" w:ascii="仿宋" w:hAnsi="仿宋" w:eastAsia="仿宋"/>
          <w:sz w:val="32"/>
          <w:szCs w:val="32"/>
        </w:rPr>
        <w:t>万元，占</w:t>
      </w:r>
      <w:r>
        <w:rPr>
          <w:rFonts w:hint="eastAsia" w:ascii="仿宋" w:hAnsi="仿宋" w:eastAsia="仿宋"/>
          <w:sz w:val="32"/>
          <w:szCs w:val="32"/>
          <w:lang w:val="en-US" w:eastAsia="zh-CN"/>
        </w:rPr>
        <w:t>3.21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65.35</w:t>
      </w:r>
      <w:r>
        <w:rPr>
          <w:rFonts w:hint="eastAsia" w:ascii="仿宋" w:hAnsi="仿宋" w:eastAsia="仿宋"/>
          <w:sz w:val="32"/>
          <w:szCs w:val="32"/>
        </w:rPr>
        <w:t>万元，占</w:t>
      </w:r>
      <w:r>
        <w:rPr>
          <w:rFonts w:hint="eastAsia" w:ascii="仿宋" w:hAnsi="仿宋" w:eastAsia="仿宋"/>
          <w:sz w:val="32"/>
          <w:szCs w:val="32"/>
          <w:lang w:val="en-US" w:eastAsia="zh-CN"/>
        </w:rPr>
        <w:t>4.81</w:t>
      </w:r>
      <w:r>
        <w:rPr>
          <w:rFonts w:ascii="仿宋" w:hAnsi="仿宋" w:eastAsia="仿宋"/>
          <w:sz w:val="32"/>
          <w:szCs w:val="32"/>
        </w:rPr>
        <w:t>%</w:t>
      </w:r>
      <w:r>
        <w:rPr>
          <w:rFonts w:hint="eastAsia" w:ascii="仿宋" w:hAnsi="仿宋" w:eastAsia="仿宋"/>
          <w:sz w:val="32"/>
          <w:szCs w:val="32"/>
        </w:rPr>
        <w:t>。</w:t>
      </w:r>
    </w:p>
    <w:p>
      <w:pPr>
        <w:pStyle w:val="2"/>
        <w:rPr>
          <w:rFonts w:hint="eastAsia" w:ascii="仿宋" w:hAnsi="仿宋" w:eastAsia="仿宋"/>
          <w:b/>
          <w:sz w:val="32"/>
          <w:szCs w:val="32"/>
        </w:rPr>
      </w:pPr>
    </w:p>
    <w:p>
      <w:pPr>
        <w:pStyle w:val="2"/>
        <w:rPr>
          <w:rFonts w:hint="eastAsia" w:ascii="仿宋" w:hAnsi="仿宋" w:eastAsia="仿宋"/>
          <w:b/>
          <w:sz w:val="32"/>
          <w:szCs w:val="32"/>
        </w:rPr>
      </w:pPr>
    </w:p>
    <w:p>
      <w:pPr>
        <w:pStyle w:val="2"/>
        <w:rPr>
          <w:rFonts w:hint="eastAsia" w:ascii="仿宋" w:hAnsi="仿宋" w:eastAsia="仿宋"/>
          <w:b/>
          <w:sz w:val="32"/>
          <w:szCs w:val="32"/>
        </w:rPr>
      </w:pPr>
      <w:r>
        <w:drawing>
          <wp:inline distT="0" distB="0" distL="114300" distR="114300">
            <wp:extent cx="4605020" cy="2743200"/>
            <wp:effectExtent l="4445" t="4445" r="1968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hint="eastAsia" w:ascii="仿宋" w:hAnsi="仿宋" w:eastAsia="仿宋"/>
          <w:b/>
          <w:sz w:val="32"/>
          <w:szCs w:val="32"/>
        </w:rPr>
      </w:pPr>
    </w:p>
    <w:p>
      <w:pPr>
        <w:pStyle w:val="2"/>
        <w:rPr>
          <w:rFonts w:hint="eastAsia" w:ascii="仿宋" w:hAnsi="仿宋" w:eastAsia="仿宋"/>
          <w:b/>
          <w:sz w:val="32"/>
          <w:szCs w:val="32"/>
        </w:rPr>
      </w:pPr>
    </w:p>
    <w:p>
      <w:pPr>
        <w:pStyle w:val="2"/>
        <w:rPr>
          <w:rFonts w:hint="eastAsia" w:ascii="仿宋" w:hAnsi="仿宋" w:eastAsia="仿宋"/>
          <w:b/>
          <w:sz w:val="32"/>
          <w:szCs w:val="32"/>
        </w:rPr>
      </w:pPr>
    </w:p>
    <w:p>
      <w:pPr>
        <w:pStyle w:val="2"/>
        <w:rPr>
          <w:rFonts w:hint="eastAsia" w:ascii="仿宋" w:hAnsi="仿宋" w:eastAsia="仿宋"/>
          <w:b/>
          <w:sz w:val="32"/>
          <w:szCs w:val="32"/>
        </w:rPr>
      </w:pP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3" w:firstLineChars="200"/>
        <w:outlineLvl w:val="2"/>
        <w:rPr>
          <w:rFonts w:ascii="仿宋" w:hAnsi="仿宋" w:eastAsia="仿宋"/>
          <w:sz w:val="32"/>
          <w:szCs w:val="32"/>
        </w:rPr>
      </w:pPr>
      <w:bookmarkStart w:id="35" w:name="_Toc15377213"/>
      <w:bookmarkStart w:id="36" w:name="_Toc15378460"/>
      <w:bookmarkStart w:id="37"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1358.31</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35"/>
      <w:bookmarkEnd w:id="36"/>
      <w:bookmarkEnd w:id="37"/>
    </w:p>
    <w:p>
      <w:pPr>
        <w:spacing w:line="600" w:lineRule="exact"/>
        <w:ind w:firstLine="643" w:firstLineChars="200"/>
        <w:rPr>
          <w:rFonts w:hint="eastAsia" w:ascii="仿宋" w:hAnsi="仿宋" w:eastAsia="仿宋"/>
          <w:b/>
          <w:sz w:val="32"/>
          <w:szCs w:val="32"/>
          <w:lang w:val="en-US" w:eastAsia="zh-CN"/>
        </w:rPr>
      </w:pPr>
      <w:r>
        <w:rPr>
          <w:rStyle w:val="15"/>
          <w:rFonts w:ascii="仿宋" w:hAnsi="仿宋" w:eastAsia="仿宋"/>
          <w:bCs/>
          <w:sz w:val="32"/>
          <w:szCs w:val="32"/>
        </w:rPr>
        <w:t>1.</w:t>
      </w:r>
      <w:r>
        <w:rPr>
          <w:rStyle w:val="15"/>
          <w:rFonts w:hint="eastAsia" w:ascii="仿宋" w:hAnsi="仿宋" w:eastAsia="仿宋"/>
          <w:bCs/>
          <w:sz w:val="32"/>
          <w:szCs w:val="32"/>
        </w:rPr>
        <w:t>一般公共服务</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0</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Style w:val="15"/>
          <w:rFonts w:hint="eastAsia" w:ascii="宋体" w:hAnsi="宋体" w:eastAsia="宋体" w:cs="宋体"/>
          <w:b w:val="0"/>
          <w:bCs/>
          <w:color w:val="000000"/>
          <w:sz w:val="28"/>
          <w:szCs w:val="28"/>
        </w:rPr>
      </w:pPr>
      <w:r>
        <w:rPr>
          <w:rStyle w:val="15"/>
          <w:rFonts w:ascii="仿宋" w:hAnsi="仿宋" w:eastAsia="仿宋"/>
          <w:bCs/>
          <w:sz w:val="32"/>
          <w:szCs w:val="32"/>
        </w:rPr>
        <w:t>2.</w:t>
      </w:r>
      <w:r>
        <w:rPr>
          <w:rStyle w:val="15"/>
          <w:rFonts w:hint="eastAsia" w:ascii="宋体" w:hAnsi="宋体" w:eastAsia="宋体" w:cs="宋体"/>
          <w:bCs/>
          <w:color w:val="000000"/>
          <w:sz w:val="28"/>
          <w:szCs w:val="28"/>
        </w:rPr>
        <w:t>教育（类）</w:t>
      </w:r>
      <w:r>
        <w:rPr>
          <w:rStyle w:val="15"/>
          <w:rFonts w:hint="eastAsia" w:ascii="宋体" w:hAnsi="宋体" w:eastAsia="宋体" w:cs="宋体"/>
          <w:bCs/>
          <w:color w:val="000000"/>
          <w:sz w:val="28"/>
          <w:szCs w:val="28"/>
          <w:lang w:eastAsia="zh-CN"/>
        </w:rPr>
        <w:t>普通教育</w:t>
      </w:r>
      <w:r>
        <w:rPr>
          <w:rStyle w:val="15"/>
          <w:rFonts w:hint="eastAsia" w:ascii="宋体" w:hAnsi="宋体" w:eastAsia="宋体" w:cs="宋体"/>
          <w:bCs/>
          <w:color w:val="000000"/>
          <w:sz w:val="28"/>
          <w:szCs w:val="28"/>
        </w:rPr>
        <w:t>（款）</w:t>
      </w:r>
      <w:r>
        <w:rPr>
          <w:rStyle w:val="15"/>
          <w:rFonts w:hint="eastAsia" w:ascii="宋体" w:hAnsi="宋体" w:eastAsia="宋体" w:cs="宋体"/>
          <w:bCs/>
          <w:color w:val="000000"/>
          <w:sz w:val="28"/>
          <w:szCs w:val="28"/>
          <w:lang w:eastAsia="zh-CN"/>
        </w:rPr>
        <w:t>学前教育</w:t>
      </w:r>
      <w:r>
        <w:rPr>
          <w:rStyle w:val="15"/>
          <w:rFonts w:hint="eastAsia" w:ascii="宋体" w:hAnsi="宋体" w:eastAsia="宋体" w:cs="宋体"/>
          <w:bCs/>
          <w:color w:val="000000"/>
          <w:sz w:val="28"/>
          <w:szCs w:val="28"/>
        </w:rPr>
        <w:t>（项）</w:t>
      </w:r>
      <w:r>
        <w:rPr>
          <w:rStyle w:val="15"/>
          <w:rFonts w:hint="eastAsia" w:ascii="宋体" w:hAnsi="宋体" w:cs="宋体"/>
          <w:bCs/>
          <w:color w:val="000000"/>
          <w:sz w:val="28"/>
          <w:szCs w:val="28"/>
          <w:lang w:eastAsia="zh-CN"/>
        </w:rPr>
        <w:t>：</w:t>
      </w:r>
      <w:r>
        <w:rPr>
          <w:rStyle w:val="15"/>
          <w:rFonts w:hint="eastAsia" w:ascii="宋体" w:hAnsi="宋体" w:eastAsia="宋体" w:cs="宋体"/>
          <w:b w:val="0"/>
          <w:bCs/>
          <w:color w:val="000000"/>
          <w:sz w:val="28"/>
          <w:szCs w:val="28"/>
        </w:rPr>
        <w:t xml:space="preserve"> 支出决算为</w:t>
      </w:r>
      <w:r>
        <w:rPr>
          <w:rStyle w:val="15"/>
          <w:rFonts w:hint="eastAsia" w:ascii="宋体" w:hAnsi="宋体" w:eastAsia="宋体" w:cs="宋体"/>
          <w:b w:val="0"/>
          <w:bCs/>
          <w:color w:val="000000"/>
          <w:sz w:val="28"/>
          <w:szCs w:val="28"/>
          <w:lang w:val="en-US" w:eastAsia="zh-CN"/>
        </w:rPr>
        <w:t>124.13</w:t>
      </w:r>
      <w:r>
        <w:rPr>
          <w:rStyle w:val="15"/>
          <w:rFonts w:hint="eastAsia" w:ascii="宋体" w:hAnsi="宋体" w:eastAsia="宋体" w:cs="宋体"/>
          <w:b w:val="0"/>
          <w:bCs/>
          <w:color w:val="000000"/>
          <w:sz w:val="28"/>
          <w:szCs w:val="28"/>
        </w:rPr>
        <w:t>万元，完成预算</w:t>
      </w:r>
      <w:r>
        <w:rPr>
          <w:rStyle w:val="15"/>
          <w:rFonts w:hint="eastAsia" w:ascii="宋体" w:hAnsi="宋体" w:eastAsia="宋体" w:cs="宋体"/>
          <w:b w:val="0"/>
          <w:bCs/>
          <w:color w:val="000000"/>
          <w:sz w:val="28"/>
          <w:szCs w:val="28"/>
          <w:lang w:val="en-US" w:eastAsia="zh-CN"/>
        </w:rPr>
        <w:t>100</w:t>
      </w:r>
      <w:r>
        <w:rPr>
          <w:rStyle w:val="15"/>
          <w:rFonts w:hint="eastAsia" w:ascii="宋体" w:hAnsi="宋体" w:eastAsia="宋体" w:cs="宋体"/>
          <w:b w:val="0"/>
          <w:bCs/>
          <w:color w:val="000000"/>
          <w:sz w:val="28"/>
          <w:szCs w:val="28"/>
        </w:rPr>
        <w:t>%，决算数等于预算数。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Style w:val="15"/>
          <w:rFonts w:hint="eastAsia" w:ascii="宋体" w:hAnsi="宋体" w:eastAsia="宋体" w:cs="宋体"/>
          <w:b w:val="0"/>
          <w:bCs/>
          <w:color w:val="000000"/>
          <w:sz w:val="28"/>
          <w:szCs w:val="28"/>
          <w:lang w:eastAsia="zh-CN"/>
        </w:rPr>
      </w:pPr>
      <w:r>
        <w:rPr>
          <w:rStyle w:val="15"/>
          <w:rFonts w:hint="eastAsia" w:ascii="宋体" w:hAnsi="宋体" w:eastAsia="宋体" w:cs="宋体"/>
          <w:bCs/>
          <w:color w:val="000000"/>
          <w:sz w:val="28"/>
          <w:szCs w:val="28"/>
          <w:lang w:val="en-US" w:eastAsia="zh-CN"/>
        </w:rPr>
        <w:t>3</w:t>
      </w:r>
      <w:r>
        <w:rPr>
          <w:rStyle w:val="15"/>
          <w:rFonts w:hint="eastAsia" w:ascii="宋体" w:hAnsi="宋体" w:eastAsia="宋体" w:cs="宋体"/>
          <w:bCs/>
          <w:color w:val="000000"/>
          <w:sz w:val="28"/>
          <w:szCs w:val="28"/>
        </w:rPr>
        <w:t>.教育（类）</w:t>
      </w:r>
      <w:r>
        <w:rPr>
          <w:rStyle w:val="15"/>
          <w:rFonts w:hint="eastAsia" w:ascii="宋体" w:hAnsi="宋体" w:eastAsia="宋体" w:cs="宋体"/>
          <w:bCs/>
          <w:color w:val="000000"/>
          <w:sz w:val="28"/>
          <w:szCs w:val="28"/>
          <w:lang w:eastAsia="zh-CN"/>
        </w:rPr>
        <w:t>普通教育</w:t>
      </w:r>
      <w:r>
        <w:rPr>
          <w:rStyle w:val="15"/>
          <w:rFonts w:hint="eastAsia" w:ascii="宋体" w:hAnsi="宋体" w:eastAsia="宋体" w:cs="宋体"/>
          <w:bCs/>
          <w:color w:val="000000"/>
          <w:sz w:val="28"/>
          <w:szCs w:val="28"/>
        </w:rPr>
        <w:t>（款）</w:t>
      </w:r>
      <w:r>
        <w:rPr>
          <w:rStyle w:val="15"/>
          <w:rFonts w:hint="eastAsia" w:ascii="宋体" w:hAnsi="宋体" w:eastAsia="宋体" w:cs="宋体"/>
          <w:bCs/>
          <w:color w:val="000000"/>
          <w:sz w:val="28"/>
          <w:szCs w:val="28"/>
          <w:lang w:eastAsia="zh-CN"/>
        </w:rPr>
        <w:t>小学教育</w:t>
      </w:r>
      <w:r>
        <w:rPr>
          <w:rStyle w:val="15"/>
          <w:rFonts w:hint="eastAsia" w:ascii="宋体" w:hAnsi="宋体" w:eastAsia="宋体" w:cs="宋体"/>
          <w:bCs/>
          <w:color w:val="000000"/>
          <w:sz w:val="28"/>
          <w:szCs w:val="28"/>
        </w:rPr>
        <w:t>（项）</w:t>
      </w:r>
      <w:r>
        <w:rPr>
          <w:rStyle w:val="15"/>
          <w:rFonts w:hint="eastAsia" w:ascii="宋体" w:hAnsi="宋体" w:cs="宋体"/>
          <w:bCs/>
          <w:color w:val="000000"/>
          <w:sz w:val="28"/>
          <w:szCs w:val="28"/>
          <w:lang w:eastAsia="zh-CN"/>
        </w:rPr>
        <w:t>：</w:t>
      </w:r>
      <w:r>
        <w:rPr>
          <w:rStyle w:val="15"/>
          <w:rFonts w:hint="eastAsia" w:ascii="宋体" w:hAnsi="宋体" w:eastAsia="宋体" w:cs="宋体"/>
          <w:b w:val="0"/>
          <w:bCs/>
          <w:color w:val="000000"/>
          <w:sz w:val="28"/>
          <w:szCs w:val="28"/>
        </w:rPr>
        <w:t xml:space="preserve"> 支出决算为</w:t>
      </w:r>
      <w:r>
        <w:rPr>
          <w:rStyle w:val="15"/>
          <w:rFonts w:hint="eastAsia" w:ascii="宋体" w:hAnsi="宋体" w:eastAsia="宋体" w:cs="宋体"/>
          <w:b w:val="0"/>
          <w:bCs/>
          <w:color w:val="000000"/>
          <w:sz w:val="28"/>
          <w:szCs w:val="28"/>
          <w:lang w:val="en-US" w:eastAsia="zh-CN"/>
        </w:rPr>
        <w:t>1038.14</w:t>
      </w:r>
      <w:r>
        <w:rPr>
          <w:rStyle w:val="15"/>
          <w:rFonts w:hint="eastAsia" w:ascii="宋体" w:hAnsi="宋体" w:eastAsia="宋体" w:cs="宋体"/>
          <w:b w:val="0"/>
          <w:bCs/>
          <w:color w:val="000000"/>
          <w:sz w:val="28"/>
          <w:szCs w:val="28"/>
        </w:rPr>
        <w:t>万元，完成预算</w:t>
      </w:r>
      <w:r>
        <w:rPr>
          <w:rStyle w:val="15"/>
          <w:rFonts w:hint="eastAsia" w:ascii="宋体" w:hAnsi="宋体" w:eastAsia="宋体" w:cs="宋体"/>
          <w:b w:val="0"/>
          <w:bCs/>
          <w:color w:val="000000"/>
          <w:sz w:val="28"/>
          <w:szCs w:val="28"/>
          <w:lang w:val="en-US" w:eastAsia="zh-CN"/>
        </w:rPr>
        <w:t>100</w:t>
      </w:r>
      <w:r>
        <w:rPr>
          <w:rStyle w:val="15"/>
          <w:rFonts w:hint="eastAsia" w:ascii="宋体" w:hAnsi="宋体" w:eastAsia="宋体" w:cs="宋体"/>
          <w:b w:val="0"/>
          <w:bCs/>
          <w:color w:val="000000"/>
          <w:sz w:val="28"/>
          <w:szCs w:val="28"/>
        </w:rPr>
        <w:t>%</w:t>
      </w:r>
      <w:r>
        <w:rPr>
          <w:rStyle w:val="15"/>
          <w:rFonts w:hint="eastAsia" w:ascii="宋体" w:hAnsi="宋体" w:eastAsia="宋体" w:cs="宋体"/>
          <w:b w:val="0"/>
          <w:bCs/>
          <w:color w:val="000000"/>
          <w:sz w:val="28"/>
          <w:szCs w:val="28"/>
          <w:lang w:eastAsia="zh-CN"/>
        </w:rPr>
        <w:t>，</w:t>
      </w:r>
      <w:r>
        <w:rPr>
          <w:rStyle w:val="15"/>
          <w:rFonts w:hint="eastAsia" w:ascii="宋体" w:hAnsi="宋体" w:eastAsia="宋体" w:cs="宋体"/>
          <w:b w:val="0"/>
          <w:bCs/>
          <w:color w:val="000000"/>
          <w:sz w:val="28"/>
          <w:szCs w:val="28"/>
        </w:rPr>
        <w:t>决算数等于预算数</w:t>
      </w:r>
      <w:r>
        <w:rPr>
          <w:rStyle w:val="15"/>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color w:val="000000"/>
          <w:sz w:val="28"/>
          <w:szCs w:val="28"/>
        </w:rPr>
      </w:pPr>
      <w:r>
        <w:rPr>
          <w:rStyle w:val="15"/>
          <w:rFonts w:hint="eastAsia" w:ascii="宋体" w:hAnsi="宋体" w:eastAsia="宋体" w:cs="宋体"/>
          <w:bCs/>
          <w:color w:val="000000"/>
          <w:sz w:val="28"/>
          <w:szCs w:val="28"/>
          <w:lang w:val="en-US" w:eastAsia="zh-CN"/>
        </w:rPr>
        <w:t>4</w:t>
      </w:r>
      <w:r>
        <w:rPr>
          <w:rStyle w:val="15"/>
          <w:rFonts w:hint="eastAsia" w:ascii="宋体" w:hAnsi="宋体" w:eastAsia="宋体" w:cs="宋体"/>
          <w:bCs/>
          <w:color w:val="000000"/>
          <w:sz w:val="28"/>
          <w:szCs w:val="28"/>
        </w:rPr>
        <w:t>.社会保障和就业（类）行政事业单位养老（款）机关事业单位基本养老保险缴费（项）</w:t>
      </w:r>
      <w:r>
        <w:rPr>
          <w:rStyle w:val="15"/>
          <w:rFonts w:hint="eastAsia" w:ascii="宋体" w:hAnsi="宋体" w:cs="宋体"/>
          <w:bCs/>
          <w:color w:val="000000"/>
          <w:sz w:val="28"/>
          <w:szCs w:val="28"/>
          <w:lang w:eastAsia="zh-CN"/>
        </w:rPr>
        <w:t>：</w:t>
      </w:r>
      <w:r>
        <w:rPr>
          <w:rStyle w:val="15"/>
          <w:rFonts w:hint="eastAsia" w:ascii="宋体" w:hAnsi="宋体" w:eastAsia="宋体" w:cs="宋体"/>
          <w:b w:val="0"/>
          <w:bCs/>
          <w:color w:val="000000"/>
          <w:sz w:val="28"/>
          <w:szCs w:val="28"/>
        </w:rPr>
        <w:t xml:space="preserve"> 支出决算为</w:t>
      </w:r>
      <w:r>
        <w:rPr>
          <w:rStyle w:val="15"/>
          <w:rFonts w:hint="eastAsia" w:ascii="宋体" w:hAnsi="宋体" w:eastAsia="宋体" w:cs="宋体"/>
          <w:b w:val="0"/>
          <w:bCs/>
          <w:color w:val="000000"/>
          <w:sz w:val="28"/>
          <w:szCs w:val="28"/>
          <w:lang w:val="en-US" w:eastAsia="zh-CN"/>
        </w:rPr>
        <w:t>87.13</w:t>
      </w:r>
      <w:r>
        <w:rPr>
          <w:rStyle w:val="15"/>
          <w:rFonts w:hint="eastAsia" w:ascii="宋体" w:hAnsi="宋体" w:eastAsia="宋体" w:cs="宋体"/>
          <w:b w:val="0"/>
          <w:bCs/>
          <w:color w:val="000000"/>
          <w:sz w:val="28"/>
          <w:szCs w:val="28"/>
        </w:rPr>
        <w:t>万元，完成预算</w:t>
      </w:r>
      <w:r>
        <w:rPr>
          <w:rStyle w:val="15"/>
          <w:rFonts w:hint="eastAsia" w:ascii="宋体" w:hAnsi="宋体" w:eastAsia="宋体" w:cs="宋体"/>
          <w:b w:val="0"/>
          <w:bCs/>
          <w:color w:val="000000"/>
          <w:sz w:val="28"/>
          <w:szCs w:val="28"/>
          <w:lang w:val="en-US" w:eastAsia="zh-CN"/>
        </w:rPr>
        <w:t>100</w:t>
      </w:r>
      <w:r>
        <w:rPr>
          <w:rStyle w:val="15"/>
          <w:rFonts w:hint="eastAsia" w:ascii="宋体" w:hAnsi="宋体" w:eastAsia="宋体" w:cs="宋体"/>
          <w:b w:val="0"/>
          <w:bCs/>
          <w:color w:val="000000"/>
          <w:sz w:val="28"/>
          <w:szCs w:val="28"/>
        </w:rPr>
        <w:t>%，决算数等于预算数。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Style w:val="15"/>
          <w:rFonts w:hint="eastAsia" w:ascii="宋体" w:hAnsi="宋体" w:eastAsia="宋体" w:cs="宋体"/>
          <w:b w:val="0"/>
          <w:bCs/>
          <w:color w:val="000000"/>
          <w:sz w:val="28"/>
          <w:szCs w:val="28"/>
        </w:rPr>
      </w:pPr>
      <w:r>
        <w:rPr>
          <w:rStyle w:val="15"/>
          <w:rFonts w:hint="eastAsia" w:ascii="宋体" w:hAnsi="宋体" w:eastAsia="宋体" w:cs="宋体"/>
          <w:bCs/>
          <w:color w:val="000000"/>
          <w:sz w:val="28"/>
          <w:szCs w:val="28"/>
          <w:lang w:val="en-US" w:eastAsia="zh-CN"/>
        </w:rPr>
        <w:t>5</w:t>
      </w:r>
      <w:r>
        <w:rPr>
          <w:rStyle w:val="15"/>
          <w:rFonts w:hint="eastAsia" w:ascii="宋体" w:hAnsi="宋体" w:eastAsia="宋体" w:cs="宋体"/>
          <w:bCs/>
          <w:color w:val="000000"/>
          <w:sz w:val="28"/>
          <w:szCs w:val="28"/>
        </w:rPr>
        <w:t>.</w:t>
      </w:r>
      <w:r>
        <w:rPr>
          <w:rFonts w:hint="eastAsia" w:ascii="宋体" w:hAnsi="宋体" w:eastAsia="宋体" w:cs="宋体"/>
          <w:b/>
          <w:bCs/>
          <w:color w:val="000000"/>
          <w:sz w:val="28"/>
          <w:szCs w:val="28"/>
        </w:rPr>
        <w:t>卫生健康</w:t>
      </w:r>
      <w:r>
        <w:rPr>
          <w:rStyle w:val="15"/>
          <w:rFonts w:hint="eastAsia" w:ascii="宋体" w:hAnsi="宋体" w:eastAsia="宋体" w:cs="宋体"/>
          <w:bCs/>
          <w:color w:val="000000"/>
          <w:sz w:val="28"/>
          <w:szCs w:val="28"/>
        </w:rPr>
        <w:t>（类）行政事业单位医疗（款）事业单位医疗（项）</w:t>
      </w:r>
      <w:r>
        <w:rPr>
          <w:rStyle w:val="15"/>
          <w:rFonts w:hint="eastAsia" w:ascii="宋体" w:hAnsi="宋体" w:cs="宋体"/>
          <w:bCs/>
          <w:color w:val="000000"/>
          <w:sz w:val="28"/>
          <w:szCs w:val="28"/>
          <w:lang w:eastAsia="zh-CN"/>
        </w:rPr>
        <w:t>：</w:t>
      </w:r>
      <w:r>
        <w:rPr>
          <w:rStyle w:val="15"/>
          <w:rFonts w:hint="eastAsia" w:ascii="宋体" w:hAnsi="宋体" w:eastAsia="宋体" w:cs="宋体"/>
          <w:b w:val="0"/>
          <w:bCs/>
          <w:color w:val="000000"/>
          <w:sz w:val="28"/>
          <w:szCs w:val="28"/>
        </w:rPr>
        <w:t>支出决算为</w:t>
      </w:r>
      <w:r>
        <w:rPr>
          <w:rStyle w:val="15"/>
          <w:rFonts w:hint="eastAsia" w:ascii="宋体" w:hAnsi="宋体" w:eastAsia="宋体" w:cs="宋体"/>
          <w:b w:val="0"/>
          <w:bCs/>
          <w:color w:val="000000"/>
          <w:sz w:val="28"/>
          <w:szCs w:val="28"/>
          <w:lang w:val="en-US" w:eastAsia="zh-CN"/>
        </w:rPr>
        <w:t>43.56</w:t>
      </w:r>
      <w:r>
        <w:rPr>
          <w:rStyle w:val="15"/>
          <w:rFonts w:hint="eastAsia" w:ascii="宋体" w:hAnsi="宋体" w:eastAsia="宋体" w:cs="宋体"/>
          <w:b w:val="0"/>
          <w:bCs/>
          <w:color w:val="000000"/>
          <w:sz w:val="28"/>
          <w:szCs w:val="28"/>
        </w:rPr>
        <w:t>万元，完成预算</w:t>
      </w:r>
      <w:r>
        <w:rPr>
          <w:rStyle w:val="15"/>
          <w:rFonts w:hint="eastAsia" w:ascii="宋体" w:hAnsi="宋体" w:eastAsia="宋体" w:cs="宋体"/>
          <w:b w:val="0"/>
          <w:bCs/>
          <w:color w:val="000000"/>
          <w:sz w:val="28"/>
          <w:szCs w:val="28"/>
          <w:lang w:val="en-US" w:eastAsia="zh-CN"/>
        </w:rPr>
        <w:t>100</w:t>
      </w:r>
      <w:r>
        <w:rPr>
          <w:rStyle w:val="15"/>
          <w:rFonts w:hint="eastAsia" w:ascii="宋体" w:hAnsi="宋体" w:eastAsia="宋体" w:cs="宋体"/>
          <w:b w:val="0"/>
          <w:bCs/>
          <w:color w:val="000000"/>
          <w:sz w:val="28"/>
          <w:szCs w:val="28"/>
        </w:rPr>
        <w:t>%，决算数等于预算数。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color w:val="000000"/>
          <w:sz w:val="28"/>
          <w:szCs w:val="28"/>
        </w:rPr>
      </w:pPr>
      <w:r>
        <w:rPr>
          <w:rStyle w:val="15"/>
          <w:rFonts w:hint="eastAsia" w:ascii="宋体" w:hAnsi="宋体" w:eastAsia="宋体" w:cs="宋体"/>
          <w:bCs/>
          <w:color w:val="000000"/>
          <w:sz w:val="28"/>
          <w:szCs w:val="28"/>
          <w:lang w:val="en-US" w:eastAsia="zh-CN"/>
        </w:rPr>
        <w:t>6</w:t>
      </w:r>
      <w:r>
        <w:rPr>
          <w:rStyle w:val="15"/>
          <w:rFonts w:hint="eastAsia" w:ascii="宋体" w:hAnsi="宋体" w:eastAsia="宋体" w:cs="宋体"/>
          <w:bCs/>
          <w:color w:val="000000"/>
          <w:sz w:val="28"/>
          <w:szCs w:val="28"/>
        </w:rPr>
        <w:t>.</w:t>
      </w:r>
      <w:r>
        <w:rPr>
          <w:rFonts w:hint="eastAsia" w:ascii="宋体" w:hAnsi="宋体" w:eastAsia="宋体" w:cs="宋体"/>
          <w:b/>
          <w:bCs/>
          <w:color w:val="000000"/>
          <w:sz w:val="28"/>
          <w:szCs w:val="28"/>
        </w:rPr>
        <w:t>住房保障支出</w:t>
      </w:r>
      <w:r>
        <w:rPr>
          <w:rStyle w:val="15"/>
          <w:rFonts w:hint="eastAsia" w:ascii="宋体" w:hAnsi="宋体" w:eastAsia="宋体" w:cs="宋体"/>
          <w:bCs/>
          <w:color w:val="000000"/>
          <w:sz w:val="28"/>
          <w:szCs w:val="28"/>
        </w:rPr>
        <w:t>（类）住房改革支出（款）住房公积金（项）</w:t>
      </w:r>
      <w:r>
        <w:rPr>
          <w:rStyle w:val="15"/>
          <w:rFonts w:hint="eastAsia" w:ascii="宋体" w:hAnsi="宋体" w:cs="宋体"/>
          <w:bCs/>
          <w:color w:val="000000"/>
          <w:sz w:val="28"/>
          <w:szCs w:val="28"/>
          <w:lang w:eastAsia="zh-CN"/>
        </w:rPr>
        <w:t>：</w:t>
      </w:r>
      <w:r>
        <w:rPr>
          <w:rStyle w:val="15"/>
          <w:rFonts w:hint="eastAsia" w:ascii="宋体" w:hAnsi="宋体" w:eastAsia="宋体" w:cs="宋体"/>
          <w:b w:val="0"/>
          <w:bCs/>
          <w:color w:val="000000"/>
          <w:sz w:val="28"/>
          <w:szCs w:val="28"/>
        </w:rPr>
        <w:t>支出决算为</w:t>
      </w:r>
      <w:r>
        <w:rPr>
          <w:rStyle w:val="15"/>
          <w:rFonts w:hint="eastAsia" w:ascii="宋体" w:hAnsi="宋体" w:eastAsia="宋体" w:cs="宋体"/>
          <w:b w:val="0"/>
          <w:bCs/>
          <w:color w:val="000000"/>
          <w:sz w:val="28"/>
          <w:szCs w:val="28"/>
          <w:lang w:val="en-US" w:eastAsia="zh-CN"/>
        </w:rPr>
        <w:t>65.35</w:t>
      </w:r>
      <w:r>
        <w:rPr>
          <w:rStyle w:val="15"/>
          <w:rFonts w:hint="eastAsia" w:ascii="宋体" w:hAnsi="宋体" w:eastAsia="宋体" w:cs="宋体"/>
          <w:b w:val="0"/>
          <w:bCs/>
          <w:color w:val="000000"/>
          <w:sz w:val="28"/>
          <w:szCs w:val="28"/>
        </w:rPr>
        <w:t>万元，完成预算</w:t>
      </w:r>
      <w:r>
        <w:rPr>
          <w:rStyle w:val="15"/>
          <w:rFonts w:hint="eastAsia" w:ascii="宋体" w:hAnsi="宋体" w:eastAsia="宋体" w:cs="宋体"/>
          <w:b w:val="0"/>
          <w:bCs/>
          <w:color w:val="000000"/>
          <w:sz w:val="28"/>
          <w:szCs w:val="28"/>
          <w:lang w:val="en-US" w:eastAsia="zh-CN"/>
        </w:rPr>
        <w:t>100</w:t>
      </w:r>
      <w:r>
        <w:rPr>
          <w:rStyle w:val="15"/>
          <w:rFonts w:hint="eastAsia" w:ascii="宋体" w:hAnsi="宋体" w:eastAsia="宋体" w:cs="宋体"/>
          <w:b w:val="0"/>
          <w:bCs/>
          <w:color w:val="000000"/>
          <w:sz w:val="28"/>
          <w:szCs w:val="28"/>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8" w:name="_Toc15396608"/>
      <w:bookmarkStart w:id="3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8"/>
      <w:bookmarkEnd w:id="39"/>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1358.31</w:t>
      </w:r>
      <w:r>
        <w:rPr>
          <w:rFonts w:hint="eastAsia" w:ascii="仿宋" w:hAnsi="仿宋" w:eastAsia="仿宋"/>
          <w:sz w:val="32"/>
          <w:szCs w:val="32"/>
        </w:rPr>
        <w:t>万元，其中：</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1128.59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仿宋" w:hAnsi="仿宋" w:eastAsia="仿宋"/>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199.72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资本性支出30万元，主要是校舍维修项目支出。</w:t>
      </w:r>
    </w:p>
    <w:p>
      <w:pPr>
        <w:spacing w:line="600" w:lineRule="exact"/>
        <w:ind w:firstLine="645"/>
        <w:rPr>
          <w:rFonts w:ascii="仿宋" w:hAnsi="仿宋" w:eastAsia="仿宋"/>
          <w:sz w:val="32"/>
          <w:szCs w:val="32"/>
        </w:rPr>
      </w:pP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40" w:name="_Toc15377215"/>
      <w:bookmarkStart w:id="41"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w:t>
      </w:r>
      <w:r>
        <w:rPr>
          <w:rFonts w:hint="eastAsia" w:ascii="仿宋" w:hAnsi="仿宋" w:eastAsia="仿宋"/>
          <w:sz w:val="32"/>
          <w:szCs w:val="32"/>
        </w:rPr>
        <w:t>万元，下降</w:t>
      </w:r>
      <w:r>
        <w:rPr>
          <w:rFonts w:hint="eastAsia" w:ascii="仿宋" w:hAnsi="仿宋" w:eastAsia="仿宋"/>
          <w:sz w:val="32"/>
          <w:szCs w:val="32"/>
          <w:lang w:val="en-US" w:eastAsia="zh-CN"/>
        </w:rPr>
        <w:t>20.83</w:t>
      </w:r>
      <w:r>
        <w:rPr>
          <w:rFonts w:hint="eastAsia" w:ascii="仿宋" w:hAnsi="仿宋" w:eastAsia="仿宋"/>
          <w:sz w:val="32"/>
          <w:szCs w:val="32"/>
        </w:rPr>
        <w:t>%。决算数</w:t>
      </w:r>
      <w:r>
        <w:rPr>
          <w:rFonts w:hint="eastAsia" w:ascii="仿宋" w:hAnsi="仿宋" w:eastAsia="仿宋"/>
          <w:sz w:val="32"/>
          <w:szCs w:val="32"/>
          <w:lang w:val="en-US" w:eastAsia="zh-CN"/>
        </w:rPr>
        <w:t>等于</w:t>
      </w:r>
      <w:r>
        <w:rPr>
          <w:rFonts w:hint="eastAsia" w:ascii="仿宋" w:hAnsi="仿宋" w:eastAsia="仿宋"/>
          <w:sz w:val="32"/>
          <w:szCs w:val="32"/>
        </w:rPr>
        <w:t>预算数。</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r>
        <w:drawing>
          <wp:inline distT="0" distB="0" distL="114300" distR="114300">
            <wp:extent cx="4563110" cy="2654300"/>
            <wp:effectExtent l="4445" t="4445" r="23495" b="825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eastAsia"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keepNext w:val="0"/>
        <w:keepLines w:val="0"/>
        <w:pageBreakBefore w:val="0"/>
        <w:widowControl w:val="0"/>
        <w:kinsoku/>
        <w:wordWrap/>
        <w:overflowPunct/>
        <w:topLinePunct w:val="0"/>
        <w:bidi w:val="0"/>
        <w:adjustRightInd/>
        <w:snapToGrid/>
        <w:spacing w:line="240" w:lineRule="auto"/>
        <w:ind w:firstLine="640"/>
        <w:textAlignment w:val="auto"/>
        <w:rPr>
          <w:rFonts w:hint="eastAsia" w:ascii="宋体" w:hAnsi="宋体" w:eastAsia="宋体" w:cs="宋体"/>
          <w:b/>
          <w:color w:val="000000"/>
          <w:sz w:val="28"/>
          <w:szCs w:val="28"/>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宋体" w:hAnsi="宋体" w:eastAsia="宋体" w:cs="宋体"/>
          <w:color w:val="000000"/>
          <w:sz w:val="28"/>
          <w:szCs w:val="28"/>
        </w:rPr>
        <w:t>因公出国（境）支出决算比20</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年增加</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万元，增长</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w:t>
      </w:r>
    </w:p>
    <w:p>
      <w:pPr>
        <w:spacing w:line="600" w:lineRule="exact"/>
        <w:ind w:firstLine="643" w:firstLineChars="200"/>
        <w:rPr>
          <w:rFonts w:hint="eastAsia" w:ascii="仿宋_GB2312" w:eastAsia="仿宋_GB2312"/>
          <w:b/>
          <w:sz w:val="32"/>
          <w:szCs w:val="32"/>
          <w:lang w:eastAsia="zh-CN"/>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w:t>
      </w:r>
      <w:r>
        <w:rPr>
          <w:rFonts w:hint="eastAsia" w:ascii="仿宋_GB2312" w:eastAsia="仿宋_GB2312"/>
          <w:sz w:val="32"/>
          <w:szCs w:val="32"/>
        </w:rPr>
        <w:t>万元，下降</w:t>
      </w:r>
      <w:r>
        <w:rPr>
          <w:rFonts w:hint="eastAsia" w:ascii="仿宋_GB2312" w:eastAsia="仿宋_GB2312"/>
          <w:sz w:val="32"/>
          <w:szCs w:val="32"/>
          <w:lang w:val="en-US" w:eastAsia="zh-CN"/>
        </w:rPr>
        <w:t>20.83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接待人次减少</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_GB2312" w:eastAsia="仿宋_GB2312"/>
          <w:sz w:val="32"/>
          <w:szCs w:val="32"/>
        </w:rPr>
        <w:t>万元，主要用于</w:t>
      </w:r>
      <w:r>
        <w:rPr>
          <w:rFonts w:hint="eastAsia" w:ascii="仿宋_GB2312" w:eastAsia="仿宋_GB2312" w:cs="仿宋_GB2312"/>
          <w:color w:val="000000"/>
          <w:sz w:val="32"/>
          <w:szCs w:val="32"/>
          <w:lang w:val="en-US" w:eastAsia="zh-CN"/>
        </w:rPr>
        <w:t>2022年各种考试监考教师生活住宿费、兄弟学校教学交流用餐费等</w:t>
      </w:r>
      <w:r>
        <w:rPr>
          <w:rFonts w:hint="eastAsia" w:ascii="仿宋_GB2312" w:eastAsia="仿宋_GB2312"/>
          <w:sz w:val="32"/>
          <w:szCs w:val="32"/>
        </w:rPr>
        <w:t>。国内公务接待</w:t>
      </w:r>
      <w:r>
        <w:rPr>
          <w:rFonts w:hint="eastAsia" w:ascii="仿宋_GB2312" w:eastAsia="仿宋_GB2312"/>
          <w:sz w:val="32"/>
          <w:szCs w:val="32"/>
          <w:lang w:val="en-US" w:eastAsia="zh-CN"/>
        </w:rPr>
        <w:t>12</w:t>
      </w:r>
      <w:r>
        <w:rPr>
          <w:rFonts w:hint="eastAsia" w:ascii="仿宋_GB2312" w:eastAsia="仿宋_GB2312"/>
          <w:sz w:val="32"/>
          <w:szCs w:val="32"/>
        </w:rPr>
        <w:t>批次，</w:t>
      </w:r>
      <w:r>
        <w:rPr>
          <w:rFonts w:hint="eastAsia" w:ascii="仿宋_GB2312" w:eastAsia="仿宋_GB2312"/>
          <w:sz w:val="32"/>
          <w:szCs w:val="32"/>
          <w:lang w:val="en-US" w:eastAsia="zh-CN"/>
        </w:rPr>
        <w:t>126</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0.38</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4" w:name="_Toc15396610"/>
      <w:bookmarkStart w:id="45"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2</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46" w:name="_Toc15396611"/>
      <w:bookmarkStart w:id="47" w:name="_Toc15377219"/>
      <w:r>
        <w:rPr>
          <w:rStyle w:val="26"/>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48" w:name="_Toc15377221"/>
      <w:bookmarkStart w:id="49" w:name="_Toc15396612"/>
      <w:r>
        <w:rPr>
          <w:rStyle w:val="26"/>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剑阁县元山小学校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剑阁县元山小学校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剑阁县元山小学校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0</w:t>
      </w:r>
      <w:r>
        <w:rPr>
          <w:rFonts w:hint="eastAsia" w:hAnsi="仿宋_GB2312" w:cs="仿宋_GB2312"/>
          <w:sz w:val="32"/>
          <w:szCs w:val="32"/>
        </w:rPr>
        <w:t>项目（项目名称）等</w:t>
      </w:r>
      <w:r>
        <w:rPr>
          <w:rFonts w:hint="eastAsia" w:hAnsi="仿宋_GB2312" w:cs="仿宋_GB2312"/>
          <w:sz w:val="32"/>
          <w:szCs w:val="32"/>
          <w:lang w:val="en-US" w:eastAsia="zh-CN"/>
        </w:rPr>
        <w:t>0</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0</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0</w:t>
      </w:r>
      <w:r>
        <w:rPr>
          <w:rFonts w:hint="eastAsia" w:hAnsi="仿宋_GB2312" w:cs="仿宋_GB2312"/>
          <w:sz w:val="32"/>
          <w:szCs w:val="32"/>
        </w:rPr>
        <w:t>个项目开展绩效监控，组织对</w:t>
      </w:r>
      <w:r>
        <w:rPr>
          <w:rFonts w:hint="eastAsia" w:hAnsi="仿宋_GB2312" w:cs="仿宋_GB2312"/>
          <w:sz w:val="32"/>
          <w:szCs w:val="32"/>
          <w:lang w:val="en-US" w:eastAsia="zh-CN"/>
        </w:rPr>
        <w:t>0</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3" w:name="_Toc15377225"/>
      <w:bookmarkStart w:id="54" w:name="_Toc15396613"/>
      <w:r>
        <w:rPr>
          <w:rFonts w:hint="eastAsia" w:ascii="黑体" w:hAnsi="黑体" w:eastAsia="黑体"/>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spacing w:line="600" w:lineRule="exact"/>
        <w:jc w:val="center"/>
        <w:outlineLvl w:val="0"/>
        <w:rPr>
          <w:rStyle w:val="25"/>
          <w:rFonts w:ascii="黑体" w:hAnsi="黑体" w:eastAsia="黑体"/>
          <w:b w:val="0"/>
        </w:rPr>
      </w:pPr>
      <w:bookmarkStart w:id="55" w:name="_Toc15377226"/>
      <w:bookmarkStart w:id="71" w:name="_GoBack"/>
      <w:bookmarkEnd w:id="71"/>
      <w:r>
        <w:rPr>
          <w:rFonts w:ascii="宋体"/>
          <w:b/>
          <w:sz w:val="44"/>
          <w:szCs w:val="44"/>
        </w:rPr>
        <w:br w:type="page"/>
      </w:r>
      <w:bookmarkStart w:id="56" w:name="_Toc15396614"/>
      <w:r>
        <w:rPr>
          <w:rFonts w:hint="eastAsia" w:ascii="黑体" w:hAnsi="黑体" w:eastAsia="黑体"/>
          <w:sz w:val="44"/>
          <w:szCs w:val="44"/>
        </w:rPr>
        <w:t>第</w:t>
      </w:r>
      <w:r>
        <w:rPr>
          <w:rStyle w:val="25"/>
          <w:rFonts w:hint="eastAsia" w:ascii="黑体" w:hAnsi="黑体" w:eastAsia="黑体"/>
          <w:b w:val="0"/>
        </w:rPr>
        <w:t>四部分 附件</w:t>
      </w:r>
      <w:bookmarkEnd w:id="56"/>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7" w:name="_Toc15396618"/>
      <w:r>
        <w:rPr>
          <w:rFonts w:hint="eastAsia" w:ascii="宋体" w:hAnsi="宋体" w:cs="宋体"/>
          <w:kern w:val="0"/>
          <w:sz w:val="32"/>
          <w:szCs w:val="32"/>
        </w:rPr>
        <w:t>部门预算项目支出绩效自评表（2022年度）</w:t>
      </w:r>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ascii="仿宋_GB2312" w:hAnsi="Calibri" w:eastAsia="仿宋_GB2312" w:cs="仿宋"/>
          <w:kern w:val="0"/>
          <w:sz w:val="32"/>
          <w:szCs w:val="32"/>
        </w:rPr>
      </w:pPr>
      <w:r>
        <w:rPr>
          <w:rFonts w:hint="eastAsia" w:ascii="仿宋_GB2312" w:hAnsi="Calibri" w:eastAsia="仿宋_GB2312" w:cs="仿宋"/>
          <w:kern w:val="0"/>
          <w:sz w:val="32"/>
          <w:szCs w:val="32"/>
        </w:rPr>
        <w:t>（备注：按照绩效自评工作安排，各单位可在预算管理一体化系统—综合报表查询—预算绩效报表模块中下载本单位“部门预算项目支出绩效自评表（2022年度）”，该表格应作为附件予以公开。）</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5"/>
      <w:bookmarkEnd w:id="57"/>
      <w:bookmarkStart w:id="58"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8"/>
    </w:p>
    <w:p>
      <w:pPr>
        <w:pStyle w:val="4"/>
        <w:rPr>
          <w:rFonts w:ascii="仿宋" w:hAnsi="仿宋" w:eastAsia="仿宋"/>
        </w:rPr>
      </w:pPr>
      <w:bookmarkStart w:id="59" w:name="_Toc15396620"/>
      <w:r>
        <w:rPr>
          <w:rFonts w:hint="eastAsia" w:ascii="仿宋" w:hAnsi="仿宋" w:eastAsia="仿宋"/>
          <w:b w:val="0"/>
        </w:rPr>
        <w:t>二、收</w:t>
      </w:r>
      <w:r>
        <w:rPr>
          <w:rStyle w:val="26"/>
          <w:rFonts w:hint="eastAsia" w:ascii="仿宋" w:hAnsi="仿宋" w:eastAsia="仿宋"/>
          <w:b w:val="0"/>
          <w:bCs w:val="0"/>
        </w:rPr>
        <w:t>入决算表</w:t>
      </w:r>
      <w:bookmarkEnd w:id="59"/>
    </w:p>
    <w:p>
      <w:pPr>
        <w:pStyle w:val="4"/>
        <w:rPr>
          <w:rFonts w:ascii="仿宋" w:hAnsi="仿宋" w:eastAsia="仿宋"/>
        </w:rPr>
      </w:pPr>
      <w:bookmarkStart w:id="60"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0"/>
    </w:p>
    <w:p>
      <w:pPr>
        <w:pStyle w:val="4"/>
        <w:rPr>
          <w:rFonts w:ascii="仿宋" w:hAnsi="仿宋" w:eastAsia="仿宋"/>
          <w:b w:val="0"/>
        </w:rPr>
      </w:pPr>
      <w:bookmarkStart w:id="61"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1"/>
    </w:p>
    <w:p>
      <w:pPr>
        <w:pStyle w:val="4"/>
        <w:rPr>
          <w:rStyle w:val="26"/>
          <w:rFonts w:ascii="仿宋" w:hAnsi="仿宋" w:eastAsia="仿宋"/>
          <w:b w:val="0"/>
          <w:bCs w:val="0"/>
        </w:rPr>
      </w:pPr>
      <w:bookmarkStart w:id="62"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2"/>
      <w:bookmarkStart w:id="63"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3"/>
    </w:p>
    <w:p>
      <w:pPr>
        <w:pStyle w:val="4"/>
        <w:rPr>
          <w:rFonts w:ascii="仿宋" w:hAnsi="仿宋" w:eastAsia="仿宋"/>
        </w:rPr>
      </w:pPr>
      <w:bookmarkStart w:id="64"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4"/>
    </w:p>
    <w:p>
      <w:pPr>
        <w:pStyle w:val="4"/>
        <w:rPr>
          <w:rFonts w:ascii="仿宋" w:hAnsi="仿宋" w:eastAsia="仿宋"/>
        </w:rPr>
      </w:pPr>
      <w:bookmarkStart w:id="65"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5"/>
    </w:p>
    <w:p>
      <w:pPr>
        <w:pStyle w:val="4"/>
        <w:rPr>
          <w:rFonts w:ascii="仿宋" w:hAnsi="仿宋" w:eastAsia="仿宋"/>
        </w:rPr>
      </w:pPr>
      <w:bookmarkStart w:id="6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6"/>
    </w:p>
    <w:p>
      <w:pPr>
        <w:pStyle w:val="4"/>
        <w:rPr>
          <w:rFonts w:ascii="仿宋" w:hAnsi="仿宋" w:eastAsia="仿宋"/>
        </w:rPr>
      </w:pPr>
      <w:bookmarkStart w:id="67" w:name="_Toc15396628"/>
      <w:r>
        <w:rPr>
          <w:rStyle w:val="26"/>
          <w:rFonts w:hint="eastAsia" w:ascii="仿宋" w:hAnsi="仿宋" w:eastAsia="仿宋"/>
          <w:b w:val="0"/>
          <w:bCs w:val="0"/>
        </w:rPr>
        <w:t>十、</w:t>
      </w:r>
      <w:bookmarkEnd w:id="67"/>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rPr>
          <w:rFonts w:ascii="仿宋" w:hAnsi="仿宋" w:eastAsia="仿宋"/>
        </w:rPr>
      </w:pPr>
      <w:bookmarkStart w:id="68" w:name="_Toc15396629"/>
      <w:r>
        <w:rPr>
          <w:rStyle w:val="26"/>
          <w:rFonts w:hint="eastAsia" w:ascii="仿宋" w:hAnsi="仿宋" w:eastAsia="仿宋"/>
          <w:b w:val="0"/>
          <w:bCs w:val="0"/>
        </w:rPr>
        <w:t>十一、</w:t>
      </w:r>
      <w:bookmarkEnd w:id="68"/>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rPr>
          <w:rFonts w:ascii="仿宋" w:hAnsi="仿宋" w:eastAsia="仿宋"/>
        </w:rPr>
      </w:pPr>
      <w:bookmarkStart w:id="69" w:name="_Toc15396630"/>
      <w:r>
        <w:rPr>
          <w:rStyle w:val="26"/>
          <w:rFonts w:hint="eastAsia" w:ascii="仿宋" w:hAnsi="仿宋" w:eastAsia="仿宋"/>
          <w:b w:val="0"/>
          <w:bCs w:val="0"/>
        </w:rPr>
        <w:t>十二、</w:t>
      </w:r>
      <w:bookmarkEnd w:id="69"/>
      <w:r>
        <w:rPr>
          <w:rStyle w:val="26"/>
          <w:rFonts w:hint="eastAsia" w:ascii="仿宋" w:hAnsi="仿宋" w:eastAsia="仿宋"/>
          <w:b w:val="0"/>
          <w:bCs w:val="0"/>
        </w:rPr>
        <w:t>国有资本经营预算财政拨款支出决算表</w:t>
      </w:r>
    </w:p>
    <w:p>
      <w:pPr>
        <w:pStyle w:val="4"/>
        <w:rPr>
          <w:rFonts w:eastAsia="仿宋"/>
        </w:rPr>
      </w:pPr>
      <w:bookmarkStart w:id="70" w:name="_Toc15396631"/>
      <w:r>
        <w:rPr>
          <w:rStyle w:val="26"/>
          <w:rFonts w:hint="eastAsia" w:ascii="仿宋" w:hAnsi="仿宋" w:eastAsia="仿宋"/>
          <w:b w:val="0"/>
          <w:bCs w:val="0"/>
        </w:rPr>
        <w:t>十三、</w:t>
      </w:r>
      <w:bookmarkEnd w:id="70"/>
      <w:r>
        <w:rPr>
          <w:rStyle w:val="26"/>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1A4D44-2358-4125-9419-402852F119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CFDC743-EC09-41F9-BAFD-52CB0F0283E6}"/>
  </w:font>
  <w:font w:name="Cambria">
    <w:panose1 w:val="02040503050406030204"/>
    <w:charset w:val="00"/>
    <w:family w:val="roman"/>
    <w:pitch w:val="default"/>
    <w:sig w:usb0="E00006FF" w:usb1="420024FF" w:usb2="02000000" w:usb3="00000000" w:csb0="2000019F" w:csb1="00000000"/>
    <w:embedRegular r:id="rId3" w:fontKey="{C303C945-3D7C-47B5-A2AD-7BC3035206AC}"/>
  </w:font>
  <w:font w:name="仿宋_GB2312">
    <w:altName w:val="仿宋"/>
    <w:panose1 w:val="00000000000000000000"/>
    <w:charset w:val="86"/>
    <w:family w:val="modern"/>
    <w:pitch w:val="default"/>
    <w:sig w:usb0="00000000" w:usb1="00000000" w:usb2="00000000" w:usb3="00000000" w:csb0="00040000" w:csb1="00000000"/>
    <w:embedRegular r:id="rId4" w:fontKey="{1AA0EA89-E333-46D9-A686-D2560B6CF0F6}"/>
  </w:font>
  <w:font w:name="仿宋">
    <w:panose1 w:val="02010609060101010101"/>
    <w:charset w:val="86"/>
    <w:family w:val="modern"/>
    <w:pitch w:val="default"/>
    <w:sig w:usb0="800002BF" w:usb1="38CF7CFA" w:usb2="00000016" w:usb3="00000000" w:csb0="00040001" w:csb1="00000000"/>
    <w:embedRegular r:id="rId5" w:fontKey="{4BF88DA5-F9D6-48A4-A447-8DE46BFBA3AF}"/>
  </w:font>
  <w:font w:name="方正小标宋简体">
    <w:panose1 w:val="02000000000000000000"/>
    <w:charset w:val="86"/>
    <w:family w:val="script"/>
    <w:pitch w:val="default"/>
    <w:sig w:usb0="00000001" w:usb1="08000000" w:usb2="00000000" w:usb3="00000000" w:csb0="00040000" w:csb1="00000000"/>
    <w:embedRegular r:id="rId6" w:fontKey="{19505858-6021-4409-A722-5ECA269F5C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E25032D"/>
    <w:rsid w:val="10C055FF"/>
    <w:rsid w:val="118107EC"/>
    <w:rsid w:val="11DD6519"/>
    <w:rsid w:val="16BB723D"/>
    <w:rsid w:val="18015F3F"/>
    <w:rsid w:val="1BE8440E"/>
    <w:rsid w:val="1D155CEE"/>
    <w:rsid w:val="20F57F95"/>
    <w:rsid w:val="21EE7C6E"/>
    <w:rsid w:val="240371BF"/>
    <w:rsid w:val="25711CC6"/>
    <w:rsid w:val="25C741E6"/>
    <w:rsid w:val="27842671"/>
    <w:rsid w:val="29FD04D3"/>
    <w:rsid w:val="2ABE7A3E"/>
    <w:rsid w:val="2CA234A8"/>
    <w:rsid w:val="2EFA178C"/>
    <w:rsid w:val="30B46D73"/>
    <w:rsid w:val="319F7F4E"/>
    <w:rsid w:val="383D272C"/>
    <w:rsid w:val="39AE70AB"/>
    <w:rsid w:val="3A3057C7"/>
    <w:rsid w:val="3C0C0783"/>
    <w:rsid w:val="3F9F3A96"/>
    <w:rsid w:val="43B107FF"/>
    <w:rsid w:val="48BF60AB"/>
    <w:rsid w:val="493C27E9"/>
    <w:rsid w:val="496F39ED"/>
    <w:rsid w:val="49FF41D3"/>
    <w:rsid w:val="4BE068DB"/>
    <w:rsid w:val="4BF6002B"/>
    <w:rsid w:val="4ECE2238"/>
    <w:rsid w:val="4EDB2555"/>
    <w:rsid w:val="4FD542F7"/>
    <w:rsid w:val="51DB4B86"/>
    <w:rsid w:val="51FE5C85"/>
    <w:rsid w:val="5313286E"/>
    <w:rsid w:val="55333C3E"/>
    <w:rsid w:val="64CA39A1"/>
    <w:rsid w:val="69630ADE"/>
    <w:rsid w:val="6AC85AAF"/>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2"/>
    <w:autoRedefine/>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2270;&#34920;&#29983;&#25104;.xlsm"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2270;&#34920;&#29983;&#25104;.xlsm"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2270;&#34920;&#29983;&#25104;.xlsm"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2270;&#34920;&#29983;&#25104;.xlsm"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2270;&#34920;&#29983;&#25104;.xlsm"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2270;&#34920;&#29983;&#25104;.xlsm"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2270;&#34920;&#29983;&#2510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55555555556"/>
          <c:y val="0.113506815365551"/>
          <c:w val="0.679222222222222"/>
          <c:h val="0.709392812887237"/>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60000"/>
                  <a:lumOff val="40000"/>
                </a:schemeClr>
              </a:solidFill>
              <a:ln>
                <a:noFill/>
              </a:ln>
              <a:effectLst/>
            </c:spPr>
          </c:dPt>
          <c:dLbls>
            <c:dLbl>
              <c:idx val="1"/>
              <c:layout>
                <c:manualLayout>
                  <c:x val="0.00416666666666667"/>
                  <c:y val="-0.04089219330855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[图表生成.xlsm]图表生成!$B$1:$B$2</c:f>
              <c:strCache>
                <c:ptCount val="2"/>
                <c:pt idx="0">
                  <c:v>2021年</c:v>
                </c:pt>
                <c:pt idx="1">
                  <c:v>2022年</c:v>
                </c:pt>
              </c:strCache>
            </c:strRef>
          </c:cat>
          <c:val>
            <c:numRef>
              <c:f>[图表生成.xlsm]图表生成!$C$1:$C$2</c:f>
              <c:numCache>
                <c:formatCode>General</c:formatCode>
                <c:ptCount val="2"/>
                <c:pt idx="0">
                  <c:v>1567.45</c:v>
                </c:pt>
                <c:pt idx="1">
                  <c:v>1360.31</c:v>
                </c:pt>
              </c:numCache>
            </c:numRef>
          </c:val>
        </c:ser>
        <c:dLbls>
          <c:showLegendKey val="0"/>
          <c:showVal val="1"/>
          <c:showCatName val="0"/>
          <c:showSerName val="0"/>
          <c:showPercent val="0"/>
          <c:showBubbleSize val="0"/>
        </c:dLbls>
        <c:gapWidth val="219"/>
        <c:overlap val="-27"/>
        <c:axId val="184448512"/>
        <c:axId val="184450048"/>
      </c:barChart>
      <c:catAx>
        <c:axId val="18444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450048"/>
        <c:crosses val="autoZero"/>
        <c:auto val="1"/>
        <c:lblAlgn val="ctr"/>
        <c:lblOffset val="100"/>
        <c:noMultiLvlLbl val="0"/>
      </c:catAx>
      <c:valAx>
        <c:axId val="18445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448512"/>
        <c:crosses val="autoZero"/>
        <c:crossBetween val="between"/>
      </c:valAx>
      <c:spPr>
        <a:noFill/>
        <a:ln w="12700" cmpd="sng">
          <a:solidFill>
            <a:schemeClr val="tx1"/>
          </a:solidFill>
          <a:prstDash val="solid"/>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99.85</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0.15</a:t>
                    </a:r>
                    <a:r>
                      <a:t>%</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[图表生成.xlsm]图表生成!$B$4:$B$6</c:f>
              <c:strCache>
                <c:ptCount val="3"/>
                <c:pt idx="0">
                  <c:v>一般公共财政拨款预算收入</c:v>
                </c:pt>
                <c:pt idx="1">
                  <c:v>上年结转</c:v>
                </c:pt>
                <c:pt idx="2">
                  <c:v>政府性基金预算财政拨款收入</c:v>
                </c:pt>
              </c:strCache>
            </c:strRef>
          </c:cat>
          <c:val>
            <c:numRef>
              <c:f>[图表生成.xlsm]图表生成!$C$4:$C$6</c:f>
              <c:numCache>
                <c:formatCode>General</c:formatCode>
                <c:ptCount val="3"/>
                <c:pt idx="0">
                  <c:v>1358.31</c:v>
                </c:pt>
                <c:pt idx="1">
                  <c:v>0</c:v>
                </c:pt>
                <c:pt idx="2">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33851764016858"/>
                  <c:y val="-0.056555069171829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6073996615493"/>
                  <c:y val="0.038697930663836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 (2)'!$B$8:$B$9</c:f>
              <c:strCache>
                <c:ptCount val="2"/>
                <c:pt idx="0">
                  <c:v>基本支出</c:v>
                </c:pt>
                <c:pt idx="1">
                  <c:v>项目支出</c:v>
                </c:pt>
              </c:strCache>
            </c:strRef>
          </c:cat>
          <c:val>
            <c:numRef>
              <c:f>'[图表生成.xlsm]图表生成 (2)'!$C$8:$C$9</c:f>
              <c:numCache>
                <c:formatCode>General</c:formatCode>
                <c:ptCount val="2"/>
                <c:pt idx="0">
                  <c:v>1328.31</c:v>
                </c:pt>
                <c:pt idx="1">
                  <c:v>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85651442619"/>
          <c:y val="0.125"/>
          <c:w val="0.751119161599172"/>
          <c:h val="0.667035714285715"/>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[图表生成.xlsm]图表生成!$B$11:$B$12</c:f>
              <c:strCache>
                <c:ptCount val="2"/>
                <c:pt idx="0">
                  <c:v>2021年</c:v>
                </c:pt>
                <c:pt idx="1">
                  <c:v>2022年</c:v>
                </c:pt>
              </c:strCache>
            </c:strRef>
          </c:cat>
          <c:val>
            <c:numRef>
              <c:f>[图表生成.xlsm]图表生成!$C$11:$C$12</c:f>
              <c:numCache>
                <c:formatCode>General</c:formatCode>
                <c:ptCount val="2"/>
                <c:pt idx="0">
                  <c:v>1567.45</c:v>
                </c:pt>
                <c:pt idx="1">
                  <c:v>1360.31</c:v>
                </c:pt>
              </c:numCache>
            </c:numRef>
          </c:val>
        </c:ser>
        <c:dLbls>
          <c:showLegendKey val="0"/>
          <c:showVal val="1"/>
          <c:showCatName val="0"/>
          <c:showSerName val="0"/>
          <c:showPercent val="0"/>
          <c:showBubbleSize val="0"/>
        </c:dLbls>
        <c:gapWidth val="219"/>
        <c:overlap val="-27"/>
        <c:axId val="186340480"/>
        <c:axId val="186342016"/>
      </c:barChart>
      <c:catAx>
        <c:axId val="186340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342016"/>
        <c:crosses val="autoZero"/>
        <c:auto val="1"/>
        <c:lblAlgn val="ctr"/>
        <c:lblOffset val="100"/>
        <c:noMultiLvlLbl val="0"/>
      </c:catAx>
      <c:valAx>
        <c:axId val="18634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340480"/>
        <c:crosses val="autoZero"/>
        <c:crossBetween val="between"/>
      </c:valAx>
      <c:spPr>
        <a:noFill/>
        <a:ln w="12700" cmpd="sng">
          <a:solidFill>
            <a:schemeClr val="tx1"/>
          </a:solidFill>
          <a:prstDash val="solid"/>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913134120917"/>
          <c:y val="0.127455357142857"/>
          <c:w val="0.694982626824183"/>
          <c:h val="0.682008928571429"/>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[图表生成.xlsm]图表生成!$B$14:$B$15</c:f>
              <c:strCache>
                <c:ptCount val="2"/>
                <c:pt idx="0">
                  <c:v>2021年</c:v>
                </c:pt>
                <c:pt idx="1">
                  <c:v>2022年</c:v>
                </c:pt>
              </c:strCache>
            </c:strRef>
          </c:cat>
          <c:val>
            <c:numRef>
              <c:f>[图表生成.xlsm]图表生成!$C$14:$C$15</c:f>
              <c:numCache>
                <c:formatCode>General</c:formatCode>
                <c:ptCount val="2"/>
                <c:pt idx="0">
                  <c:v>1567.45</c:v>
                </c:pt>
                <c:pt idx="1">
                  <c:v>1358.31</c:v>
                </c:pt>
              </c:numCache>
            </c:numRef>
          </c:val>
        </c:ser>
        <c:dLbls>
          <c:showLegendKey val="0"/>
          <c:showVal val="1"/>
          <c:showCatName val="0"/>
          <c:showSerName val="0"/>
          <c:showPercent val="0"/>
          <c:showBubbleSize val="0"/>
        </c:dLbls>
        <c:gapWidth val="219"/>
        <c:overlap val="-27"/>
        <c:axId val="186382976"/>
        <c:axId val="183644544"/>
      </c:barChart>
      <c:catAx>
        <c:axId val="186382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644544"/>
        <c:crosses val="autoZero"/>
        <c:auto val="1"/>
        <c:lblAlgn val="ctr"/>
        <c:lblOffset val="100"/>
        <c:noMultiLvlLbl val="0"/>
      </c:catAx>
      <c:valAx>
        <c:axId val="18364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382976"/>
        <c:crosses val="autoZero"/>
        <c:crossBetween val="between"/>
      </c:valAx>
      <c:spPr>
        <a:noFill/>
        <a:ln>
          <a:solidFill>
            <a:schemeClr val="tx1"/>
          </a:solid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55304470475051"/>
                  <c:y val="-0.0462393299534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12880281621228"/>
                  <c:y val="-0.0017804848652354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11645067140451"/>
                  <c:y val="-0.014214901645509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10509498092591"/>
                  <c:y val="0.022616652452139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[图表生成.xlsm]图表生成!$B$17:$B$20</c:f>
              <c:strCache>
                <c:ptCount val="4"/>
                <c:pt idx="0">
                  <c:v>教育支出</c:v>
                </c:pt>
                <c:pt idx="1">
                  <c:v>社会和保障就业</c:v>
                </c:pt>
                <c:pt idx="2">
                  <c:v>卫生健康支出</c:v>
                </c:pt>
                <c:pt idx="3">
                  <c:v>住房保障支出</c:v>
                </c:pt>
              </c:strCache>
            </c:strRef>
          </c:cat>
          <c:val>
            <c:numRef>
              <c:f>[图表生成.xlsm]图表生成!$C$17:$C$20</c:f>
              <c:numCache>
                <c:formatCode>General</c:formatCode>
                <c:ptCount val="4"/>
                <c:pt idx="0">
                  <c:v>1162.27</c:v>
                </c:pt>
                <c:pt idx="1">
                  <c:v>87.13</c:v>
                </c:pt>
                <c:pt idx="2">
                  <c:v>43.56</c:v>
                </c:pt>
                <c:pt idx="3">
                  <c:v>65.35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[图表生成.xlsm]图表生成!$B$23</c:f>
              <c:strCache>
                <c:ptCount val="1"/>
                <c:pt idx="0">
                  <c:v>金额</c:v>
                </c:pt>
              </c:strCache>
            </c:strRef>
          </c:tx>
          <c:spPr>
            <a:solidFill>
              <a:srgbClr val="92D050"/>
            </a:solidFill>
          </c:spPr>
          <c:explosion val="0"/>
          <c:dPt>
            <c:idx val="0"/>
            <c:bubble3D val="0"/>
            <c:spPr>
              <a:solidFill>
                <a:srgbClr val="92D050"/>
              </a:solidFill>
              <a:ln w="19050">
                <a:solidFill>
                  <a:schemeClr val="lt1"/>
                </a:solidFill>
              </a:ln>
              <a:effectLst/>
            </c:spPr>
          </c:dPt>
          <c:dLbls>
            <c:dLbl>
              <c:idx val="0"/>
              <c:layout>
                <c:manualLayout>
                  <c:x val="0.175364451865617"/>
                  <c:y val="-0.038637353727501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[图表生成.xlsm]图表生成!$C$22</c:f>
              <c:strCache>
                <c:ptCount val="1"/>
                <c:pt idx="0">
                  <c:v>公务接待费用支出</c:v>
                </c:pt>
              </c:strCache>
            </c:strRef>
          </c:cat>
          <c:val>
            <c:numRef>
              <c:f>[图表生成.xlsm]图表生成!$C$23</c:f>
              <c:numCache>
                <c:formatCode>General</c:formatCode>
                <c:ptCount val="1"/>
                <c:pt idx="0">
                  <c:v>0.38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20</Pages>
  <Words>5468</Words>
  <Characters>5926</Characters>
  <Lines>41</Lines>
  <Paragraphs>11</Paragraphs>
  <TotalTime>18</TotalTime>
  <ScaleCrop>false</ScaleCrop>
  <LinksUpToDate>false</LinksUpToDate>
  <CharactersWithSpaces>5948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2023-12-28T06:58:35Z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EE4A7A43DD90416BBAE6961B8426B70D_12</vt:lpwstr>
  </property>
</Properties>
</file>