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outlineLvl w:val="0"/>
        <w:rPr>
          <w:rFonts w:ascii="方正小标宋简体" w:hAnsi="宋体" w:eastAsia="方正小标宋简体"/>
          <w:szCs w:val="21"/>
        </w:rPr>
      </w:pPr>
      <w:bookmarkStart w:id="0" w:name="_Toc15306267"/>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 w:name="_Toc15396597"/>
      <w:bookmarkStart w:id="2" w:name="_Toc15377193"/>
      <w:bookmarkStart w:id="3" w:name="_Toc15378441"/>
      <w:bookmarkStart w:id="4" w:name="_Toc15377425"/>
      <w:bookmarkStart w:id="5" w:name="_Toc15396475"/>
      <w:r>
        <w:rPr>
          <w:rFonts w:hint="eastAsia" w:ascii="方正小标宋简体" w:hAnsi="方正小标宋简体" w:eastAsia="方正小标宋简体" w:cs="方正小标宋简体"/>
          <w:sz w:val="72"/>
          <w:szCs w:val="72"/>
        </w:rPr>
        <w:t>2022年度</w:t>
      </w:r>
      <w:bookmarkEnd w:id="1"/>
      <w:bookmarkEnd w:id="2"/>
      <w:bookmarkEnd w:id="3"/>
      <w:bookmarkEnd w:id="4"/>
      <w:bookmarkEnd w:id="5"/>
    </w:p>
    <w:p>
      <w:pPr>
        <w:adjustRightInd w:val="0"/>
        <w:snapToGrid w:val="0"/>
        <w:spacing w:line="360" w:lineRule="auto"/>
        <w:jc w:val="center"/>
        <w:outlineLvl w:val="0"/>
        <w:rPr>
          <w:rFonts w:hint="eastAsia" w:ascii="方正小标宋简体" w:hAnsi="方正小标宋简体" w:eastAsia="方正小标宋简体" w:cs="方正小标宋简体"/>
          <w:sz w:val="72"/>
          <w:szCs w:val="72"/>
          <w:lang w:val="en-US" w:eastAsia="zh-CN"/>
        </w:rPr>
      </w:pPr>
      <w:bookmarkStart w:id="6" w:name="_Toc15378442"/>
      <w:bookmarkStart w:id="7" w:name="_Toc15377426"/>
      <w:bookmarkStart w:id="8" w:name="_Toc15396476"/>
      <w:bookmarkStart w:id="9" w:name="_Toc15396598"/>
      <w:bookmarkStart w:id="10" w:name="_Toc15377194"/>
      <w:r>
        <w:rPr>
          <w:rFonts w:hint="eastAsia" w:ascii="方正小标宋简体" w:hAnsi="方正小标宋简体" w:eastAsia="方正小标宋简体" w:cs="方正小标宋简体"/>
          <w:sz w:val="72"/>
          <w:szCs w:val="72"/>
        </w:rPr>
        <w:t>剑阁县</w:t>
      </w:r>
      <w:bookmarkEnd w:id="0"/>
      <w:bookmarkStart w:id="11" w:name="_Toc15306268"/>
      <w:r>
        <w:rPr>
          <w:rFonts w:hint="eastAsia" w:ascii="方正小标宋简体" w:hAnsi="方正小标宋简体" w:eastAsia="方正小标宋简体" w:cs="方正小标宋简体"/>
          <w:sz w:val="72"/>
          <w:szCs w:val="72"/>
          <w:lang w:val="en-US" w:eastAsia="zh-CN"/>
        </w:rPr>
        <w:t>元山小学校</w:t>
      </w:r>
      <w:r>
        <w:rPr>
          <w:rFonts w:hint="eastAsia" w:ascii="方正小标宋简体" w:hAnsi="方正小标宋简体" w:eastAsia="方正小标宋简体" w:cs="方正小标宋简体"/>
          <w:sz w:val="72"/>
          <w:szCs w:val="72"/>
        </w:rPr>
        <w:t>单位决算</w:t>
      </w:r>
      <w:bookmarkEnd w:id="6"/>
      <w:bookmarkEnd w:id="7"/>
      <w:bookmarkEnd w:id="8"/>
      <w:bookmarkEnd w:id="9"/>
      <w:bookmarkEnd w:id="10"/>
      <w:bookmarkEnd w:id="11"/>
      <w:r>
        <w:rPr>
          <w:rFonts w:hint="eastAsia" w:ascii="方正小标宋简体" w:hAnsi="方正小标宋简体" w:eastAsia="方正小标宋简体" w:cs="方正小标宋简体"/>
          <w:sz w:val="72"/>
          <w:szCs w:val="72"/>
          <w:lang w:val="en-US" w:eastAsia="zh-CN"/>
        </w:rPr>
        <w:t>公开</w:t>
      </w:r>
    </w:p>
    <w:p>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pPr>
        <w:widowControl/>
        <w:jc w:val="center"/>
        <w:rPr>
          <w:rFonts w:ascii="黑体" w:hAnsi="黑体" w:eastAsia="黑体" w:cstheme="minorBidi"/>
          <w:sz w:val="28"/>
          <w:szCs w:val="28"/>
        </w:rPr>
      </w:pPr>
    </w:p>
    <w:p>
      <w:pPr>
        <w:pStyle w:val="10"/>
      </w:pPr>
      <w:r>
        <w:rPr>
          <w:rFonts w:hint="eastAsia"/>
        </w:rPr>
        <w:t>公开时间：2023年</w:t>
      </w:r>
      <w:r>
        <w:rPr>
          <w:rFonts w:hint="eastAsia"/>
          <w:lang w:val="en-US" w:eastAsia="zh-CN"/>
        </w:rPr>
        <w:t>11</w:t>
      </w:r>
      <w:r>
        <w:rPr>
          <w:rFonts w:hint="eastAsia"/>
        </w:rPr>
        <w:t>月</w:t>
      </w:r>
      <w:r>
        <w:rPr>
          <w:rFonts w:hint="eastAsia"/>
          <w:lang w:val="en-US" w:eastAsia="zh-CN"/>
        </w:rPr>
        <w:t>29</w:t>
      </w:r>
      <w:r>
        <w:rPr>
          <w:rFonts w:hint="eastAsia"/>
        </w:rPr>
        <w:t>日</w:t>
      </w:r>
    </w:p>
    <w:p/>
    <w:p>
      <w:pPr>
        <w:pStyle w:val="10"/>
        <w:adjustRightInd w:val="0"/>
        <w:snapToGrid w:val="0"/>
        <w:spacing w:before="0" w:line="440" w:lineRule="exact"/>
        <w:jc w:val="left"/>
        <w:rPr>
          <w:rFonts w:cstheme="minorBidi"/>
          <w:sz w:val="24"/>
          <w:szCs w:val="24"/>
        </w:rPr>
      </w:pPr>
      <w:r>
        <w:rPr>
          <w:rFonts w:hint="eastAsia"/>
          <w:sz w:val="24"/>
        </w:rPr>
        <w:t>第一部分</w:t>
      </w:r>
      <w:r>
        <w:rPr>
          <w:sz w:val="24"/>
        </w:rPr>
        <w:t xml:space="preserve"> </w:t>
      </w:r>
      <w:r>
        <w:rPr>
          <w:rFonts w:hint="eastAsia"/>
          <w:sz w:val="24"/>
        </w:rPr>
        <w:t>单位概况</w:t>
      </w:r>
    </w:p>
    <w:p>
      <w:pPr>
        <w:pStyle w:val="11"/>
        <w:adjustRightInd w:val="0"/>
        <w:snapToGrid w:val="0"/>
        <w:spacing w:line="440" w:lineRule="exact"/>
        <w:jc w:val="left"/>
        <w:rPr>
          <w:sz w:val="24"/>
        </w:rPr>
      </w:pPr>
      <w:r>
        <w:rPr>
          <w:rFonts w:hint="eastAsia"/>
          <w:sz w:val="24"/>
        </w:rPr>
        <w:t>一、主要职责及重点</w:t>
      </w:r>
      <w:r>
        <w:rPr>
          <w:sz w:val="24"/>
        </w:rPr>
        <w:t>工作</w:t>
      </w:r>
    </w:p>
    <w:p>
      <w:pPr>
        <w:pStyle w:val="11"/>
        <w:adjustRightInd w:val="0"/>
        <w:snapToGrid w:val="0"/>
        <w:spacing w:line="440" w:lineRule="exact"/>
        <w:jc w:val="left"/>
        <w:rPr>
          <w:sz w:val="24"/>
        </w:rPr>
      </w:pPr>
      <w:r>
        <w:rPr>
          <w:rFonts w:hint="eastAsia"/>
          <w:sz w:val="24"/>
        </w:rPr>
        <w:t>（一）单位</w:t>
      </w:r>
      <w:r>
        <w:rPr>
          <w:sz w:val="24"/>
        </w:rPr>
        <w:t>职责</w:t>
      </w:r>
    </w:p>
    <w:p>
      <w:pPr>
        <w:pStyle w:val="11"/>
        <w:adjustRightInd w:val="0"/>
        <w:snapToGrid w:val="0"/>
        <w:spacing w:line="440" w:lineRule="exact"/>
        <w:jc w:val="left"/>
        <w:rPr>
          <w:b/>
          <w:bCs/>
          <w:sz w:val="24"/>
        </w:rPr>
      </w:pPr>
      <w:r>
        <w:rPr>
          <w:rFonts w:hint="eastAsia"/>
          <w:sz w:val="24"/>
        </w:rPr>
        <w:t>（二）2022年重点工作完成情况</w:t>
      </w:r>
    </w:p>
    <w:p>
      <w:pPr>
        <w:pStyle w:val="11"/>
        <w:adjustRightInd w:val="0"/>
        <w:snapToGrid w:val="0"/>
        <w:spacing w:line="440" w:lineRule="exact"/>
        <w:jc w:val="left"/>
        <w:rPr>
          <w:rFonts w:hint="eastAsia"/>
          <w:sz w:val="24"/>
        </w:rPr>
      </w:pPr>
    </w:p>
    <w:p>
      <w:pPr>
        <w:pStyle w:val="11"/>
        <w:adjustRightInd w:val="0"/>
        <w:snapToGrid w:val="0"/>
        <w:spacing w:line="440" w:lineRule="exact"/>
        <w:jc w:val="left"/>
      </w:pPr>
      <w:r>
        <w:rPr>
          <w:rFonts w:hint="eastAsia"/>
          <w:sz w:val="24"/>
        </w:rPr>
        <w:t>二、机构设置</w:t>
      </w:r>
    </w:p>
    <w:p>
      <w:pPr>
        <w:pStyle w:val="10"/>
        <w:adjustRightInd w:val="0"/>
        <w:snapToGrid w:val="0"/>
        <w:spacing w:before="0" w:line="440" w:lineRule="exact"/>
        <w:jc w:val="left"/>
        <w:rPr>
          <w:sz w:val="24"/>
          <w:szCs w:val="24"/>
        </w:rPr>
      </w:pPr>
      <w:r>
        <w:rPr>
          <w:rFonts w:hint="eastAsia"/>
          <w:sz w:val="24"/>
        </w:rPr>
        <w:t>第二部分 2022年度单位决算情况说明</w:t>
      </w:r>
    </w:p>
    <w:p>
      <w:pPr>
        <w:pStyle w:val="11"/>
        <w:adjustRightInd w:val="0"/>
        <w:snapToGrid w:val="0"/>
        <w:spacing w:line="440" w:lineRule="exact"/>
        <w:jc w:val="left"/>
        <w:rPr>
          <w:rFonts w:ascii="仿宋" w:hAnsi="仿宋" w:eastAsia="仿宋" w:cstheme="minorBidi"/>
          <w:sz w:val="24"/>
        </w:rPr>
      </w:pPr>
      <w:r>
        <w:rPr>
          <w:rFonts w:hint="eastAsia"/>
          <w:sz w:val="24"/>
        </w:rPr>
        <w:t>一、收入支出决算总体情况说明</w:t>
      </w:r>
    </w:p>
    <w:p>
      <w:pPr>
        <w:pStyle w:val="11"/>
        <w:adjustRightInd w:val="0"/>
        <w:snapToGrid w:val="0"/>
        <w:spacing w:line="440" w:lineRule="exact"/>
        <w:jc w:val="left"/>
        <w:rPr>
          <w:rFonts w:ascii="仿宋" w:hAnsi="仿宋" w:eastAsia="仿宋" w:cstheme="minorBidi"/>
          <w:sz w:val="24"/>
        </w:rPr>
      </w:pPr>
      <w:r>
        <w:rPr>
          <w:rFonts w:hint="eastAsia"/>
          <w:sz w:val="24"/>
        </w:rPr>
        <w:t>二、收入决算情况说明</w:t>
      </w:r>
    </w:p>
    <w:p>
      <w:pPr>
        <w:pStyle w:val="11"/>
        <w:adjustRightInd w:val="0"/>
        <w:snapToGrid w:val="0"/>
        <w:spacing w:line="440" w:lineRule="exact"/>
        <w:jc w:val="left"/>
        <w:rPr>
          <w:rFonts w:ascii="仿宋" w:hAnsi="仿宋" w:eastAsia="仿宋" w:cstheme="minorBidi"/>
          <w:sz w:val="24"/>
        </w:rPr>
      </w:pPr>
      <w:r>
        <w:rPr>
          <w:rFonts w:hint="eastAsia"/>
          <w:sz w:val="24"/>
        </w:rPr>
        <w:t>三、支出决算情况说明</w:t>
      </w:r>
    </w:p>
    <w:p>
      <w:pPr>
        <w:pStyle w:val="11"/>
        <w:adjustRightInd w:val="0"/>
        <w:snapToGrid w:val="0"/>
        <w:spacing w:line="440" w:lineRule="exact"/>
        <w:jc w:val="left"/>
        <w:rPr>
          <w:rFonts w:ascii="仿宋" w:hAnsi="仿宋" w:eastAsia="仿宋" w:cstheme="minorBidi"/>
          <w:sz w:val="24"/>
        </w:rPr>
      </w:pPr>
      <w:r>
        <w:rPr>
          <w:rFonts w:hint="eastAsia"/>
          <w:sz w:val="24"/>
        </w:rPr>
        <w:t>四、财政拨款收入支出决算总体情况说明</w:t>
      </w:r>
    </w:p>
    <w:p>
      <w:pPr>
        <w:pStyle w:val="11"/>
        <w:adjustRightInd w:val="0"/>
        <w:snapToGrid w:val="0"/>
        <w:spacing w:line="440" w:lineRule="exact"/>
        <w:jc w:val="left"/>
        <w:rPr>
          <w:rFonts w:ascii="仿宋" w:hAnsi="仿宋" w:eastAsia="仿宋" w:cstheme="minorBidi"/>
          <w:sz w:val="24"/>
        </w:rPr>
      </w:pPr>
      <w:r>
        <w:rPr>
          <w:rFonts w:hint="eastAsia"/>
          <w:sz w:val="24"/>
        </w:rPr>
        <w:t>五、一般公共预算财政拨款支出决算情况说明</w:t>
      </w:r>
    </w:p>
    <w:p>
      <w:pPr>
        <w:pStyle w:val="11"/>
        <w:adjustRightInd w:val="0"/>
        <w:snapToGrid w:val="0"/>
        <w:spacing w:line="440" w:lineRule="exact"/>
        <w:jc w:val="left"/>
        <w:rPr>
          <w:rFonts w:ascii="仿宋" w:hAnsi="仿宋" w:eastAsia="仿宋" w:cstheme="minorBidi"/>
          <w:sz w:val="24"/>
        </w:rPr>
      </w:pPr>
      <w:r>
        <w:rPr>
          <w:rFonts w:hint="eastAsia"/>
          <w:sz w:val="24"/>
        </w:rPr>
        <w:t>六、一般公共预算财政拨款基本支出决算情况说明</w:t>
      </w:r>
    </w:p>
    <w:p>
      <w:pPr>
        <w:pStyle w:val="11"/>
        <w:adjustRightInd w:val="0"/>
        <w:snapToGrid w:val="0"/>
        <w:spacing w:line="440" w:lineRule="exact"/>
        <w:jc w:val="left"/>
        <w:rPr>
          <w:rFonts w:ascii="仿宋" w:hAnsi="仿宋" w:eastAsia="仿宋" w:cstheme="minorBidi"/>
          <w:sz w:val="24"/>
        </w:rPr>
      </w:pPr>
      <w:r>
        <w:rPr>
          <w:rFonts w:hint="eastAsia"/>
          <w:sz w:val="24"/>
        </w:rPr>
        <w:t>七、财政拨款“三公”经费支出决算情况说明</w:t>
      </w:r>
    </w:p>
    <w:p>
      <w:pPr>
        <w:pStyle w:val="11"/>
        <w:adjustRightInd w:val="0"/>
        <w:snapToGrid w:val="0"/>
        <w:spacing w:line="440" w:lineRule="exact"/>
        <w:jc w:val="left"/>
        <w:rPr>
          <w:rFonts w:ascii="仿宋" w:hAnsi="仿宋" w:eastAsia="仿宋" w:cstheme="minorBidi"/>
          <w:sz w:val="24"/>
        </w:rPr>
      </w:pPr>
      <w:r>
        <w:rPr>
          <w:rFonts w:hint="eastAsia"/>
          <w:sz w:val="24"/>
        </w:rPr>
        <w:t>八、政府性基金预算支出决算情况说明</w:t>
      </w:r>
    </w:p>
    <w:p>
      <w:pPr>
        <w:pStyle w:val="11"/>
        <w:adjustRightInd w:val="0"/>
        <w:snapToGrid w:val="0"/>
        <w:spacing w:line="440" w:lineRule="exact"/>
        <w:jc w:val="left"/>
        <w:rPr>
          <w:sz w:val="24"/>
        </w:rPr>
      </w:pPr>
      <w:r>
        <w:rPr>
          <w:rFonts w:hint="eastAsia"/>
          <w:sz w:val="24"/>
        </w:rPr>
        <w:t>九、国有资本经营预算支出决算情况说明</w:t>
      </w:r>
    </w:p>
    <w:p>
      <w:pPr>
        <w:pStyle w:val="11"/>
        <w:adjustRightInd w:val="0"/>
        <w:snapToGrid w:val="0"/>
        <w:spacing w:line="440" w:lineRule="exact"/>
        <w:jc w:val="left"/>
        <w:rPr>
          <w:sz w:val="24"/>
        </w:rPr>
      </w:pPr>
      <w:r>
        <w:rPr>
          <w:rFonts w:hint="eastAsia"/>
          <w:sz w:val="24"/>
        </w:rPr>
        <w:t>十、其他重要事项的情况说明</w:t>
      </w:r>
    </w:p>
    <w:p>
      <w:pPr>
        <w:pStyle w:val="10"/>
        <w:adjustRightInd w:val="0"/>
        <w:snapToGrid w:val="0"/>
        <w:spacing w:before="0" w:line="440" w:lineRule="exact"/>
        <w:jc w:val="left"/>
        <w:rPr>
          <w:rFonts w:cstheme="minorBidi"/>
          <w:sz w:val="24"/>
          <w:szCs w:val="24"/>
        </w:rPr>
      </w:pPr>
      <w:r>
        <w:rPr>
          <w:rFonts w:hint="eastAsia"/>
          <w:sz w:val="24"/>
        </w:rPr>
        <w:t>第三部分</w:t>
      </w:r>
      <w:r>
        <w:rPr>
          <w:sz w:val="24"/>
        </w:rPr>
        <w:t xml:space="preserve"> </w:t>
      </w:r>
      <w:r>
        <w:rPr>
          <w:rFonts w:hint="eastAsia"/>
          <w:sz w:val="24"/>
        </w:rPr>
        <w:t>名词解释</w:t>
      </w:r>
    </w:p>
    <w:p>
      <w:pPr>
        <w:pStyle w:val="10"/>
        <w:adjustRightInd w:val="0"/>
        <w:snapToGrid w:val="0"/>
        <w:spacing w:before="0" w:line="440" w:lineRule="exact"/>
        <w:jc w:val="left"/>
        <w:rPr>
          <w:rFonts w:cstheme="minorBidi"/>
          <w:sz w:val="24"/>
          <w:szCs w:val="24"/>
        </w:rPr>
      </w:pPr>
      <w:r>
        <w:rPr>
          <w:rFonts w:hint="eastAsia"/>
          <w:sz w:val="24"/>
        </w:rPr>
        <w:t>第四部分</w:t>
      </w:r>
      <w:r>
        <w:rPr>
          <w:sz w:val="24"/>
        </w:rPr>
        <w:t xml:space="preserve"> </w:t>
      </w:r>
      <w:r>
        <w:rPr>
          <w:rFonts w:hint="eastAsia"/>
          <w:sz w:val="24"/>
        </w:rPr>
        <w:t>附件</w:t>
      </w:r>
    </w:p>
    <w:p>
      <w:pPr>
        <w:pStyle w:val="10"/>
        <w:adjustRightInd w:val="0"/>
        <w:snapToGrid w:val="0"/>
        <w:spacing w:before="0" w:line="440" w:lineRule="exact"/>
        <w:jc w:val="left"/>
        <w:rPr>
          <w:rFonts w:cstheme="minorBidi"/>
          <w:sz w:val="24"/>
          <w:szCs w:val="24"/>
        </w:rPr>
      </w:pPr>
      <w:r>
        <w:rPr>
          <w:rFonts w:hint="eastAsia"/>
          <w:sz w:val="24"/>
        </w:rPr>
        <w:t>第五部分</w:t>
      </w:r>
      <w:r>
        <w:rPr>
          <w:sz w:val="24"/>
        </w:rPr>
        <w:t xml:space="preserve"> </w:t>
      </w:r>
      <w:r>
        <w:rPr>
          <w:rFonts w:hint="eastAsia"/>
          <w:sz w:val="24"/>
        </w:rPr>
        <w:t>附表</w:t>
      </w:r>
    </w:p>
    <w:p>
      <w:pPr>
        <w:pStyle w:val="11"/>
        <w:adjustRightInd w:val="0"/>
        <w:snapToGrid w:val="0"/>
        <w:spacing w:line="440" w:lineRule="exact"/>
        <w:jc w:val="left"/>
        <w:rPr>
          <w:sz w:val="24"/>
        </w:rPr>
      </w:pPr>
      <w:r>
        <w:rPr>
          <w:rFonts w:hint="eastAsia"/>
          <w:sz w:val="24"/>
        </w:rPr>
        <w:t>一、收入支出决算总表</w:t>
      </w:r>
    </w:p>
    <w:p>
      <w:pPr>
        <w:pStyle w:val="11"/>
        <w:adjustRightInd w:val="0"/>
        <w:snapToGrid w:val="0"/>
        <w:spacing w:line="440" w:lineRule="exact"/>
        <w:jc w:val="left"/>
        <w:rPr>
          <w:sz w:val="24"/>
        </w:rPr>
      </w:pPr>
      <w:r>
        <w:rPr>
          <w:rFonts w:hint="eastAsia"/>
          <w:sz w:val="24"/>
        </w:rPr>
        <w:t>二、收入决算表</w:t>
      </w:r>
    </w:p>
    <w:p>
      <w:pPr>
        <w:pStyle w:val="11"/>
        <w:adjustRightInd w:val="0"/>
        <w:snapToGrid w:val="0"/>
        <w:spacing w:line="440" w:lineRule="exact"/>
        <w:jc w:val="left"/>
        <w:rPr>
          <w:sz w:val="24"/>
        </w:rPr>
      </w:pPr>
      <w:r>
        <w:rPr>
          <w:rFonts w:hint="eastAsia"/>
          <w:sz w:val="24"/>
        </w:rPr>
        <w:t>三、支出决算表</w:t>
      </w:r>
    </w:p>
    <w:p>
      <w:pPr>
        <w:pStyle w:val="11"/>
        <w:adjustRightInd w:val="0"/>
        <w:snapToGrid w:val="0"/>
        <w:spacing w:line="440" w:lineRule="exact"/>
        <w:jc w:val="left"/>
        <w:rPr>
          <w:sz w:val="24"/>
        </w:rPr>
      </w:pPr>
      <w:r>
        <w:rPr>
          <w:rFonts w:hint="eastAsia"/>
          <w:sz w:val="24"/>
        </w:rPr>
        <w:t>四、财政拨款收入支出决算总表</w:t>
      </w:r>
    </w:p>
    <w:p>
      <w:pPr>
        <w:pStyle w:val="11"/>
        <w:adjustRightInd w:val="0"/>
        <w:snapToGrid w:val="0"/>
        <w:spacing w:line="440" w:lineRule="exact"/>
        <w:jc w:val="left"/>
        <w:rPr>
          <w:sz w:val="24"/>
        </w:rPr>
      </w:pPr>
      <w:r>
        <w:rPr>
          <w:rFonts w:hint="eastAsia"/>
          <w:sz w:val="24"/>
        </w:rPr>
        <w:t>五、财政拨款支出决算明细表</w:t>
      </w:r>
    </w:p>
    <w:p>
      <w:pPr>
        <w:pStyle w:val="11"/>
        <w:adjustRightInd w:val="0"/>
        <w:snapToGrid w:val="0"/>
        <w:spacing w:line="440" w:lineRule="exact"/>
        <w:jc w:val="left"/>
        <w:rPr>
          <w:sz w:val="24"/>
        </w:rPr>
      </w:pPr>
      <w:r>
        <w:rPr>
          <w:rFonts w:hint="eastAsia"/>
          <w:sz w:val="24"/>
        </w:rPr>
        <w:t>六、一般公共预算财政拨款支出决算表</w:t>
      </w:r>
    </w:p>
    <w:p>
      <w:pPr>
        <w:pStyle w:val="11"/>
        <w:adjustRightInd w:val="0"/>
        <w:snapToGrid w:val="0"/>
        <w:spacing w:line="440" w:lineRule="exact"/>
        <w:jc w:val="left"/>
        <w:rPr>
          <w:sz w:val="24"/>
        </w:rPr>
      </w:pPr>
      <w:r>
        <w:rPr>
          <w:rFonts w:hint="eastAsia"/>
          <w:sz w:val="24"/>
        </w:rPr>
        <w:t>七、一般公共预算财政拨款支出决算明细表</w:t>
      </w:r>
    </w:p>
    <w:p>
      <w:pPr>
        <w:pStyle w:val="11"/>
        <w:adjustRightInd w:val="0"/>
        <w:snapToGrid w:val="0"/>
        <w:spacing w:line="440" w:lineRule="exact"/>
        <w:jc w:val="left"/>
        <w:rPr>
          <w:sz w:val="24"/>
        </w:rPr>
      </w:pPr>
      <w:r>
        <w:rPr>
          <w:rFonts w:hint="eastAsia"/>
          <w:sz w:val="24"/>
        </w:rPr>
        <w:t>八、一般公共预算财政拨款基本支出决算明细表</w:t>
      </w:r>
    </w:p>
    <w:p>
      <w:pPr>
        <w:pStyle w:val="11"/>
        <w:adjustRightInd w:val="0"/>
        <w:snapToGrid w:val="0"/>
        <w:spacing w:line="440" w:lineRule="exact"/>
        <w:jc w:val="left"/>
        <w:rPr>
          <w:sz w:val="24"/>
        </w:rPr>
      </w:pPr>
      <w:r>
        <w:rPr>
          <w:rFonts w:hint="eastAsia"/>
          <w:sz w:val="24"/>
        </w:rPr>
        <w:t>九、一般公共预算财政拨款项目支出决算表</w:t>
      </w:r>
    </w:p>
    <w:p>
      <w:pPr>
        <w:pStyle w:val="11"/>
        <w:adjustRightInd w:val="0"/>
        <w:snapToGrid w:val="0"/>
        <w:spacing w:line="440" w:lineRule="exact"/>
        <w:jc w:val="left"/>
        <w:rPr>
          <w:sz w:val="24"/>
        </w:rPr>
      </w:pPr>
      <w:r>
        <w:rPr>
          <w:rFonts w:hint="eastAsia"/>
          <w:sz w:val="24"/>
        </w:rPr>
        <w:t>十、政府性基金预算财政拨款收入支出决算表</w:t>
      </w:r>
    </w:p>
    <w:p>
      <w:pPr>
        <w:pStyle w:val="11"/>
        <w:adjustRightInd w:val="0"/>
        <w:snapToGrid w:val="0"/>
        <w:spacing w:line="440" w:lineRule="exact"/>
        <w:jc w:val="left"/>
        <w:rPr>
          <w:sz w:val="24"/>
        </w:rPr>
      </w:pPr>
      <w:r>
        <w:rPr>
          <w:rFonts w:hint="eastAsia"/>
          <w:sz w:val="24"/>
        </w:rPr>
        <w:t>十一、国有资本经营预算财政拨款收入支出决算表</w:t>
      </w:r>
    </w:p>
    <w:p>
      <w:pPr>
        <w:pStyle w:val="11"/>
        <w:adjustRightInd w:val="0"/>
        <w:snapToGrid w:val="0"/>
        <w:spacing w:line="440" w:lineRule="exact"/>
        <w:jc w:val="left"/>
        <w:rPr>
          <w:sz w:val="24"/>
        </w:rPr>
      </w:pPr>
      <w:r>
        <w:rPr>
          <w:rFonts w:hint="eastAsia"/>
          <w:sz w:val="24"/>
        </w:rPr>
        <w:t>十二、国有资本经营预算财政拨款支出决算表</w:t>
      </w:r>
    </w:p>
    <w:p>
      <w:pPr>
        <w:pStyle w:val="11"/>
        <w:adjustRightInd w:val="0"/>
        <w:snapToGrid w:val="0"/>
        <w:spacing w:line="440" w:lineRule="exact"/>
        <w:jc w:val="left"/>
        <w:rPr>
          <w:sz w:val="24"/>
        </w:rPr>
      </w:pPr>
      <w:r>
        <w:rPr>
          <w:rFonts w:hint="eastAsia"/>
          <w:sz w:val="24"/>
        </w:rPr>
        <w:t>十三、财政拨款“三公”经费支出决算表</w:t>
      </w:r>
    </w:p>
    <w:p>
      <w:pPr>
        <w:widowControl/>
        <w:adjustRightInd w:val="0"/>
        <w:snapToGrid w:val="0"/>
        <w:spacing w:line="440" w:lineRule="exact"/>
        <w:ind w:firstLine="1320" w:firstLineChars="550"/>
        <w:jc w:val="left"/>
        <w:rPr>
          <w:rFonts w:ascii="仿宋" w:hAnsi="仿宋" w:eastAsia="仿宋"/>
          <w:sz w:val="24"/>
        </w:rPr>
      </w:pPr>
      <w:r>
        <w:rPr>
          <w:rFonts w:ascii="仿宋" w:hAnsi="仿宋" w:eastAsia="仿宋"/>
          <w:sz w:val="24"/>
        </w:rPr>
        <w:t>(注：</w:t>
      </w:r>
      <w:r>
        <w:rPr>
          <w:rFonts w:hint="eastAsia" w:ascii="仿宋" w:hAnsi="仿宋" w:eastAsia="仿宋"/>
          <w:sz w:val="24"/>
        </w:rPr>
        <w:t>请单位根据实际注明页码</w:t>
      </w:r>
      <w:r>
        <w:rPr>
          <w:rFonts w:ascii="仿宋" w:hAnsi="仿宋" w:eastAsia="仿宋"/>
          <w:sz w:val="24"/>
        </w:rPr>
        <w:t>)</w:t>
      </w:r>
    </w:p>
    <w:p>
      <w:pPr>
        <w:widowControl/>
        <w:spacing w:line="440" w:lineRule="exact"/>
        <w:jc w:val="left"/>
        <w:rPr>
          <w:rFonts w:ascii="仿宋" w:hAnsi="仿宋" w:eastAsia="仿宋"/>
          <w:bCs/>
          <w:kern w:val="44"/>
          <w:sz w:val="24"/>
        </w:rPr>
      </w:pPr>
      <w:bookmarkStart w:id="12" w:name="_Toc15377196"/>
      <w:bookmarkStart w:id="13" w:name="_Toc15396599"/>
      <w:r>
        <w:rPr>
          <w:rFonts w:ascii="仿宋" w:hAnsi="仿宋" w:eastAsia="仿宋"/>
          <w:b/>
          <w:sz w:val="24"/>
        </w:rPr>
        <w:br w:type="page"/>
      </w:r>
    </w:p>
    <w:p>
      <w:pPr>
        <w:pStyle w:val="3"/>
        <w:jc w:val="center"/>
        <w:rPr>
          <w:rStyle w:val="25"/>
          <w:rFonts w:ascii="黑体" w:hAnsi="黑体" w:eastAsia="黑体"/>
          <w:b/>
          <w:bCs w:val="0"/>
        </w:rPr>
      </w:pPr>
      <w:r>
        <w:rPr>
          <w:rFonts w:hint="eastAsia" w:ascii="黑体" w:hAnsi="黑体" w:eastAsia="黑体"/>
          <w:b w:val="0"/>
        </w:rPr>
        <w:t>第一部分 单位</w:t>
      </w:r>
      <w:r>
        <w:rPr>
          <w:rStyle w:val="25"/>
          <w:rFonts w:hint="eastAsia" w:ascii="黑体" w:hAnsi="黑体" w:eastAsia="黑体"/>
          <w:b w:val="0"/>
          <w:bCs w:val="0"/>
        </w:rPr>
        <w:t>概况</w:t>
      </w:r>
      <w:bookmarkEnd w:id="12"/>
      <w:bookmarkEnd w:id="13"/>
    </w:p>
    <w:p>
      <w:pPr>
        <w:widowControl/>
        <w:jc w:val="left"/>
        <w:rPr>
          <w:rFonts w:ascii="黑体" w:eastAsia="黑体"/>
          <w:sz w:val="32"/>
          <w:szCs w:val="32"/>
        </w:rPr>
      </w:pPr>
    </w:p>
    <w:p>
      <w:pPr>
        <w:pStyle w:val="4"/>
        <w:numPr>
          <w:ilvl w:val="0"/>
          <w:numId w:val="1"/>
        </w:numPr>
        <w:rPr>
          <w:rStyle w:val="26"/>
          <w:rFonts w:ascii="黑体" w:hAnsi="黑体" w:eastAsia="黑体"/>
          <w:b w:val="0"/>
          <w:bCs w:val="0"/>
        </w:rPr>
      </w:pPr>
      <w:bookmarkStart w:id="14" w:name="_Toc15377197"/>
      <w:bookmarkStart w:id="15" w:name="_Toc15396600"/>
      <w:r>
        <w:rPr>
          <w:rStyle w:val="26"/>
          <w:rFonts w:hint="eastAsia" w:ascii="黑体" w:hAnsi="黑体" w:eastAsia="黑体"/>
          <w:b w:val="0"/>
          <w:bCs w:val="0"/>
        </w:rPr>
        <w:t>主要职责</w:t>
      </w:r>
    </w:p>
    <w:p>
      <w:pPr>
        <w:pStyle w:val="2"/>
        <w:pageBreakBefore w:val="0"/>
        <w:widowControl w:val="0"/>
        <w:kinsoku/>
        <w:wordWrap/>
        <w:overflowPunct/>
        <w:topLinePunct w:val="0"/>
        <w:autoSpaceDE/>
        <w:autoSpaceDN/>
        <w:bidi w:val="0"/>
        <w:adjustRightInd w:val="0"/>
        <w:snapToGrid w:val="0"/>
        <w:spacing w:beforeLines="0" w:line="240" w:lineRule="auto"/>
        <w:ind w:firstLine="588" w:firstLineChars="210"/>
        <w:textAlignment w:val="auto"/>
        <w:outlineLvl w:val="2"/>
        <w:rPr>
          <w:rFonts w:hint="eastAsia" w:ascii="宋体" w:hAnsi="宋体" w:eastAsia="宋体" w:cs="宋体"/>
          <w:bCs/>
          <w:color w:val="000000"/>
          <w:sz w:val="28"/>
          <w:szCs w:val="28"/>
        </w:rPr>
      </w:pPr>
      <w:bookmarkStart w:id="16" w:name="_Toc15377198"/>
      <w:bookmarkStart w:id="17" w:name="_Toc15378445"/>
      <w:r>
        <w:rPr>
          <w:rFonts w:hint="eastAsia" w:ascii="宋体" w:hAnsi="宋体" w:eastAsia="宋体" w:cs="宋体"/>
          <w:bCs/>
          <w:color w:val="000000"/>
          <w:sz w:val="28"/>
          <w:szCs w:val="28"/>
        </w:rPr>
        <w:t>（一）主要职能。</w:t>
      </w:r>
      <w:bookmarkEnd w:id="16"/>
      <w:bookmarkEnd w:id="17"/>
    </w:p>
    <w:p>
      <w:pPr>
        <w:pStyle w:val="2"/>
        <w:keepNext w:val="0"/>
        <w:keepLines w:val="0"/>
        <w:pageBreakBefore w:val="0"/>
        <w:widowControl w:val="0"/>
        <w:kinsoku/>
        <w:wordWrap/>
        <w:overflowPunct/>
        <w:topLinePunct w:val="0"/>
        <w:autoSpaceDE/>
        <w:autoSpaceDN/>
        <w:bidi w:val="0"/>
        <w:adjustRightInd/>
        <w:snapToGrid/>
        <w:spacing w:before="93" w:line="240" w:lineRule="auto"/>
        <w:ind w:firstLine="588" w:firstLineChars="210"/>
        <w:textAlignment w:val="auto"/>
        <w:outlineLvl w:val="2"/>
        <w:rPr>
          <w:rFonts w:hint="eastAsia" w:ascii="宋体" w:hAnsi="宋体" w:eastAsia="宋体" w:cs="宋体"/>
          <w:bCs/>
          <w:color w:val="000000"/>
          <w:sz w:val="28"/>
          <w:szCs w:val="28"/>
          <w:lang w:eastAsia="zh-CN"/>
        </w:rPr>
      </w:pPr>
      <w:r>
        <w:rPr>
          <w:rFonts w:hint="eastAsia" w:ascii="宋体" w:hAnsi="宋体" w:eastAsia="宋体" w:cs="宋体"/>
          <w:bCs/>
          <w:color w:val="000000"/>
          <w:sz w:val="28"/>
          <w:szCs w:val="28"/>
          <w:lang w:eastAsia="zh-CN"/>
        </w:rPr>
        <w:t>剑阁县</w:t>
      </w:r>
      <w:r>
        <w:rPr>
          <w:rFonts w:hint="eastAsia" w:ascii="宋体" w:hAnsi="宋体" w:eastAsia="宋体" w:cs="宋体"/>
          <w:bCs/>
          <w:color w:val="000000"/>
          <w:sz w:val="28"/>
          <w:szCs w:val="28"/>
          <w:lang w:val="en-US" w:eastAsia="zh-CN"/>
        </w:rPr>
        <w:t>元山</w:t>
      </w:r>
      <w:r>
        <w:rPr>
          <w:rFonts w:hint="eastAsia" w:ascii="宋体" w:hAnsi="宋体" w:eastAsia="宋体" w:cs="宋体"/>
          <w:bCs/>
          <w:color w:val="000000"/>
          <w:sz w:val="28"/>
          <w:szCs w:val="28"/>
          <w:lang w:eastAsia="zh-CN"/>
        </w:rPr>
        <w:t>小学校属财政预算一级单位，执行事业单位会计制度，本单位现有</w:t>
      </w:r>
      <w:r>
        <w:rPr>
          <w:rFonts w:hint="eastAsia" w:ascii="宋体" w:hAnsi="宋体" w:eastAsia="宋体" w:cs="宋体"/>
          <w:bCs/>
          <w:color w:val="000000"/>
          <w:sz w:val="28"/>
          <w:szCs w:val="28"/>
          <w:lang w:val="en-US" w:eastAsia="zh-CN"/>
        </w:rPr>
        <w:t>23个教学班，70位教职工.</w:t>
      </w:r>
      <w:bookmarkStart w:id="18" w:name="_Toc15377199"/>
      <w:bookmarkStart w:id="19" w:name="_Toc15378446"/>
      <w:r>
        <w:rPr>
          <w:rFonts w:hint="eastAsia" w:ascii="宋体" w:hAnsi="宋体" w:eastAsia="宋体" w:cs="宋体"/>
          <w:bCs/>
          <w:color w:val="000000"/>
          <w:sz w:val="28"/>
          <w:szCs w:val="28"/>
        </w:rPr>
        <w:t>其基本职能及主要工作是实施初中义务教育，促进基础教育发展。</w:t>
      </w:r>
    </w:p>
    <w:p>
      <w:pPr>
        <w:pStyle w:val="2"/>
        <w:keepNext w:val="0"/>
        <w:keepLines w:val="0"/>
        <w:pageBreakBefore w:val="0"/>
        <w:widowControl w:val="0"/>
        <w:kinsoku/>
        <w:wordWrap/>
        <w:overflowPunct/>
        <w:topLinePunct w:val="0"/>
        <w:autoSpaceDE/>
        <w:autoSpaceDN/>
        <w:bidi w:val="0"/>
        <w:adjustRightInd w:val="0"/>
        <w:snapToGrid w:val="0"/>
        <w:spacing w:beforeLines="0" w:line="288" w:lineRule="auto"/>
        <w:ind w:firstLine="588" w:firstLineChars="210"/>
        <w:textAlignment w:val="auto"/>
        <w:outlineLvl w:val="2"/>
        <w:rPr>
          <w:rFonts w:hint="eastAsia" w:ascii="宋体" w:hAnsi="宋体" w:eastAsia="宋体" w:cs="宋体"/>
          <w:bCs/>
          <w:color w:val="000000"/>
          <w:sz w:val="28"/>
          <w:szCs w:val="28"/>
        </w:rPr>
      </w:pPr>
      <w:r>
        <w:rPr>
          <w:rFonts w:hint="eastAsia" w:ascii="宋体" w:hAnsi="宋体" w:eastAsia="宋体" w:cs="宋体"/>
          <w:bCs/>
          <w:color w:val="000000"/>
          <w:sz w:val="28"/>
          <w:szCs w:val="28"/>
        </w:rPr>
        <w:t>（二）202</w:t>
      </w:r>
      <w:r>
        <w:rPr>
          <w:rFonts w:hint="eastAsia" w:ascii="宋体" w:hAnsi="宋体" w:eastAsia="宋体" w:cs="宋体"/>
          <w:bCs/>
          <w:color w:val="000000"/>
          <w:sz w:val="28"/>
          <w:szCs w:val="28"/>
          <w:lang w:val="en-US" w:eastAsia="zh-CN"/>
        </w:rPr>
        <w:t>2</w:t>
      </w:r>
      <w:r>
        <w:rPr>
          <w:rFonts w:hint="eastAsia" w:ascii="宋体" w:hAnsi="宋体" w:eastAsia="宋体" w:cs="宋体"/>
          <w:bCs/>
          <w:color w:val="000000"/>
          <w:sz w:val="28"/>
          <w:szCs w:val="28"/>
        </w:rPr>
        <w:t>年重点工作完成情况。</w:t>
      </w:r>
      <w:bookmarkEnd w:id="18"/>
      <w:bookmarkEnd w:id="19"/>
    </w:p>
    <w:p>
      <w:pPr>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val="en-US" w:eastAsia="zh-CN"/>
        </w:rPr>
        <w:t>202</w:t>
      </w:r>
      <w:r>
        <w:rPr>
          <w:rFonts w:hint="eastAsia" w:ascii="宋体" w:hAnsi="宋体" w:cs="宋体"/>
          <w:sz w:val="28"/>
          <w:szCs w:val="28"/>
          <w:lang w:val="en-US" w:eastAsia="zh-CN"/>
        </w:rPr>
        <w:t>2</w:t>
      </w:r>
      <w:r>
        <w:rPr>
          <w:rFonts w:hint="eastAsia" w:ascii="宋体" w:hAnsi="宋体" w:eastAsia="宋体" w:cs="宋体"/>
          <w:sz w:val="28"/>
          <w:szCs w:val="28"/>
          <w:lang w:val="en-US" w:eastAsia="zh-CN"/>
        </w:rPr>
        <w:t>学年度</w:t>
      </w:r>
      <w:r>
        <w:rPr>
          <w:rFonts w:hint="eastAsia" w:ascii="宋体" w:hAnsi="宋体" w:eastAsia="宋体" w:cs="宋体"/>
          <w:sz w:val="28"/>
          <w:szCs w:val="28"/>
        </w:rPr>
        <w:t>，我校以党的</w:t>
      </w:r>
      <w:r>
        <w:rPr>
          <w:rFonts w:hint="eastAsia" w:ascii="宋体" w:hAnsi="宋体" w:eastAsia="宋体" w:cs="宋体"/>
          <w:sz w:val="28"/>
          <w:szCs w:val="28"/>
          <w:lang w:eastAsia="zh-CN"/>
        </w:rPr>
        <w:t>十九</w:t>
      </w:r>
      <w:r>
        <w:rPr>
          <w:rFonts w:hint="eastAsia" w:ascii="宋体" w:hAnsi="宋体" w:eastAsia="宋体" w:cs="宋体"/>
          <w:sz w:val="28"/>
          <w:szCs w:val="28"/>
        </w:rPr>
        <w:t>大精神为指针，坚持科学发展观，认真落实市、县教育工作会议精神和要求，在上级教育部门的正确领导下，</w:t>
      </w:r>
      <w:r>
        <w:rPr>
          <w:rFonts w:hint="eastAsia" w:ascii="宋体" w:hAnsi="宋体" w:eastAsia="宋体" w:cs="宋体"/>
          <w:sz w:val="28"/>
          <w:szCs w:val="28"/>
          <w:lang w:eastAsia="zh-CN"/>
        </w:rPr>
        <w:t>我校</w:t>
      </w:r>
      <w:r>
        <w:rPr>
          <w:rFonts w:hint="eastAsia" w:ascii="宋体" w:hAnsi="宋体" w:eastAsia="宋体" w:cs="宋体"/>
          <w:sz w:val="28"/>
          <w:szCs w:val="28"/>
        </w:rPr>
        <w:t>全面推进学校素质教育，加快教育现代化步伐，加大教育教学改革力度，加强师资队伍建设，积极实施</w:t>
      </w:r>
      <w:r>
        <w:rPr>
          <w:rFonts w:hint="eastAsia" w:ascii="宋体" w:hAnsi="宋体" w:eastAsia="宋体" w:cs="宋体"/>
          <w:sz w:val="28"/>
          <w:szCs w:val="28"/>
          <w:lang w:eastAsia="zh-CN"/>
        </w:rPr>
        <w:t>课题研究</w:t>
      </w:r>
      <w:r>
        <w:rPr>
          <w:rFonts w:hint="eastAsia" w:ascii="宋体" w:hAnsi="宋体" w:eastAsia="宋体" w:cs="宋体"/>
          <w:sz w:val="28"/>
          <w:szCs w:val="28"/>
        </w:rPr>
        <w:t>，努力构筑教育发展新平台，不断提升学校办学层次。一年来，在全体师生的共同努力下，各项工作得以顺利开展，并取得了可喜的成绩</w:t>
      </w:r>
      <w:r>
        <w:rPr>
          <w:rFonts w:hint="eastAsia" w:ascii="宋体" w:hAnsi="宋体" w:eastAsia="宋体" w:cs="宋体"/>
          <w:sz w:val="28"/>
          <w:szCs w:val="28"/>
          <w:lang w:eastAsia="zh-CN"/>
        </w:rPr>
        <w:t>。</w:t>
      </w:r>
    </w:p>
    <w:p>
      <w:pPr>
        <w:ind w:firstLine="640" w:firstLineChars="200"/>
        <w:rPr>
          <w:rFonts w:hint="eastAsia" w:ascii="黑体" w:hAnsi="黑体" w:eastAsia="黑体" w:cs="黑体"/>
          <w:b w:val="0"/>
          <w:sz w:val="32"/>
          <w:szCs w:val="32"/>
        </w:rPr>
      </w:pPr>
      <w:r>
        <w:rPr>
          <w:rFonts w:hint="eastAsia" w:ascii="黑体" w:hAnsi="黑体" w:eastAsia="黑体" w:cs="黑体"/>
          <w:sz w:val="32"/>
          <w:szCs w:val="32"/>
          <w:lang w:val="en-US" w:eastAsia="zh-CN"/>
        </w:rPr>
        <w:t>二、</w:t>
      </w:r>
      <w:r>
        <w:rPr>
          <w:rFonts w:hint="eastAsia" w:ascii="黑体" w:hAnsi="黑体" w:eastAsia="黑体" w:cs="黑体"/>
          <w:b w:val="0"/>
          <w:sz w:val="32"/>
          <w:szCs w:val="32"/>
        </w:rPr>
        <w:t>机构设置</w:t>
      </w:r>
    </w:p>
    <w:p>
      <w:pPr>
        <w:pStyle w:val="4"/>
        <w:pageBreakBefore w:val="0"/>
        <w:numPr>
          <w:ilvl w:val="0"/>
          <w:numId w:val="0"/>
        </w:numPr>
        <w:kinsoku/>
        <w:wordWrap/>
        <w:overflowPunct/>
        <w:topLinePunct w:val="0"/>
        <w:autoSpaceDE/>
        <w:autoSpaceDN/>
        <w:bidi w:val="0"/>
        <w:adjustRightInd/>
        <w:snapToGrid/>
        <w:spacing w:line="240" w:lineRule="auto"/>
        <w:ind w:leftChars="0" w:firstLine="560" w:firstLineChars="200"/>
        <w:jc w:val="left"/>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剑阁县</w:t>
      </w:r>
      <w:r>
        <w:rPr>
          <w:rFonts w:hint="eastAsia" w:ascii="宋体" w:hAnsi="宋体" w:eastAsia="宋体" w:cs="宋体"/>
          <w:b w:val="0"/>
          <w:bCs w:val="0"/>
          <w:sz w:val="28"/>
          <w:szCs w:val="28"/>
          <w:lang w:val="en-US" w:eastAsia="zh-CN"/>
        </w:rPr>
        <w:t>元山</w:t>
      </w:r>
      <w:r>
        <w:rPr>
          <w:rFonts w:hint="eastAsia" w:ascii="宋体" w:hAnsi="宋体" w:eastAsia="宋体" w:cs="宋体"/>
          <w:b w:val="0"/>
          <w:bCs w:val="0"/>
          <w:sz w:val="28"/>
          <w:szCs w:val="28"/>
          <w:lang w:eastAsia="zh-CN"/>
        </w:rPr>
        <w:t>小学校</w:t>
      </w:r>
      <w:r>
        <w:rPr>
          <w:rFonts w:hint="eastAsia" w:ascii="宋体" w:hAnsi="宋体" w:eastAsia="宋体" w:cs="宋体"/>
          <w:b w:val="0"/>
          <w:bCs w:val="0"/>
          <w:sz w:val="28"/>
          <w:szCs w:val="28"/>
        </w:rPr>
        <w:t>独立编制机构数1个，独立核算机构数1个，全年编制机构数和独立核算机构数无变化。</w:t>
      </w:r>
    </w:p>
    <w:p>
      <w:pPr>
        <w:pStyle w:val="4"/>
        <w:pageBreakBefore w:val="0"/>
        <w:numPr>
          <w:ilvl w:val="0"/>
          <w:numId w:val="0"/>
        </w:numPr>
        <w:kinsoku/>
        <w:wordWrap/>
        <w:overflowPunct/>
        <w:topLinePunct w:val="0"/>
        <w:autoSpaceDE/>
        <w:autoSpaceDN/>
        <w:bidi w:val="0"/>
        <w:adjustRightInd/>
        <w:snapToGrid/>
        <w:spacing w:line="240" w:lineRule="auto"/>
        <w:ind w:firstLine="560" w:firstLineChars="200"/>
        <w:jc w:val="left"/>
        <w:textAlignment w:val="auto"/>
        <w:rPr>
          <w:rFonts w:hint="eastAsia" w:ascii="宋体" w:hAnsi="宋体" w:eastAsia="宋体" w:cs="宋体"/>
          <w:b w:val="0"/>
          <w:bCs w:val="0"/>
          <w:color w:val="000000"/>
          <w:kern w:val="0"/>
          <w:sz w:val="28"/>
          <w:szCs w:val="28"/>
          <w:lang w:val="en-US" w:eastAsia="zh-CN" w:bidi="ar"/>
        </w:rPr>
      </w:pPr>
      <w:r>
        <w:rPr>
          <w:rFonts w:hint="eastAsia" w:ascii="宋体" w:hAnsi="宋体" w:eastAsia="宋体" w:cs="宋体"/>
          <w:b w:val="0"/>
          <w:bCs w:val="0"/>
          <w:color w:val="000000"/>
          <w:kern w:val="0"/>
          <w:sz w:val="28"/>
          <w:szCs w:val="28"/>
          <w:lang w:val="en-US" w:eastAsia="zh-CN" w:bidi="ar"/>
        </w:rPr>
        <w:t xml:space="preserve">无纳入剑阁县元山小学校 2022年度部门决算编制范围的二级预算单位。 </w:t>
      </w:r>
    </w:p>
    <w:p>
      <w:pPr>
        <w:pStyle w:val="4"/>
        <w:rPr>
          <w:rFonts w:ascii="黑体" w:hAnsi="黑体" w:eastAsia="黑体"/>
          <w:b w:val="0"/>
        </w:rPr>
      </w:pPr>
    </w:p>
    <w:bookmarkEnd w:id="14"/>
    <w:bookmarkEnd w:id="15"/>
    <w:p>
      <w:pPr>
        <w:widowControl/>
        <w:jc w:val="left"/>
        <w:rPr>
          <w:rFonts w:ascii="仿宋" w:hAnsi="仿宋" w:eastAsia="仿宋"/>
          <w:kern w:val="0"/>
          <w:sz w:val="32"/>
          <w:szCs w:val="32"/>
        </w:rPr>
      </w:pPr>
      <w:r>
        <w:rPr>
          <w:rFonts w:ascii="仿宋" w:hAnsi="仿宋" w:eastAsia="仿宋"/>
          <w:sz w:val="32"/>
          <w:szCs w:val="32"/>
        </w:rPr>
        <w:br w:type="page"/>
      </w:r>
    </w:p>
    <w:p>
      <w:pPr>
        <w:pStyle w:val="3"/>
        <w:ind w:right="440"/>
        <w:jc w:val="center"/>
        <w:rPr>
          <w:rStyle w:val="25"/>
          <w:rFonts w:ascii="黑体" w:hAnsi="黑体" w:eastAsia="黑体"/>
          <w:b w:val="0"/>
          <w:bCs/>
        </w:rPr>
      </w:pPr>
      <w:bookmarkStart w:id="20" w:name="_Toc15396602"/>
      <w:bookmarkStart w:id="21" w:name="_Toc15377204"/>
      <w:r>
        <w:rPr>
          <w:rFonts w:hint="eastAsia" w:ascii="黑体" w:hAnsi="黑体" w:eastAsia="黑体"/>
          <w:b w:val="0"/>
        </w:rPr>
        <w:t>第二部分 2022年度</w:t>
      </w:r>
      <w:r>
        <w:rPr>
          <w:rStyle w:val="25"/>
          <w:rFonts w:hint="eastAsia" w:ascii="黑体" w:hAnsi="黑体" w:eastAsia="黑体"/>
          <w:b w:val="0"/>
          <w:bCs/>
        </w:rPr>
        <w:t>单位决算情况说明</w:t>
      </w:r>
      <w:bookmarkEnd w:id="20"/>
      <w:bookmarkEnd w:id="21"/>
    </w:p>
    <w:p/>
    <w:p>
      <w:pPr>
        <w:pStyle w:val="24"/>
        <w:numPr>
          <w:ilvl w:val="0"/>
          <w:numId w:val="2"/>
        </w:numPr>
        <w:spacing w:line="600" w:lineRule="exact"/>
        <w:ind w:firstLineChars="0"/>
        <w:outlineLvl w:val="1"/>
        <w:rPr>
          <w:rStyle w:val="26"/>
          <w:rFonts w:ascii="黑体" w:hAnsi="黑体" w:eastAsia="黑体"/>
          <w:b w:val="0"/>
        </w:rPr>
      </w:pPr>
      <w:bookmarkStart w:id="22" w:name="_Toc15377205"/>
      <w:bookmarkStart w:id="23" w:name="_Toc15396603"/>
      <w:r>
        <w:rPr>
          <w:rFonts w:hint="eastAsia" w:ascii="黑体" w:hAnsi="黑体" w:eastAsia="黑体"/>
          <w:sz w:val="32"/>
          <w:szCs w:val="32"/>
        </w:rPr>
        <w:t>收</w:t>
      </w:r>
      <w:r>
        <w:rPr>
          <w:rStyle w:val="26"/>
          <w:rFonts w:hint="eastAsia" w:ascii="黑体" w:hAnsi="黑体" w:eastAsia="黑体"/>
          <w:b w:val="0"/>
        </w:rPr>
        <w:t>入支出决算总体情况说明</w:t>
      </w:r>
      <w:bookmarkEnd w:id="22"/>
      <w:bookmarkEnd w:id="23"/>
    </w:p>
    <w:p>
      <w:pPr>
        <w:spacing w:line="240" w:lineRule="auto"/>
        <w:ind w:firstLine="0" w:firstLineChars="0"/>
        <w:rPr>
          <w:rFonts w:ascii="仿宋" w:hAnsi="仿宋" w:eastAsia="仿宋"/>
          <w:sz w:val="32"/>
          <w:szCs w:val="32"/>
        </w:rPr>
      </w:pPr>
      <w:r>
        <w:rPr>
          <w:rFonts w:hint="eastAsia" w:ascii="仿宋" w:hAnsi="仿宋" w:eastAsia="仿宋"/>
          <w:sz w:val="32"/>
          <w:szCs w:val="32"/>
        </w:rPr>
        <w:t>2022年度收、支总计</w:t>
      </w:r>
      <w:r>
        <w:rPr>
          <w:rFonts w:hint="eastAsia" w:ascii="仿宋" w:hAnsi="仿宋" w:eastAsia="仿宋"/>
          <w:sz w:val="32"/>
          <w:szCs w:val="32"/>
          <w:lang w:val="en-US" w:eastAsia="zh-CN"/>
        </w:rPr>
        <w:t>1360.31</w:t>
      </w:r>
      <w:r>
        <w:rPr>
          <w:rFonts w:hint="eastAsia" w:ascii="仿宋" w:hAnsi="仿宋" w:eastAsia="仿宋"/>
          <w:sz w:val="32"/>
          <w:szCs w:val="32"/>
        </w:rPr>
        <w:t>万元。与2021年相比，收、支总计</w:t>
      </w:r>
      <w:r>
        <w:rPr>
          <w:rFonts w:hint="eastAsia" w:ascii="仿宋" w:hAnsi="仿宋" w:eastAsia="仿宋"/>
          <w:sz w:val="32"/>
          <w:szCs w:val="32"/>
          <w:lang w:val="en-US" w:eastAsia="zh-CN"/>
        </w:rPr>
        <w:t>各</w:t>
      </w:r>
      <w:r>
        <w:rPr>
          <w:rFonts w:hint="eastAsia" w:ascii="仿宋" w:hAnsi="仿宋" w:eastAsia="仿宋"/>
          <w:sz w:val="32"/>
          <w:szCs w:val="32"/>
        </w:rPr>
        <w:t>减少</w:t>
      </w:r>
      <w:r>
        <w:rPr>
          <w:rFonts w:hint="eastAsia" w:ascii="仿宋" w:hAnsi="仿宋" w:eastAsia="仿宋"/>
          <w:sz w:val="32"/>
          <w:szCs w:val="32"/>
          <w:lang w:val="en-US" w:eastAsia="zh-CN"/>
        </w:rPr>
        <w:t>207.14</w:t>
      </w:r>
      <w:r>
        <w:rPr>
          <w:rFonts w:hint="eastAsia" w:ascii="仿宋" w:hAnsi="仿宋" w:eastAsia="仿宋"/>
          <w:sz w:val="32"/>
          <w:szCs w:val="32"/>
        </w:rPr>
        <w:t>万元，下降</w:t>
      </w:r>
      <w:r>
        <w:rPr>
          <w:rFonts w:hint="eastAsia" w:ascii="仿宋" w:hAnsi="仿宋" w:eastAsia="仿宋"/>
          <w:sz w:val="32"/>
          <w:szCs w:val="32"/>
          <w:lang w:val="en-US" w:eastAsia="zh-CN"/>
        </w:rPr>
        <w:t>13.22</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val="en-US" w:eastAsia="zh-CN"/>
        </w:rPr>
        <w:t>退休教师一次性补助减少、学生、教师人数减少造成人员经费、生均公用经费减少等</w:t>
      </w:r>
      <w:r>
        <w:rPr>
          <w:rFonts w:hint="eastAsia" w:ascii="仿宋" w:hAnsi="仿宋" w:eastAsia="仿宋"/>
          <w:sz w:val="32"/>
          <w:szCs w:val="32"/>
        </w:rPr>
        <w:t>。</w:t>
      </w:r>
      <w:r>
        <w:drawing>
          <wp:inline distT="0" distB="0" distL="114300" distR="114300">
            <wp:extent cx="4572000" cy="2819400"/>
            <wp:effectExtent l="4445" t="4445" r="14605" b="1460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line="600" w:lineRule="exact"/>
        <w:ind w:firstLine="640" w:firstLineChars="200"/>
        <w:rPr>
          <w:rFonts w:hint="eastAsia" w:ascii="仿宋" w:hAnsi="仿宋" w:eastAsia="仿宋"/>
          <w:sz w:val="32"/>
          <w:szCs w:val="32"/>
        </w:rPr>
      </w:pPr>
    </w:p>
    <w:p>
      <w:pPr>
        <w:spacing w:line="600" w:lineRule="exact"/>
        <w:rPr>
          <w:rFonts w:ascii="仿宋" w:hAnsi="仿宋" w:eastAsia="仿宋"/>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：收、支决算总计变动情况图）（柱状图）</w:t>
      </w:r>
    </w:p>
    <w:p>
      <w:pPr>
        <w:spacing w:line="600" w:lineRule="exact"/>
        <w:ind w:firstLine="640" w:firstLineChars="200"/>
        <w:jc w:val="left"/>
        <w:rPr>
          <w:rFonts w:ascii="仿宋_GB2312" w:eastAsia="仿宋_GB2312"/>
          <w:sz w:val="32"/>
          <w:szCs w:val="32"/>
        </w:rPr>
      </w:pPr>
    </w:p>
    <w:p>
      <w:pPr>
        <w:pStyle w:val="24"/>
        <w:numPr>
          <w:ilvl w:val="0"/>
          <w:numId w:val="2"/>
        </w:numPr>
        <w:spacing w:line="600" w:lineRule="exact"/>
        <w:ind w:firstLineChars="0"/>
        <w:outlineLvl w:val="1"/>
        <w:rPr>
          <w:rStyle w:val="26"/>
          <w:rFonts w:ascii="黑体" w:hAnsi="黑体" w:eastAsia="黑体"/>
          <w:b w:val="0"/>
        </w:rPr>
      </w:pPr>
      <w:bookmarkStart w:id="24" w:name="_Toc15377206"/>
      <w:bookmarkStart w:id="25" w:name="_Toc15396604"/>
      <w:r>
        <w:rPr>
          <w:rFonts w:hint="eastAsia" w:ascii="黑体" w:hAnsi="黑体" w:eastAsia="黑体"/>
          <w:sz w:val="32"/>
          <w:szCs w:val="32"/>
        </w:rPr>
        <w:t>收</w:t>
      </w:r>
      <w:r>
        <w:rPr>
          <w:rStyle w:val="26"/>
          <w:rFonts w:hint="eastAsia" w:ascii="黑体" w:hAnsi="黑体" w:eastAsia="黑体"/>
          <w:b w:val="0"/>
        </w:rPr>
        <w:t>入决算情况说明</w:t>
      </w:r>
      <w:bookmarkEnd w:id="24"/>
      <w:bookmarkEnd w:id="25"/>
    </w:p>
    <w:p>
      <w:pPr>
        <w:spacing w:line="600" w:lineRule="exact"/>
        <w:ind w:firstLine="640" w:firstLineChars="200"/>
        <w:outlineLvl w:val="1"/>
        <w:rPr>
          <w:rFonts w:hint="eastAsia"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22年本年收入合计</w:t>
      </w:r>
      <w:r>
        <w:rPr>
          <w:rFonts w:hint="eastAsia" w:ascii="仿宋" w:hAnsi="仿宋" w:eastAsia="仿宋"/>
          <w:sz w:val="32"/>
          <w:szCs w:val="32"/>
          <w:lang w:val="en-US" w:eastAsia="zh-CN"/>
        </w:rPr>
        <w:t>1360.31</w:t>
      </w:r>
      <w:r>
        <w:rPr>
          <w:rFonts w:hint="eastAsia" w:ascii="仿宋" w:hAnsi="仿宋" w:eastAsia="仿宋"/>
          <w:sz w:val="32"/>
          <w:szCs w:val="32"/>
        </w:rPr>
        <w:t>万元，其中：一般公共预算财政拨款收入</w:t>
      </w:r>
      <w:r>
        <w:rPr>
          <w:rFonts w:hint="eastAsia" w:ascii="仿宋" w:hAnsi="仿宋" w:eastAsia="仿宋"/>
          <w:sz w:val="32"/>
          <w:szCs w:val="32"/>
          <w:lang w:val="en-US" w:eastAsia="zh-CN"/>
        </w:rPr>
        <w:t>1358.31</w:t>
      </w:r>
      <w:r>
        <w:rPr>
          <w:rFonts w:hint="eastAsia" w:ascii="仿宋" w:hAnsi="仿宋" w:eastAsia="仿宋"/>
          <w:sz w:val="32"/>
          <w:szCs w:val="32"/>
        </w:rPr>
        <w:t>万元，占</w:t>
      </w:r>
      <w:r>
        <w:rPr>
          <w:rFonts w:hint="eastAsia" w:ascii="仿宋" w:hAnsi="仿宋" w:eastAsia="仿宋"/>
          <w:sz w:val="32"/>
          <w:szCs w:val="32"/>
          <w:lang w:val="en-US" w:eastAsia="zh-CN"/>
        </w:rPr>
        <w:t>99.85</w:t>
      </w:r>
      <w:r>
        <w:rPr>
          <w:rFonts w:ascii="仿宋" w:hAnsi="仿宋" w:eastAsia="仿宋"/>
          <w:sz w:val="32"/>
          <w:szCs w:val="32"/>
        </w:rPr>
        <w:t>%</w:t>
      </w:r>
      <w:r>
        <w:rPr>
          <w:rFonts w:hint="eastAsia" w:ascii="仿宋" w:hAnsi="仿宋" w:eastAsia="仿宋"/>
          <w:sz w:val="32"/>
          <w:szCs w:val="32"/>
        </w:rPr>
        <w:t>；政府性基金预算财政拨款收入</w:t>
      </w:r>
      <w:r>
        <w:rPr>
          <w:rFonts w:hint="eastAsia" w:ascii="仿宋" w:hAnsi="仿宋" w:eastAsia="仿宋"/>
          <w:sz w:val="32"/>
          <w:szCs w:val="32"/>
          <w:lang w:val="en-US" w:eastAsia="zh-CN"/>
        </w:rPr>
        <w:t>2</w:t>
      </w:r>
      <w:r>
        <w:rPr>
          <w:rFonts w:hint="eastAsia" w:ascii="仿宋" w:hAnsi="仿宋" w:eastAsia="仿宋"/>
          <w:sz w:val="32"/>
          <w:szCs w:val="32"/>
        </w:rPr>
        <w:t>万元，占</w:t>
      </w:r>
      <w:r>
        <w:rPr>
          <w:rFonts w:hint="eastAsia" w:ascii="仿宋" w:hAnsi="仿宋" w:eastAsia="仿宋"/>
          <w:sz w:val="32"/>
          <w:szCs w:val="32"/>
          <w:lang w:val="en-US" w:eastAsia="zh-CN"/>
        </w:rPr>
        <w:t>0.15</w:t>
      </w:r>
      <w:r>
        <w:rPr>
          <w:rFonts w:ascii="仿宋" w:hAnsi="仿宋" w:eastAsia="仿宋"/>
          <w:sz w:val="32"/>
          <w:szCs w:val="32"/>
        </w:rPr>
        <w:t>%</w:t>
      </w:r>
      <w:r>
        <w:rPr>
          <w:rFonts w:hint="eastAsia" w:ascii="仿宋" w:hAnsi="仿宋" w:eastAsia="仿宋"/>
          <w:sz w:val="32"/>
          <w:szCs w:val="32"/>
        </w:rPr>
        <w:t>；国有资本经营预算财政拨款收入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；上级补助收入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；事业收入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；经营收入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；附属单位上缴收入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；其他收入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p>
    <w:p>
      <w:pPr>
        <w:spacing w:line="600" w:lineRule="exact"/>
        <w:ind w:firstLine="640" w:firstLineChars="200"/>
        <w:outlineLvl w:val="1"/>
        <w:rPr>
          <w:rFonts w:hint="eastAsia" w:ascii="仿宋" w:hAnsi="仿宋" w:eastAsia="仿宋"/>
          <w:sz w:val="32"/>
          <w:szCs w:val="32"/>
        </w:rPr>
      </w:pPr>
    </w:p>
    <w:p>
      <w:pPr>
        <w:pStyle w:val="2"/>
        <w:rPr>
          <w:rFonts w:hint="eastAsia" w:ascii="仿宋" w:hAnsi="仿宋" w:eastAsia="仿宋"/>
          <w:sz w:val="32"/>
          <w:szCs w:val="32"/>
        </w:rPr>
      </w:pPr>
      <w:r>
        <w:drawing>
          <wp:inline distT="0" distB="0" distL="114300" distR="114300">
            <wp:extent cx="4572000" cy="2743200"/>
            <wp:effectExtent l="4445" t="4445" r="14605" b="1460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2"/>
        <w:rPr>
          <w:rFonts w:hint="eastAsia" w:ascii="仿宋" w:hAnsi="仿宋" w:eastAsia="仿宋"/>
          <w:sz w:val="32"/>
          <w:szCs w:val="32"/>
        </w:rPr>
      </w:pPr>
    </w:p>
    <w:p>
      <w:pPr>
        <w:spacing w:line="600" w:lineRule="exact"/>
        <w:ind w:firstLine="640" w:firstLineChars="200"/>
        <w:outlineLvl w:val="1"/>
        <w:rPr>
          <w:rFonts w:ascii="仿宋" w:hAnsi="仿宋" w:eastAsia="仿宋"/>
          <w:sz w:val="32"/>
          <w:szCs w:val="32"/>
        </w:rPr>
      </w:pPr>
    </w:p>
    <w:p>
      <w:pPr>
        <w:spacing w:line="600" w:lineRule="exact"/>
        <w:ind w:firstLine="640" w:firstLineChars="200"/>
        <w:rPr>
          <w:rFonts w:ascii="仿宋" w:hAnsi="仿宋" w:eastAsia="仿宋"/>
          <w:sz w:val="32"/>
          <w:szCs w:val="32"/>
        </w:rPr>
      </w:pPr>
      <w:r>
        <w:rPr>
          <w:rFonts w:hint="eastAsia" w:ascii="仿宋" w:hAnsi="仿宋" w:eastAsia="仿宋"/>
          <w:sz w:val="32"/>
          <w:szCs w:val="32"/>
        </w:rPr>
        <w:t>（图2：收入决算结构图）（饼状图）</w:t>
      </w:r>
    </w:p>
    <w:p>
      <w:pPr>
        <w:spacing w:line="600" w:lineRule="exact"/>
        <w:ind w:firstLine="640" w:firstLineChars="200"/>
        <w:rPr>
          <w:rFonts w:ascii="仿宋_GB2312" w:eastAsia="仿宋_GB2312"/>
          <w:sz w:val="32"/>
          <w:szCs w:val="32"/>
        </w:rPr>
      </w:pPr>
    </w:p>
    <w:p>
      <w:pPr>
        <w:pStyle w:val="24"/>
        <w:numPr>
          <w:ilvl w:val="0"/>
          <w:numId w:val="2"/>
        </w:numPr>
        <w:spacing w:line="600" w:lineRule="exact"/>
        <w:ind w:firstLineChars="0"/>
        <w:outlineLvl w:val="1"/>
        <w:rPr>
          <w:rStyle w:val="26"/>
          <w:rFonts w:ascii="黑体" w:hAnsi="黑体" w:eastAsia="黑体"/>
          <w:b w:val="0"/>
        </w:rPr>
      </w:pPr>
      <w:bookmarkStart w:id="26" w:name="_Toc15396605"/>
      <w:bookmarkStart w:id="27" w:name="_Toc15377207"/>
      <w:r>
        <w:rPr>
          <w:rFonts w:hint="eastAsia" w:ascii="黑体" w:hAnsi="黑体" w:eastAsia="黑体"/>
          <w:sz w:val="32"/>
          <w:szCs w:val="32"/>
        </w:rPr>
        <w:t>支</w:t>
      </w:r>
      <w:r>
        <w:rPr>
          <w:rStyle w:val="26"/>
          <w:rFonts w:hint="eastAsia" w:ascii="黑体" w:hAnsi="黑体" w:eastAsia="黑体"/>
          <w:b w:val="0"/>
        </w:rPr>
        <w:t>出决算情况说明</w:t>
      </w:r>
      <w:bookmarkEnd w:id="26"/>
      <w:bookmarkEnd w:id="27"/>
    </w:p>
    <w:p>
      <w:pPr>
        <w:spacing w:line="600" w:lineRule="exact"/>
        <w:ind w:firstLine="640" w:firstLineChars="200"/>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22年本年支出合计</w:t>
      </w:r>
      <w:r>
        <w:rPr>
          <w:rFonts w:hint="eastAsia" w:ascii="仿宋" w:hAnsi="仿宋" w:eastAsia="仿宋"/>
          <w:sz w:val="32"/>
          <w:szCs w:val="32"/>
          <w:lang w:val="en-US" w:eastAsia="zh-CN"/>
        </w:rPr>
        <w:t>1358.31</w:t>
      </w:r>
      <w:r>
        <w:rPr>
          <w:rFonts w:hint="eastAsia" w:ascii="仿宋" w:hAnsi="仿宋" w:eastAsia="仿宋"/>
          <w:sz w:val="32"/>
          <w:szCs w:val="32"/>
        </w:rPr>
        <w:t>万元，其中：基本支出</w:t>
      </w:r>
      <w:r>
        <w:rPr>
          <w:rFonts w:hint="eastAsia" w:ascii="仿宋" w:hAnsi="仿宋" w:eastAsia="仿宋"/>
          <w:sz w:val="32"/>
          <w:szCs w:val="32"/>
          <w:lang w:val="en-US" w:eastAsia="zh-CN"/>
        </w:rPr>
        <w:t>1328.31</w:t>
      </w:r>
      <w:r>
        <w:rPr>
          <w:rFonts w:hint="eastAsia" w:ascii="仿宋" w:hAnsi="仿宋" w:eastAsia="仿宋"/>
          <w:sz w:val="32"/>
          <w:szCs w:val="32"/>
        </w:rPr>
        <w:t>万元，占</w:t>
      </w:r>
      <w:r>
        <w:rPr>
          <w:rFonts w:hint="eastAsia" w:ascii="仿宋" w:hAnsi="仿宋" w:eastAsia="仿宋"/>
          <w:sz w:val="32"/>
          <w:szCs w:val="32"/>
          <w:lang w:val="en-US" w:eastAsia="zh-CN"/>
        </w:rPr>
        <w:t>97.79</w:t>
      </w:r>
      <w:r>
        <w:rPr>
          <w:rFonts w:ascii="仿宋" w:hAnsi="仿宋" w:eastAsia="仿宋"/>
          <w:sz w:val="32"/>
          <w:szCs w:val="32"/>
        </w:rPr>
        <w:t>%</w:t>
      </w:r>
      <w:r>
        <w:rPr>
          <w:rFonts w:hint="eastAsia" w:ascii="仿宋" w:hAnsi="仿宋" w:eastAsia="仿宋"/>
          <w:sz w:val="32"/>
          <w:szCs w:val="32"/>
        </w:rPr>
        <w:t>；项目支出</w:t>
      </w:r>
      <w:r>
        <w:rPr>
          <w:rFonts w:hint="eastAsia" w:ascii="仿宋" w:hAnsi="仿宋" w:eastAsia="仿宋"/>
          <w:sz w:val="32"/>
          <w:szCs w:val="32"/>
          <w:lang w:val="en-US" w:eastAsia="zh-CN"/>
        </w:rPr>
        <w:t>32</w:t>
      </w:r>
      <w:r>
        <w:rPr>
          <w:rFonts w:hint="eastAsia" w:ascii="仿宋" w:hAnsi="仿宋" w:eastAsia="仿宋"/>
          <w:sz w:val="32"/>
          <w:szCs w:val="32"/>
        </w:rPr>
        <w:t>万元，占</w:t>
      </w:r>
      <w:r>
        <w:rPr>
          <w:rFonts w:hint="eastAsia" w:ascii="仿宋" w:hAnsi="仿宋" w:eastAsia="仿宋"/>
          <w:sz w:val="32"/>
          <w:szCs w:val="32"/>
          <w:lang w:val="en-US" w:eastAsia="zh-CN"/>
        </w:rPr>
        <w:t>2.21</w:t>
      </w:r>
      <w:r>
        <w:rPr>
          <w:rFonts w:ascii="仿宋" w:hAnsi="仿宋" w:eastAsia="仿宋"/>
          <w:sz w:val="32"/>
          <w:szCs w:val="32"/>
        </w:rPr>
        <w:t>%</w:t>
      </w:r>
      <w:r>
        <w:rPr>
          <w:rFonts w:hint="eastAsia" w:ascii="仿宋" w:hAnsi="仿宋" w:eastAsia="仿宋"/>
          <w:sz w:val="32"/>
          <w:szCs w:val="32"/>
        </w:rPr>
        <w:t>；上缴上级支出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；经营支出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；对附属单位补助支出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p>
    <w:p>
      <w:pPr>
        <w:pStyle w:val="2"/>
      </w:pPr>
    </w:p>
    <w:p>
      <w:pPr>
        <w:pStyle w:val="2"/>
      </w:pPr>
      <w:r>
        <w:drawing>
          <wp:inline distT="0" distB="0" distL="114300" distR="114300">
            <wp:extent cx="4572000" cy="2743200"/>
            <wp:effectExtent l="4445" t="4445" r="14605" b="14605"/>
            <wp:docPr id="8"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ind w:firstLine="640"/>
        <w:rPr>
          <w:rFonts w:ascii="仿宋" w:hAnsi="仿宋" w:eastAsia="仿宋"/>
          <w:sz w:val="32"/>
          <w:szCs w:val="32"/>
          <w:shd w:val="pct10" w:color="auto" w:fill="FFFFFF"/>
        </w:rPr>
      </w:pPr>
    </w:p>
    <w:p>
      <w:pPr>
        <w:spacing w:line="600" w:lineRule="exact"/>
        <w:ind w:firstLine="640" w:firstLineChars="200"/>
        <w:rPr>
          <w:rFonts w:ascii="仿宋" w:hAnsi="仿宋" w:eastAsia="仿宋"/>
          <w:sz w:val="32"/>
          <w:szCs w:val="32"/>
        </w:rPr>
      </w:pPr>
      <w:r>
        <w:rPr>
          <w:rFonts w:hint="eastAsia" w:ascii="仿宋" w:hAnsi="仿宋" w:eastAsia="仿宋"/>
          <w:sz w:val="32"/>
          <w:szCs w:val="32"/>
        </w:rPr>
        <w:t>（图3：支出决算结构图）（饼状图）</w:t>
      </w:r>
    </w:p>
    <w:p>
      <w:pPr>
        <w:spacing w:line="600" w:lineRule="exact"/>
        <w:ind w:firstLine="640" w:firstLineChars="200"/>
        <w:rPr>
          <w:rFonts w:ascii="仿宋_GB2312" w:eastAsia="仿宋_GB2312"/>
          <w:sz w:val="32"/>
          <w:szCs w:val="32"/>
        </w:rPr>
      </w:pPr>
    </w:p>
    <w:p>
      <w:pPr>
        <w:spacing w:line="600" w:lineRule="exact"/>
        <w:ind w:firstLine="640" w:firstLineChars="200"/>
        <w:outlineLvl w:val="1"/>
        <w:rPr>
          <w:rStyle w:val="26"/>
          <w:rFonts w:ascii="黑体" w:hAnsi="黑体" w:eastAsia="黑体"/>
          <w:b w:val="0"/>
        </w:rPr>
      </w:pPr>
      <w:bookmarkStart w:id="28" w:name="_Toc15396606"/>
      <w:bookmarkStart w:id="29" w:name="_Toc15377208"/>
      <w:r>
        <w:rPr>
          <w:rFonts w:hint="eastAsia" w:ascii="黑体" w:hAnsi="黑体" w:eastAsia="黑体"/>
          <w:sz w:val="32"/>
          <w:szCs w:val="32"/>
        </w:rPr>
        <w:t>四、财</w:t>
      </w:r>
      <w:r>
        <w:rPr>
          <w:rStyle w:val="26"/>
          <w:rFonts w:hint="eastAsia" w:ascii="黑体" w:hAnsi="黑体" w:eastAsia="黑体"/>
          <w:b w:val="0"/>
        </w:rPr>
        <w:t>政拨款收入支出决算总体情况说明</w:t>
      </w:r>
      <w:bookmarkEnd w:id="28"/>
      <w:bookmarkEnd w:id="29"/>
    </w:p>
    <w:p>
      <w:pPr>
        <w:spacing w:line="600" w:lineRule="exact"/>
        <w:ind w:firstLine="640"/>
        <w:rPr>
          <w:rFonts w:hint="eastAsia"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22年财政拨款收、支总计</w:t>
      </w:r>
      <w:r>
        <w:rPr>
          <w:rFonts w:hint="eastAsia" w:ascii="仿宋" w:hAnsi="仿宋" w:eastAsia="仿宋"/>
          <w:sz w:val="32"/>
          <w:szCs w:val="32"/>
          <w:lang w:val="en-US" w:eastAsia="zh-CN"/>
        </w:rPr>
        <w:t>1360.31</w:t>
      </w:r>
      <w:r>
        <w:rPr>
          <w:rFonts w:hint="eastAsia" w:ascii="仿宋" w:hAnsi="仿宋" w:eastAsia="仿宋"/>
          <w:sz w:val="32"/>
          <w:szCs w:val="32"/>
        </w:rPr>
        <w:t>万元。与</w:t>
      </w:r>
      <w:r>
        <w:rPr>
          <w:rFonts w:ascii="仿宋" w:hAnsi="仿宋" w:eastAsia="仿宋"/>
          <w:sz w:val="32"/>
          <w:szCs w:val="32"/>
        </w:rPr>
        <w:t>20</w:t>
      </w:r>
      <w:r>
        <w:rPr>
          <w:rFonts w:hint="eastAsia" w:ascii="仿宋" w:hAnsi="仿宋" w:eastAsia="仿宋"/>
          <w:sz w:val="32"/>
          <w:szCs w:val="32"/>
        </w:rPr>
        <w:t>21年相比，财政拨款收、支总计各减少</w:t>
      </w:r>
      <w:r>
        <w:rPr>
          <w:rFonts w:hint="eastAsia" w:ascii="仿宋" w:hAnsi="仿宋" w:eastAsia="仿宋"/>
          <w:sz w:val="32"/>
          <w:szCs w:val="32"/>
          <w:lang w:val="en-US" w:eastAsia="zh-CN"/>
        </w:rPr>
        <w:t>207.14</w:t>
      </w:r>
      <w:r>
        <w:rPr>
          <w:rFonts w:hint="eastAsia" w:ascii="仿宋" w:hAnsi="仿宋" w:eastAsia="仿宋"/>
          <w:sz w:val="32"/>
          <w:szCs w:val="32"/>
        </w:rPr>
        <w:t>万元，下降</w:t>
      </w:r>
      <w:r>
        <w:rPr>
          <w:rFonts w:hint="eastAsia" w:ascii="仿宋" w:hAnsi="仿宋" w:eastAsia="仿宋"/>
          <w:sz w:val="32"/>
          <w:szCs w:val="32"/>
          <w:lang w:val="en-US" w:eastAsia="zh-CN"/>
        </w:rPr>
        <w:t>13.22</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val="en-US" w:eastAsia="zh-CN"/>
        </w:rPr>
        <w:t>退休教师一次性补助、学生人数、教职工人数减少造成人员经费、生均公用经费减少。</w:t>
      </w: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afterAutospacing="0" w:line="600" w:lineRule="exact"/>
        <w:rPr>
          <w:rFonts w:hint="eastAsia" w:ascii="仿宋" w:hAnsi="仿宋" w:eastAsia="仿宋"/>
          <w:sz w:val="32"/>
          <w:szCs w:val="32"/>
        </w:rPr>
      </w:pPr>
    </w:p>
    <w:p>
      <w:pPr>
        <w:spacing w:before="5463" w:beforeLines="1750" w:beforeAutospacing="0" w:line="600" w:lineRule="exact"/>
        <w:ind w:firstLine="420" w:firstLineChars="200"/>
        <w:rPr>
          <w:rFonts w:hint="eastAsia" w:ascii="仿宋" w:hAnsi="仿宋" w:eastAsia="仿宋"/>
          <w:sz w:val="32"/>
          <w:szCs w:val="32"/>
        </w:rPr>
      </w:pPr>
      <w:r>
        <w:drawing>
          <wp:inline distT="0" distB="0" distL="114300" distR="114300">
            <wp:extent cx="4747260" cy="3403600"/>
            <wp:effectExtent l="4445" t="4445" r="10795" b="20955"/>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ascii="仿宋" w:hAnsi="仿宋" w:eastAsia="仿宋"/>
          <w:sz w:val="32"/>
          <w:szCs w:val="32"/>
        </w:rPr>
      </w:pPr>
      <w:r>
        <w:rPr>
          <w:rFonts w:hint="eastAsia" w:ascii="仿宋" w:hAnsi="仿宋" w:eastAsia="仿宋"/>
          <w:sz w:val="32"/>
          <w:szCs w:val="32"/>
        </w:rPr>
        <w:t>（图4：财政拨款收、支决算总计变动情况）（柱状图）</w:t>
      </w:r>
    </w:p>
    <w:p>
      <w:pPr>
        <w:spacing w:line="600" w:lineRule="exact"/>
        <w:ind w:firstLine="640"/>
        <w:rPr>
          <w:rFonts w:ascii="仿宋" w:hAnsi="仿宋" w:eastAsia="仿宋"/>
          <w:b/>
          <w:sz w:val="32"/>
          <w:szCs w:val="32"/>
        </w:rPr>
      </w:pPr>
    </w:p>
    <w:p>
      <w:pPr>
        <w:spacing w:line="600" w:lineRule="exact"/>
        <w:ind w:firstLine="640" w:firstLineChars="200"/>
        <w:outlineLvl w:val="1"/>
        <w:rPr>
          <w:rStyle w:val="26"/>
          <w:rFonts w:ascii="黑体" w:hAnsi="黑体" w:eastAsia="黑体"/>
          <w:b w:val="0"/>
        </w:rPr>
      </w:pPr>
      <w:bookmarkStart w:id="30" w:name="_Toc15396607"/>
      <w:bookmarkStart w:id="31" w:name="_Toc15377209"/>
      <w:r>
        <w:rPr>
          <w:rFonts w:hint="eastAsia" w:ascii="黑体" w:hAnsi="黑体" w:eastAsia="黑体"/>
          <w:sz w:val="32"/>
          <w:szCs w:val="32"/>
        </w:rPr>
        <w:t>五、</w:t>
      </w:r>
      <w:r>
        <w:rPr>
          <w:rFonts w:hint="eastAsia" w:ascii="黑体" w:hAnsi="黑体" w:eastAsia="黑体"/>
          <w:b/>
          <w:sz w:val="32"/>
          <w:szCs w:val="32"/>
        </w:rPr>
        <w:t>一</w:t>
      </w:r>
      <w:r>
        <w:rPr>
          <w:rStyle w:val="26"/>
          <w:rFonts w:hint="eastAsia" w:ascii="黑体" w:hAnsi="黑体" w:eastAsia="黑体"/>
          <w:b w:val="0"/>
        </w:rPr>
        <w:t>般公共预算财政拨款支出决算情况说明</w:t>
      </w:r>
      <w:bookmarkEnd w:id="30"/>
      <w:bookmarkEnd w:id="31"/>
    </w:p>
    <w:p>
      <w:pPr>
        <w:spacing w:line="600" w:lineRule="exact"/>
        <w:ind w:firstLine="643" w:firstLineChars="200"/>
        <w:outlineLvl w:val="2"/>
        <w:rPr>
          <w:rFonts w:ascii="仿宋" w:hAnsi="仿宋" w:eastAsia="仿宋"/>
          <w:b/>
          <w:sz w:val="32"/>
          <w:szCs w:val="32"/>
        </w:rPr>
      </w:pPr>
      <w:bookmarkStart w:id="32" w:name="_Toc15377210"/>
      <w:r>
        <w:rPr>
          <w:rFonts w:hint="eastAsia" w:ascii="仿宋" w:hAnsi="仿宋" w:eastAsia="仿宋"/>
          <w:b/>
          <w:sz w:val="32"/>
          <w:szCs w:val="32"/>
        </w:rPr>
        <w:t>（一）一般公共预算财政拨款支出决算总体情况</w:t>
      </w:r>
      <w:bookmarkEnd w:id="32"/>
    </w:p>
    <w:p>
      <w:pPr>
        <w:spacing w:line="600" w:lineRule="exact"/>
        <w:ind w:firstLine="640" w:firstLineChars="200"/>
        <w:rPr>
          <w:rFonts w:hint="eastAsia" w:ascii="仿宋" w:hAnsi="仿宋" w:eastAsia="仿宋"/>
          <w:sz w:val="32"/>
          <w:szCs w:val="32"/>
          <w:lang w:val="en-US" w:eastAsia="zh-CN"/>
        </w:rPr>
      </w:pPr>
      <w:r>
        <w:rPr>
          <w:rFonts w:ascii="仿宋" w:hAnsi="仿宋" w:eastAsia="仿宋"/>
          <w:sz w:val="32"/>
          <w:szCs w:val="32"/>
        </w:rPr>
        <w:t>20</w:t>
      </w:r>
      <w:r>
        <w:rPr>
          <w:rFonts w:hint="eastAsia" w:ascii="仿宋" w:hAnsi="仿宋" w:eastAsia="仿宋"/>
          <w:sz w:val="32"/>
          <w:szCs w:val="32"/>
        </w:rPr>
        <w:t>22年一般公共预算财政拨款支出</w:t>
      </w:r>
      <w:r>
        <w:rPr>
          <w:rFonts w:hint="eastAsia" w:ascii="仿宋" w:hAnsi="仿宋" w:eastAsia="仿宋"/>
          <w:sz w:val="32"/>
          <w:szCs w:val="32"/>
          <w:lang w:val="en-US" w:eastAsia="zh-CN"/>
        </w:rPr>
        <w:t>1358.31</w:t>
      </w:r>
      <w:r>
        <w:rPr>
          <w:rFonts w:hint="eastAsia" w:ascii="仿宋" w:hAnsi="仿宋" w:eastAsia="仿宋"/>
          <w:sz w:val="32"/>
          <w:szCs w:val="32"/>
        </w:rPr>
        <w:t>万元，占本年支出合计的</w:t>
      </w:r>
      <w:r>
        <w:rPr>
          <w:rFonts w:hint="eastAsia" w:ascii="仿宋" w:hAnsi="仿宋" w:eastAsia="仿宋"/>
          <w:sz w:val="32"/>
          <w:szCs w:val="32"/>
          <w:lang w:val="en-US" w:eastAsia="zh-CN"/>
        </w:rPr>
        <w:t>99.85</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21年相比，一般公共预算财政拨款支出减少</w:t>
      </w:r>
      <w:r>
        <w:rPr>
          <w:rFonts w:hint="eastAsia" w:ascii="仿宋" w:hAnsi="仿宋" w:eastAsia="仿宋"/>
          <w:sz w:val="32"/>
          <w:szCs w:val="32"/>
          <w:lang w:val="en-US" w:eastAsia="zh-CN"/>
        </w:rPr>
        <w:t>203.52</w:t>
      </w:r>
      <w:r>
        <w:rPr>
          <w:rFonts w:hint="eastAsia" w:ascii="仿宋" w:hAnsi="仿宋" w:eastAsia="仿宋"/>
          <w:sz w:val="32"/>
          <w:szCs w:val="32"/>
        </w:rPr>
        <w:t>万元，下降</w:t>
      </w:r>
      <w:r>
        <w:rPr>
          <w:rFonts w:hint="eastAsia" w:ascii="仿宋" w:hAnsi="仿宋" w:eastAsia="仿宋"/>
          <w:sz w:val="32"/>
          <w:szCs w:val="32"/>
          <w:lang w:val="en-US" w:eastAsia="zh-CN"/>
        </w:rPr>
        <w:t>13.03</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val="en-US" w:eastAsia="zh-CN"/>
        </w:rPr>
        <w:t>退休教师一次性补助、学生人数、教职工人数减少造成人员经费、生均公用经费减少。</w:t>
      </w:r>
    </w:p>
    <w:p>
      <w:pPr>
        <w:pStyle w:val="2"/>
        <w:rPr>
          <w:rFonts w:hint="eastAsia" w:ascii="仿宋" w:hAnsi="仿宋" w:eastAsia="仿宋"/>
          <w:sz w:val="32"/>
          <w:szCs w:val="32"/>
          <w:lang w:val="en-US" w:eastAsia="zh-CN"/>
        </w:rPr>
      </w:pPr>
    </w:p>
    <w:p>
      <w:pPr>
        <w:pStyle w:val="2"/>
        <w:rPr>
          <w:rFonts w:hint="eastAsia" w:ascii="仿宋" w:hAnsi="仿宋" w:eastAsia="仿宋"/>
          <w:sz w:val="32"/>
          <w:szCs w:val="32"/>
          <w:lang w:val="en-US" w:eastAsia="zh-CN"/>
        </w:rPr>
      </w:pPr>
      <w:r>
        <w:drawing>
          <wp:inline distT="0" distB="0" distL="114300" distR="114300">
            <wp:extent cx="4686300" cy="2926715"/>
            <wp:effectExtent l="4445" t="5080" r="14605" b="20955"/>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rPr>
          <w:rFonts w:ascii="仿宋" w:hAnsi="仿宋" w:eastAsia="仿宋"/>
          <w:sz w:val="32"/>
          <w:szCs w:val="32"/>
        </w:rPr>
      </w:pPr>
      <w:r>
        <w:rPr>
          <w:rFonts w:hint="eastAsia" w:ascii="仿宋" w:hAnsi="仿宋" w:eastAsia="仿宋"/>
          <w:sz w:val="32"/>
          <w:szCs w:val="32"/>
        </w:rPr>
        <w:t>（图5：一般公共预算财政拨款支出决算变动情况）（柱状图）</w:t>
      </w:r>
    </w:p>
    <w:p>
      <w:pPr>
        <w:spacing w:line="600" w:lineRule="exact"/>
        <w:ind w:firstLine="640" w:firstLineChars="200"/>
        <w:rPr>
          <w:rFonts w:ascii="仿宋" w:hAnsi="仿宋" w:eastAsia="仿宋"/>
          <w:sz w:val="32"/>
          <w:szCs w:val="32"/>
        </w:rPr>
      </w:pPr>
    </w:p>
    <w:p>
      <w:pPr>
        <w:spacing w:line="600" w:lineRule="exact"/>
        <w:ind w:firstLine="643" w:firstLineChars="200"/>
        <w:outlineLvl w:val="2"/>
        <w:rPr>
          <w:rFonts w:ascii="仿宋" w:hAnsi="仿宋" w:eastAsia="仿宋"/>
          <w:b/>
          <w:sz w:val="32"/>
          <w:szCs w:val="32"/>
        </w:rPr>
      </w:pPr>
      <w:bookmarkStart w:id="33" w:name="_Toc15377211"/>
      <w:r>
        <w:rPr>
          <w:rFonts w:hint="eastAsia" w:ascii="仿宋" w:hAnsi="仿宋" w:eastAsia="仿宋"/>
          <w:b/>
          <w:sz w:val="32"/>
          <w:szCs w:val="32"/>
        </w:rPr>
        <w:t>（二）一般公共预算财政拨款支出决算结构情况</w:t>
      </w:r>
      <w:bookmarkEnd w:id="33"/>
    </w:p>
    <w:p>
      <w:pPr>
        <w:spacing w:line="600" w:lineRule="exact"/>
        <w:ind w:firstLine="640"/>
        <w:rPr>
          <w:rFonts w:ascii="仿宋" w:hAnsi="仿宋" w:eastAsia="仿宋"/>
          <w:b/>
          <w:sz w:val="32"/>
          <w:szCs w:val="32"/>
        </w:rPr>
      </w:pPr>
      <w:r>
        <w:rPr>
          <w:rFonts w:ascii="仿宋" w:hAnsi="仿宋" w:eastAsia="仿宋"/>
          <w:sz w:val="32"/>
          <w:szCs w:val="32"/>
        </w:rPr>
        <w:t>20</w:t>
      </w:r>
      <w:r>
        <w:rPr>
          <w:rFonts w:hint="eastAsia" w:ascii="仿宋" w:hAnsi="仿宋" w:eastAsia="仿宋"/>
          <w:sz w:val="32"/>
          <w:szCs w:val="32"/>
        </w:rPr>
        <w:t>22年一般公共预算财政拨款支出</w:t>
      </w:r>
      <w:r>
        <w:rPr>
          <w:rFonts w:hint="eastAsia" w:ascii="仿宋" w:hAnsi="仿宋" w:eastAsia="仿宋"/>
          <w:sz w:val="32"/>
          <w:szCs w:val="32"/>
          <w:lang w:val="en-US" w:eastAsia="zh-CN"/>
        </w:rPr>
        <w:t>1358.31</w:t>
      </w:r>
      <w:r>
        <w:rPr>
          <w:rFonts w:hint="eastAsia" w:ascii="仿宋" w:hAnsi="仿宋" w:eastAsia="仿宋"/>
          <w:sz w:val="32"/>
          <w:szCs w:val="32"/>
        </w:rPr>
        <w:t>万元，主要用于以下方面</w:t>
      </w:r>
      <w:r>
        <w:rPr>
          <w:rFonts w:hint="eastAsia" w:ascii="仿宋" w:hAnsi="仿宋" w:eastAsia="仿宋"/>
          <w:sz w:val="32"/>
          <w:szCs w:val="32"/>
          <w:lang w:eastAsia="zh-CN"/>
        </w:rPr>
        <w:t>：</w:t>
      </w:r>
      <w:r>
        <w:rPr>
          <w:rFonts w:hint="eastAsia" w:ascii="仿宋" w:hAnsi="仿宋" w:eastAsia="仿宋"/>
          <w:b/>
          <w:sz w:val="32"/>
          <w:szCs w:val="32"/>
        </w:rPr>
        <w:t>一般公共服务</w:t>
      </w:r>
      <w:r>
        <w:rPr>
          <w:rFonts w:hint="eastAsia" w:ascii="仿宋" w:hAnsi="仿宋" w:eastAsia="仿宋"/>
          <w:b/>
          <w:bCs/>
          <w:sz w:val="32"/>
          <w:szCs w:val="32"/>
        </w:rPr>
        <w:t>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教育支出</w:t>
      </w:r>
      <w:r>
        <w:rPr>
          <w:rFonts w:hint="eastAsia" w:ascii="仿宋" w:hAnsi="仿宋" w:eastAsia="仿宋"/>
          <w:sz w:val="32"/>
          <w:szCs w:val="32"/>
          <w:lang w:val="en-US" w:eastAsia="zh-CN"/>
        </w:rPr>
        <w:t>1162.27</w:t>
      </w:r>
      <w:r>
        <w:rPr>
          <w:rFonts w:hint="eastAsia" w:ascii="仿宋" w:hAnsi="仿宋" w:eastAsia="仿宋"/>
          <w:sz w:val="32"/>
          <w:szCs w:val="32"/>
        </w:rPr>
        <w:t>万元，占</w:t>
      </w:r>
      <w:r>
        <w:rPr>
          <w:rFonts w:hint="eastAsia" w:ascii="仿宋" w:hAnsi="仿宋" w:eastAsia="仿宋"/>
          <w:sz w:val="32"/>
          <w:szCs w:val="32"/>
          <w:lang w:val="en-US" w:eastAsia="zh-CN"/>
        </w:rPr>
        <w:t>85.57</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科学技术</w:t>
      </w:r>
      <w:r>
        <w:rPr>
          <w:rFonts w:hint="eastAsia" w:ascii="仿宋" w:hAnsi="仿宋" w:eastAsia="仿宋"/>
          <w:b/>
          <w:bCs/>
          <w:sz w:val="32"/>
          <w:szCs w:val="32"/>
        </w:rPr>
        <w:t>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文化旅游体育与传媒支出</w:t>
      </w:r>
      <w:r>
        <w:rPr>
          <w:rFonts w:hint="eastAsia" w:ascii="仿宋" w:hAnsi="仿宋" w:eastAsia="仿宋"/>
          <w:b/>
          <w:bCs/>
          <w:sz w:val="32"/>
          <w:szCs w:val="32"/>
          <w:lang w:val="en-US" w:eastAsia="zh-CN"/>
        </w:rPr>
        <w:t>0</w:t>
      </w:r>
      <w:r>
        <w:rPr>
          <w:rFonts w:hint="eastAsia" w:ascii="仿宋" w:hAnsi="仿宋" w:eastAsia="仿宋"/>
          <w:b/>
          <w:bCs/>
          <w:sz w:val="32"/>
          <w:szCs w:val="32"/>
        </w:rPr>
        <w:t>万元，占</w:t>
      </w:r>
      <w:r>
        <w:rPr>
          <w:rFonts w:hint="eastAsia" w:ascii="仿宋" w:hAnsi="仿宋" w:eastAsia="仿宋"/>
          <w:b/>
          <w:bCs/>
          <w:sz w:val="32"/>
          <w:szCs w:val="32"/>
          <w:lang w:val="en-US" w:eastAsia="zh-CN"/>
        </w:rPr>
        <w:t>0</w:t>
      </w:r>
      <w:r>
        <w:rPr>
          <w:rFonts w:ascii="仿宋" w:hAnsi="仿宋" w:eastAsia="仿宋"/>
          <w:b/>
          <w:bCs/>
          <w:sz w:val="32"/>
          <w:szCs w:val="32"/>
        </w:rPr>
        <w:t>%</w:t>
      </w:r>
      <w:r>
        <w:rPr>
          <w:rFonts w:hint="eastAsia"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hint="eastAsia" w:ascii="仿宋" w:hAnsi="仿宋" w:eastAsia="仿宋"/>
          <w:sz w:val="32"/>
          <w:szCs w:val="32"/>
          <w:lang w:val="en-US" w:eastAsia="zh-CN"/>
        </w:rPr>
        <w:t>87.13</w:t>
      </w:r>
      <w:r>
        <w:rPr>
          <w:rFonts w:hint="eastAsia" w:ascii="仿宋" w:hAnsi="仿宋" w:eastAsia="仿宋"/>
          <w:sz w:val="32"/>
          <w:szCs w:val="32"/>
        </w:rPr>
        <w:t>万元，占</w:t>
      </w:r>
      <w:r>
        <w:rPr>
          <w:rFonts w:hint="eastAsia" w:ascii="仿宋" w:hAnsi="仿宋" w:eastAsia="仿宋"/>
          <w:sz w:val="32"/>
          <w:szCs w:val="32"/>
          <w:lang w:val="en-US" w:eastAsia="zh-CN"/>
        </w:rPr>
        <w:t>6.41</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lang w:val="en-US" w:eastAsia="zh-CN"/>
        </w:rPr>
        <w:t>43.56</w:t>
      </w:r>
      <w:r>
        <w:rPr>
          <w:rFonts w:hint="eastAsia" w:ascii="仿宋" w:hAnsi="仿宋" w:eastAsia="仿宋"/>
          <w:sz w:val="32"/>
          <w:szCs w:val="32"/>
        </w:rPr>
        <w:t>万元，占</w:t>
      </w:r>
      <w:r>
        <w:rPr>
          <w:rFonts w:hint="eastAsia" w:ascii="仿宋" w:hAnsi="仿宋" w:eastAsia="仿宋"/>
          <w:sz w:val="32"/>
          <w:szCs w:val="32"/>
          <w:lang w:val="en-US" w:eastAsia="zh-CN"/>
        </w:rPr>
        <w:t>3.21</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住房保障支出</w:t>
      </w:r>
      <w:r>
        <w:rPr>
          <w:rFonts w:hint="eastAsia" w:ascii="仿宋" w:hAnsi="仿宋" w:eastAsia="仿宋"/>
          <w:sz w:val="32"/>
          <w:szCs w:val="32"/>
          <w:lang w:val="en-US" w:eastAsia="zh-CN"/>
        </w:rPr>
        <w:t>65.35</w:t>
      </w:r>
      <w:r>
        <w:rPr>
          <w:rFonts w:hint="eastAsia" w:ascii="仿宋" w:hAnsi="仿宋" w:eastAsia="仿宋"/>
          <w:sz w:val="32"/>
          <w:szCs w:val="32"/>
        </w:rPr>
        <w:t>万元，占</w:t>
      </w:r>
      <w:r>
        <w:rPr>
          <w:rFonts w:hint="eastAsia" w:ascii="仿宋" w:hAnsi="仿宋" w:eastAsia="仿宋"/>
          <w:sz w:val="32"/>
          <w:szCs w:val="32"/>
          <w:lang w:val="en-US" w:eastAsia="zh-CN"/>
        </w:rPr>
        <w:t>4.81</w:t>
      </w:r>
      <w:r>
        <w:rPr>
          <w:rFonts w:ascii="仿宋" w:hAnsi="仿宋" w:eastAsia="仿宋"/>
          <w:sz w:val="32"/>
          <w:szCs w:val="32"/>
        </w:rPr>
        <w:t>%</w:t>
      </w:r>
      <w:r>
        <w:rPr>
          <w:rFonts w:hint="eastAsia" w:ascii="仿宋" w:hAnsi="仿宋" w:eastAsia="仿宋"/>
          <w:sz w:val="32"/>
          <w:szCs w:val="32"/>
        </w:rPr>
        <w:t>。</w:t>
      </w:r>
    </w:p>
    <w:p>
      <w:pPr>
        <w:pStyle w:val="2"/>
        <w:rPr>
          <w:rFonts w:hint="eastAsia" w:ascii="仿宋" w:hAnsi="仿宋" w:eastAsia="仿宋"/>
          <w:b/>
          <w:sz w:val="32"/>
          <w:szCs w:val="32"/>
        </w:rPr>
      </w:pPr>
    </w:p>
    <w:p>
      <w:pPr>
        <w:pStyle w:val="2"/>
        <w:rPr>
          <w:rFonts w:hint="eastAsia" w:ascii="仿宋" w:hAnsi="仿宋" w:eastAsia="仿宋"/>
          <w:b/>
          <w:sz w:val="32"/>
          <w:szCs w:val="32"/>
        </w:rPr>
      </w:pPr>
    </w:p>
    <w:p>
      <w:pPr>
        <w:pStyle w:val="2"/>
        <w:rPr>
          <w:rFonts w:hint="eastAsia" w:ascii="仿宋" w:hAnsi="仿宋" w:eastAsia="仿宋"/>
          <w:b/>
          <w:sz w:val="32"/>
          <w:szCs w:val="32"/>
        </w:rPr>
      </w:pPr>
      <w:r>
        <w:drawing>
          <wp:inline distT="0" distB="0" distL="114300" distR="114300">
            <wp:extent cx="4605020" cy="2743200"/>
            <wp:effectExtent l="4445" t="4445" r="19685" b="14605"/>
            <wp:docPr id="7"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pStyle w:val="2"/>
        <w:rPr>
          <w:rFonts w:hint="eastAsia" w:ascii="仿宋" w:hAnsi="仿宋" w:eastAsia="仿宋"/>
          <w:b/>
          <w:sz w:val="32"/>
          <w:szCs w:val="32"/>
        </w:rPr>
      </w:pPr>
    </w:p>
    <w:p>
      <w:pPr>
        <w:pStyle w:val="2"/>
        <w:rPr>
          <w:rFonts w:hint="eastAsia" w:ascii="仿宋" w:hAnsi="仿宋" w:eastAsia="仿宋"/>
          <w:b/>
          <w:sz w:val="32"/>
          <w:szCs w:val="32"/>
        </w:rPr>
      </w:pPr>
    </w:p>
    <w:p>
      <w:pPr>
        <w:pStyle w:val="2"/>
        <w:rPr>
          <w:rFonts w:hint="eastAsia" w:ascii="仿宋" w:hAnsi="仿宋" w:eastAsia="仿宋"/>
          <w:b/>
          <w:sz w:val="32"/>
          <w:szCs w:val="32"/>
        </w:rPr>
      </w:pPr>
    </w:p>
    <w:p>
      <w:pPr>
        <w:pStyle w:val="2"/>
        <w:rPr>
          <w:rFonts w:hint="eastAsia" w:ascii="仿宋" w:hAnsi="仿宋" w:eastAsia="仿宋"/>
          <w:b/>
          <w:sz w:val="32"/>
          <w:szCs w:val="32"/>
        </w:rPr>
      </w:pPr>
    </w:p>
    <w:p>
      <w:pPr>
        <w:spacing w:line="600" w:lineRule="exact"/>
        <w:ind w:firstLine="640"/>
        <w:rPr>
          <w:rFonts w:ascii="仿宋" w:hAnsi="仿宋" w:eastAsia="仿宋"/>
          <w:sz w:val="32"/>
          <w:szCs w:val="32"/>
        </w:rPr>
      </w:pPr>
    </w:p>
    <w:p>
      <w:pPr>
        <w:spacing w:line="600" w:lineRule="exact"/>
        <w:ind w:firstLine="640" w:firstLineChars="200"/>
        <w:rPr>
          <w:rFonts w:ascii="仿宋" w:hAnsi="仿宋" w:eastAsia="仿宋"/>
          <w:sz w:val="32"/>
          <w:szCs w:val="32"/>
        </w:rPr>
      </w:pPr>
      <w:r>
        <w:rPr>
          <w:rFonts w:hint="eastAsia" w:ascii="仿宋" w:hAnsi="仿宋" w:eastAsia="仿宋"/>
          <w:sz w:val="32"/>
          <w:szCs w:val="32"/>
        </w:rPr>
        <w:t>（图6：一般公共预算财政拨款支出决算结构）（饼状图）</w:t>
      </w:r>
    </w:p>
    <w:p>
      <w:pPr>
        <w:spacing w:line="600" w:lineRule="exact"/>
        <w:ind w:firstLine="640" w:firstLineChars="200"/>
        <w:rPr>
          <w:rFonts w:ascii="仿宋" w:hAnsi="仿宋" w:eastAsia="仿宋"/>
          <w:sz w:val="32"/>
          <w:szCs w:val="32"/>
        </w:rPr>
      </w:pPr>
    </w:p>
    <w:p>
      <w:pPr>
        <w:spacing w:line="600" w:lineRule="exact"/>
        <w:ind w:firstLine="643" w:firstLineChars="200"/>
        <w:outlineLvl w:val="2"/>
        <w:rPr>
          <w:rFonts w:ascii="仿宋" w:hAnsi="仿宋" w:eastAsia="仿宋"/>
          <w:b/>
          <w:sz w:val="32"/>
          <w:szCs w:val="32"/>
        </w:rPr>
      </w:pPr>
      <w:bookmarkStart w:id="34" w:name="_Toc15377212"/>
      <w:r>
        <w:rPr>
          <w:rFonts w:hint="eastAsia" w:ascii="仿宋" w:hAnsi="仿宋" w:eastAsia="仿宋"/>
          <w:b/>
          <w:sz w:val="32"/>
          <w:szCs w:val="32"/>
        </w:rPr>
        <w:t>（三）一般公共预算财政拨款支出决算具体情况</w:t>
      </w:r>
      <w:bookmarkEnd w:id="34"/>
    </w:p>
    <w:p>
      <w:pPr>
        <w:spacing w:line="600" w:lineRule="exact"/>
        <w:ind w:firstLine="643" w:firstLineChars="200"/>
        <w:outlineLvl w:val="2"/>
        <w:rPr>
          <w:rFonts w:ascii="仿宋" w:hAnsi="仿宋" w:eastAsia="仿宋"/>
          <w:sz w:val="32"/>
          <w:szCs w:val="32"/>
        </w:rPr>
      </w:pPr>
      <w:bookmarkStart w:id="35" w:name="_Toc15377213"/>
      <w:bookmarkStart w:id="36" w:name="_Toc15378460"/>
      <w:bookmarkStart w:id="37" w:name="_Toc15377444"/>
      <w:r>
        <w:rPr>
          <w:rFonts w:hint="eastAsia" w:ascii="仿宋" w:hAnsi="仿宋" w:eastAsia="仿宋"/>
          <w:b/>
          <w:sz w:val="32"/>
          <w:szCs w:val="32"/>
        </w:rPr>
        <w:t>2022年一般公共预算支出决算数为</w:t>
      </w:r>
      <w:r>
        <w:rPr>
          <w:rFonts w:hint="eastAsia" w:ascii="仿宋" w:hAnsi="仿宋" w:eastAsia="仿宋"/>
          <w:b/>
          <w:sz w:val="32"/>
          <w:szCs w:val="32"/>
          <w:lang w:val="en-US" w:eastAsia="zh-CN"/>
        </w:rPr>
        <w:t>1358.31</w:t>
      </w:r>
      <w:r>
        <w:rPr>
          <w:rFonts w:hint="eastAsia" w:ascii="仿宋" w:hAnsi="仿宋" w:eastAsia="仿宋"/>
          <w:sz w:val="32"/>
          <w:szCs w:val="32"/>
        </w:rPr>
        <w:t>，</w:t>
      </w:r>
      <w:r>
        <w:rPr>
          <w:rStyle w:val="15"/>
          <w:rFonts w:hint="eastAsia" w:ascii="仿宋" w:hAnsi="仿宋" w:eastAsia="仿宋"/>
          <w:bCs/>
          <w:sz w:val="32"/>
          <w:szCs w:val="32"/>
        </w:rPr>
        <w:t>完成预算</w:t>
      </w:r>
      <w:r>
        <w:rPr>
          <w:rStyle w:val="15"/>
          <w:rFonts w:hint="eastAsia" w:ascii="仿宋" w:hAnsi="仿宋" w:eastAsia="仿宋"/>
          <w:bCs/>
          <w:sz w:val="32"/>
          <w:szCs w:val="32"/>
          <w:lang w:val="en-US" w:eastAsia="zh-CN"/>
        </w:rPr>
        <w:t>100</w:t>
      </w:r>
      <w:r>
        <w:rPr>
          <w:rStyle w:val="15"/>
          <w:rFonts w:ascii="仿宋" w:hAnsi="仿宋" w:eastAsia="仿宋"/>
          <w:bCs/>
          <w:sz w:val="32"/>
          <w:szCs w:val="32"/>
        </w:rPr>
        <w:t>%</w:t>
      </w:r>
      <w:r>
        <w:rPr>
          <w:rStyle w:val="15"/>
          <w:rFonts w:hint="eastAsia" w:ascii="仿宋" w:hAnsi="仿宋" w:eastAsia="仿宋"/>
          <w:bCs/>
          <w:sz w:val="32"/>
          <w:szCs w:val="32"/>
        </w:rPr>
        <w:t>。其中：</w:t>
      </w:r>
      <w:bookmarkEnd w:id="35"/>
      <w:bookmarkEnd w:id="36"/>
      <w:bookmarkEnd w:id="37"/>
    </w:p>
    <w:p>
      <w:pPr>
        <w:spacing w:line="600" w:lineRule="exact"/>
        <w:ind w:firstLine="643" w:firstLineChars="200"/>
        <w:rPr>
          <w:rFonts w:hint="eastAsia" w:ascii="仿宋" w:hAnsi="仿宋" w:eastAsia="仿宋"/>
          <w:b/>
          <w:sz w:val="32"/>
          <w:szCs w:val="32"/>
          <w:lang w:val="en-US" w:eastAsia="zh-CN"/>
        </w:rPr>
      </w:pPr>
      <w:r>
        <w:rPr>
          <w:rStyle w:val="15"/>
          <w:rFonts w:ascii="仿宋" w:hAnsi="仿宋" w:eastAsia="仿宋"/>
          <w:bCs/>
          <w:sz w:val="32"/>
          <w:szCs w:val="32"/>
        </w:rPr>
        <w:t>1.</w:t>
      </w:r>
      <w:r>
        <w:rPr>
          <w:rStyle w:val="15"/>
          <w:rFonts w:hint="eastAsia" w:ascii="仿宋" w:hAnsi="仿宋" w:eastAsia="仿宋"/>
          <w:bCs/>
          <w:sz w:val="32"/>
          <w:szCs w:val="32"/>
        </w:rPr>
        <w:t>一般公共服务</w:t>
      </w:r>
      <w:r>
        <w:rPr>
          <w:rStyle w:val="15"/>
          <w:rFonts w:hint="eastAsia" w:ascii="仿宋" w:hAnsi="仿宋" w:eastAsia="仿宋"/>
          <w:bCs/>
          <w:sz w:val="32"/>
          <w:szCs w:val="32"/>
          <w:lang w:eastAsia="zh-CN"/>
        </w:rPr>
        <w:t>：</w:t>
      </w:r>
      <w:r>
        <w:rPr>
          <w:rStyle w:val="15"/>
          <w:rFonts w:ascii="仿宋" w:hAnsi="仿宋" w:eastAsia="仿宋"/>
          <w:b w:val="0"/>
          <w:bCs/>
          <w:sz w:val="32"/>
          <w:szCs w:val="32"/>
        </w:rPr>
        <w:t xml:space="preserve"> </w:t>
      </w:r>
      <w:r>
        <w:rPr>
          <w:rStyle w:val="15"/>
          <w:rFonts w:hint="eastAsia" w:ascii="仿宋" w:hAnsi="仿宋" w:eastAsia="仿宋"/>
          <w:b w:val="0"/>
          <w:bCs/>
          <w:sz w:val="32"/>
          <w:szCs w:val="32"/>
        </w:rPr>
        <w:t>支出决算为</w:t>
      </w:r>
      <w:r>
        <w:rPr>
          <w:rStyle w:val="15"/>
          <w:rFonts w:hint="eastAsia" w:ascii="仿宋" w:hAnsi="仿宋" w:eastAsia="仿宋"/>
          <w:b w:val="0"/>
          <w:bCs/>
          <w:sz w:val="32"/>
          <w:szCs w:val="32"/>
          <w:lang w:val="en-US" w:eastAsia="zh-CN"/>
        </w:rPr>
        <w:t>0</w:t>
      </w:r>
      <w:r>
        <w:rPr>
          <w:rStyle w:val="15"/>
          <w:rFonts w:hint="eastAsia" w:ascii="仿宋" w:hAnsi="仿宋" w:eastAsia="仿宋"/>
          <w:b w:val="0"/>
          <w:bCs/>
          <w:sz w:val="32"/>
          <w:szCs w:val="32"/>
        </w:rPr>
        <w:t>万元，完成预算</w:t>
      </w:r>
      <w:r>
        <w:rPr>
          <w:rStyle w:val="15"/>
          <w:rFonts w:hint="eastAsia" w:ascii="仿宋" w:hAnsi="仿宋" w:eastAsia="仿宋"/>
          <w:b w:val="0"/>
          <w:bCs/>
          <w:sz w:val="32"/>
          <w:szCs w:val="32"/>
          <w:lang w:val="en-US" w:eastAsia="zh-CN"/>
        </w:rPr>
        <w:t>0</w:t>
      </w:r>
      <w:r>
        <w:rPr>
          <w:rStyle w:val="15"/>
          <w:rFonts w:ascii="仿宋" w:hAnsi="仿宋" w:eastAsia="仿宋"/>
          <w:b w:val="0"/>
          <w:bCs/>
          <w:sz w:val="32"/>
          <w:szCs w:val="32"/>
        </w:rPr>
        <w:t>%</w:t>
      </w:r>
      <w:r>
        <w:rPr>
          <w:rStyle w:val="15"/>
          <w:rFonts w:hint="eastAsia" w:ascii="仿宋" w:hAnsi="仿宋" w:eastAsia="仿宋"/>
          <w:b w:val="0"/>
          <w:bCs/>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textAlignment w:val="auto"/>
        <w:rPr>
          <w:rStyle w:val="15"/>
          <w:rFonts w:hint="eastAsia" w:ascii="宋体" w:hAnsi="宋体" w:eastAsia="宋体" w:cs="宋体"/>
          <w:b w:val="0"/>
          <w:bCs/>
          <w:color w:val="000000"/>
          <w:sz w:val="28"/>
          <w:szCs w:val="28"/>
        </w:rPr>
      </w:pPr>
      <w:r>
        <w:rPr>
          <w:rStyle w:val="15"/>
          <w:rFonts w:ascii="仿宋" w:hAnsi="仿宋" w:eastAsia="仿宋"/>
          <w:bCs/>
          <w:sz w:val="32"/>
          <w:szCs w:val="32"/>
        </w:rPr>
        <w:t>2.</w:t>
      </w:r>
      <w:r>
        <w:rPr>
          <w:rStyle w:val="15"/>
          <w:rFonts w:hint="eastAsia" w:ascii="宋体" w:hAnsi="宋体" w:eastAsia="宋体" w:cs="宋体"/>
          <w:bCs/>
          <w:color w:val="000000"/>
          <w:sz w:val="28"/>
          <w:szCs w:val="28"/>
        </w:rPr>
        <w:t>教育（类）</w:t>
      </w:r>
      <w:r>
        <w:rPr>
          <w:rStyle w:val="15"/>
          <w:rFonts w:hint="eastAsia" w:ascii="宋体" w:hAnsi="宋体" w:eastAsia="宋体" w:cs="宋体"/>
          <w:bCs/>
          <w:color w:val="000000"/>
          <w:sz w:val="28"/>
          <w:szCs w:val="28"/>
          <w:lang w:eastAsia="zh-CN"/>
        </w:rPr>
        <w:t>普通教育</w:t>
      </w:r>
      <w:r>
        <w:rPr>
          <w:rStyle w:val="15"/>
          <w:rFonts w:hint="eastAsia" w:ascii="宋体" w:hAnsi="宋体" w:eastAsia="宋体" w:cs="宋体"/>
          <w:bCs/>
          <w:color w:val="000000"/>
          <w:sz w:val="28"/>
          <w:szCs w:val="28"/>
        </w:rPr>
        <w:t>（款）</w:t>
      </w:r>
      <w:r>
        <w:rPr>
          <w:rStyle w:val="15"/>
          <w:rFonts w:hint="eastAsia" w:ascii="宋体" w:hAnsi="宋体" w:eastAsia="宋体" w:cs="宋体"/>
          <w:bCs/>
          <w:color w:val="000000"/>
          <w:sz w:val="28"/>
          <w:szCs w:val="28"/>
          <w:lang w:eastAsia="zh-CN"/>
        </w:rPr>
        <w:t>学前教育</w:t>
      </w:r>
      <w:r>
        <w:rPr>
          <w:rStyle w:val="15"/>
          <w:rFonts w:hint="eastAsia" w:ascii="宋体" w:hAnsi="宋体" w:eastAsia="宋体" w:cs="宋体"/>
          <w:bCs/>
          <w:color w:val="000000"/>
          <w:sz w:val="28"/>
          <w:szCs w:val="28"/>
        </w:rPr>
        <w:t>（项）</w:t>
      </w:r>
      <w:r>
        <w:rPr>
          <w:rStyle w:val="15"/>
          <w:rFonts w:hint="eastAsia" w:ascii="宋体" w:hAnsi="宋体" w:cs="宋体"/>
          <w:bCs/>
          <w:color w:val="000000"/>
          <w:sz w:val="28"/>
          <w:szCs w:val="28"/>
          <w:lang w:eastAsia="zh-CN"/>
        </w:rPr>
        <w:t>：</w:t>
      </w:r>
      <w:r>
        <w:rPr>
          <w:rStyle w:val="15"/>
          <w:rFonts w:hint="eastAsia" w:ascii="宋体" w:hAnsi="宋体" w:eastAsia="宋体" w:cs="宋体"/>
          <w:b w:val="0"/>
          <w:bCs/>
          <w:color w:val="000000"/>
          <w:sz w:val="28"/>
          <w:szCs w:val="28"/>
        </w:rPr>
        <w:t xml:space="preserve"> 支出决算为</w:t>
      </w:r>
      <w:r>
        <w:rPr>
          <w:rStyle w:val="15"/>
          <w:rFonts w:hint="eastAsia" w:ascii="宋体" w:hAnsi="宋体" w:eastAsia="宋体" w:cs="宋体"/>
          <w:b w:val="0"/>
          <w:bCs/>
          <w:color w:val="000000"/>
          <w:sz w:val="28"/>
          <w:szCs w:val="28"/>
          <w:lang w:val="en-US" w:eastAsia="zh-CN"/>
        </w:rPr>
        <w:t>124.13</w:t>
      </w:r>
      <w:r>
        <w:rPr>
          <w:rStyle w:val="15"/>
          <w:rFonts w:hint="eastAsia" w:ascii="宋体" w:hAnsi="宋体" w:eastAsia="宋体" w:cs="宋体"/>
          <w:b w:val="0"/>
          <w:bCs/>
          <w:color w:val="000000"/>
          <w:sz w:val="28"/>
          <w:szCs w:val="28"/>
        </w:rPr>
        <w:t>万元，完成预算</w:t>
      </w:r>
      <w:r>
        <w:rPr>
          <w:rStyle w:val="15"/>
          <w:rFonts w:hint="eastAsia" w:ascii="宋体" w:hAnsi="宋体" w:eastAsia="宋体" w:cs="宋体"/>
          <w:b w:val="0"/>
          <w:bCs/>
          <w:color w:val="000000"/>
          <w:sz w:val="28"/>
          <w:szCs w:val="28"/>
          <w:lang w:val="en-US" w:eastAsia="zh-CN"/>
        </w:rPr>
        <w:t>100</w:t>
      </w:r>
      <w:r>
        <w:rPr>
          <w:rStyle w:val="15"/>
          <w:rFonts w:hint="eastAsia" w:ascii="宋体" w:hAnsi="宋体" w:eastAsia="宋体" w:cs="宋体"/>
          <w:b w:val="0"/>
          <w:bCs/>
          <w:color w:val="000000"/>
          <w:sz w:val="28"/>
          <w:szCs w:val="28"/>
        </w:rPr>
        <w:t>%，决算数等于预算数。</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2" w:firstLineChars="200"/>
        <w:textAlignment w:val="auto"/>
        <w:rPr>
          <w:rStyle w:val="15"/>
          <w:rFonts w:hint="eastAsia" w:ascii="宋体" w:hAnsi="宋体" w:eastAsia="宋体" w:cs="宋体"/>
          <w:b w:val="0"/>
          <w:bCs/>
          <w:color w:val="000000"/>
          <w:sz w:val="28"/>
          <w:szCs w:val="28"/>
          <w:lang w:eastAsia="zh-CN"/>
        </w:rPr>
      </w:pPr>
      <w:r>
        <w:rPr>
          <w:rStyle w:val="15"/>
          <w:rFonts w:hint="eastAsia" w:ascii="宋体" w:hAnsi="宋体" w:eastAsia="宋体" w:cs="宋体"/>
          <w:bCs/>
          <w:color w:val="000000"/>
          <w:sz w:val="28"/>
          <w:szCs w:val="28"/>
          <w:lang w:val="en-US" w:eastAsia="zh-CN"/>
        </w:rPr>
        <w:t>3</w:t>
      </w:r>
      <w:r>
        <w:rPr>
          <w:rStyle w:val="15"/>
          <w:rFonts w:hint="eastAsia" w:ascii="宋体" w:hAnsi="宋体" w:eastAsia="宋体" w:cs="宋体"/>
          <w:bCs/>
          <w:color w:val="000000"/>
          <w:sz w:val="28"/>
          <w:szCs w:val="28"/>
        </w:rPr>
        <w:t>.教育（类）</w:t>
      </w:r>
      <w:r>
        <w:rPr>
          <w:rStyle w:val="15"/>
          <w:rFonts w:hint="eastAsia" w:ascii="宋体" w:hAnsi="宋体" w:eastAsia="宋体" w:cs="宋体"/>
          <w:bCs/>
          <w:color w:val="000000"/>
          <w:sz w:val="28"/>
          <w:szCs w:val="28"/>
          <w:lang w:eastAsia="zh-CN"/>
        </w:rPr>
        <w:t>普通教育</w:t>
      </w:r>
      <w:r>
        <w:rPr>
          <w:rStyle w:val="15"/>
          <w:rFonts w:hint="eastAsia" w:ascii="宋体" w:hAnsi="宋体" w:eastAsia="宋体" w:cs="宋体"/>
          <w:bCs/>
          <w:color w:val="000000"/>
          <w:sz w:val="28"/>
          <w:szCs w:val="28"/>
        </w:rPr>
        <w:t>（款）</w:t>
      </w:r>
      <w:r>
        <w:rPr>
          <w:rStyle w:val="15"/>
          <w:rFonts w:hint="eastAsia" w:ascii="宋体" w:hAnsi="宋体" w:eastAsia="宋体" w:cs="宋体"/>
          <w:bCs/>
          <w:color w:val="000000"/>
          <w:sz w:val="28"/>
          <w:szCs w:val="28"/>
          <w:lang w:eastAsia="zh-CN"/>
        </w:rPr>
        <w:t>小学教育</w:t>
      </w:r>
      <w:r>
        <w:rPr>
          <w:rStyle w:val="15"/>
          <w:rFonts w:hint="eastAsia" w:ascii="宋体" w:hAnsi="宋体" w:eastAsia="宋体" w:cs="宋体"/>
          <w:bCs/>
          <w:color w:val="000000"/>
          <w:sz w:val="28"/>
          <w:szCs w:val="28"/>
        </w:rPr>
        <w:t>（项）</w:t>
      </w:r>
      <w:r>
        <w:rPr>
          <w:rStyle w:val="15"/>
          <w:rFonts w:hint="eastAsia" w:ascii="宋体" w:hAnsi="宋体" w:cs="宋体"/>
          <w:bCs/>
          <w:color w:val="000000"/>
          <w:sz w:val="28"/>
          <w:szCs w:val="28"/>
          <w:lang w:eastAsia="zh-CN"/>
        </w:rPr>
        <w:t>：</w:t>
      </w:r>
      <w:r>
        <w:rPr>
          <w:rStyle w:val="15"/>
          <w:rFonts w:hint="eastAsia" w:ascii="宋体" w:hAnsi="宋体" w:eastAsia="宋体" w:cs="宋体"/>
          <w:b w:val="0"/>
          <w:bCs/>
          <w:color w:val="000000"/>
          <w:sz w:val="28"/>
          <w:szCs w:val="28"/>
        </w:rPr>
        <w:t xml:space="preserve"> 支出决算为</w:t>
      </w:r>
      <w:r>
        <w:rPr>
          <w:rStyle w:val="15"/>
          <w:rFonts w:hint="eastAsia" w:ascii="宋体" w:hAnsi="宋体" w:eastAsia="宋体" w:cs="宋体"/>
          <w:b w:val="0"/>
          <w:bCs/>
          <w:color w:val="000000"/>
          <w:sz w:val="28"/>
          <w:szCs w:val="28"/>
          <w:lang w:val="en-US" w:eastAsia="zh-CN"/>
        </w:rPr>
        <w:t>1038.14</w:t>
      </w:r>
      <w:r>
        <w:rPr>
          <w:rStyle w:val="15"/>
          <w:rFonts w:hint="eastAsia" w:ascii="宋体" w:hAnsi="宋体" w:eastAsia="宋体" w:cs="宋体"/>
          <w:b w:val="0"/>
          <w:bCs/>
          <w:color w:val="000000"/>
          <w:sz w:val="28"/>
          <w:szCs w:val="28"/>
        </w:rPr>
        <w:t>万元，完成预算</w:t>
      </w:r>
      <w:r>
        <w:rPr>
          <w:rStyle w:val="15"/>
          <w:rFonts w:hint="eastAsia" w:ascii="宋体" w:hAnsi="宋体" w:eastAsia="宋体" w:cs="宋体"/>
          <w:b w:val="0"/>
          <w:bCs/>
          <w:color w:val="000000"/>
          <w:sz w:val="28"/>
          <w:szCs w:val="28"/>
          <w:lang w:val="en-US" w:eastAsia="zh-CN"/>
        </w:rPr>
        <w:t>100</w:t>
      </w:r>
      <w:r>
        <w:rPr>
          <w:rStyle w:val="15"/>
          <w:rFonts w:hint="eastAsia" w:ascii="宋体" w:hAnsi="宋体" w:eastAsia="宋体" w:cs="宋体"/>
          <w:b w:val="0"/>
          <w:bCs/>
          <w:color w:val="000000"/>
          <w:sz w:val="28"/>
          <w:szCs w:val="28"/>
        </w:rPr>
        <w:t>%</w:t>
      </w:r>
      <w:r>
        <w:rPr>
          <w:rStyle w:val="15"/>
          <w:rFonts w:hint="eastAsia" w:ascii="宋体" w:hAnsi="宋体" w:eastAsia="宋体" w:cs="宋体"/>
          <w:b w:val="0"/>
          <w:bCs/>
          <w:color w:val="000000"/>
          <w:sz w:val="28"/>
          <w:szCs w:val="28"/>
          <w:lang w:eastAsia="zh-CN"/>
        </w:rPr>
        <w:t>，</w:t>
      </w:r>
      <w:r>
        <w:rPr>
          <w:rStyle w:val="15"/>
          <w:rFonts w:hint="eastAsia" w:ascii="宋体" w:hAnsi="宋体" w:eastAsia="宋体" w:cs="宋体"/>
          <w:b w:val="0"/>
          <w:bCs/>
          <w:color w:val="000000"/>
          <w:sz w:val="28"/>
          <w:szCs w:val="28"/>
        </w:rPr>
        <w:t>决算数等于预算数</w:t>
      </w:r>
      <w:r>
        <w:rPr>
          <w:rStyle w:val="15"/>
          <w:rFonts w:hint="eastAsia" w:ascii="宋体" w:hAnsi="宋体" w:eastAsia="宋体" w:cs="宋体"/>
          <w:b w:val="0"/>
          <w:bCs/>
          <w:color w:val="000000"/>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rPr>
          <w:rFonts w:hint="eastAsia" w:ascii="宋体" w:hAnsi="宋体" w:eastAsia="宋体" w:cs="宋体"/>
          <w:b/>
          <w:color w:val="000000"/>
          <w:sz w:val="28"/>
          <w:szCs w:val="28"/>
        </w:rPr>
      </w:pPr>
    </w:p>
    <w:p>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rPr>
          <w:rFonts w:hint="eastAsia" w:ascii="宋体" w:hAnsi="宋体" w:eastAsia="宋体" w:cs="宋体"/>
          <w:b/>
          <w:color w:val="000000"/>
          <w:sz w:val="28"/>
          <w:szCs w:val="28"/>
        </w:rPr>
      </w:pPr>
      <w:r>
        <w:rPr>
          <w:rStyle w:val="15"/>
          <w:rFonts w:hint="eastAsia" w:ascii="宋体" w:hAnsi="宋体" w:eastAsia="宋体" w:cs="宋体"/>
          <w:bCs/>
          <w:color w:val="000000"/>
          <w:sz w:val="28"/>
          <w:szCs w:val="28"/>
          <w:lang w:val="en-US" w:eastAsia="zh-CN"/>
        </w:rPr>
        <w:t>4</w:t>
      </w:r>
      <w:r>
        <w:rPr>
          <w:rStyle w:val="15"/>
          <w:rFonts w:hint="eastAsia" w:ascii="宋体" w:hAnsi="宋体" w:eastAsia="宋体" w:cs="宋体"/>
          <w:bCs/>
          <w:color w:val="000000"/>
          <w:sz w:val="28"/>
          <w:szCs w:val="28"/>
        </w:rPr>
        <w:t>.社会保障和就业（类）行政事业单位养老（款）机关事业单位基本养老保险缴费（项）</w:t>
      </w:r>
      <w:r>
        <w:rPr>
          <w:rStyle w:val="15"/>
          <w:rFonts w:hint="eastAsia" w:ascii="宋体" w:hAnsi="宋体" w:cs="宋体"/>
          <w:bCs/>
          <w:color w:val="000000"/>
          <w:sz w:val="28"/>
          <w:szCs w:val="28"/>
          <w:lang w:eastAsia="zh-CN"/>
        </w:rPr>
        <w:t>：</w:t>
      </w:r>
      <w:r>
        <w:rPr>
          <w:rStyle w:val="15"/>
          <w:rFonts w:hint="eastAsia" w:ascii="宋体" w:hAnsi="宋体" w:eastAsia="宋体" w:cs="宋体"/>
          <w:b w:val="0"/>
          <w:bCs/>
          <w:color w:val="000000"/>
          <w:sz w:val="28"/>
          <w:szCs w:val="28"/>
        </w:rPr>
        <w:t xml:space="preserve"> 支出决算为</w:t>
      </w:r>
      <w:r>
        <w:rPr>
          <w:rStyle w:val="15"/>
          <w:rFonts w:hint="eastAsia" w:ascii="宋体" w:hAnsi="宋体" w:eastAsia="宋体" w:cs="宋体"/>
          <w:b w:val="0"/>
          <w:bCs/>
          <w:color w:val="000000"/>
          <w:sz w:val="28"/>
          <w:szCs w:val="28"/>
          <w:lang w:val="en-US" w:eastAsia="zh-CN"/>
        </w:rPr>
        <w:t>87.13</w:t>
      </w:r>
      <w:r>
        <w:rPr>
          <w:rStyle w:val="15"/>
          <w:rFonts w:hint="eastAsia" w:ascii="宋体" w:hAnsi="宋体" w:eastAsia="宋体" w:cs="宋体"/>
          <w:b w:val="0"/>
          <w:bCs/>
          <w:color w:val="000000"/>
          <w:sz w:val="28"/>
          <w:szCs w:val="28"/>
        </w:rPr>
        <w:t>万元，完成预算</w:t>
      </w:r>
      <w:r>
        <w:rPr>
          <w:rStyle w:val="15"/>
          <w:rFonts w:hint="eastAsia" w:ascii="宋体" w:hAnsi="宋体" w:eastAsia="宋体" w:cs="宋体"/>
          <w:b w:val="0"/>
          <w:bCs/>
          <w:color w:val="000000"/>
          <w:sz w:val="28"/>
          <w:szCs w:val="28"/>
          <w:lang w:val="en-US" w:eastAsia="zh-CN"/>
        </w:rPr>
        <w:t>100</w:t>
      </w:r>
      <w:r>
        <w:rPr>
          <w:rStyle w:val="15"/>
          <w:rFonts w:hint="eastAsia" w:ascii="宋体" w:hAnsi="宋体" w:eastAsia="宋体" w:cs="宋体"/>
          <w:b w:val="0"/>
          <w:bCs/>
          <w:color w:val="000000"/>
          <w:sz w:val="28"/>
          <w:szCs w:val="28"/>
        </w:rPr>
        <w:t>%，决算数等于预算数。</w:t>
      </w:r>
    </w:p>
    <w:p>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rPr>
          <w:rStyle w:val="15"/>
          <w:rFonts w:hint="eastAsia" w:ascii="宋体" w:hAnsi="宋体" w:eastAsia="宋体" w:cs="宋体"/>
          <w:b w:val="0"/>
          <w:bCs/>
          <w:color w:val="000000"/>
          <w:sz w:val="28"/>
          <w:szCs w:val="28"/>
        </w:rPr>
      </w:pPr>
      <w:r>
        <w:rPr>
          <w:rStyle w:val="15"/>
          <w:rFonts w:hint="eastAsia" w:ascii="宋体" w:hAnsi="宋体" w:eastAsia="宋体" w:cs="宋体"/>
          <w:bCs/>
          <w:color w:val="000000"/>
          <w:sz w:val="28"/>
          <w:szCs w:val="28"/>
          <w:lang w:val="en-US" w:eastAsia="zh-CN"/>
        </w:rPr>
        <w:t>5</w:t>
      </w:r>
      <w:r>
        <w:rPr>
          <w:rStyle w:val="15"/>
          <w:rFonts w:hint="eastAsia" w:ascii="宋体" w:hAnsi="宋体" w:eastAsia="宋体" w:cs="宋体"/>
          <w:bCs/>
          <w:color w:val="000000"/>
          <w:sz w:val="28"/>
          <w:szCs w:val="28"/>
        </w:rPr>
        <w:t>.</w:t>
      </w:r>
      <w:r>
        <w:rPr>
          <w:rFonts w:hint="eastAsia" w:ascii="宋体" w:hAnsi="宋体" w:eastAsia="宋体" w:cs="宋体"/>
          <w:b/>
          <w:bCs/>
          <w:color w:val="000000"/>
          <w:sz w:val="28"/>
          <w:szCs w:val="28"/>
        </w:rPr>
        <w:t>卫生健康</w:t>
      </w:r>
      <w:r>
        <w:rPr>
          <w:rStyle w:val="15"/>
          <w:rFonts w:hint="eastAsia" w:ascii="宋体" w:hAnsi="宋体" w:eastAsia="宋体" w:cs="宋体"/>
          <w:bCs/>
          <w:color w:val="000000"/>
          <w:sz w:val="28"/>
          <w:szCs w:val="28"/>
        </w:rPr>
        <w:t>（类）行政事业单位医疗（款）事业单位医疗（项）</w:t>
      </w:r>
      <w:r>
        <w:rPr>
          <w:rStyle w:val="15"/>
          <w:rFonts w:hint="eastAsia" w:ascii="宋体" w:hAnsi="宋体" w:cs="宋体"/>
          <w:bCs/>
          <w:color w:val="000000"/>
          <w:sz w:val="28"/>
          <w:szCs w:val="28"/>
          <w:lang w:eastAsia="zh-CN"/>
        </w:rPr>
        <w:t>：</w:t>
      </w:r>
      <w:r>
        <w:rPr>
          <w:rStyle w:val="15"/>
          <w:rFonts w:hint="eastAsia" w:ascii="宋体" w:hAnsi="宋体" w:eastAsia="宋体" w:cs="宋体"/>
          <w:b w:val="0"/>
          <w:bCs/>
          <w:color w:val="000000"/>
          <w:sz w:val="28"/>
          <w:szCs w:val="28"/>
        </w:rPr>
        <w:t>支出决算为</w:t>
      </w:r>
      <w:r>
        <w:rPr>
          <w:rStyle w:val="15"/>
          <w:rFonts w:hint="eastAsia" w:ascii="宋体" w:hAnsi="宋体" w:eastAsia="宋体" w:cs="宋体"/>
          <w:b w:val="0"/>
          <w:bCs/>
          <w:color w:val="000000"/>
          <w:sz w:val="28"/>
          <w:szCs w:val="28"/>
          <w:lang w:val="en-US" w:eastAsia="zh-CN"/>
        </w:rPr>
        <w:t>43.56</w:t>
      </w:r>
      <w:r>
        <w:rPr>
          <w:rStyle w:val="15"/>
          <w:rFonts w:hint="eastAsia" w:ascii="宋体" w:hAnsi="宋体" w:eastAsia="宋体" w:cs="宋体"/>
          <w:b w:val="0"/>
          <w:bCs/>
          <w:color w:val="000000"/>
          <w:sz w:val="28"/>
          <w:szCs w:val="28"/>
        </w:rPr>
        <w:t>万元，完成预算</w:t>
      </w:r>
      <w:r>
        <w:rPr>
          <w:rStyle w:val="15"/>
          <w:rFonts w:hint="eastAsia" w:ascii="宋体" w:hAnsi="宋体" w:eastAsia="宋体" w:cs="宋体"/>
          <w:b w:val="0"/>
          <w:bCs/>
          <w:color w:val="000000"/>
          <w:sz w:val="28"/>
          <w:szCs w:val="28"/>
          <w:lang w:val="en-US" w:eastAsia="zh-CN"/>
        </w:rPr>
        <w:t>100</w:t>
      </w:r>
      <w:r>
        <w:rPr>
          <w:rStyle w:val="15"/>
          <w:rFonts w:hint="eastAsia" w:ascii="宋体" w:hAnsi="宋体" w:eastAsia="宋体" w:cs="宋体"/>
          <w:b w:val="0"/>
          <w:bCs/>
          <w:color w:val="000000"/>
          <w:sz w:val="28"/>
          <w:szCs w:val="28"/>
        </w:rPr>
        <w:t>%，决算数等于预算数。</w:t>
      </w:r>
    </w:p>
    <w:p>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rPr>
          <w:rFonts w:hint="eastAsia" w:ascii="宋体" w:hAnsi="宋体" w:eastAsia="宋体" w:cs="宋体"/>
          <w:b/>
          <w:color w:val="000000"/>
          <w:sz w:val="28"/>
          <w:szCs w:val="28"/>
        </w:rPr>
      </w:pPr>
      <w:r>
        <w:rPr>
          <w:rStyle w:val="15"/>
          <w:rFonts w:hint="eastAsia" w:ascii="宋体" w:hAnsi="宋体" w:eastAsia="宋体" w:cs="宋体"/>
          <w:bCs/>
          <w:color w:val="000000"/>
          <w:sz w:val="28"/>
          <w:szCs w:val="28"/>
          <w:lang w:val="en-US" w:eastAsia="zh-CN"/>
        </w:rPr>
        <w:t>6</w:t>
      </w:r>
      <w:r>
        <w:rPr>
          <w:rStyle w:val="15"/>
          <w:rFonts w:hint="eastAsia" w:ascii="宋体" w:hAnsi="宋体" w:eastAsia="宋体" w:cs="宋体"/>
          <w:bCs/>
          <w:color w:val="000000"/>
          <w:sz w:val="28"/>
          <w:szCs w:val="28"/>
        </w:rPr>
        <w:t>.</w:t>
      </w:r>
      <w:r>
        <w:rPr>
          <w:rFonts w:hint="eastAsia" w:ascii="宋体" w:hAnsi="宋体" w:eastAsia="宋体" w:cs="宋体"/>
          <w:b/>
          <w:bCs/>
          <w:color w:val="000000"/>
          <w:sz w:val="28"/>
          <w:szCs w:val="28"/>
        </w:rPr>
        <w:t>住房保障支出</w:t>
      </w:r>
      <w:r>
        <w:rPr>
          <w:rStyle w:val="15"/>
          <w:rFonts w:hint="eastAsia" w:ascii="宋体" w:hAnsi="宋体" w:eastAsia="宋体" w:cs="宋体"/>
          <w:bCs/>
          <w:color w:val="000000"/>
          <w:sz w:val="28"/>
          <w:szCs w:val="28"/>
        </w:rPr>
        <w:t>（类）住房改革支出（款）住房公积金（项）</w:t>
      </w:r>
      <w:r>
        <w:rPr>
          <w:rStyle w:val="15"/>
          <w:rFonts w:hint="eastAsia" w:ascii="宋体" w:hAnsi="宋体" w:cs="宋体"/>
          <w:bCs/>
          <w:color w:val="000000"/>
          <w:sz w:val="28"/>
          <w:szCs w:val="28"/>
          <w:lang w:eastAsia="zh-CN"/>
        </w:rPr>
        <w:t>：</w:t>
      </w:r>
      <w:r>
        <w:rPr>
          <w:rStyle w:val="15"/>
          <w:rFonts w:hint="eastAsia" w:ascii="宋体" w:hAnsi="宋体" w:eastAsia="宋体" w:cs="宋体"/>
          <w:b w:val="0"/>
          <w:bCs/>
          <w:color w:val="000000"/>
          <w:sz w:val="28"/>
          <w:szCs w:val="28"/>
        </w:rPr>
        <w:t>支出决算为</w:t>
      </w:r>
      <w:r>
        <w:rPr>
          <w:rStyle w:val="15"/>
          <w:rFonts w:hint="eastAsia" w:ascii="宋体" w:hAnsi="宋体" w:eastAsia="宋体" w:cs="宋体"/>
          <w:b w:val="0"/>
          <w:bCs/>
          <w:color w:val="000000"/>
          <w:sz w:val="28"/>
          <w:szCs w:val="28"/>
          <w:lang w:val="en-US" w:eastAsia="zh-CN"/>
        </w:rPr>
        <w:t>65.35</w:t>
      </w:r>
      <w:r>
        <w:rPr>
          <w:rStyle w:val="15"/>
          <w:rFonts w:hint="eastAsia" w:ascii="宋体" w:hAnsi="宋体" w:eastAsia="宋体" w:cs="宋体"/>
          <w:b w:val="0"/>
          <w:bCs/>
          <w:color w:val="000000"/>
          <w:sz w:val="28"/>
          <w:szCs w:val="28"/>
        </w:rPr>
        <w:t>万元，完成预算</w:t>
      </w:r>
      <w:r>
        <w:rPr>
          <w:rStyle w:val="15"/>
          <w:rFonts w:hint="eastAsia" w:ascii="宋体" w:hAnsi="宋体" w:eastAsia="宋体" w:cs="宋体"/>
          <w:b w:val="0"/>
          <w:bCs/>
          <w:color w:val="000000"/>
          <w:sz w:val="28"/>
          <w:szCs w:val="28"/>
          <w:lang w:val="en-US" w:eastAsia="zh-CN"/>
        </w:rPr>
        <w:t>100</w:t>
      </w:r>
      <w:r>
        <w:rPr>
          <w:rStyle w:val="15"/>
          <w:rFonts w:hint="eastAsia" w:ascii="宋体" w:hAnsi="宋体" w:eastAsia="宋体" w:cs="宋体"/>
          <w:b w:val="0"/>
          <w:bCs/>
          <w:color w:val="000000"/>
          <w:sz w:val="28"/>
          <w:szCs w:val="28"/>
        </w:rPr>
        <w:t>%，决算数等于预算数。</w:t>
      </w:r>
    </w:p>
    <w:p>
      <w:pPr>
        <w:spacing w:line="600" w:lineRule="exact"/>
        <w:ind w:firstLine="640"/>
        <w:rPr>
          <w:rFonts w:ascii="仿宋" w:hAnsi="仿宋" w:eastAsia="仿宋"/>
          <w:b/>
          <w:sz w:val="32"/>
          <w:szCs w:val="32"/>
        </w:rPr>
      </w:pPr>
    </w:p>
    <w:p>
      <w:pPr>
        <w:tabs>
          <w:tab w:val="right" w:pos="8306"/>
        </w:tabs>
        <w:spacing w:line="600" w:lineRule="exact"/>
        <w:ind w:firstLine="640"/>
        <w:outlineLvl w:val="1"/>
        <w:rPr>
          <w:rStyle w:val="26"/>
        </w:rPr>
      </w:pPr>
      <w:bookmarkStart w:id="38" w:name="_Toc15396608"/>
      <w:bookmarkStart w:id="39" w:name="_Toc15377214"/>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6"/>
          <w:rFonts w:hint="eastAsia" w:ascii="黑体" w:hAnsi="黑体" w:eastAsia="黑体"/>
          <w:b w:val="0"/>
        </w:rPr>
        <w:t>般公共预算财政拨款基本支出决算情况说明</w:t>
      </w:r>
      <w:bookmarkEnd w:id="38"/>
      <w:bookmarkEnd w:id="39"/>
      <w:r>
        <w:rPr>
          <w:rStyle w:val="26"/>
          <w:rFonts w:ascii="黑体" w:hAnsi="黑体" w:eastAsia="黑体"/>
          <w:b w:val="0"/>
        </w:rPr>
        <w:tab/>
      </w:r>
    </w:p>
    <w:p>
      <w:pPr>
        <w:spacing w:line="600" w:lineRule="exact"/>
        <w:ind w:firstLine="645"/>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22年一般公共预算财政拨款基本支出</w:t>
      </w:r>
      <w:r>
        <w:rPr>
          <w:rFonts w:hint="eastAsia" w:ascii="仿宋" w:hAnsi="仿宋" w:eastAsia="仿宋"/>
          <w:sz w:val="32"/>
          <w:szCs w:val="32"/>
          <w:lang w:val="en-US" w:eastAsia="zh-CN"/>
        </w:rPr>
        <w:t>1358.31</w:t>
      </w:r>
      <w:r>
        <w:rPr>
          <w:rFonts w:hint="eastAsia" w:ascii="仿宋" w:hAnsi="仿宋" w:eastAsia="仿宋"/>
          <w:sz w:val="32"/>
          <w:szCs w:val="32"/>
        </w:rPr>
        <w:t>万元，其中：</w:t>
      </w:r>
    </w:p>
    <w:p>
      <w:pPr>
        <w:keepNext w:val="0"/>
        <w:keepLines w:val="0"/>
        <w:pageBreakBefore w:val="0"/>
        <w:widowControl w:val="0"/>
        <w:kinsoku/>
        <w:wordWrap/>
        <w:overflowPunct/>
        <w:topLinePunct w:val="0"/>
        <w:bidi w:val="0"/>
        <w:adjustRightInd/>
        <w:snapToGrid/>
        <w:spacing w:line="240" w:lineRule="auto"/>
        <w:ind w:firstLine="645"/>
        <w:textAlignment w:val="auto"/>
        <w:rPr>
          <w:rFonts w:hint="eastAsia" w:ascii="仿宋" w:hAnsi="仿宋" w:eastAsia="仿宋"/>
          <w:sz w:val="32"/>
          <w:szCs w:val="32"/>
          <w:lang w:eastAsia="zh-CN"/>
        </w:rPr>
      </w:pPr>
      <w:r>
        <w:rPr>
          <w:rFonts w:hint="eastAsia" w:ascii="仿宋" w:hAnsi="仿宋" w:eastAsia="仿宋"/>
          <w:sz w:val="32"/>
          <w:szCs w:val="32"/>
        </w:rPr>
        <w:t>人员经费</w:t>
      </w:r>
      <w:r>
        <w:rPr>
          <w:rFonts w:hint="eastAsia" w:ascii="仿宋" w:hAnsi="仿宋" w:eastAsia="仿宋"/>
          <w:sz w:val="32"/>
          <w:szCs w:val="32"/>
          <w:lang w:val="en-US" w:eastAsia="zh-CN"/>
        </w:rPr>
        <w:t>1128.59</w:t>
      </w:r>
      <w:r>
        <w:rPr>
          <w:rFonts w:hint="eastAsia" w:ascii="仿宋" w:hAnsi="仿宋" w:eastAsia="仿宋"/>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pPr>
        <w:keepNext w:val="0"/>
        <w:keepLines w:val="0"/>
        <w:pageBreakBefore w:val="0"/>
        <w:widowControl w:val="0"/>
        <w:kinsoku/>
        <w:wordWrap/>
        <w:overflowPunct/>
        <w:topLinePunct w:val="0"/>
        <w:bidi w:val="0"/>
        <w:adjustRightInd/>
        <w:snapToGrid/>
        <w:spacing w:line="240" w:lineRule="auto"/>
        <w:ind w:firstLine="645"/>
        <w:textAlignment w:val="auto"/>
        <w:rPr>
          <w:rFonts w:hint="eastAsia" w:ascii="仿宋" w:hAnsi="仿宋" w:eastAsia="仿宋"/>
          <w:sz w:val="32"/>
          <w:szCs w:val="32"/>
        </w:rPr>
      </w:pPr>
      <w:r>
        <w:rPr>
          <w:rFonts w:hint="eastAsia" w:ascii="仿宋" w:hAnsi="仿宋" w:eastAsia="仿宋"/>
          <w:sz w:val="32"/>
          <w:szCs w:val="32"/>
        </w:rPr>
        <w:t>　　公用经费</w:t>
      </w:r>
      <w:r>
        <w:rPr>
          <w:rFonts w:hint="eastAsia" w:ascii="仿宋" w:hAnsi="仿宋" w:eastAsia="仿宋"/>
          <w:sz w:val="32"/>
          <w:szCs w:val="32"/>
          <w:lang w:val="en-US" w:eastAsia="zh-CN"/>
        </w:rPr>
        <w:t>199.72</w:t>
      </w:r>
      <w:r>
        <w:rPr>
          <w:rFonts w:hint="eastAsia" w:ascii="仿宋" w:hAnsi="仿宋" w:eastAsia="仿宋"/>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keepNext w:val="0"/>
        <w:keepLines w:val="0"/>
        <w:pageBreakBefore w:val="0"/>
        <w:widowControl w:val="0"/>
        <w:kinsoku/>
        <w:wordWrap/>
        <w:overflowPunct/>
        <w:topLinePunct w:val="0"/>
        <w:bidi w:val="0"/>
        <w:adjustRightInd/>
        <w:snapToGrid/>
        <w:spacing w:line="240" w:lineRule="auto"/>
        <w:ind w:firstLine="645"/>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资本性支出30万元，主要是校舍维修项目支出。</w:t>
      </w:r>
    </w:p>
    <w:p>
      <w:pPr>
        <w:spacing w:line="600" w:lineRule="exact"/>
        <w:ind w:firstLine="645"/>
        <w:rPr>
          <w:rFonts w:ascii="仿宋" w:hAnsi="仿宋" w:eastAsia="仿宋"/>
          <w:sz w:val="32"/>
          <w:szCs w:val="32"/>
        </w:rPr>
      </w:pPr>
    </w:p>
    <w:p>
      <w:pPr>
        <w:spacing w:line="600" w:lineRule="exact"/>
        <w:ind w:firstLine="640"/>
        <w:rPr>
          <w:rFonts w:ascii="仿宋" w:hAnsi="仿宋" w:eastAsia="仿宋"/>
          <w:b/>
          <w:sz w:val="32"/>
          <w:szCs w:val="32"/>
        </w:rPr>
      </w:pPr>
    </w:p>
    <w:p>
      <w:pPr>
        <w:spacing w:line="600" w:lineRule="exact"/>
        <w:ind w:firstLine="640"/>
        <w:outlineLvl w:val="1"/>
        <w:rPr>
          <w:rStyle w:val="26"/>
          <w:rFonts w:ascii="黑体" w:hAnsi="黑体" w:eastAsia="黑体"/>
          <w:b w:val="0"/>
        </w:rPr>
      </w:pPr>
      <w:bookmarkStart w:id="40" w:name="_Toc15377215"/>
      <w:bookmarkStart w:id="41" w:name="_Toc15396609"/>
      <w:r>
        <w:rPr>
          <w:rFonts w:hint="eastAsia" w:ascii="黑体" w:eastAsia="黑体"/>
          <w:sz w:val="32"/>
          <w:szCs w:val="32"/>
        </w:rPr>
        <w:t>七、</w:t>
      </w:r>
      <w:r>
        <w:rPr>
          <w:rStyle w:val="26"/>
          <w:rFonts w:hint="eastAsia" w:ascii="黑体" w:hAnsi="黑体" w:eastAsia="黑体"/>
          <w:b w:val="0"/>
        </w:rPr>
        <w:t>财政拨款</w:t>
      </w:r>
      <w:r>
        <w:rPr>
          <w:rStyle w:val="26"/>
          <w:rFonts w:hint="eastAsia" w:ascii="黑体" w:hAnsi="黑体" w:eastAsia="黑体"/>
        </w:rPr>
        <w:t>“</w:t>
      </w:r>
      <w:r>
        <w:rPr>
          <w:rStyle w:val="26"/>
          <w:rFonts w:hint="eastAsia" w:ascii="黑体" w:hAnsi="黑体" w:eastAsia="黑体"/>
          <w:b w:val="0"/>
        </w:rPr>
        <w:t>三公”经费支出决算情况说明</w:t>
      </w:r>
      <w:bookmarkEnd w:id="40"/>
      <w:bookmarkEnd w:id="41"/>
    </w:p>
    <w:p>
      <w:pPr>
        <w:spacing w:line="600" w:lineRule="exact"/>
        <w:ind w:firstLine="640"/>
        <w:outlineLvl w:val="2"/>
        <w:rPr>
          <w:rFonts w:ascii="仿宋" w:hAnsi="仿宋" w:eastAsia="仿宋"/>
          <w:b/>
          <w:sz w:val="32"/>
          <w:szCs w:val="32"/>
        </w:rPr>
      </w:pPr>
      <w:bookmarkStart w:id="42" w:name="_Toc15377216"/>
      <w:r>
        <w:rPr>
          <w:rFonts w:hint="eastAsia" w:ascii="仿宋" w:hAnsi="仿宋" w:eastAsia="仿宋"/>
          <w:b/>
          <w:sz w:val="32"/>
          <w:szCs w:val="32"/>
        </w:rPr>
        <w:t>（一）“三公”经费财政拨款支出决算总体情况说明</w:t>
      </w:r>
      <w:bookmarkEnd w:id="42"/>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22年“三公”经费财政拨款支出决算为</w:t>
      </w:r>
      <w:r>
        <w:rPr>
          <w:rFonts w:hint="eastAsia" w:ascii="仿宋" w:hAnsi="仿宋" w:eastAsia="仿宋"/>
          <w:sz w:val="32"/>
          <w:szCs w:val="32"/>
          <w:lang w:val="en-US" w:eastAsia="zh-CN"/>
        </w:rPr>
        <w:t>0.38</w:t>
      </w:r>
      <w:r>
        <w:rPr>
          <w:rFonts w:hint="eastAsia" w:ascii="仿宋" w:hAnsi="仿宋" w:eastAsia="仿宋"/>
          <w:sz w:val="32"/>
          <w:szCs w:val="32"/>
        </w:rPr>
        <w:t>万元，完成预算</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，较上年减少</w:t>
      </w:r>
      <w:r>
        <w:rPr>
          <w:rFonts w:hint="eastAsia" w:ascii="仿宋" w:hAnsi="仿宋" w:eastAsia="仿宋"/>
          <w:sz w:val="32"/>
          <w:szCs w:val="32"/>
          <w:lang w:val="en-US" w:eastAsia="zh-CN"/>
        </w:rPr>
        <w:t>0.1</w:t>
      </w:r>
      <w:r>
        <w:rPr>
          <w:rFonts w:hint="eastAsia" w:ascii="仿宋" w:hAnsi="仿宋" w:eastAsia="仿宋"/>
          <w:sz w:val="32"/>
          <w:szCs w:val="32"/>
        </w:rPr>
        <w:t>万元，下降</w:t>
      </w:r>
      <w:r>
        <w:rPr>
          <w:rFonts w:hint="eastAsia" w:ascii="仿宋" w:hAnsi="仿宋" w:eastAsia="仿宋"/>
          <w:sz w:val="32"/>
          <w:szCs w:val="32"/>
          <w:lang w:val="en-US" w:eastAsia="zh-CN"/>
        </w:rPr>
        <w:t>20.83</w:t>
      </w:r>
      <w:r>
        <w:rPr>
          <w:rFonts w:hint="eastAsia" w:ascii="仿宋" w:hAnsi="仿宋" w:eastAsia="仿宋"/>
          <w:sz w:val="32"/>
          <w:szCs w:val="32"/>
        </w:rPr>
        <w:t>%。决算数</w:t>
      </w:r>
      <w:r>
        <w:rPr>
          <w:rFonts w:hint="eastAsia" w:ascii="仿宋" w:hAnsi="仿宋" w:eastAsia="仿宋"/>
          <w:sz w:val="32"/>
          <w:szCs w:val="32"/>
          <w:lang w:val="en-US" w:eastAsia="zh-CN"/>
        </w:rPr>
        <w:t>等于</w:t>
      </w:r>
      <w:r>
        <w:rPr>
          <w:rFonts w:hint="eastAsia" w:ascii="仿宋" w:hAnsi="仿宋" w:eastAsia="仿宋"/>
          <w:sz w:val="32"/>
          <w:szCs w:val="32"/>
        </w:rPr>
        <w:t>预算数。</w:t>
      </w:r>
    </w:p>
    <w:p>
      <w:pPr>
        <w:spacing w:line="600" w:lineRule="exact"/>
        <w:ind w:firstLine="640"/>
        <w:outlineLvl w:val="2"/>
        <w:rPr>
          <w:rFonts w:ascii="仿宋" w:hAnsi="仿宋" w:eastAsia="仿宋"/>
          <w:b/>
          <w:sz w:val="32"/>
          <w:szCs w:val="32"/>
        </w:rPr>
      </w:pPr>
      <w:bookmarkStart w:id="43" w:name="_Toc15377217"/>
      <w:r>
        <w:rPr>
          <w:rFonts w:hint="eastAsia" w:ascii="仿宋" w:hAnsi="仿宋" w:eastAsia="仿宋"/>
          <w:b/>
          <w:sz w:val="32"/>
          <w:szCs w:val="32"/>
        </w:rPr>
        <w:t>（二）“三公”经费财政拨款支出决算具体情况说明</w:t>
      </w:r>
      <w:bookmarkEnd w:id="43"/>
    </w:p>
    <w:p>
      <w:pPr>
        <w:spacing w:line="600" w:lineRule="exact"/>
        <w:ind w:firstLine="640"/>
        <w:rPr>
          <w:rFonts w:hint="eastAsia"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22年“三公”经费财政拨款支出决算中，因公出国（境）费支出决算</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；公务用车购置及运行维护费支出决算</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；公务接待费支出决算</w:t>
      </w:r>
      <w:r>
        <w:rPr>
          <w:rFonts w:hint="eastAsia" w:ascii="仿宋" w:hAnsi="仿宋" w:eastAsia="仿宋"/>
          <w:sz w:val="32"/>
          <w:szCs w:val="32"/>
          <w:lang w:val="en-US" w:eastAsia="zh-CN"/>
        </w:rPr>
        <w:t>0.38</w:t>
      </w:r>
      <w:r>
        <w:rPr>
          <w:rFonts w:hint="eastAsia" w:ascii="仿宋" w:hAnsi="仿宋" w:eastAsia="仿宋"/>
          <w:sz w:val="32"/>
          <w:szCs w:val="32"/>
        </w:rPr>
        <w:t>万元，占</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。具体情况如下：</w:t>
      </w:r>
    </w:p>
    <w:p>
      <w:pPr>
        <w:pStyle w:val="2"/>
        <w:rPr>
          <w:rFonts w:hint="eastAsia" w:ascii="仿宋" w:hAnsi="仿宋" w:eastAsia="仿宋"/>
          <w:sz w:val="32"/>
          <w:szCs w:val="32"/>
        </w:rPr>
      </w:pPr>
      <w:r>
        <w:drawing>
          <wp:inline distT="0" distB="0" distL="114300" distR="114300">
            <wp:extent cx="4563110" cy="2654300"/>
            <wp:effectExtent l="4445" t="4445" r="23495" b="8255"/>
            <wp:docPr id="10"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pStyle w:val="2"/>
        <w:rPr>
          <w:rFonts w:hint="eastAsia" w:ascii="仿宋" w:hAnsi="仿宋" w:eastAsia="仿宋"/>
          <w:sz w:val="32"/>
          <w:szCs w:val="32"/>
        </w:rPr>
      </w:pPr>
    </w:p>
    <w:p>
      <w:pPr>
        <w:spacing w:line="600" w:lineRule="exact"/>
        <w:ind w:firstLine="640"/>
        <w:rPr>
          <w:rFonts w:ascii="仿宋" w:hAnsi="仿宋" w:eastAsia="仿宋"/>
          <w:sz w:val="32"/>
          <w:szCs w:val="32"/>
        </w:rPr>
      </w:pPr>
      <w:r>
        <w:rPr>
          <w:rFonts w:hint="eastAsia" w:ascii="仿宋" w:hAnsi="仿宋" w:eastAsia="仿宋"/>
          <w:sz w:val="32"/>
          <w:szCs w:val="32"/>
        </w:rPr>
        <w:t>（图7：“三公”经费财政拨款支出结构）（饼状图）</w:t>
      </w:r>
    </w:p>
    <w:p>
      <w:pPr>
        <w:keepNext w:val="0"/>
        <w:keepLines w:val="0"/>
        <w:pageBreakBefore w:val="0"/>
        <w:widowControl w:val="0"/>
        <w:kinsoku/>
        <w:wordWrap/>
        <w:overflowPunct/>
        <w:topLinePunct w:val="0"/>
        <w:bidi w:val="0"/>
        <w:adjustRightInd/>
        <w:snapToGrid/>
        <w:spacing w:line="240" w:lineRule="auto"/>
        <w:ind w:firstLine="640"/>
        <w:textAlignment w:val="auto"/>
        <w:rPr>
          <w:rFonts w:hint="eastAsia" w:ascii="宋体" w:hAnsi="宋体" w:eastAsia="宋体" w:cs="宋体"/>
          <w:b/>
          <w:color w:val="000000"/>
          <w:sz w:val="28"/>
          <w:szCs w:val="28"/>
        </w:rPr>
      </w:pPr>
      <w:r>
        <w:rPr>
          <w:rFonts w:hint="eastAsia" w:ascii="仿宋_GB2312" w:eastAsia="仿宋_GB2312"/>
          <w:b/>
          <w:sz w:val="32"/>
          <w:szCs w:val="32"/>
          <w:lang w:val="en-US" w:eastAsia="zh-CN"/>
        </w:rPr>
        <w:t>1、</w:t>
      </w:r>
      <w:r>
        <w:rPr>
          <w:rFonts w:hint="eastAsia" w:ascii="仿宋_GB2312" w:eastAsia="仿宋_GB2312"/>
          <w:b/>
          <w:sz w:val="32"/>
          <w:szCs w:val="32"/>
        </w:rPr>
        <w:t>因公出国（境）经费支出</w:t>
      </w:r>
      <w:r>
        <w:rPr>
          <w:rFonts w:hint="eastAsia" w:ascii="仿宋_GB2312" w:eastAsia="仿宋_GB2312"/>
          <w:sz w:val="32"/>
          <w:szCs w:val="32"/>
          <w:lang w:val="en-US" w:eastAsia="zh-CN"/>
        </w:rPr>
        <w:t>0</w:t>
      </w:r>
      <w:r>
        <w:rPr>
          <w:rFonts w:hint="eastAsia" w:ascii="仿宋_GB2312" w:eastAsia="仿宋_GB2312"/>
          <w:sz w:val="32"/>
          <w:szCs w:val="32"/>
        </w:rPr>
        <w:t>万元，</w:t>
      </w:r>
      <w:r>
        <w:rPr>
          <w:rStyle w:val="15"/>
          <w:rFonts w:hint="eastAsia" w:ascii="仿宋" w:hAnsi="仿宋" w:eastAsia="仿宋"/>
          <w:b w:val="0"/>
          <w:bCs/>
          <w:sz w:val="32"/>
          <w:szCs w:val="32"/>
        </w:rPr>
        <w:t>完成预算</w:t>
      </w:r>
      <w:r>
        <w:rPr>
          <w:rStyle w:val="15"/>
          <w:rFonts w:hint="eastAsia" w:ascii="仿宋" w:hAnsi="仿宋" w:eastAsia="仿宋"/>
          <w:b w:val="0"/>
          <w:bCs/>
          <w:sz w:val="32"/>
          <w:szCs w:val="32"/>
          <w:lang w:val="en-US" w:eastAsia="zh-CN"/>
        </w:rPr>
        <w:t>0</w:t>
      </w:r>
      <w:r>
        <w:rPr>
          <w:rStyle w:val="15"/>
          <w:rFonts w:ascii="仿宋" w:hAnsi="仿宋" w:eastAsia="仿宋"/>
          <w:b w:val="0"/>
          <w:bCs/>
          <w:sz w:val="32"/>
          <w:szCs w:val="32"/>
        </w:rPr>
        <w:t>%</w:t>
      </w:r>
      <w:r>
        <w:rPr>
          <w:rStyle w:val="15"/>
          <w:rFonts w:hint="eastAsia" w:ascii="仿宋" w:hAnsi="仿宋" w:eastAsia="仿宋"/>
          <w:b w:val="0"/>
          <w:bCs/>
          <w:sz w:val="32"/>
          <w:szCs w:val="32"/>
        </w:rPr>
        <w:t>。</w:t>
      </w:r>
      <w:r>
        <w:rPr>
          <w:rFonts w:hint="eastAsia" w:ascii="仿宋_GB2312" w:eastAsia="仿宋_GB2312"/>
          <w:sz w:val="32"/>
          <w:szCs w:val="32"/>
        </w:rPr>
        <w:t>全年安排因公出国（境）团组</w:t>
      </w:r>
      <w:r>
        <w:rPr>
          <w:rFonts w:hint="eastAsia" w:ascii="仿宋_GB2312" w:eastAsia="仿宋_GB2312"/>
          <w:sz w:val="32"/>
          <w:szCs w:val="32"/>
          <w:lang w:val="en-US" w:eastAsia="zh-CN"/>
        </w:rPr>
        <w:t>0</w:t>
      </w:r>
      <w:r>
        <w:rPr>
          <w:rFonts w:hint="eastAsia" w:ascii="仿宋_GB2312" w:eastAsia="仿宋_GB2312"/>
          <w:sz w:val="32"/>
          <w:szCs w:val="32"/>
        </w:rPr>
        <w:t>次，出国（境）</w:t>
      </w:r>
      <w:r>
        <w:rPr>
          <w:rFonts w:hint="eastAsia" w:ascii="仿宋_GB2312" w:eastAsia="仿宋_GB2312"/>
          <w:sz w:val="32"/>
          <w:szCs w:val="32"/>
          <w:lang w:val="en-US" w:eastAsia="zh-CN"/>
        </w:rPr>
        <w:t>0</w:t>
      </w:r>
      <w:r>
        <w:rPr>
          <w:rFonts w:hint="eastAsia" w:ascii="仿宋_GB2312" w:eastAsia="仿宋_GB2312"/>
          <w:sz w:val="32"/>
          <w:szCs w:val="32"/>
        </w:rPr>
        <w:t>人。</w:t>
      </w:r>
      <w:r>
        <w:rPr>
          <w:rFonts w:hint="eastAsia" w:ascii="宋体" w:hAnsi="宋体" w:eastAsia="宋体" w:cs="宋体"/>
          <w:color w:val="000000"/>
          <w:sz w:val="28"/>
          <w:szCs w:val="28"/>
        </w:rPr>
        <w:t>因公出国（境）支出决算比20</w:t>
      </w:r>
      <w:r>
        <w:rPr>
          <w:rFonts w:hint="eastAsia" w:ascii="宋体" w:hAnsi="宋体" w:eastAsia="宋体" w:cs="宋体"/>
          <w:color w:val="000000"/>
          <w:sz w:val="28"/>
          <w:szCs w:val="28"/>
          <w:lang w:val="en-US" w:eastAsia="zh-CN"/>
        </w:rPr>
        <w:t>2</w:t>
      </w:r>
      <w:r>
        <w:rPr>
          <w:rFonts w:hint="eastAsia" w:ascii="宋体" w:hAnsi="宋体" w:cs="宋体"/>
          <w:color w:val="000000"/>
          <w:sz w:val="28"/>
          <w:szCs w:val="28"/>
          <w:lang w:val="en-US" w:eastAsia="zh-CN"/>
        </w:rPr>
        <w:t>1</w:t>
      </w:r>
      <w:r>
        <w:rPr>
          <w:rFonts w:hint="eastAsia" w:ascii="宋体" w:hAnsi="宋体" w:eastAsia="宋体" w:cs="宋体"/>
          <w:color w:val="000000"/>
          <w:sz w:val="28"/>
          <w:szCs w:val="28"/>
        </w:rPr>
        <w:t>年增加</w:t>
      </w:r>
      <w:r>
        <w:rPr>
          <w:rFonts w:hint="eastAsia" w:ascii="宋体" w:hAnsi="宋体" w:eastAsia="宋体" w:cs="宋体"/>
          <w:color w:val="000000"/>
          <w:sz w:val="28"/>
          <w:szCs w:val="28"/>
          <w:lang w:val="en-US" w:eastAsia="zh-CN"/>
        </w:rPr>
        <w:t>0</w:t>
      </w:r>
      <w:r>
        <w:rPr>
          <w:rFonts w:hint="eastAsia" w:ascii="宋体" w:hAnsi="宋体" w:eastAsia="宋体" w:cs="宋体"/>
          <w:color w:val="000000"/>
          <w:sz w:val="28"/>
          <w:szCs w:val="28"/>
        </w:rPr>
        <w:t>万元，增长</w:t>
      </w:r>
      <w:r>
        <w:rPr>
          <w:rFonts w:hint="eastAsia" w:ascii="宋体" w:hAnsi="宋体" w:eastAsia="宋体" w:cs="宋体"/>
          <w:color w:val="000000"/>
          <w:sz w:val="28"/>
          <w:szCs w:val="28"/>
          <w:lang w:val="en-US" w:eastAsia="zh-CN"/>
        </w:rPr>
        <w:t>0</w:t>
      </w:r>
      <w:r>
        <w:rPr>
          <w:rFonts w:hint="eastAsia" w:ascii="宋体" w:hAnsi="宋体" w:eastAsia="宋体" w:cs="宋体"/>
          <w:color w:val="000000"/>
          <w:sz w:val="28"/>
          <w:szCs w:val="28"/>
        </w:rPr>
        <w:t>%。</w:t>
      </w:r>
    </w:p>
    <w:p>
      <w:pPr>
        <w:spacing w:line="600" w:lineRule="exact"/>
        <w:ind w:firstLine="643" w:firstLineChars="200"/>
        <w:rPr>
          <w:rFonts w:hint="eastAsia" w:ascii="仿宋_GB2312" w:eastAsia="仿宋_GB2312"/>
          <w:b/>
          <w:sz w:val="32"/>
          <w:szCs w:val="32"/>
          <w:lang w:eastAsia="zh-CN"/>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_GB2312" w:eastAsia="仿宋_GB2312"/>
          <w:sz w:val="32"/>
          <w:szCs w:val="32"/>
          <w:lang w:eastAsia="zh-CN"/>
        </w:rPr>
        <w:t>，</w:t>
      </w:r>
      <w:r>
        <w:rPr>
          <w:rStyle w:val="15"/>
          <w:rFonts w:hint="eastAsia" w:ascii="仿宋" w:hAnsi="仿宋" w:eastAsia="仿宋"/>
          <w:b w:val="0"/>
          <w:bCs/>
          <w:sz w:val="32"/>
          <w:szCs w:val="32"/>
        </w:rPr>
        <w:t>完成预算</w:t>
      </w:r>
      <w:r>
        <w:rPr>
          <w:rStyle w:val="15"/>
          <w:rFonts w:hint="eastAsia" w:ascii="仿宋" w:hAnsi="仿宋" w:eastAsia="仿宋"/>
          <w:b w:val="0"/>
          <w:bCs/>
          <w:sz w:val="32"/>
          <w:szCs w:val="32"/>
          <w:lang w:val="en-US" w:eastAsia="zh-CN"/>
        </w:rPr>
        <w:t>0</w:t>
      </w:r>
      <w:r>
        <w:rPr>
          <w:rStyle w:val="15"/>
          <w:rFonts w:ascii="仿宋" w:hAnsi="仿宋" w:eastAsia="仿宋"/>
          <w:b w:val="0"/>
          <w:bCs/>
          <w:sz w:val="32"/>
          <w:szCs w:val="32"/>
        </w:rPr>
        <w:t>%</w:t>
      </w:r>
      <w:r>
        <w:rPr>
          <w:rStyle w:val="15"/>
          <w:rFonts w:hint="eastAsia" w:ascii="仿宋" w:hAnsi="仿宋" w:eastAsia="仿宋"/>
          <w:b w:val="0"/>
          <w:bCs/>
          <w:sz w:val="32"/>
          <w:szCs w:val="32"/>
        </w:rPr>
        <w:t>。</w:t>
      </w:r>
      <w:r>
        <w:rPr>
          <w:rFonts w:hint="eastAsia" w:ascii="仿宋_GB2312" w:eastAsia="仿宋_GB2312"/>
          <w:sz w:val="32"/>
          <w:szCs w:val="32"/>
        </w:rPr>
        <w:t>公务用车购置及运行维护费支出决算比</w:t>
      </w:r>
      <w:r>
        <w:rPr>
          <w:rFonts w:ascii="仿宋_GB2312" w:eastAsia="仿宋_GB2312"/>
          <w:sz w:val="32"/>
          <w:szCs w:val="32"/>
        </w:rPr>
        <w:t>20</w:t>
      </w:r>
      <w:r>
        <w:rPr>
          <w:rFonts w:hint="eastAsia" w:ascii="仿宋_GB2312" w:eastAsia="仿宋_GB2312"/>
          <w:sz w:val="32"/>
          <w:szCs w:val="32"/>
        </w:rPr>
        <w:t>21年增加</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w:t>
      </w:r>
    </w:p>
    <w:p>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hint="eastAsia" w:ascii="仿宋_GB2312" w:eastAsia="仿宋_GB2312"/>
          <w:sz w:val="32"/>
          <w:szCs w:val="32"/>
          <w:lang w:val="en-US" w:eastAsia="zh-CN"/>
        </w:rPr>
        <w:t>0</w:t>
      </w:r>
      <w:r>
        <w:rPr>
          <w:rFonts w:hint="eastAsia" w:ascii="仿宋_GB2312" w:eastAsia="仿宋_GB2312"/>
          <w:sz w:val="32"/>
          <w:szCs w:val="32"/>
        </w:rPr>
        <w:t>万元。全年按规定更新购置公务用车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万元，越野车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万元，载客汽车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_GB2312" w:eastAsia="仿宋_GB2312"/>
          <w:sz w:val="32"/>
          <w:szCs w:val="32"/>
          <w:lang w:val="en-US" w:eastAsia="zh-CN"/>
        </w:rPr>
        <w:t>0</w:t>
      </w: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月底，单位共有公务用车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辆、越野车</w:t>
      </w:r>
      <w:r>
        <w:rPr>
          <w:rFonts w:hint="eastAsia" w:ascii="仿宋_GB2312" w:eastAsia="仿宋_GB2312"/>
          <w:sz w:val="32"/>
          <w:szCs w:val="32"/>
          <w:lang w:val="en-US" w:eastAsia="zh-CN"/>
        </w:rPr>
        <w:t>0</w:t>
      </w:r>
      <w:r>
        <w:rPr>
          <w:rFonts w:hint="eastAsia" w:ascii="仿宋_GB2312" w:eastAsia="仿宋_GB2312"/>
          <w:sz w:val="32"/>
          <w:szCs w:val="32"/>
        </w:rPr>
        <w:t>辆、载客汽车</w:t>
      </w:r>
      <w:r>
        <w:rPr>
          <w:rFonts w:hint="eastAsia" w:ascii="仿宋_GB2312" w:eastAsia="仿宋_GB2312"/>
          <w:sz w:val="32"/>
          <w:szCs w:val="32"/>
          <w:lang w:val="en-US" w:eastAsia="zh-CN"/>
        </w:rPr>
        <w:t>0</w:t>
      </w:r>
      <w:r>
        <w:rPr>
          <w:rFonts w:hint="eastAsia" w:ascii="仿宋_GB2312" w:eastAsia="仿宋_GB2312"/>
          <w:sz w:val="32"/>
          <w:szCs w:val="32"/>
        </w:rPr>
        <w:t>辆。</w:t>
      </w:r>
    </w:p>
    <w:p>
      <w:pPr>
        <w:spacing w:line="600" w:lineRule="exact"/>
        <w:ind w:firstLine="640"/>
        <w:rPr>
          <w:rFonts w:hint="eastAsia" w:ascii="仿宋_GB2312" w:eastAsia="仿宋_GB2312"/>
          <w:sz w:val="32"/>
          <w:szCs w:val="32"/>
        </w:rPr>
      </w:pPr>
      <w:r>
        <w:rPr>
          <w:rFonts w:hint="eastAsia" w:ascii="仿宋_GB2312" w:eastAsia="仿宋_GB2312"/>
          <w:b/>
          <w:sz w:val="32"/>
          <w:szCs w:val="32"/>
        </w:rPr>
        <w:t>公务用车运行维护费支出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hint="eastAsia" w:ascii="仿宋_GB2312" w:eastAsia="仿宋_GB2312"/>
          <w:sz w:val="32"/>
          <w:szCs w:val="32"/>
          <w:lang w:val="en-US" w:eastAsia="zh-CN"/>
        </w:rPr>
        <w:t>0.38</w:t>
      </w:r>
      <w:r>
        <w:rPr>
          <w:rFonts w:hint="eastAsia" w:ascii="仿宋_GB2312" w:eastAsia="仿宋_GB2312"/>
          <w:sz w:val="32"/>
          <w:szCs w:val="32"/>
        </w:rPr>
        <w:t>万元，</w:t>
      </w:r>
      <w:r>
        <w:rPr>
          <w:rStyle w:val="15"/>
          <w:rFonts w:hint="eastAsia" w:ascii="仿宋" w:hAnsi="仿宋" w:eastAsia="仿宋"/>
          <w:b w:val="0"/>
          <w:bCs/>
          <w:sz w:val="32"/>
          <w:szCs w:val="32"/>
        </w:rPr>
        <w:t>完成预算</w:t>
      </w:r>
      <w:r>
        <w:rPr>
          <w:rStyle w:val="15"/>
          <w:rFonts w:hint="eastAsia" w:ascii="仿宋" w:hAnsi="仿宋" w:eastAsia="仿宋"/>
          <w:b w:val="0"/>
          <w:bCs/>
          <w:sz w:val="32"/>
          <w:szCs w:val="32"/>
          <w:lang w:val="en-US" w:eastAsia="zh-CN"/>
        </w:rPr>
        <w:t>100</w:t>
      </w:r>
      <w:r>
        <w:rPr>
          <w:rStyle w:val="15"/>
          <w:rFonts w:ascii="仿宋" w:hAnsi="仿宋" w:eastAsia="仿宋"/>
          <w:b w:val="0"/>
          <w:bCs/>
          <w:sz w:val="32"/>
          <w:szCs w:val="32"/>
        </w:rPr>
        <w:t>%</w:t>
      </w:r>
      <w:r>
        <w:rPr>
          <w:rStyle w:val="15"/>
          <w:rFonts w:hint="eastAsia" w:ascii="仿宋" w:hAnsi="仿宋" w:eastAsia="仿宋"/>
          <w:b w:val="0"/>
          <w:bCs/>
          <w:sz w:val="32"/>
          <w:szCs w:val="32"/>
        </w:rPr>
        <w:t>。</w:t>
      </w:r>
      <w:r>
        <w:rPr>
          <w:rFonts w:hint="eastAsia" w:ascii="仿宋_GB2312" w:eastAsia="仿宋_GB2312"/>
          <w:sz w:val="32"/>
          <w:szCs w:val="32"/>
        </w:rPr>
        <w:t>公务接待费支出决算比</w:t>
      </w:r>
      <w:r>
        <w:rPr>
          <w:rFonts w:ascii="仿宋_GB2312" w:eastAsia="仿宋_GB2312"/>
          <w:sz w:val="32"/>
          <w:szCs w:val="32"/>
        </w:rPr>
        <w:t>20</w:t>
      </w:r>
      <w:r>
        <w:rPr>
          <w:rFonts w:hint="eastAsia" w:ascii="仿宋_GB2312" w:eastAsia="仿宋_GB2312"/>
          <w:sz w:val="32"/>
          <w:szCs w:val="32"/>
        </w:rPr>
        <w:t>21年减少</w:t>
      </w:r>
      <w:r>
        <w:rPr>
          <w:rFonts w:hint="eastAsia" w:ascii="仿宋_GB2312" w:eastAsia="仿宋_GB2312"/>
          <w:sz w:val="32"/>
          <w:szCs w:val="32"/>
          <w:lang w:val="en-US" w:eastAsia="zh-CN"/>
        </w:rPr>
        <w:t>0.1</w:t>
      </w:r>
      <w:r>
        <w:rPr>
          <w:rFonts w:hint="eastAsia" w:ascii="仿宋_GB2312" w:eastAsia="仿宋_GB2312"/>
          <w:sz w:val="32"/>
          <w:szCs w:val="32"/>
        </w:rPr>
        <w:t>万元，下降</w:t>
      </w:r>
      <w:r>
        <w:rPr>
          <w:rFonts w:hint="eastAsia" w:ascii="仿宋_GB2312" w:eastAsia="仿宋_GB2312"/>
          <w:sz w:val="32"/>
          <w:szCs w:val="32"/>
          <w:lang w:val="en-US" w:eastAsia="zh-CN"/>
        </w:rPr>
        <w:t>20.83</w:t>
      </w:r>
      <w:r>
        <w:rPr>
          <w:rFonts w:ascii="仿宋_GB2312" w:eastAsia="仿宋_GB2312"/>
          <w:sz w:val="32"/>
          <w:szCs w:val="32"/>
        </w:rPr>
        <w:t>%</w:t>
      </w:r>
      <w:r>
        <w:rPr>
          <w:rFonts w:hint="eastAsia" w:ascii="仿宋_GB2312" w:eastAsia="仿宋_GB2312"/>
          <w:sz w:val="32"/>
          <w:szCs w:val="32"/>
        </w:rPr>
        <w:t>。主要原因是</w:t>
      </w:r>
      <w:r>
        <w:rPr>
          <w:rFonts w:hint="eastAsia" w:ascii="仿宋_GB2312" w:eastAsia="仿宋_GB2312"/>
          <w:sz w:val="32"/>
          <w:szCs w:val="32"/>
          <w:lang w:val="en-US" w:eastAsia="zh-CN"/>
        </w:rPr>
        <w:t>接待人次减少</w:t>
      </w:r>
      <w:r>
        <w:rPr>
          <w:rFonts w:hint="eastAsia" w:ascii="仿宋_GB2312" w:eastAsia="仿宋_GB2312"/>
          <w:sz w:val="32"/>
          <w:szCs w:val="32"/>
        </w:rPr>
        <w:t>。其中：</w:t>
      </w:r>
    </w:p>
    <w:p>
      <w:pPr>
        <w:spacing w:line="600" w:lineRule="exact"/>
        <w:ind w:firstLine="640"/>
        <w:rPr>
          <w:rFonts w:ascii="仿宋_GB2312" w:eastAsia="仿宋_GB2312"/>
          <w:sz w:val="32"/>
          <w:szCs w:val="32"/>
        </w:rPr>
      </w:pPr>
      <w:r>
        <w:rPr>
          <w:rFonts w:hint="eastAsia" w:ascii="仿宋" w:hAnsi="仿宋" w:eastAsia="仿宋"/>
          <w:b/>
          <w:sz w:val="32"/>
          <w:szCs w:val="32"/>
        </w:rPr>
        <w:t>国内公务接待支出</w:t>
      </w:r>
      <w:r>
        <w:rPr>
          <w:rFonts w:hint="eastAsia" w:ascii="仿宋" w:hAnsi="仿宋" w:eastAsia="仿宋"/>
          <w:sz w:val="32"/>
          <w:szCs w:val="32"/>
          <w:lang w:val="en-US" w:eastAsia="zh-CN"/>
        </w:rPr>
        <w:t>0.38</w:t>
      </w:r>
      <w:r>
        <w:rPr>
          <w:rFonts w:hint="eastAsia" w:ascii="仿宋_GB2312" w:eastAsia="仿宋_GB2312"/>
          <w:sz w:val="32"/>
          <w:szCs w:val="32"/>
        </w:rPr>
        <w:t>万元，主要用于</w:t>
      </w:r>
      <w:r>
        <w:rPr>
          <w:rFonts w:hint="eastAsia" w:ascii="仿宋_GB2312" w:eastAsia="仿宋_GB2312" w:cs="仿宋_GB2312"/>
          <w:color w:val="000000"/>
          <w:sz w:val="32"/>
          <w:szCs w:val="32"/>
          <w:lang w:val="en-US" w:eastAsia="zh-CN"/>
        </w:rPr>
        <w:t>2022年各种考试监考教师生活住宿费、兄弟学校教学交流用餐费等</w:t>
      </w:r>
      <w:r>
        <w:rPr>
          <w:rFonts w:hint="eastAsia" w:ascii="仿宋_GB2312" w:eastAsia="仿宋_GB2312"/>
          <w:sz w:val="32"/>
          <w:szCs w:val="32"/>
        </w:rPr>
        <w:t>。国内公务接待</w:t>
      </w:r>
      <w:r>
        <w:rPr>
          <w:rFonts w:hint="eastAsia" w:ascii="仿宋_GB2312" w:eastAsia="仿宋_GB2312"/>
          <w:sz w:val="32"/>
          <w:szCs w:val="32"/>
          <w:lang w:val="en-US" w:eastAsia="zh-CN"/>
        </w:rPr>
        <w:t>12</w:t>
      </w:r>
      <w:r>
        <w:rPr>
          <w:rFonts w:hint="eastAsia" w:ascii="仿宋_GB2312" w:eastAsia="仿宋_GB2312"/>
          <w:sz w:val="32"/>
          <w:szCs w:val="32"/>
        </w:rPr>
        <w:t>批次，</w:t>
      </w:r>
      <w:r>
        <w:rPr>
          <w:rFonts w:hint="eastAsia" w:ascii="仿宋_GB2312" w:eastAsia="仿宋_GB2312"/>
          <w:sz w:val="32"/>
          <w:szCs w:val="32"/>
          <w:lang w:val="en-US" w:eastAsia="zh-CN"/>
        </w:rPr>
        <w:t>126</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0.38</w:t>
      </w:r>
      <w:r>
        <w:rPr>
          <w:rFonts w:hint="eastAsia" w:ascii="仿宋_GB2312" w:eastAsia="仿宋_GB2312"/>
          <w:sz w:val="32"/>
          <w:szCs w:val="32"/>
        </w:rPr>
        <w:t>万元。</w:t>
      </w:r>
    </w:p>
    <w:p>
      <w:pPr>
        <w:spacing w:line="600" w:lineRule="exact"/>
        <w:ind w:firstLine="643" w:firstLineChars="200"/>
        <w:rPr>
          <w:rFonts w:ascii="仿宋_GB2312" w:eastAsia="仿宋_GB2312"/>
          <w:sz w:val="32"/>
          <w:szCs w:val="32"/>
        </w:rPr>
      </w:pPr>
      <w:r>
        <w:rPr>
          <w:rFonts w:hint="eastAsia" w:ascii="仿宋" w:hAnsi="仿宋" w:eastAsia="仿宋"/>
          <w:b/>
          <w:sz w:val="32"/>
          <w:szCs w:val="32"/>
        </w:rPr>
        <w:t>外事接待支出</w:t>
      </w:r>
      <w:r>
        <w:rPr>
          <w:rFonts w:hint="eastAsia" w:ascii="仿宋" w:hAnsi="仿宋" w:eastAsia="仿宋"/>
          <w:sz w:val="32"/>
          <w:szCs w:val="32"/>
          <w:lang w:val="en-US" w:eastAsia="zh-CN"/>
        </w:rPr>
        <w:t>0</w:t>
      </w:r>
      <w:r>
        <w:rPr>
          <w:rFonts w:hint="eastAsia" w:ascii="仿宋_GB2312" w:eastAsia="仿宋_GB2312"/>
          <w:sz w:val="32"/>
          <w:szCs w:val="32"/>
        </w:rPr>
        <w:t>万元，主要用于接待</w:t>
      </w:r>
      <w:r>
        <w:rPr>
          <w:rFonts w:ascii="仿宋_GB2312" w:eastAsia="仿宋_GB2312"/>
          <w:sz w:val="32"/>
          <w:szCs w:val="32"/>
        </w:rPr>
        <w:t>…</w:t>
      </w:r>
      <w:r>
        <w:rPr>
          <w:rFonts w:hint="eastAsia" w:ascii="仿宋_GB2312" w:eastAsia="仿宋_GB2312"/>
          <w:sz w:val="32"/>
          <w:szCs w:val="32"/>
        </w:rPr>
        <w:t>（具体项目）。外事接待</w:t>
      </w:r>
      <w:r>
        <w:rPr>
          <w:rFonts w:hint="eastAsia" w:ascii="仿宋_GB2312" w:eastAsia="仿宋_GB2312"/>
          <w:sz w:val="32"/>
          <w:szCs w:val="32"/>
          <w:lang w:val="en-US" w:eastAsia="zh-CN"/>
        </w:rPr>
        <w:t>0</w:t>
      </w:r>
      <w:r>
        <w:rPr>
          <w:rFonts w:hint="eastAsia" w:ascii="仿宋_GB2312" w:eastAsia="仿宋_GB2312"/>
          <w:sz w:val="32"/>
          <w:szCs w:val="32"/>
        </w:rPr>
        <w:t>批次，</w:t>
      </w:r>
      <w:r>
        <w:rPr>
          <w:rFonts w:hint="eastAsia" w:ascii="仿宋_GB2312" w:eastAsia="仿宋_GB2312"/>
          <w:sz w:val="32"/>
          <w:szCs w:val="32"/>
          <w:lang w:val="en-US" w:eastAsia="zh-CN"/>
        </w:rPr>
        <w:t>0</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outlineLvl w:val="1"/>
        <w:rPr>
          <w:rFonts w:ascii="黑体" w:eastAsia="黑体"/>
          <w:sz w:val="32"/>
          <w:szCs w:val="32"/>
        </w:rPr>
      </w:pPr>
      <w:bookmarkStart w:id="44" w:name="_Toc15396610"/>
      <w:bookmarkStart w:id="45" w:name="_Toc15377218"/>
    </w:p>
    <w:p>
      <w:pPr>
        <w:spacing w:line="600" w:lineRule="exact"/>
        <w:ind w:firstLine="640"/>
        <w:outlineLvl w:val="1"/>
        <w:rPr>
          <w:rStyle w:val="26"/>
          <w:rFonts w:ascii="黑体" w:hAnsi="黑体" w:eastAsia="黑体"/>
        </w:rPr>
      </w:pPr>
      <w:r>
        <w:rPr>
          <w:rFonts w:hint="eastAsia" w:ascii="黑体" w:eastAsia="黑体"/>
          <w:sz w:val="32"/>
          <w:szCs w:val="32"/>
        </w:rPr>
        <w:t>八、</w:t>
      </w:r>
      <w:r>
        <w:rPr>
          <w:rStyle w:val="26"/>
          <w:rFonts w:hint="eastAsia" w:ascii="黑体" w:hAnsi="黑体" w:eastAsia="黑体"/>
          <w:b w:val="0"/>
        </w:rPr>
        <w:t>政府性基金预算支出决算情况说明</w:t>
      </w:r>
      <w:bookmarkEnd w:id="44"/>
      <w:bookmarkEnd w:id="45"/>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22年政府性基金预算财政拨款支出</w:t>
      </w:r>
      <w:r>
        <w:rPr>
          <w:rFonts w:hint="eastAsia" w:ascii="仿宋_GB2312" w:eastAsia="仿宋_GB2312"/>
          <w:sz w:val="32"/>
          <w:szCs w:val="32"/>
          <w:lang w:val="en-US" w:eastAsia="zh-CN"/>
        </w:rPr>
        <w:t>2</w:t>
      </w:r>
      <w:r>
        <w:rPr>
          <w:rFonts w:hint="eastAsia" w:ascii="仿宋_GB2312" w:eastAsia="仿宋_GB2312"/>
          <w:sz w:val="32"/>
          <w:szCs w:val="32"/>
        </w:rPr>
        <w:t>万元。</w:t>
      </w:r>
    </w:p>
    <w:p>
      <w:pPr>
        <w:spacing w:line="600" w:lineRule="exact"/>
        <w:ind w:firstLine="640"/>
        <w:rPr>
          <w:rFonts w:ascii="仿宋_GB2312" w:eastAsia="仿宋_GB2312"/>
          <w:sz w:val="32"/>
          <w:szCs w:val="32"/>
        </w:rPr>
      </w:pPr>
    </w:p>
    <w:p>
      <w:pPr>
        <w:numPr>
          <w:ilvl w:val="0"/>
          <w:numId w:val="3"/>
        </w:numPr>
        <w:spacing w:line="600" w:lineRule="exact"/>
        <w:ind w:firstLine="640"/>
        <w:outlineLvl w:val="1"/>
        <w:rPr>
          <w:rStyle w:val="26"/>
          <w:rFonts w:ascii="黑体" w:hAnsi="黑体" w:eastAsia="黑体"/>
          <w:b w:val="0"/>
        </w:rPr>
      </w:pPr>
      <w:bookmarkStart w:id="46" w:name="_Toc15396611"/>
      <w:bookmarkStart w:id="47" w:name="_Toc15377219"/>
      <w:r>
        <w:rPr>
          <w:rStyle w:val="26"/>
          <w:rFonts w:hint="eastAsia" w:ascii="黑体" w:hAnsi="黑体" w:eastAsia="黑体"/>
          <w:b w:val="0"/>
        </w:rPr>
        <w:t>国有资本经营预算支出决算情况说明</w:t>
      </w:r>
      <w:bookmarkEnd w:id="46"/>
      <w:bookmarkEnd w:id="47"/>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22年国有资本经营预算财政拨款支出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580" w:lineRule="exact"/>
        <w:jc w:val="center"/>
        <w:rPr>
          <w:rFonts w:ascii="方正小标宋简体" w:hAnsi="方正小标宋简体" w:eastAsia="方正小标宋简体" w:cs="方正小标宋简体"/>
          <w:sz w:val="44"/>
          <w:szCs w:val="44"/>
        </w:rPr>
      </w:pPr>
    </w:p>
    <w:p>
      <w:pPr>
        <w:numPr>
          <w:ilvl w:val="0"/>
          <w:numId w:val="3"/>
        </w:numPr>
        <w:spacing w:line="600" w:lineRule="exact"/>
        <w:ind w:firstLine="640"/>
        <w:outlineLvl w:val="1"/>
        <w:rPr>
          <w:rStyle w:val="26"/>
          <w:rFonts w:ascii="黑体" w:hAnsi="黑体" w:eastAsia="黑体"/>
          <w:b w:val="0"/>
        </w:rPr>
      </w:pPr>
      <w:bookmarkStart w:id="48" w:name="_Toc15377221"/>
      <w:bookmarkStart w:id="49" w:name="_Toc15396612"/>
      <w:r>
        <w:rPr>
          <w:rStyle w:val="26"/>
          <w:rFonts w:hint="eastAsia" w:ascii="黑体" w:hAnsi="黑体" w:eastAsia="黑体"/>
          <w:b w:val="0"/>
        </w:rPr>
        <w:t>其他重要事项的情况说明</w:t>
      </w:r>
      <w:bookmarkEnd w:id="48"/>
      <w:bookmarkEnd w:id="49"/>
    </w:p>
    <w:p>
      <w:pPr>
        <w:spacing w:line="600" w:lineRule="exact"/>
        <w:ind w:firstLine="643" w:firstLineChars="200"/>
        <w:outlineLvl w:val="2"/>
        <w:rPr>
          <w:rFonts w:ascii="仿宋" w:hAnsi="仿宋" w:eastAsia="仿宋"/>
          <w:sz w:val="32"/>
          <w:szCs w:val="32"/>
        </w:rPr>
      </w:pPr>
      <w:bookmarkStart w:id="50" w:name="_Toc15377222"/>
      <w:r>
        <w:rPr>
          <w:rFonts w:hint="eastAsia" w:ascii="仿宋" w:hAnsi="仿宋" w:eastAsia="仿宋"/>
          <w:b/>
          <w:sz w:val="32"/>
          <w:szCs w:val="32"/>
        </w:rPr>
        <w:t>（一）机关运行经费支出情况</w:t>
      </w:r>
      <w:bookmarkEnd w:id="50"/>
    </w:p>
    <w:p>
      <w:pPr>
        <w:spacing w:line="600" w:lineRule="exact"/>
        <w:ind w:firstLine="640" w:firstLineChars="200"/>
        <w:rPr>
          <w:rFonts w:hint="eastAsia" w:ascii="仿宋_GB2312" w:eastAsia="仿宋_GB2312"/>
          <w:sz w:val="32"/>
          <w:szCs w:val="32"/>
          <w:lang w:eastAsia="zh-CN"/>
        </w:rPr>
      </w:pPr>
      <w:r>
        <w:rPr>
          <w:rFonts w:ascii="仿宋_GB2312" w:eastAsia="仿宋_GB2312"/>
          <w:sz w:val="32"/>
          <w:szCs w:val="32"/>
        </w:rPr>
        <w:t>20</w:t>
      </w:r>
      <w:r>
        <w:rPr>
          <w:rFonts w:hint="eastAsia" w:ascii="仿宋_GB2312" w:eastAsia="仿宋_GB2312"/>
          <w:sz w:val="32"/>
          <w:szCs w:val="32"/>
        </w:rPr>
        <w:t>22年，</w:t>
      </w:r>
      <w:r>
        <w:rPr>
          <w:rFonts w:hint="eastAsia" w:ascii="仿宋_GB2312" w:eastAsia="仿宋_GB2312"/>
          <w:sz w:val="32"/>
          <w:szCs w:val="32"/>
          <w:lang w:val="en-US" w:eastAsia="zh-CN"/>
        </w:rPr>
        <w:t>剑阁县元山小学校</w:t>
      </w:r>
      <w:r>
        <w:rPr>
          <w:rFonts w:hint="eastAsia" w:ascii="仿宋_GB2312" w:eastAsia="仿宋_GB2312"/>
          <w:sz w:val="32"/>
          <w:szCs w:val="32"/>
        </w:rPr>
        <w:t>机关运行经费支出</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_GB2312" w:eastAsia="仿宋_GB2312"/>
          <w:sz w:val="32"/>
          <w:szCs w:val="32"/>
          <w:lang w:eastAsia="zh-CN"/>
        </w:rPr>
        <w:t>。</w:t>
      </w:r>
    </w:p>
    <w:p>
      <w:pPr>
        <w:spacing w:line="600" w:lineRule="exact"/>
        <w:ind w:firstLine="643" w:firstLineChars="200"/>
        <w:rPr>
          <w:rFonts w:ascii="仿宋" w:hAnsi="仿宋" w:eastAsia="仿宋"/>
          <w:b/>
          <w:sz w:val="32"/>
          <w:szCs w:val="32"/>
        </w:rPr>
      </w:pPr>
      <w:r>
        <w:rPr>
          <w:rFonts w:hint="eastAsia" w:ascii="仿宋" w:hAnsi="仿宋" w:eastAsia="仿宋"/>
          <w:b/>
          <w:sz w:val="32"/>
          <w:szCs w:val="32"/>
        </w:rPr>
        <w:t>（注：数据来源于财决附</w:t>
      </w:r>
      <w:r>
        <w:rPr>
          <w:rFonts w:ascii="仿宋" w:hAnsi="仿宋" w:eastAsia="仿宋"/>
          <w:b/>
          <w:sz w:val="32"/>
          <w:szCs w:val="32"/>
        </w:rPr>
        <w:t>03</w:t>
      </w:r>
      <w:r>
        <w:rPr>
          <w:rFonts w:hint="eastAsia" w:ascii="仿宋" w:hAnsi="仿宋" w:eastAsia="仿宋"/>
          <w:b/>
          <w:sz w:val="32"/>
          <w:szCs w:val="32"/>
        </w:rPr>
        <w:t>表）</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51" w:name="_Toc15377223"/>
      <w:r>
        <w:rPr>
          <w:rFonts w:hint="eastAsia" w:ascii="仿宋" w:hAnsi="仿宋" w:eastAsia="仿宋"/>
          <w:b/>
          <w:sz w:val="32"/>
          <w:szCs w:val="32"/>
        </w:rPr>
        <w:t>（二）政府采购支出情况</w:t>
      </w:r>
      <w:bookmarkEnd w:id="51"/>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w:t>
      </w:r>
      <w:r>
        <w:rPr>
          <w:rFonts w:hint="eastAsia" w:ascii="仿宋_GB2312" w:eastAsia="仿宋_GB2312"/>
          <w:sz w:val="32"/>
          <w:szCs w:val="32"/>
          <w:lang w:val="en-US" w:eastAsia="zh-CN"/>
        </w:rPr>
        <w:t>剑阁县元山小学校</w:t>
      </w:r>
      <w:r>
        <w:rPr>
          <w:rFonts w:hint="eastAsia" w:ascii="仿宋_GB2312" w:eastAsia="仿宋_GB2312"/>
          <w:sz w:val="32"/>
          <w:szCs w:val="32"/>
        </w:rPr>
        <w:t>政府采购支出总额</w:t>
      </w:r>
      <w:r>
        <w:rPr>
          <w:rFonts w:hint="eastAsia" w:ascii="仿宋_GB2312" w:eastAsia="仿宋_GB2312"/>
          <w:sz w:val="32"/>
          <w:szCs w:val="32"/>
          <w:lang w:val="en-US" w:eastAsia="zh-CN"/>
        </w:rPr>
        <w:t>0</w:t>
      </w:r>
      <w:r>
        <w:rPr>
          <w:rFonts w:hint="eastAsia" w:ascii="仿宋_GB2312" w:eastAsia="仿宋_GB2312"/>
          <w:sz w:val="32"/>
          <w:szCs w:val="32"/>
        </w:rPr>
        <w:t>万元，其中：政府采购货物支出</w:t>
      </w:r>
      <w:r>
        <w:rPr>
          <w:rFonts w:hint="eastAsia" w:ascii="仿宋_GB2312" w:eastAsia="仿宋_GB2312"/>
          <w:sz w:val="32"/>
          <w:szCs w:val="32"/>
          <w:lang w:val="en-US" w:eastAsia="zh-CN"/>
        </w:rPr>
        <w:t>0</w:t>
      </w:r>
      <w:r>
        <w:rPr>
          <w:rFonts w:hint="eastAsia" w:ascii="仿宋_GB2312" w:eastAsia="仿宋_GB2312"/>
          <w:sz w:val="32"/>
          <w:szCs w:val="32"/>
        </w:rPr>
        <w:t>万元、政府采购工程支出</w:t>
      </w:r>
      <w:r>
        <w:rPr>
          <w:rFonts w:hint="eastAsia" w:ascii="仿宋_GB2312" w:eastAsia="仿宋_GB2312"/>
          <w:sz w:val="32"/>
          <w:szCs w:val="32"/>
          <w:lang w:val="en-US" w:eastAsia="zh-CN"/>
        </w:rPr>
        <w:t>0</w:t>
      </w:r>
      <w:r>
        <w:rPr>
          <w:rFonts w:hint="eastAsia" w:ascii="仿宋_GB2312" w:eastAsia="仿宋_GB2312"/>
          <w:sz w:val="32"/>
          <w:szCs w:val="32"/>
        </w:rPr>
        <w:t>万元、政府采购服务支出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52" w:name="_Toc15377224"/>
      <w:r>
        <w:rPr>
          <w:rFonts w:hint="eastAsia" w:ascii="仿宋" w:hAnsi="仿宋" w:eastAsia="仿宋"/>
          <w:b/>
          <w:sz w:val="32"/>
          <w:szCs w:val="32"/>
        </w:rPr>
        <w:t>（三）国有资产占有使用情况</w:t>
      </w:r>
      <w:bookmarkEnd w:id="52"/>
    </w:p>
    <w:p>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hint="eastAsia" w:ascii="仿宋_GB2312" w:eastAsia="仿宋_GB2312"/>
          <w:sz w:val="32"/>
          <w:szCs w:val="32"/>
          <w:lang w:val="en-US" w:eastAsia="zh-CN"/>
        </w:rPr>
        <w:t>剑阁县元山小学校</w:t>
      </w:r>
      <w:r>
        <w:rPr>
          <w:rFonts w:hint="eastAsia" w:ascii="仿宋_GB2312" w:eastAsia="仿宋_GB2312"/>
          <w:sz w:val="32"/>
          <w:szCs w:val="32"/>
        </w:rPr>
        <w:t>共有车辆</w:t>
      </w:r>
      <w:r>
        <w:rPr>
          <w:rFonts w:hint="eastAsia" w:ascii="仿宋_GB2312" w:eastAsia="仿宋_GB2312"/>
          <w:sz w:val="32"/>
          <w:szCs w:val="32"/>
          <w:lang w:val="en-US" w:eastAsia="zh-CN"/>
        </w:rPr>
        <w:t>0</w:t>
      </w:r>
      <w:r>
        <w:rPr>
          <w:rFonts w:hint="eastAsia" w:ascii="仿宋_GB2312" w:eastAsia="仿宋_GB2312"/>
          <w:sz w:val="32"/>
          <w:szCs w:val="32"/>
        </w:rPr>
        <w:t>辆，其中：主要领导干部用车</w:t>
      </w:r>
      <w:r>
        <w:rPr>
          <w:rFonts w:hint="eastAsia" w:ascii="仿宋_GB2312" w:eastAsia="仿宋_GB2312"/>
          <w:sz w:val="32"/>
          <w:szCs w:val="32"/>
          <w:lang w:val="en-US" w:eastAsia="zh-CN"/>
        </w:rPr>
        <w:t>0</w:t>
      </w:r>
      <w:r>
        <w:rPr>
          <w:rFonts w:hint="eastAsia" w:ascii="仿宋_GB2312" w:eastAsia="仿宋_GB2312"/>
          <w:sz w:val="32"/>
          <w:szCs w:val="32"/>
        </w:rPr>
        <w:t>辆、机要通信用车</w:t>
      </w:r>
      <w:r>
        <w:rPr>
          <w:rFonts w:hint="eastAsia" w:ascii="仿宋_GB2312" w:eastAsia="仿宋_GB2312"/>
          <w:sz w:val="32"/>
          <w:szCs w:val="32"/>
          <w:lang w:val="en-US" w:eastAsia="zh-CN"/>
        </w:rPr>
        <w:t>0</w:t>
      </w:r>
      <w:r>
        <w:rPr>
          <w:rFonts w:hint="eastAsia" w:ascii="仿宋_GB2312" w:eastAsia="仿宋_GB2312"/>
          <w:sz w:val="32"/>
          <w:szCs w:val="32"/>
        </w:rPr>
        <w:t>辆、应急保障用车</w:t>
      </w:r>
      <w:r>
        <w:rPr>
          <w:rFonts w:hint="eastAsia" w:ascii="仿宋_GB2312" w:eastAsia="仿宋_GB2312"/>
          <w:sz w:val="32"/>
          <w:szCs w:val="32"/>
          <w:lang w:val="en-US" w:eastAsia="zh-CN"/>
        </w:rPr>
        <w:t>0</w:t>
      </w:r>
      <w:r>
        <w:rPr>
          <w:rFonts w:hint="eastAsia" w:ascii="仿宋_GB2312" w:eastAsia="仿宋_GB2312"/>
          <w:sz w:val="32"/>
          <w:szCs w:val="32"/>
        </w:rPr>
        <w:t>辆、其他用车</w:t>
      </w:r>
      <w:r>
        <w:rPr>
          <w:rFonts w:hint="eastAsia" w:ascii="仿宋_GB2312" w:eastAsia="仿宋_GB2312"/>
          <w:sz w:val="32"/>
          <w:szCs w:val="32"/>
          <w:lang w:val="en-US" w:eastAsia="zh-CN"/>
        </w:rPr>
        <w:t>0</w:t>
      </w:r>
      <w:r>
        <w:rPr>
          <w:rFonts w:hint="eastAsia" w:ascii="仿宋_GB2312" w:eastAsia="仿宋_GB2312"/>
          <w:sz w:val="32"/>
          <w:szCs w:val="32"/>
        </w:rPr>
        <w:t>辆，其他用车主要是用于……。单价</w:t>
      </w:r>
      <w:r>
        <w:rPr>
          <w:rFonts w:ascii="仿宋_GB2312" w:eastAsia="仿宋_GB2312"/>
          <w:sz w:val="32"/>
          <w:szCs w:val="32"/>
        </w:rPr>
        <w:t>100</w:t>
      </w:r>
      <w:r>
        <w:rPr>
          <w:rFonts w:hint="eastAsia" w:ascii="仿宋_GB2312" w:eastAsia="仿宋_GB2312"/>
          <w:sz w:val="32"/>
          <w:szCs w:val="32"/>
        </w:rPr>
        <w:t>万元以上专用设备</w:t>
      </w:r>
      <w:r>
        <w:rPr>
          <w:rFonts w:hint="eastAsia" w:ascii="仿宋_GB2312" w:eastAsia="仿宋_GB2312"/>
          <w:sz w:val="32"/>
          <w:szCs w:val="32"/>
          <w:lang w:val="en-US" w:eastAsia="zh-CN"/>
        </w:rPr>
        <w:t>0</w:t>
      </w:r>
      <w:r>
        <w:rPr>
          <w:rFonts w:hint="eastAsia" w:ascii="仿宋_GB2312" w:eastAsia="仿宋_GB2312"/>
          <w:sz w:val="32"/>
          <w:szCs w:val="32"/>
        </w:rPr>
        <w:t>台（套）。</w:t>
      </w:r>
    </w:p>
    <w:p>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pPr>
        <w:pStyle w:val="2"/>
        <w:spacing w:before="93"/>
        <w:ind w:firstLine="640" w:firstLineChars="200"/>
        <w:rPr>
          <w:highlight w:val="yellow"/>
        </w:rPr>
      </w:pPr>
      <w:r>
        <w:rPr>
          <w:rFonts w:hint="eastAsia" w:hAnsi="仿宋_GB2312" w:cs="仿宋_GB2312"/>
          <w:sz w:val="32"/>
          <w:szCs w:val="32"/>
        </w:rPr>
        <w:t>根据预算绩效管理要求，本单位在2022年度预算编制阶段，组织对</w:t>
      </w:r>
      <w:r>
        <w:rPr>
          <w:rFonts w:hint="eastAsia" w:hAnsi="仿宋_GB2312" w:cs="仿宋_GB2312"/>
          <w:sz w:val="32"/>
          <w:szCs w:val="32"/>
          <w:lang w:val="en-US" w:eastAsia="zh-CN"/>
        </w:rPr>
        <w:t>0</w:t>
      </w:r>
      <w:r>
        <w:rPr>
          <w:rFonts w:hint="eastAsia" w:hAnsi="仿宋_GB2312" w:cs="仿宋_GB2312"/>
          <w:sz w:val="32"/>
          <w:szCs w:val="32"/>
        </w:rPr>
        <w:t>项目（项目名称）等</w:t>
      </w:r>
      <w:r>
        <w:rPr>
          <w:rFonts w:hint="eastAsia" w:hAnsi="仿宋_GB2312" w:cs="仿宋_GB2312"/>
          <w:sz w:val="32"/>
          <w:szCs w:val="32"/>
          <w:lang w:val="en-US" w:eastAsia="zh-CN"/>
        </w:rPr>
        <w:t>0</w:t>
      </w:r>
      <w:r>
        <w:rPr>
          <w:rFonts w:hint="eastAsia" w:hAnsi="仿宋_GB2312" w:cs="仿宋_GB2312"/>
          <w:sz w:val="32"/>
          <w:szCs w:val="32"/>
        </w:rPr>
        <w:t>个项目开展了预算事前绩效评估，对</w:t>
      </w:r>
      <w:r>
        <w:rPr>
          <w:rFonts w:hint="eastAsia" w:hAnsi="仿宋_GB2312" w:cs="仿宋_GB2312"/>
          <w:sz w:val="32"/>
          <w:szCs w:val="32"/>
          <w:lang w:val="en-US" w:eastAsia="zh-CN"/>
        </w:rPr>
        <w:t>0</w:t>
      </w:r>
      <w:r>
        <w:rPr>
          <w:rFonts w:hint="eastAsia" w:hAnsi="仿宋_GB2312" w:cs="仿宋_GB2312"/>
          <w:sz w:val="32"/>
          <w:szCs w:val="32"/>
        </w:rPr>
        <w:t>个项目编制了绩效目标，预算执行过程中，选取</w:t>
      </w:r>
      <w:r>
        <w:rPr>
          <w:rFonts w:hint="eastAsia" w:hAnsi="仿宋_GB2312" w:cs="仿宋_GB2312"/>
          <w:sz w:val="32"/>
          <w:szCs w:val="32"/>
          <w:lang w:val="en-US" w:eastAsia="zh-CN"/>
        </w:rPr>
        <w:t>0</w:t>
      </w:r>
      <w:r>
        <w:rPr>
          <w:rFonts w:hint="eastAsia" w:hAnsi="仿宋_GB2312" w:cs="仿宋_GB2312"/>
          <w:sz w:val="32"/>
          <w:szCs w:val="32"/>
        </w:rPr>
        <w:t>个项目开展绩效监控，组织对</w:t>
      </w:r>
      <w:r>
        <w:rPr>
          <w:rFonts w:hint="eastAsia" w:hAnsi="仿宋_GB2312" w:cs="仿宋_GB2312"/>
          <w:sz w:val="32"/>
          <w:szCs w:val="32"/>
          <w:lang w:val="en-US" w:eastAsia="zh-CN"/>
        </w:rPr>
        <w:t>0</w:t>
      </w:r>
      <w:r>
        <w:rPr>
          <w:rFonts w:hint="eastAsia" w:hAnsi="仿宋_GB2312" w:cs="仿宋_GB2312"/>
          <w:sz w:val="32"/>
          <w:szCs w:val="32"/>
        </w:rPr>
        <w:t>个项目开展绩效自评，绩效自评表详见第四部分附件。</w:t>
      </w:r>
    </w:p>
    <w:p>
      <w:pPr>
        <w:widowControl/>
        <w:jc w:val="left"/>
        <w:rPr>
          <w:rFonts w:ascii="仿宋_GB2312" w:eastAsia="仿宋_GB2312"/>
          <w:b/>
          <w:sz w:val="32"/>
          <w:szCs w:val="32"/>
        </w:rPr>
      </w:pPr>
      <w:r>
        <w:rPr>
          <w:rFonts w:ascii="仿宋_GB2312" w:eastAsia="仿宋_GB2312"/>
          <w:b/>
          <w:sz w:val="32"/>
          <w:szCs w:val="32"/>
        </w:rPr>
        <w:br w:type="page"/>
      </w:r>
    </w:p>
    <w:p>
      <w:pPr>
        <w:numPr>
          <w:ilvl w:val="0"/>
          <w:numId w:val="4"/>
        </w:numPr>
        <w:spacing w:line="600" w:lineRule="exact"/>
        <w:ind w:firstLine="660" w:firstLineChars="150"/>
        <w:jc w:val="center"/>
        <w:outlineLvl w:val="0"/>
        <w:rPr>
          <w:rStyle w:val="25"/>
          <w:rFonts w:ascii="黑体" w:hAnsi="黑体" w:eastAsia="黑体"/>
          <w:b w:val="0"/>
        </w:rPr>
      </w:pPr>
      <w:bookmarkStart w:id="53" w:name="_Toc15377225"/>
      <w:bookmarkStart w:id="54" w:name="_Toc15396613"/>
      <w:r>
        <w:rPr>
          <w:rFonts w:hint="eastAsia" w:ascii="黑体" w:hAnsi="黑体" w:eastAsia="黑体"/>
          <w:sz w:val="44"/>
          <w:szCs w:val="44"/>
        </w:rPr>
        <w:t>名</w:t>
      </w:r>
      <w:r>
        <w:rPr>
          <w:rStyle w:val="25"/>
          <w:rFonts w:hint="eastAsia" w:ascii="黑体" w:hAnsi="黑体" w:eastAsia="黑体"/>
          <w:b w:val="0"/>
        </w:rPr>
        <w:t>词解释</w:t>
      </w:r>
      <w:bookmarkEnd w:id="53"/>
      <w:bookmarkEnd w:id="54"/>
    </w:p>
    <w:p>
      <w:pPr>
        <w:spacing w:line="600" w:lineRule="exact"/>
        <w:jc w:val="left"/>
        <w:rPr>
          <w:rFonts w:ascii="宋体"/>
          <w:b/>
          <w:sz w:val="44"/>
          <w:szCs w:val="44"/>
        </w:rPr>
      </w:pPr>
    </w:p>
    <w:p>
      <w:pPr>
        <w:pStyle w:val="23"/>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pPr>
        <w:pStyle w:val="23"/>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事业收入：指事业单位开展专业业务活动及辅助活动取得的收入。如…（二级预算单位事业收入情况）等。</w:t>
      </w:r>
    </w:p>
    <w:p>
      <w:pPr>
        <w:pStyle w:val="23"/>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3.</w:t>
      </w:r>
      <w:r>
        <w:rPr>
          <w:rFonts w:hint="eastAsia" w:ascii="仿宋_GB2312" w:eastAsia="仿宋_GB2312"/>
          <w:color w:val="auto"/>
          <w:sz w:val="32"/>
          <w:szCs w:val="32"/>
        </w:rPr>
        <w:t>经营收入：指事业单位在专业业务活动及其辅助活动之外开展非独立核算经营活动取得的收入。如…（二级预算单位经营收入情况）等。</w:t>
      </w:r>
    </w:p>
    <w:p>
      <w:pPr>
        <w:pStyle w:val="23"/>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4.</w:t>
      </w:r>
      <w:r>
        <w:rPr>
          <w:rFonts w:hint="eastAsia" w:ascii="仿宋_GB2312" w:eastAsia="仿宋_GB2312"/>
          <w:color w:val="auto"/>
          <w:sz w:val="32"/>
          <w:szCs w:val="32"/>
        </w:rPr>
        <w:t>其他收入：指单位取得的除上述收入以外的各项收入。主要是…（收入类型）等。</w:t>
      </w:r>
      <w:r>
        <w:rPr>
          <w:rFonts w:ascii="仿宋_GB2312" w:eastAsia="仿宋_GB2312"/>
          <w:color w:val="auto"/>
          <w:sz w:val="32"/>
          <w:szCs w:val="32"/>
        </w:rPr>
        <w:t xml:space="preserve"> </w:t>
      </w:r>
    </w:p>
    <w:p>
      <w:pPr>
        <w:pStyle w:val="23"/>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5.</w:t>
      </w:r>
      <w:r>
        <w:rPr>
          <w:rFonts w:hint="eastAsia" w:ascii="仿宋_GB2312" w:eastAsia="仿宋_GB2312"/>
          <w:color w:val="auto"/>
          <w:sz w:val="32"/>
          <w:szCs w:val="32"/>
        </w:rPr>
        <w:t>使用非财政拨款结余：指事业单位使用以前年度积累的非财政拨款结余弥补当年收支差额的金额。</w:t>
      </w:r>
      <w:r>
        <w:rPr>
          <w:rFonts w:ascii="仿宋_GB2312" w:eastAsia="仿宋_GB2312"/>
          <w:color w:val="auto"/>
          <w:sz w:val="32"/>
          <w:szCs w:val="32"/>
        </w:rPr>
        <w:t xml:space="preserve"> </w:t>
      </w:r>
    </w:p>
    <w:p>
      <w:pPr>
        <w:pStyle w:val="23"/>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6.</w:t>
      </w:r>
      <w:r>
        <w:rPr>
          <w:rFonts w:hint="eastAsia" w:ascii="仿宋_GB2312" w:eastAsia="仿宋_GB2312"/>
          <w:color w:val="auto"/>
          <w:sz w:val="32"/>
          <w:szCs w:val="32"/>
        </w:rPr>
        <w:t>年初结转和结余：指以前年度尚未完成、结转到本年按有关规定继续使用的资金。</w:t>
      </w:r>
      <w:r>
        <w:rPr>
          <w:rFonts w:ascii="仿宋_GB2312" w:eastAsia="仿宋_GB2312"/>
          <w:color w:val="auto"/>
          <w:sz w:val="32"/>
          <w:szCs w:val="32"/>
        </w:rPr>
        <w:t xml:space="preserve"> </w:t>
      </w:r>
    </w:p>
    <w:p>
      <w:pPr>
        <w:pStyle w:val="23"/>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7.</w:t>
      </w:r>
      <w:r>
        <w:rPr>
          <w:rFonts w:hint="eastAsia" w:ascii="仿宋_GB2312" w:eastAsia="仿宋_GB2312"/>
          <w:color w:val="auto"/>
          <w:sz w:val="32"/>
          <w:szCs w:val="32"/>
        </w:rPr>
        <w:t>结余分配：指事业单位按照会计制度规定缴纳的所得税、提取的专用结余以及转入非财政拨款结余的金额等。</w:t>
      </w:r>
    </w:p>
    <w:p>
      <w:pPr>
        <w:pStyle w:val="23"/>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8</w:t>
      </w:r>
      <w:r>
        <w:rPr>
          <w:rFonts w:hint="eastAsia" w:ascii="仿宋_GB2312" w:eastAsia="仿宋_GB2312"/>
          <w:color w:val="auto"/>
          <w:sz w:val="32"/>
          <w:szCs w:val="32"/>
        </w:rPr>
        <w:t>.年末结转和结余：指单位按有关规定结转到下年或以后年度继续使用的资金。</w:t>
      </w:r>
    </w:p>
    <w:p>
      <w:pPr>
        <w:ind w:firstLine="640" w:firstLineChars="200"/>
        <w:rPr>
          <w:rFonts w:ascii="仿宋_GB2312" w:eastAsia="仿宋_GB2312"/>
          <w:sz w:val="32"/>
          <w:szCs w:val="32"/>
        </w:rPr>
      </w:pPr>
      <w:r>
        <w:rPr>
          <w:rFonts w:ascii="仿宋_GB2312" w:eastAsia="仿宋_GB2312"/>
          <w:sz w:val="32"/>
          <w:szCs w:val="32"/>
        </w:rPr>
        <w:t>9.</w:t>
      </w:r>
      <w:r>
        <w:rPr>
          <w:rFonts w:hint="eastAsia" w:ascii="仿宋_GB2312" w:eastAsia="仿宋_GB2312"/>
          <w:sz w:val="32"/>
          <w:szCs w:val="32"/>
        </w:rPr>
        <w:t>一般公共服务（类）…（款）…（项）：指……。</w:t>
      </w:r>
    </w:p>
    <w:p>
      <w:pPr>
        <w:ind w:firstLine="640" w:firstLineChars="200"/>
        <w:rPr>
          <w:rFonts w:ascii="仿宋_GB2312" w:eastAsia="仿宋_GB2312"/>
          <w:sz w:val="32"/>
          <w:szCs w:val="32"/>
        </w:rPr>
      </w:pPr>
      <w:r>
        <w:rPr>
          <w:rFonts w:ascii="仿宋_GB2312" w:eastAsia="仿宋_GB2312"/>
          <w:sz w:val="32"/>
          <w:szCs w:val="32"/>
        </w:rPr>
        <w:t>10.</w:t>
      </w:r>
      <w:r>
        <w:rPr>
          <w:rFonts w:hint="eastAsia" w:ascii="仿宋_GB2312" w:eastAsia="仿宋_GB2312"/>
          <w:sz w:val="32"/>
          <w:szCs w:val="32"/>
        </w:rPr>
        <w:t>外交（类）…（款）…（项）：指……。</w:t>
      </w:r>
    </w:p>
    <w:p>
      <w:pPr>
        <w:ind w:firstLine="640" w:firstLineChars="200"/>
        <w:rPr>
          <w:rFonts w:ascii="仿宋_GB2312" w:eastAsia="仿宋_GB2312"/>
          <w:sz w:val="32"/>
          <w:szCs w:val="32"/>
        </w:rPr>
      </w:pPr>
      <w:r>
        <w:rPr>
          <w:rFonts w:ascii="仿宋_GB2312" w:eastAsia="仿宋_GB2312"/>
          <w:sz w:val="32"/>
          <w:szCs w:val="32"/>
        </w:rPr>
        <w:t>11.</w:t>
      </w:r>
      <w:r>
        <w:rPr>
          <w:rFonts w:hint="eastAsia" w:ascii="仿宋_GB2312" w:eastAsia="仿宋_GB2312"/>
          <w:sz w:val="32"/>
          <w:szCs w:val="32"/>
        </w:rPr>
        <w:t>公共安全（类）…（款）…（项）：指……。</w:t>
      </w:r>
    </w:p>
    <w:p>
      <w:pPr>
        <w:ind w:firstLine="640" w:firstLineChars="200"/>
        <w:rPr>
          <w:rFonts w:ascii="仿宋_GB2312" w:eastAsia="仿宋_GB2312"/>
          <w:sz w:val="32"/>
          <w:szCs w:val="32"/>
        </w:rPr>
      </w:pPr>
      <w:r>
        <w:rPr>
          <w:rFonts w:ascii="仿宋_GB2312" w:eastAsia="仿宋_GB2312"/>
          <w:sz w:val="32"/>
          <w:szCs w:val="32"/>
        </w:rPr>
        <w:t>12.</w:t>
      </w:r>
      <w:r>
        <w:rPr>
          <w:rFonts w:hint="eastAsia" w:ascii="仿宋_GB2312" w:eastAsia="仿宋_GB2312"/>
          <w:sz w:val="32"/>
          <w:szCs w:val="32"/>
        </w:rPr>
        <w:t>教育（类）…（款）…（项）：指……。</w:t>
      </w:r>
    </w:p>
    <w:p>
      <w:pPr>
        <w:ind w:firstLine="640" w:firstLineChars="200"/>
        <w:rPr>
          <w:rFonts w:ascii="仿宋_GB2312" w:eastAsia="仿宋_GB2312"/>
          <w:sz w:val="32"/>
          <w:szCs w:val="32"/>
        </w:rPr>
      </w:pPr>
      <w:r>
        <w:rPr>
          <w:rFonts w:ascii="仿宋_GB2312" w:eastAsia="仿宋_GB2312"/>
          <w:sz w:val="32"/>
          <w:szCs w:val="32"/>
        </w:rPr>
        <w:t>13.</w:t>
      </w:r>
      <w:r>
        <w:rPr>
          <w:rFonts w:hint="eastAsia" w:ascii="仿宋_GB2312" w:eastAsia="仿宋_GB2312"/>
          <w:sz w:val="32"/>
          <w:szCs w:val="32"/>
        </w:rPr>
        <w:t>科学技术（类）…（款）…（项）：指……。</w:t>
      </w:r>
    </w:p>
    <w:p>
      <w:pPr>
        <w:ind w:firstLine="640" w:firstLineChars="200"/>
        <w:rPr>
          <w:rFonts w:ascii="仿宋_GB2312" w:eastAsia="仿宋_GB2312"/>
          <w:sz w:val="32"/>
          <w:szCs w:val="32"/>
        </w:rPr>
      </w:pPr>
      <w:r>
        <w:rPr>
          <w:rFonts w:ascii="仿宋_GB2312" w:eastAsia="仿宋_GB2312"/>
          <w:sz w:val="32"/>
          <w:szCs w:val="32"/>
        </w:rPr>
        <w:t>14.</w:t>
      </w:r>
      <w:r>
        <w:rPr>
          <w:rFonts w:hint="eastAsia" w:ascii="仿宋_GB2312" w:eastAsia="仿宋_GB2312"/>
          <w:sz w:val="32"/>
          <w:szCs w:val="32"/>
        </w:rPr>
        <w:t>文化旅游体育与传媒（类）…（款）…（项）：指……。</w:t>
      </w:r>
    </w:p>
    <w:p>
      <w:pPr>
        <w:ind w:firstLine="640" w:firstLineChars="200"/>
        <w:rPr>
          <w:rFonts w:ascii="仿宋_GB2312" w:eastAsia="仿宋_GB2312"/>
          <w:sz w:val="32"/>
          <w:szCs w:val="32"/>
        </w:rPr>
      </w:pPr>
      <w:r>
        <w:rPr>
          <w:rFonts w:ascii="仿宋_GB2312" w:eastAsia="仿宋_GB2312"/>
          <w:sz w:val="32"/>
          <w:szCs w:val="32"/>
        </w:rPr>
        <w:t>15.</w:t>
      </w:r>
      <w:r>
        <w:rPr>
          <w:rFonts w:hint="eastAsia" w:ascii="仿宋_GB2312" w:eastAsia="仿宋_GB2312"/>
          <w:sz w:val="32"/>
          <w:szCs w:val="32"/>
        </w:rPr>
        <w:t>社会保障和就业（类）…（款）…（项）：指……。</w:t>
      </w:r>
    </w:p>
    <w:p>
      <w:pPr>
        <w:ind w:firstLine="640" w:firstLineChars="200"/>
        <w:rPr>
          <w:rFonts w:ascii="仿宋_GB2312" w:eastAsia="仿宋_GB2312"/>
          <w:sz w:val="32"/>
          <w:szCs w:val="32"/>
        </w:rPr>
      </w:pPr>
      <w:r>
        <w:rPr>
          <w:rFonts w:ascii="仿宋_GB2312" w:eastAsia="仿宋_GB2312"/>
          <w:sz w:val="32"/>
          <w:szCs w:val="32"/>
        </w:rPr>
        <w:t>16.</w:t>
      </w:r>
      <w:r>
        <w:rPr>
          <w:rFonts w:hint="eastAsia" w:ascii="仿宋_GB2312" w:eastAsia="仿宋_GB2312"/>
          <w:sz w:val="32"/>
          <w:szCs w:val="32"/>
        </w:rPr>
        <w:t>卫生健康（类）…（款）…（项）：指……。</w:t>
      </w:r>
    </w:p>
    <w:p>
      <w:pPr>
        <w:ind w:firstLine="640" w:firstLineChars="200"/>
        <w:rPr>
          <w:rFonts w:ascii="仿宋_GB2312" w:eastAsia="仿宋_GB2312"/>
          <w:sz w:val="32"/>
          <w:szCs w:val="32"/>
        </w:rPr>
      </w:pPr>
      <w:r>
        <w:rPr>
          <w:rFonts w:ascii="仿宋_GB2312" w:eastAsia="仿宋_GB2312"/>
          <w:sz w:val="32"/>
          <w:szCs w:val="32"/>
        </w:rPr>
        <w:t>17.</w:t>
      </w:r>
      <w:r>
        <w:rPr>
          <w:rFonts w:hint="eastAsia" w:ascii="仿宋_GB2312" w:eastAsia="仿宋_GB2312"/>
          <w:sz w:val="32"/>
          <w:szCs w:val="32"/>
        </w:rPr>
        <w:t>节能环保（类）…（款）…（项）：指……。</w:t>
      </w:r>
    </w:p>
    <w:p>
      <w:pPr>
        <w:ind w:firstLine="640" w:firstLineChars="200"/>
        <w:rPr>
          <w:rFonts w:ascii="仿宋_GB2312" w:eastAsia="仿宋_GB2312"/>
          <w:sz w:val="32"/>
          <w:szCs w:val="32"/>
        </w:rPr>
      </w:pPr>
      <w:r>
        <w:rPr>
          <w:rFonts w:ascii="仿宋_GB2312" w:eastAsia="仿宋_GB2312"/>
          <w:sz w:val="32"/>
          <w:szCs w:val="32"/>
        </w:rPr>
        <w:t>18.</w:t>
      </w:r>
      <w:r>
        <w:rPr>
          <w:rFonts w:hint="eastAsia" w:ascii="仿宋_GB2312" w:eastAsia="仿宋_GB2312"/>
          <w:sz w:val="32"/>
          <w:szCs w:val="32"/>
        </w:rPr>
        <w:t>城乡社区（类）…（款）…（项）：指……。</w:t>
      </w:r>
    </w:p>
    <w:p>
      <w:pPr>
        <w:ind w:firstLine="640" w:firstLineChars="200"/>
        <w:rPr>
          <w:rFonts w:ascii="仿宋_GB2312" w:eastAsia="仿宋_GB2312"/>
          <w:sz w:val="32"/>
          <w:szCs w:val="32"/>
        </w:rPr>
      </w:pPr>
      <w:r>
        <w:rPr>
          <w:rFonts w:ascii="仿宋_GB2312" w:eastAsia="仿宋_GB2312"/>
          <w:sz w:val="32"/>
          <w:szCs w:val="32"/>
        </w:rPr>
        <w:t>19.</w:t>
      </w:r>
      <w:r>
        <w:rPr>
          <w:rFonts w:hint="eastAsia" w:ascii="仿宋_GB2312" w:eastAsia="仿宋_GB2312"/>
          <w:sz w:val="32"/>
          <w:szCs w:val="32"/>
        </w:rPr>
        <w:t>农林水（类）…（款）…（项）：指……。</w:t>
      </w:r>
    </w:p>
    <w:p>
      <w:pPr>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交通运输（类）…（款）…（项）：指……。</w:t>
      </w:r>
    </w:p>
    <w:p>
      <w:pPr>
        <w:ind w:firstLine="640" w:firstLineChars="200"/>
        <w:rPr>
          <w:rFonts w:ascii="仿宋_GB2312" w:eastAsia="仿宋_GB2312"/>
          <w:sz w:val="32"/>
          <w:szCs w:val="32"/>
        </w:rPr>
      </w:pPr>
      <w:r>
        <w:rPr>
          <w:rFonts w:ascii="仿宋_GB2312" w:eastAsia="仿宋_GB2312"/>
          <w:sz w:val="32"/>
          <w:szCs w:val="32"/>
        </w:rPr>
        <w:t>21.</w:t>
      </w:r>
      <w:r>
        <w:rPr>
          <w:rFonts w:hint="eastAsia" w:ascii="仿宋_GB2312" w:eastAsia="仿宋_GB2312"/>
          <w:sz w:val="32"/>
          <w:szCs w:val="32"/>
        </w:rPr>
        <w:t>资源勘探工业信息等（类）…（款）…（项）：指……。</w:t>
      </w:r>
    </w:p>
    <w:p>
      <w:pPr>
        <w:ind w:firstLine="640" w:firstLineChars="200"/>
        <w:rPr>
          <w:rFonts w:ascii="仿宋_GB2312" w:eastAsia="仿宋_GB2312"/>
          <w:sz w:val="32"/>
          <w:szCs w:val="32"/>
        </w:rPr>
      </w:pPr>
      <w:r>
        <w:rPr>
          <w:rFonts w:ascii="仿宋_GB2312" w:eastAsia="仿宋_GB2312"/>
          <w:sz w:val="32"/>
          <w:szCs w:val="32"/>
        </w:rPr>
        <w:t>22.</w:t>
      </w:r>
      <w:r>
        <w:rPr>
          <w:rFonts w:hint="eastAsia" w:ascii="仿宋_GB2312" w:eastAsia="仿宋_GB2312"/>
          <w:sz w:val="32"/>
          <w:szCs w:val="32"/>
        </w:rPr>
        <w:t>商业服务业（类）…（款）…（项）：指……。</w:t>
      </w:r>
    </w:p>
    <w:p>
      <w:pPr>
        <w:ind w:firstLine="640" w:firstLineChars="200"/>
        <w:rPr>
          <w:rFonts w:ascii="仿宋_GB2312" w:eastAsia="仿宋_GB2312"/>
          <w:sz w:val="32"/>
          <w:szCs w:val="32"/>
        </w:rPr>
      </w:pPr>
      <w:r>
        <w:rPr>
          <w:rFonts w:ascii="仿宋_GB2312" w:eastAsia="仿宋_GB2312"/>
          <w:sz w:val="32"/>
          <w:szCs w:val="32"/>
        </w:rPr>
        <w:t>23.</w:t>
      </w:r>
      <w:r>
        <w:rPr>
          <w:rFonts w:hint="eastAsia" w:ascii="仿宋_GB2312" w:eastAsia="仿宋_GB2312"/>
          <w:sz w:val="32"/>
          <w:szCs w:val="32"/>
        </w:rPr>
        <w:t>金融（类）…（款）…（项）：指……。</w:t>
      </w:r>
    </w:p>
    <w:p>
      <w:pPr>
        <w:ind w:firstLine="640" w:firstLineChars="200"/>
        <w:rPr>
          <w:rFonts w:ascii="仿宋_GB2312" w:eastAsia="仿宋_GB2312"/>
          <w:sz w:val="32"/>
          <w:szCs w:val="32"/>
        </w:rPr>
      </w:pPr>
      <w:r>
        <w:rPr>
          <w:rFonts w:ascii="仿宋_GB2312" w:eastAsia="仿宋_GB2312"/>
          <w:sz w:val="32"/>
          <w:szCs w:val="32"/>
        </w:rPr>
        <w:t>24.</w:t>
      </w:r>
      <w:r>
        <w:rPr>
          <w:rFonts w:hint="eastAsia" w:ascii="仿宋_GB2312" w:eastAsia="仿宋_GB2312"/>
          <w:sz w:val="32"/>
          <w:szCs w:val="32"/>
        </w:rPr>
        <w:t>自然资源海洋气象等（类）…（款）…（项）：指……。</w:t>
      </w:r>
    </w:p>
    <w:p>
      <w:pPr>
        <w:ind w:firstLine="640" w:firstLineChars="200"/>
        <w:rPr>
          <w:rFonts w:ascii="仿宋_GB2312" w:eastAsia="仿宋_GB2312"/>
          <w:sz w:val="32"/>
          <w:szCs w:val="32"/>
        </w:rPr>
      </w:pPr>
      <w:r>
        <w:rPr>
          <w:rFonts w:ascii="仿宋_GB2312" w:eastAsia="仿宋_GB2312"/>
          <w:sz w:val="32"/>
          <w:szCs w:val="32"/>
        </w:rPr>
        <w:t>25.</w:t>
      </w:r>
      <w:r>
        <w:rPr>
          <w:rFonts w:hint="eastAsia" w:ascii="仿宋_GB2312" w:eastAsia="仿宋_GB2312"/>
          <w:sz w:val="32"/>
          <w:szCs w:val="32"/>
        </w:rPr>
        <w:t>住房保障（类）…（款）…（项）：指……。</w:t>
      </w:r>
    </w:p>
    <w:p>
      <w:pPr>
        <w:ind w:firstLine="640" w:firstLineChars="200"/>
        <w:rPr>
          <w:rFonts w:ascii="仿宋_GB2312" w:eastAsia="仿宋_GB2312"/>
          <w:sz w:val="32"/>
          <w:szCs w:val="32"/>
        </w:rPr>
      </w:pPr>
      <w:r>
        <w:rPr>
          <w:rFonts w:ascii="仿宋_GB2312" w:eastAsia="仿宋_GB2312"/>
          <w:sz w:val="32"/>
          <w:szCs w:val="32"/>
        </w:rPr>
        <w:t>26.</w:t>
      </w:r>
      <w:r>
        <w:rPr>
          <w:rFonts w:hint="eastAsia" w:ascii="仿宋_GB2312" w:eastAsia="仿宋_GB2312"/>
          <w:sz w:val="32"/>
          <w:szCs w:val="32"/>
        </w:rPr>
        <w:t>粮油物资储备（类）…（款）…（项）：指……。</w:t>
      </w:r>
    </w:p>
    <w:p>
      <w:pPr>
        <w:ind w:firstLine="640" w:firstLineChars="200"/>
        <w:rPr>
          <w:rFonts w:ascii="仿宋_GB2312" w:eastAsia="仿宋_GB2312"/>
          <w:sz w:val="32"/>
          <w:szCs w:val="32"/>
        </w:rPr>
      </w:pPr>
      <w:r>
        <w:rPr>
          <w:rFonts w:ascii="仿宋_GB2312" w:eastAsia="仿宋_GB2312"/>
          <w:sz w:val="32"/>
          <w:szCs w:val="32"/>
        </w:rPr>
        <w:t>27.</w:t>
      </w:r>
      <w:r>
        <w:rPr>
          <w:rFonts w:hint="eastAsia" w:ascii="仿宋_GB2312" w:eastAsia="仿宋_GB2312"/>
          <w:sz w:val="32"/>
          <w:szCs w:val="32"/>
        </w:rPr>
        <w:t>基本支出：指为保障机构正常运转、完成日常工作任务而发生的人员支出和公用支出。</w:t>
      </w:r>
    </w:p>
    <w:p>
      <w:pPr>
        <w:ind w:firstLine="640" w:firstLineChars="200"/>
        <w:rPr>
          <w:rFonts w:ascii="仿宋_GB2312" w:eastAsia="仿宋_GB2312"/>
          <w:sz w:val="32"/>
          <w:szCs w:val="32"/>
        </w:rPr>
      </w:pPr>
      <w:r>
        <w:rPr>
          <w:rFonts w:ascii="仿宋_GB2312" w:eastAsia="仿宋_GB2312"/>
          <w:sz w:val="32"/>
          <w:szCs w:val="32"/>
        </w:rPr>
        <w:t>28.</w:t>
      </w:r>
      <w:r>
        <w:rPr>
          <w:rFonts w:hint="eastAsia" w:ascii="仿宋_GB2312" w:eastAsia="仿宋_GB2312"/>
          <w:sz w:val="32"/>
          <w:szCs w:val="32"/>
        </w:rPr>
        <w:t>项目支出：指在基本支出之外为完成特定行政任务和事业发展目标所发生的支出。</w:t>
      </w:r>
      <w:r>
        <w:rPr>
          <w:rFonts w:ascii="仿宋_GB2312" w:eastAsia="仿宋_GB2312"/>
          <w:sz w:val="32"/>
          <w:szCs w:val="32"/>
        </w:rPr>
        <w:t xml:space="preserve"> </w:t>
      </w:r>
    </w:p>
    <w:p>
      <w:pPr>
        <w:ind w:firstLine="640" w:firstLineChars="200"/>
        <w:rPr>
          <w:rFonts w:ascii="仿宋_GB2312" w:eastAsia="仿宋_GB2312"/>
          <w:sz w:val="32"/>
          <w:szCs w:val="32"/>
        </w:rPr>
      </w:pPr>
      <w:r>
        <w:rPr>
          <w:rFonts w:ascii="仿宋_GB2312" w:eastAsia="仿宋_GB2312"/>
          <w:sz w:val="32"/>
          <w:szCs w:val="32"/>
        </w:rPr>
        <w:t>29.</w:t>
      </w:r>
      <w:r>
        <w:rPr>
          <w:rFonts w:hint="eastAsia" w:ascii="仿宋_GB2312" w:eastAsia="仿宋_GB2312"/>
          <w:sz w:val="32"/>
          <w:szCs w:val="32"/>
        </w:rPr>
        <w:t>经营支出：指事业单位在专业业务活动及其辅助活动之外开展非独立核算经营活动发生的支出。</w:t>
      </w:r>
    </w:p>
    <w:p>
      <w:pPr>
        <w:pStyle w:val="23"/>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30.</w:t>
      </w:r>
      <w:r>
        <w:rPr>
          <w:rFonts w:hint="eastAsia" w:ascii="仿宋_GB2312" w:eastAsia="仿宋_GB2312"/>
          <w:color w:val="auto"/>
          <w:sz w:val="32"/>
          <w:szCs w:val="32"/>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3"/>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31.</w:t>
      </w:r>
      <w:r>
        <w:rPr>
          <w:rFonts w:hint="eastAsia" w:ascii="仿宋_GB2312" w:eastAsia="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3"/>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32.</w:t>
      </w:r>
      <w:r>
        <w:rPr>
          <w:rFonts w:hint="eastAsia" w:ascii="仿宋_GB2312" w:eastAsia="仿宋_GB2312"/>
          <w:color w:val="auto"/>
          <w:sz w:val="32"/>
          <w:szCs w:val="32"/>
        </w:rPr>
        <w:t>……。</w:t>
      </w:r>
    </w:p>
    <w:p>
      <w:pPr>
        <w:spacing w:line="600" w:lineRule="exact"/>
        <w:jc w:val="center"/>
        <w:outlineLvl w:val="0"/>
        <w:rPr>
          <w:rStyle w:val="25"/>
          <w:rFonts w:ascii="黑体" w:hAnsi="黑体" w:eastAsia="黑体"/>
          <w:b w:val="0"/>
        </w:rPr>
      </w:pPr>
      <w:bookmarkStart w:id="55" w:name="_Toc15377226"/>
      <w:bookmarkStart w:id="71" w:name="_GoBack"/>
      <w:bookmarkEnd w:id="71"/>
      <w:r>
        <w:rPr>
          <w:rFonts w:ascii="宋体"/>
          <w:b/>
          <w:sz w:val="44"/>
          <w:szCs w:val="44"/>
        </w:rPr>
        <w:br w:type="page"/>
      </w:r>
      <w:bookmarkStart w:id="56" w:name="_Toc15396614"/>
      <w:r>
        <w:rPr>
          <w:rFonts w:hint="eastAsia" w:ascii="黑体" w:hAnsi="黑体" w:eastAsia="黑体"/>
          <w:sz w:val="44"/>
          <w:szCs w:val="44"/>
        </w:rPr>
        <w:t>第</w:t>
      </w:r>
      <w:r>
        <w:rPr>
          <w:rStyle w:val="25"/>
          <w:rFonts w:hint="eastAsia" w:ascii="黑体" w:hAnsi="黑体" w:eastAsia="黑体"/>
          <w:b w:val="0"/>
        </w:rPr>
        <w:t>四部分 附件</w:t>
      </w:r>
      <w:bookmarkEnd w:id="56"/>
    </w:p>
    <w:p>
      <w:pPr>
        <w:spacing w:line="572" w:lineRule="exact"/>
        <w:jc w:val="left"/>
        <w:outlineLvl w:val="0"/>
        <w:rPr>
          <w:rFonts w:ascii="仿宋_GB2312" w:hAnsi="仿宋_GB2312" w:eastAsia="仿宋_GB2312" w:cs="仿宋_GB2312"/>
          <w:sz w:val="32"/>
          <w:szCs w:val="32"/>
        </w:rPr>
      </w:pPr>
    </w:p>
    <w:p>
      <w:pPr>
        <w:spacing w:line="600" w:lineRule="exact"/>
        <w:jc w:val="center"/>
        <w:outlineLvl w:val="0"/>
        <w:rPr>
          <w:rFonts w:ascii="宋体" w:hAnsi="宋体" w:cs="宋体"/>
          <w:kern w:val="0"/>
          <w:sz w:val="32"/>
          <w:szCs w:val="32"/>
        </w:rPr>
      </w:pPr>
      <w:bookmarkStart w:id="57" w:name="_Toc15396618"/>
      <w:r>
        <w:rPr>
          <w:rFonts w:hint="eastAsia" w:ascii="宋体" w:hAnsi="宋体" w:cs="宋体"/>
          <w:kern w:val="0"/>
          <w:sz w:val="32"/>
          <w:szCs w:val="32"/>
        </w:rPr>
        <w:t>部门预算项目支出绩效自评表（2022年度）</w:t>
      </w:r>
    </w:p>
    <w:p>
      <w:pPr>
        <w:spacing w:line="600" w:lineRule="exact"/>
        <w:jc w:val="left"/>
        <w:outlineLvl w:val="0"/>
        <w:rPr>
          <w:rFonts w:ascii="仿宋_GB2312" w:hAnsi="Calibri" w:eastAsia="仿宋_GB2312" w:cs="仿宋"/>
          <w:kern w:val="0"/>
          <w:sz w:val="32"/>
          <w:szCs w:val="32"/>
        </w:rPr>
      </w:pPr>
    </w:p>
    <w:p>
      <w:pPr>
        <w:spacing w:line="600" w:lineRule="exact"/>
        <w:ind w:firstLine="640" w:firstLineChars="200"/>
        <w:jc w:val="left"/>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（备注：按照绩效自评工作安排，各单位可在预算管理一体化系统—综合报表查询—预算绩效报表模块中下载本单位“部门预算项目支出绩效自评表（2022年度）”，该表格应作为附件予以公开。）</w:t>
      </w: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spacing w:line="600" w:lineRule="exact"/>
        <w:jc w:val="center"/>
        <w:outlineLvl w:val="0"/>
        <w:rPr>
          <w:rFonts w:ascii="仿宋" w:hAnsi="仿宋" w:eastAsia="仿宋"/>
        </w:rPr>
      </w:pPr>
      <w:r>
        <w:rPr>
          <w:rFonts w:hint="eastAsia" w:ascii="黑体" w:hAnsi="黑体" w:eastAsia="黑体"/>
          <w:sz w:val="44"/>
          <w:szCs w:val="44"/>
        </w:rPr>
        <w:t>第</w:t>
      </w:r>
      <w:r>
        <w:rPr>
          <w:rStyle w:val="25"/>
          <w:rFonts w:hint="eastAsia" w:ascii="黑体" w:hAnsi="黑体" w:eastAsia="黑体"/>
          <w:b w:val="0"/>
        </w:rPr>
        <w:t>五部分 附表</w:t>
      </w:r>
      <w:bookmarkEnd w:id="55"/>
      <w:bookmarkEnd w:id="57"/>
      <w:bookmarkStart w:id="58" w:name="_Toc15396619"/>
    </w:p>
    <w:p>
      <w:pPr>
        <w:pStyle w:val="4"/>
        <w:rPr>
          <w:rFonts w:ascii="仿宋" w:hAnsi="仿宋" w:eastAsia="仿宋"/>
        </w:rPr>
      </w:pPr>
      <w:r>
        <w:rPr>
          <w:rFonts w:hint="eastAsia" w:ascii="仿宋" w:hAnsi="仿宋" w:eastAsia="仿宋"/>
          <w:b w:val="0"/>
        </w:rPr>
        <w:t>一、收</w:t>
      </w:r>
      <w:r>
        <w:rPr>
          <w:rStyle w:val="26"/>
          <w:rFonts w:hint="eastAsia" w:ascii="仿宋" w:hAnsi="仿宋" w:eastAsia="仿宋"/>
          <w:b w:val="0"/>
          <w:bCs w:val="0"/>
        </w:rPr>
        <w:t>入支出决算总表</w:t>
      </w:r>
      <w:bookmarkEnd w:id="58"/>
    </w:p>
    <w:p>
      <w:pPr>
        <w:pStyle w:val="4"/>
        <w:rPr>
          <w:rFonts w:ascii="仿宋" w:hAnsi="仿宋" w:eastAsia="仿宋"/>
        </w:rPr>
      </w:pPr>
      <w:bookmarkStart w:id="59" w:name="_Toc15396620"/>
      <w:r>
        <w:rPr>
          <w:rFonts w:hint="eastAsia" w:ascii="仿宋" w:hAnsi="仿宋" w:eastAsia="仿宋"/>
          <w:b w:val="0"/>
        </w:rPr>
        <w:t>二、收</w:t>
      </w:r>
      <w:r>
        <w:rPr>
          <w:rStyle w:val="26"/>
          <w:rFonts w:hint="eastAsia" w:ascii="仿宋" w:hAnsi="仿宋" w:eastAsia="仿宋"/>
          <w:b w:val="0"/>
          <w:bCs w:val="0"/>
        </w:rPr>
        <w:t>入决算表</w:t>
      </w:r>
      <w:bookmarkEnd w:id="59"/>
    </w:p>
    <w:p>
      <w:pPr>
        <w:pStyle w:val="4"/>
        <w:rPr>
          <w:rFonts w:ascii="仿宋" w:hAnsi="仿宋" w:eastAsia="仿宋"/>
        </w:rPr>
      </w:pPr>
      <w:bookmarkStart w:id="60" w:name="_Toc15396621"/>
      <w:r>
        <w:rPr>
          <w:rStyle w:val="26"/>
          <w:rFonts w:hint="eastAsia" w:ascii="仿宋" w:hAnsi="仿宋" w:eastAsia="仿宋"/>
          <w:b w:val="0"/>
          <w:bCs w:val="0"/>
        </w:rPr>
        <w:t>三、</w:t>
      </w:r>
      <w:r>
        <w:rPr>
          <w:rFonts w:hint="eastAsia" w:ascii="仿宋" w:hAnsi="仿宋" w:eastAsia="仿宋"/>
          <w:b w:val="0"/>
        </w:rPr>
        <w:t>支</w:t>
      </w:r>
      <w:r>
        <w:rPr>
          <w:rStyle w:val="26"/>
          <w:rFonts w:hint="eastAsia" w:ascii="仿宋" w:hAnsi="仿宋" w:eastAsia="仿宋"/>
          <w:b w:val="0"/>
          <w:bCs w:val="0"/>
        </w:rPr>
        <w:t>出决算表</w:t>
      </w:r>
      <w:bookmarkEnd w:id="60"/>
    </w:p>
    <w:p>
      <w:pPr>
        <w:pStyle w:val="4"/>
        <w:rPr>
          <w:rFonts w:ascii="仿宋" w:hAnsi="仿宋" w:eastAsia="仿宋"/>
          <w:b w:val="0"/>
        </w:rPr>
      </w:pPr>
      <w:bookmarkStart w:id="61" w:name="_Toc15396622"/>
      <w:r>
        <w:rPr>
          <w:rStyle w:val="26"/>
          <w:rFonts w:hint="eastAsia" w:ascii="仿宋" w:hAnsi="仿宋" w:eastAsia="仿宋"/>
          <w:b w:val="0"/>
          <w:bCs w:val="0"/>
        </w:rPr>
        <w:t>四、</w:t>
      </w:r>
      <w:r>
        <w:rPr>
          <w:rFonts w:hint="eastAsia" w:ascii="仿宋" w:hAnsi="仿宋" w:eastAsia="仿宋"/>
          <w:b w:val="0"/>
        </w:rPr>
        <w:t>财</w:t>
      </w:r>
      <w:r>
        <w:rPr>
          <w:rStyle w:val="26"/>
          <w:rFonts w:hint="eastAsia" w:ascii="仿宋" w:hAnsi="仿宋" w:eastAsia="仿宋"/>
          <w:b w:val="0"/>
          <w:bCs w:val="0"/>
        </w:rPr>
        <w:t>政拨款收入支出决算总表</w:t>
      </w:r>
      <w:bookmarkEnd w:id="61"/>
    </w:p>
    <w:p>
      <w:pPr>
        <w:pStyle w:val="4"/>
        <w:rPr>
          <w:rStyle w:val="26"/>
          <w:rFonts w:ascii="仿宋" w:hAnsi="仿宋" w:eastAsia="仿宋"/>
          <w:b w:val="0"/>
          <w:bCs w:val="0"/>
        </w:rPr>
      </w:pPr>
      <w:bookmarkStart w:id="62" w:name="_Toc15396623"/>
      <w:r>
        <w:rPr>
          <w:rStyle w:val="26"/>
          <w:rFonts w:hint="eastAsia" w:ascii="仿宋" w:hAnsi="仿宋" w:eastAsia="仿宋"/>
          <w:b w:val="0"/>
          <w:bCs w:val="0"/>
        </w:rPr>
        <w:t>五、</w:t>
      </w:r>
      <w:r>
        <w:rPr>
          <w:rFonts w:hint="eastAsia" w:ascii="仿宋" w:hAnsi="仿宋" w:eastAsia="仿宋"/>
          <w:b w:val="0"/>
        </w:rPr>
        <w:t>财</w:t>
      </w:r>
      <w:r>
        <w:rPr>
          <w:rStyle w:val="26"/>
          <w:rFonts w:hint="eastAsia" w:ascii="仿宋" w:hAnsi="仿宋" w:eastAsia="仿宋"/>
          <w:b w:val="0"/>
          <w:bCs w:val="0"/>
        </w:rPr>
        <w:t>政拨款支出决算明细表</w:t>
      </w:r>
      <w:bookmarkEnd w:id="62"/>
      <w:bookmarkStart w:id="63" w:name="_Toc15396624"/>
    </w:p>
    <w:p>
      <w:pPr>
        <w:pStyle w:val="4"/>
        <w:rPr>
          <w:rFonts w:ascii="仿宋" w:hAnsi="仿宋" w:eastAsia="仿宋"/>
        </w:rPr>
      </w:pPr>
      <w:r>
        <w:rPr>
          <w:rStyle w:val="26"/>
          <w:rFonts w:hint="eastAsia" w:ascii="仿宋" w:hAnsi="仿宋" w:eastAsia="仿宋"/>
          <w:b w:val="0"/>
          <w:bCs w:val="0"/>
        </w:rPr>
        <w:t>六、</w:t>
      </w:r>
      <w:r>
        <w:rPr>
          <w:rFonts w:hint="eastAsia" w:ascii="仿宋" w:hAnsi="仿宋" w:eastAsia="仿宋"/>
          <w:b w:val="0"/>
        </w:rPr>
        <w:t>一</w:t>
      </w:r>
      <w:r>
        <w:rPr>
          <w:rStyle w:val="26"/>
          <w:rFonts w:hint="eastAsia" w:ascii="仿宋" w:hAnsi="仿宋" w:eastAsia="仿宋"/>
          <w:b w:val="0"/>
          <w:bCs w:val="0"/>
        </w:rPr>
        <w:t>般公共预算财政拨款支出决算表</w:t>
      </w:r>
      <w:bookmarkEnd w:id="63"/>
    </w:p>
    <w:p>
      <w:pPr>
        <w:pStyle w:val="4"/>
        <w:rPr>
          <w:rFonts w:ascii="仿宋" w:hAnsi="仿宋" w:eastAsia="仿宋"/>
        </w:rPr>
      </w:pPr>
      <w:bookmarkStart w:id="64" w:name="_Toc15396625"/>
      <w:r>
        <w:rPr>
          <w:rStyle w:val="26"/>
          <w:rFonts w:hint="eastAsia" w:ascii="仿宋" w:hAnsi="仿宋" w:eastAsia="仿宋"/>
          <w:b w:val="0"/>
          <w:bCs w:val="0"/>
        </w:rPr>
        <w:t>七、</w:t>
      </w:r>
      <w:r>
        <w:rPr>
          <w:rFonts w:hint="eastAsia" w:ascii="仿宋" w:hAnsi="仿宋" w:eastAsia="仿宋"/>
          <w:b w:val="0"/>
        </w:rPr>
        <w:t>一</w:t>
      </w:r>
      <w:r>
        <w:rPr>
          <w:rStyle w:val="26"/>
          <w:rFonts w:hint="eastAsia" w:ascii="仿宋" w:hAnsi="仿宋" w:eastAsia="仿宋"/>
          <w:b w:val="0"/>
          <w:bCs w:val="0"/>
        </w:rPr>
        <w:t>般公共预算财政拨款支出决算明细表</w:t>
      </w:r>
      <w:bookmarkEnd w:id="64"/>
    </w:p>
    <w:p>
      <w:pPr>
        <w:pStyle w:val="4"/>
        <w:rPr>
          <w:rFonts w:ascii="仿宋" w:hAnsi="仿宋" w:eastAsia="仿宋"/>
        </w:rPr>
      </w:pPr>
      <w:bookmarkStart w:id="65" w:name="_Toc15396626"/>
      <w:r>
        <w:rPr>
          <w:rStyle w:val="26"/>
          <w:rFonts w:hint="eastAsia" w:ascii="仿宋" w:hAnsi="仿宋" w:eastAsia="仿宋"/>
          <w:b w:val="0"/>
          <w:bCs w:val="0"/>
        </w:rPr>
        <w:t>八、</w:t>
      </w:r>
      <w:r>
        <w:rPr>
          <w:rFonts w:hint="eastAsia" w:ascii="仿宋" w:hAnsi="仿宋" w:eastAsia="仿宋"/>
          <w:b w:val="0"/>
        </w:rPr>
        <w:t>一</w:t>
      </w:r>
      <w:r>
        <w:rPr>
          <w:rStyle w:val="26"/>
          <w:rFonts w:hint="eastAsia" w:ascii="仿宋" w:hAnsi="仿宋" w:eastAsia="仿宋"/>
          <w:b w:val="0"/>
          <w:bCs w:val="0"/>
        </w:rPr>
        <w:t>般公共预算财政拨款基本支出决算表</w:t>
      </w:r>
      <w:bookmarkEnd w:id="65"/>
    </w:p>
    <w:p>
      <w:pPr>
        <w:pStyle w:val="4"/>
        <w:rPr>
          <w:rFonts w:ascii="仿宋" w:hAnsi="仿宋" w:eastAsia="仿宋"/>
        </w:rPr>
      </w:pPr>
      <w:bookmarkStart w:id="66" w:name="_Toc15396627"/>
      <w:r>
        <w:rPr>
          <w:rStyle w:val="26"/>
          <w:rFonts w:hint="eastAsia" w:ascii="仿宋" w:hAnsi="仿宋" w:eastAsia="仿宋"/>
          <w:b w:val="0"/>
          <w:bCs w:val="0"/>
        </w:rPr>
        <w:t>九、</w:t>
      </w:r>
      <w:r>
        <w:rPr>
          <w:rFonts w:hint="eastAsia" w:ascii="仿宋" w:hAnsi="仿宋" w:eastAsia="仿宋"/>
          <w:b w:val="0"/>
        </w:rPr>
        <w:t>一</w:t>
      </w:r>
      <w:r>
        <w:rPr>
          <w:rStyle w:val="26"/>
          <w:rFonts w:hint="eastAsia" w:ascii="仿宋" w:hAnsi="仿宋" w:eastAsia="仿宋"/>
          <w:b w:val="0"/>
          <w:bCs w:val="0"/>
        </w:rPr>
        <w:t>般公共预算财政拨款项目支出决算表</w:t>
      </w:r>
      <w:bookmarkEnd w:id="66"/>
    </w:p>
    <w:p>
      <w:pPr>
        <w:pStyle w:val="4"/>
        <w:rPr>
          <w:rFonts w:ascii="仿宋" w:hAnsi="仿宋" w:eastAsia="仿宋"/>
        </w:rPr>
      </w:pPr>
      <w:bookmarkStart w:id="67" w:name="_Toc15396628"/>
      <w:r>
        <w:rPr>
          <w:rStyle w:val="26"/>
          <w:rFonts w:hint="eastAsia" w:ascii="仿宋" w:hAnsi="仿宋" w:eastAsia="仿宋"/>
          <w:b w:val="0"/>
          <w:bCs w:val="0"/>
        </w:rPr>
        <w:t>十、</w:t>
      </w:r>
      <w:bookmarkEnd w:id="67"/>
      <w:r>
        <w:rPr>
          <w:rFonts w:hint="eastAsia" w:ascii="仿宋" w:hAnsi="仿宋" w:eastAsia="仿宋"/>
          <w:b w:val="0"/>
        </w:rPr>
        <w:t>政</w:t>
      </w:r>
      <w:r>
        <w:rPr>
          <w:rStyle w:val="26"/>
          <w:rFonts w:hint="eastAsia" w:ascii="仿宋" w:hAnsi="仿宋" w:eastAsia="仿宋"/>
          <w:b w:val="0"/>
          <w:bCs w:val="0"/>
        </w:rPr>
        <w:t>府性基金预算财政拨款收入支出决算表</w:t>
      </w:r>
    </w:p>
    <w:p>
      <w:pPr>
        <w:pStyle w:val="4"/>
        <w:rPr>
          <w:rFonts w:ascii="仿宋" w:hAnsi="仿宋" w:eastAsia="仿宋"/>
        </w:rPr>
      </w:pPr>
      <w:bookmarkStart w:id="68" w:name="_Toc15396629"/>
      <w:r>
        <w:rPr>
          <w:rStyle w:val="26"/>
          <w:rFonts w:hint="eastAsia" w:ascii="仿宋" w:hAnsi="仿宋" w:eastAsia="仿宋"/>
          <w:b w:val="0"/>
          <w:bCs w:val="0"/>
        </w:rPr>
        <w:t>十一、</w:t>
      </w:r>
      <w:bookmarkEnd w:id="68"/>
      <w:r>
        <w:rPr>
          <w:rFonts w:hint="eastAsia" w:ascii="仿宋" w:hAnsi="仿宋" w:eastAsia="仿宋"/>
          <w:b w:val="0"/>
        </w:rPr>
        <w:t>国</w:t>
      </w:r>
      <w:r>
        <w:rPr>
          <w:rStyle w:val="26"/>
          <w:rFonts w:hint="eastAsia" w:ascii="仿宋" w:hAnsi="仿宋" w:eastAsia="仿宋"/>
          <w:b w:val="0"/>
          <w:bCs w:val="0"/>
        </w:rPr>
        <w:t>有资本经营预算财政拨款收入支出决算表</w:t>
      </w:r>
    </w:p>
    <w:p>
      <w:pPr>
        <w:pStyle w:val="4"/>
        <w:rPr>
          <w:rFonts w:ascii="仿宋" w:hAnsi="仿宋" w:eastAsia="仿宋"/>
        </w:rPr>
      </w:pPr>
      <w:bookmarkStart w:id="69" w:name="_Toc15396630"/>
      <w:r>
        <w:rPr>
          <w:rStyle w:val="26"/>
          <w:rFonts w:hint="eastAsia" w:ascii="仿宋" w:hAnsi="仿宋" w:eastAsia="仿宋"/>
          <w:b w:val="0"/>
          <w:bCs w:val="0"/>
        </w:rPr>
        <w:t>十二、</w:t>
      </w:r>
      <w:bookmarkEnd w:id="69"/>
      <w:r>
        <w:rPr>
          <w:rStyle w:val="26"/>
          <w:rFonts w:hint="eastAsia" w:ascii="仿宋" w:hAnsi="仿宋" w:eastAsia="仿宋"/>
          <w:b w:val="0"/>
          <w:bCs w:val="0"/>
        </w:rPr>
        <w:t>国有资本经营预算财政拨款支出决算表</w:t>
      </w:r>
    </w:p>
    <w:p>
      <w:pPr>
        <w:pStyle w:val="4"/>
        <w:rPr>
          <w:rFonts w:eastAsia="仿宋"/>
        </w:rPr>
      </w:pPr>
      <w:bookmarkStart w:id="70" w:name="_Toc15396631"/>
      <w:r>
        <w:rPr>
          <w:rStyle w:val="26"/>
          <w:rFonts w:hint="eastAsia" w:ascii="仿宋" w:hAnsi="仿宋" w:eastAsia="仿宋"/>
          <w:b w:val="0"/>
          <w:bCs w:val="0"/>
        </w:rPr>
        <w:t>十三、</w:t>
      </w:r>
      <w:bookmarkEnd w:id="70"/>
      <w:r>
        <w:rPr>
          <w:rStyle w:val="26"/>
          <w:rFonts w:hint="eastAsia" w:ascii="仿宋" w:hAnsi="仿宋" w:eastAsia="仿宋"/>
          <w:b w:val="0"/>
          <w:bCs w:val="0"/>
        </w:rPr>
        <w:t>财政拨款“三公”经费支出决算表</w:t>
      </w: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A1A4D44-2358-4125-9419-402852F1193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3CFDC743-EC09-41F9-BAFD-52CB0F0283E6}"/>
  </w:font>
  <w:font w:name="Cambria">
    <w:panose1 w:val="02040503050406030204"/>
    <w:charset w:val="00"/>
    <w:family w:val="roman"/>
    <w:pitch w:val="default"/>
    <w:sig w:usb0="E00006FF" w:usb1="420024FF" w:usb2="02000000" w:usb3="00000000" w:csb0="2000019F" w:csb1="00000000"/>
    <w:embedRegular r:id="rId3" w:fontKey="{C303C945-3D7C-47B5-A2AD-7BC3035206AC}"/>
  </w:font>
  <w:font w:name="仿宋_GB2312">
    <w:altName w:val="仿宋"/>
    <w:panose1 w:val="00000000000000000000"/>
    <w:charset w:val="86"/>
    <w:family w:val="modern"/>
    <w:pitch w:val="default"/>
    <w:sig w:usb0="00000000" w:usb1="00000000" w:usb2="00000000" w:usb3="00000000" w:csb0="00040000" w:csb1="00000000"/>
    <w:embedRegular r:id="rId4" w:fontKey="{1AA0EA89-E333-46D9-A686-D2560B6CF0F6}"/>
  </w:font>
  <w:font w:name="仿宋">
    <w:panose1 w:val="02010609060101010101"/>
    <w:charset w:val="86"/>
    <w:family w:val="modern"/>
    <w:pitch w:val="default"/>
    <w:sig w:usb0="800002BF" w:usb1="38CF7CFA" w:usb2="00000016" w:usb3="00000000" w:csb0="00040001" w:csb1="00000000"/>
    <w:embedRegular r:id="rId5" w:fontKey="{4BF88DA5-F9D6-48A4-A447-8DE46BFBA3AF}"/>
  </w:font>
  <w:font w:name="方正小标宋简体">
    <w:panose1 w:val="02000000000000000000"/>
    <w:charset w:val="86"/>
    <w:family w:val="script"/>
    <w:pitch w:val="default"/>
    <w:sig w:usb0="00000001" w:usb1="08000000" w:usb2="00000000" w:usb3="00000000" w:csb0="00040000" w:csb1="00000000"/>
    <w:embedRegular r:id="rId6" w:fontKey="{19505858-6021-4409-A722-5ECA269F5C4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2</w:t>
        </w:r>
        <w: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3818A09A"/>
    <w:multiLevelType w:val="singleLevel"/>
    <w:tmpl w:val="3818A09A"/>
    <w:lvl w:ilvl="0" w:tentative="0">
      <w:start w:val="1"/>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1M2VjZDNkNmI4OWZkMThmMzE1MjhjOWI3MzQzN2E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A3C1B"/>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C7CD4"/>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87AA4"/>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0E31"/>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575B9"/>
    <w:rsid w:val="0096294D"/>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873A9"/>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53A62B5"/>
    <w:rsid w:val="0A2032A3"/>
    <w:rsid w:val="0B8A37D8"/>
    <w:rsid w:val="0E25032D"/>
    <w:rsid w:val="10C055FF"/>
    <w:rsid w:val="118107EC"/>
    <w:rsid w:val="11DD6519"/>
    <w:rsid w:val="16BB723D"/>
    <w:rsid w:val="18015F3F"/>
    <w:rsid w:val="1BE8440E"/>
    <w:rsid w:val="1D155CEE"/>
    <w:rsid w:val="20F57F95"/>
    <w:rsid w:val="21EE7C6E"/>
    <w:rsid w:val="240371BF"/>
    <w:rsid w:val="25711CC6"/>
    <w:rsid w:val="25C741E6"/>
    <w:rsid w:val="27842671"/>
    <w:rsid w:val="29FD04D3"/>
    <w:rsid w:val="2ABE7A3E"/>
    <w:rsid w:val="2CA234A8"/>
    <w:rsid w:val="2EFA178C"/>
    <w:rsid w:val="30B46D73"/>
    <w:rsid w:val="319F7F4E"/>
    <w:rsid w:val="383D272C"/>
    <w:rsid w:val="39AE70AB"/>
    <w:rsid w:val="3A3057C7"/>
    <w:rsid w:val="3C0C0783"/>
    <w:rsid w:val="3F9F3A96"/>
    <w:rsid w:val="43B107FF"/>
    <w:rsid w:val="48BF60AB"/>
    <w:rsid w:val="493C27E9"/>
    <w:rsid w:val="496F39ED"/>
    <w:rsid w:val="49FF41D3"/>
    <w:rsid w:val="4BE068DB"/>
    <w:rsid w:val="4BF6002B"/>
    <w:rsid w:val="4ECE2238"/>
    <w:rsid w:val="4EDB2555"/>
    <w:rsid w:val="4FD542F7"/>
    <w:rsid w:val="51DB4B86"/>
    <w:rsid w:val="51FE5C85"/>
    <w:rsid w:val="5313286E"/>
    <w:rsid w:val="55333C3E"/>
    <w:rsid w:val="64CA39A1"/>
    <w:rsid w:val="69630ADE"/>
    <w:rsid w:val="6AC85AAF"/>
    <w:rsid w:val="6C4A05C8"/>
    <w:rsid w:val="6D3B1A89"/>
    <w:rsid w:val="71BF4EC2"/>
    <w:rsid w:val="72734D90"/>
    <w:rsid w:val="7412278C"/>
    <w:rsid w:val="79E7B28D"/>
    <w:rsid w:val="7F9F20EE"/>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9"/>
    <w:unhideWhenUsed/>
    <w:qFormat/>
    <w:uiPriority w:val="9"/>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link w:val="22"/>
    <w:autoRedefine/>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8"/>
    <w:semiHidden/>
    <w:unhideWhenUsed/>
    <w:qFormat/>
    <w:uiPriority w:val="99"/>
    <w:rPr>
      <w:sz w:val="18"/>
      <w:szCs w:val="18"/>
    </w:rPr>
  </w:style>
  <w:style w:type="paragraph" w:styleId="8">
    <w:name w:val="footer"/>
    <w:basedOn w:val="1"/>
    <w:link w:val="20"/>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8"/>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paragraph" w:styleId="12">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5">
    <w:name w:val="Strong"/>
    <w:basedOn w:val="14"/>
    <w:qFormat/>
    <w:uiPriority w:val="99"/>
    <w:rPr>
      <w:b/>
    </w:rPr>
  </w:style>
  <w:style w:type="character" w:styleId="16">
    <w:name w:val="Hyperlink"/>
    <w:basedOn w:val="14"/>
    <w:unhideWhenUsed/>
    <w:qFormat/>
    <w:uiPriority w:val="99"/>
    <w:rPr>
      <w:color w:val="0000FF" w:themeColor="hyperlink"/>
      <w:u w:val="single"/>
      <w14:textFill>
        <w14:solidFill>
          <w14:schemeClr w14:val="hlink"/>
        </w14:solidFill>
      </w14:textFill>
    </w:rPr>
  </w:style>
  <w:style w:type="character" w:customStyle="1" w:styleId="17">
    <w:name w:val="Header Char"/>
    <w:basedOn w:val="14"/>
    <w:semiHidden/>
    <w:qFormat/>
    <w:uiPriority w:val="99"/>
    <w:rPr>
      <w:rFonts w:ascii="Times New Roman" w:hAnsi="Times New Roman"/>
      <w:sz w:val="18"/>
      <w:szCs w:val="18"/>
    </w:rPr>
  </w:style>
  <w:style w:type="character" w:customStyle="1" w:styleId="18">
    <w:name w:val="页眉 字符"/>
    <w:link w:val="9"/>
    <w:semiHidden/>
    <w:qFormat/>
    <w:locked/>
    <w:uiPriority w:val="99"/>
    <w:rPr>
      <w:sz w:val="18"/>
    </w:rPr>
  </w:style>
  <w:style w:type="character" w:customStyle="1" w:styleId="19">
    <w:name w:val="Footer Char"/>
    <w:basedOn w:val="14"/>
    <w:semiHidden/>
    <w:qFormat/>
    <w:uiPriority w:val="99"/>
    <w:rPr>
      <w:rFonts w:ascii="Times New Roman" w:hAnsi="Times New Roman"/>
      <w:sz w:val="18"/>
      <w:szCs w:val="18"/>
    </w:rPr>
  </w:style>
  <w:style w:type="character" w:customStyle="1" w:styleId="20">
    <w:name w:val="页脚 字符"/>
    <w:link w:val="8"/>
    <w:qFormat/>
    <w:locked/>
    <w:uiPriority w:val="99"/>
    <w:rPr>
      <w:sz w:val="18"/>
    </w:rPr>
  </w:style>
  <w:style w:type="character" w:customStyle="1" w:styleId="21">
    <w:name w:val="Body Text Char"/>
    <w:basedOn w:val="14"/>
    <w:semiHidden/>
    <w:qFormat/>
    <w:uiPriority w:val="99"/>
    <w:rPr>
      <w:rFonts w:ascii="Times New Roman" w:hAnsi="Times New Roman"/>
      <w:szCs w:val="24"/>
    </w:rPr>
  </w:style>
  <w:style w:type="character" w:customStyle="1" w:styleId="22">
    <w:name w:val="正文文本 字符"/>
    <w:link w:val="2"/>
    <w:qFormat/>
    <w:locked/>
    <w:uiPriority w:val="99"/>
    <w:rPr>
      <w:rFonts w:ascii="仿宋_GB2312" w:hAnsi="Times New Roman" w:eastAsia="仿宋_GB2312"/>
      <w:sz w:val="24"/>
    </w:rPr>
  </w:style>
  <w:style w:type="paragraph" w:customStyle="1" w:styleId="2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4">
    <w:name w:val="List Paragraph"/>
    <w:basedOn w:val="1"/>
    <w:qFormat/>
    <w:uiPriority w:val="34"/>
    <w:pPr>
      <w:ind w:firstLine="420" w:firstLineChars="200"/>
    </w:pPr>
  </w:style>
  <w:style w:type="character" w:customStyle="1" w:styleId="25">
    <w:name w:val="标题 1 字符"/>
    <w:basedOn w:val="14"/>
    <w:link w:val="3"/>
    <w:qFormat/>
    <w:uiPriority w:val="9"/>
    <w:rPr>
      <w:rFonts w:ascii="Times New Roman" w:hAnsi="Times New Roman"/>
      <w:b/>
      <w:bCs/>
      <w:kern w:val="44"/>
      <w:sz w:val="44"/>
      <w:szCs w:val="44"/>
    </w:rPr>
  </w:style>
  <w:style w:type="character" w:customStyle="1" w:styleId="26">
    <w:name w:val="标题 2 字符"/>
    <w:basedOn w:val="14"/>
    <w:link w:val="4"/>
    <w:qFormat/>
    <w:uiPriority w:val="9"/>
    <w:rPr>
      <w:rFonts w:asciiTheme="majorHAnsi" w:hAnsiTheme="majorHAnsi" w:eastAsiaTheme="majorEastAsia" w:cstheme="majorBidi"/>
      <w:b/>
      <w:bCs/>
      <w:kern w:val="2"/>
      <w:sz w:val="32"/>
      <w:szCs w:val="32"/>
    </w:rPr>
  </w:style>
  <w:style w:type="paragraph" w:customStyle="1" w:styleId="27">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8">
    <w:name w:val="批注框文本 字符"/>
    <w:basedOn w:val="14"/>
    <w:link w:val="7"/>
    <w:semiHidden/>
    <w:qFormat/>
    <w:uiPriority w:val="99"/>
    <w:rPr>
      <w:rFonts w:ascii="Times New Roman" w:hAnsi="Times New Roman"/>
      <w:kern w:val="2"/>
      <w:sz w:val="18"/>
      <w:szCs w:val="18"/>
    </w:rPr>
  </w:style>
  <w:style w:type="character" w:customStyle="1" w:styleId="29">
    <w:name w:val="标题 3 字符"/>
    <w:basedOn w:val="14"/>
    <w:link w:val="5"/>
    <w:qFormat/>
    <w:uiPriority w:val="9"/>
    <w:rPr>
      <w:rFonts w:ascii="Times New Roman" w:hAnsi="Times New Roman"/>
      <w:b/>
      <w:bCs/>
      <w:kern w:val="2"/>
      <w:sz w:val="32"/>
      <w:szCs w:val="32"/>
    </w:rPr>
  </w:style>
  <w:style w:type="paragraph" w:customStyle="1" w:styleId="30">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C:\Users\Administrator\Desktop\&#22270;&#34920;&#29983;&#25104;.xlsm"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file:///C:\Users\Administrator\Desktop\&#22270;&#34920;&#29983;&#25104;.xlsm"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dministrator\Desktop\&#22270;&#34920;&#29983;&#25104;.xlsm"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Administrator\Desktop\&#22270;&#34920;&#29983;&#25104;.xlsm"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C:\Users\Administrator\Desktop\&#22270;&#34920;&#29983;&#25104;.xlsm"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Administrator\Desktop\&#22270;&#34920;&#29983;&#25104;.xlsm"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C:\Users\Administrator\Desktop\&#22270;&#34920;&#29983;&#25104;.xlsm"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8555555555556"/>
          <c:y val="0.113506815365551"/>
          <c:w val="0.679222222222222"/>
          <c:h val="0.709392812887237"/>
        </c:manualLayout>
      </c:layout>
      <c:barChart>
        <c:barDir val="col"/>
        <c:grouping val="clustered"/>
        <c:varyColors val="0"/>
        <c:ser>
          <c:idx val="0"/>
          <c:order val="0"/>
          <c:spPr>
            <a:solidFill>
              <a:schemeClr val="accent1"/>
            </a:solidFill>
            <a:ln>
              <a:noFill/>
            </a:ln>
            <a:effectLst/>
          </c:spPr>
          <c:invertIfNegative val="0"/>
          <c:dPt>
            <c:idx val="1"/>
            <c:invertIfNegative val="0"/>
            <c:bubble3D val="0"/>
            <c:spPr>
              <a:solidFill>
                <a:schemeClr val="accent6">
                  <a:lumMod val="60000"/>
                  <a:lumOff val="40000"/>
                </a:schemeClr>
              </a:solidFill>
              <a:ln>
                <a:noFill/>
              </a:ln>
              <a:effectLst/>
            </c:spPr>
          </c:dPt>
          <c:dLbls>
            <c:dLbl>
              <c:idx val="1"/>
              <c:layout>
                <c:manualLayout>
                  <c:x val="0.00416666666666667"/>
                  <c:y val="-0.0408921933085502"/>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[图表生成.xlsm]图表生成!$B$1:$B$2</c:f>
              <c:strCache>
                <c:ptCount val="2"/>
                <c:pt idx="0">
                  <c:v>2021年</c:v>
                </c:pt>
                <c:pt idx="1">
                  <c:v>2022年</c:v>
                </c:pt>
              </c:strCache>
            </c:strRef>
          </c:cat>
          <c:val>
            <c:numRef>
              <c:f>[图表生成.xlsm]图表生成!$C$1:$C$2</c:f>
              <c:numCache>
                <c:formatCode>General</c:formatCode>
                <c:ptCount val="2"/>
                <c:pt idx="0">
                  <c:v>1567.45</c:v>
                </c:pt>
                <c:pt idx="1">
                  <c:v>1360.31</c:v>
                </c:pt>
              </c:numCache>
            </c:numRef>
          </c:val>
        </c:ser>
        <c:dLbls>
          <c:showLegendKey val="0"/>
          <c:showVal val="1"/>
          <c:showCatName val="0"/>
          <c:showSerName val="0"/>
          <c:showPercent val="0"/>
          <c:showBubbleSize val="0"/>
        </c:dLbls>
        <c:gapWidth val="219"/>
        <c:overlap val="-27"/>
        <c:axId val="184448512"/>
        <c:axId val="184450048"/>
      </c:barChart>
      <c:catAx>
        <c:axId val="1844485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84450048"/>
        <c:crosses val="autoZero"/>
        <c:auto val="1"/>
        <c:lblAlgn val="ctr"/>
        <c:lblOffset val="100"/>
        <c:noMultiLvlLbl val="0"/>
      </c:catAx>
      <c:valAx>
        <c:axId val="1844500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84448512"/>
        <c:crosses val="autoZero"/>
        <c:crossBetween val="between"/>
      </c:valAx>
      <c:spPr>
        <a:noFill/>
        <a:ln w="12700" cmpd="sng">
          <a:solidFill>
            <a:schemeClr val="tx1"/>
          </a:solidFill>
          <a:prstDash val="solid"/>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c:explosion val="0"/>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Pt>
            <c:idx val="2"/>
            <c:bubble3D val="0"/>
            <c:spPr>
              <a:solidFill>
                <a:schemeClr val="accent3"/>
              </a:solidFill>
              <a:ln>
                <a:noFill/>
              </a:ln>
              <a:effectLst>
                <a:outerShdw blurRad="254000" sx="102000" sy="102000" algn="ctr" rotWithShape="0">
                  <a:prstClr val="black">
                    <a:alpha val="20000"/>
                  </a:prstClr>
                </a:outerShdw>
              </a:effectLst>
            </c:spPr>
          </c:dPt>
          <c:dLbls>
            <c:dLbl>
              <c:idx val="0"/>
              <c:layout/>
              <c:tx>
                <c:rich>
                  <a:bodyPr rot="0" spcFirstLastPara="0" vertOverflow="ellipsis" vert="horz" wrap="square" lIns="38100" tIns="19050" rIns="38100" bIns="19050" anchor="ctr" anchorCtr="1"/>
                  <a:lstStyle/>
                  <a:p>
                    <a:pPr defTabSz="914400">
                      <a:defRPr lang="zh-CN" sz="1000" b="1" i="0" u="none" strike="noStrike" kern="1200" baseline="0">
                        <a:solidFill>
                          <a:schemeClr val="lt1"/>
                        </a:solidFill>
                        <a:latin typeface="+mn-lt"/>
                        <a:ea typeface="+mn-ea"/>
                        <a:cs typeface="+mn-cs"/>
                      </a:defRPr>
                    </a:pPr>
                    <a:r>
                      <a:rPr lang="en-US" altLang="zh-CN"/>
                      <a:t>99.85</a:t>
                    </a:r>
                    <a:r>
                      <a:t>%</a:t>
                    </a:r>
                  </a:p>
                </c:rich>
              </c:tx>
              <c:dLblPos val="ctr"/>
              <c:showLegendKey val="0"/>
              <c:showVal val="0"/>
              <c:showCatName val="0"/>
              <c:showSerName val="0"/>
              <c:showPercent val="1"/>
              <c:showBubbleSize val="0"/>
              <c:extLst>
                <c:ext xmlns:c15="http://schemas.microsoft.com/office/drawing/2012/chart" uri="{CE6537A1-D6FC-4f65-9D91-7224C49458BB}"/>
              </c:extLst>
            </c:dLbl>
            <c:dLbl>
              <c:idx val="2"/>
              <c:layout/>
              <c:tx>
                <c:rich>
                  <a:bodyPr rot="0" spcFirstLastPara="0" vertOverflow="ellipsis" vert="horz" wrap="square" lIns="38100" tIns="19050" rIns="38100" bIns="19050" anchor="ctr" anchorCtr="1"/>
                  <a:lstStyle/>
                  <a:p>
                    <a:pPr defTabSz="914400">
                      <a:defRPr lang="zh-CN" sz="1000" b="1" i="0" u="none" strike="noStrike" kern="1200" baseline="0">
                        <a:solidFill>
                          <a:schemeClr val="lt1"/>
                        </a:solidFill>
                        <a:latin typeface="+mn-lt"/>
                        <a:ea typeface="+mn-ea"/>
                        <a:cs typeface="+mn-cs"/>
                      </a:defRPr>
                    </a:pPr>
                    <a:r>
                      <a:rPr lang="en-US" altLang="zh-CN"/>
                      <a:t>0.15</a:t>
                    </a:r>
                    <a:r>
                      <a:t>%</a:t>
                    </a:r>
                  </a:p>
                </c:rich>
              </c:tx>
              <c:dLblPos val="ctr"/>
              <c:showLegendKey val="0"/>
              <c:showVal val="0"/>
              <c:showCatName val="0"/>
              <c:showSerName val="0"/>
              <c:showPercent val="1"/>
              <c:showBubbleSize val="0"/>
              <c:extLst>
                <c:ext xmlns:c15="http://schemas.microsoft.com/office/drawing/2012/chart" uri="{CE6537A1-D6FC-4f65-9D91-7224C49458BB}"/>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[图表生成.xlsm]图表生成!$B$4:$B$6</c:f>
              <c:strCache>
                <c:ptCount val="3"/>
                <c:pt idx="0">
                  <c:v>一般公共财政拨款预算收入</c:v>
                </c:pt>
                <c:pt idx="1">
                  <c:v>上年结转</c:v>
                </c:pt>
                <c:pt idx="2">
                  <c:v>政府性基金预算财政拨款收入</c:v>
                </c:pt>
              </c:strCache>
            </c:strRef>
          </c:cat>
          <c:val>
            <c:numRef>
              <c:f>[图表生成.xlsm]图表生成!$C$4:$C$6</c:f>
              <c:numCache>
                <c:formatCode>General</c:formatCode>
                <c:ptCount val="3"/>
                <c:pt idx="0">
                  <c:v>1358.31</c:v>
                </c:pt>
                <c:pt idx="1">
                  <c:v>0</c:v>
                </c:pt>
                <c:pt idx="2">
                  <c:v>2</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0"/>
              <c:layout>
                <c:manualLayout>
                  <c:x val="0.133851764016858"/>
                  <c:y val="-0.0565550691718294"/>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1"/>
              <c:layout>
                <c:manualLayout>
                  <c:x val="-0.106073996615493"/>
                  <c:y val="0.0386979306638364"/>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'[图表生成.xlsm]图表生成 (2)'!$B$8:$B$9</c:f>
              <c:strCache>
                <c:ptCount val="2"/>
                <c:pt idx="0">
                  <c:v>基本支出</c:v>
                </c:pt>
                <c:pt idx="1">
                  <c:v>项目支出</c:v>
                </c:pt>
              </c:strCache>
            </c:strRef>
          </c:cat>
          <c:val>
            <c:numRef>
              <c:f>'[图表生成.xlsm]图表生成 (2)'!$C$8:$C$9</c:f>
              <c:numCache>
                <c:formatCode>General</c:formatCode>
                <c:ptCount val="2"/>
                <c:pt idx="0">
                  <c:v>1328.31</c:v>
                </c:pt>
                <c:pt idx="1">
                  <c:v>32</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2085651442619"/>
          <c:y val="0.125"/>
          <c:w val="0.751119161599172"/>
          <c:h val="0.667035714285715"/>
        </c:manualLayout>
      </c:layout>
      <c:barChart>
        <c:barDir val="col"/>
        <c:grouping val="clustered"/>
        <c:varyColors val="0"/>
        <c:ser>
          <c:idx val="0"/>
          <c:order val="0"/>
          <c:spPr>
            <a:solidFill>
              <a:schemeClr val="accent1"/>
            </a:solidFill>
            <a:ln>
              <a:noFill/>
            </a:ln>
            <a:effectLst/>
          </c:spPr>
          <c:invertIfNegative val="0"/>
          <c:dPt>
            <c:idx val="1"/>
            <c:invertIfNegative val="0"/>
            <c:bubble3D val="0"/>
            <c:spPr>
              <a:solidFill>
                <a:srgbClr val="FF0000"/>
              </a:solidFill>
              <a:ln>
                <a:no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[图表生成.xlsm]图表生成!$B$11:$B$12</c:f>
              <c:strCache>
                <c:ptCount val="2"/>
                <c:pt idx="0">
                  <c:v>2021年</c:v>
                </c:pt>
                <c:pt idx="1">
                  <c:v>2022年</c:v>
                </c:pt>
              </c:strCache>
            </c:strRef>
          </c:cat>
          <c:val>
            <c:numRef>
              <c:f>[图表生成.xlsm]图表生成!$C$11:$C$12</c:f>
              <c:numCache>
                <c:formatCode>General</c:formatCode>
                <c:ptCount val="2"/>
                <c:pt idx="0">
                  <c:v>1567.45</c:v>
                </c:pt>
                <c:pt idx="1">
                  <c:v>1360.31</c:v>
                </c:pt>
              </c:numCache>
            </c:numRef>
          </c:val>
        </c:ser>
        <c:dLbls>
          <c:showLegendKey val="0"/>
          <c:showVal val="1"/>
          <c:showCatName val="0"/>
          <c:showSerName val="0"/>
          <c:showPercent val="0"/>
          <c:showBubbleSize val="0"/>
        </c:dLbls>
        <c:gapWidth val="219"/>
        <c:overlap val="-27"/>
        <c:axId val="186340480"/>
        <c:axId val="186342016"/>
      </c:barChart>
      <c:catAx>
        <c:axId val="18634048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86342016"/>
        <c:crosses val="autoZero"/>
        <c:auto val="1"/>
        <c:lblAlgn val="ctr"/>
        <c:lblOffset val="100"/>
        <c:noMultiLvlLbl val="0"/>
      </c:catAx>
      <c:valAx>
        <c:axId val="1863420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86340480"/>
        <c:crosses val="autoZero"/>
        <c:crossBetween val="between"/>
      </c:valAx>
      <c:spPr>
        <a:noFill/>
        <a:ln w="12700" cmpd="sng">
          <a:solidFill>
            <a:schemeClr val="tx1"/>
          </a:solidFill>
          <a:prstDash val="solid"/>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4913134120917"/>
          <c:y val="0.127455357142857"/>
          <c:w val="0.694982626824183"/>
          <c:h val="0.682008928571429"/>
        </c:manualLayout>
      </c:layout>
      <c:barChart>
        <c:barDir val="col"/>
        <c:grouping val="clustered"/>
        <c:varyColors val="0"/>
        <c:ser>
          <c:idx val="0"/>
          <c:order val="0"/>
          <c:spPr>
            <a:solidFill>
              <a:schemeClr val="accent1"/>
            </a:solidFill>
            <a:ln>
              <a:noFill/>
            </a:ln>
            <a:effectLst/>
          </c:spPr>
          <c:invertIfNegative val="0"/>
          <c:dPt>
            <c:idx val="1"/>
            <c:invertIfNegative val="0"/>
            <c:bubble3D val="0"/>
            <c:spPr>
              <a:solidFill>
                <a:schemeClr val="accent6">
                  <a:lumMod val="75000"/>
                </a:schemeClr>
              </a:solidFill>
              <a:ln>
                <a:no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[图表生成.xlsm]图表生成!$B$14:$B$15</c:f>
              <c:strCache>
                <c:ptCount val="2"/>
                <c:pt idx="0">
                  <c:v>2021年</c:v>
                </c:pt>
                <c:pt idx="1">
                  <c:v>2022年</c:v>
                </c:pt>
              </c:strCache>
            </c:strRef>
          </c:cat>
          <c:val>
            <c:numRef>
              <c:f>[图表生成.xlsm]图表生成!$C$14:$C$15</c:f>
              <c:numCache>
                <c:formatCode>General</c:formatCode>
                <c:ptCount val="2"/>
                <c:pt idx="0">
                  <c:v>1567.45</c:v>
                </c:pt>
                <c:pt idx="1">
                  <c:v>1358.31</c:v>
                </c:pt>
              </c:numCache>
            </c:numRef>
          </c:val>
        </c:ser>
        <c:dLbls>
          <c:showLegendKey val="0"/>
          <c:showVal val="1"/>
          <c:showCatName val="0"/>
          <c:showSerName val="0"/>
          <c:showPercent val="0"/>
          <c:showBubbleSize val="0"/>
        </c:dLbls>
        <c:gapWidth val="219"/>
        <c:overlap val="-27"/>
        <c:axId val="186382976"/>
        <c:axId val="183644544"/>
      </c:barChart>
      <c:catAx>
        <c:axId val="186382976"/>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83644544"/>
        <c:crosses val="autoZero"/>
        <c:auto val="1"/>
        <c:lblAlgn val="ctr"/>
        <c:lblOffset val="100"/>
        <c:noMultiLvlLbl val="0"/>
      </c:catAx>
      <c:valAx>
        <c:axId val="1836445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86382976"/>
        <c:crosses val="autoZero"/>
        <c:crossBetween val="between"/>
      </c:valAx>
      <c:spPr>
        <a:noFill/>
        <a:ln>
          <a:solidFill>
            <a:schemeClr val="tx1"/>
          </a:solid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Lbl>
              <c:idx val="0"/>
              <c:layout>
                <c:manualLayout>
                  <c:x val="0.155304470475051"/>
                  <c:y val="-0.046239329953447"/>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1"/>
              <c:layout>
                <c:manualLayout>
                  <c:x val="-0.112880281621228"/>
                  <c:y val="-0.00178048486523545"/>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2"/>
              <c:layout>
                <c:manualLayout>
                  <c:x val="-0.0311645067140451"/>
                  <c:y val="-0.0142149016455096"/>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3"/>
              <c:layout>
                <c:manualLayout>
                  <c:x val="0.110509498092591"/>
                  <c:y val="0.0226166524521398"/>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[图表生成.xlsm]图表生成!$B$17:$B$20</c:f>
              <c:strCache>
                <c:ptCount val="4"/>
                <c:pt idx="0">
                  <c:v>教育支出</c:v>
                </c:pt>
                <c:pt idx="1">
                  <c:v>社会和保障就业</c:v>
                </c:pt>
                <c:pt idx="2">
                  <c:v>卫生健康支出</c:v>
                </c:pt>
                <c:pt idx="3">
                  <c:v>住房保障支出</c:v>
                </c:pt>
              </c:strCache>
            </c:strRef>
          </c:cat>
          <c:val>
            <c:numRef>
              <c:f>[图表生成.xlsm]图表生成!$C$17:$C$20</c:f>
              <c:numCache>
                <c:formatCode>General</c:formatCode>
                <c:ptCount val="4"/>
                <c:pt idx="0">
                  <c:v>1162.27</c:v>
                </c:pt>
                <c:pt idx="1">
                  <c:v>87.13</c:v>
                </c:pt>
                <c:pt idx="2">
                  <c:v>43.56</c:v>
                </c:pt>
                <c:pt idx="3">
                  <c:v>65.35</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[图表生成.xlsm]图表生成!$B$23</c:f>
              <c:strCache>
                <c:ptCount val="1"/>
                <c:pt idx="0">
                  <c:v>金额</c:v>
                </c:pt>
              </c:strCache>
            </c:strRef>
          </c:tx>
          <c:spPr>
            <a:solidFill>
              <a:srgbClr val="92D050"/>
            </a:solidFill>
          </c:spPr>
          <c:explosion val="0"/>
          <c:dPt>
            <c:idx val="0"/>
            <c:bubble3D val="0"/>
            <c:spPr>
              <a:solidFill>
                <a:srgbClr val="92D050"/>
              </a:solidFill>
              <a:ln w="19050">
                <a:solidFill>
                  <a:schemeClr val="lt1"/>
                </a:solidFill>
              </a:ln>
              <a:effectLst/>
            </c:spPr>
          </c:dPt>
          <c:dLbls>
            <c:dLbl>
              <c:idx val="0"/>
              <c:layout>
                <c:manualLayout>
                  <c:x val="0.175364451865617"/>
                  <c:y val="-0.0386373537275012"/>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[图表生成.xlsm]图表生成!$C$22</c:f>
              <c:strCache>
                <c:ptCount val="1"/>
                <c:pt idx="0">
                  <c:v>公务接待费用支出</c:v>
                </c:pt>
              </c:strCache>
            </c:strRef>
          </c:cat>
          <c:val>
            <c:numRef>
              <c:f>[图表生成.xlsm]图表生成!$C$23</c:f>
              <c:numCache>
                <c:formatCode>General</c:formatCode>
                <c:ptCount val="1"/>
                <c:pt idx="0">
                  <c:v>0.38</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四川省财政厅</Company>
  <Pages>20</Pages>
  <Words>5468</Words>
  <Characters>5926</Characters>
  <Lines>41</Lines>
  <Paragraphs>11</Paragraphs>
  <TotalTime>18</TotalTime>
  <ScaleCrop>false</ScaleCrop>
  <LinksUpToDate>false</LinksUpToDate>
  <CharactersWithSpaces>5948</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罗汉</cp:lastModifiedBy>
  <cp:lastPrinted>2023-07-31T02:35:00Z</cp:lastPrinted>
  <dcterms:modified xsi:type="dcterms:W3CDTF">2023-12-28T06:58:35Z</dcterms:modified>
  <dc:title>四川省***</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EE4A7A43DD90416BBAE6961B8426B70D_12</vt:lpwstr>
  </property>
</Properties>
</file>