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96475"/>
      <w:bookmarkStart w:id="4" w:name="_Toc15377193"/>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lang w:eastAsia="zh-CN"/>
        </w:rPr>
        <w:t>四川省</w:t>
      </w:r>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剑门中学校单位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20</w:t>
      </w:r>
      <w:r>
        <w:rPr>
          <w:rFonts w:hint="eastAsia"/>
        </w:rPr>
        <w:t>日</w:t>
      </w:r>
    </w:p>
    <w:p/>
    <w:p>
      <w:pPr>
        <w:pStyle w:val="12"/>
        <w:adjustRightInd w:val="0"/>
        <w:snapToGrid w:val="0"/>
        <w:spacing w:before="0" w:line="440" w:lineRule="exact"/>
        <w:jc w:val="left"/>
        <w:rPr>
          <w:rFonts w:hint="default" w:cstheme="minorBidi"/>
          <w:sz w:val="24"/>
          <w:szCs w:val="24"/>
          <w:lang w:val="en-US"/>
        </w:rPr>
      </w:pPr>
      <w:bookmarkStart w:id="12" w:name="_Toc15377196"/>
      <w:bookmarkStart w:id="13" w:name="_Toc15396599"/>
      <w:r>
        <w:rPr>
          <w:rFonts w:hint="eastAsia"/>
          <w:sz w:val="24"/>
        </w:rPr>
        <w:t>第一部分</w:t>
      </w:r>
      <w:r>
        <w:rPr>
          <w:sz w:val="24"/>
        </w:rPr>
        <w:t xml:space="preserve"> </w:t>
      </w:r>
      <w:r>
        <w:rPr>
          <w:rFonts w:hint="eastAsia"/>
          <w:sz w:val="24"/>
        </w:rPr>
        <w:t>单位概况</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4</w:t>
      </w:r>
    </w:p>
    <w:p>
      <w:pPr>
        <w:pStyle w:val="13"/>
        <w:adjustRightInd w:val="0"/>
        <w:snapToGrid w:val="0"/>
        <w:spacing w:line="440" w:lineRule="exact"/>
        <w:jc w:val="left"/>
        <w:rPr>
          <w:rFonts w:hint="default"/>
          <w:sz w:val="24"/>
          <w:lang w:val="en-US"/>
        </w:rPr>
      </w:pPr>
      <w:r>
        <w:rPr>
          <w:rFonts w:hint="eastAsia"/>
          <w:sz w:val="24"/>
        </w:rPr>
        <w:t>一、主要职责及重点</w:t>
      </w:r>
      <w:r>
        <w:rPr>
          <w:sz w:val="24"/>
        </w:rPr>
        <w:t>工作</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4</w:t>
      </w:r>
    </w:p>
    <w:p>
      <w:pPr>
        <w:pStyle w:val="13"/>
        <w:adjustRightInd w:val="0"/>
        <w:snapToGrid w:val="0"/>
        <w:spacing w:line="440" w:lineRule="exact"/>
        <w:jc w:val="left"/>
        <w:rPr>
          <w:rFonts w:hint="default"/>
          <w:sz w:val="24"/>
          <w:lang w:val="en-US"/>
        </w:rPr>
      </w:pPr>
      <w:r>
        <w:rPr>
          <w:rFonts w:hint="eastAsia"/>
          <w:sz w:val="24"/>
        </w:rPr>
        <w:t>（一）单位</w:t>
      </w:r>
      <w:r>
        <w:rPr>
          <w:sz w:val="24"/>
        </w:rPr>
        <w:t>职责</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4</w:t>
      </w:r>
    </w:p>
    <w:p>
      <w:pPr>
        <w:pStyle w:val="13"/>
        <w:adjustRightInd w:val="0"/>
        <w:snapToGrid w:val="0"/>
        <w:spacing w:line="440" w:lineRule="exact"/>
        <w:jc w:val="left"/>
        <w:rPr>
          <w:rFonts w:hint="default"/>
          <w:b/>
          <w:bCs/>
          <w:sz w:val="24"/>
          <w:lang w:val="en-US"/>
        </w:rPr>
      </w:pPr>
      <w:r>
        <w:rPr>
          <w:rFonts w:hint="eastAsia"/>
          <w:sz w:val="24"/>
        </w:rPr>
        <w:t>（二）2022年重点工作完成情况</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4</w:t>
      </w:r>
    </w:p>
    <w:p>
      <w:pPr>
        <w:pStyle w:val="13"/>
        <w:adjustRightInd w:val="0"/>
        <w:snapToGrid w:val="0"/>
        <w:spacing w:line="440" w:lineRule="exact"/>
        <w:jc w:val="left"/>
        <w:rPr>
          <w:rFonts w:hint="default"/>
          <w:sz w:val="24"/>
          <w:lang w:val="en-US"/>
        </w:rPr>
      </w:pPr>
      <w:r>
        <w:rPr>
          <w:rFonts w:hint="eastAsia"/>
          <w:sz w:val="24"/>
        </w:rPr>
        <w:t>二、机构设置</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7</w:t>
      </w:r>
    </w:p>
    <w:p>
      <w:pPr>
        <w:pStyle w:val="12"/>
        <w:adjustRightInd w:val="0"/>
        <w:snapToGrid w:val="0"/>
        <w:spacing w:before="0" w:line="440" w:lineRule="exact"/>
        <w:jc w:val="left"/>
        <w:rPr>
          <w:rFonts w:hint="default"/>
          <w:sz w:val="24"/>
          <w:szCs w:val="24"/>
          <w:lang w:val="en-US"/>
        </w:rPr>
      </w:pPr>
      <w:r>
        <w:rPr>
          <w:rFonts w:hint="eastAsia"/>
          <w:sz w:val="24"/>
        </w:rPr>
        <w:t>第二部分 2022年度单位决算情况说明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8</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8</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8</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9</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10</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10</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12</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13</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15</w:t>
      </w:r>
    </w:p>
    <w:p>
      <w:pPr>
        <w:pStyle w:val="13"/>
        <w:adjustRightInd w:val="0"/>
        <w:snapToGrid w:val="0"/>
        <w:spacing w:line="440" w:lineRule="exact"/>
        <w:jc w:val="left"/>
        <w:rPr>
          <w:rFonts w:hint="default"/>
          <w:sz w:val="24"/>
          <w:lang w:val="en-US"/>
        </w:rPr>
      </w:pPr>
      <w:r>
        <w:rPr>
          <w:rFonts w:hint="eastAsia"/>
          <w:sz w:val="24"/>
        </w:rPr>
        <w:t>九、国有资本经营预算支出决算情况说明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15</w:t>
      </w:r>
    </w:p>
    <w:p>
      <w:pPr>
        <w:pStyle w:val="13"/>
        <w:adjustRightInd w:val="0"/>
        <w:snapToGrid w:val="0"/>
        <w:spacing w:line="440" w:lineRule="exact"/>
        <w:jc w:val="left"/>
        <w:rPr>
          <w:rFonts w:hint="default"/>
          <w:sz w:val="24"/>
          <w:lang w:val="en-US"/>
        </w:rPr>
      </w:pPr>
      <w:r>
        <w:rPr>
          <w:rFonts w:hint="eastAsia"/>
          <w:sz w:val="24"/>
        </w:rPr>
        <w:t>十、其他重要事项的情况说明</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15</w:t>
      </w:r>
    </w:p>
    <w:p>
      <w:pPr>
        <w:pStyle w:val="12"/>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17</w:t>
      </w:r>
    </w:p>
    <w:p>
      <w:pPr>
        <w:pStyle w:val="12"/>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19</w:t>
      </w:r>
    </w:p>
    <w:p>
      <w:pPr>
        <w:pStyle w:val="12"/>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一、收入支出决算总表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eastAsia" w:ascii="黑体" w:hAnsi="黑体" w:eastAsia="黑体" w:cs="黑体"/>
          <w:sz w:val="20"/>
          <w:szCs w:val="20"/>
          <w:lang w:val="en-US" w:eastAsia="zh-CN" w:bidi="zh-CN"/>
        </w:rPr>
      </w:pPr>
      <w:r>
        <w:rPr>
          <w:rFonts w:hint="eastAsia"/>
          <w:sz w:val="24"/>
        </w:rPr>
        <w:t>二、收入决算表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三、支出决算表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四、财政拨款收入支出决算总表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五、财政拨款支出决算明细表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六、一般公共预算财政拨款支出决算表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七、一般公共预算财政拨款支出决算明细表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八、一般公共预算财政拨款基本支出决算明细表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九、一般公共预算财政拨款项目支出决算表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十、政府性基金预算财政拨款收入支出决算表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十一、国有资本经营预算财政拨款收入支出决算表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十二、国有资本经营预算财政拨款支出决算表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pStyle w:val="13"/>
        <w:adjustRightInd w:val="0"/>
        <w:snapToGrid w:val="0"/>
        <w:spacing w:line="440" w:lineRule="exact"/>
        <w:jc w:val="left"/>
        <w:rPr>
          <w:rFonts w:hint="default"/>
          <w:sz w:val="24"/>
          <w:lang w:val="en-US"/>
        </w:rPr>
      </w:pPr>
      <w:r>
        <w:rPr>
          <w:rFonts w:hint="eastAsia"/>
          <w:sz w:val="24"/>
        </w:rPr>
        <w:t>十三、财政拨款“三公”经费支出决算表</w:t>
      </w:r>
      <w:r>
        <w:rPr>
          <w:rFonts w:ascii="黑体" w:hAnsi="黑体" w:eastAsia="黑体" w:cs="黑体"/>
          <w:sz w:val="20"/>
          <w:szCs w:val="20"/>
          <w:lang w:val="zh-CN" w:eastAsia="zh-CN" w:bidi="zh-CN"/>
        </w:rPr>
        <w:tab/>
      </w:r>
      <w:r>
        <w:rPr>
          <w:rFonts w:hint="eastAsia" w:ascii="黑体" w:hAnsi="黑体" w:eastAsia="黑体" w:cs="黑体"/>
          <w:sz w:val="20"/>
          <w:szCs w:val="20"/>
          <w:lang w:val="en-US" w:eastAsia="zh-CN" w:bidi="zh-CN"/>
        </w:rPr>
        <w:t>31</w:t>
      </w:r>
    </w:p>
    <w:p>
      <w:pPr>
        <w:widowControl/>
        <w:spacing w:line="440" w:lineRule="exact"/>
        <w:jc w:val="left"/>
        <w:rPr>
          <w:rFonts w:ascii="仿宋" w:hAnsi="仿宋" w:eastAsia="仿宋"/>
          <w:bCs/>
          <w:kern w:val="44"/>
          <w:sz w:val="24"/>
        </w:rPr>
      </w:pPr>
      <w:r>
        <w:rPr>
          <w:rFonts w:ascii="仿宋" w:hAnsi="仿宋" w:eastAsia="仿宋"/>
          <w:b/>
          <w:sz w:val="24"/>
        </w:rPr>
        <w:br w:type="page"/>
      </w:r>
    </w:p>
    <w:p>
      <w:pPr>
        <w:widowControl/>
        <w:spacing w:line="440" w:lineRule="exact"/>
        <w:jc w:val="center"/>
        <w:rPr>
          <w:rStyle w:val="26"/>
          <w:rFonts w:ascii="黑体" w:hAnsi="黑体" w:eastAsia="黑体"/>
          <w:b/>
          <w:bCs w:val="0"/>
        </w:rPr>
      </w:pPr>
      <w:r>
        <w:rPr>
          <w:rStyle w:val="26"/>
          <w:rFonts w:hint="eastAsia" w:ascii="黑体" w:hAnsi="黑体" w:eastAsia="黑体"/>
          <w:b w:val="0"/>
          <w:bCs w:val="0"/>
        </w:rPr>
        <w:t>第一部分 单位概况</w:t>
      </w:r>
      <w:bookmarkEnd w:id="12"/>
      <w:bookmarkEnd w:id="13"/>
    </w:p>
    <w:p>
      <w:pPr>
        <w:widowControl/>
        <w:jc w:val="left"/>
        <w:rPr>
          <w:rFonts w:ascii="黑体" w:eastAsia="黑体"/>
          <w:sz w:val="32"/>
          <w:szCs w:val="32"/>
        </w:rPr>
      </w:pPr>
    </w:p>
    <w:p>
      <w:pPr>
        <w:pStyle w:val="5"/>
        <w:pageBreakBefore w:val="0"/>
        <w:numPr>
          <w:ilvl w:val="0"/>
          <w:numId w:val="1"/>
        </w:numPr>
        <w:kinsoku/>
        <w:wordWrap/>
        <w:overflowPunct/>
        <w:topLinePunct w:val="0"/>
        <w:autoSpaceDN/>
        <w:bidi w:val="0"/>
        <w:adjustRightInd/>
        <w:snapToGrid/>
        <w:spacing w:line="520" w:lineRule="exact"/>
        <w:ind w:left="0" w:leftChars="0" w:firstLine="0" w:firstLineChars="0"/>
        <w:textAlignment w:val="auto"/>
        <w:rPr>
          <w:rFonts w:hint="eastAsia" w:ascii="黑体" w:hAnsi="黑体" w:eastAsia="黑体"/>
          <w:b w:val="0"/>
          <w:sz w:val="28"/>
          <w:szCs w:val="28"/>
          <w:lang w:eastAsia="zh-CN"/>
        </w:rPr>
      </w:pPr>
      <w:bookmarkStart w:id="14" w:name="_Toc15396600"/>
      <w:bookmarkStart w:id="15" w:name="_Toc15377197"/>
      <w:r>
        <w:rPr>
          <w:rFonts w:hint="eastAsia" w:ascii="黑体" w:hAnsi="黑体" w:eastAsia="黑体"/>
          <w:b w:val="0"/>
          <w:sz w:val="28"/>
          <w:szCs w:val="28"/>
        </w:rPr>
        <w:t>主要职责</w:t>
      </w:r>
    </w:p>
    <w:p>
      <w:pPr>
        <w:pStyle w:val="32"/>
        <w:keepNext w:val="0"/>
        <w:keepLines w:val="0"/>
        <w:pageBreakBefore w:val="0"/>
        <w:widowControl/>
        <w:kinsoku/>
        <w:wordWrap/>
        <w:overflowPunct/>
        <w:topLinePunct w:val="0"/>
        <w:autoSpaceDE/>
        <w:autoSpaceDN/>
        <w:bidi w:val="0"/>
        <w:adjustRightInd/>
        <w:snapToGrid/>
        <w:spacing w:before="0" w:after="0" w:line="520" w:lineRule="exact"/>
        <w:ind w:firstLine="560" w:firstLineChars="200"/>
        <w:jc w:val="left"/>
        <w:textAlignment w:val="auto"/>
        <w:rPr>
          <w:rFonts w:hint="eastAsia" w:ascii="黑体" w:hAnsi="黑体" w:eastAsia="黑体"/>
          <w:sz w:val="28"/>
          <w:szCs w:val="28"/>
          <w:lang w:eastAsia="zh-CN"/>
        </w:rPr>
      </w:pPr>
      <w:r>
        <w:rPr>
          <w:rFonts w:hint="eastAsia" w:ascii="黑体" w:hAnsi="黑体" w:eastAsia="黑体"/>
          <w:sz w:val="28"/>
          <w:szCs w:val="28"/>
          <w:lang w:eastAsia="zh-CN"/>
        </w:rPr>
        <w:t>（一）主要职能</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四川省剑阁县剑门中学校属财政预算一级单位，执行政府会计制度，宗旨和业务范围：实施初中义务教育，促进基础教育发展。</w:t>
      </w:r>
    </w:p>
    <w:p>
      <w:pPr>
        <w:numPr>
          <w:ilvl w:val="0"/>
          <w:numId w:val="0"/>
        </w:numPr>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我单位有独立编制机构1个，独立核算机构1个。全年独立编制机构与独立核算机构数无变化.</w:t>
      </w:r>
    </w:p>
    <w:p>
      <w:pPr>
        <w:numPr>
          <w:ilvl w:val="0"/>
          <w:numId w:val="0"/>
        </w:numPr>
        <w:ind w:firstLine="560" w:firstLineChars="200"/>
      </w:pPr>
      <w:r>
        <w:rPr>
          <w:rFonts w:hint="eastAsia" w:ascii="仿宋" w:hAnsi="仿宋" w:eastAsia="仿宋" w:cs="Times New Roman"/>
          <w:kern w:val="2"/>
          <w:sz w:val="28"/>
          <w:szCs w:val="28"/>
          <w:lang w:val="en-US" w:eastAsia="zh-CN" w:bidi="ar-SA"/>
        </w:rPr>
        <w:t>人员情况，我单位属于全额拨款事业单位，事业编制核定人数69人，年初实有在编人数68人，特岗教师1人；正常调出1人，新招1人，调入3人，年末实有在编71人，特岗教师1人；遗属人员4人，退休人员18人。年初学生数837人，年末学生数822人。</w:t>
      </w:r>
    </w:p>
    <w:p>
      <w:pPr>
        <w:pStyle w:val="32"/>
        <w:keepNext w:val="0"/>
        <w:keepLines w:val="0"/>
        <w:pageBreakBefore w:val="0"/>
        <w:widowControl/>
        <w:kinsoku/>
        <w:wordWrap/>
        <w:overflowPunct/>
        <w:topLinePunct w:val="0"/>
        <w:autoSpaceDE/>
        <w:autoSpaceDN/>
        <w:bidi w:val="0"/>
        <w:adjustRightInd/>
        <w:snapToGrid/>
        <w:spacing w:before="0" w:after="0" w:line="520" w:lineRule="exact"/>
        <w:ind w:firstLine="640" w:firstLineChars="200"/>
        <w:jc w:val="left"/>
        <w:textAlignment w:val="auto"/>
        <w:rPr>
          <w:rFonts w:hint="eastAsia" w:ascii="黑体" w:hAnsi="黑体" w:eastAsia="黑体"/>
          <w:sz w:val="28"/>
          <w:szCs w:val="28"/>
          <w:lang w:eastAsia="zh-CN"/>
        </w:rPr>
      </w:pPr>
      <w:r>
        <w:rPr>
          <w:rFonts w:hint="eastAsia" w:ascii="宋体" w:hAnsi="宋体" w:eastAsia="宋体" w:cs="宋体"/>
          <w:sz w:val="32"/>
          <w:szCs w:val="32"/>
        </w:rPr>
        <w:tab/>
      </w:r>
      <w:r>
        <w:rPr>
          <w:rFonts w:hint="eastAsia" w:ascii="黑体" w:hAnsi="黑体" w:eastAsia="黑体"/>
          <w:sz w:val="28"/>
          <w:szCs w:val="28"/>
          <w:lang w:eastAsia="zh-CN"/>
        </w:rPr>
        <w:t>（二）202</w:t>
      </w:r>
      <w:r>
        <w:rPr>
          <w:rFonts w:hint="eastAsia" w:ascii="黑体" w:hAnsi="黑体" w:eastAsia="黑体"/>
          <w:sz w:val="28"/>
          <w:szCs w:val="28"/>
          <w:lang w:val="en-US" w:eastAsia="zh-CN"/>
        </w:rPr>
        <w:t>2</w:t>
      </w:r>
      <w:r>
        <w:rPr>
          <w:rFonts w:hint="eastAsia" w:ascii="黑体" w:hAnsi="黑体" w:eastAsia="黑体"/>
          <w:sz w:val="28"/>
          <w:szCs w:val="28"/>
          <w:lang w:eastAsia="zh-CN"/>
        </w:rPr>
        <w:t>年重点工作完成情况</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firstLine="482"/>
        <w:jc w:val="both"/>
        <w:textAlignment w:val="auto"/>
        <w:rPr>
          <w:rFonts w:hint="default" w:ascii="Times New Roman" w:hAnsi="Times New Roman" w:eastAsia="宋体" w:cs="Times New Roman"/>
          <w:i w:val="0"/>
          <w:iCs w:val="0"/>
          <w:caps w:val="0"/>
          <w:color w:val="000000"/>
          <w:spacing w:val="0"/>
          <w:kern w:val="2"/>
          <w:sz w:val="28"/>
          <w:szCs w:val="28"/>
        </w:rPr>
      </w:pPr>
      <w:r>
        <w:rPr>
          <w:rFonts w:hint="eastAsia" w:ascii="仿宋" w:hAnsi="仿宋" w:eastAsia="仿宋" w:cs="仿宋"/>
          <w:b/>
          <w:bCs/>
          <w:i w:val="0"/>
          <w:iCs w:val="0"/>
          <w:caps w:val="0"/>
          <w:color w:val="000000"/>
          <w:spacing w:val="0"/>
          <w:kern w:val="0"/>
          <w:sz w:val="28"/>
          <w:szCs w:val="28"/>
        </w:rPr>
        <w:t>一、加强班子队伍建设，不断提高教职工整体素质</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1、加强领导班子建设</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2、加强教师队伍建设</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二、德育为首，教学中心，切实提升教学质量</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1、立德树人，不断强化德育工作</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、以“五项管理”为抓手，突出教学中心.</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第一，狠抓毕业班及各年级教学日常过程管理。</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第二，狠抓课堂教学改革，推进高效课堂教学研究。</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第三，落实双减教育措施，教学质量常抓不懈。</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三、加强党风廉政作风效能建设和学校民主管理</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学校本学年学校组织召开教职工专题学习会议10次、教师例会20次。</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组织全体教师认真学习了中央八项规定、“四风整治”等各项关于党风廉政建设工作要求和会议精神。严格学校“三公”经费开支，严格项目建设工作程序审批。学校坚持了一事一议的民主决策制度和廉勤委全程参与“三重一大”监督管理机制。</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四、安全稳定、新冠肺炎疫情工作常抓不懈，确保校园平安。</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五、强化依法治校，创建和谐校园</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六、后勤保障有力，财务管理规范严格</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1、落实好党的惠民政策，顺利推进农村学生营养改善计划。</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2、学校食堂管理科学高效。</w:t>
      </w:r>
    </w:p>
    <w:p>
      <w:pPr>
        <w:numPr>
          <w:ilvl w:val="0"/>
          <w:numId w:val="0"/>
        </w:numPr>
        <w:ind w:leftChars="0" w:firstLine="560" w:firstLineChars="200"/>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校有近800余名学生在学校食堂就餐。学校教代会教师代表参与了全过程监督，食堂管理人员持证上岗，严格执行食堂卫生标准，食材采购票证齐全，三餐营养搭配科学，食品留样足量及时，各类记录详实规范。学生伙食费一月一次结算，一期一次清算（多退少不补），成本经营，杜绝浪费。</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3、后勤保障到位，为全体师生服好务。</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4、开源节流，增收节支，严格学校财务管理。</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严格审核和审批程序，按照上级要求，严格控制三公经费开支，严格遵守财务工作纪律。</w:t>
      </w:r>
    </w:p>
    <w:p>
      <w:pPr>
        <w:pStyle w:val="5"/>
        <w:pageBreakBefore w:val="0"/>
        <w:numPr>
          <w:ilvl w:val="0"/>
          <w:numId w:val="1"/>
        </w:numPr>
        <w:kinsoku/>
        <w:wordWrap/>
        <w:overflowPunct/>
        <w:topLinePunct w:val="0"/>
        <w:autoSpaceDN/>
        <w:bidi w:val="0"/>
        <w:adjustRightInd/>
        <w:snapToGrid/>
        <w:spacing w:line="520" w:lineRule="exact"/>
        <w:ind w:left="0" w:leftChars="0" w:firstLine="0" w:firstLineChars="0"/>
        <w:textAlignment w:val="auto"/>
        <w:rPr>
          <w:rFonts w:hint="eastAsia" w:ascii="黑体" w:hAnsi="黑体" w:eastAsia="黑体"/>
          <w:b w:val="0"/>
          <w:sz w:val="28"/>
          <w:szCs w:val="28"/>
        </w:rPr>
      </w:pPr>
      <w:r>
        <w:rPr>
          <w:rFonts w:hint="eastAsia" w:ascii="黑体" w:hAnsi="黑体" w:eastAsia="黑体"/>
          <w:b w:val="0"/>
          <w:sz w:val="28"/>
          <w:szCs w:val="28"/>
        </w:rPr>
        <w:t>机构设置</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四川省剑阁县剑门中学校下属二级单位0个，其中行政单位0个，参照公务员法管理的事业单位0个，其他事业单位0个。</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无纳入四川省剑阁县剑门中学校2022年度部门决算编制范围的二级预算单位。</w:t>
      </w:r>
    </w:p>
    <w:bookmarkEnd w:id="14"/>
    <w:bookmarkEnd w:id="15"/>
    <w:p>
      <w:pPr>
        <w:widowControl/>
        <w:jc w:val="left"/>
        <w:rPr>
          <w:rStyle w:val="26"/>
          <w:rFonts w:hint="eastAsia" w:ascii="黑体" w:hAnsi="黑体" w:eastAsia="黑体"/>
          <w:b w:val="0"/>
          <w:bCs/>
        </w:rPr>
      </w:pPr>
      <w:bookmarkStart w:id="16" w:name="_Toc15396602"/>
      <w:bookmarkStart w:id="17" w:name="_Toc15377204"/>
    </w:p>
    <w:p>
      <w:pPr>
        <w:widowControl/>
        <w:jc w:val="left"/>
        <w:rPr>
          <w:rStyle w:val="26"/>
          <w:rFonts w:ascii="黑体" w:hAnsi="黑体" w:eastAsia="黑体"/>
          <w:b w:val="0"/>
          <w:bCs/>
        </w:rPr>
      </w:pPr>
      <w:r>
        <w:rPr>
          <w:rStyle w:val="26"/>
          <w:rFonts w:hint="eastAsia" w:ascii="黑体" w:hAnsi="黑体" w:eastAsia="黑体"/>
          <w:b w:val="0"/>
          <w:bCs/>
        </w:rPr>
        <w:t>第二部分 2022年度单位决算情况说明</w:t>
      </w:r>
      <w:bookmarkEnd w:id="16"/>
      <w:bookmarkEnd w:id="17"/>
    </w:p>
    <w:p/>
    <w:p>
      <w:pPr>
        <w:pStyle w:val="25"/>
        <w:numPr>
          <w:ilvl w:val="0"/>
          <w:numId w:val="2"/>
        </w:numPr>
        <w:spacing w:line="600" w:lineRule="exact"/>
        <w:ind w:left="1560" w:leftChars="0" w:firstLineChars="0"/>
        <w:outlineLvl w:val="1"/>
        <w:rPr>
          <w:rStyle w:val="27"/>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2022年度收、支总计1127.26万元。与2021年1264.05万元相比，收、支总计各减少136.79万元，下降10.82%。主要变动原因是项目资金减少。</w:t>
      </w:r>
    </w:p>
    <w:p>
      <w:pPr>
        <w:pStyle w:val="2"/>
        <w:ind w:firstLine="1980" w:firstLineChars="900"/>
        <w:rPr>
          <w:rFonts w:hint="default"/>
          <w:lang w:val="en-US"/>
        </w:rPr>
      </w:pPr>
      <w:r>
        <w:rPr>
          <w:rFonts w:hint="eastAsia" w:ascii="宋体" w:hAnsi="宋体" w:eastAsia="宋体" w:cs="宋体"/>
          <w:i w:val="0"/>
          <w:iCs w:val="0"/>
          <w:color w:val="000000"/>
          <w:kern w:val="0"/>
          <w:sz w:val="22"/>
          <w:szCs w:val="22"/>
          <w:u w:val="none"/>
          <w:lang w:val="en-US" w:eastAsia="zh-CN" w:bidi="ar"/>
        </w:rPr>
        <w:t>图1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收支决算总计变动情况图</w:t>
      </w:r>
      <w:r>
        <w:rPr>
          <w:rFonts w:hint="eastAsia" w:ascii="宋体" w:hAnsi="宋体" w:cs="宋体"/>
          <w:i w:val="0"/>
          <w:iCs w:val="0"/>
          <w:color w:val="000000"/>
          <w:kern w:val="0"/>
          <w:sz w:val="22"/>
          <w:szCs w:val="22"/>
          <w:u w:val="none"/>
          <w:lang w:val="en-US" w:eastAsia="zh-CN" w:bidi="ar"/>
        </w:rPr>
        <w:t xml:space="preserve">  单位：万元</w:t>
      </w:r>
    </w:p>
    <w:p>
      <w:pPr>
        <w:spacing w:line="600" w:lineRule="exact"/>
        <w:ind w:firstLine="880" w:firstLineChars="400"/>
        <w:rPr>
          <w:rFonts w:hint="eastAsia" w:ascii="仿宋" w:hAnsi="仿宋" w:eastAsia="仿宋"/>
          <w:sz w:val="32"/>
          <w:szCs w:val="32"/>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163830</wp:posOffset>
            </wp:positionH>
            <wp:positionV relativeFrom="paragraph">
              <wp:posOffset>201930</wp:posOffset>
            </wp:positionV>
            <wp:extent cx="4572000" cy="2743200"/>
            <wp:effectExtent l="0" t="0" r="0" b="0"/>
            <wp:wrapNone/>
            <wp:docPr id="1" name="图表_1"/>
            <wp:cNvGraphicFramePr/>
            <a:graphic xmlns:a="http://schemas.openxmlformats.org/drawingml/2006/main">
              <a:graphicData uri="http://schemas.openxmlformats.org/drawingml/2006/picture">
                <pic:pic xmlns:pic="http://schemas.openxmlformats.org/drawingml/2006/picture">
                  <pic:nvPicPr>
                    <pic:cNvPr id="1" name="图表_1"/>
                    <pic:cNvPicPr/>
                  </pic:nvPicPr>
                  <pic:blipFill>
                    <a:blip r:embed="rId6"/>
                    <a:stretch>
                      <a:fillRect/>
                    </a:stretch>
                  </pic:blipFill>
                  <pic:spPr>
                    <a:xfrm>
                      <a:off x="0" y="0"/>
                      <a:ext cx="4572000" cy="2743200"/>
                    </a:xfrm>
                    <a:prstGeom prst="rect">
                      <a:avLst/>
                    </a:prstGeom>
                    <a:noFill/>
                    <a:ln>
                      <a:noFill/>
                    </a:ln>
                  </pic:spPr>
                </pic:pic>
              </a:graphicData>
            </a:graphic>
          </wp:anchor>
        </w:drawing>
      </w:r>
    </w:p>
    <w:p>
      <w:pPr>
        <w:pStyle w:val="2"/>
        <w:rPr>
          <w:rFonts w:hint="eastAsia" w:ascii="仿宋" w:hAnsi="仿宋" w:eastAsia="仿宋"/>
          <w:sz w:val="32"/>
          <w:szCs w:val="32"/>
        </w:rPr>
      </w:pPr>
    </w:p>
    <w:p/>
    <w:p>
      <w:pPr>
        <w:spacing w:line="600" w:lineRule="exact"/>
        <w:ind w:firstLine="640" w:firstLineChars="200"/>
        <w:jc w:val="left"/>
        <w:rPr>
          <w:rFonts w:ascii="仿宋_GB2312" w:eastAsia="仿宋_GB2312"/>
          <w:sz w:val="32"/>
          <w:szCs w:val="32"/>
        </w:rPr>
      </w:pPr>
    </w:p>
    <w:p>
      <w:pPr>
        <w:pStyle w:val="25"/>
        <w:widowControl w:val="0"/>
        <w:numPr>
          <w:ilvl w:val="0"/>
          <w:numId w:val="0"/>
        </w:numPr>
        <w:spacing w:line="600" w:lineRule="exact"/>
        <w:jc w:val="both"/>
        <w:outlineLvl w:val="1"/>
        <w:rPr>
          <w:rStyle w:val="27"/>
          <w:rFonts w:ascii="黑体" w:hAnsi="黑体" w:eastAsia="黑体"/>
          <w:b w:val="0"/>
        </w:rPr>
      </w:pPr>
      <w:bookmarkStart w:id="20" w:name="_Toc15377206"/>
      <w:bookmarkStart w:id="21" w:name="_Toc15396604"/>
    </w:p>
    <w:p>
      <w:pPr>
        <w:pStyle w:val="25"/>
        <w:widowControl w:val="0"/>
        <w:numPr>
          <w:ilvl w:val="0"/>
          <w:numId w:val="0"/>
        </w:numPr>
        <w:spacing w:line="600" w:lineRule="exact"/>
        <w:jc w:val="both"/>
        <w:outlineLvl w:val="1"/>
        <w:rPr>
          <w:rStyle w:val="27"/>
          <w:rFonts w:ascii="黑体" w:hAnsi="黑体" w:eastAsia="黑体"/>
          <w:b w:val="0"/>
        </w:rPr>
      </w:pPr>
    </w:p>
    <w:p>
      <w:pPr>
        <w:pStyle w:val="25"/>
        <w:widowControl w:val="0"/>
        <w:numPr>
          <w:ilvl w:val="0"/>
          <w:numId w:val="0"/>
        </w:numPr>
        <w:spacing w:line="600" w:lineRule="exact"/>
        <w:jc w:val="both"/>
        <w:outlineLvl w:val="1"/>
        <w:rPr>
          <w:rStyle w:val="27"/>
          <w:rFonts w:ascii="黑体" w:hAnsi="黑体" w:eastAsia="黑体"/>
          <w:b w:val="0"/>
        </w:rPr>
      </w:pPr>
    </w:p>
    <w:p>
      <w:pPr>
        <w:pStyle w:val="25"/>
        <w:numPr>
          <w:ilvl w:val="0"/>
          <w:numId w:val="0"/>
        </w:numPr>
        <w:spacing w:line="600" w:lineRule="exact"/>
        <w:outlineLvl w:val="1"/>
        <w:rPr>
          <w:rStyle w:val="27"/>
          <w:rFonts w:ascii="黑体" w:hAnsi="黑体" w:eastAsia="黑体"/>
          <w:b w:val="0"/>
        </w:rPr>
      </w:pPr>
    </w:p>
    <w:p>
      <w:pPr>
        <w:pStyle w:val="25"/>
        <w:numPr>
          <w:ilvl w:val="0"/>
          <w:numId w:val="0"/>
        </w:numPr>
        <w:spacing w:line="600" w:lineRule="exact"/>
        <w:outlineLvl w:val="1"/>
        <w:rPr>
          <w:rFonts w:hint="eastAsia" w:ascii="黑体" w:hAnsi="黑体" w:eastAsia="黑体"/>
          <w:sz w:val="32"/>
          <w:szCs w:val="32"/>
        </w:rPr>
      </w:pPr>
    </w:p>
    <w:p>
      <w:pPr>
        <w:pStyle w:val="25"/>
        <w:numPr>
          <w:ilvl w:val="0"/>
          <w:numId w:val="0"/>
        </w:numPr>
        <w:spacing w:line="600" w:lineRule="exact"/>
        <w:ind w:firstLine="640" w:firstLineChars="200"/>
        <w:outlineLvl w:val="1"/>
        <w:rPr>
          <w:rFonts w:hint="eastAsia" w:ascii="黑体" w:hAnsi="黑体" w:eastAsia="黑体"/>
          <w:sz w:val="32"/>
          <w:szCs w:val="32"/>
          <w:lang w:eastAsia="zh-CN"/>
        </w:rPr>
      </w:pPr>
    </w:p>
    <w:p>
      <w:pPr>
        <w:pStyle w:val="25"/>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2022年本年收入合计1122.54万元，其中：一般公共预算财政拨款收入1122.54万元，占100%；政府性基金预算财政拨款收入0.0万元，占0.00%；国有资本经营预算财政拨款收入0.00万元，占0.00%；上级补助收入0.00万元，占0.00%；事业收入0.00万元，占0.00%；经营收入0.00万元，占0.00%；附属单位上缴收入0.00万元，占0.00%；其他收入0.00万元，占0.00%。</w:t>
      </w:r>
    </w:p>
    <w:p>
      <w:pPr>
        <w:pStyle w:val="2"/>
      </w:pPr>
    </w:p>
    <w:p>
      <w:pPr>
        <w:spacing w:line="600" w:lineRule="exact"/>
        <w:ind w:firstLine="2560" w:firstLineChars="800"/>
        <w:rPr>
          <w:rFonts w:hint="eastAsia" w:ascii="黑体" w:hAnsi="黑体" w:eastAsia="黑体"/>
          <w:sz w:val="32"/>
          <w:szCs w:val="32"/>
          <w:lang w:eastAsia="zh-CN"/>
        </w:rPr>
      </w:pPr>
      <w:r>
        <w:rPr>
          <w:rFonts w:hint="eastAsia" w:ascii="仿宋" w:hAnsi="仿宋" w:eastAsia="仿宋"/>
          <w:sz w:val="32"/>
          <w:szCs w:val="32"/>
        </w:rPr>
        <w:t>（图2：收入决算结构图）</w:t>
      </w:r>
      <w:bookmarkStart w:id="22" w:name="_Toc15396605"/>
      <w:bookmarkStart w:id="23" w:name="_Toc15377207"/>
    </w:p>
    <w:p>
      <w:pPr>
        <w:pStyle w:val="25"/>
        <w:numPr>
          <w:ilvl w:val="0"/>
          <w:numId w:val="0"/>
        </w:numPr>
        <w:spacing w:line="600" w:lineRule="exact"/>
        <w:ind w:left="840" w:leftChars="0"/>
        <w:outlineLvl w:val="1"/>
        <w:rPr>
          <w:rFonts w:hint="eastAsia" w:ascii="黑体" w:hAnsi="黑体" w:eastAsia="黑体"/>
          <w:sz w:val="32"/>
          <w:szCs w:val="32"/>
          <w:lang w:eastAsia="zh-CN"/>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417830</wp:posOffset>
            </wp:positionH>
            <wp:positionV relativeFrom="paragraph">
              <wp:posOffset>-507365</wp:posOffset>
            </wp:positionV>
            <wp:extent cx="4572000" cy="2743200"/>
            <wp:effectExtent l="0" t="0" r="0" b="0"/>
            <wp:wrapNone/>
            <wp:docPr id="15" name="图表_2"/>
            <wp:cNvGraphicFramePr/>
            <a:graphic xmlns:a="http://schemas.openxmlformats.org/drawingml/2006/main">
              <a:graphicData uri="http://schemas.openxmlformats.org/drawingml/2006/picture">
                <pic:pic xmlns:pic="http://schemas.openxmlformats.org/drawingml/2006/picture">
                  <pic:nvPicPr>
                    <pic:cNvPr id="15" name="图表_2"/>
                    <pic:cNvPicPr/>
                  </pic:nvPicPr>
                  <pic:blipFill>
                    <a:blip r:embed="rId7"/>
                    <a:stretch>
                      <a:fillRect/>
                    </a:stretch>
                  </pic:blipFill>
                  <pic:spPr>
                    <a:xfrm>
                      <a:off x="0" y="0"/>
                      <a:ext cx="4572000" cy="2743200"/>
                    </a:xfrm>
                    <a:prstGeom prst="rect">
                      <a:avLst/>
                    </a:prstGeom>
                    <a:noFill/>
                    <a:ln>
                      <a:noFill/>
                    </a:ln>
                  </pic:spPr>
                </pic:pic>
              </a:graphicData>
            </a:graphic>
          </wp:anchor>
        </w:drawing>
      </w: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Fonts w:hint="eastAsia" w:ascii="黑体" w:hAnsi="黑体" w:eastAsia="黑体"/>
          <w:sz w:val="32"/>
          <w:szCs w:val="32"/>
          <w:lang w:eastAsia="zh-CN"/>
        </w:rPr>
      </w:pPr>
    </w:p>
    <w:p>
      <w:pPr>
        <w:pStyle w:val="25"/>
        <w:numPr>
          <w:ilvl w:val="0"/>
          <w:numId w:val="0"/>
        </w:numPr>
        <w:spacing w:line="600" w:lineRule="exact"/>
        <w:ind w:left="840" w:leftChars="0"/>
        <w:outlineLvl w:val="1"/>
        <w:rPr>
          <w:rStyle w:val="27"/>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numPr>
          <w:ilvl w:val="0"/>
          <w:numId w:val="0"/>
        </w:numPr>
        <w:ind w:leftChars="0" w:firstLine="560" w:firstLineChars="200"/>
        <w:rPr>
          <w:rFonts w:hint="eastAsia" w:ascii="仿宋" w:hAnsi="仿宋" w:eastAsia="仿宋"/>
          <w:sz w:val="32"/>
          <w:szCs w:val="32"/>
        </w:rPr>
      </w:pPr>
      <w:r>
        <w:rPr>
          <w:rFonts w:hint="eastAsia" w:ascii="仿宋" w:hAnsi="仿宋" w:eastAsia="仿宋" w:cs="Times New Roman"/>
          <w:kern w:val="2"/>
          <w:sz w:val="28"/>
          <w:szCs w:val="28"/>
          <w:lang w:val="en-US" w:eastAsia="zh-CN" w:bidi="ar-SA"/>
        </w:rPr>
        <w:t>2022年本年支出合计1127.26万元，其中：基本支出1127.26万元，占100%；项目支出0万元，占000%；上缴上级支出0.00万元，占0.00%；经营支出0.00万元，占0.00%；对附属单位补助支出0.00万元，占0.00%。</w:t>
      </w:r>
    </w:p>
    <w:p>
      <w:pPr>
        <w:spacing w:line="600" w:lineRule="exact"/>
        <w:ind w:firstLine="1960" w:firstLineChars="700"/>
        <w:rPr>
          <w:rFonts w:hint="eastAsia" w:ascii="仿宋" w:hAnsi="仿宋" w:eastAsia="仿宋"/>
          <w:sz w:val="28"/>
          <w:szCs w:val="28"/>
        </w:rPr>
      </w:pPr>
    </w:p>
    <w:p>
      <w:pPr>
        <w:spacing w:line="600" w:lineRule="exact"/>
        <w:ind w:firstLine="1960" w:firstLineChars="700"/>
        <w:rPr>
          <w:rFonts w:hint="eastAsia" w:ascii="仿宋" w:hAnsi="仿宋" w:eastAsia="仿宋"/>
          <w:sz w:val="28"/>
          <w:szCs w:val="28"/>
        </w:rPr>
      </w:pPr>
    </w:p>
    <w:p>
      <w:pPr>
        <w:spacing w:line="600" w:lineRule="exact"/>
        <w:ind w:firstLine="1960" w:firstLineChars="700"/>
        <w:rPr>
          <w:rFonts w:hint="eastAsia" w:ascii="仿宋" w:hAnsi="仿宋" w:eastAsia="仿宋"/>
          <w:sz w:val="28"/>
          <w:szCs w:val="28"/>
        </w:rPr>
      </w:pPr>
    </w:p>
    <w:p>
      <w:pPr>
        <w:spacing w:line="600" w:lineRule="exact"/>
        <w:ind w:firstLine="1960" w:firstLineChars="700"/>
        <w:rPr>
          <w:rFonts w:hint="eastAsia" w:ascii="仿宋" w:hAnsi="仿宋" w:eastAsia="仿宋"/>
          <w:sz w:val="28"/>
          <w:szCs w:val="28"/>
        </w:rPr>
      </w:pPr>
    </w:p>
    <w:p>
      <w:pPr>
        <w:spacing w:line="600" w:lineRule="exact"/>
        <w:ind w:firstLine="1960" w:firstLineChars="700"/>
        <w:rPr>
          <w:rFonts w:hint="eastAsia" w:ascii="仿宋" w:hAnsi="仿宋" w:eastAsia="仿宋"/>
          <w:sz w:val="28"/>
          <w:szCs w:val="28"/>
        </w:rPr>
      </w:pPr>
      <w:r>
        <w:rPr>
          <w:rFonts w:hint="eastAsia" w:ascii="仿宋" w:hAnsi="仿宋" w:eastAsia="仿宋"/>
          <w:sz w:val="28"/>
          <w:szCs w:val="28"/>
        </w:rPr>
        <w:t>（图3：支出决算结构图）</w:t>
      </w:r>
    </w:p>
    <w:p>
      <w:pPr>
        <w:pStyle w:val="2"/>
        <w:rPr>
          <w:rFonts w:hint="eastAsia" w:ascii="仿宋" w:hAnsi="仿宋" w:eastAsia="仿宋"/>
          <w:sz w:val="32"/>
          <w:szCs w:val="32"/>
        </w:rPr>
      </w:pPr>
    </w:p>
    <w:p>
      <w:pPr>
        <w:rPr>
          <w:rFonts w:hint="eastAsia"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
      <w:pPr>
        <w:spacing w:line="600" w:lineRule="exact"/>
        <w:ind w:firstLine="640" w:firstLineChars="200"/>
        <w:outlineLvl w:val="1"/>
        <w:rPr>
          <w:rStyle w:val="27"/>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numPr>
          <w:ilvl w:val="0"/>
          <w:numId w:val="0"/>
        </w:numPr>
        <w:ind w:leftChars="0" w:firstLine="640" w:firstLineChars="200"/>
        <w:rPr>
          <w:rFonts w:hint="eastAsia" w:ascii="仿宋" w:hAnsi="仿宋" w:eastAsia="仿宋" w:cs="Times New Roman"/>
          <w:kern w:val="2"/>
          <w:sz w:val="28"/>
          <w:szCs w:val="28"/>
          <w:lang w:val="en-US" w:eastAsia="zh-CN" w:bidi="ar-SA"/>
        </w:rPr>
      </w:pPr>
      <w:r>
        <w:rPr>
          <w:rFonts w:hint="eastAsia" w:ascii="仿宋" w:hAnsi="仿宋" w:eastAsia="仿宋"/>
          <w:sz w:val="32"/>
          <w:szCs w:val="32"/>
        </w:rPr>
        <w:t>2</w:t>
      </w:r>
      <w:r>
        <w:rPr>
          <w:rFonts w:hint="eastAsia" w:ascii="仿宋" w:hAnsi="仿宋" w:eastAsia="仿宋" w:cs="Times New Roman"/>
          <w:kern w:val="2"/>
          <w:sz w:val="28"/>
          <w:szCs w:val="28"/>
          <w:lang w:val="en-US" w:eastAsia="zh-CN" w:bidi="ar-SA"/>
        </w:rPr>
        <w:t>022年度收、支总计1127.26万元。与2021年1264.05万元相比，收、支总计各减少136.79万元，下降10.82%。主要变动原因是项目资金减少。</w:t>
      </w:r>
    </w:p>
    <w:p>
      <w:pPr>
        <w:numPr>
          <w:ilvl w:val="0"/>
          <w:numId w:val="0"/>
        </w:numPr>
        <w:ind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（图4：财政拨款收、支决算总计变动情况 单位：万元）</w:t>
      </w:r>
    </w:p>
    <w:p>
      <w:pPr>
        <w:pStyle w:val="2"/>
        <w:rPr>
          <w:rFonts w:hint="eastAsia" w:ascii="仿宋" w:hAnsi="仿宋" w:eastAsia="仿宋"/>
          <w:sz w:val="32"/>
          <w:szCs w:val="32"/>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338455</wp:posOffset>
            </wp:positionH>
            <wp:positionV relativeFrom="paragraph">
              <wp:posOffset>13335</wp:posOffset>
            </wp:positionV>
            <wp:extent cx="4572000" cy="2743200"/>
            <wp:effectExtent l="0" t="0" r="0" b="0"/>
            <wp:wrapNone/>
            <wp:docPr id="16" name="图表_1"/>
            <wp:cNvGraphicFramePr/>
            <a:graphic xmlns:a="http://schemas.openxmlformats.org/drawingml/2006/main">
              <a:graphicData uri="http://schemas.openxmlformats.org/drawingml/2006/picture">
                <pic:pic xmlns:pic="http://schemas.openxmlformats.org/drawingml/2006/picture">
                  <pic:nvPicPr>
                    <pic:cNvPr id="16" name="图表_1"/>
                    <pic:cNvPicPr/>
                  </pic:nvPicPr>
                  <pic:blipFill>
                    <a:blip r:embed="rId9"/>
                    <a:stretch>
                      <a:fillRect/>
                    </a:stretch>
                  </pic:blipFill>
                  <pic:spPr>
                    <a:xfrm>
                      <a:off x="0" y="0"/>
                      <a:ext cx="4572000" cy="2743200"/>
                    </a:xfrm>
                    <a:prstGeom prst="rect">
                      <a:avLst/>
                    </a:prstGeom>
                    <a:noFill/>
                    <a:ln>
                      <a:noFill/>
                    </a:ln>
                  </pic:spPr>
                </pic:pic>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pPr>
    </w:p>
    <w:p>
      <w:pPr>
        <w:spacing w:line="600" w:lineRule="exact"/>
        <w:ind w:firstLine="640"/>
        <w:rPr>
          <w:rFonts w:ascii="仿宋" w:hAnsi="仿宋" w:eastAsia="仿宋"/>
          <w:b/>
          <w:sz w:val="32"/>
          <w:szCs w:val="32"/>
        </w:rPr>
      </w:pPr>
    </w:p>
    <w:p>
      <w:pPr>
        <w:spacing w:line="600" w:lineRule="exact"/>
        <w:ind w:firstLine="640" w:firstLineChars="200"/>
        <w:outlineLvl w:val="1"/>
        <w:rPr>
          <w:rStyle w:val="2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hint="eastAsia" w:ascii="仿宋" w:hAnsi="仿宋" w:eastAsia="仿宋"/>
          <w:b/>
          <w:sz w:val="32"/>
          <w:szCs w:val="32"/>
        </w:rPr>
      </w:pPr>
      <w:bookmarkStart w:id="28" w:name="_Toc15377210"/>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bookmarkEnd w:id="28"/>
    </w:p>
    <w:p>
      <w:pPr>
        <w:numPr>
          <w:ilvl w:val="0"/>
          <w:numId w:val="0"/>
        </w:numPr>
        <w:ind w:leftChars="0" w:firstLine="560" w:firstLineChars="200"/>
        <w:rPr>
          <w:rFonts w:hint="eastAsia" w:ascii="仿宋" w:hAnsi="仿宋" w:eastAsia="仿宋"/>
          <w:sz w:val="28"/>
          <w:szCs w:val="28"/>
          <w:lang w:eastAsia="zh-CN"/>
        </w:rPr>
      </w:pPr>
      <w:r>
        <w:rPr>
          <w:rFonts w:hint="eastAsia" w:ascii="仿宋" w:hAnsi="仿宋" w:eastAsia="仿宋"/>
          <w:sz w:val="28"/>
          <w:szCs w:val="28"/>
        </w:rPr>
        <w:t>2022年一般公共预算财政拨款支出</w:t>
      </w:r>
      <w:r>
        <w:rPr>
          <w:rFonts w:hint="eastAsia" w:ascii="仿宋" w:hAnsi="仿宋" w:eastAsia="仿宋"/>
          <w:sz w:val="28"/>
          <w:szCs w:val="28"/>
          <w:lang w:val="en-US" w:eastAsia="zh-CN"/>
        </w:rPr>
        <w:t>1127.26</w:t>
      </w:r>
      <w:r>
        <w:rPr>
          <w:rFonts w:hint="eastAsia" w:ascii="仿宋" w:hAnsi="仿宋" w:eastAsia="仿宋"/>
          <w:sz w:val="28"/>
          <w:szCs w:val="28"/>
        </w:rPr>
        <w:t>万元，占本年支出合计的</w:t>
      </w:r>
      <w:r>
        <w:rPr>
          <w:rFonts w:hint="eastAsia" w:ascii="仿宋" w:hAnsi="仿宋" w:eastAsia="仿宋"/>
          <w:sz w:val="28"/>
          <w:szCs w:val="28"/>
          <w:lang w:val="en-US" w:eastAsia="zh-CN"/>
        </w:rPr>
        <w:t>100</w:t>
      </w:r>
      <w:r>
        <w:rPr>
          <w:rFonts w:hint="eastAsia" w:ascii="仿宋" w:hAnsi="仿宋" w:eastAsia="仿宋"/>
          <w:sz w:val="28"/>
          <w:szCs w:val="28"/>
        </w:rPr>
        <w:t>%。与2021年</w:t>
      </w:r>
      <w:r>
        <w:rPr>
          <w:rFonts w:hint="eastAsia" w:ascii="仿宋" w:hAnsi="仿宋" w:eastAsia="仿宋"/>
          <w:sz w:val="28"/>
          <w:szCs w:val="28"/>
          <w:lang w:val="en-US" w:eastAsia="zh-CN"/>
        </w:rPr>
        <w:t>1264.05</w:t>
      </w:r>
      <w:r>
        <w:rPr>
          <w:rFonts w:hint="eastAsia" w:ascii="仿宋" w:hAnsi="仿宋" w:eastAsia="仿宋"/>
          <w:sz w:val="28"/>
          <w:szCs w:val="28"/>
        </w:rPr>
        <w:t>相比，一般公共预算财政拨款支出减少</w:t>
      </w:r>
      <w:r>
        <w:rPr>
          <w:rFonts w:hint="eastAsia" w:ascii="仿宋" w:hAnsi="仿宋" w:eastAsia="仿宋"/>
          <w:sz w:val="28"/>
          <w:szCs w:val="28"/>
          <w:lang w:val="en-US" w:eastAsia="zh-CN"/>
        </w:rPr>
        <w:t>136.79</w:t>
      </w:r>
      <w:r>
        <w:rPr>
          <w:rFonts w:hint="eastAsia" w:ascii="仿宋" w:hAnsi="仿宋" w:eastAsia="仿宋"/>
          <w:sz w:val="28"/>
          <w:szCs w:val="28"/>
        </w:rPr>
        <w:t>万元，下降</w:t>
      </w:r>
      <w:r>
        <w:rPr>
          <w:rFonts w:hint="eastAsia" w:ascii="仿宋" w:hAnsi="仿宋" w:eastAsia="仿宋"/>
          <w:sz w:val="28"/>
          <w:szCs w:val="28"/>
          <w:lang w:val="en-US" w:eastAsia="zh-CN"/>
        </w:rPr>
        <w:t>10.82</w:t>
      </w:r>
      <w:r>
        <w:rPr>
          <w:rFonts w:hint="eastAsia" w:ascii="仿宋" w:hAnsi="仿宋" w:eastAsia="仿宋"/>
          <w:sz w:val="28"/>
          <w:szCs w:val="28"/>
        </w:rPr>
        <w:t>%。主要变动原因是</w:t>
      </w:r>
      <w:r>
        <w:rPr>
          <w:rFonts w:hint="eastAsia" w:ascii="仿宋" w:hAnsi="仿宋" w:eastAsia="仿宋"/>
          <w:sz w:val="28"/>
          <w:szCs w:val="28"/>
          <w:lang w:eastAsia="zh-CN"/>
        </w:rPr>
        <w:t>项目支出减少。</w:t>
      </w:r>
    </w:p>
    <w:p>
      <w:pPr>
        <w:spacing w:line="600" w:lineRule="exact"/>
        <w:rPr>
          <w:rFonts w:hint="eastAsia" w:ascii="仿宋" w:hAnsi="仿宋" w:eastAsia="仿宋"/>
          <w:sz w:val="28"/>
          <w:szCs w:val="28"/>
        </w:rPr>
      </w:pPr>
      <w:r>
        <w:rPr>
          <w:rFonts w:hint="eastAsia" w:ascii="仿宋" w:hAnsi="仿宋" w:eastAsia="仿宋"/>
          <w:sz w:val="28"/>
          <w:szCs w:val="28"/>
        </w:rPr>
        <w:t>（图5：一般公共预算财政拨款支出决算变动情况</w:t>
      </w:r>
      <w:r>
        <w:rPr>
          <w:rFonts w:hint="eastAsia" w:ascii="仿宋" w:hAnsi="仿宋" w:eastAsia="仿宋"/>
          <w:sz w:val="28"/>
          <w:szCs w:val="28"/>
          <w:lang w:val="en-US" w:eastAsia="zh-CN"/>
        </w:rPr>
        <w:t xml:space="preserve"> 单位：万元</w:t>
      </w:r>
      <w:r>
        <w:rPr>
          <w:rFonts w:hint="eastAsia" w:ascii="仿宋" w:hAnsi="仿宋" w:eastAsia="仿宋"/>
          <w:sz w:val="28"/>
          <w:szCs w:val="28"/>
        </w:rPr>
        <w:t>）</w:t>
      </w:r>
    </w:p>
    <w:p>
      <w:pPr>
        <w:rPr>
          <w:rFonts w:hint="eastAsia" w:ascii="仿宋" w:hAnsi="仿宋" w:eastAsia="仿宋"/>
          <w:sz w:val="32"/>
          <w:szCs w:val="32"/>
        </w:rPr>
      </w:pPr>
    </w:p>
    <w:p>
      <w:pPr>
        <w:pStyle w:val="2"/>
        <w:rPr>
          <w:rFonts w:hint="eastAsia" w:ascii="仿宋" w:hAnsi="仿宋" w:eastAsia="仿宋"/>
          <w:sz w:val="32"/>
          <w:szCs w:val="32"/>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8255</wp:posOffset>
            </wp:positionV>
            <wp:extent cx="4572000" cy="2743200"/>
            <wp:effectExtent l="0" t="0" r="0" b="0"/>
            <wp:wrapNone/>
            <wp:docPr id="17" name="图表_2"/>
            <wp:cNvGraphicFramePr/>
            <a:graphic xmlns:a="http://schemas.openxmlformats.org/drawingml/2006/main">
              <a:graphicData uri="http://schemas.openxmlformats.org/drawingml/2006/picture">
                <pic:pic xmlns:pic="http://schemas.openxmlformats.org/drawingml/2006/picture">
                  <pic:nvPicPr>
                    <pic:cNvPr id="17" name="图表_2"/>
                    <pic:cNvPicPr/>
                  </pic:nvPicPr>
                  <pic:blipFill>
                    <a:blip r:embed="rId10"/>
                    <a:stretch>
                      <a:fillRect/>
                    </a:stretch>
                  </pic:blipFill>
                  <pic:spPr>
                    <a:xfrm>
                      <a:off x="0" y="0"/>
                      <a:ext cx="4572000" cy="2743200"/>
                    </a:xfrm>
                    <a:prstGeom prst="rect">
                      <a:avLst/>
                    </a:prstGeom>
                    <a:noFill/>
                    <a:ln>
                      <a:noFill/>
                    </a:ln>
                  </pic:spPr>
                </pic:pic>
              </a:graphicData>
            </a:graphic>
          </wp:anchor>
        </w:drawing>
      </w: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pPr>
    </w:p>
    <w:p>
      <w:pPr>
        <w:spacing w:line="600" w:lineRule="exact"/>
        <w:ind w:firstLine="640" w:firstLineChars="200"/>
        <w:rPr>
          <w:rFonts w:ascii="仿宋" w:hAnsi="仿宋" w:eastAsia="仿宋"/>
          <w:sz w:val="32"/>
          <w:szCs w:val="32"/>
        </w:rPr>
      </w:pPr>
    </w:p>
    <w:p>
      <w:pPr>
        <w:pStyle w:val="2"/>
        <w:rPr>
          <w:rFonts w:ascii="仿宋" w:hAnsi="仿宋" w:eastAsia="仿宋"/>
          <w:sz w:val="32"/>
          <w:szCs w:val="32"/>
        </w:rPr>
      </w:pPr>
    </w:p>
    <w:p/>
    <w:p>
      <w:pPr>
        <w:numPr>
          <w:ilvl w:val="0"/>
          <w:numId w:val="0"/>
        </w:numPr>
        <w:ind w:leftChars="0" w:firstLine="643" w:firstLineChars="200"/>
        <w:rPr>
          <w:rFonts w:hint="eastAsia" w:ascii="仿宋" w:hAnsi="仿宋" w:eastAsia="仿宋"/>
          <w:sz w:val="32"/>
          <w:szCs w:val="32"/>
        </w:rPr>
      </w:pPr>
      <w:bookmarkStart w:id="29" w:name="_Toc15377211"/>
      <w:r>
        <w:rPr>
          <w:rFonts w:hint="eastAsia" w:ascii="仿宋" w:hAnsi="仿宋" w:eastAsia="仿宋"/>
          <w:b/>
          <w:sz w:val="32"/>
          <w:szCs w:val="32"/>
        </w:rPr>
        <w:t>（二）一般公共预算财政拨款支出决算结构情况</w:t>
      </w:r>
      <w:bookmarkEnd w:id="29"/>
    </w:p>
    <w:p>
      <w:pPr>
        <w:numPr>
          <w:ilvl w:val="0"/>
          <w:numId w:val="0"/>
        </w:numPr>
        <w:ind w:leftChars="0" w:firstLine="560" w:firstLineChars="200"/>
        <w:rPr>
          <w:rFonts w:hint="eastAsia" w:ascii="仿宋" w:hAnsi="仿宋" w:eastAsia="仿宋"/>
          <w:sz w:val="28"/>
          <w:szCs w:val="28"/>
        </w:rPr>
      </w:pPr>
      <w:r>
        <w:rPr>
          <w:rFonts w:hint="eastAsia" w:ascii="仿宋" w:hAnsi="仿宋" w:eastAsia="仿宋"/>
          <w:sz w:val="28"/>
          <w:szCs w:val="28"/>
        </w:rPr>
        <w:t>2022年一般公共预算财政拨款支出</w:t>
      </w:r>
      <w:r>
        <w:rPr>
          <w:rFonts w:hint="eastAsia" w:ascii="仿宋" w:hAnsi="仿宋" w:eastAsia="仿宋"/>
          <w:sz w:val="28"/>
          <w:szCs w:val="28"/>
          <w:lang w:val="en-US" w:eastAsia="zh-CN"/>
        </w:rPr>
        <w:t>1127.26</w:t>
      </w:r>
      <w:r>
        <w:rPr>
          <w:rFonts w:hint="eastAsia" w:ascii="仿宋" w:hAnsi="仿宋" w:eastAsia="仿宋"/>
          <w:sz w:val="28"/>
          <w:szCs w:val="28"/>
        </w:rPr>
        <w:t>万元，主要用于以下方面</w:t>
      </w:r>
      <w:r>
        <w:rPr>
          <w:rFonts w:hint="eastAsia" w:ascii="仿宋" w:hAnsi="仿宋" w:eastAsia="仿宋"/>
          <w:sz w:val="28"/>
          <w:szCs w:val="28"/>
          <w:lang w:eastAsia="zh-CN"/>
        </w:rPr>
        <w:t>：</w:t>
      </w:r>
    </w:p>
    <w:p>
      <w:pPr>
        <w:numPr>
          <w:ilvl w:val="0"/>
          <w:numId w:val="0"/>
        </w:numPr>
        <w:ind w:leftChars="0" w:firstLine="560" w:firstLineChars="200"/>
        <w:rPr>
          <w:rFonts w:hint="eastAsia" w:ascii="仿宋" w:hAnsi="仿宋" w:eastAsia="仿宋"/>
          <w:sz w:val="28"/>
          <w:szCs w:val="28"/>
        </w:rPr>
      </w:pPr>
      <w:r>
        <w:rPr>
          <w:rFonts w:hint="eastAsia" w:ascii="仿宋" w:hAnsi="仿宋" w:eastAsia="仿宋"/>
          <w:sz w:val="28"/>
          <w:szCs w:val="28"/>
        </w:rPr>
        <w:t>一般公共服务支出</w:t>
      </w:r>
      <w:r>
        <w:rPr>
          <w:rFonts w:hint="eastAsia" w:ascii="仿宋" w:hAnsi="仿宋" w:eastAsia="仿宋"/>
          <w:sz w:val="28"/>
          <w:szCs w:val="28"/>
          <w:lang w:val="en-US" w:eastAsia="zh-CN"/>
        </w:rPr>
        <w:t>0</w:t>
      </w:r>
      <w:r>
        <w:rPr>
          <w:rFonts w:hint="eastAsia" w:ascii="仿宋" w:hAnsi="仿宋" w:eastAsia="仿宋"/>
          <w:sz w:val="28"/>
          <w:szCs w:val="28"/>
        </w:rPr>
        <w:t>万元，占</w:t>
      </w:r>
      <w:r>
        <w:rPr>
          <w:rFonts w:hint="eastAsia" w:ascii="仿宋" w:hAnsi="仿宋" w:eastAsia="仿宋"/>
          <w:sz w:val="28"/>
          <w:szCs w:val="28"/>
          <w:lang w:val="en-US" w:eastAsia="zh-CN"/>
        </w:rPr>
        <w:t>0</w:t>
      </w:r>
      <w:r>
        <w:rPr>
          <w:rFonts w:hint="eastAsia" w:ascii="仿宋" w:hAnsi="仿宋" w:eastAsia="仿宋"/>
          <w:sz w:val="28"/>
          <w:szCs w:val="28"/>
        </w:rPr>
        <w:t>%；教育支出</w:t>
      </w:r>
      <w:r>
        <w:rPr>
          <w:rFonts w:hint="eastAsia" w:ascii="仿宋" w:hAnsi="仿宋" w:eastAsia="仿宋"/>
          <w:sz w:val="28"/>
          <w:szCs w:val="28"/>
          <w:lang w:val="en-US" w:eastAsia="zh-CN"/>
        </w:rPr>
        <w:t>922.79</w:t>
      </w:r>
      <w:r>
        <w:rPr>
          <w:rFonts w:hint="eastAsia" w:ascii="仿宋" w:hAnsi="仿宋" w:eastAsia="仿宋"/>
          <w:sz w:val="28"/>
          <w:szCs w:val="28"/>
        </w:rPr>
        <w:t>万元，占</w:t>
      </w:r>
      <w:r>
        <w:rPr>
          <w:rFonts w:hint="eastAsia" w:ascii="仿宋" w:hAnsi="仿宋" w:eastAsia="仿宋"/>
          <w:sz w:val="28"/>
          <w:szCs w:val="28"/>
          <w:lang w:val="en-US" w:eastAsia="zh-CN"/>
        </w:rPr>
        <w:t>81.86</w:t>
      </w:r>
      <w:r>
        <w:rPr>
          <w:rFonts w:hint="eastAsia" w:ascii="仿宋" w:hAnsi="仿宋" w:eastAsia="仿宋"/>
          <w:sz w:val="28"/>
          <w:szCs w:val="28"/>
        </w:rPr>
        <w:t>%；科学技术支出</w:t>
      </w:r>
      <w:r>
        <w:rPr>
          <w:rFonts w:hint="eastAsia" w:ascii="仿宋" w:hAnsi="仿宋" w:eastAsia="仿宋"/>
          <w:sz w:val="28"/>
          <w:szCs w:val="28"/>
          <w:lang w:val="en-US" w:eastAsia="zh-CN"/>
        </w:rPr>
        <w:t>0</w:t>
      </w:r>
      <w:r>
        <w:rPr>
          <w:rFonts w:hint="eastAsia" w:ascii="仿宋" w:hAnsi="仿宋" w:eastAsia="仿宋"/>
          <w:sz w:val="28"/>
          <w:szCs w:val="28"/>
        </w:rPr>
        <w:t>万元，占</w:t>
      </w:r>
      <w:r>
        <w:rPr>
          <w:rFonts w:hint="eastAsia" w:ascii="仿宋" w:hAnsi="仿宋" w:eastAsia="仿宋"/>
          <w:sz w:val="28"/>
          <w:szCs w:val="28"/>
          <w:lang w:val="en-US" w:eastAsia="zh-CN"/>
        </w:rPr>
        <w:t>0</w:t>
      </w:r>
      <w:r>
        <w:rPr>
          <w:rFonts w:hint="eastAsia" w:ascii="仿宋" w:hAnsi="仿宋" w:eastAsia="仿宋"/>
          <w:sz w:val="28"/>
          <w:szCs w:val="28"/>
        </w:rPr>
        <w:t>%；文化旅游体育与传媒支出</w:t>
      </w:r>
      <w:r>
        <w:rPr>
          <w:rFonts w:hint="eastAsia" w:ascii="仿宋" w:hAnsi="仿宋" w:eastAsia="仿宋"/>
          <w:sz w:val="28"/>
          <w:szCs w:val="28"/>
          <w:lang w:val="en-US" w:eastAsia="zh-CN"/>
        </w:rPr>
        <w:t>0</w:t>
      </w:r>
      <w:r>
        <w:rPr>
          <w:rFonts w:hint="eastAsia" w:ascii="仿宋" w:hAnsi="仿宋" w:eastAsia="仿宋"/>
          <w:sz w:val="28"/>
          <w:szCs w:val="28"/>
        </w:rPr>
        <w:t>万元，占</w:t>
      </w:r>
      <w:r>
        <w:rPr>
          <w:rFonts w:hint="eastAsia" w:ascii="仿宋" w:hAnsi="仿宋" w:eastAsia="仿宋"/>
          <w:sz w:val="28"/>
          <w:szCs w:val="28"/>
          <w:lang w:val="en-US" w:eastAsia="zh-CN"/>
        </w:rPr>
        <w:t>0</w:t>
      </w:r>
      <w:r>
        <w:rPr>
          <w:rFonts w:hint="eastAsia" w:ascii="仿宋" w:hAnsi="仿宋" w:eastAsia="仿宋"/>
          <w:sz w:val="28"/>
          <w:szCs w:val="28"/>
        </w:rPr>
        <w:t>%；社会保障和就业支出</w:t>
      </w:r>
      <w:r>
        <w:rPr>
          <w:rFonts w:hint="eastAsia" w:ascii="仿宋" w:hAnsi="仿宋" w:eastAsia="仿宋"/>
          <w:sz w:val="28"/>
          <w:szCs w:val="28"/>
          <w:lang w:val="en-US" w:eastAsia="zh-CN"/>
        </w:rPr>
        <w:t>90.88</w:t>
      </w:r>
      <w:r>
        <w:rPr>
          <w:rFonts w:hint="eastAsia" w:ascii="仿宋" w:hAnsi="仿宋" w:eastAsia="仿宋"/>
          <w:sz w:val="28"/>
          <w:szCs w:val="28"/>
        </w:rPr>
        <w:t>万元，占</w:t>
      </w:r>
      <w:r>
        <w:rPr>
          <w:rFonts w:hint="eastAsia" w:ascii="仿宋" w:hAnsi="仿宋" w:eastAsia="仿宋"/>
          <w:sz w:val="28"/>
          <w:szCs w:val="28"/>
          <w:lang w:val="en-US" w:eastAsia="zh-CN"/>
        </w:rPr>
        <w:t>8.06</w:t>
      </w:r>
      <w:r>
        <w:rPr>
          <w:rFonts w:hint="eastAsia" w:ascii="仿宋" w:hAnsi="仿宋" w:eastAsia="仿宋"/>
          <w:sz w:val="28"/>
          <w:szCs w:val="28"/>
        </w:rPr>
        <w:t>%；卫生健康支出</w:t>
      </w:r>
      <w:r>
        <w:rPr>
          <w:rFonts w:hint="eastAsia" w:ascii="仿宋" w:hAnsi="仿宋" w:eastAsia="仿宋"/>
          <w:sz w:val="28"/>
          <w:szCs w:val="28"/>
          <w:lang w:val="en-US" w:eastAsia="zh-CN"/>
        </w:rPr>
        <w:t>45.44</w:t>
      </w:r>
      <w:r>
        <w:rPr>
          <w:rFonts w:hint="eastAsia" w:ascii="仿宋" w:hAnsi="仿宋" w:eastAsia="仿宋"/>
          <w:sz w:val="28"/>
          <w:szCs w:val="28"/>
        </w:rPr>
        <w:t>万元，占</w:t>
      </w:r>
      <w:r>
        <w:rPr>
          <w:rFonts w:hint="eastAsia" w:ascii="仿宋" w:hAnsi="仿宋" w:eastAsia="仿宋"/>
          <w:sz w:val="28"/>
          <w:szCs w:val="28"/>
          <w:lang w:val="en-US" w:eastAsia="zh-CN"/>
        </w:rPr>
        <w:t>4.03</w:t>
      </w:r>
      <w:r>
        <w:rPr>
          <w:rFonts w:hint="eastAsia" w:ascii="仿宋" w:hAnsi="仿宋" w:eastAsia="仿宋"/>
          <w:sz w:val="28"/>
          <w:szCs w:val="28"/>
        </w:rPr>
        <w:t>%；住房保障支出</w:t>
      </w:r>
      <w:r>
        <w:rPr>
          <w:rFonts w:hint="eastAsia" w:ascii="仿宋" w:hAnsi="仿宋" w:eastAsia="仿宋"/>
          <w:sz w:val="28"/>
          <w:szCs w:val="28"/>
          <w:lang w:val="en-US" w:eastAsia="zh-CN"/>
        </w:rPr>
        <w:t>68.16</w:t>
      </w:r>
      <w:r>
        <w:rPr>
          <w:rFonts w:hint="eastAsia" w:ascii="仿宋" w:hAnsi="仿宋" w:eastAsia="仿宋"/>
          <w:sz w:val="28"/>
          <w:szCs w:val="28"/>
        </w:rPr>
        <w:t>万元，占</w:t>
      </w:r>
      <w:r>
        <w:rPr>
          <w:rFonts w:hint="eastAsia" w:ascii="仿宋" w:hAnsi="仿宋" w:eastAsia="仿宋"/>
          <w:sz w:val="28"/>
          <w:szCs w:val="28"/>
          <w:lang w:val="en-US" w:eastAsia="zh-CN"/>
        </w:rPr>
        <w:t>6.05</w:t>
      </w:r>
      <w:r>
        <w:rPr>
          <w:rFonts w:hint="eastAsia" w:ascii="仿宋" w:hAnsi="仿宋" w:eastAsia="仿宋"/>
          <w:sz w:val="28"/>
          <w:szCs w:val="28"/>
        </w:rPr>
        <w:t>%。</w:t>
      </w:r>
    </w:p>
    <w:p>
      <w:pPr>
        <w:numPr>
          <w:ilvl w:val="0"/>
          <w:numId w:val="0"/>
        </w:numPr>
        <w:ind w:leftChars="0" w:firstLine="560" w:firstLineChars="200"/>
        <w:rPr>
          <w:rFonts w:hint="eastAsia" w:ascii="仿宋" w:hAnsi="仿宋" w:eastAsia="仿宋"/>
          <w:sz w:val="28"/>
          <w:szCs w:val="28"/>
        </w:rPr>
      </w:pPr>
    </w:p>
    <w:p>
      <w:pPr>
        <w:numPr>
          <w:ilvl w:val="0"/>
          <w:numId w:val="0"/>
        </w:numPr>
        <w:ind w:leftChars="0" w:firstLine="560" w:firstLineChars="200"/>
        <w:rPr>
          <w:rFonts w:hint="eastAsia" w:ascii="仿宋" w:hAnsi="仿宋" w:eastAsia="仿宋"/>
          <w:sz w:val="28"/>
          <w:szCs w:val="28"/>
        </w:rPr>
      </w:pPr>
      <w:r>
        <w:rPr>
          <w:rFonts w:hint="eastAsia" w:ascii="仿宋" w:hAnsi="仿宋" w:eastAsia="仿宋"/>
          <w:sz w:val="28"/>
          <w:szCs w:val="28"/>
        </w:rPr>
        <w:t>（图6：一般公共预算财政拨款支出决算结构</w:t>
      </w:r>
      <w:r>
        <w:rPr>
          <w:rFonts w:hint="eastAsia" w:ascii="仿宋" w:hAnsi="仿宋" w:eastAsia="仿宋"/>
          <w:sz w:val="28"/>
          <w:szCs w:val="28"/>
          <w:lang w:val="en-US" w:eastAsia="zh-CN"/>
        </w:rPr>
        <w:t xml:space="preserve">  单位：万元</w:t>
      </w:r>
      <w:r>
        <w:rPr>
          <w:rFonts w:hint="eastAsia" w:ascii="仿宋" w:hAnsi="仿宋" w:eastAsia="仿宋"/>
          <w:sz w:val="28"/>
          <w:szCs w:val="28"/>
        </w:rPr>
        <w:t>）</w:t>
      </w:r>
    </w:p>
    <w:p>
      <w:pPr>
        <w:numPr>
          <w:ilvl w:val="0"/>
          <w:numId w:val="0"/>
        </w:numPr>
        <w:ind w:leftChars="0" w:firstLine="640" w:firstLineChars="200"/>
        <w:rPr>
          <w:rFonts w:hint="eastAsia" w:ascii="仿宋" w:hAnsi="仿宋" w:eastAsia="仿宋"/>
          <w:sz w:val="32"/>
          <w:szCs w:val="32"/>
        </w:rPr>
      </w:pPr>
      <w:r>
        <w:rPr>
          <w:rFonts w:hint="eastAsia" w:ascii="仿宋" w:hAnsi="仿宋" w:eastAsia="仿宋"/>
          <w:sz w:val="32"/>
          <w:szCs w:val="32"/>
          <w:lang w:val="en-US" w:eastAsia="zh-CN"/>
        </w:rPr>
        <w:drawing>
          <wp:anchor distT="0" distB="0" distL="114300" distR="114300" simplePos="0" relativeHeight="251659264" behindDoc="0" locked="0" layoutInCell="1" allowOverlap="1">
            <wp:simplePos x="0" y="0"/>
            <wp:positionH relativeFrom="column">
              <wp:posOffset>249555</wp:posOffset>
            </wp:positionH>
            <wp:positionV relativeFrom="paragraph">
              <wp:posOffset>73660</wp:posOffset>
            </wp:positionV>
            <wp:extent cx="4572000" cy="2743200"/>
            <wp:effectExtent l="0" t="0" r="0" b="0"/>
            <wp:wrapNone/>
            <wp:docPr id="18" name="图表_1"/>
            <wp:cNvGraphicFramePr/>
            <a:graphic xmlns:a="http://schemas.openxmlformats.org/drawingml/2006/main">
              <a:graphicData uri="http://schemas.openxmlformats.org/drawingml/2006/picture">
                <pic:pic xmlns:pic="http://schemas.openxmlformats.org/drawingml/2006/picture">
                  <pic:nvPicPr>
                    <pic:cNvPr id="18" name="图表_1"/>
                    <pic:cNvPicPr/>
                  </pic:nvPicPr>
                  <pic:blipFill>
                    <a:blip r:embed="rId11"/>
                    <a:stretch>
                      <a:fillRect/>
                    </a:stretch>
                  </pic:blipFill>
                  <pic:spPr>
                    <a:xfrm>
                      <a:off x="0" y="0"/>
                      <a:ext cx="4572000" cy="2743200"/>
                    </a:xfrm>
                    <a:prstGeom prst="rect">
                      <a:avLst/>
                    </a:prstGeom>
                    <a:noFill/>
                    <a:ln>
                      <a:noFill/>
                    </a:ln>
                  </pic:spPr>
                </pic:pic>
              </a:graphicData>
            </a:graphic>
          </wp:anchor>
        </w:drawing>
      </w:r>
    </w:p>
    <w:p>
      <w:pPr>
        <w:numPr>
          <w:ilvl w:val="0"/>
          <w:numId w:val="0"/>
        </w:numPr>
        <w:ind w:leftChars="0" w:firstLine="640" w:firstLineChars="200"/>
        <w:rPr>
          <w:rFonts w:hint="eastAsia" w:ascii="仿宋" w:hAnsi="仿宋" w:eastAsia="仿宋"/>
          <w:sz w:val="32"/>
          <w:szCs w:val="32"/>
        </w:rPr>
      </w:pPr>
    </w:p>
    <w:p>
      <w:pPr>
        <w:numPr>
          <w:ilvl w:val="0"/>
          <w:numId w:val="0"/>
        </w:numPr>
        <w:ind w:leftChars="0" w:firstLine="640" w:firstLineChars="200"/>
        <w:rPr>
          <w:rFonts w:hint="eastAsia" w:ascii="仿宋" w:hAnsi="仿宋" w:eastAsia="仿宋"/>
          <w:sz w:val="32"/>
          <w:szCs w:val="32"/>
        </w:rPr>
      </w:pPr>
    </w:p>
    <w:p>
      <w:pPr>
        <w:numPr>
          <w:ilvl w:val="0"/>
          <w:numId w:val="0"/>
        </w:numPr>
        <w:ind w:leftChars="0" w:firstLine="640" w:firstLineChars="200"/>
        <w:rPr>
          <w:rFonts w:hint="eastAsia" w:ascii="仿宋" w:hAnsi="仿宋" w:eastAsia="仿宋"/>
          <w:sz w:val="32"/>
          <w:szCs w:val="32"/>
        </w:rPr>
      </w:pPr>
    </w:p>
    <w:p>
      <w:pPr>
        <w:numPr>
          <w:ilvl w:val="0"/>
          <w:numId w:val="0"/>
        </w:numPr>
        <w:ind w:leftChars="0" w:firstLine="640" w:firstLineChars="200"/>
        <w:rPr>
          <w:rFonts w:hint="eastAsia" w:ascii="仿宋" w:hAnsi="仿宋" w:eastAsia="仿宋"/>
          <w:sz w:val="32"/>
          <w:szCs w:val="32"/>
        </w:rPr>
      </w:pPr>
    </w:p>
    <w:p>
      <w:pPr>
        <w:numPr>
          <w:ilvl w:val="0"/>
          <w:numId w:val="0"/>
        </w:numPr>
        <w:ind w:leftChars="0" w:firstLine="640" w:firstLineChars="200"/>
        <w:rPr>
          <w:rFonts w:hint="eastAsia" w:ascii="仿宋" w:hAnsi="仿宋" w:eastAsia="仿宋"/>
          <w:sz w:val="32"/>
          <w:szCs w:val="32"/>
        </w:rPr>
      </w:pPr>
    </w:p>
    <w:p>
      <w:pPr>
        <w:numPr>
          <w:ilvl w:val="0"/>
          <w:numId w:val="0"/>
        </w:numPr>
        <w:ind w:leftChars="0" w:firstLine="640" w:firstLineChars="200"/>
        <w:rPr>
          <w:rFonts w:hint="eastAsia" w:ascii="仿宋" w:hAnsi="仿宋" w:eastAsia="仿宋"/>
          <w:sz w:val="32"/>
          <w:szCs w:val="32"/>
        </w:rPr>
      </w:pPr>
    </w:p>
    <w:p>
      <w:pPr>
        <w:numPr>
          <w:ilvl w:val="0"/>
          <w:numId w:val="0"/>
        </w:numPr>
        <w:ind w:firstLine="320" w:firstLineChars="100"/>
        <w:rPr>
          <w:rFonts w:hint="eastAsia" w:ascii="仿宋" w:hAnsi="仿宋" w:eastAsia="仿宋"/>
          <w:sz w:val="32"/>
          <w:szCs w:val="32"/>
        </w:rPr>
      </w:pPr>
      <w:bookmarkStart w:id="30" w:name="_Toc15377212"/>
    </w:p>
    <w:p>
      <w:pPr>
        <w:numPr>
          <w:ilvl w:val="0"/>
          <w:numId w:val="0"/>
        </w:numPr>
        <w:ind w:firstLine="320" w:firstLineChars="100"/>
        <w:rPr>
          <w:rFonts w:hint="eastAsia" w:ascii="仿宋" w:hAnsi="仿宋" w:eastAsia="仿宋"/>
          <w:sz w:val="32"/>
          <w:szCs w:val="32"/>
        </w:rPr>
      </w:pPr>
      <w:r>
        <w:rPr>
          <w:rFonts w:hint="eastAsia" w:ascii="仿宋" w:hAnsi="仿宋" w:eastAsia="仿宋"/>
          <w:sz w:val="32"/>
          <w:szCs w:val="32"/>
        </w:rPr>
        <w:t>（三）一般公共预算财政拨款支出决算具体情况</w:t>
      </w:r>
      <w:bookmarkEnd w:id="30"/>
    </w:p>
    <w:p>
      <w:pPr>
        <w:spacing w:line="600" w:lineRule="exact"/>
        <w:ind w:firstLine="643" w:firstLineChars="200"/>
        <w:outlineLvl w:val="2"/>
        <w:rPr>
          <w:rStyle w:val="16"/>
          <w:rFonts w:hint="eastAsia" w:ascii="仿宋" w:hAnsi="仿宋" w:eastAsia="仿宋"/>
          <w:b w:val="0"/>
          <w:bCs/>
          <w:sz w:val="32"/>
          <w:szCs w:val="32"/>
          <w:lang w:eastAsia="zh-CN"/>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1127.26万元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pStyle w:val="2"/>
        <w:numPr>
          <w:ilvl w:val="0"/>
          <w:numId w:val="0"/>
        </w:numPr>
        <w:ind w:firstLine="643" w:firstLineChars="200"/>
        <w:rPr>
          <w:rStyle w:val="16"/>
          <w:rFonts w:hint="eastAsia" w:ascii="仿宋" w:hAnsi="仿宋" w:eastAsia="仿宋" w:cstheme="minorBidi"/>
          <w:bCs/>
          <w:sz w:val="32"/>
          <w:szCs w:val="32"/>
          <w:lang w:val="en-US" w:eastAsia="zh-CN"/>
        </w:rPr>
      </w:pPr>
      <w:r>
        <w:rPr>
          <w:rStyle w:val="16"/>
          <w:rFonts w:hint="eastAsia" w:ascii="仿宋" w:hAnsi="仿宋" w:eastAsia="仿宋"/>
          <w:bCs/>
          <w:sz w:val="32"/>
          <w:szCs w:val="32"/>
          <w:lang w:val="en-US" w:eastAsia="zh-CN"/>
        </w:rPr>
        <w:t>1.</w:t>
      </w:r>
      <w:r>
        <w:rPr>
          <w:rStyle w:val="16"/>
          <w:rFonts w:hint="eastAsia" w:ascii="仿宋" w:hAnsi="仿宋" w:eastAsia="仿宋"/>
          <w:bCs/>
          <w:sz w:val="32"/>
          <w:szCs w:val="32"/>
        </w:rPr>
        <w:t>教育（类）</w:t>
      </w:r>
      <w:r>
        <w:rPr>
          <w:rStyle w:val="16"/>
          <w:rFonts w:hint="eastAsia" w:ascii="仿宋" w:hAnsi="仿宋" w:eastAsia="仿宋"/>
          <w:bCs/>
          <w:sz w:val="32"/>
          <w:szCs w:val="32"/>
          <w:lang w:eastAsia="zh-CN"/>
        </w:rPr>
        <w:t>普通教育</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初中教育</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922.79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3"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cstheme="minorBidi"/>
          <w:bCs/>
          <w:sz w:val="32"/>
          <w:szCs w:val="32"/>
        </w:rPr>
        <w:t>行政事业单位养老支出（款）机关事业单位养老保险缴费支出（项）</w:t>
      </w:r>
      <w:r>
        <w:rPr>
          <w:rStyle w:val="16"/>
          <w:rFonts w:hint="eastAsia" w:ascii="仿宋" w:hAnsi="仿宋" w:eastAsia="仿宋" w:cstheme="minorBidi"/>
          <w:bCs/>
          <w:sz w:val="32"/>
          <w:szCs w:val="32"/>
          <w:lang w:eastAsia="zh-CN"/>
        </w:rPr>
        <w:t>：</w:t>
      </w:r>
      <w:r>
        <w:rPr>
          <w:rStyle w:val="16"/>
          <w:rFonts w:hint="eastAsia" w:ascii="仿宋" w:hAnsi="仿宋" w:eastAsia="仿宋" w:cstheme="minorBidi"/>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90.88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3"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  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45.44</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3"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ascii="仿宋" w:hAnsi="仿宋" w:eastAsia="仿宋"/>
          <w:b/>
          <w:bCs/>
          <w:sz w:val="32"/>
          <w:szCs w:val="32"/>
        </w:rPr>
        <w:t>住房保障（类）住房改革支出（款）  住房公积金（项）</w:t>
      </w:r>
      <w:r>
        <w:rPr>
          <w:rFonts w:hint="eastAsia" w:ascii="仿宋" w:hAnsi="仿宋" w:eastAsia="仿宋"/>
          <w:b/>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68.1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tabs>
          <w:tab w:val="right" w:pos="8306"/>
        </w:tabs>
        <w:spacing w:line="600" w:lineRule="exact"/>
        <w:ind w:firstLine="640"/>
        <w:outlineLvl w:val="1"/>
        <w:rPr>
          <w:rStyle w:val="27"/>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numPr>
          <w:ilvl w:val="0"/>
          <w:numId w:val="0"/>
        </w:numPr>
        <w:ind w:leftChars="0" w:firstLine="560" w:firstLineChars="200"/>
        <w:rPr>
          <w:rFonts w:hint="eastAsia" w:ascii="仿宋" w:hAnsi="仿宋" w:eastAsia="仿宋"/>
          <w:sz w:val="28"/>
          <w:szCs w:val="28"/>
        </w:rPr>
      </w:pPr>
      <w:r>
        <w:rPr>
          <w:rFonts w:hint="eastAsia" w:ascii="仿宋" w:hAnsi="仿宋" w:eastAsia="仿宋"/>
          <w:sz w:val="28"/>
          <w:szCs w:val="28"/>
        </w:rPr>
        <w:t>2022年一般公共预算财政拨款基本支出</w:t>
      </w:r>
      <w:r>
        <w:rPr>
          <w:rFonts w:hint="eastAsia" w:ascii="仿宋" w:hAnsi="仿宋" w:eastAsia="仿宋"/>
          <w:sz w:val="28"/>
          <w:szCs w:val="28"/>
          <w:lang w:val="en-US" w:eastAsia="zh-CN"/>
        </w:rPr>
        <w:t>1127.26</w:t>
      </w:r>
      <w:r>
        <w:rPr>
          <w:rFonts w:hint="eastAsia" w:ascii="仿宋" w:hAnsi="仿宋" w:eastAsia="仿宋"/>
          <w:sz w:val="28"/>
          <w:szCs w:val="28"/>
        </w:rPr>
        <w:t>万元，其中：</w:t>
      </w:r>
    </w:p>
    <w:p>
      <w:pPr>
        <w:numPr>
          <w:ilvl w:val="0"/>
          <w:numId w:val="0"/>
        </w:numPr>
        <w:ind w:leftChars="0" w:firstLine="560" w:firstLineChars="200"/>
        <w:rPr>
          <w:rFonts w:hint="eastAsia" w:ascii="仿宋" w:hAnsi="仿宋" w:eastAsia="仿宋"/>
          <w:sz w:val="28"/>
          <w:szCs w:val="28"/>
          <w:lang w:eastAsia="zh-CN"/>
        </w:rPr>
      </w:pPr>
      <w:r>
        <w:rPr>
          <w:rFonts w:hint="eastAsia" w:ascii="仿宋" w:hAnsi="仿宋" w:eastAsia="仿宋"/>
          <w:sz w:val="28"/>
          <w:szCs w:val="28"/>
        </w:rPr>
        <w:t>人员经费</w:t>
      </w:r>
      <w:r>
        <w:rPr>
          <w:rFonts w:hint="eastAsia" w:ascii="仿宋" w:hAnsi="仿宋" w:eastAsia="仿宋"/>
          <w:sz w:val="28"/>
          <w:szCs w:val="28"/>
          <w:lang w:val="en-US" w:eastAsia="zh-CN"/>
        </w:rPr>
        <w:t>1033.25</w:t>
      </w:r>
      <w:r>
        <w:rPr>
          <w:rFonts w:hint="eastAsia" w:ascii="仿宋" w:hAnsi="仿宋" w:eastAsia="仿宋"/>
          <w:sz w:val="28"/>
          <w:szCs w:val="28"/>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numPr>
          <w:ilvl w:val="0"/>
          <w:numId w:val="0"/>
        </w:numPr>
        <w:ind w:leftChars="0" w:firstLine="560" w:firstLineChars="200"/>
        <w:rPr>
          <w:rFonts w:hint="eastAsia" w:ascii="仿宋" w:hAnsi="仿宋" w:eastAsia="仿宋"/>
          <w:sz w:val="28"/>
          <w:szCs w:val="28"/>
        </w:rPr>
      </w:pPr>
      <w:r>
        <w:rPr>
          <w:rFonts w:hint="eastAsia" w:ascii="仿宋" w:hAnsi="仿宋" w:eastAsia="仿宋"/>
          <w:sz w:val="28"/>
          <w:szCs w:val="28"/>
        </w:rPr>
        <w:t>公用经费</w:t>
      </w:r>
      <w:r>
        <w:rPr>
          <w:rFonts w:hint="eastAsia" w:ascii="仿宋" w:hAnsi="仿宋" w:eastAsia="仿宋"/>
          <w:sz w:val="28"/>
          <w:szCs w:val="28"/>
          <w:lang w:val="en-US" w:eastAsia="zh-CN"/>
        </w:rPr>
        <w:t>94.01</w:t>
      </w:r>
      <w:r>
        <w:rPr>
          <w:rFonts w:hint="eastAsia" w:ascii="仿宋" w:hAnsi="仿宋" w:eastAsia="仿宋"/>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numPr>
          <w:ilvl w:val="0"/>
          <w:numId w:val="0"/>
        </w:numPr>
        <w:ind w:leftChars="0" w:firstLine="560" w:firstLineChars="200"/>
        <w:rPr>
          <w:rFonts w:hint="eastAsia" w:ascii="仿宋" w:hAnsi="仿宋" w:eastAsia="仿宋"/>
          <w:sz w:val="28"/>
          <w:szCs w:val="28"/>
        </w:rPr>
      </w:pPr>
      <w:bookmarkStart w:id="38" w:name="_Toc15377216"/>
      <w:r>
        <w:rPr>
          <w:rFonts w:hint="eastAsia" w:ascii="仿宋" w:hAnsi="仿宋" w:eastAsia="仿宋"/>
          <w:sz w:val="28"/>
          <w:szCs w:val="28"/>
        </w:rPr>
        <w:t>（一）“三公”经费财政拨款支出决算总体情况说明</w:t>
      </w:r>
      <w:bookmarkEnd w:id="38"/>
    </w:p>
    <w:p>
      <w:pPr>
        <w:numPr>
          <w:ilvl w:val="0"/>
          <w:numId w:val="0"/>
        </w:numPr>
        <w:ind w:leftChars="0" w:firstLine="560" w:firstLineChars="200"/>
        <w:rPr>
          <w:rFonts w:hint="eastAsia" w:ascii="仿宋" w:hAnsi="仿宋" w:eastAsia="仿宋"/>
          <w:sz w:val="28"/>
          <w:szCs w:val="28"/>
          <w:lang w:eastAsia="zh-CN"/>
        </w:rPr>
      </w:pPr>
      <w:r>
        <w:rPr>
          <w:rFonts w:hint="eastAsia" w:ascii="仿宋" w:hAnsi="仿宋" w:eastAsia="仿宋"/>
          <w:sz w:val="28"/>
          <w:szCs w:val="28"/>
        </w:rPr>
        <w:t>2022年“三公”经费财政拨款支出决算为</w:t>
      </w:r>
      <w:r>
        <w:rPr>
          <w:rFonts w:hint="eastAsia" w:ascii="仿宋" w:hAnsi="仿宋" w:eastAsia="仿宋"/>
          <w:sz w:val="28"/>
          <w:szCs w:val="28"/>
          <w:lang w:val="en-US" w:eastAsia="zh-CN"/>
        </w:rPr>
        <w:t>0.38</w:t>
      </w:r>
      <w:r>
        <w:rPr>
          <w:rFonts w:hint="eastAsia" w:ascii="仿宋" w:hAnsi="仿宋" w:eastAsia="仿宋"/>
          <w:sz w:val="28"/>
          <w:szCs w:val="28"/>
        </w:rPr>
        <w:t>万元，完成预算</w:t>
      </w:r>
      <w:r>
        <w:rPr>
          <w:rFonts w:hint="eastAsia" w:ascii="仿宋" w:hAnsi="仿宋" w:eastAsia="仿宋"/>
          <w:sz w:val="28"/>
          <w:szCs w:val="28"/>
          <w:lang w:val="en-US" w:eastAsia="zh-CN"/>
        </w:rPr>
        <w:t>100</w:t>
      </w:r>
      <w:r>
        <w:rPr>
          <w:rFonts w:hint="eastAsia" w:ascii="仿宋" w:hAnsi="仿宋" w:eastAsia="仿宋"/>
          <w:sz w:val="28"/>
          <w:szCs w:val="28"/>
        </w:rPr>
        <w:t>%，较上年</w:t>
      </w:r>
      <w:r>
        <w:rPr>
          <w:rFonts w:hint="eastAsia" w:ascii="仿宋" w:hAnsi="仿宋" w:eastAsia="仿宋"/>
          <w:sz w:val="28"/>
          <w:szCs w:val="28"/>
          <w:lang w:val="en-US" w:eastAsia="zh-CN"/>
        </w:rPr>
        <w:t>0.48万元减少0.1</w:t>
      </w:r>
      <w:r>
        <w:rPr>
          <w:rFonts w:hint="eastAsia" w:ascii="仿宋" w:hAnsi="仿宋" w:eastAsia="仿宋"/>
          <w:sz w:val="28"/>
          <w:szCs w:val="28"/>
        </w:rPr>
        <w:t>万元，</w:t>
      </w:r>
      <w:r>
        <w:rPr>
          <w:rFonts w:hint="eastAsia" w:ascii="仿宋" w:hAnsi="仿宋" w:eastAsia="仿宋"/>
          <w:sz w:val="28"/>
          <w:szCs w:val="28"/>
          <w:lang w:eastAsia="zh-CN"/>
        </w:rPr>
        <w:t>减少</w:t>
      </w:r>
      <w:r>
        <w:rPr>
          <w:rFonts w:hint="eastAsia" w:ascii="仿宋" w:hAnsi="仿宋" w:eastAsia="仿宋"/>
          <w:sz w:val="28"/>
          <w:szCs w:val="28"/>
          <w:lang w:val="en-US" w:eastAsia="zh-CN"/>
        </w:rPr>
        <w:t>20.83</w:t>
      </w:r>
      <w:r>
        <w:rPr>
          <w:rFonts w:hint="eastAsia" w:ascii="仿宋" w:hAnsi="仿宋" w:eastAsia="仿宋"/>
          <w:sz w:val="28"/>
          <w:szCs w:val="28"/>
        </w:rPr>
        <w:t>%</w:t>
      </w:r>
      <w:r>
        <w:rPr>
          <w:rFonts w:hint="eastAsia" w:ascii="仿宋" w:hAnsi="仿宋" w:eastAsia="仿宋"/>
          <w:sz w:val="28"/>
          <w:szCs w:val="28"/>
          <w:lang w:eastAsia="zh-CN"/>
        </w:rPr>
        <w:t>，主要原因是厉行节约，减少接待人次，控制支出。</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numPr>
          <w:ilvl w:val="0"/>
          <w:numId w:val="0"/>
        </w:numPr>
        <w:ind w:leftChars="0" w:firstLine="560" w:firstLineChars="200"/>
        <w:rPr>
          <w:rFonts w:hint="eastAsia" w:ascii="仿宋" w:hAnsi="仿宋" w:eastAsia="仿宋"/>
          <w:sz w:val="28"/>
          <w:szCs w:val="28"/>
        </w:rPr>
      </w:pPr>
      <w:r>
        <w:rPr>
          <w:rFonts w:hint="eastAsia" w:ascii="仿宋" w:hAnsi="仿宋" w:eastAsia="仿宋"/>
          <w:sz w:val="28"/>
          <w:szCs w:val="28"/>
        </w:rPr>
        <w:t>2022年“三公”经费财政拨款支出决算中，因公出国（境）费支出决算</w:t>
      </w:r>
      <w:r>
        <w:rPr>
          <w:rFonts w:hint="eastAsia" w:ascii="仿宋" w:hAnsi="仿宋" w:eastAsia="仿宋"/>
          <w:sz w:val="28"/>
          <w:szCs w:val="28"/>
          <w:lang w:val="en-US" w:eastAsia="zh-CN"/>
        </w:rPr>
        <w:t>0</w:t>
      </w:r>
      <w:r>
        <w:rPr>
          <w:rFonts w:hint="eastAsia" w:ascii="仿宋" w:hAnsi="仿宋" w:eastAsia="仿宋"/>
          <w:sz w:val="28"/>
          <w:szCs w:val="28"/>
        </w:rPr>
        <w:t>万元，占</w:t>
      </w:r>
      <w:r>
        <w:rPr>
          <w:rFonts w:hint="eastAsia" w:ascii="仿宋" w:hAnsi="仿宋" w:eastAsia="仿宋"/>
          <w:sz w:val="28"/>
          <w:szCs w:val="28"/>
          <w:lang w:val="en-US" w:eastAsia="zh-CN"/>
        </w:rPr>
        <w:t>0</w:t>
      </w:r>
      <w:r>
        <w:rPr>
          <w:rFonts w:hint="eastAsia" w:ascii="仿宋" w:hAnsi="仿宋" w:eastAsia="仿宋"/>
          <w:sz w:val="28"/>
          <w:szCs w:val="28"/>
        </w:rPr>
        <w:t>%；公务用车购置及运行维护费支出决算</w:t>
      </w:r>
      <w:r>
        <w:rPr>
          <w:rFonts w:hint="eastAsia" w:ascii="仿宋" w:hAnsi="仿宋" w:eastAsia="仿宋"/>
          <w:sz w:val="28"/>
          <w:szCs w:val="28"/>
          <w:lang w:val="en-US" w:eastAsia="zh-CN"/>
        </w:rPr>
        <w:t>0</w:t>
      </w:r>
      <w:r>
        <w:rPr>
          <w:rFonts w:hint="eastAsia" w:ascii="仿宋" w:hAnsi="仿宋" w:eastAsia="仿宋"/>
          <w:sz w:val="28"/>
          <w:szCs w:val="28"/>
        </w:rPr>
        <w:t>万元，占</w:t>
      </w:r>
      <w:r>
        <w:rPr>
          <w:rFonts w:hint="eastAsia" w:ascii="仿宋" w:hAnsi="仿宋" w:eastAsia="仿宋"/>
          <w:sz w:val="28"/>
          <w:szCs w:val="28"/>
          <w:lang w:val="en-US" w:eastAsia="zh-CN"/>
        </w:rPr>
        <w:t>0</w:t>
      </w:r>
      <w:r>
        <w:rPr>
          <w:rFonts w:hint="eastAsia" w:ascii="仿宋" w:hAnsi="仿宋" w:eastAsia="仿宋"/>
          <w:sz w:val="28"/>
          <w:szCs w:val="28"/>
        </w:rPr>
        <w:t>%；公务接待费支出决算</w:t>
      </w:r>
      <w:r>
        <w:rPr>
          <w:rFonts w:hint="eastAsia" w:ascii="仿宋" w:hAnsi="仿宋" w:eastAsia="仿宋"/>
          <w:sz w:val="28"/>
          <w:szCs w:val="28"/>
          <w:lang w:val="en-US" w:eastAsia="zh-CN"/>
        </w:rPr>
        <w:t>0.38</w:t>
      </w:r>
      <w:r>
        <w:rPr>
          <w:rFonts w:hint="eastAsia" w:ascii="仿宋" w:hAnsi="仿宋" w:eastAsia="仿宋"/>
          <w:sz w:val="28"/>
          <w:szCs w:val="28"/>
        </w:rPr>
        <w:t>万元，占</w:t>
      </w:r>
      <w:r>
        <w:rPr>
          <w:rFonts w:hint="eastAsia" w:ascii="仿宋" w:hAnsi="仿宋" w:eastAsia="仿宋"/>
          <w:sz w:val="28"/>
          <w:szCs w:val="28"/>
          <w:lang w:val="en-US" w:eastAsia="zh-CN"/>
        </w:rPr>
        <w:t>100</w:t>
      </w:r>
      <w:r>
        <w:rPr>
          <w:rFonts w:hint="eastAsia" w:ascii="仿宋" w:hAnsi="仿宋" w:eastAsia="仿宋"/>
          <w:sz w:val="28"/>
          <w:szCs w:val="28"/>
        </w:rPr>
        <w:t>%。具体情况如下：</w:t>
      </w:r>
    </w:p>
    <w:p>
      <w:pPr>
        <w:spacing w:line="600" w:lineRule="exact"/>
        <w:ind w:firstLine="1408" w:firstLineChars="503"/>
        <w:rPr>
          <w:rFonts w:hint="eastAsia" w:ascii="仿宋" w:hAnsi="仿宋" w:eastAsia="仿宋"/>
          <w:sz w:val="28"/>
          <w:szCs w:val="28"/>
        </w:rPr>
      </w:pPr>
    </w:p>
    <w:p>
      <w:pPr>
        <w:spacing w:line="600" w:lineRule="exact"/>
        <w:ind w:firstLine="1408" w:firstLineChars="503"/>
        <w:rPr>
          <w:rFonts w:hint="eastAsia" w:ascii="仿宋" w:hAnsi="仿宋" w:eastAsia="仿宋"/>
          <w:sz w:val="28"/>
          <w:szCs w:val="28"/>
        </w:rPr>
      </w:pPr>
    </w:p>
    <w:p>
      <w:pPr>
        <w:spacing w:line="600" w:lineRule="exact"/>
        <w:ind w:firstLine="1408" w:firstLineChars="503"/>
        <w:rPr>
          <w:rFonts w:hint="eastAsia" w:ascii="仿宋" w:hAnsi="仿宋" w:eastAsia="仿宋"/>
          <w:sz w:val="28"/>
          <w:szCs w:val="28"/>
        </w:rPr>
      </w:pPr>
      <w:r>
        <w:rPr>
          <w:rFonts w:hint="eastAsia" w:ascii="仿宋" w:hAnsi="仿宋" w:eastAsia="仿宋"/>
          <w:sz w:val="28"/>
          <w:szCs w:val="28"/>
        </w:rPr>
        <w:t>（图7：“三公”经费财政拨款支出结构）</w:t>
      </w:r>
    </w:p>
    <w:p>
      <w:pPr>
        <w:pStyle w:val="2"/>
        <w:rPr>
          <w:rFonts w:hint="eastAsia" w:ascii="仿宋" w:hAnsi="仿宋" w:eastAsia="仿宋"/>
          <w:sz w:val="28"/>
          <w:szCs w:val="28"/>
        </w:rPr>
      </w:pPr>
      <w:r>
        <w:rPr>
          <w:sz w:val="20"/>
          <w:szCs w:val="22"/>
        </w:rPr>
        <w:drawing>
          <wp:anchor distT="0" distB="0" distL="114300" distR="114300" simplePos="0" relativeHeight="251660288" behindDoc="0" locked="0" layoutInCell="1" allowOverlap="1">
            <wp:simplePos x="0" y="0"/>
            <wp:positionH relativeFrom="column">
              <wp:posOffset>182245</wp:posOffset>
            </wp:positionH>
            <wp:positionV relativeFrom="paragraph">
              <wp:posOffset>98425</wp:posOffset>
            </wp:positionV>
            <wp:extent cx="5162550" cy="2343150"/>
            <wp:effectExtent l="5080" t="4445" r="13970" b="14605"/>
            <wp:wrapNone/>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ascii="仿宋" w:hAnsi="仿宋" w:eastAsia="仿宋"/>
          <w:sz w:val="32"/>
          <w:szCs w:val="32"/>
        </w:rPr>
      </w:pPr>
    </w:p>
    <w:p>
      <w:pPr>
        <w:pStyle w:val="2"/>
        <w:ind w:left="0" w:leftChars="0" w:firstLine="0" w:firstLineChars="0"/>
        <w:rPr>
          <w:rFonts w:hint="eastAsia" w:ascii="仿宋" w:hAnsi="仿宋" w:eastAsia="仿宋"/>
          <w:sz w:val="32"/>
          <w:szCs w:val="32"/>
        </w:rPr>
      </w:pPr>
    </w:p>
    <w:p>
      <w:pPr>
        <w:spacing w:line="600" w:lineRule="exact"/>
        <w:ind w:firstLine="562" w:firstLineChars="200"/>
        <w:rPr>
          <w:rFonts w:hint="eastAsia" w:ascii="仿宋_GB2312" w:eastAsia="仿宋_GB2312"/>
          <w:b/>
          <w:bCs/>
          <w:sz w:val="28"/>
          <w:szCs w:val="28"/>
        </w:rPr>
      </w:pPr>
    </w:p>
    <w:p>
      <w:pPr>
        <w:spacing w:line="600" w:lineRule="exact"/>
        <w:ind w:firstLine="562" w:firstLineChars="200"/>
        <w:rPr>
          <w:rFonts w:hint="eastAsia" w:ascii="仿宋_GB2312" w:eastAsia="仿宋_GB2312"/>
          <w:b/>
          <w:bCs/>
          <w:sz w:val="28"/>
          <w:szCs w:val="28"/>
        </w:rPr>
      </w:pPr>
    </w:p>
    <w:p>
      <w:pPr>
        <w:spacing w:line="600" w:lineRule="exact"/>
        <w:ind w:firstLine="562" w:firstLineChars="200"/>
        <w:rPr>
          <w:rFonts w:hint="eastAsia" w:ascii="仿宋_GB2312" w:eastAsia="仿宋_GB2312"/>
          <w:b/>
          <w:bCs/>
          <w:sz w:val="28"/>
          <w:szCs w:val="28"/>
        </w:rPr>
      </w:pPr>
    </w:p>
    <w:p>
      <w:pPr>
        <w:spacing w:line="600" w:lineRule="exact"/>
        <w:ind w:firstLine="562" w:firstLineChars="200"/>
        <w:rPr>
          <w:rFonts w:hint="eastAsia" w:ascii="仿宋_GB2312" w:eastAsia="仿宋_GB2312"/>
          <w:b/>
          <w:bCs/>
          <w:sz w:val="28"/>
          <w:szCs w:val="28"/>
        </w:rPr>
      </w:pPr>
    </w:p>
    <w:p>
      <w:pPr>
        <w:spacing w:line="600" w:lineRule="exact"/>
        <w:ind w:firstLine="562" w:firstLineChars="200"/>
        <w:rPr>
          <w:rFonts w:hint="eastAsia" w:ascii="仿宋" w:hAnsi="仿宋" w:eastAsia="仿宋"/>
          <w:sz w:val="28"/>
          <w:szCs w:val="28"/>
        </w:rPr>
      </w:pPr>
      <w:r>
        <w:rPr>
          <w:rFonts w:hint="eastAsia" w:ascii="仿宋_GB2312" w:eastAsia="仿宋_GB2312"/>
          <w:b/>
          <w:bCs/>
          <w:sz w:val="28"/>
          <w:szCs w:val="28"/>
        </w:rPr>
        <w:t>1.因公出国（境）经费支出0万元</w:t>
      </w:r>
      <w:r>
        <w:rPr>
          <w:rFonts w:hint="eastAsia" w:ascii="仿宋_GB2312" w:eastAsia="仿宋_GB2312"/>
          <w:b/>
          <w:bCs/>
          <w:sz w:val="28"/>
          <w:szCs w:val="28"/>
          <w:lang w:eastAsia="zh-CN"/>
        </w:rPr>
        <w:t>。</w:t>
      </w:r>
      <w:r>
        <w:rPr>
          <w:rFonts w:hint="eastAsia" w:ascii="仿宋_GB2312" w:eastAsia="仿宋_GB2312"/>
          <w:sz w:val="28"/>
          <w:szCs w:val="28"/>
        </w:rPr>
        <w:t>完成预算100%，全</w:t>
      </w:r>
      <w:r>
        <w:rPr>
          <w:rFonts w:hint="eastAsia" w:ascii="仿宋" w:hAnsi="仿宋" w:eastAsia="仿宋"/>
          <w:sz w:val="28"/>
          <w:szCs w:val="28"/>
        </w:rPr>
        <w:t>年安排因公出国（境）团组0次，出国（境）0人。因公出国（境）支出决算</w:t>
      </w:r>
      <w:r>
        <w:rPr>
          <w:rFonts w:hint="eastAsia" w:ascii="仿宋" w:hAnsi="仿宋" w:eastAsia="仿宋"/>
          <w:sz w:val="28"/>
          <w:szCs w:val="28"/>
          <w:lang w:eastAsia="zh-CN"/>
        </w:rPr>
        <w:t>与</w:t>
      </w:r>
      <w:r>
        <w:rPr>
          <w:rFonts w:hint="eastAsia"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年持平，主要原因是无因公出国（境）安排。</w:t>
      </w:r>
    </w:p>
    <w:p>
      <w:pPr>
        <w:spacing w:line="600" w:lineRule="exact"/>
        <w:ind w:firstLine="562" w:firstLineChars="200"/>
        <w:rPr>
          <w:rFonts w:hint="eastAsia" w:ascii="仿宋" w:hAnsi="仿宋" w:eastAsia="仿宋"/>
          <w:sz w:val="28"/>
          <w:szCs w:val="28"/>
        </w:rPr>
      </w:pPr>
      <w:r>
        <w:rPr>
          <w:rFonts w:hint="eastAsia" w:ascii="仿宋_GB2312" w:eastAsia="仿宋_GB2312"/>
          <w:b/>
          <w:bCs/>
          <w:sz w:val="28"/>
          <w:szCs w:val="28"/>
        </w:rPr>
        <w:t>2.公务用车购置及运行维护费支出0万元。</w:t>
      </w:r>
      <w:r>
        <w:rPr>
          <w:rFonts w:hint="eastAsia" w:ascii="仿宋" w:hAnsi="仿宋" w:eastAsia="仿宋"/>
          <w:sz w:val="28"/>
          <w:szCs w:val="28"/>
        </w:rPr>
        <w:t>完成预算100%。公务用车购置及运行维护费支出决算比202</w:t>
      </w:r>
      <w:r>
        <w:rPr>
          <w:rFonts w:hint="eastAsia" w:ascii="仿宋" w:hAnsi="仿宋" w:eastAsia="仿宋"/>
          <w:sz w:val="28"/>
          <w:szCs w:val="28"/>
          <w:lang w:val="en-US" w:eastAsia="zh-CN"/>
        </w:rPr>
        <w:t>1</w:t>
      </w:r>
      <w:r>
        <w:rPr>
          <w:rFonts w:hint="eastAsia" w:ascii="仿宋" w:hAnsi="仿宋" w:eastAsia="仿宋"/>
          <w:sz w:val="28"/>
          <w:szCs w:val="28"/>
        </w:rPr>
        <w:t>年减少0万元，下降0%。主要原因是无公务用车购置及运行维护支出。</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其中：公务用车购置支出0万元。全年</w:t>
      </w:r>
      <w:r>
        <w:rPr>
          <w:rFonts w:hint="eastAsia" w:ascii="仿宋" w:hAnsi="仿宋" w:eastAsia="仿宋"/>
          <w:sz w:val="28"/>
          <w:szCs w:val="28"/>
          <w:lang w:eastAsia="zh-CN"/>
        </w:rPr>
        <w:t>新</w:t>
      </w:r>
      <w:r>
        <w:rPr>
          <w:rFonts w:hint="eastAsia" w:ascii="仿宋" w:hAnsi="仿宋" w:eastAsia="仿宋"/>
          <w:sz w:val="28"/>
          <w:szCs w:val="28"/>
        </w:rPr>
        <w:t>购置公务用车0辆，其中：轿车0辆、金额0万元，越野车0辆、金额0万元，载客汽车0辆、金额0万元。截至202</w:t>
      </w:r>
      <w:r>
        <w:rPr>
          <w:rFonts w:hint="eastAsia" w:ascii="仿宋" w:hAnsi="仿宋" w:eastAsia="仿宋"/>
          <w:sz w:val="28"/>
          <w:szCs w:val="28"/>
          <w:lang w:val="en-US" w:eastAsia="zh-CN"/>
        </w:rPr>
        <w:t>2</w:t>
      </w:r>
      <w:r>
        <w:rPr>
          <w:rFonts w:hint="eastAsia" w:ascii="仿宋" w:hAnsi="仿宋" w:eastAsia="仿宋"/>
          <w:sz w:val="28"/>
          <w:szCs w:val="28"/>
        </w:rPr>
        <w:t>年12月底，单位共有公务用车0辆，其中：轿车0辆、越野车0辆、载客汽车0辆。</w:t>
      </w:r>
    </w:p>
    <w:p>
      <w:pPr>
        <w:spacing w:line="600" w:lineRule="exact"/>
        <w:ind w:firstLine="640"/>
        <w:rPr>
          <w:rFonts w:hint="eastAsia" w:ascii="仿宋_GB2312" w:eastAsia="仿宋_GB2312"/>
          <w:sz w:val="28"/>
          <w:szCs w:val="28"/>
        </w:rPr>
      </w:pPr>
      <w:r>
        <w:rPr>
          <w:rFonts w:hint="eastAsia" w:ascii="仿宋_GB2312" w:eastAsia="仿宋_GB2312"/>
          <w:b/>
          <w:sz w:val="28"/>
          <w:szCs w:val="28"/>
        </w:rPr>
        <w:t>公务用车运行维护费支出</w:t>
      </w:r>
      <w:r>
        <w:rPr>
          <w:rFonts w:hint="eastAsia" w:ascii="仿宋_GB2312" w:eastAsia="仿宋_GB2312"/>
          <w:sz w:val="28"/>
          <w:szCs w:val="28"/>
          <w:lang w:val="en-US" w:eastAsia="zh-CN"/>
        </w:rPr>
        <w:t>0</w:t>
      </w:r>
      <w:r>
        <w:rPr>
          <w:rFonts w:hint="eastAsia" w:ascii="仿宋_GB2312" w:eastAsia="仿宋_GB2312"/>
          <w:sz w:val="28"/>
          <w:szCs w:val="28"/>
        </w:rPr>
        <w:t>万元。</w:t>
      </w:r>
    </w:p>
    <w:p>
      <w:pPr>
        <w:spacing w:line="600" w:lineRule="exact"/>
        <w:ind w:firstLine="640"/>
        <w:rPr>
          <w:rFonts w:hint="eastAsia" w:ascii="仿宋" w:hAnsi="仿宋" w:eastAsia="仿宋"/>
          <w:sz w:val="28"/>
          <w:szCs w:val="28"/>
        </w:rPr>
      </w:pPr>
      <w:r>
        <w:rPr>
          <w:rFonts w:ascii="仿宋_GB2312" w:eastAsia="仿宋_GB2312"/>
          <w:b/>
          <w:sz w:val="28"/>
          <w:szCs w:val="28"/>
        </w:rPr>
        <w:t>3.</w:t>
      </w:r>
      <w:r>
        <w:rPr>
          <w:rFonts w:hint="eastAsia" w:ascii="仿宋_GB2312" w:eastAsia="仿宋_GB2312"/>
          <w:b/>
          <w:sz w:val="28"/>
          <w:szCs w:val="28"/>
        </w:rPr>
        <w:t>公务接待费支出</w:t>
      </w:r>
      <w:r>
        <w:rPr>
          <w:rFonts w:hint="eastAsia" w:ascii="仿宋_GB2312" w:eastAsia="仿宋_GB2312"/>
          <w:sz w:val="28"/>
          <w:szCs w:val="28"/>
          <w:lang w:val="en-US" w:eastAsia="zh-CN"/>
        </w:rPr>
        <w:t>0.38</w:t>
      </w:r>
      <w:r>
        <w:rPr>
          <w:rFonts w:hint="eastAsia" w:ascii="仿宋_GB2312" w:eastAsia="仿宋_GB2312"/>
          <w:sz w:val="28"/>
          <w:szCs w:val="28"/>
        </w:rPr>
        <w:t>万元，</w:t>
      </w:r>
      <w:r>
        <w:rPr>
          <w:rStyle w:val="16"/>
          <w:rFonts w:hint="eastAsia" w:ascii="仿宋" w:hAnsi="仿宋" w:eastAsia="仿宋"/>
          <w:b w:val="0"/>
          <w:bCs/>
          <w:sz w:val="28"/>
          <w:szCs w:val="28"/>
        </w:rPr>
        <w:t>完成预算</w:t>
      </w:r>
      <w:r>
        <w:rPr>
          <w:rStyle w:val="16"/>
          <w:rFonts w:hint="eastAsia" w:ascii="仿宋" w:hAnsi="仿宋" w:eastAsia="仿宋"/>
          <w:b w:val="0"/>
          <w:bCs/>
          <w:sz w:val="28"/>
          <w:szCs w:val="28"/>
          <w:lang w:val="en-US" w:eastAsia="zh-CN"/>
        </w:rPr>
        <w:t>100</w:t>
      </w:r>
      <w:r>
        <w:rPr>
          <w:rStyle w:val="16"/>
          <w:rFonts w:ascii="仿宋" w:hAnsi="仿宋" w:eastAsia="仿宋"/>
          <w:b w:val="0"/>
          <w:bCs/>
          <w:sz w:val="28"/>
          <w:szCs w:val="28"/>
        </w:rPr>
        <w:t>%</w:t>
      </w:r>
      <w:r>
        <w:rPr>
          <w:rStyle w:val="16"/>
          <w:rFonts w:hint="eastAsia" w:ascii="仿宋" w:hAnsi="仿宋" w:eastAsia="仿宋"/>
          <w:b w:val="0"/>
          <w:bCs/>
          <w:sz w:val="28"/>
          <w:szCs w:val="28"/>
        </w:rPr>
        <w:t>。</w:t>
      </w:r>
      <w:r>
        <w:rPr>
          <w:rFonts w:hint="eastAsia" w:ascii="仿宋_GB2312" w:eastAsia="仿宋_GB2312"/>
          <w:sz w:val="28"/>
          <w:szCs w:val="28"/>
        </w:rPr>
        <w:t>公务接</w:t>
      </w:r>
      <w:r>
        <w:rPr>
          <w:rFonts w:hint="eastAsia" w:ascii="仿宋" w:hAnsi="仿宋" w:eastAsia="仿宋"/>
          <w:sz w:val="28"/>
          <w:szCs w:val="28"/>
        </w:rPr>
        <w:t>待费支出决算比2021年</w:t>
      </w:r>
      <w:r>
        <w:rPr>
          <w:rFonts w:hint="eastAsia" w:ascii="仿宋" w:hAnsi="仿宋" w:eastAsia="仿宋"/>
          <w:sz w:val="28"/>
          <w:szCs w:val="28"/>
          <w:lang w:eastAsia="zh-CN"/>
        </w:rPr>
        <w:t>的</w:t>
      </w:r>
      <w:r>
        <w:rPr>
          <w:rFonts w:hint="eastAsia" w:ascii="仿宋" w:hAnsi="仿宋" w:eastAsia="仿宋"/>
          <w:sz w:val="28"/>
          <w:szCs w:val="28"/>
          <w:lang w:val="en-US" w:eastAsia="zh-CN"/>
        </w:rPr>
        <w:t>0.48万元减少0.10</w:t>
      </w:r>
      <w:r>
        <w:rPr>
          <w:rFonts w:hint="eastAsia" w:ascii="仿宋" w:hAnsi="仿宋" w:eastAsia="仿宋"/>
          <w:sz w:val="28"/>
          <w:szCs w:val="28"/>
        </w:rPr>
        <w:t>万元，</w:t>
      </w:r>
      <w:r>
        <w:rPr>
          <w:rFonts w:hint="eastAsia" w:ascii="仿宋" w:hAnsi="仿宋" w:eastAsia="仿宋"/>
          <w:sz w:val="28"/>
          <w:szCs w:val="28"/>
          <w:lang w:eastAsia="zh-CN"/>
        </w:rPr>
        <w:t>减少</w:t>
      </w:r>
      <w:r>
        <w:rPr>
          <w:rFonts w:hint="eastAsia" w:ascii="仿宋" w:hAnsi="仿宋" w:eastAsia="仿宋"/>
          <w:sz w:val="28"/>
          <w:szCs w:val="28"/>
          <w:lang w:val="en-US" w:eastAsia="zh-CN"/>
        </w:rPr>
        <w:t>20.83</w:t>
      </w:r>
      <w:r>
        <w:rPr>
          <w:rFonts w:hint="eastAsia" w:ascii="仿宋" w:hAnsi="仿宋" w:eastAsia="仿宋"/>
          <w:sz w:val="28"/>
          <w:szCs w:val="28"/>
        </w:rPr>
        <w:t>%。</w:t>
      </w:r>
      <w:r>
        <w:rPr>
          <w:rFonts w:hint="eastAsia" w:ascii="仿宋" w:hAnsi="仿宋" w:eastAsia="仿宋"/>
          <w:sz w:val="28"/>
          <w:szCs w:val="28"/>
          <w:lang w:eastAsia="zh-CN"/>
        </w:rPr>
        <w:t>主要原因是厉行节约，减少接待人次，控制支出。</w:t>
      </w:r>
      <w:r>
        <w:rPr>
          <w:rFonts w:hint="eastAsia" w:ascii="仿宋" w:hAnsi="仿宋" w:eastAsia="仿宋"/>
          <w:sz w:val="28"/>
          <w:szCs w:val="28"/>
        </w:rPr>
        <w:t>其中：</w:t>
      </w:r>
    </w:p>
    <w:p>
      <w:pPr>
        <w:pStyle w:val="34"/>
        <w:keepNext w:val="0"/>
        <w:keepLines w:val="0"/>
        <w:pageBreakBefore w:val="0"/>
        <w:kinsoku/>
        <w:wordWrap/>
        <w:overflowPunct/>
        <w:topLinePunct w:val="0"/>
        <w:autoSpaceDE/>
        <w:autoSpaceDN/>
        <w:bidi w:val="0"/>
        <w:adjustRightInd/>
        <w:snapToGrid/>
        <w:spacing w:before="0" w:after="0" w:line="600" w:lineRule="exact"/>
        <w:ind w:firstLine="562" w:firstLineChars="200"/>
        <w:jc w:val="left"/>
        <w:textAlignment w:val="auto"/>
        <w:rPr>
          <w:rFonts w:hint="eastAsia" w:ascii="仿宋_GB2312" w:eastAsia="仿宋_GB2312"/>
          <w:sz w:val="28"/>
          <w:szCs w:val="28"/>
          <w:lang w:eastAsia="zh-CN"/>
        </w:rPr>
      </w:pPr>
      <w:r>
        <w:rPr>
          <w:rFonts w:hint="eastAsia" w:ascii="仿宋" w:hAnsi="仿宋" w:eastAsia="仿宋"/>
          <w:b/>
          <w:sz w:val="28"/>
          <w:szCs w:val="28"/>
        </w:rPr>
        <w:t>国内公务接待支出</w:t>
      </w:r>
      <w:r>
        <w:rPr>
          <w:rFonts w:hint="eastAsia" w:ascii="仿宋" w:hAnsi="仿宋" w:eastAsia="仿宋"/>
          <w:sz w:val="28"/>
          <w:szCs w:val="28"/>
          <w:lang w:val="en-US" w:eastAsia="zh-CN"/>
        </w:rPr>
        <w:t>0.38</w:t>
      </w:r>
      <w:r>
        <w:rPr>
          <w:rFonts w:hint="eastAsia" w:ascii="仿宋_GB2312" w:eastAsia="仿宋_GB2312"/>
          <w:sz w:val="28"/>
          <w:szCs w:val="28"/>
        </w:rPr>
        <w:t>万元，</w:t>
      </w:r>
      <w:r>
        <w:rPr>
          <w:rFonts w:hint="eastAsia" w:ascii="仿宋" w:hAnsi="仿宋" w:eastAsia="仿宋"/>
          <w:sz w:val="28"/>
          <w:szCs w:val="28"/>
          <w:lang w:val="en-US" w:eastAsia="zh-CN"/>
        </w:rPr>
        <w:t>主要用于执行公务、开</w:t>
      </w:r>
      <w:r>
        <w:rPr>
          <w:rFonts w:hint="eastAsia" w:ascii="仿宋" w:hAnsi="仿宋" w:eastAsia="仿宋"/>
          <w:sz w:val="24"/>
          <w:szCs w:val="24"/>
          <w:lang w:val="en-US" w:eastAsia="zh-CN"/>
        </w:rPr>
        <w:t>展</w:t>
      </w:r>
      <w:r>
        <w:rPr>
          <w:rFonts w:hint="eastAsia" w:ascii="仿宋" w:hAnsi="仿宋" w:eastAsia="仿宋"/>
          <w:sz w:val="28"/>
          <w:szCs w:val="28"/>
          <w:lang w:val="en-US" w:eastAsia="zh-CN"/>
        </w:rPr>
        <w:t>业务活动开支的用餐费。</w:t>
      </w:r>
      <w:r>
        <w:rPr>
          <w:rFonts w:hint="eastAsia" w:ascii="仿宋_GB2312" w:eastAsia="仿宋_GB2312"/>
          <w:sz w:val="28"/>
          <w:szCs w:val="28"/>
        </w:rPr>
        <w:t>国内公务接待</w:t>
      </w:r>
      <w:r>
        <w:rPr>
          <w:rFonts w:hint="eastAsia" w:ascii="仿宋_GB2312" w:eastAsia="仿宋_GB2312"/>
          <w:sz w:val="28"/>
          <w:szCs w:val="28"/>
          <w:lang w:val="en-US" w:eastAsia="zh-CN"/>
        </w:rPr>
        <w:t>14</w:t>
      </w:r>
      <w:r>
        <w:rPr>
          <w:rFonts w:hint="eastAsia" w:ascii="仿宋_GB2312" w:eastAsia="仿宋_GB2312"/>
          <w:sz w:val="28"/>
          <w:szCs w:val="28"/>
        </w:rPr>
        <w:t>批次，</w:t>
      </w:r>
      <w:r>
        <w:rPr>
          <w:rFonts w:hint="eastAsia" w:ascii="仿宋_GB2312" w:eastAsia="仿宋_GB2312"/>
          <w:sz w:val="28"/>
          <w:szCs w:val="28"/>
          <w:lang w:val="en-US" w:eastAsia="zh-CN"/>
        </w:rPr>
        <w:t>100</w:t>
      </w:r>
      <w:r>
        <w:rPr>
          <w:rFonts w:hint="eastAsia" w:ascii="仿宋_GB2312" w:eastAsia="仿宋_GB2312"/>
          <w:sz w:val="28"/>
          <w:szCs w:val="28"/>
        </w:rPr>
        <w:t>人次（不包括陪同人员），共计支出</w:t>
      </w:r>
      <w:r>
        <w:rPr>
          <w:rFonts w:hint="eastAsia" w:ascii="仿宋_GB2312" w:eastAsia="仿宋_GB2312"/>
          <w:sz w:val="28"/>
          <w:szCs w:val="28"/>
          <w:lang w:val="en-US" w:eastAsia="zh-CN"/>
        </w:rPr>
        <w:t>0.38</w:t>
      </w:r>
      <w:r>
        <w:rPr>
          <w:rFonts w:hint="eastAsia" w:ascii="仿宋_GB2312" w:eastAsia="仿宋_GB2312"/>
          <w:sz w:val="28"/>
          <w:szCs w:val="28"/>
        </w:rPr>
        <w:t>万元，具体内容包括：</w:t>
      </w:r>
      <w:r>
        <w:rPr>
          <w:rFonts w:hint="eastAsia" w:ascii="仿宋_GB2312" w:eastAsia="仿宋_GB2312"/>
          <w:sz w:val="28"/>
          <w:szCs w:val="28"/>
          <w:lang w:eastAsia="zh-CN"/>
        </w:rPr>
        <w:t>上级部门的工作检查、业务指导、调研活动以及校际的交流、学习、考察等公务接待活动费支出0.3</w:t>
      </w:r>
      <w:r>
        <w:rPr>
          <w:rFonts w:hint="eastAsia" w:ascii="仿宋_GB2312" w:eastAsia="仿宋_GB2312"/>
          <w:sz w:val="28"/>
          <w:szCs w:val="28"/>
          <w:lang w:val="en-US" w:eastAsia="zh-CN"/>
        </w:rPr>
        <w:t>8</w:t>
      </w:r>
      <w:r>
        <w:rPr>
          <w:rFonts w:hint="eastAsia" w:ascii="仿宋_GB2312" w:eastAsia="仿宋_GB2312"/>
          <w:sz w:val="28"/>
          <w:szCs w:val="28"/>
          <w:lang w:eastAsia="zh-CN"/>
        </w:rPr>
        <w:t>万元。</w:t>
      </w:r>
    </w:p>
    <w:p>
      <w:pPr>
        <w:spacing w:line="600" w:lineRule="exact"/>
        <w:ind w:firstLine="562" w:firstLineChars="200"/>
        <w:rPr>
          <w:rFonts w:ascii="黑体" w:eastAsia="黑体"/>
          <w:sz w:val="28"/>
          <w:szCs w:val="28"/>
        </w:rPr>
      </w:pPr>
      <w:r>
        <w:rPr>
          <w:rFonts w:hint="eastAsia" w:ascii="仿宋" w:hAnsi="仿宋" w:eastAsia="仿宋"/>
          <w:b/>
          <w:sz w:val="28"/>
          <w:szCs w:val="28"/>
        </w:rPr>
        <w:t>外事接待支出</w:t>
      </w:r>
      <w:r>
        <w:rPr>
          <w:rFonts w:hint="eastAsia" w:ascii="仿宋" w:hAnsi="仿宋" w:eastAsia="仿宋"/>
          <w:sz w:val="28"/>
          <w:szCs w:val="28"/>
          <w:lang w:val="en-US" w:eastAsia="zh-CN"/>
        </w:rPr>
        <w:t>0</w:t>
      </w:r>
      <w:r>
        <w:rPr>
          <w:rFonts w:hint="eastAsia" w:ascii="仿宋_GB2312" w:eastAsia="仿宋_GB2312"/>
          <w:sz w:val="28"/>
          <w:szCs w:val="28"/>
        </w:rPr>
        <w:t>万元，外事接待</w:t>
      </w:r>
      <w:r>
        <w:rPr>
          <w:rFonts w:hint="eastAsia" w:ascii="仿宋_GB2312" w:eastAsia="仿宋_GB2312"/>
          <w:sz w:val="28"/>
          <w:szCs w:val="28"/>
          <w:lang w:val="en-US" w:eastAsia="zh-CN"/>
        </w:rPr>
        <w:t>0</w:t>
      </w:r>
      <w:r>
        <w:rPr>
          <w:rFonts w:hint="eastAsia" w:ascii="仿宋_GB2312" w:eastAsia="仿宋_GB2312"/>
          <w:sz w:val="28"/>
          <w:szCs w:val="28"/>
        </w:rPr>
        <w:t>批次，</w:t>
      </w:r>
      <w:r>
        <w:rPr>
          <w:rFonts w:hint="eastAsia" w:ascii="仿宋_GB2312" w:eastAsia="仿宋_GB2312"/>
          <w:sz w:val="28"/>
          <w:szCs w:val="28"/>
          <w:lang w:val="en-US" w:eastAsia="zh-CN"/>
        </w:rPr>
        <w:t>0</w:t>
      </w:r>
      <w:r>
        <w:rPr>
          <w:rFonts w:hint="eastAsia" w:ascii="仿宋_GB2312" w:eastAsia="仿宋_GB2312"/>
          <w:sz w:val="28"/>
          <w:szCs w:val="28"/>
        </w:rPr>
        <w:t>人次（不包括陪同人员），共计支出</w:t>
      </w:r>
      <w:r>
        <w:rPr>
          <w:rFonts w:hint="eastAsia" w:ascii="仿宋_GB2312" w:eastAsia="仿宋_GB2312"/>
          <w:sz w:val="28"/>
          <w:szCs w:val="28"/>
          <w:lang w:val="en-US" w:eastAsia="zh-CN"/>
        </w:rPr>
        <w:t>0</w:t>
      </w:r>
      <w:r>
        <w:rPr>
          <w:rFonts w:hint="eastAsia" w:ascii="仿宋_GB2312" w:eastAsia="仿宋_GB2312"/>
          <w:sz w:val="28"/>
          <w:szCs w:val="28"/>
        </w:rPr>
        <w:t>万元。</w:t>
      </w:r>
      <w:bookmarkStart w:id="40" w:name="_Toc15377218"/>
      <w:bookmarkStart w:id="41" w:name="_Toc15396610"/>
    </w:p>
    <w:p>
      <w:pPr>
        <w:spacing w:line="600" w:lineRule="exact"/>
        <w:ind w:firstLine="640"/>
        <w:outlineLvl w:val="1"/>
        <w:rPr>
          <w:rStyle w:val="27"/>
          <w:rFonts w:ascii="黑体" w:hAnsi="黑体" w:eastAsia="黑体"/>
          <w:sz w:val="28"/>
          <w:szCs w:val="28"/>
        </w:rPr>
      </w:pPr>
      <w:r>
        <w:rPr>
          <w:rFonts w:hint="eastAsia" w:ascii="黑体" w:eastAsia="黑体"/>
          <w:sz w:val="28"/>
          <w:szCs w:val="28"/>
        </w:rPr>
        <w:t>八、</w:t>
      </w:r>
      <w:r>
        <w:rPr>
          <w:rStyle w:val="27"/>
          <w:rFonts w:hint="eastAsia" w:ascii="黑体" w:hAnsi="黑体" w:eastAsia="黑体"/>
          <w:b w:val="0"/>
          <w:sz w:val="28"/>
          <w:szCs w:val="28"/>
        </w:rPr>
        <w:t>政府性基金预算支出决算情况说明</w:t>
      </w:r>
      <w:bookmarkEnd w:id="40"/>
      <w:bookmarkEnd w:id="41"/>
    </w:p>
    <w:p>
      <w:pPr>
        <w:spacing w:line="600" w:lineRule="exact"/>
        <w:ind w:firstLine="640"/>
        <w:rPr>
          <w:rFonts w:ascii="仿宋_GB2312" w:eastAsia="仿宋_GB2312"/>
          <w:sz w:val="28"/>
          <w:szCs w:val="28"/>
        </w:rPr>
      </w:pPr>
      <w:r>
        <w:rPr>
          <w:rFonts w:ascii="仿宋_GB2312" w:eastAsia="仿宋_GB2312"/>
          <w:sz w:val="28"/>
          <w:szCs w:val="28"/>
        </w:rPr>
        <w:t>20</w:t>
      </w:r>
      <w:r>
        <w:rPr>
          <w:rFonts w:hint="eastAsia" w:ascii="仿宋_GB2312" w:eastAsia="仿宋_GB2312"/>
          <w:sz w:val="28"/>
          <w:szCs w:val="28"/>
        </w:rPr>
        <w:t>22年政府性基金预算财政拨款支出</w:t>
      </w:r>
      <w:r>
        <w:rPr>
          <w:rFonts w:hint="eastAsia" w:ascii="仿宋_GB2312" w:eastAsia="仿宋_GB2312"/>
          <w:sz w:val="28"/>
          <w:szCs w:val="28"/>
          <w:lang w:val="en-US" w:eastAsia="zh-CN"/>
        </w:rPr>
        <w:t>0.00</w:t>
      </w:r>
      <w:r>
        <w:rPr>
          <w:rFonts w:hint="eastAsia" w:ascii="仿宋_GB2312" w:eastAsia="仿宋_GB2312"/>
          <w:sz w:val="28"/>
          <w:szCs w:val="28"/>
        </w:rPr>
        <w:t>万元。</w:t>
      </w:r>
    </w:p>
    <w:p>
      <w:pPr>
        <w:numPr>
          <w:ilvl w:val="0"/>
          <w:numId w:val="3"/>
        </w:numPr>
        <w:spacing w:line="600" w:lineRule="exact"/>
        <w:ind w:firstLine="640"/>
        <w:outlineLvl w:val="1"/>
        <w:rPr>
          <w:rStyle w:val="27"/>
          <w:rFonts w:ascii="黑体" w:hAnsi="黑体" w:eastAsia="黑体"/>
          <w:b w:val="0"/>
          <w:sz w:val="28"/>
          <w:szCs w:val="28"/>
        </w:rPr>
      </w:pPr>
      <w:bookmarkStart w:id="42" w:name="_Toc15377219"/>
      <w:bookmarkStart w:id="43" w:name="_Toc15396611"/>
      <w:r>
        <w:rPr>
          <w:rStyle w:val="27"/>
          <w:rFonts w:hint="eastAsia" w:ascii="黑体" w:hAnsi="黑体" w:eastAsia="黑体"/>
          <w:b w:val="0"/>
          <w:sz w:val="28"/>
          <w:szCs w:val="28"/>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28"/>
          <w:szCs w:val="28"/>
        </w:rPr>
      </w:pPr>
      <w:r>
        <w:rPr>
          <w:rFonts w:ascii="仿宋_GB2312" w:eastAsia="仿宋_GB2312"/>
          <w:sz w:val="28"/>
          <w:szCs w:val="28"/>
        </w:rPr>
        <w:t>20</w:t>
      </w:r>
      <w:r>
        <w:rPr>
          <w:rFonts w:hint="eastAsia" w:ascii="仿宋_GB2312" w:eastAsia="仿宋_GB2312"/>
          <w:sz w:val="28"/>
          <w:szCs w:val="28"/>
        </w:rPr>
        <w:t>22年国有资本经营预算财政拨款支出</w:t>
      </w:r>
      <w:r>
        <w:rPr>
          <w:rFonts w:hint="eastAsia" w:ascii="仿宋_GB2312" w:eastAsia="仿宋_GB2312"/>
          <w:sz w:val="28"/>
          <w:szCs w:val="28"/>
          <w:lang w:val="en-US" w:eastAsia="zh-CN"/>
        </w:rPr>
        <w:t>0.00</w:t>
      </w:r>
      <w:r>
        <w:rPr>
          <w:rFonts w:hint="eastAsia" w:ascii="仿宋_GB2312" w:eastAsia="仿宋_GB2312"/>
          <w:sz w:val="28"/>
          <w:szCs w:val="28"/>
        </w:rPr>
        <w:t>万元。</w:t>
      </w:r>
    </w:p>
    <w:p>
      <w:pPr>
        <w:numPr>
          <w:ilvl w:val="0"/>
          <w:numId w:val="3"/>
        </w:numPr>
        <w:spacing w:line="600" w:lineRule="exact"/>
        <w:ind w:firstLine="640"/>
        <w:outlineLvl w:val="1"/>
        <w:rPr>
          <w:rStyle w:val="27"/>
          <w:rFonts w:ascii="黑体" w:hAnsi="黑体" w:eastAsia="黑体"/>
          <w:b w:val="0"/>
          <w:sz w:val="28"/>
          <w:szCs w:val="28"/>
        </w:rPr>
      </w:pPr>
      <w:bookmarkStart w:id="44" w:name="_Toc15377221"/>
      <w:bookmarkStart w:id="45" w:name="_Toc15396612"/>
      <w:r>
        <w:rPr>
          <w:rStyle w:val="27"/>
          <w:rFonts w:hint="eastAsia" w:ascii="黑体" w:hAnsi="黑体" w:eastAsia="黑体"/>
          <w:b w:val="0"/>
          <w:sz w:val="28"/>
          <w:szCs w:val="28"/>
        </w:rPr>
        <w:t>其他重要事项的情况说明</w:t>
      </w:r>
      <w:bookmarkEnd w:id="44"/>
      <w:bookmarkEnd w:id="45"/>
    </w:p>
    <w:p>
      <w:pPr>
        <w:spacing w:line="600" w:lineRule="exact"/>
        <w:ind w:firstLine="562" w:firstLineChars="200"/>
        <w:outlineLvl w:val="2"/>
        <w:rPr>
          <w:rFonts w:ascii="仿宋" w:hAnsi="仿宋" w:eastAsia="仿宋"/>
          <w:sz w:val="28"/>
          <w:szCs w:val="28"/>
        </w:rPr>
      </w:pPr>
      <w:bookmarkStart w:id="46" w:name="_Toc15377222"/>
      <w:r>
        <w:rPr>
          <w:rFonts w:hint="eastAsia" w:ascii="仿宋" w:hAnsi="仿宋" w:eastAsia="仿宋"/>
          <w:b/>
          <w:sz w:val="28"/>
          <w:szCs w:val="28"/>
        </w:rPr>
        <w:t>（一）机关运行经费支出情况</w:t>
      </w:r>
      <w:bookmarkEnd w:id="46"/>
    </w:p>
    <w:p>
      <w:pPr>
        <w:spacing w:line="400" w:lineRule="exact"/>
        <w:ind w:firstLine="560" w:firstLineChars="200"/>
        <w:rPr>
          <w:rFonts w:ascii="仿宋" w:hAnsi="仿宋" w:eastAsia="仿宋"/>
          <w:b/>
          <w:sz w:val="28"/>
          <w:szCs w:val="28"/>
        </w:rPr>
      </w:pPr>
      <w:r>
        <w:rPr>
          <w:rFonts w:ascii="仿宋_GB2312" w:eastAsia="仿宋_GB2312"/>
          <w:sz w:val="28"/>
          <w:szCs w:val="28"/>
        </w:rPr>
        <w:t>20</w:t>
      </w:r>
      <w:r>
        <w:rPr>
          <w:rFonts w:hint="eastAsia" w:ascii="仿宋_GB2312" w:eastAsia="仿宋_GB2312"/>
          <w:sz w:val="28"/>
          <w:szCs w:val="28"/>
        </w:rPr>
        <w:t>22年，</w:t>
      </w:r>
      <w:r>
        <w:rPr>
          <w:rFonts w:hint="eastAsia" w:ascii="仿宋_GB2312" w:eastAsia="仿宋_GB2312"/>
          <w:sz w:val="28"/>
          <w:szCs w:val="28"/>
          <w:lang w:eastAsia="zh-CN"/>
        </w:rPr>
        <w:t>我单位</w:t>
      </w:r>
      <w:r>
        <w:rPr>
          <w:rFonts w:hint="eastAsia" w:ascii="仿宋_GB2312" w:eastAsia="仿宋_GB2312"/>
          <w:sz w:val="28"/>
          <w:szCs w:val="28"/>
        </w:rPr>
        <w:t>机关运行经费支出</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ascii="仿宋_GB2312" w:eastAsia="仿宋_GB2312"/>
          <w:sz w:val="28"/>
          <w:szCs w:val="28"/>
        </w:rPr>
        <w:t>20</w:t>
      </w:r>
      <w:r>
        <w:rPr>
          <w:rFonts w:hint="eastAsia" w:ascii="仿宋_GB2312" w:eastAsia="仿宋_GB2312"/>
          <w:sz w:val="28"/>
          <w:szCs w:val="28"/>
        </w:rPr>
        <w:t>21年</w:t>
      </w:r>
      <w:r>
        <w:rPr>
          <w:rFonts w:hint="eastAsia" w:ascii="仿宋_GB2312" w:eastAsia="仿宋_GB2312"/>
          <w:sz w:val="28"/>
          <w:szCs w:val="28"/>
          <w:lang w:eastAsia="zh-CN"/>
        </w:rPr>
        <w:t>持平</w:t>
      </w:r>
      <w:r>
        <w:rPr>
          <w:rFonts w:hint="eastAsia" w:ascii="仿宋_GB2312" w:eastAsia="仿宋_GB2312"/>
          <w:sz w:val="28"/>
          <w:szCs w:val="28"/>
        </w:rPr>
        <w:t>。</w:t>
      </w:r>
      <w:r>
        <w:rPr>
          <w:rFonts w:hint="eastAsia" w:ascii="仿宋_GB2312" w:eastAsia="仿宋_GB2312"/>
          <w:sz w:val="28"/>
          <w:szCs w:val="28"/>
          <w:lang w:eastAsia="zh-CN"/>
        </w:rPr>
        <w:t>主要原因是无机关运行经费支出。</w:t>
      </w:r>
    </w:p>
    <w:p>
      <w:pPr>
        <w:autoSpaceDE w:val="0"/>
        <w:autoSpaceDN w:val="0"/>
        <w:adjustRightInd w:val="0"/>
        <w:spacing w:line="600" w:lineRule="exact"/>
        <w:ind w:firstLine="562" w:firstLineChars="200"/>
        <w:jc w:val="left"/>
        <w:outlineLvl w:val="2"/>
        <w:rPr>
          <w:rFonts w:ascii="仿宋" w:hAnsi="仿宋" w:eastAsia="仿宋"/>
          <w:b/>
          <w:sz w:val="28"/>
          <w:szCs w:val="28"/>
        </w:rPr>
      </w:pPr>
      <w:bookmarkStart w:id="47" w:name="_Toc15377223"/>
      <w:r>
        <w:rPr>
          <w:rFonts w:hint="eastAsia" w:ascii="仿宋" w:hAnsi="仿宋" w:eastAsia="仿宋"/>
          <w:b/>
          <w:sz w:val="28"/>
          <w:szCs w:val="28"/>
        </w:rPr>
        <w:t>（二）政府采购支出情况</w:t>
      </w:r>
      <w:bookmarkEnd w:id="47"/>
    </w:p>
    <w:p>
      <w:pPr>
        <w:spacing w:line="600" w:lineRule="exact"/>
        <w:ind w:firstLine="560" w:firstLineChars="200"/>
        <w:rPr>
          <w:rFonts w:ascii="仿宋_GB2312" w:eastAsia="仿宋_GB2312"/>
          <w:sz w:val="28"/>
          <w:szCs w:val="28"/>
        </w:rPr>
      </w:pPr>
      <w:r>
        <w:rPr>
          <w:rFonts w:ascii="仿宋_GB2312" w:eastAsia="仿宋_GB2312"/>
          <w:sz w:val="28"/>
          <w:szCs w:val="28"/>
        </w:rPr>
        <w:t>20</w:t>
      </w:r>
      <w:r>
        <w:rPr>
          <w:rFonts w:hint="eastAsia" w:ascii="仿宋_GB2312" w:eastAsia="仿宋_GB2312"/>
          <w:sz w:val="28"/>
          <w:szCs w:val="28"/>
        </w:rPr>
        <w:t>22年，</w:t>
      </w:r>
      <w:r>
        <w:rPr>
          <w:rFonts w:hint="eastAsia" w:ascii="仿宋_GB2312" w:eastAsia="仿宋_GB2312"/>
          <w:sz w:val="28"/>
          <w:szCs w:val="28"/>
          <w:lang w:eastAsia="zh-CN"/>
        </w:rPr>
        <w:t>四川省剑阁县剑门中学校</w:t>
      </w:r>
      <w:r>
        <w:rPr>
          <w:rFonts w:hint="eastAsia" w:ascii="仿宋_GB2312" w:eastAsia="仿宋_GB2312"/>
          <w:sz w:val="28"/>
          <w:szCs w:val="28"/>
        </w:rPr>
        <w:t>采购支出总额</w:t>
      </w:r>
      <w:r>
        <w:rPr>
          <w:rFonts w:hint="eastAsia" w:ascii="仿宋_GB2312" w:eastAsia="仿宋_GB2312"/>
          <w:sz w:val="28"/>
          <w:szCs w:val="28"/>
          <w:lang w:val="en-US" w:eastAsia="zh-CN"/>
        </w:rPr>
        <w:t>0.00</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0.00</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0.00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0.00</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0.00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0.00</w:t>
      </w:r>
      <w:r>
        <w:rPr>
          <w:rFonts w:ascii="仿宋_GB2312" w:eastAsia="仿宋_GB2312"/>
          <w:sz w:val="28"/>
          <w:szCs w:val="28"/>
        </w:rPr>
        <w:t>%</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0.00</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0.00</w:t>
      </w:r>
      <w:r>
        <w:rPr>
          <w:rFonts w:ascii="仿宋_GB2312" w:eastAsia="仿宋_GB2312"/>
          <w:sz w:val="28"/>
          <w:szCs w:val="28"/>
        </w:rPr>
        <w:t>%</w:t>
      </w:r>
      <w:r>
        <w:rPr>
          <w:rFonts w:hint="eastAsia" w:ascii="仿宋_GB2312" w:eastAsia="仿宋_GB2312"/>
          <w:sz w:val="28"/>
          <w:szCs w:val="28"/>
        </w:rPr>
        <w:t>。</w:t>
      </w:r>
    </w:p>
    <w:p>
      <w:pPr>
        <w:autoSpaceDE w:val="0"/>
        <w:autoSpaceDN w:val="0"/>
        <w:adjustRightInd w:val="0"/>
        <w:spacing w:line="600" w:lineRule="exact"/>
        <w:ind w:firstLine="562" w:firstLineChars="200"/>
        <w:jc w:val="left"/>
        <w:outlineLvl w:val="2"/>
        <w:rPr>
          <w:rFonts w:ascii="仿宋" w:hAnsi="仿宋" w:eastAsia="仿宋"/>
          <w:b/>
          <w:sz w:val="28"/>
          <w:szCs w:val="28"/>
        </w:rPr>
      </w:pPr>
      <w:bookmarkStart w:id="48" w:name="_Toc15377224"/>
      <w:r>
        <w:rPr>
          <w:rFonts w:hint="eastAsia" w:ascii="仿宋" w:hAnsi="仿宋" w:eastAsia="仿宋"/>
          <w:b/>
          <w:sz w:val="28"/>
          <w:szCs w:val="28"/>
        </w:rPr>
        <w:t>（三）国有资产占有使用情况</w:t>
      </w:r>
      <w:bookmarkEnd w:id="48"/>
    </w:p>
    <w:p>
      <w:pPr>
        <w:autoSpaceDE w:val="0"/>
        <w:autoSpaceDN w:val="0"/>
        <w:adjustRightIn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截至</w:t>
      </w:r>
      <w:r>
        <w:rPr>
          <w:rFonts w:ascii="仿宋_GB2312" w:eastAsia="仿宋_GB2312"/>
          <w:sz w:val="28"/>
          <w:szCs w:val="28"/>
        </w:rPr>
        <w:t>20</w:t>
      </w:r>
      <w:r>
        <w:rPr>
          <w:rFonts w:hint="eastAsia" w:ascii="仿宋_GB2312" w:eastAsia="仿宋_GB2312"/>
          <w:sz w:val="28"/>
          <w:szCs w:val="28"/>
        </w:rPr>
        <w:t>22年</w:t>
      </w:r>
      <w:r>
        <w:rPr>
          <w:rFonts w:ascii="仿宋_GB2312" w:eastAsia="仿宋_GB2312"/>
          <w:sz w:val="28"/>
          <w:szCs w:val="28"/>
        </w:rPr>
        <w:t>12</w:t>
      </w:r>
      <w:r>
        <w:rPr>
          <w:rFonts w:hint="eastAsia" w:ascii="仿宋_GB2312" w:eastAsia="仿宋_GB2312"/>
          <w:sz w:val="28"/>
          <w:szCs w:val="28"/>
        </w:rPr>
        <w:t>月</w:t>
      </w:r>
      <w:r>
        <w:rPr>
          <w:rFonts w:ascii="仿宋_GB2312" w:eastAsia="仿宋_GB2312"/>
          <w:sz w:val="28"/>
          <w:szCs w:val="28"/>
        </w:rPr>
        <w:t>31</w:t>
      </w:r>
      <w:r>
        <w:rPr>
          <w:rFonts w:hint="eastAsia" w:ascii="仿宋_GB2312" w:eastAsia="仿宋_GB2312"/>
          <w:sz w:val="28"/>
          <w:szCs w:val="28"/>
        </w:rPr>
        <w:t>日，</w:t>
      </w:r>
      <w:r>
        <w:rPr>
          <w:rFonts w:hint="eastAsia" w:ascii="仿宋_GB2312" w:eastAsia="仿宋_GB2312"/>
          <w:sz w:val="28"/>
          <w:szCs w:val="28"/>
          <w:lang w:eastAsia="zh-CN"/>
        </w:rPr>
        <w:t>四川省剑阁县剑门中学校</w:t>
      </w:r>
      <w:r>
        <w:rPr>
          <w:rFonts w:hint="eastAsia" w:ascii="仿宋_GB2312" w:eastAsia="仿宋_GB2312"/>
          <w:sz w:val="28"/>
          <w:szCs w:val="28"/>
        </w:rPr>
        <w:t>共有车辆</w:t>
      </w:r>
      <w:r>
        <w:rPr>
          <w:rFonts w:hint="eastAsia" w:ascii="仿宋_GB2312" w:eastAsia="仿宋_GB2312"/>
          <w:sz w:val="28"/>
          <w:szCs w:val="28"/>
          <w:lang w:val="en-US" w:eastAsia="zh-CN"/>
        </w:rPr>
        <w:t>0</w:t>
      </w:r>
      <w:r>
        <w:rPr>
          <w:rFonts w:hint="eastAsia" w:ascii="仿宋_GB2312" w:eastAsia="仿宋_GB2312"/>
          <w:sz w:val="28"/>
          <w:szCs w:val="28"/>
        </w:rPr>
        <w:t>辆，其中：主要领导干部用车</w:t>
      </w:r>
      <w:r>
        <w:rPr>
          <w:rFonts w:hint="eastAsia" w:ascii="仿宋_GB2312" w:eastAsia="仿宋_GB2312"/>
          <w:sz w:val="28"/>
          <w:szCs w:val="28"/>
          <w:lang w:val="en-US" w:eastAsia="zh-CN"/>
        </w:rPr>
        <w:t>0</w:t>
      </w:r>
      <w:r>
        <w:rPr>
          <w:rFonts w:hint="eastAsia" w:ascii="仿宋_GB2312" w:eastAsia="仿宋_GB2312"/>
          <w:sz w:val="28"/>
          <w:szCs w:val="28"/>
        </w:rPr>
        <w:t>辆、机要通信用车</w:t>
      </w:r>
      <w:r>
        <w:rPr>
          <w:rFonts w:hint="eastAsia" w:ascii="仿宋_GB2312" w:eastAsia="仿宋_GB2312"/>
          <w:sz w:val="28"/>
          <w:szCs w:val="28"/>
          <w:lang w:val="en-US" w:eastAsia="zh-CN"/>
        </w:rPr>
        <w:t>0</w:t>
      </w:r>
      <w:r>
        <w:rPr>
          <w:rFonts w:hint="eastAsia" w:ascii="仿宋_GB2312" w:eastAsia="仿宋_GB2312"/>
          <w:sz w:val="28"/>
          <w:szCs w:val="28"/>
        </w:rPr>
        <w:t>辆、应急保障用车</w:t>
      </w:r>
      <w:r>
        <w:rPr>
          <w:rFonts w:hint="eastAsia" w:ascii="仿宋_GB2312" w:eastAsia="仿宋_GB2312"/>
          <w:sz w:val="28"/>
          <w:szCs w:val="28"/>
          <w:lang w:val="en-US" w:eastAsia="zh-CN"/>
        </w:rPr>
        <w:t>0</w:t>
      </w:r>
      <w:r>
        <w:rPr>
          <w:rFonts w:hint="eastAsia" w:ascii="仿宋_GB2312" w:eastAsia="仿宋_GB2312"/>
          <w:sz w:val="28"/>
          <w:szCs w:val="28"/>
        </w:rPr>
        <w:t>辆、其他用车</w:t>
      </w:r>
      <w:r>
        <w:rPr>
          <w:rFonts w:hint="eastAsia" w:ascii="仿宋_GB2312" w:eastAsia="仿宋_GB2312"/>
          <w:sz w:val="28"/>
          <w:szCs w:val="28"/>
          <w:lang w:val="en-US" w:eastAsia="zh-CN"/>
        </w:rPr>
        <w:t>0</w:t>
      </w:r>
      <w:r>
        <w:rPr>
          <w:rFonts w:hint="eastAsia" w:ascii="仿宋_GB2312" w:eastAsia="仿宋_GB2312"/>
          <w:sz w:val="28"/>
          <w:szCs w:val="28"/>
        </w:rPr>
        <w:t>辆</w:t>
      </w:r>
      <w:r>
        <w:rPr>
          <w:rFonts w:hint="eastAsia" w:ascii="仿宋_GB2312" w:eastAsia="仿宋_GB2312"/>
          <w:sz w:val="28"/>
          <w:szCs w:val="28"/>
          <w:lang w:eastAsia="zh-CN"/>
        </w:rPr>
        <w:t>。</w:t>
      </w:r>
      <w:r>
        <w:rPr>
          <w:rFonts w:hint="eastAsia" w:ascii="仿宋_GB2312" w:eastAsia="仿宋_GB2312"/>
          <w:sz w:val="28"/>
          <w:szCs w:val="28"/>
        </w:rPr>
        <w:t>单价</w:t>
      </w:r>
      <w:r>
        <w:rPr>
          <w:rFonts w:ascii="仿宋_GB2312" w:eastAsia="仿宋_GB2312"/>
          <w:sz w:val="28"/>
          <w:szCs w:val="28"/>
        </w:rPr>
        <w:t>100</w:t>
      </w:r>
      <w:r>
        <w:rPr>
          <w:rFonts w:hint="eastAsia" w:ascii="仿宋_GB2312" w:eastAsia="仿宋_GB2312"/>
          <w:sz w:val="28"/>
          <w:szCs w:val="28"/>
        </w:rPr>
        <w:t>万元以上专用设备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autoSpaceDE w:val="0"/>
        <w:autoSpaceDN w:val="0"/>
        <w:adjustRightInd w:val="0"/>
        <w:spacing w:line="600" w:lineRule="exact"/>
        <w:ind w:firstLine="562" w:firstLineChars="200"/>
        <w:jc w:val="left"/>
        <w:outlineLvl w:val="2"/>
        <w:rPr>
          <w:rFonts w:ascii="仿宋" w:hAnsi="仿宋" w:eastAsia="仿宋"/>
          <w:b/>
          <w:sz w:val="28"/>
          <w:szCs w:val="28"/>
        </w:rPr>
      </w:pPr>
      <w:r>
        <w:rPr>
          <w:rFonts w:hint="eastAsia" w:ascii="仿宋" w:hAnsi="仿宋" w:eastAsia="仿宋"/>
          <w:b/>
          <w:sz w:val="28"/>
          <w:szCs w:val="28"/>
        </w:rPr>
        <w:t>（四）预算绩效管理情况</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根据预算绩效管理要求，四川省剑阁县剑门中学校在年初预算编制阶段，组织校园安全保障项目、农村义务教育营养餐改善计划、免作业本费、贫困寄宿生生活补助，食堂工勤人员经费开展了预算事前绩效评估，5个项目编制了绩效目标，预算执行过程中，选取2个项目开展绩效监控，年终执行完毕后，对2个项目开展了绩效目标完成情况梳理填报。</w:t>
      </w:r>
    </w:p>
    <w:p>
      <w:pPr>
        <w:pStyle w:val="35"/>
        <w:keepNext w:val="0"/>
        <w:keepLines w:val="0"/>
        <w:pageBreakBefore w:val="0"/>
        <w:widowControl/>
        <w:kinsoku/>
        <w:wordWrap/>
        <w:overflowPunct/>
        <w:topLinePunct w:val="0"/>
        <w:autoSpaceDE/>
        <w:autoSpaceDN/>
        <w:bidi w:val="0"/>
        <w:adjustRightInd/>
        <w:snapToGrid/>
        <w:spacing w:before="0" w:after="0" w:line="600" w:lineRule="exact"/>
        <w:ind w:firstLine="560" w:firstLineChars="200"/>
        <w:jc w:val="left"/>
        <w:textAlignment w:val="auto"/>
        <w:rPr>
          <w:sz w:val="28"/>
          <w:szCs w:val="28"/>
          <w:highlight w:val="yellow"/>
        </w:rPr>
      </w:pPr>
      <w:r>
        <w:rPr>
          <w:rFonts w:hint="eastAsia" w:hAnsi="仿宋_GB2312" w:cs="仿宋_GB2312"/>
          <w:sz w:val="28"/>
          <w:szCs w:val="28"/>
        </w:rPr>
        <w:t>绩效自评表详见第四部分附件。</w:t>
      </w:r>
    </w:p>
    <w:p>
      <w:pPr>
        <w:widowControl/>
        <w:jc w:val="left"/>
        <w:rPr>
          <w:rFonts w:ascii="仿宋_GB2312" w:eastAsia="仿宋_GB2312"/>
          <w:b/>
          <w:sz w:val="28"/>
          <w:szCs w:val="28"/>
        </w:rPr>
      </w:pPr>
      <w:r>
        <w:rPr>
          <w:rFonts w:ascii="仿宋_GB2312" w:eastAsia="仿宋_GB2312"/>
          <w:b/>
          <w:sz w:val="28"/>
          <w:szCs w:val="28"/>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pStyle w:val="24"/>
        <w:spacing w:line="56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财政拨款收入：指单位从同级财政部门取得的财政预算资金。</w:t>
      </w:r>
    </w:p>
    <w:p>
      <w:pPr>
        <w:pStyle w:val="24"/>
        <w:spacing w:line="560" w:lineRule="exact"/>
        <w:ind w:firstLine="560" w:firstLineChars="200"/>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事业收入：指事业单位开展专业业务活动及辅助活动取得的收入。</w:t>
      </w:r>
    </w:p>
    <w:p>
      <w:pPr>
        <w:pStyle w:val="24"/>
        <w:spacing w:line="560" w:lineRule="exact"/>
        <w:ind w:firstLine="560" w:firstLineChars="200"/>
        <w:rPr>
          <w:rFonts w:hint="eastAsia"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经营收入：指事业单位在专业业务活动及其辅助活动之外开展非独立核算经营活动取得的收入。</w:t>
      </w:r>
    </w:p>
    <w:p>
      <w:pPr>
        <w:pStyle w:val="24"/>
        <w:spacing w:line="560" w:lineRule="exact"/>
        <w:ind w:firstLine="560" w:firstLineChars="200"/>
        <w:rPr>
          <w:rFonts w:ascii="仿宋_GB2312" w:eastAsia="仿宋_GB2312"/>
          <w:color w:val="auto"/>
          <w:sz w:val="28"/>
          <w:szCs w:val="28"/>
        </w:rPr>
      </w:pPr>
      <w:r>
        <w:rPr>
          <w:rFonts w:ascii="仿宋_GB2312" w:eastAsia="仿宋_GB2312"/>
          <w:color w:val="auto"/>
          <w:sz w:val="28"/>
          <w:szCs w:val="28"/>
        </w:rPr>
        <w:t>4.</w:t>
      </w:r>
      <w:r>
        <w:rPr>
          <w:rFonts w:hint="eastAsia" w:ascii="仿宋_GB2312" w:eastAsia="仿宋_GB2312"/>
          <w:color w:val="auto"/>
          <w:sz w:val="28"/>
          <w:szCs w:val="28"/>
        </w:rPr>
        <w:t>其他收入：指单位取得的除上述收入以外的各项收入。</w:t>
      </w:r>
      <w:r>
        <w:rPr>
          <w:rFonts w:ascii="仿宋_GB2312" w:eastAsia="仿宋_GB2312"/>
          <w:color w:val="auto"/>
          <w:sz w:val="28"/>
          <w:szCs w:val="28"/>
        </w:rPr>
        <w:t xml:space="preserve"> </w:t>
      </w:r>
    </w:p>
    <w:p>
      <w:pPr>
        <w:pStyle w:val="24"/>
        <w:spacing w:line="560" w:lineRule="exact"/>
        <w:ind w:firstLine="560" w:firstLineChars="200"/>
        <w:rPr>
          <w:rFonts w:ascii="仿宋_GB2312" w:eastAsia="仿宋_GB2312"/>
          <w:color w:val="auto"/>
          <w:sz w:val="28"/>
          <w:szCs w:val="28"/>
        </w:rPr>
      </w:pPr>
      <w:r>
        <w:rPr>
          <w:rFonts w:ascii="仿宋_GB2312" w:eastAsia="仿宋_GB2312"/>
          <w:color w:val="auto"/>
          <w:sz w:val="28"/>
          <w:szCs w:val="28"/>
        </w:rPr>
        <w:t>5.</w:t>
      </w:r>
      <w:r>
        <w:rPr>
          <w:rFonts w:hint="eastAsia" w:ascii="仿宋_GB2312" w:eastAsia="仿宋_GB2312"/>
          <w:color w:val="auto"/>
          <w:sz w:val="28"/>
          <w:szCs w:val="28"/>
        </w:rPr>
        <w:t>使用非财政拨款结余：指事业单位使用以前年度积累的非财政拨款结余弥补当年收支差额的金额。</w:t>
      </w:r>
      <w:r>
        <w:rPr>
          <w:rFonts w:ascii="仿宋_GB2312" w:eastAsia="仿宋_GB2312"/>
          <w:color w:val="auto"/>
          <w:sz w:val="28"/>
          <w:szCs w:val="28"/>
        </w:rPr>
        <w:t xml:space="preserve"> </w:t>
      </w:r>
    </w:p>
    <w:p>
      <w:pPr>
        <w:pStyle w:val="24"/>
        <w:spacing w:line="560" w:lineRule="exact"/>
        <w:ind w:firstLine="560" w:firstLineChars="200"/>
        <w:rPr>
          <w:rFonts w:ascii="仿宋_GB2312" w:eastAsia="仿宋_GB2312"/>
          <w:color w:val="auto"/>
          <w:sz w:val="28"/>
          <w:szCs w:val="28"/>
        </w:rPr>
      </w:pPr>
      <w:r>
        <w:rPr>
          <w:rFonts w:ascii="仿宋_GB2312" w:eastAsia="仿宋_GB2312"/>
          <w:color w:val="auto"/>
          <w:sz w:val="28"/>
          <w:szCs w:val="28"/>
        </w:rPr>
        <w:t>6.</w:t>
      </w:r>
      <w:r>
        <w:rPr>
          <w:rFonts w:hint="eastAsia" w:ascii="仿宋_GB2312" w:eastAsia="仿宋_GB2312"/>
          <w:color w:val="auto"/>
          <w:sz w:val="28"/>
          <w:szCs w:val="28"/>
        </w:rPr>
        <w:t>年初结转和结余：指以前年度尚未完成、结转到本年按有关规定继续使用的资金。</w:t>
      </w:r>
      <w:r>
        <w:rPr>
          <w:rFonts w:ascii="仿宋_GB2312" w:eastAsia="仿宋_GB2312"/>
          <w:color w:val="auto"/>
          <w:sz w:val="28"/>
          <w:szCs w:val="28"/>
        </w:rPr>
        <w:t xml:space="preserve"> </w:t>
      </w:r>
    </w:p>
    <w:p>
      <w:pPr>
        <w:pStyle w:val="24"/>
        <w:spacing w:line="560" w:lineRule="exact"/>
        <w:ind w:firstLine="560" w:firstLineChars="200"/>
        <w:rPr>
          <w:rFonts w:ascii="仿宋_GB2312" w:eastAsia="仿宋_GB2312"/>
          <w:color w:val="auto"/>
          <w:sz w:val="28"/>
          <w:szCs w:val="28"/>
        </w:rPr>
      </w:pPr>
      <w:r>
        <w:rPr>
          <w:rFonts w:ascii="仿宋_GB2312" w:eastAsia="仿宋_GB2312"/>
          <w:color w:val="auto"/>
          <w:sz w:val="28"/>
          <w:szCs w:val="28"/>
        </w:rPr>
        <w:t>7.</w:t>
      </w:r>
      <w:r>
        <w:rPr>
          <w:rFonts w:hint="eastAsia" w:ascii="仿宋_GB2312" w:eastAsia="仿宋_GB2312"/>
          <w:color w:val="auto"/>
          <w:sz w:val="28"/>
          <w:szCs w:val="28"/>
        </w:rPr>
        <w:t>结余分配：指事业单位按照会计制度规定缴纳的所得税、提取的专用结余以及转入非财政拨款结余的金额等。</w:t>
      </w:r>
    </w:p>
    <w:p>
      <w:pPr>
        <w:pStyle w:val="24"/>
        <w:spacing w:line="560" w:lineRule="exact"/>
        <w:ind w:firstLine="560" w:firstLineChars="200"/>
        <w:rPr>
          <w:rFonts w:ascii="仿宋_GB2312" w:eastAsia="仿宋_GB2312"/>
          <w:color w:val="auto"/>
          <w:sz w:val="28"/>
          <w:szCs w:val="28"/>
          <w:lang w:eastAsia="zh-CN"/>
        </w:rPr>
      </w:pPr>
      <w:r>
        <w:rPr>
          <w:rFonts w:ascii="仿宋_GB2312" w:eastAsia="仿宋_GB2312"/>
          <w:color w:val="auto"/>
          <w:sz w:val="28"/>
          <w:szCs w:val="28"/>
        </w:rPr>
        <w:t>8</w:t>
      </w:r>
      <w:r>
        <w:rPr>
          <w:rFonts w:hint="eastAsia" w:ascii="仿宋_GB2312" w:eastAsia="仿宋_GB2312"/>
          <w:color w:val="auto"/>
          <w:sz w:val="28"/>
          <w:szCs w:val="28"/>
        </w:rPr>
        <w:t>.年末结转和结余：指单位按有关规定结转到下年或以后年度继续使用的资金。</w:t>
      </w:r>
    </w:p>
    <w:p>
      <w:pPr>
        <w:pStyle w:val="24"/>
        <w:spacing w:line="56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lang w:eastAsia="zh-CN"/>
        </w:rPr>
        <w:t>教育（类）普通教育（款）初中教育（项）：指义务教育人员工资、办公、差旅等公用经费。</w:t>
      </w:r>
    </w:p>
    <w:p>
      <w:pPr>
        <w:pStyle w:val="24"/>
        <w:spacing w:line="560" w:lineRule="exact"/>
        <w:ind w:firstLine="560" w:firstLineChars="200"/>
        <w:rPr>
          <w:rFonts w:ascii="仿宋_GB2312" w:eastAsia="仿宋_GB2312"/>
          <w:color w:val="auto"/>
          <w:sz w:val="28"/>
          <w:szCs w:val="28"/>
          <w:lang w:eastAsia="zh-CN"/>
        </w:rPr>
      </w:pPr>
      <w:r>
        <w:rPr>
          <w:rFonts w:hint="eastAsia" w:ascii="仿宋_GB2312" w:eastAsia="仿宋_GB2312"/>
          <w:color w:val="auto"/>
          <w:sz w:val="28"/>
          <w:szCs w:val="28"/>
          <w:lang w:val="en-US" w:eastAsia="zh-CN"/>
        </w:rPr>
        <w:t>10.</w:t>
      </w:r>
      <w:r>
        <w:rPr>
          <w:rFonts w:hint="eastAsia" w:ascii="仿宋_GB2312" w:eastAsia="仿宋_GB2312"/>
          <w:color w:val="auto"/>
          <w:sz w:val="28"/>
          <w:szCs w:val="28"/>
          <w:lang w:eastAsia="zh-CN"/>
        </w:rPr>
        <w:t>社会保障和就业（类）行政事业单位离退休（款）行政事业单位离退休（项）：指反映事业单位（包括实行公务员管理的事业单位）开支的离退休经费。</w:t>
      </w:r>
    </w:p>
    <w:p>
      <w:pPr>
        <w:pStyle w:val="24"/>
        <w:spacing w:line="560" w:lineRule="exact"/>
        <w:ind w:firstLine="560" w:firstLineChars="200"/>
        <w:rPr>
          <w:rFonts w:ascii="仿宋_GB2312" w:eastAsia="仿宋_GB2312"/>
          <w:color w:val="auto"/>
          <w:sz w:val="28"/>
          <w:szCs w:val="28"/>
          <w:lang w:eastAsia="zh-CN"/>
        </w:rPr>
      </w:pPr>
      <w:r>
        <w:rPr>
          <w:rFonts w:hint="eastAsia" w:ascii="仿宋_GB2312" w:eastAsia="仿宋_GB2312"/>
          <w:color w:val="auto"/>
          <w:sz w:val="28"/>
          <w:szCs w:val="28"/>
          <w:lang w:val="en-US" w:eastAsia="zh-CN"/>
        </w:rPr>
        <w:t>11.</w:t>
      </w:r>
      <w:r>
        <w:rPr>
          <w:rFonts w:hint="eastAsia" w:ascii="仿宋_GB2312" w:eastAsia="仿宋_GB2312"/>
          <w:color w:val="auto"/>
          <w:sz w:val="28"/>
          <w:szCs w:val="28"/>
          <w:lang w:eastAsia="zh-CN"/>
        </w:rPr>
        <w:t>社会保障和就业（类）行政事业单位离退休（款）机关事业单位基本养老保险缴费支出（项）：指部门实施养老保险制度由单位缴纳的养老保险费的支出。</w:t>
      </w:r>
    </w:p>
    <w:p>
      <w:pPr>
        <w:pStyle w:val="24"/>
        <w:spacing w:line="560" w:lineRule="exact"/>
        <w:ind w:firstLine="560" w:firstLineChars="200"/>
        <w:rPr>
          <w:rFonts w:ascii="仿宋_GB2312" w:eastAsia="仿宋_GB2312"/>
          <w:color w:val="auto"/>
          <w:sz w:val="28"/>
          <w:szCs w:val="28"/>
          <w:lang w:eastAsia="zh-CN"/>
        </w:rPr>
      </w:pPr>
      <w:r>
        <w:rPr>
          <w:rFonts w:hint="eastAsia" w:ascii="仿宋_GB2312" w:eastAsia="仿宋_GB2312"/>
          <w:color w:val="auto"/>
          <w:sz w:val="28"/>
          <w:szCs w:val="28"/>
          <w:lang w:val="en-US" w:eastAsia="zh-CN"/>
        </w:rPr>
        <w:t>12.</w:t>
      </w:r>
      <w:r>
        <w:rPr>
          <w:rFonts w:hint="eastAsia" w:ascii="仿宋_GB2312" w:eastAsia="仿宋_GB2312"/>
          <w:color w:val="auto"/>
          <w:sz w:val="28"/>
          <w:szCs w:val="28"/>
          <w:lang w:eastAsia="zh-CN"/>
        </w:rPr>
        <w:t>社会保障和就业（类）抚恤（款）死亡抚恤（项）：指反映用于单位职工死亡丧葬、抚恤方面的支出。</w:t>
      </w:r>
    </w:p>
    <w:p>
      <w:pPr>
        <w:pStyle w:val="24"/>
        <w:spacing w:line="56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13.</w:t>
      </w:r>
      <w:r>
        <w:rPr>
          <w:rFonts w:hint="eastAsia" w:ascii="仿宋_GB2312" w:eastAsia="仿宋_GB2312"/>
          <w:color w:val="auto"/>
          <w:sz w:val="28"/>
          <w:szCs w:val="28"/>
          <w:lang w:eastAsia="zh-CN"/>
        </w:rPr>
        <w:t>卫生健康（类）行政事业单位医疗（款）事业单位医疗（项）：指事业单位用于缴纳单位基本医疗保险支出。</w:t>
      </w:r>
    </w:p>
    <w:p>
      <w:pPr>
        <w:pStyle w:val="24"/>
        <w:spacing w:line="560" w:lineRule="exact"/>
        <w:ind w:firstLine="560" w:firstLineChars="200"/>
        <w:rPr>
          <w:rFonts w:ascii="仿宋_GB2312" w:eastAsia="仿宋_GB2312"/>
          <w:color w:val="auto"/>
          <w:sz w:val="28"/>
          <w:szCs w:val="28"/>
          <w:lang w:eastAsia="zh-CN"/>
        </w:rPr>
      </w:pPr>
      <w:r>
        <w:rPr>
          <w:rFonts w:hint="eastAsia" w:ascii="仿宋_GB2312" w:eastAsia="仿宋_GB2312"/>
          <w:color w:val="auto"/>
          <w:sz w:val="28"/>
          <w:szCs w:val="28"/>
          <w:lang w:val="en-US" w:eastAsia="zh-CN"/>
        </w:rPr>
        <w:t>14.</w:t>
      </w:r>
      <w:r>
        <w:rPr>
          <w:rFonts w:hint="eastAsia" w:ascii="仿宋_GB2312" w:eastAsia="仿宋_GB2312"/>
          <w:color w:val="auto"/>
          <w:sz w:val="28"/>
          <w:szCs w:val="28"/>
          <w:lang w:eastAsia="zh-CN"/>
        </w:rPr>
        <w:t>住房保障（类）住房改革支出（款）住房公积金（项）：指按照《住房公积金管理条例》的规定，由单位及其在职职工缴存的长期住房储金。</w:t>
      </w:r>
    </w:p>
    <w:p>
      <w:pPr>
        <w:pStyle w:val="24"/>
        <w:spacing w:line="560" w:lineRule="exact"/>
        <w:ind w:firstLine="560" w:firstLineChars="200"/>
        <w:rPr>
          <w:rFonts w:ascii="仿宋_GB2312" w:eastAsia="仿宋_GB2312"/>
          <w:color w:val="auto"/>
          <w:sz w:val="28"/>
          <w:szCs w:val="28"/>
          <w:lang w:eastAsia="zh-CN"/>
        </w:rPr>
      </w:pPr>
      <w:r>
        <w:rPr>
          <w:rFonts w:hint="eastAsia" w:ascii="仿宋_GB2312" w:eastAsia="仿宋_GB2312"/>
          <w:color w:val="auto"/>
          <w:sz w:val="28"/>
          <w:szCs w:val="28"/>
          <w:lang w:val="en-US" w:eastAsia="zh-CN"/>
        </w:rPr>
        <w:t>15.</w:t>
      </w:r>
      <w:r>
        <w:rPr>
          <w:rFonts w:hint="eastAsia" w:ascii="仿宋_GB2312" w:eastAsia="仿宋_GB2312"/>
          <w:color w:val="auto"/>
          <w:sz w:val="28"/>
          <w:szCs w:val="28"/>
          <w:lang w:eastAsia="zh-CN"/>
        </w:rPr>
        <w:t>基本支出：指为保证机构正常运转，完成日常工作任务而发生的人员支出和公用支出。</w:t>
      </w:r>
    </w:p>
    <w:p>
      <w:pPr>
        <w:pStyle w:val="24"/>
        <w:spacing w:line="56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16.</w:t>
      </w:r>
      <w:r>
        <w:rPr>
          <w:rFonts w:hint="eastAsia" w:ascii="仿宋_GB2312" w:eastAsia="仿宋_GB2312"/>
          <w:color w:val="auto"/>
          <w:sz w:val="28"/>
          <w:szCs w:val="28"/>
          <w:lang w:eastAsia="zh-CN"/>
        </w:rPr>
        <w:t>项目支出：指在基本支出之外为完成特定行政任务和事业发展目标所发生的支出。</w:t>
      </w:r>
    </w:p>
    <w:p>
      <w:pPr>
        <w:pStyle w:val="24"/>
        <w:spacing w:line="560" w:lineRule="exact"/>
        <w:ind w:firstLine="560" w:firstLineChars="200"/>
        <w:rPr>
          <w:rFonts w:ascii="仿宋" w:hAnsi="仿宋" w:eastAsia="仿宋"/>
          <w:b/>
          <w:sz w:val="28"/>
          <w:szCs w:val="28"/>
        </w:rPr>
      </w:pPr>
      <w:r>
        <w:rPr>
          <w:rFonts w:hint="eastAsia" w:ascii="仿宋_GB2312" w:eastAsia="仿宋_GB2312"/>
          <w:color w:val="auto"/>
          <w:sz w:val="28"/>
          <w:szCs w:val="28"/>
          <w:lang w:val="en-US" w:eastAsia="zh-CN"/>
        </w:rPr>
        <w:t>17.</w:t>
      </w:r>
      <w:r>
        <w:rPr>
          <w:rFonts w:hint="eastAsia" w:ascii="仿宋_GB2312" w:eastAsia="仿宋_GB2312"/>
          <w:color w:val="auto"/>
          <w:sz w:val="28"/>
          <w:szCs w:val="28"/>
          <w:lang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sz w:val="28"/>
          <w:szCs w:val="28"/>
        </w:rPr>
      </w:pPr>
      <w:bookmarkStart w:id="51" w:name="_Toc15396614"/>
      <w:bookmarkStart w:id="52" w:name="_Toc15377226"/>
    </w:p>
    <w:p>
      <w:pPr>
        <w:spacing w:line="600" w:lineRule="exact"/>
        <w:jc w:val="center"/>
        <w:outlineLvl w:val="0"/>
        <w:rPr>
          <w:rFonts w:hint="eastAsia" w:ascii="黑体" w:hAnsi="黑体" w:eastAsia="黑体"/>
          <w:sz w:val="28"/>
          <w:szCs w:val="28"/>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51"/>
    </w:p>
    <w:p>
      <w:pPr>
        <w:pStyle w:val="42"/>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宋体"/>
          <w:color w:val="000000"/>
          <w:sz w:val="36"/>
          <w:szCs w:val="36"/>
          <w:lang w:eastAsia="zh-CN"/>
        </w:rPr>
      </w:pPr>
      <w:bookmarkStart w:id="53" w:name="_Toc15396618"/>
    </w:p>
    <w:p>
      <w:pPr>
        <w:adjustRightInd w:val="0"/>
        <w:snapToGrid w:val="0"/>
        <w:spacing w:line="600" w:lineRule="exact"/>
        <w:ind w:firstLine="803" w:firstLineChars="200"/>
        <w:contextualSpacing/>
        <w:jc w:val="center"/>
        <w:rPr>
          <w:rFonts w:hint="eastAsia" w:asciiTheme="majorEastAsia" w:hAnsiTheme="majorEastAsia" w:eastAsiaTheme="majorEastAsia" w:cstheme="majorEastAsia"/>
          <w:b/>
          <w:sz w:val="40"/>
          <w:szCs w:val="40"/>
          <w:shd w:val="clear" w:color="auto" w:fill="FFFFFF"/>
          <w:lang w:eastAsia="zh-CN"/>
        </w:rPr>
      </w:pPr>
      <w:r>
        <w:rPr>
          <w:rFonts w:hint="eastAsia" w:asciiTheme="majorEastAsia" w:hAnsiTheme="majorEastAsia" w:eastAsiaTheme="majorEastAsia" w:cstheme="majorEastAsia"/>
          <w:b/>
          <w:sz w:val="40"/>
          <w:szCs w:val="40"/>
          <w:shd w:val="clear" w:color="auto" w:fill="FFFFFF"/>
          <w:lang w:eastAsia="zh-CN"/>
        </w:rPr>
        <w:t>四川省剑阁县剑门中学校</w:t>
      </w:r>
    </w:p>
    <w:p>
      <w:pPr>
        <w:adjustRightInd w:val="0"/>
        <w:snapToGrid w:val="0"/>
        <w:spacing w:line="600" w:lineRule="exact"/>
        <w:ind w:firstLine="803" w:firstLineChars="200"/>
        <w:contextualSpacing/>
        <w:jc w:val="center"/>
        <w:rPr>
          <w:rFonts w:hint="eastAsia" w:asciiTheme="majorEastAsia" w:hAnsiTheme="majorEastAsia" w:eastAsiaTheme="majorEastAsia" w:cstheme="majorEastAsia"/>
          <w:b/>
          <w:sz w:val="40"/>
          <w:szCs w:val="40"/>
          <w:shd w:val="clear" w:color="auto" w:fill="FFFFFF"/>
        </w:rPr>
      </w:pPr>
      <w:r>
        <w:rPr>
          <w:rFonts w:hint="eastAsia" w:asciiTheme="majorEastAsia" w:hAnsiTheme="majorEastAsia" w:eastAsiaTheme="majorEastAsia" w:cstheme="majorEastAsia"/>
          <w:b/>
          <w:sz w:val="40"/>
          <w:szCs w:val="40"/>
          <w:shd w:val="clear" w:color="auto" w:fill="FFFFFF"/>
        </w:rPr>
        <w:t>202</w:t>
      </w:r>
      <w:r>
        <w:rPr>
          <w:rFonts w:hint="eastAsia" w:asciiTheme="majorEastAsia" w:hAnsiTheme="majorEastAsia" w:eastAsiaTheme="majorEastAsia" w:cstheme="majorEastAsia"/>
          <w:b/>
          <w:sz w:val="40"/>
          <w:szCs w:val="40"/>
          <w:shd w:val="clear" w:color="auto" w:fill="FFFFFF"/>
          <w:lang w:val="en-US" w:eastAsia="zh-CN"/>
        </w:rPr>
        <w:t>2</w:t>
      </w:r>
      <w:r>
        <w:rPr>
          <w:rFonts w:hint="eastAsia" w:asciiTheme="majorEastAsia" w:hAnsiTheme="majorEastAsia" w:eastAsiaTheme="majorEastAsia" w:cstheme="majorEastAsia"/>
          <w:b/>
          <w:sz w:val="40"/>
          <w:szCs w:val="40"/>
          <w:shd w:val="clear" w:color="auto" w:fill="FFFFFF"/>
        </w:rPr>
        <w:t>年部门整体支出绩效评价报告</w:t>
      </w:r>
    </w:p>
    <w:p>
      <w:pPr>
        <w:pStyle w:val="2"/>
        <w:ind w:firstLine="640"/>
      </w:pP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bidi="zh-CN"/>
        </w:rPr>
      </w:pPr>
      <w:r>
        <w:rPr>
          <w:rFonts w:hint="eastAsia" w:ascii="仿宋" w:hAnsi="仿宋" w:eastAsia="仿宋" w:cs="仿宋"/>
          <w:color w:val="000000"/>
          <w:kern w:val="0"/>
          <w:sz w:val="28"/>
          <w:szCs w:val="28"/>
          <w:shd w:val="clear" w:color="auto" w:fill="FFFFFF"/>
          <w:lang w:val="zh-CN"/>
        </w:rPr>
        <w:t>为贯彻落实党中央、国务院，省委、省政府，市委、市政府和县委、县政府关于全面实施预算绩效管理的决策部署和《中共四川省委办公厅 四川省人民政府办公厅关于深入实施预算绩效管理的通知》（川委厅（2022）5号）工作要求，着力提升财政资源配置效率和使用效率，切实压实部门（单位）绩效管理主体责任。按照《财政厅关于开展2022年部门、政策和项目支出绩效评价工作的通知》（川财绩（2022）5号）规定，</w:t>
      </w:r>
      <w:r>
        <w:rPr>
          <w:rFonts w:hint="eastAsia" w:ascii="仿宋" w:hAnsi="仿宋" w:eastAsia="仿宋" w:cs="仿宋"/>
          <w:color w:val="000000"/>
          <w:kern w:val="0"/>
          <w:sz w:val="28"/>
          <w:szCs w:val="28"/>
          <w:shd w:val="clear" w:color="auto" w:fill="FFFFFF"/>
          <w:lang w:val="zh-CN" w:bidi="zh-CN"/>
        </w:rPr>
        <w:t>结合实际，我校成立了绩效评价工作小组，评价小组采取座谈等方式听取情况，检查基本支出，项目支出有关账目，收集整理支出相关资料，进行分析，总结。现将我单位整体支出绩效自评结果报告如下：</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2" w:firstLineChars="200"/>
        <w:contextualSpacing/>
        <w:jc w:val="left"/>
        <w:textAlignment w:val="auto"/>
        <w:rPr>
          <w:rFonts w:hint="eastAsia" w:ascii="仿宋" w:hAnsi="仿宋" w:eastAsia="仿宋" w:cs="仿宋"/>
          <w:b/>
          <w:bCs/>
          <w:color w:val="000000"/>
          <w:kern w:val="0"/>
          <w:sz w:val="28"/>
          <w:szCs w:val="28"/>
          <w:shd w:val="clear" w:color="auto" w:fill="FFFFFF"/>
          <w:lang w:val="zh-CN"/>
        </w:rPr>
      </w:pPr>
      <w:r>
        <w:rPr>
          <w:rFonts w:hint="eastAsia" w:ascii="仿宋" w:hAnsi="仿宋" w:eastAsia="仿宋" w:cs="仿宋"/>
          <w:b/>
          <w:bCs/>
          <w:color w:val="000000"/>
          <w:kern w:val="0"/>
          <w:sz w:val="28"/>
          <w:szCs w:val="28"/>
          <w:shd w:val="clear" w:color="auto" w:fill="FFFFFF"/>
        </w:rPr>
        <w:t>一、</w:t>
      </w:r>
      <w:r>
        <w:rPr>
          <w:rFonts w:hint="eastAsia" w:ascii="仿宋" w:hAnsi="仿宋" w:eastAsia="仿宋" w:cs="仿宋"/>
          <w:b/>
          <w:bCs/>
          <w:color w:val="000000"/>
          <w:kern w:val="0"/>
          <w:sz w:val="28"/>
          <w:szCs w:val="28"/>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（一）机构组成。</w:t>
      </w:r>
    </w:p>
    <w:p>
      <w:pPr>
        <w:pStyle w:val="2"/>
        <w:keepNext w:val="0"/>
        <w:keepLines w:val="0"/>
        <w:pageBreakBefore w:val="0"/>
        <w:widowControl w:val="0"/>
        <w:kinsoku/>
        <w:wordWrap/>
        <w:overflowPunct/>
        <w:topLinePunct w:val="0"/>
        <w:autoSpaceDE/>
        <w:autoSpaceDN/>
        <w:bidi w:val="0"/>
        <w:spacing w:line="520" w:lineRule="exact"/>
        <w:ind w:right="0" w:firstLine="640"/>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四川省剑阁县剑门中学校独立编制机构数1个，独立核算机构数1个，全年编制机构数和独立核算机构数无变化。</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（二）机构职能。</w:t>
      </w:r>
    </w:p>
    <w:p>
      <w:pPr>
        <w:pStyle w:val="2"/>
        <w:keepNext w:val="0"/>
        <w:keepLines w:val="0"/>
        <w:pageBreakBefore w:val="0"/>
        <w:widowControl w:val="0"/>
        <w:kinsoku/>
        <w:wordWrap/>
        <w:overflowPunct/>
        <w:topLinePunct w:val="0"/>
        <w:autoSpaceDE/>
        <w:autoSpaceDN/>
        <w:bidi w:val="0"/>
        <w:spacing w:line="520" w:lineRule="exact"/>
        <w:ind w:right="0" w:firstLine="640"/>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四川省剑阁县剑门中学校属财政预算一级单位，执行政府会计制度，宗旨和业务范围：</w:t>
      </w:r>
      <w:r>
        <w:rPr>
          <w:rFonts w:hint="eastAsia" w:ascii="仿宋" w:hAnsi="仿宋" w:eastAsia="仿宋" w:cs="Times New Roman"/>
          <w:kern w:val="2"/>
          <w:sz w:val="28"/>
          <w:szCs w:val="28"/>
          <w:lang w:val="en-US" w:eastAsia="zh-CN" w:bidi="ar-SA"/>
        </w:rPr>
        <w:t>实施初中义务教育，促进基础教育发展</w:t>
      </w:r>
      <w:r>
        <w:rPr>
          <w:rFonts w:hint="eastAsia" w:ascii="仿宋" w:hAnsi="仿宋" w:eastAsia="仿宋" w:cs="仿宋"/>
          <w:color w:val="000000"/>
          <w:kern w:val="0"/>
          <w:sz w:val="28"/>
          <w:szCs w:val="28"/>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（三）人员概况。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我单位属于全额拨款事业单位，事业编制核定人数69人，年初实有在编人数68人，特岗教师1人；正常调出1人，新招1人，调入3人，年末实有在编71人，特岗教师1人；遗属人员4人，退休人员18人。年初学生数837人，年末学生数822人。</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2" w:firstLineChars="200"/>
        <w:contextualSpacing/>
        <w:jc w:val="left"/>
        <w:textAlignment w:val="auto"/>
        <w:rPr>
          <w:rFonts w:hint="eastAsia" w:ascii="仿宋" w:hAnsi="仿宋" w:eastAsia="仿宋" w:cs="仿宋"/>
          <w:b/>
          <w:bCs/>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（一）部门财政资金收入情况。</w:t>
      </w:r>
    </w:p>
    <w:p>
      <w:pPr>
        <w:pStyle w:val="2"/>
        <w:keepNext w:val="0"/>
        <w:keepLines w:val="0"/>
        <w:pageBreakBefore w:val="0"/>
        <w:widowControl w:val="0"/>
        <w:kinsoku/>
        <w:wordWrap/>
        <w:overflowPunct/>
        <w:topLinePunct w:val="0"/>
        <w:autoSpaceDE/>
        <w:autoSpaceDN/>
        <w:bidi w:val="0"/>
        <w:spacing w:line="520" w:lineRule="exact"/>
        <w:ind w:right="0" w:firstLine="640"/>
        <w:textAlignment w:val="auto"/>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shd w:val="clear" w:color="auto" w:fill="FFFFFF"/>
          <w:lang w:val="zh-CN"/>
        </w:rPr>
        <w:t>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val="zh-CN"/>
        </w:rPr>
        <w:t>年四川省剑阁县剑门中学校当年一般公共预算财政拨款收入</w:t>
      </w:r>
      <w:r>
        <w:rPr>
          <w:rFonts w:hint="eastAsia" w:ascii="仿宋" w:hAnsi="仿宋" w:eastAsia="仿宋" w:cs="仿宋"/>
          <w:sz w:val="28"/>
          <w:szCs w:val="28"/>
          <w:lang w:val="en-US" w:eastAsia="zh-CN"/>
        </w:rPr>
        <w:t>1122.54</w:t>
      </w:r>
      <w:r>
        <w:rPr>
          <w:rFonts w:hint="eastAsia" w:ascii="仿宋" w:hAnsi="仿宋" w:eastAsia="仿宋" w:cs="仿宋"/>
          <w:color w:val="000000"/>
          <w:kern w:val="0"/>
          <w:sz w:val="28"/>
          <w:szCs w:val="28"/>
          <w:shd w:val="clear" w:color="auto" w:fill="FFFFFF"/>
          <w:lang w:val="zh-CN"/>
        </w:rPr>
        <w:t>万元，年初结转</w:t>
      </w:r>
      <w:r>
        <w:rPr>
          <w:rFonts w:hint="eastAsia" w:ascii="仿宋" w:hAnsi="仿宋" w:eastAsia="仿宋" w:cs="仿宋"/>
          <w:color w:val="000000"/>
          <w:kern w:val="0"/>
          <w:sz w:val="28"/>
          <w:szCs w:val="28"/>
          <w:shd w:val="clear" w:color="auto" w:fill="FFFFFF"/>
          <w:lang w:val="en-US" w:eastAsia="zh-CN"/>
        </w:rPr>
        <w:t>4.72万元。</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（二）部门财政资金支出情况。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val="zh-CN"/>
        </w:rPr>
        <w:t>年四川省剑阁县剑门中学校本年支出合计</w:t>
      </w:r>
      <w:r>
        <w:rPr>
          <w:rFonts w:hint="eastAsia" w:ascii="仿宋" w:hAnsi="仿宋" w:eastAsia="仿宋" w:cs="仿宋"/>
          <w:sz w:val="28"/>
          <w:szCs w:val="28"/>
          <w:lang w:val="en-US" w:eastAsia="zh-CN"/>
        </w:rPr>
        <w:t>1127.26</w:t>
      </w:r>
      <w:r>
        <w:rPr>
          <w:rFonts w:hint="eastAsia" w:ascii="仿宋" w:hAnsi="仿宋" w:eastAsia="仿宋" w:cs="仿宋"/>
          <w:color w:val="000000"/>
          <w:kern w:val="0"/>
          <w:sz w:val="28"/>
          <w:szCs w:val="28"/>
          <w:shd w:val="clear" w:color="auto" w:fill="FFFFFF"/>
          <w:lang w:val="zh-CN"/>
        </w:rPr>
        <w:t>万元，其中：基本支出</w:t>
      </w:r>
      <w:r>
        <w:rPr>
          <w:rFonts w:hint="eastAsia" w:ascii="仿宋" w:hAnsi="仿宋" w:eastAsia="仿宋" w:cs="仿宋"/>
          <w:color w:val="000000"/>
          <w:kern w:val="0"/>
          <w:sz w:val="28"/>
          <w:szCs w:val="28"/>
          <w:shd w:val="clear" w:color="auto" w:fill="FFFFFF"/>
          <w:lang w:val="en-US" w:eastAsia="zh-CN"/>
        </w:rPr>
        <w:t>1127.26</w:t>
      </w:r>
      <w:r>
        <w:rPr>
          <w:rFonts w:hint="eastAsia" w:ascii="仿宋" w:hAnsi="仿宋" w:eastAsia="仿宋" w:cs="仿宋"/>
          <w:color w:val="000000"/>
          <w:kern w:val="0"/>
          <w:sz w:val="28"/>
          <w:szCs w:val="28"/>
          <w:shd w:val="clear" w:color="auto" w:fill="FFFFFF"/>
          <w:lang w:val="zh-CN"/>
        </w:rPr>
        <w:t>万元，占</w:t>
      </w:r>
      <w:r>
        <w:rPr>
          <w:rFonts w:hint="eastAsia" w:ascii="仿宋" w:hAnsi="仿宋" w:eastAsia="仿宋" w:cs="仿宋"/>
          <w:color w:val="000000"/>
          <w:kern w:val="0"/>
          <w:sz w:val="28"/>
          <w:szCs w:val="28"/>
          <w:shd w:val="clear" w:color="auto" w:fill="FFFFFF"/>
          <w:lang w:val="en-US" w:eastAsia="zh-CN"/>
        </w:rPr>
        <w:t>100</w:t>
      </w:r>
      <w:r>
        <w:rPr>
          <w:rFonts w:hint="eastAsia" w:ascii="仿宋" w:hAnsi="仿宋" w:eastAsia="仿宋" w:cs="仿宋"/>
          <w:color w:val="000000"/>
          <w:kern w:val="0"/>
          <w:sz w:val="28"/>
          <w:szCs w:val="28"/>
          <w:shd w:val="clear" w:color="auto" w:fill="FFFFFF"/>
          <w:lang w:val="zh-CN"/>
        </w:rPr>
        <w:t>%；项目支出</w:t>
      </w:r>
      <w:r>
        <w:rPr>
          <w:rFonts w:hint="eastAsia" w:ascii="仿宋" w:hAnsi="仿宋" w:eastAsia="仿宋" w:cs="仿宋"/>
          <w:sz w:val="28"/>
          <w:szCs w:val="28"/>
          <w:lang w:val="en-US" w:eastAsia="zh-CN"/>
        </w:rPr>
        <w:t>0.00</w:t>
      </w:r>
      <w:r>
        <w:rPr>
          <w:rFonts w:hint="eastAsia" w:ascii="仿宋" w:hAnsi="仿宋" w:eastAsia="仿宋" w:cs="仿宋"/>
          <w:color w:val="000000"/>
          <w:kern w:val="0"/>
          <w:sz w:val="28"/>
          <w:szCs w:val="28"/>
          <w:shd w:val="clear" w:color="auto" w:fill="FFFFFF"/>
          <w:lang w:val="zh-CN"/>
        </w:rPr>
        <w:t>万元，占</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%；上缴上级支出0.00万元，占0.00%；经营支出0.00万元，占0.00%；对附属单位补助支出0.00万元，占0.00%。</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其中人员经费</w:t>
      </w:r>
      <w:r>
        <w:rPr>
          <w:rFonts w:hint="eastAsia" w:ascii="仿宋" w:hAnsi="仿宋" w:eastAsia="仿宋" w:cs="仿宋"/>
          <w:sz w:val="28"/>
          <w:szCs w:val="28"/>
          <w:lang w:val="en-US" w:eastAsia="zh-CN"/>
        </w:rPr>
        <w:t>1033.25</w:t>
      </w:r>
      <w:r>
        <w:rPr>
          <w:rFonts w:hint="eastAsia" w:ascii="仿宋" w:hAnsi="仿宋" w:eastAsia="仿宋" w:cs="仿宋"/>
          <w:color w:val="000000"/>
          <w:kern w:val="0"/>
          <w:sz w:val="28"/>
          <w:szCs w:val="28"/>
          <w:shd w:val="clear" w:color="auto" w:fill="FFFFFF"/>
          <w:lang w:val="zh-CN"/>
        </w:rPr>
        <w:t>万元，主要包括：基本工资</w:t>
      </w:r>
      <w:r>
        <w:rPr>
          <w:rFonts w:hint="eastAsia" w:ascii="仿宋" w:hAnsi="仿宋" w:eastAsia="仿宋" w:cs="仿宋"/>
          <w:color w:val="000000"/>
          <w:kern w:val="0"/>
          <w:sz w:val="28"/>
          <w:szCs w:val="28"/>
          <w:shd w:val="clear" w:color="auto" w:fill="FFFFFF"/>
          <w:lang w:val="en-US" w:eastAsia="zh-CN"/>
        </w:rPr>
        <w:t>398.78</w:t>
      </w:r>
      <w:r>
        <w:rPr>
          <w:rFonts w:hint="eastAsia" w:ascii="仿宋" w:hAnsi="仿宋" w:eastAsia="仿宋" w:cs="仿宋"/>
          <w:color w:val="000000"/>
          <w:kern w:val="0"/>
          <w:sz w:val="28"/>
          <w:szCs w:val="28"/>
          <w:shd w:val="clear" w:color="auto" w:fill="FFFFFF"/>
          <w:lang w:val="zh-CN"/>
        </w:rPr>
        <w:t>万元、津贴补贴</w:t>
      </w:r>
      <w:r>
        <w:rPr>
          <w:rFonts w:hint="eastAsia" w:ascii="仿宋" w:hAnsi="仿宋" w:eastAsia="仿宋" w:cs="仿宋"/>
          <w:color w:val="000000"/>
          <w:kern w:val="0"/>
          <w:sz w:val="28"/>
          <w:szCs w:val="28"/>
          <w:shd w:val="clear" w:color="auto" w:fill="FFFFFF"/>
          <w:lang w:val="en-US" w:eastAsia="zh-CN"/>
        </w:rPr>
        <w:t>41.35</w:t>
      </w:r>
      <w:r>
        <w:rPr>
          <w:rFonts w:hint="eastAsia" w:ascii="仿宋" w:hAnsi="仿宋" w:eastAsia="仿宋" w:cs="仿宋"/>
          <w:color w:val="000000"/>
          <w:kern w:val="0"/>
          <w:sz w:val="28"/>
          <w:szCs w:val="28"/>
          <w:shd w:val="clear" w:color="auto" w:fill="FFFFFF"/>
          <w:lang w:val="zh-CN"/>
        </w:rPr>
        <w:t>万元、奖金</w:t>
      </w:r>
      <w:r>
        <w:rPr>
          <w:rFonts w:hint="eastAsia" w:ascii="仿宋" w:hAnsi="仿宋" w:eastAsia="仿宋" w:cs="仿宋"/>
          <w:color w:val="000000"/>
          <w:kern w:val="0"/>
          <w:sz w:val="28"/>
          <w:szCs w:val="28"/>
          <w:shd w:val="clear" w:color="auto" w:fill="FFFFFF"/>
          <w:lang w:val="en-US" w:eastAsia="zh-CN"/>
        </w:rPr>
        <w:t>162.33</w:t>
      </w:r>
      <w:r>
        <w:rPr>
          <w:rFonts w:hint="eastAsia" w:ascii="仿宋" w:hAnsi="仿宋" w:eastAsia="仿宋" w:cs="仿宋"/>
          <w:color w:val="000000"/>
          <w:kern w:val="0"/>
          <w:sz w:val="28"/>
          <w:szCs w:val="28"/>
          <w:shd w:val="clear" w:color="auto" w:fill="FFFFFF"/>
          <w:lang w:val="zh-CN"/>
        </w:rPr>
        <w:t>万元、伙食补助费0.00万元、绩效工资</w:t>
      </w:r>
      <w:r>
        <w:rPr>
          <w:rFonts w:hint="eastAsia" w:ascii="仿宋" w:hAnsi="仿宋" w:eastAsia="仿宋" w:cs="仿宋"/>
          <w:color w:val="000000"/>
          <w:kern w:val="0"/>
          <w:sz w:val="28"/>
          <w:szCs w:val="28"/>
          <w:shd w:val="clear" w:color="auto" w:fill="FFFFFF"/>
          <w:lang w:val="en-US" w:eastAsia="zh-CN"/>
        </w:rPr>
        <w:t>209.70</w:t>
      </w:r>
      <w:r>
        <w:rPr>
          <w:rFonts w:hint="eastAsia" w:ascii="仿宋" w:hAnsi="仿宋" w:eastAsia="仿宋" w:cs="仿宋"/>
          <w:color w:val="000000"/>
          <w:kern w:val="0"/>
          <w:sz w:val="28"/>
          <w:szCs w:val="28"/>
          <w:shd w:val="clear" w:color="auto" w:fill="FFFFFF"/>
          <w:lang w:val="zh-CN"/>
        </w:rPr>
        <w:t>万元、机关事业单位基本养老保险缴费</w:t>
      </w:r>
      <w:r>
        <w:rPr>
          <w:rFonts w:hint="eastAsia" w:ascii="仿宋" w:hAnsi="仿宋" w:eastAsia="仿宋" w:cs="仿宋"/>
          <w:color w:val="000000"/>
          <w:kern w:val="0"/>
          <w:sz w:val="28"/>
          <w:szCs w:val="28"/>
          <w:shd w:val="clear" w:color="auto" w:fill="FFFFFF"/>
          <w:lang w:val="en-US" w:eastAsia="zh-CN"/>
        </w:rPr>
        <w:t>90.88</w:t>
      </w:r>
      <w:r>
        <w:rPr>
          <w:rFonts w:hint="eastAsia" w:ascii="仿宋" w:hAnsi="仿宋" w:eastAsia="仿宋" w:cs="仿宋"/>
          <w:color w:val="000000"/>
          <w:kern w:val="0"/>
          <w:sz w:val="28"/>
          <w:szCs w:val="28"/>
          <w:shd w:val="clear" w:color="auto" w:fill="FFFFFF"/>
          <w:lang w:val="zh-CN"/>
        </w:rPr>
        <w:t>万元、职工基本医疗保险缴费</w:t>
      </w:r>
      <w:r>
        <w:rPr>
          <w:rFonts w:hint="eastAsia" w:ascii="仿宋" w:hAnsi="仿宋" w:eastAsia="仿宋" w:cs="仿宋"/>
          <w:color w:val="000000"/>
          <w:kern w:val="0"/>
          <w:sz w:val="28"/>
          <w:szCs w:val="28"/>
          <w:shd w:val="clear" w:color="auto" w:fill="FFFFFF"/>
          <w:lang w:val="en-US" w:eastAsia="zh-CN"/>
        </w:rPr>
        <w:t>45.44</w:t>
      </w:r>
      <w:r>
        <w:rPr>
          <w:rFonts w:hint="eastAsia" w:ascii="仿宋" w:hAnsi="仿宋" w:eastAsia="仿宋" w:cs="仿宋"/>
          <w:color w:val="000000"/>
          <w:kern w:val="0"/>
          <w:sz w:val="28"/>
          <w:szCs w:val="28"/>
          <w:shd w:val="clear" w:color="auto" w:fill="FFFFFF"/>
          <w:lang w:val="zh-CN"/>
        </w:rPr>
        <w:t>万元、职业年金缴费0.00万元、其他社会保障缴费</w:t>
      </w:r>
      <w:r>
        <w:rPr>
          <w:rFonts w:hint="eastAsia" w:ascii="仿宋" w:hAnsi="仿宋" w:eastAsia="仿宋" w:cs="仿宋"/>
          <w:color w:val="000000"/>
          <w:kern w:val="0"/>
          <w:sz w:val="28"/>
          <w:szCs w:val="28"/>
          <w:shd w:val="clear" w:color="auto" w:fill="FFFFFF"/>
          <w:lang w:val="en-US" w:eastAsia="zh-CN"/>
        </w:rPr>
        <w:t>6.25</w:t>
      </w:r>
      <w:r>
        <w:rPr>
          <w:rFonts w:hint="eastAsia" w:ascii="仿宋" w:hAnsi="仿宋" w:eastAsia="仿宋" w:cs="仿宋"/>
          <w:color w:val="000000"/>
          <w:kern w:val="0"/>
          <w:sz w:val="28"/>
          <w:szCs w:val="28"/>
          <w:shd w:val="clear" w:color="auto" w:fill="FFFFFF"/>
          <w:lang w:val="zh-CN"/>
        </w:rPr>
        <w:t>万元、其他工资福利支出</w:t>
      </w:r>
      <w:r>
        <w:rPr>
          <w:rFonts w:hint="eastAsia" w:ascii="仿宋" w:hAnsi="仿宋" w:eastAsia="仿宋" w:cs="仿宋"/>
          <w:color w:val="000000"/>
          <w:kern w:val="0"/>
          <w:sz w:val="28"/>
          <w:szCs w:val="28"/>
          <w:shd w:val="clear" w:color="auto" w:fill="FFFFFF"/>
          <w:lang w:val="en-US" w:eastAsia="zh-CN"/>
        </w:rPr>
        <w:t>6.10</w:t>
      </w:r>
      <w:r>
        <w:rPr>
          <w:rFonts w:hint="eastAsia" w:ascii="仿宋" w:hAnsi="仿宋" w:eastAsia="仿宋" w:cs="仿宋"/>
          <w:color w:val="000000"/>
          <w:kern w:val="0"/>
          <w:sz w:val="28"/>
          <w:szCs w:val="28"/>
          <w:shd w:val="clear" w:color="auto" w:fill="FFFFFF"/>
          <w:lang w:val="zh-CN"/>
        </w:rPr>
        <w:t>万元、离休费0.00万元、退休费0.00万元、抚恤金</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万元、生活补助</w:t>
      </w:r>
      <w:r>
        <w:rPr>
          <w:rFonts w:hint="eastAsia" w:ascii="仿宋" w:hAnsi="仿宋" w:eastAsia="仿宋" w:cs="仿宋"/>
          <w:color w:val="000000"/>
          <w:kern w:val="0"/>
          <w:sz w:val="28"/>
          <w:szCs w:val="28"/>
          <w:shd w:val="clear" w:color="auto" w:fill="FFFFFF"/>
          <w:lang w:val="en-US" w:eastAsia="zh-CN"/>
        </w:rPr>
        <w:t>4.26</w:t>
      </w:r>
      <w:r>
        <w:rPr>
          <w:rFonts w:hint="eastAsia" w:ascii="仿宋" w:hAnsi="仿宋" w:eastAsia="仿宋" w:cs="仿宋"/>
          <w:color w:val="000000"/>
          <w:kern w:val="0"/>
          <w:sz w:val="28"/>
          <w:szCs w:val="28"/>
          <w:shd w:val="clear" w:color="auto" w:fill="FFFFFF"/>
          <w:lang w:val="zh-CN"/>
        </w:rPr>
        <w:t>万元、助学金</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万元、医疗费0.00万元、奖励金</w:t>
      </w:r>
      <w:r>
        <w:rPr>
          <w:rFonts w:hint="eastAsia" w:ascii="仿宋" w:hAnsi="仿宋" w:eastAsia="仿宋" w:cs="仿宋"/>
          <w:color w:val="000000"/>
          <w:kern w:val="0"/>
          <w:sz w:val="28"/>
          <w:szCs w:val="28"/>
          <w:shd w:val="clear" w:color="auto" w:fill="FFFFFF"/>
        </w:rPr>
        <w:t>0</w:t>
      </w:r>
      <w:r>
        <w:rPr>
          <w:rFonts w:hint="eastAsia" w:ascii="仿宋" w:hAnsi="仿宋" w:eastAsia="仿宋" w:cs="仿宋"/>
          <w:color w:val="000000"/>
          <w:kern w:val="0"/>
          <w:sz w:val="28"/>
          <w:szCs w:val="28"/>
          <w:shd w:val="clear" w:color="auto" w:fill="FFFFFF"/>
          <w:lang w:val="zh-CN"/>
        </w:rPr>
        <w:t>万元、住房公积金</w:t>
      </w:r>
      <w:r>
        <w:rPr>
          <w:rFonts w:hint="eastAsia" w:ascii="仿宋" w:hAnsi="仿宋" w:eastAsia="仿宋" w:cs="仿宋"/>
          <w:color w:val="000000"/>
          <w:kern w:val="0"/>
          <w:sz w:val="28"/>
          <w:szCs w:val="28"/>
          <w:shd w:val="clear" w:color="auto" w:fill="FFFFFF"/>
          <w:lang w:val="en-US" w:eastAsia="zh-CN"/>
        </w:rPr>
        <w:t>68.16</w:t>
      </w:r>
      <w:r>
        <w:rPr>
          <w:rFonts w:hint="eastAsia" w:ascii="仿宋" w:hAnsi="仿宋" w:eastAsia="仿宋" w:cs="仿宋"/>
          <w:color w:val="000000"/>
          <w:kern w:val="0"/>
          <w:sz w:val="28"/>
          <w:szCs w:val="28"/>
          <w:shd w:val="clear" w:color="auto" w:fill="FFFFFF"/>
          <w:lang w:val="zh-CN"/>
        </w:rPr>
        <w:t>万元、提租补贴0.00万元、购房补贴0.00万元、其他对个人和家庭的补助支出等</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sz w:val="28"/>
          <w:szCs w:val="28"/>
          <w:lang w:val="zh-CN"/>
        </w:rPr>
      </w:pPr>
      <w:r>
        <w:rPr>
          <w:rFonts w:hint="eastAsia" w:ascii="仿宋" w:hAnsi="仿宋" w:eastAsia="仿宋" w:cs="仿宋"/>
          <w:color w:val="000000"/>
          <w:kern w:val="0"/>
          <w:sz w:val="28"/>
          <w:szCs w:val="28"/>
          <w:shd w:val="clear" w:color="auto" w:fill="FFFFFF"/>
          <w:lang w:val="zh-CN"/>
        </w:rPr>
        <w:t>公用经费</w:t>
      </w:r>
      <w:r>
        <w:rPr>
          <w:rFonts w:hint="eastAsia" w:ascii="仿宋" w:hAnsi="仿宋" w:eastAsia="仿宋" w:cs="仿宋"/>
          <w:color w:val="000000"/>
          <w:kern w:val="0"/>
          <w:sz w:val="28"/>
          <w:szCs w:val="28"/>
          <w:shd w:val="clear" w:color="auto" w:fill="FFFFFF"/>
          <w:lang w:val="en-US" w:eastAsia="zh-CN"/>
        </w:rPr>
        <w:t>94.01</w:t>
      </w:r>
      <w:r>
        <w:rPr>
          <w:rFonts w:hint="eastAsia" w:ascii="仿宋" w:hAnsi="仿宋" w:eastAsia="仿宋" w:cs="仿宋"/>
          <w:color w:val="000000"/>
          <w:kern w:val="0"/>
          <w:sz w:val="28"/>
          <w:szCs w:val="28"/>
          <w:shd w:val="clear" w:color="auto" w:fill="FFFFFF"/>
          <w:lang w:val="zh-CN"/>
        </w:rPr>
        <w:t>万元，主要包括：办公费</w:t>
      </w:r>
      <w:r>
        <w:rPr>
          <w:rFonts w:hint="eastAsia" w:ascii="仿宋" w:hAnsi="仿宋" w:eastAsia="仿宋" w:cs="仿宋"/>
          <w:color w:val="000000"/>
          <w:kern w:val="0"/>
          <w:sz w:val="28"/>
          <w:szCs w:val="28"/>
          <w:shd w:val="clear" w:color="auto" w:fill="FFFFFF"/>
          <w:lang w:val="en-US" w:eastAsia="zh-CN"/>
        </w:rPr>
        <w:t>27.92</w:t>
      </w:r>
      <w:r>
        <w:rPr>
          <w:rFonts w:hint="eastAsia" w:ascii="仿宋" w:hAnsi="仿宋" w:eastAsia="仿宋" w:cs="仿宋"/>
          <w:color w:val="000000"/>
          <w:kern w:val="0"/>
          <w:sz w:val="28"/>
          <w:szCs w:val="28"/>
          <w:shd w:val="clear" w:color="auto" w:fill="FFFFFF"/>
          <w:lang w:val="zh-CN"/>
        </w:rPr>
        <w:t>万元、印刷费</w:t>
      </w:r>
      <w:r>
        <w:rPr>
          <w:rFonts w:hint="eastAsia" w:ascii="仿宋" w:hAnsi="仿宋" w:eastAsia="仿宋" w:cs="仿宋"/>
          <w:color w:val="000000"/>
          <w:kern w:val="0"/>
          <w:sz w:val="28"/>
          <w:szCs w:val="28"/>
          <w:shd w:val="clear" w:color="auto" w:fill="FFFFFF"/>
          <w:lang w:val="en-US" w:eastAsia="zh-CN"/>
        </w:rPr>
        <w:t>11.00</w:t>
      </w:r>
      <w:r>
        <w:rPr>
          <w:rFonts w:hint="eastAsia" w:ascii="仿宋" w:hAnsi="仿宋" w:eastAsia="仿宋" w:cs="仿宋"/>
          <w:color w:val="000000"/>
          <w:kern w:val="0"/>
          <w:sz w:val="28"/>
          <w:szCs w:val="28"/>
          <w:shd w:val="clear" w:color="auto" w:fill="FFFFFF"/>
          <w:lang w:val="zh-CN"/>
        </w:rPr>
        <w:t>万元、咨询费</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万元、手续费0万元、水费</w:t>
      </w:r>
      <w:r>
        <w:rPr>
          <w:rFonts w:hint="eastAsia" w:ascii="仿宋" w:hAnsi="仿宋" w:eastAsia="仿宋" w:cs="仿宋"/>
          <w:color w:val="000000"/>
          <w:kern w:val="0"/>
          <w:sz w:val="28"/>
          <w:szCs w:val="28"/>
          <w:shd w:val="clear" w:color="auto" w:fill="FFFFFF"/>
          <w:lang w:val="en-US" w:eastAsia="zh-CN"/>
        </w:rPr>
        <w:t>5.00</w:t>
      </w:r>
      <w:r>
        <w:rPr>
          <w:rFonts w:hint="eastAsia" w:ascii="仿宋" w:hAnsi="仿宋" w:eastAsia="仿宋" w:cs="仿宋"/>
          <w:color w:val="000000"/>
          <w:kern w:val="0"/>
          <w:sz w:val="28"/>
          <w:szCs w:val="28"/>
          <w:shd w:val="clear" w:color="auto" w:fill="FFFFFF"/>
          <w:lang w:val="zh-CN"/>
        </w:rPr>
        <w:t>万元、电费</w:t>
      </w:r>
      <w:r>
        <w:rPr>
          <w:rFonts w:hint="eastAsia" w:ascii="仿宋" w:hAnsi="仿宋" w:eastAsia="仿宋" w:cs="仿宋"/>
          <w:color w:val="000000"/>
          <w:kern w:val="0"/>
          <w:sz w:val="28"/>
          <w:szCs w:val="28"/>
          <w:shd w:val="clear" w:color="auto" w:fill="FFFFFF"/>
          <w:lang w:val="en-US" w:eastAsia="zh-CN"/>
        </w:rPr>
        <w:t>5.00</w:t>
      </w:r>
      <w:r>
        <w:rPr>
          <w:rFonts w:hint="eastAsia" w:ascii="仿宋" w:hAnsi="仿宋" w:eastAsia="仿宋" w:cs="仿宋"/>
          <w:color w:val="000000"/>
          <w:kern w:val="0"/>
          <w:sz w:val="28"/>
          <w:szCs w:val="28"/>
          <w:shd w:val="clear" w:color="auto" w:fill="FFFFFF"/>
          <w:lang w:val="zh-CN"/>
        </w:rPr>
        <w:t>万元、邮电费</w:t>
      </w:r>
      <w:r>
        <w:rPr>
          <w:rFonts w:hint="eastAsia" w:ascii="仿宋" w:hAnsi="仿宋" w:eastAsia="仿宋" w:cs="仿宋"/>
          <w:color w:val="000000"/>
          <w:kern w:val="0"/>
          <w:sz w:val="28"/>
          <w:szCs w:val="28"/>
          <w:shd w:val="clear" w:color="auto" w:fill="FFFFFF"/>
          <w:lang w:val="en-US" w:eastAsia="zh-CN"/>
        </w:rPr>
        <w:t>2.00</w:t>
      </w:r>
      <w:r>
        <w:rPr>
          <w:rFonts w:hint="eastAsia" w:ascii="仿宋" w:hAnsi="仿宋" w:eastAsia="仿宋" w:cs="仿宋"/>
          <w:color w:val="000000"/>
          <w:kern w:val="0"/>
          <w:sz w:val="28"/>
          <w:szCs w:val="28"/>
          <w:shd w:val="clear" w:color="auto" w:fill="FFFFFF"/>
          <w:lang w:val="zh-CN"/>
        </w:rPr>
        <w:t>万元、取暖费0.00万元、物业管理费</w:t>
      </w:r>
      <w:r>
        <w:rPr>
          <w:rFonts w:hint="eastAsia" w:ascii="仿宋" w:hAnsi="仿宋" w:eastAsia="仿宋" w:cs="仿宋"/>
          <w:color w:val="000000"/>
          <w:kern w:val="0"/>
          <w:sz w:val="28"/>
          <w:szCs w:val="28"/>
          <w:shd w:val="clear" w:color="auto" w:fill="FFFFFF"/>
          <w:lang w:val="en-US" w:eastAsia="zh-CN"/>
        </w:rPr>
        <w:t>6.00</w:t>
      </w:r>
      <w:r>
        <w:rPr>
          <w:rFonts w:hint="eastAsia" w:ascii="仿宋" w:hAnsi="仿宋" w:eastAsia="仿宋" w:cs="仿宋"/>
          <w:color w:val="000000"/>
          <w:kern w:val="0"/>
          <w:sz w:val="28"/>
          <w:szCs w:val="28"/>
          <w:shd w:val="clear" w:color="auto" w:fill="FFFFFF"/>
          <w:lang w:val="zh-CN"/>
        </w:rPr>
        <w:t>万元、差旅费</w:t>
      </w:r>
      <w:r>
        <w:rPr>
          <w:rFonts w:hint="eastAsia" w:ascii="仿宋" w:hAnsi="仿宋" w:eastAsia="仿宋" w:cs="仿宋"/>
          <w:color w:val="000000"/>
          <w:kern w:val="0"/>
          <w:sz w:val="28"/>
          <w:szCs w:val="28"/>
          <w:shd w:val="clear" w:color="auto" w:fill="FFFFFF"/>
          <w:lang w:val="en-US" w:eastAsia="zh-CN"/>
        </w:rPr>
        <w:t>9.00</w:t>
      </w:r>
      <w:r>
        <w:rPr>
          <w:rFonts w:hint="eastAsia" w:ascii="仿宋" w:hAnsi="仿宋" w:eastAsia="仿宋" w:cs="仿宋"/>
          <w:color w:val="000000"/>
          <w:kern w:val="0"/>
          <w:sz w:val="28"/>
          <w:szCs w:val="28"/>
          <w:shd w:val="clear" w:color="auto" w:fill="FFFFFF"/>
          <w:lang w:val="zh-CN"/>
        </w:rPr>
        <w:t>万元、因公出国（境）费用0.00万元、维修（护）费</w:t>
      </w:r>
      <w:r>
        <w:rPr>
          <w:rFonts w:hint="eastAsia" w:ascii="仿宋" w:hAnsi="仿宋" w:eastAsia="仿宋" w:cs="仿宋"/>
          <w:color w:val="000000"/>
          <w:kern w:val="0"/>
          <w:sz w:val="28"/>
          <w:szCs w:val="28"/>
          <w:shd w:val="clear" w:color="auto" w:fill="FFFFFF"/>
          <w:lang w:val="en-US" w:eastAsia="zh-CN"/>
        </w:rPr>
        <w:t>11.00</w:t>
      </w:r>
      <w:r>
        <w:rPr>
          <w:rFonts w:hint="eastAsia" w:ascii="仿宋" w:hAnsi="仿宋" w:eastAsia="仿宋" w:cs="仿宋"/>
          <w:color w:val="000000"/>
          <w:kern w:val="0"/>
          <w:sz w:val="28"/>
          <w:szCs w:val="28"/>
          <w:shd w:val="clear" w:color="auto" w:fill="FFFFFF"/>
          <w:lang w:val="zh-CN"/>
        </w:rPr>
        <w:t>万元、租赁费</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万元、会议费</w:t>
      </w:r>
      <w:r>
        <w:rPr>
          <w:rFonts w:hint="eastAsia" w:ascii="仿宋" w:hAnsi="仿宋" w:eastAsia="仿宋" w:cs="仿宋"/>
          <w:color w:val="000000"/>
          <w:kern w:val="0"/>
          <w:sz w:val="28"/>
          <w:szCs w:val="28"/>
          <w:shd w:val="clear" w:color="auto" w:fill="FFFFFF"/>
        </w:rPr>
        <w:t>0.00</w:t>
      </w:r>
      <w:r>
        <w:rPr>
          <w:rFonts w:hint="eastAsia" w:ascii="仿宋" w:hAnsi="仿宋" w:eastAsia="仿宋" w:cs="仿宋"/>
          <w:color w:val="000000"/>
          <w:kern w:val="0"/>
          <w:sz w:val="28"/>
          <w:szCs w:val="28"/>
          <w:shd w:val="clear" w:color="auto" w:fill="FFFFFF"/>
          <w:lang w:val="zh-CN"/>
        </w:rPr>
        <w:t>万元、培训费</w:t>
      </w:r>
      <w:r>
        <w:rPr>
          <w:rFonts w:hint="eastAsia" w:ascii="仿宋" w:hAnsi="仿宋" w:eastAsia="仿宋" w:cs="仿宋"/>
          <w:color w:val="000000"/>
          <w:kern w:val="0"/>
          <w:sz w:val="28"/>
          <w:szCs w:val="28"/>
          <w:shd w:val="clear" w:color="auto" w:fill="FFFFFF"/>
          <w:lang w:val="en-US" w:eastAsia="zh-CN"/>
        </w:rPr>
        <w:t>8.00</w:t>
      </w:r>
      <w:r>
        <w:rPr>
          <w:rFonts w:hint="eastAsia" w:ascii="仿宋" w:hAnsi="仿宋" w:eastAsia="仿宋" w:cs="仿宋"/>
          <w:color w:val="000000"/>
          <w:kern w:val="0"/>
          <w:sz w:val="28"/>
          <w:szCs w:val="28"/>
          <w:shd w:val="clear" w:color="auto" w:fill="FFFFFF"/>
          <w:lang w:val="zh-CN"/>
        </w:rPr>
        <w:t>万元、公务接待费</w:t>
      </w:r>
      <w:r>
        <w:rPr>
          <w:rFonts w:hint="eastAsia" w:ascii="仿宋" w:hAnsi="仿宋" w:eastAsia="仿宋" w:cs="仿宋"/>
          <w:color w:val="000000"/>
          <w:kern w:val="0"/>
          <w:sz w:val="28"/>
          <w:szCs w:val="28"/>
          <w:shd w:val="clear" w:color="auto" w:fill="FFFFFF"/>
          <w:lang w:val="en-US" w:eastAsia="zh-CN"/>
        </w:rPr>
        <w:t>0.38</w:t>
      </w:r>
      <w:r>
        <w:rPr>
          <w:rFonts w:hint="eastAsia" w:ascii="仿宋" w:hAnsi="仿宋" w:eastAsia="仿宋" w:cs="仿宋"/>
          <w:color w:val="000000"/>
          <w:kern w:val="0"/>
          <w:sz w:val="28"/>
          <w:szCs w:val="28"/>
          <w:shd w:val="clear" w:color="auto" w:fill="FFFFFF"/>
          <w:lang w:val="zh-CN"/>
        </w:rPr>
        <w:t>万元、专用材料费</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rPr>
        <w:t>.00万元，</w:t>
      </w:r>
      <w:r>
        <w:rPr>
          <w:rFonts w:hint="eastAsia" w:ascii="仿宋" w:hAnsi="仿宋" w:eastAsia="仿宋" w:cs="仿宋"/>
          <w:color w:val="000000"/>
          <w:kern w:val="0"/>
          <w:sz w:val="28"/>
          <w:szCs w:val="28"/>
          <w:shd w:val="clear" w:color="auto" w:fill="FFFFFF"/>
          <w:lang w:val="zh-CN"/>
        </w:rPr>
        <w:t>劳务费</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万元、委托业务费0.00万元、工会经费</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万元、福利费</w:t>
      </w:r>
      <w:r>
        <w:rPr>
          <w:rFonts w:hint="eastAsia" w:ascii="仿宋" w:hAnsi="仿宋" w:eastAsia="仿宋" w:cs="仿宋"/>
          <w:color w:val="000000"/>
          <w:kern w:val="0"/>
          <w:sz w:val="28"/>
          <w:szCs w:val="28"/>
          <w:shd w:val="clear" w:color="auto" w:fill="FFFFFF"/>
          <w:lang w:val="en-US" w:eastAsia="zh-CN"/>
        </w:rPr>
        <w:t>0.00</w:t>
      </w:r>
      <w:r>
        <w:rPr>
          <w:rFonts w:hint="eastAsia" w:ascii="仿宋" w:hAnsi="仿宋" w:eastAsia="仿宋" w:cs="仿宋"/>
          <w:color w:val="000000"/>
          <w:kern w:val="0"/>
          <w:sz w:val="28"/>
          <w:szCs w:val="28"/>
          <w:shd w:val="clear" w:color="auto" w:fill="FFFFFF"/>
          <w:lang w:val="zh-CN"/>
        </w:rPr>
        <w:t>万元、公务用车运行维护费0.00万元、其他交通费</w:t>
      </w:r>
      <w:r>
        <w:rPr>
          <w:rFonts w:hint="eastAsia" w:ascii="仿宋" w:hAnsi="仿宋" w:eastAsia="仿宋" w:cs="仿宋"/>
          <w:color w:val="000000"/>
          <w:kern w:val="0"/>
          <w:sz w:val="28"/>
          <w:szCs w:val="28"/>
          <w:shd w:val="clear" w:color="auto" w:fill="FFFFFF"/>
        </w:rPr>
        <w:t>0.</w:t>
      </w:r>
      <w:r>
        <w:rPr>
          <w:rFonts w:hint="eastAsia" w:ascii="仿宋" w:hAnsi="仿宋" w:eastAsia="仿宋" w:cs="仿宋"/>
          <w:color w:val="000000"/>
          <w:kern w:val="0"/>
          <w:sz w:val="28"/>
          <w:szCs w:val="28"/>
          <w:shd w:val="clear" w:color="auto" w:fill="FFFFFF"/>
          <w:lang w:val="en-US" w:eastAsia="zh-CN"/>
        </w:rPr>
        <w:t>00</w:t>
      </w:r>
      <w:r>
        <w:rPr>
          <w:rFonts w:hint="eastAsia" w:ascii="仿宋" w:hAnsi="仿宋" w:eastAsia="仿宋" w:cs="仿宋"/>
          <w:color w:val="000000"/>
          <w:kern w:val="0"/>
          <w:sz w:val="28"/>
          <w:szCs w:val="28"/>
          <w:shd w:val="clear" w:color="auto" w:fill="FFFFFF"/>
          <w:lang w:val="zh-CN"/>
        </w:rPr>
        <w:t>万元、税金及附加费用0.00万元、其他商品和服务支出</w:t>
      </w:r>
      <w:r>
        <w:rPr>
          <w:rFonts w:hint="eastAsia" w:ascii="仿宋" w:hAnsi="仿宋" w:eastAsia="仿宋" w:cs="仿宋"/>
          <w:color w:val="000000"/>
          <w:kern w:val="0"/>
          <w:sz w:val="28"/>
          <w:szCs w:val="28"/>
          <w:shd w:val="clear" w:color="auto" w:fill="FFFFFF"/>
          <w:lang w:val="en-US" w:eastAsia="zh-CN"/>
        </w:rPr>
        <w:t>4.72</w:t>
      </w:r>
      <w:r>
        <w:rPr>
          <w:rFonts w:hint="eastAsia" w:ascii="仿宋" w:hAnsi="仿宋" w:eastAsia="仿宋" w:cs="仿宋"/>
          <w:color w:val="000000"/>
          <w:kern w:val="0"/>
          <w:sz w:val="28"/>
          <w:szCs w:val="28"/>
          <w:shd w:val="clear" w:color="auto" w:fill="FFFFFF"/>
          <w:lang w:val="zh-CN"/>
        </w:rPr>
        <w:t>万元、办公设备购置0.00万元、专用设备购置0.00万元、信息网络及软件购置更新0.00万元、其他资本性支出0.00万元。</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2"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b/>
          <w:bCs/>
          <w:color w:val="000000"/>
          <w:kern w:val="0"/>
          <w:sz w:val="28"/>
          <w:szCs w:val="28"/>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（一）部门预算管理。</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我</w:t>
      </w:r>
      <w:r>
        <w:rPr>
          <w:rFonts w:hint="eastAsia" w:ascii="仿宋" w:hAnsi="仿宋" w:eastAsia="仿宋" w:cs="仿宋"/>
          <w:color w:val="000000"/>
          <w:kern w:val="0"/>
          <w:sz w:val="28"/>
          <w:szCs w:val="28"/>
          <w:shd w:val="clear" w:color="auto" w:fill="FFFFFF"/>
          <w:lang w:val="zh-CN"/>
        </w:rPr>
        <w:t>部门</w:t>
      </w:r>
      <w:r>
        <w:rPr>
          <w:rFonts w:hint="eastAsia" w:ascii="仿宋" w:hAnsi="仿宋" w:eastAsia="仿宋" w:cs="仿宋"/>
          <w:color w:val="000000"/>
          <w:kern w:val="0"/>
          <w:sz w:val="28"/>
          <w:szCs w:val="28"/>
          <w:shd w:val="clear" w:color="auto" w:fill="FFFFFF"/>
        </w:rPr>
        <w:t>年初</w:t>
      </w:r>
      <w:r>
        <w:rPr>
          <w:rFonts w:hint="eastAsia" w:ascii="仿宋" w:hAnsi="仿宋" w:eastAsia="仿宋" w:cs="仿宋"/>
          <w:color w:val="000000"/>
          <w:kern w:val="0"/>
          <w:sz w:val="28"/>
          <w:szCs w:val="28"/>
          <w:shd w:val="clear" w:color="auto" w:fill="FFFFFF"/>
          <w:lang w:val="zh-CN"/>
        </w:rPr>
        <w:t>编制</w:t>
      </w:r>
      <w:r>
        <w:rPr>
          <w:rFonts w:hint="eastAsia" w:ascii="仿宋" w:hAnsi="仿宋" w:eastAsia="仿宋" w:cs="仿宋"/>
          <w:color w:val="000000"/>
          <w:kern w:val="0"/>
          <w:sz w:val="28"/>
          <w:szCs w:val="28"/>
          <w:shd w:val="clear" w:color="auto" w:fill="FFFFFF"/>
        </w:rPr>
        <w:t>部门</w:t>
      </w:r>
      <w:r>
        <w:rPr>
          <w:rFonts w:hint="eastAsia" w:ascii="仿宋" w:hAnsi="仿宋" w:eastAsia="仿宋" w:cs="仿宋"/>
          <w:color w:val="000000"/>
          <w:kern w:val="0"/>
          <w:sz w:val="28"/>
          <w:szCs w:val="28"/>
          <w:shd w:val="clear" w:color="auto" w:fill="FFFFFF"/>
          <w:lang w:val="zh-CN"/>
        </w:rPr>
        <w:t>绩效目标，</w:t>
      </w:r>
      <w:r>
        <w:rPr>
          <w:rFonts w:hint="eastAsia" w:ascii="仿宋" w:hAnsi="仿宋" w:eastAsia="仿宋" w:cs="仿宋"/>
          <w:color w:val="000000"/>
          <w:kern w:val="0"/>
          <w:sz w:val="28"/>
          <w:szCs w:val="28"/>
          <w:shd w:val="clear" w:color="auto" w:fill="FFFFFF"/>
        </w:rPr>
        <w:t>要素完整</w:t>
      </w:r>
      <w:r>
        <w:rPr>
          <w:rFonts w:hint="eastAsia" w:ascii="仿宋" w:hAnsi="仿宋" w:eastAsia="仿宋" w:cs="仿宋"/>
          <w:color w:val="000000"/>
          <w:kern w:val="0"/>
          <w:sz w:val="28"/>
          <w:szCs w:val="28"/>
          <w:shd w:val="clear" w:color="auto" w:fill="FFFFFF"/>
          <w:lang w:val="zh-CN"/>
        </w:rPr>
        <w:t>、绩效指标细化</w:t>
      </w:r>
      <w:r>
        <w:rPr>
          <w:rFonts w:hint="eastAsia" w:ascii="仿宋" w:hAnsi="仿宋" w:eastAsia="仿宋" w:cs="仿宋"/>
          <w:color w:val="000000"/>
          <w:kern w:val="0"/>
          <w:sz w:val="28"/>
          <w:szCs w:val="28"/>
          <w:shd w:val="clear" w:color="auto" w:fill="FFFFFF"/>
        </w:rPr>
        <w:t>。年终部门绩效目标全部完成，</w:t>
      </w:r>
      <w:r>
        <w:rPr>
          <w:rFonts w:hint="eastAsia" w:ascii="仿宋" w:hAnsi="仿宋" w:eastAsia="仿宋" w:cs="仿宋"/>
          <w:color w:val="000000"/>
          <w:kern w:val="0"/>
          <w:sz w:val="28"/>
          <w:szCs w:val="28"/>
          <w:shd w:val="clear" w:color="auto" w:fill="FFFFFF"/>
          <w:lang w:val="zh-CN"/>
        </w:rPr>
        <w:t>预算编制</w:t>
      </w:r>
      <w:r>
        <w:rPr>
          <w:rFonts w:hint="eastAsia" w:ascii="仿宋" w:hAnsi="仿宋" w:eastAsia="仿宋" w:cs="仿宋"/>
          <w:color w:val="000000"/>
          <w:kern w:val="0"/>
          <w:sz w:val="28"/>
          <w:szCs w:val="28"/>
          <w:shd w:val="clear" w:color="auto" w:fill="FFFFFF"/>
        </w:rPr>
        <w:t>科学</w:t>
      </w:r>
      <w:r>
        <w:rPr>
          <w:rFonts w:hint="eastAsia" w:ascii="仿宋" w:hAnsi="仿宋" w:eastAsia="仿宋" w:cs="仿宋"/>
          <w:color w:val="000000"/>
          <w:kern w:val="0"/>
          <w:sz w:val="28"/>
          <w:szCs w:val="28"/>
          <w:shd w:val="clear" w:color="auto" w:fill="FFFFFF"/>
          <w:lang w:val="zh-CN"/>
        </w:rPr>
        <w:t>准确。支出控制</w:t>
      </w:r>
      <w:r>
        <w:rPr>
          <w:rFonts w:hint="eastAsia" w:ascii="仿宋" w:hAnsi="仿宋" w:eastAsia="仿宋" w:cs="仿宋"/>
          <w:color w:val="000000"/>
          <w:kern w:val="0"/>
          <w:sz w:val="28"/>
          <w:szCs w:val="28"/>
          <w:shd w:val="clear" w:color="auto" w:fill="FFFFFF"/>
        </w:rPr>
        <w:t>方面：日常公用经费支出中“办公费、印刷费、水费、电费、”等科目年初预算数与决算数偏差程度较小、预决算偏差程度在1</w:t>
      </w:r>
      <w:r>
        <w:rPr>
          <w:rFonts w:hint="eastAsia" w:ascii="仿宋" w:hAnsi="仿宋" w:eastAsia="仿宋" w:cs="仿宋"/>
          <w:color w:val="000000"/>
          <w:kern w:val="0"/>
          <w:sz w:val="28"/>
          <w:szCs w:val="28"/>
          <w:shd w:val="clear" w:color="auto" w:fill="FFFFFF"/>
          <w:lang w:val="en-US" w:eastAsia="zh-CN"/>
        </w:rPr>
        <w:t>0</w:t>
      </w:r>
      <w:r>
        <w:rPr>
          <w:rFonts w:hint="eastAsia" w:ascii="仿宋" w:hAnsi="仿宋" w:eastAsia="仿宋" w:cs="仿宋"/>
          <w:color w:val="000000"/>
          <w:kern w:val="0"/>
          <w:sz w:val="28"/>
          <w:szCs w:val="28"/>
          <w:shd w:val="clear" w:color="auto" w:fill="FFFFFF"/>
        </w:rPr>
        <w:t>%以内。</w:t>
      </w:r>
      <w:r>
        <w:rPr>
          <w:rFonts w:hint="eastAsia" w:ascii="仿宋" w:hAnsi="仿宋" w:eastAsia="仿宋" w:cs="仿宋"/>
          <w:color w:val="000000"/>
          <w:kern w:val="0"/>
          <w:sz w:val="28"/>
          <w:szCs w:val="28"/>
          <w:shd w:val="clear" w:color="auto" w:fill="FFFFFF"/>
          <w:lang w:val="zh-CN"/>
        </w:rPr>
        <w:t>预算动态调整</w:t>
      </w:r>
      <w:r>
        <w:rPr>
          <w:rFonts w:hint="eastAsia" w:ascii="仿宋" w:hAnsi="仿宋" w:eastAsia="仿宋" w:cs="仿宋"/>
          <w:color w:val="000000"/>
          <w:kern w:val="0"/>
          <w:sz w:val="28"/>
          <w:szCs w:val="28"/>
          <w:shd w:val="clear" w:color="auto" w:fill="FFFFFF"/>
        </w:rPr>
        <w:t>方面：因人员的变动和岗位变动进行了预算调整</w:t>
      </w:r>
      <w:r>
        <w:rPr>
          <w:rFonts w:hint="eastAsia" w:ascii="仿宋" w:hAnsi="仿宋" w:eastAsia="仿宋" w:cs="仿宋"/>
          <w:color w:val="000000"/>
          <w:kern w:val="0"/>
          <w:sz w:val="28"/>
          <w:szCs w:val="28"/>
          <w:shd w:val="clear" w:color="auto" w:fill="FFFFFF"/>
          <w:lang w:val="zh-CN"/>
        </w:rPr>
        <w:t>。执行进度</w:t>
      </w:r>
      <w:r>
        <w:rPr>
          <w:rFonts w:hint="eastAsia" w:ascii="仿宋" w:hAnsi="仿宋" w:eastAsia="仿宋" w:cs="仿宋"/>
          <w:color w:val="000000"/>
          <w:kern w:val="0"/>
          <w:sz w:val="28"/>
          <w:szCs w:val="28"/>
          <w:shd w:val="clear" w:color="auto" w:fill="FFFFFF"/>
        </w:rPr>
        <w:t>方面：各预算项目在6月、9月、</w:t>
      </w:r>
      <w:r>
        <w:rPr>
          <w:rFonts w:hint="eastAsia" w:ascii="仿宋" w:hAnsi="仿宋" w:eastAsia="仿宋" w:cs="仿宋"/>
          <w:color w:val="000000"/>
          <w:kern w:val="0"/>
          <w:sz w:val="28"/>
          <w:szCs w:val="28"/>
          <w:shd w:val="clear" w:color="auto" w:fill="FFFFFF"/>
          <w:lang w:val="en-US" w:eastAsia="zh-CN"/>
        </w:rPr>
        <w:t>11</w:t>
      </w:r>
      <w:r>
        <w:rPr>
          <w:rFonts w:hint="eastAsia" w:ascii="仿宋" w:hAnsi="仿宋" w:eastAsia="仿宋" w:cs="仿宋"/>
          <w:color w:val="000000"/>
          <w:kern w:val="0"/>
          <w:sz w:val="28"/>
          <w:szCs w:val="28"/>
          <w:shd w:val="clear" w:color="auto" w:fill="FFFFFF"/>
        </w:rPr>
        <w:t>月实际支付分别完成了预算的4</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en-US" w:eastAsia="zh-CN"/>
        </w:rPr>
        <w:t>69</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en-US" w:eastAsia="zh-CN"/>
        </w:rPr>
        <w:t>91</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zh-CN"/>
        </w:rPr>
        <w:t>预算完成情况</w:t>
      </w:r>
      <w:r>
        <w:rPr>
          <w:rFonts w:hint="eastAsia" w:ascii="仿宋" w:hAnsi="仿宋" w:eastAsia="仿宋" w:cs="仿宋"/>
          <w:color w:val="000000"/>
          <w:kern w:val="0"/>
          <w:sz w:val="28"/>
          <w:szCs w:val="28"/>
          <w:shd w:val="clear" w:color="auto" w:fill="FFFFFF"/>
        </w:rPr>
        <w:t>方面：各预算项目在12月实际支付完成了预算的</w:t>
      </w:r>
      <w:r>
        <w:rPr>
          <w:rFonts w:hint="eastAsia" w:ascii="仿宋" w:hAnsi="仿宋" w:eastAsia="仿宋" w:cs="仿宋"/>
          <w:color w:val="000000"/>
          <w:kern w:val="0"/>
          <w:sz w:val="28"/>
          <w:szCs w:val="28"/>
          <w:shd w:val="clear" w:color="auto" w:fill="FFFFFF"/>
          <w:lang w:val="en-US" w:eastAsia="zh-CN"/>
        </w:rPr>
        <w:t>100</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zh-CN"/>
        </w:rPr>
        <w:t>。</w:t>
      </w:r>
      <w:r>
        <w:rPr>
          <w:rFonts w:hint="eastAsia" w:ascii="仿宋" w:hAnsi="仿宋" w:eastAsia="仿宋" w:cs="仿宋"/>
          <w:color w:val="000000"/>
          <w:kern w:val="0"/>
          <w:sz w:val="28"/>
          <w:szCs w:val="28"/>
          <w:shd w:val="clear" w:color="auto" w:fill="FFFFFF"/>
        </w:rPr>
        <w:t>本年度我单位无</w:t>
      </w:r>
      <w:r>
        <w:rPr>
          <w:rFonts w:hint="eastAsia" w:ascii="仿宋" w:hAnsi="仿宋" w:eastAsia="仿宋" w:cs="仿宋"/>
          <w:color w:val="000000"/>
          <w:kern w:val="0"/>
          <w:sz w:val="28"/>
          <w:szCs w:val="28"/>
          <w:shd w:val="clear" w:color="auto" w:fill="FFFFFF"/>
          <w:lang w:val="zh-CN"/>
        </w:rPr>
        <w:t>违规记录。</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我部门</w:t>
      </w:r>
      <w:r>
        <w:rPr>
          <w:rFonts w:hint="eastAsia" w:ascii="仿宋" w:hAnsi="仿宋" w:eastAsia="仿宋" w:cs="仿宋"/>
          <w:color w:val="000000"/>
          <w:kern w:val="0"/>
          <w:sz w:val="28"/>
          <w:szCs w:val="28"/>
          <w:shd w:val="clear" w:color="auto" w:fill="FFFFFF"/>
          <w:lang w:val="zh-CN"/>
        </w:rPr>
        <w:t>按要求将部门整体绩效自评情况和自行组织的评价情况向社会公开。绩效管理结果：教育基本经费的使用，力保学校教育教学工作的有序开展以及学校工作的正常运行。新建校舍竣工使用，使学校办学条件进一步改善，教学设施设备添置</w:t>
      </w:r>
      <w:r>
        <w:rPr>
          <w:rFonts w:hint="eastAsia" w:ascii="仿宋" w:hAnsi="仿宋" w:eastAsia="仿宋" w:cs="仿宋"/>
          <w:color w:val="000000"/>
          <w:kern w:val="0"/>
          <w:sz w:val="28"/>
          <w:szCs w:val="28"/>
          <w:shd w:val="clear" w:color="auto" w:fill="FFFFFF"/>
        </w:rPr>
        <w:t>使</w:t>
      </w:r>
      <w:r>
        <w:rPr>
          <w:rFonts w:hint="eastAsia" w:ascii="仿宋" w:hAnsi="仿宋" w:eastAsia="仿宋" w:cs="仿宋"/>
          <w:color w:val="000000"/>
          <w:kern w:val="0"/>
          <w:sz w:val="28"/>
          <w:szCs w:val="28"/>
          <w:shd w:val="clear" w:color="auto" w:fill="FFFFFF"/>
          <w:lang w:val="zh-CN"/>
        </w:rPr>
        <w:t>学校现代化教育教学技术手段得到很大改善，大力推动了学校教育教学质量的提升，社会评价满意。</w:t>
      </w:r>
      <w:r>
        <w:rPr>
          <w:rFonts w:hint="eastAsia" w:ascii="仿宋" w:hAnsi="仿宋" w:eastAsia="仿宋" w:cs="仿宋"/>
          <w:color w:val="000000"/>
          <w:kern w:val="0"/>
          <w:sz w:val="28"/>
          <w:szCs w:val="28"/>
          <w:shd w:val="clear" w:color="auto" w:fill="FFFFFF"/>
        </w:rPr>
        <w:t>学生资助、学生营养餐、免作业本费等民生保障方面，极大地改善了学生生活</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减轻了家庭的负担，社会评价满意。</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2" w:firstLineChars="200"/>
        <w:contextualSpacing/>
        <w:jc w:val="left"/>
        <w:textAlignment w:val="auto"/>
        <w:rPr>
          <w:rFonts w:hint="eastAsia" w:ascii="仿宋" w:hAnsi="仿宋" w:eastAsia="仿宋" w:cs="仿宋"/>
          <w:b/>
          <w:bCs/>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eastAsia="zh-CN"/>
        </w:rPr>
        <w:t>四川省剑阁县剑门中学校</w:t>
      </w:r>
      <w:r>
        <w:rPr>
          <w:rFonts w:hint="eastAsia" w:ascii="仿宋" w:hAnsi="仿宋" w:eastAsia="仿宋" w:cs="仿宋"/>
          <w:color w:val="000000"/>
          <w:kern w:val="0"/>
          <w:sz w:val="28"/>
          <w:szCs w:val="28"/>
          <w:shd w:val="clear" w:color="auto" w:fill="FFFFFF"/>
          <w:lang w:val="zh-CN"/>
        </w:rPr>
        <w:t>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val="zh-CN"/>
        </w:rPr>
        <w:t>年度工作总体自我评价：202</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val="zh-CN"/>
        </w:rPr>
        <w:t>年，在</w:t>
      </w:r>
      <w:r>
        <w:rPr>
          <w:rFonts w:hint="eastAsia" w:ascii="仿宋" w:hAnsi="仿宋" w:eastAsia="仿宋" w:cs="仿宋"/>
          <w:color w:val="000000"/>
          <w:kern w:val="0"/>
          <w:sz w:val="28"/>
          <w:szCs w:val="28"/>
          <w:shd w:val="clear" w:color="auto" w:fill="FFFFFF"/>
        </w:rPr>
        <w:t>县委县</w:t>
      </w:r>
      <w:r>
        <w:rPr>
          <w:rFonts w:hint="eastAsia" w:ascii="仿宋" w:hAnsi="仿宋" w:eastAsia="仿宋" w:cs="仿宋"/>
          <w:color w:val="000000"/>
          <w:kern w:val="0"/>
          <w:sz w:val="28"/>
          <w:szCs w:val="28"/>
          <w:shd w:val="clear" w:color="auto" w:fill="FFFFFF"/>
          <w:lang w:eastAsia="zh-CN"/>
        </w:rPr>
        <w:t>政</w:t>
      </w:r>
      <w:r>
        <w:rPr>
          <w:rFonts w:hint="eastAsia" w:ascii="仿宋" w:hAnsi="仿宋" w:eastAsia="仿宋" w:cs="仿宋"/>
          <w:color w:val="000000"/>
          <w:kern w:val="0"/>
          <w:sz w:val="28"/>
          <w:szCs w:val="28"/>
          <w:shd w:val="clear" w:color="auto" w:fill="FFFFFF"/>
        </w:rPr>
        <w:t>府</w:t>
      </w:r>
      <w:r>
        <w:rPr>
          <w:rFonts w:hint="eastAsia" w:ascii="仿宋" w:hAnsi="仿宋" w:eastAsia="仿宋" w:cs="仿宋"/>
          <w:color w:val="000000"/>
          <w:kern w:val="0"/>
          <w:sz w:val="28"/>
          <w:szCs w:val="28"/>
          <w:shd w:val="clear" w:color="auto" w:fill="FFFFFF"/>
          <w:lang w:val="zh-CN"/>
        </w:rPr>
        <w:t>领导下，在</w:t>
      </w:r>
      <w:r>
        <w:rPr>
          <w:rFonts w:hint="eastAsia" w:ascii="仿宋" w:hAnsi="仿宋" w:eastAsia="仿宋" w:cs="仿宋"/>
          <w:color w:val="000000"/>
          <w:kern w:val="0"/>
          <w:sz w:val="28"/>
          <w:szCs w:val="28"/>
          <w:shd w:val="clear" w:color="auto" w:fill="FFFFFF"/>
        </w:rPr>
        <w:t>县</w:t>
      </w:r>
      <w:r>
        <w:rPr>
          <w:rFonts w:hint="eastAsia" w:ascii="仿宋" w:hAnsi="仿宋" w:eastAsia="仿宋" w:cs="仿宋"/>
          <w:color w:val="000000"/>
          <w:kern w:val="0"/>
          <w:sz w:val="28"/>
          <w:szCs w:val="28"/>
          <w:shd w:val="clear" w:color="auto" w:fill="FFFFFF"/>
          <w:lang w:val="zh-CN"/>
        </w:rPr>
        <w:t>教育局的精心指导下，学校紧紧围绕工作大局，充分发挥自身优势，履职尽责、攻坚克难，各项工作取得了明显成效，部门整体支出绩效自评为优秀。</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rPr>
        <w:t>我校</w:t>
      </w:r>
      <w:r>
        <w:rPr>
          <w:rFonts w:hint="eastAsia" w:ascii="仿宋" w:hAnsi="仿宋" w:eastAsia="仿宋" w:cs="仿宋"/>
          <w:color w:val="000000"/>
          <w:kern w:val="0"/>
          <w:sz w:val="28"/>
          <w:szCs w:val="28"/>
          <w:shd w:val="clear" w:color="auto" w:fill="FFFFFF"/>
          <w:lang w:val="zh-CN"/>
        </w:rPr>
        <w:t>除财政拨款没有其他经费来源，由于学校学生人数变动较大，聘用临聘人员较多，临聘人员费用难以维持，无经费投入，不能及时兑付临聘人员费用。</w:t>
      </w:r>
    </w:p>
    <w:p>
      <w:pPr>
        <w:keepNext w:val="0"/>
        <w:keepLines w:val="0"/>
        <w:pageBreakBefore w:val="0"/>
        <w:widowControl w:val="0"/>
        <w:numPr>
          <w:ilvl w:val="0"/>
          <w:numId w:val="5"/>
        </w:numPr>
        <w:kinsoku/>
        <w:wordWrap/>
        <w:overflowPunct/>
        <w:topLinePunct w:val="0"/>
        <w:autoSpaceDE/>
        <w:autoSpaceDN/>
        <w:bidi w:val="0"/>
        <w:adjustRightInd w:val="0"/>
        <w:snapToGrid w:val="0"/>
        <w:spacing w:line="520" w:lineRule="exact"/>
        <w:ind w:right="0" w:firstLine="560" w:firstLineChars="200"/>
        <w:contextualSpacing/>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改进建议。</w:t>
      </w:r>
    </w:p>
    <w:p>
      <w:pPr>
        <w:keepNext w:val="0"/>
        <w:keepLines w:val="0"/>
        <w:pageBreakBefore w:val="0"/>
        <w:widowControl w:val="0"/>
        <w:kinsoku/>
        <w:wordWrap/>
        <w:overflowPunct/>
        <w:topLinePunct w:val="0"/>
        <w:autoSpaceDE/>
        <w:autoSpaceDN/>
        <w:bidi w:val="0"/>
        <w:snapToGrid w:val="0"/>
        <w:spacing w:line="52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切实做好预算编制工作，做好本单位情况调查，仔细测算部门资金需求，努力使预算资金合理。及时支出资金，减少部门资金结转。进一步建立健全财务制度，规范财务管理，规范教育教学行为；提高教育教学质量，加强校园文化建设，加强学校廉政建设。</w:t>
      </w:r>
    </w:p>
    <w:p>
      <w:pPr>
        <w:keepNext w:val="0"/>
        <w:keepLines w:val="0"/>
        <w:pageBreakBefore w:val="0"/>
        <w:widowControl w:val="0"/>
        <w:kinsoku/>
        <w:wordWrap/>
        <w:overflowPunct/>
        <w:topLinePunct w:val="0"/>
        <w:autoSpaceDE/>
        <w:autoSpaceDN/>
        <w:bidi w:val="0"/>
        <w:snapToGrid w:val="0"/>
        <w:spacing w:line="520" w:lineRule="exact"/>
        <w:ind w:right="0" w:firstLine="560" w:firstLineChars="200"/>
        <w:textAlignment w:val="auto"/>
        <w:rPr>
          <w:rFonts w:hint="eastAsia" w:ascii="仿宋" w:hAnsi="仿宋" w:eastAsia="仿宋" w:cs="仿宋"/>
          <w:sz w:val="28"/>
          <w:szCs w:val="28"/>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hint="eastAsia" w:ascii="仿宋" w:hAnsi="仿宋" w:eastAsia="仿宋" w:cs="仿宋"/>
          <w:color w:val="000000"/>
          <w:sz w:val="28"/>
          <w:szCs w:val="28"/>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center"/>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2"/>
        <w:keepNext w:val="0"/>
        <w:keepLines w:val="0"/>
        <w:pageBreakBefore w:val="0"/>
        <w:widowControl/>
        <w:kinsoku/>
        <w:wordWrap/>
        <w:overflowPunct/>
        <w:topLinePunct w:val="0"/>
        <w:autoSpaceDE/>
        <w:autoSpaceDN/>
        <w:bidi w:val="0"/>
        <w:adjustRightInd/>
        <w:snapToGrid/>
        <w:spacing w:before="0" w:after="0" w:line="520" w:lineRule="exact"/>
        <w:jc w:val="both"/>
        <w:textAlignment w:val="auto"/>
        <w:rPr>
          <w:rFonts w:hint="eastAsia" w:ascii="黑体" w:hAnsi="黑体" w:eastAsia="黑体" w:cs="宋体"/>
          <w:color w:val="000000"/>
          <w:sz w:val="36"/>
          <w:szCs w:val="36"/>
          <w:lang w:eastAsia="zh-CN"/>
        </w:rPr>
      </w:pPr>
    </w:p>
    <w:p>
      <w:pPr>
        <w:pStyle w:val="44"/>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宋体"/>
          <w:color w:val="000000"/>
          <w:sz w:val="36"/>
          <w:szCs w:val="36"/>
          <w:lang w:val="zh-CN" w:eastAsia="zh-CN"/>
        </w:rPr>
      </w:pPr>
      <w:bookmarkStart w:id="54" w:name="bookmark4"/>
      <w:r>
        <w:rPr>
          <w:rFonts w:hint="eastAsia" w:ascii="黑体" w:hAnsi="黑体" w:eastAsia="黑体" w:cs="宋体"/>
          <w:color w:val="000000"/>
          <w:sz w:val="36"/>
          <w:szCs w:val="36"/>
          <w:lang w:val="zh-CN" w:eastAsia="zh-CN"/>
        </w:rPr>
        <w:t>四川省剑阁县剑门中学校</w:t>
      </w:r>
      <w:r>
        <w:rPr>
          <w:rFonts w:hint="eastAsia" w:ascii="黑体" w:hAnsi="黑体" w:eastAsia="黑体" w:cs="宋体"/>
          <w:color w:val="000000"/>
          <w:sz w:val="36"/>
          <w:szCs w:val="36"/>
          <w:lang w:val="en-US" w:eastAsia="zh-CN"/>
        </w:rPr>
        <w:t>食堂</w:t>
      </w:r>
    </w:p>
    <w:p>
      <w:pPr>
        <w:pStyle w:val="44"/>
        <w:keepNext w:val="0"/>
        <w:keepLines w:val="0"/>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b/>
          <w:color w:val="000000"/>
          <w:spacing w:val="30"/>
          <w:sz w:val="36"/>
          <w:szCs w:val="36"/>
          <w:lang w:val="zh-CN" w:bidi="zh-CN"/>
        </w:rPr>
      </w:pPr>
      <w:r>
        <w:rPr>
          <w:rFonts w:hint="eastAsia" w:ascii="黑体" w:hAnsi="黑体" w:eastAsia="黑体" w:cs="宋体"/>
          <w:color w:val="000000"/>
          <w:sz w:val="36"/>
          <w:szCs w:val="36"/>
          <w:lang w:val="en-US" w:eastAsia="zh-CN"/>
        </w:rPr>
        <w:t>工勤人员补助</w:t>
      </w:r>
      <w:r>
        <w:rPr>
          <w:rFonts w:hint="eastAsia" w:ascii="黑体" w:hAnsi="黑体" w:eastAsia="黑体" w:cs="宋体"/>
          <w:color w:val="000000"/>
          <w:sz w:val="36"/>
          <w:szCs w:val="36"/>
          <w:lang w:val="zh-CN" w:eastAsia="zh-CN"/>
        </w:rPr>
        <w:t>项目资金支出绩效自评报告</w:t>
      </w:r>
      <w:bookmarkEnd w:id="54"/>
    </w:p>
    <w:p>
      <w:pPr>
        <w:spacing w:line="600" w:lineRule="exact"/>
        <w:ind w:firstLine="640" w:firstLineChars="200"/>
        <w:outlineLvl w:val="1"/>
        <w:rPr>
          <w:rFonts w:hint="eastAsia" w:ascii="黑体" w:eastAsia="黑体"/>
          <w:sz w:val="32"/>
          <w:szCs w:val="32"/>
          <w:lang w:val="en-US" w:eastAsia="zh-CN"/>
        </w:rPr>
      </w:pPr>
    </w:p>
    <w:p>
      <w:pPr>
        <w:spacing w:line="600" w:lineRule="exact"/>
        <w:ind w:firstLine="640" w:firstLineChars="200"/>
        <w:outlineLvl w:val="1"/>
        <w:rPr>
          <w:rFonts w:hint="eastAsia" w:ascii="黑体" w:eastAsia="黑体"/>
          <w:sz w:val="32"/>
          <w:szCs w:val="32"/>
          <w:lang w:val="zh-CN" w:eastAsia="zh-CN"/>
        </w:rPr>
      </w:pPr>
      <w:r>
        <w:rPr>
          <w:rFonts w:hint="eastAsia" w:ascii="黑体" w:eastAsia="黑体"/>
          <w:sz w:val="32"/>
          <w:szCs w:val="32"/>
          <w:lang w:val="en-US" w:eastAsia="zh-CN"/>
        </w:rPr>
        <w:t>一、</w:t>
      </w:r>
      <w:r>
        <w:rPr>
          <w:rFonts w:hint="eastAsia" w:ascii="黑体" w:eastAsia="黑体"/>
          <w:sz w:val="32"/>
          <w:szCs w:val="32"/>
          <w:lang w:val="zh-CN" w:eastAsia="zh-CN"/>
        </w:rPr>
        <w:t>项目概况</w:t>
      </w:r>
    </w:p>
    <w:p>
      <w:pPr>
        <w:pStyle w:val="24"/>
        <w:spacing w:line="56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zh-CN" w:eastAsia="zh-CN"/>
        </w:rPr>
        <w:t>四川省剑阁县剑门中学校食堂工勤人员项目，财政预算总资金</w:t>
      </w:r>
      <w:r>
        <w:rPr>
          <w:rFonts w:hint="eastAsia" w:ascii="仿宋_GB2312" w:eastAsia="仿宋_GB2312"/>
          <w:color w:val="auto"/>
          <w:sz w:val="28"/>
          <w:szCs w:val="28"/>
          <w:lang w:val="en-US" w:eastAsia="zh-CN"/>
        </w:rPr>
        <w:t>3.00</w:t>
      </w:r>
      <w:r>
        <w:rPr>
          <w:rFonts w:hint="eastAsia" w:ascii="仿宋_GB2312" w:eastAsia="仿宋_GB2312"/>
          <w:color w:val="auto"/>
          <w:sz w:val="28"/>
          <w:szCs w:val="28"/>
          <w:lang w:val="zh-CN" w:eastAsia="zh-CN"/>
        </w:rPr>
        <w:t>万元，实施内容包括</w:t>
      </w:r>
      <w:r>
        <w:rPr>
          <w:rFonts w:hint="eastAsia" w:ascii="仿宋_GB2312" w:eastAsia="仿宋_GB2312"/>
          <w:color w:val="auto"/>
          <w:sz w:val="28"/>
          <w:szCs w:val="28"/>
          <w:lang w:val="en-US" w:eastAsia="zh-CN"/>
        </w:rPr>
        <w:t>食堂工人劳务费等。</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 xml:space="preserve"> (一）项目资金申报及批复情况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四川省剑阁县剑门中学校食堂工勤人员项目，财政预算资金</w:t>
      </w:r>
      <w:r>
        <w:rPr>
          <w:rFonts w:hint="eastAsia" w:ascii="仿宋_GB2312" w:eastAsia="仿宋_GB2312"/>
          <w:color w:val="auto"/>
          <w:sz w:val="28"/>
          <w:szCs w:val="28"/>
          <w:lang w:val="en-US" w:eastAsia="zh-CN"/>
        </w:rPr>
        <w:t>3.00</w:t>
      </w:r>
      <w:r>
        <w:rPr>
          <w:rFonts w:hint="eastAsia" w:ascii="仿宋_GB2312" w:eastAsia="仿宋_GB2312"/>
          <w:color w:val="auto"/>
          <w:sz w:val="28"/>
          <w:szCs w:val="28"/>
          <w:lang w:val="zh-CN" w:eastAsia="zh-CN"/>
        </w:rPr>
        <w:t>万元，经教育主管部门审批实施。经学校研究，该项目资金</w:t>
      </w:r>
      <w:r>
        <w:rPr>
          <w:rFonts w:hint="eastAsia" w:ascii="仿宋_GB2312" w:eastAsia="仿宋_GB2312"/>
          <w:color w:val="auto"/>
          <w:sz w:val="28"/>
          <w:szCs w:val="28"/>
          <w:lang w:val="en-US" w:eastAsia="zh-CN"/>
        </w:rPr>
        <w:t>主要</w:t>
      </w:r>
      <w:r>
        <w:rPr>
          <w:rFonts w:hint="eastAsia" w:ascii="仿宋_GB2312" w:eastAsia="仿宋_GB2312"/>
          <w:color w:val="auto"/>
          <w:sz w:val="28"/>
          <w:szCs w:val="28"/>
          <w:lang w:val="zh-CN" w:eastAsia="zh-CN"/>
        </w:rPr>
        <w:t>用于学校</w:t>
      </w:r>
      <w:r>
        <w:rPr>
          <w:rFonts w:hint="eastAsia" w:ascii="仿宋_GB2312" w:eastAsia="仿宋_GB2312"/>
          <w:color w:val="auto"/>
          <w:sz w:val="28"/>
          <w:szCs w:val="28"/>
          <w:lang w:val="en-US" w:eastAsia="zh-CN"/>
        </w:rPr>
        <w:t>食堂工人劳务费</w:t>
      </w:r>
      <w:r>
        <w:rPr>
          <w:rFonts w:hint="eastAsia" w:ascii="仿宋_GB2312" w:eastAsia="仿宋_GB2312"/>
          <w:color w:val="auto"/>
          <w:sz w:val="28"/>
          <w:szCs w:val="28"/>
          <w:lang w:val="zh-CN" w:eastAsia="zh-CN"/>
        </w:rPr>
        <w:t>，具有高度的可行性。</w:t>
      </w:r>
    </w:p>
    <w:p>
      <w:pPr>
        <w:spacing w:line="600" w:lineRule="exact"/>
        <w:ind w:firstLine="643" w:firstLineChars="200"/>
        <w:outlineLvl w:val="2"/>
        <w:rPr>
          <w:rFonts w:hint="eastAsia" w:ascii="仿宋" w:hAnsi="仿宋" w:eastAsia="仿宋"/>
          <w:b/>
          <w:sz w:val="32"/>
          <w:szCs w:val="32"/>
          <w:lang w:val="zh-CN" w:eastAsia="zh-CN"/>
        </w:rPr>
      </w:pPr>
      <w:r>
        <w:rPr>
          <w:rFonts w:hint="eastAsia" w:ascii="仿宋" w:hAnsi="仿宋" w:eastAsia="仿宋"/>
          <w:b/>
          <w:sz w:val="32"/>
          <w:szCs w:val="32"/>
          <w:lang w:eastAsia="zh-CN"/>
        </w:rPr>
        <w:t>（二）项目绩效目标</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lang w:val="zh-CN" w:eastAsia="zh-CN"/>
        </w:rPr>
        <w:t>经济性指标</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更好地为师生服务，</w:t>
      </w:r>
      <w:r>
        <w:rPr>
          <w:rFonts w:hint="eastAsia" w:ascii="仿宋_GB2312" w:eastAsia="仿宋_GB2312"/>
          <w:color w:val="auto"/>
          <w:sz w:val="28"/>
          <w:szCs w:val="28"/>
          <w:lang w:val="en-US" w:eastAsia="zh-CN"/>
        </w:rPr>
        <w:t>提高师生营养伙食标准，</w:t>
      </w:r>
      <w:r>
        <w:rPr>
          <w:rFonts w:hint="eastAsia" w:ascii="仿宋_GB2312" w:eastAsia="仿宋_GB2312"/>
          <w:color w:val="auto"/>
          <w:sz w:val="28"/>
          <w:szCs w:val="28"/>
          <w:lang w:val="zh-CN" w:eastAsia="zh-CN"/>
        </w:rPr>
        <w:t>推动了地方经济的发展。</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lang w:val="zh-CN" w:eastAsia="zh-CN"/>
        </w:rPr>
        <w:t>社会及效率指标</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师生生活得到极大改善，学生</w:t>
      </w:r>
      <w:r>
        <w:rPr>
          <w:rFonts w:hint="eastAsia" w:ascii="仿宋_GB2312" w:eastAsia="仿宋_GB2312"/>
          <w:color w:val="auto"/>
          <w:sz w:val="28"/>
          <w:szCs w:val="28"/>
          <w:lang w:val="en-US" w:eastAsia="zh-CN"/>
        </w:rPr>
        <w:t>营养</w:t>
      </w:r>
      <w:r>
        <w:rPr>
          <w:rFonts w:hint="eastAsia" w:ascii="仿宋_GB2312" w:eastAsia="仿宋_GB2312"/>
          <w:color w:val="auto"/>
          <w:sz w:val="28"/>
          <w:szCs w:val="28"/>
          <w:lang w:val="zh-CN" w:eastAsia="zh-CN"/>
        </w:rPr>
        <w:t>得到保障，丰富了学生生活，受到了</w:t>
      </w:r>
      <w:r>
        <w:rPr>
          <w:rFonts w:hint="eastAsia" w:ascii="仿宋_GB2312" w:eastAsia="仿宋_GB2312"/>
          <w:color w:val="auto"/>
          <w:sz w:val="28"/>
          <w:szCs w:val="28"/>
          <w:lang w:val="en-US" w:eastAsia="zh-CN"/>
        </w:rPr>
        <w:t>师生</w:t>
      </w:r>
      <w:r>
        <w:rPr>
          <w:rFonts w:hint="eastAsia" w:ascii="仿宋_GB2312" w:eastAsia="仿宋_GB2312"/>
          <w:color w:val="auto"/>
          <w:sz w:val="28"/>
          <w:szCs w:val="28"/>
          <w:lang w:val="zh-CN" w:eastAsia="zh-CN"/>
        </w:rPr>
        <w:t>及家长的一致好评。</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 xml:space="preserve"> (三）</w:t>
      </w:r>
      <w:r>
        <w:rPr>
          <w:rFonts w:hint="eastAsia" w:ascii="仿宋_GB2312" w:eastAsia="仿宋_GB2312"/>
          <w:color w:val="auto"/>
          <w:sz w:val="28"/>
          <w:szCs w:val="28"/>
          <w:lang w:val="zh-CN" w:eastAsia="zh-CN"/>
        </w:rPr>
        <w:tab/>
      </w:r>
      <w:r>
        <w:rPr>
          <w:rFonts w:hint="eastAsia" w:ascii="仿宋_GB2312" w:eastAsia="仿宋_GB2312"/>
          <w:color w:val="auto"/>
          <w:sz w:val="28"/>
          <w:szCs w:val="28"/>
          <w:lang w:val="zh-CN" w:eastAsia="zh-CN"/>
        </w:rPr>
        <w:t>项目资金申报相符性</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w:t>
      </w:r>
      <w:r>
        <w:rPr>
          <w:rFonts w:hint="eastAsia" w:ascii="仿宋_GB2312" w:eastAsia="仿宋_GB2312"/>
          <w:color w:val="auto"/>
          <w:sz w:val="28"/>
          <w:szCs w:val="28"/>
          <w:lang w:val="en-US" w:eastAsia="zh-CN"/>
        </w:rPr>
        <w:t>食堂工勤人员补助</w:t>
      </w:r>
      <w:r>
        <w:rPr>
          <w:rFonts w:hint="eastAsia" w:ascii="仿宋_GB2312" w:eastAsia="仿宋_GB2312"/>
          <w:color w:val="auto"/>
          <w:sz w:val="28"/>
          <w:szCs w:val="28"/>
          <w:lang w:val="zh-CN" w:eastAsia="zh-CN"/>
        </w:rPr>
        <w:t>项目申报内容与具体实施内容完全相符，项目申报前进行了可研调查，各项指标完全符合国家相应标准，项目可行性得到科学论证。</w:t>
      </w:r>
    </w:p>
    <w:p>
      <w:pPr>
        <w:spacing w:line="600" w:lineRule="exact"/>
        <w:ind w:firstLine="640"/>
        <w:outlineLvl w:val="1"/>
        <w:rPr>
          <w:rFonts w:hint="eastAsia" w:ascii="黑体" w:eastAsia="黑体"/>
          <w:sz w:val="32"/>
          <w:szCs w:val="32"/>
          <w:lang w:val="zh-CN" w:eastAsia="zh-CN"/>
        </w:rPr>
      </w:pPr>
      <w:r>
        <w:rPr>
          <w:rFonts w:hint="eastAsia" w:ascii="黑体" w:eastAsia="黑体"/>
          <w:sz w:val="32"/>
          <w:szCs w:val="32"/>
          <w:lang w:val="en-US" w:eastAsia="zh-CN"/>
        </w:rPr>
        <w:t>二、</w:t>
      </w:r>
      <w:r>
        <w:rPr>
          <w:rFonts w:hint="eastAsia" w:ascii="黑体" w:eastAsia="黑体"/>
          <w:sz w:val="32"/>
          <w:szCs w:val="32"/>
          <w:lang w:val="zh-CN" w:eastAsia="zh-CN"/>
        </w:rPr>
        <w:t>项目实施及管理情况</w:t>
      </w:r>
    </w:p>
    <w:p>
      <w:pPr>
        <w:spacing w:line="600" w:lineRule="exact"/>
        <w:ind w:firstLine="643" w:firstLineChars="200"/>
        <w:outlineLvl w:val="2"/>
        <w:rPr>
          <w:rFonts w:hint="eastAsia" w:ascii="仿宋" w:hAnsi="仿宋" w:eastAsia="仿宋"/>
          <w:b/>
          <w:sz w:val="32"/>
          <w:szCs w:val="32"/>
          <w:lang w:val="en-US" w:eastAsia="zh-CN"/>
        </w:rPr>
      </w:pPr>
      <w:r>
        <w:rPr>
          <w:rFonts w:hint="eastAsia" w:ascii="仿宋" w:hAnsi="仿宋" w:eastAsia="仿宋"/>
          <w:b/>
          <w:sz w:val="32"/>
          <w:szCs w:val="32"/>
          <w:lang w:val="zh-CN" w:eastAsia="zh-CN"/>
        </w:rPr>
        <w:t>（一）资金计划、到位及使用情况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1、资金计划及到位情况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四川省剑阁县剑门中学校食堂工勤人员项目资金来源于202</w:t>
      </w:r>
      <w:r>
        <w:rPr>
          <w:rFonts w:hint="eastAsia" w:ascii="仿宋_GB2312" w:eastAsia="仿宋_GB2312"/>
          <w:color w:val="auto"/>
          <w:sz w:val="28"/>
          <w:szCs w:val="28"/>
          <w:lang w:val="en-US" w:eastAsia="zh-CN"/>
        </w:rPr>
        <w:t>2</w:t>
      </w:r>
      <w:r>
        <w:rPr>
          <w:rFonts w:hint="eastAsia" w:ascii="仿宋_GB2312" w:eastAsia="仿宋_GB2312"/>
          <w:color w:val="auto"/>
          <w:sz w:val="28"/>
          <w:szCs w:val="28"/>
          <w:lang w:val="zh-CN" w:eastAsia="zh-CN"/>
        </w:rPr>
        <w:t>年</w:t>
      </w:r>
      <w:r>
        <w:rPr>
          <w:rFonts w:hint="eastAsia" w:ascii="仿宋_GB2312" w:eastAsia="仿宋_GB2312"/>
          <w:color w:val="auto"/>
          <w:sz w:val="28"/>
          <w:szCs w:val="28"/>
          <w:lang w:val="en-US" w:eastAsia="zh-CN"/>
        </w:rPr>
        <w:t>农村</w:t>
      </w:r>
      <w:r>
        <w:rPr>
          <w:rFonts w:hint="eastAsia" w:ascii="仿宋_GB2312" w:eastAsia="仿宋_GB2312"/>
          <w:color w:val="auto"/>
          <w:sz w:val="28"/>
          <w:szCs w:val="28"/>
          <w:lang w:val="zh-CN" w:eastAsia="zh-CN"/>
        </w:rPr>
        <w:t>义务教育</w:t>
      </w:r>
      <w:r>
        <w:rPr>
          <w:rFonts w:hint="eastAsia" w:ascii="仿宋_GB2312" w:eastAsia="仿宋_GB2312"/>
          <w:color w:val="auto"/>
          <w:sz w:val="28"/>
          <w:szCs w:val="28"/>
          <w:lang w:val="en-US" w:eastAsia="zh-CN"/>
        </w:rPr>
        <w:t>食堂工勤人员补助</w:t>
      </w:r>
      <w:r>
        <w:rPr>
          <w:rFonts w:hint="eastAsia" w:ascii="仿宋_GB2312" w:eastAsia="仿宋_GB2312"/>
          <w:color w:val="auto"/>
          <w:sz w:val="28"/>
          <w:szCs w:val="28"/>
          <w:lang w:val="zh-CN" w:eastAsia="zh-CN"/>
        </w:rPr>
        <w:t>资金</w:t>
      </w:r>
      <w:r>
        <w:rPr>
          <w:rFonts w:hint="eastAsia" w:ascii="仿宋_GB2312" w:eastAsia="仿宋_GB2312"/>
          <w:color w:val="auto"/>
          <w:sz w:val="28"/>
          <w:szCs w:val="28"/>
          <w:lang w:val="en-US" w:eastAsia="zh-CN"/>
        </w:rPr>
        <w:t>3.00</w:t>
      </w:r>
      <w:r>
        <w:rPr>
          <w:rFonts w:hint="eastAsia" w:ascii="仿宋_GB2312" w:eastAsia="仿宋_GB2312"/>
          <w:color w:val="auto"/>
          <w:sz w:val="28"/>
          <w:szCs w:val="28"/>
          <w:lang w:val="zh-CN" w:eastAsia="zh-CN"/>
        </w:rPr>
        <w:t>万元。专项经费到位及时，到位率100%。</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lang w:val="zh-CN" w:eastAsia="zh-CN"/>
        </w:rPr>
        <w:t>资金使用</w:t>
      </w:r>
    </w:p>
    <w:p>
      <w:pPr>
        <w:pStyle w:val="24"/>
        <w:spacing w:line="56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lang w:val="zh-CN" w:eastAsia="zh-CN"/>
        </w:rPr>
        <w:t>该项目资金</w:t>
      </w:r>
      <w:r>
        <w:rPr>
          <w:rFonts w:hint="eastAsia" w:ascii="仿宋_GB2312" w:eastAsia="仿宋_GB2312"/>
          <w:color w:val="auto"/>
          <w:sz w:val="28"/>
          <w:szCs w:val="28"/>
          <w:lang w:val="en-US" w:eastAsia="zh-CN"/>
        </w:rPr>
        <w:t>主要</w:t>
      </w:r>
      <w:r>
        <w:rPr>
          <w:rFonts w:hint="eastAsia" w:ascii="仿宋_GB2312" w:eastAsia="仿宋_GB2312"/>
          <w:color w:val="auto"/>
          <w:sz w:val="28"/>
          <w:szCs w:val="28"/>
          <w:lang w:val="zh-CN" w:eastAsia="zh-CN"/>
        </w:rPr>
        <w:t>用于学校</w:t>
      </w:r>
      <w:r>
        <w:rPr>
          <w:rFonts w:hint="eastAsia" w:ascii="仿宋_GB2312" w:eastAsia="仿宋_GB2312"/>
          <w:color w:val="auto"/>
          <w:sz w:val="28"/>
          <w:szCs w:val="28"/>
          <w:lang w:val="en-US" w:eastAsia="zh-CN"/>
        </w:rPr>
        <w:t>食堂工人劳务费，及时支付，支付率100%。</w:t>
      </w:r>
    </w:p>
    <w:p>
      <w:pPr>
        <w:spacing w:line="600" w:lineRule="exact"/>
        <w:ind w:firstLine="643"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（二）项目财务管理情况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四川省剑阁县剑门中学校食堂工勤人员项目</w:t>
      </w:r>
      <w:r>
        <w:rPr>
          <w:rFonts w:hint="eastAsia" w:ascii="仿宋_GB2312" w:eastAsia="仿宋_GB2312"/>
          <w:color w:val="auto"/>
          <w:sz w:val="28"/>
          <w:szCs w:val="28"/>
          <w:lang w:val="en-US" w:eastAsia="zh-CN"/>
        </w:rPr>
        <w:t>专项</w:t>
      </w:r>
      <w:r>
        <w:rPr>
          <w:rFonts w:hint="eastAsia" w:ascii="仿宋_GB2312" w:eastAsia="仿宋_GB2312"/>
          <w:color w:val="auto"/>
          <w:sz w:val="28"/>
          <w:szCs w:val="28"/>
          <w:lang w:val="zh-CN" w:eastAsia="zh-CN"/>
        </w:rPr>
        <w:t>资金支出依法合规，无虚列支出情况，无截留挤占挪用情况，无超标开支情况，无超预算情况。现已支付资金</w:t>
      </w:r>
      <w:r>
        <w:rPr>
          <w:rFonts w:hint="eastAsia" w:ascii="仿宋_GB2312" w:eastAsia="仿宋_GB2312"/>
          <w:color w:val="auto"/>
          <w:sz w:val="28"/>
          <w:szCs w:val="28"/>
          <w:lang w:val="en-US" w:eastAsia="zh-CN"/>
        </w:rPr>
        <w:t>3.00</w:t>
      </w:r>
      <w:r>
        <w:rPr>
          <w:rFonts w:hint="eastAsia" w:ascii="仿宋_GB2312" w:eastAsia="仿宋_GB2312"/>
          <w:color w:val="auto"/>
          <w:sz w:val="28"/>
          <w:szCs w:val="28"/>
          <w:lang w:val="zh-CN" w:eastAsia="zh-CN"/>
        </w:rPr>
        <w:t>万元，资金已全部支付到位。</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四川省剑阁县剑门中学校食堂工勤人员项目内部控制</w:t>
      </w:r>
      <w:r>
        <w:rPr>
          <w:rFonts w:hint="eastAsia" w:ascii="仿宋_GB2312" w:eastAsia="仿宋_GB2312"/>
          <w:color w:val="auto"/>
          <w:sz w:val="28"/>
          <w:szCs w:val="28"/>
          <w:lang w:val="zh-CN" w:eastAsia="zh-CN"/>
        </w:rPr>
        <w:fldChar w:fldCharType="begin"/>
      </w:r>
      <w:r>
        <w:rPr>
          <w:rFonts w:hint="eastAsia" w:ascii="仿宋_GB2312" w:eastAsia="仿宋_GB2312"/>
          <w:color w:val="auto"/>
          <w:sz w:val="28"/>
          <w:szCs w:val="28"/>
          <w:lang w:val="zh-CN" w:eastAsia="zh-CN"/>
        </w:rPr>
        <w:instrText xml:space="preserve"> HYPERLINK "http://www.haoword.com/qiyewenhua/guizhangzhidu/" \t "_blank" </w:instrText>
      </w:r>
      <w:r>
        <w:rPr>
          <w:rFonts w:hint="eastAsia" w:ascii="仿宋_GB2312" w:eastAsia="仿宋_GB2312"/>
          <w:color w:val="auto"/>
          <w:sz w:val="28"/>
          <w:szCs w:val="28"/>
          <w:lang w:val="zh-CN" w:eastAsia="zh-CN"/>
        </w:rPr>
        <w:fldChar w:fldCharType="separate"/>
      </w:r>
      <w:r>
        <w:rPr>
          <w:rFonts w:hint="eastAsia" w:ascii="仿宋_GB2312" w:eastAsia="仿宋_GB2312"/>
          <w:color w:val="auto"/>
          <w:sz w:val="28"/>
          <w:szCs w:val="28"/>
          <w:lang w:val="zh-CN" w:eastAsia="zh-CN"/>
        </w:rPr>
        <w:t>制度</w:t>
      </w:r>
      <w:r>
        <w:rPr>
          <w:rFonts w:hint="eastAsia" w:ascii="仿宋_GB2312" w:eastAsia="仿宋_GB2312"/>
          <w:color w:val="auto"/>
          <w:sz w:val="28"/>
          <w:szCs w:val="28"/>
          <w:lang w:val="zh-CN" w:eastAsia="zh-CN"/>
        </w:rPr>
        <w:fldChar w:fldCharType="end"/>
      </w:r>
      <w:r>
        <w:rPr>
          <w:rFonts w:hint="eastAsia" w:ascii="仿宋_GB2312" w:eastAsia="仿宋_GB2312"/>
          <w:color w:val="auto"/>
          <w:sz w:val="28"/>
          <w:szCs w:val="28"/>
          <w:lang w:val="zh-CN" w:eastAsia="zh-CN"/>
        </w:rPr>
        <w:t>基本健全，管理规范。学校会计报表、会计账簿等会计资料真实地反映了专项资金管理，费用支出情况。在财务管理方面，四川省剑阁县剑门中学校严格执行的财务审批制度，为提高工作质量和效率，规范管理，强化责任，我单位通过制</w:t>
      </w:r>
      <w:r>
        <w:rPr>
          <w:rFonts w:hint="eastAsia" w:ascii="仿宋_GB2312" w:eastAsia="仿宋_GB2312"/>
          <w:color w:val="auto"/>
          <w:sz w:val="28"/>
          <w:szCs w:val="28"/>
          <w:lang w:val="en-US" w:eastAsia="zh-CN"/>
        </w:rPr>
        <w:t>定</w:t>
      </w:r>
      <w:r>
        <w:rPr>
          <w:rFonts w:hint="eastAsia" w:ascii="仿宋_GB2312" w:eastAsia="仿宋_GB2312"/>
          <w:color w:val="auto"/>
          <w:sz w:val="28"/>
          <w:szCs w:val="28"/>
          <w:lang w:val="zh-CN" w:eastAsia="zh-CN"/>
        </w:rPr>
        <w:t>和落实《财务管理制度》《财务工作人员考评细则》等内部管理制度，规范了内部管理，推进了智能型学校建设，确保了工程项目实施顺利进行。</w:t>
      </w:r>
    </w:p>
    <w:p>
      <w:pPr>
        <w:spacing w:line="600" w:lineRule="exact"/>
        <w:ind w:firstLine="643"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（三）项目组织实施情况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项目资金到位后，严格执行国家相关工程项目实施流程。严格按照县主管部门要求实施，严格执行公示制度。严格把握质量第一的要求，严格执行签字手续。</w:t>
      </w:r>
    </w:p>
    <w:p>
      <w:pPr>
        <w:spacing w:line="600" w:lineRule="exact"/>
        <w:ind w:firstLine="640"/>
        <w:outlineLvl w:val="1"/>
        <w:rPr>
          <w:rFonts w:hint="eastAsia" w:ascii="黑体" w:eastAsia="黑体"/>
          <w:sz w:val="32"/>
          <w:szCs w:val="32"/>
          <w:lang w:val="en-US" w:eastAsia="zh-CN"/>
        </w:rPr>
      </w:pPr>
      <w:r>
        <w:rPr>
          <w:rFonts w:hint="eastAsia" w:ascii="黑体" w:eastAsia="黑体"/>
          <w:sz w:val="32"/>
          <w:szCs w:val="32"/>
          <w:lang w:val="en-US" w:eastAsia="zh-CN"/>
        </w:rPr>
        <w:t>三、项目绩效情况</w:t>
      </w:r>
      <w:r>
        <w:rPr>
          <w:rFonts w:hint="eastAsia" w:ascii="黑体" w:eastAsia="黑体"/>
          <w:sz w:val="32"/>
          <w:szCs w:val="32"/>
          <w:lang w:val="en-US" w:eastAsia="zh-CN"/>
        </w:rPr>
        <w:tab/>
      </w:r>
    </w:p>
    <w:p>
      <w:pPr>
        <w:spacing w:line="600" w:lineRule="exact"/>
        <w:ind w:firstLine="643"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（一）项目完成情况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四川省剑阁县剑门中学校食堂工勤人员项目计划投资</w:t>
      </w:r>
      <w:r>
        <w:rPr>
          <w:rFonts w:hint="eastAsia" w:ascii="仿宋_GB2312" w:eastAsia="仿宋_GB2312"/>
          <w:color w:val="auto"/>
          <w:sz w:val="28"/>
          <w:szCs w:val="28"/>
          <w:lang w:val="en-US" w:eastAsia="zh-CN"/>
        </w:rPr>
        <w:t>3.00</w:t>
      </w:r>
      <w:r>
        <w:rPr>
          <w:rFonts w:hint="eastAsia" w:ascii="仿宋_GB2312" w:eastAsia="仿宋_GB2312"/>
          <w:color w:val="auto"/>
          <w:sz w:val="28"/>
          <w:szCs w:val="28"/>
          <w:lang w:val="zh-CN" w:eastAsia="zh-CN"/>
        </w:rPr>
        <w:t>万元，主要用于学校</w:t>
      </w:r>
      <w:r>
        <w:rPr>
          <w:rFonts w:hint="eastAsia" w:ascii="仿宋_GB2312" w:eastAsia="仿宋_GB2312"/>
          <w:color w:val="auto"/>
          <w:sz w:val="28"/>
          <w:szCs w:val="28"/>
          <w:lang w:val="en-US" w:eastAsia="zh-CN"/>
        </w:rPr>
        <w:t>食堂工人劳务费</w:t>
      </w:r>
      <w:r>
        <w:rPr>
          <w:rFonts w:hint="eastAsia" w:ascii="仿宋_GB2312" w:eastAsia="仿宋_GB2312"/>
          <w:color w:val="auto"/>
          <w:sz w:val="28"/>
          <w:szCs w:val="28"/>
          <w:lang w:val="zh-CN" w:eastAsia="zh-CN"/>
        </w:rPr>
        <w:t>。</w:t>
      </w:r>
      <w:r>
        <w:rPr>
          <w:rFonts w:hint="eastAsia" w:ascii="仿宋_GB2312" w:eastAsia="仿宋_GB2312"/>
          <w:color w:val="auto"/>
          <w:sz w:val="28"/>
          <w:szCs w:val="28"/>
          <w:lang w:val="en-US" w:eastAsia="zh-CN"/>
        </w:rPr>
        <w:t>此项目</w:t>
      </w:r>
      <w:r>
        <w:rPr>
          <w:rFonts w:hint="eastAsia" w:ascii="仿宋_GB2312" w:eastAsia="仿宋_GB2312"/>
          <w:color w:val="auto"/>
          <w:sz w:val="28"/>
          <w:szCs w:val="28"/>
          <w:lang w:val="zh-CN" w:eastAsia="zh-CN"/>
        </w:rPr>
        <w:t>严格执行质量标准，成本标准，无超标超概现象。</w:t>
      </w:r>
    </w:p>
    <w:p>
      <w:pPr>
        <w:spacing w:line="600" w:lineRule="exact"/>
        <w:ind w:firstLine="643"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（二）项目效益情况</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四川省剑阁县剑门中学校食堂工勤人员项目的实施，改进了</w:t>
      </w:r>
      <w:r>
        <w:rPr>
          <w:rFonts w:hint="eastAsia" w:ascii="仿宋_GB2312" w:eastAsia="仿宋_GB2312"/>
          <w:color w:val="auto"/>
          <w:sz w:val="28"/>
          <w:szCs w:val="28"/>
          <w:lang w:val="en-US" w:eastAsia="zh-CN"/>
        </w:rPr>
        <w:t>学校师生</w:t>
      </w:r>
      <w:r>
        <w:rPr>
          <w:rFonts w:hint="eastAsia" w:ascii="仿宋_GB2312" w:eastAsia="仿宋_GB2312"/>
          <w:color w:val="auto"/>
          <w:sz w:val="28"/>
          <w:szCs w:val="28"/>
          <w:lang w:val="zh-CN" w:eastAsia="zh-CN"/>
        </w:rPr>
        <w:t>生活</w:t>
      </w:r>
      <w:r>
        <w:rPr>
          <w:rFonts w:hint="eastAsia" w:ascii="仿宋_GB2312" w:eastAsia="仿宋_GB2312"/>
          <w:color w:val="auto"/>
          <w:sz w:val="28"/>
          <w:szCs w:val="28"/>
          <w:lang w:val="en-US" w:eastAsia="zh-CN"/>
        </w:rPr>
        <w:t>条件</w:t>
      </w:r>
      <w:r>
        <w:rPr>
          <w:rFonts w:hint="eastAsia" w:ascii="仿宋_GB2312" w:eastAsia="仿宋_GB2312"/>
          <w:color w:val="auto"/>
          <w:sz w:val="28"/>
          <w:szCs w:val="28"/>
          <w:lang w:val="zh-CN" w:eastAsia="zh-CN"/>
        </w:rPr>
        <w:t>，提高师生营养伙食标准，减轻了家长的经济负担。对我校及当地经济的发展，都起着推动作用。学生营养得到保障，丰富了学生生活，受到了师生及家长的一致好评。</w:t>
      </w:r>
    </w:p>
    <w:p>
      <w:pPr>
        <w:spacing w:line="600" w:lineRule="exact"/>
        <w:ind w:firstLine="640"/>
        <w:outlineLvl w:val="1"/>
        <w:rPr>
          <w:rFonts w:hint="eastAsia" w:ascii="黑体" w:eastAsia="黑体"/>
          <w:sz w:val="32"/>
          <w:szCs w:val="32"/>
          <w:lang w:val="en-US" w:eastAsia="zh-CN"/>
        </w:rPr>
      </w:pPr>
      <w:r>
        <w:rPr>
          <w:rFonts w:hint="eastAsia" w:ascii="黑体" w:eastAsia="黑体"/>
          <w:sz w:val="32"/>
          <w:szCs w:val="32"/>
          <w:lang w:val="en-US" w:eastAsia="zh-CN"/>
        </w:rPr>
        <w:t>四、问题及建议</w:t>
      </w:r>
    </w:p>
    <w:p>
      <w:pPr>
        <w:spacing w:line="600" w:lineRule="exact"/>
        <w:ind w:firstLine="643"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（一）存在的问题</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无</w:t>
      </w:r>
    </w:p>
    <w:p>
      <w:pPr>
        <w:spacing w:line="600" w:lineRule="exact"/>
        <w:ind w:firstLine="643" w:firstLineChars="200"/>
        <w:outlineLvl w:val="2"/>
        <w:rPr>
          <w:rFonts w:hint="eastAsia" w:ascii="仿宋" w:hAnsi="仿宋" w:eastAsia="仿宋"/>
          <w:b/>
          <w:sz w:val="32"/>
          <w:szCs w:val="32"/>
          <w:lang w:eastAsia="zh-CN"/>
        </w:rPr>
      </w:pPr>
      <w:r>
        <w:rPr>
          <w:rFonts w:hint="eastAsia" w:ascii="仿宋" w:hAnsi="仿宋" w:eastAsia="仿宋"/>
          <w:b/>
          <w:sz w:val="32"/>
          <w:szCs w:val="32"/>
          <w:lang w:eastAsia="zh-CN"/>
        </w:rPr>
        <w:t>（二）相关建议</w:t>
      </w:r>
    </w:p>
    <w:p>
      <w:pPr>
        <w:pStyle w:val="24"/>
        <w:spacing w:line="560" w:lineRule="exact"/>
        <w:ind w:firstLine="560" w:firstLineChars="200"/>
        <w:rPr>
          <w:rFonts w:hint="eastAsia" w:ascii="仿宋_GB2312" w:eastAsia="仿宋_GB2312"/>
          <w:color w:val="auto"/>
          <w:sz w:val="28"/>
          <w:szCs w:val="28"/>
          <w:lang w:val="zh-CN" w:eastAsia="zh-CN"/>
        </w:rPr>
      </w:pPr>
      <w:r>
        <w:rPr>
          <w:rFonts w:hint="eastAsia" w:ascii="仿宋_GB2312" w:eastAsia="仿宋_GB2312"/>
          <w:color w:val="auto"/>
          <w:sz w:val="28"/>
          <w:szCs w:val="28"/>
          <w:lang w:val="zh-CN" w:eastAsia="zh-CN"/>
        </w:rPr>
        <w:t>无</w:t>
      </w: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p>
      <w:pPr>
        <w:pStyle w:val="2"/>
        <w:ind w:left="0" w:leftChars="0" w:firstLine="0" w:firstLineChars="0"/>
        <w:rPr>
          <w:rFonts w:hint="eastAsia"/>
          <w:lang w:val="zh-CN" w:eastAsia="zh-CN"/>
        </w:rPr>
      </w:pPr>
    </w:p>
    <w:p>
      <w:pPr>
        <w:rPr>
          <w:rFonts w:hint="eastAsia"/>
          <w:lang w:val="zh-CN" w:eastAsia="zh-CN"/>
        </w:rPr>
      </w:pPr>
    </w:p>
    <w:p>
      <w:pPr>
        <w:pStyle w:val="2"/>
        <w:rPr>
          <w:rFonts w:hint="eastAsia"/>
          <w:lang w:val="zh-CN" w:eastAsia="zh-CN"/>
        </w:rPr>
      </w:pPr>
    </w:p>
    <w:p>
      <w:pPr>
        <w:rPr>
          <w:rFonts w:hint="eastAsia"/>
          <w:lang w:val="zh-CN" w:eastAsia="zh-CN"/>
        </w:rPr>
      </w:pPr>
    </w:p>
    <w:tbl>
      <w:tblPr>
        <w:tblStyle w:val="14"/>
        <w:tblpPr w:leftFromText="180" w:rightFromText="180" w:vertAnchor="text" w:horzAnchor="page" w:tblpX="1147" w:tblpY="884"/>
        <w:tblOverlap w:val="never"/>
        <w:tblW w:w="0" w:type="auto"/>
        <w:tblInd w:w="0" w:type="dxa"/>
        <w:tblLayout w:type="fixed"/>
        <w:tblCellMar>
          <w:top w:w="0" w:type="dxa"/>
          <w:left w:w="0" w:type="dxa"/>
          <w:bottom w:w="0" w:type="dxa"/>
          <w:right w:w="0" w:type="dxa"/>
        </w:tblCellMar>
      </w:tblPr>
      <w:tblGrid>
        <w:gridCol w:w="675"/>
        <w:gridCol w:w="645"/>
        <w:gridCol w:w="15"/>
        <w:gridCol w:w="810"/>
        <w:gridCol w:w="1980"/>
        <w:gridCol w:w="285"/>
        <w:gridCol w:w="840"/>
        <w:gridCol w:w="1185"/>
        <w:gridCol w:w="900"/>
        <w:gridCol w:w="540"/>
        <w:gridCol w:w="1080"/>
        <w:gridCol w:w="1080"/>
      </w:tblGrid>
      <w:tr>
        <w:tblPrEx>
          <w:tblCellMar>
            <w:top w:w="0" w:type="dxa"/>
            <w:left w:w="0" w:type="dxa"/>
            <w:bottom w:w="0" w:type="dxa"/>
            <w:right w:w="0" w:type="dxa"/>
          </w:tblCellMar>
        </w:tblPrEx>
        <w:trPr>
          <w:trHeight w:val="270" w:hRule="atLeast"/>
        </w:trPr>
        <w:tc>
          <w:tcPr>
            <w:tcW w:w="10035" w:type="dxa"/>
            <w:gridSpan w:val="12"/>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年度 ）</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营养改善计划补助食堂人员经费</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项目负责人及电话</w:t>
            </w:r>
          </w:p>
        </w:tc>
        <w:tc>
          <w:tcPr>
            <w:tcW w:w="27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张宗焱</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剑阁县教育局</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四川省剑阁县剑门中学校</w:t>
            </w:r>
          </w:p>
        </w:tc>
      </w:tr>
      <w:tr>
        <w:tblPrEx>
          <w:tblCellMar>
            <w:top w:w="0" w:type="dxa"/>
            <w:left w:w="0" w:type="dxa"/>
            <w:bottom w:w="0" w:type="dxa"/>
            <w:right w:w="0" w:type="dxa"/>
          </w:tblCellMar>
        </w:tblPrEx>
        <w:trPr>
          <w:trHeight w:val="42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资金情况</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3.00</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3.00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其中：中央、省、市财政资金</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县级财政资金</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3.00</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3.00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CellMar>
            <w:top w:w="0" w:type="dxa"/>
            <w:left w:w="0" w:type="dxa"/>
            <w:bottom w:w="0" w:type="dxa"/>
            <w:right w:w="0"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1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5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47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年度总体目标完成情况综述</w:t>
            </w: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5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7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w:t>
            </w:r>
          </w:p>
        </w:tc>
        <w:tc>
          <w:tcPr>
            <w:tcW w:w="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216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未完成原因及拟采取的改进措施</w:t>
            </w: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26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实际值</w:t>
            </w:r>
          </w:p>
        </w:tc>
        <w:tc>
          <w:tcPr>
            <w:tcW w:w="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产出指标（50分）</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补助食堂工勤人员数</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w:t>
            </w:r>
            <w:r>
              <w:rPr>
                <w:rFonts w:hint="eastAsia" w:ascii="宋体" w:hAnsi="宋体" w:eastAsia="宋体" w:cs="宋体"/>
                <w:i w:val="0"/>
                <w:color w:val="000000"/>
                <w:kern w:val="0"/>
                <w:sz w:val="16"/>
                <w:szCs w:val="16"/>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w:t>
            </w:r>
            <w:r>
              <w:rPr>
                <w:rFonts w:hint="eastAsia" w:ascii="宋体" w:hAnsi="宋体" w:eastAsia="宋体" w:cs="宋体"/>
                <w:i w:val="0"/>
                <w:color w:val="000000"/>
                <w:kern w:val="0"/>
                <w:sz w:val="16"/>
                <w:szCs w:val="16"/>
                <w:u w:val="none"/>
                <w:lang w:val="en-US" w:eastAsia="zh-CN" w:bidi="ar"/>
              </w:rPr>
              <w:t>人</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营养餐供餐合格率</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完成时间</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.12.31</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w:t>
            </w:r>
            <w:r>
              <w:rPr>
                <w:rFonts w:hint="eastAsia" w:ascii="宋体" w:hAnsi="宋体" w:cs="宋体"/>
                <w:i w:val="0"/>
                <w:color w:val="000000"/>
                <w:kern w:val="0"/>
                <w:sz w:val="16"/>
                <w:szCs w:val="16"/>
                <w:u w:val="none"/>
                <w:lang w:val="en-US" w:eastAsia="zh-CN" w:bidi="ar"/>
              </w:rPr>
              <w:t>2</w:t>
            </w:r>
            <w:r>
              <w:rPr>
                <w:rFonts w:hint="eastAsia" w:ascii="宋体" w:hAnsi="宋体" w:eastAsia="宋体" w:cs="宋体"/>
                <w:i w:val="0"/>
                <w:color w:val="000000"/>
                <w:kern w:val="0"/>
                <w:sz w:val="16"/>
                <w:szCs w:val="16"/>
                <w:u w:val="none"/>
                <w:lang w:val="en-US" w:eastAsia="zh-CN" w:bidi="ar"/>
              </w:rPr>
              <w:t>.12.31</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食堂工勤人员经费</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3..00</w:t>
            </w:r>
            <w:r>
              <w:rPr>
                <w:rFonts w:hint="eastAsia" w:ascii="宋体" w:hAnsi="宋体" w:eastAsia="宋体" w:cs="宋体"/>
                <w:i w:val="0"/>
                <w:color w:val="000000"/>
                <w:kern w:val="0"/>
                <w:sz w:val="16"/>
                <w:szCs w:val="16"/>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3.00</w:t>
            </w:r>
            <w:r>
              <w:rPr>
                <w:rFonts w:hint="eastAsia" w:ascii="宋体" w:hAnsi="宋体" w:eastAsia="宋体" w:cs="宋体"/>
                <w:i w:val="0"/>
                <w:color w:val="000000"/>
                <w:kern w:val="0"/>
                <w:sz w:val="16"/>
                <w:szCs w:val="16"/>
                <w:u w:val="none"/>
                <w:lang w:val="en-US" w:eastAsia="zh-CN" w:bidi="ar"/>
              </w:rPr>
              <w:t>万元</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效绩指标（30分）</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提升农村义务教育学生身体素质</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逐步改善</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w:t>
            </w:r>
            <w:r>
              <w:rPr>
                <w:rFonts w:hint="eastAsia" w:ascii="宋体" w:hAnsi="宋体" w:cs="宋体"/>
                <w:i w:val="0"/>
                <w:color w:val="000000"/>
                <w:kern w:val="0"/>
                <w:sz w:val="16"/>
                <w:szCs w:val="16"/>
                <w:u w:val="none"/>
                <w:lang w:val="en-US" w:eastAsia="zh-CN" w:bidi="ar"/>
              </w:rPr>
              <w:t>显</w:t>
            </w:r>
            <w:r>
              <w:rPr>
                <w:rFonts w:hint="eastAsia" w:ascii="宋体" w:hAnsi="宋体" w:eastAsia="宋体" w:cs="宋体"/>
                <w:i w:val="0"/>
                <w:color w:val="000000"/>
                <w:kern w:val="0"/>
                <w:sz w:val="16"/>
                <w:szCs w:val="16"/>
                <w:u w:val="none"/>
                <w:lang w:val="en-US" w:eastAsia="zh-CN" w:bidi="ar"/>
              </w:rPr>
              <w:t>提高</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6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2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39"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师生满意度</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739"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(20分)</w:t>
            </w:r>
          </w:p>
        </w:tc>
        <w:tc>
          <w:tcPr>
            <w:tcW w:w="8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2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家长满意度</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441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0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sz w:val="36"/>
          <w:szCs w:val="36"/>
          <w:lang w:val="en-US"/>
        </w:rPr>
      </w:pPr>
      <w:r>
        <w:rPr>
          <w:rFonts w:hint="eastAsia" w:ascii="仿宋" w:hAnsi="仿宋" w:eastAsia="仿宋" w:cs="仿宋"/>
          <w:b/>
          <w:bCs/>
          <w:sz w:val="32"/>
          <w:szCs w:val="32"/>
          <w:lang w:val="en-US" w:eastAsia="zh-CN"/>
        </w:rPr>
        <w:t>2022年剑门中学校食堂工勤人员经费项目绩效自评表</w:t>
      </w:r>
    </w:p>
    <w:p>
      <w:pPr>
        <w:pStyle w:val="44"/>
        <w:spacing w:before="0" w:after="0" w:line="400" w:lineRule="exact"/>
        <w:jc w:val="center"/>
        <w:rPr>
          <w:rFonts w:hint="eastAsia" w:ascii="黑体" w:hAnsi="黑体" w:eastAsia="黑体" w:cs="宋体"/>
          <w:color w:val="000000"/>
          <w:sz w:val="36"/>
          <w:szCs w:val="36"/>
          <w:lang w:val="en-US" w:eastAsia="zh-CN"/>
        </w:rPr>
      </w:pPr>
    </w:p>
    <w:p>
      <w:pPr>
        <w:pStyle w:val="44"/>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宋体"/>
          <w:color w:val="000000"/>
          <w:sz w:val="36"/>
          <w:szCs w:val="36"/>
          <w:lang w:val="en-US" w:eastAsia="zh-CN"/>
        </w:rPr>
      </w:pPr>
    </w:p>
    <w:p>
      <w:pPr>
        <w:pStyle w:val="44"/>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宋体"/>
          <w:color w:val="000000"/>
          <w:sz w:val="36"/>
          <w:szCs w:val="36"/>
          <w:lang w:val="en-US" w:eastAsia="zh-CN"/>
        </w:rPr>
      </w:pPr>
      <w:r>
        <w:rPr>
          <w:rFonts w:hint="eastAsia" w:ascii="黑体" w:hAnsi="黑体" w:eastAsia="黑体" w:cs="宋体"/>
          <w:color w:val="000000"/>
          <w:sz w:val="36"/>
          <w:szCs w:val="36"/>
          <w:lang w:val="en-US" w:eastAsia="zh-CN"/>
        </w:rPr>
        <w:t>四川省剑阁县剑门中学校</w:t>
      </w:r>
    </w:p>
    <w:p>
      <w:pPr>
        <w:pStyle w:val="44"/>
        <w:keepNext w:val="0"/>
        <w:keepLines w:val="0"/>
        <w:pageBreakBefore w:val="0"/>
        <w:widowControl/>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宋体"/>
          <w:color w:val="000000"/>
          <w:sz w:val="36"/>
          <w:szCs w:val="36"/>
          <w:lang w:val="en-US" w:eastAsia="zh-CN"/>
        </w:rPr>
      </w:pPr>
      <w:r>
        <w:rPr>
          <w:rFonts w:hint="eastAsia" w:ascii="黑体" w:hAnsi="黑体" w:eastAsia="黑体" w:cs="宋体"/>
          <w:color w:val="000000"/>
          <w:sz w:val="36"/>
          <w:szCs w:val="36"/>
          <w:lang w:val="en-US" w:eastAsia="zh-CN"/>
        </w:rPr>
        <w:t>校园安全保障经费项目支出绩效自评报告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1"/>
        <w:rPr>
          <w:rFonts w:hint="eastAsia" w:asci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1"/>
        <w:rPr>
          <w:rFonts w:hint="eastAsia" w:ascii="黑体" w:eastAsia="黑体"/>
          <w:sz w:val="32"/>
          <w:szCs w:val="32"/>
          <w:lang w:val="en-US" w:eastAsia="zh-CN"/>
        </w:rPr>
      </w:pPr>
      <w:r>
        <w:rPr>
          <w:rFonts w:hint="eastAsia" w:ascii="黑体" w:eastAsia="黑体"/>
          <w:sz w:val="32"/>
          <w:szCs w:val="32"/>
          <w:lang w:val="en-US" w:eastAsia="zh-CN"/>
        </w:rPr>
        <w:t>一、项目概况</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四川省剑阁县剑门中学校校园安保经费项目，财政预算总资金2.7万元。实施内容包括人员工资、服装装备、三险一金、管理费等。加强校园安保力量，确保安保人员固定，队伍稳定，强化校园及周边治安管控，预防高危人员对师生实施人身侵害。确保师生的生命财产安全，校园秩序持续稳定。</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(一）项目资金申报及批复情况</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Calibri" w:eastAsia="仿宋_GB2312" w:cs="仿宋"/>
          <w:color w:val="auto"/>
          <w:sz w:val="28"/>
          <w:szCs w:val="28"/>
          <w:lang w:val="en-US" w:eastAsia="zh-CN" w:bidi="ar-SA"/>
        </w:rPr>
        <w:t>四川省剑阁县剑门中学校校园安保经费项目按剑财教（2022）185号文件，财政下达预算资金2.7万元。</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(二）项目绩效目标</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1、项目效益性分析</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（1）经济和社会的影响</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该项目实施加强了我校校园安保工作，确保了校园秩序持续稳定，师生安全感明显增强。</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（2）项目目标完成度</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该项目预期已经完成，2022年度我校未发生暴力恐怖事件，未发生危害师生生命财产安全的校园恶性事件。</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2、项目效率性分析</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（1）项目实施进度</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该项目是按照工作需求逐步进行，到2022年底已完成全部工作目标。</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（2）项目完成质量</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人员进出校门登记100%，人员车辆进出校门查验100%，校园巡查100%.</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 xml:space="preserve"> (三）项目资金申报相符性</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Calibri" w:eastAsia="仿宋_GB2312" w:cs="仿宋"/>
          <w:color w:val="auto"/>
          <w:sz w:val="28"/>
          <w:szCs w:val="28"/>
          <w:lang w:val="en-US" w:eastAsia="zh-CN" w:bidi="ar-SA"/>
        </w:rPr>
      </w:pPr>
      <w:r>
        <w:rPr>
          <w:rFonts w:hint="eastAsia" w:ascii="仿宋_GB2312" w:hAnsi="Calibri" w:eastAsia="仿宋_GB2312" w:cs="仿宋"/>
          <w:color w:val="auto"/>
          <w:sz w:val="28"/>
          <w:szCs w:val="28"/>
          <w:lang w:val="en-US" w:eastAsia="zh-CN" w:bidi="ar-SA"/>
        </w:rPr>
        <w:t>四川省剑阁县剑门中学校校园安全保障经费项目申报工作内容与具体实施内容完全相符，项目申报前进行了可研调查，各项指标完全符合国家相应标准，项目可行性得到科学论证。</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1"/>
        <w:rPr>
          <w:rFonts w:hint="eastAsia" w:ascii="黑体" w:eastAsia="黑体"/>
          <w:sz w:val="32"/>
          <w:szCs w:val="32"/>
          <w:lang w:val="en-US" w:eastAsia="zh-CN"/>
        </w:rPr>
      </w:pPr>
      <w:r>
        <w:rPr>
          <w:rFonts w:hint="eastAsia" w:ascii="黑体" w:eastAsia="黑体"/>
          <w:sz w:val="32"/>
          <w:szCs w:val="32"/>
          <w:lang w:val="en-US" w:eastAsia="zh-CN"/>
        </w:rPr>
        <w:t>二、项目实施及管理情况</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2"/>
        <w:rPr>
          <w:rFonts w:hint="eastAsia" w:ascii="仿宋" w:hAnsi="仿宋" w:eastAsia="仿宋"/>
          <w:b/>
          <w:sz w:val="32"/>
          <w:szCs w:val="32"/>
          <w:lang w:val="en-US" w:eastAsia="zh-CN"/>
        </w:rPr>
      </w:pPr>
      <w:r>
        <w:rPr>
          <w:rFonts w:hint="eastAsia" w:ascii="仿宋" w:hAnsi="仿宋" w:eastAsia="仿宋"/>
          <w:b/>
          <w:sz w:val="32"/>
          <w:szCs w:val="32"/>
          <w:lang w:val="en-US" w:eastAsia="zh-CN"/>
        </w:rPr>
        <w:t>(一）资金计划、到位及使用情况</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1、资金计划及到位。</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四川省剑阁县剑门中学校校园安全保障项目资金来源于2022年义务教育校园安全保障补助资金2.7万元。专项经费到位及时，劳务费能依合同按时到位，到位率100%，确保了项目顺利推进。</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2、资金使用情况。</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四川省剑阁县剑门中学校校园安全保障经费为专项资金，支出依法合规，无虚列项目支出情况，无截留挤占挪用情况，无超标开支情况，无超预算情况。现已支付2.7万元。</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川省剑阁县剑门中学校项目建设内部控制制度基本健全，管理规范。学校会计报表、会计账簿等会计资料真实地反映了专项资金管理，费用支出情况。在财务管理方面，四川省剑阁县剑门中学校严格执行的财务审批制度，重大经济事项均由校行政集体研究组织实施，为提高工作质量和效率，明确规范管理，强化责任，四川省剑阁县剑门中学校通过制定和落实《财务管理制度》《财务工作人员考评细则》等内部管理制度，规范了内部管理，推进了智能型学校建设，确保了工程项目实施顺利进行。</w:t>
      </w:r>
    </w:p>
    <w:p>
      <w:pPr>
        <w:pStyle w:val="43"/>
        <w:keepNext w:val="0"/>
        <w:keepLines w:val="0"/>
        <w:pageBreakBefore w:val="0"/>
        <w:kinsoku/>
        <w:wordWrap/>
        <w:overflowPunct/>
        <w:topLinePunct w:val="0"/>
        <w:autoSpaceDE/>
        <w:autoSpaceDN/>
        <w:bidi w:val="0"/>
        <w:adjustRightInd/>
        <w:snapToGrid/>
        <w:spacing w:before="0" w:after="0" w:line="240" w:lineRule="auto"/>
        <w:ind w:firstLine="560" w:firstLineChars="200"/>
        <w:jc w:val="left"/>
        <w:textAlignment w:val="auto"/>
        <w:rPr>
          <w:rFonts w:hint="eastAsia" w:ascii="仿宋_GB2312" w:hAnsi="仿宋_GB2312" w:eastAsia="仿宋_GB2312" w:cs="仿宋_GB2312"/>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1960" w:firstLineChars="700"/>
        <w:textAlignment w:val="auto"/>
        <w:rPr>
          <w:rFonts w:hint="eastAsia" w:eastAsia="宋体"/>
          <w:sz w:val="28"/>
          <w:szCs w:val="28"/>
          <w:lang w:val="en-US"/>
        </w:rPr>
      </w:pPr>
    </w:p>
    <w:p>
      <w:pPr>
        <w:spacing w:line="360" w:lineRule="auto"/>
        <w:ind w:firstLine="420" w:firstLineChars="150"/>
        <w:rPr>
          <w:rFonts w:eastAsia="宋体"/>
          <w:sz w:val="28"/>
          <w:lang w:val="en-US"/>
        </w:rPr>
      </w:pPr>
    </w:p>
    <w:p>
      <w:pPr>
        <w:pStyle w:val="43"/>
        <w:spacing w:before="0" w:after="0" w:line="400" w:lineRule="exact"/>
        <w:ind w:firstLine="560" w:firstLineChars="200"/>
        <w:jc w:val="left"/>
        <w:rPr>
          <w:rFonts w:eastAsia="宋体"/>
          <w:sz w:val="28"/>
          <w:lang w:val="en-US"/>
        </w:rPr>
      </w:pPr>
    </w:p>
    <w:tbl>
      <w:tblPr>
        <w:tblStyle w:val="14"/>
        <w:tblpPr w:leftFromText="180" w:rightFromText="180" w:vertAnchor="text" w:horzAnchor="page" w:tblpX="1162" w:tblpY="-13917"/>
        <w:tblOverlap w:val="never"/>
        <w:tblW w:w="9860" w:type="dxa"/>
        <w:tblInd w:w="0" w:type="dxa"/>
        <w:tblLayout w:type="fixed"/>
        <w:tblCellMar>
          <w:top w:w="0" w:type="dxa"/>
          <w:left w:w="0" w:type="dxa"/>
          <w:bottom w:w="0" w:type="dxa"/>
          <w:right w:w="0" w:type="dxa"/>
        </w:tblCellMar>
      </w:tblPr>
      <w:tblGrid>
        <w:gridCol w:w="654"/>
        <w:gridCol w:w="624"/>
        <w:gridCol w:w="15"/>
        <w:gridCol w:w="783"/>
        <w:gridCol w:w="1916"/>
        <w:gridCol w:w="275"/>
        <w:gridCol w:w="814"/>
        <w:gridCol w:w="463"/>
        <w:gridCol w:w="454"/>
        <w:gridCol w:w="1323"/>
        <w:gridCol w:w="449"/>
        <w:gridCol w:w="1045"/>
        <w:gridCol w:w="2"/>
        <w:gridCol w:w="1043"/>
      </w:tblGrid>
      <w:tr>
        <w:tblPrEx>
          <w:tblCellMar>
            <w:top w:w="0" w:type="dxa"/>
            <w:left w:w="0" w:type="dxa"/>
            <w:bottom w:w="0" w:type="dxa"/>
            <w:right w:w="0" w:type="dxa"/>
          </w:tblCellMar>
        </w:tblPrEx>
        <w:trPr>
          <w:trHeight w:val="90" w:hRule="atLeast"/>
        </w:trPr>
        <w:tc>
          <w:tcPr>
            <w:tcW w:w="1293" w:type="dxa"/>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ascii="黑体" w:hAnsi="宋体" w:eastAsia="黑体" w:cs="黑体"/>
                <w:i w:val="0"/>
                <w:color w:val="000000"/>
                <w:sz w:val="24"/>
                <w:szCs w:val="24"/>
                <w:u w:val="none"/>
              </w:rPr>
            </w:pPr>
          </w:p>
        </w:tc>
        <w:tc>
          <w:tcPr>
            <w:tcW w:w="2699" w:type="dxa"/>
            <w:gridSpan w:val="2"/>
            <w:tcBorders>
              <w:top w:val="nil"/>
              <w:left w:val="nil"/>
              <w:bottom w:val="nil"/>
              <w:right w:val="nil"/>
            </w:tcBorders>
            <w:noWrap/>
            <w:tcMar>
              <w:top w:w="15" w:type="dxa"/>
              <w:left w:w="15" w:type="dxa"/>
              <w:right w:w="15" w:type="dxa"/>
            </w:tcMar>
            <w:vAlign w:val="center"/>
          </w:tcPr>
          <w:p>
            <w:pPr>
              <w:jc w:val="both"/>
              <w:rPr>
                <w:rFonts w:hint="eastAsia"/>
              </w:rPr>
            </w:pPr>
          </w:p>
          <w:p>
            <w:pPr>
              <w:pStyle w:val="2"/>
              <w:rPr>
                <w:rFonts w:hint="eastAsia"/>
              </w:rPr>
            </w:pPr>
          </w:p>
        </w:tc>
        <w:tc>
          <w:tcPr>
            <w:tcW w:w="27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814"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463"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777" w:type="dxa"/>
            <w:gridSpan w:val="2"/>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449"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45" w:type="dxa"/>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045" w:type="dxa"/>
            <w:gridSpan w:val="2"/>
            <w:tcBorders>
              <w:top w:val="nil"/>
              <w:left w:val="nil"/>
              <w:bottom w:val="nil"/>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9860"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Style w:val="48"/>
                <w:rFonts w:hint="eastAsia" w:ascii="仿宋" w:hAnsi="仿宋" w:eastAsia="仿宋" w:cs="仿宋"/>
                <w:sz w:val="32"/>
                <w:szCs w:val="32"/>
                <w:lang w:val="en-US" w:eastAsia="zh-CN" w:bidi="ar"/>
              </w:rPr>
            </w:pPr>
          </w:p>
          <w:p>
            <w:pPr>
              <w:keepNext w:val="0"/>
              <w:keepLines w:val="0"/>
              <w:widowControl/>
              <w:suppressLineNumbers w:val="0"/>
              <w:jc w:val="center"/>
              <w:textAlignment w:val="center"/>
              <w:rPr>
                <w:rStyle w:val="48"/>
                <w:rFonts w:hint="eastAsia" w:ascii="仿宋" w:hAnsi="仿宋" w:eastAsia="仿宋" w:cs="仿宋"/>
                <w:sz w:val="32"/>
                <w:szCs w:val="32"/>
                <w:lang w:val="en-US" w:eastAsia="zh-CN" w:bidi="ar"/>
              </w:rPr>
            </w:pPr>
            <w:r>
              <w:rPr>
                <w:rStyle w:val="48"/>
                <w:rFonts w:hint="eastAsia" w:ascii="仿宋" w:hAnsi="仿宋" w:eastAsia="仿宋" w:cs="仿宋"/>
                <w:sz w:val="32"/>
                <w:szCs w:val="32"/>
                <w:lang w:val="en-US" w:eastAsia="zh-CN" w:bidi="ar"/>
              </w:rPr>
              <w:t>2022 年四川省剑阁县剑门中学校</w:t>
            </w: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Style w:val="48"/>
                <w:rFonts w:hint="eastAsia" w:ascii="仿宋" w:hAnsi="仿宋" w:eastAsia="仿宋" w:cs="仿宋"/>
                <w:sz w:val="32"/>
                <w:szCs w:val="32"/>
                <w:lang w:val="en-US" w:eastAsia="zh-CN" w:bidi="ar"/>
              </w:rPr>
              <w:t>校园安保经费项目绩效目标自评表</w:t>
            </w:r>
          </w:p>
        </w:tc>
      </w:tr>
      <w:tr>
        <w:tblPrEx>
          <w:tblCellMar>
            <w:top w:w="0" w:type="dxa"/>
            <w:left w:w="0" w:type="dxa"/>
            <w:bottom w:w="0" w:type="dxa"/>
            <w:right w:w="0" w:type="dxa"/>
          </w:tblCellMar>
        </w:tblPrEx>
        <w:trPr>
          <w:trHeight w:val="90" w:hRule="atLeast"/>
        </w:trPr>
        <w:tc>
          <w:tcPr>
            <w:tcW w:w="9860" w:type="dxa"/>
            <w:gridSpan w:val="14"/>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年度 ）</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学校安全保障经费</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5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bookmarkStart w:id="68" w:name="_GoBack"/>
            <w:bookmarkEnd w:id="68"/>
            <w:r>
              <w:rPr>
                <w:rFonts w:hint="eastAsia" w:ascii="宋体" w:hAnsi="宋体" w:cs="宋体"/>
                <w:i w:val="0"/>
                <w:color w:val="000000"/>
                <w:kern w:val="0"/>
                <w:sz w:val="16"/>
                <w:szCs w:val="16"/>
                <w:u w:val="none"/>
                <w:lang w:val="en-US" w:eastAsia="zh-CN" w:bidi="ar"/>
              </w:rPr>
              <w:t>张宗焱</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剑阁县教育局</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5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四川省剑阁县剑门中学校</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9"/>
                <w:lang w:val="en-US" w:eastAsia="zh-CN" w:bidi="ar"/>
              </w:rPr>
              <w:t xml:space="preserve"> 其中：中央、省、市财政资金</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9"/>
                <w:lang w:val="en-US" w:eastAsia="zh-CN" w:bidi="ar"/>
              </w:rPr>
              <w:t xml:space="preserve">       县级财政资金</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129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9"/>
                <w:lang w:val="en-US" w:eastAsia="zh-CN" w:bidi="ar"/>
              </w:rPr>
              <w:t xml:space="preserve">       其他资金</w:t>
            </w:r>
          </w:p>
        </w:tc>
        <w:tc>
          <w:tcPr>
            <w:tcW w:w="10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42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77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2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9"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209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实际值</w:t>
            </w: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产出指标（50分）</w:t>
            </w: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补助校园安保人员</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校园安全保障率</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完成时间 </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2"/>
                <w:szCs w:val="12"/>
                <w:u w:val="none"/>
                <w:lang w:val="en-US"/>
              </w:rPr>
            </w:pPr>
            <w:r>
              <w:rPr>
                <w:rFonts w:hint="eastAsia" w:ascii="宋体" w:hAnsi="宋体" w:eastAsia="宋体" w:cs="宋体"/>
                <w:i w:val="0"/>
                <w:color w:val="000000"/>
                <w:kern w:val="0"/>
                <w:sz w:val="12"/>
                <w:szCs w:val="12"/>
                <w:u w:val="none"/>
                <w:lang w:val="en-US" w:eastAsia="zh-CN" w:bidi="ar"/>
              </w:rPr>
              <w:t>202</w:t>
            </w:r>
            <w:r>
              <w:rPr>
                <w:rFonts w:hint="eastAsia" w:ascii="宋体" w:hAnsi="宋体" w:cs="宋体"/>
                <w:i w:val="0"/>
                <w:color w:val="000000"/>
                <w:kern w:val="0"/>
                <w:sz w:val="12"/>
                <w:szCs w:val="12"/>
                <w:u w:val="none"/>
                <w:lang w:val="en-US" w:eastAsia="zh-CN" w:bidi="ar"/>
              </w:rPr>
              <w:t>2.12.31</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2"/>
                <w:szCs w:val="12"/>
                <w:u w:val="none"/>
                <w:lang w:val="en-US"/>
              </w:rPr>
            </w:pPr>
            <w:r>
              <w:rPr>
                <w:rFonts w:hint="eastAsia" w:ascii="宋体" w:hAnsi="宋体" w:eastAsia="宋体" w:cs="宋体"/>
                <w:i w:val="0"/>
                <w:color w:val="000000"/>
                <w:kern w:val="0"/>
                <w:sz w:val="12"/>
                <w:szCs w:val="12"/>
                <w:u w:val="none"/>
                <w:lang w:val="en-US" w:eastAsia="zh-CN" w:bidi="ar"/>
              </w:rPr>
              <w:t>202</w:t>
            </w:r>
            <w:r>
              <w:rPr>
                <w:rFonts w:hint="eastAsia" w:ascii="宋体" w:hAnsi="宋体" w:cs="宋体"/>
                <w:i w:val="0"/>
                <w:color w:val="000000"/>
                <w:kern w:val="0"/>
                <w:sz w:val="12"/>
                <w:szCs w:val="12"/>
                <w:u w:val="none"/>
                <w:lang w:val="en-US" w:eastAsia="zh-CN" w:bidi="ar"/>
              </w:rPr>
              <w:t>2.12.31</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校园安全保障人员经费</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w:t>
            </w: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效绩指标（30分）</w:t>
            </w: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提升学生学校安全保障</w:t>
            </w: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保障学校师生及财产安全</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保障学校师生及财产安全</w:t>
            </w: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19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8"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7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家长满意度</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98.00%</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(20分)</w:t>
            </w:r>
          </w:p>
        </w:tc>
        <w:tc>
          <w:tcPr>
            <w:tcW w:w="7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学生满意度</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99.00%</w:t>
            </w: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trPr>
        <w:tc>
          <w:tcPr>
            <w:tcW w:w="42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22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20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2"/>
      <w:bookmarkEnd w:id="53"/>
      <w:bookmarkStart w:id="55" w:name="_Toc15396619"/>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5"/>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56" w:name="_Toc15396620"/>
      <w:r>
        <w:rPr>
          <w:rFonts w:hint="eastAsia" w:ascii="仿宋" w:hAnsi="仿宋" w:eastAsia="仿宋"/>
          <w:b w:val="0"/>
        </w:rPr>
        <w:t>二、收</w:t>
      </w:r>
      <w:r>
        <w:rPr>
          <w:rStyle w:val="27"/>
          <w:rFonts w:hint="eastAsia" w:ascii="仿宋" w:hAnsi="仿宋" w:eastAsia="仿宋"/>
          <w:b w:val="0"/>
          <w:bCs w:val="0"/>
        </w:rPr>
        <w:t>入决算表</w:t>
      </w:r>
      <w:bookmarkEnd w:id="56"/>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57"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7"/>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val="0"/>
        </w:rPr>
      </w:pPr>
      <w:bookmarkStart w:id="58"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8"/>
    </w:p>
    <w:p>
      <w:pPr>
        <w:pStyle w:val="5"/>
        <w:keepNext/>
        <w:keepLines/>
        <w:pageBreakBefore w:val="0"/>
        <w:widowControl w:val="0"/>
        <w:kinsoku/>
        <w:wordWrap/>
        <w:overflowPunct/>
        <w:topLinePunct w:val="0"/>
        <w:autoSpaceDE/>
        <w:autoSpaceDN/>
        <w:bidi w:val="0"/>
        <w:adjustRightInd/>
        <w:snapToGrid/>
        <w:spacing w:line="520" w:lineRule="exact"/>
        <w:textAlignment w:val="auto"/>
        <w:rPr>
          <w:rStyle w:val="27"/>
          <w:rFonts w:ascii="仿宋" w:hAnsi="仿宋" w:eastAsia="仿宋"/>
          <w:b w:val="0"/>
          <w:bCs w:val="0"/>
        </w:rPr>
      </w:pPr>
      <w:bookmarkStart w:id="59"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9"/>
      <w:bookmarkStart w:id="60" w:name="_Toc15396624"/>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0"/>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61"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1"/>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62"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2"/>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63"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3"/>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64" w:name="_Toc15396628"/>
      <w:r>
        <w:rPr>
          <w:rStyle w:val="27"/>
          <w:rFonts w:hint="eastAsia" w:ascii="仿宋" w:hAnsi="仿宋" w:eastAsia="仿宋"/>
          <w:b w:val="0"/>
          <w:bCs w:val="0"/>
        </w:rPr>
        <w:t>十、</w:t>
      </w:r>
      <w:bookmarkEnd w:id="64"/>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65" w:name="_Toc15396629"/>
      <w:r>
        <w:rPr>
          <w:rStyle w:val="27"/>
          <w:rFonts w:hint="eastAsia" w:ascii="仿宋" w:hAnsi="仿宋" w:eastAsia="仿宋"/>
          <w:b w:val="0"/>
          <w:bCs w:val="0"/>
        </w:rPr>
        <w:t>十一、</w:t>
      </w:r>
      <w:bookmarkEnd w:id="65"/>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ascii="仿宋" w:hAnsi="仿宋" w:eastAsia="仿宋"/>
        </w:rPr>
      </w:pPr>
      <w:bookmarkStart w:id="66" w:name="_Toc15396630"/>
      <w:r>
        <w:rPr>
          <w:rStyle w:val="27"/>
          <w:rFonts w:hint="eastAsia" w:ascii="仿宋" w:hAnsi="仿宋" w:eastAsia="仿宋"/>
          <w:b w:val="0"/>
          <w:bCs w:val="0"/>
        </w:rPr>
        <w:t>十二、</w:t>
      </w:r>
      <w:bookmarkEnd w:id="66"/>
      <w:r>
        <w:rPr>
          <w:rStyle w:val="27"/>
          <w:rFonts w:hint="eastAsia" w:ascii="仿宋" w:hAnsi="仿宋" w:eastAsia="仿宋"/>
          <w:b w:val="0"/>
          <w:bCs w:val="0"/>
        </w:rPr>
        <w:t>国有资本经营预算财政拨款支出决算表</w:t>
      </w:r>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eastAsia="仿宋"/>
        </w:rPr>
      </w:pPr>
      <w:bookmarkStart w:id="67" w:name="_Toc15396631"/>
      <w:r>
        <w:rPr>
          <w:rStyle w:val="27"/>
          <w:rFonts w:hint="eastAsia" w:ascii="仿宋" w:hAnsi="仿宋" w:eastAsia="仿宋"/>
          <w:b w:val="0"/>
          <w:bCs w:val="0"/>
        </w:rPr>
        <w:t>十三、</w:t>
      </w:r>
      <w:bookmarkEnd w:id="67"/>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134"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0BEBF4-5976-4B39-8D93-6ED93F347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87F0FD7-DFAE-4E3F-BAF6-3A04A655AAE7}"/>
  </w:font>
  <w:font w:name="Cambria">
    <w:panose1 w:val="02040503050406030204"/>
    <w:charset w:val="00"/>
    <w:family w:val="roman"/>
    <w:pitch w:val="default"/>
    <w:sig w:usb0="E00006FF" w:usb1="420024FF" w:usb2="02000000" w:usb3="00000000" w:csb0="2000019F" w:csb1="00000000"/>
    <w:embedRegular r:id="rId3" w:fontKey="{BCB93162-F7C5-462B-A333-373D38FD283A}"/>
  </w:font>
  <w:font w:name="仿宋_GB2312">
    <w:altName w:val="仿宋"/>
    <w:panose1 w:val="00000000000000000000"/>
    <w:charset w:val="86"/>
    <w:family w:val="modern"/>
    <w:pitch w:val="default"/>
    <w:sig w:usb0="00000000" w:usb1="00000000" w:usb2="00000000" w:usb3="00000000" w:csb0="00040000" w:csb1="00000000"/>
    <w:embedRegular r:id="rId4" w:fontKey="{E8139743-74D5-441A-B702-2E8F840400A6}"/>
  </w:font>
  <w:font w:name="仿宋">
    <w:panose1 w:val="02010609060101010101"/>
    <w:charset w:val="86"/>
    <w:family w:val="modern"/>
    <w:pitch w:val="default"/>
    <w:sig w:usb0="800002BF" w:usb1="38CF7CFA" w:usb2="00000016" w:usb3="00000000" w:csb0="00040001" w:csb1="00000000"/>
    <w:embedRegular r:id="rId5" w:fontKey="{45EB7A1F-7E40-4A5A-97B2-C2FCC5FB0CA5}"/>
  </w:font>
  <w:font w:name="方正小标宋简体">
    <w:panose1 w:val="02000000000000000000"/>
    <w:charset w:val="86"/>
    <w:family w:val="script"/>
    <w:pitch w:val="default"/>
    <w:sig w:usb0="00000001" w:usb1="08000000" w:usb2="00000000" w:usb3="00000000" w:csb0="00040000" w:csb1="00000000"/>
    <w:embedRegular r:id="rId6" w:fontKey="{47E61F19-3CCF-446B-A195-07C0F5720A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5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43BC91E3"/>
    <w:multiLevelType w:val="singleLevel"/>
    <w:tmpl w:val="43BC91E3"/>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13FE"/>
    <w:rsid w:val="00280496"/>
    <w:rsid w:val="00294DC9"/>
    <w:rsid w:val="00295495"/>
    <w:rsid w:val="002A31DE"/>
    <w:rsid w:val="002B2613"/>
    <w:rsid w:val="002C7CD4"/>
    <w:rsid w:val="002D6D05"/>
    <w:rsid w:val="002E407B"/>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185F"/>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512B1"/>
    <w:rsid w:val="029849CC"/>
    <w:rsid w:val="053A62B5"/>
    <w:rsid w:val="05DE36F7"/>
    <w:rsid w:val="06767F46"/>
    <w:rsid w:val="072F29AC"/>
    <w:rsid w:val="09026172"/>
    <w:rsid w:val="0A2032A3"/>
    <w:rsid w:val="0A210F05"/>
    <w:rsid w:val="0A663DB0"/>
    <w:rsid w:val="0AB55CF1"/>
    <w:rsid w:val="0B7E74DF"/>
    <w:rsid w:val="0B8A37D8"/>
    <w:rsid w:val="0BEF5CBA"/>
    <w:rsid w:val="0C4A0131"/>
    <w:rsid w:val="0C6D2AE7"/>
    <w:rsid w:val="102939FD"/>
    <w:rsid w:val="102D5D9F"/>
    <w:rsid w:val="10A5002C"/>
    <w:rsid w:val="10C055FF"/>
    <w:rsid w:val="118107EC"/>
    <w:rsid w:val="11B039AE"/>
    <w:rsid w:val="11DD6519"/>
    <w:rsid w:val="128F2D41"/>
    <w:rsid w:val="13D604FC"/>
    <w:rsid w:val="144517A6"/>
    <w:rsid w:val="16BB723D"/>
    <w:rsid w:val="16CB6D5C"/>
    <w:rsid w:val="16DE7C2D"/>
    <w:rsid w:val="17BB0135"/>
    <w:rsid w:val="18015F3F"/>
    <w:rsid w:val="18420856"/>
    <w:rsid w:val="1BE8440E"/>
    <w:rsid w:val="1D1522F2"/>
    <w:rsid w:val="1D155CEE"/>
    <w:rsid w:val="20BE7ADD"/>
    <w:rsid w:val="20F57F95"/>
    <w:rsid w:val="23203CBF"/>
    <w:rsid w:val="240371BF"/>
    <w:rsid w:val="2423674C"/>
    <w:rsid w:val="25711CC6"/>
    <w:rsid w:val="25C741E6"/>
    <w:rsid w:val="25FA498E"/>
    <w:rsid w:val="275B4752"/>
    <w:rsid w:val="27842671"/>
    <w:rsid w:val="29AA157C"/>
    <w:rsid w:val="29FD04D3"/>
    <w:rsid w:val="2ABE7A3E"/>
    <w:rsid w:val="2AF15E98"/>
    <w:rsid w:val="2C221E9E"/>
    <w:rsid w:val="2C74487D"/>
    <w:rsid w:val="2CA234A8"/>
    <w:rsid w:val="2EFA178C"/>
    <w:rsid w:val="30131553"/>
    <w:rsid w:val="30B46D73"/>
    <w:rsid w:val="319F7F4E"/>
    <w:rsid w:val="37FD6D3F"/>
    <w:rsid w:val="383D272C"/>
    <w:rsid w:val="38BC1EB6"/>
    <w:rsid w:val="38CA6BE0"/>
    <w:rsid w:val="397F6966"/>
    <w:rsid w:val="39AE70AB"/>
    <w:rsid w:val="3A881FA5"/>
    <w:rsid w:val="3B0D0898"/>
    <w:rsid w:val="3BCB4793"/>
    <w:rsid w:val="3C0C0783"/>
    <w:rsid w:val="3CF61E96"/>
    <w:rsid w:val="3DA6700D"/>
    <w:rsid w:val="3E9E556C"/>
    <w:rsid w:val="3F9F3A96"/>
    <w:rsid w:val="44462D5C"/>
    <w:rsid w:val="44A8753B"/>
    <w:rsid w:val="46900E72"/>
    <w:rsid w:val="46B642A3"/>
    <w:rsid w:val="471A45C8"/>
    <w:rsid w:val="47B857F0"/>
    <w:rsid w:val="48BF60AB"/>
    <w:rsid w:val="49240E20"/>
    <w:rsid w:val="493C27E9"/>
    <w:rsid w:val="496F39ED"/>
    <w:rsid w:val="49B87B94"/>
    <w:rsid w:val="49C8477A"/>
    <w:rsid w:val="49FF41D3"/>
    <w:rsid w:val="4A11351F"/>
    <w:rsid w:val="4A5D796A"/>
    <w:rsid w:val="4BE068DB"/>
    <w:rsid w:val="4BF6002B"/>
    <w:rsid w:val="4E131916"/>
    <w:rsid w:val="4E3917D8"/>
    <w:rsid w:val="4ECE2238"/>
    <w:rsid w:val="504D69C6"/>
    <w:rsid w:val="50B52913"/>
    <w:rsid w:val="51DB4B86"/>
    <w:rsid w:val="520272E1"/>
    <w:rsid w:val="52340ED3"/>
    <w:rsid w:val="53777B00"/>
    <w:rsid w:val="55203D2A"/>
    <w:rsid w:val="55333C3E"/>
    <w:rsid w:val="5627460C"/>
    <w:rsid w:val="56B57E6A"/>
    <w:rsid w:val="57020E55"/>
    <w:rsid w:val="587677E4"/>
    <w:rsid w:val="59126454"/>
    <w:rsid w:val="591F15CA"/>
    <w:rsid w:val="5DB02CE4"/>
    <w:rsid w:val="5ED312E0"/>
    <w:rsid w:val="5F85487D"/>
    <w:rsid w:val="61D635F0"/>
    <w:rsid w:val="64086E1C"/>
    <w:rsid w:val="643C1282"/>
    <w:rsid w:val="64CA39A1"/>
    <w:rsid w:val="66AD7606"/>
    <w:rsid w:val="66E92F36"/>
    <w:rsid w:val="67E1411C"/>
    <w:rsid w:val="68BC0BE4"/>
    <w:rsid w:val="69630ADE"/>
    <w:rsid w:val="6A4E1F1E"/>
    <w:rsid w:val="6C4A05C8"/>
    <w:rsid w:val="6CD52274"/>
    <w:rsid w:val="6D3B1A89"/>
    <w:rsid w:val="6E7F5FAD"/>
    <w:rsid w:val="6F1C7E1D"/>
    <w:rsid w:val="70EB3B3A"/>
    <w:rsid w:val="71BF4EC2"/>
    <w:rsid w:val="72075227"/>
    <w:rsid w:val="722A5618"/>
    <w:rsid w:val="72734D90"/>
    <w:rsid w:val="73B64BE0"/>
    <w:rsid w:val="7412278C"/>
    <w:rsid w:val="75B6166F"/>
    <w:rsid w:val="75CF5807"/>
    <w:rsid w:val="76E16713"/>
    <w:rsid w:val="77166A84"/>
    <w:rsid w:val="783B7F2C"/>
    <w:rsid w:val="79E7B28D"/>
    <w:rsid w:val="7AF12A08"/>
    <w:rsid w:val="7BD21EBC"/>
    <w:rsid w:val="7C7750F6"/>
    <w:rsid w:val="7D3A1533"/>
    <w:rsid w:val="7F0A2251"/>
    <w:rsid w:val="7F82636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Times New Roman" w:eastAsia="宋体"/>
    </w:rPr>
  </w:style>
  <w:style w:type="paragraph" w:styleId="3">
    <w:name w:val="Body Text Indent"/>
    <w:basedOn w:val="1"/>
    <w:qFormat/>
    <w:uiPriority w:val="0"/>
    <w:pPr>
      <w:spacing w:line="560" w:lineRule="exact"/>
      <w:ind w:firstLine="640" w:firstLineChars="200"/>
      <w:jc w:val="left"/>
    </w:pPr>
    <w:rPr>
      <w:rFonts w:ascii="仿宋_GB2312"/>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autoRedefine/>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Normal_2"/>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3">
    <w:name w:val="Normal_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4">
    <w:name w:val="Normal_12"/>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5">
    <w:name w:val="Normal_13"/>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6">
    <w:name w:val="Normal_14"/>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7">
    <w:name w:val="Normal_16"/>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8">
    <w:name w:val="Normal_17"/>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39">
    <w:name w:val="Normal_2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0">
    <w:name w:val="Normal_2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1">
    <w:name w:val="Normal_32"/>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2">
    <w:name w:val="Normal_28"/>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3">
    <w:name w:val="Normal_27"/>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4">
    <w:name w:val="Normal_21"/>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5">
    <w:name w:val="Normal_30"/>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6">
    <w:name w:val="Normal_3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47">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8">
    <w:name w:val="font31"/>
    <w:basedOn w:val="15"/>
    <w:qFormat/>
    <w:uiPriority w:val="0"/>
    <w:rPr>
      <w:rFonts w:hint="eastAsia" w:ascii="宋体" w:hAnsi="宋体" w:eastAsia="宋体" w:cs="宋体"/>
      <w:b/>
      <w:color w:val="000000"/>
      <w:sz w:val="32"/>
      <w:szCs w:val="32"/>
      <w:u w:val="none"/>
    </w:rPr>
  </w:style>
  <w:style w:type="character" w:customStyle="1" w:styleId="49">
    <w:name w:val="font2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2.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2&#24180;&#20915;&#31639;&#20844;&#24320;\&#20844;&#24320;&#21450;&#25209;&#22797;&#26448;&#26009;&#65288;&#20379;&#21442;&#32771;&#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91666666666667"/>
          <c:y val="0.025462962962963"/>
        </c:manualLayout>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delete val="1"/>
            </c:dLbl>
            <c:dLbl>
              <c:idx val="1"/>
              <c:delete val="1"/>
            </c:dLbl>
            <c:dLbl>
              <c:idx val="2"/>
              <c:layout>
                <c:manualLayout>
                  <c:x val="-0.00208380832688811"/>
                  <c:y val="-0.37719907407491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0.38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[决算公开插图制作示例.xlsx]图7!$A$111:$A$113</c:f>
              <c:strCache>
                <c:ptCount val="3"/>
                <c:pt idx="0">
                  <c:v>因公出国（境）费支出</c:v>
                </c:pt>
                <c:pt idx="1">
                  <c:v>公务用车购置及运行维护费支出</c:v>
                </c:pt>
                <c:pt idx="2">
                  <c:v>公务接待费支出</c:v>
                </c:pt>
              </c:strCache>
            </c:strRef>
          </c:cat>
          <c:val>
            <c:numRef>
              <c:f>[决算公开插图制作示例.xlsx]图7!$B$111:$B$113</c:f>
              <c:numCache>
                <c:formatCode>General</c:formatCode>
                <c:ptCount val="3"/>
                <c:pt idx="0">
                  <c:v>0</c:v>
                </c:pt>
                <c:pt idx="1">
                  <c:v>0</c:v>
                </c:pt>
                <c:pt idx="2">
                  <c:v>0.38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9989</Words>
  <Characters>11030</Characters>
  <Lines>5</Lines>
  <Paragraphs>11</Paragraphs>
  <TotalTime>14</TotalTime>
  <ScaleCrop>false</ScaleCrop>
  <LinksUpToDate>false</LinksUpToDate>
  <CharactersWithSpaces>11136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2023-10-30T03:05:00Z</cp:lastPrinted>
  <dcterms:modified xsi:type="dcterms:W3CDTF">2023-12-28T07:13:14Z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F7776D40B1FC471C81F04BD0B693F950_12</vt:lpwstr>
  </property>
</Properties>
</file>