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仿宋" w:hAnsi="仿宋" w:eastAsia="仿宋" w:cs="仿宋"/>
          <w:kern w:val="44"/>
          <w:sz w:val="24"/>
          <w:szCs w:val="24"/>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2</w:t>
      </w:r>
      <w:r>
        <w:rPr>
          <w:rFonts w:hint="eastAsia" w:ascii="方正小标宋简体" w:hAnsi="方正小标宋简体" w:eastAsia="方正小标宋简体" w:cs="方正小标宋简体"/>
          <w:sz w:val="52"/>
          <w:szCs w:val="52"/>
        </w:rPr>
        <w:t>年度</w:t>
      </w: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rPr>
        <w:t>剑阁县</w:t>
      </w:r>
      <w:r>
        <w:rPr>
          <w:rFonts w:hint="eastAsia" w:ascii="方正小标宋简体" w:hAnsi="方正小标宋简体" w:eastAsia="方正小标宋简体" w:cs="方正小标宋简体"/>
          <w:sz w:val="52"/>
          <w:szCs w:val="52"/>
          <w:lang w:val="en-US" w:eastAsia="zh-CN"/>
        </w:rPr>
        <w:t>现代农业园区事务中心</w:t>
      </w:r>
    </w:p>
    <w:p>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val="en-US" w:eastAsia="zh-CN"/>
        </w:rPr>
        <w:t xml:space="preserve">单 位 </w:t>
      </w:r>
      <w:r>
        <w:rPr>
          <w:rFonts w:hint="eastAsia" w:ascii="方正小标宋简体" w:hAnsi="方正小标宋简体" w:eastAsia="方正小标宋简体" w:cs="方正小标宋简体"/>
          <w:sz w:val="52"/>
          <w:szCs w:val="52"/>
        </w:rPr>
        <w:t>决</w:t>
      </w:r>
      <w:r>
        <w:rPr>
          <w:rFonts w:hint="eastAsia" w:ascii="方正小标宋简体" w:hAnsi="方正小标宋简体" w:eastAsia="方正小标宋简体" w:cs="方正小标宋简体"/>
          <w:sz w:val="52"/>
          <w:szCs w:val="52"/>
          <w:lang w:val="en-US" w:eastAsia="zh-CN"/>
        </w:rPr>
        <w:t xml:space="preserve"> </w:t>
      </w:r>
      <w:r>
        <w:rPr>
          <w:rFonts w:hint="eastAsia" w:ascii="方正小标宋简体" w:hAnsi="方正小标宋简体" w:eastAsia="方正小标宋简体" w:cs="方正小标宋简体"/>
          <w:sz w:val="52"/>
          <w:szCs w:val="52"/>
        </w:rPr>
        <w:t>算</w:t>
      </w: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11</w:t>
      </w:r>
      <w:r>
        <w:rPr>
          <w:rFonts w:hint="eastAsia"/>
        </w:rPr>
        <w:t>月</w:t>
      </w:r>
      <w:r>
        <w:rPr>
          <w:rFonts w:hint="eastAsia"/>
          <w:lang w:val="en-US" w:eastAsia="zh-CN"/>
        </w:rPr>
        <w:t>22</w:t>
      </w:r>
      <w:r>
        <w:rPr>
          <w:rFonts w:hint="eastAsia"/>
        </w:rPr>
        <w:t>日</w:t>
      </w:r>
    </w:p>
    <w:p>
      <w:pPr>
        <w:pStyle w:val="11"/>
        <w:keepNext w:val="0"/>
        <w:keepLines w:val="0"/>
        <w:pageBreakBefore w:val="0"/>
        <w:widowControl w:val="0"/>
        <w:kinsoku/>
        <w:wordWrap/>
        <w:overflowPunct/>
        <w:topLinePunct w:val="0"/>
        <w:autoSpaceDE/>
        <w:autoSpaceDN/>
        <w:bidi w:val="0"/>
        <w:adjustRightInd w:val="0"/>
        <w:snapToGrid w:val="0"/>
        <w:spacing w:before="0"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第一部分 单位概况</w:t>
      </w:r>
      <w:r>
        <w:rPr>
          <w:rFonts w:hint="eastAsia" w:ascii="仿宋" w:hAnsi="仿宋" w:eastAsia="仿宋" w:cs="仿宋"/>
          <w:sz w:val="32"/>
          <w:szCs w:val="32"/>
          <w:lang w:val="en-US" w:eastAsia="zh-CN"/>
        </w:rPr>
        <w:t>...........................</w:t>
      </w:r>
      <w:r>
        <w:rPr>
          <w:rFonts w:hint="eastAsia" w:cs="仿宋"/>
          <w:sz w:val="32"/>
          <w:szCs w:val="32"/>
          <w:lang w:val="en-US" w:eastAsia="zh-CN"/>
        </w:rPr>
        <w:t xml:space="preserve"> </w:t>
      </w:r>
      <w:r>
        <w:rPr>
          <w:rFonts w:hint="eastAsia" w:ascii="仿宋" w:hAnsi="仿宋" w:eastAsia="仿宋" w:cs="仿宋"/>
          <w:sz w:val="32"/>
          <w:szCs w:val="32"/>
          <w:lang w:val="en-US" w:eastAsia="zh-CN"/>
        </w:rPr>
        <w:t>..</w:t>
      </w:r>
      <w:r>
        <w:rPr>
          <w:rFonts w:hint="eastAsia" w:cs="仿宋"/>
          <w:sz w:val="32"/>
          <w:szCs w:val="32"/>
          <w:lang w:val="en-US" w:eastAsia="zh-CN"/>
        </w:rPr>
        <w:t xml:space="preserve">... </w:t>
      </w:r>
      <w:r>
        <w:rPr>
          <w:rFonts w:hint="eastAsia" w:ascii="仿宋" w:hAnsi="仿宋" w:eastAsia="仿宋" w:cs="仿宋"/>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一、主要职责及重点工作</w:t>
      </w:r>
      <w:r>
        <w:rPr>
          <w:rFonts w:hint="eastAsia" w:ascii="仿宋" w:hAnsi="仿宋" w:eastAsia="仿宋" w:cs="仿宋"/>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firstLine="320" w:firstLineChars="1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rPr>
        <w:t>单位职责</w:t>
      </w:r>
      <w:r>
        <w:rPr>
          <w:rFonts w:hint="eastAsia" w:ascii="仿宋" w:hAnsi="仿宋" w:eastAsia="仿宋" w:cs="仿宋"/>
          <w:sz w:val="32"/>
          <w:szCs w:val="32"/>
          <w:lang w:val="en-US" w:eastAsia="zh-CN"/>
        </w:rPr>
        <w:t>...................................4</w:t>
      </w:r>
    </w:p>
    <w:p>
      <w:pPr>
        <w:pStyle w:val="12"/>
        <w:keepNext w:val="0"/>
        <w:keepLines w:val="0"/>
        <w:pageBreakBefore w:val="0"/>
        <w:widowControl w:val="0"/>
        <w:kinsoku/>
        <w:wordWrap/>
        <w:overflowPunct/>
        <w:topLinePunct w:val="0"/>
        <w:autoSpaceDE/>
        <w:autoSpaceDN/>
        <w:bidi w:val="0"/>
        <w:adjustRightInd w:val="0"/>
        <w:snapToGrid w:val="0"/>
        <w:spacing w:line="576" w:lineRule="exact"/>
        <w:ind w:left="0" w:leftChars="0" w:firstLine="320" w:firstLineChars="100"/>
        <w:jc w:val="left"/>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2022年重点工作完成情况</w:t>
      </w:r>
      <w:r>
        <w:rPr>
          <w:rFonts w:hint="eastAsia" w:ascii="仿宋" w:hAnsi="仿宋" w:eastAsia="仿宋" w:cs="仿宋"/>
          <w:sz w:val="32"/>
          <w:szCs w:val="32"/>
          <w:lang w:val="en-US" w:eastAsia="zh-CN"/>
        </w:rPr>
        <w:t>..................... 4</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二、机构设置</w:t>
      </w:r>
      <w:r>
        <w:rPr>
          <w:rFonts w:hint="eastAsia" w:ascii="仿宋" w:hAnsi="仿宋" w:eastAsia="仿宋" w:cs="仿宋"/>
          <w:sz w:val="32"/>
          <w:szCs w:val="32"/>
          <w:lang w:val="en-US" w:eastAsia="zh-CN"/>
        </w:rPr>
        <w:t>.................................... 7</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第二部分 2022年度单位决算情况说明</w:t>
      </w:r>
      <w:r>
        <w:rPr>
          <w:rFonts w:hint="eastAsia" w:cs="仿宋"/>
          <w:sz w:val="32"/>
          <w:szCs w:val="32"/>
          <w:lang w:val="en-US" w:eastAsia="zh-CN"/>
        </w:rPr>
        <w:t>................. 7</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一、收入支出决算总体情况说明</w:t>
      </w:r>
      <w:r>
        <w:rPr>
          <w:rFonts w:hint="eastAsia" w:ascii="仿宋" w:hAnsi="仿宋" w:eastAsia="仿宋" w:cs="仿宋"/>
          <w:sz w:val="32"/>
          <w:szCs w:val="32"/>
          <w:lang w:val="en-US" w:eastAsia="zh-CN"/>
        </w:rPr>
        <w:t>.................... 7</w:t>
      </w:r>
      <w:r>
        <w:rPr>
          <w:rFonts w:hint="eastAsia" w:ascii="仿宋" w:hAnsi="仿宋" w:eastAsia="仿宋" w:cs="仿宋"/>
          <w:sz w:val="32"/>
          <w:szCs w:val="32"/>
        </w:rPr>
        <w:t>二、收入决算情况说明</w:t>
      </w:r>
      <w:r>
        <w:rPr>
          <w:rFonts w:hint="eastAsia" w:ascii="仿宋" w:hAnsi="仿宋" w:eastAsia="仿宋" w:cs="仿宋"/>
          <w:sz w:val="32"/>
          <w:szCs w:val="32"/>
          <w:lang w:val="en-US" w:eastAsia="zh-CN"/>
        </w:rPr>
        <w:t>............................ 8</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三、支出决算情况说明</w:t>
      </w:r>
      <w:r>
        <w:rPr>
          <w:rFonts w:hint="eastAsia" w:ascii="仿宋" w:hAnsi="仿宋" w:eastAsia="仿宋" w:cs="仿宋"/>
          <w:sz w:val="32"/>
          <w:szCs w:val="32"/>
          <w:lang w:val="en-US" w:eastAsia="zh-CN"/>
        </w:rPr>
        <w:t>............................ 6</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四、财政拨款收入支出决算总体情况说明</w:t>
      </w:r>
      <w:r>
        <w:rPr>
          <w:rFonts w:hint="eastAsia" w:ascii="仿宋" w:hAnsi="仿宋" w:eastAsia="仿宋" w:cs="仿宋"/>
          <w:sz w:val="32"/>
          <w:szCs w:val="32"/>
          <w:lang w:val="en-US" w:eastAsia="zh-CN"/>
        </w:rPr>
        <w:t>............ 9</w:t>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lang w:val="en-US" w:eastAsia="zh-CN"/>
        </w:rPr>
        <w:t>....... 10</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lang w:val="en-US" w:eastAsia="zh-CN"/>
        </w:rPr>
        <w:t>... 12</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七、财政拨款“三公”经费支出决算情况说明</w:t>
      </w:r>
      <w:r>
        <w:rPr>
          <w:rFonts w:hint="eastAsia" w:ascii="仿宋" w:hAnsi="仿宋" w:eastAsia="仿宋" w:cs="仿宋"/>
          <w:sz w:val="32"/>
          <w:szCs w:val="32"/>
          <w:lang w:val="en-US" w:eastAsia="zh-CN"/>
        </w:rPr>
        <w:t>......... 13</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八、政府性基金预算支出决算情况说明</w:t>
      </w:r>
      <w:r>
        <w:rPr>
          <w:rFonts w:hint="eastAsia" w:ascii="仿宋" w:hAnsi="仿宋" w:eastAsia="仿宋" w:cs="仿宋"/>
          <w:sz w:val="32"/>
          <w:szCs w:val="32"/>
          <w:lang w:val="en-US" w:eastAsia="zh-CN"/>
        </w:rPr>
        <w:t>..............14</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九、国有资本经营预算支出决算情况说明</w:t>
      </w:r>
      <w:r>
        <w:rPr>
          <w:rFonts w:hint="eastAsia" w:ascii="仿宋" w:hAnsi="仿宋" w:eastAsia="仿宋" w:cs="仿宋"/>
          <w:sz w:val="32"/>
          <w:szCs w:val="32"/>
          <w:lang w:val="en-US" w:eastAsia="zh-CN"/>
        </w:rPr>
        <w:t>........... 14</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十、其他重要事项的情况说明</w:t>
      </w:r>
      <w:r>
        <w:rPr>
          <w:rFonts w:hint="eastAsia" w:ascii="仿宋" w:hAnsi="仿宋" w:eastAsia="仿宋" w:cs="仿宋"/>
          <w:sz w:val="32"/>
          <w:szCs w:val="32"/>
          <w:lang w:val="en-US" w:eastAsia="zh-CN"/>
        </w:rPr>
        <w:t>..................... 14</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第三部分 名词解释</w:t>
      </w:r>
      <w:r>
        <w:rPr>
          <w:rFonts w:hint="eastAsia" w:cs="仿宋"/>
          <w:sz w:val="32"/>
          <w:szCs w:val="32"/>
          <w:lang w:val="en-US" w:eastAsia="zh-CN"/>
        </w:rPr>
        <w:t>................................ 16</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第四部分 附件</w:t>
      </w:r>
      <w:r>
        <w:rPr>
          <w:rFonts w:hint="eastAsia" w:cs="仿宋"/>
          <w:sz w:val="32"/>
          <w:szCs w:val="32"/>
          <w:lang w:val="en-US" w:eastAsia="zh-CN"/>
        </w:rPr>
        <w:t>.................................... 18</w:t>
      </w:r>
    </w:p>
    <w:p>
      <w:pPr>
        <w:pStyle w:val="11"/>
        <w:keepNext w:val="0"/>
        <w:keepLines w:val="0"/>
        <w:pageBreakBefore w:val="0"/>
        <w:kinsoku/>
        <w:wordWrap/>
        <w:overflowPunct/>
        <w:topLinePunct w:val="0"/>
        <w:autoSpaceDE/>
        <w:autoSpaceDN/>
        <w:bidi w:val="0"/>
        <w:adjustRightInd w:val="0"/>
        <w:snapToGrid w:val="0"/>
        <w:spacing w:before="0" w:line="576"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第五部分 附表</w:t>
      </w:r>
      <w:r>
        <w:rPr>
          <w:rFonts w:hint="eastAsia" w:cs="仿宋"/>
          <w:sz w:val="32"/>
          <w:szCs w:val="32"/>
          <w:lang w:val="en-US" w:eastAsia="zh-CN"/>
        </w:rPr>
        <w:t>.................................... 21</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keepNext w:val="0"/>
        <w:keepLines w:val="0"/>
        <w:pageBreakBefore w:val="0"/>
        <w:widowControl/>
        <w:kinsoku/>
        <w:wordWrap/>
        <w:overflowPunct/>
        <w:topLinePunct w:val="0"/>
        <w:autoSpaceDE/>
        <w:autoSpaceDN/>
        <w:bidi w:val="0"/>
        <w:adjustRightInd w:val="0"/>
        <w:snapToGrid w:val="0"/>
        <w:spacing w:line="576" w:lineRule="exact"/>
        <w:ind w:firstLine="1760" w:firstLineChars="550"/>
        <w:jc w:val="left"/>
        <w:textAlignment w:val="auto"/>
        <w:rPr>
          <w:rFonts w:hint="eastAsia" w:ascii="仿宋" w:hAnsi="仿宋" w:eastAsia="仿宋" w:cs="仿宋"/>
          <w:sz w:val="32"/>
          <w:szCs w:val="32"/>
        </w:rPr>
      </w:pPr>
      <w:r>
        <w:rPr>
          <w:rFonts w:hint="eastAsia" w:ascii="仿宋" w:hAnsi="仿宋" w:eastAsia="仿宋" w:cs="仿宋"/>
          <w:sz w:val="32"/>
          <w:szCs w:val="32"/>
        </w:rPr>
        <w:t>(注：请单位根据实际注明页码)</w:t>
      </w:r>
    </w:p>
    <w:p>
      <w:pPr>
        <w:pStyle w:val="3"/>
        <w:jc w:val="both"/>
        <w:rPr>
          <w:rFonts w:hint="eastAsia" w:ascii="黑体" w:hAnsi="黑体" w:eastAsia="黑体"/>
          <w:b w:val="0"/>
        </w:rPr>
      </w:pPr>
      <w:bookmarkStart w:id="1" w:name="_Toc15377196"/>
      <w:bookmarkStart w:id="2" w:name="_Toc15396599"/>
    </w:p>
    <w:p>
      <w:pPr>
        <w:pStyle w:val="3"/>
        <w:jc w:val="center"/>
        <w:rPr>
          <w:rFonts w:hint="eastAsia" w:ascii="黑体" w:hAnsi="黑体" w:eastAsia="黑体"/>
          <w:b w:val="0"/>
        </w:rPr>
      </w:pPr>
    </w:p>
    <w:p>
      <w:pPr>
        <w:pStyle w:val="3"/>
        <w:spacing w:before="0" w:after="0" w:line="240" w:lineRule="auto"/>
        <w:jc w:val="both"/>
        <w:rPr>
          <w:rFonts w:hint="eastAsia" w:ascii="黑体" w:hAnsi="黑体" w:eastAsia="黑体"/>
          <w:b w:val="0"/>
        </w:rPr>
      </w:pPr>
    </w:p>
    <w:p>
      <w:pPr>
        <w:pStyle w:val="3"/>
        <w:jc w:val="both"/>
        <w:rPr>
          <w:rFonts w:hint="eastAsia" w:ascii="黑体" w:hAnsi="黑体" w:eastAsia="黑体"/>
          <w:b w:val="0"/>
        </w:rPr>
      </w:pPr>
    </w:p>
    <w:bookmarkEnd w:id="1"/>
    <w:bookmarkEnd w:id="2"/>
    <w:p>
      <w:pPr>
        <w:widowControl/>
        <w:jc w:val="left"/>
        <w:rPr>
          <w:rFonts w:ascii="黑体" w:eastAsia="黑体"/>
          <w:sz w:val="32"/>
          <w:szCs w:val="32"/>
        </w:rPr>
      </w:pPr>
    </w:p>
    <w:p>
      <w:pPr>
        <w:pStyle w:val="3"/>
        <w:jc w:val="center"/>
        <w:rPr>
          <w:rFonts w:hint="eastAsia" w:ascii="仿宋" w:hAnsi="仿宋" w:eastAsia="仿宋" w:cs="仿宋"/>
          <w:bCs/>
          <w:sz w:val="32"/>
          <w:szCs w:val="32"/>
          <w:lang w:eastAsia="zh-CN"/>
        </w:rPr>
      </w:pPr>
      <w:bookmarkStart w:id="3" w:name="_Toc15396600"/>
      <w:bookmarkStart w:id="4" w:name="_Toc15377197"/>
      <w:r>
        <w:rPr>
          <w:rFonts w:hint="eastAsia" w:ascii="黑体" w:hAnsi="黑体" w:eastAsia="黑体"/>
          <w:b w:val="0"/>
        </w:rPr>
        <w:t>第一部分</w:t>
      </w:r>
      <w:r>
        <w:rPr>
          <w:rFonts w:hint="eastAsia" w:ascii="黑体" w:hAnsi="黑体" w:eastAsia="黑体"/>
          <w:b w:val="0"/>
          <w:lang w:val="en-US" w:eastAsia="zh-CN"/>
        </w:rPr>
        <w:t xml:space="preserve"> </w:t>
      </w:r>
      <w:r>
        <w:rPr>
          <w:rFonts w:hint="eastAsia" w:ascii="黑体" w:hAnsi="黑体" w:eastAsia="黑体"/>
          <w:b w:val="0"/>
        </w:rPr>
        <w:t xml:space="preserve"> </w:t>
      </w:r>
      <w:r>
        <w:rPr>
          <w:rStyle w:val="32"/>
          <w:rFonts w:hint="eastAsia" w:ascii="黑体" w:hAnsi="黑体" w:eastAsia="黑体"/>
          <w:b w:val="0"/>
          <w:bCs w:val="0"/>
        </w:rPr>
        <w:t>单位概况</w:t>
      </w:r>
    </w:p>
    <w:p>
      <w:pPr>
        <w:pStyle w:val="12"/>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ascii="黑体" w:hAnsi="黑体" w:eastAsia="黑体" w:cs="黑体"/>
          <w:sz w:val="32"/>
          <w:szCs w:val="32"/>
        </w:rPr>
      </w:pPr>
      <w:r>
        <w:rPr>
          <w:rFonts w:hint="eastAsia" w:ascii="黑体" w:hAnsi="黑体" w:eastAsia="黑体" w:cs="黑体"/>
          <w:sz w:val="32"/>
          <w:szCs w:val="32"/>
        </w:rPr>
        <w:t>一、主要职责及重点工作</w:t>
      </w:r>
    </w:p>
    <w:p>
      <w:pPr>
        <w:pStyle w:val="12"/>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eastAsia"/>
        </w:rPr>
      </w:pPr>
      <w:r>
        <w:rPr>
          <w:rFonts w:hint="eastAsia" w:ascii="仿宋" w:hAnsi="仿宋" w:eastAsia="仿宋" w:cs="仿宋"/>
          <w:b/>
          <w:bCs/>
          <w:color w:val="000000"/>
          <w:sz w:val="32"/>
          <w:szCs w:val="32"/>
        </w:rPr>
        <w:t>（一）</w:t>
      </w:r>
      <w:r>
        <w:rPr>
          <w:rFonts w:hint="eastAsia" w:ascii="仿宋" w:hAnsi="仿宋" w:eastAsia="仿宋" w:cs="仿宋"/>
          <w:b/>
          <w:bCs/>
          <w:sz w:val="32"/>
          <w:szCs w:val="32"/>
        </w:rPr>
        <w:t>单位职责</w:t>
      </w:r>
    </w:p>
    <w:p>
      <w:pPr>
        <w:numPr>
          <w:ilvl w:val="0"/>
          <w:numId w:val="0"/>
        </w:numPr>
        <w:bidi w:val="0"/>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eastAsia="zh-CN"/>
        </w:rPr>
        <w:t>剑阁县现代农业园区事务中心</w:t>
      </w:r>
      <w:r>
        <w:rPr>
          <w:rFonts w:hint="eastAsia" w:ascii="仿宋" w:hAnsi="仿宋" w:eastAsia="仿宋" w:cs="仿宋"/>
          <w:b w:val="0"/>
          <w:bCs w:val="0"/>
          <w:sz w:val="32"/>
          <w:szCs w:val="32"/>
        </w:rPr>
        <w:t>主要负责</w:t>
      </w:r>
      <w:r>
        <w:rPr>
          <w:rFonts w:hint="eastAsia" w:ascii="仿宋" w:hAnsi="仿宋" w:eastAsia="仿宋" w:cs="仿宋"/>
          <w:b w:val="0"/>
          <w:bCs w:val="0"/>
          <w:sz w:val="32"/>
          <w:szCs w:val="32"/>
          <w:lang w:val="en-US" w:eastAsia="zh-CN"/>
        </w:rPr>
        <w:t>现代农业</w:t>
      </w:r>
      <w:r>
        <w:rPr>
          <w:rFonts w:hint="eastAsia" w:ascii="仿宋" w:hAnsi="仿宋" w:eastAsia="仿宋" w:cs="仿宋"/>
          <w:b w:val="0"/>
          <w:bCs w:val="0"/>
          <w:sz w:val="32"/>
          <w:szCs w:val="32"/>
        </w:rPr>
        <w:t>园区的指导、督查、考核和发展总体规划、</w:t>
      </w:r>
      <w:r>
        <w:rPr>
          <w:rFonts w:hint="eastAsia" w:ascii="仿宋" w:hAnsi="仿宋" w:eastAsia="仿宋" w:cs="仿宋"/>
          <w:b w:val="0"/>
          <w:bCs w:val="0"/>
          <w:sz w:val="32"/>
          <w:szCs w:val="32"/>
          <w:lang w:val="en-US" w:eastAsia="zh-CN"/>
        </w:rPr>
        <w:t>年度</w:t>
      </w:r>
      <w:r>
        <w:rPr>
          <w:rFonts w:hint="eastAsia" w:ascii="仿宋" w:hAnsi="仿宋" w:eastAsia="仿宋" w:cs="仿宋"/>
          <w:b w:val="0"/>
          <w:bCs w:val="0"/>
          <w:sz w:val="32"/>
          <w:szCs w:val="32"/>
        </w:rPr>
        <w:t>建设方案的设计、发展政策调研、档案的收集管理、统筹协调</w:t>
      </w:r>
      <w:r>
        <w:rPr>
          <w:rFonts w:hint="eastAsia" w:ascii="仿宋" w:hAnsi="仿宋" w:eastAsia="仿宋" w:cs="仿宋"/>
          <w:b w:val="0"/>
          <w:bCs w:val="0"/>
          <w:sz w:val="32"/>
          <w:szCs w:val="32"/>
          <w:lang w:val="en-US" w:eastAsia="zh-CN"/>
        </w:rPr>
        <w:t>县现代农业园区建设项目资金整合方案制定。中心</w:t>
      </w:r>
      <w:r>
        <w:rPr>
          <w:rFonts w:hint="eastAsia" w:ascii="仿宋" w:hAnsi="仿宋" w:eastAsia="仿宋" w:cs="仿宋"/>
          <w:sz w:val="32"/>
          <w:szCs w:val="32"/>
        </w:rPr>
        <w:t>在职人员共</w:t>
      </w:r>
      <w:r>
        <w:rPr>
          <w:rFonts w:hint="eastAsia" w:ascii="仿宋" w:hAnsi="仿宋" w:eastAsia="仿宋" w:cs="仿宋"/>
          <w:sz w:val="32"/>
          <w:szCs w:val="32"/>
          <w:lang w:val="en-US" w:eastAsia="zh-CN"/>
        </w:rPr>
        <w:t>9</w:t>
      </w:r>
      <w:r>
        <w:rPr>
          <w:rFonts w:hint="eastAsia" w:ascii="仿宋" w:hAnsi="仿宋" w:eastAsia="仿宋" w:cs="仿宋"/>
          <w:sz w:val="32"/>
          <w:szCs w:val="32"/>
        </w:rPr>
        <w:t>人，其中行政人员1名，事业人员</w:t>
      </w:r>
      <w:r>
        <w:rPr>
          <w:rFonts w:hint="eastAsia" w:ascii="仿宋" w:hAnsi="仿宋" w:eastAsia="仿宋" w:cs="仿宋"/>
          <w:sz w:val="32"/>
          <w:szCs w:val="32"/>
          <w:lang w:val="en-US" w:eastAsia="zh-CN"/>
        </w:rPr>
        <w:t>8名</w:t>
      </w:r>
      <w:r>
        <w:rPr>
          <w:rFonts w:hint="eastAsia" w:ascii="仿宋" w:hAnsi="仿宋" w:eastAsia="仿宋" w:cs="仿宋"/>
          <w:sz w:val="32"/>
          <w:szCs w:val="32"/>
        </w:rPr>
        <w:t>。</w:t>
      </w:r>
    </w:p>
    <w:p>
      <w:pPr>
        <w:pStyle w:val="6"/>
        <w:keepNext w:val="0"/>
        <w:keepLines w:val="0"/>
        <w:pageBreakBefore w:val="0"/>
        <w:widowControl w:val="0"/>
        <w:kinsoku/>
        <w:wordWrap/>
        <w:overflowPunct/>
        <w:topLinePunct w:val="0"/>
        <w:autoSpaceDE/>
        <w:autoSpaceDN/>
        <w:bidi w:val="0"/>
        <w:adjustRightInd w:val="0"/>
        <w:snapToGrid w:val="0"/>
        <w:spacing w:before="93" w:line="576" w:lineRule="exact"/>
        <w:ind w:firstLine="675" w:firstLineChars="210"/>
        <w:textAlignment w:val="auto"/>
        <w:outlineLvl w:val="2"/>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w:t>
      </w:r>
      <w:r>
        <w:rPr>
          <w:rFonts w:ascii="仿宋" w:hAnsi="仿宋" w:eastAsia="仿宋" w:cs="仿宋"/>
          <w:b/>
          <w:bCs/>
          <w:color w:val="000000"/>
          <w:sz w:val="32"/>
          <w:szCs w:val="32"/>
        </w:rPr>
        <w:t>20</w:t>
      </w:r>
      <w:r>
        <w:rPr>
          <w:rFonts w:hint="eastAsia" w:ascii="仿宋" w:hAnsi="仿宋" w:eastAsia="仿宋" w:cs="仿宋"/>
          <w:b/>
          <w:bCs/>
          <w:color w:val="000000"/>
          <w:sz w:val="32"/>
          <w:szCs w:val="32"/>
          <w:lang w:val="en-US" w:eastAsia="zh-CN"/>
        </w:rPr>
        <w:t>22</w:t>
      </w:r>
      <w:r>
        <w:rPr>
          <w:rFonts w:hint="eastAsia" w:ascii="仿宋" w:hAnsi="仿宋" w:eastAsia="仿宋" w:cs="仿宋"/>
          <w:b/>
          <w:bCs/>
          <w:color w:val="000000"/>
          <w:sz w:val="32"/>
          <w:szCs w:val="32"/>
        </w:rPr>
        <w:t>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楷体_GB2312" w:hAnsi="楷体_GB2312" w:eastAsia="楷体_GB2312" w:cs="楷体_GB2312"/>
          <w:b/>
          <w:bCs/>
          <w:sz w:val="32"/>
          <w:szCs w:val="32"/>
        </w:rPr>
        <w:t>（一）剑南粮油园区创建省五星级园区成效显著。</w:t>
      </w:r>
      <w:r>
        <w:rPr>
          <w:rFonts w:hint="eastAsia" w:ascii="仿宋" w:hAnsi="仿宋" w:eastAsia="仿宋" w:cs="仿宋"/>
          <w:b w:val="0"/>
          <w:bCs w:val="0"/>
          <w:sz w:val="32"/>
          <w:szCs w:val="32"/>
          <w:lang w:eastAsia="zh-CN"/>
        </w:rPr>
        <w:t>一是坚持基地规模发展。以优质粮油为主导产业，集中连片建成粮油产业基地5.7万亩，其中核心区3.125万亩、稻鱼基地1.36万亩，配套养殖肉牛3800头。二是坚持现代装备配套。强化“五网”设施建设，建成高标准农田4.43万亩，核心区占比达91.25%；配套大中型农业机械273台，粮油综合机械化耕作率达88%；建成粮食烘干仓储中心5个，粮食烘干率达85.57%。三是坚持加工链条升级。培育粮油加工企业5家，实现粮油农产品初加工2.05万吨，占园区粮油产量的81.29%；秸秆综合利用率及农膜回收率达100%。四是坚持新型业态发展。建成乡村旅游景观节点18处，配套农家乐和乡村酒店8家，休闲农业设施设备全面配套；规范粮油销售电商6家，电商交易销售月直播80小时以上。五是坚持绿色品牌创建。种养循环有效面积5.3万亩，亩均化肥施用量、亩均农药施用量分别低于全县水平16.36%、15.94%，127家新型经营主体入驻国家追溯平台，可追溯面积达91%；创建“东宝贡米”“碗中宝”等知名粮油品牌5个，园区优质水稻、优质油菜均在全国绿色食品原料生产基地认证范围内。六是坚持现代科技支撑。与川农大、西南大学、省畜科院合作，组建专家服务团队2个，建成专家工作站1个；建有油菜、水稻新品种和新技术试验基地150亩，新品种、新技术、新模式、新工艺推广应用面达100%。七是坚持组织方式多元化。培育新型农业经营主体137家，其中省级龙头企业2家、省级农民合作社3家、县级以上示范家庭农场43家，带动园区3178户农户加入合作社，且各村民小组均建有家庭农场；经营主体与农户紧密利益联结，2022年农民人均可支配收入达1.92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b w:val="0"/>
          <w:bCs w:val="0"/>
          <w:sz w:val="32"/>
          <w:szCs w:val="32"/>
          <w:lang w:eastAsia="zh-CN"/>
        </w:rPr>
      </w:pPr>
      <w:r>
        <w:rPr>
          <w:rFonts w:hint="eastAsia" w:ascii="楷体_GB2312" w:hAnsi="楷体_GB2312" w:eastAsia="楷体_GB2312" w:cs="楷体_GB2312"/>
          <w:b/>
          <w:bCs/>
          <w:sz w:val="32"/>
          <w:szCs w:val="32"/>
        </w:rPr>
        <w:t>（二）剑北粮油园区创建市级园区全面完成。</w:t>
      </w:r>
      <w:r>
        <w:rPr>
          <w:rFonts w:hint="eastAsia" w:ascii="仿宋" w:hAnsi="仿宋" w:eastAsia="仿宋" w:cs="仿宋"/>
          <w:b w:val="0"/>
          <w:bCs w:val="0"/>
          <w:sz w:val="32"/>
          <w:szCs w:val="32"/>
          <w:lang w:eastAsia="zh-CN"/>
        </w:rPr>
        <w:t>一是突出优质粮油主导产业。围绕剑阁绿色粮油产业发展，核心区建成粮油产业基地1.1万亩，种植有机高钙大米1200亩，辐射带动1.21万亩。二是突出稻鱼综合种养。夯实全省“鱼米之乡”创建根基，建成稻鱼共生基地426亩，实现“一水两用，一田两收”和“一亩田、千斤粮、万元钱”。三是突出农业品牌建设。完善县乡村三级农产品品牌监管体系，建立农产品可追溯平台，成功创建“东宝贡”“鱼田米”等知名品牌6个。园区0.59万亩油菜、0.52万亩水稻均认证为全国绿色食品原料标准化生产基地，23家经营主体获得品牌认证登记。四是补齐设施设备短板。大力推动园区水、路、电、田、通讯等“五网”设施配套，园区核心区建成高标准农田0.9万亩，全面实现能排能灌、旱涝保收、宜机作业。五是提升现代装备水平。建成园区数字农业管理中心，强化机械化支撑作业，培育粮油专业化服务组织5家，园区粮油耕、种、收等综合机械化耕作水平达88.2%，高于全市平均水平20%以上。六是配套烘干仓储设备。围绕粮油主导产业，完善生产设施配套，推动“两主体四中心”建设。建成汉阳壮山、剑门关双鱼等标准化粮食烘干仓储中心3个，年烘干能力达7000吨以上。七是培育进园创业主体。以构建集约化、专业化、组织化和社会化的新型农业经营体系为目标，促进龙头企业带动合作社、家庭农场和小农户开展生产互助，组建优质粮油农业产业化联合体，培育东山米业等龙头企业5家、农民合作社31家、家庭农场56家。八是大力发展农村电商。全力推进园区电商创业创新发展，新建粮油电商销售平台2个。二十大党代表邓小燕用“一部手机+一台电脑”，打造“互联网+基地+物流”新运营模式，通过直播带货、网络直销等活动，交易额达1000余万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Cs/>
          <w:sz w:val="32"/>
          <w:szCs w:val="32"/>
          <w:lang w:val="en-US" w:eastAsia="zh-CN"/>
        </w:rPr>
      </w:pPr>
      <w:r>
        <w:rPr>
          <w:rFonts w:hint="eastAsia" w:ascii="楷体_GB2312" w:hAnsi="楷体_GB2312" w:eastAsia="楷体_GB2312" w:cs="楷体_GB2312"/>
          <w:b/>
          <w:bCs/>
          <w:sz w:val="32"/>
          <w:szCs w:val="32"/>
        </w:rPr>
        <w:t>（三）老园区巩固提升成效显著。</w:t>
      </w:r>
      <w:r>
        <w:rPr>
          <w:rFonts w:hint="eastAsia" w:ascii="仿宋" w:hAnsi="仿宋" w:eastAsia="仿宋" w:cs="仿宋"/>
          <w:b w:val="0"/>
          <w:bCs w:val="0"/>
          <w:sz w:val="32"/>
          <w:szCs w:val="32"/>
          <w:lang w:eastAsia="zh-CN"/>
        </w:rPr>
        <w:t>县委、县政府高度重视老园区提升工作，制定《剑阁县2022年老园区提升建设实施方案》并将相关任务落实到具体责任单位；坚持“突出特色、科技领先、融合发展、优质高效”的原则，对石洞沟、抄手和五指山等3个园区开展提质增效工作，加强已建产业基地管护，突出一三产业融合，实现农产品安全、优质、高效，以农业科技示范引领园区特色农业产业发展。一是保障提升资金到位。全年通过整合乡村振兴衔接资金、农村厕所革命、东西协作等项目，园区共整合提升资金3800万元。二是突出基地建设。完成0.7万亩猕猴桃、1.55万亩特色水果产业的管理，改造提升冷链物流中心1处，新建猕猴桃大棚1500亩，配套水肥一体化系统0.36万亩。三是完善基础设施。完成土地整治1300亩，改造道路桥3座，修复损毁道路8公里，新增设港湾式错车道10个、生态停车场2处。四是推进业态发展。完成园区乡村酒店及农家乐上档升级8家，新建观景节点及大地田园景观4处，开展油菜花节乡村旅游活动，吸引游客5万余人参加。</w:t>
      </w:r>
    </w:p>
    <w:p>
      <w:pPr>
        <w:pStyle w:val="4"/>
        <w:numPr>
          <w:ilvl w:val="0"/>
          <w:numId w:val="0"/>
        </w:numPr>
        <w:ind w:leftChars="0"/>
        <w:rPr>
          <w:rFonts w:hint="eastAsia" w:ascii="黑体" w:hAnsi="黑体" w:eastAsia="黑体"/>
          <w:b w:val="0"/>
        </w:rPr>
      </w:pPr>
      <w:r>
        <w:rPr>
          <w:rFonts w:hint="eastAsia" w:ascii="黑体" w:hAnsi="黑体" w:eastAsia="黑体"/>
          <w:b w:val="0"/>
          <w:lang w:val="en-US" w:eastAsia="zh-CN"/>
        </w:rPr>
        <w:t>二、</w:t>
      </w:r>
      <w:r>
        <w:rPr>
          <w:rFonts w:hint="eastAsia" w:ascii="黑体" w:hAnsi="黑体" w:eastAsia="黑体"/>
          <w:b w:val="0"/>
        </w:rPr>
        <w:t>机构设置</w:t>
      </w:r>
    </w:p>
    <w:p>
      <w:pPr>
        <w:pStyle w:val="4"/>
        <w:numPr>
          <w:ilvl w:val="0"/>
          <w:numId w:val="0"/>
        </w:numPr>
        <w:ind w:leftChars="0"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剑阁县现代农业园区事务中心属于县农业农村局直管的二</w:t>
      </w:r>
      <w:r>
        <w:rPr>
          <w:rFonts w:hint="eastAsia" w:ascii="仿宋_GB2312" w:eastAsia="仿宋_GB2312"/>
          <w:b w:val="0"/>
          <w:bCs w:val="0"/>
          <w:sz w:val="32"/>
          <w:szCs w:val="32"/>
        </w:rPr>
        <w:t>级预算单位</w:t>
      </w:r>
      <w:r>
        <w:rPr>
          <w:rFonts w:hint="eastAsia" w:ascii="仿宋_GB2312" w:eastAsia="仿宋_GB2312"/>
          <w:b w:val="0"/>
          <w:bCs w:val="0"/>
          <w:sz w:val="32"/>
          <w:szCs w:val="32"/>
          <w:lang w:val="en-US" w:eastAsia="zh-CN"/>
        </w:rPr>
        <w:t>。</w:t>
      </w:r>
    </w:p>
    <w:p>
      <w:pPr>
        <w:numPr>
          <w:ilvl w:val="0"/>
          <w:numId w:val="0"/>
        </w:numPr>
        <w:bidi w:val="0"/>
        <w:ind w:firstLine="640" w:firstLineChars="200"/>
        <w:rPr>
          <w:rFonts w:hint="eastAsia" w:ascii="仿宋" w:hAnsi="仿宋" w:eastAsia="仿宋" w:cs="仿宋"/>
          <w:sz w:val="32"/>
          <w:szCs w:val="32"/>
        </w:rPr>
      </w:pPr>
    </w:p>
    <w:p>
      <w:pPr>
        <w:numPr>
          <w:ilvl w:val="0"/>
          <w:numId w:val="0"/>
        </w:numPr>
        <w:ind w:leftChars="0"/>
      </w:pPr>
    </w:p>
    <w:bookmarkEnd w:id="3"/>
    <w:bookmarkEnd w:id="4"/>
    <w:p>
      <w:pPr>
        <w:widowControl/>
        <w:jc w:val="left"/>
        <w:rPr>
          <w:rFonts w:ascii="仿宋" w:hAnsi="仿宋" w:eastAsia="仿宋"/>
          <w:kern w:val="0"/>
          <w:sz w:val="32"/>
          <w:szCs w:val="32"/>
        </w:rPr>
      </w:pPr>
    </w:p>
    <w:p>
      <w:pPr>
        <w:pStyle w:val="3"/>
        <w:ind w:right="440"/>
        <w:jc w:val="center"/>
        <w:rPr>
          <w:rStyle w:val="26"/>
          <w:rFonts w:ascii="黑体" w:hAnsi="黑体" w:eastAsia="黑体"/>
          <w:b w:val="0"/>
          <w:bCs/>
        </w:rPr>
      </w:pPr>
      <w:bookmarkStart w:id="5" w:name="_Toc15377204"/>
      <w:bookmarkStart w:id="6"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5"/>
      <w:bookmarkEnd w:id="6"/>
    </w:p>
    <w:p/>
    <w:p>
      <w:pPr>
        <w:pStyle w:val="25"/>
        <w:numPr>
          <w:ilvl w:val="0"/>
          <w:numId w:val="1"/>
        </w:numPr>
        <w:spacing w:line="600" w:lineRule="exact"/>
        <w:ind w:firstLineChars="0"/>
        <w:outlineLvl w:val="1"/>
        <w:rPr>
          <w:rStyle w:val="27"/>
          <w:rFonts w:ascii="黑体" w:hAnsi="黑体" w:eastAsia="黑体"/>
          <w:b w:val="0"/>
        </w:rPr>
      </w:pPr>
      <w:bookmarkStart w:id="7" w:name="_Toc15377205"/>
      <w:bookmarkStart w:id="8"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7"/>
      <w:bookmarkEnd w:id="8"/>
    </w:p>
    <w:p>
      <w:pPr>
        <w:spacing w:line="600" w:lineRule="exact"/>
        <w:ind w:firstLine="640" w:firstLineChars="200"/>
        <w:rPr>
          <w:rFonts w:hint="eastAsia" w:ascii="仿宋" w:hAnsi="仿宋" w:eastAsia="仿宋"/>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年度收、支总计</w:t>
      </w:r>
      <w:r>
        <w:rPr>
          <w:rFonts w:hint="eastAsia" w:ascii="仿宋" w:hAnsi="仿宋" w:eastAsia="仿宋"/>
          <w:sz w:val="32"/>
          <w:szCs w:val="32"/>
          <w:lang w:val="en-US" w:eastAsia="zh-CN"/>
        </w:rPr>
        <w:t>200.76万元。</w:t>
      </w:r>
      <w:r>
        <w:rPr>
          <w:rFonts w:hint="eastAsia" w:ascii="仿宋" w:hAnsi="仿宋" w:eastAsia="仿宋"/>
          <w:sz w:val="32"/>
          <w:szCs w:val="32"/>
        </w:rPr>
        <w:t>与2021年相比，</w:t>
      </w:r>
      <w:r>
        <w:rPr>
          <w:rFonts w:hint="eastAsia" w:ascii="仿宋" w:hAnsi="仿宋" w:eastAsia="仿宋" w:cs="仿宋"/>
          <w:color w:val="000000"/>
          <w:sz w:val="32"/>
          <w:szCs w:val="32"/>
        </w:rPr>
        <w:t>收、支总计</w:t>
      </w:r>
      <w:r>
        <w:rPr>
          <w:rFonts w:hint="eastAsia" w:ascii="仿宋" w:hAnsi="仿宋" w:eastAsia="仿宋" w:cs="仿宋"/>
          <w:color w:val="000000"/>
          <w:sz w:val="32"/>
          <w:szCs w:val="32"/>
          <w:lang w:val="en-US" w:eastAsia="zh-CN"/>
        </w:rPr>
        <w:t>减少26.90</w:t>
      </w:r>
      <w:r>
        <w:rPr>
          <w:rFonts w:hint="eastAsia" w:ascii="仿宋" w:hAnsi="仿宋" w:eastAsia="仿宋"/>
          <w:sz w:val="32"/>
          <w:szCs w:val="32"/>
          <w:lang w:val="en-US" w:eastAsia="zh-CN"/>
        </w:rPr>
        <w:t>万元，下降11.8%，减少的原因为人为调出，无新增项目；</w:t>
      </w:r>
    </w:p>
    <w:p>
      <w:pPr>
        <w:pStyle w:val="6"/>
        <w:jc w:val="center"/>
        <w:rPr>
          <w:rFonts w:hint="eastAsia" w:eastAsia="仿宋_GB2312"/>
          <w:lang w:eastAsia="zh-CN"/>
        </w:rPr>
      </w:pPr>
      <w:r>
        <w:rPr>
          <w:rFonts w:hint="eastAsia"/>
          <w:lang w:eastAsia="zh-CN"/>
        </w:rPr>
        <w:t>（</w:t>
      </w:r>
      <w:r>
        <w:rPr>
          <w:rFonts w:hint="eastAsia"/>
        </w:rPr>
        <w:t>图1</w:t>
      </w:r>
      <w:r>
        <w:rPr>
          <w:rFonts w:hint="eastAsia"/>
          <w:lang w:eastAsia="zh-CN"/>
        </w:rPr>
        <w:t>：</w:t>
      </w:r>
      <w:r>
        <w:rPr>
          <w:rFonts w:hint="eastAsia"/>
        </w:rPr>
        <w:t>收</w:t>
      </w:r>
      <w:r>
        <w:rPr>
          <w:rFonts w:hint="eastAsia"/>
          <w:lang w:val="en-US" w:eastAsia="zh-CN"/>
        </w:rPr>
        <w:t>支</w:t>
      </w:r>
      <w:r>
        <w:rPr>
          <w:rFonts w:hint="eastAsia"/>
        </w:rPr>
        <w:t>决算总计变动情况图</w:t>
      </w:r>
      <w:r>
        <w:rPr>
          <w:rFonts w:hint="eastAsia"/>
          <w:lang w:eastAsia="zh-CN"/>
        </w:rPr>
        <w:t>）</w:t>
      </w: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1"/>
        </w:numPr>
        <w:spacing w:line="600" w:lineRule="exact"/>
        <w:ind w:firstLineChars="0"/>
        <w:outlineLvl w:val="1"/>
        <w:rPr>
          <w:rStyle w:val="27"/>
          <w:rFonts w:ascii="黑体" w:hAnsi="黑体" w:eastAsia="黑体"/>
          <w:b w:val="0"/>
        </w:rPr>
      </w:pPr>
      <w:bookmarkStart w:id="9" w:name="_Toc15377206"/>
      <w:bookmarkStart w:id="10" w:name="_Toc15396604"/>
      <w:r>
        <w:rPr>
          <w:rFonts w:hint="eastAsia" w:ascii="黑体" w:hAnsi="黑体" w:eastAsia="黑体"/>
          <w:sz w:val="32"/>
          <w:szCs w:val="32"/>
        </w:rPr>
        <w:t>收</w:t>
      </w:r>
      <w:r>
        <w:rPr>
          <w:rStyle w:val="27"/>
          <w:rFonts w:hint="eastAsia" w:ascii="黑体" w:hAnsi="黑体" w:eastAsia="黑体"/>
          <w:b w:val="0"/>
        </w:rPr>
        <w:t>入决算情况说明</w:t>
      </w:r>
      <w:bookmarkEnd w:id="9"/>
      <w:bookmarkEnd w:id="10"/>
    </w:p>
    <w:p>
      <w:pPr>
        <w:spacing w:line="600" w:lineRule="exact"/>
        <w:ind w:firstLine="640" w:firstLineChars="200"/>
        <w:outlineLvl w:val="1"/>
        <w:rPr>
          <w:rFonts w:hint="eastAsia" w:ascii="仿宋" w:hAnsi="仿宋" w:eastAsia="仿宋" w:cs="仿宋"/>
          <w:color w:val="000000"/>
          <w:sz w:val="32"/>
          <w:szCs w:val="32"/>
          <w:lang w:val="en-US" w:eastAsia="zh-CN"/>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200.76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126.09</w:t>
      </w:r>
      <w:r>
        <w:rPr>
          <w:rFonts w:hint="eastAsia" w:ascii="仿宋" w:hAnsi="仿宋" w:eastAsia="仿宋"/>
          <w:sz w:val="32"/>
          <w:szCs w:val="32"/>
        </w:rPr>
        <w:t>万元，占</w:t>
      </w:r>
      <w:r>
        <w:rPr>
          <w:rFonts w:hint="eastAsia" w:ascii="仿宋" w:hAnsi="仿宋" w:eastAsia="仿宋"/>
          <w:sz w:val="32"/>
          <w:szCs w:val="32"/>
          <w:lang w:val="en-US" w:eastAsia="zh-CN"/>
        </w:rPr>
        <w:t>62.81</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val="en-US" w:eastAsia="zh-CN"/>
        </w:rPr>
        <w:t>；</w:t>
      </w:r>
      <w:r>
        <w:rPr>
          <w:rFonts w:hint="eastAsia" w:ascii="仿宋" w:hAnsi="仿宋" w:eastAsia="仿宋" w:cs="仿宋"/>
          <w:color w:val="000000"/>
          <w:sz w:val="32"/>
          <w:szCs w:val="32"/>
          <w:lang w:val="en-US" w:eastAsia="zh-CN"/>
        </w:rPr>
        <w:t>上年结转74.67万元，占37.19%。</w:t>
      </w:r>
    </w:p>
    <w:p>
      <w:pPr>
        <w:spacing w:line="600" w:lineRule="exact"/>
        <w:ind w:firstLine="1280" w:firstLineChars="400"/>
        <w:rPr>
          <w:rFonts w:hint="default"/>
          <w:lang w:val="en-US" w:eastAsia="zh-CN"/>
        </w:rPr>
      </w:pPr>
      <w:r>
        <w:rPr>
          <w:rFonts w:hint="eastAsia" w:ascii="仿宋" w:hAnsi="仿宋" w:eastAsia="仿宋"/>
          <w:sz w:val="32"/>
          <w:szCs w:val="32"/>
        </w:rPr>
        <w:t>（图2：收入决算结构图）（饼状图）</w:t>
      </w:r>
    </w:p>
    <w:p>
      <w:pPr>
        <w:pStyle w:val="6"/>
        <w:rPr>
          <w:rFonts w:hint="eastAsia"/>
          <w:lang w:val="en-US" w:eastAsia="zh-CN"/>
        </w:rPr>
      </w:pPr>
    </w:p>
    <w:p>
      <w:pPr>
        <w:pStyle w:val="6"/>
        <w:rPr>
          <w:rFonts w:hint="eastAsia"/>
          <w:lang w:val="en-US" w:eastAsia="zh-CN"/>
        </w:rPr>
      </w:pPr>
      <w:r>
        <w:drawing>
          <wp:inline distT="0" distB="0" distL="114300" distR="114300">
            <wp:extent cx="4572000" cy="2743200"/>
            <wp:effectExtent l="4445" t="4445" r="14605" b="1460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5"/>
        <w:numPr>
          <w:ilvl w:val="0"/>
          <w:numId w:val="1"/>
        </w:numPr>
        <w:spacing w:line="600" w:lineRule="exact"/>
        <w:ind w:firstLineChars="0"/>
        <w:outlineLvl w:val="1"/>
        <w:rPr>
          <w:rStyle w:val="27"/>
          <w:rFonts w:ascii="黑体" w:hAnsi="黑体" w:eastAsia="黑体"/>
          <w:b w:val="0"/>
        </w:rPr>
      </w:pPr>
      <w:bookmarkStart w:id="11" w:name="_Toc15396605"/>
      <w:bookmarkStart w:id="12" w:name="_Toc15377207"/>
      <w:r>
        <w:rPr>
          <w:rFonts w:hint="eastAsia" w:ascii="黑体" w:hAnsi="黑体" w:eastAsia="黑体"/>
          <w:sz w:val="32"/>
          <w:szCs w:val="32"/>
        </w:rPr>
        <w:t>支</w:t>
      </w:r>
      <w:r>
        <w:rPr>
          <w:rStyle w:val="27"/>
          <w:rFonts w:hint="eastAsia" w:ascii="黑体" w:hAnsi="黑体" w:eastAsia="黑体"/>
          <w:b w:val="0"/>
        </w:rPr>
        <w:t>出决算情况说明</w:t>
      </w:r>
      <w:bookmarkEnd w:id="11"/>
      <w:bookmarkEnd w:id="12"/>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200.76</w:t>
      </w:r>
      <w:r>
        <w:rPr>
          <w:rFonts w:hint="eastAsia" w:ascii="仿宋" w:hAnsi="仿宋" w:eastAsia="仿宋"/>
          <w:sz w:val="32"/>
          <w:szCs w:val="32"/>
        </w:rPr>
        <w:t>万元，其中：基本支出</w:t>
      </w:r>
      <w:r>
        <w:rPr>
          <w:rFonts w:hint="eastAsia" w:ascii="仿宋" w:hAnsi="仿宋" w:eastAsia="仿宋"/>
          <w:sz w:val="32"/>
          <w:szCs w:val="32"/>
          <w:lang w:val="en-US" w:eastAsia="zh-CN"/>
        </w:rPr>
        <w:t>121.09</w:t>
      </w:r>
      <w:r>
        <w:rPr>
          <w:rFonts w:hint="eastAsia" w:ascii="仿宋" w:hAnsi="仿宋" w:eastAsia="仿宋"/>
          <w:sz w:val="32"/>
          <w:szCs w:val="32"/>
        </w:rPr>
        <w:t>万元，占</w:t>
      </w:r>
      <w:r>
        <w:rPr>
          <w:rFonts w:hint="eastAsia" w:ascii="仿宋" w:hAnsi="仿宋" w:eastAsia="仿宋"/>
          <w:sz w:val="32"/>
          <w:szCs w:val="32"/>
          <w:lang w:val="en-US" w:eastAsia="zh-CN"/>
        </w:rPr>
        <w:t>60.31</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79.67</w:t>
      </w:r>
      <w:r>
        <w:rPr>
          <w:rFonts w:hint="eastAsia" w:ascii="仿宋" w:hAnsi="仿宋" w:eastAsia="仿宋"/>
          <w:sz w:val="32"/>
          <w:szCs w:val="32"/>
        </w:rPr>
        <w:t>万元，占</w:t>
      </w:r>
      <w:r>
        <w:rPr>
          <w:rFonts w:hint="eastAsia" w:ascii="仿宋" w:hAnsi="仿宋" w:eastAsia="仿宋"/>
          <w:sz w:val="32"/>
          <w:szCs w:val="32"/>
          <w:lang w:val="en-US" w:eastAsia="zh-CN"/>
        </w:rPr>
        <w:t>39.69</w:t>
      </w:r>
      <w:r>
        <w:rPr>
          <w:rFonts w:ascii="仿宋" w:hAnsi="仿宋" w:eastAsia="仿宋"/>
          <w:sz w:val="32"/>
          <w:szCs w:val="32"/>
        </w:rPr>
        <w:t>%</w:t>
      </w:r>
      <w:r>
        <w:rPr>
          <w:rFonts w:hint="eastAsia" w:ascii="仿宋" w:hAnsi="仿宋" w:eastAsia="仿宋"/>
          <w:sz w:val="32"/>
          <w:szCs w:val="32"/>
        </w:rPr>
        <w:t>。</w:t>
      </w:r>
    </w:p>
    <w:p>
      <w:pPr>
        <w:spacing w:line="600" w:lineRule="exact"/>
        <w:ind w:firstLine="1600" w:firstLineChars="500"/>
        <w:jc w:val="both"/>
        <w:outlineLvl w:val="1"/>
        <w:rPr>
          <w:rFonts w:hint="eastAsia"/>
        </w:rPr>
      </w:pPr>
      <w:r>
        <w:rPr>
          <w:rFonts w:hint="eastAsia" w:ascii="仿宋" w:hAnsi="仿宋" w:eastAsia="仿宋"/>
          <w:sz w:val="32"/>
          <w:szCs w:val="32"/>
        </w:rPr>
        <w:t>（图3：支出决算结构图）（饼状图）</w:t>
      </w:r>
    </w:p>
    <w:p>
      <w:pPr>
        <w:pStyle w:val="6"/>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7"/>
          <w:rFonts w:ascii="黑体" w:hAnsi="黑体" w:eastAsia="黑体"/>
          <w:b w:val="0"/>
        </w:rPr>
      </w:pPr>
      <w:bookmarkStart w:id="13" w:name="_Toc15396606"/>
      <w:bookmarkStart w:id="14"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13"/>
      <w:bookmarkEnd w:id="14"/>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2022年度</w:t>
      </w:r>
      <w:r>
        <w:rPr>
          <w:rFonts w:hint="eastAsia" w:ascii="仿宋" w:hAnsi="仿宋" w:eastAsia="仿宋" w:cs="仿宋"/>
          <w:color w:val="000000"/>
          <w:sz w:val="32"/>
          <w:szCs w:val="32"/>
        </w:rPr>
        <w:t>财政拨款收</w:t>
      </w:r>
      <w:r>
        <w:rPr>
          <w:rFonts w:hint="eastAsia" w:ascii="仿宋" w:hAnsi="仿宋" w:eastAsia="仿宋" w:cs="仿宋"/>
          <w:color w:val="000000"/>
          <w:sz w:val="32"/>
          <w:szCs w:val="32"/>
          <w:lang w:val="en-US" w:eastAsia="zh-CN"/>
        </w:rPr>
        <w:t>入</w:t>
      </w:r>
      <w:r>
        <w:rPr>
          <w:rFonts w:hint="eastAsia" w:ascii="仿宋" w:hAnsi="仿宋" w:eastAsia="仿宋"/>
          <w:sz w:val="32"/>
          <w:szCs w:val="32"/>
          <w:lang w:val="en-US" w:eastAsia="zh-CN"/>
        </w:rPr>
        <w:t>200.76万元，</w:t>
      </w:r>
      <w:r>
        <w:rPr>
          <w:rFonts w:hint="eastAsia" w:ascii="仿宋" w:hAnsi="仿宋" w:eastAsia="仿宋" w:cs="仿宋"/>
          <w:color w:val="000000"/>
          <w:sz w:val="32"/>
          <w:szCs w:val="32"/>
        </w:rPr>
        <w:t>与</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年相比，</w:t>
      </w:r>
      <w:r>
        <w:rPr>
          <w:rFonts w:hint="eastAsia" w:ascii="仿宋" w:hAnsi="仿宋" w:eastAsia="仿宋" w:cs="仿宋"/>
          <w:color w:val="000000"/>
          <w:sz w:val="32"/>
          <w:szCs w:val="32"/>
          <w:lang w:val="en-US" w:eastAsia="zh-CN"/>
        </w:rPr>
        <w:t>下降11.81%；</w:t>
      </w:r>
      <w:r>
        <w:rPr>
          <w:rFonts w:hint="eastAsia" w:ascii="仿宋" w:hAnsi="仿宋" w:eastAsia="仿宋" w:cs="仿宋"/>
          <w:color w:val="000000"/>
          <w:sz w:val="32"/>
          <w:szCs w:val="32"/>
        </w:rPr>
        <w:t>财政拨款</w:t>
      </w:r>
      <w:r>
        <w:rPr>
          <w:rFonts w:hint="eastAsia" w:ascii="仿宋" w:hAnsi="仿宋" w:eastAsia="仿宋"/>
          <w:sz w:val="32"/>
          <w:szCs w:val="32"/>
        </w:rPr>
        <w:t>支</w:t>
      </w:r>
      <w:r>
        <w:rPr>
          <w:rFonts w:hint="eastAsia" w:ascii="仿宋" w:hAnsi="仿宋" w:eastAsia="仿宋"/>
          <w:sz w:val="32"/>
          <w:szCs w:val="32"/>
          <w:lang w:val="en-US" w:eastAsia="zh-CN"/>
        </w:rPr>
        <w:t>出200.76</w:t>
      </w:r>
      <w:r>
        <w:rPr>
          <w:rFonts w:hint="eastAsia" w:ascii="仿宋" w:hAnsi="仿宋" w:eastAsia="仿宋"/>
          <w:sz w:val="32"/>
          <w:szCs w:val="32"/>
        </w:rPr>
        <w:t>万元。与2021年相比，</w:t>
      </w:r>
      <w:r>
        <w:rPr>
          <w:rFonts w:hint="eastAsia" w:ascii="仿宋" w:hAnsi="仿宋" w:eastAsia="仿宋"/>
          <w:sz w:val="32"/>
          <w:szCs w:val="32"/>
          <w:lang w:val="en-US" w:eastAsia="zh-CN"/>
        </w:rPr>
        <w:t>下降11.81%，减少的原因为人员调出，无新增项目。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6"/>
        <w:rPr>
          <w:rFonts w:hint="eastAsia"/>
          <w:lang w:val="en-US" w:eastAsia="zh-CN"/>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pPr>
    </w:p>
    <w:p>
      <w:pPr>
        <w:spacing w:line="600" w:lineRule="exact"/>
        <w:ind w:firstLine="640" w:firstLineChars="200"/>
        <w:outlineLvl w:val="1"/>
        <w:rPr>
          <w:rStyle w:val="27"/>
          <w:rFonts w:ascii="黑体" w:hAnsi="黑体" w:eastAsia="黑体"/>
          <w:b w:val="0"/>
        </w:rPr>
      </w:pPr>
      <w:bookmarkStart w:id="15" w:name="_Toc15377209"/>
      <w:bookmarkStart w:id="16"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15"/>
      <w:bookmarkEnd w:id="16"/>
    </w:p>
    <w:p>
      <w:pPr>
        <w:spacing w:line="600" w:lineRule="exact"/>
        <w:ind w:firstLine="643" w:firstLineChars="200"/>
        <w:outlineLvl w:val="2"/>
        <w:rPr>
          <w:rFonts w:ascii="仿宋" w:hAnsi="仿宋" w:eastAsia="仿宋"/>
          <w:b/>
          <w:sz w:val="32"/>
          <w:szCs w:val="32"/>
        </w:rPr>
      </w:pPr>
      <w:bookmarkStart w:id="17" w:name="_Toc15377210"/>
      <w:r>
        <w:rPr>
          <w:rFonts w:hint="eastAsia" w:ascii="仿宋" w:hAnsi="仿宋" w:eastAsia="仿宋"/>
          <w:b/>
          <w:sz w:val="32"/>
          <w:szCs w:val="32"/>
        </w:rPr>
        <w:t>（一）一般公共预算财政拨款支出决算总体情况</w:t>
      </w:r>
      <w:bookmarkEnd w:id="17"/>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200.76</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下降26.9</w:t>
      </w:r>
      <w:r>
        <w:rPr>
          <w:rFonts w:hint="eastAsia" w:ascii="仿宋" w:hAnsi="仿宋" w:eastAsia="仿宋"/>
          <w:sz w:val="32"/>
          <w:szCs w:val="32"/>
        </w:rPr>
        <w:t>万元，</w:t>
      </w:r>
      <w:r>
        <w:rPr>
          <w:rFonts w:hint="eastAsia" w:ascii="仿宋" w:hAnsi="仿宋" w:eastAsia="仿宋"/>
          <w:sz w:val="32"/>
          <w:szCs w:val="32"/>
          <w:lang w:val="en-US" w:eastAsia="zh-CN"/>
        </w:rPr>
        <w:t>下降11.81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lang w:val="en-US" w:eastAsia="zh-CN"/>
        </w:rPr>
        <w:t>下降的原因是人员调出，无新增项目。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6"/>
      </w:pPr>
      <w:r>
        <w:drawing>
          <wp:inline distT="0" distB="0" distL="114300" distR="114300">
            <wp:extent cx="4572000" cy="2743200"/>
            <wp:effectExtent l="4445" t="4445" r="14605" b="1460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18" w:name="_Toc15377211"/>
      <w:r>
        <w:rPr>
          <w:rFonts w:hint="eastAsia" w:ascii="仿宋" w:hAnsi="仿宋" w:eastAsia="仿宋"/>
          <w:b/>
          <w:sz w:val="32"/>
          <w:szCs w:val="32"/>
        </w:rPr>
        <w:t>（二）一般公共预算财政拨款支出决算结构情况</w:t>
      </w:r>
      <w:bookmarkEnd w:id="18"/>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200.76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10.56</w:t>
      </w:r>
      <w:r>
        <w:rPr>
          <w:rFonts w:hint="eastAsia" w:ascii="仿宋" w:hAnsi="仿宋" w:eastAsia="仿宋"/>
          <w:sz w:val="32"/>
          <w:szCs w:val="32"/>
        </w:rPr>
        <w:t>万元，占</w:t>
      </w:r>
      <w:r>
        <w:rPr>
          <w:rFonts w:hint="eastAsia" w:ascii="仿宋" w:hAnsi="仿宋" w:eastAsia="仿宋"/>
          <w:sz w:val="32"/>
          <w:szCs w:val="32"/>
          <w:lang w:val="en-US" w:eastAsia="zh-CN"/>
        </w:rPr>
        <w:t>5.26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5.28</w:t>
      </w:r>
      <w:r>
        <w:rPr>
          <w:rFonts w:hint="eastAsia" w:ascii="仿宋" w:hAnsi="仿宋" w:eastAsia="仿宋"/>
          <w:sz w:val="32"/>
          <w:szCs w:val="32"/>
        </w:rPr>
        <w:t>万元，占</w:t>
      </w:r>
      <w:r>
        <w:rPr>
          <w:rFonts w:hint="eastAsia" w:ascii="仿宋" w:hAnsi="仿宋" w:eastAsia="仿宋"/>
          <w:sz w:val="32"/>
          <w:szCs w:val="32"/>
          <w:lang w:val="en-US" w:eastAsia="zh-CN"/>
        </w:rPr>
        <w:t>2.63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7.92</w:t>
      </w:r>
      <w:r>
        <w:rPr>
          <w:rFonts w:hint="eastAsia" w:ascii="仿宋" w:hAnsi="仿宋" w:eastAsia="仿宋"/>
          <w:sz w:val="32"/>
          <w:szCs w:val="32"/>
        </w:rPr>
        <w:t>万元，占</w:t>
      </w:r>
      <w:r>
        <w:rPr>
          <w:rFonts w:hint="eastAsia" w:ascii="仿宋" w:hAnsi="仿宋" w:eastAsia="仿宋"/>
          <w:sz w:val="32"/>
          <w:szCs w:val="32"/>
          <w:lang w:val="en-US" w:eastAsia="zh-CN"/>
        </w:rPr>
        <w:t>3.94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lang w:val="en-US" w:eastAsia="zh-CN"/>
        </w:rPr>
        <w:t>农林水支出</w:t>
      </w:r>
      <w:r>
        <w:rPr>
          <w:rFonts w:hint="eastAsia" w:ascii="仿宋" w:hAnsi="仿宋" w:eastAsia="仿宋"/>
          <w:sz w:val="32"/>
          <w:szCs w:val="32"/>
          <w:lang w:val="en-US" w:eastAsia="zh-CN"/>
        </w:rPr>
        <w:t>177万元，占88.17%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pStyle w:val="6"/>
      </w:pPr>
    </w:p>
    <w:p>
      <w:pPr>
        <w:pStyle w:val="6"/>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19" w:name="_Toc15377212"/>
      <w:r>
        <w:rPr>
          <w:rFonts w:hint="eastAsia" w:ascii="仿宋" w:hAnsi="仿宋" w:eastAsia="仿宋"/>
          <w:b/>
          <w:sz w:val="32"/>
          <w:szCs w:val="32"/>
        </w:rPr>
        <w:t>（三）一般公共预算财政拨款支出决算具体情况</w:t>
      </w:r>
      <w:bookmarkEnd w:id="19"/>
    </w:p>
    <w:p>
      <w:pPr>
        <w:spacing w:line="600" w:lineRule="exact"/>
        <w:ind w:firstLine="643" w:firstLineChars="200"/>
        <w:outlineLvl w:val="2"/>
        <w:rPr>
          <w:rFonts w:ascii="仿宋" w:hAnsi="仿宋" w:eastAsia="仿宋"/>
          <w:sz w:val="32"/>
          <w:szCs w:val="32"/>
        </w:rPr>
      </w:pPr>
      <w:bookmarkStart w:id="20" w:name="_Toc15378460"/>
      <w:bookmarkStart w:id="21" w:name="_Toc15377444"/>
      <w:bookmarkStart w:id="22"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200.76万元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20"/>
      <w:bookmarkEnd w:id="21"/>
      <w:bookmarkEnd w:id="22"/>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lang w:val="en-US" w:eastAsia="zh-CN"/>
        </w:rPr>
        <w:t>1</w:t>
      </w:r>
      <w:r>
        <w:rPr>
          <w:rStyle w:val="16"/>
          <w:rFonts w:ascii="仿宋" w:hAnsi="仿宋" w:eastAsia="仿宋"/>
          <w:bCs/>
          <w:sz w:val="32"/>
          <w:szCs w:val="32"/>
        </w:rPr>
        <w:t>.</w:t>
      </w:r>
      <w:r>
        <w:rPr>
          <w:rStyle w:val="16"/>
          <w:rFonts w:hint="eastAsia" w:ascii="仿宋" w:hAnsi="仿宋" w:eastAsia="仿宋"/>
          <w:bCs/>
          <w:sz w:val="32"/>
          <w:szCs w:val="32"/>
        </w:rPr>
        <w:t>社会保障和就业</w:t>
      </w:r>
      <w:r>
        <w:rPr>
          <w:rStyle w:val="16"/>
          <w:rFonts w:hint="eastAsia" w:ascii="仿宋" w:hAnsi="仿宋" w:eastAsia="仿宋"/>
          <w:bCs/>
          <w:sz w:val="32"/>
          <w:szCs w:val="32"/>
          <w:lang w:val="en-US" w:eastAsia="zh-CN"/>
        </w:rPr>
        <w:t>（类）行政事业单位养老（款）机关事业单位基本养老保险缴费（项）：</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10.56</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w:t>
      </w:r>
      <w:r>
        <w:rPr>
          <w:rStyle w:val="16"/>
          <w:rFonts w:hint="eastAsia" w:ascii="仿宋" w:hAnsi="仿宋" w:eastAsia="仿宋" w:cs="仿宋"/>
          <w:b w:val="0"/>
          <w:bCs w:val="0"/>
          <w:color w:val="000000"/>
          <w:sz w:val="32"/>
          <w:szCs w:val="32"/>
        </w:rPr>
        <w:t>执行预算</w:t>
      </w:r>
      <w:r>
        <w:rPr>
          <w:rStyle w:val="16"/>
          <w:rFonts w:hint="eastAsia" w:ascii="仿宋" w:hAnsi="仿宋" w:eastAsia="仿宋"/>
          <w:b w:val="0"/>
          <w:bCs/>
          <w:sz w:val="32"/>
          <w:szCs w:val="32"/>
        </w:rPr>
        <w:t>。</w:t>
      </w:r>
    </w:p>
    <w:p>
      <w:pPr>
        <w:spacing w:line="600" w:lineRule="exact"/>
        <w:ind w:firstLine="643" w:firstLineChars="200"/>
        <w:rPr>
          <w:rStyle w:val="16"/>
          <w:rFonts w:hint="eastAsia" w:ascii="仿宋" w:hAnsi="仿宋" w:eastAsia="仿宋"/>
          <w:b w:val="0"/>
          <w:bCs/>
          <w:sz w:val="32"/>
          <w:szCs w:val="32"/>
        </w:rPr>
      </w:pPr>
      <w:r>
        <w:rPr>
          <w:rStyle w:val="16"/>
          <w:rFonts w:hint="eastAsia" w:ascii="仿宋" w:hAnsi="仿宋" w:eastAsia="仿宋"/>
          <w:bCs/>
          <w:sz w:val="32"/>
          <w:szCs w:val="32"/>
          <w:lang w:val="en-US" w:eastAsia="zh-CN"/>
        </w:rPr>
        <w:t>2</w:t>
      </w:r>
      <w:r>
        <w:rPr>
          <w:rStyle w:val="16"/>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val="en-US" w:eastAsia="zh-CN"/>
        </w:rPr>
        <w:t>（类）行政事业单位医疗（款）行政单位医疗（项）：</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5.28</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w:t>
      </w:r>
      <w:r>
        <w:rPr>
          <w:rStyle w:val="16"/>
          <w:rFonts w:hint="eastAsia" w:ascii="仿宋" w:hAnsi="仿宋" w:eastAsia="仿宋" w:cs="仿宋"/>
          <w:b w:val="0"/>
          <w:bCs w:val="0"/>
          <w:color w:val="000000"/>
          <w:sz w:val="32"/>
          <w:szCs w:val="32"/>
        </w:rPr>
        <w:t>执行预算</w:t>
      </w:r>
      <w:r>
        <w:rPr>
          <w:rStyle w:val="16"/>
          <w:rFonts w:hint="eastAsia" w:ascii="仿宋" w:hAnsi="仿宋" w:eastAsia="仿宋"/>
          <w:b w:val="0"/>
          <w:bCs/>
          <w:sz w:val="32"/>
          <w:szCs w:val="32"/>
        </w:rPr>
        <w:t>。</w:t>
      </w:r>
    </w:p>
    <w:p>
      <w:pPr>
        <w:spacing w:line="600" w:lineRule="exact"/>
        <w:ind w:firstLine="640" w:firstLineChars="200"/>
        <w:rPr>
          <w:rStyle w:val="16"/>
          <w:rFonts w:hint="eastAsia" w:ascii="仿宋" w:hAnsi="仿宋" w:eastAsia="仿宋"/>
          <w:b w:val="0"/>
          <w:bCs/>
          <w:sz w:val="32"/>
          <w:szCs w:val="32"/>
        </w:rPr>
      </w:pPr>
      <w:r>
        <w:rPr>
          <w:rStyle w:val="16"/>
          <w:rFonts w:hint="eastAsia" w:ascii="仿宋" w:hAnsi="仿宋" w:eastAsia="仿宋"/>
          <w:b w:val="0"/>
          <w:bCs/>
          <w:sz w:val="32"/>
          <w:szCs w:val="32"/>
          <w:lang w:val="en-US" w:eastAsia="zh-CN"/>
        </w:rPr>
        <w:t>3</w:t>
      </w:r>
      <w:r>
        <w:rPr>
          <w:rStyle w:val="16"/>
          <w:rFonts w:ascii="仿宋" w:hAnsi="仿宋" w:eastAsia="仿宋"/>
          <w:bCs/>
          <w:sz w:val="32"/>
          <w:szCs w:val="32"/>
        </w:rPr>
        <w:t>.</w:t>
      </w:r>
      <w:r>
        <w:rPr>
          <w:rFonts w:hint="eastAsia" w:ascii="仿宋" w:hAnsi="仿宋" w:eastAsia="仿宋" w:cs="仿宋"/>
          <w:b/>
          <w:bCs/>
          <w:color w:val="000000"/>
          <w:sz w:val="32"/>
          <w:szCs w:val="32"/>
        </w:rPr>
        <w:t>住房保障</w:t>
      </w:r>
      <w:r>
        <w:rPr>
          <w:rFonts w:hint="eastAsia" w:ascii="仿宋" w:hAnsi="仿宋" w:eastAsia="仿宋"/>
          <w:b/>
          <w:bCs/>
          <w:sz w:val="32"/>
          <w:szCs w:val="32"/>
          <w:lang w:val="en-US" w:eastAsia="zh-CN"/>
        </w:rPr>
        <w:t>（类）住房改革支出（款）住房公积金（项）：</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7.92</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，决算数等于预算数的主要原因是</w:t>
      </w:r>
      <w:r>
        <w:rPr>
          <w:rStyle w:val="16"/>
          <w:rFonts w:hint="eastAsia" w:ascii="仿宋" w:hAnsi="仿宋" w:eastAsia="仿宋" w:cs="仿宋"/>
          <w:b w:val="0"/>
          <w:bCs w:val="0"/>
          <w:color w:val="000000"/>
          <w:sz w:val="32"/>
          <w:szCs w:val="32"/>
        </w:rPr>
        <w:t>执行预算</w:t>
      </w:r>
      <w:r>
        <w:rPr>
          <w:rStyle w:val="16"/>
          <w:rFonts w:hint="eastAsia" w:ascii="仿宋" w:hAnsi="仿宋" w:eastAsia="仿宋"/>
          <w:b w:val="0"/>
          <w:bCs/>
          <w:sz w:val="32"/>
          <w:szCs w:val="32"/>
        </w:rPr>
        <w:t>。</w:t>
      </w:r>
    </w:p>
    <w:p>
      <w:pPr>
        <w:keepNext w:val="0"/>
        <w:keepLines w:val="0"/>
        <w:pageBreakBefore w:val="0"/>
        <w:widowControl w:val="0"/>
        <w:kinsoku/>
        <w:wordWrap/>
        <w:overflowPunct/>
        <w:topLinePunct w:val="0"/>
        <w:bidi w:val="0"/>
        <w:spacing w:line="576" w:lineRule="exact"/>
        <w:ind w:left="0" w:right="6" w:firstLine="420" w:firstLineChars="200"/>
        <w:jc w:val="both"/>
        <w:textAlignment w:val="auto"/>
        <w:rPr>
          <w:rFonts w:hint="eastAsia" w:ascii="仿宋" w:hAnsi="仿宋" w:eastAsia="仿宋"/>
          <w:b/>
          <w:sz w:val="32"/>
          <w:szCs w:val="32"/>
          <w:lang w:eastAsia="zh-CN"/>
        </w:rPr>
      </w:pPr>
      <w:r>
        <w:rPr>
          <w:rFonts w:hint="eastAsia" w:eastAsia="仿宋"/>
          <w:lang w:val="en-US" w:eastAsia="zh-CN"/>
        </w:rPr>
        <w:t xml:space="preserve">  </w:t>
      </w:r>
      <w:r>
        <w:rPr>
          <w:rStyle w:val="16"/>
          <w:rFonts w:hint="eastAsia" w:ascii="仿宋" w:hAnsi="仿宋" w:eastAsia="仿宋"/>
          <w:b w:val="0"/>
          <w:bCs/>
          <w:sz w:val="32"/>
          <w:szCs w:val="32"/>
          <w:lang w:val="en-US" w:eastAsia="zh-CN"/>
        </w:rPr>
        <w:t>4</w:t>
      </w:r>
      <w:r>
        <w:rPr>
          <w:rStyle w:val="16"/>
          <w:rFonts w:ascii="仿宋" w:hAnsi="仿宋" w:eastAsia="仿宋"/>
          <w:bCs/>
          <w:sz w:val="32"/>
          <w:szCs w:val="32"/>
        </w:rPr>
        <w:t>.</w:t>
      </w:r>
      <w:r>
        <w:rPr>
          <w:rFonts w:hint="eastAsia" w:ascii="仿宋" w:hAnsi="仿宋" w:eastAsia="仿宋" w:cs="仿宋"/>
          <w:b/>
          <w:bCs/>
          <w:color w:val="000000"/>
          <w:sz w:val="32"/>
          <w:szCs w:val="32"/>
        </w:rPr>
        <w:t>农林水</w:t>
      </w:r>
      <w:r>
        <w:rPr>
          <w:rFonts w:hint="eastAsia" w:ascii="仿宋" w:hAnsi="仿宋" w:eastAsia="仿宋" w:cs="仿宋"/>
          <w:b/>
          <w:bCs/>
          <w:color w:val="000000"/>
          <w:sz w:val="32"/>
          <w:szCs w:val="32"/>
          <w:lang w:val="en-US" w:eastAsia="zh-CN"/>
        </w:rPr>
        <w:t>支出（类）</w:t>
      </w:r>
      <w:r>
        <w:rPr>
          <w:rFonts w:hint="eastAsia" w:ascii="仿宋" w:hAnsi="仿宋" w:eastAsia="仿宋"/>
          <w:b/>
          <w:bCs/>
          <w:sz w:val="32"/>
          <w:szCs w:val="32"/>
          <w:lang w:val="en-US" w:eastAsia="zh-CN"/>
        </w:rPr>
        <w:t>农业农村（款）事业运行（项）：</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177</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cs="仿宋"/>
          <w:b w:val="0"/>
          <w:bCs w:val="0"/>
          <w:color w:val="000000"/>
          <w:sz w:val="32"/>
          <w:szCs w:val="32"/>
        </w:rPr>
        <w:t>决算大于预算数的主要原因是支上年度项目结转资金</w:t>
      </w:r>
      <w:r>
        <w:rPr>
          <w:rStyle w:val="16"/>
          <w:rFonts w:hint="eastAsia" w:ascii="仿宋" w:hAnsi="仿宋" w:eastAsia="仿宋" w:cs="仿宋"/>
          <w:b w:val="0"/>
          <w:bCs w:val="0"/>
          <w:color w:val="000000"/>
          <w:sz w:val="32"/>
          <w:szCs w:val="32"/>
          <w:lang w:eastAsia="zh-CN"/>
        </w:rPr>
        <w:t>。</w:t>
      </w:r>
    </w:p>
    <w:p>
      <w:pPr>
        <w:tabs>
          <w:tab w:val="right" w:pos="8306"/>
        </w:tabs>
        <w:spacing w:line="600" w:lineRule="exact"/>
        <w:ind w:firstLine="640"/>
        <w:outlineLvl w:val="1"/>
        <w:rPr>
          <w:rStyle w:val="27"/>
        </w:rPr>
      </w:pPr>
      <w:bookmarkStart w:id="23" w:name="_Toc15377214"/>
      <w:bookmarkStart w:id="24"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23"/>
      <w:bookmarkEnd w:id="24"/>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121.09</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109.42</w:t>
      </w:r>
      <w:r>
        <w:rPr>
          <w:rFonts w:hint="eastAsia" w:ascii="仿宋" w:hAnsi="仿宋" w:eastAsia="仿宋"/>
          <w:sz w:val="32"/>
          <w:szCs w:val="32"/>
        </w:rPr>
        <w:t>万元，主要包括：</w:t>
      </w:r>
      <w:r>
        <w:rPr>
          <w:rFonts w:hint="eastAsia" w:ascii="仿宋" w:hAnsi="仿宋" w:eastAsia="仿宋" w:cs="仿宋"/>
          <w:color w:val="000000"/>
          <w:sz w:val="32"/>
          <w:szCs w:val="32"/>
        </w:rPr>
        <w:t>基本工资、津贴补贴、绩效工资、机关事业单位基本养老保险缴费、</w:t>
      </w:r>
      <w:r>
        <w:rPr>
          <w:rFonts w:hint="eastAsia" w:ascii="仿宋" w:hAnsi="仿宋" w:eastAsia="仿宋" w:cs="仿宋"/>
          <w:color w:val="000000"/>
          <w:sz w:val="32"/>
          <w:szCs w:val="32"/>
          <w:lang w:eastAsia="zh-CN"/>
        </w:rPr>
        <w:t>职工基本医疗保险缴费、</w:t>
      </w:r>
      <w:r>
        <w:rPr>
          <w:rFonts w:hint="eastAsia" w:ascii="仿宋" w:hAnsi="仿宋" w:eastAsia="仿宋" w:cs="仿宋"/>
          <w:color w:val="000000"/>
          <w:sz w:val="32"/>
          <w:szCs w:val="32"/>
        </w:rPr>
        <w:t>其他社会保障缴费、住房公积金等。</w:t>
      </w:r>
    </w:p>
    <w:p>
      <w:pPr>
        <w:spacing w:line="600" w:lineRule="exact"/>
        <w:ind w:firstLine="645"/>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11.67</w:t>
      </w:r>
      <w:r>
        <w:rPr>
          <w:rFonts w:hint="eastAsia" w:ascii="仿宋" w:hAnsi="仿宋" w:eastAsia="仿宋"/>
          <w:sz w:val="32"/>
          <w:szCs w:val="32"/>
        </w:rPr>
        <w:t>万元，</w:t>
      </w:r>
      <w:r>
        <w:rPr>
          <w:rFonts w:hint="eastAsia" w:ascii="仿宋" w:hAnsi="仿宋" w:eastAsia="仿宋" w:cs="仿宋"/>
          <w:color w:val="000000"/>
          <w:sz w:val="32"/>
          <w:szCs w:val="32"/>
        </w:rPr>
        <w:t>主要包括：办公费、印刷费、水费、邮电费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物业管理费、差旅费、会议费、公务接待费、工会经费、福利费、公务用车运行维护费等。</w:t>
      </w:r>
    </w:p>
    <w:p>
      <w:pPr>
        <w:spacing w:line="600" w:lineRule="exact"/>
        <w:ind w:firstLine="640"/>
        <w:outlineLvl w:val="1"/>
        <w:rPr>
          <w:rStyle w:val="27"/>
          <w:rFonts w:ascii="黑体" w:hAnsi="黑体" w:eastAsia="黑体"/>
          <w:b w:val="0"/>
        </w:rPr>
      </w:pPr>
      <w:bookmarkStart w:id="25" w:name="_Toc15396609"/>
      <w:bookmarkStart w:id="26"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25"/>
      <w:bookmarkEnd w:id="26"/>
    </w:p>
    <w:p>
      <w:pPr>
        <w:spacing w:line="600" w:lineRule="exact"/>
        <w:ind w:firstLine="640"/>
        <w:outlineLvl w:val="2"/>
        <w:rPr>
          <w:rFonts w:ascii="仿宋" w:hAnsi="仿宋" w:eastAsia="仿宋"/>
          <w:b/>
          <w:sz w:val="32"/>
          <w:szCs w:val="32"/>
        </w:rPr>
      </w:pPr>
      <w:bookmarkStart w:id="27" w:name="_Toc15377216"/>
      <w:r>
        <w:rPr>
          <w:rFonts w:hint="eastAsia" w:ascii="仿宋" w:hAnsi="仿宋" w:eastAsia="仿宋"/>
          <w:b/>
          <w:sz w:val="32"/>
          <w:szCs w:val="32"/>
        </w:rPr>
        <w:t>（一）“三公”经费财政拨款支出决算总体情况说明</w:t>
      </w:r>
      <w:bookmarkEnd w:id="2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1.18</w:t>
      </w:r>
      <w:r>
        <w:rPr>
          <w:rFonts w:hint="eastAsia" w:ascii="仿宋" w:hAnsi="仿宋" w:eastAsia="仿宋"/>
          <w:sz w:val="32"/>
          <w:szCs w:val="32"/>
        </w:rPr>
        <w:t>万元，下降</w:t>
      </w:r>
      <w:r>
        <w:rPr>
          <w:rFonts w:hint="eastAsia" w:ascii="仿宋" w:hAnsi="仿宋" w:eastAsia="仿宋"/>
          <w:sz w:val="32"/>
          <w:szCs w:val="32"/>
          <w:lang w:val="en-US" w:eastAsia="zh-CN"/>
        </w:rPr>
        <w:t>100</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园区事务中心无接待</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28" w:name="_Toc15377217"/>
      <w:r>
        <w:rPr>
          <w:rFonts w:hint="eastAsia" w:ascii="仿宋" w:hAnsi="仿宋" w:eastAsia="仿宋"/>
          <w:b/>
          <w:sz w:val="32"/>
          <w:szCs w:val="32"/>
        </w:rPr>
        <w:t>（二）“三公”经费财政拨款支出决算具体情况说明</w:t>
      </w:r>
      <w:bookmarkEnd w:id="2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1.18</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val="en-US" w:eastAsia="zh-CN"/>
        </w:rPr>
        <w:t>园区事务中心无接待</w:t>
      </w:r>
      <w:r>
        <w:rPr>
          <w:rFonts w:hint="eastAsia" w:ascii="仿宋_GB2312" w:eastAsia="仿宋_GB2312"/>
          <w:sz w:val="32"/>
          <w:szCs w:val="32"/>
        </w:rPr>
        <w:t>。</w:t>
      </w:r>
    </w:p>
    <w:p>
      <w:pPr>
        <w:spacing w:line="600" w:lineRule="exact"/>
        <w:ind w:firstLine="640"/>
        <w:outlineLvl w:val="1"/>
        <w:rPr>
          <w:rStyle w:val="27"/>
          <w:rFonts w:ascii="黑体" w:hAnsi="黑体" w:eastAsia="黑体"/>
        </w:rPr>
      </w:pPr>
      <w:bookmarkStart w:id="29" w:name="_Toc15396610"/>
      <w:bookmarkStart w:id="30" w:name="_Toc15377218"/>
      <w:r>
        <w:rPr>
          <w:rFonts w:hint="eastAsia" w:ascii="黑体" w:eastAsia="黑体"/>
          <w:sz w:val="32"/>
          <w:szCs w:val="32"/>
        </w:rPr>
        <w:t>八、</w:t>
      </w:r>
      <w:r>
        <w:rPr>
          <w:rStyle w:val="27"/>
          <w:rFonts w:hint="eastAsia" w:ascii="黑体" w:hAnsi="黑体" w:eastAsia="黑体"/>
          <w:b w:val="0"/>
        </w:rPr>
        <w:t>政府性基金预算支出决算情况说明</w:t>
      </w:r>
      <w:bookmarkEnd w:id="29"/>
      <w:bookmarkEnd w:id="3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27"/>
          <w:rFonts w:ascii="黑体" w:hAnsi="黑体" w:eastAsia="黑体"/>
          <w:b w:val="0"/>
        </w:rPr>
      </w:pPr>
      <w:bookmarkStart w:id="31" w:name="_Toc15377219"/>
      <w:bookmarkStart w:id="32" w:name="_Toc15396611"/>
      <w:r>
        <w:rPr>
          <w:rStyle w:val="27"/>
          <w:rFonts w:hint="eastAsia" w:ascii="黑体" w:hAnsi="黑体" w:eastAsia="黑体"/>
          <w:b w:val="0"/>
        </w:rPr>
        <w:t>国有资本经营预算支出决算情况说明</w:t>
      </w:r>
      <w:bookmarkEnd w:id="31"/>
      <w:bookmarkEnd w:id="32"/>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2"/>
        </w:numPr>
        <w:spacing w:line="600" w:lineRule="exact"/>
        <w:ind w:firstLine="640"/>
        <w:outlineLvl w:val="1"/>
        <w:rPr>
          <w:rStyle w:val="27"/>
          <w:rFonts w:ascii="黑体" w:hAnsi="黑体" w:eastAsia="黑体"/>
          <w:b w:val="0"/>
        </w:rPr>
      </w:pPr>
      <w:bookmarkStart w:id="33" w:name="_Toc15396612"/>
      <w:bookmarkStart w:id="34" w:name="_Toc15377221"/>
      <w:r>
        <w:rPr>
          <w:rStyle w:val="27"/>
          <w:rFonts w:hint="eastAsia" w:ascii="黑体" w:hAnsi="黑体" w:eastAsia="黑体"/>
          <w:b w:val="0"/>
        </w:rPr>
        <w:t>其他重要事项的情况说明</w:t>
      </w:r>
      <w:bookmarkEnd w:id="33"/>
      <w:bookmarkEnd w:id="34"/>
    </w:p>
    <w:p>
      <w:pPr>
        <w:spacing w:line="600" w:lineRule="exact"/>
        <w:ind w:firstLine="643" w:firstLineChars="200"/>
        <w:outlineLvl w:val="2"/>
        <w:rPr>
          <w:rFonts w:ascii="仿宋" w:hAnsi="仿宋" w:eastAsia="仿宋"/>
          <w:sz w:val="32"/>
          <w:szCs w:val="32"/>
        </w:rPr>
      </w:pPr>
      <w:bookmarkStart w:id="35" w:name="_Toc15377222"/>
      <w:r>
        <w:rPr>
          <w:rFonts w:hint="eastAsia" w:ascii="仿宋" w:hAnsi="仿宋" w:eastAsia="仿宋"/>
          <w:b/>
          <w:sz w:val="32"/>
          <w:szCs w:val="32"/>
        </w:rPr>
        <w:t>（一）机关运行经费支出情况</w:t>
      </w:r>
      <w:bookmarkEnd w:id="35"/>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剑阁县现代农业园区事务中心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1.18</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剑阁县现代农业</w:t>
      </w:r>
      <w:r>
        <w:rPr>
          <w:rFonts w:hint="eastAsia" w:ascii="仿宋" w:hAnsi="仿宋" w:eastAsia="仿宋"/>
          <w:sz w:val="32"/>
          <w:szCs w:val="32"/>
          <w:lang w:val="en-US" w:eastAsia="zh-CN"/>
        </w:rPr>
        <w:t>园区事务中心无2022年接待。</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36" w:name="_Toc15377223"/>
      <w:r>
        <w:rPr>
          <w:rFonts w:hint="eastAsia" w:ascii="仿宋" w:hAnsi="仿宋" w:eastAsia="仿宋"/>
          <w:b/>
          <w:sz w:val="32"/>
          <w:szCs w:val="32"/>
        </w:rPr>
        <w:t>（二）政府采购支出情况</w:t>
      </w:r>
      <w:bookmarkEnd w:id="36"/>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剑阁县现代农业园区事务中心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37" w:name="_Toc15377224"/>
      <w:r>
        <w:rPr>
          <w:rFonts w:hint="eastAsia" w:ascii="仿宋" w:hAnsi="仿宋" w:eastAsia="仿宋"/>
          <w:b/>
          <w:sz w:val="32"/>
          <w:szCs w:val="32"/>
        </w:rPr>
        <w:t>（三）国有资产占有使用情况</w:t>
      </w:r>
      <w:bookmarkEnd w:id="3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剑阁县现代农业园区事务中心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hint="eastAsia" w:ascii="仿宋_GB2312" w:eastAsia="仿宋_GB2312"/>
          <w:sz w:val="32"/>
          <w:szCs w:val="32"/>
        </w:rPr>
        <w:t>根据预算绩效管理要求，本单位在年初预算编制阶段，按要求对202</w:t>
      </w:r>
      <w:r>
        <w:rPr>
          <w:rFonts w:hint="eastAsia" w:ascii="仿宋_GB2312" w:eastAsia="仿宋_GB2312"/>
          <w:sz w:val="32"/>
          <w:szCs w:val="32"/>
          <w:lang w:val="en-US" w:eastAsia="zh-CN"/>
        </w:rPr>
        <w:t>2</w:t>
      </w:r>
      <w:r>
        <w:rPr>
          <w:rFonts w:hint="eastAsia" w:ascii="仿宋_GB2312" w:eastAsia="仿宋_GB2312"/>
          <w:sz w:val="32"/>
          <w:szCs w:val="32"/>
        </w:rPr>
        <w:t>年部门整体支出开展绩效自评，园区</w:t>
      </w:r>
      <w:r>
        <w:rPr>
          <w:rFonts w:hint="eastAsia" w:ascii="仿宋_GB2312" w:eastAsia="仿宋_GB2312"/>
          <w:sz w:val="32"/>
          <w:szCs w:val="32"/>
          <w:lang w:val="en-US" w:eastAsia="zh-CN"/>
        </w:rPr>
        <w:t>事务中心</w:t>
      </w:r>
      <w:r>
        <w:rPr>
          <w:rFonts w:hint="eastAsia" w:ascii="仿宋_GB2312" w:eastAsia="仿宋_GB2312"/>
          <w:sz w:val="32"/>
          <w:szCs w:val="32"/>
        </w:rPr>
        <w:t>积极履职，强化管理，较好</w:t>
      </w:r>
      <w:r>
        <w:rPr>
          <w:rFonts w:hint="eastAsia" w:ascii="仿宋_GB2312" w:eastAsia="仿宋_GB2312"/>
          <w:sz w:val="32"/>
          <w:szCs w:val="32"/>
          <w:lang w:eastAsia="zh-CN"/>
        </w:rPr>
        <w:t>地</w:t>
      </w:r>
      <w:r>
        <w:rPr>
          <w:rFonts w:hint="eastAsia" w:ascii="仿宋_GB2312" w:eastAsia="仿宋_GB2312"/>
          <w:sz w:val="32"/>
          <w:szCs w:val="32"/>
        </w:rPr>
        <w:t>完成了年度工作目标。严格按照</w:t>
      </w:r>
      <w:r>
        <w:rPr>
          <w:rFonts w:hint="eastAsia" w:ascii="仿宋_GB2312" w:eastAsia="仿宋_GB2312"/>
          <w:sz w:val="32"/>
          <w:szCs w:val="32"/>
          <w:lang w:eastAsia="zh-CN"/>
        </w:rPr>
        <w:t>财政预算</w:t>
      </w:r>
      <w:r>
        <w:rPr>
          <w:rFonts w:hint="eastAsia" w:ascii="仿宋_GB2312" w:eastAsia="仿宋_GB2312"/>
          <w:sz w:val="32"/>
          <w:szCs w:val="32"/>
        </w:rPr>
        <w:t>收支执行，强化预算收支管理，不断建立健全内部管理制度，梳理内部管理流程，部门整体支出管理水平得到提升。同时对本单位202</w:t>
      </w:r>
      <w:r>
        <w:rPr>
          <w:rFonts w:hint="eastAsia" w:ascii="仿宋_GB2312" w:eastAsia="仿宋_GB2312"/>
          <w:sz w:val="32"/>
          <w:szCs w:val="32"/>
          <w:lang w:val="en-US" w:eastAsia="zh-CN"/>
        </w:rPr>
        <w:t>2</w:t>
      </w:r>
      <w:r>
        <w:rPr>
          <w:rFonts w:hint="eastAsia" w:ascii="仿宋_GB2312" w:eastAsia="仿宋_GB2312"/>
          <w:sz w:val="32"/>
          <w:szCs w:val="32"/>
        </w:rPr>
        <w:t>年部门预算、决算在剑阁县</w:t>
      </w:r>
      <w:r>
        <w:rPr>
          <w:rFonts w:hint="eastAsia" w:ascii="仿宋_GB2312" w:eastAsia="仿宋_GB2312"/>
          <w:sz w:val="32"/>
          <w:szCs w:val="32"/>
          <w:lang w:val="en-US" w:eastAsia="zh-CN"/>
        </w:rPr>
        <w:t>人民</w:t>
      </w:r>
      <w:r>
        <w:rPr>
          <w:rFonts w:hint="eastAsia" w:ascii="仿宋_GB2312" w:eastAsia="仿宋_GB2312"/>
          <w:sz w:val="32"/>
          <w:szCs w:val="32"/>
        </w:rPr>
        <w:t>政府网站上进行公开、公示，评价结果良好。根据部门整体支出绩效评价指标体系，我单位202</w:t>
      </w:r>
      <w:r>
        <w:rPr>
          <w:rFonts w:hint="eastAsia" w:ascii="仿宋_GB2312" w:eastAsia="仿宋_GB2312"/>
          <w:sz w:val="32"/>
          <w:szCs w:val="32"/>
          <w:lang w:val="en-US" w:eastAsia="zh-CN"/>
        </w:rPr>
        <w:t>2</w:t>
      </w:r>
      <w:r>
        <w:rPr>
          <w:rFonts w:hint="eastAsia" w:ascii="仿宋_GB2312" w:eastAsia="仿宋_GB2312"/>
          <w:sz w:val="32"/>
          <w:szCs w:val="32"/>
        </w:rPr>
        <w:t>年度评价良好。</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6"/>
          <w:rFonts w:ascii="黑体" w:hAnsi="黑体" w:eastAsia="黑体"/>
          <w:b w:val="0"/>
        </w:rPr>
      </w:pPr>
      <w:bookmarkStart w:id="38" w:name="_Toc15377225"/>
      <w:bookmarkStart w:id="39" w:name="_Toc15396613"/>
      <w:r>
        <w:rPr>
          <w:rFonts w:hint="eastAsia" w:ascii="黑体" w:hAnsi="黑体" w:eastAsia="黑体"/>
          <w:sz w:val="44"/>
          <w:szCs w:val="44"/>
        </w:rPr>
        <w:t>名</w:t>
      </w:r>
      <w:r>
        <w:rPr>
          <w:rStyle w:val="26"/>
          <w:rFonts w:hint="eastAsia" w:ascii="黑体" w:hAnsi="黑体" w:eastAsia="黑体"/>
          <w:b w:val="0"/>
        </w:rPr>
        <w:t>词解释</w:t>
      </w:r>
      <w:bookmarkEnd w:id="38"/>
      <w:bookmarkEnd w:id="39"/>
    </w:p>
    <w:p>
      <w:pPr>
        <w:spacing w:line="600" w:lineRule="exact"/>
        <w:jc w:val="left"/>
        <w:rPr>
          <w:rFonts w:ascii="宋体"/>
          <w:b/>
          <w:sz w:val="44"/>
          <w:szCs w:val="44"/>
        </w:rPr>
      </w:pPr>
    </w:p>
    <w:p>
      <w:pPr>
        <w:pStyle w:val="24"/>
        <w:spacing w:line="560" w:lineRule="exact"/>
        <w:ind w:firstLine="640" w:firstLineChars="200"/>
        <w:rPr>
          <w:rFonts w:ascii="仿宋_GB2312" w:eastAsia="仿宋_GB2312" w:cs="Times New Roman"/>
          <w:sz w:val="32"/>
          <w:szCs w:val="32"/>
        </w:rPr>
      </w:pPr>
      <w:bookmarkStart w:id="40" w:name="_Toc15396614"/>
      <w:bookmarkStart w:id="41" w:name="_Toc15377226"/>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4"/>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24"/>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ind w:firstLine="640" w:firstLineChars="200"/>
        <w:rPr>
          <w:rFonts w:ascii="仿宋_GB2312" w:eastAsia="仿宋_GB2312"/>
          <w:b w:val="0"/>
          <w:bCs w:val="0"/>
          <w:color w:val="000000"/>
          <w:sz w:val="32"/>
          <w:szCs w:val="32"/>
        </w:rPr>
      </w:pPr>
      <w:r>
        <w:rPr>
          <w:rFonts w:ascii="仿宋_GB2312" w:eastAsia="仿宋_GB2312" w:cs="仿宋_GB2312"/>
          <w:b w:val="0"/>
          <w:bCs w:val="0"/>
          <w:color w:val="000000"/>
          <w:sz w:val="32"/>
          <w:szCs w:val="32"/>
        </w:rPr>
        <w:t>9.</w:t>
      </w:r>
      <w:r>
        <w:rPr>
          <w:rStyle w:val="16"/>
          <w:rFonts w:hint="eastAsia" w:ascii="仿宋" w:hAnsi="仿宋" w:eastAsia="仿宋" w:cs="仿宋"/>
          <w:b w:val="0"/>
          <w:bCs w:val="0"/>
          <w:color w:val="000000"/>
          <w:sz w:val="32"/>
          <w:szCs w:val="32"/>
        </w:rPr>
        <w:t>一般公共服务（类）</w:t>
      </w:r>
      <w:r>
        <w:rPr>
          <w:rStyle w:val="16"/>
          <w:rFonts w:hint="eastAsia" w:ascii="仿宋" w:hAnsi="仿宋" w:eastAsia="仿宋" w:cs="仿宋"/>
          <w:b w:val="0"/>
          <w:bCs w:val="0"/>
          <w:color w:val="000000"/>
          <w:sz w:val="32"/>
          <w:szCs w:val="32"/>
          <w:lang w:eastAsia="zh-CN"/>
        </w:rPr>
        <w:t>政府办公厅（室）暨相关机构事务</w:t>
      </w:r>
      <w:r>
        <w:rPr>
          <w:rStyle w:val="16"/>
          <w:rFonts w:hint="eastAsia" w:ascii="仿宋" w:hAnsi="仿宋" w:eastAsia="仿宋" w:cs="仿宋"/>
          <w:b w:val="0"/>
          <w:bCs w:val="0"/>
          <w:color w:val="000000"/>
          <w:sz w:val="32"/>
          <w:szCs w:val="32"/>
        </w:rPr>
        <w:t>（款）</w:t>
      </w:r>
      <w:r>
        <w:rPr>
          <w:rStyle w:val="16"/>
          <w:rFonts w:hint="eastAsia" w:ascii="仿宋" w:hAnsi="仿宋" w:eastAsia="仿宋" w:cs="仿宋"/>
          <w:b w:val="0"/>
          <w:bCs w:val="0"/>
          <w:color w:val="000000"/>
          <w:sz w:val="32"/>
          <w:szCs w:val="32"/>
          <w:lang w:eastAsia="zh-CN"/>
        </w:rPr>
        <w:t>行政运行</w:t>
      </w:r>
      <w:r>
        <w:rPr>
          <w:rStyle w:val="16"/>
          <w:rFonts w:hint="eastAsia" w:ascii="仿宋" w:hAnsi="仿宋" w:eastAsia="仿宋" w:cs="仿宋"/>
          <w:b w:val="0"/>
          <w:bCs w:val="0"/>
          <w:color w:val="000000"/>
          <w:sz w:val="32"/>
          <w:szCs w:val="32"/>
        </w:rPr>
        <w:t>（项）</w:t>
      </w:r>
      <w:r>
        <w:rPr>
          <w:rFonts w:hint="eastAsia" w:ascii="仿宋_GB2312" w:eastAsia="仿宋_GB2312" w:cs="仿宋_GB2312"/>
          <w:b w:val="0"/>
          <w:bCs w:val="0"/>
          <w:color w:val="000000"/>
          <w:sz w:val="32"/>
          <w:szCs w:val="32"/>
        </w:rPr>
        <w:t>：指</w:t>
      </w:r>
      <w:r>
        <w:rPr>
          <w:rFonts w:hint="eastAsia" w:ascii="仿宋_GB2312" w:eastAsia="仿宋_GB2312" w:cs="仿宋_GB2312"/>
          <w:b w:val="0"/>
          <w:bCs w:val="0"/>
          <w:color w:val="000000"/>
          <w:sz w:val="32"/>
          <w:szCs w:val="32"/>
          <w:lang w:eastAsia="zh-CN"/>
        </w:rPr>
        <w:t>反映行政单位（包括实行公务员管理的事业单位）的基本支出）</w:t>
      </w:r>
      <w:r>
        <w:rPr>
          <w:rFonts w:hint="eastAsia" w:ascii="仿宋_GB2312" w:eastAsia="仿宋_GB2312" w:cs="仿宋_GB2312"/>
          <w:b w:val="0"/>
          <w:bCs w:val="0"/>
          <w:color w:val="000000"/>
          <w:sz w:val="32"/>
          <w:szCs w:val="32"/>
        </w:rPr>
        <w:t>。</w:t>
      </w:r>
    </w:p>
    <w:p>
      <w:pPr>
        <w:spacing w:line="600" w:lineRule="exact"/>
        <w:ind w:firstLine="640" w:firstLineChars="200"/>
        <w:rPr>
          <w:rStyle w:val="16"/>
          <w:rFonts w:hint="eastAsia" w:ascii="仿宋" w:hAnsi="仿宋" w:eastAsia="仿宋" w:cs="仿宋"/>
          <w:b w:val="0"/>
          <w:bCs w:val="0"/>
          <w:color w:val="000000"/>
          <w:sz w:val="32"/>
          <w:szCs w:val="32"/>
          <w:lang w:eastAsia="zh-CN"/>
        </w:rPr>
      </w:pPr>
      <w:r>
        <w:rPr>
          <w:rStyle w:val="16"/>
          <w:rFonts w:hint="eastAsia" w:ascii="仿宋" w:hAnsi="仿宋" w:eastAsia="仿宋" w:cs="仿宋"/>
          <w:b w:val="0"/>
          <w:bCs w:val="0"/>
          <w:color w:val="000000"/>
          <w:sz w:val="32"/>
          <w:szCs w:val="32"/>
          <w:lang w:val="en-US" w:eastAsia="zh-CN"/>
        </w:rPr>
        <w:t>10</w:t>
      </w:r>
      <w:r>
        <w:rPr>
          <w:rStyle w:val="16"/>
          <w:rFonts w:ascii="仿宋" w:hAnsi="仿宋" w:eastAsia="仿宋" w:cs="仿宋"/>
          <w:b w:val="0"/>
          <w:bCs w:val="0"/>
          <w:color w:val="000000"/>
          <w:sz w:val="32"/>
          <w:szCs w:val="32"/>
        </w:rPr>
        <w:t>.</w:t>
      </w:r>
      <w:r>
        <w:rPr>
          <w:rStyle w:val="16"/>
          <w:rFonts w:hint="eastAsia" w:ascii="仿宋" w:hAnsi="仿宋" w:eastAsia="仿宋" w:cs="仿宋"/>
          <w:b w:val="0"/>
          <w:bCs w:val="0"/>
          <w:color w:val="000000"/>
          <w:sz w:val="32"/>
          <w:szCs w:val="32"/>
        </w:rPr>
        <w:t>社会保障和就业（类）</w:t>
      </w:r>
      <w:r>
        <w:rPr>
          <w:rStyle w:val="16"/>
          <w:rFonts w:hint="eastAsia" w:ascii="仿宋" w:hAnsi="仿宋" w:eastAsia="仿宋" w:cs="仿宋"/>
          <w:b w:val="0"/>
          <w:bCs w:val="0"/>
          <w:color w:val="000000"/>
          <w:sz w:val="32"/>
          <w:szCs w:val="32"/>
          <w:lang w:eastAsia="zh-CN"/>
        </w:rPr>
        <w:t>行政事业单位离退休</w:t>
      </w:r>
      <w:r>
        <w:rPr>
          <w:rStyle w:val="16"/>
          <w:rFonts w:hint="eastAsia" w:ascii="仿宋" w:hAnsi="仿宋" w:eastAsia="仿宋" w:cs="仿宋"/>
          <w:b w:val="0"/>
          <w:bCs w:val="0"/>
          <w:color w:val="000000"/>
          <w:sz w:val="32"/>
          <w:szCs w:val="32"/>
        </w:rPr>
        <w:t>（款）</w:t>
      </w:r>
      <w:r>
        <w:rPr>
          <w:rStyle w:val="16"/>
          <w:rFonts w:hint="eastAsia" w:ascii="仿宋" w:hAnsi="仿宋" w:eastAsia="仿宋" w:cs="仿宋"/>
          <w:b w:val="0"/>
          <w:bCs w:val="0"/>
          <w:color w:val="000000"/>
          <w:sz w:val="32"/>
          <w:szCs w:val="32"/>
          <w:lang w:eastAsia="zh-CN"/>
        </w:rPr>
        <w:t>机关事业单位养老保险缴费支出</w:t>
      </w:r>
      <w:r>
        <w:rPr>
          <w:rStyle w:val="16"/>
          <w:rFonts w:hint="eastAsia" w:ascii="仿宋" w:hAnsi="仿宋" w:eastAsia="仿宋" w:cs="仿宋"/>
          <w:b w:val="0"/>
          <w:bCs w:val="0"/>
          <w:color w:val="000000"/>
          <w:sz w:val="32"/>
          <w:szCs w:val="32"/>
        </w:rPr>
        <w:t>（项）</w:t>
      </w:r>
      <w:r>
        <w:rPr>
          <w:rStyle w:val="16"/>
          <w:rFonts w:hint="eastAsia" w:ascii="仿宋" w:hAnsi="仿宋" w:eastAsia="仿宋" w:cs="仿宋"/>
          <w:b w:val="0"/>
          <w:bCs w:val="0"/>
          <w:color w:val="000000"/>
          <w:sz w:val="32"/>
          <w:szCs w:val="32"/>
          <w:lang w:eastAsia="zh-CN"/>
        </w:rPr>
        <w:t>：</w:t>
      </w:r>
      <w:r>
        <w:rPr>
          <w:rStyle w:val="16"/>
          <w:rFonts w:ascii="仿宋" w:hAnsi="仿宋" w:eastAsia="仿宋" w:cs="仿宋"/>
          <w:b w:val="0"/>
          <w:bCs w:val="0"/>
          <w:color w:val="000000"/>
          <w:sz w:val="32"/>
          <w:szCs w:val="32"/>
        </w:rPr>
        <w:t xml:space="preserve"> </w:t>
      </w:r>
      <w:r>
        <w:rPr>
          <w:rStyle w:val="16"/>
          <w:rFonts w:hint="eastAsia" w:ascii="仿宋" w:hAnsi="仿宋" w:eastAsia="仿宋" w:cs="仿宋"/>
          <w:b w:val="0"/>
          <w:bCs w:val="0"/>
          <w:color w:val="000000"/>
          <w:sz w:val="32"/>
          <w:szCs w:val="32"/>
          <w:lang w:eastAsia="zh-CN"/>
        </w:rPr>
        <w:t>指反映机关事业单位实施养老保险制度由单位缴纳的基本养老保险费支出。</w:t>
      </w:r>
    </w:p>
    <w:p>
      <w:pPr>
        <w:spacing w:line="600" w:lineRule="exact"/>
        <w:ind w:firstLine="640" w:firstLineChars="200"/>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lang w:val="en-US" w:eastAsia="zh-CN"/>
        </w:rPr>
        <w:t>11</w:t>
      </w:r>
      <w:r>
        <w:rPr>
          <w:rStyle w:val="16"/>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卫生健康</w:t>
      </w:r>
      <w:r>
        <w:rPr>
          <w:rStyle w:val="16"/>
          <w:rFonts w:hint="eastAsia" w:ascii="仿宋" w:hAnsi="仿宋" w:eastAsia="仿宋" w:cs="仿宋"/>
          <w:b w:val="0"/>
          <w:bCs w:val="0"/>
          <w:color w:val="000000"/>
          <w:sz w:val="32"/>
          <w:szCs w:val="32"/>
        </w:rPr>
        <w:t>（类）</w:t>
      </w:r>
      <w:r>
        <w:rPr>
          <w:rStyle w:val="16"/>
          <w:rFonts w:hint="eastAsia" w:ascii="仿宋" w:hAnsi="仿宋" w:eastAsia="仿宋" w:cs="仿宋"/>
          <w:b w:val="0"/>
          <w:bCs w:val="0"/>
          <w:color w:val="000000"/>
          <w:sz w:val="32"/>
          <w:szCs w:val="32"/>
          <w:lang w:eastAsia="zh-CN"/>
        </w:rPr>
        <w:t>行政事业单位医疗</w:t>
      </w:r>
      <w:r>
        <w:rPr>
          <w:rStyle w:val="16"/>
          <w:rFonts w:hint="eastAsia" w:ascii="仿宋" w:hAnsi="仿宋" w:eastAsia="仿宋" w:cs="仿宋"/>
          <w:b w:val="0"/>
          <w:bCs w:val="0"/>
          <w:color w:val="000000"/>
          <w:sz w:val="32"/>
          <w:szCs w:val="32"/>
        </w:rPr>
        <w:t>（款）</w:t>
      </w:r>
      <w:r>
        <w:rPr>
          <w:rStyle w:val="16"/>
          <w:rFonts w:hint="eastAsia" w:ascii="仿宋" w:hAnsi="仿宋" w:eastAsia="仿宋" w:cs="仿宋"/>
          <w:b w:val="0"/>
          <w:bCs w:val="0"/>
          <w:color w:val="000000"/>
          <w:sz w:val="32"/>
          <w:szCs w:val="32"/>
          <w:lang w:eastAsia="zh-CN"/>
        </w:rPr>
        <w:t>行政单位医疗</w:t>
      </w:r>
      <w:r>
        <w:rPr>
          <w:rStyle w:val="16"/>
          <w:rFonts w:hint="eastAsia" w:ascii="仿宋" w:hAnsi="仿宋" w:eastAsia="仿宋" w:cs="仿宋"/>
          <w:b w:val="0"/>
          <w:bCs w:val="0"/>
          <w:color w:val="000000"/>
          <w:sz w:val="32"/>
          <w:szCs w:val="32"/>
        </w:rPr>
        <w:t>（项）</w:t>
      </w:r>
      <w:r>
        <w:rPr>
          <w:rStyle w:val="16"/>
          <w:rFonts w:hint="eastAsia" w:ascii="仿宋" w:hAnsi="仿宋" w:eastAsia="仿宋" w:cs="仿宋"/>
          <w:b w:val="0"/>
          <w:bCs w:val="0"/>
          <w:color w:val="000000"/>
          <w:sz w:val="32"/>
          <w:szCs w:val="32"/>
          <w:lang w:eastAsia="zh-CN"/>
        </w:rPr>
        <w:t>：指反映财政部门安排的行政单位（包括实行公务员管理的事业单位，下同）基本医疗保险缴费经费，未参加医疗保险的行政单位的公费医疗经费，按国家规定享受离休人员、红军老战士待遇人员的医疗经费</w:t>
      </w:r>
      <w:r>
        <w:rPr>
          <w:rStyle w:val="16"/>
          <w:rFonts w:hint="eastAsia" w:ascii="仿宋" w:hAnsi="仿宋" w:eastAsia="仿宋" w:cs="仿宋"/>
          <w:b w:val="0"/>
          <w:bCs w:val="0"/>
          <w:color w:val="000000"/>
          <w:sz w:val="32"/>
          <w:szCs w:val="32"/>
        </w:rPr>
        <w:t>。</w:t>
      </w:r>
    </w:p>
    <w:p>
      <w:pPr>
        <w:spacing w:line="600" w:lineRule="exact"/>
        <w:ind w:firstLine="640" w:firstLineChars="200"/>
        <w:rPr>
          <w:rStyle w:val="16"/>
          <w:rFonts w:hint="default" w:ascii="仿宋" w:hAnsi="仿宋" w:eastAsia="仿宋" w:cs="仿宋"/>
          <w:b w:val="0"/>
          <w:bCs w:val="0"/>
          <w:color w:val="000000"/>
          <w:sz w:val="32"/>
          <w:szCs w:val="32"/>
          <w:lang w:val="en-US" w:eastAsia="zh-CN"/>
        </w:rPr>
      </w:pPr>
      <w:r>
        <w:rPr>
          <w:rStyle w:val="16"/>
          <w:rFonts w:hint="eastAsia" w:ascii="仿宋" w:hAnsi="仿宋" w:eastAsia="仿宋" w:cs="仿宋"/>
          <w:b w:val="0"/>
          <w:bCs w:val="0"/>
          <w:color w:val="000000"/>
          <w:sz w:val="32"/>
          <w:szCs w:val="32"/>
          <w:lang w:val="en-US" w:eastAsia="zh-CN"/>
        </w:rPr>
        <w:t>12.农林水支出（类）农业农村（款）事业运行（项）：</w:t>
      </w:r>
    </w:p>
    <w:p>
      <w:pPr>
        <w:spacing w:line="600" w:lineRule="exact"/>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lang w:eastAsia="zh-CN"/>
        </w:rPr>
        <w:t>指反映</w:t>
      </w:r>
      <w:r>
        <w:rPr>
          <w:rStyle w:val="16"/>
          <w:rFonts w:hint="eastAsia" w:ascii="仿宋" w:hAnsi="仿宋" w:eastAsia="仿宋" w:cs="仿宋"/>
          <w:b w:val="0"/>
          <w:bCs w:val="0"/>
          <w:color w:val="000000"/>
          <w:sz w:val="32"/>
          <w:szCs w:val="32"/>
          <w:lang w:val="en-US" w:eastAsia="zh-CN"/>
        </w:rPr>
        <w:t>农业事业单位基本支出，事业单位设施、系统运行与资产维护等</w:t>
      </w:r>
      <w:r>
        <w:rPr>
          <w:rStyle w:val="16"/>
          <w:rFonts w:hint="eastAsia" w:ascii="仿宋" w:hAnsi="仿宋" w:eastAsia="仿宋" w:cs="仿宋"/>
          <w:b w:val="0"/>
          <w:bCs w:val="0"/>
          <w:color w:val="000000"/>
          <w:sz w:val="32"/>
          <w:szCs w:val="32"/>
          <w:lang w:eastAsia="zh-CN"/>
        </w:rPr>
        <w:t>方面的支出</w:t>
      </w:r>
      <w:r>
        <w:rPr>
          <w:rStyle w:val="16"/>
          <w:rFonts w:hint="eastAsia" w:ascii="仿宋" w:hAnsi="仿宋" w:eastAsia="仿宋" w:cs="仿宋"/>
          <w:b w:val="0"/>
          <w:bCs w:val="0"/>
          <w:color w:val="000000"/>
          <w:sz w:val="32"/>
          <w:szCs w:val="32"/>
        </w:rPr>
        <w:t>。</w:t>
      </w:r>
    </w:p>
    <w:p>
      <w:pPr>
        <w:spacing w:line="600" w:lineRule="exact"/>
        <w:ind w:firstLine="640" w:firstLineChars="200"/>
        <w:rPr>
          <w:rStyle w:val="16"/>
          <w:rFonts w:hint="default" w:ascii="仿宋" w:hAnsi="仿宋" w:eastAsia="仿宋" w:cs="仿宋"/>
          <w:b w:val="0"/>
          <w:bCs w:val="0"/>
          <w:color w:val="000000"/>
          <w:sz w:val="32"/>
          <w:szCs w:val="32"/>
          <w:lang w:val="en-US" w:eastAsia="zh-CN"/>
        </w:rPr>
      </w:pPr>
      <w:r>
        <w:rPr>
          <w:rStyle w:val="16"/>
          <w:rFonts w:hint="eastAsia" w:ascii="仿宋" w:hAnsi="仿宋" w:eastAsia="仿宋" w:cs="仿宋"/>
          <w:b w:val="0"/>
          <w:bCs w:val="0"/>
          <w:color w:val="000000"/>
          <w:sz w:val="32"/>
          <w:szCs w:val="32"/>
          <w:lang w:val="en-US" w:eastAsia="zh-CN"/>
        </w:rPr>
        <w:t>13.农林水支出（类）农业农村（款）农业生产发展（项）：</w:t>
      </w:r>
    </w:p>
    <w:p>
      <w:pPr>
        <w:spacing w:line="600" w:lineRule="exact"/>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lang w:eastAsia="zh-CN"/>
        </w:rPr>
        <w:t>指反映</w:t>
      </w:r>
      <w:r>
        <w:rPr>
          <w:rStyle w:val="16"/>
          <w:rFonts w:hint="eastAsia" w:ascii="仿宋" w:hAnsi="仿宋" w:eastAsia="仿宋" w:cs="仿宋"/>
          <w:b w:val="0"/>
          <w:bCs w:val="0"/>
          <w:color w:val="000000"/>
          <w:sz w:val="32"/>
          <w:szCs w:val="32"/>
          <w:lang w:val="en-US" w:eastAsia="zh-CN"/>
        </w:rPr>
        <w:t>用于耕地地力保护、适度规模经营、农机购置补贴、优势特色主导产业发展、畜牧水产发展、农村一、二、三产业融合</w:t>
      </w:r>
      <w:r>
        <w:rPr>
          <w:rStyle w:val="16"/>
          <w:rFonts w:hint="eastAsia" w:ascii="仿宋" w:hAnsi="仿宋" w:eastAsia="仿宋" w:cs="仿宋"/>
          <w:b w:val="0"/>
          <w:bCs w:val="0"/>
          <w:color w:val="000000"/>
          <w:sz w:val="32"/>
          <w:szCs w:val="32"/>
          <w:lang w:eastAsia="zh-CN"/>
        </w:rPr>
        <w:t>等方面支出</w:t>
      </w:r>
      <w:r>
        <w:rPr>
          <w:rStyle w:val="16"/>
          <w:rFonts w:hint="eastAsia" w:ascii="仿宋" w:hAnsi="仿宋" w:eastAsia="仿宋" w:cs="仿宋"/>
          <w:b w:val="0"/>
          <w:bCs w:val="0"/>
          <w:color w:val="000000"/>
          <w:sz w:val="32"/>
          <w:szCs w:val="32"/>
        </w:rPr>
        <w:t>。</w:t>
      </w:r>
    </w:p>
    <w:p>
      <w:pPr>
        <w:spacing w:line="600" w:lineRule="exact"/>
        <w:ind w:firstLine="640" w:firstLineChars="200"/>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lang w:val="en-US" w:eastAsia="zh-CN"/>
        </w:rPr>
        <w:t>14.农林水支出（类）农业农村（款）其他农业农村支出（项）：</w:t>
      </w:r>
      <w:r>
        <w:rPr>
          <w:rStyle w:val="16"/>
          <w:rFonts w:hint="eastAsia" w:ascii="仿宋" w:hAnsi="仿宋" w:eastAsia="仿宋" w:cs="仿宋"/>
          <w:b w:val="0"/>
          <w:bCs w:val="0"/>
          <w:color w:val="000000"/>
          <w:sz w:val="32"/>
          <w:szCs w:val="32"/>
          <w:lang w:eastAsia="zh-CN"/>
        </w:rPr>
        <w:t>指其他用于</w:t>
      </w:r>
      <w:r>
        <w:rPr>
          <w:rStyle w:val="16"/>
          <w:rFonts w:hint="eastAsia" w:ascii="仿宋" w:hAnsi="仿宋" w:eastAsia="仿宋" w:cs="仿宋"/>
          <w:b w:val="0"/>
          <w:bCs w:val="0"/>
          <w:color w:val="000000"/>
          <w:sz w:val="32"/>
          <w:szCs w:val="32"/>
          <w:lang w:val="en-US" w:eastAsia="zh-CN"/>
        </w:rPr>
        <w:t>农业农村</w:t>
      </w:r>
      <w:r>
        <w:rPr>
          <w:rStyle w:val="16"/>
          <w:rFonts w:hint="eastAsia" w:ascii="仿宋" w:hAnsi="仿宋" w:eastAsia="仿宋" w:cs="仿宋"/>
          <w:b w:val="0"/>
          <w:bCs w:val="0"/>
          <w:color w:val="000000"/>
          <w:sz w:val="32"/>
          <w:szCs w:val="32"/>
          <w:lang w:eastAsia="zh-CN"/>
        </w:rPr>
        <w:t>方面的支出</w:t>
      </w:r>
      <w:r>
        <w:rPr>
          <w:rStyle w:val="16"/>
          <w:rFonts w:hint="eastAsia" w:ascii="仿宋" w:hAnsi="仿宋" w:eastAsia="仿宋" w:cs="仿宋"/>
          <w:b w:val="0"/>
          <w:bCs w:val="0"/>
          <w:color w:val="000000"/>
          <w:sz w:val="32"/>
          <w:szCs w:val="32"/>
        </w:rPr>
        <w:t>。</w:t>
      </w:r>
    </w:p>
    <w:p>
      <w:pPr>
        <w:spacing w:line="600" w:lineRule="exact"/>
        <w:ind w:firstLine="640"/>
        <w:rPr>
          <w:rStyle w:val="16"/>
          <w:rFonts w:hint="eastAsia" w:ascii="仿宋" w:hAnsi="仿宋" w:eastAsia="仿宋" w:cs="仿宋"/>
          <w:b w:val="0"/>
          <w:bCs w:val="0"/>
          <w:color w:val="000000"/>
          <w:sz w:val="32"/>
          <w:szCs w:val="32"/>
        </w:rPr>
      </w:pPr>
      <w:r>
        <w:rPr>
          <w:rStyle w:val="16"/>
          <w:rFonts w:hint="eastAsia" w:ascii="仿宋" w:hAnsi="仿宋" w:eastAsia="仿宋" w:cs="仿宋"/>
          <w:b w:val="0"/>
          <w:bCs w:val="0"/>
          <w:color w:val="000000"/>
          <w:sz w:val="32"/>
          <w:szCs w:val="32"/>
          <w:lang w:val="en-US" w:eastAsia="zh-CN"/>
        </w:rPr>
        <w:t>15.住房保障支出（类）住房改革支出（款）住房公积金（项）：</w:t>
      </w:r>
      <w:r>
        <w:rPr>
          <w:rStyle w:val="16"/>
          <w:rFonts w:hint="eastAsia" w:ascii="仿宋" w:hAnsi="仿宋" w:eastAsia="仿宋" w:cs="仿宋"/>
          <w:b w:val="0"/>
          <w:bCs w:val="0"/>
          <w:color w:val="000000"/>
          <w:sz w:val="32"/>
          <w:szCs w:val="32"/>
          <w:lang w:eastAsia="zh-CN"/>
        </w:rPr>
        <w:t>指反映行政事业单位按人力资源和社会保障部、财政部规定的基本工资和津贴补贴以及规定比例为职工缴纳的住房公积金</w:t>
      </w:r>
      <w:r>
        <w:rPr>
          <w:rStyle w:val="16"/>
          <w:rFonts w:hint="eastAsia" w:ascii="仿宋" w:hAnsi="仿宋" w:eastAsia="仿宋" w:cs="仿宋"/>
          <w:b w:val="0"/>
          <w:bCs w:val="0"/>
          <w:color w:val="000000"/>
          <w:sz w:val="32"/>
          <w:szCs w:val="32"/>
        </w:rPr>
        <w:t>。</w:t>
      </w:r>
    </w:p>
    <w:p>
      <w:pPr>
        <w:pStyle w:val="6"/>
        <w:ind w:firstLine="640"/>
        <w:rPr>
          <w:rFonts w:hint="default" w:ascii="仿宋" w:hAnsi="仿宋" w:eastAsia="仿宋" w:cs="仿宋"/>
          <w:b w:val="0"/>
          <w:bCs w:val="0"/>
          <w:sz w:val="32"/>
          <w:szCs w:val="32"/>
          <w:lang w:val="en-US" w:eastAsia="zh-CN"/>
        </w:rPr>
      </w:pPr>
      <w:r>
        <w:rPr>
          <w:rFonts w:hint="eastAsia"/>
          <w:sz w:val="32"/>
          <w:szCs w:val="32"/>
          <w:lang w:val="en-US" w:eastAsia="zh-CN"/>
        </w:rPr>
        <w:t>16.</w:t>
      </w:r>
      <w:r>
        <w:rPr>
          <w:rFonts w:hint="eastAsia" w:ascii="仿宋" w:hAnsi="仿宋" w:eastAsia="仿宋" w:cs="仿宋"/>
          <w:b w:val="0"/>
          <w:bCs w:val="0"/>
          <w:sz w:val="32"/>
          <w:szCs w:val="32"/>
          <w:lang w:val="en-US" w:eastAsia="zh-CN"/>
        </w:rPr>
        <w:t>其他支出（类）其他支出</w:t>
      </w:r>
      <w:r>
        <w:rPr>
          <w:rStyle w:val="16"/>
          <w:rFonts w:hint="eastAsia" w:ascii="仿宋" w:hAnsi="仿宋" w:eastAsia="仿宋" w:cs="仿宋"/>
          <w:b w:val="0"/>
          <w:bCs w:val="0"/>
          <w:color w:val="000000"/>
          <w:sz w:val="32"/>
          <w:szCs w:val="32"/>
          <w:lang w:val="en-US" w:eastAsia="zh-CN"/>
        </w:rPr>
        <w:t>（款）</w:t>
      </w:r>
      <w:r>
        <w:rPr>
          <w:rFonts w:hint="eastAsia" w:ascii="仿宋" w:hAnsi="仿宋" w:eastAsia="仿宋" w:cs="仿宋"/>
          <w:b w:val="0"/>
          <w:bCs w:val="0"/>
          <w:sz w:val="32"/>
          <w:szCs w:val="32"/>
          <w:lang w:val="en-US" w:eastAsia="zh-CN"/>
        </w:rPr>
        <w:t>其他支出</w:t>
      </w:r>
      <w:r>
        <w:rPr>
          <w:rStyle w:val="16"/>
          <w:rFonts w:hint="eastAsia" w:ascii="仿宋" w:hAnsi="仿宋" w:eastAsia="仿宋" w:cs="仿宋"/>
          <w:b w:val="0"/>
          <w:bCs w:val="0"/>
          <w:color w:val="000000"/>
          <w:sz w:val="32"/>
          <w:szCs w:val="32"/>
          <w:lang w:val="en-US" w:eastAsia="zh-CN"/>
        </w:rPr>
        <w:t>（项）：指其他不能划分到具体功能科目中的支出。</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17.</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18</w:t>
      </w:r>
      <w:r>
        <w:rPr>
          <w:rFonts w:ascii="仿宋_GB2312" w:eastAsia="仿宋_GB2312" w:cs="仿宋_GB2312"/>
          <w:color w:val="000000"/>
          <w:sz w:val="32"/>
          <w:szCs w:val="32"/>
        </w:rPr>
        <w:t>.</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19</w:t>
      </w:r>
      <w:r>
        <w:rPr>
          <w:rFonts w:ascii="仿宋_GB2312" w:eastAsia="仿宋_GB2312" w:cs="仿宋_GB2312"/>
          <w:color w:val="000000"/>
          <w:sz w:val="32"/>
          <w:szCs w:val="32"/>
        </w:rPr>
        <w:t>.</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lang w:val="en-US" w:eastAsia="zh-CN"/>
        </w:rPr>
        <w:t>20</w:t>
      </w:r>
      <w:r>
        <w:rPr>
          <w:rFonts w:ascii="仿宋_GB2312" w:eastAsia="仿宋_GB2312" w:cs="仿宋_GB2312"/>
          <w:sz w:val="32"/>
          <w:szCs w:val="32"/>
        </w:rPr>
        <w:t>.</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hint="eastAsia" w:ascii="仿宋" w:hAnsi="仿宋" w:eastAsia="仿宋" w:cs="仿宋"/>
          <w:b/>
          <w:bCs/>
          <w:color w:val="000000"/>
          <w:sz w:val="44"/>
          <w:szCs w:val="44"/>
          <w:lang w:val="en-US" w:eastAsia="zh-CN"/>
        </w:rPr>
      </w:pPr>
      <w:r>
        <w:rPr>
          <w:rFonts w:hint="eastAsia" w:ascii="仿宋_GB2312" w:eastAsia="仿宋_GB2312" w:cs="仿宋_GB2312"/>
          <w:sz w:val="32"/>
          <w:szCs w:val="32"/>
          <w:lang w:val="en-US" w:eastAsia="zh-CN"/>
        </w:rPr>
        <w:t>21</w:t>
      </w:r>
      <w:r>
        <w:rPr>
          <w:rFonts w:ascii="仿宋_GB2312" w:eastAsia="仿宋_GB2312" w:cs="仿宋_GB2312"/>
          <w:sz w:val="32"/>
          <w:szCs w:val="32"/>
        </w:rPr>
        <w:t>.</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40"/>
    <w:p>
      <w:pPr>
        <w:pStyle w:val="4"/>
        <w:jc w:val="center"/>
        <w:rPr>
          <w:rFonts w:hint="eastAsia" w:ascii="黑体" w:hAnsi="黑体" w:eastAsia="黑体" w:cs="黑体"/>
          <w:b/>
          <w:bCs/>
          <w:color w:val="000000"/>
          <w:sz w:val="44"/>
          <w:szCs w:val="44"/>
          <w:lang w:val="en-US" w:eastAsia="zh-CN"/>
        </w:rPr>
      </w:pPr>
      <w:bookmarkStart w:id="42" w:name="_Toc15396618"/>
    </w:p>
    <w:p>
      <w:pPr>
        <w:pStyle w:val="4"/>
        <w:jc w:val="center"/>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第四部分    附件</w:t>
      </w:r>
    </w:p>
    <w:p>
      <w:pPr>
        <w:pStyle w:val="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spacing w:line="500" w:lineRule="exact"/>
        <w:jc w:val="center"/>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2022</w:t>
      </w:r>
      <w:r>
        <w:rPr>
          <w:rFonts w:hint="eastAsia" w:ascii="方正小标宋_GBK" w:hAnsi="方正小标宋_GBK" w:eastAsia="方正小标宋_GBK" w:cs="方正小标宋_GBK"/>
          <w:b w:val="0"/>
          <w:bCs w:val="0"/>
          <w:color w:val="000000"/>
          <w:sz w:val="44"/>
          <w:szCs w:val="44"/>
        </w:rPr>
        <w:t>年</w:t>
      </w:r>
      <w:r>
        <w:rPr>
          <w:rFonts w:hint="eastAsia" w:ascii="方正小标宋_GBK" w:hAnsi="方正小标宋_GBK" w:eastAsia="方正小标宋_GBK" w:cs="方正小标宋_GBK"/>
          <w:b w:val="0"/>
          <w:bCs w:val="0"/>
          <w:color w:val="000000"/>
          <w:sz w:val="44"/>
          <w:szCs w:val="44"/>
          <w:lang w:val="en-US" w:eastAsia="zh-CN"/>
        </w:rPr>
        <w:t>县现代农业园区事务中心</w:t>
      </w:r>
    </w:p>
    <w:p>
      <w:pPr>
        <w:spacing w:line="500" w:lineRule="exact"/>
        <w:jc w:val="center"/>
        <w:rPr>
          <w:rFonts w:hint="eastAsia" w:ascii="宋体" w:hAnsi="宋体" w:eastAsia="宋体" w:cs="宋体"/>
          <w:color w:val="000000"/>
          <w:sz w:val="36"/>
          <w:szCs w:val="36"/>
        </w:rPr>
      </w:pPr>
      <w:r>
        <w:rPr>
          <w:rFonts w:hint="eastAsia" w:ascii="方正小标宋_GBK" w:hAnsi="方正小标宋_GBK" w:eastAsia="方正小标宋_GBK" w:cs="方正小标宋_GBK"/>
          <w:b w:val="0"/>
          <w:bCs w:val="0"/>
          <w:color w:val="000000"/>
          <w:sz w:val="44"/>
          <w:szCs w:val="44"/>
        </w:rPr>
        <w:t>部门整体支出绩效</w:t>
      </w:r>
      <w:r>
        <w:rPr>
          <w:rFonts w:hint="eastAsia" w:ascii="方正小标宋简体" w:hAnsi="宋体" w:eastAsia="方正小标宋简体"/>
          <w:kern w:val="0"/>
          <w:sz w:val="44"/>
          <w:szCs w:val="44"/>
        </w:rPr>
        <w:t>评价</w:t>
      </w:r>
      <w:r>
        <w:rPr>
          <w:rFonts w:hint="eastAsia" w:ascii="方正小标宋_GBK" w:hAnsi="方正小标宋_GBK" w:eastAsia="方正小标宋_GBK" w:cs="方正小标宋_GBK"/>
          <w:b w:val="0"/>
          <w:bCs w:val="0"/>
          <w:color w:val="000000"/>
          <w:sz w:val="44"/>
          <w:szCs w:val="44"/>
        </w:rPr>
        <w:t>报告</w:t>
      </w:r>
    </w:p>
    <w:p>
      <w:pPr>
        <w:spacing w:line="500" w:lineRule="exact"/>
        <w:rPr>
          <w:rFonts w:ascii="宋体"/>
          <w:color w:val="000000"/>
          <w:sz w:val="28"/>
          <w:szCs w:val="28"/>
        </w:rPr>
      </w:pP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snapToGrid/>
        <w:spacing w:line="576" w:lineRule="exact"/>
        <w:ind w:left="0" w:right="6" w:firstLine="640" w:firstLineChars="200"/>
        <w:jc w:val="both"/>
        <w:textAlignment w:val="auto"/>
        <w:rPr>
          <w:rFonts w:hint="eastAsia" w:ascii="仿宋" w:hAnsi="仿宋" w:eastAsia="仿宋" w:cs="仿宋"/>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r>
        <w:rPr>
          <w:rFonts w:hint="eastAsia" w:ascii="仿宋" w:hAnsi="仿宋" w:eastAsia="仿宋" w:cs="仿宋"/>
          <w:sz w:val="32"/>
          <w:szCs w:val="32"/>
          <w:lang w:val="en-US" w:eastAsia="zh-CN"/>
        </w:rPr>
        <w:t>按照剑阁县委编制委员会（2012)10号文件精神，成立剑阁县现代农业园区管理办公室，其中核定5名事业编。（包括主任1名，副主任1名）</w:t>
      </w:r>
    </w:p>
    <w:p>
      <w:pPr>
        <w:keepNext w:val="0"/>
        <w:keepLines w:val="0"/>
        <w:pageBreakBefore w:val="0"/>
        <w:widowControl w:val="0"/>
        <w:kinsoku/>
        <w:wordWrap/>
        <w:overflowPunct/>
        <w:topLinePunct w:val="0"/>
        <w:autoSpaceDE/>
        <w:autoSpaceDN/>
        <w:bidi w:val="0"/>
        <w:adjustRightInd/>
        <w:snapToGrid/>
        <w:spacing w:line="576" w:lineRule="exact"/>
        <w:ind w:left="0" w:right="6" w:firstLine="640" w:firstLineChars="200"/>
        <w:jc w:val="both"/>
        <w:textAlignment w:val="auto"/>
        <w:rPr>
          <w:rFonts w:hint="eastAsia" w:ascii="仿宋" w:hAnsi="仿宋" w:eastAsia="仿宋" w:cs="仿宋"/>
          <w:kern w:val="0"/>
          <w:sz w:val="36"/>
          <w:szCs w:val="36"/>
          <w:shd w:val="clear" w:color="auto" w:fill="FFFFFF"/>
          <w:lang w:val="zh-CN"/>
        </w:rPr>
      </w:pPr>
      <w:r>
        <w:rPr>
          <w:rFonts w:hint="eastAsia" w:ascii="仿宋_GB2312" w:hAnsi="宋体" w:eastAsia="仿宋_GB2312" w:cs="宋体"/>
          <w:kern w:val="0"/>
          <w:sz w:val="32"/>
          <w:szCs w:val="32"/>
          <w:shd w:val="clear" w:color="auto" w:fill="FFFFFF"/>
          <w:lang w:val="zh-CN"/>
        </w:rPr>
        <w:t>（二）机构职能。</w:t>
      </w:r>
      <w:r>
        <w:rPr>
          <w:rFonts w:hint="eastAsia" w:ascii="仿宋" w:hAnsi="仿宋" w:eastAsia="仿宋" w:cs="仿宋"/>
          <w:sz w:val="32"/>
          <w:szCs w:val="32"/>
          <w:lang w:val="en-US" w:eastAsia="zh-CN"/>
        </w:rPr>
        <w:t>剑阁县现代农业园区管理办公室主要负责园区的指导、督查、考核和发展总体规划、园区建设方案的设计、发展政策调研、档案的收集管理、统筹协调园区建设项目资金整合方案制定。</w:t>
      </w:r>
    </w:p>
    <w:p>
      <w:pPr>
        <w:widowControl/>
        <w:adjustRightInd w:val="0"/>
        <w:snapToGrid w:val="0"/>
        <w:spacing w:line="572" w:lineRule="exact"/>
        <w:ind w:firstLine="640" w:firstLineChars="200"/>
        <w:contextualSpacing/>
        <w:jc w:val="left"/>
        <w:rPr>
          <w:rFonts w:hint="eastAsia" w:ascii="仿宋" w:hAnsi="仿宋" w:eastAsia="仿宋" w:cs="仿宋"/>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r>
        <w:rPr>
          <w:rFonts w:hint="eastAsia" w:ascii="仿宋" w:hAnsi="仿宋" w:eastAsia="仿宋" w:cs="仿宋"/>
          <w:sz w:val="32"/>
          <w:szCs w:val="32"/>
          <w:lang w:val="en-US" w:eastAsia="zh-CN"/>
        </w:rPr>
        <w:t>剑阁县现代农业园区管理办公室编制5名，在职人员9人。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hint="eastAsia" w:ascii="仿宋" w:hAnsi="仿宋" w:eastAsia="仿宋"/>
          <w:sz w:val="32"/>
          <w:szCs w:val="32"/>
          <w:lang w:eastAsia="zh-CN"/>
        </w:rPr>
      </w:pPr>
      <w:r>
        <w:rPr>
          <w:rFonts w:hint="eastAsia" w:ascii="仿宋_GB2312" w:hAnsi="宋体" w:eastAsia="仿宋_GB2312" w:cs="宋体"/>
          <w:kern w:val="0"/>
          <w:sz w:val="32"/>
          <w:szCs w:val="32"/>
          <w:shd w:val="clear" w:color="auto" w:fill="FFFFFF"/>
          <w:lang w:val="zh-CN"/>
        </w:rPr>
        <w:t>（一）部门财政资金收入情况。</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w:t>
      </w:r>
      <w:r>
        <w:rPr>
          <w:rFonts w:hint="eastAsia" w:ascii="仿宋" w:hAnsi="仿宋" w:eastAsia="仿宋"/>
          <w:sz w:val="32"/>
          <w:szCs w:val="32"/>
          <w:lang w:val="en-US" w:eastAsia="zh-CN"/>
        </w:rPr>
        <w:t>入200.76</w:t>
      </w:r>
      <w:r>
        <w:rPr>
          <w:rFonts w:hint="eastAsia" w:ascii="仿宋" w:hAnsi="仿宋" w:eastAsia="仿宋"/>
          <w:sz w:val="32"/>
          <w:szCs w:val="32"/>
        </w:rPr>
        <w:t>万元</w:t>
      </w:r>
      <w:r>
        <w:rPr>
          <w:rFonts w:hint="eastAsia" w:ascii="仿宋" w:hAnsi="仿宋" w:eastAsia="仿宋"/>
          <w:sz w:val="32"/>
          <w:szCs w:val="32"/>
          <w:lang w:eastAsia="zh-CN"/>
        </w:rPr>
        <w:t>。</w:t>
      </w:r>
    </w:p>
    <w:p>
      <w:pPr>
        <w:widowControl/>
        <w:adjustRightInd w:val="0"/>
        <w:snapToGrid w:val="0"/>
        <w:spacing w:line="572" w:lineRule="exact"/>
        <w:ind w:firstLine="640" w:firstLineChars="200"/>
        <w:contextualSpacing/>
        <w:jc w:val="left"/>
        <w:rPr>
          <w:rFonts w:hint="eastAsia" w:ascii="仿宋_GB2312" w:hAnsi="宋体" w:eastAsia="仿宋" w:cs="宋体"/>
          <w:kern w:val="0"/>
          <w:sz w:val="32"/>
          <w:szCs w:val="32"/>
          <w:shd w:val="clear" w:color="auto" w:fill="FFFFFF"/>
          <w:lang w:val="zh-CN" w:eastAsia="zh-CN"/>
        </w:rPr>
      </w:pPr>
      <w:r>
        <w:rPr>
          <w:rFonts w:hint="eastAsia" w:ascii="仿宋_GB2312" w:hAnsi="宋体" w:eastAsia="仿宋_GB2312" w:cs="宋体"/>
          <w:kern w:val="0"/>
          <w:sz w:val="32"/>
          <w:szCs w:val="32"/>
          <w:shd w:val="clear" w:color="auto" w:fill="FFFFFF"/>
          <w:lang w:val="zh-CN"/>
        </w:rPr>
        <w:t>（二）部门财政资金支出情况。</w:t>
      </w:r>
      <w:r>
        <w:rPr>
          <w:rFonts w:hint="eastAsia" w:ascii="仿宋_GB2312" w:hAnsi="宋体" w:eastAsia="仿宋_GB2312" w:cs="宋体"/>
          <w:kern w:val="0"/>
          <w:sz w:val="32"/>
          <w:szCs w:val="32"/>
          <w:shd w:val="clear" w:color="auto" w:fill="FFFFFF"/>
          <w:lang w:val="en-US" w:eastAsia="zh-CN"/>
        </w:rPr>
        <w:t>2022年度</w:t>
      </w:r>
      <w:r>
        <w:rPr>
          <w:rFonts w:hint="eastAsia" w:ascii="仿宋" w:hAnsi="仿宋" w:eastAsia="仿宋"/>
          <w:sz w:val="32"/>
          <w:szCs w:val="32"/>
        </w:rPr>
        <w:t>支</w:t>
      </w:r>
      <w:r>
        <w:rPr>
          <w:rFonts w:hint="eastAsia" w:ascii="仿宋" w:hAnsi="仿宋" w:eastAsia="仿宋"/>
          <w:sz w:val="32"/>
          <w:szCs w:val="32"/>
          <w:lang w:val="en-US" w:eastAsia="zh-CN"/>
        </w:rPr>
        <w:t>出</w:t>
      </w:r>
      <w:r>
        <w:rPr>
          <w:rFonts w:hint="eastAsia" w:ascii="仿宋" w:hAnsi="仿宋" w:eastAsia="仿宋"/>
          <w:sz w:val="32"/>
          <w:szCs w:val="32"/>
        </w:rPr>
        <w:t>总计</w:t>
      </w:r>
      <w:r>
        <w:rPr>
          <w:rFonts w:hint="eastAsia" w:ascii="仿宋" w:hAnsi="仿宋" w:eastAsia="仿宋"/>
          <w:sz w:val="32"/>
          <w:szCs w:val="32"/>
          <w:lang w:val="en-US" w:eastAsia="zh-CN"/>
        </w:rPr>
        <w:t>200.76</w:t>
      </w:r>
      <w:r>
        <w:rPr>
          <w:rFonts w:hint="eastAsia" w:ascii="仿宋" w:hAnsi="仿宋" w:eastAsia="仿宋"/>
          <w:sz w:val="32"/>
          <w:szCs w:val="32"/>
        </w:rPr>
        <w:t>万元</w:t>
      </w:r>
      <w:r>
        <w:rPr>
          <w:rFonts w:hint="eastAsia" w:ascii="仿宋" w:hAnsi="仿宋" w:eastAsia="仿宋"/>
          <w:sz w:val="32"/>
          <w:szCs w:val="32"/>
          <w:lang w:eastAsia="zh-CN"/>
        </w:rPr>
        <w:t>。</w:t>
      </w:r>
    </w:p>
    <w:p>
      <w:pPr>
        <w:tabs>
          <w:tab w:val="left" w:pos="745"/>
          <w:tab w:val="left" w:pos="1695"/>
        </w:tabs>
        <w:spacing w:line="600" w:lineRule="exact"/>
        <w:ind w:firstLine="643" w:firstLineChars="200"/>
        <w:rPr>
          <w:rFonts w:ascii="黑体" w:hAnsi="黑体" w:eastAsia="黑体"/>
          <w:b/>
          <w:bCs/>
          <w:color w:val="000000"/>
          <w:sz w:val="32"/>
          <w:szCs w:val="32"/>
        </w:rPr>
      </w:pPr>
      <w:r>
        <w:rPr>
          <w:rFonts w:hint="eastAsia" w:ascii="黑体" w:hAnsi="黑体" w:eastAsia="黑体" w:cs="仿宋"/>
          <w:b/>
          <w:bCs/>
          <w:color w:val="000000"/>
          <w:sz w:val="32"/>
          <w:szCs w:val="32"/>
        </w:rPr>
        <w:t>三、部门整体预算绩效管理情况</w:t>
      </w:r>
    </w:p>
    <w:p>
      <w:pPr>
        <w:widowControl/>
        <w:adjustRightInd w:val="0"/>
        <w:snapToGrid w:val="0"/>
        <w:spacing w:line="572" w:lineRule="exact"/>
        <w:ind w:firstLine="643" w:firstLineChars="200"/>
        <w:contextualSpacing/>
        <w:jc w:val="left"/>
        <w:rPr>
          <w:rFonts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（一）部门预算项目绩效管理。</w:t>
      </w:r>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200.76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10.56</w:t>
      </w:r>
      <w:r>
        <w:rPr>
          <w:rFonts w:hint="eastAsia" w:ascii="仿宋" w:hAnsi="仿宋" w:eastAsia="仿宋"/>
          <w:sz w:val="32"/>
          <w:szCs w:val="32"/>
        </w:rPr>
        <w:t>万元，占</w:t>
      </w:r>
      <w:r>
        <w:rPr>
          <w:rFonts w:hint="eastAsia" w:ascii="仿宋" w:hAnsi="仿宋" w:eastAsia="仿宋"/>
          <w:sz w:val="32"/>
          <w:szCs w:val="32"/>
          <w:lang w:val="en-US" w:eastAsia="zh-CN"/>
        </w:rPr>
        <w:t>5.26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5.28</w:t>
      </w:r>
      <w:r>
        <w:rPr>
          <w:rFonts w:hint="eastAsia" w:ascii="仿宋" w:hAnsi="仿宋" w:eastAsia="仿宋"/>
          <w:sz w:val="32"/>
          <w:szCs w:val="32"/>
        </w:rPr>
        <w:t>万元，占</w:t>
      </w:r>
      <w:r>
        <w:rPr>
          <w:rFonts w:hint="eastAsia" w:ascii="仿宋" w:hAnsi="仿宋" w:eastAsia="仿宋"/>
          <w:sz w:val="32"/>
          <w:szCs w:val="32"/>
          <w:lang w:val="en-US" w:eastAsia="zh-CN"/>
        </w:rPr>
        <w:t>2.63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7.92</w:t>
      </w:r>
      <w:r>
        <w:rPr>
          <w:rFonts w:hint="eastAsia" w:ascii="仿宋" w:hAnsi="仿宋" w:eastAsia="仿宋"/>
          <w:sz w:val="32"/>
          <w:szCs w:val="32"/>
        </w:rPr>
        <w:t>万元，占</w:t>
      </w:r>
      <w:r>
        <w:rPr>
          <w:rFonts w:hint="eastAsia" w:ascii="仿宋" w:hAnsi="仿宋" w:eastAsia="仿宋"/>
          <w:sz w:val="32"/>
          <w:szCs w:val="32"/>
          <w:lang w:val="en-US" w:eastAsia="zh-CN"/>
        </w:rPr>
        <w:t>3.94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lang w:val="en-US" w:eastAsia="zh-CN"/>
        </w:rPr>
        <w:t>农林水支出</w:t>
      </w:r>
      <w:r>
        <w:rPr>
          <w:rFonts w:hint="eastAsia" w:ascii="仿宋" w:hAnsi="仿宋" w:eastAsia="仿宋"/>
          <w:sz w:val="32"/>
          <w:szCs w:val="32"/>
          <w:lang w:val="en-US" w:eastAsia="zh-CN"/>
        </w:rPr>
        <w:t>177万元，占88.17%</w:t>
      </w:r>
      <w:r>
        <w:rPr>
          <w:rFonts w:hint="eastAsia" w:ascii="仿宋" w:hAnsi="仿宋" w:eastAsia="仿宋"/>
          <w:sz w:val="32"/>
          <w:szCs w:val="32"/>
        </w:rPr>
        <w:t>。</w:t>
      </w:r>
    </w:p>
    <w:p>
      <w:pPr>
        <w:widowControl/>
        <w:adjustRightInd w:val="0"/>
        <w:snapToGrid w:val="0"/>
        <w:spacing w:line="572" w:lineRule="exact"/>
        <w:ind w:firstLine="643"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（二）结果应用情况。</w:t>
      </w:r>
    </w:p>
    <w:p>
      <w:pPr>
        <w:tabs>
          <w:tab w:val="left" w:pos="1278"/>
        </w:tabs>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严格执行《</w:t>
      </w:r>
      <w:r>
        <w:rPr>
          <w:rFonts w:hint="eastAsia" w:ascii="仿宋" w:hAnsi="仿宋" w:eastAsia="仿宋" w:cs="仿宋"/>
          <w:color w:val="000000"/>
          <w:sz w:val="32"/>
          <w:szCs w:val="32"/>
          <w:lang w:val="en-US" w:eastAsia="zh-CN"/>
        </w:rPr>
        <w:t>中华人民共和国</w:t>
      </w:r>
      <w:r>
        <w:rPr>
          <w:rFonts w:hint="eastAsia" w:ascii="仿宋" w:hAnsi="仿宋" w:eastAsia="仿宋" w:cs="仿宋"/>
          <w:color w:val="000000"/>
          <w:sz w:val="32"/>
          <w:szCs w:val="32"/>
        </w:rPr>
        <w:t>预算法》和目标绩效管理，坚持有预算才有支出，认真执行项目工程全程跟踪监督管理，坚持事前、事中、事后的全方位、全过程监管。</w:t>
      </w:r>
    </w:p>
    <w:p>
      <w:pPr>
        <w:widowControl/>
        <w:numPr>
          <w:ilvl w:val="0"/>
          <w:numId w:val="4"/>
        </w:numPr>
        <w:adjustRightInd w:val="0"/>
        <w:snapToGrid w:val="0"/>
        <w:spacing w:line="580" w:lineRule="exact"/>
        <w:ind w:firstLine="643" w:firstLineChars="200"/>
        <w:contextualSpacing/>
        <w:jc w:val="left"/>
        <w:rPr>
          <w:rFonts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自评质量</w:t>
      </w:r>
    </w:p>
    <w:p>
      <w:pPr>
        <w:tabs>
          <w:tab w:val="left" w:pos="1278"/>
        </w:tabs>
        <w:spacing w:line="600" w:lineRule="exact"/>
        <w:ind w:firstLine="640" w:firstLineChars="200"/>
        <w:rPr>
          <w:rFonts w:ascii="仿宋" w:hAnsi="仿宋" w:eastAsia="仿宋"/>
          <w:color w:val="000000"/>
          <w:sz w:val="32"/>
          <w:szCs w:val="32"/>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年，我单位积极履职，强化管理，较好</w:t>
      </w:r>
      <w:r>
        <w:rPr>
          <w:rFonts w:hint="eastAsia" w:ascii="仿宋" w:hAnsi="仿宋" w:eastAsia="仿宋" w:cs="仿宋"/>
          <w:color w:val="000000"/>
          <w:sz w:val="32"/>
          <w:szCs w:val="32"/>
          <w:lang w:eastAsia="zh-CN"/>
        </w:rPr>
        <w:t>地</w:t>
      </w:r>
      <w:r>
        <w:rPr>
          <w:rFonts w:hint="eastAsia" w:ascii="仿宋" w:hAnsi="仿宋" w:eastAsia="仿宋" w:cs="仿宋"/>
          <w:color w:val="000000"/>
          <w:sz w:val="32"/>
          <w:szCs w:val="32"/>
        </w:rPr>
        <w:t>完成了年度工作目标。严格按照财政预算收支执行，强化预算收支管理，不断建立健全内部管理制度，梳理内部管理流程，部门整体支出管理水平得到提升。同时对本单位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年部门预算、决算在剑阁县</w:t>
      </w:r>
      <w:r>
        <w:rPr>
          <w:rFonts w:hint="eastAsia" w:ascii="仿宋" w:hAnsi="仿宋" w:eastAsia="仿宋" w:cs="仿宋"/>
          <w:color w:val="000000"/>
          <w:sz w:val="32"/>
          <w:szCs w:val="32"/>
          <w:lang w:val="en-US" w:eastAsia="zh-CN"/>
        </w:rPr>
        <w:t>人民</w:t>
      </w:r>
      <w:r>
        <w:rPr>
          <w:rFonts w:hint="eastAsia" w:ascii="仿宋" w:hAnsi="仿宋" w:eastAsia="仿宋" w:cs="仿宋"/>
          <w:color w:val="000000"/>
          <w:sz w:val="32"/>
          <w:szCs w:val="32"/>
        </w:rPr>
        <w:t>政府</w:t>
      </w:r>
      <w:bookmarkStart w:id="43" w:name="_GoBack"/>
      <w:bookmarkEnd w:id="43"/>
      <w:r>
        <w:rPr>
          <w:rFonts w:hint="eastAsia" w:ascii="仿宋" w:hAnsi="仿宋" w:eastAsia="仿宋" w:cs="仿宋"/>
          <w:color w:val="000000"/>
          <w:sz w:val="32"/>
          <w:szCs w:val="32"/>
        </w:rPr>
        <w:t>网站上进行公开、公示，评价结果良好。根据部门整体支出绩效评价指标体系，我单位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年度评价得分为</w:t>
      </w:r>
      <w:r>
        <w:rPr>
          <w:rFonts w:ascii="仿宋" w:hAnsi="仿宋" w:eastAsia="仿宋" w:cs="仿宋"/>
          <w:color w:val="000000"/>
          <w:sz w:val="32"/>
          <w:szCs w:val="32"/>
        </w:rPr>
        <w:t>9</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tabs>
          <w:tab w:val="left" w:pos="1278"/>
        </w:tabs>
        <w:spacing w:line="600" w:lineRule="exact"/>
        <w:ind w:firstLine="643" w:firstLineChars="200"/>
        <w:rPr>
          <w:rFonts w:ascii="仿宋" w:hAnsi="仿宋" w:eastAsia="仿宋"/>
          <w:color w:val="000000"/>
          <w:sz w:val="32"/>
          <w:szCs w:val="32"/>
        </w:rPr>
      </w:pPr>
      <w:r>
        <w:rPr>
          <w:rFonts w:hint="eastAsia" w:ascii="仿宋_GB2312" w:hAnsi="宋体" w:eastAsia="仿宋_GB2312" w:cs="宋体"/>
          <w:b/>
          <w:bCs/>
          <w:kern w:val="0"/>
          <w:sz w:val="32"/>
          <w:szCs w:val="32"/>
          <w:shd w:val="clear" w:color="auto" w:fill="FFFFFF"/>
          <w:lang w:val="zh-CN"/>
        </w:rPr>
        <w:t>（一）评价结论。</w:t>
      </w:r>
      <w:r>
        <w:rPr>
          <w:rFonts w:hint="eastAsia" w:ascii="仿宋" w:hAnsi="仿宋" w:eastAsia="仿宋" w:cs="仿宋"/>
          <w:color w:val="000000"/>
          <w:sz w:val="32"/>
          <w:szCs w:val="32"/>
        </w:rPr>
        <w:t>同时对本单位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年部门预算、决算在剑阁县</w:t>
      </w:r>
      <w:r>
        <w:rPr>
          <w:rFonts w:hint="eastAsia" w:ascii="仿宋" w:hAnsi="仿宋" w:eastAsia="仿宋" w:cs="仿宋"/>
          <w:color w:val="000000"/>
          <w:sz w:val="32"/>
          <w:szCs w:val="32"/>
          <w:lang w:val="en-US" w:eastAsia="zh-CN"/>
        </w:rPr>
        <w:t>人民</w:t>
      </w:r>
      <w:r>
        <w:rPr>
          <w:rFonts w:hint="eastAsia" w:ascii="仿宋" w:hAnsi="仿宋" w:eastAsia="仿宋" w:cs="仿宋"/>
          <w:color w:val="000000"/>
          <w:sz w:val="32"/>
          <w:szCs w:val="32"/>
        </w:rPr>
        <w:t>政府网站上进行公开、公示，评价结果良好。根据部门整体支出绩效评价指标体系，我单位</w:t>
      </w: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年度评价得分为</w:t>
      </w:r>
      <w:r>
        <w:rPr>
          <w:rFonts w:ascii="仿宋" w:hAnsi="仿宋" w:eastAsia="仿宋" w:cs="仿宋"/>
          <w:color w:val="000000"/>
          <w:sz w:val="32"/>
          <w:szCs w:val="32"/>
        </w:rPr>
        <w:t>9</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分。</w:t>
      </w:r>
    </w:p>
    <w:p>
      <w:pPr>
        <w:widowControl/>
        <w:adjustRightInd w:val="0"/>
        <w:snapToGrid w:val="0"/>
        <w:spacing w:line="576" w:lineRule="exact"/>
        <w:ind w:firstLine="643" w:firstLineChars="200"/>
        <w:contextualSpacing/>
        <w:jc w:val="left"/>
        <w:rPr>
          <w:rFonts w:hint="eastAsia"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（二）存在问题。</w:t>
      </w:r>
    </w:p>
    <w:p>
      <w:pPr>
        <w:pStyle w:val="6"/>
        <w:rPr>
          <w:rFonts w:hint="default" w:eastAsia="仿宋_GB2312"/>
          <w:sz w:val="32"/>
          <w:szCs w:val="32"/>
          <w:lang w:val="en-US" w:eastAsia="zh-CN"/>
        </w:rPr>
      </w:pPr>
      <w:r>
        <w:rPr>
          <w:rFonts w:hint="eastAsia"/>
          <w:lang w:val="en-US" w:eastAsia="zh-CN"/>
        </w:rPr>
        <w:t xml:space="preserve">             </w:t>
      </w:r>
      <w:r>
        <w:rPr>
          <w:rFonts w:hint="eastAsia"/>
          <w:sz w:val="32"/>
          <w:szCs w:val="32"/>
          <w:lang w:val="en-US" w:eastAsia="zh-CN"/>
        </w:rPr>
        <w:t>无</w:t>
      </w:r>
    </w:p>
    <w:p>
      <w:pPr>
        <w:widowControl/>
        <w:numPr>
          <w:ilvl w:val="0"/>
          <w:numId w:val="0"/>
        </w:numPr>
        <w:adjustRightInd w:val="0"/>
        <w:snapToGrid w:val="0"/>
        <w:spacing w:line="576" w:lineRule="exact"/>
        <w:ind w:leftChars="200" w:firstLine="321" w:firstLineChars="1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w:t>
      </w:r>
      <w:r>
        <w:rPr>
          <w:rFonts w:hint="eastAsia" w:ascii="仿宋_GB2312" w:hAnsi="宋体" w:eastAsia="仿宋_GB2312" w:cs="宋体"/>
          <w:b/>
          <w:bCs/>
          <w:kern w:val="0"/>
          <w:sz w:val="32"/>
          <w:szCs w:val="32"/>
          <w:shd w:val="clear" w:color="auto" w:fill="FFFFFF"/>
          <w:lang w:val="en-US" w:eastAsia="zh-CN"/>
        </w:rPr>
        <w:t>三</w:t>
      </w:r>
      <w:r>
        <w:rPr>
          <w:rFonts w:hint="eastAsia" w:ascii="仿宋_GB2312" w:hAnsi="宋体" w:eastAsia="仿宋_GB2312" w:cs="宋体"/>
          <w:b/>
          <w:bCs/>
          <w:kern w:val="0"/>
          <w:sz w:val="32"/>
          <w:szCs w:val="32"/>
          <w:shd w:val="clear" w:color="auto" w:fill="FFFFFF"/>
          <w:lang w:val="zh-CN"/>
        </w:rPr>
        <w:t>）改进建议</w:t>
      </w:r>
      <w:r>
        <w:rPr>
          <w:rFonts w:hint="eastAsia" w:ascii="仿宋_GB2312" w:hAnsi="宋体" w:eastAsia="仿宋_GB2312" w:cs="宋体"/>
          <w:kern w:val="0"/>
          <w:sz w:val="32"/>
          <w:szCs w:val="32"/>
          <w:shd w:val="clear" w:color="auto" w:fill="FFFFFF"/>
          <w:lang w:val="zh-CN"/>
        </w:rPr>
        <w:t>。</w:t>
      </w:r>
    </w:p>
    <w:p>
      <w:pPr>
        <w:pStyle w:val="6"/>
        <w:numPr>
          <w:ilvl w:val="0"/>
          <w:numId w:val="0"/>
        </w:numPr>
        <w:ind w:leftChars="200"/>
        <w:rPr>
          <w:rFonts w:hint="eastAsia" w:ascii="华文中宋" w:hAnsi="华文中宋" w:eastAsia="华文中宋"/>
          <w:b/>
          <w:sz w:val="36"/>
          <w:szCs w:val="36"/>
        </w:rPr>
      </w:pPr>
      <w:r>
        <w:rPr>
          <w:rFonts w:hint="eastAsia"/>
          <w:lang w:val="en-US" w:eastAsia="zh-CN"/>
        </w:rPr>
        <w:t xml:space="preserve">        </w:t>
      </w:r>
      <w:r>
        <w:rPr>
          <w:rFonts w:hint="eastAsia"/>
          <w:sz w:val="32"/>
          <w:szCs w:val="32"/>
          <w:lang w:val="en-US" w:eastAsia="zh-CN"/>
        </w:rPr>
        <w:t xml:space="preserve">  无</w:t>
      </w:r>
    </w:p>
    <w:p>
      <w:pPr>
        <w:pStyle w:val="6"/>
        <w:spacing w:before="93"/>
        <w:rPr>
          <w:rFonts w:hAnsi="Calibri" w:cs="仿宋"/>
          <w:sz w:val="32"/>
          <w:szCs w:val="32"/>
        </w:rPr>
      </w:pPr>
    </w:p>
    <w:p>
      <w:pPr>
        <w:pStyle w:val="4"/>
        <w:jc w:val="center"/>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bCs/>
          <w:color w:val="000000"/>
          <w:sz w:val="44"/>
          <w:szCs w:val="44"/>
          <w:lang w:eastAsia="zh-CN"/>
        </w:rPr>
        <w:t>第</w:t>
      </w:r>
      <w:r>
        <w:rPr>
          <w:rFonts w:hint="eastAsia" w:ascii="方正小标宋_GBK" w:hAnsi="方正小标宋_GBK" w:eastAsia="方正小标宋_GBK" w:cs="方正小标宋_GBK"/>
          <w:b/>
          <w:bCs/>
          <w:color w:val="000000"/>
          <w:sz w:val="44"/>
          <w:szCs w:val="44"/>
          <w:lang w:val="en-US" w:eastAsia="zh-CN"/>
        </w:rPr>
        <w:t>五</w:t>
      </w:r>
      <w:r>
        <w:rPr>
          <w:rFonts w:hint="eastAsia" w:ascii="方正小标宋_GBK" w:hAnsi="方正小标宋_GBK" w:eastAsia="方正小标宋_GBK" w:cs="方正小标宋_GBK"/>
          <w:b/>
          <w:bCs/>
          <w:color w:val="000000"/>
          <w:sz w:val="44"/>
          <w:szCs w:val="44"/>
          <w:lang w:eastAsia="zh-CN"/>
        </w:rPr>
        <w:t>部分</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rPr>
        <w:t>附表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二、收入决算表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三、支出决算表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2"/>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pStyle w:val="12"/>
        <w:adjustRightInd w:val="0"/>
        <w:snapToGrid w:val="0"/>
        <w:spacing w:line="440" w:lineRule="exact"/>
        <w:ind w:left="0" w:leftChars="0" w:firstLine="0" w:firstLineChars="0"/>
        <w:jc w:val="left"/>
        <w:rPr>
          <w:rFonts w:hint="eastAsia"/>
        </w:rPr>
      </w:pPr>
      <w:r>
        <w:rPr>
          <w:rFonts w:hint="eastAsia" w:ascii="仿宋_GB2312" w:eastAsia="仿宋_GB2312"/>
          <w:sz w:val="32"/>
          <w:szCs w:val="32"/>
          <w:lang w:val="en-US" w:eastAsia="zh-CN"/>
        </w:rPr>
        <w:t xml:space="preserve">      </w:t>
      </w: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p>
      <w:pPr>
        <w:pStyle w:val="6"/>
        <w:spacing w:before="93"/>
        <w:rPr>
          <w:rFonts w:hAnsi="Calibri" w:cs="仿宋"/>
          <w:sz w:val="32"/>
          <w:szCs w:val="32"/>
        </w:rPr>
      </w:pPr>
    </w:p>
    <w:bookmarkEnd w:id="41"/>
    <w:bookmarkEnd w:id="42"/>
    <w:p>
      <w:pPr>
        <w:pStyle w:val="6"/>
        <w:spacing w:before="93"/>
        <w:rPr>
          <w:rFonts w:hAnsi="Calibri" w:cs="仿宋"/>
          <w:sz w:val="32"/>
          <w:szCs w:val="32"/>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0C3944-F95F-4F4A-872C-BD4743EB0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021804-85B8-49FE-AC5F-546DF755AFB5}"/>
  </w:font>
  <w:font w:name="Cambria">
    <w:panose1 w:val="02040503050406030204"/>
    <w:charset w:val="00"/>
    <w:family w:val="roman"/>
    <w:pitch w:val="default"/>
    <w:sig w:usb0="E00006FF" w:usb1="420024FF" w:usb2="02000000" w:usb3="00000000" w:csb0="2000019F" w:csb1="00000000"/>
    <w:embedRegular r:id="rId3" w:fontKey="{B3294543-763D-4BAA-A929-B3504DAD8C75}"/>
  </w:font>
  <w:font w:name="仿宋_GB2312">
    <w:altName w:val="仿宋"/>
    <w:panose1 w:val="00000000000000000000"/>
    <w:charset w:val="86"/>
    <w:family w:val="modern"/>
    <w:pitch w:val="default"/>
    <w:sig w:usb0="00000000" w:usb1="00000000" w:usb2="00000000" w:usb3="00000000" w:csb0="00040000" w:csb1="00000000"/>
    <w:embedRegular r:id="rId4" w:fontKey="{850B09D9-FBDE-429A-8F67-78BC357590EF}"/>
  </w:font>
  <w:font w:name="仿宋">
    <w:panose1 w:val="02010609060101010101"/>
    <w:charset w:val="86"/>
    <w:family w:val="modern"/>
    <w:pitch w:val="default"/>
    <w:sig w:usb0="800002BF" w:usb1="38CF7CFA" w:usb2="00000016" w:usb3="00000000" w:csb0="00040001" w:csb1="00000000"/>
    <w:embedRegular r:id="rId5" w:fontKey="{0D719C6F-7832-41CC-9873-D11C733C3560}"/>
  </w:font>
  <w:font w:name="方正小标宋简体">
    <w:panose1 w:val="02000000000000000000"/>
    <w:charset w:val="86"/>
    <w:family w:val="script"/>
    <w:pitch w:val="default"/>
    <w:sig w:usb0="00000001" w:usb1="08000000" w:usb2="00000000" w:usb3="00000000" w:csb0="00040000" w:csb1="00000000"/>
    <w:embedRegular r:id="rId6" w:fontKey="{7DB2A867-956A-41CF-8A3A-D3D7184FA14B}"/>
  </w:font>
  <w:font w:name="楷体_GB2312">
    <w:altName w:val="楷体"/>
    <w:panose1 w:val="02010609030101010101"/>
    <w:charset w:val="86"/>
    <w:family w:val="modern"/>
    <w:pitch w:val="default"/>
    <w:sig w:usb0="00000000" w:usb1="00000000" w:usb2="00000000" w:usb3="00000000" w:csb0="00040000" w:csb1="00000000"/>
    <w:embedRegular r:id="rId7" w:fontKey="{FCF1C822-4FC9-418D-A559-A5902E955417}"/>
  </w:font>
  <w:font w:name="方正小标宋_GBK">
    <w:altName w:val="微软雅黑"/>
    <w:panose1 w:val="03000509000000000000"/>
    <w:charset w:val="86"/>
    <w:family w:val="auto"/>
    <w:pitch w:val="default"/>
    <w:sig w:usb0="00000000" w:usb1="00000000" w:usb2="00000000" w:usb3="00000000" w:csb0="00040000" w:csb1="00000000"/>
    <w:embedRegular r:id="rId8" w:fontKey="{73548A5E-70F5-4913-B7A2-9209B14D22C2}"/>
  </w:font>
  <w:font w:name="华文中宋">
    <w:panose1 w:val="02010600040101010101"/>
    <w:charset w:val="86"/>
    <w:family w:val="auto"/>
    <w:pitch w:val="default"/>
    <w:sig w:usb0="00000287" w:usb1="080F0000" w:usb2="00000000" w:usb3="00000000" w:csb0="0004009F" w:csb1="DFD70000"/>
    <w:embedRegular r:id="rId9" w:fontKey="{1BC5B8CD-52DC-4D4C-AA5A-AD16318D8DC2}"/>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E794925"/>
    <w:multiLevelType w:val="singleLevel"/>
    <w:tmpl w:val="3E794925"/>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3902FE"/>
    <w:rsid w:val="118107EC"/>
    <w:rsid w:val="11DD6519"/>
    <w:rsid w:val="16BB723D"/>
    <w:rsid w:val="18015F3F"/>
    <w:rsid w:val="1BE8440E"/>
    <w:rsid w:val="1D155CEE"/>
    <w:rsid w:val="20F57F95"/>
    <w:rsid w:val="240371BF"/>
    <w:rsid w:val="25711CC6"/>
    <w:rsid w:val="25C741E6"/>
    <w:rsid w:val="27842671"/>
    <w:rsid w:val="27FF5C0D"/>
    <w:rsid w:val="29FD04D3"/>
    <w:rsid w:val="2ABE7A3E"/>
    <w:rsid w:val="2BA62D88"/>
    <w:rsid w:val="2CA234A8"/>
    <w:rsid w:val="2EFA178C"/>
    <w:rsid w:val="30B46D73"/>
    <w:rsid w:val="319F7F4E"/>
    <w:rsid w:val="383D272C"/>
    <w:rsid w:val="386E7759"/>
    <w:rsid w:val="39AE70AB"/>
    <w:rsid w:val="3C0C0783"/>
    <w:rsid w:val="3F9F3A96"/>
    <w:rsid w:val="48BF60AB"/>
    <w:rsid w:val="493C27E9"/>
    <w:rsid w:val="496F39ED"/>
    <w:rsid w:val="49FF41D3"/>
    <w:rsid w:val="4BE068DB"/>
    <w:rsid w:val="4BF6002B"/>
    <w:rsid w:val="4ECE2238"/>
    <w:rsid w:val="51DB4B86"/>
    <w:rsid w:val="55333C3E"/>
    <w:rsid w:val="617A0594"/>
    <w:rsid w:val="64CA39A1"/>
    <w:rsid w:val="661C1116"/>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21"/>
    <w:autoRedefine/>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3"/>
    <w:autoRedefine/>
    <w:qFormat/>
    <w:uiPriority w:val="99"/>
    <w:pPr>
      <w:spacing w:beforeLines="30"/>
    </w:pPr>
    <w:rPr>
      <w:rFonts w:ascii="仿宋_GB2312" w:eastAsia="仿宋_GB2312"/>
      <w:kern w:val="0"/>
      <w:sz w:val="30"/>
    </w:rPr>
  </w:style>
  <w:style w:type="paragraph" w:styleId="7">
    <w:name w:val="Body Text Indent"/>
    <w:basedOn w:val="1"/>
    <w:autoRedefine/>
    <w:unhideWhenUsed/>
    <w:qFormat/>
    <w:uiPriority w:val="99"/>
    <w:pPr>
      <w:spacing w:after="120"/>
      <w:ind w:left="420" w:left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29"/>
    <w:autoRedefine/>
    <w:semiHidden/>
    <w:unhideWhenUsed/>
    <w:qFormat/>
    <w:uiPriority w:val="99"/>
    <w:rPr>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autoRedefine/>
    <w:unhideWhenUsed/>
    <w:qFormat/>
    <w:uiPriority w:val="39"/>
    <w:pPr>
      <w:tabs>
        <w:tab w:val="right" w:leader="dot" w:pos="8296"/>
      </w:tabs>
      <w:ind w:left="420" w:leftChars="200"/>
    </w:pPr>
  </w:style>
  <w:style w:type="paragraph" w:styleId="13">
    <w:name w:val="Body Text First Indent 2"/>
    <w:basedOn w:val="7"/>
    <w:next w:val="1"/>
    <w:autoRedefine/>
    <w:unhideWhenUsed/>
    <w:qFormat/>
    <w:uiPriority w:val="99"/>
    <w:pPr>
      <w:spacing w:before="100" w:beforeAutospacing="1" w:after="100" w:afterAutospacing="1"/>
      <w:ind w:firstLine="420" w:firstLineChars="200"/>
    </w:pPr>
  </w:style>
  <w:style w:type="character" w:styleId="16">
    <w:name w:val="Strong"/>
    <w:basedOn w:val="15"/>
    <w:autoRedefine/>
    <w:qFormat/>
    <w:uiPriority w:val="99"/>
    <w:rPr>
      <w:b/>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8">
    <w:name w:val="Header Char"/>
    <w:basedOn w:val="15"/>
    <w:autoRedefine/>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2"/>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9"/>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标题 1 Char"/>
    <w:basedOn w:val="15"/>
    <w:link w:val="3"/>
    <w:qFormat/>
    <w:uiPriority w:val="9"/>
    <w:rPr>
      <w:rFonts w:ascii="Times New Roman" w:hAnsi="Times New Roman"/>
      <w:b/>
      <w:bCs/>
      <w:kern w:val="44"/>
      <w:sz w:val="44"/>
      <w:szCs w:val="44"/>
    </w:rPr>
  </w:style>
  <w:style w:type="character" w:customStyle="1" w:styleId="33">
    <w:name w:val="标题 2 Char"/>
    <w:basedOn w:val="15"/>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WeChat%20Files\wxid_cl3p6dcktpsx52\FileStorage\File\2023-10\&#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p\Documents\WeChat%20Files\wxid_cl3p6dcktpsx52\FileStorage\File\2023-10\&#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WeChat%20Files\wxid_cl3p6dcktpsx52\FileStorage\File\2023-10\&#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WeChat%20Files\wxid_cl3p6dcktpsx52\FileStorage\File\2023-10\&#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ocuments\WeChat%20Files\wxid_cl3p6dcktpsx52\FileStorage\File\2023-10\&#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ocuments\WeChat%20Files\wxid_cl3p6dcktpsx52\FileStorage\File\2023-10\&#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227.66</c:v>
                </c:pt>
                <c:pt idx="1">
                  <c:v>200.76</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0.6281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0.6031</c:v>
                </c:pt>
                <c:pt idx="1">
                  <c:v>0.3969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227.66</c:v>
                </c:pt>
                <c:pt idx="1">
                  <c:v>200.76</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227.66</c:v>
                </c:pt>
                <c:pt idx="1">
                  <c:v>200.76</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384864391951"/>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农林水支出（类）</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177</c:v>
                </c:pt>
                <c:pt idx="1">
                  <c:v>10.56</c:v>
                </c:pt>
                <c:pt idx="2">
                  <c:v>5.28</c:v>
                </c:pt>
                <c:pt idx="3">
                  <c:v>7.92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11</TotalTime>
  <ScaleCrop>false</ScaleCrop>
  <LinksUpToDate>false</LinksUpToDate>
  <CharactersWithSpaces>5890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2023-12-28T08:41:39Z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21BEEB1B39794433B2BDBB1B5816EF58_13</vt:lpwstr>
  </property>
</Properties>
</file>