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78441"/>
      <w:bookmarkStart w:id="4" w:name="_Toc15396475"/>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8442"/>
      <w:bookmarkStart w:id="7" w:name="_Toc15377426"/>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正兴小学校</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公开编制说明</w:t>
      </w:r>
    </w:p>
    <w:p>
      <w:pPr>
        <w:adjustRightInd w:val="0"/>
        <w:snapToGrid w:val="0"/>
        <w:spacing w:line="360" w:lineRule="auto"/>
        <w:jc w:val="both"/>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10</w:t>
      </w:r>
      <w:r>
        <w:rPr>
          <w:rFonts w:hint="eastAsia"/>
        </w:rPr>
        <w:t xml:space="preserve"> 月</w:t>
      </w:r>
      <w:r>
        <w:rPr>
          <w:rFonts w:hint="eastAsia"/>
          <w:lang w:val="en-US" w:eastAsia="zh-CN"/>
        </w:rPr>
        <w:t>16</w:t>
      </w:r>
      <w:r>
        <w:rPr>
          <w:rFonts w:hint="eastAsia"/>
        </w:rPr>
        <w:t xml:space="preserve"> 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3"/>
        <w:adjustRightInd w:val="0"/>
        <w:snapToGrid w:val="0"/>
        <w:spacing w:line="440" w:lineRule="exact"/>
        <w:jc w:val="left"/>
        <w:rPr>
          <w:sz w:val="24"/>
        </w:rPr>
      </w:pPr>
      <w:r>
        <w:rPr>
          <w:rFonts w:hint="eastAsia"/>
          <w:sz w:val="24"/>
        </w:rPr>
        <w:t>一、主要职责及重点</w:t>
      </w:r>
      <w:r>
        <w:rPr>
          <w:sz w:val="24"/>
        </w:rPr>
        <w:t>工作</w:t>
      </w:r>
    </w:p>
    <w:p>
      <w:pPr>
        <w:pStyle w:val="13"/>
        <w:adjustRightInd w:val="0"/>
        <w:snapToGrid w:val="0"/>
        <w:spacing w:line="440" w:lineRule="exact"/>
        <w:jc w:val="left"/>
        <w:rPr>
          <w:rFonts w:hint="eastAsia"/>
          <w:sz w:val="24"/>
        </w:rPr>
      </w:pPr>
      <w:r>
        <w:rPr>
          <w:rFonts w:hint="eastAsia"/>
          <w:sz w:val="24"/>
        </w:rPr>
        <w:t>（一）单位</w:t>
      </w:r>
      <w:r>
        <w:rPr>
          <w:sz w:val="24"/>
        </w:rPr>
        <w:t>职责</w:t>
      </w:r>
    </w:p>
    <w:p>
      <w:pPr>
        <w:pStyle w:val="13"/>
        <w:adjustRightInd w:val="0"/>
        <w:snapToGrid w:val="0"/>
        <w:spacing w:line="440" w:lineRule="exact"/>
        <w:jc w:val="left"/>
        <w:rPr>
          <w:rFonts w:hint="eastAsia"/>
          <w:b/>
          <w:bCs/>
          <w:sz w:val="24"/>
        </w:rPr>
      </w:pPr>
      <w:r>
        <w:rPr>
          <w:rFonts w:hint="eastAsia"/>
          <w:sz w:val="24"/>
        </w:rPr>
        <w:t>（二）2022年重点工作完成情况</w:t>
      </w:r>
    </w:p>
    <w:p>
      <w:pPr>
        <w:pStyle w:val="13"/>
        <w:adjustRightInd w:val="0"/>
        <w:snapToGrid w:val="0"/>
        <w:spacing w:line="440" w:lineRule="exact"/>
        <w:jc w:val="left"/>
        <w:rPr>
          <w:rFonts w:hint="eastAsia"/>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jc w:val="left"/>
        <w:rPr>
          <w:sz w:val="24"/>
        </w:rPr>
      </w:pPr>
      <w:r>
        <w:rPr>
          <w:rFonts w:hint="eastAsia"/>
          <w:sz w:val="24"/>
        </w:rPr>
        <w:t>九、国有资本经营预算支出决算情况说明</w:t>
      </w:r>
    </w:p>
    <w:p>
      <w:pPr>
        <w:pStyle w:val="13"/>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9"/>
          <w:rFonts w:ascii="黑体" w:hAnsi="黑体" w:eastAsia="黑体"/>
          <w:b/>
          <w:bCs w:val="0"/>
        </w:rPr>
      </w:pPr>
      <w:r>
        <w:rPr>
          <w:rFonts w:hint="eastAsia" w:ascii="黑体" w:hAnsi="黑体" w:eastAsia="黑体"/>
          <w:b w:val="0"/>
        </w:rPr>
        <w:t>第一部分 单位</w:t>
      </w:r>
      <w:r>
        <w:rPr>
          <w:rStyle w:val="29"/>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Fonts w:hint="eastAsia" w:ascii="仿宋_GB2312" w:hAnsi="仿宋_GB2312" w:eastAsia="仿宋_GB2312" w:cs="仿宋_GB2312"/>
          <w:bCs/>
          <w:sz w:val="32"/>
          <w:szCs w:val="32"/>
        </w:rPr>
      </w:pPr>
      <w:bookmarkStart w:id="14" w:name="_Toc15377197"/>
      <w:bookmarkStart w:id="15" w:name="_Toc15396600"/>
      <w:r>
        <w:rPr>
          <w:rStyle w:val="30"/>
          <w:rFonts w:hint="eastAsia" w:ascii="黑体" w:hAnsi="黑体" w:eastAsia="黑体"/>
          <w:b w:val="0"/>
          <w:bCs w:val="0"/>
        </w:rPr>
        <w:t>主要职责</w:t>
      </w:r>
    </w:p>
    <w:p>
      <w:pPr>
        <w:pStyle w:val="4"/>
        <w:numPr>
          <w:ilvl w:val="0"/>
          <w:numId w:val="0"/>
        </w:numPr>
        <w:ind w:firstLine="960" w:firstLineChars="3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bCs/>
          <w:spacing w:val="0"/>
          <w:sz w:val="32"/>
          <w:szCs w:val="32"/>
          <w:lang w:val="en-US" w:eastAsia="zh-CN"/>
        </w:rPr>
        <w:t>、</w:t>
      </w:r>
      <w:r>
        <w:rPr>
          <w:rFonts w:hint="eastAsia" w:ascii="仿宋_GB2312" w:hAnsi="仿宋_GB2312" w:eastAsia="仿宋_GB2312" w:cs="仿宋_GB2312"/>
          <w:b w:val="0"/>
          <w:bCs w:val="0"/>
          <w:sz w:val="32"/>
          <w:szCs w:val="32"/>
        </w:rPr>
        <w:t>本单位主要职能职责是实施小学义务教育，促进基础教育均衡发展。</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1、正确贯彻执行党和国家的教育方针、政策、法规。</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2、维护学校的教学秩序，为学生创造良好的学习环境；</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3、积极稳妥地推进教育改革，按教育规律办事，不断提高教育质量；</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4、根据学校规模，设置学校管理机构，建立健全各项规章制度和岗位责任制。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5、坚持教书育人，服务育人，环境育人方针，加强对学生的思想品德教育，使学生的德智体美全面发展。</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6、抓好教师队伍建设，使每个教师都热心于教育事业；</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7、做好安全防范，保证学生的</w:t>
      </w:r>
      <w:r>
        <w:rPr>
          <w:rFonts w:hint="eastAsia" w:ascii="仿宋_GB2312" w:hAnsi="仿宋_GB2312" w:eastAsia="仿宋_GB2312" w:cs="仿宋_GB2312"/>
          <w:bCs/>
          <w:sz w:val="32"/>
          <w:szCs w:val="32"/>
          <w:lang w:eastAsia="zh-CN"/>
        </w:rPr>
        <w:t>人身安全</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二、2022年重点工作</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（一）精细管理，科学发展，努力提高管理水平</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1、深化党建工作。加强学校党支部思想、组织、作风和制度建设。</w:t>
      </w:r>
      <w:r>
        <w:rPr>
          <w:rFonts w:hint="eastAsia" w:ascii="仿宋_GB2312" w:hAnsi="仿宋_GB2312" w:eastAsia="仿宋_GB2312" w:cs="仿宋_GB2312"/>
          <w:kern w:val="0"/>
          <w:sz w:val="32"/>
          <w:szCs w:val="32"/>
        </w:rPr>
        <w:t xml:space="preserve"> </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实施精细管理。继续推行“一人一岗、一岗双责”的学校管理模式，落实精细化管理要求，明确教师岗位职责、工作任务、工作目标、工作流程，明确工作标准，努力做到布置到位，指导到位，执行到位，检查到位，及时反馈，及时通报，及时改进，充分调动广大师生的积极性、主动性，促进学校各项工作稳步、协调、健康、持续发展。</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3、坚持民主管理。定期召开校务会、教代会等，继续推行校务公开制度，及时公布学校财务收支情况、重大决策、工程项目、教职员工关心的“热点”问题。</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加强家校合作。本期争取建立家长同盟军，充分发挥家长学校的积极作用，广泛听取学生家长和社会各界对学校工作的意见和建议，切实帮助群众解决实际问题，提升学校管理部门的社会亲和力和公众信任度。学校将举办家教讲座、教学开放日、家庭教育经验交流会、家长会等专题活动，密切学校与家庭、社会的深层联系，</w:t>
      </w:r>
      <w:r>
        <w:rPr>
          <w:rFonts w:hint="eastAsia" w:ascii="仿宋_GB2312" w:hAnsi="仿宋_GB2312" w:eastAsia="仿宋_GB2312" w:cs="仿宋_GB2312"/>
          <w:bCs/>
          <w:sz w:val="32"/>
          <w:szCs w:val="32"/>
          <w:lang w:eastAsia="zh-CN"/>
        </w:rPr>
        <w:t>办好</w:t>
      </w:r>
      <w:r>
        <w:rPr>
          <w:rFonts w:hint="eastAsia" w:ascii="仿宋_GB2312" w:hAnsi="仿宋_GB2312" w:eastAsia="仿宋_GB2312" w:cs="仿宋_GB2312"/>
          <w:bCs/>
          <w:sz w:val="32"/>
          <w:szCs w:val="32"/>
        </w:rPr>
        <w:t>人民满意的教育。</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（二）规范行为，落实巡查，牢固树立质量意识</w:t>
      </w:r>
    </w:p>
    <w:p>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1、增强教学法规意识，促进教育均衡发展。</w:t>
      </w:r>
    </w:p>
    <w:p>
      <w:pPr>
        <w:widowControl/>
        <w:shd w:val="clear" w:color="auto" w:fill="FFFFFF"/>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2、加强教学过程管理。教务处要将科任教师、班主任、学科组长等的工作量情况如实填报，上交存档，将和评优评先、职称晋升、期末考核等挂钩。</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3、深入实施“每日巡查”。学校校级领导和中层干部组成的教学巡查小组将开展“每日巡查”制度，严格落实师生请假制度，实行随堂听课、推门听课制度。重点落实教学</w:t>
      </w:r>
      <w:r>
        <w:rPr>
          <w:rFonts w:hint="eastAsia" w:ascii="仿宋_GB2312" w:hAnsi="仿宋_GB2312" w:eastAsia="仿宋_GB2312" w:cs="仿宋_GB2312"/>
          <w:bCs/>
          <w:i/>
          <w:iCs/>
          <w:sz w:val="32"/>
          <w:szCs w:val="32"/>
        </w:rPr>
        <w:t>常规“五无”工</w:t>
      </w:r>
      <w:r>
        <w:rPr>
          <w:rFonts w:hint="eastAsia" w:ascii="仿宋_GB2312" w:hAnsi="仿宋_GB2312" w:eastAsia="仿宋_GB2312" w:cs="仿宋_GB2312"/>
          <w:bCs/>
          <w:sz w:val="32"/>
          <w:szCs w:val="32"/>
        </w:rPr>
        <w:t>作</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（三）博采众长，开拓创新，培育高素质的师资队伍</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1、完善教研制度。要创设和谐融洽、平等对话的教研氛围，开展形式多样的各科研讨课、公开课和常态课的教研活动。</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2、深化课题研究。学校教科室将继续加强广元市教育科研课题《在经典阅读中培养小学生人文素养的实践与研究》的教育科研管理，统筹安排有关课题的研究工作。</w:t>
      </w:r>
    </w:p>
    <w:p>
      <w:pPr>
        <w:widowControl/>
        <w:shd w:val="clear" w:color="auto" w:fill="FFFFFF"/>
        <w:spacing w:line="560" w:lineRule="exact"/>
        <w:ind w:firstLine="480"/>
        <w:jc w:val="left"/>
        <w:rPr>
          <w:rFonts w:hint="eastAsia" w:ascii="黑体" w:hAnsi="黑体" w:eastAsia="黑体"/>
          <w:b w:val="0"/>
          <w:sz w:val="32"/>
          <w:szCs w:val="32"/>
        </w:rPr>
      </w:pPr>
      <w:r>
        <w:rPr>
          <w:rFonts w:hint="eastAsia" w:ascii="黑体" w:hAnsi="黑体" w:eastAsia="黑体"/>
          <w:b w:val="0"/>
          <w:sz w:val="32"/>
          <w:szCs w:val="32"/>
        </w:rPr>
        <w:t>二、机构设置</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Style w:val="19"/>
          <w:rFonts w:hint="eastAsia" w:ascii="仿宋_GB2312" w:hAnsi="仿宋_GB2312" w:eastAsia="仿宋_GB2312" w:cs="仿宋_GB2312"/>
          <w:color w:val="333333"/>
          <w:sz w:val="32"/>
          <w:szCs w:val="32"/>
        </w:rPr>
        <w:t>（一）人员情况</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剑阁县正兴小学校总编制</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名，其中行政编制0名，参公编制0名，事业编制</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名，工勤编制0名。在职人员总数</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人，其中行政人员0人，参公人员0人，事业人员</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，工勤人员0人；离休人员0人，特岗教师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遗属</w:t>
      </w:r>
      <w:r>
        <w:rPr>
          <w:rFonts w:hint="eastAsia" w:ascii="仿宋_GB2312" w:hAnsi="仿宋_GB2312" w:eastAsia="仿宋_GB2312" w:cs="仿宋_GB2312"/>
          <w:kern w:val="0"/>
          <w:sz w:val="32"/>
          <w:szCs w:val="32"/>
          <w:lang w:val="en-US" w:eastAsia="zh-CN"/>
        </w:rPr>
        <w:t>6人，</w:t>
      </w:r>
      <w:r>
        <w:rPr>
          <w:rFonts w:hint="eastAsia" w:ascii="仿宋_GB2312" w:hAnsi="仿宋_GB2312" w:eastAsia="仿宋_GB2312" w:cs="仿宋_GB2312"/>
          <w:kern w:val="0"/>
          <w:sz w:val="32"/>
          <w:szCs w:val="32"/>
        </w:rPr>
        <w:t>退休人员</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人。固定资产总额</w:t>
      </w:r>
      <w:r>
        <w:rPr>
          <w:rFonts w:hint="eastAsia" w:ascii="仿宋_GB2312" w:hAnsi="仿宋_GB2312" w:eastAsia="仿宋_GB2312" w:cs="仿宋_GB2312"/>
          <w:kern w:val="0"/>
          <w:sz w:val="32"/>
          <w:szCs w:val="32"/>
          <w:lang w:val="en-US" w:eastAsia="zh-CN"/>
        </w:rPr>
        <w:t>414</w:t>
      </w:r>
      <w:r>
        <w:rPr>
          <w:rFonts w:hint="eastAsia" w:ascii="仿宋_GB2312" w:hAnsi="仿宋_GB2312" w:eastAsia="仿宋_GB2312" w:cs="仿宋_GB2312"/>
          <w:kern w:val="0"/>
          <w:sz w:val="32"/>
          <w:szCs w:val="32"/>
        </w:rPr>
        <w:t xml:space="preserve">万元。 </w:t>
      </w:r>
    </w:p>
    <w:p>
      <w:pPr>
        <w:widowControl/>
        <w:numPr>
          <w:ilvl w:val="0"/>
          <w:numId w:val="2"/>
        </w:numPr>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333333"/>
          <w:sz w:val="32"/>
          <w:szCs w:val="32"/>
        </w:rPr>
        <w:t>部门预算单位构成情况</w:t>
      </w:r>
    </w:p>
    <w:p>
      <w:pPr>
        <w:widowControl/>
        <w:numPr>
          <w:ilvl w:val="0"/>
          <w:numId w:val="0"/>
        </w:numPr>
        <w:shd w:val="clear" w:color="auto" w:fill="FFFFFF"/>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剑阁县正兴小学校</w:t>
      </w:r>
      <w:r>
        <w:rPr>
          <w:rFonts w:hint="eastAsia" w:ascii="仿宋_GB2312" w:hAnsi="仿宋_GB2312" w:eastAsia="仿宋_GB2312" w:cs="仿宋_GB2312"/>
          <w:color w:val="333333"/>
          <w:sz w:val="32"/>
          <w:szCs w:val="32"/>
        </w:rPr>
        <w:t>下属二级预算单位0个，其中行政单位0个，参照公务员法管理的事业单位0个，全额事业单位0个，差额事业单位0个。</w:t>
      </w:r>
    </w:p>
    <w:p>
      <w:pPr>
        <w:ind w:firstLine="640" w:firstLineChars="200"/>
        <w:rPr>
          <w:rFonts w:ascii="黑体" w:hAnsi="黑体" w:eastAsia="黑体"/>
          <w:b w:val="0"/>
          <w:sz w:val="32"/>
          <w:szCs w:val="32"/>
        </w:rPr>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9"/>
          <w:rFonts w:hint="eastAsia" w:ascii="黑体" w:hAnsi="黑体" w:eastAsia="黑体"/>
          <w:b w:val="0"/>
          <w:bCs/>
        </w:rPr>
        <w:t>单位决算情况说明</w:t>
      </w:r>
      <w:bookmarkEnd w:id="16"/>
      <w:bookmarkEnd w:id="17"/>
    </w:p>
    <w:p/>
    <w:p>
      <w:pPr>
        <w:pStyle w:val="28"/>
        <w:numPr>
          <w:ilvl w:val="0"/>
          <w:numId w:val="3"/>
        </w:numPr>
        <w:spacing w:line="600" w:lineRule="exact"/>
        <w:ind w:firstLineChars="0"/>
        <w:outlineLvl w:val="1"/>
        <w:rPr>
          <w:rStyle w:val="30"/>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278.27</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7.45</w:t>
      </w:r>
      <w:r>
        <w:rPr>
          <w:rFonts w:hint="eastAsia" w:ascii="仿宋" w:hAnsi="仿宋" w:eastAsia="仿宋"/>
          <w:sz w:val="32"/>
          <w:szCs w:val="32"/>
        </w:rPr>
        <w:t>万元，增长</w:t>
      </w:r>
      <w:r>
        <w:rPr>
          <w:rFonts w:hint="eastAsia" w:ascii="仿宋" w:hAnsi="仿宋" w:eastAsia="仿宋"/>
          <w:sz w:val="32"/>
          <w:szCs w:val="32"/>
          <w:lang w:val="en-US" w:eastAsia="zh-CN"/>
        </w:rPr>
        <w:t>0.27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w:t>
      </w:r>
      <w:r>
        <w:rPr>
          <w:rFonts w:hint="eastAsia" w:ascii="仿宋" w:hAnsi="仿宋" w:eastAsia="仿宋"/>
          <w:sz w:val="32"/>
          <w:szCs w:val="32"/>
        </w:rPr>
        <w:t>。</w:t>
      </w:r>
    </w:p>
    <w:p>
      <w:pPr>
        <w:pStyle w:val="15"/>
        <w:ind w:left="0" w:leftChars="0" w:firstLine="0" w:firstLineChars="0"/>
        <w:rPr>
          <w:rFonts w:hint="eastAsia" w:ascii="仿宋" w:hAnsi="仿宋" w:eastAsia="仿宋"/>
          <w:sz w:val="32"/>
          <w:szCs w:val="32"/>
        </w:rPr>
      </w:pP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lang w:val="en-US"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8"/>
        <w:numPr>
          <w:ilvl w:val="0"/>
          <w:numId w:val="3"/>
        </w:numPr>
        <w:spacing w:line="600" w:lineRule="exact"/>
        <w:ind w:firstLineChars="0"/>
        <w:outlineLvl w:val="1"/>
        <w:rPr>
          <w:rStyle w:val="30"/>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278.27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278.27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5"/>
        <w:ind w:left="0" w:leftChars="0" w:firstLine="0" w:firstLineChars="0"/>
        <w:rPr>
          <w:rFonts w:hint="eastAsia" w:ascii="仿宋" w:hAnsi="仿宋" w:eastAsia="仿宋"/>
          <w:sz w:val="32"/>
          <w:szCs w:val="32"/>
        </w:rPr>
      </w:pPr>
      <w:r>
        <w:rPr>
          <w:rFonts w:hint="eastAsia" w:ascii="宋体" w:hAnsi="宋体" w:eastAsia="宋体" w:cs="宋体"/>
          <w:sz w:val="32"/>
          <w:szCs w:val="32"/>
          <w:lang w:eastAsia="zh-CN"/>
        </w:rPr>
        <w:drawing>
          <wp:inline distT="0" distB="0" distL="114300" distR="114300">
            <wp:extent cx="4498975" cy="2305050"/>
            <wp:effectExtent l="4445" t="4445" r="1143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3" w:firstLineChars="200"/>
        <w:outlineLvl w:val="1"/>
        <w:rPr>
          <w:rFonts w:ascii="仿宋" w:hAnsi="仿宋" w:eastAsia="仿宋"/>
          <w:b/>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8"/>
        <w:numPr>
          <w:ilvl w:val="0"/>
          <w:numId w:val="3"/>
        </w:numPr>
        <w:spacing w:line="600" w:lineRule="exact"/>
        <w:ind w:firstLineChars="0"/>
        <w:outlineLvl w:val="1"/>
        <w:rPr>
          <w:rStyle w:val="30"/>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278.27</w:t>
      </w:r>
      <w:r>
        <w:rPr>
          <w:rFonts w:hint="eastAsia" w:ascii="仿宋" w:hAnsi="仿宋" w:eastAsia="仿宋"/>
          <w:sz w:val="32"/>
          <w:szCs w:val="32"/>
        </w:rPr>
        <w:t>万元，其中：基本支出</w:t>
      </w:r>
      <w:r>
        <w:rPr>
          <w:rFonts w:hint="eastAsia" w:ascii="仿宋" w:hAnsi="仿宋" w:eastAsia="仿宋"/>
          <w:sz w:val="32"/>
          <w:szCs w:val="32"/>
          <w:lang w:val="en-US" w:eastAsia="zh-CN"/>
        </w:rPr>
        <w:t>261.27</w:t>
      </w:r>
      <w:r>
        <w:rPr>
          <w:rFonts w:hint="eastAsia" w:ascii="仿宋" w:hAnsi="仿宋" w:eastAsia="仿宋"/>
          <w:sz w:val="32"/>
          <w:szCs w:val="32"/>
        </w:rPr>
        <w:t>万元，占</w:t>
      </w:r>
      <w:r>
        <w:rPr>
          <w:rFonts w:hint="eastAsia" w:ascii="仿宋" w:hAnsi="仿宋" w:eastAsia="仿宋"/>
          <w:sz w:val="32"/>
          <w:szCs w:val="32"/>
          <w:lang w:val="en-US" w:eastAsia="zh-CN"/>
        </w:rPr>
        <w:t>93.89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17</w:t>
      </w:r>
      <w:r>
        <w:rPr>
          <w:rFonts w:hint="eastAsia" w:ascii="仿宋" w:hAnsi="仿宋" w:eastAsia="仿宋"/>
          <w:sz w:val="32"/>
          <w:szCs w:val="32"/>
        </w:rPr>
        <w:t>万元，占</w:t>
      </w:r>
      <w:r>
        <w:rPr>
          <w:rFonts w:hint="eastAsia" w:ascii="仿宋" w:hAnsi="仿宋" w:eastAsia="仿宋"/>
          <w:sz w:val="32"/>
          <w:szCs w:val="32"/>
          <w:lang w:val="en-US" w:eastAsia="zh-CN"/>
        </w:rPr>
        <w:t>6.11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rPr>
          <w:rFonts w:ascii="仿宋" w:hAnsi="仿宋" w:eastAsia="仿宋"/>
          <w:sz w:val="32"/>
          <w:szCs w:val="32"/>
          <w:shd w:val="pct10" w:color="auto" w:fill="FFFFFF"/>
        </w:rPr>
      </w:pPr>
    </w:p>
    <w:p>
      <w:pPr>
        <w:pStyle w:val="15"/>
        <w:ind w:left="0" w:leftChars="0" w:firstLine="0" w:firstLineChars="0"/>
        <w:rPr>
          <w:rFonts w:hint="eastAsia" w:ascii="仿宋" w:hAnsi="仿宋" w:eastAsia="仿宋"/>
          <w:sz w:val="32"/>
          <w:szCs w:val="32"/>
        </w:rPr>
      </w:pPr>
      <w:r>
        <w:rPr>
          <w:rFonts w:hint="eastAsia" w:ascii="宋体" w:hAnsi="宋体" w:eastAsia="宋体" w:cs="宋体"/>
          <w:sz w:val="32"/>
          <w:szCs w:val="32"/>
          <w:lang w:eastAsia="zh-CN"/>
        </w:rPr>
        <w:drawing>
          <wp:inline distT="0" distB="0" distL="114300" distR="114300">
            <wp:extent cx="5097780" cy="2428875"/>
            <wp:effectExtent l="4445" t="4445" r="22225"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278.27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34.82</w:t>
      </w:r>
      <w:r>
        <w:rPr>
          <w:rFonts w:hint="eastAsia" w:ascii="仿宋" w:hAnsi="仿宋" w:eastAsia="仿宋"/>
          <w:sz w:val="32"/>
          <w:szCs w:val="32"/>
        </w:rPr>
        <w:t>万元，增长</w:t>
      </w:r>
      <w:r>
        <w:rPr>
          <w:rFonts w:hint="eastAsia" w:ascii="仿宋" w:hAnsi="仿宋" w:eastAsia="仿宋"/>
          <w:sz w:val="32"/>
          <w:szCs w:val="32"/>
          <w:lang w:val="en-US" w:eastAsia="zh-CN"/>
        </w:rPr>
        <w:t>12.51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15"/>
        <w:ind w:left="0" w:leftChars="0" w:firstLine="0" w:firstLineChars="0"/>
        <w:rPr>
          <w:rFonts w:ascii="仿宋" w:hAnsi="仿宋" w:eastAsia="仿宋"/>
          <w:b/>
          <w:sz w:val="32"/>
          <w:szCs w:val="32"/>
        </w:rPr>
      </w:pPr>
      <w:r>
        <w:rPr>
          <w:rFonts w:hint="eastAsia" w:ascii="宋体" w:hAnsi="宋体" w:eastAsia="宋体" w:cs="宋体"/>
          <w:color w:val="000000"/>
          <w:sz w:val="32"/>
          <w:szCs w:val="32"/>
          <w:lang w:val="en-US" w:eastAsia="zh-CN"/>
        </w:rPr>
        <w:drawing>
          <wp:inline distT="0" distB="0" distL="114300" distR="114300">
            <wp:extent cx="4861560" cy="2323465"/>
            <wp:effectExtent l="5080" t="4445" r="10160" b="1524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278.27</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34.82</w:t>
      </w:r>
      <w:r>
        <w:rPr>
          <w:rFonts w:hint="eastAsia" w:ascii="仿宋" w:hAnsi="仿宋" w:eastAsia="仿宋"/>
          <w:sz w:val="32"/>
          <w:szCs w:val="32"/>
        </w:rPr>
        <w:t>万元，增长</w:t>
      </w:r>
      <w:r>
        <w:rPr>
          <w:rFonts w:hint="eastAsia" w:ascii="仿宋" w:hAnsi="仿宋" w:eastAsia="仿宋"/>
          <w:sz w:val="32"/>
          <w:szCs w:val="32"/>
          <w:lang w:val="en-US" w:eastAsia="zh-CN"/>
        </w:rPr>
        <w:t>12.51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w:t>
      </w:r>
    </w:p>
    <w:p>
      <w:pPr>
        <w:pStyle w:val="15"/>
        <w:ind w:left="0" w:leftChars="0" w:firstLine="0" w:firstLineChars="0"/>
        <w:rPr>
          <w:rFonts w:hint="eastAsia" w:ascii="仿宋" w:hAnsi="仿宋" w:eastAsia="仿宋"/>
          <w:sz w:val="32"/>
          <w:szCs w:val="32"/>
        </w:rPr>
      </w:pPr>
      <w:r>
        <w:rPr>
          <w:rFonts w:hint="eastAsia" w:ascii="宋体" w:hAnsi="宋体" w:eastAsia="宋体" w:cs="宋体"/>
          <w:color w:val="000000"/>
          <w:sz w:val="32"/>
          <w:szCs w:val="32"/>
          <w:lang w:val="en-US" w:eastAsia="zh-CN"/>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278.27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234.02</w:t>
      </w:r>
      <w:r>
        <w:rPr>
          <w:rFonts w:hint="eastAsia" w:ascii="仿宋" w:hAnsi="仿宋" w:eastAsia="仿宋"/>
          <w:sz w:val="32"/>
          <w:szCs w:val="32"/>
        </w:rPr>
        <w:t>万元，占</w:t>
      </w:r>
      <w:r>
        <w:rPr>
          <w:rFonts w:hint="eastAsia" w:ascii="仿宋" w:hAnsi="仿宋" w:eastAsia="仿宋"/>
          <w:sz w:val="32"/>
          <w:szCs w:val="32"/>
          <w:lang w:val="en-US" w:eastAsia="zh-CN"/>
        </w:rPr>
        <w:t>84.10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20.40</w:t>
      </w:r>
      <w:r>
        <w:rPr>
          <w:rFonts w:hint="eastAsia" w:ascii="仿宋" w:hAnsi="仿宋" w:eastAsia="仿宋"/>
          <w:sz w:val="32"/>
          <w:szCs w:val="32"/>
        </w:rPr>
        <w:t>万元，占</w:t>
      </w:r>
      <w:r>
        <w:rPr>
          <w:rFonts w:hint="eastAsia" w:ascii="仿宋" w:hAnsi="仿宋" w:eastAsia="仿宋"/>
          <w:sz w:val="32"/>
          <w:szCs w:val="32"/>
          <w:lang w:val="en-US" w:eastAsia="zh-CN"/>
        </w:rPr>
        <w:t>7.33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9.54</w:t>
      </w:r>
      <w:r>
        <w:rPr>
          <w:rFonts w:hint="eastAsia" w:ascii="仿宋" w:hAnsi="仿宋" w:eastAsia="仿宋"/>
          <w:sz w:val="32"/>
          <w:szCs w:val="32"/>
        </w:rPr>
        <w:t>万元，占</w:t>
      </w:r>
      <w:r>
        <w:rPr>
          <w:rFonts w:hint="eastAsia" w:ascii="仿宋" w:hAnsi="仿宋" w:eastAsia="仿宋"/>
          <w:sz w:val="32"/>
          <w:szCs w:val="32"/>
          <w:lang w:val="en-US" w:eastAsia="zh-CN"/>
        </w:rPr>
        <w:t>3.43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14.31</w:t>
      </w:r>
      <w:r>
        <w:rPr>
          <w:rFonts w:hint="eastAsia" w:ascii="仿宋" w:hAnsi="仿宋" w:eastAsia="仿宋"/>
          <w:sz w:val="32"/>
          <w:szCs w:val="32"/>
        </w:rPr>
        <w:t>万元，占</w:t>
      </w:r>
      <w:r>
        <w:rPr>
          <w:rFonts w:hint="eastAsia" w:ascii="仿宋" w:hAnsi="仿宋" w:eastAsia="仿宋"/>
          <w:sz w:val="32"/>
          <w:szCs w:val="32"/>
          <w:lang w:val="en-US" w:eastAsia="zh-CN"/>
        </w:rPr>
        <w:t>5.14</w:t>
      </w:r>
      <w:r>
        <w:rPr>
          <w:rFonts w:ascii="仿宋" w:hAnsi="仿宋" w:eastAsia="仿宋"/>
          <w:sz w:val="32"/>
          <w:szCs w:val="32"/>
        </w:rPr>
        <w:t>%</w:t>
      </w:r>
      <w:r>
        <w:rPr>
          <w:rFonts w:hint="eastAsia" w:ascii="仿宋" w:hAnsi="仿宋" w:eastAsia="仿宋"/>
          <w:sz w:val="32"/>
          <w:szCs w:val="32"/>
          <w:lang w:eastAsia="zh-CN"/>
        </w:rPr>
        <w:t>；</w:t>
      </w:r>
    </w:p>
    <w:p>
      <w:pPr>
        <w:pStyle w:val="15"/>
        <w:ind w:left="0" w:leftChars="0" w:firstLine="0" w:firstLineChars="0"/>
        <w:rPr>
          <w:rFonts w:hint="eastAsia" w:ascii="仿宋" w:hAnsi="仿宋" w:eastAsia="仿宋"/>
          <w:sz w:val="32"/>
          <w:szCs w:val="32"/>
        </w:rPr>
      </w:pPr>
      <w:r>
        <w:rPr>
          <w:rFonts w:hint="eastAsia" w:ascii="宋体" w:hAnsi="宋体" w:eastAsia="宋体" w:cs="宋体"/>
          <w:b/>
          <w:sz w:val="32"/>
          <w:szCs w:val="32"/>
          <w:lang w:eastAsia="zh-CN"/>
        </w:rPr>
        <w:drawing>
          <wp:inline distT="0" distB="0" distL="114300" distR="114300">
            <wp:extent cx="5080000" cy="3810000"/>
            <wp:effectExtent l="4445" t="4445" r="20955" b="52705"/>
            <wp:docPr id="19" name="图表 19" descr="7b0a202020202263686172745265734964223a202232303436383234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278.27</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一般公共服务（类）</w:t>
      </w:r>
      <w:r>
        <w:rPr>
          <w:rStyle w:val="19"/>
          <w:rFonts w:hint="eastAsia" w:ascii="仿宋" w:hAnsi="仿宋" w:eastAsia="仿宋"/>
          <w:bCs/>
          <w:sz w:val="32"/>
          <w:szCs w:val="32"/>
          <w:lang w:val="en-US" w:eastAsia="zh-CN"/>
        </w:rPr>
        <w:t>0</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0</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，决算数小于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p>
    <w:p>
      <w:pPr>
        <w:spacing w:line="600" w:lineRule="exact"/>
        <w:ind w:firstLine="643" w:firstLineChars="200"/>
        <w:rPr>
          <w:rStyle w:val="19"/>
          <w:rFonts w:hint="eastAsia" w:ascii="仿宋" w:hAnsi="仿宋" w:eastAsia="仿宋"/>
          <w:b w:val="0"/>
          <w:bCs/>
          <w:sz w:val="32"/>
          <w:szCs w:val="32"/>
        </w:rPr>
      </w:pPr>
      <w:r>
        <w:rPr>
          <w:rStyle w:val="19"/>
          <w:rFonts w:ascii="仿宋" w:hAnsi="仿宋" w:eastAsia="仿宋"/>
          <w:bCs/>
          <w:sz w:val="32"/>
          <w:szCs w:val="32"/>
        </w:rPr>
        <w:t>2.</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学前教育</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，决算数小于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小学教育</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209.81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，决算数小于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科学技术（类）</w:t>
      </w:r>
      <w:r>
        <w:rPr>
          <w:rStyle w:val="19"/>
          <w:rFonts w:hint="eastAsia" w:ascii="仿宋" w:hAnsi="仿宋" w:eastAsia="仿宋"/>
          <w:bCs/>
          <w:sz w:val="32"/>
          <w:szCs w:val="32"/>
          <w:lang w:val="en-US" w:eastAsia="zh-CN"/>
        </w:rPr>
        <w:t>0</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0</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，决算数小于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文化旅游体育与传媒（类）</w:t>
      </w:r>
      <w:r>
        <w:rPr>
          <w:rStyle w:val="19"/>
          <w:rFonts w:hint="eastAsia" w:ascii="仿宋" w:hAnsi="仿宋" w:eastAsia="仿宋"/>
          <w:bCs/>
          <w:sz w:val="32"/>
          <w:szCs w:val="32"/>
          <w:lang w:val="en-US" w:eastAsia="zh-CN"/>
        </w:rPr>
        <w:t>0</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0</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，决算数小于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6</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
          <w:bCs/>
          <w:sz w:val="32"/>
          <w:szCs w:val="32"/>
        </w:rPr>
        <w:t>）</w:t>
      </w:r>
      <w:r>
        <w:rPr>
          <w:rStyle w:val="19"/>
          <w:rFonts w:hint="eastAsia" w:ascii="仿宋" w:hAnsi="仿宋" w:eastAsia="仿宋"/>
          <w:b/>
          <w:bCs/>
          <w:sz w:val="32"/>
          <w:szCs w:val="32"/>
          <w:lang w:val="en-US" w:eastAsia="zh-CN"/>
        </w:rPr>
        <w:t>行政事业单位养老支出</w:t>
      </w:r>
      <w:r>
        <w:rPr>
          <w:rStyle w:val="19"/>
          <w:rFonts w:hint="eastAsia" w:ascii="仿宋" w:hAnsi="仿宋" w:eastAsia="仿宋"/>
          <w:bCs/>
          <w:sz w:val="32"/>
          <w:szCs w:val="32"/>
        </w:rPr>
        <w:t>（款）</w:t>
      </w:r>
      <w:r>
        <w:rPr>
          <w:rStyle w:val="19"/>
          <w:rFonts w:hint="eastAsia" w:ascii="仿宋" w:hAnsi="仿宋" w:eastAsia="仿宋"/>
          <w:b/>
          <w:bCs/>
          <w:sz w:val="32"/>
          <w:szCs w:val="32"/>
          <w:lang w:val="en-US" w:eastAsia="zh-CN"/>
        </w:rPr>
        <w:t>机关事业单位基本养老缴费支出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20.40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，决算数小于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p>
    <w:p>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7</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
          <w:bCs/>
          <w:sz w:val="32"/>
          <w:szCs w:val="32"/>
          <w:lang w:val="en-US" w:eastAsia="zh-CN"/>
        </w:rPr>
        <w:t>行政事业单位医疗</w:t>
      </w:r>
      <w:r>
        <w:rPr>
          <w:rStyle w:val="19"/>
          <w:rFonts w:hint="eastAsia" w:ascii="仿宋" w:hAnsi="仿宋" w:eastAsia="仿宋"/>
          <w:bCs/>
          <w:sz w:val="32"/>
          <w:szCs w:val="32"/>
        </w:rPr>
        <w:t>（款）</w:t>
      </w:r>
      <w:r>
        <w:rPr>
          <w:rStyle w:val="19"/>
          <w:rFonts w:hint="eastAsia" w:ascii="仿宋" w:hAnsi="仿宋" w:eastAsia="仿宋"/>
          <w:b/>
          <w:bCs/>
          <w:sz w:val="32"/>
          <w:szCs w:val="32"/>
          <w:lang w:val="en-US" w:eastAsia="zh-CN"/>
        </w:rPr>
        <w:t>事业单位医疗</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9.54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，决算数小于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p>
    <w:p>
      <w:pPr>
        <w:spacing w:line="600" w:lineRule="exact"/>
        <w:ind w:firstLine="602" w:firstLineChars="200"/>
        <w:rPr>
          <w:rStyle w:val="19"/>
          <w:rFonts w:hint="eastAsia" w:ascii="仿宋" w:hAnsi="仿宋" w:eastAsia="仿宋"/>
          <w:b w:val="0"/>
          <w:bCs/>
          <w:sz w:val="32"/>
          <w:szCs w:val="32"/>
        </w:rPr>
      </w:pPr>
      <w:r>
        <w:rPr>
          <w:rStyle w:val="19"/>
          <w:rFonts w:hint="eastAsia" w:ascii="仿宋" w:hAnsi="仿宋" w:eastAsia="仿宋"/>
          <w:b/>
          <w:bCs/>
          <w:color w:val="000000"/>
          <w:sz w:val="30"/>
          <w:szCs w:val="30"/>
          <w:lang w:val="en-US" w:eastAsia="zh-CN"/>
        </w:rPr>
        <w:t>8</w:t>
      </w:r>
      <w:r>
        <w:rPr>
          <w:rStyle w:val="19"/>
          <w:rFonts w:ascii="仿宋" w:hAnsi="仿宋" w:eastAsia="仿宋"/>
          <w:b/>
          <w:bCs/>
          <w:sz w:val="32"/>
          <w:szCs w:val="32"/>
        </w:rPr>
        <w:t>.</w:t>
      </w:r>
      <w:r>
        <w:rPr>
          <w:rStyle w:val="19"/>
          <w:rFonts w:hint="eastAsia" w:ascii="仿宋" w:hAnsi="仿宋" w:eastAsia="仿宋"/>
          <w:b/>
          <w:bCs/>
          <w:sz w:val="32"/>
          <w:szCs w:val="32"/>
          <w:lang w:val="en-US" w:eastAsia="zh-CN"/>
        </w:rPr>
        <w:t>住房保障支出</w:t>
      </w:r>
      <w:r>
        <w:rPr>
          <w:rStyle w:val="19"/>
          <w:rFonts w:hint="eastAsia" w:ascii="仿宋" w:hAnsi="仿宋" w:eastAsia="仿宋"/>
          <w:b/>
          <w:bCs/>
          <w:sz w:val="32"/>
          <w:szCs w:val="32"/>
        </w:rPr>
        <w:t>（类）</w:t>
      </w:r>
      <w:r>
        <w:rPr>
          <w:rStyle w:val="19"/>
          <w:rFonts w:hint="eastAsia" w:ascii="仿宋" w:hAnsi="仿宋" w:eastAsia="仿宋"/>
          <w:b/>
          <w:bCs/>
          <w:sz w:val="32"/>
          <w:szCs w:val="32"/>
          <w:lang w:val="en-US" w:eastAsia="zh-CN"/>
        </w:rPr>
        <w:t>住房改革支出</w:t>
      </w:r>
      <w:r>
        <w:rPr>
          <w:rStyle w:val="19"/>
          <w:rFonts w:hint="eastAsia" w:ascii="仿宋" w:hAnsi="仿宋" w:eastAsia="仿宋"/>
          <w:b/>
          <w:bCs/>
          <w:sz w:val="32"/>
          <w:szCs w:val="32"/>
        </w:rPr>
        <w:t>（款）</w:t>
      </w:r>
      <w:r>
        <w:rPr>
          <w:rStyle w:val="19"/>
          <w:rFonts w:hint="eastAsia" w:ascii="仿宋" w:hAnsi="仿宋" w:eastAsia="仿宋"/>
          <w:b/>
          <w:bCs/>
          <w:sz w:val="32"/>
          <w:szCs w:val="32"/>
          <w:lang w:val="en-US" w:eastAsia="zh-CN"/>
        </w:rPr>
        <w:t>住房公积金</w:t>
      </w:r>
      <w:r>
        <w:rPr>
          <w:rStyle w:val="19"/>
          <w:rFonts w:hint="eastAsia" w:ascii="仿宋" w:hAnsi="仿宋" w:eastAsia="仿宋"/>
          <w:b/>
          <w:bCs/>
          <w:sz w:val="32"/>
          <w:szCs w:val="32"/>
        </w:rPr>
        <w:t>（项）</w:t>
      </w:r>
      <w:r>
        <w:rPr>
          <w:rStyle w:val="19"/>
          <w:rFonts w:hint="eastAsia" w:ascii="仿宋" w:hAnsi="仿宋" w:eastAsia="仿宋"/>
          <w:b/>
          <w:bCs/>
          <w:sz w:val="32"/>
          <w:szCs w:val="32"/>
          <w:lang w:eastAsia="zh-CN"/>
        </w:rPr>
        <w:t>：</w:t>
      </w:r>
      <w:r>
        <w:rPr>
          <w:rStyle w:val="19"/>
          <w:rFonts w:hint="eastAsia" w:ascii="仿宋" w:hAnsi="仿宋" w:eastAsia="仿宋"/>
          <w:b w:val="0"/>
          <w:bCs w:val="0"/>
          <w:color w:val="000000"/>
          <w:sz w:val="30"/>
          <w:szCs w:val="30"/>
        </w:rPr>
        <w:t>支出决算为</w:t>
      </w:r>
      <w:r>
        <w:rPr>
          <w:rStyle w:val="19"/>
          <w:rFonts w:hint="eastAsia" w:ascii="仿宋" w:hAnsi="仿宋" w:eastAsia="仿宋"/>
          <w:b w:val="0"/>
          <w:bCs w:val="0"/>
          <w:color w:val="000000"/>
          <w:sz w:val="30"/>
          <w:szCs w:val="30"/>
          <w:lang w:val="en-US" w:eastAsia="zh-CN"/>
        </w:rPr>
        <w:t>14.31</w:t>
      </w:r>
      <w:r>
        <w:rPr>
          <w:rStyle w:val="19"/>
          <w:rFonts w:hint="eastAsia" w:ascii="仿宋" w:hAnsi="仿宋" w:eastAsia="仿宋"/>
          <w:b w:val="0"/>
          <w:bCs w:val="0"/>
          <w:color w:val="000000"/>
          <w:sz w:val="30"/>
          <w:szCs w:val="30"/>
        </w:rPr>
        <w:t>万元，完成预算100</w:t>
      </w:r>
      <w:r>
        <w:rPr>
          <w:rStyle w:val="19"/>
          <w:rFonts w:ascii="仿宋" w:hAnsi="仿宋" w:eastAsia="仿宋"/>
          <w:b w:val="0"/>
          <w:bCs w:val="0"/>
          <w:color w:val="000000"/>
          <w:sz w:val="30"/>
          <w:szCs w:val="30"/>
        </w:rPr>
        <w:t>%</w:t>
      </w:r>
      <w:r>
        <w:rPr>
          <w:rStyle w:val="19"/>
          <w:rFonts w:hint="eastAsia" w:ascii="仿宋" w:hAnsi="仿宋" w:eastAsia="仿宋"/>
          <w:b w:val="0"/>
          <w:bCs w:val="0"/>
          <w:color w:val="000000"/>
          <w:sz w:val="30"/>
          <w:szCs w:val="30"/>
          <w:lang w:eastAsia="zh-CN"/>
        </w:rPr>
        <w:t>。</w:t>
      </w:r>
      <w:r>
        <w:rPr>
          <w:rStyle w:val="19"/>
          <w:rFonts w:hint="eastAsia" w:ascii="仿宋" w:hAnsi="仿宋" w:eastAsia="仿宋"/>
          <w:b w:val="0"/>
          <w:bCs/>
          <w:sz w:val="32"/>
          <w:szCs w:val="32"/>
        </w:rPr>
        <w:t>决算数小于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p>
    <w:p>
      <w:pPr>
        <w:spacing w:line="600" w:lineRule="exact"/>
        <w:ind w:firstLine="602" w:firstLineChars="200"/>
        <w:rPr>
          <w:rFonts w:ascii="仿宋" w:hAnsi="仿宋" w:eastAsia="仿宋"/>
          <w:sz w:val="32"/>
          <w:szCs w:val="32"/>
        </w:rPr>
      </w:pPr>
      <w:r>
        <w:rPr>
          <w:rStyle w:val="19"/>
          <w:rFonts w:hint="eastAsia" w:ascii="仿宋" w:hAnsi="仿宋" w:eastAsia="仿宋"/>
          <w:b/>
          <w:bCs/>
          <w:color w:val="000000"/>
          <w:sz w:val="30"/>
          <w:szCs w:val="30"/>
          <w:lang w:val="en-US" w:eastAsia="zh-CN"/>
        </w:rPr>
        <w:t>9</w:t>
      </w:r>
      <w:r>
        <w:rPr>
          <w:rStyle w:val="19"/>
          <w:rFonts w:ascii="仿宋" w:hAnsi="仿宋" w:eastAsia="仿宋"/>
          <w:b/>
          <w:bCs/>
          <w:sz w:val="32"/>
          <w:szCs w:val="32"/>
        </w:rPr>
        <w:t>.</w:t>
      </w:r>
      <w:r>
        <w:rPr>
          <w:rStyle w:val="19"/>
          <w:rFonts w:hint="eastAsia" w:ascii="仿宋" w:hAnsi="仿宋" w:eastAsia="仿宋"/>
          <w:b/>
          <w:bCs/>
          <w:sz w:val="32"/>
          <w:szCs w:val="32"/>
          <w:lang w:val="en-US" w:eastAsia="zh-CN"/>
        </w:rPr>
        <w:t>资本性支出</w:t>
      </w:r>
      <w:r>
        <w:rPr>
          <w:rStyle w:val="19"/>
          <w:rFonts w:hint="eastAsia" w:ascii="仿宋" w:hAnsi="仿宋" w:eastAsia="仿宋"/>
          <w:b/>
          <w:bCs/>
          <w:sz w:val="32"/>
          <w:szCs w:val="32"/>
        </w:rPr>
        <w:t>（类）</w:t>
      </w:r>
      <w:r>
        <w:rPr>
          <w:rStyle w:val="19"/>
          <w:rFonts w:hint="eastAsia" w:ascii="仿宋" w:hAnsi="仿宋" w:eastAsia="仿宋"/>
          <w:b/>
          <w:bCs/>
          <w:sz w:val="32"/>
          <w:szCs w:val="32"/>
          <w:lang w:val="en-US" w:eastAsia="zh-CN"/>
        </w:rPr>
        <w:t>教育费附加安排支出</w:t>
      </w:r>
      <w:r>
        <w:rPr>
          <w:rStyle w:val="19"/>
          <w:rFonts w:hint="eastAsia" w:ascii="仿宋" w:hAnsi="仿宋" w:eastAsia="仿宋"/>
          <w:b/>
          <w:bCs/>
          <w:sz w:val="32"/>
          <w:szCs w:val="32"/>
        </w:rPr>
        <w:t>（款）</w:t>
      </w:r>
      <w:r>
        <w:rPr>
          <w:rStyle w:val="19"/>
          <w:rFonts w:hint="eastAsia" w:ascii="仿宋" w:hAnsi="仿宋" w:eastAsia="仿宋"/>
          <w:b/>
          <w:bCs/>
          <w:sz w:val="32"/>
          <w:szCs w:val="32"/>
          <w:lang w:val="en-US" w:eastAsia="zh-CN"/>
        </w:rPr>
        <w:t>农村中小学校舍建设</w:t>
      </w:r>
      <w:r>
        <w:rPr>
          <w:rStyle w:val="19"/>
          <w:rFonts w:hint="eastAsia" w:ascii="仿宋" w:hAnsi="仿宋" w:eastAsia="仿宋"/>
          <w:b/>
          <w:bCs/>
          <w:sz w:val="32"/>
          <w:szCs w:val="32"/>
        </w:rPr>
        <w:t>（项）</w:t>
      </w:r>
      <w:r>
        <w:rPr>
          <w:rStyle w:val="19"/>
          <w:rFonts w:hint="eastAsia" w:ascii="仿宋" w:hAnsi="仿宋" w:eastAsia="仿宋"/>
          <w:b/>
          <w:bCs/>
          <w:sz w:val="32"/>
          <w:szCs w:val="32"/>
          <w:lang w:eastAsia="zh-CN"/>
        </w:rPr>
        <w:t>：</w:t>
      </w:r>
      <w:r>
        <w:rPr>
          <w:rStyle w:val="19"/>
          <w:rFonts w:hint="eastAsia" w:ascii="仿宋" w:hAnsi="仿宋" w:eastAsia="仿宋"/>
          <w:b w:val="0"/>
          <w:bCs w:val="0"/>
          <w:color w:val="000000"/>
          <w:sz w:val="30"/>
          <w:szCs w:val="30"/>
        </w:rPr>
        <w:t>支出决算为</w:t>
      </w:r>
      <w:r>
        <w:rPr>
          <w:rStyle w:val="19"/>
          <w:rFonts w:hint="eastAsia" w:ascii="仿宋" w:hAnsi="仿宋" w:eastAsia="仿宋"/>
          <w:b w:val="0"/>
          <w:bCs w:val="0"/>
          <w:color w:val="000000"/>
          <w:sz w:val="30"/>
          <w:szCs w:val="30"/>
          <w:lang w:val="en-US" w:eastAsia="zh-CN"/>
        </w:rPr>
        <w:t>17</w:t>
      </w:r>
      <w:r>
        <w:rPr>
          <w:rStyle w:val="19"/>
          <w:rFonts w:hint="eastAsia" w:ascii="仿宋" w:hAnsi="仿宋" w:eastAsia="仿宋"/>
          <w:b w:val="0"/>
          <w:bCs w:val="0"/>
          <w:color w:val="000000"/>
          <w:sz w:val="30"/>
          <w:szCs w:val="30"/>
        </w:rPr>
        <w:t>万元，完成预算100</w:t>
      </w:r>
      <w:r>
        <w:rPr>
          <w:rStyle w:val="19"/>
          <w:rFonts w:ascii="仿宋" w:hAnsi="仿宋" w:eastAsia="仿宋"/>
          <w:b w:val="0"/>
          <w:bCs w:val="0"/>
          <w:color w:val="000000"/>
          <w:sz w:val="30"/>
          <w:szCs w:val="30"/>
        </w:rPr>
        <w:t>%</w:t>
      </w:r>
      <w:r>
        <w:rPr>
          <w:rStyle w:val="19"/>
          <w:rFonts w:hint="eastAsia" w:ascii="仿宋" w:hAnsi="仿宋" w:eastAsia="仿宋"/>
          <w:b w:val="0"/>
          <w:bCs w:val="0"/>
          <w:color w:val="000000"/>
          <w:sz w:val="30"/>
          <w:szCs w:val="30"/>
          <w:lang w:eastAsia="zh-CN"/>
        </w:rPr>
        <w:t>。</w:t>
      </w:r>
      <w:r>
        <w:rPr>
          <w:rStyle w:val="19"/>
          <w:rFonts w:hint="eastAsia" w:ascii="仿宋" w:hAnsi="仿宋" w:eastAsia="仿宋"/>
          <w:b w:val="0"/>
          <w:bCs/>
          <w:sz w:val="32"/>
          <w:szCs w:val="32"/>
        </w:rPr>
        <w:t>决算数小于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p>
    <w:p>
      <w:pPr>
        <w:spacing w:line="600" w:lineRule="exact"/>
        <w:ind w:firstLine="640" w:firstLineChars="200"/>
        <w:rPr>
          <w:rFonts w:ascii="仿宋" w:hAnsi="仿宋" w:eastAsia="仿宋"/>
          <w:sz w:val="32"/>
          <w:szCs w:val="32"/>
        </w:rPr>
      </w:pP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0"/>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278.27</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243.73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34.54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0"/>
          <w:rFonts w:ascii="黑体" w:hAnsi="黑体" w:eastAsia="黑体"/>
          <w:b w:val="0"/>
        </w:rPr>
      </w:pPr>
      <w:bookmarkStart w:id="36" w:name="_Toc15396609"/>
      <w:bookmarkStart w:id="37"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20.83</w:t>
      </w:r>
      <w:r>
        <w:rPr>
          <w:rFonts w:hint="eastAsia" w:ascii="仿宋" w:hAnsi="仿宋" w:eastAsia="仿宋"/>
          <w:sz w:val="32"/>
          <w:szCs w:val="32"/>
        </w:rPr>
        <w:t>%。决算数小于预算数（或与预算数持平）的主要原因是……。</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5"/>
        <w:ind w:left="0" w:leftChars="0" w:firstLine="0" w:firstLineChars="0"/>
        <w:rPr>
          <w:rFonts w:hint="eastAsia" w:ascii="仿宋" w:hAnsi="仿宋" w:eastAsia="仿宋"/>
          <w:sz w:val="32"/>
          <w:szCs w:val="32"/>
        </w:rPr>
      </w:pPr>
      <w:r>
        <w:rPr>
          <w:rFonts w:hint="eastAsia" w:ascii="宋体" w:hAnsi="宋体" w:eastAsia="宋体" w:cs="宋体"/>
          <w:sz w:val="32"/>
          <w:szCs w:val="32"/>
          <w:lang w:eastAsia="zh-CN"/>
        </w:rPr>
        <w:drawing>
          <wp:inline distT="0" distB="0" distL="114300" distR="114300">
            <wp:extent cx="5119370" cy="1553845"/>
            <wp:effectExtent l="4445" t="4445" r="19685" b="60960"/>
            <wp:docPr id="20" name="图表 20" descr="7b0a202020202263686172745265734964223a202232303436383234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w:t>
      </w:r>
      <w:r>
        <w:rPr>
          <w:rFonts w:hint="eastAsia" w:ascii="仿宋_GB2312" w:eastAsia="仿宋_GB2312"/>
          <w:sz w:val="32"/>
          <w:szCs w:val="32"/>
          <w:lang w:val="en-US" w:eastAsia="zh-CN"/>
        </w:rPr>
        <w:t xml:space="preserve"> </w:t>
      </w:r>
      <w:r>
        <w:rPr>
          <w:rFonts w:hint="eastAsia" w:ascii="仿宋_GB2312" w:eastAsia="仿宋_GB2312"/>
          <w:sz w:val="32"/>
          <w:szCs w:val="32"/>
        </w:rPr>
        <w:t>下降</w:t>
      </w:r>
      <w:r>
        <w:rPr>
          <w:rFonts w:hint="eastAsia" w:ascii="仿宋_GB2312" w:eastAsia="仿宋_GB2312"/>
          <w:sz w:val="32"/>
          <w:szCs w:val="32"/>
          <w:lang w:val="en-US" w:eastAsia="zh-CN"/>
        </w:rPr>
        <w:t>20.83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公务接待费调减</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9</w:t>
      </w:r>
      <w:r>
        <w:rPr>
          <w:rFonts w:hint="eastAsia" w:ascii="仿宋_GB2312" w:eastAsia="仿宋_GB2312"/>
          <w:sz w:val="32"/>
          <w:szCs w:val="32"/>
        </w:rPr>
        <w:t>批次，</w:t>
      </w:r>
      <w:r>
        <w:rPr>
          <w:rFonts w:hint="eastAsia" w:ascii="仿宋_GB2312" w:eastAsia="仿宋_GB2312"/>
          <w:sz w:val="32"/>
          <w:szCs w:val="32"/>
          <w:lang w:val="en-US" w:eastAsia="zh-CN"/>
        </w:rPr>
        <w:t>94</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万元，具体内容包括：…（接待具体项目、金额）。</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42" w:name="_Toc15377219"/>
      <w:bookmarkStart w:id="43" w:name="_Toc15396611"/>
      <w:r>
        <w:rPr>
          <w:rStyle w:val="30"/>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17</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剑阁县正兴小学校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21年决算数持平）。主要原因是……</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剑阁县正兴小学校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剑阁县正兴小学校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hAnsi="仿宋_GB2312" w:cs="仿宋_GB2312"/>
          <w:sz w:val="32"/>
          <w:szCs w:val="32"/>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贫困寄宿生生活补助</w:t>
      </w:r>
      <w:r>
        <w:rPr>
          <w:rFonts w:hint="eastAsia" w:hAnsi="仿宋_GB2312" w:cs="仿宋_GB2312"/>
          <w:sz w:val="32"/>
          <w:szCs w:val="32"/>
        </w:rPr>
        <w:t>项目（项目名称）等</w:t>
      </w:r>
      <w:r>
        <w:rPr>
          <w:rFonts w:hint="eastAsia" w:hAnsi="仿宋_GB2312" w:cs="仿宋_GB2312"/>
          <w:sz w:val="32"/>
          <w:szCs w:val="32"/>
          <w:lang w:val="en-US" w:eastAsia="zh-CN"/>
        </w:rPr>
        <w:t>17</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17</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17</w:t>
      </w:r>
      <w:r>
        <w:rPr>
          <w:rFonts w:hint="eastAsia" w:hAnsi="仿宋_GB2312" w:cs="仿宋_GB2312"/>
          <w:sz w:val="32"/>
          <w:szCs w:val="32"/>
        </w:rPr>
        <w:t>个项目开展绩效监控，组织对</w:t>
      </w:r>
      <w:r>
        <w:rPr>
          <w:rFonts w:hint="eastAsia" w:hAnsi="仿宋_GB2312" w:cs="仿宋_GB2312"/>
          <w:sz w:val="32"/>
          <w:szCs w:val="32"/>
          <w:lang w:val="en-US" w:eastAsia="zh-CN"/>
        </w:rPr>
        <w:t>17</w:t>
      </w:r>
      <w:r>
        <w:rPr>
          <w:rFonts w:hint="eastAsia" w:hAnsi="仿宋_GB2312" w:cs="仿宋_GB2312"/>
          <w:sz w:val="32"/>
          <w:szCs w:val="32"/>
        </w:rPr>
        <w:t>个项目开展绩效自评，绩效自评表详见第四部分附件。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00" w:firstLineChars="200"/>
        <w:jc w:val="both"/>
        <w:rPr>
          <w:rFonts w:hint="eastAsia" w:ascii="仿宋" w:hAnsi="仿宋" w:eastAsia="仿宋" w:cs="仿宋"/>
          <w:b w:val="0"/>
          <w:bCs/>
          <w:i w:val="0"/>
          <w:caps w:val="0"/>
          <w:color w:val="000000"/>
          <w:spacing w:val="0"/>
          <w:sz w:val="30"/>
          <w:szCs w:val="30"/>
        </w:rPr>
      </w:pPr>
      <w:r>
        <w:rPr>
          <w:rFonts w:hint="eastAsia" w:ascii="仿宋" w:hAnsi="仿宋" w:eastAsia="仿宋" w:cs="仿宋"/>
          <w:b w:val="0"/>
          <w:bCs/>
          <w:i w:val="0"/>
          <w:caps w:val="0"/>
          <w:color w:val="000000"/>
          <w:spacing w:val="0"/>
          <w:sz w:val="30"/>
          <w:szCs w:val="30"/>
        </w:rPr>
        <w:t>我单位严格按照预算管理的相关规定和市级部门预算编制要求</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 xml:space="preserve"> 科学合理编制次年项目预算</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按时完成了20</w:t>
      </w:r>
      <w:r>
        <w:rPr>
          <w:rFonts w:hint="eastAsia" w:ascii="仿宋" w:hAnsi="仿宋" w:eastAsia="仿宋" w:cs="仿宋"/>
          <w:b w:val="0"/>
          <w:bCs/>
          <w:i w:val="0"/>
          <w:caps w:val="0"/>
          <w:color w:val="000000"/>
          <w:spacing w:val="0"/>
          <w:sz w:val="30"/>
          <w:szCs w:val="30"/>
          <w:lang w:val="en-US" w:eastAsia="zh-CN"/>
        </w:rPr>
        <w:t>22</w:t>
      </w:r>
      <w:r>
        <w:rPr>
          <w:rFonts w:hint="eastAsia" w:ascii="仿宋" w:hAnsi="仿宋" w:eastAsia="仿宋" w:cs="仿宋"/>
          <w:b w:val="0"/>
          <w:bCs/>
          <w:i w:val="0"/>
          <w:caps w:val="0"/>
          <w:color w:val="000000"/>
          <w:spacing w:val="0"/>
          <w:sz w:val="30"/>
          <w:szCs w:val="30"/>
        </w:rPr>
        <w:t>年预算编制工作。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b w:val="0"/>
          <w:bCs/>
          <w:i w:val="0"/>
          <w:caps w:val="0"/>
          <w:color w:val="000000"/>
          <w:spacing w:val="0"/>
          <w:sz w:val="30"/>
          <w:szCs w:val="30"/>
        </w:rPr>
      </w:pPr>
      <w:r>
        <w:rPr>
          <w:rFonts w:hint="eastAsia" w:ascii="仿宋" w:hAnsi="仿宋" w:eastAsia="仿宋" w:cs="仿宋"/>
          <w:b w:val="0"/>
          <w:bCs/>
          <w:i w:val="0"/>
          <w:caps w:val="0"/>
          <w:color w:val="000000"/>
          <w:spacing w:val="0"/>
          <w:sz w:val="30"/>
          <w:szCs w:val="30"/>
        </w:rPr>
        <w:t>我单位严格按照年初预算安排</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严格执行中央八项规定和省、市十项规定</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 xml:space="preserve">厉行节约规范使用预算资金。收入上，严格执行 </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收支两条线</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管理制度，按规定使用非税票据并直接缴入国库，无隐瞒收入和其他违反国家收费管理规定的行为。在支出管理中</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 xml:space="preserve"> 认真执行国库集中支付、政府采购、公务卡报销、重点工作和大额支付上会集体决策等相关财务管理制度。认真做好每月与银行、财政国库的对账工作，加强动态监控，保障学校各项工作顺利开展。</w:t>
      </w:r>
    </w:p>
    <w:p>
      <w:pPr>
        <w:keepNext w:val="0"/>
        <w:keepLines w:val="0"/>
        <w:pageBreakBefore w:val="0"/>
        <w:widowControl w:val="0"/>
        <w:kinsoku/>
        <w:wordWrap/>
        <w:overflowPunct/>
        <w:topLinePunct w:val="0"/>
        <w:autoSpaceDE/>
        <w:autoSpaceDN/>
        <w:bidi w:val="0"/>
        <w:adjustRightInd w:val="0"/>
        <w:snapToGrid w:val="0"/>
        <w:spacing w:line="600" w:lineRule="exact"/>
        <w:ind w:firstLine="300" w:firstLineChars="100"/>
        <w:contextualSpacing/>
        <w:jc w:val="left"/>
        <w:textAlignment w:val="auto"/>
        <w:rPr>
          <w:rFonts w:hint="eastAsia" w:ascii="仿宋" w:hAnsi="仿宋" w:eastAsia="仿宋" w:cs="仿宋"/>
          <w:b w:val="0"/>
          <w:bCs/>
          <w:color w:val="000000"/>
          <w:kern w:val="0"/>
          <w:sz w:val="30"/>
          <w:szCs w:val="30"/>
          <w:shd w:val="clear" w:color="auto" w:fill="FFFFFF"/>
          <w:lang w:val="zh-CN"/>
        </w:rPr>
      </w:pPr>
      <w:r>
        <w:rPr>
          <w:rFonts w:hint="eastAsia" w:ascii="仿宋" w:hAnsi="仿宋" w:eastAsia="仿宋" w:cs="仿宋"/>
          <w:b w:val="0"/>
          <w:bCs/>
          <w:color w:val="000000"/>
          <w:kern w:val="0"/>
          <w:sz w:val="30"/>
          <w:szCs w:val="30"/>
          <w:shd w:val="clear" w:color="auto" w:fill="FFFFFF"/>
          <w:lang w:val="zh-CN"/>
        </w:rPr>
        <w:t>（二）结果应用情况。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b w:val="0"/>
          <w:bCs/>
          <w:i w:val="0"/>
          <w:caps w:val="0"/>
          <w:color w:val="000000"/>
          <w:spacing w:val="0"/>
          <w:sz w:val="30"/>
          <w:szCs w:val="30"/>
        </w:rPr>
      </w:pPr>
      <w:r>
        <w:rPr>
          <w:rFonts w:hint="eastAsia" w:ascii="仿宋" w:hAnsi="仿宋" w:eastAsia="仿宋" w:cs="仿宋"/>
          <w:b w:val="0"/>
          <w:bCs/>
          <w:i w:val="0"/>
          <w:caps w:val="0"/>
          <w:color w:val="000000"/>
          <w:spacing w:val="0"/>
          <w:sz w:val="30"/>
          <w:szCs w:val="30"/>
        </w:rPr>
        <w:t>1.严格执行财务管理制度。严格执行中央和上级有关部门出台的财经纪律相关规定，严控</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三公经费</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、会议费、培训费、差旅费等支出。严格报账程序，严把票据审核关，减少现金支付。认真做好会计核算，做到账账相符、账实相符。强化内控建设，防范防控岗位风险</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确保各项工作有序运转，修改完善了《</w:t>
      </w:r>
      <w:r>
        <w:rPr>
          <w:rFonts w:hint="eastAsia" w:ascii="仿宋" w:hAnsi="仿宋" w:eastAsia="仿宋" w:cs="仿宋"/>
          <w:b w:val="0"/>
          <w:bCs/>
          <w:i w:val="0"/>
          <w:caps w:val="0"/>
          <w:color w:val="000000"/>
          <w:spacing w:val="0"/>
          <w:sz w:val="30"/>
          <w:szCs w:val="30"/>
          <w:lang w:eastAsia="zh-CN"/>
        </w:rPr>
        <w:t>剑阁县</w:t>
      </w:r>
      <w:r>
        <w:rPr>
          <w:rFonts w:hint="eastAsia" w:ascii="仿宋" w:hAnsi="仿宋" w:eastAsia="仿宋" w:cs="仿宋"/>
          <w:b w:val="0"/>
          <w:bCs/>
          <w:i w:val="0"/>
          <w:caps w:val="0"/>
          <w:color w:val="000000"/>
          <w:spacing w:val="0"/>
          <w:sz w:val="30"/>
          <w:szCs w:val="30"/>
          <w:lang w:val="en-US" w:eastAsia="zh-CN"/>
        </w:rPr>
        <w:t>正兴小学校</w:t>
      </w:r>
      <w:r>
        <w:rPr>
          <w:rFonts w:hint="eastAsia" w:ascii="仿宋" w:hAnsi="仿宋" w:eastAsia="仿宋" w:cs="仿宋"/>
          <w:b w:val="0"/>
          <w:bCs/>
          <w:i w:val="0"/>
          <w:caps w:val="0"/>
          <w:color w:val="000000"/>
          <w:spacing w:val="0"/>
          <w:sz w:val="30"/>
          <w:szCs w:val="30"/>
        </w:rPr>
        <w:t>财务管理办法（试行）》</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制发了《</w:t>
      </w:r>
      <w:r>
        <w:rPr>
          <w:rFonts w:hint="eastAsia" w:ascii="仿宋" w:hAnsi="仿宋" w:eastAsia="仿宋" w:cs="仿宋"/>
          <w:b w:val="0"/>
          <w:bCs/>
          <w:i w:val="0"/>
          <w:caps w:val="0"/>
          <w:color w:val="000000"/>
          <w:spacing w:val="0"/>
          <w:sz w:val="30"/>
          <w:szCs w:val="30"/>
          <w:lang w:eastAsia="zh-CN"/>
        </w:rPr>
        <w:t>剑阁县</w:t>
      </w:r>
      <w:r>
        <w:rPr>
          <w:rFonts w:hint="eastAsia" w:ascii="仿宋" w:hAnsi="仿宋" w:eastAsia="仿宋" w:cs="仿宋"/>
          <w:b w:val="0"/>
          <w:bCs/>
          <w:i w:val="0"/>
          <w:caps w:val="0"/>
          <w:color w:val="000000"/>
          <w:spacing w:val="0"/>
          <w:sz w:val="30"/>
          <w:szCs w:val="30"/>
          <w:lang w:val="en-US" w:eastAsia="zh-CN"/>
        </w:rPr>
        <w:t>正兴小学校</w:t>
      </w:r>
      <w:r>
        <w:rPr>
          <w:rFonts w:hint="eastAsia" w:ascii="仿宋" w:hAnsi="仿宋" w:eastAsia="仿宋" w:cs="仿宋"/>
          <w:b w:val="0"/>
          <w:bCs/>
          <w:i w:val="0"/>
          <w:caps w:val="0"/>
          <w:color w:val="000000"/>
          <w:spacing w:val="0"/>
          <w:sz w:val="30"/>
          <w:szCs w:val="30"/>
        </w:rPr>
        <w:t>廉政风险点及防范措施》等制度。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b w:val="0"/>
          <w:bCs/>
          <w:i w:val="0"/>
          <w:caps w:val="0"/>
          <w:color w:val="000000"/>
          <w:spacing w:val="0"/>
          <w:sz w:val="30"/>
          <w:szCs w:val="30"/>
        </w:rPr>
      </w:pPr>
      <w:r>
        <w:rPr>
          <w:rFonts w:hint="eastAsia" w:ascii="仿宋" w:hAnsi="仿宋" w:eastAsia="仿宋" w:cs="仿宋"/>
          <w:b w:val="0"/>
          <w:bCs/>
          <w:i w:val="0"/>
          <w:caps w:val="0"/>
          <w:color w:val="000000"/>
          <w:spacing w:val="0"/>
          <w:sz w:val="30"/>
          <w:szCs w:val="30"/>
        </w:rPr>
        <w:t>2.加强政府采购管理。严格按照《政府采购法》和《政府采购法实施条例》等相关管理规定，根据省采购目录和财政部门预算管理要求，编制政府采购计划。</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b w:val="0"/>
          <w:bCs/>
          <w:i w:val="0"/>
          <w:caps w:val="0"/>
          <w:color w:val="000000"/>
          <w:spacing w:val="0"/>
          <w:sz w:val="30"/>
          <w:szCs w:val="30"/>
        </w:rPr>
      </w:pPr>
      <w:r>
        <w:rPr>
          <w:rFonts w:hint="eastAsia" w:ascii="仿宋" w:hAnsi="仿宋" w:eastAsia="仿宋" w:cs="仿宋"/>
          <w:b w:val="0"/>
          <w:bCs/>
          <w:i w:val="0"/>
          <w:caps w:val="0"/>
          <w:color w:val="000000"/>
          <w:spacing w:val="0"/>
          <w:sz w:val="30"/>
          <w:szCs w:val="30"/>
        </w:rPr>
        <w:t>3.加强固定资产管理。严格按照国资局资产管理家具配置标准、新增资产配置流程、处置审批制度等相关文件要求，做好固定资产采买、报废、调整等相关管理工作。部门资产录入固定资产管理系统</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建资产管理卡片</w:t>
      </w:r>
      <w:r>
        <w:rPr>
          <w:rFonts w:hint="eastAsia" w:ascii="仿宋" w:hAnsi="仿宋" w:eastAsia="仿宋" w:cs="仿宋"/>
          <w:b w:val="0"/>
          <w:bCs/>
          <w:i w:val="0"/>
          <w:caps w:val="0"/>
          <w:color w:val="000000"/>
          <w:spacing w:val="0"/>
          <w:sz w:val="30"/>
          <w:szCs w:val="30"/>
          <w:lang w:eastAsia="zh-CN"/>
        </w:rPr>
        <w:t>，</w:t>
      </w:r>
      <w:r>
        <w:rPr>
          <w:rFonts w:hint="eastAsia" w:ascii="仿宋" w:hAnsi="仿宋" w:eastAsia="仿宋" w:cs="仿宋"/>
          <w:b w:val="0"/>
          <w:bCs/>
          <w:i w:val="0"/>
          <w:caps w:val="0"/>
          <w:color w:val="000000"/>
          <w:spacing w:val="0"/>
          <w:sz w:val="30"/>
          <w:szCs w:val="30"/>
        </w:rPr>
        <w:t xml:space="preserve"> 及时更新资产管理信息系统数据，做到账实相符、账卡相符。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b w:val="0"/>
          <w:bCs/>
          <w:i w:val="0"/>
          <w:caps w:val="0"/>
          <w:color w:val="000000"/>
          <w:spacing w:val="0"/>
          <w:sz w:val="30"/>
          <w:szCs w:val="30"/>
          <w:lang w:val="en-US" w:eastAsia="zh-CN"/>
        </w:rPr>
      </w:pPr>
      <w:r>
        <w:rPr>
          <w:rFonts w:hint="eastAsia" w:ascii="仿宋" w:hAnsi="仿宋" w:eastAsia="仿宋" w:cs="仿宋"/>
          <w:b w:val="0"/>
          <w:bCs/>
          <w:i w:val="0"/>
          <w:caps w:val="0"/>
          <w:color w:val="000000"/>
          <w:spacing w:val="0"/>
          <w:sz w:val="30"/>
          <w:szCs w:val="30"/>
        </w:rPr>
        <w:t>4.加强政府信息公开。20</w:t>
      </w:r>
      <w:r>
        <w:rPr>
          <w:rFonts w:hint="eastAsia" w:ascii="仿宋" w:hAnsi="仿宋" w:eastAsia="仿宋" w:cs="仿宋"/>
          <w:b w:val="0"/>
          <w:bCs/>
          <w:i w:val="0"/>
          <w:caps w:val="0"/>
          <w:color w:val="000000"/>
          <w:spacing w:val="0"/>
          <w:sz w:val="30"/>
          <w:szCs w:val="30"/>
          <w:lang w:val="en-US" w:eastAsia="zh-CN"/>
        </w:rPr>
        <w:t>22</w:t>
      </w:r>
      <w:r>
        <w:rPr>
          <w:rFonts w:hint="eastAsia" w:ascii="仿宋" w:hAnsi="仿宋" w:eastAsia="仿宋" w:cs="仿宋"/>
          <w:b w:val="0"/>
          <w:bCs/>
          <w:i w:val="0"/>
          <w:caps w:val="0"/>
          <w:color w:val="000000"/>
          <w:spacing w:val="0"/>
          <w:sz w:val="30"/>
          <w:szCs w:val="30"/>
        </w:rPr>
        <w:t>年，我单位严格按照上级关于全面推进政府信息公开工作的统一安排部署，突出重点，狠抓落实，细化公开内容，不断提高信息公开的质量和实效。学校固定资产是国家财产的组成部分，是保证完成学校教学及各项工作的物质保障。为加强我校财产管理，明确经济责任.保证资产的安全完整、账账相符，账实相符，防止固定资产流失</w:t>
      </w:r>
      <w:r>
        <w:rPr>
          <w:rFonts w:hint="eastAsia" w:ascii="仿宋" w:hAnsi="仿宋" w:eastAsia="仿宋" w:cs="仿宋"/>
          <w:b w:val="0"/>
          <w:bCs/>
          <w:i w:val="0"/>
          <w:caps w:val="0"/>
          <w:color w:val="000000"/>
          <w:spacing w:val="0"/>
          <w:sz w:val="30"/>
          <w:szCs w:val="30"/>
          <w:lang w:val="en-US" w:eastAsia="zh-CN"/>
        </w:rPr>
        <w:t>.</w:t>
      </w:r>
    </w:p>
    <w:p>
      <w:pPr>
        <w:widowControl/>
        <w:adjustRightInd w:val="0"/>
        <w:snapToGrid w:val="0"/>
        <w:spacing w:line="576" w:lineRule="exact"/>
        <w:ind w:firstLine="600" w:firstLineChars="200"/>
        <w:contextualSpacing/>
        <w:jc w:val="left"/>
        <w:rPr>
          <w:rFonts w:hint="eastAsia" w:ascii="仿宋" w:hAnsi="仿宋" w:eastAsia="仿宋" w:cs="仿宋"/>
          <w:b w:val="0"/>
          <w:bCs/>
          <w:kern w:val="0"/>
          <w:sz w:val="30"/>
          <w:szCs w:val="30"/>
          <w:shd w:val="clear" w:color="auto" w:fill="FFFFFF"/>
        </w:rPr>
      </w:pPr>
      <w:r>
        <w:rPr>
          <w:rFonts w:hint="eastAsia" w:ascii="仿宋" w:hAnsi="仿宋" w:eastAsia="仿宋" w:cs="仿宋"/>
          <w:b w:val="0"/>
          <w:bCs/>
          <w:kern w:val="0"/>
          <w:sz w:val="30"/>
          <w:szCs w:val="30"/>
          <w:shd w:val="clear" w:color="auto" w:fill="FFFFFF"/>
        </w:rPr>
        <w:t>四、评价结论及建议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00" w:firstLineChars="200"/>
        <w:jc w:val="both"/>
        <w:rPr>
          <w:rFonts w:hint="eastAsia" w:ascii="仿宋" w:hAnsi="仿宋" w:eastAsia="仿宋" w:cs="仿宋"/>
          <w:b w:val="0"/>
          <w:bCs/>
          <w:kern w:val="0"/>
          <w:sz w:val="30"/>
          <w:szCs w:val="30"/>
          <w:shd w:val="clear" w:color="auto" w:fill="FFFFFF"/>
          <w:lang w:val="zh-CN"/>
        </w:rPr>
      </w:pPr>
      <w:r>
        <w:rPr>
          <w:rFonts w:hint="eastAsia" w:ascii="仿宋" w:hAnsi="仿宋" w:eastAsia="仿宋" w:cs="仿宋"/>
          <w:b w:val="0"/>
          <w:bCs/>
          <w:kern w:val="0"/>
          <w:sz w:val="30"/>
          <w:szCs w:val="30"/>
          <w:shd w:val="clear" w:color="auto" w:fill="FFFFFF"/>
          <w:lang w:val="zh-CN"/>
        </w:rPr>
        <w:t>（一）评价结论。</w:t>
      </w:r>
    </w:p>
    <w:p>
      <w:pPr>
        <w:pStyle w:val="14"/>
        <w:widowControl/>
        <w:spacing w:before="0" w:beforeAutospacing="0" w:after="0" w:afterAutospacing="0" w:line="420" w:lineRule="atLeast"/>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评价结论</w:t>
      </w:r>
    </w:p>
    <w:p>
      <w:pPr>
        <w:pStyle w:val="14"/>
        <w:widowControl/>
        <w:spacing w:before="0" w:beforeAutospacing="0" w:after="0" w:afterAutospacing="0" w:line="420" w:lineRule="atLeast"/>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根据部门整体支出绩效评价指标规定的内容，经剑阁县正兴小学校认真自评，2022年度整体支出绩效评为“良好” 。经单位自评，评价得分为95分，绩效评价等级为良好。</w:t>
      </w:r>
    </w:p>
    <w:p>
      <w:pPr>
        <w:pStyle w:val="14"/>
        <w:widowControl/>
        <w:spacing w:before="0" w:beforeAutospacing="0" w:after="0" w:afterAutospacing="0" w:line="420" w:lineRule="atLeast"/>
        <w:ind w:firstLine="645"/>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措施与建议  </w:t>
      </w:r>
    </w:p>
    <w:p>
      <w:pPr>
        <w:pStyle w:val="14"/>
        <w:widowControl/>
        <w:spacing w:before="0" w:beforeAutospacing="0" w:after="0" w:afterAutospacing="0" w:line="420" w:lineRule="atLeast"/>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1）认真贯彻《中华人民共和国预算法》，不断提高思想认识。加强政策学习，组织单位人员认真学习《中华人民共和国预算法》等相关法规、制度，提高单位领导对全面预算管理的重视程度，增强财务人员的预算意识，坚持先有预算、后有支出，没有预算不得支出理念。 </w:t>
      </w:r>
    </w:p>
    <w:p>
      <w:pPr>
        <w:pStyle w:val="14"/>
        <w:widowControl/>
        <w:spacing w:before="0" w:beforeAutospacing="0" w:after="0" w:afterAutospacing="0" w:line="420" w:lineRule="atLeast"/>
        <w:ind w:firstLine="645"/>
        <w:jc w:val="left"/>
        <w:rPr>
          <w:rFonts w:hint="eastAsia" w:ascii="仿宋" w:hAnsi="仿宋" w:eastAsia="仿宋" w:cs="仿宋"/>
          <w:b w:val="0"/>
          <w:bCs/>
          <w:sz w:val="30"/>
          <w:szCs w:val="30"/>
          <w:lang w:val="zh-CN"/>
        </w:rPr>
      </w:pPr>
      <w:r>
        <w:rPr>
          <w:rFonts w:hint="eastAsia" w:ascii="仿宋" w:hAnsi="仿宋" w:eastAsia="仿宋" w:cs="仿宋"/>
          <w:color w:val="000000"/>
          <w:kern w:val="0"/>
          <w:sz w:val="30"/>
          <w:szCs w:val="30"/>
          <w:lang w:val="en-US" w:eastAsia="zh-CN" w:bidi="ar-SA"/>
        </w:rPr>
        <w:t xml:space="preserve">（2）严格执行《中华人民共和国预算法》，科学编制部门预算。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科学、准确地编制部门预算积累经验。   </w:t>
      </w:r>
    </w:p>
    <w:p>
      <w:pPr>
        <w:pStyle w:val="2"/>
        <w:spacing w:before="93"/>
        <w:ind w:firstLine="600" w:firstLineChars="200"/>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9"/>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9"/>
          <w:rFonts w:hint="eastAsia" w:ascii="黑体" w:hAnsi="黑体" w:eastAsia="黑体"/>
          <w:b w:val="0"/>
        </w:rPr>
        <w:t>词解释</w:t>
      </w:r>
      <w:bookmarkEnd w:id="49"/>
      <w:bookmarkEnd w:id="50"/>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pStyle w:val="27"/>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9"/>
          <w:rFonts w:ascii="黑体" w:hAnsi="黑体" w:eastAsia="黑体"/>
          <w:b w:val="0"/>
        </w:rPr>
      </w:pPr>
      <w:bookmarkStart w:id="51" w:name="_Toc15377226"/>
      <w:r>
        <w:rPr>
          <w:rFonts w:ascii="宋体"/>
          <w:b/>
          <w:sz w:val="44"/>
          <w:szCs w:val="44"/>
        </w:rPr>
        <w:br w:type="page"/>
      </w:r>
      <w:bookmarkEnd w:id="51"/>
      <w:r>
        <w:rPr>
          <w:rFonts w:hint="eastAsia" w:ascii="黑体" w:hAnsi="黑体" w:eastAsia="黑体"/>
          <w:sz w:val="44"/>
          <w:szCs w:val="44"/>
        </w:rPr>
        <w:t>第</w:t>
      </w:r>
      <w:r>
        <w:rPr>
          <w:rStyle w:val="29"/>
          <w:rFonts w:hint="eastAsia" w:ascii="黑体" w:hAnsi="黑体" w:eastAsia="黑体"/>
          <w:b w:val="0"/>
        </w:rPr>
        <w:t>四部分 附件</w:t>
      </w:r>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仿宋_GB2312" w:hAnsi="Calibri" w:eastAsia="仿宋_GB2312" w:cs="仿宋"/>
          <w:kern w:val="0"/>
          <w:sz w:val="32"/>
          <w:szCs w:val="32"/>
        </w:rPr>
      </w:pPr>
      <w:bookmarkStart w:id="52" w:name="_Toc15396618"/>
      <w:r>
        <w:rPr>
          <w:rFonts w:hint="eastAsia" w:ascii="宋体" w:hAnsi="宋体" w:cs="宋体"/>
          <w:kern w:val="0"/>
          <w:sz w:val="32"/>
          <w:szCs w:val="32"/>
        </w:rPr>
        <w:t>部门预算项目支出绩效自评表（2022年度）</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666"/>
        <w:gridCol w:w="810"/>
        <w:gridCol w:w="1475"/>
        <w:gridCol w:w="423"/>
        <w:gridCol w:w="517"/>
        <w:gridCol w:w="423"/>
        <w:gridCol w:w="891"/>
        <w:gridCol w:w="576"/>
        <w:gridCol w:w="405"/>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Theme="minorEastAsia" w:hAnsiTheme="minorEastAsia" w:eastAsiaTheme="minorEastAsia" w:cstheme="minorEastAsia"/>
                <w:b w:val="0"/>
                <w:bCs/>
                <w:sz w:val="18"/>
                <w:szCs w:val="18"/>
                <w:lang w:val="zh-CN"/>
              </w:rPr>
            </w:pPr>
            <w:r>
              <w:rPr>
                <w:rFonts w:hint="eastAsia" w:asciiTheme="minorEastAsia" w:hAnsiTheme="minorEastAsia" w:eastAsiaTheme="minorEastAsia" w:cstheme="minorEastAsia"/>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bookmarkEnd w:id="6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67" w:name="_GoBack" w:colFirst="1" w:colLast="10"/>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r>
              <w:rPr>
                <w:rFonts w:ascii="宋体" w:hAnsi="宋体" w:eastAsia="宋体" w:cs="宋体"/>
                <w:i w:val="0"/>
                <w:iCs w:val="0"/>
                <w:color w:val="000000"/>
                <w:kern w:val="0"/>
                <w:sz w:val="18"/>
                <w:szCs w:val="18"/>
                <w:u w:val="none"/>
                <w:lang w:val="en-US" w:eastAsia="zh-CN" w:bidi="ar"/>
              </w:rPr>
              <w:t>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支持学前教育发展，为义务教育打下基础。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教育教学质量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Theme="minorEastAsia" w:hAnsiTheme="minorEastAsia" w:eastAsiaTheme="minorEastAsia" w:cstheme="minorEastAsia"/>
                <w:b w:val="0"/>
                <w:bCs/>
                <w:sz w:val="18"/>
                <w:szCs w:val="18"/>
                <w:lang w:val="zh-CN"/>
              </w:rPr>
            </w:pPr>
            <w:r>
              <w:rPr>
                <w:rFonts w:hint="eastAsia" w:asciiTheme="minorEastAsia" w:hAnsiTheme="minorEastAsia" w:eastAsiaTheme="minorEastAsia" w:cstheme="minorEastAsia"/>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51082322T000005305443-农村校舍安全保障长效机制补助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51082322T000005305572-农村义务教育综合奖补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Theme="minorEastAsia" w:hAnsiTheme="minorEastAsia" w:eastAsiaTheme="minorEastAsia" w:cstheme="minorEastAsia"/>
                <w:b w:val="0"/>
                <w:bCs/>
                <w:sz w:val="18"/>
                <w:szCs w:val="18"/>
                <w:lang w:val="zh-CN"/>
              </w:rPr>
            </w:pPr>
            <w:r>
              <w:rPr>
                <w:rFonts w:hint="eastAsia" w:asciiTheme="minorEastAsia" w:hAnsiTheme="minorEastAsia" w:eastAsiaTheme="minorEastAsia" w:cstheme="minorEastAsia"/>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Theme="minorEastAsia" w:hAnsiTheme="minorEastAsia" w:eastAsiaTheme="minorEastAsia" w:cstheme="minorEastAsia"/>
                <w:b w:val="0"/>
                <w:bCs/>
                <w:sz w:val="18"/>
                <w:szCs w:val="18"/>
                <w:lang w:val="zh-CN"/>
              </w:rPr>
            </w:pPr>
            <w:r>
              <w:rPr>
                <w:rFonts w:hint="eastAsia" w:asciiTheme="minorEastAsia" w:hAnsiTheme="minorEastAsia" w:eastAsiaTheme="minorEastAsia" w:cstheme="minorEastAsia"/>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left"/>
              <w:rPr>
                <w:rFonts w:hint="eastAsia" w:asciiTheme="minorEastAsia" w:hAnsiTheme="minorEastAsia" w:eastAsiaTheme="minorEastAsia" w:cstheme="minorEastAsia"/>
                <w:b w:val="0"/>
                <w:bCs/>
                <w:sz w:val="18"/>
                <w:szCs w:val="18"/>
                <w:lang w:val="zh-CN"/>
              </w:rPr>
            </w:pPr>
            <w:r>
              <w:rPr>
                <w:rFonts w:hint="eastAsia" w:asciiTheme="minorEastAsia" w:hAnsiTheme="minorEastAsia" w:eastAsiaTheme="minorEastAsia" w:cstheme="minorEastAsia"/>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51082323T000008677925-剑阁县正兴小学校教学楼附属工程(化解隐性债务)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剑阁县正兴小学校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bidi="ar-SA"/>
              </w:rPr>
              <w:t>绩效评价等级为良好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业务有待加强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widowControl/>
              <w:spacing w:before="0" w:beforeAutospacing="0" w:after="0" w:afterAutospacing="0" w:line="420" w:lineRule="atLeast"/>
              <w:jc w:val="both"/>
              <w:rPr>
                <w:rFonts w:hint="eastAsia" w:ascii="宋体" w:hAnsi="宋体" w:eastAsia="宋体" w:cs="宋体"/>
                <w:b w:val="0"/>
                <w:bCs/>
                <w:sz w:val="18"/>
                <w:szCs w:val="18"/>
                <w:lang w:val="zh-CN"/>
              </w:rPr>
            </w:pPr>
            <w:r>
              <w:rPr>
                <w:rFonts w:hint="eastAsia" w:ascii="宋体" w:hAnsi="宋体" w:eastAsia="宋体" w:cs="宋体"/>
                <w:color w:val="000000"/>
                <w:kern w:val="0"/>
                <w:sz w:val="18"/>
                <w:szCs w:val="18"/>
                <w:lang w:val="en-US" w:eastAsia="zh-CN" w:bidi="ar-SA"/>
              </w:rPr>
              <w:t xml:space="preserve">及时找出预算实际执行情况与预算目标之间存在的差距，纠正偏差，为科学、准确地编制部门预算积累经验。   </w:t>
            </w:r>
          </w:p>
          <w:p>
            <w:pPr>
              <w:keepNext w:val="0"/>
              <w:keepLines w:val="0"/>
              <w:widowControl/>
              <w:suppressLineNumbers w:val="0"/>
              <w:jc w:val="both"/>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项目负责人：母代伟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财务负责人：杨正勇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2"/>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2"/>
      <w:bookmarkStart w:id="53"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3"/>
    </w:p>
    <w:p>
      <w:pPr>
        <w:pStyle w:val="4"/>
        <w:rPr>
          <w:rFonts w:ascii="仿宋" w:hAnsi="仿宋" w:eastAsia="仿宋"/>
        </w:rPr>
      </w:pPr>
      <w:bookmarkStart w:id="54" w:name="_Toc15396620"/>
      <w:r>
        <w:rPr>
          <w:rFonts w:hint="eastAsia" w:ascii="仿宋" w:hAnsi="仿宋" w:eastAsia="仿宋"/>
          <w:b w:val="0"/>
        </w:rPr>
        <w:t>二、收</w:t>
      </w:r>
      <w:r>
        <w:rPr>
          <w:rStyle w:val="30"/>
          <w:rFonts w:hint="eastAsia" w:ascii="仿宋" w:hAnsi="仿宋" w:eastAsia="仿宋"/>
          <w:b w:val="0"/>
          <w:bCs w:val="0"/>
        </w:rPr>
        <w:t>入决算表</w:t>
      </w:r>
      <w:bookmarkEnd w:id="54"/>
    </w:p>
    <w:p>
      <w:pPr>
        <w:pStyle w:val="4"/>
        <w:rPr>
          <w:rFonts w:ascii="仿宋" w:hAnsi="仿宋" w:eastAsia="仿宋"/>
        </w:rPr>
      </w:pPr>
      <w:bookmarkStart w:id="55"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5"/>
    </w:p>
    <w:p>
      <w:pPr>
        <w:pStyle w:val="4"/>
        <w:rPr>
          <w:rFonts w:ascii="仿宋" w:hAnsi="仿宋" w:eastAsia="仿宋"/>
          <w:b w:val="0"/>
        </w:rPr>
      </w:pPr>
      <w:bookmarkStart w:id="56"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6"/>
    </w:p>
    <w:p>
      <w:pPr>
        <w:pStyle w:val="4"/>
        <w:rPr>
          <w:rStyle w:val="30"/>
          <w:rFonts w:ascii="仿宋" w:hAnsi="仿宋" w:eastAsia="仿宋"/>
          <w:b w:val="0"/>
          <w:bCs w:val="0"/>
        </w:rPr>
      </w:pPr>
      <w:bookmarkStart w:id="57"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7"/>
      <w:bookmarkStart w:id="58"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8"/>
    </w:p>
    <w:p>
      <w:pPr>
        <w:pStyle w:val="4"/>
        <w:rPr>
          <w:rFonts w:ascii="仿宋" w:hAnsi="仿宋" w:eastAsia="仿宋"/>
        </w:rPr>
      </w:pPr>
      <w:bookmarkStart w:id="59"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59"/>
    </w:p>
    <w:p>
      <w:pPr>
        <w:pStyle w:val="4"/>
        <w:rPr>
          <w:rFonts w:ascii="仿宋" w:hAnsi="仿宋" w:eastAsia="仿宋"/>
        </w:rPr>
      </w:pPr>
      <w:bookmarkStart w:id="60"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0"/>
    </w:p>
    <w:p>
      <w:pPr>
        <w:pStyle w:val="4"/>
        <w:rPr>
          <w:rFonts w:ascii="仿宋" w:hAnsi="仿宋" w:eastAsia="仿宋"/>
        </w:rPr>
      </w:pPr>
      <w:bookmarkStart w:id="61"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1"/>
    </w:p>
    <w:p>
      <w:pPr>
        <w:pStyle w:val="4"/>
        <w:rPr>
          <w:rFonts w:ascii="仿宋" w:hAnsi="仿宋" w:eastAsia="仿宋"/>
        </w:rPr>
      </w:pPr>
      <w:bookmarkStart w:id="62" w:name="_Toc15396628"/>
      <w:r>
        <w:rPr>
          <w:rStyle w:val="30"/>
          <w:rFonts w:hint="eastAsia" w:ascii="仿宋" w:hAnsi="仿宋" w:eastAsia="仿宋"/>
          <w:b w:val="0"/>
          <w:bCs w:val="0"/>
        </w:rPr>
        <w:t>十、</w:t>
      </w:r>
      <w:bookmarkEnd w:id="62"/>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3" w:name="_Toc15396629"/>
      <w:r>
        <w:rPr>
          <w:rStyle w:val="30"/>
          <w:rFonts w:hint="eastAsia" w:ascii="仿宋" w:hAnsi="仿宋" w:eastAsia="仿宋"/>
          <w:b w:val="0"/>
          <w:bCs w:val="0"/>
        </w:rPr>
        <w:t>十一、</w:t>
      </w:r>
      <w:bookmarkEnd w:id="63"/>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4" w:name="_Toc15396630"/>
      <w:r>
        <w:rPr>
          <w:rStyle w:val="30"/>
          <w:rFonts w:hint="eastAsia" w:ascii="仿宋" w:hAnsi="仿宋" w:eastAsia="仿宋"/>
          <w:b w:val="0"/>
          <w:bCs w:val="0"/>
        </w:rPr>
        <w:t>十二、</w:t>
      </w:r>
      <w:bookmarkEnd w:id="64"/>
      <w:r>
        <w:rPr>
          <w:rStyle w:val="30"/>
          <w:rFonts w:hint="eastAsia" w:ascii="仿宋" w:hAnsi="仿宋" w:eastAsia="仿宋"/>
          <w:b w:val="0"/>
          <w:bCs w:val="0"/>
        </w:rPr>
        <w:t>国有资本经营预算财政拨款支出决算表</w:t>
      </w:r>
    </w:p>
    <w:p>
      <w:pPr>
        <w:pStyle w:val="4"/>
        <w:rPr>
          <w:rFonts w:eastAsia="仿宋"/>
        </w:rPr>
      </w:pPr>
      <w:bookmarkStart w:id="65" w:name="_Toc15396631"/>
      <w:r>
        <w:rPr>
          <w:rStyle w:val="30"/>
          <w:rFonts w:hint="eastAsia" w:ascii="仿宋" w:hAnsi="仿宋" w:eastAsia="仿宋"/>
          <w:b w:val="0"/>
          <w:bCs w:val="0"/>
        </w:rPr>
        <w:t>十三、</w:t>
      </w:r>
      <w:bookmarkEnd w:id="65"/>
      <w:r>
        <w:rPr>
          <w:rStyle w:val="30"/>
          <w:rFonts w:hint="eastAsia" w:ascii="仿宋" w:hAnsi="仿宋" w:eastAsia="仿宋"/>
          <w:b w:val="0"/>
          <w:bCs w:val="0"/>
        </w:rPr>
        <w:t>财政拨款“三公”经费支出决算表</w:t>
      </w:r>
    </w:p>
    <w:p>
      <w:pPr>
        <w:pStyle w:val="4"/>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FC1348-F507-4DD8-947B-9EEA0B106D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D0A8A5-161F-4119-BFDC-5365EDD248D6}"/>
  </w:font>
  <w:font w:name="Cambria">
    <w:panose1 w:val="02040503050406030204"/>
    <w:charset w:val="00"/>
    <w:family w:val="roman"/>
    <w:pitch w:val="default"/>
    <w:sig w:usb0="E00006FF" w:usb1="420024FF" w:usb2="02000000" w:usb3="00000000" w:csb0="2000019F" w:csb1="00000000"/>
    <w:embedRegular r:id="rId3" w:fontKey="{3367926C-B9C2-4166-8B50-91129363907E}"/>
  </w:font>
  <w:font w:name="仿宋_GB2312">
    <w:altName w:val="仿宋"/>
    <w:panose1 w:val="02010609030101010101"/>
    <w:charset w:val="86"/>
    <w:family w:val="modern"/>
    <w:pitch w:val="default"/>
    <w:sig w:usb0="00000000" w:usb1="00000000" w:usb2="00000000" w:usb3="00000000" w:csb0="00040000" w:csb1="00000000"/>
    <w:embedRegular r:id="rId4" w:fontKey="{150DF6BB-BD38-4B9F-B4F0-3867F553B49D}"/>
  </w:font>
  <w:font w:name="仿宋">
    <w:panose1 w:val="02010609060101010101"/>
    <w:charset w:val="86"/>
    <w:family w:val="modern"/>
    <w:pitch w:val="default"/>
    <w:sig w:usb0="800002BF" w:usb1="38CF7CFA" w:usb2="00000016" w:usb3="00000000" w:csb0="00040001" w:csb1="00000000"/>
    <w:embedRegular r:id="rId5" w:fontKey="{B7EB738E-ECEF-4E55-BED0-0A2E264B1367}"/>
  </w:font>
  <w:font w:name="方正小标宋简体">
    <w:panose1 w:val="02000000000000000000"/>
    <w:charset w:val="86"/>
    <w:family w:val="script"/>
    <w:pitch w:val="default"/>
    <w:sig w:usb0="00000001" w:usb1="08000000" w:usb2="00000000" w:usb3="00000000" w:csb0="00040000" w:csb1="00000000"/>
    <w:embedRegular r:id="rId6" w:fontKey="{9DCCA715-0178-40C1-A4B4-AB9C8C049568}"/>
  </w:font>
  <w:font w:name="微软雅黑">
    <w:panose1 w:val="020B0503020204020204"/>
    <w:charset w:val="86"/>
    <w:family w:val="auto"/>
    <w:pitch w:val="default"/>
    <w:sig w:usb0="80000287" w:usb1="2ACF3C50" w:usb2="00000016" w:usb3="00000000" w:csb0="0004001F" w:csb1="00000000"/>
    <w:embedRegular r:id="rId7" w:fontKey="{5CA16558-D93C-4D0A-9A68-A00A23560A5E}"/>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2ED72"/>
    <w:multiLevelType w:val="singleLevel"/>
    <w:tmpl w:val="C392ED72"/>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65C8"/>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C6249"/>
    <w:rsid w:val="027F190F"/>
    <w:rsid w:val="02A66735"/>
    <w:rsid w:val="02A87224"/>
    <w:rsid w:val="047D6CB9"/>
    <w:rsid w:val="053A62B5"/>
    <w:rsid w:val="05A36F5B"/>
    <w:rsid w:val="05BC1DCB"/>
    <w:rsid w:val="05FE0636"/>
    <w:rsid w:val="06D05B2E"/>
    <w:rsid w:val="081859DF"/>
    <w:rsid w:val="08EC1858"/>
    <w:rsid w:val="0938486F"/>
    <w:rsid w:val="0A2032A3"/>
    <w:rsid w:val="0AC57974"/>
    <w:rsid w:val="0AFA5870"/>
    <w:rsid w:val="0B8A37D8"/>
    <w:rsid w:val="0CF52F9A"/>
    <w:rsid w:val="0D774F56"/>
    <w:rsid w:val="0DA25D4B"/>
    <w:rsid w:val="0E7C47EE"/>
    <w:rsid w:val="0E855450"/>
    <w:rsid w:val="0F0942D3"/>
    <w:rsid w:val="0FE91C90"/>
    <w:rsid w:val="10936053"/>
    <w:rsid w:val="10C055FF"/>
    <w:rsid w:val="110450EB"/>
    <w:rsid w:val="118107EC"/>
    <w:rsid w:val="11DD6519"/>
    <w:rsid w:val="123E0446"/>
    <w:rsid w:val="131B0F30"/>
    <w:rsid w:val="150A256E"/>
    <w:rsid w:val="16BB723D"/>
    <w:rsid w:val="18015F3F"/>
    <w:rsid w:val="1A8213DE"/>
    <w:rsid w:val="1AA17AB6"/>
    <w:rsid w:val="1ACE4623"/>
    <w:rsid w:val="1BE8440E"/>
    <w:rsid w:val="1CF30371"/>
    <w:rsid w:val="1D0165EA"/>
    <w:rsid w:val="1D155CEE"/>
    <w:rsid w:val="1F316F2E"/>
    <w:rsid w:val="20F57F95"/>
    <w:rsid w:val="21CD2F3E"/>
    <w:rsid w:val="21D46716"/>
    <w:rsid w:val="21E07116"/>
    <w:rsid w:val="234C58D0"/>
    <w:rsid w:val="23AE0FBC"/>
    <w:rsid w:val="240371BF"/>
    <w:rsid w:val="25711CC6"/>
    <w:rsid w:val="25B06C10"/>
    <w:rsid w:val="25C741E6"/>
    <w:rsid w:val="27842671"/>
    <w:rsid w:val="281523B6"/>
    <w:rsid w:val="28236F52"/>
    <w:rsid w:val="28285193"/>
    <w:rsid w:val="29FD04D3"/>
    <w:rsid w:val="2A864974"/>
    <w:rsid w:val="2AAB4039"/>
    <w:rsid w:val="2AB96756"/>
    <w:rsid w:val="2ABE7A3E"/>
    <w:rsid w:val="2B5B780D"/>
    <w:rsid w:val="2B836D64"/>
    <w:rsid w:val="2CA234A8"/>
    <w:rsid w:val="2D452523"/>
    <w:rsid w:val="2D510EC7"/>
    <w:rsid w:val="2E552124"/>
    <w:rsid w:val="2EFA178C"/>
    <w:rsid w:val="30030473"/>
    <w:rsid w:val="30B46D73"/>
    <w:rsid w:val="319F7F4E"/>
    <w:rsid w:val="31FE0EF2"/>
    <w:rsid w:val="335419DE"/>
    <w:rsid w:val="3364747B"/>
    <w:rsid w:val="34C957E7"/>
    <w:rsid w:val="3533080D"/>
    <w:rsid w:val="35496928"/>
    <w:rsid w:val="36143FD0"/>
    <w:rsid w:val="369462C9"/>
    <w:rsid w:val="383D272C"/>
    <w:rsid w:val="38A071A7"/>
    <w:rsid w:val="398E34A3"/>
    <w:rsid w:val="39914DF4"/>
    <w:rsid w:val="39AE70AB"/>
    <w:rsid w:val="3A7C0CE5"/>
    <w:rsid w:val="3A810912"/>
    <w:rsid w:val="3B79113A"/>
    <w:rsid w:val="3C0C0783"/>
    <w:rsid w:val="3C5E688A"/>
    <w:rsid w:val="3C6127A9"/>
    <w:rsid w:val="3C853325"/>
    <w:rsid w:val="3DA43D96"/>
    <w:rsid w:val="3DDF607B"/>
    <w:rsid w:val="3F36616F"/>
    <w:rsid w:val="3F3C12AC"/>
    <w:rsid w:val="3F9F3A96"/>
    <w:rsid w:val="3FA05CDE"/>
    <w:rsid w:val="4150213D"/>
    <w:rsid w:val="43301127"/>
    <w:rsid w:val="436F39FE"/>
    <w:rsid w:val="46EC39ED"/>
    <w:rsid w:val="4715673B"/>
    <w:rsid w:val="48020765"/>
    <w:rsid w:val="48581111"/>
    <w:rsid w:val="48BF60AB"/>
    <w:rsid w:val="493C27E9"/>
    <w:rsid w:val="496F39ED"/>
    <w:rsid w:val="49FF41D3"/>
    <w:rsid w:val="4BE068DB"/>
    <w:rsid w:val="4BF6002B"/>
    <w:rsid w:val="4CD314A1"/>
    <w:rsid w:val="4D1F6494"/>
    <w:rsid w:val="4EAD0282"/>
    <w:rsid w:val="4ECE2238"/>
    <w:rsid w:val="4EE96D5A"/>
    <w:rsid w:val="4FC450D1"/>
    <w:rsid w:val="50431B11"/>
    <w:rsid w:val="51DB4B86"/>
    <w:rsid w:val="52B458D1"/>
    <w:rsid w:val="53837051"/>
    <w:rsid w:val="5394125E"/>
    <w:rsid w:val="55144405"/>
    <w:rsid w:val="55326F81"/>
    <w:rsid w:val="55333C3E"/>
    <w:rsid w:val="55713605"/>
    <w:rsid w:val="57A51C8C"/>
    <w:rsid w:val="580A7D41"/>
    <w:rsid w:val="583F4ADC"/>
    <w:rsid w:val="59034EBC"/>
    <w:rsid w:val="5B8F2487"/>
    <w:rsid w:val="5BE32D83"/>
    <w:rsid w:val="5E166EBE"/>
    <w:rsid w:val="5EC3645E"/>
    <w:rsid w:val="5FB36B05"/>
    <w:rsid w:val="60E33258"/>
    <w:rsid w:val="61722BDF"/>
    <w:rsid w:val="621E4B15"/>
    <w:rsid w:val="62A247F2"/>
    <w:rsid w:val="649E3AB0"/>
    <w:rsid w:val="64CA39A1"/>
    <w:rsid w:val="64E8140A"/>
    <w:rsid w:val="65376EA8"/>
    <w:rsid w:val="65B512EC"/>
    <w:rsid w:val="66EC017A"/>
    <w:rsid w:val="68273FF7"/>
    <w:rsid w:val="69630ADE"/>
    <w:rsid w:val="69A00331"/>
    <w:rsid w:val="6A0A597F"/>
    <w:rsid w:val="6A1F142A"/>
    <w:rsid w:val="6B2A31C1"/>
    <w:rsid w:val="6C4A05C8"/>
    <w:rsid w:val="6C5C5ED6"/>
    <w:rsid w:val="6C942417"/>
    <w:rsid w:val="6D3B1A89"/>
    <w:rsid w:val="6EED1AF7"/>
    <w:rsid w:val="6EF56BFD"/>
    <w:rsid w:val="6F03756C"/>
    <w:rsid w:val="70DA60AB"/>
    <w:rsid w:val="714F4CEB"/>
    <w:rsid w:val="717464FF"/>
    <w:rsid w:val="71BF4EC2"/>
    <w:rsid w:val="726227FC"/>
    <w:rsid w:val="72734D90"/>
    <w:rsid w:val="728F0202"/>
    <w:rsid w:val="72D60AF4"/>
    <w:rsid w:val="737A3B75"/>
    <w:rsid w:val="73E7745D"/>
    <w:rsid w:val="7412278C"/>
    <w:rsid w:val="7424693B"/>
    <w:rsid w:val="75835778"/>
    <w:rsid w:val="76676633"/>
    <w:rsid w:val="768D2349"/>
    <w:rsid w:val="784F3822"/>
    <w:rsid w:val="78964FAD"/>
    <w:rsid w:val="78B638A1"/>
    <w:rsid w:val="78D61E3D"/>
    <w:rsid w:val="79051BF3"/>
    <w:rsid w:val="795E2B98"/>
    <w:rsid w:val="79621333"/>
    <w:rsid w:val="79E7B28D"/>
    <w:rsid w:val="7B2959EC"/>
    <w:rsid w:val="7C2F5925"/>
    <w:rsid w:val="7CFD7A30"/>
    <w:rsid w:val="7D162B61"/>
    <w:rsid w:val="7E551467"/>
    <w:rsid w:val="7ECE4D89"/>
    <w:rsid w:val="7F8A339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Lines="0" w:afterAutospacing="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2"/>
    <w:qFormat/>
    <w:uiPriority w:val="0"/>
    <w:pPr>
      <w:ind w:firstLine="420" w:firstLineChars="100"/>
    </w:pPr>
  </w:style>
  <w:style w:type="paragraph" w:styleId="16">
    <w:name w:val="Body Text First Indent 2"/>
    <w:basedOn w:val="6"/>
    <w:next w:val="15"/>
    <w:qFormat/>
    <w:uiPriority w:val="0"/>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字符"/>
    <w:basedOn w:val="18"/>
    <w:link w:val="3"/>
    <w:autoRedefine/>
    <w:qFormat/>
    <w:uiPriority w:val="9"/>
    <w:rPr>
      <w:rFonts w:ascii="Times New Roman" w:hAnsi="Times New Roman"/>
      <w:b/>
      <w:bCs/>
      <w:kern w:val="44"/>
      <w:sz w:val="44"/>
      <w:szCs w:val="44"/>
    </w:rPr>
  </w:style>
  <w:style w:type="character" w:customStyle="1" w:styleId="30">
    <w:name w:val="标题 2 字符"/>
    <w:basedOn w:val="18"/>
    <w:link w:val="4"/>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8"/>
    <w:autoRedefine/>
    <w:semiHidden/>
    <w:qFormat/>
    <w:uiPriority w:val="99"/>
    <w:rPr>
      <w:rFonts w:ascii="Times New Roman" w:hAnsi="Times New Roman"/>
      <w:kern w:val="2"/>
      <w:sz w:val="18"/>
      <w:szCs w:val="18"/>
    </w:rPr>
  </w:style>
  <w:style w:type="character" w:customStyle="1" w:styleId="33">
    <w:name w:val="标题 3 字符"/>
    <w:basedOn w:val="18"/>
    <w:link w:val="5"/>
    <w:autoRedefine/>
    <w:qFormat/>
    <w:uiPriority w:val="9"/>
    <w:rPr>
      <w:rFonts w:ascii="Times New Roman" w:hAnsi="Times New Roman"/>
      <w:b/>
      <w:bCs/>
      <w:kern w:val="2"/>
      <w:sz w:val="32"/>
      <w:szCs w:val="32"/>
    </w:rPr>
  </w:style>
  <w:style w:type="paragraph" w:customStyle="1" w:styleId="34">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1.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2.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7"/>
          <c:y val="0.0391666666666667"/>
          <c:w val="0.8938"/>
          <c:h val="0.882733333333333"/>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Pt>
            <c:idx val="1"/>
            <c:invertIfNegative val="0"/>
            <c:bubble3D val="0"/>
            <c:spPr>
              <a:gradFill>
                <a:gsLst>
                  <a:gs pos="0">
                    <a:srgbClr val="E30000"/>
                  </a:gs>
                  <a:gs pos="100000">
                    <a:srgbClr val="760303"/>
                  </a:gs>
                </a:gsLst>
                <a:lin ang="5400000" scaled="0"/>
              </a:gradFill>
              <a:ln>
                <a:noFill/>
              </a:ln>
              <a:effectLst/>
            </c:spPr>
          </c:dPt>
          <c:dPt>
            <c:idx val="3"/>
            <c:invertIfNegative val="0"/>
            <c:bubble3D val="0"/>
            <c:spPr>
              <a:gradFill>
                <a:gsLst>
                  <a:gs pos="0">
                    <a:srgbClr val="E30000"/>
                  </a:gs>
                  <a:gs pos="100000">
                    <a:srgbClr val="760303"/>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2021年收入</c:v>
                </c:pt>
                <c:pt idx="1">
                  <c:v>2022年收入</c:v>
                </c:pt>
                <c:pt idx="2">
                  <c:v>2021年支出</c:v>
                </c:pt>
                <c:pt idx="3">
                  <c:v>2022年支出</c:v>
                </c:pt>
              </c:strCache>
            </c:strRef>
          </c:cat>
          <c:val>
            <c:numRef>
              <c:f>Sheet1!$B$2:$B$5</c:f>
              <c:numCache>
                <c:formatCode>General</c:formatCode>
                <c:ptCount val="4"/>
                <c:pt idx="0">
                  <c:v>270.82</c:v>
                </c:pt>
                <c:pt idx="1">
                  <c:v>278.27</c:v>
                </c:pt>
                <c:pt idx="2">
                  <c:v>270.82</c:v>
                </c:pt>
                <c:pt idx="3">
                  <c:v>278.82</c:v>
                </c:pt>
              </c:numCache>
            </c:numRef>
          </c:val>
        </c:ser>
        <c:dLbls>
          <c:showLegendKey val="0"/>
          <c:showVal val="1"/>
          <c:showCatName val="0"/>
          <c:showSerName val="0"/>
          <c:showPercent val="0"/>
          <c:showBubbleSize val="0"/>
        </c:dLbls>
        <c:gapWidth val="75"/>
        <c:overlap val="40"/>
        <c:axId val="911517243"/>
        <c:axId val="108939283"/>
      </c:barChart>
      <c:catAx>
        <c:axId val="9115172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939283"/>
        <c:crosses val="autoZero"/>
        <c:auto val="1"/>
        <c:lblAlgn val="ctr"/>
        <c:lblOffset val="100"/>
        <c:noMultiLvlLbl val="0"/>
      </c:catAx>
      <c:valAx>
        <c:axId val="108939283"/>
        <c:scaling>
          <c:orientation val="minMax"/>
          <c:max val="1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517243"/>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52858151023289"/>
          <c:y val="0.209917355371901"/>
          <c:w val="0.937896965419901"/>
          <c:h val="0.729476584022039"/>
        </c:manualLayout>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2020</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9.48</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2021</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90.52</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2">
                  <c:v>2022</c:v>
                </c:pt>
              </c:numCache>
            </c:numRef>
          </c:cat>
          <c:val>
            <c:numRef>
              <c:f>Sheet1!$B$2:$B$5</c:f>
              <c:numCache>
                <c:formatCode>General</c:formatCode>
                <c:ptCount val="4"/>
                <c:pt idx="2" c:formatCode="0.00%">
                  <c:v>1</c:v>
                </c:pt>
              </c:numCache>
            </c:numRef>
          </c:val>
        </c:ser>
        <c:dLbls>
          <c:showLegendKey val="0"/>
          <c:showVal val="0"/>
          <c:showCatName val="1"/>
          <c:showSerName val="0"/>
          <c:showPercent val="1"/>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2">
                  <c:v>2022年基本支出</c:v>
                </c:pt>
                <c:pt idx="3">
                  <c:v>2022年项目支出</c:v>
                </c:pt>
              </c:strCache>
            </c:strRef>
          </c:cat>
          <c:val>
            <c:numRef>
              <c:f>Sheet1!$B$2:$B$5</c:f>
              <c:numCache>
                <c:formatCode>General</c:formatCode>
                <c:ptCount val="4"/>
                <c:pt idx="2">
                  <c:v>261.27</c:v>
                </c:pt>
                <c:pt idx="3">
                  <c:v>17</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Pt>
            <c:idx val="1"/>
            <c:invertIfNegative val="0"/>
            <c:bubble3D val="0"/>
            <c:spPr>
              <a:gradFill>
                <a:gsLst>
                  <a:gs pos="0">
                    <a:srgbClr val="E30000"/>
                  </a:gs>
                  <a:gs pos="100000">
                    <a:srgbClr val="760303"/>
                  </a:gs>
                </a:gsLst>
                <a:lin ang="5400000" scaled="0"/>
              </a:gradFill>
              <a:ln>
                <a:noFill/>
              </a:ln>
              <a:effectLst/>
            </c:spPr>
          </c:dPt>
          <c:dPt>
            <c:idx val="3"/>
            <c:invertIfNegative val="0"/>
            <c:bubble3D val="0"/>
            <c:spPr>
              <a:gradFill>
                <a:gsLst>
                  <a:gs pos="0">
                    <a:srgbClr val="E30000"/>
                  </a:gs>
                  <a:gs pos="100000">
                    <a:srgbClr val="760303"/>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2021年收入</c:v>
                </c:pt>
                <c:pt idx="1">
                  <c:v>2022年收入</c:v>
                </c:pt>
                <c:pt idx="2">
                  <c:v>2021年支出</c:v>
                </c:pt>
                <c:pt idx="3">
                  <c:v>2022年支出</c:v>
                </c:pt>
              </c:strCache>
            </c:strRef>
          </c:cat>
          <c:val>
            <c:numRef>
              <c:f>Sheet1!$B$2:$B$5</c:f>
              <c:numCache>
                <c:formatCode>General</c:formatCode>
                <c:ptCount val="4"/>
                <c:pt idx="0">
                  <c:v>243.45</c:v>
                </c:pt>
                <c:pt idx="1">
                  <c:v>278.27</c:v>
                </c:pt>
                <c:pt idx="2">
                  <c:v>243.45</c:v>
                </c:pt>
                <c:pt idx="3">
                  <c:v>278.27</c:v>
                </c:pt>
              </c:numCache>
            </c:numRef>
          </c:val>
        </c:ser>
        <c:dLbls>
          <c:showLegendKey val="0"/>
          <c:showVal val="1"/>
          <c:showCatName val="0"/>
          <c:showSerName val="0"/>
          <c:showPercent val="0"/>
          <c:showBubbleSize val="0"/>
        </c:dLbls>
        <c:gapWidth val="75"/>
        <c:overlap val="40"/>
        <c:axId val="911517243"/>
        <c:axId val="108939283"/>
      </c:barChart>
      <c:catAx>
        <c:axId val="9115172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939283"/>
        <c:crosses val="autoZero"/>
        <c:auto val="1"/>
        <c:lblAlgn val="ctr"/>
        <c:lblOffset val="100"/>
        <c:noMultiLvlLbl val="0"/>
      </c:catAx>
      <c:valAx>
        <c:axId val="108939283"/>
        <c:scaling>
          <c:orientation val="minMax"/>
          <c:max val="1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517243"/>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Pt>
            <c:idx val="0"/>
            <c:invertIfNegative val="0"/>
            <c:bubble3D val="0"/>
            <c:spPr>
              <a:solidFill>
                <a:schemeClr val="accent1"/>
              </a:solidFill>
              <a:ln>
                <a:solidFill>
                  <a:schemeClr val="accent1"/>
                </a:solidFill>
              </a:ln>
              <a:effectLst/>
            </c:spPr>
          </c:dPt>
          <c:dPt>
            <c:idx val="1"/>
            <c:invertIfNegative val="0"/>
            <c:bubble3D val="0"/>
            <c:spPr>
              <a:solidFill>
                <a:schemeClr val="accent1"/>
              </a:solidFill>
              <a:ln w="28575" cmpd="sng">
                <a:solidFill>
                  <a:schemeClr val="accent1"/>
                </a:solidFill>
                <a:prstDash val="solid"/>
              </a:ln>
              <a:effectLst/>
              <a:sp3d contourW="28575"/>
            </c:spPr>
          </c:dPt>
          <c:dLbls>
            <c:delete val="1"/>
          </c:dLbls>
          <c:cat>
            <c:strRef>
              <c:f>Sheet1!$A$2:$A$5</c:f>
              <c:strCache>
                <c:ptCount val="4"/>
                <c:pt idx="0">
                  <c:v>2021年财政拨款支出</c:v>
                </c:pt>
                <c:pt idx="1">
                  <c:v>2022年财政拨款支出</c:v>
                </c:pt>
              </c:strCache>
            </c:strRef>
          </c:cat>
          <c:val>
            <c:numRef>
              <c:f>Sheet1!$B$2:$B$5</c:f>
              <c:numCache>
                <c:formatCode>General</c:formatCode>
                <c:ptCount val="4"/>
                <c:pt idx="0">
                  <c:v>243.45</c:v>
                </c:pt>
                <c:pt idx="1">
                  <c:v>278.27</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2021年财政拨款支出</c:v>
                </c:pt>
                <c:pt idx="1">
                  <c:v>2022年财政拨款支出</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2021年财政拨款支出</c:v>
                </c:pt>
                <c:pt idx="1">
                  <c:v>2022年财政拨款支出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75"/>
        <c:overlap val="-25"/>
        <c:axId val="102079289"/>
        <c:axId val="101995728"/>
      </c:barChart>
      <c:catAx>
        <c:axId val="1020792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995728"/>
        <c:crosses val="autoZero"/>
        <c:auto val="1"/>
        <c:lblAlgn val="ctr"/>
        <c:lblOffset val="100"/>
        <c:noMultiLvlLbl val="0"/>
      </c:catAx>
      <c:valAx>
        <c:axId val="10199572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079289"/>
        <c:crosses val="autoZero"/>
        <c:crossBetween val="between"/>
        <c:majorUnit val="2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9783119937288"/>
          <c:y val="0.180154355016538"/>
          <c:w val="0.444473477920042"/>
          <c:h val="0.750165380374862"/>
        </c:manualLayout>
      </c:layout>
      <c:pieChart>
        <c:varyColors val="1"/>
        <c:ser>
          <c:idx val="0"/>
          <c:order val="0"/>
          <c:tx>
            <c:strRef>
              <c:f>Sheet1!$B$1</c:f>
              <c:strCache>
                <c:ptCount val="1"/>
                <c:pt idx="0">
                  <c:v>销售额</c:v>
                </c:pt>
              </c:strCache>
            </c:strRef>
          </c:tx>
          <c:spPr>
            <a:ln w="3175">
              <a:solidFill>
                <a:schemeClr val="bg1"/>
              </a:solidFill>
            </a:ln>
          </c:spPr>
          <c:explosion val="0"/>
          <c:dPt>
            <c:idx val="0"/>
            <c:bubble3D val="0"/>
            <c:spPr>
              <a:solidFill>
                <a:srgbClr val="EFE7B8"/>
              </a:solidFill>
              <a:ln w="3175">
                <a:solidFill>
                  <a:schemeClr val="bg1"/>
                </a:solidFill>
              </a:ln>
              <a:effectLst/>
            </c:spPr>
          </c:dPt>
          <c:dPt>
            <c:idx val="1"/>
            <c:bubble3D val="0"/>
            <c:spPr>
              <a:solidFill>
                <a:srgbClr val="4F81BD"/>
              </a:solidFill>
              <a:ln w="3175">
                <a:solidFill>
                  <a:schemeClr val="bg1"/>
                </a:solidFill>
              </a:ln>
              <a:effectLst/>
            </c:spPr>
          </c:dPt>
          <c:dPt>
            <c:idx val="2"/>
            <c:bubble3D val="0"/>
            <c:spPr>
              <a:solidFill>
                <a:srgbClr val="C0504D"/>
              </a:solidFill>
              <a:ln w="3175">
                <a:solidFill>
                  <a:schemeClr val="bg1"/>
                </a:solidFill>
              </a:ln>
              <a:effectLst/>
            </c:spPr>
          </c:dPt>
          <c:dPt>
            <c:idx val="3"/>
            <c:bubble3D val="0"/>
            <c:spPr>
              <a:solidFill>
                <a:sysClr val="windowText" lastClr="000000"/>
              </a:solidFill>
              <a:ln w="3175">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4B5D75"/>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c:v>
                </c:pt>
                <c:pt idx="2">
                  <c:v>医疗保障</c:v>
                </c:pt>
                <c:pt idx="3">
                  <c:v>住房保障</c:v>
                </c:pt>
              </c:strCache>
            </c:strRef>
          </c:cat>
          <c:val>
            <c:numRef>
              <c:f>Sheet1!$B$2:$B$5</c:f>
              <c:numCache>
                <c:formatCode>0.00_ </c:formatCode>
                <c:ptCount val="4"/>
                <c:pt idx="0">
                  <c:v>84.1</c:v>
                </c:pt>
                <c:pt idx="1">
                  <c:v>7.33</c:v>
                </c:pt>
                <c:pt idx="2">
                  <c:v>3.43</c:v>
                </c:pt>
                <c:pt idx="3">
                  <c:v>5.14</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l"/>
      <c:layout>
        <c:manualLayout>
          <c:xMode val="edge"/>
          <c:yMode val="edge"/>
          <c:x val="0.015625"/>
          <c:y val="0.346166666666667"/>
          <c:w val="0.16425"/>
          <c:h val="0.573"/>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pattFill prst="lgGrid">
      <a:fgClr>
        <a:schemeClr val="bg1">
          <a:lumMod val="95000"/>
        </a:schemeClr>
      </a:fgClr>
      <a:bgClr>
        <a:schemeClr val="bg1"/>
      </a:bgClr>
    </a:patt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9783119937288"/>
          <c:y val="0.180154355016538"/>
          <c:w val="0.444473477920042"/>
          <c:h val="0.750165380374862"/>
        </c:manualLayout>
      </c:layout>
      <c:pieChart>
        <c:varyColors val="1"/>
        <c:ser>
          <c:idx val="0"/>
          <c:order val="0"/>
          <c:tx>
            <c:strRef>
              <c:f>Sheet1!$B$1</c:f>
              <c:strCache>
                <c:ptCount val="1"/>
                <c:pt idx="0">
                  <c:v>销售额</c:v>
                </c:pt>
              </c:strCache>
            </c:strRef>
          </c:tx>
          <c:spPr>
            <a:ln w="3175">
              <a:solidFill>
                <a:schemeClr val="bg1"/>
              </a:solidFill>
            </a:ln>
          </c:spPr>
          <c:explosion val="0"/>
          <c:dPt>
            <c:idx val="0"/>
            <c:bubble3D val="0"/>
            <c:spPr>
              <a:solidFill>
                <a:srgbClr val="EFE7B8"/>
              </a:solidFill>
              <a:ln w="3175">
                <a:solidFill>
                  <a:schemeClr val="bg1"/>
                </a:solidFill>
              </a:ln>
              <a:effectLst/>
            </c:spPr>
          </c:dPt>
          <c:dPt>
            <c:idx val="1"/>
            <c:bubble3D val="0"/>
            <c:spPr>
              <a:solidFill>
                <a:srgbClr val="EDD54D"/>
              </a:solidFill>
              <a:ln w="3175">
                <a:solidFill>
                  <a:schemeClr val="bg1"/>
                </a:solidFill>
              </a:ln>
              <a:effectLst/>
            </c:spPr>
          </c:dPt>
          <c:dPt>
            <c:idx val="2"/>
            <c:bubble3D val="0"/>
            <c:spPr>
              <a:solidFill>
                <a:srgbClr val="D4BE51"/>
              </a:solidFill>
              <a:ln w="3175">
                <a:solidFill>
                  <a:schemeClr val="bg1"/>
                </a:solidFill>
              </a:ln>
              <a:effectLst/>
            </c:spPr>
          </c:dPt>
          <c:dPt>
            <c:idx val="3"/>
            <c:bubble3D val="0"/>
            <c:spPr>
              <a:solidFill>
                <a:srgbClr val="4AA8B0"/>
              </a:solidFill>
              <a:ln w="3175">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4B5D75"/>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公务接待费</c:v>
                </c:pt>
              </c:strCache>
            </c:strRef>
          </c:cat>
          <c:val>
            <c:numRef>
              <c:f>Sheet1!$B$2:$B$5</c:f>
              <c:numCache>
                <c:formatCode>General</c:formatCode>
                <c:ptCount val="4"/>
                <c:pt idx="0">
                  <c:v>100</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l"/>
      <c:layout>
        <c:manualLayout>
          <c:xMode val="edge"/>
          <c:yMode val="edge"/>
          <c:x val="0.0156780768225764"/>
          <c:y val="0.34619625137817"/>
          <c:w val="0.0854455186830416"/>
          <c:h val="0.425137816979052"/>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pattFill prst="lgGrid">
      <a:fgClr>
        <a:schemeClr val="bg1">
          <a:lumMod val="95000"/>
        </a:schemeClr>
      </a:fgClr>
      <a:bgClr>
        <a:schemeClr val="bg1"/>
      </a:bgClr>
    </a:patt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17094</Words>
  <Characters>19353</Characters>
  <Lines>5</Lines>
  <Paragraphs>11</Paragraphs>
  <TotalTime>3</TotalTime>
  <ScaleCrop>false</ScaleCrop>
  <LinksUpToDate>false</LinksUpToDate>
  <CharactersWithSpaces>19411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2023-12-26T09:08:19Z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4F8FBC5135234A009A32B42FE7A5BBB6_12</vt:lpwstr>
  </property>
</Properties>
</file>