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193"/>
      <w:bookmarkStart w:id="1" w:name="_Toc15396597"/>
      <w:bookmarkStart w:id="2" w:name="_Toc15396475"/>
      <w:bookmarkStart w:id="3" w:name="_Toc15378441"/>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77194"/>
      <w:bookmarkStart w:id="8" w:name="_Toc15396476"/>
      <w:bookmarkStart w:id="9" w:name="_Toc15378442"/>
      <w:bookmarkStart w:id="10" w:name="_Toc15377426"/>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rPr>
        <w:t>供销合作社联合社部门决算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t>10</w:t>
      </w:r>
      <w:r>
        <w:rPr>
          <w:rFonts w:hint="eastAsia"/>
        </w:rPr>
        <w:t>月1</w:t>
      </w:r>
      <w:r>
        <w:t>6</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3"/>
        <w:adjustRightInd w:val="0"/>
        <w:snapToGrid w:val="0"/>
        <w:spacing w:line="440" w:lineRule="exact"/>
        <w:jc w:val="left"/>
        <w:rPr>
          <w:sz w:val="24"/>
        </w:rPr>
      </w:pPr>
      <w:r>
        <w:rPr>
          <w:rFonts w:hint="eastAsia"/>
          <w:sz w:val="24"/>
        </w:rPr>
        <w:t>一、</w:t>
      </w:r>
      <w:bookmarkStart w:id="12" w:name="_Hlk147843595"/>
      <w:r>
        <w:rPr>
          <w:rFonts w:hint="eastAsia"/>
          <w:sz w:val="24"/>
        </w:rPr>
        <w:t>部门职责及重点</w:t>
      </w:r>
      <w:r>
        <w:rPr>
          <w:sz w:val="24"/>
        </w:rPr>
        <w:t>工作</w:t>
      </w:r>
      <w:bookmarkEnd w:id="12"/>
    </w:p>
    <w:p>
      <w:pPr>
        <w:pStyle w:val="13"/>
        <w:adjustRightInd w:val="0"/>
        <w:snapToGrid w:val="0"/>
        <w:spacing w:line="440" w:lineRule="exact"/>
        <w:jc w:val="left"/>
        <w:rPr>
          <w:sz w:val="24"/>
        </w:rPr>
      </w:pPr>
      <w:r>
        <w:rPr>
          <w:rFonts w:hint="eastAsia"/>
          <w:sz w:val="24"/>
        </w:rPr>
        <w:t>（一）部门</w:t>
      </w:r>
      <w:r>
        <w:rPr>
          <w:sz w:val="24"/>
        </w:rPr>
        <w:t>职责</w:t>
      </w:r>
    </w:p>
    <w:p>
      <w:pPr>
        <w:pStyle w:val="13"/>
        <w:adjustRightInd w:val="0"/>
        <w:snapToGrid w:val="0"/>
        <w:spacing w:line="440" w:lineRule="exact"/>
        <w:jc w:val="left"/>
        <w:rPr>
          <w:sz w:val="24"/>
        </w:rPr>
      </w:pPr>
      <w:r>
        <w:rPr>
          <w:rFonts w:hint="eastAsia"/>
          <w:sz w:val="24"/>
        </w:rPr>
        <w:t>（二）2022年重点工作完成情况</w:t>
      </w:r>
    </w:p>
    <w:p>
      <w:pPr>
        <w:pStyle w:val="13"/>
        <w:adjustRightInd w:val="0"/>
        <w:snapToGrid w:val="0"/>
        <w:spacing w:line="440" w:lineRule="exact"/>
        <w:jc w:val="left"/>
        <w:rPr>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2022年度部门决算情况说明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8"/>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3" w:name="_Toc15377196"/>
      <w:bookmarkStart w:id="14" w:name="_Toc15396599"/>
      <w:r>
        <w:rPr>
          <w:rFonts w:ascii="仿宋" w:hAnsi="仿宋" w:eastAsia="仿宋"/>
          <w:b/>
          <w:sz w:val="24"/>
        </w:rPr>
        <w:br w:type="page"/>
      </w:r>
    </w:p>
    <w:p>
      <w:pPr>
        <w:pStyle w:val="4"/>
        <w:jc w:val="center"/>
        <w:rPr>
          <w:rStyle w:val="28"/>
          <w:rFonts w:ascii="黑体" w:hAnsi="黑体" w:eastAsia="黑体"/>
          <w:b/>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13"/>
      <w:bookmarkEnd w:id="14"/>
    </w:p>
    <w:p>
      <w:pPr>
        <w:widowControl/>
        <w:jc w:val="left"/>
        <w:rPr>
          <w:rFonts w:ascii="黑体" w:eastAsia="黑体"/>
          <w:sz w:val="32"/>
          <w:szCs w:val="32"/>
        </w:rPr>
      </w:pPr>
    </w:p>
    <w:p>
      <w:pPr>
        <w:pStyle w:val="7"/>
        <w:adjustRightInd w:val="0"/>
        <w:snapToGrid w:val="0"/>
        <w:spacing w:before="93" w:line="600" w:lineRule="exact"/>
        <w:ind w:firstLine="630" w:firstLineChars="210"/>
        <w:outlineLvl w:val="2"/>
        <w:rPr>
          <w:rFonts w:ascii="黑体" w:hAnsi="黑体" w:eastAsia="黑体"/>
        </w:rPr>
      </w:pPr>
      <w:bookmarkStart w:id="15" w:name="_Toc15377197"/>
      <w:bookmarkStart w:id="16" w:name="_Toc15396600"/>
      <w:r>
        <w:rPr>
          <w:rFonts w:hint="eastAsia" w:ascii="黑体" w:hAnsi="黑体" w:eastAsia="黑体"/>
        </w:rPr>
        <w:t>一、</w:t>
      </w:r>
      <w:bookmarkEnd w:id="15"/>
      <w:bookmarkEnd w:id="16"/>
      <w:bookmarkStart w:id="17" w:name="_Toc15378445"/>
      <w:bookmarkStart w:id="18" w:name="_Toc15377198"/>
      <w:r>
        <w:rPr>
          <w:rFonts w:hint="eastAsia" w:ascii="黑体" w:hAnsi="黑体" w:eastAsia="黑体"/>
        </w:rPr>
        <w:t>部门职责及重点工作</w:t>
      </w:r>
    </w:p>
    <w:p>
      <w:pPr>
        <w:pStyle w:val="5"/>
        <w:rPr>
          <w:rFonts w:ascii="楷体_GB2312" w:hAnsi="楷体_GB2312" w:eastAsia="楷体_GB2312" w:cs="楷体_GB2312"/>
          <w:lang w:val="zh-CN"/>
        </w:rPr>
      </w:pPr>
      <w:r>
        <w:rPr>
          <w:rFonts w:hint="eastAsia" w:ascii="楷体_GB2312" w:hAnsi="楷体_GB2312" w:eastAsia="楷体_GB2312" w:cs="楷体_GB2312"/>
          <w:lang w:val="zh-CN"/>
        </w:rPr>
        <w:t>（一）部门职责。</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1.宣传贯彻落实中央、省、市、县有关农村经济工作和社会发展的方针、政策和决策部署。</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2.研究制定全县供销合作社发展规划；指导全县供销合作社的综合改革和高质量发展，加快体制、机制创新，探索社会主义市场经济条件下合作经济的多种实现形式。</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3.承担对全县供销系统重要农业生产资料、废旧物资、农副产品的经营管理工作；参与组织、储备、调运有关救灾物资工作。</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4.协调同政府有关部门、社会组织的关系，研究扶持农村合作经济发展的政策性建议，了解、反映农民群众和农村新型经营主体的意见和要求，维护农民合作经济组织的合法权益。</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5.服务乡村振兴战略。指导全县供销系统推进农业农村现代化建设，促进</w:t>
      </w:r>
      <w:r>
        <w:rPr>
          <w:rFonts w:hint="eastAsia" w:ascii="仿宋" w:hAnsi="仿宋" w:eastAsia="仿宋"/>
          <w:bCs/>
          <w:kern w:val="0"/>
          <w:sz w:val="32"/>
          <w:szCs w:val="32"/>
          <w:lang w:eastAsia="zh-CN"/>
        </w:rPr>
        <w:t>一、二、三产业</w:t>
      </w:r>
      <w:r>
        <w:rPr>
          <w:rFonts w:hint="eastAsia" w:ascii="仿宋" w:hAnsi="仿宋" w:eastAsia="仿宋"/>
          <w:bCs/>
          <w:kern w:val="0"/>
          <w:sz w:val="32"/>
          <w:szCs w:val="32"/>
        </w:rPr>
        <w:t>融合发展；发挥供销社行业特点，参与农村人居环境整治、农业面源污染治理、先进乡镇和示范村建设，构建农村现代流通体系，推动小农户与现代农业有机衔接，指导农村金融互助、消费、生产、供销等合作社发展，帮助农民提高收入水平。</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6.围绕建立和完善农业社会化服务体系，做好农业、农村、农民服务工作，指导发展土地托管、电子商务、农村现代物流等新型业务，引导农民发展商品生产，搞活农村商品流通。</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7.指导全县供销系统组织建设，发展新型基层供销合作社，密切与农民利益联系，组织发展农民专业合作社、农村社区综合服务社等农村基层经营服务组织，发挥联合合作优势。</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8.监督和管理社有资产，把握社有企业发展方向。履行本级社社有资产出资人代表职责，优化社有资本布局，促进社有资产保值增值。</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9.发挥合作经济组织联合会作用，参与、协调农村合作经济组织技术交流与对外合作工作。</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10.完成县委、县政府交办的其他任务。</w:t>
      </w:r>
      <w:bookmarkEnd w:id="17"/>
      <w:bookmarkEnd w:id="18"/>
      <w:bookmarkStart w:id="19" w:name="_Toc15378446"/>
      <w:bookmarkStart w:id="20" w:name="_Toc15377199"/>
    </w:p>
    <w:p>
      <w:pPr>
        <w:pStyle w:val="5"/>
        <w:rPr>
          <w:rFonts w:ascii="楷体_GB2312" w:hAnsi="楷体_GB2312" w:eastAsia="楷体_GB2312" w:cs="楷体_GB2312"/>
          <w:lang w:val="zh-CN"/>
        </w:rPr>
      </w:pPr>
      <w:r>
        <w:rPr>
          <w:rFonts w:hint="eastAsia" w:ascii="楷体_GB2312" w:hAnsi="楷体_GB2312" w:eastAsia="楷体_GB2312" w:cs="楷体_GB2312"/>
          <w:lang w:val="zh-CN"/>
        </w:rPr>
        <w:t>（二）</w:t>
      </w:r>
      <w:r>
        <w:rPr>
          <w:rFonts w:ascii="楷体_GB2312" w:hAnsi="楷体_GB2312" w:eastAsia="楷体_GB2312" w:cs="楷体_GB2312"/>
          <w:lang w:val="zh-CN"/>
        </w:rPr>
        <w:t>20</w:t>
      </w:r>
      <w:r>
        <w:rPr>
          <w:rFonts w:hint="eastAsia" w:ascii="楷体_GB2312" w:hAnsi="楷体_GB2312" w:eastAsia="楷体_GB2312" w:cs="楷体_GB2312"/>
          <w:lang w:val="zh-CN"/>
        </w:rPr>
        <w:t>2</w:t>
      </w:r>
      <w:r>
        <w:rPr>
          <w:rFonts w:ascii="楷体_GB2312" w:hAnsi="楷体_GB2312" w:eastAsia="楷体_GB2312" w:cs="楷体_GB2312"/>
          <w:lang w:val="zh-CN"/>
        </w:rPr>
        <w:t>2</w:t>
      </w:r>
      <w:r>
        <w:rPr>
          <w:rFonts w:hint="eastAsia" w:ascii="楷体_GB2312" w:hAnsi="楷体_GB2312" w:eastAsia="楷体_GB2312" w:cs="楷体_GB2312"/>
          <w:lang w:val="zh-CN"/>
        </w:rPr>
        <w:t>年重点工作完成情况。</w:t>
      </w:r>
      <w:bookmarkEnd w:id="19"/>
      <w:bookmarkEnd w:id="20"/>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巩固夯实了服务体系建设。一是巩固建设基层</w:t>
      </w:r>
      <w:r>
        <w:rPr>
          <w:rFonts w:hint="eastAsia" w:ascii="仿宋_GB2312" w:hAnsi="仿宋_GB2312" w:eastAsia="仿宋_GB2312" w:cs="仿宋_GB2312"/>
          <w:sz w:val="32"/>
          <w:szCs w:val="32"/>
          <w:lang w:eastAsia="zh-CN"/>
        </w:rPr>
        <w:t>社区</w:t>
      </w:r>
      <w:r>
        <w:rPr>
          <w:rFonts w:hint="eastAsia" w:ascii="仿宋_GB2312" w:hAnsi="仿宋_GB2312" w:eastAsia="仿宋_GB2312" w:cs="仿宋_GB2312"/>
          <w:sz w:val="32"/>
          <w:szCs w:val="32"/>
        </w:rPr>
        <w:t>。今年新建村级供销社3个，村级示范社4个，空白乡镇供销社6个，巩固提升三星级农村综合服务社6个，完成年度目标任务100%；二是强化了县域内网络服务体系建设。巩固完善了乡(镇)综合超市、农贸市场建设。今年改造提升了武连、白龙、柳沟3个大型综合超市，白龙、江口两个农贸市场。巩固了农资、农副产品、日用消费品、烟花爆竹、再生资源等各类网点243余个，实现了供销社服务网点在乡村全覆盖。三是狠抓了区域性为农服务中心建设。对已建成的元山区域性为农服务中心进一步规范经营，对龙泉西庙、鹤龄官店、武连双西进行了规划立项，现已进入省社项目库。</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力以赴狠抓项目建设。一是充实完善组织机构。按照“三定”方案要求成立了以一把手为组长，分管领导为副组长的项目工作领导小组，落实具体项目从业人员，进一步明确了职能职责。二是明确了工作举措。实行“五专”推进工作法（专题研究、专班落实、专业包装、专人指导、专项保障）。全年实现固定资产投资4000万元，完成年度目标任务80.2%。完成招商引资7000万元，预计年底能全面完成；向上资金争取任务719万元，已到位资金139万元，占任务的20%，年底前力争完成80%。</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持续强化人才队伍建设。一是进一步完善了人事管理制度。修订完善了《企业劳动人事管理制度》和《企业领导班子、领导干部年度考核办法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管理人员定岗定员》等制度。二是强化学习提能。一年来组织全系统干部职工参加职业能力培训2次约120余人次。三是完善了选人用人机制。根据目前供销社实际，严格落实选人用人机制，选优配齐配强机关各股室和基层各企业班子，公招录用机关干部1名，激发了供销干部干事创业的积极性和主动性。</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全面落实管党治党责任。</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强化思想政治建设。社党组班子严格落实政治责任，持续强化理论学习和素质提升，认真学习贯彻习近平新时代中国特色社会主义理论和党的十九大、十九届五中、六中全会精神，省委、市委全会、县委党代会精神。全年开展理论学习中心组集中学习会12次，参加机关支部双重组织生活12次，领导讲党课6次，树牢了“四个意识”、坚定了“四个自信”、做到了“两个维护”。</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狠抓党的建设工作。一是定期组织中心组学习。认真贯彻党中央和省、市、县各级党组织决策部署，召开中心组学习会议12次，撰写发言材料10份；机关干部都制定了自学计划、撰写了心得体会。二是严格执行“三会一课”学习。督促基层党支部制定学习方案，定期召开党小组、支委会、党员大会，严格执行领导干部上党课等制度，一年来支委集中学习12次，开展主题党日活动12次，党组织书记上专题党课2次，开展“周三夜学”28期、革命传统教育2次、警示教育4次、形势政策教育2次。三是持续“更新”学习强国平台。教育引导全体党员干部职工用好用活“红色星期五”和“党史学习教育”活动以及“学习强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川观新闻”等平台，全系统共开展理论宣讲活动2次，举办读书活动3次。四是坚持民主集中制。按照党组工作规则要求，严格执行领导班子分工负责、工作协调制度和领导班子讨论重大问题“一把手”末位表态制度，强化“三重一大”议事决策制度。全年召开</w:t>
      </w:r>
      <w:r>
        <w:rPr>
          <w:rFonts w:hint="eastAsia" w:ascii="仿宋_GB2312" w:hAnsi="仿宋_GB2312" w:eastAsia="仿宋_GB2312" w:cs="仿宋_GB2312"/>
          <w:sz w:val="32"/>
          <w:szCs w:val="32"/>
          <w:lang w:eastAsia="zh-CN"/>
        </w:rPr>
        <w:t>党小组</w:t>
      </w:r>
      <w:r>
        <w:rPr>
          <w:rFonts w:hint="eastAsia" w:ascii="仿宋_GB2312" w:hAnsi="仿宋_GB2312" w:eastAsia="仿宋_GB2312" w:cs="仿宋_GB2312"/>
          <w:sz w:val="32"/>
          <w:szCs w:val="32"/>
        </w:rPr>
        <w:t>会20次，研究15个重要事项、确保权力在阳光下运行。五是认真做好发展党员工作。按照“控制总量、优化结构、提高质量、发挥作用”的总体要求，本着积极慎重的发展原则，指导各支部合规有序推进党员发展工作。今年以来，预备党员转正1名，批准入党积极分子1名。六是压实压紧助力乡村振兴工作职责。先后召开乡村振兴动员大会和乡村振兴专题会议，安排全系统乡村振兴工作任务，社党组班子成员先后到各驻村点开展乡村振兴调研走访6次，督导乡村振兴工作落细落实。派驻3名工作队员脱产开展乡村振兴工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切实履行主体责任。一是加强理论学习，抓好思想意识形态工作。制定了《党组中心组学习计划》，通过会前学法、周三夜学、观看警示教育片、红色电影等多种形式，进一步增强机关党员干部的宗旨意识、使命意识、责任意识，筑牢机关党员干部拒腐防变的思想防线。二是建章立制，推进工作管理制度化。出台了</w:t>
      </w:r>
      <w:r>
        <w:rPr>
          <w:rFonts w:hint="eastAsia" w:ascii="仿宋_GB2312" w:hAnsi="仿宋_GB2312" w:eastAsia="仿宋_GB2312" w:cs="仿宋_GB2312"/>
          <w:sz w:val="32"/>
          <w:szCs w:val="32"/>
          <w:lang w:eastAsia="zh-CN"/>
        </w:rPr>
        <w:t>《县供销社2022年</w:t>
      </w:r>
      <w:r>
        <w:rPr>
          <w:rFonts w:hint="eastAsia" w:ascii="仿宋_GB2312" w:hAnsi="仿宋_GB2312" w:eastAsia="仿宋_GB2312" w:cs="仿宋_GB2312"/>
          <w:sz w:val="32"/>
          <w:szCs w:val="32"/>
        </w:rPr>
        <w:t>全面从严治党、党风廉政建设和反腐败工作意见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（剑供组〔2022〕</w:t>
      </w:r>
      <w:r>
        <w:rPr>
          <w:rFonts w:hint="eastAsia" w:ascii="仿宋_GB2312" w:hAnsi="仿宋_GB2312" w:eastAsia="仿宋_GB2312" w:cs="仿宋_GB2312"/>
          <w:sz w:val="32"/>
          <w:szCs w:val="32"/>
          <w:lang w:eastAsia="zh-CN"/>
        </w:rPr>
        <w:t>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《县供销社2022年全面</w:t>
      </w:r>
      <w:r>
        <w:rPr>
          <w:rFonts w:hint="eastAsia" w:ascii="仿宋_GB2312" w:hAnsi="仿宋_GB2312" w:eastAsia="仿宋_GB2312" w:cs="仿宋_GB2312"/>
          <w:sz w:val="32"/>
          <w:szCs w:val="32"/>
        </w:rPr>
        <w:t>从严治党“三张清单”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（剑供组〔2022〕</w:t>
      </w:r>
      <w:r>
        <w:rPr>
          <w:rFonts w:hint="eastAsia" w:ascii="仿宋_GB2312" w:hAnsi="仿宋_GB2312" w:eastAsia="仿宋_GB2312" w:cs="仿宋_GB2312"/>
          <w:sz w:val="32"/>
          <w:szCs w:val="32"/>
          <w:lang w:eastAsia="zh-CN"/>
        </w:rPr>
        <w:t>6</w:t>
      </w:r>
      <w:r>
        <w:rPr>
          <w:rFonts w:hint="eastAsia" w:ascii="仿宋_GB2312" w:hAnsi="仿宋_GB2312" w:eastAsia="仿宋_GB2312" w:cs="仿宋_GB2312"/>
          <w:sz w:val="32"/>
          <w:szCs w:val="32"/>
        </w:rPr>
        <w:t>号）、《关于</w:t>
      </w:r>
      <w:r>
        <w:rPr>
          <w:rFonts w:hint="eastAsia" w:ascii="仿宋_GB2312" w:hAnsi="仿宋_GB2312" w:eastAsia="仿宋_GB2312" w:cs="仿宋_GB2312"/>
          <w:sz w:val="32"/>
          <w:szCs w:val="32"/>
          <w:lang w:eastAsia="zh-CN"/>
        </w:rPr>
        <w:t>2022年度</w:t>
      </w:r>
      <w:r>
        <w:rPr>
          <w:rFonts w:hint="eastAsia" w:ascii="仿宋_GB2312" w:hAnsi="仿宋_GB2312" w:eastAsia="仿宋_GB2312" w:cs="仿宋_GB2312"/>
          <w:sz w:val="32"/>
          <w:szCs w:val="32"/>
        </w:rPr>
        <w:t>意识形态工作</w:t>
      </w:r>
      <w:r>
        <w:rPr>
          <w:rFonts w:hint="eastAsia" w:ascii="仿宋_GB2312" w:hAnsi="仿宋_GB2312" w:eastAsia="仿宋_GB2312" w:cs="仿宋_GB2312"/>
          <w:sz w:val="32"/>
          <w:szCs w:val="32"/>
          <w:lang w:eastAsia="zh-CN"/>
        </w:rPr>
        <w:t>情况的报告</w:t>
      </w:r>
      <w:r>
        <w:rPr>
          <w:rFonts w:hint="eastAsia" w:ascii="仿宋_GB2312" w:hAnsi="仿宋_GB2312" w:eastAsia="仿宋_GB2312" w:cs="仿宋_GB2312"/>
          <w:sz w:val="32"/>
          <w:szCs w:val="32"/>
        </w:rPr>
        <w:t>》（剑供组〔2022〕</w:t>
      </w:r>
      <w:r>
        <w:rPr>
          <w:rFonts w:hint="eastAsia" w:ascii="仿宋_GB2312" w:hAnsi="仿宋_GB2312" w:eastAsia="仿宋_GB2312" w:cs="仿宋_GB2312"/>
          <w:sz w:val="32"/>
          <w:szCs w:val="32"/>
          <w:lang w:eastAsia="zh-CN"/>
        </w:rPr>
        <w:t>42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《关于持续深化</w:t>
      </w:r>
      <w:r>
        <w:rPr>
          <w:rFonts w:hint="eastAsia" w:ascii="仿宋_GB2312" w:hAnsi="仿宋_GB2312" w:eastAsia="仿宋_GB2312" w:cs="仿宋_GB2312"/>
          <w:sz w:val="32"/>
          <w:szCs w:val="32"/>
        </w:rPr>
        <w:t>干部纪律</w:t>
      </w:r>
      <w:r>
        <w:rPr>
          <w:rFonts w:hint="eastAsia" w:ascii="仿宋_GB2312" w:hAnsi="仿宋_GB2312" w:eastAsia="仿宋_GB2312" w:cs="仿宋_GB2312"/>
          <w:sz w:val="32"/>
          <w:szCs w:val="32"/>
          <w:lang w:eastAsia="zh-CN"/>
        </w:rPr>
        <w:t>作风</w:t>
      </w:r>
      <w:r>
        <w:rPr>
          <w:rFonts w:hint="eastAsia" w:ascii="仿宋_GB2312" w:hAnsi="仿宋_GB2312" w:eastAsia="仿宋_GB2312" w:cs="仿宋_GB2312"/>
          <w:sz w:val="32"/>
          <w:szCs w:val="32"/>
        </w:rPr>
        <w:t>整顿工作</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（剑供组〔2022〕</w:t>
      </w:r>
      <w:r>
        <w:rPr>
          <w:rFonts w:hint="eastAsia" w:ascii="仿宋_GB2312" w:hAnsi="仿宋_GB2312" w:eastAsia="仿宋_GB2312" w:cs="仿宋_GB2312"/>
          <w:sz w:val="32"/>
          <w:szCs w:val="32"/>
          <w:lang w:eastAsia="zh-CN"/>
        </w:rPr>
        <w:t>18</w:t>
      </w:r>
      <w:r>
        <w:rPr>
          <w:rFonts w:hint="eastAsia" w:ascii="仿宋_GB2312" w:hAnsi="仿宋_GB2312" w:eastAsia="仿宋_GB2312" w:cs="仿宋_GB2312"/>
          <w:sz w:val="32"/>
          <w:szCs w:val="32"/>
        </w:rPr>
        <w:t>号）等文件，打造一支高素质干部队伍。三是强化问责力度。2022年社党组问责通报企业2个，问责干部5人，其中诫勉谈话2人，组织约谈1人，批评教育2人。四是落细巡察问题整改。完成县委第四巡察组反馈的15个方面25个问题的整改任务。目前还有2个后续整改问题正在推进中。</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面做好疫情防控安全生产信访维稳工作。坚持常态化搞好疫情防控，按照疫情防控指挥部统一要求建立系统人员疫情防控“三本台账”，并成立党员突击队下沉社区街道巡查监管；坚持每个月召开一次疫情防控、信访维稳安全生产工作例会，听取各企业工作汇报，研究解决存在的具体问题，把矛盾纠纷、问题消灭在萌芽状态，营造了和谐的供销工作氛围，一年来全系统无重大安全事故发生、无越级信访事件发生。</w:t>
      </w:r>
    </w:p>
    <w:p>
      <w:pPr>
        <w:pStyle w:val="5"/>
        <w:rPr>
          <w:rStyle w:val="29"/>
          <w:b w:val="0"/>
          <w:bCs w:val="0"/>
        </w:rPr>
      </w:pPr>
      <w:bookmarkStart w:id="21" w:name="_Toc15396601"/>
      <w:bookmarkStart w:id="22" w:name="_Toc15377200"/>
      <w:r>
        <w:rPr>
          <w:rFonts w:hint="eastAsia" w:ascii="黑体" w:eastAsia="黑体"/>
          <w:b w:val="0"/>
        </w:rPr>
        <w:t>二、</w:t>
      </w:r>
      <w:r>
        <w:rPr>
          <w:rFonts w:hint="eastAsia" w:ascii="黑体" w:hAnsi="黑体" w:eastAsia="黑体"/>
          <w:b w:val="0"/>
        </w:rPr>
        <w:t>机</w:t>
      </w:r>
      <w:r>
        <w:rPr>
          <w:rStyle w:val="29"/>
          <w:rFonts w:hint="eastAsia" w:ascii="黑体" w:hAnsi="黑体" w:eastAsia="黑体"/>
          <w:b w:val="0"/>
          <w:bCs w:val="0"/>
        </w:rPr>
        <w:t>构设置</w:t>
      </w:r>
      <w:bookmarkEnd w:id="21"/>
      <w:bookmarkEnd w:id="22"/>
    </w:p>
    <w:p>
      <w:pPr>
        <w:ind w:firstLine="800" w:firstLineChars="250"/>
        <w:rPr>
          <w:rFonts w:ascii="仿宋" w:hAnsi="仿宋" w:eastAsia="仿宋"/>
          <w:sz w:val="32"/>
          <w:szCs w:val="32"/>
        </w:rPr>
      </w:pPr>
      <w:r>
        <w:rPr>
          <w:rFonts w:hint="eastAsia" w:ascii="仿宋" w:hAnsi="仿宋" w:eastAsia="仿宋"/>
          <w:sz w:val="32"/>
          <w:szCs w:val="32"/>
        </w:rPr>
        <w:t>剑阁县供销合作社联合社下属二级单位0个，其中行政单位0个，参照公务员法管理的事业单位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widowControl/>
        <w:jc w:val="left"/>
        <w:rPr>
          <w:rFonts w:ascii="仿宋" w:hAnsi="仿宋" w:eastAsia="仿宋"/>
          <w:kern w:val="0"/>
          <w:sz w:val="32"/>
          <w:szCs w:val="32"/>
        </w:rPr>
      </w:pPr>
      <w:r>
        <w:rPr>
          <w:rFonts w:hint="eastAsia" w:ascii="仿宋" w:hAnsi="仿宋" w:eastAsia="仿宋"/>
          <w:sz w:val="32"/>
          <w:szCs w:val="32"/>
        </w:rPr>
        <w:t>无纳入剑阁县供销合作社联合社202</w:t>
      </w:r>
      <w:r>
        <w:rPr>
          <w:rFonts w:ascii="仿宋" w:hAnsi="仿宋" w:eastAsia="仿宋"/>
          <w:sz w:val="32"/>
          <w:szCs w:val="32"/>
        </w:rPr>
        <w:t>2</w:t>
      </w:r>
      <w:r>
        <w:rPr>
          <w:rFonts w:hint="eastAsia" w:ascii="仿宋" w:hAnsi="仿宋" w:eastAsia="仿宋"/>
          <w:sz w:val="32"/>
          <w:szCs w:val="32"/>
        </w:rPr>
        <w:t>年度部门决算编制范围的二级预算单位。</w:t>
      </w:r>
      <w:r>
        <w:rPr>
          <w:rFonts w:ascii="仿宋" w:hAnsi="仿宋" w:eastAsia="仿宋"/>
          <w:sz w:val="32"/>
          <w:szCs w:val="32"/>
        </w:rPr>
        <w:br w:type="page"/>
      </w:r>
    </w:p>
    <w:p>
      <w:pPr>
        <w:pStyle w:val="4"/>
        <w:ind w:right="440"/>
        <w:jc w:val="center"/>
        <w:rPr>
          <w:rStyle w:val="28"/>
          <w:rFonts w:ascii="黑体" w:hAnsi="黑体" w:eastAsia="黑体"/>
          <w:b w:val="0"/>
          <w:bCs/>
        </w:rPr>
      </w:pPr>
      <w:bookmarkStart w:id="23" w:name="_Toc15396602"/>
      <w:bookmarkStart w:id="24" w:name="_Toc15377204"/>
      <w:r>
        <w:rPr>
          <w:rFonts w:hint="eastAsia" w:ascii="黑体" w:hAnsi="黑体" w:eastAsia="黑体"/>
          <w:b w:val="0"/>
        </w:rPr>
        <w:t>第二部分 2022年度</w:t>
      </w:r>
      <w:r>
        <w:rPr>
          <w:rStyle w:val="28"/>
          <w:rFonts w:hint="eastAsia" w:ascii="黑体" w:hAnsi="黑体" w:eastAsia="黑体"/>
          <w:b w:val="0"/>
          <w:bCs/>
        </w:rPr>
        <w:t>部门决算情况说明</w:t>
      </w:r>
      <w:bookmarkEnd w:id="23"/>
      <w:bookmarkEnd w:id="24"/>
    </w:p>
    <w:p/>
    <w:p>
      <w:pPr>
        <w:pStyle w:val="27"/>
        <w:numPr>
          <w:ilvl w:val="0"/>
          <w:numId w:val="1"/>
        </w:numPr>
        <w:spacing w:line="600" w:lineRule="exact"/>
        <w:ind w:firstLineChars="0"/>
        <w:outlineLvl w:val="1"/>
        <w:rPr>
          <w:rStyle w:val="29"/>
          <w:rFonts w:ascii="黑体" w:hAnsi="黑体" w:eastAsia="黑体"/>
          <w:b w:val="0"/>
        </w:rPr>
      </w:pPr>
      <w:bookmarkStart w:id="25" w:name="_Toc15377205"/>
      <w:bookmarkStart w:id="26" w:name="_Toc15396603"/>
      <w:r>
        <w:rPr>
          <w:rFonts w:hint="eastAsia" w:ascii="黑体" w:hAnsi="黑体" w:eastAsia="黑体"/>
          <w:sz w:val="32"/>
          <w:szCs w:val="32"/>
        </w:rPr>
        <w:t>收</w:t>
      </w:r>
      <w:r>
        <w:rPr>
          <w:rStyle w:val="29"/>
          <w:rFonts w:hint="eastAsia" w:ascii="黑体" w:hAnsi="黑体" w:eastAsia="黑体"/>
          <w:b w:val="0"/>
        </w:rPr>
        <w:t>入支出决算总体情况说明</w:t>
      </w:r>
      <w:bookmarkEnd w:id="25"/>
      <w:bookmarkEnd w:id="26"/>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ascii="仿宋" w:hAnsi="仿宋" w:eastAsia="仿宋"/>
          <w:sz w:val="32"/>
          <w:szCs w:val="32"/>
        </w:rPr>
        <w:t>516.26</w:t>
      </w:r>
      <w:r>
        <w:rPr>
          <w:rFonts w:hint="eastAsia" w:ascii="仿宋" w:hAnsi="仿宋" w:eastAsia="仿宋"/>
          <w:sz w:val="32"/>
          <w:szCs w:val="32"/>
        </w:rPr>
        <w:t>万元。与2021年相比，收、支总计各增加84.74万元，增长19.64</w:t>
      </w:r>
      <w:r>
        <w:rPr>
          <w:rFonts w:ascii="仿宋" w:hAnsi="仿宋" w:eastAsia="仿宋"/>
          <w:sz w:val="32"/>
          <w:szCs w:val="32"/>
        </w:rPr>
        <w:t>%</w:t>
      </w:r>
      <w:r>
        <w:rPr>
          <w:rFonts w:hint="eastAsia" w:ascii="仿宋" w:hAnsi="仿宋" w:eastAsia="仿宋"/>
          <w:sz w:val="32"/>
          <w:szCs w:val="32"/>
        </w:rPr>
        <w:t>。主要变动原因是项目支出增多。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49530</wp:posOffset>
            </wp:positionH>
            <wp:positionV relativeFrom="paragraph">
              <wp:posOffset>309245</wp:posOffset>
            </wp:positionV>
            <wp:extent cx="5256530" cy="2988310"/>
            <wp:effectExtent l="5080" t="4445" r="15240" b="1714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7"/>
        <w:numPr>
          <w:ilvl w:val="0"/>
          <w:numId w:val="1"/>
        </w:numPr>
        <w:spacing w:line="600" w:lineRule="exact"/>
        <w:ind w:firstLineChars="0"/>
        <w:outlineLvl w:val="1"/>
        <w:rPr>
          <w:rStyle w:val="29"/>
          <w:rFonts w:ascii="黑体" w:hAnsi="黑体" w:eastAsia="黑体"/>
          <w:b w:val="0"/>
        </w:rPr>
      </w:pPr>
      <w:bookmarkStart w:id="27" w:name="_Toc15396604"/>
      <w:bookmarkStart w:id="28" w:name="_Toc15377206"/>
      <w:r>
        <w:rPr>
          <w:rFonts w:hint="eastAsia" w:ascii="黑体" w:hAnsi="黑体" w:eastAsia="黑体"/>
          <w:sz w:val="32"/>
          <w:szCs w:val="32"/>
        </w:rPr>
        <w:t>收</w:t>
      </w:r>
      <w:r>
        <w:rPr>
          <w:rStyle w:val="29"/>
          <w:rFonts w:hint="eastAsia" w:ascii="黑体" w:hAnsi="黑体" w:eastAsia="黑体"/>
          <w:b w:val="0"/>
        </w:rPr>
        <w:t>入决算情况说明</w:t>
      </w:r>
      <w:bookmarkEnd w:id="27"/>
      <w:bookmarkEnd w:id="28"/>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22年本年收入合计357.26万元，其中：一般公共预算财政拨款收入357.26万元，占100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01表</w:t>
      </w:r>
      <w:r>
        <w:rPr>
          <w:rFonts w:hint="eastAsia" w:ascii="仿宋" w:hAnsi="仿宋" w:eastAsia="仿宋"/>
          <w:b/>
          <w:sz w:val="32"/>
          <w:szCs w:val="32"/>
        </w:rPr>
        <w:t>，仅罗列本部门涉及的收入。</w:t>
      </w:r>
      <w:r>
        <w:rPr>
          <w:rFonts w:ascii="仿宋" w:hAnsi="仿宋" w:eastAsia="仿宋"/>
          <w:b/>
          <w:sz w:val="32"/>
          <w:szCs w:val="32"/>
        </w:rPr>
        <w:t>）</w:t>
      </w:r>
    </w:p>
    <w:p>
      <w:pPr>
        <w:spacing w:line="600" w:lineRule="exact"/>
        <w:ind w:firstLine="640" w:firstLineChars="200"/>
        <w:outlineLvl w:val="1"/>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60288" behindDoc="0" locked="0" layoutInCell="1" allowOverlap="1">
            <wp:simplePos x="0" y="0"/>
            <wp:positionH relativeFrom="column">
              <wp:posOffset>-64770</wp:posOffset>
            </wp:positionH>
            <wp:positionV relativeFrom="paragraph">
              <wp:posOffset>90170</wp:posOffset>
            </wp:positionV>
            <wp:extent cx="5370830" cy="2131060"/>
            <wp:effectExtent l="4445" t="4445" r="15875" b="1714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7"/>
        <w:numPr>
          <w:ilvl w:val="0"/>
          <w:numId w:val="1"/>
        </w:numPr>
        <w:spacing w:line="600" w:lineRule="exact"/>
        <w:ind w:firstLineChars="0"/>
        <w:outlineLvl w:val="1"/>
        <w:rPr>
          <w:rStyle w:val="29"/>
          <w:rFonts w:ascii="黑体" w:hAnsi="黑体" w:eastAsia="黑体"/>
          <w:b w:val="0"/>
        </w:rPr>
      </w:pPr>
      <w:bookmarkStart w:id="29" w:name="_Toc15396605"/>
      <w:bookmarkStart w:id="30" w:name="_Toc15377207"/>
      <w:r>
        <w:rPr>
          <w:rFonts w:hint="eastAsia" w:ascii="黑体" w:hAnsi="黑体" w:eastAsia="黑体"/>
          <w:sz w:val="32"/>
          <w:szCs w:val="32"/>
        </w:rPr>
        <w:t>支</w:t>
      </w:r>
      <w:r>
        <w:rPr>
          <w:rStyle w:val="29"/>
          <w:rFonts w:hint="eastAsia" w:ascii="黑体" w:hAnsi="黑体" w:eastAsia="黑体"/>
          <w:b w:val="0"/>
        </w:rPr>
        <w:t>出决算情况说明</w:t>
      </w:r>
      <w:bookmarkEnd w:id="29"/>
      <w:bookmarkEnd w:id="30"/>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22年本年支出合计516.26万元，其中：基本支出314.86万元，占60.99</w:t>
      </w:r>
      <w:r>
        <w:rPr>
          <w:rFonts w:ascii="仿宋" w:hAnsi="仿宋" w:eastAsia="仿宋"/>
          <w:sz w:val="32"/>
          <w:szCs w:val="32"/>
        </w:rPr>
        <w:t>%</w:t>
      </w:r>
      <w:r>
        <w:rPr>
          <w:rFonts w:hint="eastAsia" w:ascii="仿宋" w:hAnsi="仿宋" w:eastAsia="仿宋"/>
          <w:sz w:val="32"/>
          <w:szCs w:val="32"/>
        </w:rPr>
        <w:t>；项目支出201.40万元，占39.01</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表，仅罗列本部门涉及的支出。）</w:t>
      </w:r>
    </w:p>
    <w:p>
      <w:pPr>
        <w:spacing w:line="600" w:lineRule="exact"/>
        <w:ind w:firstLine="640"/>
        <w:rPr>
          <w:rFonts w:ascii="仿宋" w:hAnsi="仿宋" w:eastAsia="仿宋"/>
          <w:sz w:val="32"/>
          <w:szCs w:val="32"/>
          <w:shd w:val="pct10" w:color="auto" w:fill="FFFFFF"/>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pStyle w:val="7"/>
        <w:spacing w:before="93"/>
        <w:rPr>
          <w:rFonts w:eastAsia="仿宋"/>
        </w:rPr>
      </w:pPr>
      <w:r>
        <w:rPr>
          <w:rFonts w:hint="eastAsia" w:eastAsia="仿宋"/>
        </w:rPr>
        <w:drawing>
          <wp:inline distT="0" distB="0" distL="114300" distR="114300">
            <wp:extent cx="5399405" cy="1875155"/>
            <wp:effectExtent l="4445" t="4445" r="6350" b="63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9"/>
          <w:rFonts w:ascii="黑体" w:hAnsi="黑体" w:eastAsia="黑体"/>
          <w:b w:val="0"/>
        </w:rPr>
      </w:pPr>
      <w:bookmarkStart w:id="31" w:name="_Toc15396606"/>
      <w:bookmarkStart w:id="32" w:name="_Toc15377208"/>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31"/>
      <w:bookmarkEnd w:id="32"/>
    </w:p>
    <w:p>
      <w:pPr>
        <w:spacing w:line="600" w:lineRule="exact"/>
        <w:ind w:firstLine="640"/>
        <w:rPr>
          <w:rFonts w:ascii="仿宋" w:hAnsi="仿宋" w:eastAsia="仿宋"/>
          <w:sz w:val="32"/>
          <w:szCs w:val="32"/>
        </w:rPr>
      </w:pPr>
      <w:r>
        <w:rPr>
          <w:rFonts w:hint="eastAsia" w:ascii="仿宋" w:hAnsi="仿宋" w:eastAsia="仿宋"/>
          <w:sz w:val="32"/>
          <w:szCs w:val="32"/>
        </w:rPr>
        <w:t>2022年度收、支总计</w:t>
      </w:r>
      <w:r>
        <w:rPr>
          <w:rFonts w:ascii="仿宋" w:hAnsi="仿宋" w:eastAsia="仿宋"/>
          <w:sz w:val="32"/>
          <w:szCs w:val="32"/>
        </w:rPr>
        <w:t>516.26</w:t>
      </w:r>
      <w:r>
        <w:rPr>
          <w:rFonts w:hint="eastAsia" w:ascii="仿宋" w:hAnsi="仿宋" w:eastAsia="仿宋"/>
          <w:sz w:val="32"/>
          <w:szCs w:val="32"/>
        </w:rPr>
        <w:t>万元。与2021年相比，收、支总计各增加84.74万元，增长19.64</w:t>
      </w:r>
      <w:r>
        <w:rPr>
          <w:rFonts w:ascii="仿宋" w:hAnsi="仿宋" w:eastAsia="仿宋"/>
          <w:sz w:val="32"/>
          <w:szCs w:val="32"/>
        </w:rPr>
        <w:t>%</w:t>
      </w:r>
      <w:r>
        <w:rPr>
          <w:rFonts w:hint="eastAsia" w:ascii="仿宋" w:hAnsi="仿宋" w:eastAsia="仿宋"/>
          <w:sz w:val="32"/>
          <w:szCs w:val="32"/>
        </w:rPr>
        <w:t>。主要变动原因是项目支出增多。</w:t>
      </w:r>
    </w:p>
    <w:p>
      <w:pPr>
        <w:spacing w:line="600" w:lineRule="exact"/>
        <w:ind w:firstLine="640"/>
        <w:rPr>
          <w:rFonts w:ascii="仿宋" w:hAnsi="仿宋" w:eastAsia="仿宋"/>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r>
        <w:rPr>
          <w:rFonts w:hint="eastAsia" w:ascii="仿宋" w:hAnsi="仿宋" w:eastAsia="仿宋"/>
          <w:b/>
          <w:sz w:val="32"/>
          <w:szCs w:val="32"/>
        </w:rPr>
        <w:drawing>
          <wp:anchor distT="0" distB="0" distL="114300" distR="114300" simplePos="0" relativeHeight="251661312" behindDoc="0" locked="0" layoutInCell="1" allowOverlap="1">
            <wp:simplePos x="0" y="0"/>
            <wp:positionH relativeFrom="column">
              <wp:posOffset>68580</wp:posOffset>
            </wp:positionH>
            <wp:positionV relativeFrom="paragraph">
              <wp:posOffset>157480</wp:posOffset>
            </wp:positionV>
            <wp:extent cx="5256530" cy="1970405"/>
            <wp:effectExtent l="4445" t="4445" r="15875" b="635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9"/>
          <w:rFonts w:ascii="黑体" w:hAnsi="黑体" w:eastAsia="黑体"/>
          <w:b w:val="0"/>
        </w:rPr>
      </w:pPr>
      <w:bookmarkStart w:id="33" w:name="_Toc15396607"/>
      <w:bookmarkStart w:id="34" w:name="_Toc15377209"/>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33"/>
      <w:bookmarkEnd w:id="34"/>
    </w:p>
    <w:p>
      <w:pPr>
        <w:spacing w:line="600" w:lineRule="exact"/>
        <w:ind w:firstLine="643" w:firstLineChars="200"/>
        <w:outlineLvl w:val="2"/>
        <w:rPr>
          <w:rFonts w:ascii="仿宋" w:hAnsi="仿宋" w:eastAsia="仿宋"/>
          <w:b/>
          <w:sz w:val="32"/>
          <w:szCs w:val="32"/>
        </w:rPr>
      </w:pPr>
      <w:bookmarkStart w:id="35" w:name="_Toc15377210"/>
      <w:r>
        <w:rPr>
          <w:rFonts w:hint="eastAsia" w:ascii="仿宋" w:hAnsi="仿宋" w:eastAsia="仿宋"/>
          <w:b/>
          <w:sz w:val="32"/>
          <w:szCs w:val="32"/>
        </w:rPr>
        <w:t>（一）一般公共预算财政拨款支出决算总体情况</w:t>
      </w:r>
      <w:bookmarkEnd w:id="3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22年一般公共预算财政拨款支出516.26万元，占本年支出合计的100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21年相比，一般公共预算财政拨款支出增加253.49万元，增长96.47</w:t>
      </w:r>
      <w:r>
        <w:rPr>
          <w:rFonts w:ascii="仿宋" w:hAnsi="仿宋" w:eastAsia="仿宋"/>
          <w:sz w:val="32"/>
          <w:szCs w:val="32"/>
        </w:rPr>
        <w:t>%</w:t>
      </w:r>
      <w:r>
        <w:rPr>
          <w:rFonts w:hint="eastAsia" w:ascii="仿宋" w:hAnsi="仿宋" w:eastAsia="仿宋"/>
          <w:sz w:val="32"/>
          <w:szCs w:val="32"/>
        </w:rPr>
        <w:t>。主要变动原因是项目支出。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2336" behindDoc="0" locked="0" layoutInCell="1" allowOverlap="1">
            <wp:simplePos x="0" y="0"/>
            <wp:positionH relativeFrom="column">
              <wp:posOffset>116205</wp:posOffset>
            </wp:positionH>
            <wp:positionV relativeFrom="paragraph">
              <wp:posOffset>51435</wp:posOffset>
            </wp:positionV>
            <wp:extent cx="5114290" cy="2026920"/>
            <wp:effectExtent l="4445" t="4445" r="5715" b="698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sz w:val="32"/>
          <w:szCs w:val="32"/>
        </w:rPr>
      </w:pPr>
      <w:bookmarkStart w:id="36" w:name="_Toc15377211"/>
      <w:r>
        <w:rPr>
          <w:rFonts w:hint="eastAsia" w:ascii="仿宋" w:hAnsi="仿宋" w:eastAsia="仿宋"/>
          <w:b/>
          <w:sz w:val="32"/>
          <w:szCs w:val="32"/>
        </w:rPr>
        <w:t>（二）一般公共预算财政拨款支出决算结构情况</w:t>
      </w:r>
      <w:bookmarkEnd w:id="3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22年一般公共预算财政拨款支出516.26万元，主要用于以下方面</w:t>
      </w:r>
      <w:r>
        <w:rPr>
          <w:rFonts w:hint="eastAsia" w:ascii="仿宋" w:hAnsi="仿宋" w:eastAsia="仿宋"/>
          <w:sz w:val="32"/>
          <w:szCs w:val="32"/>
          <w:lang w:eastAsia="zh-CN"/>
        </w:rPr>
        <w:t>：</w:t>
      </w:r>
      <w:r>
        <w:rPr>
          <w:rFonts w:hint="eastAsia" w:ascii="仿宋" w:hAnsi="仿宋" w:eastAsia="仿宋"/>
          <w:b/>
          <w:sz w:val="32"/>
          <w:szCs w:val="32"/>
        </w:rPr>
        <w:t>社会保障和就业（类）</w:t>
      </w:r>
      <w:r>
        <w:rPr>
          <w:rFonts w:hint="eastAsia" w:ascii="仿宋" w:hAnsi="仿宋" w:eastAsia="仿宋"/>
          <w:sz w:val="32"/>
          <w:szCs w:val="32"/>
        </w:rPr>
        <w:t>支出22.51万元，占4.36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卫生健康（类）</w:t>
      </w:r>
      <w:r>
        <w:rPr>
          <w:rFonts w:hint="eastAsia" w:ascii="仿宋" w:hAnsi="仿宋" w:eastAsia="仿宋"/>
          <w:sz w:val="32"/>
          <w:szCs w:val="32"/>
        </w:rPr>
        <w:t>11.26万元，占2.18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商业服务业等（类）</w:t>
      </w:r>
      <w:r>
        <w:rPr>
          <w:rFonts w:hint="eastAsia" w:ascii="仿宋" w:hAnsi="仿宋" w:eastAsia="仿宋"/>
          <w:sz w:val="32"/>
          <w:szCs w:val="32"/>
        </w:rPr>
        <w:t>支出465.60万元，占90.19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住房保障（类）</w:t>
      </w:r>
      <w:r>
        <w:rPr>
          <w:rFonts w:hint="eastAsia" w:ascii="仿宋" w:hAnsi="仿宋" w:eastAsia="仿宋"/>
          <w:sz w:val="32"/>
          <w:szCs w:val="32"/>
        </w:rPr>
        <w:t>支出16.89万元，占3.27</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hint="eastAsia" w:ascii="仿宋" w:hAnsi="仿宋" w:eastAsia="仿宋"/>
          <w:b/>
          <w:sz w:val="32"/>
          <w:szCs w:val="32"/>
        </w:rPr>
        <w:t>（注：数据来源于财决01-1表，仅罗列本部门涉及的全部功能分类科目，至类级。）</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3360" behindDoc="0" locked="0" layoutInCell="1" allowOverlap="1">
            <wp:simplePos x="0" y="0"/>
            <wp:positionH relativeFrom="column">
              <wp:posOffset>459105</wp:posOffset>
            </wp:positionH>
            <wp:positionV relativeFrom="paragraph">
              <wp:posOffset>398780</wp:posOffset>
            </wp:positionV>
            <wp:extent cx="3933825" cy="2159635"/>
            <wp:effectExtent l="5080" t="4445" r="4445" b="7620"/>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7" w:name="_Toc15377212"/>
      <w:r>
        <w:rPr>
          <w:rFonts w:hint="eastAsia" w:ascii="仿宋" w:hAnsi="仿宋" w:eastAsia="仿宋"/>
          <w:b/>
          <w:sz w:val="32"/>
          <w:szCs w:val="32"/>
        </w:rPr>
        <w:t>（三）一般公共预算财政拨款支出决算具体情况</w:t>
      </w:r>
      <w:bookmarkEnd w:id="37"/>
    </w:p>
    <w:p>
      <w:pPr>
        <w:spacing w:line="600" w:lineRule="exact"/>
        <w:ind w:firstLine="643" w:firstLineChars="200"/>
        <w:outlineLvl w:val="2"/>
        <w:rPr>
          <w:rFonts w:ascii="仿宋" w:hAnsi="仿宋" w:eastAsia="仿宋"/>
          <w:sz w:val="32"/>
          <w:szCs w:val="32"/>
        </w:rPr>
      </w:pPr>
      <w:bookmarkStart w:id="38" w:name="_Toc15377213"/>
      <w:bookmarkStart w:id="39" w:name="_Toc15378460"/>
      <w:bookmarkStart w:id="40" w:name="_Toc15377444"/>
      <w:r>
        <w:rPr>
          <w:rFonts w:hint="eastAsia" w:ascii="仿宋" w:hAnsi="仿宋" w:eastAsia="仿宋"/>
          <w:b/>
          <w:sz w:val="32"/>
          <w:szCs w:val="32"/>
        </w:rPr>
        <w:t>2022年一般公共预算支出决算数为516.26</w:t>
      </w:r>
      <w:r>
        <w:rPr>
          <w:rFonts w:hint="eastAsia" w:ascii="仿宋" w:hAnsi="仿宋" w:eastAsia="仿宋"/>
          <w:sz w:val="32"/>
          <w:szCs w:val="32"/>
        </w:rPr>
        <w:t>，</w:t>
      </w:r>
      <w:r>
        <w:rPr>
          <w:rStyle w:val="17"/>
          <w:rFonts w:hint="eastAsia" w:ascii="仿宋" w:hAnsi="仿宋" w:eastAsia="仿宋"/>
          <w:bCs/>
          <w:sz w:val="32"/>
          <w:szCs w:val="32"/>
        </w:rPr>
        <w:t>完成预算100</w:t>
      </w:r>
      <w:r>
        <w:rPr>
          <w:rStyle w:val="17"/>
          <w:rFonts w:ascii="仿宋" w:hAnsi="仿宋" w:eastAsia="仿宋"/>
          <w:bCs/>
          <w:sz w:val="32"/>
          <w:szCs w:val="32"/>
        </w:rPr>
        <w:t>%</w:t>
      </w:r>
      <w:r>
        <w:rPr>
          <w:rStyle w:val="17"/>
          <w:rFonts w:hint="eastAsia" w:ascii="仿宋" w:hAnsi="仿宋" w:eastAsia="仿宋"/>
          <w:bCs/>
          <w:sz w:val="32"/>
          <w:szCs w:val="32"/>
        </w:rPr>
        <w:t>。其中：</w:t>
      </w:r>
      <w:bookmarkEnd w:id="38"/>
      <w:bookmarkEnd w:id="39"/>
      <w:bookmarkEnd w:id="40"/>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1.</w:t>
      </w:r>
      <w:r>
        <w:rPr>
          <w:rStyle w:val="17"/>
          <w:rFonts w:hint="eastAsia" w:ascii="仿宋" w:hAnsi="仿宋" w:eastAsia="仿宋"/>
          <w:bCs/>
          <w:sz w:val="32"/>
          <w:szCs w:val="32"/>
        </w:rPr>
        <w:t>社会保障和就业（类）行政事业单位养老（款）机关事业单位基本养老保险缴费支出（项）</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支出决算为22.51万元，完成预算100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2.</w:t>
      </w:r>
      <w:r>
        <w:rPr>
          <w:rStyle w:val="17"/>
          <w:rFonts w:hint="eastAsia" w:ascii="仿宋" w:hAnsi="仿宋" w:eastAsia="仿宋"/>
          <w:bCs/>
          <w:sz w:val="32"/>
          <w:szCs w:val="32"/>
        </w:rPr>
        <w:t>卫生健康（类）行政事业单位医疗（款）行政单位医疗（项）</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支出决算为11.26万元，完成预算100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3.</w:t>
      </w:r>
      <w:r>
        <w:rPr>
          <w:rStyle w:val="17"/>
          <w:rFonts w:hint="eastAsia" w:ascii="仿宋" w:hAnsi="仿宋" w:eastAsia="仿宋"/>
          <w:bCs/>
          <w:sz w:val="32"/>
          <w:szCs w:val="32"/>
        </w:rPr>
        <w:t>商业服务业等（类）商业流通事务（款）行政运行（项）</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支出决算为264.20万元，完成预算100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4.</w:t>
      </w:r>
      <w:r>
        <w:rPr>
          <w:rStyle w:val="17"/>
          <w:rFonts w:hint="eastAsia" w:ascii="仿宋" w:hAnsi="仿宋" w:eastAsia="仿宋"/>
          <w:bCs/>
          <w:sz w:val="32"/>
          <w:szCs w:val="32"/>
        </w:rPr>
        <w:t>商业服务业等（类）商业流通事务（款）其他商业流通事务支出（项）</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支出决算为201.40万元，完成预算100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5.</w:t>
      </w:r>
      <w:r>
        <w:rPr>
          <w:rFonts w:hint="eastAsia" w:ascii="仿宋" w:hAnsi="仿宋" w:eastAsia="仿宋"/>
          <w:b/>
          <w:bCs/>
          <w:sz w:val="32"/>
          <w:szCs w:val="32"/>
        </w:rPr>
        <w:t>住房保障</w:t>
      </w:r>
      <w:r>
        <w:rPr>
          <w:rStyle w:val="17"/>
          <w:rFonts w:hint="eastAsia" w:ascii="仿宋" w:hAnsi="仿宋" w:eastAsia="仿宋"/>
          <w:bCs/>
          <w:sz w:val="32"/>
          <w:szCs w:val="32"/>
        </w:rPr>
        <w:t>（类）住房改革（款）住房公积金（项）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支出决算为16.89万元，完成预算100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tabs>
          <w:tab w:val="right" w:pos="8306"/>
        </w:tabs>
        <w:spacing w:line="600" w:lineRule="exact"/>
        <w:ind w:firstLine="640"/>
        <w:outlineLvl w:val="1"/>
        <w:rPr>
          <w:rStyle w:val="29"/>
        </w:rPr>
      </w:pPr>
      <w:bookmarkStart w:id="41" w:name="_Toc15396608"/>
      <w:bookmarkStart w:id="42"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41"/>
      <w:bookmarkEnd w:id="42"/>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22年一般公共预算财政拨款基本支出314.86万元，其中：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人员经费281.44万元，主要包括：基本工资、津贴补贴、奖金、机关事业单位基本养老保险缴费、职工基本医疗保险</w:t>
      </w:r>
      <w:r>
        <w:rPr>
          <w:rFonts w:hint="eastAsia" w:ascii="仿宋" w:hAnsi="仿宋" w:eastAsia="仿宋"/>
          <w:sz w:val="32"/>
          <w:szCs w:val="32"/>
          <w:lang w:eastAsia="zh-CN"/>
        </w:rPr>
        <w:t>缴费</w:t>
      </w:r>
      <w:r>
        <w:rPr>
          <w:rFonts w:hint="eastAsia" w:ascii="仿宋" w:hAnsi="仿宋" w:eastAsia="仿宋"/>
          <w:sz w:val="32"/>
          <w:szCs w:val="32"/>
        </w:rPr>
        <w:t>、住房公积金、其他社会保障缴费、生活补助支出。</w:t>
      </w:r>
    </w:p>
    <w:p>
      <w:pPr>
        <w:spacing w:line="600" w:lineRule="exact"/>
        <w:ind w:firstLine="645"/>
        <w:rPr>
          <w:rFonts w:ascii="仿宋" w:hAnsi="仿宋" w:eastAsia="仿宋"/>
          <w:sz w:val="32"/>
          <w:szCs w:val="32"/>
        </w:rPr>
      </w:pPr>
      <w:r>
        <w:rPr>
          <w:rFonts w:hint="eastAsia" w:ascii="仿宋" w:hAnsi="仿宋" w:eastAsia="仿宋"/>
          <w:sz w:val="32"/>
          <w:szCs w:val="32"/>
        </w:rPr>
        <w:t>　　公用经费33.42万元，主要包括：办公费、印刷费、邮电费、差旅费、维修（护）费、会议费、公务接待费、工会经费、福利费、其他交通费、其他商品和服务支出。</w:t>
      </w:r>
    </w:p>
    <w:p>
      <w:pPr>
        <w:spacing w:line="600" w:lineRule="exact"/>
        <w:ind w:firstLine="640"/>
        <w:outlineLvl w:val="1"/>
        <w:rPr>
          <w:rStyle w:val="29"/>
          <w:rFonts w:ascii="黑体" w:hAnsi="黑体" w:eastAsia="黑体"/>
          <w:b w:val="0"/>
        </w:rPr>
      </w:pPr>
      <w:bookmarkStart w:id="43" w:name="_Toc15396609"/>
      <w:bookmarkStart w:id="44" w:name="_Toc15377215"/>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43"/>
      <w:bookmarkEnd w:id="44"/>
    </w:p>
    <w:p>
      <w:pPr>
        <w:spacing w:line="600" w:lineRule="exact"/>
        <w:ind w:firstLine="640"/>
        <w:outlineLvl w:val="2"/>
        <w:rPr>
          <w:rFonts w:ascii="仿宋" w:hAnsi="仿宋" w:eastAsia="仿宋"/>
          <w:b/>
          <w:sz w:val="32"/>
          <w:szCs w:val="32"/>
        </w:rPr>
      </w:pPr>
      <w:bookmarkStart w:id="45" w:name="_Toc15377216"/>
      <w:r>
        <w:rPr>
          <w:rFonts w:hint="eastAsia" w:ascii="仿宋" w:hAnsi="仿宋" w:eastAsia="仿宋"/>
          <w:b/>
          <w:sz w:val="32"/>
          <w:szCs w:val="32"/>
        </w:rPr>
        <w:t>（一）“三公”经费财政拨款支出决算总体情况说明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22年“三公”经费财政拨款支出决算为0.98万元，完成预算100</w:t>
      </w:r>
      <w:r>
        <w:rPr>
          <w:rFonts w:ascii="仿宋" w:hAnsi="仿宋" w:eastAsia="仿宋"/>
          <w:sz w:val="32"/>
          <w:szCs w:val="32"/>
        </w:rPr>
        <w:t>%</w:t>
      </w:r>
      <w:r>
        <w:rPr>
          <w:rFonts w:hint="eastAsia" w:ascii="仿宋" w:hAnsi="仿宋" w:eastAsia="仿宋"/>
          <w:sz w:val="32"/>
          <w:szCs w:val="32"/>
        </w:rPr>
        <w:t>，较上年减少0.92万元，下降48.42%。决算数与预算数持平。</w:t>
      </w:r>
    </w:p>
    <w:p>
      <w:pPr>
        <w:spacing w:line="600" w:lineRule="exact"/>
        <w:ind w:firstLine="640"/>
        <w:outlineLvl w:val="2"/>
        <w:rPr>
          <w:rFonts w:ascii="仿宋" w:hAnsi="仿宋" w:eastAsia="仿宋"/>
          <w:b/>
          <w:sz w:val="32"/>
          <w:szCs w:val="32"/>
        </w:rPr>
      </w:pPr>
      <w:bookmarkStart w:id="46" w:name="_Toc15377217"/>
      <w:r>
        <w:rPr>
          <w:rFonts w:hint="eastAsia" w:ascii="仿宋" w:hAnsi="仿宋" w:eastAsia="仿宋"/>
          <w:b/>
          <w:sz w:val="32"/>
          <w:szCs w:val="32"/>
        </w:rPr>
        <w:t>（二）“三公”经费财政拨款支出决算具体情况说明</w:t>
      </w:r>
      <w:bookmarkEnd w:id="4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；公务接待费支出决算0.98万元，占100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pStyle w:val="2"/>
        <w:ind w:left="420"/>
        <w:rPr>
          <w:rFonts w:eastAsia="仿宋"/>
        </w:rPr>
      </w:pPr>
      <w:r>
        <w:rPr>
          <w:rFonts w:hint="eastAsia" w:eastAsia="仿宋"/>
        </w:rPr>
        <w:drawing>
          <wp:anchor distT="0" distB="0" distL="114300" distR="114300" simplePos="0" relativeHeight="251664384" behindDoc="0" locked="0" layoutInCell="1" allowOverlap="1">
            <wp:simplePos x="0" y="0"/>
            <wp:positionH relativeFrom="column">
              <wp:posOffset>62230</wp:posOffset>
            </wp:positionH>
            <wp:positionV relativeFrom="paragraph">
              <wp:posOffset>103505</wp:posOffset>
            </wp:positionV>
            <wp:extent cx="4618355" cy="2531110"/>
            <wp:effectExtent l="4445" t="5080" r="6350" b="16510"/>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7"/>
          <w:rFonts w:hint="eastAsia" w:ascii="仿宋" w:hAnsi="仿宋" w:eastAsia="仿宋"/>
          <w:b w:val="0"/>
          <w:bCs/>
          <w:sz w:val="32"/>
          <w:szCs w:val="32"/>
        </w:rPr>
        <w:t>完成预算0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全年安排因公出国（境）团组0次，出国（境）0人。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Fonts w:hint="eastAsia" w:ascii="仿宋_GB2312" w:eastAsia="仿宋_GB2312"/>
          <w:sz w:val="32"/>
          <w:szCs w:val="32"/>
          <w:lang w:eastAsia="zh-CN"/>
        </w:rPr>
        <w:t>，</w:t>
      </w:r>
      <w:r>
        <w:rPr>
          <w:rStyle w:val="17"/>
          <w:rFonts w:hint="eastAsia" w:ascii="仿宋" w:hAnsi="仿宋" w:eastAsia="仿宋"/>
          <w:b w:val="0"/>
          <w:bCs/>
          <w:sz w:val="32"/>
          <w:szCs w:val="32"/>
        </w:rPr>
        <w:t>完成预算0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0.98万元，</w:t>
      </w:r>
      <w:r>
        <w:rPr>
          <w:rStyle w:val="17"/>
          <w:rFonts w:hint="eastAsia" w:ascii="仿宋" w:hAnsi="仿宋" w:eastAsia="仿宋"/>
          <w:b w:val="0"/>
          <w:bCs/>
          <w:sz w:val="32"/>
          <w:szCs w:val="32"/>
        </w:rPr>
        <w:t>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21年减少0.92万元，下降48.42</w:t>
      </w:r>
      <w:r>
        <w:rPr>
          <w:rFonts w:ascii="仿宋_GB2312" w:eastAsia="仿宋_GB2312"/>
          <w:sz w:val="32"/>
          <w:szCs w:val="32"/>
        </w:rPr>
        <w:t>%</w:t>
      </w:r>
      <w:r>
        <w:rPr>
          <w:rFonts w:hint="eastAsia" w:ascii="仿宋_GB2312" w:eastAsia="仿宋_GB2312"/>
          <w:sz w:val="32"/>
          <w:szCs w:val="32"/>
        </w:rPr>
        <w:t>。</w:t>
      </w:r>
      <w:bookmarkStart w:id="47" w:name="_Toc15396610"/>
      <w:bookmarkStart w:id="48" w:name="_Toc15377218"/>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0.98</w:t>
      </w:r>
      <w:r>
        <w:rPr>
          <w:rFonts w:hint="eastAsia" w:ascii="仿宋_GB2312" w:eastAsia="仿宋_GB2312"/>
          <w:sz w:val="32"/>
          <w:szCs w:val="32"/>
        </w:rPr>
        <w:t>万元，主要用于日常执行公务、开展业务活动开支的交通费、住宿费、用餐费等。国内公务接待</w:t>
      </w:r>
      <w:r>
        <w:rPr>
          <w:rFonts w:ascii="仿宋_GB2312" w:eastAsia="仿宋_GB2312"/>
          <w:sz w:val="32"/>
          <w:szCs w:val="32"/>
        </w:rPr>
        <w:t>26</w:t>
      </w:r>
      <w:r>
        <w:rPr>
          <w:rFonts w:hint="eastAsia" w:ascii="仿宋_GB2312" w:eastAsia="仿宋_GB2312"/>
          <w:sz w:val="32"/>
          <w:szCs w:val="32"/>
        </w:rPr>
        <w:t>批次，2</w:t>
      </w:r>
      <w:r>
        <w:rPr>
          <w:rFonts w:ascii="仿宋_GB2312" w:eastAsia="仿宋_GB2312"/>
          <w:sz w:val="32"/>
          <w:szCs w:val="32"/>
        </w:rPr>
        <w:t>15</w:t>
      </w:r>
      <w:r>
        <w:rPr>
          <w:rFonts w:hint="eastAsia" w:ascii="仿宋_GB2312" w:eastAsia="仿宋_GB2312"/>
          <w:sz w:val="32"/>
          <w:szCs w:val="32"/>
        </w:rPr>
        <w:t>人次（不包括陪同人员），共计支出0.98万元。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outlineLvl w:val="1"/>
        <w:rPr>
          <w:rStyle w:val="29"/>
          <w:rFonts w:ascii="黑体" w:hAnsi="黑体" w:eastAsia="黑体"/>
        </w:rPr>
      </w:pPr>
      <w:r>
        <w:rPr>
          <w:rFonts w:hint="eastAsia" w:ascii="黑体" w:eastAsia="黑体"/>
          <w:sz w:val="32"/>
          <w:szCs w:val="32"/>
        </w:rPr>
        <w:t>八、</w:t>
      </w:r>
      <w:r>
        <w:rPr>
          <w:rStyle w:val="29"/>
          <w:rFonts w:hint="eastAsia" w:ascii="黑体" w:hAnsi="黑体" w:eastAsia="黑体"/>
          <w:b w:val="0"/>
        </w:rPr>
        <w:t>政府性基金预算支出决算情况说明</w:t>
      </w:r>
      <w:bookmarkEnd w:id="47"/>
      <w:bookmarkEnd w:id="48"/>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ascii="仿宋_GB2312" w:eastAsia="仿宋_GB2312"/>
          <w:sz w:val="32"/>
          <w:szCs w:val="32"/>
        </w:rPr>
        <w:t>2</w:t>
      </w:r>
      <w:r>
        <w:rPr>
          <w:rFonts w:hint="eastAsia" w:ascii="仿宋_GB2312" w:eastAsia="仿宋_GB2312"/>
          <w:sz w:val="32"/>
          <w:szCs w:val="32"/>
        </w:rPr>
        <w:t>年政府性基金预算财政拨款支出0万元。</w:t>
      </w:r>
    </w:p>
    <w:p>
      <w:pPr>
        <w:numPr>
          <w:ilvl w:val="0"/>
          <w:numId w:val="2"/>
        </w:numPr>
        <w:spacing w:line="600" w:lineRule="exact"/>
        <w:ind w:firstLine="640"/>
        <w:outlineLvl w:val="1"/>
        <w:rPr>
          <w:rStyle w:val="29"/>
          <w:rFonts w:ascii="黑体" w:hAnsi="黑体" w:eastAsia="黑体"/>
          <w:b w:val="0"/>
        </w:rPr>
      </w:pPr>
      <w:bookmarkStart w:id="49" w:name="_Toc15396611"/>
      <w:bookmarkStart w:id="50" w:name="_Toc15377219"/>
      <w:r>
        <w:rPr>
          <w:rStyle w:val="29"/>
          <w:rFonts w:hint="eastAsia" w:ascii="黑体" w:hAnsi="黑体" w:eastAsia="黑体"/>
          <w:b w:val="0"/>
        </w:rPr>
        <w:t>国有资本经营预算支出决算情况说明</w:t>
      </w:r>
      <w:bookmarkEnd w:id="49"/>
      <w:bookmarkEnd w:id="50"/>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ascii="仿宋_GB2312" w:eastAsia="仿宋_GB2312"/>
          <w:sz w:val="32"/>
          <w:szCs w:val="32"/>
        </w:rPr>
        <w:t>0</w:t>
      </w:r>
      <w:r>
        <w:rPr>
          <w:rFonts w:hint="eastAsia" w:ascii="仿宋_GB2312" w:eastAsia="仿宋_GB2312"/>
          <w:sz w:val="32"/>
          <w:szCs w:val="32"/>
        </w:rPr>
        <w:t>万元。</w:t>
      </w:r>
    </w:p>
    <w:p>
      <w:pPr>
        <w:numPr>
          <w:ilvl w:val="0"/>
          <w:numId w:val="2"/>
        </w:numPr>
        <w:spacing w:line="600" w:lineRule="exact"/>
        <w:ind w:firstLine="640"/>
        <w:outlineLvl w:val="1"/>
        <w:rPr>
          <w:rStyle w:val="29"/>
          <w:rFonts w:ascii="黑体" w:hAnsi="黑体" w:eastAsia="黑体"/>
          <w:b w:val="0"/>
        </w:rPr>
      </w:pPr>
      <w:bookmarkStart w:id="51" w:name="_Toc15377221"/>
      <w:bookmarkStart w:id="52" w:name="_Toc15396612"/>
      <w:r>
        <w:rPr>
          <w:rStyle w:val="29"/>
          <w:rFonts w:hint="eastAsia" w:ascii="黑体" w:hAnsi="黑体" w:eastAsia="黑体"/>
          <w:b w:val="0"/>
        </w:rPr>
        <w:t>其他重要事项的情况说明</w:t>
      </w:r>
      <w:bookmarkEnd w:id="51"/>
      <w:bookmarkEnd w:id="52"/>
    </w:p>
    <w:p>
      <w:pPr>
        <w:spacing w:line="600" w:lineRule="exact"/>
        <w:ind w:firstLine="643" w:firstLineChars="200"/>
        <w:outlineLvl w:val="2"/>
        <w:rPr>
          <w:rFonts w:ascii="仿宋" w:hAnsi="仿宋" w:eastAsia="仿宋"/>
          <w:sz w:val="32"/>
          <w:szCs w:val="32"/>
        </w:rPr>
      </w:pPr>
      <w:bookmarkStart w:id="53" w:name="_Toc15377222"/>
      <w:r>
        <w:rPr>
          <w:rFonts w:hint="eastAsia" w:ascii="仿宋" w:hAnsi="仿宋" w:eastAsia="仿宋"/>
          <w:b/>
          <w:sz w:val="32"/>
          <w:szCs w:val="32"/>
        </w:rPr>
        <w:t>（一）机关运行经费支出情况</w:t>
      </w:r>
      <w:bookmarkEnd w:id="53"/>
    </w:p>
    <w:p>
      <w:pPr>
        <w:spacing w:line="600" w:lineRule="exact"/>
        <w:ind w:firstLine="640" w:firstLineChars="200"/>
        <w:rPr>
          <w:rFonts w:ascii="仿宋_GB2312" w:eastAsia="仿宋_GB2312"/>
          <w:sz w:val="32"/>
          <w:szCs w:val="32"/>
          <w14:textFill>
            <w14:gradFill>
              <w14:gsLst>
                <w14:gs w14:pos="0">
                  <w14:srgbClr w14:val="FE4444"/>
                </w14:gs>
                <w14:gs w14:pos="100000">
                  <w14:srgbClr w14:val="832B2B"/>
                </w14:gs>
              </w14:gsLst>
              <w14:lin w14:ang="0" w14:scaled="0"/>
            </w14:gradFill>
          </w14:textFill>
        </w:rPr>
      </w:pPr>
      <w:r>
        <w:rPr>
          <w:rFonts w:ascii="仿宋_GB2312" w:eastAsia="仿宋_GB2312"/>
          <w:sz w:val="32"/>
          <w:szCs w:val="32"/>
        </w:rPr>
        <w:t>20</w:t>
      </w:r>
      <w:r>
        <w:rPr>
          <w:rFonts w:hint="eastAsia" w:ascii="仿宋_GB2312" w:eastAsia="仿宋_GB2312"/>
          <w:sz w:val="32"/>
          <w:szCs w:val="32"/>
        </w:rPr>
        <w:t>22年，剑阁县供销合作社联合社机关运行经费支出33.42万元，比</w:t>
      </w:r>
      <w:r>
        <w:rPr>
          <w:rFonts w:ascii="仿宋_GB2312" w:eastAsia="仿宋_GB2312"/>
          <w:sz w:val="32"/>
          <w:szCs w:val="32"/>
        </w:rPr>
        <w:t>20</w:t>
      </w:r>
      <w:r>
        <w:rPr>
          <w:rFonts w:hint="eastAsia" w:ascii="仿宋_GB2312" w:eastAsia="仿宋_GB2312"/>
          <w:sz w:val="32"/>
          <w:szCs w:val="32"/>
        </w:rPr>
        <w:t>21年增加1.10万元，增长3.40</w:t>
      </w:r>
      <w:r>
        <w:rPr>
          <w:rFonts w:ascii="仿宋_GB2312" w:eastAsia="仿宋_GB2312"/>
          <w:sz w:val="32"/>
          <w:szCs w:val="32"/>
        </w:rPr>
        <w:t>%</w:t>
      </w:r>
      <w:r>
        <w:rPr>
          <w:rFonts w:hint="eastAsia" w:ascii="仿宋_GB2312" w:eastAsia="仿宋_GB2312"/>
          <w:sz w:val="32"/>
          <w:szCs w:val="32"/>
        </w:rPr>
        <w:t>。主要原因是人员增加，公用经费预算增加。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3"/>
      <w:r>
        <w:rPr>
          <w:rFonts w:hint="eastAsia" w:ascii="仿宋" w:hAnsi="仿宋" w:eastAsia="仿宋"/>
          <w:b/>
          <w:sz w:val="32"/>
          <w:szCs w:val="32"/>
        </w:rPr>
        <w:t>（二）政府采购支出情况</w:t>
      </w:r>
      <w:bookmarkEnd w:id="54"/>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22年，剑阁县供销合作社联合社政府采购支出总额0万元，其中：政府采购货物支出0万元、政府采购工程支出0万元、政府采购服务支出0万元。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5" w:name="_Toc15377224"/>
      <w:r>
        <w:rPr>
          <w:rFonts w:hint="eastAsia" w:ascii="仿宋" w:hAnsi="仿宋" w:eastAsia="仿宋"/>
          <w:b/>
          <w:sz w:val="32"/>
          <w:szCs w:val="32"/>
        </w:rPr>
        <w:t>（三）国有资产占有使用情况</w:t>
      </w:r>
      <w:bookmarkEnd w:id="55"/>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日，剑阁县供销合作社联合社共有车辆0辆，其中：主要领导干部用车0辆、机要通信用车0辆、应急保障用车0辆、其他用车0辆。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eastAsia="仿宋_GB2312"/>
          <w:color w:val="000000"/>
          <w:sz w:val="32"/>
          <w:szCs w:val="32"/>
        </w:rPr>
        <w:t>供销综合改革及发展专项资金1个</w:t>
      </w:r>
      <w:r>
        <w:rPr>
          <w:rFonts w:hint="eastAsia" w:ascii="仿宋_GB2312" w:hAnsi="仿宋_GB2312" w:eastAsia="仿宋_GB2312" w:cs="仿宋_GB2312"/>
          <w:sz w:val="32"/>
          <w:szCs w:val="32"/>
        </w:rPr>
        <w:t>项目开展了预算事前绩效评估，对1个项目编制了绩效目标，预算执行过程中，选取1个项目开展绩效监控，年终执行完毕后，对1个项目开展了绩效自评。同时，本部门对2022年部门整体开展绩效自评，《2022年剑阁县供销合作社联合社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8"/>
          <w:rFonts w:ascii="黑体" w:hAnsi="黑体" w:eastAsia="黑体"/>
          <w:b w:val="0"/>
        </w:rPr>
      </w:pPr>
      <w:bookmarkStart w:id="56" w:name="_Toc15396613"/>
      <w:bookmarkStart w:id="57" w:name="_Toc15377225"/>
      <w:r>
        <w:rPr>
          <w:rFonts w:hint="eastAsia" w:ascii="黑体" w:hAnsi="黑体" w:eastAsia="黑体"/>
          <w:sz w:val="44"/>
          <w:szCs w:val="44"/>
        </w:rPr>
        <w:t>名</w:t>
      </w:r>
      <w:r>
        <w:rPr>
          <w:rStyle w:val="28"/>
          <w:rFonts w:hint="eastAsia" w:ascii="黑体" w:hAnsi="黑体" w:eastAsia="黑体"/>
          <w:b w:val="0"/>
        </w:rPr>
        <w:t>词解释</w:t>
      </w:r>
      <w:bookmarkEnd w:id="56"/>
      <w:bookmarkEnd w:id="57"/>
    </w:p>
    <w:p>
      <w:pPr>
        <w:spacing w:line="600" w:lineRule="exact"/>
        <w:jc w:val="left"/>
        <w:rPr>
          <w:rFonts w:ascii="宋体"/>
          <w:b/>
          <w:sz w:val="44"/>
          <w:szCs w:val="44"/>
        </w:rPr>
      </w:pPr>
    </w:p>
    <w:p>
      <w:pPr>
        <w:spacing w:line="600" w:lineRule="exact"/>
        <w:ind w:firstLine="640"/>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spacing w:line="600" w:lineRule="exact"/>
        <w:ind w:firstLine="640"/>
        <w:rPr>
          <w:rFonts w:ascii="仿宋_GB2312" w:eastAsia="仿宋_GB2312"/>
          <w:sz w:val="32"/>
          <w:szCs w:val="32"/>
        </w:rPr>
      </w:pPr>
      <w:r>
        <w:rPr>
          <w:rFonts w:hint="eastAsia" w:ascii="仿宋_GB2312" w:eastAsia="仿宋_GB2312"/>
          <w:sz w:val="32"/>
          <w:szCs w:val="32"/>
        </w:rPr>
        <w:t xml:space="preserve">2.年初结转和结余：指以前年度尚未完成、结转到本年按有关规定继续使用的资金。 </w:t>
      </w:r>
    </w:p>
    <w:p>
      <w:pPr>
        <w:spacing w:line="600" w:lineRule="exact"/>
        <w:ind w:firstLine="640"/>
        <w:rPr>
          <w:rFonts w:ascii="仿宋_GB2312" w:eastAsia="仿宋_GB2312"/>
          <w:sz w:val="32"/>
          <w:szCs w:val="32"/>
        </w:rPr>
      </w:pPr>
      <w:r>
        <w:rPr>
          <w:rFonts w:hint="eastAsia" w:ascii="仿宋_GB2312" w:eastAsia="仿宋_GB2312"/>
          <w:sz w:val="32"/>
          <w:szCs w:val="32"/>
        </w:rPr>
        <w:t>3.结余分配：指事业单位按照事业单位会计制度的规定从非财政补助结余中分配的事业基金和职工福利基金等。</w:t>
      </w:r>
    </w:p>
    <w:p>
      <w:pPr>
        <w:spacing w:line="600" w:lineRule="exact"/>
        <w:ind w:firstLine="640"/>
        <w:rPr>
          <w:rFonts w:ascii="仿宋_GB2312" w:eastAsia="仿宋_GB2312"/>
          <w:sz w:val="32"/>
          <w:szCs w:val="32"/>
        </w:rPr>
      </w:pPr>
      <w:r>
        <w:rPr>
          <w:rFonts w:hint="eastAsia" w:ascii="仿宋_GB2312" w:eastAsia="仿宋_GB2312"/>
          <w:sz w:val="32"/>
          <w:szCs w:val="32"/>
        </w:rPr>
        <w:t>4、年末结转和结余：指单位按有关规定结转到下年或以后年度继续使用的资金。</w:t>
      </w:r>
    </w:p>
    <w:p>
      <w:pPr>
        <w:spacing w:line="600" w:lineRule="exact"/>
        <w:ind w:firstLine="640"/>
        <w:rPr>
          <w:rFonts w:ascii="仿宋_GB2312" w:eastAsia="仿宋_GB2312"/>
          <w:sz w:val="32"/>
          <w:szCs w:val="32"/>
        </w:rPr>
      </w:pPr>
      <w:r>
        <w:rPr>
          <w:rFonts w:hint="eastAsia" w:ascii="仿宋_GB2312" w:eastAsia="仿宋_GB2312"/>
          <w:sz w:val="32"/>
          <w:szCs w:val="32"/>
        </w:rPr>
        <w:t>5.商业服务业等（类）商业流通（款）行政运行（项），指机关及参公管理事业单位用于保障机构正常运行、开展日常工作的基本支出；商业服务业等（类）商业流通（款）一般行政管理（项），指县级机关及参公管理事业单位开展财政综合业务、预决算编审等商业流通事务管理工作的项目支出；商业服务业等（类）商业流通（款）其他商业流通事务支出（项），反映除上述项目以外其他事务方面的支出。</w:t>
      </w:r>
    </w:p>
    <w:p>
      <w:pPr>
        <w:spacing w:line="600" w:lineRule="exact"/>
        <w:ind w:firstLine="640"/>
        <w:rPr>
          <w:rFonts w:ascii="仿宋_GB2312" w:eastAsia="仿宋_GB2312"/>
          <w:sz w:val="32"/>
          <w:szCs w:val="32"/>
        </w:rPr>
      </w:pPr>
      <w:r>
        <w:rPr>
          <w:rFonts w:hint="eastAsia" w:ascii="仿宋_GB2312" w:eastAsia="仿宋_GB2312"/>
          <w:sz w:val="32"/>
          <w:szCs w:val="32"/>
        </w:rPr>
        <w:t>6.社会保障和就业（类）行政事业单位养老（款）行政单位离退休（项），反映实行归口管理的行政单位开支的离退休经费；社会保障和就业（类）行政事业单位养老（款）机关事业单位基本养老保险缴费（项），反映机关事业单位实施养老保险制度由单位缴纳的基本养老保险支出。</w:t>
      </w:r>
    </w:p>
    <w:p>
      <w:pPr>
        <w:spacing w:line="600" w:lineRule="exact"/>
        <w:ind w:firstLine="640"/>
        <w:rPr>
          <w:rFonts w:ascii="仿宋_GB2312" w:eastAsia="仿宋_GB2312"/>
          <w:sz w:val="32"/>
          <w:szCs w:val="32"/>
        </w:rPr>
      </w:pPr>
      <w:r>
        <w:rPr>
          <w:rFonts w:hint="eastAsia" w:ascii="仿宋_GB2312" w:eastAsia="仿宋_GB2312"/>
          <w:sz w:val="32"/>
          <w:szCs w:val="32"/>
        </w:rPr>
        <w:t>7.医疗卫生与计划生育（类）行政事业单位医疗（款）行政单位医疗（项），反映财政部门集中安排的行政单位基本医疗保险缴费经费，未参加医疗保险的行政单位的公费医疗经费</w:t>
      </w:r>
      <w:r>
        <w:rPr>
          <w:rFonts w:hint="eastAsia" w:ascii="仿宋_GB2312" w:eastAsia="仿宋_GB2312"/>
          <w:sz w:val="32"/>
          <w:szCs w:val="32"/>
          <w:lang w:eastAsia="zh-CN"/>
        </w:rPr>
        <w:t>，按国家规定</w:t>
      </w:r>
      <w:r>
        <w:rPr>
          <w:rFonts w:hint="eastAsia" w:ascii="仿宋_GB2312" w:eastAsia="仿宋_GB2312"/>
          <w:sz w:val="32"/>
          <w:szCs w:val="32"/>
        </w:rPr>
        <w:t>享受离休人员、红军老战士待遇人员的医疗纠纷。</w:t>
      </w:r>
    </w:p>
    <w:p>
      <w:pPr>
        <w:spacing w:line="600" w:lineRule="exact"/>
        <w:ind w:firstLine="640"/>
        <w:rPr>
          <w:rFonts w:ascii="仿宋_GB2312" w:eastAsia="仿宋_GB2312"/>
          <w:sz w:val="32"/>
          <w:szCs w:val="32"/>
        </w:rPr>
      </w:pPr>
      <w:r>
        <w:rPr>
          <w:rFonts w:hint="eastAsia" w:ascii="仿宋_GB2312" w:eastAsia="仿宋_GB2312"/>
          <w:sz w:val="32"/>
          <w:szCs w:val="32"/>
        </w:rPr>
        <w:t>8.住房保障（类）住房改革（款）住房公积金（项），反映行政事业单位按人力资源和社会保障部、财政部规定的基本工资和津贴补贴以及规定比例为职工缴纳的住房公积金。</w:t>
      </w:r>
    </w:p>
    <w:p>
      <w:pPr>
        <w:spacing w:after="120"/>
        <w:ind w:left="420" w:leftChars="200" w:firstLine="640" w:firstLineChars="200"/>
        <w:rPr>
          <w:rFonts w:ascii="仿宋_GB2312" w:eastAsia="仿宋_GB2312"/>
          <w:szCs w:val="32"/>
        </w:rPr>
      </w:pPr>
      <w:r>
        <w:rPr>
          <w:rFonts w:hint="eastAsia" w:ascii="仿宋_GB2312" w:eastAsia="仿宋_GB2312"/>
          <w:sz w:val="32"/>
          <w:szCs w:val="32"/>
        </w:rPr>
        <w:t>9.农林水（类）其他农林水（款）其他农林水（项）</w:t>
      </w:r>
      <w:r>
        <w:rPr>
          <w:rFonts w:hint="eastAsia" w:ascii="仿宋_GB2312" w:eastAsia="仿宋_GB2312"/>
          <w:sz w:val="32"/>
          <w:szCs w:val="32"/>
          <w:lang w:eastAsia="zh-CN"/>
        </w:rPr>
        <w:t>：</w:t>
      </w:r>
      <w:r>
        <w:rPr>
          <w:rFonts w:hint="eastAsia" w:ascii="仿宋_GB2312" w:eastAsia="仿宋_GB2312"/>
          <w:sz w:val="32"/>
          <w:szCs w:val="32"/>
        </w:rPr>
        <w:t>指反映除化解债务支出以外的其他用于农林水方面的支出。</w:t>
      </w:r>
    </w:p>
    <w:p>
      <w:pPr>
        <w:spacing w:line="600" w:lineRule="exact"/>
        <w:ind w:firstLine="640"/>
        <w:rPr>
          <w:rFonts w:ascii="仿宋_GB2312" w:eastAsia="仿宋_GB2312"/>
          <w:sz w:val="32"/>
          <w:szCs w:val="32"/>
        </w:rPr>
      </w:pPr>
      <w:r>
        <w:rPr>
          <w:rFonts w:hint="eastAsia" w:ascii="仿宋_GB2312" w:eastAsia="仿宋_GB2312"/>
          <w:sz w:val="32"/>
          <w:szCs w:val="32"/>
        </w:rPr>
        <w:t>10.基本支出：指为保障机构正常运转、完成日常工作任务而发生的人员支出和公用支出。</w:t>
      </w:r>
    </w:p>
    <w:p>
      <w:pPr>
        <w:spacing w:line="600" w:lineRule="exact"/>
        <w:ind w:firstLine="640"/>
        <w:rPr>
          <w:rFonts w:ascii="仿宋_GB2312" w:eastAsia="仿宋_GB2312"/>
          <w:sz w:val="32"/>
          <w:szCs w:val="32"/>
        </w:rPr>
      </w:pPr>
      <w:r>
        <w:rPr>
          <w:rFonts w:hint="eastAsia" w:ascii="仿宋_GB2312" w:eastAsia="仿宋_GB2312"/>
          <w:sz w:val="32"/>
          <w:szCs w:val="32"/>
        </w:rPr>
        <w:t xml:space="preserve">11.项目支出：指在基本支出之外为完成特定行政任务和事业发展目标所发生的支出。 </w:t>
      </w:r>
    </w:p>
    <w:p>
      <w:pPr>
        <w:spacing w:line="600" w:lineRule="exact"/>
        <w:ind w:firstLine="640"/>
        <w:rPr>
          <w:rFonts w:ascii="仿宋_GB2312" w:eastAsia="仿宋_GB2312"/>
          <w:sz w:val="32"/>
          <w:szCs w:val="32"/>
        </w:rPr>
      </w:pPr>
      <w:r>
        <w:rPr>
          <w:rFonts w:hint="eastAsia" w:ascii="仿宋_GB2312" w:eastAsia="仿宋_GB2312"/>
          <w:sz w:val="32"/>
          <w:szCs w:val="32"/>
        </w:rPr>
        <w:t>12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保险费等支出；公务接待费反映单位按规定开支的各类公务接待（含外宾接待）支出。</w:t>
      </w:r>
    </w:p>
    <w:p>
      <w:pPr>
        <w:autoSpaceDE w:val="0"/>
        <w:autoSpaceDN w:val="0"/>
        <w:adjustRightInd w:val="0"/>
        <w:spacing w:line="560" w:lineRule="exact"/>
        <w:ind w:firstLine="640" w:firstLineChars="200"/>
        <w:jc w:val="left"/>
        <w:rPr>
          <w:rFonts w:ascii="仿宋_GB2312" w:hAnsi="Calibri" w:eastAsia="仿宋_GB2312" w:cs="仿宋"/>
          <w:kern w:val="0"/>
          <w:sz w:val="32"/>
          <w:szCs w:val="32"/>
        </w:rPr>
      </w:pPr>
      <w:r>
        <w:rPr>
          <w:rFonts w:hint="eastAsia" w:ascii="仿宋_GB2312" w:hAnsi="Calibri" w:eastAsia="仿宋_GB2312" w:cs="仿宋"/>
          <w:kern w:val="0"/>
          <w:sz w:val="32"/>
          <w:szCs w:val="32"/>
        </w:rPr>
        <w:t>13.机关运行经费：为保障行政单位（含参照公务员法管理的事业单位）运行用于购买货物和服务的各项资金，包括办公及印刷费、咨询费、水费、电费、邮电费、差旅费、维修（护）费、会议费、公务接待费、劳务费、工会经费、福利费以及其他费用。</w:t>
      </w:r>
    </w:p>
    <w:p>
      <w:pPr>
        <w:spacing w:line="600" w:lineRule="exact"/>
        <w:jc w:val="center"/>
        <w:outlineLvl w:val="0"/>
        <w:rPr>
          <w:rStyle w:val="28"/>
          <w:rFonts w:ascii="黑体" w:hAnsi="黑体" w:eastAsia="黑体"/>
          <w:b w:val="0"/>
        </w:rPr>
      </w:pPr>
      <w:bookmarkStart w:id="58" w:name="_Toc15377226"/>
      <w:r>
        <w:rPr>
          <w:rFonts w:ascii="宋体"/>
          <w:b/>
          <w:sz w:val="44"/>
          <w:szCs w:val="44"/>
        </w:rPr>
        <w:br w:type="page"/>
      </w:r>
      <w:bookmarkStart w:id="59" w:name="_Toc15396614"/>
      <w:r>
        <w:rPr>
          <w:rFonts w:hint="eastAsia" w:ascii="黑体" w:hAnsi="黑体" w:eastAsia="黑体"/>
          <w:sz w:val="44"/>
          <w:szCs w:val="44"/>
        </w:rPr>
        <w:t>第</w:t>
      </w:r>
      <w:r>
        <w:rPr>
          <w:rStyle w:val="28"/>
          <w:rFonts w:hint="eastAsia" w:ascii="黑体" w:hAnsi="黑体" w:eastAsia="黑体"/>
          <w:b w:val="0"/>
        </w:rPr>
        <w:t>四部分 附件</w:t>
      </w:r>
      <w:bookmarkEnd w:id="59"/>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w:t>
      </w:r>
      <w:r>
        <w:rPr>
          <w:rFonts w:ascii="宋体" w:hAnsi="宋体"/>
          <w:b/>
          <w:sz w:val="32"/>
          <w:szCs w:val="32"/>
          <w:shd w:val="clear" w:color="auto" w:fill="FFFFFF"/>
        </w:rPr>
        <w:t>2</w:t>
      </w:r>
      <w:r>
        <w:rPr>
          <w:rFonts w:hint="eastAsia" w:ascii="宋体" w:hAnsi="宋体"/>
          <w:b/>
          <w:sz w:val="32"/>
          <w:szCs w:val="32"/>
          <w:shd w:val="clear" w:color="auto" w:fill="FFFFFF"/>
        </w:rPr>
        <w:t>年省级部门整体绩效评价报告范本</w:t>
      </w:r>
    </w:p>
    <w:p>
      <w:pPr>
        <w:widowControl/>
        <w:spacing w:line="560" w:lineRule="exact"/>
        <w:contextualSpacing/>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（报告范围包括机关和下属单位）</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widowControl/>
        <w:numPr>
          <w:ilvl w:val="0"/>
          <w:numId w:val="4"/>
        </w:numPr>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lang w:val="zh-CN"/>
        </w:rPr>
        <w:t>部门（单位）基本情况</w:t>
      </w:r>
    </w:p>
    <w:p>
      <w:pPr>
        <w:pStyle w:val="27"/>
        <w:widowControl/>
        <w:numPr>
          <w:ilvl w:val="0"/>
          <w:numId w:val="5"/>
        </w:numPr>
        <w:adjustRightInd w:val="0"/>
        <w:snapToGrid w:val="0"/>
        <w:spacing w:line="560" w:lineRule="exact"/>
        <w:ind w:firstLineChars="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机构组成。</w:t>
      </w:r>
    </w:p>
    <w:p>
      <w:pPr>
        <w:spacing w:line="576" w:lineRule="exact"/>
        <w:ind w:firstLine="640" w:firstLineChars="200"/>
        <w:rPr>
          <w:lang w:val="zh-CN"/>
        </w:rPr>
      </w:pPr>
      <w:r>
        <w:rPr>
          <w:rFonts w:hint="eastAsia" w:ascii="仿宋" w:hAnsi="仿宋" w:eastAsia="仿宋" w:cs="仿宋"/>
          <w:bCs/>
          <w:color w:val="000000"/>
          <w:sz w:val="32"/>
          <w:szCs w:val="32"/>
        </w:rPr>
        <w:t>剑阁县供销合作社联合社为正科级单位，下属二级单位0个，其中行政单位0个，参照公务员法管理的事业单位0个，其他事业单位0个。</w:t>
      </w:r>
    </w:p>
    <w:p>
      <w:pPr>
        <w:pStyle w:val="27"/>
        <w:widowControl/>
        <w:numPr>
          <w:ilvl w:val="0"/>
          <w:numId w:val="5"/>
        </w:numPr>
        <w:adjustRightInd w:val="0"/>
        <w:snapToGrid w:val="0"/>
        <w:spacing w:line="560" w:lineRule="exact"/>
        <w:ind w:firstLineChars="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机构职能和人员概况。</w:t>
      </w:r>
    </w:p>
    <w:p>
      <w:pPr>
        <w:pStyle w:val="7"/>
        <w:spacing w:before="93"/>
        <w:ind w:firstLine="640" w:firstLineChars="200"/>
        <w:rPr>
          <w:rFonts w:ascii="仿宋" w:hAnsi="仿宋" w:eastAsia="仿宋"/>
          <w:bCs/>
          <w:sz w:val="32"/>
          <w:szCs w:val="32"/>
        </w:rPr>
      </w:pPr>
      <w:bookmarkStart w:id="60" w:name="_Hlk147844320"/>
      <w:r>
        <w:rPr>
          <w:rFonts w:hint="eastAsia" w:ascii="仿宋" w:hAnsi="仿宋" w:eastAsia="仿宋"/>
          <w:bCs/>
          <w:sz w:val="32"/>
          <w:szCs w:val="32"/>
        </w:rPr>
        <w:t>1</w:t>
      </w:r>
      <w:r>
        <w:rPr>
          <w:rFonts w:ascii="仿宋" w:hAnsi="仿宋" w:eastAsia="仿宋"/>
          <w:bCs/>
          <w:sz w:val="32"/>
          <w:szCs w:val="32"/>
        </w:rPr>
        <w:t>.</w:t>
      </w:r>
      <w:r>
        <w:rPr>
          <w:rFonts w:hint="eastAsia" w:ascii="仿宋" w:hAnsi="仿宋" w:eastAsia="仿宋"/>
          <w:bCs/>
          <w:sz w:val="32"/>
          <w:szCs w:val="32"/>
        </w:rPr>
        <w:t>机构职能</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（1）宣传贯彻落实中央、省、市、县有关农村经济工作和社会发展的方</w:t>
      </w:r>
      <w:bookmarkEnd w:id="60"/>
      <w:r>
        <w:rPr>
          <w:rFonts w:hint="eastAsia" w:ascii="仿宋" w:hAnsi="仿宋" w:eastAsia="仿宋"/>
          <w:bCs/>
          <w:kern w:val="0"/>
          <w:sz w:val="32"/>
          <w:szCs w:val="32"/>
        </w:rPr>
        <w:t>针、政策和决策部署。</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（2）研究制定全县供销合作社发展规划；指导全县供销合作社的综合改革和高质量发展，加快体制、机制创新，探索社会主义市场经济条件下合作经济的多种实现形式。</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lang w:eastAsia="zh-CN"/>
        </w:rPr>
        <w:t>（3）</w:t>
      </w:r>
      <w:r>
        <w:rPr>
          <w:rFonts w:hint="eastAsia" w:ascii="仿宋" w:hAnsi="仿宋" w:eastAsia="仿宋"/>
          <w:bCs/>
          <w:kern w:val="0"/>
          <w:sz w:val="32"/>
          <w:szCs w:val="32"/>
        </w:rPr>
        <w:t>承担对全县供销系统重要农业生产资料、废旧物资、农副产品的经营管理工作；参与组织、储备、调运有关救灾物资工作。</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（4）协调同政府有关部门、社会组织的关系，研究扶持农村合作经济发展的政策性建议，了解、反映农民群众和农村新型经营主体的意见和要求，维护农民合作经济组织的合法权益。</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（5）服务乡村振兴战略。指导全县供销系统推进农业农村现代化建设，促进</w:t>
      </w:r>
      <w:r>
        <w:rPr>
          <w:rFonts w:hint="eastAsia" w:ascii="仿宋" w:hAnsi="仿宋" w:eastAsia="仿宋"/>
          <w:bCs/>
          <w:kern w:val="0"/>
          <w:sz w:val="32"/>
          <w:szCs w:val="32"/>
          <w:lang w:eastAsia="zh-CN"/>
        </w:rPr>
        <w:t>一、二、三产业</w:t>
      </w:r>
      <w:r>
        <w:rPr>
          <w:rFonts w:hint="eastAsia" w:ascii="仿宋" w:hAnsi="仿宋" w:eastAsia="仿宋"/>
          <w:bCs/>
          <w:kern w:val="0"/>
          <w:sz w:val="32"/>
          <w:szCs w:val="32"/>
        </w:rPr>
        <w:t>融合发展；发挥供销社行业特点，参与农村人居环境整治、农业面源污染治理、先进乡镇和示范村建设，构建农村现代流通体系，推动小农户与现代农业有机衔接，指导农村金融互助、消费、生产、供销等合作社发展，帮助农民提高收入水平。</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（6）围绕建立和完善农业社会化服务体系，做好农业、农村、农民服务工作，指导发展土地托管、电子商务、农村现代物流等新型业务，引导农民发展商品生产，搞活农村商品流通。</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（7）指导全县供销系统组织建设，发展新型基层供销合作社，密切与农民利益联系，组织发展农民专业合作社、农村社区综合服务社等农村基层经营服务组织，发挥联合合作优势。</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（8）监督和管理社有资产，把握社有企业发展方向。履行本级社社有资产出资人代表职责，优化社有资本布局，促进社有资产保值增值。</w:t>
      </w:r>
    </w:p>
    <w:p>
      <w:pPr>
        <w:adjustRightInd w:val="0"/>
        <w:snapToGrid w:val="0"/>
        <w:spacing w:before="93" w:beforeLines="30" w:line="600" w:lineRule="exact"/>
        <w:ind w:firstLine="672" w:firstLineChars="210"/>
        <w:outlineLvl w:val="2"/>
        <w:rPr>
          <w:rFonts w:ascii="仿宋" w:hAnsi="仿宋" w:eastAsia="仿宋"/>
          <w:bCs/>
          <w:kern w:val="0"/>
          <w:sz w:val="32"/>
          <w:szCs w:val="32"/>
        </w:rPr>
      </w:pPr>
      <w:r>
        <w:rPr>
          <w:rFonts w:hint="eastAsia" w:ascii="仿宋" w:hAnsi="仿宋" w:eastAsia="仿宋"/>
          <w:bCs/>
          <w:kern w:val="0"/>
          <w:sz w:val="32"/>
          <w:szCs w:val="32"/>
        </w:rPr>
        <w:t>（9）发挥合作经济组织联合会作用，参与、协调农村合作经济组织技术交流与对外合作工作。</w:t>
      </w:r>
    </w:p>
    <w:p>
      <w:pPr>
        <w:widowControl/>
        <w:adjustRightInd w:val="0"/>
        <w:snapToGrid w:val="0"/>
        <w:spacing w:line="560" w:lineRule="exact"/>
        <w:ind w:firstLine="640" w:firstLineChars="200"/>
        <w:contextualSpacing/>
        <w:jc w:val="left"/>
        <w:rPr>
          <w:rFonts w:ascii="仿宋" w:hAnsi="仿宋" w:eastAsia="仿宋"/>
          <w:bCs/>
          <w:sz w:val="32"/>
          <w:szCs w:val="32"/>
        </w:rPr>
      </w:pPr>
      <w:r>
        <w:rPr>
          <w:rFonts w:hint="eastAsia" w:ascii="仿宋" w:hAnsi="仿宋" w:eastAsia="仿宋"/>
          <w:bCs/>
          <w:sz w:val="32"/>
          <w:szCs w:val="32"/>
        </w:rPr>
        <w:t>（1</w:t>
      </w:r>
      <w:r>
        <w:rPr>
          <w:rFonts w:ascii="仿宋" w:hAnsi="仿宋" w:eastAsia="仿宋"/>
          <w:bCs/>
          <w:sz w:val="32"/>
          <w:szCs w:val="32"/>
        </w:rPr>
        <w:t>0</w:t>
      </w:r>
      <w:r>
        <w:rPr>
          <w:rFonts w:hint="eastAsia" w:ascii="仿宋" w:hAnsi="仿宋" w:eastAsia="仿宋"/>
          <w:bCs/>
          <w:sz w:val="32"/>
          <w:szCs w:val="32"/>
        </w:rPr>
        <w:t>）完成县委、县政府交办的其他任务。</w:t>
      </w:r>
    </w:p>
    <w:p>
      <w:pPr>
        <w:pStyle w:val="7"/>
        <w:spacing w:before="93"/>
        <w:ind w:firstLine="600" w:firstLineChars="200"/>
      </w:pPr>
      <w:r>
        <w:t>2</w:t>
      </w:r>
      <w:r>
        <w:rPr>
          <w:rFonts w:hint="eastAsia"/>
        </w:rPr>
        <w:t>.人员概况</w:t>
      </w:r>
    </w:p>
    <w:p>
      <w:pPr>
        <w:ind w:firstLine="640" w:firstLineChars="200"/>
        <w:rPr>
          <w:lang w:val="zh-CN"/>
        </w:rPr>
      </w:pPr>
      <w:r>
        <w:rPr>
          <w:rFonts w:hint="eastAsia" w:ascii="仿宋" w:hAnsi="仿宋" w:eastAsia="仿宋"/>
          <w:color w:val="000000"/>
          <w:kern w:val="0"/>
          <w:sz w:val="32"/>
          <w:szCs w:val="32"/>
        </w:rPr>
        <w:t>剑阁县供销合作社联合社总编制19名，其中行政编制18名，机关工勤编制1名。202</w:t>
      </w:r>
      <w:r>
        <w:rPr>
          <w:rFonts w:ascii="仿宋" w:hAnsi="仿宋" w:eastAsia="仿宋"/>
          <w:color w:val="000000"/>
          <w:kern w:val="0"/>
          <w:sz w:val="32"/>
          <w:szCs w:val="32"/>
        </w:rPr>
        <w:t>2</w:t>
      </w:r>
      <w:r>
        <w:rPr>
          <w:rFonts w:hint="eastAsia" w:ascii="仿宋" w:hAnsi="仿宋" w:eastAsia="仿宋"/>
          <w:color w:val="000000"/>
          <w:kern w:val="0"/>
          <w:sz w:val="32"/>
          <w:szCs w:val="32"/>
        </w:rPr>
        <w:t>年底在职人员总数1</w:t>
      </w:r>
      <w:r>
        <w:rPr>
          <w:rFonts w:ascii="仿宋" w:hAnsi="仿宋" w:eastAsia="仿宋"/>
          <w:color w:val="000000"/>
          <w:kern w:val="0"/>
          <w:sz w:val="32"/>
          <w:szCs w:val="32"/>
        </w:rPr>
        <w:t>8</w:t>
      </w:r>
      <w:r>
        <w:rPr>
          <w:rFonts w:hint="eastAsia" w:ascii="仿宋" w:hAnsi="仿宋" w:eastAsia="仿宋"/>
          <w:color w:val="000000"/>
          <w:kern w:val="0"/>
          <w:sz w:val="32"/>
          <w:szCs w:val="32"/>
        </w:rPr>
        <w:t>人，其中行政人员1</w:t>
      </w:r>
      <w:r>
        <w:rPr>
          <w:rFonts w:ascii="仿宋" w:hAnsi="仿宋" w:eastAsia="仿宋"/>
          <w:color w:val="000000"/>
          <w:kern w:val="0"/>
          <w:sz w:val="32"/>
          <w:szCs w:val="32"/>
        </w:rPr>
        <w:t>7</w:t>
      </w:r>
      <w:r>
        <w:rPr>
          <w:rFonts w:hint="eastAsia" w:ascii="仿宋" w:hAnsi="仿宋" w:eastAsia="仿宋"/>
          <w:color w:val="000000"/>
          <w:kern w:val="0"/>
          <w:sz w:val="32"/>
          <w:szCs w:val="32"/>
        </w:rPr>
        <w:t>人，机关工勤人员1人。</w:t>
      </w:r>
    </w:p>
    <w:p>
      <w:pPr>
        <w:pStyle w:val="27"/>
        <w:widowControl/>
        <w:numPr>
          <w:ilvl w:val="0"/>
          <w:numId w:val="5"/>
        </w:numPr>
        <w:adjustRightInd w:val="0"/>
        <w:snapToGrid w:val="0"/>
        <w:spacing w:line="560" w:lineRule="exact"/>
        <w:ind w:firstLineChars="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年度主要工作任务。</w:t>
      </w:r>
    </w:p>
    <w:p>
      <w:pPr>
        <w:pStyle w:val="7"/>
        <w:spacing w:before="93"/>
        <w:ind w:firstLine="640" w:firstLineChars="200"/>
        <w:rPr>
          <w:rFonts w:ascii="仿宋" w:hAnsi="仿宋" w:eastAsia="仿宋"/>
          <w:color w:val="000000"/>
          <w:sz w:val="32"/>
          <w:szCs w:val="32"/>
        </w:rPr>
      </w:pPr>
      <w:r>
        <w:rPr>
          <w:rFonts w:hint="eastAsia" w:ascii="仿宋" w:hAnsi="仿宋" w:eastAsia="仿宋"/>
          <w:color w:val="000000"/>
          <w:sz w:val="32"/>
          <w:szCs w:val="32"/>
        </w:rPr>
        <w:t>持续深化供销社综合改革，全年建成基层社示范社4个，建成村级供销社3个，培育建成星级农村综合服务社3个，开门开放办社1个；增强为农服务能力，大力开展农业社会化服务，土地全托管面积达到 2.5 万亩，配方施肥、统防统治、农机作业面积达到 5 万亩次；持续推进供销综合改革，落实“三会”制度，做实一办三中心；完成固定资产投资5000万元。</w:t>
      </w:r>
    </w:p>
    <w:p>
      <w:pPr>
        <w:pStyle w:val="27"/>
        <w:widowControl/>
        <w:numPr>
          <w:ilvl w:val="0"/>
          <w:numId w:val="5"/>
        </w:numPr>
        <w:adjustRightInd w:val="0"/>
        <w:snapToGrid w:val="0"/>
        <w:spacing w:line="560" w:lineRule="exact"/>
        <w:ind w:firstLineChars="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部门整体支出绩效目标。</w:t>
      </w:r>
    </w:p>
    <w:p>
      <w:pPr>
        <w:pStyle w:val="7"/>
        <w:spacing w:before="93"/>
        <w:ind w:firstLine="640" w:firstLineChars="200"/>
        <w:rPr>
          <w:rFonts w:ascii="仿宋" w:hAnsi="仿宋" w:eastAsia="仿宋"/>
          <w:color w:val="000000"/>
          <w:sz w:val="32"/>
          <w:szCs w:val="32"/>
        </w:rPr>
      </w:pPr>
      <w:r>
        <w:rPr>
          <w:rFonts w:hint="eastAsia" w:ascii="仿宋" w:hAnsi="仿宋" w:eastAsia="仿宋"/>
          <w:color w:val="000000"/>
          <w:sz w:val="32"/>
          <w:szCs w:val="32"/>
        </w:rPr>
        <w:t>全面深化改革，完善联合社机关主导的行业指导体系和社有企业支撑的经营服务体系，形成社企公开、上下贯通、整体协调运转的双线运行机制；加快建设</w:t>
      </w:r>
      <w:r>
        <w:rPr>
          <w:rFonts w:hint="eastAsia" w:ascii="仿宋" w:hAnsi="仿宋" w:eastAsia="仿宋"/>
          <w:color w:val="000000"/>
          <w:sz w:val="32"/>
          <w:szCs w:val="32"/>
          <w:lang w:eastAsia="zh-CN"/>
        </w:rPr>
        <w:t>权责</w:t>
      </w:r>
      <w:r>
        <w:rPr>
          <w:rFonts w:hint="eastAsia" w:ascii="仿宋" w:hAnsi="仿宋" w:eastAsia="仿宋"/>
          <w:color w:val="000000"/>
          <w:sz w:val="32"/>
          <w:szCs w:val="32"/>
        </w:rPr>
        <w:t>明确，运转高效，富有活力的联合社机关；加快建设面向农民，综合服务，立足市场，兼具公益的供销合作基层组织。通过综合改革，全力推动供销合作社由流通服务向全程农业现代化服务延伸，向全方位城乡社区服务拓展，成为服务农民生产生活的主力军和综合平台。到202</w:t>
      </w:r>
      <w:r>
        <w:rPr>
          <w:rFonts w:ascii="仿宋" w:hAnsi="仿宋" w:eastAsia="仿宋"/>
          <w:color w:val="000000"/>
          <w:sz w:val="32"/>
          <w:szCs w:val="32"/>
        </w:rPr>
        <w:t>3</w:t>
      </w:r>
      <w:r>
        <w:rPr>
          <w:rFonts w:hint="eastAsia" w:ascii="仿宋" w:hAnsi="仿宋" w:eastAsia="仿宋"/>
          <w:color w:val="000000"/>
          <w:sz w:val="32"/>
          <w:szCs w:val="32"/>
        </w:rPr>
        <w:t>年，全县重点构建起农业生产服务、农产品流通服务、城乡社区综合服务、农村合作金融服务四大服务体系，做大做强农资、农副产品、日用消费品、再生资源回收、电子商务、合作金融等产业。县供销社联合社机构健全，运转规范，普遍建立起农业社会化服务平台；乡镇供销合作社实现全覆盖，乡镇普遍建立起农村综合服务平台。</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pStyle w:val="2"/>
        <w:ind w:left="420" w:firstLine="640"/>
        <w:rPr>
          <w:rFonts w:ascii="仿宋" w:hAnsi="仿宋" w:eastAsia="仿宋"/>
          <w:color w:val="000000"/>
          <w:kern w:val="0"/>
          <w:sz w:val="32"/>
          <w:lang w:val="zh-CN"/>
        </w:rPr>
      </w:pPr>
      <w:r>
        <w:rPr>
          <w:rFonts w:hint="eastAsia" w:ascii="仿宋" w:hAnsi="仿宋" w:eastAsia="仿宋"/>
          <w:color w:val="000000"/>
          <w:kern w:val="0"/>
          <w:sz w:val="32"/>
          <w:lang w:val="zh-CN"/>
        </w:rPr>
        <w:t>202</w:t>
      </w:r>
      <w:r>
        <w:rPr>
          <w:rFonts w:hint="eastAsia" w:ascii="仿宋" w:hAnsi="仿宋" w:eastAsia="仿宋"/>
          <w:color w:val="000000"/>
          <w:kern w:val="0"/>
          <w:sz w:val="32"/>
        </w:rPr>
        <w:t>2</w:t>
      </w:r>
      <w:r>
        <w:rPr>
          <w:rFonts w:hint="eastAsia" w:ascii="仿宋" w:hAnsi="仿宋" w:eastAsia="仿宋"/>
          <w:color w:val="000000"/>
          <w:kern w:val="0"/>
          <w:sz w:val="32"/>
          <w:lang w:val="zh-CN"/>
        </w:rPr>
        <w:t>年全年财政拨款收入</w:t>
      </w:r>
      <w:r>
        <w:rPr>
          <w:rFonts w:hint="eastAsia" w:ascii="仿宋" w:hAnsi="仿宋" w:eastAsia="仿宋"/>
          <w:color w:val="000000"/>
          <w:kern w:val="0"/>
          <w:sz w:val="32"/>
        </w:rPr>
        <w:t>357.26</w:t>
      </w:r>
      <w:r>
        <w:rPr>
          <w:rFonts w:hint="eastAsia" w:ascii="仿宋" w:hAnsi="仿宋" w:eastAsia="仿宋"/>
          <w:color w:val="000000"/>
          <w:kern w:val="0"/>
          <w:sz w:val="32"/>
          <w:lang w:val="zh-CN"/>
        </w:rPr>
        <w:t>万元，包括人员公用经费收入</w:t>
      </w:r>
      <w:r>
        <w:rPr>
          <w:rFonts w:hint="eastAsia" w:ascii="仿宋" w:hAnsi="仿宋" w:eastAsia="仿宋"/>
          <w:color w:val="000000"/>
          <w:kern w:val="0"/>
          <w:sz w:val="32"/>
        </w:rPr>
        <w:t>50.66</w:t>
      </w:r>
      <w:r>
        <w:rPr>
          <w:rFonts w:hint="eastAsia" w:ascii="仿宋" w:hAnsi="仿宋" w:eastAsia="仿宋"/>
          <w:color w:val="000000"/>
          <w:kern w:val="0"/>
          <w:sz w:val="32"/>
          <w:lang w:val="zh-CN"/>
        </w:rPr>
        <w:t>万元，项目经费收入</w:t>
      </w:r>
      <w:r>
        <w:rPr>
          <w:rFonts w:hint="eastAsia" w:ascii="仿宋" w:hAnsi="仿宋" w:eastAsia="仿宋"/>
          <w:color w:val="000000"/>
          <w:kern w:val="0"/>
          <w:sz w:val="32"/>
        </w:rPr>
        <w:t>306.60</w:t>
      </w:r>
      <w:r>
        <w:rPr>
          <w:rFonts w:hint="eastAsia" w:ascii="仿宋" w:hAnsi="仿宋" w:eastAsia="仿宋"/>
          <w:color w:val="000000"/>
          <w:kern w:val="0"/>
          <w:sz w:val="32"/>
          <w:lang w:val="zh-CN"/>
        </w:rPr>
        <w:t>万元。</w:t>
      </w:r>
    </w:p>
    <w:p>
      <w:pPr>
        <w:widowControl/>
        <w:adjustRightInd w:val="0"/>
        <w:snapToGrid w:val="0"/>
        <w:spacing w:line="572" w:lineRule="exact"/>
        <w:ind w:left="420" w:left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（二）部门财政资金支出情况。</w:t>
      </w:r>
    </w:p>
    <w:p>
      <w:pPr>
        <w:pStyle w:val="2"/>
        <w:ind w:left="420" w:firstLine="640"/>
        <w:rPr>
          <w:rFonts w:ascii="仿宋" w:hAnsi="仿宋" w:eastAsia="仿宋"/>
          <w:color w:val="000000"/>
          <w:kern w:val="0"/>
          <w:sz w:val="32"/>
          <w:lang w:val="zh-CN"/>
        </w:rPr>
      </w:pPr>
      <w:r>
        <w:rPr>
          <w:rFonts w:hint="eastAsia" w:ascii="仿宋" w:hAnsi="仿宋" w:eastAsia="仿宋"/>
          <w:color w:val="000000"/>
          <w:kern w:val="0"/>
          <w:sz w:val="32"/>
          <w:lang w:val="zh-CN"/>
        </w:rPr>
        <w:t>202</w:t>
      </w:r>
      <w:r>
        <w:rPr>
          <w:rFonts w:hint="eastAsia" w:ascii="仿宋" w:hAnsi="仿宋" w:eastAsia="仿宋"/>
          <w:color w:val="000000"/>
          <w:kern w:val="0"/>
          <w:sz w:val="32"/>
        </w:rPr>
        <w:t>2</w:t>
      </w:r>
      <w:r>
        <w:rPr>
          <w:rFonts w:hint="eastAsia" w:ascii="仿宋" w:hAnsi="仿宋" w:eastAsia="仿宋"/>
          <w:color w:val="000000"/>
          <w:kern w:val="0"/>
          <w:sz w:val="32"/>
          <w:lang w:val="zh-CN"/>
        </w:rPr>
        <w:t>年全年财政资金支出</w:t>
      </w:r>
      <w:r>
        <w:rPr>
          <w:rFonts w:hint="eastAsia" w:ascii="仿宋" w:hAnsi="仿宋" w:eastAsia="仿宋"/>
          <w:color w:val="000000"/>
          <w:kern w:val="0"/>
          <w:sz w:val="32"/>
        </w:rPr>
        <w:t>516.26</w:t>
      </w:r>
      <w:r>
        <w:rPr>
          <w:rFonts w:hint="eastAsia" w:ascii="仿宋" w:hAnsi="仿宋" w:eastAsia="仿宋"/>
          <w:color w:val="000000"/>
          <w:kern w:val="0"/>
          <w:sz w:val="32"/>
          <w:lang w:val="zh-CN"/>
        </w:rPr>
        <w:t>万元，包括</w:t>
      </w:r>
      <w:r>
        <w:rPr>
          <w:rFonts w:hint="eastAsia" w:ascii="仿宋" w:hAnsi="仿宋" w:eastAsia="仿宋"/>
          <w:color w:val="000000"/>
          <w:kern w:val="0"/>
          <w:sz w:val="32"/>
        </w:rPr>
        <w:t>基本支出314.86</w:t>
      </w:r>
      <w:r>
        <w:rPr>
          <w:rFonts w:hint="eastAsia" w:ascii="仿宋" w:hAnsi="仿宋" w:eastAsia="仿宋"/>
          <w:color w:val="000000"/>
          <w:kern w:val="0"/>
          <w:sz w:val="32"/>
          <w:lang w:val="zh-CN"/>
        </w:rPr>
        <w:t>万元，项目支出</w:t>
      </w:r>
      <w:r>
        <w:rPr>
          <w:rFonts w:hint="eastAsia" w:ascii="仿宋" w:hAnsi="仿宋" w:eastAsia="仿宋"/>
          <w:color w:val="000000"/>
          <w:kern w:val="0"/>
          <w:sz w:val="32"/>
        </w:rPr>
        <w:t>201.40</w:t>
      </w:r>
      <w:r>
        <w:rPr>
          <w:rFonts w:hint="eastAsia" w:ascii="仿宋" w:hAnsi="仿宋" w:eastAsia="仿宋"/>
          <w:color w:val="000000"/>
          <w:kern w:val="0"/>
          <w:sz w:val="32"/>
          <w:lang w:val="zh-CN"/>
        </w:rPr>
        <w:t>万元</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三、部门整体绩效分析（根据适用指标体系进行调整，</w:t>
      </w:r>
      <w:r>
        <w:rPr>
          <w:rFonts w:hint="eastAsia" w:ascii="黑体" w:hAnsi="宋体" w:eastAsia="黑体" w:cs="宋体"/>
          <w:kern w:val="0"/>
          <w:sz w:val="32"/>
          <w:szCs w:val="32"/>
          <w:shd w:val="clear" w:color="auto" w:fill="FFFFFF"/>
          <w:lang w:eastAsia="zh-CN"/>
        </w:rPr>
        <w:t>涉及</w:t>
      </w:r>
      <w:r>
        <w:rPr>
          <w:rFonts w:hint="eastAsia" w:ascii="黑体" w:hAnsi="宋体" w:eastAsia="黑体" w:cs="宋体"/>
          <w:kern w:val="0"/>
          <w:sz w:val="32"/>
          <w:szCs w:val="32"/>
          <w:shd w:val="clear" w:color="auto" w:fill="FFFFFF"/>
        </w:rPr>
        <w:t>有专项资金预算项目的部门，专项资金预算项目自评报告作为本报告附件一并公开）</w:t>
      </w:r>
    </w:p>
    <w:p>
      <w:pPr>
        <w:widowControl/>
        <w:adjustRightInd w:val="0"/>
        <w:snapToGrid w:val="0"/>
        <w:spacing w:line="560" w:lineRule="exact"/>
        <w:ind w:firstLine="643"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（1）目标制定。2022年，我社深入贯彻“三保”重要要求，严格执行相关政策，保障工资及时、定额发放和社保及时、足额缴纳，预算编制科学合理，减少结余资金。</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目标实现。按照2022年部门预算编制要求，我社人员类项目按照“优先保障、严格标准、综合预算”的要求，根据定员情况和财政局确定等等工资福利标准和社会保障等相关政策，统筹资金，应编尽编；预算批复后，严格按照政策执行。</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（3）及时处置。绩效监控发现的问题，均按照项目相关要求，加快执行进度。</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（4）执行进度。年度预算执行进度100%。</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（5）资金结余率。我社2022年无人员类项目结余资金。</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（6）违规记录。我社2022年未出现部门预算管理方面违纪违规问题。</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2.运转类项目绩效分析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（1）目标制定。2022年，我社深入贯彻“保运转”重要要求，合理保障部门正常运转、基本履职和重点工作需要，在统筹考虑财政资金的基础上编制运转类项目预算。</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（2）目标实现。2022年，我社根据自身情况，在统筹考虑财政拨款的基础上编制运转类项目预算，进一步完善运转类项目开支范围，合理确定支出结构，有效保障了单位的正常运转。</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（3）及时处置。绩效监控发现的问题，均按照项目相关要求，加快执行进度。</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（4）执行进度。年度预算执行进度100%。</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（5）资金结余率。我社2022年无运转类项目结余资金。</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（6）违规记录。我社2022年未出现部门预算管理方面违纪违规问题。</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我社无特定目标类项目。</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2022年在县委、县政府的坚强领导下，在上级社的正确指导和关心支持下，我社咬定目标不松劲，齐心协力攻坚破难，较好完成了年度目标任务。</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1.信息公开。</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我社按要求将相关绩效信息随同决算一并公开。</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2.应用反馈。</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我社按要求在规定时间内向财政局反馈了应用绩效报告。</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ascii="仿宋_GB2312" w:hAnsi="仿宋_GB2312" w:eastAsia="仿宋_GB2312" w:cs="仿宋_GB2312"/>
          <w:kern w:val="0"/>
          <w:sz w:val="32"/>
          <w:szCs w:val="32"/>
          <w:shd w:val="clear" w:color="auto" w:fill="FFFFFF"/>
          <w:lang w:val="zh-CN"/>
        </w:rPr>
        <w:t>3</w:t>
      </w:r>
      <w:r>
        <w:rPr>
          <w:rFonts w:hint="eastAsia" w:ascii="仿宋_GB2312" w:hAnsi="仿宋_GB2312" w:eastAsia="仿宋_GB2312" w:cs="仿宋_GB2312"/>
          <w:kern w:val="0"/>
          <w:sz w:val="32"/>
          <w:szCs w:val="32"/>
          <w:shd w:val="clear" w:color="auto" w:fill="FFFFFF"/>
          <w:lang w:val="zh-CN"/>
        </w:rPr>
        <w:t>.按时完成信息公开。根据县财政局统一安排，县供销联社在规定时间按照统一格式、内容、口径在县政府网站公开了202</w:t>
      </w:r>
      <w:r>
        <w:rPr>
          <w:rFonts w:ascii="仿宋_GB2312" w:hAnsi="仿宋_GB2312" w:eastAsia="仿宋_GB2312" w:cs="仿宋_GB2312"/>
          <w:kern w:val="0"/>
          <w:sz w:val="32"/>
          <w:szCs w:val="32"/>
          <w:shd w:val="clear" w:color="auto" w:fill="FFFFFF"/>
          <w:lang w:val="zh-CN"/>
        </w:rPr>
        <w:t>1</w:t>
      </w:r>
      <w:r>
        <w:rPr>
          <w:rFonts w:hint="eastAsia" w:ascii="仿宋_GB2312" w:hAnsi="仿宋_GB2312" w:eastAsia="仿宋_GB2312" w:cs="仿宋_GB2312"/>
          <w:kern w:val="0"/>
          <w:sz w:val="32"/>
          <w:szCs w:val="32"/>
          <w:shd w:val="clear" w:color="auto" w:fill="FFFFFF"/>
          <w:lang w:val="zh-CN"/>
        </w:rPr>
        <w:t>年部门决算、202</w:t>
      </w:r>
      <w:r>
        <w:rPr>
          <w:rFonts w:ascii="仿宋_GB2312" w:hAnsi="仿宋_GB2312" w:eastAsia="仿宋_GB2312" w:cs="仿宋_GB2312"/>
          <w:kern w:val="0"/>
          <w:sz w:val="32"/>
          <w:szCs w:val="32"/>
          <w:shd w:val="clear" w:color="auto" w:fill="FFFFFF"/>
          <w:lang w:val="zh-CN"/>
        </w:rPr>
        <w:t>2</w:t>
      </w:r>
      <w:r>
        <w:rPr>
          <w:rFonts w:hint="eastAsia" w:ascii="仿宋_GB2312" w:hAnsi="仿宋_GB2312" w:eastAsia="仿宋_GB2312" w:cs="仿宋_GB2312"/>
          <w:kern w:val="0"/>
          <w:sz w:val="32"/>
          <w:szCs w:val="32"/>
          <w:shd w:val="clear" w:color="auto" w:fill="FFFFFF"/>
          <w:lang w:val="zh-CN"/>
        </w:rPr>
        <w:t xml:space="preserve">年部门预算信息，做到基础数据真实、准确、完整。  </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ascii="仿宋_GB2312" w:hAnsi="仿宋_GB2312" w:eastAsia="仿宋_GB2312" w:cs="仿宋_GB2312"/>
          <w:kern w:val="0"/>
          <w:sz w:val="32"/>
          <w:szCs w:val="32"/>
          <w:shd w:val="clear" w:color="auto" w:fill="FFFFFF"/>
          <w:lang w:val="zh-CN"/>
        </w:rPr>
        <w:t>4</w:t>
      </w:r>
      <w:r>
        <w:rPr>
          <w:rFonts w:hint="eastAsia" w:ascii="仿宋_GB2312" w:hAnsi="仿宋_GB2312" w:eastAsia="仿宋_GB2312" w:cs="仿宋_GB2312"/>
          <w:kern w:val="0"/>
          <w:sz w:val="32"/>
          <w:szCs w:val="32"/>
          <w:shd w:val="clear" w:color="auto" w:fill="FFFFFF"/>
          <w:lang w:val="zh-CN"/>
        </w:rPr>
        <w:t>.强化问题整改。对绩效评价中发现的问题及时整改，杜绝出现项目资金使用不及时、预算执行率低、核算管理不到位等问题，切实规范资金使用行为。</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ascii="仿宋_GB2312" w:hAnsi="仿宋_GB2312" w:eastAsia="仿宋_GB2312" w:cs="仿宋_GB2312"/>
          <w:kern w:val="0"/>
          <w:sz w:val="32"/>
          <w:szCs w:val="32"/>
          <w:shd w:val="clear" w:color="auto" w:fill="FFFFFF"/>
          <w:lang w:val="zh-CN"/>
        </w:rPr>
        <w:t>5</w:t>
      </w:r>
      <w:r>
        <w:rPr>
          <w:rFonts w:hint="eastAsia" w:ascii="仿宋_GB2312" w:hAnsi="仿宋_GB2312" w:eastAsia="仿宋_GB2312" w:cs="仿宋_GB2312"/>
          <w:kern w:val="0"/>
          <w:sz w:val="32"/>
          <w:szCs w:val="32"/>
          <w:shd w:val="clear" w:color="auto" w:fill="FFFFFF"/>
          <w:lang w:val="zh-CN"/>
        </w:rPr>
        <w:t>.指导次年预算安排。将绩效评价结果与预算安排有机结合，把绩效评价结果作为安排下一年度预算的重要依据，对评价结果较好的项目予以继续保障，对评价发现问题、评价结果较差的相应调整预算，确保将每笔资金都用在刀刃上，最大限度发挥预算资金使用效益。</w:t>
      </w:r>
    </w:p>
    <w:p>
      <w:pPr>
        <w:widowControl/>
        <w:numPr>
          <w:ilvl w:val="0"/>
          <w:numId w:val="6"/>
        </w:numPr>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自评质量。</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我社认真组织单位开展了2022年度整体支出绩效评价工作，严格执行年度预算批复，合理安排好全年的经费支出、基本支出；保障了人员工资、津补贴的及时足额发放，日常工作事务的正常开展；项目支出保障了各专项工作按照年度工作计划积极推进，各个项目绩效目标总体完成良好，部门整体支出自评准确。</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spacing w:line="600" w:lineRule="exact"/>
        <w:ind w:firstLine="640" w:firstLineChars="200"/>
        <w:rPr>
          <w:lang w:val="zh-CN"/>
        </w:rPr>
      </w:pPr>
      <w:r>
        <w:rPr>
          <w:rFonts w:hint="eastAsia" w:ascii="仿宋_GB2312" w:hAnsi="宋体" w:eastAsia="仿宋_GB2312" w:cs="宋体"/>
          <w:color w:val="000000"/>
          <w:kern w:val="0"/>
          <w:sz w:val="32"/>
          <w:szCs w:val="32"/>
          <w:shd w:val="clear" w:color="auto" w:fill="FFFFFF"/>
          <w:lang w:val="zh-CN"/>
        </w:rPr>
        <w:t>202</w:t>
      </w:r>
      <w:r>
        <w:rPr>
          <w:rFonts w:ascii="仿宋_GB2312" w:hAnsi="宋体" w:eastAsia="仿宋_GB2312" w:cs="宋体"/>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lang w:val="zh-CN"/>
        </w:rPr>
        <w:t>年度供销社部门预算具有明确的用途和目标，制定了较详细的执行计划，资金到位及时。严格按照财政有关规定使用，绩效目标指向明确，符合国民经济和社会发展规划、部门职能及事业发展规划。绩效目标在数量、质量、成本、时效、效益方面进行了细化、量化，基本合理配置，符合客观实际，在一定期限内如期完成。预算决策、管理、执行等日渐规范，能够较好地满足工作需要，取得了良好经济效益和社会效果。</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（二）存在问题。</w:t>
      </w:r>
    </w:p>
    <w:p>
      <w:pPr>
        <w:spacing w:before="93" w:beforeLines="30"/>
        <w:ind w:firstLine="640" w:firstLineChars="200"/>
        <w:rPr>
          <w:rFonts w:ascii="仿宋_GB2312" w:eastAsia="仿宋_GB2312"/>
          <w:kern w:val="0"/>
          <w:sz w:val="30"/>
          <w:lang w:val="zh-CN"/>
        </w:rPr>
      </w:pPr>
      <w:r>
        <w:rPr>
          <w:rFonts w:hint="eastAsia" w:ascii="仿宋_GB2312" w:hAnsi="宋体" w:eastAsia="仿宋_GB2312" w:cs="宋体"/>
          <w:color w:val="000000"/>
          <w:kern w:val="0"/>
          <w:sz w:val="32"/>
          <w:szCs w:val="32"/>
          <w:shd w:val="clear" w:color="auto" w:fill="FFFFFF"/>
          <w:lang w:val="zh-CN"/>
        </w:rPr>
        <w:t>202</w:t>
      </w:r>
      <w:r>
        <w:rPr>
          <w:rFonts w:ascii="仿宋_GB2312" w:hAnsi="宋体" w:eastAsia="仿宋_GB2312" w:cs="宋体"/>
          <w:color w:val="000000"/>
          <w:kern w:val="0"/>
          <w:sz w:val="32"/>
          <w:szCs w:val="32"/>
          <w:shd w:val="clear" w:color="auto" w:fill="FFFFFF"/>
          <w:lang w:val="zh-CN"/>
        </w:rPr>
        <w:t>2</w:t>
      </w:r>
      <w:r>
        <w:rPr>
          <w:rFonts w:hint="eastAsia" w:ascii="仿宋_GB2312" w:hAnsi="宋体" w:eastAsia="仿宋_GB2312" w:cs="宋体"/>
          <w:color w:val="000000"/>
          <w:kern w:val="0"/>
          <w:sz w:val="32"/>
          <w:szCs w:val="32"/>
          <w:shd w:val="clear" w:color="auto" w:fill="FFFFFF"/>
          <w:lang w:val="zh-CN"/>
        </w:rPr>
        <w:t>年度预算执行进度偏慢。除因年中追加经费金额较大、新冠疫情影响、跨年项目因素等客观原因外，在预算管理方面，推进预算执行的措施方法还须进一步细致精准。</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（三）改进建议。</w:t>
      </w:r>
    </w:p>
    <w:p>
      <w:pPr>
        <w:pStyle w:val="7"/>
        <w:spacing w:before="93"/>
        <w:ind w:firstLine="640" w:firstLineChars="200"/>
        <w:rPr>
          <w:lang w:val="zh-CN"/>
        </w:rPr>
      </w:pPr>
      <w:r>
        <w:rPr>
          <w:rFonts w:hint="eastAsia" w:hAnsi="宋体" w:cs="宋体"/>
          <w:color w:val="000000"/>
          <w:sz w:val="32"/>
          <w:szCs w:val="32"/>
          <w:shd w:val="clear" w:color="auto" w:fill="FFFFFF"/>
          <w:lang w:val="zh-CN"/>
        </w:rPr>
        <w:t>2</w:t>
      </w:r>
      <w:r>
        <w:rPr>
          <w:rFonts w:hAnsi="宋体" w:cs="宋体"/>
          <w:color w:val="000000"/>
          <w:sz w:val="32"/>
          <w:szCs w:val="32"/>
          <w:shd w:val="clear" w:color="auto" w:fill="FFFFFF"/>
          <w:lang w:val="zh-CN"/>
        </w:rPr>
        <w:t>022</w:t>
      </w:r>
      <w:r>
        <w:rPr>
          <w:rFonts w:hint="eastAsia" w:hAnsi="宋体" w:cs="宋体"/>
          <w:color w:val="000000"/>
          <w:sz w:val="32"/>
          <w:szCs w:val="32"/>
          <w:shd w:val="clear" w:color="auto" w:fill="FFFFFF"/>
          <w:lang w:val="zh-CN"/>
        </w:rPr>
        <w:t>年度我社将高效推进预算执行进度作为财务管理的重点工作，贯彻“全方位、全过程、全覆盖”预算绩效管理，严把事前评估、事中监控、事后评价三个关键节点，认真编制预算分月用款计划，努力提高预算执行均衡性，精准提高预算执行进度，最大限度提高预算资金使用效益。</w:t>
      </w:r>
    </w:p>
    <w:p>
      <w:pPr>
        <w:pStyle w:val="2"/>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w:t>
      </w:r>
    </w:p>
    <w:p>
      <w:pPr>
        <w:pStyle w:val="2"/>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（备注：按照绩效自评工作安排，各部门已在预算管理一体化系统绩效自评模块上传“部门预算项目支出绩效自评表（2022年度）”，该表格应作为附表予以公开。）</w:t>
      </w:r>
    </w:p>
    <w:p>
      <w:pPr>
        <w:pStyle w:val="2"/>
        <w:spacing w:line="560" w:lineRule="exact"/>
        <w:ind w:left="0" w:leftChars="0" w:firstLine="0" w:firstLineChars="0"/>
        <w:rPr>
          <w:sz w:val="32"/>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sz w:val="32"/>
          <w:szCs w:val="32"/>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pStyle w:val="34"/>
        <w:spacing w:line="578" w:lineRule="exact"/>
        <w:jc w:val="center"/>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w:t>
      </w:r>
      <w:r>
        <w:rPr>
          <w:rFonts w:ascii="方正小标宋简体" w:hAnsi="方正小标宋简体" w:eastAsia="方正小标宋简体" w:cs="方正小标宋简体"/>
          <w:color w:val="auto"/>
          <w:kern w:val="2"/>
          <w:sz w:val="32"/>
          <w:szCs w:val="32"/>
          <w:lang w:val="en-US"/>
        </w:rPr>
        <w:t>2</w:t>
      </w:r>
      <w:r>
        <w:rPr>
          <w:rFonts w:hint="eastAsia" w:ascii="方正小标宋简体" w:hAnsi="方正小标宋简体" w:eastAsia="方正小标宋简体" w:cs="方正小标宋简体"/>
          <w:color w:val="auto"/>
          <w:kern w:val="2"/>
          <w:sz w:val="32"/>
          <w:szCs w:val="32"/>
          <w:lang w:val="en-US"/>
        </w:rPr>
        <w:t>年省级专项资金预算项目绩效自评报告范本</w:t>
      </w:r>
    </w:p>
    <w:p>
      <w:pPr>
        <w:pStyle w:val="34"/>
        <w:spacing w:line="578" w:lineRule="exact"/>
        <w:ind w:firstLine="640"/>
        <w:jc w:val="center"/>
        <w:rPr>
          <w:rFonts w:ascii="宋体" w:hAnsi="宋体"/>
          <w:color w:val="auto"/>
          <w:kern w:val="2"/>
          <w:sz w:val="32"/>
          <w:szCs w:val="32"/>
        </w:rPr>
      </w:pPr>
    </w:p>
    <w:p>
      <w:pPr>
        <w:adjustRightInd w:val="0"/>
        <w:snapToGrid w:val="0"/>
        <w:spacing w:line="578"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剑阁县供销社属财政全额拨款的参照公务员管理单位，主要为全县农业、农村、农民提供综合性服务。目前，剑阁县供销社在职干部职工1</w:t>
      </w:r>
      <w:r>
        <w:rPr>
          <w:rFonts w:ascii="仿宋_GB2312" w:hAnsi="仿宋_GB2312" w:eastAsia="仿宋_GB2312" w:cs="仿宋_GB2312"/>
          <w:kern w:val="0"/>
          <w:sz w:val="32"/>
          <w:szCs w:val="32"/>
          <w:shd w:val="clear" w:color="auto" w:fill="FFFFFF"/>
          <w:lang w:val="zh-CN"/>
        </w:rPr>
        <w:t>8</w:t>
      </w:r>
      <w:r>
        <w:rPr>
          <w:rFonts w:hint="eastAsia" w:ascii="仿宋_GB2312" w:hAnsi="仿宋_GB2312" w:eastAsia="仿宋_GB2312" w:cs="仿宋_GB2312"/>
          <w:kern w:val="0"/>
          <w:sz w:val="32"/>
          <w:szCs w:val="32"/>
          <w:shd w:val="clear" w:color="auto" w:fill="FFFFFF"/>
          <w:lang w:val="zh-CN"/>
        </w:rPr>
        <w:t>人、内设5个股室。剑阁县供销社党组在省市供销社的精心指导下，在县委、县政府的正确领导下，根据省供销总社关于供销社综合改革的总体要求以及自身发展的需要，按照“围绕一个中心（即县级供销社综合改革为中心），服务两大群体（即县域农业社会化服务、县域农村电子商务运营服务），打造三大平台（即打造农村综合服务平台、农产品电商基地平台、农村土地托管服务平台），立足四个确保（即确保供销社内部稳定、确保农村生活便捷、确保农业快速发展、确保农民收入增长）”的工作思路，坚持为农服务宗旨，加快职能转变，强管理、办实事、抓落实，有力地推进了全省县级供销社综合改革工作不断深入，取得了显著效果。</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经申报、审核，市财政局下发《广元市财政局关于下达20</w:t>
      </w:r>
      <w:r>
        <w:rPr>
          <w:rFonts w:ascii="仿宋_GB2312" w:hAnsi="仿宋_GB2312" w:eastAsia="仿宋_GB2312" w:cs="仿宋_GB2312"/>
          <w:kern w:val="0"/>
          <w:sz w:val="32"/>
          <w:szCs w:val="32"/>
          <w:shd w:val="clear" w:color="auto" w:fill="FFFFFF"/>
          <w:lang w:val="zh-CN"/>
        </w:rPr>
        <w:t>22</w:t>
      </w:r>
      <w:r>
        <w:rPr>
          <w:rFonts w:hint="eastAsia" w:ascii="仿宋_GB2312" w:hAnsi="仿宋_GB2312" w:eastAsia="仿宋_GB2312" w:cs="仿宋_GB2312"/>
          <w:kern w:val="0"/>
          <w:sz w:val="32"/>
          <w:szCs w:val="32"/>
          <w:shd w:val="clear" w:color="auto" w:fill="FFFFFF"/>
          <w:lang w:val="zh-CN"/>
        </w:rPr>
        <w:t>年省级供销综合改革及发展专项资金预算的通知》（广财建（20</w:t>
      </w:r>
      <w:r>
        <w:rPr>
          <w:rFonts w:ascii="仿宋_GB2312" w:hAnsi="仿宋_GB2312" w:eastAsia="仿宋_GB2312" w:cs="仿宋_GB2312"/>
          <w:kern w:val="0"/>
          <w:sz w:val="32"/>
          <w:szCs w:val="32"/>
          <w:shd w:val="clear" w:color="auto" w:fill="FFFFFF"/>
          <w:lang w:val="zh-CN"/>
        </w:rPr>
        <w:t>22</w:t>
      </w:r>
      <w:r>
        <w:rPr>
          <w:rFonts w:hint="eastAsia" w:ascii="仿宋_GB2312" w:hAnsi="仿宋_GB2312" w:eastAsia="仿宋_GB2312" w:cs="仿宋_GB2312"/>
          <w:kern w:val="0"/>
          <w:sz w:val="32"/>
          <w:szCs w:val="32"/>
          <w:shd w:val="clear" w:color="auto" w:fill="FFFFFF"/>
          <w:lang w:val="zh-CN"/>
        </w:rPr>
        <w:t>）</w:t>
      </w:r>
      <w:r>
        <w:rPr>
          <w:rFonts w:ascii="仿宋_GB2312" w:hAnsi="仿宋_GB2312" w:eastAsia="仿宋_GB2312" w:cs="仿宋_GB2312"/>
          <w:kern w:val="0"/>
          <w:sz w:val="32"/>
          <w:szCs w:val="32"/>
          <w:shd w:val="clear" w:color="auto" w:fill="FFFFFF"/>
          <w:lang w:val="zh-CN"/>
        </w:rPr>
        <w:t>80</w:t>
      </w:r>
      <w:r>
        <w:rPr>
          <w:rFonts w:hint="eastAsia" w:ascii="仿宋_GB2312" w:hAnsi="仿宋_GB2312" w:eastAsia="仿宋_GB2312" w:cs="仿宋_GB2312"/>
          <w:kern w:val="0"/>
          <w:sz w:val="32"/>
          <w:szCs w:val="32"/>
          <w:shd w:val="clear" w:color="auto" w:fill="FFFFFF"/>
          <w:lang w:val="zh-CN"/>
        </w:rPr>
        <w:t>号），安排</w:t>
      </w:r>
      <w:r>
        <w:rPr>
          <w:rFonts w:ascii="仿宋_GB2312" w:hAnsi="仿宋_GB2312" w:eastAsia="仿宋_GB2312" w:cs="仿宋_GB2312"/>
          <w:kern w:val="0"/>
          <w:sz w:val="32"/>
          <w:szCs w:val="32"/>
          <w:shd w:val="clear" w:color="auto" w:fill="FFFFFF"/>
          <w:lang w:val="zh-CN"/>
        </w:rPr>
        <w:t>39</w:t>
      </w:r>
      <w:r>
        <w:rPr>
          <w:rFonts w:hint="eastAsia" w:ascii="仿宋_GB2312" w:hAnsi="仿宋_GB2312" w:eastAsia="仿宋_GB2312" w:cs="仿宋_GB2312"/>
          <w:kern w:val="0"/>
          <w:sz w:val="32"/>
          <w:szCs w:val="32"/>
          <w:shd w:val="clear" w:color="auto" w:fill="FFFFFF"/>
          <w:lang w:val="zh-CN"/>
        </w:rPr>
        <w:t>万元专项资金用于支持供销改革工作。</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20</w:t>
      </w:r>
      <w:r>
        <w:rPr>
          <w:rFonts w:ascii="仿宋_GB2312" w:hAnsi="仿宋_GB2312" w:eastAsia="仿宋_GB2312" w:cs="仿宋_GB2312"/>
          <w:kern w:val="0"/>
          <w:sz w:val="32"/>
          <w:szCs w:val="32"/>
          <w:shd w:val="clear" w:color="auto" w:fill="FFFFFF"/>
          <w:lang w:val="zh-CN"/>
        </w:rPr>
        <w:t>22</w:t>
      </w:r>
      <w:r>
        <w:rPr>
          <w:rFonts w:hint="eastAsia" w:ascii="仿宋_GB2312" w:hAnsi="仿宋_GB2312" w:eastAsia="仿宋_GB2312" w:cs="仿宋_GB2312"/>
          <w:kern w:val="0"/>
          <w:sz w:val="32"/>
          <w:szCs w:val="32"/>
          <w:shd w:val="clear" w:color="auto" w:fill="FFFFFF"/>
          <w:lang w:val="zh-CN"/>
        </w:rPr>
        <w:t>年综合改革重点工作取得明显成效。阶段性目标是：按照市社统一要求，打造村级综合服务社体系，新建乡镇惠农服务中心建设，打造</w:t>
      </w:r>
      <w:r>
        <w:rPr>
          <w:rFonts w:ascii="仿宋_GB2312" w:hAnsi="仿宋_GB2312" w:eastAsia="仿宋_GB2312" w:cs="仿宋_GB2312"/>
          <w:kern w:val="0"/>
          <w:sz w:val="32"/>
          <w:szCs w:val="32"/>
          <w:shd w:val="clear" w:color="auto" w:fill="FFFFFF"/>
          <w:lang w:val="zh-CN"/>
        </w:rPr>
        <w:t>2</w:t>
      </w:r>
      <w:r>
        <w:rPr>
          <w:rFonts w:hint="eastAsia" w:ascii="仿宋_GB2312" w:hAnsi="仿宋_GB2312" w:eastAsia="仿宋_GB2312" w:cs="仿宋_GB2312"/>
          <w:kern w:val="0"/>
          <w:sz w:val="32"/>
          <w:szCs w:val="32"/>
          <w:shd w:val="clear" w:color="auto" w:fill="FFFFFF"/>
          <w:lang w:val="zh-CN"/>
        </w:rPr>
        <w:t>个土地托管示范中心，组织系统干部职工开展综合改革业务能力培训和学习考察等，进一步提高供销改革的社会影响。3．资金</w:t>
      </w:r>
      <w:r>
        <w:rPr>
          <w:rFonts w:hint="eastAsia" w:ascii="仿宋_GB2312" w:hAnsi="仿宋_GB2312" w:eastAsia="仿宋_GB2312" w:cs="仿宋_GB2312"/>
          <w:kern w:val="0"/>
          <w:sz w:val="32"/>
          <w:szCs w:val="32"/>
          <w:shd w:val="clear" w:color="auto" w:fill="FFFFFF"/>
        </w:rPr>
        <w:t>或项目</w:t>
      </w:r>
      <w:r>
        <w:rPr>
          <w:rFonts w:hint="eastAsia" w:ascii="仿宋_GB2312" w:hAnsi="仿宋_GB2312" w:eastAsia="仿宋_GB2312" w:cs="仿宋_GB2312"/>
          <w:kern w:val="0"/>
          <w:sz w:val="32"/>
          <w:szCs w:val="32"/>
          <w:shd w:val="clear" w:color="auto" w:fill="FFFFFF"/>
          <w:lang w:val="zh-CN"/>
        </w:rPr>
        <w:t>管理办法制定情况，资金支持具体项目的条件、范围与支持方式概况。</w:t>
      </w:r>
      <w:r>
        <w:rPr>
          <w:rFonts w:hint="eastAsia" w:ascii="仿宋_GB2312" w:hAnsi="仿宋_GB2312" w:eastAsia="仿宋_GB2312" w:cs="仿宋_GB2312"/>
          <w:kern w:val="0"/>
          <w:sz w:val="32"/>
          <w:szCs w:val="32"/>
          <w:shd w:val="clear" w:color="auto" w:fill="FFFFFF"/>
        </w:rPr>
        <w:t>附资金或项目管理办法。</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1．项目主要内容：东宝、杨村、下寺、木马基层示范社建设；武连、柳沟、蜀韵集团公司流通服务网络建设提升项目。</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项目应实现的具体绩效目标：充分发挥专项资金的导向和激励作用，加快供销合作社基层组织体系和经营服务体系建设，以农村电商和土地托管试点为重点不断拓展为农服务领域和增强为农服务功能，不断加大自身建设和综合改革学习宣传力度，推动供销系统20</w:t>
      </w:r>
      <w:r>
        <w:rPr>
          <w:rFonts w:ascii="仿宋_GB2312" w:hAnsi="仿宋_GB2312" w:eastAsia="仿宋_GB2312" w:cs="仿宋_GB2312"/>
          <w:kern w:val="0"/>
          <w:sz w:val="32"/>
          <w:szCs w:val="32"/>
          <w:shd w:val="clear" w:color="auto" w:fill="FFFFFF"/>
          <w:lang w:val="zh-CN"/>
        </w:rPr>
        <w:t>22</w:t>
      </w:r>
      <w:r>
        <w:rPr>
          <w:rFonts w:hint="eastAsia" w:ascii="仿宋_GB2312" w:hAnsi="仿宋_GB2312" w:eastAsia="仿宋_GB2312" w:cs="仿宋_GB2312"/>
          <w:kern w:val="0"/>
          <w:sz w:val="32"/>
          <w:szCs w:val="32"/>
          <w:shd w:val="clear" w:color="auto" w:fill="FFFFFF"/>
          <w:lang w:val="zh-CN"/>
        </w:rPr>
        <w:t>年综合改革重点工作取得明显成效。阶段性目标是：按照市社统一要求，打造村级综合服务社体系，新建的乡镇惠农综合服务中心示范点，依托村级综合服务社进行农村电商站点体系配套建设，打造</w:t>
      </w:r>
      <w:r>
        <w:rPr>
          <w:rFonts w:ascii="仿宋_GB2312" w:hAnsi="仿宋_GB2312" w:eastAsia="仿宋_GB2312" w:cs="仿宋_GB2312"/>
          <w:kern w:val="0"/>
          <w:sz w:val="32"/>
          <w:szCs w:val="32"/>
          <w:shd w:val="clear" w:color="auto" w:fill="FFFFFF"/>
          <w:lang w:val="zh-CN"/>
        </w:rPr>
        <w:t>2</w:t>
      </w:r>
      <w:r>
        <w:rPr>
          <w:rFonts w:hint="eastAsia" w:ascii="仿宋_GB2312" w:hAnsi="仿宋_GB2312" w:eastAsia="仿宋_GB2312" w:cs="仿宋_GB2312"/>
          <w:kern w:val="0"/>
          <w:sz w:val="32"/>
          <w:szCs w:val="32"/>
          <w:shd w:val="clear" w:color="auto" w:fill="FFFFFF"/>
          <w:lang w:val="zh-CN"/>
        </w:rPr>
        <w:t>个土地托管示范中心，组织系统干部职工开展综合改革业务能力培训和学习考察等，进一步提高供销改革的社会影响。</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3．评价申报内容与实际相符，申报目标合理可行。</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绩效评价原则：深入贯彻党的十九大精神，进一步规范财政资金管理，强化部门责任意识，推进财政科学化、精细化管理，提高财政资金使用效益。科学评价省级财政专项资金使用情况及绩效情况，为下年专项资金的更加规范高效使用提供参考依据。</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2、评价指标体系详见附表。</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3、评价方法：因素分析法。</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剑阁县供销合作社综合改革专项资金到位</w:t>
      </w:r>
      <w:r>
        <w:rPr>
          <w:rFonts w:ascii="仿宋_GB2312" w:hAnsi="仿宋_GB2312" w:eastAsia="仿宋_GB2312" w:cs="仿宋_GB2312"/>
          <w:kern w:val="0"/>
          <w:sz w:val="32"/>
          <w:szCs w:val="32"/>
          <w:shd w:val="clear" w:color="auto" w:fill="FFFFFF"/>
          <w:lang w:val="zh-CN"/>
        </w:rPr>
        <w:t>39</w:t>
      </w:r>
      <w:r>
        <w:rPr>
          <w:rFonts w:hint="eastAsia" w:ascii="仿宋_GB2312" w:hAnsi="仿宋_GB2312" w:eastAsia="仿宋_GB2312" w:cs="仿宋_GB2312"/>
          <w:kern w:val="0"/>
          <w:sz w:val="32"/>
          <w:szCs w:val="32"/>
          <w:shd w:val="clear" w:color="auto" w:fill="FFFFFF"/>
          <w:lang w:val="zh-CN"/>
        </w:rPr>
        <w:t>万元，其中：202</w:t>
      </w:r>
      <w:r>
        <w:rPr>
          <w:rFonts w:ascii="仿宋_GB2312" w:hAnsi="仿宋_GB2312" w:eastAsia="仿宋_GB2312" w:cs="仿宋_GB2312"/>
          <w:kern w:val="0"/>
          <w:sz w:val="32"/>
          <w:szCs w:val="32"/>
          <w:shd w:val="clear" w:color="auto" w:fill="FFFFFF"/>
          <w:lang w:val="zh-CN"/>
        </w:rPr>
        <w:t>2</w:t>
      </w:r>
      <w:r>
        <w:rPr>
          <w:rFonts w:hint="eastAsia" w:ascii="仿宋_GB2312" w:hAnsi="仿宋_GB2312" w:eastAsia="仿宋_GB2312" w:cs="仿宋_GB2312"/>
          <w:kern w:val="0"/>
          <w:sz w:val="32"/>
          <w:szCs w:val="32"/>
          <w:shd w:val="clear" w:color="auto" w:fill="FFFFFF"/>
          <w:lang w:val="zh-CN"/>
        </w:rPr>
        <w:t>年</w:t>
      </w:r>
      <w:r>
        <w:rPr>
          <w:rFonts w:ascii="仿宋_GB2312" w:hAnsi="仿宋_GB2312" w:eastAsia="仿宋_GB2312" w:cs="仿宋_GB2312"/>
          <w:kern w:val="0"/>
          <w:sz w:val="32"/>
          <w:szCs w:val="32"/>
          <w:shd w:val="clear" w:color="auto" w:fill="FFFFFF"/>
          <w:lang w:val="zh-CN"/>
        </w:rPr>
        <w:t>8</w:t>
      </w:r>
      <w:r>
        <w:rPr>
          <w:rFonts w:hint="eastAsia" w:ascii="仿宋_GB2312" w:hAnsi="仿宋_GB2312" w:eastAsia="仿宋_GB2312" w:cs="仿宋_GB2312"/>
          <w:kern w:val="0"/>
          <w:sz w:val="32"/>
          <w:szCs w:val="32"/>
          <w:shd w:val="clear" w:color="auto" w:fill="FFFFFF"/>
          <w:lang w:val="zh-CN"/>
        </w:rPr>
        <w:t>月，按照广财建〔202</w:t>
      </w:r>
      <w:r>
        <w:rPr>
          <w:rFonts w:ascii="仿宋_GB2312" w:hAnsi="仿宋_GB2312" w:eastAsia="仿宋_GB2312" w:cs="仿宋_GB2312"/>
          <w:kern w:val="0"/>
          <w:sz w:val="32"/>
          <w:szCs w:val="32"/>
          <w:shd w:val="clear" w:color="auto" w:fill="FFFFFF"/>
          <w:lang w:val="zh-CN"/>
        </w:rPr>
        <w:t>2</w:t>
      </w:r>
      <w:r>
        <w:rPr>
          <w:rFonts w:hint="eastAsia" w:ascii="仿宋_GB2312" w:hAnsi="仿宋_GB2312" w:eastAsia="仿宋_GB2312" w:cs="仿宋_GB2312"/>
          <w:kern w:val="0"/>
          <w:sz w:val="32"/>
          <w:szCs w:val="32"/>
          <w:shd w:val="clear" w:color="auto" w:fill="FFFFFF"/>
          <w:lang w:val="zh-CN"/>
        </w:rPr>
        <w:t>〕</w:t>
      </w:r>
      <w:r>
        <w:rPr>
          <w:rFonts w:ascii="仿宋_GB2312" w:hAnsi="仿宋_GB2312" w:eastAsia="仿宋_GB2312" w:cs="仿宋_GB2312"/>
          <w:kern w:val="0"/>
          <w:sz w:val="32"/>
          <w:szCs w:val="32"/>
          <w:shd w:val="clear" w:color="auto" w:fill="FFFFFF"/>
          <w:lang w:val="zh-CN"/>
        </w:rPr>
        <w:t>80</w:t>
      </w:r>
      <w:r>
        <w:rPr>
          <w:rFonts w:hint="eastAsia" w:ascii="仿宋_GB2312" w:hAnsi="仿宋_GB2312" w:eastAsia="仿宋_GB2312" w:cs="仿宋_GB2312"/>
          <w:kern w:val="0"/>
          <w:sz w:val="32"/>
          <w:szCs w:val="32"/>
          <w:shd w:val="clear" w:color="auto" w:fill="FFFFFF"/>
          <w:lang w:val="zh-CN"/>
        </w:rPr>
        <w:t>号文件《广元市财政局关于下达202</w:t>
      </w:r>
      <w:r>
        <w:rPr>
          <w:rFonts w:ascii="仿宋_GB2312" w:hAnsi="仿宋_GB2312" w:eastAsia="仿宋_GB2312" w:cs="仿宋_GB2312"/>
          <w:kern w:val="0"/>
          <w:sz w:val="32"/>
          <w:szCs w:val="32"/>
          <w:shd w:val="clear" w:color="auto" w:fill="FFFFFF"/>
          <w:lang w:val="zh-CN"/>
        </w:rPr>
        <w:t>2</w:t>
      </w:r>
      <w:r>
        <w:rPr>
          <w:rFonts w:hint="eastAsia" w:ascii="仿宋_GB2312" w:hAnsi="仿宋_GB2312" w:eastAsia="仿宋_GB2312" w:cs="仿宋_GB2312"/>
          <w:kern w:val="0"/>
          <w:sz w:val="32"/>
          <w:szCs w:val="32"/>
          <w:shd w:val="clear" w:color="auto" w:fill="FFFFFF"/>
          <w:lang w:val="zh-CN"/>
        </w:rPr>
        <w:t>年省级供销综合改革及发展专项资金预算的通知》，分配剑阁县深化供销合作社综合改革专项资金</w:t>
      </w:r>
      <w:r>
        <w:rPr>
          <w:rFonts w:ascii="仿宋_GB2312" w:hAnsi="仿宋_GB2312" w:eastAsia="仿宋_GB2312" w:cs="仿宋_GB2312"/>
          <w:kern w:val="0"/>
          <w:sz w:val="32"/>
          <w:szCs w:val="32"/>
          <w:shd w:val="clear" w:color="auto" w:fill="FFFFFF"/>
          <w:lang w:val="zh-CN"/>
        </w:rPr>
        <w:t>39</w:t>
      </w:r>
      <w:r>
        <w:rPr>
          <w:rFonts w:hint="eastAsia" w:ascii="仿宋_GB2312" w:hAnsi="仿宋_GB2312" w:eastAsia="仿宋_GB2312" w:cs="仿宋_GB2312"/>
          <w:kern w:val="0"/>
          <w:sz w:val="32"/>
          <w:szCs w:val="32"/>
          <w:shd w:val="clear" w:color="auto" w:fill="FFFFFF"/>
          <w:lang w:val="zh-CN"/>
        </w:rPr>
        <w:t>万元。说明项目资金申报、批复及预算调整等程序的相关情况。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tbl>
      <w:tblPr>
        <w:tblStyle w:val="15"/>
        <w:tblW w:w="8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505"/>
        <w:gridCol w:w="1605"/>
        <w:gridCol w:w="833"/>
        <w:gridCol w:w="772"/>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18" w:type="dxa"/>
          </w:tcPr>
          <w:p>
            <w:pPr>
              <w:adjustRightInd w:val="0"/>
              <w:snapToGrid w:val="0"/>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地区</w:t>
            </w:r>
          </w:p>
        </w:tc>
        <w:tc>
          <w:tcPr>
            <w:tcW w:w="3505" w:type="dxa"/>
          </w:tcPr>
          <w:p>
            <w:pPr>
              <w:adjustRightInd w:val="0"/>
              <w:snapToGrid w:val="0"/>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使用方向</w:t>
            </w:r>
          </w:p>
        </w:tc>
        <w:tc>
          <w:tcPr>
            <w:tcW w:w="1605" w:type="dxa"/>
          </w:tcPr>
          <w:p>
            <w:pPr>
              <w:adjustRightInd w:val="0"/>
              <w:snapToGrid w:val="0"/>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实施单位</w:t>
            </w:r>
          </w:p>
        </w:tc>
        <w:tc>
          <w:tcPr>
            <w:tcW w:w="833" w:type="dxa"/>
          </w:tcPr>
          <w:p>
            <w:pPr>
              <w:adjustRightInd w:val="0"/>
              <w:snapToGrid w:val="0"/>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金额</w:t>
            </w:r>
          </w:p>
        </w:tc>
        <w:tc>
          <w:tcPr>
            <w:tcW w:w="772" w:type="dxa"/>
          </w:tcPr>
          <w:p>
            <w:pPr>
              <w:adjustRightInd w:val="0"/>
              <w:snapToGrid w:val="0"/>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824" w:type="dxa"/>
          </w:tcPr>
          <w:p>
            <w:pPr>
              <w:adjustRightInd w:val="0"/>
              <w:snapToGrid w:val="0"/>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118" w:type="dxa"/>
            <w:vMerge w:val="restart"/>
            <w:vAlign w:val="center"/>
          </w:tcPr>
          <w:p>
            <w:pPr>
              <w:adjustRightInd w:val="0"/>
              <w:snapToGrid w:val="0"/>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剑阁县</w:t>
            </w:r>
          </w:p>
        </w:tc>
        <w:tc>
          <w:tcPr>
            <w:tcW w:w="3505" w:type="dxa"/>
            <w:vMerge w:val="restart"/>
            <w:vAlign w:val="center"/>
          </w:tcPr>
          <w:p>
            <w:pPr>
              <w:adjustRightInd w:val="0"/>
              <w:snapToGrid w:val="0"/>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建设基层社示范社</w:t>
            </w:r>
          </w:p>
        </w:tc>
        <w:tc>
          <w:tcPr>
            <w:tcW w:w="1605" w:type="dxa"/>
          </w:tcPr>
          <w:p>
            <w:pPr>
              <w:adjustRightInd w:val="0"/>
              <w:snapToGrid w:val="0"/>
              <w:spacing w:line="6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东宝中心社</w:t>
            </w:r>
          </w:p>
        </w:tc>
        <w:tc>
          <w:tcPr>
            <w:tcW w:w="833" w:type="dxa"/>
            <w:vAlign w:val="center"/>
          </w:tcPr>
          <w:p>
            <w:pPr>
              <w:adjustRightInd w:val="0"/>
              <w:snapToGrid w:val="0"/>
              <w:spacing w:line="60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772" w:type="dxa"/>
            <w:vMerge w:val="restart"/>
            <w:vAlign w:val="center"/>
          </w:tcPr>
          <w:p>
            <w:pPr>
              <w:adjustRightInd w:val="0"/>
              <w:snapToGrid w:val="0"/>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39</w:t>
            </w:r>
          </w:p>
        </w:tc>
        <w:tc>
          <w:tcPr>
            <w:tcW w:w="824" w:type="dxa"/>
            <w:vAlign w:val="center"/>
          </w:tcPr>
          <w:p>
            <w:pPr>
              <w:adjustRightInd w:val="0"/>
              <w:snapToGrid w:val="0"/>
              <w:spacing w:line="600" w:lineRule="exact"/>
              <w:jc w:val="center"/>
              <w:rPr>
                <w:rFonts w:ascii="仿宋_GB2312" w:hAnsi="仿宋_GB2312" w:eastAsia="仿宋_GB2312" w:cs="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18" w:type="dxa"/>
            <w:vMerge w:val="continue"/>
          </w:tcPr>
          <w:p>
            <w:pPr>
              <w:adjustRightInd w:val="0"/>
              <w:snapToGrid w:val="0"/>
              <w:spacing w:line="600" w:lineRule="exact"/>
              <w:jc w:val="center"/>
              <w:rPr>
                <w:rFonts w:ascii="仿宋_GB2312" w:hAnsi="仿宋_GB2312" w:eastAsia="仿宋_GB2312" w:cs="仿宋_GB2312"/>
                <w:sz w:val="24"/>
                <w:lang w:val="zh-CN"/>
              </w:rPr>
            </w:pPr>
          </w:p>
        </w:tc>
        <w:tc>
          <w:tcPr>
            <w:tcW w:w="3505" w:type="dxa"/>
            <w:vMerge w:val="continue"/>
          </w:tcPr>
          <w:p>
            <w:pPr>
              <w:adjustRightInd w:val="0"/>
              <w:snapToGrid w:val="0"/>
              <w:spacing w:line="600" w:lineRule="exact"/>
              <w:jc w:val="center"/>
              <w:rPr>
                <w:rFonts w:ascii="仿宋_GB2312" w:hAnsi="仿宋_GB2312" w:eastAsia="仿宋_GB2312" w:cs="仿宋_GB2312"/>
                <w:sz w:val="24"/>
                <w:lang w:val="zh-CN"/>
              </w:rPr>
            </w:pPr>
          </w:p>
        </w:tc>
        <w:tc>
          <w:tcPr>
            <w:tcW w:w="1605" w:type="dxa"/>
          </w:tcPr>
          <w:p>
            <w:pPr>
              <w:adjustRightInd w:val="0"/>
              <w:snapToGrid w:val="0"/>
              <w:spacing w:line="6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杨村中心社</w:t>
            </w:r>
          </w:p>
        </w:tc>
        <w:tc>
          <w:tcPr>
            <w:tcW w:w="833" w:type="dxa"/>
            <w:vAlign w:val="center"/>
          </w:tcPr>
          <w:p>
            <w:pPr>
              <w:adjustRightInd w:val="0"/>
              <w:snapToGrid w:val="0"/>
              <w:spacing w:line="60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772" w:type="dxa"/>
            <w:vMerge w:val="continue"/>
            <w:vAlign w:val="center"/>
          </w:tcPr>
          <w:p>
            <w:pPr>
              <w:adjustRightInd w:val="0"/>
              <w:snapToGrid w:val="0"/>
              <w:spacing w:line="600" w:lineRule="exact"/>
              <w:jc w:val="center"/>
              <w:rPr>
                <w:rFonts w:ascii="仿宋_GB2312" w:hAnsi="仿宋_GB2312" w:eastAsia="仿宋_GB2312" w:cs="仿宋_GB2312"/>
                <w:sz w:val="24"/>
                <w:lang w:val="zh-CN"/>
              </w:rPr>
            </w:pPr>
          </w:p>
        </w:tc>
        <w:tc>
          <w:tcPr>
            <w:tcW w:w="824" w:type="dxa"/>
            <w:vAlign w:val="center"/>
          </w:tcPr>
          <w:p>
            <w:pPr>
              <w:adjustRightInd w:val="0"/>
              <w:snapToGrid w:val="0"/>
              <w:spacing w:line="600" w:lineRule="exact"/>
              <w:jc w:val="center"/>
              <w:rPr>
                <w:rFonts w:ascii="仿宋_GB2312" w:hAnsi="仿宋_GB2312" w:eastAsia="仿宋_GB2312" w:cs="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18" w:type="dxa"/>
            <w:vMerge w:val="continue"/>
          </w:tcPr>
          <w:p>
            <w:pPr>
              <w:adjustRightInd w:val="0"/>
              <w:snapToGrid w:val="0"/>
              <w:spacing w:line="600" w:lineRule="exact"/>
              <w:jc w:val="center"/>
              <w:rPr>
                <w:rFonts w:ascii="仿宋_GB2312" w:hAnsi="仿宋_GB2312" w:eastAsia="仿宋_GB2312" w:cs="仿宋_GB2312"/>
                <w:sz w:val="24"/>
                <w:lang w:val="zh-CN"/>
              </w:rPr>
            </w:pPr>
          </w:p>
        </w:tc>
        <w:tc>
          <w:tcPr>
            <w:tcW w:w="3505" w:type="dxa"/>
            <w:vMerge w:val="continue"/>
          </w:tcPr>
          <w:p>
            <w:pPr>
              <w:adjustRightInd w:val="0"/>
              <w:snapToGrid w:val="0"/>
              <w:spacing w:line="600" w:lineRule="exact"/>
              <w:jc w:val="center"/>
              <w:rPr>
                <w:rFonts w:ascii="仿宋_GB2312" w:hAnsi="仿宋_GB2312" w:eastAsia="仿宋_GB2312" w:cs="仿宋_GB2312"/>
                <w:sz w:val="24"/>
                <w:lang w:val="zh-CN"/>
              </w:rPr>
            </w:pPr>
          </w:p>
        </w:tc>
        <w:tc>
          <w:tcPr>
            <w:tcW w:w="1605" w:type="dxa"/>
          </w:tcPr>
          <w:p>
            <w:pPr>
              <w:adjustRightInd w:val="0"/>
              <w:snapToGrid w:val="0"/>
              <w:spacing w:line="6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下寺中心社</w:t>
            </w:r>
          </w:p>
        </w:tc>
        <w:tc>
          <w:tcPr>
            <w:tcW w:w="833" w:type="dxa"/>
            <w:vAlign w:val="center"/>
          </w:tcPr>
          <w:p>
            <w:pPr>
              <w:adjustRightInd w:val="0"/>
              <w:snapToGrid w:val="0"/>
              <w:spacing w:line="60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772" w:type="dxa"/>
            <w:vMerge w:val="continue"/>
            <w:vAlign w:val="center"/>
          </w:tcPr>
          <w:p>
            <w:pPr>
              <w:adjustRightInd w:val="0"/>
              <w:snapToGrid w:val="0"/>
              <w:spacing w:line="600" w:lineRule="exact"/>
              <w:jc w:val="center"/>
              <w:rPr>
                <w:rFonts w:ascii="仿宋_GB2312" w:hAnsi="仿宋_GB2312" w:eastAsia="仿宋_GB2312" w:cs="仿宋_GB2312"/>
                <w:sz w:val="24"/>
                <w:lang w:val="zh-CN"/>
              </w:rPr>
            </w:pPr>
          </w:p>
        </w:tc>
        <w:tc>
          <w:tcPr>
            <w:tcW w:w="824" w:type="dxa"/>
            <w:vAlign w:val="center"/>
          </w:tcPr>
          <w:p>
            <w:pPr>
              <w:adjustRightInd w:val="0"/>
              <w:snapToGrid w:val="0"/>
              <w:spacing w:line="600" w:lineRule="exact"/>
              <w:jc w:val="center"/>
              <w:rPr>
                <w:rFonts w:ascii="仿宋_GB2312" w:hAnsi="仿宋_GB2312" w:eastAsia="仿宋_GB2312" w:cs="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18" w:type="dxa"/>
            <w:vMerge w:val="continue"/>
          </w:tcPr>
          <w:p>
            <w:pPr>
              <w:adjustRightInd w:val="0"/>
              <w:snapToGrid w:val="0"/>
              <w:spacing w:line="600" w:lineRule="exact"/>
              <w:jc w:val="center"/>
              <w:rPr>
                <w:rFonts w:ascii="仿宋_GB2312" w:hAnsi="仿宋_GB2312" w:eastAsia="仿宋_GB2312" w:cs="仿宋_GB2312"/>
                <w:sz w:val="24"/>
                <w:lang w:val="zh-CN"/>
              </w:rPr>
            </w:pPr>
          </w:p>
        </w:tc>
        <w:tc>
          <w:tcPr>
            <w:tcW w:w="3505" w:type="dxa"/>
            <w:vMerge w:val="continue"/>
          </w:tcPr>
          <w:p>
            <w:pPr>
              <w:adjustRightInd w:val="0"/>
              <w:snapToGrid w:val="0"/>
              <w:spacing w:line="600" w:lineRule="exact"/>
              <w:jc w:val="center"/>
              <w:rPr>
                <w:rFonts w:ascii="仿宋_GB2312" w:hAnsi="仿宋_GB2312" w:eastAsia="仿宋_GB2312" w:cs="仿宋_GB2312"/>
                <w:sz w:val="24"/>
                <w:lang w:val="zh-CN"/>
              </w:rPr>
            </w:pPr>
          </w:p>
        </w:tc>
        <w:tc>
          <w:tcPr>
            <w:tcW w:w="1605" w:type="dxa"/>
          </w:tcPr>
          <w:p>
            <w:pPr>
              <w:adjustRightInd w:val="0"/>
              <w:snapToGrid w:val="0"/>
              <w:spacing w:line="6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木马中心社</w:t>
            </w:r>
          </w:p>
        </w:tc>
        <w:tc>
          <w:tcPr>
            <w:tcW w:w="833" w:type="dxa"/>
            <w:vAlign w:val="center"/>
          </w:tcPr>
          <w:p>
            <w:pPr>
              <w:adjustRightInd w:val="0"/>
              <w:snapToGrid w:val="0"/>
              <w:spacing w:line="60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772" w:type="dxa"/>
            <w:vMerge w:val="continue"/>
            <w:vAlign w:val="center"/>
          </w:tcPr>
          <w:p>
            <w:pPr>
              <w:adjustRightInd w:val="0"/>
              <w:snapToGrid w:val="0"/>
              <w:spacing w:line="600" w:lineRule="exact"/>
              <w:jc w:val="center"/>
              <w:rPr>
                <w:rFonts w:ascii="仿宋_GB2312" w:hAnsi="仿宋_GB2312" w:eastAsia="仿宋_GB2312" w:cs="仿宋_GB2312"/>
                <w:sz w:val="24"/>
                <w:lang w:val="zh-CN"/>
              </w:rPr>
            </w:pPr>
          </w:p>
        </w:tc>
        <w:tc>
          <w:tcPr>
            <w:tcW w:w="824" w:type="dxa"/>
            <w:vAlign w:val="center"/>
          </w:tcPr>
          <w:p>
            <w:pPr>
              <w:adjustRightInd w:val="0"/>
              <w:snapToGrid w:val="0"/>
              <w:spacing w:line="600" w:lineRule="exact"/>
              <w:jc w:val="center"/>
              <w:rPr>
                <w:rFonts w:ascii="仿宋_GB2312" w:hAnsi="仿宋_GB2312" w:eastAsia="仿宋_GB2312" w:cs="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18" w:type="dxa"/>
            <w:vMerge w:val="continue"/>
          </w:tcPr>
          <w:p>
            <w:pPr>
              <w:adjustRightInd w:val="0"/>
              <w:snapToGrid w:val="0"/>
              <w:spacing w:line="600" w:lineRule="exact"/>
              <w:jc w:val="center"/>
              <w:rPr>
                <w:rFonts w:ascii="仿宋_GB2312" w:hAnsi="仿宋_GB2312" w:eastAsia="仿宋_GB2312" w:cs="仿宋_GB2312"/>
                <w:sz w:val="24"/>
                <w:lang w:val="zh-CN"/>
              </w:rPr>
            </w:pPr>
          </w:p>
        </w:tc>
        <w:tc>
          <w:tcPr>
            <w:tcW w:w="3505" w:type="dxa"/>
            <w:vMerge w:val="restart"/>
            <w:vAlign w:val="center"/>
          </w:tcPr>
          <w:p>
            <w:pPr>
              <w:adjustRightInd w:val="0"/>
              <w:snapToGrid w:val="0"/>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流通服务网络建设提升</w:t>
            </w:r>
          </w:p>
          <w:p>
            <w:pPr>
              <w:adjustRightInd w:val="0"/>
              <w:snapToGrid w:val="0"/>
              <w:spacing w:line="600" w:lineRule="exact"/>
              <w:jc w:val="center"/>
              <w:rPr>
                <w:rFonts w:ascii="仿宋_GB2312" w:hAnsi="仿宋_GB2312" w:eastAsia="仿宋_GB2312" w:cs="仿宋_GB2312"/>
                <w:sz w:val="24"/>
              </w:rPr>
            </w:pPr>
          </w:p>
        </w:tc>
        <w:tc>
          <w:tcPr>
            <w:tcW w:w="1605" w:type="dxa"/>
          </w:tcPr>
          <w:p>
            <w:pPr>
              <w:adjustRightInd w:val="0"/>
              <w:snapToGrid w:val="0"/>
              <w:spacing w:line="6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武连中心社</w:t>
            </w:r>
          </w:p>
        </w:tc>
        <w:tc>
          <w:tcPr>
            <w:tcW w:w="833" w:type="dxa"/>
            <w:vAlign w:val="center"/>
          </w:tcPr>
          <w:p>
            <w:pPr>
              <w:adjustRightInd w:val="0"/>
              <w:snapToGrid w:val="0"/>
              <w:spacing w:line="60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772" w:type="dxa"/>
            <w:vMerge w:val="continue"/>
            <w:vAlign w:val="center"/>
          </w:tcPr>
          <w:p>
            <w:pPr>
              <w:adjustRightInd w:val="0"/>
              <w:snapToGrid w:val="0"/>
              <w:spacing w:line="600" w:lineRule="exact"/>
              <w:jc w:val="center"/>
              <w:rPr>
                <w:rFonts w:ascii="仿宋_GB2312" w:hAnsi="仿宋_GB2312" w:eastAsia="仿宋_GB2312" w:cs="仿宋_GB2312"/>
                <w:sz w:val="24"/>
                <w:lang w:val="zh-CN"/>
              </w:rPr>
            </w:pPr>
          </w:p>
        </w:tc>
        <w:tc>
          <w:tcPr>
            <w:tcW w:w="824" w:type="dxa"/>
            <w:vAlign w:val="center"/>
          </w:tcPr>
          <w:p>
            <w:pPr>
              <w:adjustRightInd w:val="0"/>
              <w:snapToGrid w:val="0"/>
              <w:spacing w:line="600" w:lineRule="exact"/>
              <w:jc w:val="center"/>
              <w:rPr>
                <w:rFonts w:ascii="仿宋_GB2312" w:hAnsi="仿宋_GB2312" w:eastAsia="仿宋_GB2312" w:cs="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18" w:type="dxa"/>
            <w:vMerge w:val="continue"/>
          </w:tcPr>
          <w:p>
            <w:pPr>
              <w:adjustRightInd w:val="0"/>
              <w:snapToGrid w:val="0"/>
              <w:spacing w:line="600" w:lineRule="exact"/>
              <w:jc w:val="center"/>
              <w:rPr>
                <w:rFonts w:ascii="仿宋_GB2312" w:hAnsi="仿宋_GB2312" w:eastAsia="仿宋_GB2312" w:cs="仿宋_GB2312"/>
                <w:sz w:val="24"/>
                <w:lang w:val="zh-CN"/>
              </w:rPr>
            </w:pPr>
          </w:p>
        </w:tc>
        <w:tc>
          <w:tcPr>
            <w:tcW w:w="3505" w:type="dxa"/>
            <w:vMerge w:val="continue"/>
          </w:tcPr>
          <w:p>
            <w:pPr>
              <w:adjustRightInd w:val="0"/>
              <w:snapToGrid w:val="0"/>
              <w:spacing w:line="600" w:lineRule="exact"/>
              <w:jc w:val="center"/>
              <w:rPr>
                <w:rFonts w:ascii="仿宋_GB2312" w:hAnsi="仿宋_GB2312" w:eastAsia="仿宋_GB2312" w:cs="仿宋_GB2312"/>
                <w:sz w:val="24"/>
              </w:rPr>
            </w:pPr>
          </w:p>
        </w:tc>
        <w:tc>
          <w:tcPr>
            <w:tcW w:w="1605" w:type="dxa"/>
          </w:tcPr>
          <w:p>
            <w:pPr>
              <w:adjustRightInd w:val="0"/>
              <w:snapToGrid w:val="0"/>
              <w:spacing w:line="6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柳沟中心社</w:t>
            </w:r>
          </w:p>
        </w:tc>
        <w:tc>
          <w:tcPr>
            <w:tcW w:w="833" w:type="dxa"/>
            <w:vAlign w:val="center"/>
          </w:tcPr>
          <w:p>
            <w:pPr>
              <w:adjustRightInd w:val="0"/>
              <w:snapToGrid w:val="0"/>
              <w:spacing w:line="60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772" w:type="dxa"/>
            <w:vMerge w:val="continue"/>
            <w:vAlign w:val="center"/>
          </w:tcPr>
          <w:p>
            <w:pPr>
              <w:adjustRightInd w:val="0"/>
              <w:snapToGrid w:val="0"/>
              <w:spacing w:line="600" w:lineRule="exact"/>
              <w:jc w:val="center"/>
              <w:rPr>
                <w:rFonts w:ascii="仿宋_GB2312" w:hAnsi="仿宋_GB2312" w:eastAsia="仿宋_GB2312" w:cs="仿宋_GB2312"/>
                <w:sz w:val="24"/>
                <w:lang w:val="zh-CN"/>
              </w:rPr>
            </w:pPr>
          </w:p>
        </w:tc>
        <w:tc>
          <w:tcPr>
            <w:tcW w:w="824" w:type="dxa"/>
            <w:vAlign w:val="center"/>
          </w:tcPr>
          <w:p>
            <w:pPr>
              <w:adjustRightInd w:val="0"/>
              <w:snapToGrid w:val="0"/>
              <w:spacing w:line="600" w:lineRule="exact"/>
              <w:jc w:val="center"/>
              <w:rPr>
                <w:rFonts w:ascii="仿宋_GB2312" w:hAnsi="仿宋_GB2312" w:eastAsia="仿宋_GB2312" w:cs="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1118" w:type="dxa"/>
            <w:vMerge w:val="continue"/>
          </w:tcPr>
          <w:p>
            <w:pPr>
              <w:adjustRightInd w:val="0"/>
              <w:snapToGrid w:val="0"/>
              <w:spacing w:line="600" w:lineRule="exact"/>
              <w:jc w:val="center"/>
              <w:rPr>
                <w:rFonts w:ascii="仿宋_GB2312" w:hAnsi="仿宋_GB2312" w:eastAsia="仿宋_GB2312" w:cs="仿宋_GB2312"/>
                <w:sz w:val="24"/>
                <w:lang w:val="zh-CN"/>
              </w:rPr>
            </w:pPr>
          </w:p>
        </w:tc>
        <w:tc>
          <w:tcPr>
            <w:tcW w:w="3505" w:type="dxa"/>
            <w:vMerge w:val="continue"/>
          </w:tcPr>
          <w:p>
            <w:pPr>
              <w:adjustRightInd w:val="0"/>
              <w:snapToGrid w:val="0"/>
              <w:spacing w:line="600" w:lineRule="exact"/>
              <w:jc w:val="center"/>
              <w:rPr>
                <w:rFonts w:ascii="仿宋_GB2312" w:hAnsi="仿宋_GB2312" w:eastAsia="仿宋_GB2312" w:cs="仿宋_GB2312"/>
                <w:sz w:val="24"/>
              </w:rPr>
            </w:pPr>
          </w:p>
        </w:tc>
        <w:tc>
          <w:tcPr>
            <w:tcW w:w="1605" w:type="dxa"/>
          </w:tcPr>
          <w:p>
            <w:pPr>
              <w:adjustRightInd w:val="0"/>
              <w:snapToGrid w:val="0"/>
              <w:spacing w:line="6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剑阁县蜀韵农业供销发展（集团）有限公司</w:t>
            </w:r>
          </w:p>
        </w:tc>
        <w:tc>
          <w:tcPr>
            <w:tcW w:w="833" w:type="dxa"/>
            <w:vAlign w:val="center"/>
          </w:tcPr>
          <w:p>
            <w:pPr>
              <w:adjustRightInd w:val="0"/>
              <w:snapToGrid w:val="0"/>
              <w:spacing w:line="60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772" w:type="dxa"/>
            <w:vMerge w:val="continue"/>
            <w:vAlign w:val="center"/>
          </w:tcPr>
          <w:p>
            <w:pPr>
              <w:adjustRightInd w:val="0"/>
              <w:snapToGrid w:val="0"/>
              <w:spacing w:line="600" w:lineRule="exact"/>
              <w:jc w:val="center"/>
              <w:rPr>
                <w:rFonts w:ascii="仿宋_GB2312" w:hAnsi="仿宋_GB2312" w:eastAsia="仿宋_GB2312" w:cs="仿宋_GB2312"/>
                <w:sz w:val="24"/>
                <w:lang w:val="zh-CN"/>
              </w:rPr>
            </w:pPr>
          </w:p>
        </w:tc>
        <w:tc>
          <w:tcPr>
            <w:tcW w:w="824" w:type="dxa"/>
            <w:vAlign w:val="center"/>
          </w:tcPr>
          <w:p>
            <w:pPr>
              <w:adjustRightInd w:val="0"/>
              <w:snapToGrid w:val="0"/>
              <w:spacing w:line="600" w:lineRule="exact"/>
              <w:jc w:val="center"/>
              <w:rPr>
                <w:rFonts w:ascii="仿宋_GB2312" w:hAnsi="仿宋_GB2312" w:eastAsia="仿宋_GB2312" w:cs="仿宋_GB2312"/>
                <w:sz w:val="24"/>
                <w:lang w:val="zh-CN"/>
              </w:rPr>
            </w:pPr>
          </w:p>
        </w:tc>
      </w:tr>
    </w:tbl>
    <w:p>
      <w:pPr>
        <w:pStyle w:val="2"/>
        <w:ind w:left="420"/>
        <w:rPr>
          <w:lang w:val="zh-CN"/>
        </w:rPr>
      </w:pP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为严肃财经纪律，进一步规范项目资金管理，提高财务管理水平和项目资金使用效益，根据有关规定，剑阁县供销社制定了《剑阁县供销合作社联合社综改项目（专项）资金管理办法》。</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项目资金严格按工程进度进行拨付，项目资金使用坚持量入为出的原则，严格控制项目资金的支出范围，杜绝不符合规定的一切支出，做到专款专用。报销用的发票必是合规、合法的票据，不符合规定要求的票据，不予报销。报销用的票据必须按财务规定，经手人签字，项目负责人签字，分管领导审核后报主要领导审批报支。对所有款项支付均通过银行转账直接支付，未使用现金结算。</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三、项目实施及管理情况</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结合项目组织实施管理办法，重点围绕以下内容进行分析评价，并对自评中发现的问题分析说明。</w:t>
      </w:r>
    </w:p>
    <w:p>
      <w:pPr>
        <w:pStyle w:val="27"/>
        <w:numPr>
          <w:ilvl w:val="0"/>
          <w:numId w:val="7"/>
        </w:numPr>
        <w:adjustRightInd w:val="0"/>
        <w:snapToGrid w:val="0"/>
        <w:spacing w:line="578" w:lineRule="exact"/>
        <w:ind w:firstLineChars="0"/>
        <w:rPr>
          <w:rFonts w:ascii="楷体_GB2312" w:hAnsi="宋体" w:eastAsia="楷体_GB2312"/>
          <w:b/>
          <w:sz w:val="32"/>
          <w:szCs w:val="32"/>
          <w:lang w:val="zh-CN"/>
        </w:rPr>
      </w:pPr>
      <w:r>
        <w:rPr>
          <w:rFonts w:hint="eastAsia" w:ascii="楷体_GB2312" w:hAnsi="宋体" w:eastAsia="楷体_GB2312"/>
          <w:b/>
          <w:sz w:val="32"/>
          <w:szCs w:val="32"/>
          <w:lang w:val="zh-CN"/>
        </w:rPr>
        <w:t>项目组织架构及实施流程。</w:t>
      </w:r>
    </w:p>
    <w:p>
      <w:pPr>
        <w:pStyle w:val="7"/>
        <w:spacing w:before="93"/>
        <w:ind w:firstLine="600" w:firstLineChars="200"/>
        <w:rPr>
          <w:lang w:val="zh-CN"/>
        </w:rPr>
      </w:pPr>
      <w:r>
        <w:rPr>
          <w:rFonts w:hint="eastAsia"/>
          <w:lang w:val="zh-CN"/>
        </w:rPr>
        <w:t>日常工作主要流程围绕前—中—后开展。</w:t>
      </w:r>
    </w:p>
    <w:p>
      <w:pPr>
        <w:pStyle w:val="27"/>
        <w:numPr>
          <w:ilvl w:val="0"/>
          <w:numId w:val="7"/>
        </w:numPr>
        <w:adjustRightInd w:val="0"/>
        <w:snapToGrid w:val="0"/>
        <w:spacing w:line="578" w:lineRule="exact"/>
        <w:ind w:firstLineChars="0"/>
        <w:rPr>
          <w:rFonts w:ascii="仿宋_GB2312" w:hAnsi="仿宋_GB2312" w:eastAsia="仿宋_GB2312" w:cs="仿宋_GB2312"/>
          <w:kern w:val="0"/>
          <w:sz w:val="32"/>
          <w:szCs w:val="32"/>
          <w:shd w:val="clear" w:color="auto" w:fill="FFFFFF"/>
          <w:lang w:val="zh-CN"/>
        </w:rPr>
      </w:pPr>
      <w:r>
        <w:rPr>
          <w:rFonts w:hint="eastAsia" w:ascii="楷体_GB2312" w:hAnsi="宋体" w:eastAsia="楷体_GB2312"/>
          <w:b/>
          <w:sz w:val="32"/>
          <w:szCs w:val="32"/>
          <w:lang w:val="zh-CN"/>
        </w:rPr>
        <w:t>项目管理情况。</w:t>
      </w:r>
    </w:p>
    <w:p>
      <w:pPr>
        <w:pStyle w:val="7"/>
        <w:spacing w:before="93"/>
        <w:ind w:firstLine="600" w:firstLineChars="200"/>
        <w:rPr>
          <w:lang w:val="zh-CN"/>
        </w:rPr>
      </w:pPr>
      <w:r>
        <w:rPr>
          <w:rFonts w:hint="eastAsia"/>
          <w:lang w:val="zh-CN"/>
        </w:rPr>
        <w:t>实行科学动态管理，以保证项目顺利实施为原则，认真做好日常工作。</w:t>
      </w:r>
    </w:p>
    <w:p>
      <w:pPr>
        <w:adjustRightInd w:val="0"/>
        <w:snapToGrid w:val="0"/>
        <w:spacing w:line="578" w:lineRule="exact"/>
        <w:ind w:firstLine="720"/>
        <w:rPr>
          <w:rFonts w:ascii="仿宋_GB2312" w:hAnsi="仿宋_GB2312" w:eastAsia="仿宋_GB2312" w:cs="仿宋_GB2312"/>
          <w:kern w:val="0"/>
          <w:sz w:val="32"/>
          <w:szCs w:val="32"/>
          <w:shd w:val="clear" w:color="auto" w:fill="FFFFFF"/>
          <w:lang w:val="zh-CN"/>
        </w:rPr>
      </w:pPr>
      <w:r>
        <w:rPr>
          <w:rFonts w:hint="eastAsia" w:ascii="楷体_GB2312" w:hAnsi="宋体" w:eastAsia="楷体_GB2312"/>
          <w:b/>
          <w:sz w:val="32"/>
          <w:szCs w:val="32"/>
          <w:lang w:val="zh-CN"/>
        </w:rPr>
        <w:t>（三）项目监管情况。</w:t>
      </w:r>
    </w:p>
    <w:p>
      <w:pPr>
        <w:adjustRightInd w:val="0"/>
        <w:snapToGrid w:val="0"/>
        <w:spacing w:line="578" w:lineRule="exact"/>
        <w:ind w:firstLine="72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为更好地开展供销综合改革工作，要求资金去向公开透明、政策法规及时传达、责任落实到人。</w:t>
      </w:r>
    </w:p>
    <w:p>
      <w:pPr>
        <w:adjustRightInd w:val="0"/>
        <w:snapToGrid w:val="0"/>
        <w:spacing w:line="578" w:lineRule="exact"/>
        <w:ind w:firstLine="720"/>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rPr>
        <w:t>分项目类别对应项目安排时确定的绩效目标完成情况</w:t>
      </w:r>
      <w:r>
        <w:rPr>
          <w:rFonts w:hint="eastAsia" w:ascii="仿宋_GB2312" w:hAnsi="仿宋_GB2312" w:cs="仿宋_GB2312"/>
          <w:kern w:val="0"/>
          <w:sz w:val="32"/>
          <w:szCs w:val="32"/>
          <w:shd w:val="clear" w:color="auto" w:fill="FFFFFF"/>
        </w:rPr>
        <w:t>进行</w:t>
      </w:r>
      <w:r>
        <w:rPr>
          <w:rFonts w:hint="eastAsia" w:ascii="仿宋_GB2312" w:hAnsi="仿宋_GB2312" w:eastAsia="仿宋_GB2312" w:cs="仿宋_GB2312"/>
          <w:kern w:val="0"/>
          <w:sz w:val="32"/>
          <w:szCs w:val="32"/>
          <w:shd w:val="clear" w:color="auto" w:fill="FFFFFF"/>
        </w:rPr>
        <w:t>分析，</w:t>
      </w:r>
      <w:r>
        <w:rPr>
          <w:rFonts w:hint="eastAsia" w:ascii="仿宋_GB2312" w:hAnsi="仿宋_GB2312" w:eastAsia="仿宋_GB2312" w:cs="仿宋_GB2312"/>
          <w:kern w:val="0"/>
          <w:sz w:val="32"/>
          <w:szCs w:val="32"/>
          <w:shd w:val="clear" w:color="auto" w:fill="FFFFFF"/>
          <w:lang w:val="zh-CN"/>
        </w:rPr>
        <w:t>包括项目完成数量、质量、时效、成本等情况，资金结余情况，违规记录等，对照项目计划完成目标对截至评价时点的任务量完成、质量标准、进度计划、成本控制目标的实现程度进行评价，并进行分析说明。</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1.社会效益</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(1)通过建设供销综合服务平台，带动了新型农业经营主体、农民专业合作社、家庭农场、种养大户的稳步发展，组织化、规模化和社会化程度进一步提升。</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通过打造土地托管服务平台，实现了农业生产的五个降低：即农资成本降低、农资用量降低、机械化成本降低、水电设施投入降低、管理成本降低。同时，促进了“八个”提高：即粮食产量提高、粮食品质提高、农民收入提高、机械化效率提高、规模化经营程度提高、科技兴农水平提高、劳动生产率提高、水电设施利用率提高。</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2.经济效益</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通过建设供销惠农综合服务平台，新建惠民综合服务社，构建了完整的供销惠农服务网络体系。农民在享受新的生活的同时，还将获得因惠农服务带来的巨大经济效益，攸县供销社为此将发挥着巨大的引领作用。</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(2)通过土地托管服务平台打造，解决了“谁来种地</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怎么种地”问题，拓展了新型农业社会化服务。县土地托管服务中心把各种经营服务主体进行整合，在耕、种、管、收、加、贮、销等环节可提供全程或单程服务，满足了保留土地经营权而自己又无力种地的群众需求，满足了各类不同农业生产主体的差异化需求，提升了农业生产的规模化、机械化、专业化水平。据观察点调查，土地托管的种子、机耕、育秧、插秧、施肥、治虫、收割、烘晒等全程成本可每亩降低150-180元，粮食亩产可增加100</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150斤，一增一减，每亩农田可多获益300元左右。</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rPr>
        <w:t>总体而言，通过项目的实施，剑阁县供销社在综改工作中取得了很好的成效，既符合供销社自身发展的需要，更符合县委、县人民政府提出的工作理念。县供销社积极融入县域经济发展大局，</w:t>
      </w:r>
      <w:r>
        <w:rPr>
          <w:rFonts w:hint="eastAsia" w:ascii="仿宋_GB2312" w:hAnsi="仿宋_GB2312" w:eastAsia="仿宋_GB2312" w:cs="仿宋_GB2312"/>
          <w:kern w:val="0"/>
          <w:sz w:val="32"/>
          <w:szCs w:val="32"/>
          <w:shd w:val="clear" w:color="auto" w:fill="FFFFFF"/>
          <w:lang w:eastAsia="zh-CN"/>
        </w:rPr>
        <w:t>成为</w:t>
      </w:r>
      <w:r>
        <w:rPr>
          <w:rFonts w:hint="eastAsia" w:ascii="仿宋_GB2312" w:hAnsi="仿宋_GB2312" w:eastAsia="仿宋_GB2312" w:cs="仿宋_GB2312"/>
          <w:kern w:val="0"/>
          <w:sz w:val="32"/>
          <w:szCs w:val="32"/>
          <w:shd w:val="clear" w:color="auto" w:fill="FFFFFF"/>
        </w:rPr>
        <w:t>农业产业升级的骨干力量，带动了农村经济的发展，帮助了农民脱贫致富，得到了广大群众的认可</w:t>
      </w:r>
      <w:r>
        <w:rPr>
          <w:rFonts w:hint="eastAsia" w:ascii="仿宋_GB2312" w:hAnsi="仿宋_GB2312" w:eastAsia="仿宋_GB2312" w:cs="仿宋_GB2312"/>
          <w:kern w:val="0"/>
          <w:sz w:val="32"/>
          <w:szCs w:val="32"/>
          <w:shd w:val="clear" w:color="auto" w:fill="FFFFFF"/>
          <w:lang w:val="zh-CN"/>
        </w:rPr>
        <w:t>。</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578" w:lineRule="exact"/>
        <w:ind w:firstLine="72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1.落实财政资金到位。202</w:t>
      </w:r>
      <w:r>
        <w:rPr>
          <w:rFonts w:ascii="仿宋_GB2312" w:hAnsi="仿宋_GB2312" w:eastAsia="仿宋_GB2312" w:cs="仿宋_GB2312"/>
          <w:kern w:val="0"/>
          <w:sz w:val="32"/>
          <w:szCs w:val="32"/>
          <w:shd w:val="clear" w:color="auto" w:fill="FFFFFF"/>
          <w:lang w:val="zh-CN"/>
        </w:rPr>
        <w:t>2</w:t>
      </w:r>
      <w:r>
        <w:rPr>
          <w:rFonts w:hint="eastAsia" w:ascii="仿宋_GB2312" w:hAnsi="仿宋_GB2312" w:eastAsia="仿宋_GB2312" w:cs="仿宋_GB2312"/>
          <w:kern w:val="0"/>
          <w:sz w:val="32"/>
          <w:szCs w:val="32"/>
          <w:shd w:val="clear" w:color="auto" w:fill="FFFFFF"/>
          <w:lang w:val="zh-CN"/>
        </w:rPr>
        <w:t>年拨付剑阁县供销合作社综合改革资金到位</w:t>
      </w:r>
      <w:r>
        <w:rPr>
          <w:rFonts w:ascii="仿宋_GB2312" w:hAnsi="仿宋_GB2312" w:eastAsia="仿宋_GB2312" w:cs="仿宋_GB2312"/>
          <w:kern w:val="0"/>
          <w:sz w:val="32"/>
          <w:szCs w:val="32"/>
          <w:shd w:val="clear" w:color="auto" w:fill="FFFFFF"/>
          <w:lang w:val="zh-CN"/>
        </w:rPr>
        <w:t>39</w:t>
      </w:r>
      <w:r>
        <w:rPr>
          <w:rFonts w:hint="eastAsia" w:ascii="仿宋_GB2312" w:hAnsi="仿宋_GB2312" w:eastAsia="仿宋_GB2312" w:cs="仿宋_GB2312"/>
          <w:kern w:val="0"/>
          <w:sz w:val="32"/>
          <w:szCs w:val="32"/>
          <w:shd w:val="clear" w:color="auto" w:fill="FFFFFF"/>
          <w:lang w:val="zh-CN"/>
        </w:rPr>
        <w:t>万元，支出实现100%，资金使用合法合规。</w:t>
      </w:r>
    </w:p>
    <w:p>
      <w:pPr>
        <w:adjustRightInd w:val="0"/>
        <w:snapToGrid w:val="0"/>
        <w:spacing w:line="578" w:lineRule="exact"/>
        <w:ind w:firstLine="72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2.提高了资金使用效益。综合改革资金由剑阁县供销合作社根据《剑阁县供销合作社联合社综改项目（专项）资金管理办法》严格控制资金使用，杜绝不符合规定的一切支出，做到专款专用。</w:t>
      </w:r>
    </w:p>
    <w:p>
      <w:pPr>
        <w:adjustRightInd w:val="0"/>
        <w:snapToGrid w:val="0"/>
        <w:spacing w:line="578" w:lineRule="exact"/>
        <w:ind w:firstLine="72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完善了社会合作体系。剑阁县供销发展专项资金打造了基层组织建设、农村社区综合维修服务体系建设、庄稼医院建设、农村合作金融服务、农资经营企业配送中心、连锁经营网络体系、批发交易市场和农业社会化科技服务场所，化肥生产、加工等紧密联系、为农服务功能更完备、市场化运行更高效的合作经济组织体系。</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1.项目资金相对于项目进展较慢，影响项目完成进度。</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2.重视程度不够高，少数基层单位对深化供销合作社综合改革的重要性、紧迫性、时代性认识有待提高，存在“等、靠、看”的思想，责任落实不够到位，目标细化不够明确，措施不够具体。</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3.项目实施推进存在偏慢的现象，与预期绩效目标还存在一定的差距。</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4.供销社整体经济实力较弱，密切与农民利益联结机制还没有完全建立，完成深化供销社综合改革还是存在很大难度</w:t>
      </w:r>
      <w:r>
        <w:rPr>
          <w:rFonts w:hint="eastAsia" w:ascii="仿宋_GB2312" w:hAnsi="仿宋_GB2312" w:eastAsia="仿宋_GB2312" w:cs="仿宋_GB2312"/>
          <w:kern w:val="0"/>
          <w:sz w:val="32"/>
          <w:szCs w:val="32"/>
          <w:shd w:val="clear" w:color="auto" w:fill="FFFFFF"/>
        </w:rPr>
        <w:t>。</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1.加强资金项目对接，确保项目经费及时到位，跟项目进度尽量保持一致。</w:t>
      </w:r>
    </w:p>
    <w:p>
      <w:pPr>
        <w:spacing w:line="58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2.加大综改政策的宣传力度，让各公司、基层社认识到深化供销综合改革的重要性、紧迫性、时代性。争取在综改工作中取得更大的突破。</w:t>
      </w:r>
    </w:p>
    <w:p>
      <w:pPr>
        <w:spacing w:line="58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做好项目实施的跟踪检查工作，对立项实施的各种计划项目，定期不定期地对项目实施情况和经费检查情况进行跟踪检查，对能够按照合同要求组织实施，并实现预算绩效目标的项目给予充分肯定，对不能按照合同要求组织实施，进展缓慢，预期绩效目标较差的项目，及时进行协调和提出整改措施，确保项目实施工作正常运行，达到预期绩效目标。</w:t>
      </w:r>
    </w:p>
    <w:p>
      <w:pPr>
        <w:spacing w:line="58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4.进一步规范管理，提高运营效率，培育网络品牌，真正把供销社系统打造成与农民联结更紧密、为农服务更加完备、市场化运作更高效的合作经济组织体系，成为服务农民生产生活的生力军和综合平台。</w:t>
      </w: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pStyle w:val="2"/>
        <w:ind w:left="420"/>
        <w:rPr>
          <w:lang w:val="zh-CN"/>
        </w:rPr>
      </w:pPr>
    </w:p>
    <w:p>
      <w:pPr>
        <w:widowControl/>
        <w:adjustRightInd w:val="0"/>
        <w:snapToGrid w:val="0"/>
        <w:spacing w:line="580" w:lineRule="exact"/>
        <w:ind w:firstLine="640" w:firstLineChars="200"/>
        <w:contextualSpacing/>
        <w:jc w:val="left"/>
        <w:rPr>
          <w:lang w:val="zh-CN"/>
        </w:rPr>
      </w:pPr>
      <w:r>
        <w:rPr>
          <w:rFonts w:hint="eastAsia" w:ascii="仿宋_GB2312" w:hAnsi="宋体" w:eastAsia="仿宋_GB2312" w:cs="宋体"/>
          <w:kern w:val="0"/>
          <w:sz w:val="32"/>
          <w:szCs w:val="32"/>
          <w:shd w:val="clear" w:color="auto" w:fill="FFFFFF"/>
          <w:lang w:val="zh-CN"/>
        </w:rPr>
        <w:t>附表：</w:t>
      </w:r>
    </w:p>
    <w:tbl>
      <w:tblPr>
        <w:tblStyle w:val="14"/>
        <w:tblW w:w="8980" w:type="dxa"/>
        <w:tblInd w:w="98" w:type="dxa"/>
        <w:tblLayout w:type="autofit"/>
        <w:tblCellMar>
          <w:top w:w="0" w:type="dxa"/>
          <w:left w:w="108" w:type="dxa"/>
          <w:bottom w:w="0" w:type="dxa"/>
          <w:right w:w="108" w:type="dxa"/>
        </w:tblCellMar>
      </w:tblPr>
      <w:tblGrid>
        <w:gridCol w:w="598"/>
        <w:gridCol w:w="615"/>
        <w:gridCol w:w="13"/>
        <w:gridCol w:w="707"/>
        <w:gridCol w:w="1693"/>
        <w:gridCol w:w="238"/>
        <w:gridCol w:w="668"/>
        <w:gridCol w:w="1016"/>
        <w:gridCol w:w="1016"/>
        <w:gridCol w:w="516"/>
        <w:gridCol w:w="971"/>
        <w:gridCol w:w="929"/>
      </w:tblGrid>
      <w:tr>
        <w:tblPrEx>
          <w:tblCellMar>
            <w:top w:w="0" w:type="dxa"/>
            <w:left w:w="108" w:type="dxa"/>
            <w:bottom w:w="0" w:type="dxa"/>
            <w:right w:w="108" w:type="dxa"/>
          </w:tblCellMar>
        </w:tblPrEx>
        <w:trPr>
          <w:trHeight w:val="420" w:hRule="atLeast"/>
        </w:trPr>
        <w:tc>
          <w:tcPr>
            <w:tcW w:w="8980" w:type="dxa"/>
            <w:gridSpan w:val="12"/>
            <w:tcBorders>
              <w:top w:val="nil"/>
              <w:left w:val="nil"/>
              <w:bottom w:val="nil"/>
              <w:right w:val="nil"/>
            </w:tcBorders>
            <w:shd w:val="clear" w:color="auto" w:fill="auto"/>
            <w:vAlign w:val="center"/>
          </w:tcPr>
          <w:p>
            <w:pPr>
              <w:widowControl/>
              <w:jc w:val="center"/>
              <w:textAlignment w:val="center"/>
              <w:rPr>
                <w:rFonts w:ascii="宋体" w:hAnsi="宋体" w:cs="宋体"/>
                <w:b/>
                <w:bCs/>
                <w:sz w:val="32"/>
                <w:szCs w:val="32"/>
              </w:rPr>
            </w:pPr>
            <w:r>
              <w:rPr>
                <w:rStyle w:val="35"/>
                <w:rFonts w:hint="default"/>
                <w:color w:val="auto"/>
                <w:lang w:bidi="ar"/>
              </w:rPr>
              <w:t xml:space="preserve">项目绩效目标自评表 </w:t>
            </w:r>
          </w:p>
        </w:tc>
      </w:tr>
      <w:tr>
        <w:tblPrEx>
          <w:tblCellMar>
            <w:top w:w="0" w:type="dxa"/>
            <w:left w:w="108" w:type="dxa"/>
            <w:bottom w:w="0" w:type="dxa"/>
            <w:right w:w="108" w:type="dxa"/>
          </w:tblCellMar>
        </w:tblPrEx>
        <w:trPr>
          <w:trHeight w:val="280" w:hRule="atLeast"/>
        </w:trPr>
        <w:tc>
          <w:tcPr>
            <w:tcW w:w="8980" w:type="dxa"/>
            <w:gridSpan w:val="12"/>
            <w:tcBorders>
              <w:top w:val="nil"/>
              <w:left w:val="nil"/>
              <w:bottom w:val="nil"/>
              <w:right w:val="nil"/>
            </w:tcBorders>
            <w:shd w:val="clear" w:color="auto" w:fill="auto"/>
          </w:tcPr>
          <w:p>
            <w:pPr>
              <w:widowControl/>
              <w:jc w:val="center"/>
              <w:textAlignment w:val="top"/>
              <w:rPr>
                <w:rFonts w:ascii="宋体" w:hAnsi="宋体" w:cs="宋体"/>
                <w:sz w:val="22"/>
                <w:szCs w:val="22"/>
              </w:rPr>
            </w:pPr>
            <w:r>
              <w:rPr>
                <w:rFonts w:hint="eastAsia" w:ascii="宋体" w:hAnsi="宋体" w:cs="宋体"/>
                <w:kern w:val="0"/>
                <w:sz w:val="22"/>
                <w:szCs w:val="22"/>
                <w:lang w:bidi="ar"/>
              </w:rPr>
              <w:t>（2022年度）</w:t>
            </w:r>
          </w:p>
        </w:tc>
      </w:tr>
      <w:tr>
        <w:tblPrEx>
          <w:tblCellMar>
            <w:top w:w="0" w:type="dxa"/>
            <w:left w:w="108" w:type="dxa"/>
            <w:bottom w:w="0" w:type="dxa"/>
            <w:right w:w="108" w:type="dxa"/>
          </w:tblCellMar>
        </w:tblPrEx>
        <w:trPr>
          <w:trHeight w:val="280" w:hRule="atLeast"/>
        </w:trPr>
        <w:tc>
          <w:tcPr>
            <w:tcW w:w="1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项目名称</w:t>
            </w:r>
          </w:p>
        </w:tc>
        <w:tc>
          <w:tcPr>
            <w:tcW w:w="33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建设基层社示范社</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项目负责人</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何永新</w:t>
            </w:r>
          </w:p>
        </w:tc>
      </w:tr>
      <w:tr>
        <w:tblPrEx>
          <w:tblCellMar>
            <w:top w:w="0" w:type="dxa"/>
            <w:left w:w="108" w:type="dxa"/>
            <w:bottom w:w="0" w:type="dxa"/>
            <w:right w:w="108" w:type="dxa"/>
          </w:tblCellMar>
        </w:tblPrEx>
        <w:trPr>
          <w:trHeight w:val="280" w:hRule="atLeast"/>
        </w:trPr>
        <w:tc>
          <w:tcPr>
            <w:tcW w:w="1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主管部门</w:t>
            </w:r>
          </w:p>
        </w:tc>
        <w:tc>
          <w:tcPr>
            <w:tcW w:w="33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剑阁县供销合作社联合社</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实施单位</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2"/>
                <w:szCs w:val="12"/>
              </w:rPr>
            </w:pPr>
            <w:r>
              <w:rPr>
                <w:rFonts w:hint="eastAsia" w:ascii="宋体" w:hAnsi="宋体" w:cs="宋体"/>
                <w:kern w:val="0"/>
                <w:sz w:val="12"/>
                <w:szCs w:val="12"/>
                <w:lang w:bidi="ar"/>
              </w:rPr>
              <w:t>东宝、杨村、下寺、木马</w:t>
            </w:r>
          </w:p>
        </w:tc>
      </w:tr>
      <w:tr>
        <w:tblPrEx>
          <w:tblCellMar>
            <w:top w:w="0" w:type="dxa"/>
            <w:left w:w="108" w:type="dxa"/>
            <w:bottom w:w="0" w:type="dxa"/>
            <w:right w:w="108" w:type="dxa"/>
          </w:tblCellMar>
        </w:tblPrEx>
        <w:trPr>
          <w:trHeight w:val="520" w:hRule="atLeast"/>
        </w:trPr>
        <w:tc>
          <w:tcPr>
            <w:tcW w:w="1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资金情况</w:t>
            </w: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24万元</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全年预算数（A）</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全年执行数（B）</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分值</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执行率（B/A)</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得分</w:t>
            </w:r>
          </w:p>
        </w:tc>
      </w:tr>
      <w:tr>
        <w:tblPrEx>
          <w:tblCellMar>
            <w:top w:w="0" w:type="dxa"/>
            <w:left w:w="108" w:type="dxa"/>
            <w:bottom w:w="0" w:type="dxa"/>
            <w:right w:w="108" w:type="dxa"/>
          </w:tblCellMar>
        </w:tblPrEx>
        <w:trPr>
          <w:trHeight w:val="280" w:hRule="atLeast"/>
        </w:trPr>
        <w:tc>
          <w:tcPr>
            <w:tcW w:w="1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（万元）</w:t>
            </w: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年度资金总额：</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r>
      <w:tr>
        <w:tblPrEx>
          <w:tblCellMar>
            <w:top w:w="0" w:type="dxa"/>
            <w:left w:w="108" w:type="dxa"/>
            <w:bottom w:w="0" w:type="dxa"/>
            <w:right w:w="108" w:type="dxa"/>
          </w:tblCellMar>
        </w:tblPrEx>
        <w:trPr>
          <w:trHeight w:val="28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36"/>
                <w:rFonts w:hint="default"/>
                <w:color w:val="auto"/>
                <w:lang w:bidi="ar"/>
              </w:rPr>
              <w:t xml:space="preserve"> 其中：中央、省、市财政资金</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w:t>
            </w:r>
          </w:p>
        </w:tc>
      </w:tr>
      <w:tr>
        <w:tblPrEx>
          <w:tblCellMar>
            <w:top w:w="0" w:type="dxa"/>
            <w:left w:w="108" w:type="dxa"/>
            <w:bottom w:w="0" w:type="dxa"/>
            <w:right w:w="108" w:type="dxa"/>
          </w:tblCellMar>
        </w:tblPrEx>
        <w:trPr>
          <w:trHeight w:val="28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36"/>
                <w:rFonts w:hint="default"/>
                <w:color w:val="auto"/>
                <w:lang w:bidi="ar"/>
              </w:rPr>
              <w:t xml:space="preserve">       县级财政资金</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0</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4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36"/>
                <w:rFonts w:hint="default"/>
                <w:color w:val="auto"/>
                <w:lang w:bidi="ar"/>
              </w:rPr>
              <w:t xml:space="preserve">       其他资金</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sz w:val="20"/>
                <w:szCs w:val="20"/>
              </w:rPr>
              <w:t>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r>
      <w:tr>
        <w:tblPrEx>
          <w:tblCellMar>
            <w:top w:w="0" w:type="dxa"/>
            <w:left w:w="108" w:type="dxa"/>
            <w:bottom w:w="0" w:type="dxa"/>
            <w:right w:w="108" w:type="dxa"/>
          </w:tblCellMar>
        </w:tblPrEx>
        <w:trPr>
          <w:trHeight w:val="28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2"/>
                <w:szCs w:val="12"/>
                <w:lang w:bidi="ar"/>
              </w:rPr>
              <w:t>年度总体目标</w:t>
            </w:r>
          </w:p>
        </w:tc>
        <w:tc>
          <w:tcPr>
            <w:tcW w:w="39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年初设定目标</w:t>
            </w:r>
          </w:p>
        </w:tc>
        <w:tc>
          <w:tcPr>
            <w:tcW w:w="44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年度总体目标完成情况综述</w:t>
            </w:r>
          </w:p>
        </w:tc>
      </w:tr>
      <w:tr>
        <w:tblPrEx>
          <w:tblCellMar>
            <w:top w:w="0" w:type="dxa"/>
            <w:left w:w="108" w:type="dxa"/>
            <w:bottom w:w="0" w:type="dxa"/>
            <w:right w:w="108" w:type="dxa"/>
          </w:tblCellMar>
        </w:tblPrEx>
        <w:trPr>
          <w:trHeight w:val="551"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39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2"/>
                <w:szCs w:val="12"/>
              </w:rPr>
            </w:pPr>
            <w:r>
              <w:rPr>
                <w:rFonts w:hint="eastAsia" w:ascii="宋体" w:hAnsi="宋体" w:cs="宋体"/>
                <w:kern w:val="0"/>
                <w:sz w:val="12"/>
                <w:szCs w:val="12"/>
                <w:lang w:bidi="ar"/>
              </w:rPr>
              <w:t>建成柳沟基层社示范社，提升综合服务能力，推动集体经济发展壮大。</w:t>
            </w:r>
          </w:p>
        </w:tc>
        <w:tc>
          <w:tcPr>
            <w:tcW w:w="44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2"/>
                <w:szCs w:val="12"/>
              </w:rPr>
            </w:pPr>
            <w:r>
              <w:rPr>
                <w:rFonts w:hint="eastAsia" w:ascii="宋体" w:hAnsi="宋体" w:cs="宋体"/>
                <w:kern w:val="0"/>
                <w:sz w:val="12"/>
                <w:szCs w:val="12"/>
                <w:lang w:bidi="ar"/>
              </w:rPr>
              <w:t>建成柳沟基层社示范社，提升综合服务能力，推动集体经济发展壮大。</w:t>
            </w:r>
          </w:p>
        </w:tc>
      </w:tr>
      <w:tr>
        <w:tblPrEx>
          <w:tblCellMar>
            <w:top w:w="0" w:type="dxa"/>
            <w:left w:w="108" w:type="dxa"/>
            <w:bottom w:w="0" w:type="dxa"/>
            <w:right w:w="108" w:type="dxa"/>
          </w:tblCellMar>
        </w:tblPrEx>
        <w:trPr>
          <w:trHeight w:val="28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绩效指标</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一级</w:t>
            </w:r>
          </w:p>
          <w:p>
            <w:pPr>
              <w:widowControl/>
              <w:jc w:val="center"/>
              <w:textAlignment w:val="center"/>
              <w:rPr>
                <w:rFonts w:ascii="宋体" w:hAnsi="宋体" w:cs="宋体"/>
                <w:sz w:val="20"/>
                <w:szCs w:val="20"/>
              </w:rPr>
            </w:pPr>
            <w:r>
              <w:rPr>
                <w:rFonts w:hint="eastAsia" w:ascii="宋体" w:hAnsi="宋体" w:cs="宋体"/>
                <w:kern w:val="0"/>
                <w:sz w:val="20"/>
                <w:szCs w:val="20"/>
                <w:lang w:bidi="ar"/>
              </w:rPr>
              <w:t>指标</w:t>
            </w:r>
          </w:p>
        </w:tc>
        <w:tc>
          <w:tcPr>
            <w:tcW w:w="7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二级</w:t>
            </w:r>
          </w:p>
          <w:p>
            <w:pPr>
              <w:widowControl/>
              <w:jc w:val="center"/>
              <w:textAlignment w:val="center"/>
              <w:rPr>
                <w:rFonts w:ascii="宋体" w:hAnsi="宋体" w:cs="宋体"/>
                <w:sz w:val="20"/>
                <w:szCs w:val="20"/>
              </w:rPr>
            </w:pPr>
            <w:r>
              <w:rPr>
                <w:rFonts w:hint="eastAsia" w:ascii="宋体" w:hAnsi="宋体" w:cs="宋体"/>
                <w:kern w:val="0"/>
                <w:sz w:val="20"/>
                <w:szCs w:val="20"/>
                <w:lang w:bidi="ar"/>
              </w:rPr>
              <w:t>指标</w:t>
            </w:r>
          </w:p>
        </w:tc>
        <w:tc>
          <w:tcPr>
            <w:tcW w:w="19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三级指标</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分值</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年度指标值</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全年</w:t>
            </w:r>
          </w:p>
        </w:tc>
        <w:tc>
          <w:tcPr>
            <w:tcW w:w="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得分</w:t>
            </w:r>
          </w:p>
        </w:tc>
        <w:tc>
          <w:tcPr>
            <w:tcW w:w="19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未完成原因及拟采取的改进措施</w:t>
            </w:r>
          </w:p>
        </w:tc>
      </w:tr>
      <w:tr>
        <w:tblPrEx>
          <w:tblCellMar>
            <w:top w:w="0" w:type="dxa"/>
            <w:left w:w="108" w:type="dxa"/>
            <w:bottom w:w="0" w:type="dxa"/>
            <w:right w:w="108" w:type="dxa"/>
          </w:tblCellMar>
        </w:tblPrEx>
        <w:trPr>
          <w:trHeight w:val="2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9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实际值</w:t>
            </w:r>
          </w:p>
        </w:tc>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产出指标（50分）</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数量</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基层社示范社建设</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20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5</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20</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16"/>
                <w:szCs w:val="16"/>
              </w:rPr>
            </w:pPr>
          </w:p>
        </w:tc>
      </w:tr>
      <w:tr>
        <w:tblPrEx>
          <w:tblCellMar>
            <w:top w:w="0" w:type="dxa"/>
            <w:left w:w="108" w:type="dxa"/>
            <w:bottom w:w="0" w:type="dxa"/>
            <w:right w:w="108" w:type="dxa"/>
          </w:tblCellMar>
        </w:tblPrEx>
        <w:trPr>
          <w:trHeight w:val="2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质量</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基层社综合服务功能</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明显提升</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明显提升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16"/>
                <w:szCs w:val="16"/>
              </w:rPr>
            </w:pPr>
          </w:p>
        </w:tc>
      </w:tr>
      <w:tr>
        <w:tblPrEx>
          <w:tblCellMar>
            <w:top w:w="0" w:type="dxa"/>
            <w:left w:w="108" w:type="dxa"/>
            <w:bottom w:w="0" w:type="dxa"/>
            <w:right w:w="108" w:type="dxa"/>
          </w:tblCellMar>
        </w:tblPrEx>
        <w:trPr>
          <w:trHeight w:val="2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时效</w:t>
            </w:r>
          </w:p>
        </w:tc>
        <w:tc>
          <w:tcPr>
            <w:tcW w:w="19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完成时间</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202</w:t>
            </w:r>
            <w:r>
              <w:rPr>
                <w:rFonts w:ascii="宋体" w:hAnsi="宋体" w:cs="宋体"/>
                <w:kern w:val="0"/>
                <w:sz w:val="16"/>
                <w:szCs w:val="16"/>
                <w:lang w:bidi="ar"/>
              </w:rPr>
              <w:t>2</w:t>
            </w:r>
            <w:r>
              <w:rPr>
                <w:rFonts w:hint="eastAsia" w:ascii="宋体" w:hAnsi="宋体" w:cs="宋体"/>
                <w:kern w:val="0"/>
                <w:sz w:val="16"/>
                <w:szCs w:val="16"/>
                <w:lang w:bidi="ar"/>
              </w:rPr>
              <w:t>.12.30</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202</w:t>
            </w:r>
            <w:r>
              <w:rPr>
                <w:rFonts w:ascii="宋体" w:hAnsi="宋体" w:cs="宋体"/>
                <w:kern w:val="0"/>
                <w:sz w:val="16"/>
                <w:szCs w:val="16"/>
                <w:lang w:bidi="ar"/>
              </w:rPr>
              <w:t>2</w:t>
            </w:r>
            <w:r>
              <w:rPr>
                <w:rFonts w:hint="eastAsia" w:ascii="宋体" w:hAnsi="宋体" w:cs="宋体"/>
                <w:kern w:val="0"/>
                <w:sz w:val="16"/>
                <w:szCs w:val="16"/>
                <w:lang w:bidi="ar"/>
              </w:rPr>
              <w:t>.12.30</w:t>
            </w:r>
          </w:p>
        </w:tc>
        <w:tc>
          <w:tcPr>
            <w:tcW w:w="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16"/>
                <w:szCs w:val="16"/>
              </w:rPr>
            </w:pPr>
          </w:p>
        </w:tc>
      </w:tr>
      <w:tr>
        <w:tblPrEx>
          <w:tblCellMar>
            <w:top w:w="0" w:type="dxa"/>
            <w:left w:w="108" w:type="dxa"/>
            <w:bottom w:w="0" w:type="dxa"/>
            <w:right w:w="108" w:type="dxa"/>
          </w:tblCellMar>
        </w:tblPrEx>
        <w:trPr>
          <w:trHeight w:val="2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指标</w:t>
            </w:r>
          </w:p>
        </w:tc>
        <w:tc>
          <w:tcPr>
            <w:tcW w:w="19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16"/>
                <w:szCs w:val="16"/>
              </w:rPr>
            </w:pPr>
          </w:p>
        </w:tc>
      </w:tr>
      <w:tr>
        <w:tblPrEx>
          <w:tblCellMar>
            <w:top w:w="0" w:type="dxa"/>
            <w:left w:w="108" w:type="dxa"/>
            <w:bottom w:w="0" w:type="dxa"/>
            <w:right w:w="108" w:type="dxa"/>
          </w:tblCellMar>
        </w:tblPrEx>
        <w:trPr>
          <w:trHeight w:val="2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成本</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基层社示范社建设24万元</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24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sz w:val="16"/>
                <w:szCs w:val="16"/>
              </w:rPr>
            </w:pPr>
          </w:p>
        </w:tc>
      </w:tr>
      <w:tr>
        <w:tblPrEx>
          <w:tblCellMar>
            <w:top w:w="0" w:type="dxa"/>
            <w:left w:w="108" w:type="dxa"/>
            <w:bottom w:w="0" w:type="dxa"/>
            <w:right w:w="108" w:type="dxa"/>
          </w:tblCellMar>
        </w:tblPrEx>
        <w:trPr>
          <w:trHeight w:val="2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效绩指标（30分）</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经济效益指标</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 xml:space="preserve">全资控股基层社营业总收入年增长率 </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16"/>
                <w:szCs w:val="16"/>
              </w:rPr>
            </w:pPr>
          </w:p>
        </w:tc>
      </w:tr>
      <w:tr>
        <w:tblPrEx>
          <w:tblCellMar>
            <w:top w:w="0" w:type="dxa"/>
            <w:left w:w="108" w:type="dxa"/>
            <w:bottom w:w="0" w:type="dxa"/>
            <w:right w:w="108" w:type="dxa"/>
          </w:tblCellMar>
        </w:tblPrEx>
        <w:trPr>
          <w:trHeight w:val="2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社会效益指标</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社会满意度≥100%</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16"/>
                <w:szCs w:val="16"/>
              </w:rPr>
            </w:pPr>
          </w:p>
        </w:tc>
      </w:tr>
      <w:tr>
        <w:tblPrEx>
          <w:tblCellMar>
            <w:top w:w="0" w:type="dxa"/>
            <w:left w:w="108" w:type="dxa"/>
            <w:bottom w:w="0" w:type="dxa"/>
            <w:right w:w="108" w:type="dxa"/>
          </w:tblCellMar>
        </w:tblPrEx>
        <w:trPr>
          <w:trHeight w:val="2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生态效益指标</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优化营销环境率≥100%</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100%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100%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5</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16"/>
                <w:szCs w:val="16"/>
              </w:rPr>
            </w:pPr>
          </w:p>
        </w:tc>
      </w:tr>
      <w:tr>
        <w:tblPrEx>
          <w:tblCellMar>
            <w:top w:w="0" w:type="dxa"/>
            <w:left w:w="108" w:type="dxa"/>
            <w:bottom w:w="0" w:type="dxa"/>
            <w:right w:w="108" w:type="dxa"/>
          </w:tblCellMar>
        </w:tblPrEx>
        <w:trPr>
          <w:trHeight w:val="36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可持续影响指标</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持续增效年限≥5年</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10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5</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16"/>
                <w:szCs w:val="16"/>
              </w:rPr>
            </w:pPr>
          </w:p>
        </w:tc>
      </w:tr>
      <w:tr>
        <w:tblPrEx>
          <w:tblCellMar>
            <w:top w:w="0" w:type="dxa"/>
            <w:left w:w="108" w:type="dxa"/>
            <w:bottom w:w="0" w:type="dxa"/>
            <w:right w:w="108" w:type="dxa"/>
          </w:tblCellMar>
        </w:tblPrEx>
        <w:trPr>
          <w:trHeight w:val="86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满意度指标</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服务对象满意度指标</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受益群众满意度≥98%</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98%</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98%</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10</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16"/>
                <w:szCs w:val="16"/>
              </w:rPr>
            </w:pPr>
          </w:p>
        </w:tc>
      </w:tr>
      <w:tr>
        <w:tblPrEx>
          <w:tblCellMar>
            <w:top w:w="0" w:type="dxa"/>
            <w:left w:w="108" w:type="dxa"/>
            <w:bottom w:w="0" w:type="dxa"/>
            <w:right w:w="108" w:type="dxa"/>
          </w:tblCellMar>
        </w:tblPrEx>
        <w:trPr>
          <w:trHeight w:val="280" w:hRule="atLeast"/>
        </w:trPr>
        <w:tc>
          <w:tcPr>
            <w:tcW w:w="38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总分</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bl>
    <w:p>
      <w:pPr>
        <w:pStyle w:val="7"/>
        <w:spacing w:before="93"/>
        <w:rPr>
          <w:color w:val="FF0000"/>
          <w:lang w:val="zh-CN"/>
        </w:rPr>
      </w:pPr>
    </w:p>
    <w:tbl>
      <w:tblPr>
        <w:tblStyle w:val="14"/>
        <w:tblW w:w="9020" w:type="dxa"/>
        <w:tblInd w:w="98" w:type="dxa"/>
        <w:tblLayout w:type="fixed"/>
        <w:tblCellMar>
          <w:top w:w="0" w:type="dxa"/>
          <w:left w:w="108" w:type="dxa"/>
          <w:bottom w:w="0" w:type="dxa"/>
          <w:right w:w="108" w:type="dxa"/>
        </w:tblCellMar>
      </w:tblPr>
      <w:tblGrid>
        <w:gridCol w:w="617"/>
        <w:gridCol w:w="616"/>
        <w:gridCol w:w="14"/>
        <w:gridCol w:w="740"/>
        <w:gridCol w:w="1806"/>
        <w:gridCol w:w="256"/>
        <w:gridCol w:w="736"/>
        <w:gridCol w:w="974"/>
        <w:gridCol w:w="952"/>
        <w:gridCol w:w="723"/>
        <w:gridCol w:w="753"/>
        <w:gridCol w:w="833"/>
      </w:tblGrid>
      <w:tr>
        <w:tblPrEx>
          <w:tblCellMar>
            <w:top w:w="0" w:type="dxa"/>
            <w:left w:w="108" w:type="dxa"/>
            <w:bottom w:w="0" w:type="dxa"/>
            <w:right w:w="108" w:type="dxa"/>
          </w:tblCellMar>
        </w:tblPrEx>
        <w:trPr>
          <w:trHeight w:val="420" w:hRule="atLeast"/>
        </w:trPr>
        <w:tc>
          <w:tcPr>
            <w:tcW w:w="9020" w:type="dxa"/>
            <w:gridSpan w:val="12"/>
            <w:tcBorders>
              <w:top w:val="nil"/>
              <w:left w:val="nil"/>
              <w:bottom w:val="nil"/>
              <w:right w:val="nil"/>
            </w:tcBorders>
            <w:shd w:val="clear" w:color="auto" w:fill="auto"/>
            <w:vAlign w:val="center"/>
          </w:tcPr>
          <w:p>
            <w:pPr>
              <w:widowControl/>
              <w:jc w:val="center"/>
              <w:textAlignment w:val="center"/>
              <w:rPr>
                <w:rFonts w:ascii="宋体" w:hAnsi="宋体" w:cs="宋体"/>
                <w:b/>
                <w:bCs/>
                <w:sz w:val="32"/>
                <w:szCs w:val="32"/>
              </w:rPr>
            </w:pPr>
            <w:r>
              <w:rPr>
                <w:rFonts w:hint="eastAsia" w:ascii="宋体" w:hAnsi="宋体" w:cs="宋体"/>
                <w:b/>
                <w:bCs/>
                <w:kern w:val="0"/>
                <w:sz w:val="32"/>
                <w:szCs w:val="32"/>
                <w:lang w:bidi="ar"/>
              </w:rPr>
              <w:t xml:space="preserve">项目绩效目标自评表 </w:t>
            </w:r>
          </w:p>
        </w:tc>
      </w:tr>
      <w:tr>
        <w:tblPrEx>
          <w:tblCellMar>
            <w:top w:w="0" w:type="dxa"/>
            <w:left w:w="108" w:type="dxa"/>
            <w:bottom w:w="0" w:type="dxa"/>
            <w:right w:w="108" w:type="dxa"/>
          </w:tblCellMar>
        </w:tblPrEx>
        <w:trPr>
          <w:trHeight w:val="280" w:hRule="atLeast"/>
        </w:trPr>
        <w:tc>
          <w:tcPr>
            <w:tcW w:w="9020" w:type="dxa"/>
            <w:gridSpan w:val="12"/>
            <w:tcBorders>
              <w:top w:val="nil"/>
              <w:left w:val="nil"/>
              <w:bottom w:val="nil"/>
              <w:right w:val="nil"/>
            </w:tcBorders>
            <w:shd w:val="clear" w:color="auto" w:fill="auto"/>
          </w:tcPr>
          <w:p>
            <w:pPr>
              <w:widowControl/>
              <w:jc w:val="center"/>
              <w:textAlignment w:val="top"/>
              <w:rPr>
                <w:rFonts w:ascii="宋体" w:hAnsi="宋体" w:cs="宋体"/>
                <w:sz w:val="22"/>
                <w:szCs w:val="22"/>
              </w:rPr>
            </w:pPr>
            <w:r>
              <w:rPr>
                <w:rFonts w:hint="eastAsia" w:ascii="宋体" w:hAnsi="宋体" w:cs="宋体"/>
                <w:kern w:val="0"/>
                <w:sz w:val="22"/>
                <w:szCs w:val="22"/>
                <w:lang w:bidi="ar"/>
              </w:rPr>
              <w:t>（2022年度）</w:t>
            </w:r>
          </w:p>
        </w:tc>
      </w:tr>
      <w:tr>
        <w:tblPrEx>
          <w:tblCellMar>
            <w:top w:w="0" w:type="dxa"/>
            <w:left w:w="108" w:type="dxa"/>
            <w:bottom w:w="0" w:type="dxa"/>
            <w:right w:w="108" w:type="dxa"/>
          </w:tblCellMar>
        </w:tblPrEx>
        <w:trPr>
          <w:trHeight w:val="280" w:hRule="atLeast"/>
        </w:trPr>
        <w:tc>
          <w:tcPr>
            <w:tcW w:w="12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bookmarkStart w:id="75" w:name="_GoBack" w:colFirst="5" w:colLast="8"/>
            <w:r>
              <w:rPr>
                <w:rFonts w:hint="eastAsia" w:ascii="宋体" w:hAnsi="宋体" w:cs="宋体"/>
                <w:kern w:val="0"/>
                <w:sz w:val="20"/>
                <w:szCs w:val="20"/>
                <w:lang w:bidi="ar"/>
              </w:rPr>
              <w:t>项目名称</w:t>
            </w:r>
          </w:p>
        </w:tc>
        <w:tc>
          <w:tcPr>
            <w:tcW w:w="35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sz w:val="20"/>
                <w:szCs w:val="20"/>
              </w:rPr>
              <w:t>流通服务网络建设提升</w:t>
            </w: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2"/>
                <w:sz w:val="20"/>
                <w:szCs w:val="20"/>
                <w:lang w:val="en-US" w:eastAsia="zh-CN" w:bidi="ar-SA"/>
              </w:rPr>
            </w:pPr>
            <w:r>
              <w:rPr>
                <w:rFonts w:hint="eastAsia" w:ascii="宋体" w:hAnsi="宋体" w:cs="宋体"/>
                <w:kern w:val="0"/>
                <w:sz w:val="20"/>
                <w:szCs w:val="20"/>
                <w:lang w:bidi="ar"/>
              </w:rPr>
              <w:t>项目负责人</w:t>
            </w:r>
          </w:p>
        </w:tc>
        <w:tc>
          <w:tcPr>
            <w:tcW w:w="23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2"/>
                <w:sz w:val="20"/>
                <w:szCs w:val="20"/>
                <w:lang w:val="en-US" w:eastAsia="zh-CN" w:bidi="ar-SA"/>
              </w:rPr>
            </w:pPr>
            <w:r>
              <w:rPr>
                <w:rFonts w:hint="eastAsia" w:ascii="宋体" w:hAnsi="宋体" w:cs="宋体"/>
                <w:kern w:val="0"/>
                <w:sz w:val="20"/>
                <w:szCs w:val="20"/>
                <w:lang w:bidi="ar"/>
              </w:rPr>
              <w:t>何永新</w:t>
            </w:r>
          </w:p>
        </w:tc>
      </w:tr>
      <w:bookmarkEnd w:id="75"/>
      <w:tr>
        <w:tblPrEx>
          <w:tblCellMar>
            <w:top w:w="0" w:type="dxa"/>
            <w:left w:w="108" w:type="dxa"/>
            <w:bottom w:w="0" w:type="dxa"/>
            <w:right w:w="108" w:type="dxa"/>
          </w:tblCellMar>
        </w:tblPrEx>
        <w:trPr>
          <w:trHeight w:val="280" w:hRule="atLeast"/>
        </w:trPr>
        <w:tc>
          <w:tcPr>
            <w:tcW w:w="12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主管部门</w:t>
            </w:r>
          </w:p>
        </w:tc>
        <w:tc>
          <w:tcPr>
            <w:tcW w:w="35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剑阁县供销合作社联合社</w:t>
            </w: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实施单位</w:t>
            </w:r>
          </w:p>
        </w:tc>
        <w:tc>
          <w:tcPr>
            <w:tcW w:w="23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2"/>
                <w:szCs w:val="12"/>
                <w:lang w:bidi="ar"/>
              </w:rPr>
            </w:pPr>
            <w:r>
              <w:rPr>
                <w:rFonts w:hint="eastAsia" w:ascii="宋体" w:hAnsi="宋体" w:cs="宋体"/>
                <w:kern w:val="0"/>
                <w:sz w:val="12"/>
                <w:szCs w:val="12"/>
                <w:lang w:bidi="ar"/>
              </w:rPr>
              <w:t>武连、柳沟、剑阁县蜀韵农业供銷发展(集团)有限公司</w:t>
            </w:r>
          </w:p>
        </w:tc>
      </w:tr>
      <w:tr>
        <w:tblPrEx>
          <w:tblCellMar>
            <w:top w:w="0" w:type="dxa"/>
            <w:left w:w="108" w:type="dxa"/>
            <w:bottom w:w="0" w:type="dxa"/>
            <w:right w:w="108" w:type="dxa"/>
          </w:tblCellMar>
        </w:tblPrEx>
        <w:trPr>
          <w:trHeight w:val="357" w:hRule="atLeast"/>
        </w:trPr>
        <w:tc>
          <w:tcPr>
            <w:tcW w:w="12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资金情况</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 w:val="16"/>
                <w:szCs w:val="16"/>
                <w:lang w:bidi="ar"/>
              </w:rPr>
            </w:pPr>
            <w:r>
              <w:rPr>
                <w:rFonts w:hint="eastAsia" w:ascii="宋体" w:hAnsi="宋体" w:cs="宋体"/>
                <w:kern w:val="0"/>
                <w:sz w:val="16"/>
                <w:szCs w:val="16"/>
                <w:lang w:bidi="ar"/>
              </w:rPr>
              <w:t>15</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1"/>
                <w:szCs w:val="11"/>
                <w:lang w:bidi="ar"/>
              </w:rPr>
              <w:t>全年预算数（A）</w:t>
            </w: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全年执数（B）</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1"/>
                <w:szCs w:val="11"/>
                <w:lang w:bidi="ar"/>
              </w:rPr>
            </w:pPr>
            <w:r>
              <w:rPr>
                <w:rFonts w:hint="eastAsia" w:ascii="宋体" w:hAnsi="宋体" w:cs="宋体"/>
                <w:kern w:val="0"/>
                <w:sz w:val="11"/>
                <w:szCs w:val="11"/>
                <w:lang w:bidi="ar"/>
              </w:rPr>
              <w:t>分值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3"/>
                <w:szCs w:val="13"/>
                <w:lang w:bidi="ar"/>
              </w:rPr>
              <w:t>执行率（B/A)</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得分</w:t>
            </w:r>
          </w:p>
        </w:tc>
      </w:tr>
      <w:tr>
        <w:tblPrEx>
          <w:tblCellMar>
            <w:top w:w="0" w:type="dxa"/>
            <w:left w:w="108" w:type="dxa"/>
            <w:bottom w:w="0" w:type="dxa"/>
            <w:right w:w="108" w:type="dxa"/>
          </w:tblCellMar>
        </w:tblPrEx>
        <w:trPr>
          <w:trHeight w:val="280" w:hRule="atLeast"/>
        </w:trPr>
        <w:tc>
          <w:tcPr>
            <w:tcW w:w="12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（万元）</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年度资金总额：</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sz w:val="20"/>
                <w:szCs w:val="20"/>
              </w:rPr>
              <w:t>0</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r>
      <w:tr>
        <w:tblPrEx>
          <w:tblCellMar>
            <w:top w:w="0" w:type="dxa"/>
            <w:left w:w="108" w:type="dxa"/>
            <w:bottom w:w="0" w:type="dxa"/>
            <w:right w:w="108" w:type="dxa"/>
          </w:tblCellMar>
        </w:tblPrEx>
        <w:trPr>
          <w:trHeight w:val="280" w:hRule="atLeast"/>
        </w:trPr>
        <w:tc>
          <w:tcPr>
            <w:tcW w:w="12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37"/>
                <w:rFonts w:hint="default"/>
                <w:color w:val="auto"/>
                <w:lang w:bidi="ar"/>
              </w:rPr>
              <w:t xml:space="preserve"> </w:t>
            </w:r>
            <w:r>
              <w:rPr>
                <w:rFonts w:hint="eastAsia" w:ascii="宋体" w:hAnsi="宋体" w:cs="宋体"/>
                <w:kern w:val="0"/>
                <w:sz w:val="16"/>
                <w:szCs w:val="16"/>
                <w:lang w:bidi="ar"/>
              </w:rPr>
              <w:t>其中：中央、省、市财政资金</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w:t>
            </w: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w:t>
            </w:r>
          </w:p>
        </w:tc>
      </w:tr>
      <w:tr>
        <w:tblPrEx>
          <w:tblCellMar>
            <w:top w:w="0" w:type="dxa"/>
            <w:left w:w="108" w:type="dxa"/>
            <w:bottom w:w="0" w:type="dxa"/>
            <w:right w:w="108" w:type="dxa"/>
          </w:tblCellMar>
        </w:tblPrEx>
        <w:trPr>
          <w:trHeight w:val="280" w:hRule="atLeast"/>
        </w:trPr>
        <w:tc>
          <w:tcPr>
            <w:tcW w:w="12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37"/>
                <w:rFonts w:hint="default"/>
                <w:color w:val="auto"/>
                <w:lang w:bidi="ar"/>
              </w:rPr>
              <w:t xml:space="preserve">       县级财政资金</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80" w:hRule="atLeast"/>
        </w:trPr>
        <w:tc>
          <w:tcPr>
            <w:tcW w:w="12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37"/>
                <w:rFonts w:hint="default"/>
                <w:color w:val="auto"/>
                <w:lang w:bidi="ar"/>
              </w:rPr>
              <w:t xml:space="preserve">       其他资金</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sz w:val="20"/>
                <w:szCs w:val="20"/>
              </w:rPr>
              <w:t>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r>
      <w:tr>
        <w:tblPrEx>
          <w:tblCellMar>
            <w:top w:w="0" w:type="dxa"/>
            <w:left w:w="108" w:type="dxa"/>
            <w:bottom w:w="0" w:type="dxa"/>
            <w:right w:w="108" w:type="dxa"/>
          </w:tblCellMar>
        </w:tblPrEx>
        <w:trPr>
          <w:trHeight w:val="280" w:hRule="atLeast"/>
        </w:trPr>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3"/>
                <w:szCs w:val="13"/>
                <w:lang w:bidi="ar"/>
              </w:rPr>
            </w:pPr>
            <w:r>
              <w:rPr>
                <w:rFonts w:hint="eastAsia" w:ascii="宋体" w:hAnsi="宋体" w:cs="宋体"/>
                <w:kern w:val="0"/>
                <w:sz w:val="13"/>
                <w:szCs w:val="13"/>
                <w:lang w:bidi="ar"/>
              </w:rPr>
              <w:t>年度总体目标</w:t>
            </w:r>
          </w:p>
        </w:tc>
        <w:tc>
          <w:tcPr>
            <w:tcW w:w="41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年初设定目标</w:t>
            </w:r>
          </w:p>
        </w:tc>
        <w:tc>
          <w:tcPr>
            <w:tcW w:w="42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年度总体目标完成情况综述</w:t>
            </w:r>
          </w:p>
        </w:tc>
      </w:tr>
      <w:tr>
        <w:tblPrEx>
          <w:tblCellMar>
            <w:top w:w="0" w:type="dxa"/>
            <w:left w:w="108" w:type="dxa"/>
            <w:bottom w:w="0" w:type="dxa"/>
            <w:right w:w="108" w:type="dxa"/>
          </w:tblCellMar>
        </w:tblPrEx>
        <w:trPr>
          <w:trHeight w:val="28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41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sz w:val="20"/>
                <w:szCs w:val="20"/>
              </w:rPr>
              <w:t>流通服务网络建设提升</w:t>
            </w:r>
          </w:p>
        </w:tc>
        <w:tc>
          <w:tcPr>
            <w:tcW w:w="42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sz w:val="20"/>
                <w:szCs w:val="20"/>
              </w:rPr>
              <w:t>流通服务网络建设提升</w:t>
            </w:r>
          </w:p>
        </w:tc>
      </w:tr>
      <w:tr>
        <w:tblPrEx>
          <w:tblCellMar>
            <w:top w:w="0" w:type="dxa"/>
            <w:left w:w="108" w:type="dxa"/>
            <w:bottom w:w="0" w:type="dxa"/>
            <w:right w:w="108" w:type="dxa"/>
          </w:tblCellMar>
        </w:tblPrEx>
        <w:trPr>
          <w:trHeight w:val="280" w:hRule="atLeast"/>
        </w:trPr>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绩效指标</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一级</w:t>
            </w:r>
          </w:p>
          <w:p>
            <w:pPr>
              <w:widowControl/>
              <w:jc w:val="center"/>
              <w:textAlignment w:val="center"/>
              <w:rPr>
                <w:rFonts w:ascii="宋体" w:hAnsi="宋体" w:cs="宋体"/>
                <w:sz w:val="20"/>
                <w:szCs w:val="20"/>
              </w:rPr>
            </w:pPr>
            <w:r>
              <w:rPr>
                <w:rFonts w:hint="eastAsia" w:ascii="宋体" w:hAnsi="宋体" w:cs="宋体"/>
                <w:kern w:val="0"/>
                <w:sz w:val="20"/>
                <w:szCs w:val="20"/>
                <w:lang w:bidi="ar"/>
              </w:rPr>
              <w:t>指标</w:t>
            </w:r>
          </w:p>
        </w:tc>
        <w:tc>
          <w:tcPr>
            <w:tcW w:w="7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二级</w:t>
            </w:r>
          </w:p>
          <w:p>
            <w:pPr>
              <w:widowControl/>
              <w:jc w:val="center"/>
              <w:textAlignment w:val="center"/>
              <w:rPr>
                <w:rFonts w:ascii="宋体" w:hAnsi="宋体" w:cs="宋体"/>
                <w:sz w:val="20"/>
                <w:szCs w:val="20"/>
              </w:rPr>
            </w:pPr>
            <w:r>
              <w:rPr>
                <w:rFonts w:hint="eastAsia" w:ascii="宋体" w:hAnsi="宋体" w:cs="宋体"/>
                <w:kern w:val="0"/>
                <w:sz w:val="20"/>
                <w:szCs w:val="20"/>
                <w:lang w:bidi="ar"/>
              </w:rPr>
              <w:t>指标</w:t>
            </w:r>
          </w:p>
        </w:tc>
        <w:tc>
          <w:tcPr>
            <w:tcW w:w="20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三级指标</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分值</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年度指标值</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全年</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得分</w:t>
            </w:r>
          </w:p>
        </w:tc>
        <w:tc>
          <w:tcPr>
            <w:tcW w:w="15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未完成原因及拟采取的改进措施</w:t>
            </w:r>
          </w:p>
        </w:tc>
      </w:tr>
      <w:tr>
        <w:tblPrEx>
          <w:tblCellMar>
            <w:top w:w="0" w:type="dxa"/>
            <w:left w:w="108" w:type="dxa"/>
            <w:bottom w:w="0" w:type="dxa"/>
            <w:right w:w="108" w:type="dxa"/>
          </w:tblCellMar>
        </w:tblPrEx>
        <w:trPr>
          <w:trHeight w:val="28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2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实际值</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5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8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产出指标（50分）</w:t>
            </w:r>
          </w:p>
        </w:tc>
        <w:tc>
          <w:tcPr>
            <w:tcW w:w="7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数量指标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新增基层社标杆社</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≥1个</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≥1个</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8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新增农事土地面积</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42000</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43500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35"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质量指标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基层社综合服务功能</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有明显提升</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有明显提升</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8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供销社系统农资农产品流通设施和能力</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有明显改善</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有明显改善</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8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信息化技术应用和服务能力</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有明显增强</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有明显增强</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8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时效指标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企业形象提升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有明显改变</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有明显改善</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8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成本指标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资金专项使用，</w:t>
            </w:r>
            <w:r>
              <w:rPr>
                <w:rFonts w:hint="eastAsia" w:ascii="宋体" w:hAnsi="宋体" w:cs="宋体"/>
                <w:kern w:val="0"/>
                <w:sz w:val="16"/>
                <w:szCs w:val="16"/>
                <w:lang w:eastAsia="zh-CN" w:bidi="ar"/>
              </w:rPr>
              <w:t>降低</w:t>
            </w:r>
            <w:r>
              <w:rPr>
                <w:rFonts w:hint="eastAsia" w:ascii="宋体" w:hAnsi="宋体" w:cs="宋体"/>
                <w:kern w:val="0"/>
                <w:sz w:val="16"/>
                <w:szCs w:val="16"/>
                <w:lang w:bidi="ar"/>
              </w:rPr>
              <w:t>费用成本</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年利润有所增加</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年利润增加</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8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效绩指标（30分）</w:t>
            </w:r>
          </w:p>
        </w:tc>
        <w:tc>
          <w:tcPr>
            <w:tcW w:w="7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经济效益指标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全资控股社有企业营业总收入年增长率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8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综合服务营业额年增长</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36"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社会效益指标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1"/>
                <w:szCs w:val="11"/>
                <w:lang w:bidi="ar"/>
              </w:rPr>
            </w:pPr>
            <w:r>
              <w:rPr>
                <w:rFonts w:hint="eastAsia" w:ascii="宋体" w:hAnsi="宋体" w:cs="宋体"/>
                <w:kern w:val="0"/>
                <w:sz w:val="11"/>
                <w:szCs w:val="11"/>
                <w:lang w:bidi="ar"/>
              </w:rPr>
              <w:t>全资控股社有企业年工资总额</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≥20万元</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≥20万元</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503"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1"/>
                <w:szCs w:val="11"/>
                <w:lang w:bidi="ar"/>
              </w:rPr>
            </w:pPr>
            <w:r>
              <w:rPr>
                <w:rFonts w:hint="eastAsia" w:ascii="宋体" w:hAnsi="宋体" w:cs="宋体"/>
                <w:kern w:val="0"/>
                <w:sz w:val="11"/>
                <w:szCs w:val="11"/>
                <w:lang w:bidi="ar"/>
              </w:rPr>
              <w:t>全资控股社有企业年实际上缴税费</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8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生态效益指标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节能减排</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有明显提升</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有明显提升</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6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3"/>
                <w:szCs w:val="13"/>
                <w:lang w:bidi="ar"/>
              </w:rPr>
            </w:pPr>
            <w:r>
              <w:rPr>
                <w:rFonts w:hint="eastAsia" w:ascii="宋体" w:hAnsi="宋体" w:cs="宋体"/>
                <w:kern w:val="0"/>
                <w:sz w:val="13"/>
                <w:szCs w:val="13"/>
                <w:lang w:bidi="ar"/>
              </w:rPr>
              <w:t>可持续影响指标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企业后劲不断增长，提升综合服务能力</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效益提升</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效益提升</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699"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3"/>
                <w:szCs w:val="13"/>
                <w:lang w:bidi="ar"/>
              </w:rPr>
            </w:pPr>
            <w:r>
              <w:rPr>
                <w:rFonts w:hint="eastAsia" w:ascii="宋体" w:hAnsi="宋体" w:cs="宋体"/>
                <w:kern w:val="0"/>
                <w:sz w:val="13"/>
                <w:szCs w:val="13"/>
                <w:lang w:bidi="ar"/>
              </w:rPr>
              <w:t>满意度指标</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3"/>
                <w:szCs w:val="13"/>
                <w:lang w:bidi="ar"/>
              </w:rPr>
            </w:pPr>
            <w:r>
              <w:rPr>
                <w:rFonts w:hint="eastAsia" w:ascii="宋体" w:hAnsi="宋体" w:cs="宋体"/>
                <w:kern w:val="0"/>
                <w:sz w:val="13"/>
                <w:szCs w:val="13"/>
                <w:lang w:bidi="ar"/>
              </w:rPr>
              <w:t>服务对象满意度指标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服务对象满意度</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≥99%</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≥99</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80" w:hRule="atLeast"/>
        </w:trPr>
        <w:tc>
          <w:tcPr>
            <w:tcW w:w="40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总分</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w:t>
            </w: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bl>
    <w:p>
      <w:pPr>
        <w:spacing w:line="600" w:lineRule="exact"/>
        <w:outlineLvl w:val="0"/>
        <w:rPr>
          <w:rFonts w:ascii="黑体" w:hAnsi="黑体" w:eastAsia="黑体"/>
          <w:sz w:val="44"/>
          <w:szCs w:val="44"/>
        </w:rPr>
      </w:pPr>
      <w:bookmarkStart w:id="61" w:name="_Toc15396618"/>
    </w:p>
    <w:p>
      <w:pPr>
        <w:spacing w:line="600" w:lineRule="exact"/>
        <w:jc w:val="center"/>
        <w:outlineLvl w:val="0"/>
        <w:rPr>
          <w:rFonts w:ascii="仿宋" w:hAnsi="仿宋" w:eastAsia="仿宋"/>
        </w:rPr>
      </w:pPr>
      <w:r>
        <w:rPr>
          <w:rFonts w:hint="eastAsia" w:ascii="黑体" w:hAnsi="黑体" w:eastAsia="黑体"/>
          <w:sz w:val="44"/>
          <w:szCs w:val="44"/>
        </w:rPr>
        <w:t>第</w:t>
      </w:r>
      <w:r>
        <w:rPr>
          <w:rStyle w:val="28"/>
          <w:rFonts w:hint="eastAsia" w:ascii="黑体" w:hAnsi="黑体" w:eastAsia="黑体"/>
          <w:b w:val="0"/>
        </w:rPr>
        <w:t>五部分 附表</w:t>
      </w:r>
      <w:bookmarkEnd w:id="58"/>
      <w:bookmarkEnd w:id="61"/>
      <w:bookmarkStart w:id="62" w:name="_Toc15396619"/>
    </w:p>
    <w:p>
      <w:pPr>
        <w:pStyle w:val="5"/>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62"/>
    </w:p>
    <w:p>
      <w:pPr>
        <w:pStyle w:val="5"/>
        <w:rPr>
          <w:rFonts w:ascii="仿宋" w:hAnsi="仿宋" w:eastAsia="仿宋"/>
        </w:rPr>
      </w:pPr>
      <w:bookmarkStart w:id="63" w:name="_Toc15396620"/>
      <w:r>
        <w:rPr>
          <w:rFonts w:hint="eastAsia" w:ascii="仿宋" w:hAnsi="仿宋" w:eastAsia="仿宋"/>
          <w:b w:val="0"/>
        </w:rPr>
        <w:t>二、收</w:t>
      </w:r>
      <w:r>
        <w:rPr>
          <w:rStyle w:val="29"/>
          <w:rFonts w:hint="eastAsia" w:ascii="仿宋" w:hAnsi="仿宋" w:eastAsia="仿宋"/>
          <w:b w:val="0"/>
          <w:bCs w:val="0"/>
        </w:rPr>
        <w:t>入决算表</w:t>
      </w:r>
      <w:bookmarkEnd w:id="63"/>
    </w:p>
    <w:p>
      <w:pPr>
        <w:pStyle w:val="5"/>
        <w:rPr>
          <w:rFonts w:ascii="仿宋" w:hAnsi="仿宋" w:eastAsia="仿宋"/>
        </w:rPr>
      </w:pPr>
      <w:bookmarkStart w:id="64"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64"/>
    </w:p>
    <w:p>
      <w:pPr>
        <w:pStyle w:val="5"/>
        <w:rPr>
          <w:rFonts w:ascii="仿宋" w:hAnsi="仿宋" w:eastAsia="仿宋"/>
          <w:b w:val="0"/>
        </w:rPr>
      </w:pPr>
      <w:bookmarkStart w:id="65"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65"/>
    </w:p>
    <w:p>
      <w:pPr>
        <w:pStyle w:val="5"/>
        <w:rPr>
          <w:rStyle w:val="29"/>
          <w:rFonts w:ascii="仿宋" w:hAnsi="仿宋" w:eastAsia="仿宋"/>
          <w:b w:val="0"/>
          <w:bCs w:val="0"/>
        </w:rPr>
      </w:pPr>
      <w:bookmarkStart w:id="66"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66"/>
      <w:bookmarkStart w:id="67" w:name="_Toc15396624"/>
    </w:p>
    <w:p>
      <w:pPr>
        <w:pStyle w:val="5"/>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67"/>
    </w:p>
    <w:p>
      <w:pPr>
        <w:pStyle w:val="5"/>
        <w:rPr>
          <w:rFonts w:ascii="仿宋" w:hAnsi="仿宋" w:eastAsia="仿宋"/>
        </w:rPr>
      </w:pPr>
      <w:bookmarkStart w:id="68"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68"/>
    </w:p>
    <w:p>
      <w:pPr>
        <w:pStyle w:val="5"/>
        <w:rPr>
          <w:rFonts w:ascii="仿宋" w:hAnsi="仿宋" w:eastAsia="仿宋"/>
        </w:rPr>
      </w:pPr>
      <w:bookmarkStart w:id="69"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69"/>
    </w:p>
    <w:p>
      <w:pPr>
        <w:pStyle w:val="5"/>
        <w:rPr>
          <w:rFonts w:ascii="仿宋" w:hAnsi="仿宋" w:eastAsia="仿宋"/>
        </w:rPr>
      </w:pPr>
      <w:bookmarkStart w:id="70"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70"/>
    </w:p>
    <w:p>
      <w:pPr>
        <w:pStyle w:val="5"/>
        <w:rPr>
          <w:rFonts w:ascii="仿宋" w:hAnsi="仿宋" w:eastAsia="仿宋"/>
        </w:rPr>
      </w:pPr>
      <w:bookmarkStart w:id="71" w:name="_Toc15396628"/>
      <w:r>
        <w:rPr>
          <w:rStyle w:val="29"/>
          <w:rFonts w:hint="eastAsia" w:ascii="仿宋" w:hAnsi="仿宋" w:eastAsia="仿宋"/>
          <w:b w:val="0"/>
          <w:bCs w:val="0"/>
        </w:rPr>
        <w:t>十、</w:t>
      </w:r>
      <w:bookmarkEnd w:id="71"/>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5"/>
        <w:rPr>
          <w:rFonts w:ascii="仿宋" w:hAnsi="仿宋" w:eastAsia="仿宋"/>
        </w:rPr>
      </w:pPr>
      <w:bookmarkStart w:id="72" w:name="_Toc15396629"/>
      <w:r>
        <w:rPr>
          <w:rStyle w:val="29"/>
          <w:rFonts w:hint="eastAsia" w:ascii="仿宋" w:hAnsi="仿宋" w:eastAsia="仿宋"/>
          <w:b w:val="0"/>
          <w:bCs w:val="0"/>
        </w:rPr>
        <w:t>十一、</w:t>
      </w:r>
      <w:bookmarkEnd w:id="72"/>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5"/>
        <w:rPr>
          <w:rFonts w:ascii="仿宋" w:hAnsi="仿宋" w:eastAsia="仿宋"/>
        </w:rPr>
      </w:pPr>
      <w:bookmarkStart w:id="73" w:name="_Toc15396630"/>
      <w:r>
        <w:rPr>
          <w:rStyle w:val="29"/>
          <w:rFonts w:hint="eastAsia" w:ascii="仿宋" w:hAnsi="仿宋" w:eastAsia="仿宋"/>
          <w:b w:val="0"/>
          <w:bCs w:val="0"/>
        </w:rPr>
        <w:t>十二、</w:t>
      </w:r>
      <w:bookmarkEnd w:id="73"/>
      <w:r>
        <w:rPr>
          <w:rStyle w:val="29"/>
          <w:rFonts w:hint="eastAsia" w:ascii="仿宋" w:hAnsi="仿宋" w:eastAsia="仿宋"/>
          <w:b w:val="0"/>
          <w:bCs w:val="0"/>
        </w:rPr>
        <w:t>国有资本经营预算财政拨款支出决算表</w:t>
      </w:r>
    </w:p>
    <w:p>
      <w:pPr>
        <w:pStyle w:val="5"/>
        <w:rPr>
          <w:rFonts w:eastAsia="仿宋"/>
        </w:rPr>
      </w:pPr>
      <w:bookmarkStart w:id="74" w:name="_Toc15396631"/>
      <w:r>
        <w:rPr>
          <w:rStyle w:val="29"/>
          <w:rFonts w:hint="eastAsia" w:ascii="仿宋" w:hAnsi="仿宋" w:eastAsia="仿宋"/>
          <w:b w:val="0"/>
          <w:bCs w:val="0"/>
        </w:rPr>
        <w:t>十三、</w:t>
      </w:r>
      <w:bookmarkEnd w:id="74"/>
      <w:r>
        <w:rPr>
          <w:rStyle w:val="29"/>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1F0C752-2B79-47C1-9105-A80B7EB48E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369C159-F455-411B-AC2A-572446D32CAA}"/>
  </w:font>
  <w:font w:name="Cambria">
    <w:panose1 w:val="02040503050406030204"/>
    <w:charset w:val="00"/>
    <w:family w:val="roman"/>
    <w:pitch w:val="default"/>
    <w:sig w:usb0="E00006FF" w:usb1="420024FF" w:usb2="02000000" w:usb3="00000000" w:csb0="2000019F" w:csb1="00000000"/>
    <w:embedRegular r:id="rId3" w:fontKey="{6465A618-C70D-4C77-A586-E39A44606F35}"/>
  </w:font>
  <w:font w:name="仿宋_GB2312">
    <w:altName w:val="仿宋"/>
    <w:panose1 w:val="02010609030101010101"/>
    <w:charset w:val="86"/>
    <w:family w:val="modern"/>
    <w:pitch w:val="default"/>
    <w:sig w:usb0="00000000" w:usb1="00000000" w:usb2="00000010" w:usb3="00000000" w:csb0="00040000" w:csb1="00000000"/>
    <w:embedRegular r:id="rId4" w:fontKey="{F7FBCA1A-33E5-4E04-A524-2BB698B4E687}"/>
  </w:font>
  <w:font w:name="仿宋">
    <w:panose1 w:val="02010609060101010101"/>
    <w:charset w:val="86"/>
    <w:family w:val="modern"/>
    <w:pitch w:val="default"/>
    <w:sig w:usb0="800002BF" w:usb1="38CF7CFA" w:usb2="00000016" w:usb3="00000000" w:csb0="00040001" w:csb1="00000000"/>
    <w:embedRegular r:id="rId5" w:fontKey="{19831244-894F-4E1B-93F8-1750065048F6}"/>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6" w:fontKey="{C5606F53-5D01-43A6-8372-EA6FA28C5C4D}"/>
  </w:font>
  <w:font w:name="楷体_GB2312">
    <w:altName w:val="楷体"/>
    <w:panose1 w:val="02010609030101010101"/>
    <w:charset w:val="86"/>
    <w:family w:val="modern"/>
    <w:pitch w:val="default"/>
    <w:sig w:usb0="00000000" w:usb1="00000000" w:usb2="00000010" w:usb3="00000000" w:csb0="00040000" w:csb1="00000000"/>
    <w:embedRegular r:id="rId7" w:fontKey="{E9DAB555-B2D0-48D5-B33B-BE04B91DB316}"/>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EBEF323"/>
    <w:multiLevelType w:val="singleLevel"/>
    <w:tmpl w:val="DEBEF323"/>
    <w:lvl w:ilvl="0" w:tentative="0">
      <w:start w:val="4"/>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FF674BC"/>
    <w:multiLevelType w:val="singleLevel"/>
    <w:tmpl w:val="FFF674BC"/>
    <w:lvl w:ilvl="0" w:tentative="0">
      <w:start w:val="1"/>
      <w:numFmt w:val="chineseCounting"/>
      <w:suff w:val="nothing"/>
      <w:lvlText w:val="%1、"/>
      <w:lvlJc w:val="left"/>
      <w:rPr>
        <w:rFonts w:hint="eastAsia"/>
      </w:rPr>
    </w:lvl>
  </w:abstractNum>
  <w:abstractNum w:abstractNumId="4">
    <w:nsid w:val="00EF05DC"/>
    <w:multiLevelType w:val="multilevel"/>
    <w:tmpl w:val="00EF05DC"/>
    <w:lvl w:ilvl="0" w:tentative="0">
      <w:start w:val="1"/>
      <w:numFmt w:val="japaneseCounting"/>
      <w:lvlText w:val="（%1）"/>
      <w:lvlJc w:val="left"/>
      <w:pPr>
        <w:ind w:left="1716" w:hanging="996"/>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A6E298A"/>
    <w:multiLevelType w:val="multilevel"/>
    <w:tmpl w:val="1A6E298A"/>
    <w:lvl w:ilvl="0" w:tentative="0">
      <w:start w:val="1"/>
      <w:numFmt w:val="japaneseCounting"/>
      <w:lvlText w:val="（%1）"/>
      <w:lvlJc w:val="left"/>
      <w:pPr>
        <w:ind w:left="1639" w:hanging="996"/>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092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31D5"/>
    <w:rsid w:val="00157BAB"/>
    <w:rsid w:val="001654D1"/>
    <w:rsid w:val="00174518"/>
    <w:rsid w:val="0018106D"/>
    <w:rsid w:val="001811E7"/>
    <w:rsid w:val="001877A7"/>
    <w:rsid w:val="00191536"/>
    <w:rsid w:val="00196687"/>
    <w:rsid w:val="001C0962"/>
    <w:rsid w:val="001D7531"/>
    <w:rsid w:val="001E5218"/>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80DDA"/>
    <w:rsid w:val="00294DC9"/>
    <w:rsid w:val="00295495"/>
    <w:rsid w:val="002A31DE"/>
    <w:rsid w:val="002B2613"/>
    <w:rsid w:val="002B3739"/>
    <w:rsid w:val="002D6D05"/>
    <w:rsid w:val="002F1818"/>
    <w:rsid w:val="002F567B"/>
    <w:rsid w:val="00316BCC"/>
    <w:rsid w:val="003216A9"/>
    <w:rsid w:val="00335A74"/>
    <w:rsid w:val="00342F6E"/>
    <w:rsid w:val="003572A4"/>
    <w:rsid w:val="00357D1A"/>
    <w:rsid w:val="0036561B"/>
    <w:rsid w:val="0037013F"/>
    <w:rsid w:val="00380C92"/>
    <w:rsid w:val="003A0C08"/>
    <w:rsid w:val="003A484F"/>
    <w:rsid w:val="003A4883"/>
    <w:rsid w:val="003B0BE0"/>
    <w:rsid w:val="003B0C1B"/>
    <w:rsid w:val="003B365A"/>
    <w:rsid w:val="003B688C"/>
    <w:rsid w:val="003C0291"/>
    <w:rsid w:val="003C39AE"/>
    <w:rsid w:val="003C7B60"/>
    <w:rsid w:val="003D0C0F"/>
    <w:rsid w:val="003D1FB2"/>
    <w:rsid w:val="003D66DA"/>
    <w:rsid w:val="003E1310"/>
    <w:rsid w:val="003E6F55"/>
    <w:rsid w:val="003E78BF"/>
    <w:rsid w:val="00406254"/>
    <w:rsid w:val="00413583"/>
    <w:rsid w:val="004223DE"/>
    <w:rsid w:val="00434489"/>
    <w:rsid w:val="00437085"/>
    <w:rsid w:val="0044100F"/>
    <w:rsid w:val="00443880"/>
    <w:rsid w:val="004464F4"/>
    <w:rsid w:val="00471401"/>
    <w:rsid w:val="00473F31"/>
    <w:rsid w:val="0048263A"/>
    <w:rsid w:val="00487E5D"/>
    <w:rsid w:val="004946A7"/>
    <w:rsid w:val="004A711F"/>
    <w:rsid w:val="004B199D"/>
    <w:rsid w:val="004B4690"/>
    <w:rsid w:val="004E0A2D"/>
    <w:rsid w:val="004E206B"/>
    <w:rsid w:val="004E6DF7"/>
    <w:rsid w:val="004F0FBD"/>
    <w:rsid w:val="004F5B08"/>
    <w:rsid w:val="00505A47"/>
    <w:rsid w:val="00512FDA"/>
    <w:rsid w:val="00520DA0"/>
    <w:rsid w:val="005400FC"/>
    <w:rsid w:val="005664BB"/>
    <w:rsid w:val="00566FFA"/>
    <w:rsid w:val="005671B3"/>
    <w:rsid w:val="0057481D"/>
    <w:rsid w:val="0058486E"/>
    <w:rsid w:val="00585B33"/>
    <w:rsid w:val="0059014D"/>
    <w:rsid w:val="005A40F0"/>
    <w:rsid w:val="005B5C64"/>
    <w:rsid w:val="005C5337"/>
    <w:rsid w:val="005C6BD0"/>
    <w:rsid w:val="005D1C8B"/>
    <w:rsid w:val="005D2A80"/>
    <w:rsid w:val="005D468D"/>
    <w:rsid w:val="005D5CED"/>
    <w:rsid w:val="005F1A4C"/>
    <w:rsid w:val="00604D55"/>
    <w:rsid w:val="00605688"/>
    <w:rsid w:val="006070AF"/>
    <w:rsid w:val="00607E6C"/>
    <w:rsid w:val="006101B1"/>
    <w:rsid w:val="00614E44"/>
    <w:rsid w:val="006212DC"/>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1DFF"/>
    <w:rsid w:val="007127B7"/>
    <w:rsid w:val="0071798E"/>
    <w:rsid w:val="007416B6"/>
    <w:rsid w:val="00746F48"/>
    <w:rsid w:val="0075404D"/>
    <w:rsid w:val="0076182A"/>
    <w:rsid w:val="00767B7E"/>
    <w:rsid w:val="00771DFF"/>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7516B"/>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C4238"/>
    <w:rsid w:val="009D3447"/>
    <w:rsid w:val="009D4711"/>
    <w:rsid w:val="009F1185"/>
    <w:rsid w:val="009F18CD"/>
    <w:rsid w:val="009F2A13"/>
    <w:rsid w:val="009F7527"/>
    <w:rsid w:val="00A04EB0"/>
    <w:rsid w:val="00A11478"/>
    <w:rsid w:val="00A13CC1"/>
    <w:rsid w:val="00A16847"/>
    <w:rsid w:val="00A237D8"/>
    <w:rsid w:val="00A268C4"/>
    <w:rsid w:val="00A307CD"/>
    <w:rsid w:val="00A30951"/>
    <w:rsid w:val="00A331C8"/>
    <w:rsid w:val="00A40A00"/>
    <w:rsid w:val="00A4142F"/>
    <w:rsid w:val="00A422EB"/>
    <w:rsid w:val="00A45BB7"/>
    <w:rsid w:val="00A5001B"/>
    <w:rsid w:val="00A56DF2"/>
    <w:rsid w:val="00A56E6E"/>
    <w:rsid w:val="00A67AB5"/>
    <w:rsid w:val="00A733B2"/>
    <w:rsid w:val="00A741C2"/>
    <w:rsid w:val="00A84EFC"/>
    <w:rsid w:val="00A91760"/>
    <w:rsid w:val="00A93B00"/>
    <w:rsid w:val="00A93C21"/>
    <w:rsid w:val="00AB64C9"/>
    <w:rsid w:val="00AC3C6A"/>
    <w:rsid w:val="00AD5620"/>
    <w:rsid w:val="00AD656B"/>
    <w:rsid w:val="00AD7C1B"/>
    <w:rsid w:val="00AE16BA"/>
    <w:rsid w:val="00AE1EBE"/>
    <w:rsid w:val="00AF5410"/>
    <w:rsid w:val="00B03C9D"/>
    <w:rsid w:val="00B060AE"/>
    <w:rsid w:val="00B10517"/>
    <w:rsid w:val="00B14E76"/>
    <w:rsid w:val="00B161B8"/>
    <w:rsid w:val="00B17956"/>
    <w:rsid w:val="00B2048C"/>
    <w:rsid w:val="00B2647E"/>
    <w:rsid w:val="00B27A14"/>
    <w:rsid w:val="00B310B9"/>
    <w:rsid w:val="00B35F3F"/>
    <w:rsid w:val="00B36CBB"/>
    <w:rsid w:val="00B425E0"/>
    <w:rsid w:val="00B440AA"/>
    <w:rsid w:val="00B44B70"/>
    <w:rsid w:val="00B453AD"/>
    <w:rsid w:val="00B46FB1"/>
    <w:rsid w:val="00B53C56"/>
    <w:rsid w:val="00B57DAF"/>
    <w:rsid w:val="00B77EA6"/>
    <w:rsid w:val="00B81598"/>
    <w:rsid w:val="00B841F1"/>
    <w:rsid w:val="00B944D6"/>
    <w:rsid w:val="00BA3294"/>
    <w:rsid w:val="00BB4CF4"/>
    <w:rsid w:val="00BB4DF0"/>
    <w:rsid w:val="00BC289F"/>
    <w:rsid w:val="00BC2D50"/>
    <w:rsid w:val="00BC5361"/>
    <w:rsid w:val="00BC5460"/>
    <w:rsid w:val="00BC6B50"/>
    <w:rsid w:val="00BD0E25"/>
    <w:rsid w:val="00BE776D"/>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9574C"/>
    <w:rsid w:val="00CB4E70"/>
    <w:rsid w:val="00CB7AFE"/>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37122"/>
    <w:rsid w:val="00D51276"/>
    <w:rsid w:val="00D60C48"/>
    <w:rsid w:val="00D7035F"/>
    <w:rsid w:val="00DA31F1"/>
    <w:rsid w:val="00DA634F"/>
    <w:rsid w:val="00DA65AC"/>
    <w:rsid w:val="00DB1913"/>
    <w:rsid w:val="00DC410D"/>
    <w:rsid w:val="00DC5A81"/>
    <w:rsid w:val="00DC68CA"/>
    <w:rsid w:val="00DC7CBA"/>
    <w:rsid w:val="00DD73B7"/>
    <w:rsid w:val="00DE7E7C"/>
    <w:rsid w:val="00DF28BC"/>
    <w:rsid w:val="00DF34B9"/>
    <w:rsid w:val="00E01053"/>
    <w:rsid w:val="00E07ACF"/>
    <w:rsid w:val="00E14CBB"/>
    <w:rsid w:val="00E331A1"/>
    <w:rsid w:val="00E33202"/>
    <w:rsid w:val="00E336A9"/>
    <w:rsid w:val="00E472B1"/>
    <w:rsid w:val="00E50624"/>
    <w:rsid w:val="00E568DF"/>
    <w:rsid w:val="00E64269"/>
    <w:rsid w:val="00E74D3C"/>
    <w:rsid w:val="00E74DD5"/>
    <w:rsid w:val="00E815DC"/>
    <w:rsid w:val="00E82267"/>
    <w:rsid w:val="00E853CE"/>
    <w:rsid w:val="00E867B6"/>
    <w:rsid w:val="00EA010F"/>
    <w:rsid w:val="00EC75C6"/>
    <w:rsid w:val="00ED1B63"/>
    <w:rsid w:val="00ED3C1F"/>
    <w:rsid w:val="00ED4085"/>
    <w:rsid w:val="00ED420E"/>
    <w:rsid w:val="00ED6FBE"/>
    <w:rsid w:val="00EE2F57"/>
    <w:rsid w:val="00EE3644"/>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C7F13"/>
    <w:rsid w:val="00FD3CC1"/>
    <w:rsid w:val="00FF1E02"/>
    <w:rsid w:val="00FF30B4"/>
    <w:rsid w:val="015975B8"/>
    <w:rsid w:val="02143E91"/>
    <w:rsid w:val="0517294F"/>
    <w:rsid w:val="066E0107"/>
    <w:rsid w:val="07996F6E"/>
    <w:rsid w:val="08441A8A"/>
    <w:rsid w:val="0A1A7ACF"/>
    <w:rsid w:val="0A2032A3"/>
    <w:rsid w:val="0B540C4A"/>
    <w:rsid w:val="0BB4198C"/>
    <w:rsid w:val="0C1A5407"/>
    <w:rsid w:val="0EBE0F06"/>
    <w:rsid w:val="0F98263C"/>
    <w:rsid w:val="0FBD6E6C"/>
    <w:rsid w:val="101860EC"/>
    <w:rsid w:val="10814CB8"/>
    <w:rsid w:val="10C055FF"/>
    <w:rsid w:val="118107EC"/>
    <w:rsid w:val="11CC445B"/>
    <w:rsid w:val="13D50BC4"/>
    <w:rsid w:val="146E6986"/>
    <w:rsid w:val="148E1064"/>
    <w:rsid w:val="152353E8"/>
    <w:rsid w:val="16BB723D"/>
    <w:rsid w:val="16DE6045"/>
    <w:rsid w:val="18910496"/>
    <w:rsid w:val="192A66CD"/>
    <w:rsid w:val="1A3A17E5"/>
    <w:rsid w:val="1A840CB2"/>
    <w:rsid w:val="1AB00CD7"/>
    <w:rsid w:val="1BE8440E"/>
    <w:rsid w:val="1C236076"/>
    <w:rsid w:val="1CB239FA"/>
    <w:rsid w:val="1D155CEE"/>
    <w:rsid w:val="1FF22B62"/>
    <w:rsid w:val="1FF35744"/>
    <w:rsid w:val="2288155B"/>
    <w:rsid w:val="233F1C1A"/>
    <w:rsid w:val="23860B96"/>
    <w:rsid w:val="240371BF"/>
    <w:rsid w:val="243310B3"/>
    <w:rsid w:val="2624159B"/>
    <w:rsid w:val="26801E3A"/>
    <w:rsid w:val="270F5DA7"/>
    <w:rsid w:val="272530B8"/>
    <w:rsid w:val="297335E2"/>
    <w:rsid w:val="29DB7F66"/>
    <w:rsid w:val="29FD04D3"/>
    <w:rsid w:val="2A302AEF"/>
    <w:rsid w:val="2C8A61B5"/>
    <w:rsid w:val="2D0B0DBF"/>
    <w:rsid w:val="2DF04E50"/>
    <w:rsid w:val="2F040D46"/>
    <w:rsid w:val="30934CA7"/>
    <w:rsid w:val="319F7F4E"/>
    <w:rsid w:val="3304709D"/>
    <w:rsid w:val="34253971"/>
    <w:rsid w:val="36576E21"/>
    <w:rsid w:val="36AA5135"/>
    <w:rsid w:val="376D39B2"/>
    <w:rsid w:val="37E16F03"/>
    <w:rsid w:val="38D2711F"/>
    <w:rsid w:val="38D469F0"/>
    <w:rsid w:val="3D98207C"/>
    <w:rsid w:val="3E78745D"/>
    <w:rsid w:val="3EF922AA"/>
    <w:rsid w:val="40730CFD"/>
    <w:rsid w:val="41974687"/>
    <w:rsid w:val="429A4C67"/>
    <w:rsid w:val="44514C9F"/>
    <w:rsid w:val="44B00772"/>
    <w:rsid w:val="44E268DA"/>
    <w:rsid w:val="45B61DB8"/>
    <w:rsid w:val="461E4055"/>
    <w:rsid w:val="46552541"/>
    <w:rsid w:val="47550B6D"/>
    <w:rsid w:val="483E0703"/>
    <w:rsid w:val="48764FF6"/>
    <w:rsid w:val="4A627F82"/>
    <w:rsid w:val="4B0E749A"/>
    <w:rsid w:val="4B4F25DA"/>
    <w:rsid w:val="4BE068DB"/>
    <w:rsid w:val="4D577224"/>
    <w:rsid w:val="4E2140F4"/>
    <w:rsid w:val="4EAB630A"/>
    <w:rsid w:val="4ECE2238"/>
    <w:rsid w:val="50BC3FFA"/>
    <w:rsid w:val="537E6D0A"/>
    <w:rsid w:val="556F3D31"/>
    <w:rsid w:val="56483722"/>
    <w:rsid w:val="564B20A8"/>
    <w:rsid w:val="587B479B"/>
    <w:rsid w:val="59E87171"/>
    <w:rsid w:val="5A2D4F2A"/>
    <w:rsid w:val="5AF92295"/>
    <w:rsid w:val="5CA644DC"/>
    <w:rsid w:val="5CD71FC4"/>
    <w:rsid w:val="5DC77603"/>
    <w:rsid w:val="5F641A40"/>
    <w:rsid w:val="617F2E4E"/>
    <w:rsid w:val="61ED72A2"/>
    <w:rsid w:val="63C00461"/>
    <w:rsid w:val="64C12F7C"/>
    <w:rsid w:val="6529188A"/>
    <w:rsid w:val="6A1A0125"/>
    <w:rsid w:val="6A7E25F5"/>
    <w:rsid w:val="6C041A40"/>
    <w:rsid w:val="6C2F11B1"/>
    <w:rsid w:val="6C4A05C8"/>
    <w:rsid w:val="6C660A88"/>
    <w:rsid w:val="6E7E3605"/>
    <w:rsid w:val="6EEE47E4"/>
    <w:rsid w:val="6F20011E"/>
    <w:rsid w:val="6F251D36"/>
    <w:rsid w:val="6FF5CC65"/>
    <w:rsid w:val="715C0E4B"/>
    <w:rsid w:val="71DE606F"/>
    <w:rsid w:val="72734D90"/>
    <w:rsid w:val="727E08D4"/>
    <w:rsid w:val="73AD73D5"/>
    <w:rsid w:val="73B6EB34"/>
    <w:rsid w:val="744731E5"/>
    <w:rsid w:val="74AC4202"/>
    <w:rsid w:val="76E3355F"/>
    <w:rsid w:val="775F4DE7"/>
    <w:rsid w:val="778769C8"/>
    <w:rsid w:val="77DD1736"/>
    <w:rsid w:val="787552E9"/>
    <w:rsid w:val="78921B2A"/>
    <w:rsid w:val="791505C8"/>
    <w:rsid w:val="795C70E0"/>
    <w:rsid w:val="79872B48"/>
    <w:rsid w:val="79EE5BA4"/>
    <w:rsid w:val="7A894339"/>
    <w:rsid w:val="7D032BB1"/>
    <w:rsid w:val="7EE7398F"/>
    <w:rsid w:val="7EEF11D3"/>
    <w:rsid w:val="7F7C3078"/>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autoRedefine/>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9"/>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2"/>
    <w:autoRedefine/>
    <w:unhideWhenUsed/>
    <w:qFormat/>
    <w:uiPriority w:val="9"/>
    <w:pPr>
      <w:keepNext/>
      <w:keepLines/>
      <w:spacing w:before="260" w:after="260" w:line="416" w:lineRule="auto"/>
      <w:outlineLvl w:val="2"/>
    </w:pPr>
    <w:rPr>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unhideWhenUsed/>
    <w:qFormat/>
    <w:uiPriority w:val="99"/>
    <w:pPr>
      <w:ind w:firstLine="420" w:firstLineChars="200"/>
    </w:pPr>
  </w:style>
  <w:style w:type="paragraph" w:styleId="3">
    <w:name w:val="Body Text Indent"/>
    <w:basedOn w:val="1"/>
    <w:autoRedefine/>
    <w:qFormat/>
    <w:uiPriority w:val="0"/>
    <w:pPr>
      <w:spacing w:after="120"/>
      <w:ind w:left="200" w:leftChars="200"/>
    </w:pPr>
    <w:rPr>
      <w:rFonts w:ascii="仿宋_GB2312"/>
      <w:szCs w:val="32"/>
    </w:rPr>
  </w:style>
  <w:style w:type="paragraph" w:styleId="7">
    <w:name w:val="Body Text"/>
    <w:basedOn w:val="1"/>
    <w:link w:val="25"/>
    <w:autoRedefine/>
    <w:qFormat/>
    <w:uiPriority w:val="99"/>
    <w:pPr>
      <w:spacing w:beforeLines="30"/>
    </w:pPr>
    <w:rPr>
      <w:rFonts w:ascii="仿宋_GB2312" w:eastAsia="仿宋_GB2312"/>
      <w:kern w:val="0"/>
      <w:sz w:val="30"/>
    </w:rPr>
  </w:style>
  <w:style w:type="paragraph" w:styleId="8">
    <w:name w:val="toc 3"/>
    <w:basedOn w:val="1"/>
    <w:next w:val="1"/>
    <w:autoRedefine/>
    <w:unhideWhenUsed/>
    <w:qFormat/>
    <w:uiPriority w:val="39"/>
    <w:pPr>
      <w:tabs>
        <w:tab w:val="right" w:leader="dot" w:pos="8296"/>
      </w:tabs>
      <w:ind w:left="840" w:leftChars="400"/>
    </w:pPr>
  </w:style>
  <w:style w:type="paragraph" w:styleId="9">
    <w:name w:val="Balloon Text"/>
    <w:basedOn w:val="1"/>
    <w:link w:val="31"/>
    <w:autoRedefine/>
    <w:semiHidden/>
    <w:unhideWhenUsed/>
    <w:qFormat/>
    <w:uiPriority w:val="99"/>
    <w:rPr>
      <w:sz w:val="18"/>
      <w:szCs w:val="18"/>
    </w:rPr>
  </w:style>
  <w:style w:type="paragraph" w:styleId="10">
    <w:name w:val="footer"/>
    <w:basedOn w:val="1"/>
    <w:link w:val="23"/>
    <w:autoRedefine/>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autoRedefine/>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autoRedefine/>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autoRedefine/>
    <w:unhideWhenUsed/>
    <w:qFormat/>
    <w:uiPriority w:val="39"/>
    <w:pPr>
      <w:tabs>
        <w:tab w:val="right" w:leader="dot" w:pos="8296"/>
      </w:tabs>
      <w:ind w:left="420" w:leftChars="200"/>
    </w:p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99"/>
    <w:rPr>
      <w:b/>
    </w:rPr>
  </w:style>
  <w:style w:type="character" w:styleId="18">
    <w:name w:val="Hyperlink"/>
    <w:basedOn w:val="16"/>
    <w:autoRedefine/>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autoRedefine/>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autoRedefine/>
    <w:semiHidden/>
    <w:qFormat/>
    <w:uiPriority w:val="99"/>
    <w:rPr>
      <w:rFonts w:ascii="Times New Roman" w:hAnsi="Times New Roman"/>
      <w:sz w:val="18"/>
      <w:szCs w:val="18"/>
    </w:rPr>
  </w:style>
  <w:style w:type="character" w:customStyle="1" w:styleId="21">
    <w:name w:val="页眉 字符"/>
    <w:link w:val="11"/>
    <w:autoRedefine/>
    <w:semiHidden/>
    <w:qFormat/>
    <w:locked/>
    <w:uiPriority w:val="99"/>
    <w:rPr>
      <w:sz w:val="18"/>
    </w:rPr>
  </w:style>
  <w:style w:type="character" w:customStyle="1" w:styleId="22">
    <w:name w:val="Footer Char"/>
    <w:basedOn w:val="16"/>
    <w:autoRedefine/>
    <w:semiHidden/>
    <w:qFormat/>
    <w:uiPriority w:val="99"/>
    <w:rPr>
      <w:rFonts w:ascii="Times New Roman" w:hAnsi="Times New Roman"/>
      <w:sz w:val="18"/>
      <w:szCs w:val="18"/>
    </w:rPr>
  </w:style>
  <w:style w:type="character" w:customStyle="1" w:styleId="23">
    <w:name w:val="页脚 字符"/>
    <w:link w:val="10"/>
    <w:autoRedefine/>
    <w:qFormat/>
    <w:locked/>
    <w:uiPriority w:val="99"/>
    <w:rPr>
      <w:sz w:val="18"/>
    </w:rPr>
  </w:style>
  <w:style w:type="character" w:customStyle="1" w:styleId="24">
    <w:name w:val="Body Text Char"/>
    <w:basedOn w:val="16"/>
    <w:autoRedefine/>
    <w:semiHidden/>
    <w:qFormat/>
    <w:uiPriority w:val="99"/>
    <w:rPr>
      <w:rFonts w:ascii="Times New Roman" w:hAnsi="Times New Roman"/>
      <w:szCs w:val="24"/>
    </w:rPr>
  </w:style>
  <w:style w:type="character" w:customStyle="1" w:styleId="25">
    <w:name w:val="正文文本 字符"/>
    <w:link w:val="7"/>
    <w:autoRedefine/>
    <w:qFormat/>
    <w:locked/>
    <w:uiPriority w:val="99"/>
    <w:rPr>
      <w:rFonts w:ascii="仿宋_GB2312" w:hAnsi="Times New Roman" w:eastAsia="仿宋_GB2312"/>
      <w:sz w:val="24"/>
    </w:rPr>
  </w:style>
  <w:style w:type="paragraph" w:customStyle="1" w:styleId="26">
    <w:name w:val="Default"/>
    <w:autoRedefine/>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autoRedefine/>
    <w:qFormat/>
    <w:uiPriority w:val="34"/>
    <w:pPr>
      <w:ind w:firstLine="420" w:firstLineChars="200"/>
    </w:pPr>
  </w:style>
  <w:style w:type="character" w:customStyle="1" w:styleId="28">
    <w:name w:val="标题 1 字符"/>
    <w:basedOn w:val="16"/>
    <w:link w:val="4"/>
    <w:autoRedefine/>
    <w:qFormat/>
    <w:uiPriority w:val="9"/>
    <w:rPr>
      <w:rFonts w:ascii="Times New Roman" w:hAnsi="Times New Roman"/>
      <w:b/>
      <w:bCs/>
      <w:kern w:val="44"/>
      <w:sz w:val="44"/>
      <w:szCs w:val="44"/>
    </w:rPr>
  </w:style>
  <w:style w:type="character" w:customStyle="1" w:styleId="29">
    <w:name w:val="标题 2 字符"/>
    <w:basedOn w:val="16"/>
    <w:link w:val="5"/>
    <w:autoRedefine/>
    <w:qFormat/>
    <w:uiPriority w:val="9"/>
    <w:rPr>
      <w:rFonts w:asciiTheme="majorHAnsi" w:hAnsiTheme="majorHAnsi" w:eastAsiaTheme="majorEastAsia" w:cstheme="majorBidi"/>
      <w:b/>
      <w:bCs/>
      <w:kern w:val="2"/>
      <w:sz w:val="32"/>
      <w:szCs w:val="32"/>
    </w:rPr>
  </w:style>
  <w:style w:type="paragraph" w:customStyle="1" w:styleId="30">
    <w:name w:val="TOC 标题1"/>
    <w:basedOn w:val="4"/>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6"/>
    <w:link w:val="9"/>
    <w:autoRedefine/>
    <w:semiHidden/>
    <w:qFormat/>
    <w:uiPriority w:val="99"/>
    <w:rPr>
      <w:rFonts w:ascii="Times New Roman" w:hAnsi="Times New Roman"/>
      <w:kern w:val="2"/>
      <w:sz w:val="18"/>
      <w:szCs w:val="18"/>
    </w:rPr>
  </w:style>
  <w:style w:type="character" w:customStyle="1" w:styleId="32">
    <w:name w:val="标题 3 字符"/>
    <w:basedOn w:val="16"/>
    <w:link w:val="6"/>
    <w:autoRedefine/>
    <w:qFormat/>
    <w:uiPriority w:val="9"/>
    <w:rPr>
      <w:rFonts w:ascii="Times New Roman" w:hAnsi="Times New Roman"/>
      <w:b/>
      <w:bCs/>
      <w:kern w:val="2"/>
      <w:sz w:val="32"/>
      <w:szCs w:val="32"/>
    </w:rPr>
  </w:style>
  <w:style w:type="paragraph" w:customStyle="1" w:styleId="33">
    <w:name w:val="TOC 标题2"/>
    <w:basedOn w:val="4"/>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autoRedefine/>
    <w:qFormat/>
    <w:uiPriority w:val="0"/>
    <w:pPr>
      <w:spacing w:line="360" w:lineRule="auto"/>
    </w:pPr>
    <w:rPr>
      <w:rFonts w:ascii="??" w:hAnsi="??"/>
      <w:color w:val="000000"/>
      <w:kern w:val="0"/>
      <w:sz w:val="28"/>
      <w:szCs w:val="21"/>
      <w:lang w:val="zh-CN"/>
    </w:rPr>
  </w:style>
  <w:style w:type="character" w:customStyle="1" w:styleId="35">
    <w:name w:val="font21"/>
    <w:basedOn w:val="16"/>
    <w:autoRedefine/>
    <w:qFormat/>
    <w:uiPriority w:val="0"/>
    <w:rPr>
      <w:rFonts w:hint="eastAsia" w:ascii="宋体" w:hAnsi="宋体" w:eastAsia="宋体" w:cs="宋体"/>
      <w:b/>
      <w:bCs/>
      <w:color w:val="000000"/>
      <w:sz w:val="32"/>
      <w:szCs w:val="32"/>
      <w:u w:val="none"/>
    </w:rPr>
  </w:style>
  <w:style w:type="character" w:customStyle="1" w:styleId="36">
    <w:name w:val="font31"/>
    <w:basedOn w:val="16"/>
    <w:autoRedefine/>
    <w:qFormat/>
    <w:uiPriority w:val="0"/>
    <w:rPr>
      <w:rFonts w:hint="eastAsia" w:ascii="宋体" w:hAnsi="宋体" w:eastAsia="宋体" w:cs="宋体"/>
      <w:color w:val="000000"/>
      <w:sz w:val="20"/>
      <w:szCs w:val="20"/>
      <w:u w:val="none"/>
    </w:rPr>
  </w:style>
  <w:style w:type="character" w:customStyle="1" w:styleId="37">
    <w:name w:val="font41"/>
    <w:basedOn w:val="16"/>
    <w:autoRedefine/>
    <w:qFormat/>
    <w:uiPriority w:val="0"/>
    <w:rPr>
      <w:rFonts w:hint="eastAsia" w:ascii="宋体" w:hAnsi="宋体" w:eastAsia="宋体" w:cs="宋体"/>
      <w:color w:val="000000"/>
      <w:sz w:val="20"/>
      <w:szCs w:val="20"/>
      <w:u w:val="none"/>
    </w:rPr>
  </w:style>
  <w:style w:type="character" w:customStyle="1" w:styleId="38">
    <w:name w:val="font11"/>
    <w:basedOn w:val="16"/>
    <w:autoRedefine/>
    <w:qFormat/>
    <w:uiPriority w:val="0"/>
    <w:rPr>
      <w:rFonts w:hint="eastAsia"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numRef>
              <c:f>Sheet1!$A$2:$A$3</c:f>
              <c:numCache>
                <c:formatCode>General</c:formatCode>
                <c:ptCount val="2"/>
                <c:pt idx="0">
                  <c:v>2021</c:v>
                </c:pt>
                <c:pt idx="1">
                  <c:v>2022</c:v>
                </c:pt>
              </c:numCache>
            </c:numRef>
          </c:cat>
          <c:val>
            <c:numRef>
              <c:f>Sheet1!$B$2:$B$3</c:f>
              <c:numCache>
                <c:formatCode>General</c:formatCode>
                <c:ptCount val="2"/>
                <c:pt idx="0">
                  <c:v>431.52</c:v>
                </c:pt>
                <c:pt idx="1">
                  <c:v>516.26</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numRef>
              <c:f>Sheet1!$A$2:$A$3</c:f>
              <c:numCache>
                <c:formatCode>General</c:formatCode>
                <c:ptCount val="2"/>
                <c:pt idx="0">
                  <c:v>2021</c:v>
                </c:pt>
                <c:pt idx="1">
                  <c:v>2022</c:v>
                </c:pt>
              </c:numCache>
            </c:numRef>
          </c:cat>
          <c:val>
            <c:numRef>
              <c:f>Sheet1!$C$2:$C$3</c:f>
              <c:numCache>
                <c:formatCode>General</c:formatCode>
                <c:ptCount val="2"/>
                <c:pt idx="0">
                  <c:v>431.52</c:v>
                </c:pt>
                <c:pt idx="1">
                  <c:v>516.26</c:v>
                </c:pt>
              </c:numCache>
            </c:numRef>
          </c:val>
        </c:ser>
        <c:dLbls>
          <c:showLegendKey val="0"/>
          <c:showVal val="0"/>
          <c:showCatName val="0"/>
          <c:showSerName val="0"/>
          <c:showPercent val="0"/>
          <c:showBubbleSize val="0"/>
        </c:dLbls>
        <c:gapWidth val="246"/>
        <c:overlap val="-28"/>
        <c:axId val="533096829"/>
        <c:axId val="87137508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numRef>
                    <c:extLst>
                      <c:ext uri="{02D57815-91ED-43cb-92C2-25804820EDAC}">
                        <c15:fullRef>
                          <c15:sqref/>
                        </c15:fullRef>
                        <c15:formulaRef>
                          <c15:sqref>Sheet1!$A$2:$A$3</c15:sqref>
                        </c15:formulaRef>
                      </c:ext>
                    </c:extLst>
                    <c:numCache>
                      <c:formatCode>General</c:formatCode>
                      <c:ptCount val="2"/>
                      <c:pt idx="0">
                        <c:v>2021</c:v>
                      </c:pt>
                      <c:pt idx="1">
                        <c:v>2022</c:v>
                      </c:pt>
                    </c:numCache>
                  </c:num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53309682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1375088"/>
        <c:crosses val="autoZero"/>
        <c:auto val="1"/>
        <c:lblAlgn val="ctr"/>
        <c:lblOffset val="100"/>
        <c:noMultiLvlLbl val="0"/>
      </c:catAx>
      <c:valAx>
        <c:axId val="871375088"/>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30968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3346218893453"/>
          <c:y val="0.0637484062898428"/>
        </c:manualLayout>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elete val="1"/>
          </c:dLbls>
          <c:cat>
            <c:strRef>
              <c:f>Sheet1!$A$2:$A$5</c:f>
              <c:strCache>
                <c:ptCount val="4"/>
                <c:pt idx="0">
                  <c:v>一般公共预算财政拨款收入</c:v>
                </c:pt>
                <c:pt idx="1">
                  <c:v>政府性基金预算财政拨款收入</c:v>
                </c:pt>
                <c:pt idx="2">
                  <c:v>国有资本经营预算财政拨款收入</c:v>
                </c:pt>
                <c:pt idx="3">
                  <c:v>上级补助收入</c:v>
                </c:pt>
              </c:strCache>
            </c:strRef>
          </c:cat>
          <c:val>
            <c:numRef>
              <c:f>Sheet1!$B$2:$B$5</c:f>
              <c:numCache>
                <c:formatCode>General</c:formatCode>
                <c:ptCount val="4"/>
                <c:pt idx="0">
                  <c:v>357.26</c:v>
                </c:pt>
                <c:pt idx="1">
                  <c:v>0</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258.92</c:v>
                </c:pt>
                <c:pt idx="1">
                  <c:v>3.85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manualLayout>
          <c:layoutTarget val="inner"/>
          <c:xMode val="edge"/>
          <c:yMode val="edge"/>
          <c:x val="0.0566078762986229"/>
          <c:y val="0.0932851678708032"/>
          <c:w val="0.930345494080696"/>
          <c:h val="0.638631534211645"/>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431.52</c:v>
                </c:pt>
                <c:pt idx="1">
                  <c:v>431.52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516.26</c:v>
                </c:pt>
                <c:pt idx="1">
                  <c:v>516.26</c:v>
                </c:pt>
              </c:numCache>
            </c:numRef>
          </c:val>
        </c:ser>
        <c:dLbls>
          <c:showLegendKey val="0"/>
          <c:showVal val="0"/>
          <c:showCatName val="0"/>
          <c:showSerName val="0"/>
          <c:showPercent val="0"/>
          <c:showBubbleSize val="0"/>
        </c:dLbls>
        <c:gapWidth val="246"/>
        <c:overlap val="-28"/>
        <c:axId val="287917752"/>
        <c:axId val="847994981"/>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财政拨款收入</c:v>
                      </c:pt>
                      <c:pt idx="1">
                        <c:v>财政拨款支出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287917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7994981"/>
        <c:crosses val="autoZero"/>
        <c:auto val="1"/>
        <c:lblAlgn val="ctr"/>
        <c:lblOffset val="100"/>
        <c:noMultiLvlLbl val="0"/>
      </c:catAx>
      <c:valAx>
        <c:axId val="847994981"/>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79177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manualLayout>
          <c:layoutTarget val="inner"/>
          <c:xMode val="edge"/>
          <c:yMode val="edge"/>
          <c:x val="0.0432828408244351"/>
          <c:y val="0.243421052631579"/>
          <c:w val="0.905810777253539"/>
          <c:h val="0.467857142857143"/>
        </c:manualLayout>
      </c:layout>
      <c:barChart>
        <c:barDir val="col"/>
        <c:grouping val="clustered"/>
        <c:varyColors val="0"/>
        <c:ser>
          <c:idx val="0"/>
          <c:order val="0"/>
          <c:tx>
            <c:strRef>
              <c:f>Sheet1!$B$1</c:f>
              <c:strCache>
                <c:ptCount val="1"/>
                <c:pt idx="0">
                  <c:v>财政拨款支出</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262.77</c:v>
                </c:pt>
                <c:pt idx="1">
                  <c:v>516.26</c:v>
                </c:pt>
              </c:numCache>
            </c:numRef>
          </c:val>
        </c:ser>
        <c:dLbls>
          <c:showLegendKey val="0"/>
          <c:showVal val="0"/>
          <c:showCatName val="0"/>
          <c:showSerName val="0"/>
          <c:showPercent val="0"/>
          <c:showBubbleSize val="0"/>
        </c:dLbls>
        <c:gapWidth val="246"/>
        <c:overlap val="-28"/>
        <c:axId val="527761515"/>
        <c:axId val="228762160"/>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2021年</c:v>
                      </c:pt>
                      <c:pt idx="1">
                        <c:v>2022年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2021年</c:v>
                      </c:pt>
                      <c:pt idx="1">
                        <c:v>2022年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52776151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8762160"/>
        <c:crosses val="autoZero"/>
        <c:auto val="1"/>
        <c:lblAlgn val="ctr"/>
        <c:lblOffset val="100"/>
        <c:noMultiLvlLbl val="0"/>
      </c:catAx>
      <c:valAx>
        <c:axId val="228762160"/>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7615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elete val="1"/>
          </c:dLbls>
          <c:cat>
            <c:strRef>
              <c:f>Sheet1!$A$2:$A$5</c:f>
              <c:strCache>
                <c:ptCount val="4"/>
                <c:pt idx="0">
                  <c:v>社会保障和就业</c:v>
                </c:pt>
                <c:pt idx="1">
                  <c:v>卫生健康</c:v>
                </c:pt>
                <c:pt idx="2">
                  <c:v>商业服务业等</c:v>
                </c:pt>
                <c:pt idx="3">
                  <c:v>住房保障</c:v>
                </c:pt>
              </c:strCache>
            </c:strRef>
          </c:cat>
          <c:val>
            <c:numRef>
              <c:f>Sheet1!$B$2:$B$5</c:f>
              <c:numCache>
                <c:formatCode>General</c:formatCode>
                <c:ptCount val="4"/>
                <c:pt idx="0">
                  <c:v>22.51</c:v>
                </c:pt>
                <c:pt idx="1">
                  <c:v>11.26</c:v>
                </c:pt>
                <c:pt idx="2">
                  <c:v>465.6</c:v>
                </c:pt>
                <c:pt idx="3">
                  <c:v>16.89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manualLayout>
          <c:xMode val="edge"/>
          <c:yMode val="edge"/>
          <c:x val="0.125940896462925"/>
          <c:y val="0.20015929836478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三公经费</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elete val="1"/>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0</c:v>
                </c:pt>
                <c:pt idx="2">
                  <c:v>1.9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4C1A-42E3-4529-B81F-ABD0F2E0990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39</Pages>
  <Words>2447</Words>
  <Characters>13951</Characters>
  <Lines>116</Lines>
  <Paragraphs>32</Paragraphs>
  <TotalTime>1</TotalTime>
  <ScaleCrop>false</ScaleCrop>
  <LinksUpToDate>false</LinksUpToDate>
  <CharactersWithSpaces>16366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2023-12-28T08:45:40Z</dcterms:modified>
  <dc:title>四川省***</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79BD7196B2B54DD596A8C5BFF2DA11CD_12</vt:lpwstr>
  </property>
</Properties>
</file>