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96597"/>
      <w:bookmarkStart w:id="2" w:name="_Toc15377425"/>
      <w:bookmarkStart w:id="3" w:name="_Toc15377193"/>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pStyle w:val="2"/>
        <w:spacing w:before="93"/>
        <w:jc w:val="center"/>
        <w:rPr>
          <w:rFonts w:ascii="方正小标宋简体" w:hAnsi="方正小标宋简体" w:eastAsia="方正小标宋简体" w:cs="方正小标宋简体"/>
          <w:sz w:val="72"/>
          <w:szCs w:val="72"/>
        </w:rPr>
      </w:pPr>
      <w:bookmarkStart w:id="6" w:name="_Toc11522"/>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pStyle w:val="2"/>
        <w:spacing w:before="93"/>
        <w:jc w:val="center"/>
        <w:rPr>
          <w:rFonts w:ascii="方正小标宋简体" w:hAnsi="方正小标宋简体" w:eastAsia="方正小标宋简体" w:cs="方正小标宋简体"/>
          <w:sz w:val="72"/>
          <w:szCs w:val="72"/>
        </w:rPr>
      </w:pPr>
      <w:bookmarkStart w:id="7" w:name="_Toc15396476"/>
      <w:bookmarkStart w:id="8" w:name="_Toc15377426"/>
      <w:bookmarkStart w:id="9" w:name="_Toc15396598"/>
      <w:bookmarkStart w:id="10" w:name="_Toc15378442"/>
      <w:bookmarkStart w:id="11" w:name="_Toc15377194"/>
      <w:bookmarkStart w:id="12" w:name="_Toc24605"/>
      <w:r>
        <w:rPr>
          <w:rFonts w:hint="eastAsia" w:ascii="方正小标宋简体" w:hAnsi="方正小标宋简体" w:eastAsia="方正小标宋简体" w:cs="方正小标宋简体"/>
          <w:sz w:val="72"/>
          <w:szCs w:val="72"/>
        </w:rPr>
        <w:t>剑阁县</w:t>
      </w:r>
      <w:bookmarkEnd w:id="5"/>
      <w:bookmarkStart w:id="13" w:name="_Toc15306268"/>
      <w:r>
        <w:rPr>
          <w:rFonts w:hint="eastAsia" w:ascii="方正小标宋简体" w:hAnsi="方正小标宋简体" w:eastAsia="方正小标宋简体" w:cs="方正小标宋简体"/>
          <w:sz w:val="72"/>
          <w:szCs w:val="72"/>
        </w:rPr>
        <w:t>羊岭小学校部门决算</w:t>
      </w:r>
      <w:bookmarkEnd w:id="7"/>
      <w:bookmarkEnd w:id="8"/>
      <w:bookmarkEnd w:id="9"/>
      <w:bookmarkEnd w:id="10"/>
      <w:bookmarkEnd w:id="11"/>
      <w:bookmarkEnd w:id="12"/>
      <w:bookmarkEnd w:id="13"/>
    </w:p>
    <w:p>
      <w:pPr>
        <w:widowControl/>
        <w:rPr>
          <w:rFonts w:ascii="仿宋" w:hAnsi="仿宋" w:eastAsia="仿宋"/>
          <w:b/>
          <w:sz w:val="24"/>
        </w:rPr>
      </w:pPr>
      <w:r>
        <w:rPr>
          <w:rFonts w:ascii="仿宋" w:hAnsi="仿宋" w:eastAsia="仿宋"/>
          <w:b/>
          <w:sz w:val="24"/>
        </w:rPr>
        <w:br w:type="page"/>
      </w:r>
    </w:p>
    <w:p>
      <w:pPr>
        <w:pStyle w:val="2"/>
        <w:spacing w:before="93"/>
        <w:jc w:val="center"/>
      </w:pPr>
      <w:r>
        <w:rPr>
          <w:rFonts w:hint="eastAsia" w:ascii="黑体" w:hAnsi="黑体" w:eastAsia="黑体"/>
          <w:sz w:val="48"/>
          <w:szCs w:val="48"/>
        </w:rPr>
        <w:t>目录</w:t>
      </w:r>
    </w:p>
    <w:p>
      <w:pPr>
        <w:pStyle w:val="12"/>
        <w:tabs>
          <w:tab w:val="right" w:leader="dot" w:pos="8820"/>
          <w:tab w:val="clear" w:pos="8296"/>
        </w:tabs>
        <w:rPr>
          <w:rFonts w:asciiTheme="minorEastAsia" w:hAnsiTheme="minorEastAsia" w:eastAsiaTheme="minorEastAsia" w:cstheme="minorEastAsia"/>
        </w:rPr>
      </w:pPr>
      <w:r>
        <w:rPr>
          <w:rFonts w:hint="eastAsia" w:asciiTheme="minorEastAsia" w:hAnsiTheme="minorEastAsia" w:eastAsiaTheme="minorEastAsia" w:cstheme="minorEastAsia"/>
          <w:b/>
        </w:rPr>
        <w:fldChar w:fldCharType="begin"/>
      </w:r>
      <w:r>
        <w:rPr>
          <w:rFonts w:hint="eastAsia" w:asciiTheme="minorEastAsia" w:hAnsiTheme="minorEastAsia" w:eastAsiaTheme="minorEastAsia" w:cstheme="minorEastAsia"/>
          <w:b/>
        </w:rPr>
        <w:instrText xml:space="preserve">TOC \o "1-2" \h \u </w:instrText>
      </w:r>
      <w:r>
        <w:rPr>
          <w:rFonts w:hint="eastAsia" w:asciiTheme="minorEastAsia" w:hAnsiTheme="minorEastAsia" w:eastAsiaTheme="minorEastAsia" w:cstheme="minorEastAsia"/>
          <w:b/>
        </w:rPr>
        <w:fldChar w:fldCharType="separate"/>
      </w:r>
      <w:r>
        <w:fldChar w:fldCharType="begin"/>
      </w:r>
      <w:r>
        <w:instrText xml:space="preserve"> HYPERLINK \l "_Toc18" </w:instrText>
      </w:r>
      <w:r>
        <w:fldChar w:fldCharType="separate"/>
      </w:r>
      <w:r>
        <w:rPr>
          <w:rFonts w:hint="eastAsia" w:asciiTheme="minorEastAsia" w:hAnsiTheme="minorEastAsia" w:eastAsiaTheme="minorEastAsia" w:cstheme="minorEastAsia"/>
        </w:rPr>
        <w:t>第一部分 部门单位概况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"_Toc23" </w:instrText>
      </w:r>
      <w:r>
        <w:fldChar w:fldCharType="separate"/>
      </w:r>
      <w:r>
        <w:rPr>
          <w:rFonts w:hint="eastAsia" w:asciiTheme="minorEastAsia" w:hAnsiTheme="minorEastAsia" w:eastAsiaTheme="minorEastAsia" w:cstheme="minorEastAsia"/>
          <w:sz w:val="28"/>
          <w:szCs w:val="28"/>
        </w:rPr>
        <w:t>一、基本职能及主要工作</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"_Toc1131" </w:instrText>
      </w:r>
      <w:r>
        <w:fldChar w:fldCharType="separate"/>
      </w:r>
      <w:r>
        <w:rPr>
          <w:rFonts w:hint="eastAsia" w:asciiTheme="minorEastAsia" w:hAnsiTheme="minorEastAsia" w:eastAsiaTheme="minorEastAsia" w:cstheme="minorEastAsia"/>
          <w:sz w:val="28"/>
          <w:szCs w:val="28"/>
        </w:rPr>
        <w:t>二、机构设置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_Toc1131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820"/>
          <w:tab w:val="clear" w:pos="8296"/>
        </w:tabs>
        <w:rPr>
          <w:rFonts w:asciiTheme="minorEastAsia" w:hAnsiTheme="minorEastAsia" w:eastAsiaTheme="minorEastAsia" w:cstheme="minorEastAsia"/>
        </w:rPr>
      </w:pPr>
      <w:r>
        <w:fldChar w:fldCharType="begin"/>
      </w:r>
      <w:r>
        <w:instrText xml:space="preserve"> HYPERLINK \l "_Toc31284" </w:instrText>
      </w:r>
      <w:r>
        <w:fldChar w:fldCharType="separate"/>
      </w:r>
      <w:r>
        <w:rPr>
          <w:rFonts w:hint="eastAsia" w:asciiTheme="minorEastAsia" w:hAnsiTheme="minorEastAsia" w:eastAsiaTheme="minorEastAsia" w:cstheme="minorEastAsia"/>
        </w:rPr>
        <w:t>第二部分 2022年度</w:t>
      </w:r>
      <w:r>
        <w:rPr>
          <w:rFonts w:hint="eastAsia" w:asciiTheme="minorEastAsia" w:hAnsiTheme="minorEastAsia" w:eastAsiaTheme="minorEastAsia" w:cstheme="minorEastAsia"/>
          <w:bCs/>
        </w:rPr>
        <w:t>部门决算情况说明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_Toc31284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"_Toc8375" </w:instrText>
      </w:r>
      <w:r>
        <w:fldChar w:fldCharType="separate"/>
      </w:r>
      <w:r>
        <w:rPr>
          <w:rFonts w:hint="eastAsia" w:asciiTheme="minorEastAsia" w:hAnsiTheme="minorEastAsia" w:eastAsiaTheme="minorEastAsia" w:cstheme="minorEastAsia"/>
          <w:sz w:val="28"/>
          <w:szCs w:val="28"/>
        </w:rPr>
        <w:t>一、 收入支出决算总体情况说明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_Toc8375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"_Toc9479" </w:instrText>
      </w:r>
      <w:r>
        <w:fldChar w:fldCharType="separate"/>
      </w:r>
      <w:r>
        <w:rPr>
          <w:rFonts w:hint="eastAsia" w:asciiTheme="minorEastAsia" w:hAnsiTheme="minorEastAsia" w:eastAsiaTheme="minorEastAsia" w:cstheme="minorEastAsia"/>
          <w:sz w:val="28"/>
          <w:szCs w:val="28"/>
        </w:rPr>
        <w:t>二、 收入决算情况说明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_Toc9479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"_Toc16957" </w:instrText>
      </w:r>
      <w:r>
        <w:fldChar w:fldCharType="separate"/>
      </w:r>
      <w:r>
        <w:rPr>
          <w:rFonts w:hint="eastAsia" w:asciiTheme="minorEastAsia" w:hAnsiTheme="minorEastAsia" w:eastAsiaTheme="minorEastAsia" w:cstheme="minorEastAsia"/>
          <w:sz w:val="28"/>
          <w:szCs w:val="28"/>
        </w:rPr>
        <w:t>三、支出决算情况说明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_Toc16957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"_Toc30489" </w:instrText>
      </w:r>
      <w:r>
        <w:fldChar w:fldCharType="separate"/>
      </w:r>
      <w:r>
        <w:rPr>
          <w:rFonts w:hint="eastAsia" w:asciiTheme="minorEastAsia" w:hAnsiTheme="minorEastAsia" w:eastAsiaTheme="minorEastAsia" w:cstheme="minorEastAsia"/>
          <w:sz w:val="28"/>
          <w:szCs w:val="28"/>
        </w:rPr>
        <w:t>四、财政拨款收入支出决算总体情况说明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_Toc30489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"_Toc21051" </w:instrText>
      </w:r>
      <w:r>
        <w:fldChar w:fldCharType="separate"/>
      </w:r>
      <w:r>
        <w:rPr>
          <w:rFonts w:hint="eastAsia" w:asciiTheme="minorEastAsia" w:hAnsiTheme="minorEastAsia" w:eastAsiaTheme="minorEastAsia" w:cstheme="minorEastAsia"/>
          <w:sz w:val="28"/>
          <w:szCs w:val="28"/>
        </w:rPr>
        <w:t>五、一般公共预算财政拨款支出决算情况说明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_Toc21051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"_Toc13859" </w:instrText>
      </w:r>
      <w:r>
        <w:fldChar w:fldCharType="separate"/>
      </w:r>
      <w:r>
        <w:rPr>
          <w:rFonts w:hint="eastAsia" w:asciiTheme="minorEastAsia" w:hAnsiTheme="minorEastAsia" w:eastAsiaTheme="minorEastAsia" w:cstheme="minorEastAsia"/>
          <w:sz w:val="28"/>
          <w:szCs w:val="28"/>
        </w:rPr>
        <w:t>六、一般公共预算财政拨款基本支出决算情况说明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_Toc13859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"_Toc17201" </w:instrText>
      </w:r>
      <w:r>
        <w:fldChar w:fldCharType="separate"/>
      </w:r>
      <w:r>
        <w:rPr>
          <w:rFonts w:hint="eastAsia" w:asciiTheme="minorEastAsia" w:hAnsiTheme="minorEastAsia" w:eastAsiaTheme="minorEastAsia" w:cstheme="minorEastAsia"/>
          <w:sz w:val="28"/>
          <w:szCs w:val="28"/>
        </w:rPr>
        <w:t>七、“三公”经费财政拨款支出决算情况说明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_Toc17201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"_Toc26537" </w:instrText>
      </w:r>
      <w:r>
        <w:fldChar w:fldCharType="separate"/>
      </w:r>
      <w:r>
        <w:rPr>
          <w:rFonts w:hint="eastAsia" w:asciiTheme="minorEastAsia" w:hAnsiTheme="minorEastAsia" w:eastAsiaTheme="minorEastAsia" w:cstheme="minorEastAsia"/>
          <w:sz w:val="28"/>
          <w:szCs w:val="28"/>
        </w:rPr>
        <w:t>八、政府性基金预算支出决算情况说明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_Toc26537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"_Toc30092" </w:instrText>
      </w:r>
      <w:r>
        <w:fldChar w:fldCharType="separate"/>
      </w:r>
      <w:r>
        <w:rPr>
          <w:rFonts w:hint="eastAsia" w:asciiTheme="minorEastAsia" w:hAnsiTheme="minorEastAsia" w:eastAsiaTheme="minorEastAsia" w:cstheme="minorEastAsia"/>
          <w:sz w:val="28"/>
          <w:szCs w:val="28"/>
        </w:rPr>
        <w:t>九、 国有资本经营预算支出决算情况说明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_Toc30092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3"/>
        <w:tabs>
          <w:tab w:val="right" w:leader="dot" w:pos="8820"/>
          <w:tab w:val="clear" w:pos="8296"/>
        </w:tabs>
        <w:rPr>
          <w:rFonts w:asciiTheme="minorEastAsia" w:hAnsiTheme="minorEastAsia" w:eastAsiaTheme="minorEastAsia" w:cstheme="minorEastAsia"/>
          <w:sz w:val="28"/>
          <w:szCs w:val="28"/>
        </w:rPr>
      </w:pPr>
      <w:r>
        <w:fldChar w:fldCharType="begin"/>
      </w:r>
      <w:r>
        <w:instrText xml:space="preserve"> HYPERLINK \l "_Toc32626" </w:instrText>
      </w:r>
      <w:r>
        <w:fldChar w:fldCharType="separate"/>
      </w:r>
      <w:r>
        <w:rPr>
          <w:rFonts w:hint="eastAsia" w:asciiTheme="minorEastAsia" w:hAnsiTheme="minorEastAsia" w:eastAsiaTheme="minorEastAsia" w:cstheme="minorEastAsia"/>
          <w:sz w:val="28"/>
          <w:szCs w:val="28"/>
        </w:rPr>
        <w:t>十、 其他重要事项的情况说明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_Toc32626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2"/>
        <w:tabs>
          <w:tab w:val="right" w:leader="dot" w:pos="8820"/>
          <w:tab w:val="clear" w:pos="8296"/>
        </w:tabs>
        <w:rPr>
          <w:rFonts w:asciiTheme="minorEastAsia" w:hAnsiTheme="minorEastAsia" w:eastAsiaTheme="minorEastAsia" w:cstheme="minorEastAsia"/>
        </w:rPr>
      </w:pPr>
      <w:r>
        <w:fldChar w:fldCharType="begin"/>
      </w:r>
      <w:r>
        <w:instrText xml:space="preserve"> HYPERLINK \l "_Toc5824" </w:instrText>
      </w:r>
      <w:r>
        <w:fldChar w:fldCharType="separate"/>
      </w:r>
      <w:r>
        <w:rPr>
          <w:rFonts w:hint="eastAsia" w:asciiTheme="minorEastAsia" w:hAnsiTheme="minorEastAsia" w:eastAsiaTheme="minorEastAsia" w:cstheme="minorEastAsia"/>
        </w:rPr>
        <w:t>第三部分 名词解释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_Toc5824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2"/>
        <w:tabs>
          <w:tab w:val="right" w:leader="dot" w:pos="8820"/>
          <w:tab w:val="clear" w:pos="8296"/>
        </w:tabs>
        <w:rPr>
          <w:rFonts w:asciiTheme="minorEastAsia" w:hAnsiTheme="minorEastAsia" w:eastAsiaTheme="minorEastAsia" w:cstheme="minorEastAsia"/>
        </w:rPr>
      </w:pPr>
      <w:r>
        <w:fldChar w:fldCharType="begin"/>
      </w:r>
      <w:r>
        <w:instrText xml:space="preserve"> HYPERLINK \l "_Toc712" </w:instrText>
      </w:r>
      <w:r>
        <w:fldChar w:fldCharType="separate"/>
      </w:r>
      <w:r>
        <w:rPr>
          <w:rFonts w:hint="eastAsia" w:asciiTheme="minorEastAsia" w:hAnsiTheme="minorEastAsia" w:eastAsiaTheme="minorEastAsia" w:cstheme="minorEastAsia"/>
        </w:rPr>
        <w:t>第四部分 附件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_Toc712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pStyle w:val="12"/>
        <w:tabs>
          <w:tab w:val="right" w:leader="dot" w:pos="8820"/>
          <w:tab w:val="clear" w:pos="8296"/>
        </w:tabs>
        <w:rPr>
          <w:rFonts w:asciiTheme="minorEastAsia" w:hAnsiTheme="minorEastAsia" w:eastAsiaTheme="minorEastAsia" w:cstheme="minorEastAsia"/>
        </w:rPr>
      </w:pPr>
      <w:r>
        <w:fldChar w:fldCharType="begin"/>
      </w:r>
      <w:r>
        <w:instrText xml:space="preserve"> HYPERLINK \l "_Toc30219" </w:instrText>
      </w:r>
      <w:r>
        <w:fldChar w:fldCharType="separate"/>
      </w:r>
      <w:r>
        <w:rPr>
          <w:rFonts w:hint="eastAsia" w:asciiTheme="minorEastAsia" w:hAnsiTheme="minorEastAsia" w:eastAsiaTheme="minorEastAsia" w:cstheme="minorEastAsia"/>
        </w:rPr>
        <w:t>第五部分 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_Toc30219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pPr>
        <w:ind w:left="210" w:leftChars="100" w:firstLine="210" w:firstLineChars="100"/>
        <w:rPr>
          <w:rFonts w:asciiTheme="minorEastAsia" w:hAnsiTheme="minorEastAsia" w:eastAsiaTheme="minorEastAsia" w:cstheme="minorEastAsia"/>
          <w:sz w:val="28"/>
          <w:szCs w:val="28"/>
        </w:rPr>
      </w:pPr>
      <w:r>
        <w:fldChar w:fldCharType="begin"/>
      </w:r>
      <w:r>
        <w:instrText xml:space="preserve"> HYPERLINK \l "_Toc20127" </w:instrText>
      </w:r>
      <w:r>
        <w:fldChar w:fldCharType="separate"/>
      </w:r>
      <w:r>
        <w:rPr>
          <w:rFonts w:hint="eastAsia" w:asciiTheme="minorEastAsia" w:hAnsiTheme="minorEastAsia" w:eastAsiaTheme="minorEastAsia" w:cstheme="minorEastAsia"/>
          <w:sz w:val="28"/>
          <w:szCs w:val="28"/>
        </w:rPr>
        <w:t>一、收入支出决算总表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210" w:leftChars="100" w:firstLine="210" w:firstLineChars="100"/>
        <w:rPr>
          <w:rFonts w:asciiTheme="minorEastAsia" w:hAnsiTheme="minorEastAsia" w:eastAsiaTheme="minorEastAsia" w:cstheme="minorEastAsia"/>
          <w:sz w:val="28"/>
          <w:szCs w:val="28"/>
        </w:rPr>
      </w:pPr>
      <w:r>
        <w:fldChar w:fldCharType="begin"/>
      </w:r>
      <w:r>
        <w:instrText xml:space="preserve"> HYPERLINK \l "_Toc25721" </w:instrText>
      </w:r>
      <w:r>
        <w:fldChar w:fldCharType="separate"/>
      </w:r>
      <w:r>
        <w:rPr>
          <w:rFonts w:hint="eastAsia" w:asciiTheme="minorEastAsia" w:hAnsiTheme="minorEastAsia" w:eastAsiaTheme="minorEastAsia" w:cstheme="minorEastAsia"/>
          <w:sz w:val="28"/>
          <w:szCs w:val="28"/>
        </w:rPr>
        <w:t>二、收入决算表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210" w:leftChars="100" w:firstLine="210" w:firstLineChars="100"/>
        <w:rPr>
          <w:rFonts w:asciiTheme="minorEastAsia" w:hAnsiTheme="minorEastAsia" w:eastAsiaTheme="minorEastAsia" w:cstheme="minorEastAsia"/>
          <w:sz w:val="28"/>
          <w:szCs w:val="28"/>
        </w:rPr>
      </w:pPr>
      <w:r>
        <w:fldChar w:fldCharType="begin"/>
      </w:r>
      <w:r>
        <w:instrText xml:space="preserve"> HYPERLINK \l "_Toc24601" </w:instrText>
      </w:r>
      <w:r>
        <w:fldChar w:fldCharType="separate"/>
      </w:r>
      <w:r>
        <w:rPr>
          <w:rFonts w:hint="eastAsia" w:asciiTheme="minorEastAsia" w:hAnsiTheme="minorEastAsia" w:eastAsiaTheme="minorEastAsia" w:cstheme="minorEastAsia"/>
          <w:sz w:val="28"/>
          <w:szCs w:val="28"/>
        </w:rPr>
        <w:t>三、支出决算表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420" w:leftChars="200"/>
        <w:rPr>
          <w:rFonts w:asciiTheme="minorEastAsia" w:hAnsiTheme="minorEastAsia" w:eastAsiaTheme="minorEastAsia" w:cstheme="minorEastAsia"/>
          <w:sz w:val="28"/>
          <w:szCs w:val="28"/>
        </w:rPr>
      </w:pPr>
      <w:r>
        <w:fldChar w:fldCharType="begin"/>
      </w:r>
      <w:r>
        <w:instrText xml:space="preserve"> HYPERLINK \l "_Toc8674" </w:instrText>
      </w:r>
      <w:r>
        <w:fldChar w:fldCharType="separate"/>
      </w:r>
      <w:r>
        <w:rPr>
          <w:rFonts w:hint="eastAsia" w:asciiTheme="minorEastAsia" w:hAnsiTheme="minorEastAsia" w:eastAsiaTheme="minorEastAsia" w:cstheme="minorEastAsia"/>
          <w:sz w:val="28"/>
          <w:szCs w:val="28"/>
        </w:rPr>
        <w:t>四、财政拨款收入支出决算总表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420" w:leftChars="200"/>
        <w:rPr>
          <w:rFonts w:asciiTheme="minorEastAsia" w:hAnsiTheme="minorEastAsia" w:eastAsiaTheme="minorEastAsia" w:cstheme="minorEastAsia"/>
          <w:sz w:val="28"/>
          <w:szCs w:val="28"/>
        </w:rPr>
      </w:pPr>
      <w:r>
        <w:fldChar w:fldCharType="begin"/>
      </w:r>
      <w:r>
        <w:instrText xml:space="preserve"> HYPERLINK \l "_Toc14845" </w:instrText>
      </w:r>
      <w:r>
        <w:fldChar w:fldCharType="separate"/>
      </w:r>
      <w:r>
        <w:rPr>
          <w:rFonts w:hint="eastAsia" w:asciiTheme="minorEastAsia" w:hAnsiTheme="minorEastAsia" w:eastAsiaTheme="minorEastAsia" w:cstheme="minorEastAsia"/>
          <w:sz w:val="28"/>
          <w:szCs w:val="28"/>
        </w:rPr>
        <w:t>五、财政拨款支出决算明细表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420" w:leftChars="200"/>
        <w:rPr>
          <w:rFonts w:asciiTheme="minorEastAsia" w:hAnsiTheme="minorEastAsia" w:eastAsiaTheme="minorEastAsia" w:cstheme="minorEastAsia"/>
          <w:sz w:val="28"/>
          <w:szCs w:val="28"/>
        </w:rPr>
      </w:pPr>
      <w:r>
        <w:fldChar w:fldCharType="begin"/>
      </w:r>
      <w:r>
        <w:instrText xml:space="preserve"> HYPERLINK \l "_Toc9974" </w:instrText>
      </w:r>
      <w:r>
        <w:fldChar w:fldCharType="separate"/>
      </w:r>
      <w:r>
        <w:rPr>
          <w:rFonts w:hint="eastAsia" w:asciiTheme="minorEastAsia" w:hAnsiTheme="minorEastAsia" w:eastAsiaTheme="minorEastAsia" w:cstheme="minorEastAsia"/>
          <w:sz w:val="28"/>
          <w:szCs w:val="28"/>
        </w:rPr>
        <w:t>六、一般公共预算财政拨款支出决算表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420" w:leftChars="200"/>
        <w:rPr>
          <w:rFonts w:asciiTheme="minorEastAsia" w:hAnsiTheme="minorEastAsia" w:eastAsiaTheme="minorEastAsia" w:cstheme="minorEastAsia"/>
          <w:sz w:val="28"/>
          <w:szCs w:val="28"/>
        </w:rPr>
      </w:pPr>
      <w:r>
        <w:fldChar w:fldCharType="begin"/>
      </w:r>
      <w:r>
        <w:instrText xml:space="preserve"> HYPERLINK \l "_Toc5918" </w:instrText>
      </w:r>
      <w:r>
        <w:fldChar w:fldCharType="separate"/>
      </w:r>
      <w:r>
        <w:rPr>
          <w:rFonts w:hint="eastAsia" w:asciiTheme="minorEastAsia" w:hAnsiTheme="minorEastAsia" w:eastAsiaTheme="minorEastAsia" w:cstheme="minorEastAsia"/>
          <w:sz w:val="28"/>
          <w:szCs w:val="28"/>
        </w:rPr>
        <w:t>七、一般公共预算财政拨款支出决算明细表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420" w:leftChars="200"/>
        <w:rPr>
          <w:rFonts w:asciiTheme="minorEastAsia" w:hAnsiTheme="minorEastAsia" w:eastAsiaTheme="minorEastAsia" w:cstheme="minorEastAsia"/>
          <w:sz w:val="28"/>
          <w:szCs w:val="28"/>
        </w:rPr>
      </w:pPr>
      <w:r>
        <w:fldChar w:fldCharType="begin"/>
      </w:r>
      <w:r>
        <w:instrText xml:space="preserve"> HYPERLINK \l "_Toc23704" </w:instrText>
      </w:r>
      <w:r>
        <w:fldChar w:fldCharType="separate"/>
      </w:r>
      <w:r>
        <w:rPr>
          <w:rFonts w:hint="eastAsia" w:asciiTheme="minorEastAsia" w:hAnsiTheme="minorEastAsia" w:eastAsiaTheme="minorEastAsia" w:cstheme="minorEastAsia"/>
          <w:sz w:val="28"/>
          <w:szCs w:val="28"/>
        </w:rPr>
        <w:t>八、一般公共预算财政拨款基本支出决算表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420" w:leftChars="200"/>
        <w:rPr>
          <w:rFonts w:asciiTheme="minorEastAsia" w:hAnsiTheme="minorEastAsia" w:eastAsiaTheme="minorEastAsia" w:cstheme="minorEastAsia"/>
          <w:sz w:val="28"/>
          <w:szCs w:val="28"/>
        </w:rPr>
      </w:pPr>
      <w:r>
        <w:fldChar w:fldCharType="begin"/>
      </w:r>
      <w:r>
        <w:instrText xml:space="preserve"> HYPERLINK \l "_Toc22728" </w:instrText>
      </w:r>
      <w:r>
        <w:fldChar w:fldCharType="separate"/>
      </w:r>
      <w:r>
        <w:rPr>
          <w:rFonts w:hint="eastAsia" w:asciiTheme="minorEastAsia" w:hAnsiTheme="minorEastAsia" w:eastAsiaTheme="minorEastAsia" w:cstheme="minorEastAsia"/>
          <w:sz w:val="28"/>
          <w:szCs w:val="28"/>
        </w:rPr>
        <w:t>九、一般公共预算财政拨款项目支出决算表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420" w:leftChars="200"/>
        <w:rPr>
          <w:rFonts w:asciiTheme="minorEastAsia" w:hAnsiTheme="minorEastAsia" w:eastAsiaTheme="minorEastAsia" w:cstheme="minorEastAsia"/>
          <w:sz w:val="28"/>
          <w:szCs w:val="28"/>
        </w:rPr>
      </w:pPr>
      <w:r>
        <w:fldChar w:fldCharType="begin"/>
      </w:r>
      <w:r>
        <w:instrText xml:space="preserve"> HYPERLINK \l "_Toc4880" </w:instrText>
      </w:r>
      <w:r>
        <w:fldChar w:fldCharType="separate"/>
      </w:r>
      <w:r>
        <w:rPr>
          <w:rFonts w:hint="eastAsia" w:asciiTheme="minorEastAsia" w:hAnsiTheme="minorEastAsia" w:eastAsiaTheme="minorEastAsia" w:cstheme="minorEastAsia"/>
          <w:sz w:val="28"/>
          <w:szCs w:val="28"/>
        </w:rPr>
        <w:t>十、一般公共预算财政拨款“三公”经费支出决算表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420" w:leftChars="200"/>
        <w:rPr>
          <w:rFonts w:asciiTheme="minorEastAsia" w:hAnsiTheme="minorEastAsia" w:eastAsiaTheme="minorEastAsia" w:cstheme="minorEastAsia"/>
          <w:sz w:val="28"/>
          <w:szCs w:val="28"/>
        </w:rPr>
      </w:pPr>
      <w:r>
        <w:fldChar w:fldCharType="begin"/>
      </w:r>
      <w:r>
        <w:instrText xml:space="preserve"> HYPERLINK \l "_Toc22945" </w:instrText>
      </w:r>
      <w:r>
        <w:fldChar w:fldCharType="separate"/>
      </w:r>
      <w:r>
        <w:rPr>
          <w:rFonts w:hint="eastAsia" w:asciiTheme="minorEastAsia" w:hAnsiTheme="minorEastAsia" w:eastAsiaTheme="minorEastAsia" w:cstheme="minorEastAsia"/>
          <w:sz w:val="28"/>
          <w:szCs w:val="28"/>
        </w:rPr>
        <w:t>十一、政府性基金预算财政拨款收入支出决算表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420" w:leftChars="200"/>
        <w:rPr>
          <w:rFonts w:asciiTheme="minorEastAsia" w:hAnsiTheme="minorEastAsia" w:eastAsiaTheme="minorEastAsia" w:cstheme="minorEastAsia"/>
          <w:sz w:val="28"/>
          <w:szCs w:val="28"/>
        </w:rPr>
      </w:pPr>
      <w:r>
        <w:fldChar w:fldCharType="begin"/>
      </w:r>
      <w:r>
        <w:instrText xml:space="preserve"> HYPERLINK \l "_Toc24547" </w:instrText>
      </w:r>
      <w:r>
        <w:fldChar w:fldCharType="separate"/>
      </w:r>
      <w:r>
        <w:rPr>
          <w:rFonts w:hint="eastAsia" w:asciiTheme="minorEastAsia" w:hAnsiTheme="minorEastAsia" w:eastAsiaTheme="minorEastAsia" w:cstheme="minorEastAsia"/>
          <w:sz w:val="28"/>
          <w:szCs w:val="28"/>
        </w:rPr>
        <w:t>十二、政府性基金预算财政拨款“三公”经费支出决算表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420" w:leftChars="200"/>
        <w:rPr>
          <w:rFonts w:asciiTheme="minorEastAsia" w:hAnsiTheme="minorEastAsia" w:eastAsiaTheme="minorEastAsia" w:cstheme="minorEastAsia"/>
          <w:sz w:val="28"/>
          <w:szCs w:val="28"/>
        </w:rPr>
      </w:pPr>
      <w:r>
        <w:fldChar w:fldCharType="begin"/>
      </w:r>
      <w:r>
        <w:instrText xml:space="preserve"> HYPERLINK \l "_Toc20654" </w:instrText>
      </w:r>
      <w:r>
        <w:fldChar w:fldCharType="separate"/>
      </w:r>
      <w:r>
        <w:rPr>
          <w:rFonts w:hint="eastAsia" w:asciiTheme="minorEastAsia" w:hAnsiTheme="minorEastAsia" w:eastAsiaTheme="minorEastAsia" w:cstheme="minorEastAsia"/>
          <w:sz w:val="28"/>
          <w:szCs w:val="28"/>
        </w:rPr>
        <w:t>十三、国有资本经营预算财政拨款收入支出决算表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ind w:left="420" w:leftChars="200"/>
        <w:rPr>
          <w:rFonts w:asciiTheme="minorEastAsia" w:hAnsiTheme="minorEastAsia" w:eastAsiaTheme="minorEastAsia" w:cstheme="minorEastAsia"/>
          <w:sz w:val="28"/>
          <w:szCs w:val="28"/>
        </w:rPr>
      </w:pPr>
      <w:r>
        <w:fldChar w:fldCharType="begin"/>
      </w:r>
      <w:r>
        <w:instrText xml:space="preserve"> HYPERLINK \l "_Toc32591" </w:instrText>
      </w:r>
      <w:r>
        <w:fldChar w:fldCharType="separate"/>
      </w:r>
      <w:r>
        <w:rPr>
          <w:rFonts w:hint="eastAsia" w:asciiTheme="minorEastAsia" w:hAnsiTheme="minorEastAsia" w:eastAsiaTheme="minorEastAsia" w:cstheme="minorEastAsia"/>
          <w:sz w:val="28"/>
          <w:szCs w:val="28"/>
        </w:rPr>
        <w:t>十四、国有资本经营预算财政拨款支出决算表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p>
    <w:p>
      <w:pPr>
        <w:pStyle w:val="2"/>
        <w:spacing w:before="9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end"/>
      </w:r>
      <w:bookmarkStart w:id="14" w:name="_Toc18"/>
    </w:p>
    <w:p>
      <w:pPr>
        <w:pStyle w:val="2"/>
        <w:spacing w:before="93"/>
        <w:rPr>
          <w:rFonts w:asciiTheme="minorEastAsia" w:hAnsiTheme="minorEastAsia" w:eastAsiaTheme="minorEastAsia" w:cstheme="minorEastAsia"/>
          <w:sz w:val="28"/>
          <w:szCs w:val="28"/>
        </w:rPr>
      </w:pPr>
    </w:p>
    <w:p>
      <w:pPr>
        <w:pStyle w:val="2"/>
        <w:spacing w:before="93"/>
        <w:rPr>
          <w:rFonts w:asciiTheme="minorEastAsia" w:hAnsiTheme="minorEastAsia" w:eastAsiaTheme="minorEastAsia" w:cstheme="minorEastAsia"/>
          <w:sz w:val="28"/>
          <w:szCs w:val="28"/>
        </w:rPr>
      </w:pPr>
    </w:p>
    <w:p>
      <w:pPr>
        <w:pStyle w:val="2"/>
        <w:spacing w:before="93"/>
        <w:rPr>
          <w:rFonts w:asciiTheme="minorEastAsia" w:hAnsiTheme="minorEastAsia" w:eastAsiaTheme="minorEastAsia" w:cstheme="minorEastAsia"/>
          <w:sz w:val="28"/>
          <w:szCs w:val="28"/>
        </w:rPr>
      </w:pPr>
    </w:p>
    <w:p>
      <w:pPr>
        <w:pStyle w:val="2"/>
        <w:spacing w:before="93"/>
        <w:rPr>
          <w:rFonts w:asciiTheme="minorEastAsia" w:hAnsiTheme="minorEastAsia" w:eastAsiaTheme="minorEastAsia" w:cstheme="minorEastAsia"/>
          <w:sz w:val="28"/>
          <w:szCs w:val="28"/>
        </w:rPr>
      </w:pPr>
    </w:p>
    <w:p>
      <w:pPr>
        <w:pStyle w:val="2"/>
        <w:spacing w:before="93"/>
        <w:rPr>
          <w:rFonts w:asciiTheme="minorEastAsia" w:hAnsiTheme="minorEastAsia" w:eastAsiaTheme="minorEastAsia" w:cstheme="minorEastAsia"/>
          <w:sz w:val="28"/>
          <w:szCs w:val="28"/>
        </w:rPr>
      </w:pPr>
    </w:p>
    <w:p>
      <w:pPr>
        <w:pStyle w:val="2"/>
        <w:spacing w:before="93"/>
        <w:rPr>
          <w:rFonts w:asciiTheme="minorEastAsia" w:hAnsiTheme="minorEastAsia" w:eastAsiaTheme="minorEastAsia" w:cstheme="minorEastAsia"/>
          <w:b/>
          <w:sz w:val="28"/>
          <w:szCs w:val="28"/>
        </w:rPr>
      </w:pPr>
    </w:p>
    <w:p>
      <w:pPr>
        <w:pStyle w:val="3"/>
        <w:jc w:val="center"/>
        <w:rPr>
          <w:rFonts w:ascii="黑体" w:eastAsia="黑体"/>
          <w:sz w:val="32"/>
          <w:szCs w:val="32"/>
        </w:rPr>
      </w:pPr>
      <w:r>
        <w:rPr>
          <w:rFonts w:hint="eastAsia" w:ascii="黑体" w:hAnsi="黑体" w:eastAsia="黑体"/>
          <w:b w:val="0"/>
        </w:rPr>
        <w:t xml:space="preserve">第一部分 </w:t>
      </w:r>
      <w:r>
        <w:rPr>
          <w:rStyle w:val="28"/>
          <w:rFonts w:hint="eastAsia" w:ascii="黑体" w:hAnsi="黑体" w:eastAsia="黑体"/>
          <w:b w:val="0"/>
          <w:bCs w:val="0"/>
        </w:rPr>
        <w:t>部门单位概况</w:t>
      </w:r>
      <w:bookmarkEnd w:id="14"/>
    </w:p>
    <w:p>
      <w:pPr>
        <w:pStyle w:val="4"/>
        <w:rPr>
          <w:rStyle w:val="29"/>
          <w:rFonts w:ascii="仿宋" w:hAnsi="仿宋" w:eastAsia="仿宋"/>
          <w:b w:val="0"/>
          <w:bCs w:val="0"/>
        </w:rPr>
      </w:pPr>
      <w:bookmarkStart w:id="15" w:name="_Toc15377197"/>
      <w:bookmarkStart w:id="16" w:name="_Toc23"/>
      <w:bookmarkStart w:id="17" w:name="_Toc15396600"/>
      <w:r>
        <w:rPr>
          <w:rFonts w:hint="eastAsia" w:ascii="黑体" w:hAnsi="黑体" w:eastAsia="黑体"/>
          <w:b w:val="0"/>
        </w:rPr>
        <w:t>一、基</w:t>
      </w:r>
      <w:r>
        <w:rPr>
          <w:rStyle w:val="29"/>
          <w:rFonts w:hint="eastAsia" w:ascii="黑体" w:hAnsi="黑体" w:eastAsia="黑体"/>
          <w:b w:val="0"/>
          <w:bCs w:val="0"/>
        </w:rPr>
        <w:t>本职能及主要工作</w:t>
      </w:r>
      <w:bookmarkEnd w:id="15"/>
      <w:bookmarkEnd w:id="16"/>
      <w:bookmarkEnd w:id="17"/>
    </w:p>
    <w:p>
      <w:pPr>
        <w:pStyle w:val="2"/>
        <w:adjustRightInd w:val="0"/>
        <w:snapToGrid w:val="0"/>
        <w:spacing w:before="93" w:line="600" w:lineRule="exact"/>
        <w:ind w:firstLine="672" w:firstLineChars="210"/>
        <w:outlineLvl w:val="2"/>
        <w:rPr>
          <w:rFonts w:ascii="仿宋" w:hAnsi="仿宋" w:eastAsia="仿宋"/>
          <w:bCs/>
          <w:sz w:val="32"/>
          <w:szCs w:val="32"/>
        </w:rPr>
      </w:pPr>
      <w:bookmarkStart w:id="18" w:name="_Toc15378445"/>
      <w:bookmarkStart w:id="19" w:name="_Toc15377198"/>
      <w:r>
        <w:rPr>
          <w:rFonts w:hint="eastAsia" w:ascii="仿宋" w:hAnsi="仿宋" w:eastAsia="仿宋"/>
          <w:bCs/>
          <w:sz w:val="32"/>
          <w:szCs w:val="32"/>
        </w:rPr>
        <w:t>（一）主要职能。</w:t>
      </w:r>
      <w:bookmarkEnd w:id="18"/>
      <w:bookmarkEnd w:id="19"/>
      <w:bookmarkStart w:id="20" w:name="_Toc15378446"/>
      <w:bookmarkStart w:id="21" w:name="_Toc15377199"/>
    </w:p>
    <w:p>
      <w:pPr>
        <w:widowControl/>
        <w:adjustRightInd w:val="0"/>
        <w:snapToGrid w:val="0"/>
        <w:spacing w:line="572" w:lineRule="exact"/>
        <w:ind w:firstLine="640" w:firstLineChars="200"/>
        <w:contextualSpacing/>
        <w:jc w:val="left"/>
        <w:rPr>
          <w:rFonts w:ascii="仿宋" w:hAnsi="仿宋" w:eastAsia="仿宋"/>
          <w:kern w:val="0"/>
          <w:sz w:val="32"/>
          <w:szCs w:val="32"/>
          <w:lang w:val="zh-CN"/>
        </w:rPr>
      </w:pPr>
      <w:r>
        <w:rPr>
          <w:rFonts w:hint="eastAsia" w:ascii="仿宋" w:hAnsi="仿宋" w:eastAsia="仿宋"/>
          <w:kern w:val="0"/>
          <w:sz w:val="32"/>
          <w:szCs w:val="32"/>
          <w:lang w:val="zh-CN"/>
        </w:rPr>
        <w:t>剑阁县羊岭小学校机构职能是实施义务教育，促进基础教育全面均衡发展。</w:t>
      </w:r>
    </w:p>
    <w:p>
      <w:pPr>
        <w:widowControl/>
        <w:adjustRightInd w:val="0"/>
        <w:snapToGrid w:val="0"/>
        <w:spacing w:line="572" w:lineRule="exact"/>
        <w:ind w:firstLine="640" w:firstLineChars="200"/>
        <w:contextualSpacing/>
        <w:jc w:val="left"/>
        <w:rPr>
          <w:rFonts w:ascii="仿宋" w:hAnsi="仿宋" w:eastAsia="仿宋"/>
          <w:kern w:val="0"/>
          <w:sz w:val="32"/>
          <w:szCs w:val="32"/>
          <w:lang w:val="zh-CN"/>
        </w:rPr>
      </w:pPr>
      <w:r>
        <w:rPr>
          <w:rFonts w:hint="eastAsia" w:ascii="仿宋" w:hAnsi="仿宋" w:eastAsia="仿宋"/>
          <w:kern w:val="0"/>
          <w:sz w:val="32"/>
          <w:szCs w:val="32"/>
          <w:lang w:val="zh-CN"/>
        </w:rPr>
        <w:t>贯彻、执行教育法律法规和政策规定，坚持依法治教、依法治学。指导、管理、检查、评价学校的教育教学工作，提高办学质量。负责教育教学管理及教研教改工作，全力推进素质教育实施。</w:t>
      </w:r>
    </w:p>
    <w:p>
      <w:pPr>
        <w:pStyle w:val="2"/>
        <w:adjustRightInd w:val="0"/>
        <w:snapToGrid w:val="0"/>
        <w:spacing w:before="93" w:line="600" w:lineRule="exact"/>
        <w:ind w:firstLine="640" w:firstLineChars="200"/>
        <w:outlineLvl w:val="2"/>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22年重点工作完成情况。</w:t>
      </w:r>
      <w:bookmarkEnd w:id="20"/>
      <w:bookmarkEnd w:id="21"/>
    </w:p>
    <w:p>
      <w:pPr>
        <w:widowControl/>
        <w:adjustRightInd w:val="0"/>
        <w:snapToGrid w:val="0"/>
        <w:spacing w:line="572" w:lineRule="exact"/>
        <w:ind w:firstLine="640" w:firstLineChars="200"/>
        <w:contextualSpacing/>
        <w:jc w:val="left"/>
        <w:rPr>
          <w:rFonts w:ascii="仿宋" w:hAnsi="仿宋" w:eastAsia="仿宋"/>
          <w:kern w:val="0"/>
          <w:sz w:val="32"/>
          <w:szCs w:val="32"/>
          <w:lang w:val="zh-CN"/>
        </w:rPr>
      </w:pPr>
      <w:bookmarkStart w:id="22" w:name="_Toc15396601"/>
      <w:bookmarkStart w:id="23" w:name="_Toc1131"/>
      <w:bookmarkStart w:id="24" w:name="_Toc15377200"/>
      <w:r>
        <w:rPr>
          <w:rFonts w:hint="eastAsia" w:ascii="仿宋" w:hAnsi="仿宋" w:eastAsia="仿宋"/>
          <w:kern w:val="0"/>
          <w:sz w:val="32"/>
          <w:szCs w:val="32"/>
          <w:lang w:val="zh-CN"/>
        </w:rPr>
        <w:t>(1)抓项目建设，扎实推进学校硬件设备设施。</w:t>
      </w:r>
    </w:p>
    <w:p>
      <w:pPr>
        <w:widowControl/>
        <w:adjustRightInd w:val="0"/>
        <w:snapToGrid w:val="0"/>
        <w:spacing w:line="572" w:lineRule="exact"/>
        <w:ind w:firstLine="640" w:firstLineChars="200"/>
        <w:contextualSpacing/>
        <w:jc w:val="left"/>
        <w:rPr>
          <w:rFonts w:ascii="仿宋" w:hAnsi="仿宋" w:eastAsia="仿宋"/>
          <w:kern w:val="0"/>
          <w:sz w:val="32"/>
          <w:szCs w:val="32"/>
          <w:lang w:val="zh-CN"/>
        </w:rPr>
      </w:pPr>
      <w:r>
        <w:rPr>
          <w:rFonts w:hint="eastAsia" w:ascii="仿宋" w:hAnsi="仿宋" w:eastAsia="仿宋"/>
          <w:kern w:val="0"/>
          <w:sz w:val="32"/>
          <w:szCs w:val="32"/>
          <w:lang w:val="zh-CN"/>
        </w:rPr>
        <w:t>(2)强党建工作建设，强行风建设，提升办学正能量。</w:t>
      </w:r>
    </w:p>
    <w:p>
      <w:pPr>
        <w:widowControl/>
        <w:adjustRightInd w:val="0"/>
        <w:snapToGrid w:val="0"/>
        <w:spacing w:line="572" w:lineRule="exact"/>
        <w:ind w:firstLine="640" w:firstLineChars="200"/>
        <w:contextualSpacing/>
        <w:jc w:val="left"/>
        <w:rPr>
          <w:rFonts w:ascii="仿宋" w:hAnsi="仿宋" w:eastAsia="仿宋"/>
          <w:kern w:val="0"/>
          <w:sz w:val="32"/>
          <w:szCs w:val="32"/>
          <w:lang w:val="zh-CN"/>
        </w:rPr>
      </w:pPr>
      <w:r>
        <w:rPr>
          <w:rFonts w:hint="eastAsia" w:ascii="仿宋" w:hAnsi="仿宋" w:eastAsia="仿宋"/>
          <w:kern w:val="0"/>
          <w:sz w:val="32"/>
          <w:szCs w:val="32"/>
          <w:lang w:val="zh-CN"/>
        </w:rPr>
        <w:t>(3)抓民主管理，强根基，法制建设保航程。</w:t>
      </w:r>
    </w:p>
    <w:p>
      <w:pPr>
        <w:widowControl/>
        <w:adjustRightInd w:val="0"/>
        <w:snapToGrid w:val="0"/>
        <w:spacing w:line="572" w:lineRule="exact"/>
        <w:ind w:firstLine="640" w:firstLineChars="200"/>
        <w:contextualSpacing/>
        <w:jc w:val="left"/>
        <w:rPr>
          <w:rFonts w:ascii="仿宋" w:hAnsi="仿宋" w:eastAsia="仿宋"/>
          <w:kern w:val="0"/>
          <w:sz w:val="32"/>
          <w:szCs w:val="32"/>
          <w:lang w:val="zh-CN"/>
        </w:rPr>
      </w:pPr>
      <w:r>
        <w:rPr>
          <w:rFonts w:hint="eastAsia" w:ascii="仿宋" w:hAnsi="仿宋" w:eastAsia="仿宋"/>
          <w:kern w:val="0"/>
          <w:sz w:val="32"/>
          <w:szCs w:val="32"/>
          <w:lang w:val="zh-CN"/>
        </w:rPr>
        <w:t>(4)抓教研，提效率，质量攀高传捷报。</w:t>
      </w:r>
    </w:p>
    <w:p>
      <w:pPr>
        <w:widowControl/>
        <w:adjustRightInd w:val="0"/>
        <w:snapToGrid w:val="0"/>
        <w:spacing w:line="572" w:lineRule="exact"/>
        <w:ind w:firstLine="640" w:firstLineChars="200"/>
        <w:contextualSpacing/>
        <w:jc w:val="left"/>
        <w:rPr>
          <w:rFonts w:ascii="仿宋" w:hAnsi="仿宋" w:eastAsia="仿宋"/>
          <w:kern w:val="0"/>
          <w:sz w:val="32"/>
          <w:szCs w:val="32"/>
          <w:lang w:val="zh-CN"/>
        </w:rPr>
      </w:pPr>
      <w:r>
        <w:rPr>
          <w:rFonts w:hint="eastAsia" w:ascii="仿宋" w:hAnsi="仿宋" w:eastAsia="仿宋"/>
          <w:kern w:val="0"/>
          <w:sz w:val="32"/>
          <w:szCs w:val="32"/>
          <w:lang w:val="zh-CN"/>
        </w:rPr>
        <w:t>(5)抓德育、体育、艺术、劳动、美术教育，以丰富多彩的活动为载体，展示师生活力，激发青春正能量。</w:t>
      </w:r>
    </w:p>
    <w:p>
      <w:pPr>
        <w:widowControl/>
        <w:adjustRightInd w:val="0"/>
        <w:snapToGrid w:val="0"/>
        <w:spacing w:line="572" w:lineRule="exact"/>
        <w:ind w:firstLine="640" w:firstLineChars="200"/>
        <w:contextualSpacing/>
        <w:jc w:val="left"/>
        <w:rPr>
          <w:rFonts w:ascii="仿宋" w:hAnsi="仿宋" w:eastAsia="仿宋"/>
          <w:kern w:val="0"/>
          <w:sz w:val="32"/>
          <w:szCs w:val="32"/>
          <w:lang w:val="zh-CN"/>
        </w:rPr>
      </w:pPr>
      <w:r>
        <w:rPr>
          <w:rFonts w:hint="eastAsia" w:ascii="仿宋" w:hAnsi="仿宋" w:eastAsia="仿宋"/>
          <w:kern w:val="0"/>
          <w:sz w:val="32"/>
          <w:szCs w:val="32"/>
          <w:lang w:val="zh-CN"/>
        </w:rPr>
        <w:t>(6)抓招生，创新思路，主动出击开新局。</w:t>
      </w:r>
    </w:p>
    <w:p>
      <w:pPr>
        <w:pStyle w:val="4"/>
        <w:rPr>
          <w:rStyle w:val="29"/>
          <w:b w:val="0"/>
          <w:bCs w:val="0"/>
        </w:rPr>
      </w:pPr>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22"/>
      <w:bookmarkEnd w:id="23"/>
      <w:bookmarkEnd w:id="24"/>
    </w:p>
    <w:p>
      <w:pPr>
        <w:ind w:firstLine="640" w:firstLineChars="200"/>
        <w:rPr>
          <w:rFonts w:ascii="仿宋" w:hAnsi="仿宋" w:eastAsia="仿宋"/>
          <w:sz w:val="32"/>
          <w:szCs w:val="32"/>
        </w:rPr>
      </w:pPr>
      <w:r>
        <w:rPr>
          <w:rFonts w:hint="eastAsia" w:ascii="仿宋" w:hAnsi="仿宋" w:eastAsia="仿宋"/>
          <w:sz w:val="32"/>
          <w:szCs w:val="32"/>
        </w:rPr>
        <w:t>剑阁县羊岭小学校下属二级单位0个，其中行政单位0个，参照公务员法管理的事业单位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pPr>
      <w:bookmarkStart w:id="25" w:name="_Toc31284"/>
      <w:bookmarkStart w:id="26" w:name="_Toc15396602"/>
      <w:bookmarkStart w:id="27" w:name="_Toc15377204"/>
      <w:r>
        <w:rPr>
          <w:rFonts w:hint="eastAsia" w:ascii="黑体" w:hAnsi="黑体" w:eastAsia="黑体"/>
          <w:b w:val="0"/>
        </w:rPr>
        <w:t>第二部分 2022年度</w:t>
      </w:r>
      <w:r>
        <w:rPr>
          <w:rStyle w:val="28"/>
          <w:rFonts w:hint="eastAsia" w:ascii="黑体" w:hAnsi="黑体" w:eastAsia="黑体"/>
          <w:b w:val="0"/>
          <w:bCs/>
        </w:rPr>
        <w:t>部门决算情况说明</w:t>
      </w:r>
      <w:bookmarkEnd w:id="25"/>
      <w:bookmarkEnd w:id="26"/>
      <w:bookmarkEnd w:id="27"/>
    </w:p>
    <w:p>
      <w:pPr>
        <w:pStyle w:val="27"/>
        <w:numPr>
          <w:ilvl w:val="0"/>
          <w:numId w:val="1"/>
        </w:numPr>
        <w:spacing w:line="600" w:lineRule="exact"/>
        <w:ind w:firstLineChars="0"/>
        <w:outlineLvl w:val="1"/>
        <w:rPr>
          <w:rStyle w:val="29"/>
          <w:rFonts w:ascii="黑体" w:hAnsi="黑体" w:eastAsia="黑体"/>
          <w:b w:val="0"/>
        </w:rPr>
      </w:pPr>
      <w:bookmarkStart w:id="28" w:name="_Toc15396603"/>
      <w:bookmarkStart w:id="29" w:name="_Toc8375"/>
      <w:bookmarkStart w:id="30"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8"/>
      <w:bookmarkEnd w:id="29"/>
      <w:bookmarkEnd w:id="30"/>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2022年度总收入</w:t>
      </w:r>
      <w:r>
        <w:rPr>
          <w:rFonts w:ascii="仿宋" w:hAnsi="仿宋" w:eastAsia="仿宋"/>
          <w:sz w:val="32"/>
          <w:szCs w:val="32"/>
        </w:rPr>
        <w:t>421.21</w:t>
      </w:r>
      <w:r>
        <w:rPr>
          <w:rFonts w:hint="eastAsia" w:ascii="仿宋" w:hAnsi="仿宋" w:eastAsia="仿宋"/>
          <w:sz w:val="32"/>
          <w:szCs w:val="32"/>
        </w:rPr>
        <w:t>万元、支出总计</w:t>
      </w:r>
      <w:r>
        <w:rPr>
          <w:rFonts w:ascii="仿宋" w:hAnsi="仿宋" w:eastAsia="仿宋"/>
          <w:sz w:val="32"/>
          <w:szCs w:val="32"/>
        </w:rPr>
        <w:t>421.21</w:t>
      </w:r>
      <w:r>
        <w:rPr>
          <w:rFonts w:hint="eastAsia" w:ascii="仿宋" w:hAnsi="仿宋" w:eastAsia="仿宋"/>
          <w:sz w:val="32"/>
          <w:szCs w:val="32"/>
        </w:rPr>
        <w:t>万元。2021年度总收入</w:t>
      </w:r>
      <w:r>
        <w:rPr>
          <w:rFonts w:ascii="仿宋" w:hAnsi="仿宋" w:eastAsia="仿宋"/>
          <w:color w:val="000000"/>
          <w:sz w:val="32"/>
          <w:szCs w:val="32"/>
        </w:rPr>
        <w:t>489</w:t>
      </w:r>
      <w:r>
        <w:rPr>
          <w:rFonts w:hint="eastAsia" w:ascii="仿宋" w:hAnsi="仿宋" w:eastAsia="仿宋"/>
          <w:color w:val="000000"/>
          <w:sz w:val="32"/>
          <w:szCs w:val="32"/>
        </w:rPr>
        <w:t>.</w:t>
      </w:r>
      <w:r>
        <w:rPr>
          <w:rFonts w:ascii="仿宋" w:hAnsi="仿宋" w:eastAsia="仿宋"/>
          <w:color w:val="000000"/>
          <w:sz w:val="32"/>
          <w:szCs w:val="32"/>
        </w:rPr>
        <w:t>87</w:t>
      </w:r>
      <w:r>
        <w:rPr>
          <w:rFonts w:hint="eastAsia" w:ascii="仿宋" w:hAnsi="仿宋" w:eastAsia="仿宋"/>
          <w:sz w:val="32"/>
          <w:szCs w:val="32"/>
        </w:rPr>
        <w:t>万元，支出总计</w:t>
      </w:r>
      <w:r>
        <w:rPr>
          <w:rFonts w:ascii="仿宋" w:hAnsi="仿宋" w:eastAsia="仿宋"/>
          <w:color w:val="000000"/>
          <w:sz w:val="32"/>
          <w:szCs w:val="32"/>
        </w:rPr>
        <w:t>489</w:t>
      </w:r>
      <w:r>
        <w:rPr>
          <w:rFonts w:hint="eastAsia" w:ascii="仿宋" w:hAnsi="仿宋" w:eastAsia="仿宋"/>
          <w:color w:val="000000"/>
          <w:sz w:val="32"/>
          <w:szCs w:val="32"/>
        </w:rPr>
        <w:t>.</w:t>
      </w:r>
      <w:r>
        <w:rPr>
          <w:rFonts w:ascii="仿宋" w:hAnsi="仿宋" w:eastAsia="仿宋"/>
          <w:color w:val="000000"/>
          <w:sz w:val="32"/>
          <w:szCs w:val="32"/>
        </w:rPr>
        <w:t>87</w:t>
      </w:r>
      <w:r>
        <w:rPr>
          <w:rFonts w:hint="eastAsia" w:ascii="仿宋" w:hAnsi="仿宋" w:eastAsia="仿宋"/>
          <w:sz w:val="32"/>
          <w:szCs w:val="32"/>
        </w:rPr>
        <w:t>万元。2022年与2021年相比，收入总计减少</w:t>
      </w:r>
      <w:r>
        <w:rPr>
          <w:rFonts w:ascii="仿宋" w:hAnsi="仿宋" w:eastAsia="仿宋"/>
          <w:sz w:val="32"/>
          <w:szCs w:val="32"/>
        </w:rPr>
        <w:t>68.66</w:t>
      </w:r>
      <w:r>
        <w:rPr>
          <w:rFonts w:hint="eastAsia" w:ascii="仿宋" w:hAnsi="仿宋" w:eastAsia="仿宋"/>
          <w:sz w:val="32"/>
          <w:szCs w:val="32"/>
        </w:rPr>
        <w:t>万元、减少</w:t>
      </w:r>
      <w:r>
        <w:rPr>
          <w:rFonts w:ascii="仿宋" w:hAnsi="仿宋" w:eastAsia="仿宋"/>
          <w:sz w:val="32"/>
          <w:szCs w:val="32"/>
        </w:rPr>
        <w:t>14.02</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支出总计减少</w:t>
      </w:r>
      <w:r>
        <w:rPr>
          <w:rFonts w:ascii="仿宋" w:hAnsi="仿宋" w:eastAsia="仿宋"/>
          <w:sz w:val="32"/>
          <w:szCs w:val="32"/>
        </w:rPr>
        <w:t>68.66</w:t>
      </w:r>
      <w:r>
        <w:rPr>
          <w:rFonts w:hint="eastAsia" w:ascii="仿宋" w:hAnsi="仿宋" w:eastAsia="仿宋"/>
          <w:sz w:val="32"/>
          <w:szCs w:val="32"/>
        </w:rPr>
        <w:t>万元、减少</w:t>
      </w:r>
      <w:r>
        <w:rPr>
          <w:rFonts w:ascii="仿宋" w:hAnsi="仿宋" w:eastAsia="仿宋"/>
          <w:sz w:val="32"/>
          <w:szCs w:val="32"/>
        </w:rPr>
        <w:t>14.02</w:t>
      </w:r>
      <w:r>
        <w:rPr>
          <w:rFonts w:hint="eastAsia" w:ascii="仿宋" w:hAnsi="仿宋" w:eastAsia="仿宋"/>
          <w:sz w:val="32"/>
          <w:szCs w:val="32"/>
        </w:rPr>
        <w:t>%。主要变动原因是项目减少和学生教师数减少。</w:t>
      </w:r>
    </w:p>
    <w:p>
      <w:pPr>
        <w:pStyle w:val="2"/>
        <w:spacing w:before="93"/>
      </w:pPr>
    </w:p>
    <w:p>
      <w:pPr>
        <w:pStyle w:val="2"/>
        <w:spacing w:before="93"/>
        <w:jc w:val="left"/>
        <w:rPr>
          <w:sz w:val="32"/>
          <w:szCs w:val="32"/>
        </w:rPr>
      </w:pPr>
      <w:r>
        <w:rPr>
          <w:rFonts w:hint="eastAsia"/>
          <w:sz w:val="32"/>
          <w:szCs w:val="32"/>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left"/>
        <w:rPr>
          <w:rFonts w:ascii="仿宋_GB2312" w:eastAsia="仿宋_GB2312"/>
          <w:sz w:val="32"/>
          <w:szCs w:val="32"/>
        </w:rPr>
      </w:pPr>
    </w:p>
    <w:p>
      <w:pPr>
        <w:pStyle w:val="27"/>
        <w:numPr>
          <w:ilvl w:val="0"/>
          <w:numId w:val="1"/>
        </w:numPr>
        <w:spacing w:line="600" w:lineRule="exact"/>
        <w:ind w:firstLineChars="0"/>
        <w:outlineLvl w:val="1"/>
        <w:rPr>
          <w:rStyle w:val="29"/>
          <w:rFonts w:ascii="黑体" w:hAnsi="黑体" w:eastAsia="黑体"/>
          <w:b w:val="0"/>
        </w:rPr>
      </w:pPr>
      <w:bookmarkStart w:id="31" w:name="_Toc15377206"/>
      <w:bookmarkStart w:id="32" w:name="_Toc9479"/>
      <w:bookmarkStart w:id="33" w:name="_Toc15396604"/>
      <w:r>
        <w:rPr>
          <w:rFonts w:hint="eastAsia" w:ascii="黑体" w:hAnsi="黑体" w:eastAsia="黑体"/>
          <w:sz w:val="32"/>
          <w:szCs w:val="32"/>
        </w:rPr>
        <w:t>收</w:t>
      </w:r>
      <w:r>
        <w:rPr>
          <w:rStyle w:val="29"/>
          <w:rFonts w:hint="eastAsia" w:ascii="黑体" w:hAnsi="黑体" w:eastAsia="黑体"/>
          <w:b w:val="0"/>
        </w:rPr>
        <w:t>入决算情况说明</w:t>
      </w:r>
      <w:bookmarkEnd w:id="31"/>
      <w:bookmarkEnd w:id="32"/>
      <w:bookmarkEnd w:id="33"/>
    </w:p>
    <w:p>
      <w:pPr>
        <w:pStyle w:val="2"/>
        <w:spacing w:before="93"/>
        <w:rPr>
          <w:rFonts w:eastAsia="仿宋"/>
        </w:rPr>
      </w:pPr>
      <w:r>
        <w:rPr>
          <w:rFonts w:hint="eastAsia" w:ascii="仿宋" w:hAnsi="仿宋" w:eastAsia="仿宋"/>
          <w:sz w:val="32"/>
          <w:szCs w:val="32"/>
        </w:rPr>
        <w:t xml:space="preserve">    2022年本年收入合计</w:t>
      </w:r>
      <w:r>
        <w:rPr>
          <w:rFonts w:ascii="仿宋" w:hAnsi="仿宋" w:eastAsia="仿宋"/>
          <w:sz w:val="32"/>
          <w:szCs w:val="32"/>
        </w:rPr>
        <w:t>421.21</w:t>
      </w:r>
      <w:r>
        <w:rPr>
          <w:rFonts w:hint="eastAsia" w:ascii="仿宋" w:hAnsi="仿宋" w:eastAsia="仿宋"/>
          <w:sz w:val="32"/>
          <w:szCs w:val="32"/>
        </w:rPr>
        <w:t>万元，其中：一般公共预算财政拨款收入</w:t>
      </w:r>
      <w:r>
        <w:rPr>
          <w:rFonts w:ascii="仿宋" w:hAnsi="仿宋" w:eastAsia="仿宋"/>
          <w:sz w:val="32"/>
          <w:szCs w:val="32"/>
        </w:rPr>
        <w:t>421.21</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r>
        <w:rPr>
          <w:rFonts w:eastAsia="仿宋"/>
        </w:rPr>
        <w:t xml:space="preserve"> </w:t>
      </w:r>
    </w:p>
    <w:p>
      <w:pPr>
        <w:pStyle w:val="2"/>
        <w:spacing w:before="93"/>
        <w:rPr>
          <w:sz w:val="32"/>
          <w:szCs w:val="32"/>
        </w:rPr>
      </w:pPr>
      <w:r>
        <w:rPr>
          <w:rFonts w:hint="eastAsia"/>
          <w:sz w:val="32"/>
          <w:szCs w:val="32"/>
        </w:rPr>
        <w:drawing>
          <wp:inline distT="0" distB="0" distL="114300" distR="114300">
            <wp:extent cx="4528820" cy="2582545"/>
            <wp:effectExtent l="4445" t="4445" r="19685" b="228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spacing w:line="600" w:lineRule="exact"/>
        <w:ind w:left="640" w:firstLine="0" w:firstLineChars="0"/>
        <w:outlineLvl w:val="1"/>
        <w:rPr>
          <w:rFonts w:ascii="仿宋" w:hAnsi="仿宋" w:eastAsia="仿宋"/>
          <w:sz w:val="32"/>
          <w:szCs w:val="32"/>
        </w:rPr>
      </w:pPr>
      <w:bookmarkStart w:id="34" w:name="_Toc15377207"/>
      <w:bookmarkStart w:id="35" w:name="_Toc16957"/>
      <w:bookmarkStart w:id="36" w:name="_Toc15396605"/>
      <w:r>
        <w:rPr>
          <w:rFonts w:hint="eastAsia" w:ascii="黑体" w:hAnsi="黑体" w:eastAsia="黑体"/>
          <w:sz w:val="32"/>
          <w:szCs w:val="32"/>
        </w:rPr>
        <w:t>三、支</w:t>
      </w:r>
      <w:r>
        <w:rPr>
          <w:rStyle w:val="29"/>
          <w:rFonts w:hint="eastAsia" w:ascii="黑体" w:hAnsi="黑体" w:eastAsia="黑体"/>
          <w:b w:val="0"/>
        </w:rPr>
        <w:t>出决算情况说明</w:t>
      </w:r>
      <w:bookmarkEnd w:id="34"/>
      <w:bookmarkEnd w:id="35"/>
      <w:bookmarkEnd w:id="36"/>
    </w:p>
    <w:p>
      <w:pPr>
        <w:ind w:firstLine="640" w:firstLineChars="200"/>
        <w:rPr>
          <w:rFonts w:ascii="仿宋" w:hAnsi="仿宋" w:eastAsia="仿宋"/>
          <w:kern w:val="0"/>
          <w:sz w:val="32"/>
          <w:szCs w:val="32"/>
        </w:rPr>
      </w:pPr>
      <w:r>
        <w:rPr>
          <w:rFonts w:hint="eastAsia" w:ascii="仿宋" w:hAnsi="仿宋" w:eastAsia="仿宋"/>
          <w:kern w:val="0"/>
          <w:sz w:val="32"/>
          <w:szCs w:val="32"/>
        </w:rPr>
        <w:t>2022年本年支出合计</w:t>
      </w:r>
      <w:r>
        <w:rPr>
          <w:rFonts w:ascii="仿宋" w:hAnsi="仿宋" w:eastAsia="仿宋"/>
          <w:kern w:val="0"/>
          <w:sz w:val="32"/>
          <w:szCs w:val="32"/>
        </w:rPr>
        <w:t>421.21</w:t>
      </w:r>
      <w:r>
        <w:rPr>
          <w:rFonts w:hint="eastAsia" w:ascii="仿宋" w:hAnsi="仿宋" w:eastAsia="仿宋"/>
          <w:kern w:val="0"/>
          <w:sz w:val="32"/>
          <w:szCs w:val="32"/>
        </w:rPr>
        <w:t>万元，其中：基本支出</w:t>
      </w:r>
      <w:r>
        <w:rPr>
          <w:rFonts w:ascii="仿宋" w:hAnsi="仿宋" w:eastAsia="仿宋"/>
          <w:kern w:val="0"/>
          <w:sz w:val="32"/>
          <w:szCs w:val="32"/>
        </w:rPr>
        <w:t>419.71</w:t>
      </w:r>
      <w:r>
        <w:rPr>
          <w:rFonts w:hint="eastAsia" w:ascii="仿宋" w:hAnsi="仿宋" w:eastAsia="仿宋"/>
          <w:kern w:val="0"/>
          <w:sz w:val="32"/>
          <w:szCs w:val="32"/>
        </w:rPr>
        <w:t>万元，占9</w:t>
      </w:r>
      <w:r>
        <w:rPr>
          <w:rFonts w:ascii="仿宋" w:hAnsi="仿宋" w:eastAsia="仿宋"/>
          <w:kern w:val="0"/>
          <w:sz w:val="32"/>
          <w:szCs w:val="32"/>
        </w:rPr>
        <w:t>9</w:t>
      </w:r>
      <w:r>
        <w:rPr>
          <w:rFonts w:hint="eastAsia" w:ascii="仿宋" w:hAnsi="仿宋" w:eastAsia="仿宋"/>
          <w:kern w:val="0"/>
          <w:sz w:val="32"/>
          <w:szCs w:val="32"/>
        </w:rPr>
        <w:t>.</w:t>
      </w:r>
      <w:r>
        <w:rPr>
          <w:rFonts w:ascii="仿宋" w:hAnsi="仿宋" w:eastAsia="仿宋"/>
          <w:kern w:val="0"/>
          <w:sz w:val="32"/>
          <w:szCs w:val="32"/>
        </w:rPr>
        <w:t>64</w:t>
      </w:r>
      <w:r>
        <w:rPr>
          <w:rFonts w:hint="eastAsia" w:ascii="仿宋" w:hAnsi="仿宋" w:eastAsia="仿宋"/>
          <w:kern w:val="0"/>
          <w:sz w:val="32"/>
          <w:szCs w:val="32"/>
        </w:rPr>
        <w:t>%；项目支出</w:t>
      </w:r>
      <w:r>
        <w:rPr>
          <w:rFonts w:ascii="仿宋" w:hAnsi="仿宋" w:eastAsia="仿宋"/>
          <w:kern w:val="0"/>
          <w:sz w:val="32"/>
          <w:szCs w:val="32"/>
        </w:rPr>
        <w:t>1.5</w:t>
      </w:r>
      <w:r>
        <w:rPr>
          <w:rFonts w:hint="eastAsia" w:ascii="仿宋" w:hAnsi="仿宋" w:eastAsia="仿宋"/>
          <w:kern w:val="0"/>
          <w:sz w:val="32"/>
          <w:szCs w:val="32"/>
        </w:rPr>
        <w:t>万元，占</w:t>
      </w:r>
      <w:r>
        <w:rPr>
          <w:rFonts w:ascii="仿宋" w:hAnsi="仿宋" w:eastAsia="仿宋"/>
          <w:kern w:val="0"/>
          <w:sz w:val="32"/>
          <w:szCs w:val="32"/>
        </w:rPr>
        <w:t>0.36</w:t>
      </w:r>
      <w:r>
        <w:rPr>
          <w:rFonts w:hint="eastAsia" w:ascii="仿宋" w:hAnsi="仿宋" w:eastAsia="仿宋"/>
          <w:kern w:val="0"/>
          <w:sz w:val="32"/>
          <w:szCs w:val="32"/>
        </w:rPr>
        <w:t>%。</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4432935" cy="3068320"/>
            <wp:effectExtent l="4445" t="4445" r="20320"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rPr>
          <w:rFonts w:ascii="仿宋" w:hAnsi="仿宋" w:eastAsia="仿宋"/>
          <w:sz w:val="32"/>
          <w:szCs w:val="32"/>
        </w:rPr>
      </w:pPr>
    </w:p>
    <w:p>
      <w:pPr>
        <w:spacing w:line="600" w:lineRule="exact"/>
        <w:ind w:firstLine="640" w:firstLineChars="200"/>
        <w:outlineLvl w:val="1"/>
        <w:rPr>
          <w:rFonts w:ascii="黑体" w:hAnsi="黑体" w:eastAsia="黑体"/>
          <w:sz w:val="32"/>
          <w:szCs w:val="32"/>
        </w:rPr>
      </w:pPr>
      <w:bookmarkStart w:id="37" w:name="_Toc30489"/>
      <w:bookmarkStart w:id="38" w:name="_Toc15377208"/>
      <w:bookmarkStart w:id="39" w:name="_Toc15396606"/>
      <w:r>
        <w:rPr>
          <w:rFonts w:hint="eastAsia" w:ascii="黑体" w:hAnsi="黑体" w:eastAsia="黑体"/>
          <w:sz w:val="32"/>
          <w:szCs w:val="32"/>
        </w:rPr>
        <w:t>四、财政拨款收入支出决算总体情况说明</w:t>
      </w:r>
      <w:bookmarkEnd w:id="37"/>
      <w:bookmarkEnd w:id="38"/>
      <w:bookmarkEnd w:id="3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22年财政拨款收入总计</w:t>
      </w:r>
      <w:r>
        <w:rPr>
          <w:rFonts w:ascii="仿宋" w:hAnsi="仿宋" w:eastAsia="仿宋"/>
          <w:color w:val="000000"/>
          <w:sz w:val="32"/>
          <w:szCs w:val="32"/>
        </w:rPr>
        <w:t>421.21</w:t>
      </w:r>
      <w:r>
        <w:rPr>
          <w:rFonts w:hint="eastAsia" w:ascii="仿宋" w:hAnsi="仿宋" w:eastAsia="仿宋"/>
          <w:sz w:val="32"/>
          <w:szCs w:val="32"/>
        </w:rPr>
        <w:t>、支出总计</w:t>
      </w:r>
      <w:r>
        <w:rPr>
          <w:rFonts w:ascii="仿宋" w:hAnsi="仿宋" w:eastAsia="仿宋"/>
          <w:color w:val="000000"/>
          <w:sz w:val="32"/>
          <w:szCs w:val="32"/>
        </w:rPr>
        <w:t>421.21</w:t>
      </w:r>
      <w:r>
        <w:rPr>
          <w:rFonts w:hint="eastAsia" w:ascii="仿宋" w:hAnsi="仿宋" w:eastAsia="仿宋"/>
          <w:sz w:val="32"/>
          <w:szCs w:val="32"/>
        </w:rPr>
        <w:t>万元。2021年财政拨款</w:t>
      </w:r>
      <w:r>
        <w:rPr>
          <w:rFonts w:hint="eastAsia" w:ascii="仿宋" w:hAnsi="仿宋" w:eastAsia="仿宋"/>
          <w:sz w:val="32"/>
          <w:szCs w:val="32"/>
          <w:lang w:eastAsia="zh-CN"/>
        </w:rPr>
        <w:t>收入</w:t>
      </w:r>
      <w:r>
        <w:rPr>
          <w:rFonts w:hint="eastAsia" w:ascii="仿宋" w:hAnsi="仿宋" w:eastAsia="仿宋"/>
          <w:sz w:val="32"/>
          <w:szCs w:val="32"/>
        </w:rPr>
        <w:t>总计</w:t>
      </w:r>
      <w:r>
        <w:rPr>
          <w:rFonts w:ascii="仿宋" w:hAnsi="仿宋" w:eastAsia="仿宋"/>
          <w:color w:val="000000"/>
          <w:sz w:val="32"/>
          <w:szCs w:val="32"/>
        </w:rPr>
        <w:t>489</w:t>
      </w:r>
      <w:r>
        <w:rPr>
          <w:rFonts w:hint="eastAsia" w:ascii="仿宋" w:hAnsi="仿宋" w:eastAsia="仿宋"/>
          <w:color w:val="000000"/>
          <w:sz w:val="32"/>
          <w:szCs w:val="32"/>
        </w:rPr>
        <w:t>.</w:t>
      </w:r>
      <w:r>
        <w:rPr>
          <w:rFonts w:ascii="仿宋" w:hAnsi="仿宋" w:eastAsia="仿宋"/>
          <w:color w:val="000000"/>
          <w:sz w:val="32"/>
          <w:szCs w:val="32"/>
        </w:rPr>
        <w:t>87</w:t>
      </w:r>
      <w:r>
        <w:rPr>
          <w:rFonts w:hint="eastAsia" w:ascii="仿宋" w:hAnsi="仿宋" w:eastAsia="仿宋"/>
          <w:sz w:val="32"/>
          <w:szCs w:val="32"/>
        </w:rPr>
        <w:t>万元、支出总计</w:t>
      </w:r>
      <w:r>
        <w:rPr>
          <w:rFonts w:ascii="仿宋" w:hAnsi="仿宋" w:eastAsia="仿宋"/>
          <w:color w:val="000000"/>
          <w:sz w:val="32"/>
          <w:szCs w:val="32"/>
        </w:rPr>
        <w:t>489</w:t>
      </w:r>
      <w:r>
        <w:rPr>
          <w:rFonts w:hint="eastAsia" w:ascii="仿宋" w:hAnsi="仿宋" w:eastAsia="仿宋"/>
          <w:color w:val="000000"/>
          <w:sz w:val="32"/>
          <w:szCs w:val="32"/>
        </w:rPr>
        <w:t>.</w:t>
      </w:r>
      <w:r>
        <w:rPr>
          <w:rFonts w:ascii="仿宋" w:hAnsi="仿宋" w:eastAsia="仿宋"/>
          <w:color w:val="000000"/>
          <w:sz w:val="32"/>
          <w:szCs w:val="32"/>
        </w:rPr>
        <w:t>87</w:t>
      </w:r>
      <w:r>
        <w:rPr>
          <w:rFonts w:hint="eastAsia" w:ascii="仿宋" w:hAnsi="仿宋" w:eastAsia="仿宋"/>
          <w:sz w:val="32"/>
          <w:szCs w:val="32"/>
        </w:rPr>
        <w:t>万元。2022年与2021年相比，财政拨款收入总计减少</w:t>
      </w:r>
      <w:r>
        <w:rPr>
          <w:rFonts w:ascii="仿宋" w:hAnsi="仿宋" w:eastAsia="仿宋"/>
          <w:sz w:val="32"/>
          <w:szCs w:val="32"/>
        </w:rPr>
        <w:t>68.66</w:t>
      </w:r>
      <w:r>
        <w:rPr>
          <w:rFonts w:hint="eastAsia" w:ascii="仿宋" w:hAnsi="仿宋" w:eastAsia="仿宋"/>
          <w:sz w:val="32"/>
          <w:szCs w:val="32"/>
        </w:rPr>
        <w:t>万元、减少</w:t>
      </w:r>
      <w:r>
        <w:rPr>
          <w:rFonts w:ascii="仿宋" w:hAnsi="仿宋" w:eastAsia="仿宋"/>
          <w:sz w:val="32"/>
          <w:szCs w:val="32"/>
        </w:rPr>
        <w:t>14.02</w:t>
      </w:r>
      <w:r>
        <w:rPr>
          <w:rFonts w:hint="eastAsia" w:ascii="仿宋" w:hAnsi="仿宋" w:eastAsia="仿宋"/>
          <w:sz w:val="32"/>
          <w:szCs w:val="32"/>
        </w:rPr>
        <w:t>%、财政拨款</w:t>
      </w:r>
      <w:r>
        <w:rPr>
          <w:rFonts w:hint="eastAsia" w:ascii="仿宋" w:hAnsi="仿宋" w:eastAsia="仿宋"/>
          <w:sz w:val="32"/>
          <w:szCs w:val="32"/>
          <w:lang w:eastAsia="zh-CN"/>
        </w:rPr>
        <w:t>支出</w:t>
      </w:r>
      <w:r>
        <w:rPr>
          <w:rFonts w:hint="eastAsia" w:ascii="仿宋" w:hAnsi="仿宋" w:eastAsia="仿宋"/>
          <w:sz w:val="32"/>
          <w:szCs w:val="32"/>
        </w:rPr>
        <w:t>总计减少</w:t>
      </w:r>
      <w:r>
        <w:rPr>
          <w:rFonts w:ascii="仿宋" w:hAnsi="仿宋" w:eastAsia="仿宋"/>
          <w:sz w:val="32"/>
          <w:szCs w:val="32"/>
        </w:rPr>
        <w:t>68.66</w:t>
      </w:r>
      <w:r>
        <w:rPr>
          <w:rFonts w:hint="eastAsia" w:ascii="仿宋" w:hAnsi="仿宋" w:eastAsia="仿宋"/>
          <w:sz w:val="32"/>
          <w:szCs w:val="32"/>
        </w:rPr>
        <w:t>万元、减少</w:t>
      </w:r>
      <w:r>
        <w:rPr>
          <w:rFonts w:ascii="仿宋" w:hAnsi="仿宋" w:eastAsia="仿宋"/>
          <w:sz w:val="32"/>
          <w:szCs w:val="32"/>
        </w:rPr>
        <w:t>14.02</w:t>
      </w:r>
      <w:r>
        <w:rPr>
          <w:rFonts w:hint="eastAsia" w:ascii="仿宋" w:hAnsi="仿宋" w:eastAsia="仿宋"/>
          <w:sz w:val="32"/>
          <w:szCs w:val="32"/>
        </w:rPr>
        <w:t>%。</w:t>
      </w:r>
      <w:r>
        <w:rPr>
          <w:rFonts w:hint="eastAsia" w:ascii="仿宋" w:hAnsi="仿宋" w:eastAsia="仿宋"/>
          <w:sz w:val="32"/>
          <w:szCs w:val="32"/>
          <w:lang w:eastAsia="zh-CN"/>
        </w:rPr>
        <w:t>主要变动原因是</w:t>
      </w:r>
      <w:r>
        <w:rPr>
          <w:rFonts w:hint="eastAsia" w:ascii="仿宋" w:hAnsi="仿宋" w:eastAsia="仿宋"/>
          <w:sz w:val="32"/>
          <w:szCs w:val="32"/>
        </w:rPr>
        <w:t>项目减少和学生教师数减少</w:t>
      </w:r>
      <w:r>
        <w:rPr>
          <w:rFonts w:hint="eastAsia" w:ascii="仿宋" w:hAnsi="仿宋" w:eastAsia="仿宋"/>
          <w:sz w:val="32"/>
          <w:szCs w:val="32"/>
          <w:lang w:eastAsia="zh-CN"/>
        </w:rPr>
        <w:t>。</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b/>
          <w:sz w:val="32"/>
          <w:szCs w:val="32"/>
        </w:rPr>
      </w:pPr>
    </w:p>
    <w:p>
      <w:pPr>
        <w:spacing w:line="600" w:lineRule="exact"/>
        <w:ind w:firstLine="640" w:firstLineChars="200"/>
        <w:outlineLvl w:val="1"/>
        <w:rPr>
          <w:rStyle w:val="29"/>
          <w:rFonts w:ascii="黑体" w:hAnsi="黑体" w:eastAsia="黑体"/>
          <w:b w:val="0"/>
          <w:bCs w:val="0"/>
        </w:rPr>
      </w:pPr>
      <w:bookmarkStart w:id="40" w:name="_Toc21051"/>
      <w:bookmarkStart w:id="41" w:name="_Toc15377209"/>
      <w:bookmarkStart w:id="42" w:name="_Toc15396607"/>
      <w:r>
        <w:rPr>
          <w:rFonts w:hint="eastAsia" w:ascii="黑体" w:hAnsi="黑体" w:eastAsia="黑体"/>
          <w:sz w:val="32"/>
          <w:szCs w:val="32"/>
        </w:rPr>
        <w:t>五、一</w:t>
      </w:r>
      <w:r>
        <w:rPr>
          <w:rStyle w:val="29"/>
          <w:rFonts w:hint="eastAsia" w:ascii="黑体" w:hAnsi="黑体" w:eastAsia="黑体"/>
          <w:b w:val="0"/>
          <w:bCs w:val="0"/>
        </w:rPr>
        <w:t>般公共预算财政拨款支出决算情况说明</w:t>
      </w:r>
      <w:bookmarkEnd w:id="40"/>
      <w:bookmarkEnd w:id="41"/>
      <w:bookmarkEnd w:id="42"/>
    </w:p>
    <w:p>
      <w:pPr>
        <w:spacing w:line="600" w:lineRule="exact"/>
        <w:ind w:firstLine="640" w:firstLineChars="200"/>
        <w:outlineLvl w:val="2"/>
        <w:rPr>
          <w:rFonts w:ascii="仿宋" w:hAnsi="仿宋" w:eastAsia="仿宋"/>
          <w:sz w:val="32"/>
          <w:szCs w:val="32"/>
        </w:rPr>
      </w:pPr>
      <w:bookmarkStart w:id="43" w:name="_Toc15377210"/>
      <w:r>
        <w:rPr>
          <w:rFonts w:hint="eastAsia" w:ascii="仿宋" w:hAnsi="仿宋" w:eastAsia="仿宋"/>
          <w:sz w:val="32"/>
          <w:szCs w:val="32"/>
        </w:rPr>
        <w:t>（一）一般公共预算财政拨款支出决算总体情况</w:t>
      </w:r>
      <w:bookmarkEnd w:id="43"/>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421.21</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w:t>
      </w:r>
      <w:r>
        <w:rPr>
          <w:rFonts w:ascii="仿宋" w:hAnsi="仿宋" w:eastAsia="仿宋"/>
          <w:color w:val="000000"/>
          <w:sz w:val="32"/>
          <w:szCs w:val="32"/>
        </w:rPr>
        <w:t>202</w:t>
      </w:r>
      <w:r>
        <w:rPr>
          <w:rFonts w:hint="eastAsia" w:ascii="仿宋" w:hAnsi="仿宋" w:eastAsia="仿宋"/>
          <w:color w:val="000000"/>
          <w:sz w:val="32"/>
          <w:szCs w:val="32"/>
        </w:rPr>
        <w:t>1年一般公共预算财政拨款支出</w:t>
      </w:r>
      <w:r>
        <w:rPr>
          <w:rFonts w:ascii="仿宋" w:hAnsi="仿宋" w:eastAsia="仿宋"/>
          <w:sz w:val="32"/>
          <w:szCs w:val="32"/>
        </w:rPr>
        <w:t>489.87</w:t>
      </w:r>
      <w:r>
        <w:rPr>
          <w:rFonts w:hint="eastAsia" w:ascii="仿宋" w:hAnsi="仿宋" w:eastAsia="仿宋"/>
          <w:color w:val="000000"/>
          <w:sz w:val="32"/>
          <w:szCs w:val="32"/>
        </w:rPr>
        <w:t>万元。2022年</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68.66</w:t>
      </w:r>
      <w:r>
        <w:rPr>
          <w:rFonts w:hint="eastAsia" w:ascii="仿宋" w:hAnsi="仿宋" w:eastAsia="仿宋"/>
          <w:sz w:val="32"/>
          <w:szCs w:val="32"/>
        </w:rPr>
        <w:t>万元、减少</w:t>
      </w:r>
      <w:r>
        <w:rPr>
          <w:rFonts w:ascii="仿宋" w:hAnsi="仿宋" w:eastAsia="仿宋"/>
          <w:sz w:val="32"/>
          <w:szCs w:val="32"/>
        </w:rPr>
        <w:t>14.02</w:t>
      </w:r>
      <w:r>
        <w:rPr>
          <w:rFonts w:hint="eastAsia" w:ascii="仿宋" w:hAnsi="仿宋" w:eastAsia="仿宋"/>
          <w:sz w:val="32"/>
          <w:szCs w:val="32"/>
        </w:rPr>
        <w:t>%。</w:t>
      </w:r>
      <w:r>
        <w:rPr>
          <w:rFonts w:hint="eastAsia" w:ascii="仿宋" w:hAnsi="仿宋" w:eastAsia="仿宋"/>
          <w:sz w:val="32"/>
          <w:szCs w:val="32"/>
          <w:lang w:eastAsia="zh-CN"/>
        </w:rPr>
        <w:t>主要变动原因是</w:t>
      </w:r>
      <w:r>
        <w:rPr>
          <w:rFonts w:hint="eastAsia" w:ascii="仿宋" w:hAnsi="仿宋" w:eastAsia="仿宋"/>
          <w:sz w:val="32"/>
          <w:szCs w:val="32"/>
        </w:rPr>
        <w:t>项目减少和学生教师数减少。</w:t>
      </w:r>
    </w:p>
    <w:p>
      <w:pPr>
        <w:spacing w:line="600" w:lineRule="exact"/>
        <w:ind w:firstLine="640" w:firstLineChars="200"/>
        <w:outlineLvl w:val="2"/>
        <w:rPr>
          <w:rFonts w:ascii="仿宋" w:hAnsi="仿宋" w:eastAsia="仿宋"/>
          <w:bCs/>
          <w:sz w:val="32"/>
          <w:szCs w:val="32"/>
        </w:rPr>
      </w:pPr>
      <w:bookmarkStart w:id="44" w:name="_Toc15377211"/>
      <w:r>
        <w:rPr>
          <w:rFonts w:hint="eastAsia" w:ascii="仿宋" w:hAnsi="仿宋" w:eastAsia="仿宋"/>
          <w:bCs/>
          <w:sz w:val="32"/>
          <w:szCs w:val="32"/>
        </w:rPr>
        <w:t>（二）一般公共预算财政拨款支出决算结构情况</w:t>
      </w:r>
      <w:bookmarkEnd w:id="44"/>
    </w:p>
    <w:p>
      <w:pPr>
        <w:spacing w:line="600" w:lineRule="exact"/>
        <w:ind w:firstLine="640"/>
        <w:rPr>
          <w:rFonts w:ascii="仿宋" w:hAnsi="仿宋" w:eastAsia="仿宋"/>
          <w:bCs/>
          <w:sz w:val="32"/>
          <w:szCs w:val="32"/>
        </w:rPr>
      </w:pPr>
      <w:r>
        <w:rPr>
          <w:rFonts w:ascii="仿宋" w:hAnsi="仿宋" w:eastAsia="仿宋"/>
          <w:bCs/>
          <w:sz w:val="32"/>
          <w:szCs w:val="32"/>
        </w:rPr>
        <w:t>20</w:t>
      </w:r>
      <w:r>
        <w:rPr>
          <w:rFonts w:hint="eastAsia" w:ascii="仿宋" w:hAnsi="仿宋" w:eastAsia="仿宋"/>
          <w:bCs/>
          <w:sz w:val="32"/>
          <w:szCs w:val="32"/>
        </w:rPr>
        <w:t>22年一般公共预算财政拨款支出</w:t>
      </w:r>
      <w:r>
        <w:rPr>
          <w:rFonts w:ascii="仿宋" w:hAnsi="仿宋" w:eastAsia="仿宋"/>
          <w:bCs/>
          <w:sz w:val="32"/>
          <w:szCs w:val="32"/>
        </w:rPr>
        <w:t>421.21</w:t>
      </w:r>
      <w:r>
        <w:rPr>
          <w:rFonts w:hint="eastAsia" w:ascii="仿宋" w:hAnsi="仿宋" w:eastAsia="仿宋"/>
          <w:bCs/>
          <w:sz w:val="32"/>
          <w:szCs w:val="32"/>
        </w:rPr>
        <w:t>万元，主要用于以下方面</w:t>
      </w:r>
      <w:r>
        <w:rPr>
          <w:rFonts w:hint="eastAsia" w:ascii="仿宋" w:hAnsi="仿宋" w:eastAsia="仿宋"/>
          <w:bCs/>
          <w:sz w:val="32"/>
          <w:szCs w:val="32"/>
          <w:lang w:eastAsia="zh-CN"/>
        </w:rPr>
        <w:t>：</w:t>
      </w:r>
      <w:r>
        <w:rPr>
          <w:rFonts w:hint="eastAsia" w:ascii="仿宋" w:hAnsi="仿宋" w:eastAsia="仿宋"/>
          <w:bCs/>
          <w:sz w:val="32"/>
          <w:szCs w:val="32"/>
        </w:rPr>
        <w:t>教育支出（类）支出</w:t>
      </w:r>
      <w:r>
        <w:rPr>
          <w:rFonts w:ascii="仿宋" w:hAnsi="仿宋" w:eastAsia="仿宋"/>
          <w:bCs/>
          <w:sz w:val="32"/>
          <w:szCs w:val="32"/>
        </w:rPr>
        <w:t>353.04</w:t>
      </w:r>
      <w:r>
        <w:rPr>
          <w:rFonts w:hint="eastAsia" w:ascii="仿宋" w:hAnsi="仿宋" w:eastAsia="仿宋"/>
          <w:bCs/>
          <w:sz w:val="32"/>
          <w:szCs w:val="32"/>
        </w:rPr>
        <w:t>万元，占</w:t>
      </w:r>
      <w:r>
        <w:rPr>
          <w:rFonts w:ascii="仿宋" w:hAnsi="仿宋" w:eastAsia="仿宋"/>
          <w:bCs/>
          <w:sz w:val="32"/>
          <w:szCs w:val="32"/>
        </w:rPr>
        <w:t>83.82%</w:t>
      </w:r>
      <w:r>
        <w:rPr>
          <w:rFonts w:hint="eastAsia" w:ascii="仿宋" w:hAnsi="仿宋" w:eastAsia="仿宋"/>
          <w:bCs/>
          <w:sz w:val="32"/>
          <w:szCs w:val="32"/>
        </w:rPr>
        <w:t>；文化旅游体育与传媒（类）支出1</w:t>
      </w:r>
      <w:r>
        <w:rPr>
          <w:rFonts w:ascii="仿宋" w:hAnsi="仿宋" w:eastAsia="仿宋"/>
          <w:bCs/>
          <w:sz w:val="32"/>
          <w:szCs w:val="32"/>
        </w:rPr>
        <w:t>.5</w:t>
      </w:r>
      <w:r>
        <w:rPr>
          <w:rFonts w:hint="eastAsia" w:ascii="仿宋" w:hAnsi="仿宋" w:eastAsia="仿宋"/>
          <w:bCs/>
          <w:sz w:val="32"/>
          <w:szCs w:val="32"/>
        </w:rPr>
        <w:t>万元，占</w:t>
      </w:r>
      <w:r>
        <w:rPr>
          <w:rFonts w:ascii="仿宋" w:hAnsi="仿宋" w:eastAsia="仿宋"/>
          <w:bCs/>
          <w:sz w:val="32"/>
          <w:szCs w:val="32"/>
        </w:rPr>
        <w:t>0.36%</w:t>
      </w:r>
      <w:r>
        <w:rPr>
          <w:rFonts w:hint="eastAsia" w:ascii="仿宋" w:hAnsi="仿宋" w:eastAsia="仿宋"/>
          <w:bCs/>
          <w:sz w:val="32"/>
          <w:szCs w:val="32"/>
        </w:rPr>
        <w:t>；社会保障和就业（类）支出</w:t>
      </w:r>
      <w:r>
        <w:rPr>
          <w:rFonts w:ascii="仿宋" w:hAnsi="仿宋" w:eastAsia="仿宋"/>
          <w:bCs/>
          <w:sz w:val="32"/>
          <w:szCs w:val="32"/>
        </w:rPr>
        <w:t>29.63</w:t>
      </w:r>
      <w:r>
        <w:rPr>
          <w:rFonts w:hint="eastAsia" w:ascii="仿宋" w:hAnsi="仿宋" w:eastAsia="仿宋"/>
          <w:bCs/>
          <w:sz w:val="32"/>
          <w:szCs w:val="32"/>
        </w:rPr>
        <w:t>万元，占</w:t>
      </w:r>
      <w:r>
        <w:rPr>
          <w:rFonts w:ascii="仿宋" w:hAnsi="仿宋" w:eastAsia="仿宋"/>
          <w:bCs/>
          <w:sz w:val="32"/>
          <w:szCs w:val="32"/>
        </w:rPr>
        <w:t>7.03%</w:t>
      </w:r>
      <w:r>
        <w:rPr>
          <w:rFonts w:hint="eastAsia" w:ascii="仿宋" w:hAnsi="仿宋" w:eastAsia="仿宋"/>
          <w:bCs/>
          <w:sz w:val="32"/>
          <w:szCs w:val="32"/>
        </w:rPr>
        <w:t>；卫生健康支出</w:t>
      </w:r>
      <w:r>
        <w:rPr>
          <w:rFonts w:ascii="仿宋" w:hAnsi="仿宋" w:eastAsia="仿宋"/>
          <w:bCs/>
          <w:sz w:val="32"/>
          <w:szCs w:val="32"/>
        </w:rPr>
        <w:t>14.82</w:t>
      </w:r>
      <w:r>
        <w:rPr>
          <w:rFonts w:hint="eastAsia" w:ascii="仿宋" w:hAnsi="仿宋" w:eastAsia="仿宋"/>
          <w:bCs/>
          <w:sz w:val="32"/>
          <w:szCs w:val="32"/>
        </w:rPr>
        <w:t>万元，占</w:t>
      </w:r>
      <w:r>
        <w:rPr>
          <w:rFonts w:ascii="仿宋" w:hAnsi="仿宋" w:eastAsia="仿宋"/>
          <w:bCs/>
          <w:sz w:val="32"/>
          <w:szCs w:val="32"/>
        </w:rPr>
        <w:t>3.52%</w:t>
      </w:r>
      <w:r>
        <w:rPr>
          <w:rFonts w:hint="eastAsia" w:ascii="仿宋" w:hAnsi="仿宋" w:eastAsia="仿宋"/>
          <w:bCs/>
          <w:sz w:val="32"/>
          <w:szCs w:val="32"/>
        </w:rPr>
        <w:t>；住房保障支出</w:t>
      </w:r>
      <w:r>
        <w:rPr>
          <w:rFonts w:ascii="仿宋" w:hAnsi="仿宋" w:eastAsia="仿宋"/>
          <w:bCs/>
          <w:sz w:val="32"/>
          <w:szCs w:val="32"/>
        </w:rPr>
        <w:t>22.22</w:t>
      </w:r>
      <w:r>
        <w:rPr>
          <w:rFonts w:hint="eastAsia" w:ascii="仿宋" w:hAnsi="仿宋" w:eastAsia="仿宋"/>
          <w:bCs/>
          <w:sz w:val="32"/>
          <w:szCs w:val="32"/>
        </w:rPr>
        <w:t>万元，占</w:t>
      </w:r>
      <w:r>
        <w:rPr>
          <w:rFonts w:ascii="仿宋" w:hAnsi="仿宋" w:eastAsia="仿宋"/>
          <w:bCs/>
          <w:sz w:val="32"/>
          <w:szCs w:val="32"/>
        </w:rPr>
        <w:t>5.28%</w:t>
      </w:r>
      <w:r>
        <w:rPr>
          <w:rFonts w:hint="eastAsia" w:ascii="仿宋" w:hAnsi="仿宋" w:eastAsia="仿宋"/>
          <w:bCs/>
          <w:sz w:val="32"/>
          <w:szCs w:val="32"/>
        </w:rPr>
        <w:t>。</w:t>
      </w:r>
    </w:p>
    <w:p>
      <w:pPr>
        <w:pStyle w:val="2"/>
        <w:spacing w:before="93"/>
        <w:rPr>
          <w:rFonts w:ascii="仿宋" w:hAnsi="仿宋" w:eastAsia="仿宋"/>
          <w:sz w:val="32"/>
          <w:szCs w:val="32"/>
        </w:rPr>
      </w:pPr>
      <w:r>
        <w:rPr>
          <w:rFonts w:hint="eastAsia" w:ascii="仿宋" w:hAnsi="仿宋" w:eastAsia="仿宋"/>
          <w:sz w:val="32"/>
          <w:szCs w:val="32"/>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2"/>
        <w:rPr>
          <w:rFonts w:ascii="仿宋" w:hAnsi="仿宋" w:eastAsia="仿宋"/>
          <w:bCs/>
          <w:sz w:val="32"/>
          <w:szCs w:val="32"/>
        </w:rPr>
      </w:pPr>
      <w:bookmarkStart w:id="45" w:name="_Toc15377212"/>
      <w:r>
        <w:rPr>
          <w:rFonts w:hint="eastAsia" w:ascii="仿宋" w:hAnsi="仿宋" w:eastAsia="仿宋"/>
          <w:bCs/>
          <w:sz w:val="32"/>
          <w:szCs w:val="32"/>
        </w:rPr>
        <w:t>（三）一般公共预算财政拨款支出决算具体情况</w:t>
      </w:r>
      <w:bookmarkEnd w:id="45"/>
    </w:p>
    <w:p>
      <w:pPr>
        <w:spacing w:line="600" w:lineRule="exact"/>
        <w:ind w:firstLine="640" w:firstLineChars="200"/>
        <w:outlineLvl w:val="2"/>
        <w:rPr>
          <w:rFonts w:ascii="仿宋" w:hAnsi="仿宋" w:eastAsia="仿宋"/>
          <w:bCs/>
          <w:sz w:val="32"/>
          <w:szCs w:val="32"/>
        </w:rPr>
      </w:pPr>
      <w:bookmarkStart w:id="46" w:name="_Toc15378460"/>
      <w:bookmarkStart w:id="47" w:name="_Toc15377213"/>
      <w:bookmarkStart w:id="48" w:name="_Toc15377444"/>
      <w:r>
        <w:rPr>
          <w:rFonts w:hint="eastAsia" w:ascii="仿宋" w:hAnsi="仿宋" w:eastAsia="仿宋"/>
          <w:bCs/>
          <w:sz w:val="32"/>
          <w:szCs w:val="32"/>
        </w:rPr>
        <w:t>2022年一般公共预算支出决算数为</w:t>
      </w:r>
      <w:r>
        <w:rPr>
          <w:rFonts w:ascii="仿宋" w:hAnsi="仿宋" w:eastAsia="仿宋"/>
          <w:bCs/>
          <w:sz w:val="32"/>
          <w:szCs w:val="32"/>
        </w:rPr>
        <w:t>421.21</w:t>
      </w:r>
      <w:r>
        <w:rPr>
          <w:rFonts w:hint="eastAsia" w:ascii="仿宋" w:hAnsi="仿宋" w:eastAsia="仿宋"/>
          <w:bCs/>
          <w:sz w:val="32"/>
          <w:szCs w:val="32"/>
        </w:rPr>
        <w:t>万元，</w:t>
      </w:r>
      <w:r>
        <w:rPr>
          <w:rStyle w:val="18"/>
          <w:rFonts w:hint="eastAsia" w:ascii="仿宋" w:hAnsi="仿宋" w:eastAsia="仿宋"/>
          <w:b w:val="0"/>
          <w:bCs/>
          <w:sz w:val="32"/>
          <w:szCs w:val="32"/>
        </w:rPr>
        <w:t>完成预算100</w:t>
      </w:r>
      <w:r>
        <w:rPr>
          <w:rStyle w:val="18"/>
          <w:rFonts w:ascii="仿宋" w:hAnsi="仿宋" w:eastAsia="仿宋"/>
          <w:b w:val="0"/>
          <w:bCs/>
          <w:sz w:val="32"/>
          <w:szCs w:val="32"/>
        </w:rPr>
        <w:t>%</w:t>
      </w:r>
      <w:r>
        <w:rPr>
          <w:rStyle w:val="18"/>
          <w:rFonts w:hint="eastAsia" w:ascii="仿宋" w:hAnsi="仿宋" w:eastAsia="仿宋"/>
          <w:b w:val="0"/>
          <w:bCs/>
          <w:sz w:val="32"/>
          <w:szCs w:val="32"/>
        </w:rPr>
        <w:t>。其中：</w:t>
      </w:r>
      <w:bookmarkEnd w:id="46"/>
      <w:bookmarkEnd w:id="47"/>
      <w:bookmarkEnd w:id="48"/>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w:t>
      </w:r>
      <w:r>
        <w:rPr>
          <w:rStyle w:val="18"/>
          <w:rFonts w:ascii="仿宋" w:hAnsi="仿宋" w:eastAsia="仿宋"/>
          <w:b w:val="0"/>
          <w:bCs/>
          <w:sz w:val="32"/>
          <w:szCs w:val="32"/>
        </w:rPr>
        <w:t>.</w:t>
      </w:r>
      <w:r>
        <w:rPr>
          <w:rStyle w:val="18"/>
          <w:rFonts w:hint="eastAsia" w:ascii="仿宋" w:hAnsi="仿宋" w:eastAsia="仿宋"/>
          <w:b w:val="0"/>
          <w:bCs/>
          <w:sz w:val="32"/>
          <w:szCs w:val="32"/>
        </w:rPr>
        <w:t>教育（类）普通教育（款）小学教育（项）</w:t>
      </w:r>
      <w:r>
        <w:rPr>
          <w:rStyle w:val="18"/>
          <w:rFonts w:hint="eastAsia" w:ascii="仿宋" w:hAnsi="仿宋" w:eastAsia="仿宋"/>
          <w:b w:val="0"/>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ascii="仿宋" w:hAnsi="仿宋" w:eastAsia="仿宋"/>
          <w:bCs/>
          <w:sz w:val="32"/>
          <w:szCs w:val="32"/>
        </w:rPr>
        <w:t>353.04</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firstLineChars="200"/>
        <w:rPr>
          <w:rFonts w:hint="eastAsia" w:ascii="仿宋" w:hAnsi="仿宋" w:eastAsia="仿宋"/>
          <w:bCs/>
          <w:sz w:val="32"/>
          <w:szCs w:val="32"/>
        </w:rPr>
      </w:pPr>
      <w:r>
        <w:rPr>
          <w:rStyle w:val="18"/>
          <w:rFonts w:ascii="仿宋" w:hAnsi="仿宋" w:eastAsia="仿宋"/>
          <w:b w:val="0"/>
          <w:bCs/>
          <w:sz w:val="32"/>
          <w:szCs w:val="32"/>
        </w:rPr>
        <w:t>2.</w:t>
      </w:r>
      <w:r>
        <w:rPr>
          <w:rFonts w:hint="eastAsia" w:ascii="仿宋" w:hAnsi="仿宋" w:eastAsia="仿宋"/>
          <w:bCs/>
          <w:sz w:val="32"/>
          <w:szCs w:val="32"/>
        </w:rPr>
        <w:t>文化旅游体育与传媒</w:t>
      </w:r>
      <w:r>
        <w:rPr>
          <w:rStyle w:val="18"/>
          <w:rFonts w:hint="eastAsia" w:ascii="仿宋" w:hAnsi="仿宋" w:eastAsia="仿宋"/>
          <w:b w:val="0"/>
          <w:bCs/>
          <w:sz w:val="32"/>
          <w:szCs w:val="32"/>
        </w:rPr>
        <w:t>（类）其他</w:t>
      </w:r>
      <w:r>
        <w:rPr>
          <w:rFonts w:hint="eastAsia" w:ascii="仿宋" w:hAnsi="仿宋" w:eastAsia="仿宋"/>
          <w:bCs/>
          <w:sz w:val="32"/>
          <w:szCs w:val="32"/>
        </w:rPr>
        <w:t>文化旅游体育与传媒</w:t>
      </w:r>
      <w:r>
        <w:rPr>
          <w:rStyle w:val="18"/>
          <w:rFonts w:hint="eastAsia" w:ascii="仿宋" w:hAnsi="仿宋" w:eastAsia="仿宋"/>
          <w:b w:val="0"/>
          <w:bCs/>
          <w:sz w:val="32"/>
          <w:szCs w:val="32"/>
        </w:rPr>
        <w:t>（款）宣传文化发展专项（项）</w:t>
      </w:r>
      <w:r>
        <w:rPr>
          <w:rStyle w:val="18"/>
          <w:rFonts w:hint="eastAsia" w:ascii="仿宋" w:hAnsi="仿宋" w:eastAsia="仿宋"/>
          <w:b w:val="0"/>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ascii="仿宋" w:hAnsi="仿宋" w:eastAsia="仿宋"/>
          <w:bCs/>
          <w:sz w:val="32"/>
          <w:szCs w:val="32"/>
        </w:rPr>
        <w:t>1.5</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firstLineChars="200"/>
        <w:rPr>
          <w:rStyle w:val="18"/>
          <w:rFonts w:ascii="仿宋" w:hAnsi="仿宋" w:eastAsia="仿宋"/>
          <w:b w:val="0"/>
          <w:bCs/>
          <w:sz w:val="32"/>
          <w:szCs w:val="32"/>
        </w:rPr>
      </w:pPr>
      <w:r>
        <w:rPr>
          <w:rStyle w:val="18"/>
          <w:rFonts w:ascii="仿宋" w:hAnsi="仿宋" w:eastAsia="仿宋"/>
          <w:b w:val="0"/>
          <w:bCs/>
          <w:sz w:val="32"/>
          <w:szCs w:val="32"/>
        </w:rPr>
        <w:t>3.</w:t>
      </w:r>
      <w:r>
        <w:rPr>
          <w:rStyle w:val="18"/>
          <w:rFonts w:hint="eastAsia" w:ascii="仿宋" w:hAnsi="仿宋" w:eastAsia="仿宋"/>
          <w:b w:val="0"/>
          <w:bCs/>
          <w:sz w:val="32"/>
          <w:szCs w:val="32"/>
        </w:rPr>
        <w:t>社会保障和就业（类）行政事业单位养老支出（款）机关事业单位基本养老保险缴费支出（项）</w:t>
      </w:r>
      <w:r>
        <w:rPr>
          <w:rStyle w:val="18"/>
          <w:rFonts w:hint="eastAsia" w:ascii="仿宋" w:hAnsi="仿宋" w:eastAsia="仿宋"/>
          <w:b w:val="0"/>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ascii="仿宋" w:hAnsi="仿宋" w:eastAsia="仿宋"/>
          <w:bCs/>
          <w:sz w:val="32"/>
          <w:szCs w:val="32"/>
        </w:rPr>
        <w:t>29.63</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firstLineChars="200"/>
        <w:rPr>
          <w:rStyle w:val="18"/>
          <w:rFonts w:ascii="仿宋" w:hAnsi="仿宋" w:eastAsia="仿宋"/>
          <w:b w:val="0"/>
          <w:bCs/>
          <w:sz w:val="32"/>
          <w:szCs w:val="32"/>
        </w:rPr>
      </w:pPr>
      <w:r>
        <w:rPr>
          <w:rStyle w:val="18"/>
          <w:rFonts w:ascii="仿宋" w:hAnsi="仿宋" w:eastAsia="仿宋"/>
          <w:b w:val="0"/>
          <w:bCs/>
          <w:sz w:val="32"/>
          <w:szCs w:val="32"/>
        </w:rPr>
        <w:t>4.</w:t>
      </w:r>
      <w:r>
        <w:rPr>
          <w:rFonts w:hint="eastAsia" w:ascii="仿宋" w:hAnsi="仿宋" w:eastAsia="仿宋"/>
          <w:bCs/>
          <w:sz w:val="32"/>
          <w:szCs w:val="32"/>
        </w:rPr>
        <w:t>卫生健康</w:t>
      </w:r>
      <w:r>
        <w:rPr>
          <w:rStyle w:val="18"/>
          <w:rFonts w:hint="eastAsia" w:ascii="仿宋" w:hAnsi="仿宋" w:eastAsia="仿宋"/>
          <w:b w:val="0"/>
          <w:bCs/>
          <w:sz w:val="32"/>
          <w:szCs w:val="32"/>
        </w:rPr>
        <w:t>（类）行政事业单位医疗（款）事业单位医疗（项）</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支出决算为</w:t>
      </w:r>
      <w:r>
        <w:rPr>
          <w:rFonts w:ascii="仿宋" w:hAnsi="仿宋" w:eastAsia="仿宋"/>
          <w:bCs/>
          <w:sz w:val="32"/>
          <w:szCs w:val="32"/>
        </w:rPr>
        <w:t>14.82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firstLineChars="200"/>
        <w:rPr>
          <w:rStyle w:val="18"/>
          <w:rFonts w:ascii="仿宋" w:hAnsi="仿宋" w:eastAsia="仿宋"/>
          <w:b w:val="0"/>
          <w:bCs/>
          <w:sz w:val="32"/>
          <w:szCs w:val="32"/>
        </w:rPr>
      </w:pPr>
      <w:r>
        <w:rPr>
          <w:rStyle w:val="18"/>
          <w:rFonts w:ascii="仿宋" w:hAnsi="仿宋" w:eastAsia="仿宋"/>
          <w:b w:val="0"/>
          <w:bCs/>
          <w:sz w:val="32"/>
          <w:szCs w:val="32"/>
        </w:rPr>
        <w:t>5.</w:t>
      </w:r>
      <w:r>
        <w:rPr>
          <w:rFonts w:hint="eastAsia" w:ascii="仿宋" w:hAnsi="仿宋" w:eastAsia="仿宋"/>
          <w:bCs/>
          <w:sz w:val="32"/>
          <w:szCs w:val="32"/>
        </w:rPr>
        <w:t>住房保障支出</w:t>
      </w:r>
      <w:r>
        <w:rPr>
          <w:rStyle w:val="18"/>
          <w:rFonts w:hint="eastAsia" w:ascii="仿宋" w:hAnsi="仿宋" w:eastAsia="仿宋"/>
          <w:b w:val="0"/>
          <w:bCs/>
          <w:sz w:val="32"/>
          <w:szCs w:val="32"/>
        </w:rPr>
        <w:t>（类）住房改革支出（款）住房公积金（项）</w:t>
      </w:r>
      <w:r>
        <w:rPr>
          <w:rStyle w:val="18"/>
          <w:rFonts w:hint="eastAsia" w:ascii="仿宋" w:hAnsi="仿宋" w:eastAsia="仿宋"/>
          <w:b w:val="0"/>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22.22</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tabs>
          <w:tab w:val="right" w:pos="8306"/>
        </w:tabs>
        <w:spacing w:line="600" w:lineRule="exact"/>
        <w:ind w:firstLine="640"/>
        <w:outlineLvl w:val="1"/>
        <w:rPr>
          <w:rStyle w:val="29"/>
          <w:b w:val="0"/>
        </w:rPr>
      </w:pPr>
      <w:bookmarkStart w:id="49" w:name="_Toc15377214"/>
      <w:bookmarkStart w:id="50" w:name="_Toc15396608"/>
      <w:bookmarkStart w:id="51" w:name="_Toc13859"/>
      <w:r>
        <w:rPr>
          <w:rFonts w:hint="eastAsia" w:ascii="黑体" w:eastAsia="黑体"/>
          <w:bCs/>
          <w:sz w:val="32"/>
          <w:szCs w:val="32"/>
        </w:rPr>
        <w:t>六、</w:t>
      </w:r>
      <w:r>
        <w:rPr>
          <w:rFonts w:hint="eastAsia" w:ascii="黑体" w:hAnsi="黑体" w:eastAsia="黑体"/>
          <w:bCs/>
          <w:sz w:val="32"/>
          <w:szCs w:val="32"/>
        </w:rPr>
        <w:t>一</w:t>
      </w:r>
      <w:r>
        <w:rPr>
          <w:rStyle w:val="29"/>
          <w:rFonts w:hint="eastAsia" w:ascii="黑体" w:hAnsi="黑体" w:eastAsia="黑体"/>
          <w:b w:val="0"/>
        </w:rPr>
        <w:t>般公共预算财政拨款基本支出决算情况说明</w:t>
      </w:r>
      <w:bookmarkEnd w:id="49"/>
      <w:bookmarkEnd w:id="50"/>
      <w:bookmarkEnd w:id="51"/>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bCs/>
          <w:sz w:val="32"/>
          <w:szCs w:val="32"/>
        </w:rPr>
        <w:t>20</w:t>
      </w:r>
      <w:r>
        <w:rPr>
          <w:rFonts w:hint="eastAsia" w:ascii="仿宋" w:hAnsi="仿宋" w:eastAsia="仿宋"/>
          <w:bCs/>
          <w:sz w:val="32"/>
          <w:szCs w:val="32"/>
        </w:rPr>
        <w:t>22年一般公共预算财政拨款基本支出</w:t>
      </w:r>
      <w:r>
        <w:rPr>
          <w:rFonts w:ascii="仿宋" w:hAnsi="仿宋" w:eastAsia="仿宋"/>
          <w:bCs/>
          <w:sz w:val="32"/>
          <w:szCs w:val="32"/>
        </w:rPr>
        <w:t>373.62</w:t>
      </w:r>
      <w:r>
        <w:rPr>
          <w:rFonts w:hint="eastAsia" w:ascii="仿宋" w:hAnsi="仿宋" w:eastAsia="仿宋"/>
          <w:bCs/>
          <w:sz w:val="32"/>
          <w:szCs w:val="32"/>
        </w:rPr>
        <w:t>万元，其</w:t>
      </w:r>
      <w:r>
        <w:rPr>
          <w:rFonts w:hint="eastAsia" w:ascii="仿宋" w:hAnsi="仿宋" w:eastAsia="仿宋"/>
          <w:sz w:val="32"/>
          <w:szCs w:val="32"/>
        </w:rPr>
        <w:t>中：</w:t>
      </w:r>
    </w:p>
    <w:p>
      <w:pPr>
        <w:spacing w:line="600" w:lineRule="exact"/>
        <w:ind w:firstLine="645"/>
        <w:rPr>
          <w:rFonts w:ascii="仿宋" w:hAnsi="仿宋" w:eastAsia="仿宋"/>
          <w:b/>
          <w:sz w:val="32"/>
          <w:szCs w:val="32"/>
          <w:highlight w:val="yellow"/>
        </w:rPr>
      </w:pPr>
      <w:r>
        <w:rPr>
          <w:rFonts w:hint="eastAsia" w:ascii="仿宋" w:hAnsi="仿宋" w:eastAsia="仿宋"/>
          <w:sz w:val="32"/>
          <w:szCs w:val="32"/>
        </w:rPr>
        <w:t>人员经费</w:t>
      </w:r>
      <w:r>
        <w:rPr>
          <w:rFonts w:ascii="仿宋" w:hAnsi="仿宋" w:eastAsia="仿宋"/>
          <w:sz w:val="32"/>
          <w:szCs w:val="32"/>
        </w:rPr>
        <w:t>348.97</w:t>
      </w:r>
      <w:r>
        <w:rPr>
          <w:rFonts w:hint="eastAsia" w:ascii="仿宋" w:hAnsi="仿宋" w:eastAsia="仿宋"/>
          <w:sz w:val="32"/>
          <w:szCs w:val="32"/>
        </w:rPr>
        <w:t>万元，主要包括：基本工资</w:t>
      </w:r>
      <w:r>
        <w:rPr>
          <w:rFonts w:ascii="仿宋" w:hAnsi="仿宋" w:eastAsia="仿宋"/>
          <w:sz w:val="32"/>
          <w:szCs w:val="32"/>
        </w:rPr>
        <w:t>137.02</w:t>
      </w:r>
      <w:r>
        <w:rPr>
          <w:rFonts w:hint="eastAsia" w:ascii="仿宋" w:hAnsi="仿宋" w:eastAsia="仿宋"/>
          <w:sz w:val="32"/>
          <w:szCs w:val="32"/>
        </w:rPr>
        <w:t>万元、津贴补贴</w:t>
      </w:r>
      <w:r>
        <w:rPr>
          <w:rFonts w:ascii="仿宋" w:hAnsi="仿宋" w:eastAsia="仿宋"/>
          <w:sz w:val="32"/>
          <w:szCs w:val="32"/>
        </w:rPr>
        <w:t>15.84</w:t>
      </w:r>
      <w:r>
        <w:rPr>
          <w:rFonts w:hint="eastAsia" w:ascii="仿宋" w:hAnsi="仿宋" w:eastAsia="仿宋"/>
          <w:sz w:val="32"/>
          <w:szCs w:val="32"/>
        </w:rPr>
        <w:t>万元、奖金</w:t>
      </w:r>
      <w:r>
        <w:rPr>
          <w:rFonts w:ascii="仿宋" w:hAnsi="仿宋" w:eastAsia="仿宋"/>
          <w:sz w:val="32"/>
          <w:szCs w:val="32"/>
        </w:rPr>
        <w:t>0.45</w:t>
      </w:r>
      <w:r>
        <w:rPr>
          <w:rFonts w:hint="eastAsia" w:ascii="仿宋" w:hAnsi="仿宋" w:eastAsia="仿宋"/>
          <w:sz w:val="32"/>
          <w:szCs w:val="32"/>
        </w:rPr>
        <w:t>万元、绩效工资</w:t>
      </w:r>
      <w:r>
        <w:rPr>
          <w:rFonts w:ascii="仿宋" w:hAnsi="仿宋" w:eastAsia="仿宋"/>
          <w:sz w:val="32"/>
          <w:szCs w:val="32"/>
        </w:rPr>
        <w:t>64.02</w:t>
      </w:r>
      <w:r>
        <w:rPr>
          <w:rFonts w:hint="eastAsia" w:ascii="仿宋" w:hAnsi="仿宋" w:eastAsia="仿宋"/>
          <w:sz w:val="32"/>
          <w:szCs w:val="32"/>
        </w:rPr>
        <w:t>万元、机关事业单位基本养老保险缴费</w:t>
      </w:r>
      <w:r>
        <w:rPr>
          <w:rFonts w:ascii="仿宋" w:hAnsi="仿宋" w:eastAsia="仿宋"/>
          <w:sz w:val="32"/>
          <w:szCs w:val="32"/>
        </w:rPr>
        <w:t>29.63</w:t>
      </w:r>
      <w:r>
        <w:rPr>
          <w:rFonts w:hint="eastAsia" w:ascii="仿宋" w:hAnsi="仿宋" w:eastAsia="仿宋"/>
          <w:sz w:val="32"/>
          <w:szCs w:val="32"/>
        </w:rPr>
        <w:t>万元、职工基本医疗保险缴费</w:t>
      </w:r>
      <w:r>
        <w:rPr>
          <w:rFonts w:ascii="仿宋" w:hAnsi="仿宋" w:eastAsia="仿宋"/>
          <w:sz w:val="32"/>
          <w:szCs w:val="32"/>
        </w:rPr>
        <w:t>14.82</w:t>
      </w:r>
      <w:r>
        <w:rPr>
          <w:rFonts w:hint="eastAsia" w:ascii="仿宋" w:hAnsi="仿宋" w:eastAsia="仿宋"/>
          <w:sz w:val="32"/>
          <w:szCs w:val="32"/>
        </w:rPr>
        <w:t>万元、其他社会保障缴费2</w:t>
      </w:r>
      <w:r>
        <w:rPr>
          <w:rFonts w:ascii="仿宋" w:hAnsi="仿宋" w:eastAsia="仿宋"/>
          <w:sz w:val="32"/>
          <w:szCs w:val="32"/>
        </w:rPr>
        <w:t>.04</w:t>
      </w:r>
      <w:r>
        <w:rPr>
          <w:rFonts w:hint="eastAsia" w:ascii="仿宋" w:hAnsi="仿宋" w:eastAsia="仿宋"/>
          <w:sz w:val="32"/>
          <w:szCs w:val="32"/>
        </w:rPr>
        <w:t>万元、其他工资福利支出</w:t>
      </w:r>
      <w:r>
        <w:rPr>
          <w:rFonts w:ascii="仿宋" w:hAnsi="仿宋" w:eastAsia="仿宋"/>
          <w:sz w:val="32"/>
          <w:szCs w:val="32"/>
        </w:rPr>
        <w:t>56.24</w:t>
      </w:r>
      <w:r>
        <w:rPr>
          <w:rFonts w:hint="eastAsia" w:ascii="仿宋" w:hAnsi="仿宋" w:eastAsia="仿宋"/>
          <w:sz w:val="32"/>
          <w:szCs w:val="32"/>
        </w:rPr>
        <w:t>万元、生活补助</w:t>
      </w:r>
      <w:r>
        <w:rPr>
          <w:rFonts w:ascii="仿宋" w:hAnsi="仿宋" w:eastAsia="仿宋"/>
          <w:sz w:val="32"/>
          <w:szCs w:val="32"/>
        </w:rPr>
        <w:t>6.7</w:t>
      </w:r>
      <w:r>
        <w:rPr>
          <w:rFonts w:hint="eastAsia" w:ascii="仿宋" w:hAnsi="仿宋" w:eastAsia="仿宋"/>
          <w:sz w:val="32"/>
          <w:szCs w:val="32"/>
        </w:rPr>
        <w:t>万元、住房公积金</w:t>
      </w:r>
      <w:r>
        <w:rPr>
          <w:rFonts w:ascii="仿宋" w:hAnsi="仿宋" w:eastAsia="仿宋"/>
          <w:sz w:val="32"/>
          <w:szCs w:val="32"/>
        </w:rPr>
        <w:t>22.22</w:t>
      </w:r>
      <w:r>
        <w:rPr>
          <w:rFonts w:hint="eastAsia" w:ascii="仿宋" w:hAnsi="仿宋" w:eastAsia="仿宋"/>
          <w:sz w:val="32"/>
          <w:szCs w:val="32"/>
        </w:rPr>
        <w:t>万元。</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24.65</w:t>
      </w:r>
      <w:r>
        <w:rPr>
          <w:rFonts w:hint="eastAsia" w:ascii="仿宋" w:hAnsi="仿宋" w:eastAsia="仿宋"/>
          <w:sz w:val="32"/>
          <w:szCs w:val="32"/>
        </w:rPr>
        <w:t>万元，主要包括：办公费</w:t>
      </w:r>
      <w:r>
        <w:rPr>
          <w:rFonts w:ascii="仿宋" w:hAnsi="仿宋" w:eastAsia="仿宋"/>
          <w:sz w:val="32"/>
          <w:szCs w:val="32"/>
        </w:rPr>
        <w:t>7.1</w:t>
      </w:r>
      <w:r>
        <w:rPr>
          <w:rFonts w:hint="eastAsia" w:ascii="仿宋" w:hAnsi="仿宋" w:eastAsia="仿宋"/>
          <w:sz w:val="32"/>
          <w:szCs w:val="32"/>
        </w:rPr>
        <w:t>万元、印刷费</w:t>
      </w:r>
      <w:r>
        <w:rPr>
          <w:rFonts w:ascii="仿宋" w:hAnsi="仿宋" w:eastAsia="仿宋"/>
          <w:sz w:val="32"/>
          <w:szCs w:val="32"/>
        </w:rPr>
        <w:t>2</w:t>
      </w:r>
      <w:r>
        <w:rPr>
          <w:rFonts w:hint="eastAsia" w:ascii="仿宋" w:hAnsi="仿宋" w:eastAsia="仿宋"/>
          <w:sz w:val="32"/>
          <w:szCs w:val="32"/>
        </w:rPr>
        <w:t>万元、水费</w:t>
      </w:r>
      <w:r>
        <w:rPr>
          <w:rFonts w:ascii="仿宋" w:hAnsi="仿宋" w:eastAsia="仿宋"/>
          <w:sz w:val="32"/>
          <w:szCs w:val="32"/>
        </w:rPr>
        <w:t>1.45</w:t>
      </w:r>
      <w:r>
        <w:rPr>
          <w:rFonts w:hint="eastAsia" w:ascii="仿宋" w:hAnsi="仿宋" w:eastAsia="仿宋"/>
          <w:sz w:val="32"/>
          <w:szCs w:val="32"/>
        </w:rPr>
        <w:t>万元、电费</w:t>
      </w:r>
      <w:r>
        <w:rPr>
          <w:rFonts w:ascii="仿宋" w:hAnsi="仿宋" w:eastAsia="仿宋"/>
          <w:sz w:val="32"/>
          <w:szCs w:val="32"/>
        </w:rPr>
        <w:t>1.5</w:t>
      </w:r>
      <w:r>
        <w:rPr>
          <w:rFonts w:hint="eastAsia" w:ascii="仿宋" w:hAnsi="仿宋" w:eastAsia="仿宋"/>
          <w:sz w:val="32"/>
          <w:szCs w:val="32"/>
        </w:rPr>
        <w:t>万元、邮电费</w:t>
      </w:r>
      <w:r>
        <w:rPr>
          <w:rFonts w:ascii="仿宋" w:hAnsi="仿宋" w:eastAsia="仿宋"/>
          <w:sz w:val="32"/>
          <w:szCs w:val="32"/>
        </w:rPr>
        <w:t>1.1</w:t>
      </w:r>
      <w:r>
        <w:rPr>
          <w:rFonts w:hint="eastAsia" w:ascii="仿宋" w:hAnsi="仿宋" w:eastAsia="仿宋"/>
          <w:sz w:val="32"/>
          <w:szCs w:val="32"/>
        </w:rPr>
        <w:t>万元、差旅费</w:t>
      </w:r>
      <w:r>
        <w:rPr>
          <w:rFonts w:ascii="仿宋" w:hAnsi="仿宋" w:eastAsia="仿宋"/>
          <w:sz w:val="32"/>
          <w:szCs w:val="32"/>
        </w:rPr>
        <w:t>4</w:t>
      </w:r>
      <w:r>
        <w:rPr>
          <w:rFonts w:hint="eastAsia" w:ascii="仿宋" w:hAnsi="仿宋" w:eastAsia="仿宋"/>
          <w:sz w:val="32"/>
          <w:szCs w:val="32"/>
        </w:rPr>
        <w:t>.00万元、维修（护）费</w:t>
      </w:r>
      <w:r>
        <w:rPr>
          <w:rFonts w:ascii="仿宋" w:hAnsi="仿宋" w:eastAsia="仿宋"/>
          <w:sz w:val="32"/>
          <w:szCs w:val="32"/>
        </w:rPr>
        <w:t>2.16</w:t>
      </w:r>
      <w:r>
        <w:rPr>
          <w:rFonts w:hint="eastAsia" w:ascii="仿宋" w:hAnsi="仿宋" w:eastAsia="仿宋"/>
          <w:sz w:val="32"/>
          <w:szCs w:val="32"/>
        </w:rPr>
        <w:t>万元、培训费</w:t>
      </w:r>
      <w:r>
        <w:rPr>
          <w:rFonts w:ascii="仿宋" w:hAnsi="仿宋" w:eastAsia="仿宋"/>
          <w:sz w:val="32"/>
          <w:szCs w:val="32"/>
        </w:rPr>
        <w:t>2.45</w:t>
      </w:r>
      <w:r>
        <w:rPr>
          <w:rFonts w:hint="eastAsia" w:ascii="仿宋" w:hAnsi="仿宋" w:eastAsia="仿宋"/>
          <w:sz w:val="32"/>
          <w:szCs w:val="32"/>
        </w:rPr>
        <w:t>万元、公务接待费0.38万元、工会经费</w:t>
      </w:r>
      <w:r>
        <w:rPr>
          <w:rFonts w:ascii="仿宋" w:hAnsi="仿宋" w:eastAsia="仿宋"/>
          <w:sz w:val="32"/>
          <w:szCs w:val="32"/>
        </w:rPr>
        <w:t>0.4</w:t>
      </w:r>
      <w:r>
        <w:rPr>
          <w:rFonts w:hint="eastAsia" w:ascii="仿宋" w:hAnsi="仿宋" w:eastAsia="仿宋"/>
          <w:sz w:val="32"/>
          <w:szCs w:val="32"/>
        </w:rPr>
        <w:t>万元、福利费</w:t>
      </w:r>
      <w:r>
        <w:rPr>
          <w:rFonts w:ascii="仿宋" w:hAnsi="仿宋" w:eastAsia="仿宋"/>
          <w:sz w:val="32"/>
          <w:szCs w:val="32"/>
        </w:rPr>
        <w:t>2.11</w:t>
      </w:r>
      <w:r>
        <w:rPr>
          <w:rFonts w:hint="eastAsia" w:ascii="仿宋" w:hAnsi="仿宋" w:eastAsia="仿宋"/>
          <w:sz w:val="32"/>
          <w:szCs w:val="32"/>
        </w:rPr>
        <w:t>万元。</w:t>
      </w:r>
    </w:p>
    <w:p>
      <w:pPr>
        <w:spacing w:line="600" w:lineRule="exact"/>
        <w:ind w:firstLine="640"/>
        <w:outlineLvl w:val="1"/>
        <w:rPr>
          <w:rStyle w:val="29"/>
          <w:rFonts w:ascii="黑体" w:hAnsi="黑体" w:eastAsia="黑体"/>
          <w:b w:val="0"/>
        </w:rPr>
      </w:pPr>
      <w:bookmarkStart w:id="52" w:name="_Toc15396609"/>
      <w:bookmarkStart w:id="53" w:name="_Toc15377215"/>
      <w:bookmarkStart w:id="54" w:name="_Toc17201"/>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52"/>
      <w:bookmarkEnd w:id="53"/>
      <w:bookmarkEnd w:id="54"/>
    </w:p>
    <w:p>
      <w:pPr>
        <w:spacing w:line="600" w:lineRule="exact"/>
        <w:ind w:firstLine="640"/>
        <w:outlineLvl w:val="2"/>
        <w:rPr>
          <w:rFonts w:ascii="仿宋" w:hAnsi="仿宋" w:eastAsia="仿宋"/>
          <w:bCs/>
          <w:sz w:val="32"/>
          <w:szCs w:val="32"/>
        </w:rPr>
      </w:pPr>
      <w:bookmarkStart w:id="55" w:name="_Toc15377216"/>
      <w:r>
        <w:rPr>
          <w:rFonts w:hint="eastAsia" w:ascii="仿宋" w:hAnsi="仿宋" w:eastAsia="仿宋"/>
          <w:bCs/>
          <w:sz w:val="32"/>
          <w:szCs w:val="32"/>
        </w:rPr>
        <w:t>（一）“三公”经费财政拨款支出决算总体情况说明</w:t>
      </w:r>
      <w:bookmarkEnd w:id="5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22年“三公”经费财政拨款支出决算为0.38万元，公务接待费支出决算比2021年增加</w:t>
      </w:r>
      <w:r>
        <w:rPr>
          <w:rFonts w:ascii="仿宋" w:hAnsi="仿宋" w:eastAsia="仿宋"/>
          <w:sz w:val="32"/>
          <w:szCs w:val="32"/>
        </w:rPr>
        <w:t>0.14</w:t>
      </w:r>
      <w:r>
        <w:rPr>
          <w:rFonts w:hint="eastAsia" w:ascii="仿宋" w:hAnsi="仿宋" w:eastAsia="仿宋"/>
          <w:sz w:val="32"/>
          <w:szCs w:val="32"/>
        </w:rPr>
        <w:t>万元，增长</w:t>
      </w:r>
      <w:r>
        <w:rPr>
          <w:rFonts w:ascii="仿宋" w:hAnsi="仿宋" w:eastAsia="仿宋"/>
          <w:sz w:val="32"/>
          <w:szCs w:val="32"/>
        </w:rPr>
        <w:t>36.84</w:t>
      </w:r>
      <w:r>
        <w:rPr>
          <w:rFonts w:hint="eastAsia" w:ascii="仿宋" w:hAnsi="仿宋" w:eastAsia="仿宋"/>
          <w:sz w:val="32"/>
          <w:szCs w:val="32"/>
        </w:rPr>
        <w:t>%。增长主要原因是接待人次增加。</w:t>
      </w:r>
    </w:p>
    <w:p>
      <w:pPr>
        <w:spacing w:line="600" w:lineRule="exact"/>
        <w:ind w:firstLine="640" w:firstLineChars="200"/>
        <w:outlineLvl w:val="2"/>
        <w:rPr>
          <w:rFonts w:ascii="仿宋" w:hAnsi="仿宋" w:eastAsia="仿宋"/>
          <w:bCs/>
          <w:sz w:val="32"/>
          <w:szCs w:val="32"/>
        </w:rPr>
      </w:pPr>
      <w:bookmarkStart w:id="56" w:name="_Toc15377217"/>
      <w:r>
        <w:rPr>
          <w:rFonts w:hint="eastAsia" w:ascii="仿宋" w:hAnsi="仿宋" w:eastAsia="仿宋"/>
          <w:bCs/>
          <w:sz w:val="32"/>
          <w:szCs w:val="32"/>
        </w:rPr>
        <w:t>（二）“三公”经费财政拨款支出决算具体情况说明</w:t>
      </w:r>
      <w:bookmarkEnd w:id="5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；公务接待费支出决算0.38万元，占100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因公出国（境）经费支出0万元，完成预算0%。全年安排因公出国（境）团组0次，出国（境）0人。因公出国（境）支出决算比</w:t>
      </w:r>
      <w:r>
        <w:rPr>
          <w:rFonts w:ascii="仿宋" w:hAnsi="仿宋" w:eastAsia="仿宋"/>
          <w:sz w:val="32"/>
          <w:szCs w:val="32"/>
        </w:rPr>
        <w:t>20</w:t>
      </w:r>
      <w:r>
        <w:rPr>
          <w:rFonts w:hint="eastAsia" w:ascii="仿宋" w:hAnsi="仿宋" w:eastAsia="仿宋"/>
          <w:sz w:val="32"/>
          <w:szCs w:val="32"/>
        </w:rPr>
        <w:t>21年增加0万元，增长0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开支内容包括：无。</w:t>
      </w:r>
    </w:p>
    <w:p>
      <w:pPr>
        <w:spacing w:line="600" w:lineRule="exact"/>
        <w:ind w:firstLine="64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公务用车购置及运行维护费支出0万元</w:t>
      </w:r>
      <w:r>
        <w:rPr>
          <w:rFonts w:hint="eastAsia" w:ascii="仿宋" w:hAnsi="仿宋" w:eastAsia="仿宋"/>
          <w:sz w:val="32"/>
          <w:szCs w:val="32"/>
          <w:lang w:eastAsia="zh-CN"/>
        </w:rPr>
        <w:t>，</w:t>
      </w:r>
      <w:r>
        <w:rPr>
          <w:rFonts w:hint="eastAsia" w:ascii="仿宋" w:hAnsi="仿宋" w:eastAsia="仿宋"/>
          <w:sz w:val="32"/>
          <w:szCs w:val="32"/>
        </w:rPr>
        <w:t>完成预算0%。公务用车购置及运行维护费支出决算比</w:t>
      </w:r>
      <w:r>
        <w:rPr>
          <w:rFonts w:ascii="仿宋" w:hAnsi="仿宋" w:eastAsia="仿宋"/>
          <w:sz w:val="32"/>
          <w:szCs w:val="32"/>
        </w:rPr>
        <w:t>20</w:t>
      </w:r>
      <w:r>
        <w:rPr>
          <w:rFonts w:hint="eastAsia" w:ascii="仿宋" w:hAnsi="仿宋" w:eastAsia="仿宋"/>
          <w:sz w:val="32"/>
          <w:szCs w:val="32"/>
        </w:rPr>
        <w:t>21年增加0万元，增长0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sz w:val="32"/>
          <w:szCs w:val="32"/>
        </w:rPr>
        <w:t>其中：公务用车购置支出0万元。全年按规定更新购置公务用车0辆，其中：轿车0辆、金额0万元，越野车0辆、金额0万元，载客汽车0辆、金额0万元。截至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月底，单位共有公务用车0辆，其中：轿车0辆、越野车0辆、载客汽车0辆。</w:t>
      </w:r>
    </w:p>
    <w:p>
      <w:pPr>
        <w:spacing w:line="600" w:lineRule="exact"/>
        <w:ind w:firstLine="640"/>
        <w:rPr>
          <w:rFonts w:ascii="仿宋" w:hAnsi="仿宋" w:eastAsia="仿宋"/>
          <w:sz w:val="32"/>
          <w:szCs w:val="32"/>
        </w:rPr>
      </w:pPr>
      <w:r>
        <w:rPr>
          <w:rFonts w:hint="eastAsia" w:ascii="仿宋" w:hAnsi="仿宋" w:eastAsia="仿宋"/>
          <w:sz w:val="32"/>
          <w:szCs w:val="32"/>
        </w:rPr>
        <w:t>公务用车运行维护费支出0万元。</w:t>
      </w:r>
    </w:p>
    <w:p>
      <w:pPr>
        <w:spacing w:line="600" w:lineRule="exact"/>
        <w:ind w:firstLine="64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公务接待费支出0.38万元。公务接待费支出决算比</w:t>
      </w:r>
      <w:r>
        <w:rPr>
          <w:rFonts w:ascii="仿宋" w:hAnsi="仿宋" w:eastAsia="仿宋"/>
          <w:sz w:val="32"/>
          <w:szCs w:val="32"/>
        </w:rPr>
        <w:t>20</w:t>
      </w:r>
      <w:r>
        <w:rPr>
          <w:rFonts w:hint="eastAsia" w:ascii="仿宋" w:hAnsi="仿宋" w:eastAsia="仿宋"/>
          <w:sz w:val="32"/>
          <w:szCs w:val="32"/>
        </w:rPr>
        <w:t>21年增加</w:t>
      </w:r>
      <w:r>
        <w:rPr>
          <w:rFonts w:ascii="仿宋" w:hAnsi="仿宋" w:eastAsia="仿宋"/>
          <w:sz w:val="32"/>
          <w:szCs w:val="32"/>
        </w:rPr>
        <w:t>0.14</w:t>
      </w:r>
      <w:r>
        <w:rPr>
          <w:rFonts w:hint="eastAsia" w:ascii="仿宋" w:hAnsi="仿宋" w:eastAsia="仿宋"/>
          <w:sz w:val="32"/>
          <w:szCs w:val="32"/>
        </w:rPr>
        <w:t>万元，</w:t>
      </w:r>
      <w:r>
        <w:rPr>
          <w:rFonts w:hint="eastAsia" w:ascii="仿宋" w:hAnsi="仿宋" w:eastAsia="仿宋"/>
          <w:sz w:val="32"/>
          <w:szCs w:val="32"/>
          <w:lang w:eastAsia="zh-CN"/>
        </w:rPr>
        <w:t>增长</w:t>
      </w:r>
      <w:r>
        <w:rPr>
          <w:rFonts w:ascii="仿宋" w:hAnsi="仿宋" w:eastAsia="仿宋"/>
          <w:sz w:val="32"/>
          <w:szCs w:val="32"/>
        </w:rPr>
        <w:t>36.84</w:t>
      </w:r>
      <w:r>
        <w:rPr>
          <w:rFonts w:hint="eastAsia" w:ascii="仿宋" w:hAnsi="仿宋" w:eastAsia="仿宋"/>
          <w:sz w:val="32"/>
          <w:szCs w:val="32"/>
        </w:rPr>
        <w:t>%。增长主要原因是接待人次增加。</w:t>
      </w:r>
    </w:p>
    <w:p>
      <w:pPr>
        <w:spacing w:line="600" w:lineRule="exact"/>
        <w:ind w:firstLine="640"/>
        <w:rPr>
          <w:rFonts w:ascii="仿宋" w:hAnsi="仿宋" w:eastAsia="仿宋"/>
          <w:sz w:val="32"/>
          <w:szCs w:val="32"/>
        </w:rPr>
      </w:pPr>
      <w:r>
        <w:rPr>
          <w:rFonts w:hint="eastAsia" w:ascii="仿宋" w:hAnsi="仿宋" w:eastAsia="仿宋"/>
          <w:sz w:val="32"/>
          <w:szCs w:val="32"/>
        </w:rPr>
        <w:t>外事接待支出0万元，外事接待0批次，0人，共计支出0万元。</w:t>
      </w:r>
      <w:bookmarkStart w:id="57" w:name="_Toc15396610"/>
      <w:bookmarkStart w:id="58" w:name="_Toc15377218"/>
    </w:p>
    <w:p>
      <w:pPr>
        <w:spacing w:line="600" w:lineRule="exact"/>
        <w:ind w:firstLine="640"/>
        <w:rPr>
          <w:rFonts w:ascii="仿宋" w:hAnsi="仿宋" w:eastAsia="仿宋"/>
        </w:rPr>
      </w:pPr>
      <w:bookmarkStart w:id="59" w:name="_Toc26537"/>
      <w:r>
        <w:rPr>
          <w:rFonts w:hint="eastAsia" w:ascii="仿宋" w:hAnsi="仿宋" w:eastAsia="仿宋"/>
          <w:sz w:val="32"/>
          <w:szCs w:val="32"/>
        </w:rPr>
        <w:t>八、</w:t>
      </w:r>
      <w:r>
        <w:rPr>
          <w:rFonts w:hint="eastAsia" w:ascii="仿宋" w:hAnsi="仿宋" w:eastAsia="仿宋"/>
          <w:sz w:val="32"/>
          <w:szCs w:val="40"/>
        </w:rPr>
        <w:t>政府性基金预算支出决算情况说明</w:t>
      </w:r>
      <w:bookmarkEnd w:id="57"/>
      <w:bookmarkEnd w:id="58"/>
      <w:bookmarkEnd w:id="5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22年政府性基金预算财政拨款支出</w:t>
      </w:r>
      <w:r>
        <w:rPr>
          <w:rFonts w:ascii="仿宋" w:hAnsi="仿宋" w:eastAsia="仿宋"/>
          <w:sz w:val="32"/>
          <w:szCs w:val="32"/>
        </w:rPr>
        <w:t>0</w:t>
      </w:r>
      <w:r>
        <w:rPr>
          <w:rFonts w:hint="eastAsia" w:ascii="仿宋" w:hAnsi="仿宋" w:eastAsia="仿宋"/>
          <w:sz w:val="32"/>
          <w:szCs w:val="32"/>
        </w:rPr>
        <w:t>万元。</w:t>
      </w:r>
    </w:p>
    <w:p>
      <w:pPr>
        <w:spacing w:line="600" w:lineRule="exact"/>
        <w:ind w:firstLine="640"/>
        <w:rPr>
          <w:rFonts w:ascii="仿宋" w:hAnsi="仿宋" w:eastAsia="仿宋"/>
          <w:sz w:val="32"/>
          <w:szCs w:val="40"/>
        </w:rPr>
      </w:pPr>
      <w:bookmarkStart w:id="60" w:name="_Toc15377219"/>
      <w:bookmarkStart w:id="61" w:name="_Toc30092"/>
      <w:bookmarkStart w:id="62" w:name="_Toc15396611"/>
      <w:r>
        <w:rPr>
          <w:rFonts w:hint="eastAsia" w:ascii="仿宋" w:hAnsi="仿宋" w:eastAsia="仿宋"/>
          <w:sz w:val="32"/>
          <w:szCs w:val="40"/>
        </w:rPr>
        <w:t>国有资本经营预算支出决算情况说明</w:t>
      </w:r>
      <w:bookmarkEnd w:id="60"/>
      <w:bookmarkEnd w:id="61"/>
      <w:bookmarkEnd w:id="6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22年国有资本经营预算财政拨款支出0万元。</w:t>
      </w:r>
    </w:p>
    <w:p>
      <w:pPr>
        <w:spacing w:line="600" w:lineRule="exact"/>
        <w:ind w:firstLine="640"/>
        <w:rPr>
          <w:rFonts w:ascii="仿宋" w:hAnsi="仿宋" w:eastAsia="仿宋"/>
          <w:sz w:val="32"/>
          <w:szCs w:val="40"/>
        </w:rPr>
      </w:pPr>
      <w:bookmarkStart w:id="63" w:name="_Toc15396612"/>
      <w:bookmarkStart w:id="64" w:name="_Toc32626"/>
      <w:bookmarkStart w:id="65" w:name="_Toc15377221"/>
      <w:r>
        <w:rPr>
          <w:rFonts w:hint="eastAsia" w:ascii="仿宋" w:hAnsi="仿宋" w:eastAsia="仿宋"/>
          <w:sz w:val="32"/>
          <w:szCs w:val="40"/>
        </w:rPr>
        <w:t>其他重要事项的情况说明</w:t>
      </w:r>
      <w:bookmarkEnd w:id="63"/>
      <w:bookmarkEnd w:id="64"/>
      <w:bookmarkEnd w:id="65"/>
    </w:p>
    <w:p>
      <w:pPr>
        <w:spacing w:line="600" w:lineRule="exact"/>
        <w:ind w:firstLine="640"/>
        <w:rPr>
          <w:rFonts w:ascii="仿宋" w:hAnsi="仿宋" w:eastAsia="仿宋"/>
          <w:sz w:val="32"/>
          <w:szCs w:val="32"/>
        </w:rPr>
      </w:pPr>
      <w:bookmarkStart w:id="66" w:name="_Toc15377222"/>
      <w:r>
        <w:rPr>
          <w:rFonts w:hint="eastAsia" w:ascii="仿宋" w:hAnsi="仿宋" w:eastAsia="仿宋"/>
          <w:sz w:val="32"/>
          <w:szCs w:val="32"/>
        </w:rPr>
        <w:t>（一）机关运行经费支出情况</w:t>
      </w:r>
      <w:bookmarkEnd w:id="6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22年，我单位无机关运行经费支出。</w:t>
      </w:r>
    </w:p>
    <w:p>
      <w:pPr>
        <w:spacing w:line="600" w:lineRule="exact"/>
        <w:ind w:firstLine="640"/>
        <w:rPr>
          <w:rFonts w:ascii="仿宋" w:hAnsi="仿宋" w:eastAsia="仿宋"/>
          <w:sz w:val="32"/>
          <w:szCs w:val="32"/>
        </w:rPr>
      </w:pPr>
      <w:bookmarkStart w:id="67" w:name="_Toc15377223"/>
      <w:r>
        <w:rPr>
          <w:rFonts w:hint="eastAsia" w:ascii="仿宋" w:hAnsi="仿宋" w:eastAsia="仿宋"/>
          <w:sz w:val="32"/>
          <w:szCs w:val="32"/>
        </w:rPr>
        <w:t>（二）政府采购支出情况</w:t>
      </w:r>
      <w:bookmarkEnd w:id="6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22年，剑阁县羊岭小学校政府采购支出总额0万元，其中：政府采购货物支出0万元、政府采购工程支出0万元、政府采购服务支出0万元。主要用于教学设备。授予中小企业合同金额0万元，占政府采购支出总额的0</w:t>
      </w:r>
      <w:r>
        <w:rPr>
          <w:rFonts w:ascii="仿宋" w:hAnsi="仿宋" w:eastAsia="仿宋"/>
          <w:sz w:val="32"/>
          <w:szCs w:val="32"/>
        </w:rPr>
        <w:t>%</w:t>
      </w:r>
      <w:r>
        <w:rPr>
          <w:rFonts w:hint="eastAsia" w:ascii="仿宋" w:hAnsi="仿宋" w:eastAsia="仿宋"/>
          <w:sz w:val="32"/>
          <w:szCs w:val="32"/>
        </w:rPr>
        <w:t>，其中：授予小微企业合同金额0万元，占政府采购支出总额的0</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bookmarkStart w:id="68" w:name="_Toc15377224"/>
      <w:r>
        <w:rPr>
          <w:rFonts w:hint="eastAsia" w:ascii="仿宋" w:hAnsi="仿宋" w:eastAsia="仿宋"/>
          <w:sz w:val="32"/>
          <w:szCs w:val="32"/>
        </w:rPr>
        <w:t>（三）国有资产占有使用情况</w:t>
      </w:r>
      <w:bookmarkEnd w:id="68"/>
    </w:p>
    <w:p>
      <w:pPr>
        <w:spacing w:line="600" w:lineRule="exact"/>
        <w:ind w:firstLine="64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22年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日，剑阁县羊岭小学校共有车辆0辆，单价</w:t>
      </w:r>
      <w:r>
        <w:rPr>
          <w:rFonts w:ascii="仿宋" w:hAnsi="仿宋" w:eastAsia="仿宋"/>
          <w:sz w:val="32"/>
          <w:szCs w:val="32"/>
        </w:rPr>
        <w:t>50</w:t>
      </w:r>
      <w:r>
        <w:rPr>
          <w:rFonts w:hint="eastAsia" w:ascii="仿宋" w:hAnsi="仿宋" w:eastAsia="仿宋"/>
          <w:sz w:val="32"/>
          <w:szCs w:val="32"/>
        </w:rPr>
        <w:t>万元以上通用设备0台（套），单价</w:t>
      </w:r>
      <w:r>
        <w:rPr>
          <w:rFonts w:ascii="仿宋" w:hAnsi="仿宋" w:eastAsia="仿宋"/>
          <w:sz w:val="32"/>
          <w:szCs w:val="32"/>
        </w:rPr>
        <w:t>100</w:t>
      </w:r>
      <w:r>
        <w:rPr>
          <w:rFonts w:hint="eastAsia" w:ascii="仿宋" w:hAnsi="仿宋" w:eastAsia="仿宋"/>
          <w:sz w:val="32"/>
          <w:szCs w:val="32"/>
        </w:rPr>
        <w:t>万元以上专用设备0台（套）。</w:t>
      </w:r>
    </w:p>
    <w:p>
      <w:pPr>
        <w:spacing w:line="600" w:lineRule="exact"/>
        <w:ind w:firstLine="640"/>
        <w:rPr>
          <w:rFonts w:ascii="仿宋" w:hAnsi="仿宋" w:eastAsia="仿宋"/>
          <w:sz w:val="32"/>
          <w:szCs w:val="32"/>
        </w:rPr>
      </w:pPr>
      <w:r>
        <w:rPr>
          <w:rFonts w:hint="eastAsia" w:ascii="仿宋" w:hAnsi="仿宋" w:eastAsia="仿宋"/>
          <w:sz w:val="32"/>
          <w:szCs w:val="32"/>
        </w:rPr>
        <w:t>（四）预算绩效管理情况</w:t>
      </w:r>
    </w:p>
    <w:p>
      <w:pPr>
        <w:spacing w:line="600" w:lineRule="exact"/>
        <w:ind w:firstLine="640"/>
        <w:rPr>
          <w:rFonts w:ascii="仿宋" w:hAnsi="仿宋" w:eastAsia="仿宋"/>
          <w:sz w:val="32"/>
          <w:szCs w:val="32"/>
        </w:rPr>
      </w:pPr>
      <w:r>
        <w:rPr>
          <w:rFonts w:hint="eastAsia" w:ascii="仿宋" w:hAnsi="仿宋" w:eastAsia="仿宋"/>
          <w:sz w:val="32"/>
          <w:szCs w:val="32"/>
        </w:rPr>
        <w:t>根据预算绩效管理要求，本部门在2022年度预算编制阶段，组织对义务教育学生生活补助、农村义务教育学生营养改善计划、免作业本项目等21个项目开展了预算事前绩效评估，对21个项目编制了绩效目标，预算执行过程中，选取2个项目开展绩效监控，年终执行完毕后，对2个项目开展了绩效自评。</w:t>
      </w:r>
    </w:p>
    <w:p>
      <w:pPr>
        <w:spacing w:line="600" w:lineRule="exact"/>
        <w:ind w:firstLine="640"/>
        <w:rPr>
          <w:rFonts w:ascii="仿宋" w:hAnsi="仿宋" w:eastAsia="仿宋"/>
          <w:sz w:val="32"/>
          <w:szCs w:val="32"/>
        </w:rPr>
      </w:pPr>
      <w:r>
        <w:rPr>
          <w:rFonts w:hint="eastAsia" w:ascii="仿宋" w:hAnsi="仿宋" w:eastAsia="仿宋"/>
          <w:sz w:val="32"/>
          <w:szCs w:val="32"/>
        </w:rPr>
        <w:t>同时，本部门对2022年部门整体开展绩效自评，《2022年羊岭小学校部门整体绩效评价报告》见附件（第四部分）。</w:t>
      </w:r>
    </w:p>
    <w:p>
      <w:pPr>
        <w:spacing w:line="580" w:lineRule="exact"/>
        <w:rPr>
          <w:rFonts w:ascii="仿宋_GB2312" w:hAnsi="仿宋_GB2312" w:eastAsia="仿宋_GB2312" w:cs="仿宋_GB2312"/>
          <w:sz w:val="32"/>
          <w:szCs w:val="32"/>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2"/>
        </w:numPr>
        <w:spacing w:line="600" w:lineRule="exact"/>
        <w:ind w:firstLine="660" w:firstLineChars="150"/>
        <w:jc w:val="center"/>
        <w:outlineLvl w:val="0"/>
        <w:rPr>
          <w:rStyle w:val="28"/>
          <w:rFonts w:ascii="黑体" w:hAnsi="黑体" w:eastAsia="黑体"/>
          <w:b w:val="0"/>
        </w:rPr>
      </w:pPr>
      <w:bookmarkStart w:id="69" w:name="_Toc15396613"/>
      <w:bookmarkStart w:id="70" w:name="_Toc5824"/>
      <w:bookmarkStart w:id="71" w:name="_Toc15377225"/>
      <w:r>
        <w:rPr>
          <w:rFonts w:hint="eastAsia" w:ascii="黑体" w:hAnsi="黑体" w:eastAsia="黑体"/>
          <w:sz w:val="44"/>
          <w:szCs w:val="44"/>
        </w:rPr>
        <w:t>名</w:t>
      </w:r>
      <w:r>
        <w:rPr>
          <w:rStyle w:val="28"/>
          <w:rFonts w:hint="eastAsia" w:ascii="黑体" w:hAnsi="黑体" w:eastAsia="黑体"/>
          <w:b w:val="0"/>
        </w:rPr>
        <w:t>词解释</w:t>
      </w:r>
      <w:bookmarkEnd w:id="69"/>
      <w:bookmarkEnd w:id="70"/>
      <w:bookmarkEnd w:id="71"/>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4．一般公共预算拨款收入：指县级财政当年拨付的资金。</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教育（类）普通教育（款）学前教育（项）：指学校正常运转的基本支出，包括基本工资、津贴补贴等人员经费，工会经费、福利费、办公费、印刷费、水电费等日常公用经费，其他社会保障缴费（失业保险和工伤保险）及遗属生活补助、贫困住校生生活补助等。</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教育（类）普通教育（款）小学教育（项）：指学校正常运转的基本支出，包括基本工资、津贴补贴等人员经费，工会经费、福利费、办公费、印刷费、水电费等日常公用经费，其他社会保障缴费（失业保险和工伤保险）及遗属生活补助、贫困住校生生活补助等。</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 社会保障和就业（类）行政事业单位养老支出（款）机关事业单位基本养老保险缴费支出（项）：指部门实施养老保险制度由单位缴纳的养老保险费的支出。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8.其他社会保障和就业支出（类）其他社会保障和就业支出（款）：指财政拨付给单位，再由单位支付给退休人员的一次性退休补贴。</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9.卫生健康支出（类）行政事业单位医疗（款）事业单位医疗（项）：指事业单位用于缴纳单位在职及退休人员基本医疗保险支出。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10.住房保障（类）住房改革支出（款）住房公积金（项）：指按照《住房公积金管理条例》的规定，由单位及其在职职工缴存的长期住房储蓄金。</w:t>
      </w:r>
    </w:p>
    <w:p>
      <w:pPr>
        <w:adjustRightInd w:val="0"/>
        <w:snapToGrid w:val="0"/>
        <w:spacing w:line="580" w:lineRule="exact"/>
        <w:jc w:val="left"/>
        <w:rPr>
          <w:rFonts w:ascii="黑体" w:hAnsi="黑体" w:eastAsia="黑体" w:cs="华文楷体"/>
          <w:sz w:val="36"/>
          <w:szCs w:val="36"/>
          <w:highlight w:val="yellow"/>
        </w:rPr>
      </w:pPr>
      <w:r>
        <w:rPr>
          <w:rFonts w:hint="eastAsia" w:ascii="仿宋_GB2312" w:eastAsia="仿宋_GB2312"/>
          <w:sz w:val="32"/>
          <w:szCs w:val="32"/>
        </w:rPr>
        <w:t xml:space="preserve">    11.农林水支出（类）巩固脱贫衔接乡村振兴（款）社会发展（项）：指</w:t>
      </w:r>
      <w:r>
        <w:rPr>
          <w:rFonts w:hint="eastAsia" w:ascii="仿宋_GB2312" w:eastAsia="仿宋_GB2312"/>
          <w:sz w:val="32"/>
          <w:szCs w:val="32"/>
          <w:lang w:val="zh-CN"/>
        </w:rPr>
        <w:t>广安剑阁“校对校”结对帮扶项目资金</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8"/>
          <w:rFonts w:ascii="黑体" w:hAnsi="黑体" w:eastAsia="黑体"/>
          <w:b w:val="0"/>
        </w:rPr>
      </w:pPr>
      <w:bookmarkStart w:id="72" w:name="_Toc15377226"/>
      <w:r>
        <w:rPr>
          <w:rFonts w:ascii="宋体"/>
          <w:b/>
          <w:sz w:val="44"/>
          <w:szCs w:val="44"/>
        </w:rPr>
        <w:br w:type="page"/>
      </w:r>
      <w:bookmarkStart w:id="73" w:name="_Toc15396614"/>
      <w:bookmarkStart w:id="74" w:name="_Toc712"/>
      <w:r>
        <w:rPr>
          <w:rFonts w:hint="eastAsia" w:ascii="黑体" w:hAnsi="黑体" w:eastAsia="黑体"/>
          <w:sz w:val="44"/>
          <w:szCs w:val="44"/>
        </w:rPr>
        <w:t>第</w:t>
      </w:r>
      <w:r>
        <w:rPr>
          <w:rStyle w:val="28"/>
          <w:rFonts w:hint="eastAsia" w:ascii="黑体" w:hAnsi="黑体" w:eastAsia="黑体"/>
          <w:b w:val="0"/>
        </w:rPr>
        <w:t>四部分 附件</w:t>
      </w:r>
      <w:bookmarkEnd w:id="73"/>
      <w:bookmarkEnd w:id="74"/>
    </w:p>
    <w:p>
      <w:pPr>
        <w:widowControl/>
        <w:spacing w:line="560" w:lineRule="exact"/>
        <w:contextualSpacing/>
        <w:jc w:val="center"/>
        <w:rPr>
          <w:rFonts w:ascii="宋体" w:hAnsi="宋体"/>
          <w:b/>
          <w:sz w:val="44"/>
          <w:szCs w:val="44"/>
          <w:shd w:val="clear" w:color="auto" w:fill="FFFFFF"/>
        </w:rPr>
      </w:pPr>
      <w:r>
        <w:rPr>
          <w:rFonts w:hint="eastAsia" w:ascii="宋体" w:hAnsi="宋体"/>
          <w:b/>
          <w:sz w:val="44"/>
          <w:szCs w:val="44"/>
          <w:shd w:val="clear" w:color="auto" w:fill="FFFFFF"/>
        </w:rPr>
        <w:t>剑阁县羊岭小学校</w:t>
      </w:r>
    </w:p>
    <w:p>
      <w:pPr>
        <w:widowControl/>
        <w:spacing w:line="560" w:lineRule="exact"/>
        <w:contextualSpacing/>
        <w:jc w:val="center"/>
        <w:rPr>
          <w:rFonts w:ascii="宋体" w:hAnsi="宋体"/>
          <w:b/>
          <w:sz w:val="44"/>
          <w:szCs w:val="44"/>
          <w:shd w:val="clear" w:color="auto" w:fill="FFFFFF"/>
        </w:rPr>
      </w:pPr>
      <w:r>
        <w:rPr>
          <w:rFonts w:hint="eastAsia" w:ascii="宋体" w:hAnsi="宋体"/>
          <w:b/>
          <w:sz w:val="44"/>
          <w:szCs w:val="44"/>
          <w:shd w:val="clear" w:color="auto" w:fill="FFFFFF"/>
        </w:rPr>
        <w:t>2022年部门整体支出绩效评价报告</w:t>
      </w: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rPr>
          <w:rFonts w:ascii="仿宋" w:hAnsi="仿宋" w:eastAsia="仿宋"/>
          <w:sz w:val="32"/>
          <w:szCs w:val="40"/>
        </w:rPr>
      </w:pPr>
      <w:r>
        <w:rPr>
          <w:rFonts w:hint="eastAsia" w:ascii="仿宋" w:hAnsi="仿宋" w:eastAsia="仿宋"/>
          <w:sz w:val="32"/>
          <w:szCs w:val="40"/>
        </w:rPr>
        <w:t>一、部门（单位）基本情况</w:t>
      </w:r>
    </w:p>
    <w:p>
      <w:pPr>
        <w:rPr>
          <w:rFonts w:ascii="仿宋" w:hAnsi="仿宋" w:eastAsia="仿宋"/>
          <w:sz w:val="32"/>
          <w:szCs w:val="40"/>
        </w:rPr>
      </w:pPr>
      <w:r>
        <w:rPr>
          <w:rFonts w:hint="eastAsia" w:ascii="仿宋" w:hAnsi="仿宋" w:eastAsia="仿宋"/>
          <w:sz w:val="32"/>
          <w:szCs w:val="40"/>
        </w:rPr>
        <w:t>（一）机构组成。</w:t>
      </w:r>
    </w:p>
    <w:p>
      <w:pPr>
        <w:ind w:firstLine="640" w:firstLineChars="200"/>
        <w:rPr>
          <w:rFonts w:ascii="仿宋" w:hAnsi="仿宋" w:eastAsia="仿宋"/>
          <w:sz w:val="32"/>
          <w:szCs w:val="40"/>
        </w:rPr>
      </w:pPr>
      <w:r>
        <w:rPr>
          <w:rFonts w:hint="eastAsia" w:ascii="仿宋" w:hAnsi="仿宋" w:eastAsia="仿宋"/>
          <w:sz w:val="32"/>
          <w:szCs w:val="40"/>
        </w:rPr>
        <w:t>剑阁县羊岭小学校是全额拨款事业单位，为一级预算单位，执行政府会计制度，无下属二级预算单位。</w:t>
      </w:r>
    </w:p>
    <w:p>
      <w:pPr>
        <w:rPr>
          <w:rFonts w:ascii="仿宋" w:hAnsi="仿宋" w:eastAsia="仿宋"/>
          <w:sz w:val="32"/>
          <w:szCs w:val="40"/>
        </w:rPr>
      </w:pPr>
      <w:r>
        <w:rPr>
          <w:rFonts w:hint="eastAsia" w:ascii="仿宋" w:hAnsi="仿宋" w:eastAsia="仿宋"/>
          <w:sz w:val="32"/>
          <w:szCs w:val="40"/>
        </w:rPr>
        <w:t>机构职能和人员概况。</w:t>
      </w:r>
    </w:p>
    <w:p>
      <w:pPr>
        <w:rPr>
          <w:rFonts w:ascii="仿宋" w:hAnsi="仿宋" w:eastAsia="仿宋"/>
          <w:sz w:val="32"/>
          <w:szCs w:val="40"/>
        </w:rPr>
      </w:pPr>
      <w:r>
        <w:rPr>
          <w:rFonts w:hint="eastAsia" w:ascii="仿宋" w:hAnsi="仿宋" w:eastAsia="仿宋"/>
          <w:sz w:val="32"/>
          <w:szCs w:val="40"/>
        </w:rPr>
        <w:t>1.机构职能</w:t>
      </w:r>
    </w:p>
    <w:p>
      <w:pPr>
        <w:rPr>
          <w:rFonts w:ascii="仿宋" w:hAnsi="仿宋" w:eastAsia="仿宋"/>
          <w:sz w:val="32"/>
          <w:szCs w:val="40"/>
        </w:rPr>
      </w:pPr>
      <w:r>
        <w:rPr>
          <w:rFonts w:hint="eastAsia" w:ascii="仿宋" w:hAnsi="仿宋" w:eastAsia="仿宋"/>
          <w:sz w:val="32"/>
          <w:szCs w:val="40"/>
        </w:rPr>
        <w:t xml:space="preserve">（1）实施小学义务教育，促进基础教育发展，正确贯彻执行党和国家的教育方针、政策、法规。 </w:t>
      </w:r>
    </w:p>
    <w:p>
      <w:pPr>
        <w:rPr>
          <w:rFonts w:ascii="仿宋" w:hAnsi="仿宋" w:eastAsia="仿宋"/>
          <w:sz w:val="32"/>
          <w:szCs w:val="40"/>
        </w:rPr>
      </w:pPr>
      <w:r>
        <w:rPr>
          <w:rFonts w:hint="eastAsia" w:ascii="仿宋" w:hAnsi="仿宋" w:eastAsia="仿宋"/>
          <w:sz w:val="32"/>
          <w:szCs w:val="40"/>
        </w:rPr>
        <w:t xml:space="preserve">（2）维护学校的教学秩序，为学生创造良好的学习环境； </w:t>
      </w:r>
    </w:p>
    <w:p>
      <w:pPr>
        <w:rPr>
          <w:rFonts w:ascii="仿宋" w:hAnsi="仿宋" w:eastAsia="仿宋"/>
          <w:sz w:val="32"/>
          <w:szCs w:val="40"/>
        </w:rPr>
      </w:pPr>
      <w:r>
        <w:rPr>
          <w:rFonts w:hint="eastAsia" w:ascii="仿宋" w:hAnsi="仿宋" w:eastAsia="仿宋"/>
          <w:sz w:val="32"/>
          <w:szCs w:val="40"/>
        </w:rPr>
        <w:t xml:space="preserve">（3）积极稳妥地推进教育改革，按教育规律办事，不断提高教育质量； </w:t>
      </w:r>
    </w:p>
    <w:p>
      <w:pPr>
        <w:rPr>
          <w:rFonts w:ascii="仿宋" w:hAnsi="仿宋" w:eastAsia="仿宋"/>
          <w:sz w:val="32"/>
          <w:szCs w:val="40"/>
        </w:rPr>
      </w:pPr>
      <w:r>
        <w:rPr>
          <w:rFonts w:hint="eastAsia" w:ascii="仿宋" w:hAnsi="仿宋" w:eastAsia="仿宋"/>
          <w:sz w:val="32"/>
          <w:szCs w:val="40"/>
        </w:rPr>
        <w:t xml:space="preserve">（4）根据学校规模，建立健全各项规章制度和岗位责任制。 </w:t>
      </w:r>
    </w:p>
    <w:p>
      <w:pPr>
        <w:rPr>
          <w:rFonts w:ascii="仿宋" w:hAnsi="仿宋" w:eastAsia="仿宋"/>
          <w:sz w:val="32"/>
          <w:szCs w:val="40"/>
        </w:rPr>
      </w:pPr>
      <w:r>
        <w:rPr>
          <w:rFonts w:hint="eastAsia" w:ascii="仿宋" w:hAnsi="仿宋" w:eastAsia="仿宋"/>
          <w:sz w:val="32"/>
          <w:szCs w:val="40"/>
        </w:rPr>
        <w:t xml:space="preserve">（5）坚持教书育人，服务育人，环境育人方针，加强对学生的思想品德教育，使学生的德智体全面发展。   </w:t>
      </w:r>
    </w:p>
    <w:p>
      <w:pPr>
        <w:rPr>
          <w:rFonts w:ascii="仿宋" w:hAnsi="仿宋" w:eastAsia="仿宋"/>
          <w:sz w:val="32"/>
          <w:szCs w:val="40"/>
        </w:rPr>
      </w:pPr>
      <w:r>
        <w:rPr>
          <w:rFonts w:hint="eastAsia" w:ascii="仿宋" w:hAnsi="仿宋" w:eastAsia="仿宋"/>
          <w:sz w:val="32"/>
          <w:szCs w:val="40"/>
        </w:rPr>
        <w:t xml:space="preserve">（6）抓好教师队伍建设，使每个教师都热心于教育事业； </w:t>
      </w:r>
    </w:p>
    <w:p>
      <w:pPr>
        <w:rPr>
          <w:rFonts w:ascii="仿宋" w:hAnsi="仿宋" w:eastAsia="仿宋"/>
          <w:sz w:val="32"/>
          <w:szCs w:val="40"/>
        </w:rPr>
      </w:pPr>
      <w:r>
        <w:rPr>
          <w:rFonts w:hint="eastAsia" w:ascii="仿宋" w:hAnsi="仿宋" w:eastAsia="仿宋"/>
          <w:sz w:val="32"/>
          <w:szCs w:val="40"/>
        </w:rPr>
        <w:t>（7）做好安全教育及防范工作，维护校园和谐稳定。</w:t>
      </w:r>
    </w:p>
    <w:p>
      <w:pPr>
        <w:rPr>
          <w:rFonts w:ascii="仿宋" w:hAnsi="仿宋" w:eastAsia="仿宋"/>
          <w:sz w:val="32"/>
          <w:szCs w:val="40"/>
        </w:rPr>
      </w:pPr>
      <w:r>
        <w:rPr>
          <w:rFonts w:hint="eastAsia" w:ascii="仿宋" w:hAnsi="仿宋" w:eastAsia="仿宋"/>
          <w:sz w:val="32"/>
          <w:szCs w:val="40"/>
        </w:rPr>
        <w:t>2.人员概况</w:t>
      </w:r>
    </w:p>
    <w:p>
      <w:pPr>
        <w:ind w:firstLine="640" w:firstLineChars="200"/>
        <w:rPr>
          <w:rFonts w:ascii="仿宋" w:hAnsi="仿宋" w:eastAsia="仿宋"/>
          <w:sz w:val="32"/>
          <w:szCs w:val="40"/>
        </w:rPr>
      </w:pPr>
      <w:r>
        <w:rPr>
          <w:rFonts w:hint="eastAsia" w:ascii="仿宋" w:hAnsi="仿宋" w:eastAsia="仿宋"/>
          <w:sz w:val="32"/>
          <w:szCs w:val="40"/>
        </w:rPr>
        <w:t>剑阁县羊岭小学校总编制</w:t>
      </w:r>
      <w:r>
        <w:rPr>
          <w:rFonts w:ascii="仿宋" w:hAnsi="仿宋" w:eastAsia="仿宋"/>
          <w:sz w:val="32"/>
          <w:szCs w:val="40"/>
        </w:rPr>
        <w:t>20</w:t>
      </w:r>
      <w:r>
        <w:rPr>
          <w:rFonts w:hint="eastAsia" w:ascii="仿宋" w:hAnsi="仿宋" w:eastAsia="仿宋"/>
          <w:sz w:val="32"/>
          <w:szCs w:val="40"/>
        </w:rPr>
        <w:t>名，其中行政编制0名，参公编制0名，事业编制</w:t>
      </w:r>
      <w:r>
        <w:rPr>
          <w:rFonts w:ascii="仿宋" w:hAnsi="仿宋" w:eastAsia="仿宋"/>
          <w:sz w:val="32"/>
          <w:szCs w:val="40"/>
        </w:rPr>
        <w:t>19</w:t>
      </w:r>
      <w:r>
        <w:rPr>
          <w:rFonts w:hint="eastAsia" w:ascii="仿宋" w:hAnsi="仿宋" w:eastAsia="仿宋"/>
          <w:sz w:val="32"/>
          <w:szCs w:val="40"/>
        </w:rPr>
        <w:t>名，事业工勤编制1名。在职人员总数</w:t>
      </w:r>
      <w:r>
        <w:rPr>
          <w:rFonts w:ascii="仿宋" w:hAnsi="仿宋" w:eastAsia="仿宋"/>
          <w:sz w:val="32"/>
          <w:szCs w:val="40"/>
        </w:rPr>
        <w:t>25</w:t>
      </w:r>
      <w:r>
        <w:rPr>
          <w:rFonts w:hint="eastAsia" w:ascii="仿宋" w:hAnsi="仿宋" w:eastAsia="仿宋"/>
          <w:sz w:val="32"/>
          <w:szCs w:val="40"/>
        </w:rPr>
        <w:t>人，其中行政人员0人，参公人员0人，事业人员</w:t>
      </w:r>
      <w:r>
        <w:rPr>
          <w:rFonts w:ascii="仿宋" w:hAnsi="仿宋" w:eastAsia="仿宋"/>
          <w:sz w:val="32"/>
          <w:szCs w:val="40"/>
        </w:rPr>
        <w:t>24</w:t>
      </w:r>
      <w:r>
        <w:rPr>
          <w:rFonts w:hint="eastAsia" w:ascii="仿宋" w:hAnsi="仿宋" w:eastAsia="仿宋"/>
          <w:sz w:val="32"/>
          <w:szCs w:val="40"/>
        </w:rPr>
        <w:t>人（其中特岗教师</w:t>
      </w:r>
      <w:r>
        <w:rPr>
          <w:rFonts w:ascii="仿宋" w:hAnsi="仿宋" w:eastAsia="仿宋"/>
          <w:sz w:val="32"/>
          <w:szCs w:val="40"/>
        </w:rPr>
        <w:t>2</w:t>
      </w:r>
      <w:r>
        <w:rPr>
          <w:rFonts w:hint="eastAsia" w:ascii="仿宋" w:hAnsi="仿宋" w:eastAsia="仿宋"/>
          <w:sz w:val="32"/>
          <w:szCs w:val="40"/>
        </w:rPr>
        <w:t>人），工勤人员1人；离休人员0人，退休人员</w:t>
      </w:r>
      <w:r>
        <w:rPr>
          <w:rFonts w:ascii="仿宋" w:hAnsi="仿宋" w:eastAsia="仿宋"/>
          <w:sz w:val="32"/>
          <w:szCs w:val="40"/>
        </w:rPr>
        <w:t>34</w:t>
      </w:r>
      <w:r>
        <w:rPr>
          <w:rFonts w:hint="eastAsia" w:ascii="仿宋" w:hAnsi="仿宋" w:eastAsia="仿宋"/>
          <w:sz w:val="32"/>
          <w:szCs w:val="40"/>
        </w:rPr>
        <w:t>人。</w:t>
      </w:r>
    </w:p>
    <w:p>
      <w:pPr>
        <w:rPr>
          <w:rFonts w:ascii="仿宋" w:hAnsi="仿宋" w:eastAsia="仿宋"/>
          <w:sz w:val="32"/>
          <w:szCs w:val="40"/>
        </w:rPr>
      </w:pPr>
      <w:r>
        <w:rPr>
          <w:rFonts w:hint="eastAsia" w:ascii="仿宋" w:hAnsi="仿宋" w:eastAsia="仿宋"/>
          <w:sz w:val="32"/>
          <w:szCs w:val="40"/>
        </w:rPr>
        <w:t>二、部门（单位）资金收支情况</w:t>
      </w:r>
    </w:p>
    <w:p>
      <w:pPr>
        <w:rPr>
          <w:rFonts w:ascii="仿宋" w:hAnsi="仿宋" w:eastAsia="仿宋"/>
          <w:sz w:val="32"/>
          <w:szCs w:val="40"/>
        </w:rPr>
      </w:pPr>
      <w:r>
        <w:rPr>
          <w:rFonts w:hint="eastAsia" w:ascii="仿宋" w:hAnsi="仿宋" w:eastAsia="仿宋"/>
          <w:sz w:val="32"/>
          <w:szCs w:val="40"/>
        </w:rPr>
        <w:t>（一）部门（单位）财政拨款收支情况。</w:t>
      </w:r>
    </w:p>
    <w:p>
      <w:pPr>
        <w:rPr>
          <w:rFonts w:ascii="仿宋" w:hAnsi="仿宋" w:eastAsia="仿宋"/>
          <w:sz w:val="32"/>
          <w:szCs w:val="40"/>
        </w:rPr>
      </w:pPr>
      <w:r>
        <w:rPr>
          <w:rFonts w:hint="eastAsia" w:ascii="仿宋" w:hAnsi="仿宋" w:eastAsia="仿宋"/>
          <w:sz w:val="32"/>
          <w:szCs w:val="40"/>
        </w:rPr>
        <w:t>1.部门（单位）财政拨款收入情况</w:t>
      </w:r>
    </w:p>
    <w:p>
      <w:pPr>
        <w:ind w:firstLine="640" w:firstLineChars="200"/>
        <w:rPr>
          <w:rFonts w:ascii="仿宋" w:hAnsi="仿宋" w:eastAsia="仿宋"/>
          <w:sz w:val="32"/>
          <w:szCs w:val="40"/>
        </w:rPr>
      </w:pPr>
      <w:r>
        <w:rPr>
          <w:rFonts w:hint="eastAsia" w:ascii="仿宋" w:hAnsi="仿宋" w:eastAsia="仿宋"/>
          <w:sz w:val="32"/>
          <w:szCs w:val="40"/>
        </w:rPr>
        <w:t>剑阁县羊岭小学校2022年收入预算</w:t>
      </w:r>
      <w:r>
        <w:rPr>
          <w:rFonts w:ascii="仿宋" w:hAnsi="仿宋" w:eastAsia="仿宋"/>
          <w:sz w:val="32"/>
          <w:szCs w:val="40"/>
        </w:rPr>
        <w:t>421.21</w:t>
      </w:r>
      <w:r>
        <w:rPr>
          <w:rFonts w:hint="eastAsia" w:ascii="仿宋" w:hAnsi="仿宋" w:eastAsia="仿宋"/>
          <w:sz w:val="32"/>
          <w:szCs w:val="40"/>
        </w:rPr>
        <w:t>万元。其中一般公共预算拨款收入</w:t>
      </w:r>
      <w:r>
        <w:rPr>
          <w:rFonts w:ascii="仿宋" w:hAnsi="仿宋" w:eastAsia="仿宋"/>
          <w:sz w:val="32"/>
          <w:szCs w:val="40"/>
        </w:rPr>
        <w:t>421.21</w:t>
      </w:r>
      <w:r>
        <w:rPr>
          <w:rFonts w:hint="eastAsia" w:ascii="仿宋" w:hAnsi="仿宋" w:eastAsia="仿宋"/>
          <w:sz w:val="32"/>
          <w:szCs w:val="40"/>
        </w:rPr>
        <w:t>万元，占</w:t>
      </w:r>
      <w:r>
        <w:rPr>
          <w:rFonts w:ascii="仿宋" w:hAnsi="仿宋" w:eastAsia="仿宋"/>
          <w:sz w:val="32"/>
          <w:szCs w:val="40"/>
        </w:rPr>
        <w:t>100</w:t>
      </w:r>
      <w:r>
        <w:rPr>
          <w:rFonts w:hint="eastAsia" w:ascii="仿宋" w:hAnsi="仿宋" w:eastAsia="仿宋"/>
          <w:sz w:val="32"/>
          <w:szCs w:val="40"/>
        </w:rPr>
        <w:t>%。</w:t>
      </w:r>
    </w:p>
    <w:p>
      <w:pPr>
        <w:rPr>
          <w:rFonts w:ascii="仿宋" w:hAnsi="仿宋" w:eastAsia="仿宋"/>
          <w:sz w:val="32"/>
          <w:szCs w:val="40"/>
        </w:rPr>
      </w:pPr>
      <w:r>
        <w:rPr>
          <w:rFonts w:hint="eastAsia" w:ascii="仿宋" w:hAnsi="仿宋" w:eastAsia="仿宋"/>
          <w:sz w:val="32"/>
          <w:szCs w:val="40"/>
        </w:rPr>
        <w:t>部门（单位）财政拨款支出情况</w:t>
      </w:r>
    </w:p>
    <w:p>
      <w:pPr>
        <w:ind w:firstLine="640" w:firstLineChars="200"/>
        <w:rPr>
          <w:rFonts w:ascii="仿宋" w:hAnsi="仿宋" w:eastAsia="仿宋"/>
          <w:sz w:val="32"/>
          <w:szCs w:val="40"/>
        </w:rPr>
      </w:pPr>
      <w:r>
        <w:rPr>
          <w:rFonts w:hint="eastAsia" w:ascii="仿宋" w:hAnsi="仿宋" w:eastAsia="仿宋"/>
          <w:sz w:val="32"/>
          <w:szCs w:val="40"/>
        </w:rPr>
        <w:t>剑阁县羊岭小学校</w:t>
      </w:r>
      <w:r>
        <w:rPr>
          <w:rFonts w:ascii="仿宋" w:hAnsi="仿宋" w:eastAsia="仿宋"/>
          <w:sz w:val="32"/>
          <w:szCs w:val="40"/>
        </w:rPr>
        <w:t>202</w:t>
      </w:r>
      <w:r>
        <w:rPr>
          <w:rFonts w:hint="eastAsia" w:ascii="仿宋" w:hAnsi="仿宋" w:eastAsia="仿宋"/>
          <w:sz w:val="32"/>
          <w:szCs w:val="40"/>
        </w:rPr>
        <w:t>2</w:t>
      </w:r>
      <w:r>
        <w:rPr>
          <w:rFonts w:ascii="仿宋" w:hAnsi="仿宋" w:eastAsia="仿宋"/>
          <w:sz w:val="32"/>
          <w:szCs w:val="40"/>
        </w:rPr>
        <w:t>年支出预算421.21</w:t>
      </w:r>
      <w:r>
        <w:rPr>
          <w:rFonts w:hint="eastAsia" w:ascii="仿宋" w:hAnsi="仿宋" w:eastAsia="仿宋"/>
          <w:sz w:val="32"/>
          <w:szCs w:val="40"/>
        </w:rPr>
        <w:t>万元</w:t>
      </w:r>
      <w:r>
        <w:rPr>
          <w:rFonts w:ascii="仿宋" w:hAnsi="仿宋" w:eastAsia="仿宋"/>
          <w:sz w:val="32"/>
          <w:szCs w:val="40"/>
        </w:rPr>
        <w:t>，其中：基本支出373.62</w:t>
      </w:r>
      <w:r>
        <w:rPr>
          <w:rFonts w:hint="eastAsia" w:ascii="仿宋" w:hAnsi="仿宋" w:eastAsia="仿宋"/>
          <w:sz w:val="32"/>
          <w:szCs w:val="40"/>
        </w:rPr>
        <w:t>万</w:t>
      </w:r>
      <w:r>
        <w:rPr>
          <w:rFonts w:ascii="仿宋" w:hAnsi="仿宋" w:eastAsia="仿宋"/>
          <w:sz w:val="32"/>
          <w:szCs w:val="40"/>
        </w:rPr>
        <w:t>元，占88.7%；项目支出47.59</w:t>
      </w:r>
      <w:r>
        <w:rPr>
          <w:rFonts w:hint="eastAsia" w:ascii="仿宋" w:hAnsi="仿宋" w:eastAsia="仿宋"/>
          <w:sz w:val="32"/>
          <w:szCs w:val="40"/>
        </w:rPr>
        <w:t>万</w:t>
      </w:r>
      <w:r>
        <w:rPr>
          <w:rFonts w:ascii="仿宋" w:hAnsi="仿宋" w:eastAsia="仿宋"/>
          <w:sz w:val="32"/>
          <w:szCs w:val="40"/>
        </w:rPr>
        <w:t>元，占11.3%。</w:t>
      </w:r>
    </w:p>
    <w:p>
      <w:pPr>
        <w:rPr>
          <w:rFonts w:ascii="仿宋" w:hAnsi="仿宋" w:eastAsia="仿宋"/>
          <w:sz w:val="32"/>
          <w:szCs w:val="40"/>
        </w:rPr>
      </w:pPr>
      <w:r>
        <w:rPr>
          <w:rFonts w:hint="eastAsia" w:ascii="仿宋" w:hAnsi="仿宋" w:eastAsia="仿宋"/>
          <w:sz w:val="32"/>
          <w:szCs w:val="40"/>
        </w:rPr>
        <w:t>3.收入支出预算执行情况</w:t>
      </w:r>
    </w:p>
    <w:p>
      <w:pPr>
        <w:ind w:firstLine="640" w:firstLineChars="200"/>
        <w:rPr>
          <w:rFonts w:ascii="仿宋" w:hAnsi="仿宋" w:eastAsia="仿宋"/>
          <w:sz w:val="32"/>
          <w:szCs w:val="40"/>
        </w:rPr>
      </w:pPr>
      <w:r>
        <w:rPr>
          <w:rFonts w:ascii="仿宋" w:hAnsi="仿宋" w:eastAsia="仿宋"/>
          <w:sz w:val="32"/>
          <w:szCs w:val="40"/>
        </w:rPr>
        <w:t>2022</w:t>
      </w:r>
      <w:r>
        <w:rPr>
          <w:rFonts w:hint="eastAsia" w:ascii="仿宋" w:hAnsi="仿宋" w:eastAsia="仿宋"/>
          <w:sz w:val="32"/>
          <w:szCs w:val="40"/>
        </w:rPr>
        <w:t>年收入4</w:t>
      </w:r>
      <w:r>
        <w:rPr>
          <w:rFonts w:ascii="仿宋" w:hAnsi="仿宋" w:eastAsia="仿宋"/>
          <w:sz w:val="32"/>
          <w:szCs w:val="40"/>
        </w:rPr>
        <w:t>21.21</w:t>
      </w:r>
      <w:r>
        <w:rPr>
          <w:rFonts w:hint="eastAsia" w:ascii="仿宋" w:hAnsi="仿宋" w:eastAsia="仿宋"/>
          <w:sz w:val="32"/>
          <w:szCs w:val="40"/>
        </w:rPr>
        <w:t>万元，与2</w:t>
      </w:r>
      <w:r>
        <w:rPr>
          <w:rFonts w:ascii="仿宋" w:hAnsi="仿宋" w:eastAsia="仿宋"/>
          <w:sz w:val="32"/>
          <w:szCs w:val="40"/>
        </w:rPr>
        <w:t>021</w:t>
      </w:r>
      <w:r>
        <w:rPr>
          <w:rFonts w:hint="eastAsia" w:ascii="仿宋" w:hAnsi="仿宋" w:eastAsia="仿宋"/>
          <w:sz w:val="32"/>
          <w:szCs w:val="40"/>
        </w:rPr>
        <w:t>年相比，减少6</w:t>
      </w:r>
      <w:r>
        <w:rPr>
          <w:rFonts w:ascii="仿宋" w:hAnsi="仿宋" w:eastAsia="仿宋"/>
          <w:sz w:val="32"/>
          <w:szCs w:val="40"/>
        </w:rPr>
        <w:t>8.66</w:t>
      </w:r>
      <w:r>
        <w:rPr>
          <w:rFonts w:hint="eastAsia" w:ascii="仿宋" w:hAnsi="仿宋" w:eastAsia="仿宋"/>
          <w:sz w:val="32"/>
          <w:szCs w:val="40"/>
        </w:rPr>
        <w:t>万元，减少</w:t>
      </w:r>
      <w:r>
        <w:rPr>
          <w:rFonts w:ascii="仿宋" w:hAnsi="仿宋" w:eastAsia="仿宋"/>
          <w:sz w:val="32"/>
          <w:szCs w:val="40"/>
        </w:rPr>
        <w:t>14.62%</w:t>
      </w:r>
      <w:r>
        <w:rPr>
          <w:rFonts w:hint="eastAsia" w:ascii="仿宋" w:hAnsi="仿宋" w:eastAsia="仿宋"/>
          <w:sz w:val="32"/>
          <w:szCs w:val="40"/>
        </w:rPr>
        <w:t>，原因是结转资金减少，无项目等。支出4</w:t>
      </w:r>
      <w:r>
        <w:rPr>
          <w:rFonts w:ascii="仿宋" w:hAnsi="仿宋" w:eastAsia="仿宋"/>
          <w:sz w:val="32"/>
          <w:szCs w:val="40"/>
        </w:rPr>
        <w:t>21.21</w:t>
      </w:r>
      <w:r>
        <w:rPr>
          <w:rFonts w:hint="eastAsia" w:ascii="仿宋" w:hAnsi="仿宋" w:eastAsia="仿宋"/>
          <w:sz w:val="32"/>
          <w:szCs w:val="40"/>
        </w:rPr>
        <w:t>万元，减少6</w:t>
      </w:r>
      <w:r>
        <w:rPr>
          <w:rFonts w:ascii="仿宋" w:hAnsi="仿宋" w:eastAsia="仿宋"/>
          <w:sz w:val="32"/>
          <w:szCs w:val="40"/>
        </w:rPr>
        <w:t>8.66</w:t>
      </w:r>
      <w:r>
        <w:rPr>
          <w:rFonts w:hint="eastAsia" w:ascii="仿宋" w:hAnsi="仿宋" w:eastAsia="仿宋"/>
          <w:sz w:val="32"/>
          <w:szCs w:val="40"/>
        </w:rPr>
        <w:t>万元，减少</w:t>
      </w:r>
      <w:r>
        <w:rPr>
          <w:rFonts w:ascii="仿宋" w:hAnsi="仿宋" w:eastAsia="仿宋"/>
          <w:sz w:val="32"/>
          <w:szCs w:val="40"/>
        </w:rPr>
        <w:t>14.62%</w:t>
      </w:r>
      <w:r>
        <w:rPr>
          <w:rFonts w:hint="eastAsia" w:ascii="仿宋" w:hAnsi="仿宋" w:eastAsia="仿宋"/>
          <w:sz w:val="32"/>
          <w:szCs w:val="40"/>
        </w:rPr>
        <w:t>，原因是收入减少等。</w:t>
      </w:r>
    </w:p>
    <w:p>
      <w:pPr>
        <w:rPr>
          <w:rFonts w:ascii="仿宋" w:hAnsi="仿宋" w:eastAsia="仿宋"/>
          <w:sz w:val="32"/>
          <w:szCs w:val="40"/>
        </w:rPr>
      </w:pPr>
      <w:r>
        <w:rPr>
          <w:rFonts w:hint="eastAsia" w:ascii="仿宋" w:hAnsi="仿宋" w:eastAsia="仿宋"/>
          <w:sz w:val="32"/>
          <w:szCs w:val="40"/>
        </w:rPr>
        <w:t>三、部门（单位）整体绩效分析</w:t>
      </w:r>
    </w:p>
    <w:p>
      <w:pPr>
        <w:rPr>
          <w:rFonts w:ascii="仿宋" w:hAnsi="仿宋" w:eastAsia="仿宋"/>
          <w:sz w:val="32"/>
          <w:szCs w:val="40"/>
        </w:rPr>
      </w:pPr>
      <w:r>
        <w:rPr>
          <w:rFonts w:hint="eastAsia" w:ascii="仿宋" w:hAnsi="仿宋" w:eastAsia="仿宋"/>
          <w:sz w:val="32"/>
          <w:szCs w:val="40"/>
        </w:rPr>
        <w:t>（一）部门（单位）预算项目绩效分析。</w:t>
      </w:r>
    </w:p>
    <w:p>
      <w:pPr>
        <w:ind w:firstLine="640" w:firstLineChars="200"/>
        <w:rPr>
          <w:rFonts w:ascii="仿宋" w:hAnsi="仿宋" w:eastAsia="仿宋"/>
          <w:sz w:val="32"/>
          <w:szCs w:val="40"/>
        </w:rPr>
      </w:pPr>
      <w:r>
        <w:rPr>
          <w:rFonts w:hint="eastAsia" w:ascii="仿宋" w:hAnsi="仿宋" w:eastAsia="仿宋"/>
          <w:sz w:val="32"/>
          <w:szCs w:val="40"/>
        </w:rPr>
        <w:t>剑阁县羊岭小学校整体支出绩效目标是完成本年度人员经费、生均公用经费，保障单位各项工作正常开展。项目绩效严格按照财政要求，稳步推进，达到了预期效果。2022年度整体支出绩效根据财政预算管理的要求，组织开展了部门整体绩效评价工作，具体完成情况如下：综合各项绩效评价指标，财务管理制度健全规范，资金使用符合规定，部门预算严格按照财政要求，专款专用，预决算信息公开资料完整，按时公布，对每笔财务收支情况都进行了详细记录，账实相符，各项工作也取得了很好的社会效益，无违规违纪现象。2022年人员类、运转类既定绩效目标均已完成。</w:t>
      </w:r>
    </w:p>
    <w:p>
      <w:pPr>
        <w:ind w:firstLine="640" w:firstLineChars="200"/>
        <w:rPr>
          <w:rFonts w:ascii="仿宋" w:hAnsi="仿宋" w:eastAsia="仿宋"/>
          <w:sz w:val="32"/>
          <w:szCs w:val="40"/>
        </w:rPr>
      </w:pPr>
      <w:r>
        <w:rPr>
          <w:rFonts w:hint="eastAsia" w:ascii="仿宋" w:hAnsi="仿宋" w:eastAsia="仿宋"/>
          <w:sz w:val="32"/>
          <w:szCs w:val="40"/>
        </w:rPr>
        <w:t>剑阁县羊岭小学校预算管理围绕本单位职责、行业特点发展规划，以预算资金管理为主线，从运行成本、管理效率、履职效能、社会效应、可持续发展能力和服务对象满意度等方面，衡量整体及核心业务实施效果。2022年预算完成效果率高，效果良好。2022年财政预算管理严把支出关口，严控结转结余，提高资金使用效益。2022年预算支出无违规记录情况。</w:t>
      </w:r>
    </w:p>
    <w:p>
      <w:pPr>
        <w:rPr>
          <w:rFonts w:ascii="仿宋" w:hAnsi="仿宋" w:eastAsia="仿宋"/>
          <w:sz w:val="32"/>
          <w:szCs w:val="40"/>
        </w:rPr>
      </w:pPr>
      <w:r>
        <w:rPr>
          <w:rFonts w:hint="eastAsia" w:ascii="仿宋" w:hAnsi="仿宋" w:eastAsia="仿宋"/>
          <w:sz w:val="32"/>
          <w:szCs w:val="40"/>
        </w:rPr>
        <w:t>1</w:t>
      </w:r>
      <w:r>
        <w:rPr>
          <w:rFonts w:ascii="仿宋" w:hAnsi="仿宋" w:eastAsia="仿宋"/>
          <w:sz w:val="32"/>
          <w:szCs w:val="40"/>
        </w:rPr>
        <w:t>.</w:t>
      </w:r>
      <w:r>
        <w:rPr>
          <w:rFonts w:hint="eastAsia" w:ascii="仿宋" w:hAnsi="仿宋" w:eastAsia="仿宋"/>
          <w:sz w:val="32"/>
          <w:szCs w:val="40"/>
        </w:rPr>
        <w:t>人员类项目绩效分析</w:t>
      </w:r>
    </w:p>
    <w:p>
      <w:pPr>
        <w:ind w:firstLine="640" w:firstLineChars="200"/>
        <w:rPr>
          <w:rFonts w:ascii="仿宋" w:hAnsi="仿宋" w:eastAsia="仿宋"/>
          <w:sz w:val="32"/>
          <w:szCs w:val="40"/>
        </w:rPr>
      </w:pPr>
      <w:r>
        <w:rPr>
          <w:rFonts w:hint="eastAsia" w:ascii="仿宋" w:hAnsi="仿宋" w:eastAsia="仿宋"/>
          <w:sz w:val="32"/>
          <w:szCs w:val="40"/>
        </w:rPr>
        <w:t>剑阁县羊岭小学校2</w:t>
      </w:r>
      <w:r>
        <w:rPr>
          <w:rFonts w:ascii="仿宋" w:hAnsi="仿宋" w:eastAsia="仿宋"/>
          <w:sz w:val="32"/>
          <w:szCs w:val="40"/>
        </w:rPr>
        <w:t>022</w:t>
      </w:r>
      <w:r>
        <w:rPr>
          <w:rFonts w:hint="eastAsia" w:ascii="仿宋" w:hAnsi="仿宋" w:eastAsia="仿宋"/>
          <w:sz w:val="32"/>
          <w:szCs w:val="40"/>
        </w:rPr>
        <w:t>年一般公共预算人员经费支出，主要包括：基本工资1</w:t>
      </w:r>
      <w:r>
        <w:rPr>
          <w:rFonts w:ascii="仿宋" w:hAnsi="仿宋" w:eastAsia="仿宋"/>
          <w:sz w:val="32"/>
          <w:szCs w:val="40"/>
        </w:rPr>
        <w:t>37.02</w:t>
      </w:r>
      <w:r>
        <w:rPr>
          <w:rFonts w:hint="eastAsia" w:ascii="仿宋" w:hAnsi="仿宋" w:eastAsia="仿宋"/>
          <w:sz w:val="32"/>
          <w:szCs w:val="40"/>
        </w:rPr>
        <w:t>万元，津贴补贴1</w:t>
      </w:r>
      <w:r>
        <w:rPr>
          <w:rFonts w:ascii="仿宋" w:hAnsi="仿宋" w:eastAsia="仿宋"/>
          <w:sz w:val="32"/>
          <w:szCs w:val="40"/>
        </w:rPr>
        <w:t>5.84</w:t>
      </w:r>
      <w:r>
        <w:rPr>
          <w:rFonts w:hint="eastAsia" w:ascii="仿宋" w:hAnsi="仿宋" w:eastAsia="仿宋"/>
          <w:sz w:val="32"/>
          <w:szCs w:val="40"/>
        </w:rPr>
        <w:t>万元，绩效工资6</w:t>
      </w:r>
      <w:r>
        <w:rPr>
          <w:rFonts w:ascii="仿宋" w:hAnsi="仿宋" w:eastAsia="仿宋"/>
          <w:sz w:val="32"/>
          <w:szCs w:val="40"/>
        </w:rPr>
        <w:t>4.02</w:t>
      </w:r>
      <w:r>
        <w:rPr>
          <w:rFonts w:hint="eastAsia" w:ascii="仿宋" w:hAnsi="仿宋" w:eastAsia="仿宋"/>
          <w:sz w:val="32"/>
          <w:szCs w:val="40"/>
        </w:rPr>
        <w:t>万元，奖金0</w:t>
      </w:r>
      <w:r>
        <w:rPr>
          <w:rFonts w:ascii="仿宋" w:hAnsi="仿宋" w:eastAsia="仿宋"/>
          <w:sz w:val="32"/>
          <w:szCs w:val="40"/>
        </w:rPr>
        <w:t>.45</w:t>
      </w:r>
      <w:r>
        <w:rPr>
          <w:rFonts w:hint="eastAsia" w:ascii="仿宋" w:hAnsi="仿宋" w:eastAsia="仿宋"/>
          <w:sz w:val="32"/>
          <w:szCs w:val="40"/>
        </w:rPr>
        <w:t>万元，其他工资福利5</w:t>
      </w:r>
      <w:r>
        <w:rPr>
          <w:rFonts w:ascii="仿宋" w:hAnsi="仿宋" w:eastAsia="仿宋"/>
          <w:sz w:val="32"/>
          <w:szCs w:val="40"/>
        </w:rPr>
        <w:t>6.24</w:t>
      </w:r>
      <w:r>
        <w:rPr>
          <w:rFonts w:hint="eastAsia" w:ascii="仿宋" w:hAnsi="仿宋" w:eastAsia="仿宋"/>
          <w:sz w:val="32"/>
          <w:szCs w:val="40"/>
        </w:rPr>
        <w:t>万元，机关社会保险缴费2</w:t>
      </w:r>
      <w:r>
        <w:rPr>
          <w:rFonts w:ascii="仿宋" w:hAnsi="仿宋" w:eastAsia="仿宋"/>
          <w:sz w:val="32"/>
          <w:szCs w:val="40"/>
        </w:rPr>
        <w:t>9.63</w:t>
      </w:r>
      <w:r>
        <w:rPr>
          <w:rFonts w:hint="eastAsia" w:ascii="仿宋" w:hAnsi="仿宋" w:eastAsia="仿宋"/>
          <w:sz w:val="32"/>
          <w:szCs w:val="40"/>
        </w:rPr>
        <w:t>万元，职工基本医疗缴费1</w:t>
      </w:r>
      <w:r>
        <w:rPr>
          <w:rFonts w:ascii="仿宋" w:hAnsi="仿宋" w:eastAsia="仿宋"/>
          <w:sz w:val="32"/>
          <w:szCs w:val="40"/>
        </w:rPr>
        <w:t>4.82</w:t>
      </w:r>
      <w:r>
        <w:rPr>
          <w:rFonts w:hint="eastAsia" w:ascii="仿宋" w:hAnsi="仿宋" w:eastAsia="仿宋"/>
          <w:sz w:val="32"/>
          <w:szCs w:val="40"/>
        </w:rPr>
        <w:t>万元，其他社会保障缴费2</w:t>
      </w:r>
      <w:r>
        <w:rPr>
          <w:rFonts w:ascii="仿宋" w:hAnsi="仿宋" w:eastAsia="仿宋"/>
          <w:sz w:val="32"/>
          <w:szCs w:val="40"/>
        </w:rPr>
        <w:t>.04</w:t>
      </w:r>
      <w:r>
        <w:rPr>
          <w:rFonts w:hint="eastAsia" w:ascii="仿宋" w:hAnsi="仿宋" w:eastAsia="仿宋"/>
          <w:sz w:val="32"/>
          <w:szCs w:val="40"/>
        </w:rPr>
        <w:t>万元，住房公积金缴费2</w:t>
      </w:r>
      <w:r>
        <w:rPr>
          <w:rFonts w:ascii="仿宋" w:hAnsi="仿宋" w:eastAsia="仿宋"/>
          <w:sz w:val="32"/>
          <w:szCs w:val="40"/>
        </w:rPr>
        <w:t>2.22</w:t>
      </w:r>
      <w:r>
        <w:rPr>
          <w:rFonts w:hint="eastAsia" w:ascii="仿宋" w:hAnsi="仿宋" w:eastAsia="仿宋"/>
          <w:sz w:val="32"/>
          <w:szCs w:val="40"/>
        </w:rPr>
        <w:t>万元。年初目标为足额保障工资福利及时发放，确保职工利益，本年度目标全部实现，支出未超预算，预算目标按既定目标实施，预算完成情况良好。</w:t>
      </w:r>
    </w:p>
    <w:p>
      <w:pPr>
        <w:rPr>
          <w:rFonts w:ascii="仿宋" w:hAnsi="仿宋" w:eastAsia="仿宋"/>
          <w:sz w:val="32"/>
          <w:szCs w:val="40"/>
        </w:rPr>
      </w:pPr>
      <w:r>
        <w:rPr>
          <w:rFonts w:hint="eastAsia" w:ascii="仿宋" w:hAnsi="仿宋" w:eastAsia="仿宋"/>
          <w:sz w:val="32"/>
          <w:szCs w:val="40"/>
        </w:rPr>
        <w:t>2</w:t>
      </w:r>
      <w:r>
        <w:rPr>
          <w:rFonts w:ascii="仿宋" w:hAnsi="仿宋" w:eastAsia="仿宋"/>
          <w:sz w:val="32"/>
          <w:szCs w:val="40"/>
        </w:rPr>
        <w:t>.</w:t>
      </w:r>
      <w:r>
        <w:rPr>
          <w:rFonts w:hint="eastAsia" w:ascii="仿宋" w:hAnsi="仿宋" w:eastAsia="仿宋"/>
          <w:sz w:val="32"/>
          <w:szCs w:val="40"/>
        </w:rPr>
        <w:t>公用经费项目绩效分析</w:t>
      </w:r>
    </w:p>
    <w:p>
      <w:pPr>
        <w:ind w:firstLine="640" w:firstLineChars="200"/>
        <w:rPr>
          <w:rFonts w:ascii="仿宋" w:hAnsi="仿宋" w:eastAsia="仿宋"/>
          <w:sz w:val="32"/>
          <w:szCs w:val="40"/>
        </w:rPr>
      </w:pPr>
      <w:r>
        <w:rPr>
          <w:rFonts w:hint="eastAsia" w:ascii="仿宋" w:hAnsi="仿宋" w:eastAsia="仿宋"/>
          <w:sz w:val="32"/>
          <w:szCs w:val="40"/>
        </w:rPr>
        <w:t>剑阁县羊岭小学校2</w:t>
      </w:r>
      <w:r>
        <w:rPr>
          <w:rFonts w:ascii="仿宋" w:hAnsi="仿宋" w:eastAsia="仿宋"/>
          <w:sz w:val="32"/>
          <w:szCs w:val="40"/>
        </w:rPr>
        <w:t>022</w:t>
      </w:r>
      <w:r>
        <w:rPr>
          <w:rFonts w:hint="eastAsia" w:ascii="仿宋" w:hAnsi="仿宋" w:eastAsia="仿宋"/>
          <w:sz w:val="32"/>
          <w:szCs w:val="40"/>
        </w:rPr>
        <w:t>年公用经费2</w:t>
      </w:r>
      <w:r>
        <w:rPr>
          <w:rFonts w:ascii="仿宋" w:hAnsi="仿宋" w:eastAsia="仿宋"/>
          <w:sz w:val="32"/>
          <w:szCs w:val="40"/>
        </w:rPr>
        <w:t>4.65</w:t>
      </w:r>
      <w:r>
        <w:rPr>
          <w:rFonts w:hint="eastAsia" w:ascii="仿宋" w:hAnsi="仿宋" w:eastAsia="仿宋"/>
          <w:sz w:val="32"/>
          <w:szCs w:val="40"/>
        </w:rPr>
        <w:t>万元，主要包括：办公费7</w:t>
      </w:r>
      <w:r>
        <w:rPr>
          <w:rFonts w:ascii="仿宋" w:hAnsi="仿宋" w:eastAsia="仿宋"/>
          <w:sz w:val="32"/>
          <w:szCs w:val="40"/>
        </w:rPr>
        <w:t>.1</w:t>
      </w:r>
      <w:r>
        <w:rPr>
          <w:rFonts w:hint="eastAsia" w:ascii="仿宋" w:hAnsi="仿宋" w:eastAsia="仿宋"/>
          <w:sz w:val="32"/>
          <w:szCs w:val="40"/>
        </w:rPr>
        <w:t>万元，印刷费2万元，水费1</w:t>
      </w:r>
      <w:r>
        <w:rPr>
          <w:rFonts w:ascii="仿宋" w:hAnsi="仿宋" w:eastAsia="仿宋"/>
          <w:sz w:val="32"/>
          <w:szCs w:val="40"/>
        </w:rPr>
        <w:t>.45</w:t>
      </w:r>
      <w:r>
        <w:rPr>
          <w:rFonts w:hint="eastAsia" w:ascii="仿宋" w:hAnsi="仿宋" w:eastAsia="仿宋"/>
          <w:sz w:val="32"/>
          <w:szCs w:val="40"/>
        </w:rPr>
        <w:t>万元，电费1</w:t>
      </w:r>
      <w:r>
        <w:rPr>
          <w:rFonts w:ascii="仿宋" w:hAnsi="仿宋" w:eastAsia="仿宋"/>
          <w:sz w:val="32"/>
          <w:szCs w:val="40"/>
        </w:rPr>
        <w:t>.5</w:t>
      </w:r>
      <w:r>
        <w:rPr>
          <w:rFonts w:hint="eastAsia" w:ascii="仿宋" w:hAnsi="仿宋" w:eastAsia="仿宋"/>
          <w:sz w:val="32"/>
          <w:szCs w:val="40"/>
        </w:rPr>
        <w:t>万元，邮电费1</w:t>
      </w:r>
      <w:r>
        <w:rPr>
          <w:rFonts w:ascii="仿宋" w:hAnsi="仿宋" w:eastAsia="仿宋"/>
          <w:sz w:val="32"/>
          <w:szCs w:val="40"/>
        </w:rPr>
        <w:t>.1</w:t>
      </w:r>
      <w:r>
        <w:rPr>
          <w:rFonts w:hint="eastAsia" w:ascii="仿宋" w:hAnsi="仿宋" w:eastAsia="仿宋"/>
          <w:sz w:val="32"/>
          <w:szCs w:val="40"/>
        </w:rPr>
        <w:t>万元，差旅费4万元，维修费2</w:t>
      </w:r>
      <w:r>
        <w:rPr>
          <w:rFonts w:ascii="仿宋" w:hAnsi="仿宋" w:eastAsia="仿宋"/>
          <w:sz w:val="32"/>
          <w:szCs w:val="40"/>
        </w:rPr>
        <w:t>.16</w:t>
      </w:r>
      <w:r>
        <w:rPr>
          <w:rFonts w:hint="eastAsia" w:ascii="仿宋" w:hAnsi="仿宋" w:eastAsia="仿宋"/>
          <w:sz w:val="32"/>
          <w:szCs w:val="40"/>
        </w:rPr>
        <w:t>万元，培训费2</w:t>
      </w:r>
      <w:r>
        <w:rPr>
          <w:rFonts w:ascii="仿宋" w:hAnsi="仿宋" w:eastAsia="仿宋"/>
          <w:sz w:val="32"/>
          <w:szCs w:val="40"/>
        </w:rPr>
        <w:t>.45</w:t>
      </w:r>
      <w:r>
        <w:rPr>
          <w:rFonts w:hint="eastAsia" w:ascii="仿宋" w:hAnsi="仿宋" w:eastAsia="仿宋"/>
          <w:sz w:val="32"/>
          <w:szCs w:val="40"/>
        </w:rPr>
        <w:t>万元，公务接待费0</w:t>
      </w:r>
      <w:r>
        <w:rPr>
          <w:rFonts w:ascii="仿宋" w:hAnsi="仿宋" w:eastAsia="仿宋"/>
          <w:sz w:val="32"/>
          <w:szCs w:val="40"/>
        </w:rPr>
        <w:t>.38</w:t>
      </w:r>
      <w:r>
        <w:rPr>
          <w:rFonts w:hint="eastAsia" w:ascii="仿宋" w:hAnsi="仿宋" w:eastAsia="仿宋"/>
          <w:sz w:val="32"/>
          <w:szCs w:val="40"/>
        </w:rPr>
        <w:t>万元，工会经费0</w:t>
      </w:r>
      <w:r>
        <w:rPr>
          <w:rFonts w:ascii="仿宋" w:hAnsi="仿宋" w:eastAsia="仿宋"/>
          <w:sz w:val="32"/>
          <w:szCs w:val="40"/>
        </w:rPr>
        <w:t>.4</w:t>
      </w:r>
      <w:r>
        <w:rPr>
          <w:rFonts w:hint="eastAsia" w:ascii="仿宋" w:hAnsi="仿宋" w:eastAsia="仿宋"/>
          <w:sz w:val="32"/>
          <w:szCs w:val="40"/>
        </w:rPr>
        <w:t>万元，福利费2</w:t>
      </w:r>
      <w:r>
        <w:rPr>
          <w:rFonts w:ascii="仿宋" w:hAnsi="仿宋" w:eastAsia="仿宋"/>
          <w:sz w:val="32"/>
          <w:szCs w:val="40"/>
        </w:rPr>
        <w:t>.11</w:t>
      </w:r>
      <w:r>
        <w:rPr>
          <w:rFonts w:hint="eastAsia" w:ascii="仿宋" w:hAnsi="仿宋" w:eastAsia="仿宋"/>
          <w:sz w:val="32"/>
          <w:szCs w:val="40"/>
        </w:rPr>
        <w:t>万元。年初目标为足额保障学校各项工作正常运转，年度目标全部实现，支出未超预算，预算执行进度按既定目标实施，预算完成情况良好，无低效预算支出问题，无违规记录。</w:t>
      </w:r>
    </w:p>
    <w:p>
      <w:pPr>
        <w:rPr>
          <w:rFonts w:ascii="仿宋" w:hAnsi="仿宋" w:eastAsia="仿宋"/>
          <w:sz w:val="32"/>
          <w:szCs w:val="40"/>
        </w:rPr>
      </w:pPr>
      <w:r>
        <w:rPr>
          <w:rFonts w:hint="eastAsia" w:ascii="仿宋" w:hAnsi="仿宋" w:eastAsia="仿宋"/>
          <w:sz w:val="32"/>
          <w:szCs w:val="40"/>
        </w:rPr>
        <w:t>3.其他运转类项目绩效分析</w:t>
      </w:r>
    </w:p>
    <w:p>
      <w:pPr>
        <w:ind w:firstLine="640" w:firstLineChars="200"/>
        <w:rPr>
          <w:rFonts w:ascii="仿宋" w:hAnsi="仿宋" w:eastAsia="仿宋"/>
          <w:sz w:val="32"/>
          <w:szCs w:val="40"/>
        </w:rPr>
      </w:pPr>
      <w:r>
        <w:rPr>
          <w:rFonts w:hint="eastAsia" w:ascii="仿宋" w:hAnsi="仿宋" w:eastAsia="仿宋"/>
          <w:sz w:val="32"/>
          <w:szCs w:val="40"/>
        </w:rPr>
        <w:t>剑阁县羊岭小学校2</w:t>
      </w:r>
      <w:r>
        <w:rPr>
          <w:rFonts w:ascii="仿宋" w:hAnsi="仿宋" w:eastAsia="仿宋"/>
          <w:sz w:val="32"/>
          <w:szCs w:val="40"/>
        </w:rPr>
        <w:t>022</w:t>
      </w:r>
      <w:r>
        <w:rPr>
          <w:rFonts w:hint="eastAsia" w:ascii="仿宋" w:hAnsi="仿宋" w:eastAsia="仿宋"/>
          <w:sz w:val="32"/>
          <w:szCs w:val="40"/>
        </w:rPr>
        <w:t>年其他运转类项目1</w:t>
      </w:r>
      <w:r>
        <w:rPr>
          <w:rFonts w:ascii="仿宋" w:hAnsi="仿宋" w:eastAsia="仿宋"/>
          <w:sz w:val="32"/>
          <w:szCs w:val="40"/>
        </w:rPr>
        <w:t>1.84</w:t>
      </w:r>
      <w:r>
        <w:rPr>
          <w:rFonts w:hint="eastAsia" w:ascii="仿宋" w:hAnsi="仿宋" w:eastAsia="仿宋"/>
          <w:sz w:val="32"/>
          <w:szCs w:val="40"/>
        </w:rPr>
        <w:t>万元。</w:t>
      </w:r>
    </w:p>
    <w:p>
      <w:pPr>
        <w:rPr>
          <w:rFonts w:ascii="仿宋" w:hAnsi="仿宋" w:eastAsia="仿宋"/>
          <w:sz w:val="32"/>
          <w:szCs w:val="40"/>
        </w:rPr>
      </w:pPr>
      <w:r>
        <w:rPr>
          <w:rFonts w:hint="eastAsia" w:ascii="仿宋" w:hAnsi="仿宋" w:eastAsia="仿宋"/>
          <w:sz w:val="32"/>
          <w:szCs w:val="40"/>
        </w:rPr>
        <w:t>主要包括：劳务费1</w:t>
      </w:r>
      <w:r>
        <w:rPr>
          <w:rFonts w:ascii="仿宋" w:hAnsi="仿宋" w:eastAsia="仿宋"/>
          <w:sz w:val="32"/>
          <w:szCs w:val="40"/>
        </w:rPr>
        <w:t>1.84</w:t>
      </w:r>
      <w:r>
        <w:rPr>
          <w:rFonts w:hint="eastAsia" w:ascii="仿宋" w:hAnsi="仿宋" w:eastAsia="仿宋"/>
          <w:sz w:val="32"/>
          <w:szCs w:val="40"/>
        </w:rPr>
        <w:t>万元。年初目标是足额保障幼儿教育教学的正常开展，年度目标全部实现，支出未超预算。</w:t>
      </w:r>
    </w:p>
    <w:p>
      <w:pPr>
        <w:rPr>
          <w:rFonts w:ascii="仿宋" w:hAnsi="仿宋" w:eastAsia="仿宋"/>
          <w:sz w:val="32"/>
          <w:szCs w:val="40"/>
        </w:rPr>
      </w:pPr>
      <w:r>
        <w:rPr>
          <w:rFonts w:hint="eastAsia" w:ascii="仿宋" w:hAnsi="仿宋" w:eastAsia="仿宋"/>
          <w:sz w:val="32"/>
          <w:szCs w:val="40"/>
        </w:rPr>
        <w:t>4</w:t>
      </w:r>
      <w:r>
        <w:rPr>
          <w:rFonts w:ascii="仿宋" w:hAnsi="仿宋" w:eastAsia="仿宋"/>
          <w:sz w:val="32"/>
          <w:szCs w:val="40"/>
        </w:rPr>
        <w:t>.</w:t>
      </w:r>
      <w:r>
        <w:rPr>
          <w:rFonts w:hint="eastAsia" w:ascii="仿宋" w:hAnsi="仿宋" w:eastAsia="仿宋"/>
          <w:sz w:val="32"/>
          <w:szCs w:val="40"/>
        </w:rPr>
        <w:t>特定类项目绩效分析：</w:t>
      </w:r>
    </w:p>
    <w:p>
      <w:pPr>
        <w:ind w:firstLine="640" w:firstLineChars="200"/>
        <w:rPr>
          <w:rFonts w:ascii="仿宋" w:hAnsi="仿宋" w:eastAsia="仿宋"/>
          <w:sz w:val="32"/>
          <w:szCs w:val="40"/>
        </w:rPr>
      </w:pPr>
      <w:r>
        <w:rPr>
          <w:rFonts w:hint="eastAsia" w:ascii="仿宋" w:hAnsi="仿宋" w:eastAsia="仿宋"/>
          <w:sz w:val="32"/>
          <w:szCs w:val="40"/>
        </w:rPr>
        <w:t>2</w:t>
      </w:r>
      <w:r>
        <w:rPr>
          <w:rFonts w:ascii="仿宋" w:hAnsi="仿宋" w:eastAsia="仿宋"/>
          <w:sz w:val="32"/>
          <w:szCs w:val="40"/>
        </w:rPr>
        <w:t>022</w:t>
      </w:r>
      <w:r>
        <w:rPr>
          <w:rFonts w:hint="eastAsia" w:ascii="仿宋" w:hAnsi="仿宋" w:eastAsia="仿宋"/>
          <w:sz w:val="32"/>
          <w:szCs w:val="40"/>
        </w:rPr>
        <w:t>年度剑阁县羊岭小学校特定目标类项目包括如下：</w:t>
      </w:r>
    </w:p>
    <w:p>
      <w:pPr>
        <w:rPr>
          <w:rFonts w:ascii="仿宋" w:hAnsi="仿宋" w:eastAsia="仿宋"/>
          <w:sz w:val="32"/>
          <w:szCs w:val="40"/>
        </w:rPr>
      </w:pPr>
      <w:r>
        <w:rPr>
          <w:rFonts w:hint="eastAsia" w:ascii="仿宋" w:hAnsi="仿宋" w:eastAsia="仿宋"/>
          <w:sz w:val="32"/>
          <w:szCs w:val="40"/>
        </w:rPr>
        <w:t>（1）免保教费2</w:t>
      </w:r>
      <w:r>
        <w:rPr>
          <w:rFonts w:ascii="仿宋" w:hAnsi="仿宋" w:eastAsia="仿宋"/>
          <w:sz w:val="32"/>
          <w:szCs w:val="40"/>
        </w:rPr>
        <w:t>.41</w:t>
      </w:r>
      <w:r>
        <w:rPr>
          <w:rFonts w:hint="eastAsia" w:ascii="仿宋" w:hAnsi="仿宋" w:eastAsia="仿宋"/>
          <w:sz w:val="32"/>
          <w:szCs w:val="40"/>
        </w:rPr>
        <w:t>万元</w:t>
      </w:r>
    </w:p>
    <w:p>
      <w:pPr>
        <w:rPr>
          <w:rFonts w:ascii="仿宋" w:hAnsi="仿宋" w:eastAsia="仿宋"/>
          <w:sz w:val="32"/>
          <w:szCs w:val="40"/>
        </w:rPr>
      </w:pPr>
      <w:r>
        <w:rPr>
          <w:rFonts w:hint="eastAsia" w:ascii="仿宋" w:hAnsi="仿宋" w:eastAsia="仿宋"/>
          <w:sz w:val="32"/>
          <w:szCs w:val="40"/>
        </w:rPr>
        <w:t>（2）免除义务教育作业本费0</w:t>
      </w:r>
      <w:r>
        <w:rPr>
          <w:rFonts w:ascii="仿宋" w:hAnsi="仿宋" w:eastAsia="仿宋"/>
          <w:sz w:val="32"/>
          <w:szCs w:val="40"/>
        </w:rPr>
        <w:t>.61</w:t>
      </w:r>
      <w:r>
        <w:rPr>
          <w:rFonts w:hint="eastAsia" w:ascii="仿宋" w:hAnsi="仿宋" w:eastAsia="仿宋"/>
          <w:sz w:val="32"/>
          <w:szCs w:val="40"/>
        </w:rPr>
        <w:t>万元</w:t>
      </w:r>
    </w:p>
    <w:p>
      <w:pPr>
        <w:rPr>
          <w:rFonts w:ascii="仿宋" w:hAnsi="仿宋" w:eastAsia="仿宋"/>
          <w:sz w:val="32"/>
          <w:szCs w:val="40"/>
        </w:rPr>
      </w:pPr>
      <w:r>
        <w:rPr>
          <w:rFonts w:hint="eastAsia" w:ascii="仿宋" w:hAnsi="仿宋" w:eastAsia="仿宋"/>
          <w:sz w:val="32"/>
          <w:szCs w:val="40"/>
        </w:rPr>
        <w:t>（3）农村义务教育营养改善计划1</w:t>
      </w:r>
      <w:r>
        <w:rPr>
          <w:rFonts w:ascii="仿宋" w:hAnsi="仿宋" w:eastAsia="仿宋"/>
          <w:sz w:val="32"/>
          <w:szCs w:val="40"/>
        </w:rPr>
        <w:t>8.96</w:t>
      </w:r>
      <w:r>
        <w:rPr>
          <w:rFonts w:hint="eastAsia" w:ascii="仿宋" w:hAnsi="仿宋" w:eastAsia="仿宋"/>
          <w:sz w:val="32"/>
          <w:szCs w:val="40"/>
        </w:rPr>
        <w:t>万元</w:t>
      </w:r>
    </w:p>
    <w:p>
      <w:pPr>
        <w:rPr>
          <w:rFonts w:ascii="仿宋" w:hAnsi="仿宋" w:eastAsia="仿宋"/>
          <w:sz w:val="32"/>
          <w:szCs w:val="40"/>
        </w:rPr>
      </w:pPr>
      <w:r>
        <w:rPr>
          <w:rFonts w:hint="eastAsia" w:ascii="仿宋" w:hAnsi="仿宋" w:eastAsia="仿宋"/>
          <w:sz w:val="32"/>
          <w:szCs w:val="40"/>
        </w:rPr>
        <w:t>（4）义务教育综合奖补5万元</w:t>
      </w:r>
    </w:p>
    <w:p>
      <w:pPr>
        <w:rPr>
          <w:rFonts w:ascii="仿宋" w:hAnsi="仿宋" w:eastAsia="仿宋"/>
          <w:sz w:val="32"/>
          <w:szCs w:val="40"/>
        </w:rPr>
      </w:pPr>
      <w:r>
        <w:rPr>
          <w:rFonts w:hint="eastAsia" w:ascii="仿宋" w:hAnsi="仿宋" w:eastAsia="仿宋"/>
          <w:sz w:val="32"/>
          <w:szCs w:val="40"/>
        </w:rPr>
        <w:t>（5）贫困寄宿生生活补助7</w:t>
      </w:r>
      <w:r>
        <w:rPr>
          <w:rFonts w:ascii="仿宋" w:hAnsi="仿宋" w:eastAsia="仿宋"/>
          <w:sz w:val="32"/>
          <w:szCs w:val="40"/>
        </w:rPr>
        <w:t>.2</w:t>
      </w:r>
      <w:r>
        <w:rPr>
          <w:rFonts w:hint="eastAsia" w:ascii="仿宋" w:hAnsi="仿宋" w:eastAsia="仿宋"/>
          <w:sz w:val="32"/>
          <w:szCs w:val="40"/>
        </w:rPr>
        <w:t>万元</w:t>
      </w:r>
    </w:p>
    <w:p>
      <w:pPr>
        <w:rPr>
          <w:rFonts w:ascii="仿宋" w:hAnsi="仿宋" w:eastAsia="仿宋"/>
          <w:sz w:val="32"/>
          <w:szCs w:val="40"/>
        </w:rPr>
      </w:pPr>
      <w:r>
        <w:rPr>
          <w:rFonts w:hint="eastAsia" w:ascii="仿宋" w:hAnsi="仿宋" w:eastAsia="仿宋"/>
          <w:sz w:val="32"/>
          <w:szCs w:val="40"/>
        </w:rPr>
        <w:t>（6）贫困非寄宿生生活补助0</w:t>
      </w:r>
      <w:r>
        <w:rPr>
          <w:rFonts w:ascii="仿宋" w:hAnsi="仿宋" w:eastAsia="仿宋"/>
          <w:sz w:val="32"/>
          <w:szCs w:val="40"/>
        </w:rPr>
        <w:t>.075</w:t>
      </w:r>
      <w:r>
        <w:rPr>
          <w:rFonts w:hint="eastAsia" w:ascii="仿宋" w:hAnsi="仿宋" w:eastAsia="仿宋"/>
          <w:sz w:val="32"/>
          <w:szCs w:val="40"/>
        </w:rPr>
        <w:t>万元</w:t>
      </w:r>
    </w:p>
    <w:p>
      <w:pPr>
        <w:rPr>
          <w:rFonts w:ascii="仿宋" w:hAnsi="仿宋" w:eastAsia="仿宋"/>
          <w:sz w:val="32"/>
          <w:szCs w:val="40"/>
        </w:rPr>
      </w:pPr>
      <w:r>
        <w:rPr>
          <w:rFonts w:hint="eastAsia" w:ascii="仿宋" w:hAnsi="仿宋" w:eastAsia="仿宋"/>
          <w:sz w:val="32"/>
          <w:szCs w:val="40"/>
        </w:rPr>
        <w:t>（7）已建项目运转补助1</w:t>
      </w:r>
      <w:r>
        <w:rPr>
          <w:rFonts w:ascii="仿宋" w:hAnsi="仿宋" w:eastAsia="仿宋"/>
          <w:sz w:val="32"/>
          <w:szCs w:val="40"/>
        </w:rPr>
        <w:t>.5</w:t>
      </w:r>
      <w:r>
        <w:rPr>
          <w:rFonts w:hint="eastAsia" w:ascii="仿宋" w:hAnsi="仿宋" w:eastAsia="仿宋"/>
          <w:sz w:val="32"/>
          <w:szCs w:val="40"/>
        </w:rPr>
        <w:t>万元</w:t>
      </w:r>
    </w:p>
    <w:p>
      <w:pPr>
        <w:ind w:firstLine="640" w:firstLineChars="200"/>
        <w:rPr>
          <w:rFonts w:ascii="仿宋" w:hAnsi="仿宋" w:eastAsia="仿宋"/>
          <w:sz w:val="32"/>
          <w:szCs w:val="40"/>
        </w:rPr>
      </w:pPr>
      <w:r>
        <w:rPr>
          <w:rFonts w:hint="eastAsia" w:ascii="仿宋" w:hAnsi="仿宋" w:eastAsia="仿宋"/>
          <w:sz w:val="32"/>
          <w:szCs w:val="40"/>
        </w:rPr>
        <w:t>上述特定目标类项目本年全部完成，年初目标为足额保障学校各个项目正常运转，年度目标全部实现，支出未超预算，预算执行进度按既定目标实施，预算完成情况良好，无低效预算支出问题，无违规记录。</w:t>
      </w:r>
    </w:p>
    <w:p>
      <w:pPr>
        <w:rPr>
          <w:rFonts w:ascii="仿宋" w:hAnsi="仿宋" w:eastAsia="仿宋"/>
          <w:sz w:val="32"/>
          <w:szCs w:val="40"/>
        </w:rPr>
      </w:pPr>
      <w:r>
        <w:rPr>
          <w:rFonts w:hint="eastAsia" w:ascii="仿宋" w:hAnsi="仿宋" w:eastAsia="仿宋"/>
          <w:sz w:val="32"/>
          <w:szCs w:val="40"/>
        </w:rPr>
        <w:t>（二）结果应用情况。</w:t>
      </w:r>
    </w:p>
    <w:p>
      <w:pPr>
        <w:ind w:firstLine="640" w:firstLineChars="200"/>
        <w:rPr>
          <w:rFonts w:ascii="仿宋" w:hAnsi="仿宋" w:eastAsia="仿宋"/>
          <w:sz w:val="32"/>
          <w:szCs w:val="40"/>
        </w:rPr>
      </w:pPr>
      <w:r>
        <w:rPr>
          <w:rFonts w:hint="eastAsia" w:ascii="仿宋" w:hAnsi="仿宋" w:eastAsia="仿宋"/>
          <w:sz w:val="32"/>
          <w:szCs w:val="40"/>
        </w:rPr>
        <w:t>剑阁县羊岭小学校2022年预算管理严格执行各项财经法规和管理制度，将提高资金使用效益和保障资金安全紧密结合，坚决杜绝违规“以拨作支”、虚列支出、挤占挪用资金、虚开发票等行为，严禁违规发放津补贴、建设形象工程和政绩工程，防止财政资金使用管理中的各种违法违规和不讲效益的“突击花钱”行为，增强执行财经纪律和制度的刚性。坚持财务公开公示，发现问题，及时整改，切实提高预算编制，收支管理的规范性。</w:t>
      </w:r>
    </w:p>
    <w:p>
      <w:pPr>
        <w:ind w:firstLine="640" w:firstLineChars="200"/>
        <w:rPr>
          <w:rFonts w:ascii="仿宋" w:hAnsi="仿宋" w:eastAsia="仿宋"/>
          <w:sz w:val="32"/>
          <w:szCs w:val="40"/>
        </w:rPr>
      </w:pPr>
      <w:r>
        <w:rPr>
          <w:rFonts w:hint="eastAsia" w:ascii="仿宋" w:hAnsi="仿宋" w:eastAsia="仿宋"/>
          <w:sz w:val="32"/>
          <w:szCs w:val="40"/>
        </w:rPr>
        <w:t>1.严格执行财务管理制度。严格执行中央和上级有关部门出台的财经纪律相关规定，严控</w:t>
      </w:r>
      <w:r>
        <w:rPr>
          <w:rFonts w:hint="eastAsia" w:ascii="仿宋" w:hAnsi="仿宋" w:eastAsia="仿宋"/>
          <w:sz w:val="32"/>
          <w:szCs w:val="40"/>
          <w:lang w:eastAsia="zh-CN"/>
        </w:rPr>
        <w:t>“</w:t>
      </w:r>
      <w:r>
        <w:rPr>
          <w:rFonts w:hint="eastAsia" w:ascii="仿宋" w:hAnsi="仿宋" w:eastAsia="仿宋"/>
          <w:sz w:val="32"/>
          <w:szCs w:val="40"/>
        </w:rPr>
        <w:t>三公经费</w:t>
      </w:r>
      <w:r>
        <w:rPr>
          <w:rFonts w:hint="eastAsia" w:ascii="仿宋" w:hAnsi="仿宋" w:eastAsia="仿宋"/>
          <w:sz w:val="32"/>
          <w:szCs w:val="40"/>
          <w:lang w:eastAsia="zh-CN"/>
        </w:rPr>
        <w:t>”</w:t>
      </w:r>
      <w:r>
        <w:rPr>
          <w:rFonts w:hint="eastAsia" w:ascii="仿宋" w:hAnsi="仿宋" w:eastAsia="仿宋"/>
          <w:sz w:val="32"/>
          <w:szCs w:val="40"/>
        </w:rPr>
        <w:t>、会议费、培训费、差旅费等支出。严格报账程序，减少现金支付。认真做好会计核算，做到账账相符、账实相符。</w:t>
      </w:r>
    </w:p>
    <w:p>
      <w:pPr>
        <w:ind w:firstLine="640" w:firstLineChars="200"/>
        <w:rPr>
          <w:rFonts w:ascii="仿宋" w:hAnsi="仿宋" w:eastAsia="仿宋"/>
          <w:sz w:val="32"/>
          <w:szCs w:val="40"/>
        </w:rPr>
      </w:pPr>
      <w:r>
        <w:rPr>
          <w:rFonts w:hint="eastAsia" w:ascii="仿宋" w:hAnsi="仿宋" w:eastAsia="仿宋"/>
          <w:sz w:val="32"/>
          <w:szCs w:val="40"/>
        </w:rPr>
        <w:t>2.加强政府采购管理。严格按照《</w:t>
      </w:r>
      <w:r>
        <w:rPr>
          <w:rFonts w:hint="eastAsia" w:ascii="仿宋" w:hAnsi="仿宋" w:eastAsia="仿宋"/>
          <w:sz w:val="32"/>
          <w:szCs w:val="40"/>
          <w:lang w:eastAsia="zh-CN"/>
        </w:rPr>
        <w:t>中华人民共和国</w:t>
      </w:r>
      <w:r>
        <w:rPr>
          <w:rFonts w:hint="eastAsia" w:ascii="仿宋" w:hAnsi="仿宋" w:eastAsia="仿宋"/>
          <w:sz w:val="32"/>
          <w:szCs w:val="40"/>
        </w:rPr>
        <w:t>政府采购法》和《</w:t>
      </w:r>
      <w:r>
        <w:rPr>
          <w:rFonts w:hint="eastAsia" w:ascii="仿宋" w:hAnsi="仿宋" w:eastAsia="仿宋"/>
          <w:sz w:val="32"/>
          <w:szCs w:val="40"/>
          <w:lang w:eastAsia="zh-CN"/>
        </w:rPr>
        <w:t>中华人民共和国</w:t>
      </w:r>
      <w:bookmarkStart w:id="104" w:name="_GoBack"/>
      <w:bookmarkEnd w:id="104"/>
      <w:r>
        <w:rPr>
          <w:rFonts w:hint="eastAsia" w:ascii="仿宋" w:hAnsi="仿宋" w:eastAsia="仿宋"/>
          <w:sz w:val="32"/>
          <w:szCs w:val="40"/>
        </w:rPr>
        <w:t>政府采购法实施条例》等相关管理规定，根据省采购目录和财政部门预算管理要求，编制政府采购计划。</w:t>
      </w:r>
    </w:p>
    <w:p>
      <w:pPr>
        <w:ind w:firstLine="640" w:firstLineChars="200"/>
        <w:rPr>
          <w:rFonts w:ascii="仿宋" w:hAnsi="仿宋" w:eastAsia="仿宋"/>
          <w:sz w:val="32"/>
          <w:szCs w:val="40"/>
        </w:rPr>
      </w:pPr>
      <w:r>
        <w:rPr>
          <w:rFonts w:hint="eastAsia" w:ascii="仿宋" w:hAnsi="仿宋" w:eastAsia="仿宋"/>
          <w:sz w:val="32"/>
          <w:szCs w:val="40"/>
        </w:rPr>
        <w:t>3.加强固定资产管理。严格按照国资局资产管理家具配置标准、新增资产配置流程、处置审批制度等相关文件要求，做好固定资产采买、报废、调整等相关管理工作。</w:t>
      </w:r>
    </w:p>
    <w:p>
      <w:pPr>
        <w:ind w:firstLine="640" w:firstLineChars="200"/>
        <w:rPr>
          <w:rFonts w:ascii="仿宋" w:hAnsi="仿宋" w:eastAsia="仿宋"/>
          <w:sz w:val="32"/>
          <w:szCs w:val="40"/>
        </w:rPr>
      </w:pPr>
      <w:r>
        <w:rPr>
          <w:rFonts w:hint="eastAsia" w:ascii="仿宋" w:hAnsi="仿宋" w:eastAsia="仿宋"/>
          <w:sz w:val="32"/>
          <w:szCs w:val="40"/>
        </w:rPr>
        <w:t>4.加强政府信息公开。202</w:t>
      </w:r>
      <w:r>
        <w:rPr>
          <w:rFonts w:ascii="仿宋" w:hAnsi="仿宋" w:eastAsia="仿宋"/>
          <w:sz w:val="32"/>
          <w:szCs w:val="40"/>
        </w:rPr>
        <w:t>2</w:t>
      </w:r>
      <w:r>
        <w:rPr>
          <w:rFonts w:hint="eastAsia" w:ascii="仿宋" w:hAnsi="仿宋" w:eastAsia="仿宋"/>
          <w:sz w:val="32"/>
          <w:szCs w:val="40"/>
        </w:rPr>
        <w:t>年，我单位严格按照上级关于全面推进政府信息公开工作的统一安排部署，突出重点，狠抓落实，细化公开内容，不断提高信息公开的质量和实效。</w:t>
      </w:r>
    </w:p>
    <w:p>
      <w:pPr>
        <w:rPr>
          <w:rFonts w:ascii="仿宋" w:hAnsi="仿宋" w:eastAsia="仿宋"/>
          <w:sz w:val="32"/>
          <w:szCs w:val="40"/>
        </w:rPr>
      </w:pPr>
      <w:r>
        <w:rPr>
          <w:rFonts w:hint="eastAsia" w:ascii="仿宋" w:hAnsi="仿宋" w:eastAsia="仿宋"/>
          <w:sz w:val="32"/>
          <w:szCs w:val="40"/>
        </w:rPr>
        <w:t>四、评价结论及建议</w:t>
      </w:r>
    </w:p>
    <w:p>
      <w:pPr>
        <w:rPr>
          <w:rFonts w:ascii="仿宋" w:hAnsi="仿宋" w:eastAsia="仿宋"/>
          <w:sz w:val="32"/>
          <w:szCs w:val="40"/>
        </w:rPr>
      </w:pPr>
      <w:r>
        <w:rPr>
          <w:rFonts w:hint="eastAsia" w:ascii="仿宋" w:hAnsi="仿宋" w:eastAsia="仿宋"/>
          <w:sz w:val="32"/>
          <w:szCs w:val="40"/>
        </w:rPr>
        <w:t>（一）评价结论。</w:t>
      </w:r>
    </w:p>
    <w:p>
      <w:pPr>
        <w:rPr>
          <w:rFonts w:ascii="仿宋" w:hAnsi="仿宋" w:eastAsia="仿宋"/>
          <w:sz w:val="32"/>
          <w:szCs w:val="40"/>
        </w:rPr>
      </w:pPr>
      <w:r>
        <w:rPr>
          <w:rFonts w:hint="eastAsia" w:ascii="仿宋" w:hAnsi="仿宋" w:eastAsia="仿宋"/>
          <w:sz w:val="32"/>
          <w:szCs w:val="40"/>
        </w:rPr>
        <w:t>1、评价结论</w:t>
      </w:r>
    </w:p>
    <w:p>
      <w:pPr>
        <w:ind w:firstLine="640" w:firstLineChars="200"/>
        <w:rPr>
          <w:rFonts w:ascii="仿宋" w:hAnsi="仿宋" w:eastAsia="仿宋"/>
          <w:sz w:val="32"/>
          <w:szCs w:val="40"/>
        </w:rPr>
      </w:pPr>
      <w:r>
        <w:rPr>
          <w:rFonts w:hint="eastAsia" w:ascii="仿宋" w:hAnsi="仿宋" w:eastAsia="仿宋"/>
          <w:sz w:val="32"/>
          <w:szCs w:val="40"/>
        </w:rPr>
        <w:t>剑阁县羊岭小学校2022年严格执行年初部门预算，资金使用及管理规范，制度落实到位，绩效考核目标任务圆满完成：通过学校绩效评价工作的开展，校内工作氛围融洽，办学效益得到提升，群众满意度得到了提高；按照《2022年部门整体支出绩效评价指标体系》对照量化打分，得出结果为99分。</w:t>
      </w:r>
    </w:p>
    <w:p>
      <w:pPr>
        <w:rPr>
          <w:rFonts w:ascii="仿宋" w:hAnsi="仿宋" w:eastAsia="仿宋"/>
          <w:sz w:val="32"/>
          <w:szCs w:val="40"/>
        </w:rPr>
      </w:pPr>
      <w:r>
        <w:rPr>
          <w:rFonts w:hint="eastAsia" w:ascii="仿宋" w:hAnsi="仿宋" w:eastAsia="仿宋"/>
          <w:sz w:val="32"/>
          <w:szCs w:val="40"/>
        </w:rPr>
        <w:t>（二）存在问题。</w:t>
      </w:r>
    </w:p>
    <w:p>
      <w:pPr>
        <w:ind w:firstLine="640" w:firstLineChars="200"/>
        <w:rPr>
          <w:rFonts w:ascii="仿宋" w:hAnsi="仿宋" w:eastAsia="仿宋"/>
          <w:sz w:val="32"/>
          <w:szCs w:val="40"/>
        </w:rPr>
      </w:pPr>
      <w:r>
        <w:rPr>
          <w:rFonts w:hint="eastAsia" w:ascii="仿宋" w:hAnsi="仿宋" w:eastAsia="仿宋"/>
          <w:sz w:val="32"/>
          <w:szCs w:val="40"/>
        </w:rPr>
        <w:t>剑阁县羊岭小学校上年结转项目资金拨付进度较慢，应加强协调沟通，加快资金拨付进度。对预算编制的预见性还需进一步加强。</w:t>
      </w:r>
    </w:p>
    <w:p>
      <w:pPr>
        <w:rPr>
          <w:rFonts w:ascii="仿宋" w:hAnsi="仿宋" w:eastAsia="仿宋"/>
          <w:sz w:val="32"/>
          <w:szCs w:val="40"/>
        </w:rPr>
      </w:pPr>
      <w:r>
        <w:rPr>
          <w:rFonts w:hint="eastAsia" w:ascii="仿宋" w:hAnsi="仿宋" w:eastAsia="仿宋"/>
          <w:sz w:val="32"/>
          <w:szCs w:val="40"/>
        </w:rPr>
        <w:t>（三）改进建议</w:t>
      </w:r>
    </w:p>
    <w:p>
      <w:pPr>
        <w:rPr>
          <w:rFonts w:ascii="仿宋" w:hAnsi="仿宋" w:eastAsia="仿宋"/>
          <w:sz w:val="32"/>
          <w:szCs w:val="40"/>
        </w:rPr>
      </w:pPr>
      <w:r>
        <w:rPr>
          <w:rFonts w:hint="eastAsia" w:ascii="仿宋" w:hAnsi="仿宋" w:eastAsia="仿宋"/>
          <w:sz w:val="32"/>
          <w:szCs w:val="40"/>
        </w:rPr>
        <w:t>（1）加强对部门财务人员业务培训，促进部门之间财务工作的相互交流学习；</w:t>
      </w:r>
    </w:p>
    <w:p>
      <w:pPr>
        <w:rPr>
          <w:rFonts w:ascii="仿宋" w:hAnsi="仿宋" w:eastAsia="仿宋"/>
          <w:sz w:val="32"/>
          <w:szCs w:val="40"/>
        </w:rPr>
      </w:pPr>
      <w:r>
        <w:rPr>
          <w:rFonts w:hint="eastAsia" w:ascii="仿宋" w:hAnsi="仿宋" w:eastAsia="仿宋"/>
          <w:sz w:val="32"/>
          <w:szCs w:val="40"/>
        </w:rPr>
        <w:t>（2）督促财务人员加强自身业务学习，进一步提升财务管理水平；</w:t>
      </w:r>
    </w:p>
    <w:p>
      <w:pPr>
        <w:rPr>
          <w:rFonts w:ascii="仿宋" w:hAnsi="仿宋" w:eastAsia="仿宋"/>
          <w:sz w:val="32"/>
          <w:szCs w:val="40"/>
        </w:rPr>
      </w:pPr>
      <w:r>
        <w:rPr>
          <w:rFonts w:hint="eastAsia" w:ascii="仿宋" w:hAnsi="仿宋" w:eastAsia="仿宋"/>
          <w:sz w:val="32"/>
          <w:szCs w:val="40"/>
        </w:rPr>
        <w:t>（3）进一步提高预算编制到位率，做准做全基本支出预算，做全项目支出预算，加强预算支出的审核、跟踪及预算执行情况分析，提高预算编制严谨性和可控性；</w:t>
      </w:r>
    </w:p>
    <w:p>
      <w:pPr>
        <w:rPr>
          <w:rFonts w:ascii="仿宋" w:hAnsi="仿宋" w:eastAsia="仿宋"/>
          <w:sz w:val="32"/>
          <w:szCs w:val="40"/>
        </w:rPr>
      </w:pPr>
      <w:r>
        <w:rPr>
          <w:rFonts w:hint="eastAsia" w:ascii="仿宋" w:hAnsi="仿宋" w:eastAsia="仿宋"/>
          <w:sz w:val="32"/>
          <w:szCs w:val="40"/>
        </w:rPr>
        <w:t>（4）进一步完善和优化财政一体化平台功能设置，确保财政一体化平台良好运行。</w:t>
      </w:r>
    </w:p>
    <w:p>
      <w:pPr>
        <w:pStyle w:val="2"/>
        <w:spacing w:before="93"/>
      </w:pPr>
    </w:p>
    <w:p>
      <w:pPr>
        <w:spacing w:line="600" w:lineRule="exact"/>
        <w:ind w:left="315" w:leftChars="150"/>
        <w:jc w:val="center"/>
        <w:outlineLvl w:val="0"/>
        <w:rPr>
          <w:rStyle w:val="28"/>
          <w:rFonts w:ascii="黑体" w:hAnsi="黑体" w:eastAsia="黑体"/>
          <w:b w:val="0"/>
        </w:rPr>
      </w:pPr>
      <w:bookmarkStart w:id="75" w:name="_Toc15396618"/>
      <w:bookmarkStart w:id="76" w:name="_Toc30219"/>
      <w:r>
        <w:rPr>
          <w:rFonts w:hint="eastAsia" w:ascii="黑体" w:hAnsi="黑体" w:eastAsia="黑体"/>
          <w:sz w:val="44"/>
          <w:szCs w:val="44"/>
        </w:rPr>
        <w:t>第五</w:t>
      </w:r>
      <w:r>
        <w:rPr>
          <w:rStyle w:val="28"/>
          <w:rFonts w:hint="eastAsia" w:ascii="黑体" w:hAnsi="黑体" w:eastAsia="黑体"/>
          <w:b w:val="0"/>
        </w:rPr>
        <w:t>部分 附表</w:t>
      </w:r>
      <w:bookmarkEnd w:id="72"/>
      <w:bookmarkEnd w:id="75"/>
      <w:bookmarkEnd w:id="76"/>
      <w:bookmarkStart w:id="77" w:name="_Toc15396619"/>
      <w:bookmarkStart w:id="78" w:name="_Toc20127"/>
    </w:p>
    <w:p>
      <w:pPr>
        <w:spacing w:line="600" w:lineRule="exact"/>
        <w:outlineLvl w:val="0"/>
      </w:pPr>
      <w:r>
        <w:rPr>
          <w:rFonts w:hint="eastAsia" w:ascii="仿宋" w:hAnsi="仿宋" w:eastAsia="仿宋"/>
          <w:b/>
        </w:rPr>
        <w:t xml:space="preserve">一、 </w:t>
      </w:r>
      <w:r>
        <w:rPr>
          <w:rFonts w:ascii="仿宋" w:hAnsi="仿宋" w:eastAsia="仿宋"/>
          <w:b/>
        </w:rPr>
        <w:t xml:space="preserve"> </w:t>
      </w:r>
      <w:r>
        <w:rPr>
          <w:rStyle w:val="29"/>
          <w:rFonts w:hint="eastAsia" w:ascii="仿宋" w:hAnsi="仿宋" w:eastAsia="仿宋"/>
          <w:b w:val="0"/>
          <w:bCs w:val="0"/>
          <w:sz w:val="28"/>
          <w:szCs w:val="28"/>
        </w:rPr>
        <w:t>收入支出决算总表</w:t>
      </w:r>
      <w:bookmarkEnd w:id="77"/>
      <w:bookmarkEnd w:id="78"/>
    </w:p>
    <w:p>
      <w:pPr>
        <w:pStyle w:val="4"/>
        <w:rPr>
          <w:rFonts w:ascii="仿宋" w:hAnsi="仿宋" w:eastAsia="仿宋"/>
        </w:rPr>
      </w:pPr>
      <w:bookmarkStart w:id="79" w:name="_Toc15396620"/>
      <w:bookmarkStart w:id="80" w:name="_Toc25721"/>
      <w:r>
        <w:rPr>
          <w:rFonts w:hint="eastAsia" w:ascii="仿宋" w:hAnsi="仿宋" w:eastAsia="仿宋"/>
          <w:b w:val="0"/>
        </w:rPr>
        <w:t>二、收</w:t>
      </w:r>
      <w:r>
        <w:rPr>
          <w:rStyle w:val="29"/>
          <w:rFonts w:hint="eastAsia" w:ascii="仿宋" w:hAnsi="仿宋" w:eastAsia="仿宋"/>
          <w:b w:val="0"/>
          <w:bCs w:val="0"/>
        </w:rPr>
        <w:t>入决算表</w:t>
      </w:r>
      <w:bookmarkEnd w:id="79"/>
      <w:bookmarkEnd w:id="80"/>
    </w:p>
    <w:p>
      <w:pPr>
        <w:pStyle w:val="4"/>
        <w:rPr>
          <w:rFonts w:ascii="仿宋" w:hAnsi="仿宋" w:eastAsia="仿宋"/>
        </w:rPr>
      </w:pPr>
      <w:bookmarkStart w:id="81" w:name="_Toc24601"/>
      <w:bookmarkStart w:id="82"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81"/>
      <w:bookmarkEnd w:id="82"/>
    </w:p>
    <w:p>
      <w:pPr>
        <w:pStyle w:val="4"/>
        <w:rPr>
          <w:rFonts w:ascii="仿宋" w:hAnsi="仿宋" w:eastAsia="仿宋"/>
          <w:b w:val="0"/>
        </w:rPr>
      </w:pPr>
      <w:bookmarkStart w:id="83" w:name="_Toc8674"/>
      <w:bookmarkStart w:id="84"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83"/>
      <w:bookmarkEnd w:id="84"/>
    </w:p>
    <w:p>
      <w:pPr>
        <w:pStyle w:val="4"/>
        <w:rPr>
          <w:rStyle w:val="29"/>
          <w:rFonts w:ascii="仿宋" w:hAnsi="仿宋" w:eastAsia="仿宋"/>
          <w:b w:val="0"/>
          <w:bCs w:val="0"/>
        </w:rPr>
      </w:pPr>
      <w:bookmarkStart w:id="85" w:name="_Toc15396623"/>
      <w:bookmarkStart w:id="86" w:name="_Toc14845"/>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85"/>
      <w:bookmarkEnd w:id="86"/>
      <w:bookmarkStart w:id="87" w:name="_Toc15396624"/>
    </w:p>
    <w:p>
      <w:pPr>
        <w:pStyle w:val="4"/>
        <w:rPr>
          <w:rFonts w:ascii="仿宋" w:hAnsi="仿宋" w:eastAsia="仿宋"/>
        </w:rPr>
      </w:pPr>
      <w:bookmarkStart w:id="88" w:name="_Toc9974"/>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87"/>
      <w:bookmarkEnd w:id="88"/>
    </w:p>
    <w:p>
      <w:pPr>
        <w:pStyle w:val="4"/>
        <w:rPr>
          <w:rFonts w:ascii="仿宋" w:hAnsi="仿宋" w:eastAsia="仿宋"/>
        </w:rPr>
      </w:pPr>
      <w:bookmarkStart w:id="89" w:name="_Toc15396625"/>
      <w:bookmarkStart w:id="90" w:name="_Toc5918"/>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89"/>
      <w:bookmarkEnd w:id="90"/>
    </w:p>
    <w:p>
      <w:pPr>
        <w:pStyle w:val="4"/>
        <w:rPr>
          <w:rFonts w:ascii="仿宋" w:hAnsi="仿宋" w:eastAsia="仿宋"/>
        </w:rPr>
      </w:pPr>
      <w:bookmarkStart w:id="91" w:name="_Toc23704"/>
      <w:bookmarkStart w:id="92"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91"/>
      <w:bookmarkEnd w:id="92"/>
    </w:p>
    <w:p>
      <w:pPr>
        <w:pStyle w:val="4"/>
        <w:rPr>
          <w:rFonts w:ascii="仿宋" w:hAnsi="仿宋" w:eastAsia="仿宋"/>
        </w:rPr>
      </w:pPr>
      <w:bookmarkStart w:id="93" w:name="_Toc15396627"/>
      <w:bookmarkStart w:id="94" w:name="_Toc22728"/>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93"/>
      <w:bookmarkEnd w:id="94"/>
    </w:p>
    <w:p>
      <w:pPr>
        <w:pStyle w:val="4"/>
        <w:rPr>
          <w:rFonts w:ascii="仿宋" w:hAnsi="仿宋" w:eastAsia="仿宋"/>
        </w:rPr>
      </w:pPr>
      <w:bookmarkStart w:id="95" w:name="_Toc4880"/>
      <w:bookmarkStart w:id="96" w:name="_Toc15396628"/>
      <w:r>
        <w:rPr>
          <w:rStyle w:val="29"/>
          <w:rFonts w:hint="eastAsia" w:ascii="仿宋" w:hAnsi="仿宋" w:eastAsia="仿宋"/>
          <w:b w:val="0"/>
          <w:bCs w:val="0"/>
        </w:rPr>
        <w:t>十、</w:t>
      </w:r>
      <w:r>
        <w:rPr>
          <w:rFonts w:hint="eastAsia" w:ascii="仿宋" w:hAnsi="仿宋" w:eastAsia="仿宋"/>
          <w:b w:val="0"/>
        </w:rPr>
        <w:t>一</w:t>
      </w:r>
      <w:r>
        <w:rPr>
          <w:rStyle w:val="29"/>
          <w:rFonts w:hint="eastAsia" w:ascii="仿宋" w:hAnsi="仿宋" w:eastAsia="仿宋"/>
          <w:b w:val="0"/>
          <w:bCs w:val="0"/>
        </w:rPr>
        <w:t>般公共预算财政拨款“三公”经费支出决算表</w:t>
      </w:r>
      <w:bookmarkEnd w:id="95"/>
      <w:bookmarkEnd w:id="96"/>
    </w:p>
    <w:p>
      <w:pPr>
        <w:pStyle w:val="4"/>
        <w:rPr>
          <w:rFonts w:ascii="仿宋" w:hAnsi="仿宋" w:eastAsia="仿宋"/>
        </w:rPr>
      </w:pPr>
      <w:bookmarkStart w:id="97" w:name="_Toc15396629"/>
      <w:bookmarkStart w:id="98" w:name="_Toc22945"/>
      <w:r>
        <w:rPr>
          <w:rStyle w:val="29"/>
          <w:rFonts w:hint="eastAsia" w:ascii="仿宋" w:hAnsi="仿宋" w:eastAsia="仿宋"/>
          <w:b w:val="0"/>
          <w:bCs w:val="0"/>
        </w:rPr>
        <w:t>十一、</w:t>
      </w:r>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97"/>
      <w:bookmarkEnd w:id="98"/>
    </w:p>
    <w:p>
      <w:pPr>
        <w:pStyle w:val="4"/>
        <w:rPr>
          <w:rFonts w:ascii="仿宋" w:hAnsi="仿宋" w:eastAsia="仿宋"/>
        </w:rPr>
      </w:pPr>
      <w:bookmarkStart w:id="99" w:name="_Toc15396630"/>
      <w:bookmarkStart w:id="100" w:name="_Toc24547"/>
      <w:r>
        <w:rPr>
          <w:rStyle w:val="29"/>
          <w:rFonts w:hint="eastAsia" w:ascii="仿宋" w:hAnsi="仿宋" w:eastAsia="仿宋"/>
          <w:b w:val="0"/>
          <w:bCs w:val="0"/>
        </w:rPr>
        <w:t>十二、</w:t>
      </w:r>
      <w:r>
        <w:rPr>
          <w:rFonts w:hint="eastAsia" w:ascii="仿宋" w:hAnsi="仿宋" w:eastAsia="仿宋"/>
          <w:b w:val="0"/>
        </w:rPr>
        <w:t>政</w:t>
      </w:r>
      <w:r>
        <w:rPr>
          <w:rStyle w:val="29"/>
          <w:rFonts w:hint="eastAsia" w:ascii="仿宋" w:hAnsi="仿宋" w:eastAsia="仿宋"/>
          <w:b w:val="0"/>
          <w:bCs w:val="0"/>
        </w:rPr>
        <w:t>府性基金预算财政拨款“三公”经费支出决算表</w:t>
      </w:r>
      <w:bookmarkEnd w:id="99"/>
      <w:bookmarkEnd w:id="100"/>
    </w:p>
    <w:p>
      <w:pPr>
        <w:pStyle w:val="4"/>
        <w:rPr>
          <w:rStyle w:val="29"/>
          <w:rFonts w:ascii="仿宋" w:hAnsi="仿宋" w:eastAsia="仿宋"/>
          <w:b w:val="0"/>
          <w:bCs w:val="0"/>
        </w:rPr>
      </w:pPr>
      <w:bookmarkStart w:id="101" w:name="_Toc15396631"/>
      <w:bookmarkStart w:id="102" w:name="_Toc20654"/>
      <w:r>
        <w:rPr>
          <w:rStyle w:val="29"/>
          <w:rFonts w:hint="eastAsia" w:ascii="仿宋" w:hAnsi="仿宋" w:eastAsia="仿宋"/>
          <w:b w:val="0"/>
          <w:bCs w:val="0"/>
        </w:rPr>
        <w:t>十三、</w:t>
      </w:r>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01"/>
      <w:bookmarkEnd w:id="102"/>
    </w:p>
    <w:p>
      <w:pPr>
        <w:rPr>
          <w:rFonts w:eastAsia="仿宋"/>
        </w:rPr>
      </w:pPr>
      <w:bookmarkStart w:id="103" w:name="_Toc32591"/>
      <w:r>
        <w:rPr>
          <w:rStyle w:val="29"/>
          <w:rFonts w:hint="eastAsia" w:ascii="仿宋" w:hAnsi="仿宋" w:eastAsia="仿宋"/>
          <w:b w:val="0"/>
          <w:bCs w:val="0"/>
        </w:rPr>
        <w:t>十四、国有资本经营预算财政拨款支出决算表</w:t>
      </w:r>
      <w:bookmarkEnd w:id="103"/>
    </w:p>
    <w:sectPr>
      <w:headerReference r:id="rId3" w:type="default"/>
      <w:footerReference r:id="rId4" w:type="default"/>
      <w:pgSz w:w="11906" w:h="16838"/>
      <w:pgMar w:top="1440" w:right="1286"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0NTY2MDcyODQ2N2FkODM5ZTkwNDc3NmI1NDljNjAifQ=="/>
  </w:docVars>
  <w:rsids>
    <w:rsidRoot w:val="00F1361C"/>
    <w:rsid w:val="00010171"/>
    <w:rsid w:val="00016180"/>
    <w:rsid w:val="000222C6"/>
    <w:rsid w:val="0002549F"/>
    <w:rsid w:val="00044C0A"/>
    <w:rsid w:val="000468DB"/>
    <w:rsid w:val="0006487A"/>
    <w:rsid w:val="00064FC0"/>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10A5"/>
    <w:rsid w:val="00113D1B"/>
    <w:rsid w:val="00114E9B"/>
    <w:rsid w:val="00142216"/>
    <w:rsid w:val="00144D6A"/>
    <w:rsid w:val="0014729F"/>
    <w:rsid w:val="00157BAB"/>
    <w:rsid w:val="001654D1"/>
    <w:rsid w:val="00166651"/>
    <w:rsid w:val="00174518"/>
    <w:rsid w:val="0018106D"/>
    <w:rsid w:val="001877A7"/>
    <w:rsid w:val="00191131"/>
    <w:rsid w:val="00191536"/>
    <w:rsid w:val="00196687"/>
    <w:rsid w:val="001C0962"/>
    <w:rsid w:val="001C3A72"/>
    <w:rsid w:val="001D7531"/>
    <w:rsid w:val="001E737D"/>
    <w:rsid w:val="001F0592"/>
    <w:rsid w:val="001F7506"/>
    <w:rsid w:val="002006CD"/>
    <w:rsid w:val="00202B36"/>
    <w:rsid w:val="00204B7A"/>
    <w:rsid w:val="00204CDE"/>
    <w:rsid w:val="0021101A"/>
    <w:rsid w:val="0021462B"/>
    <w:rsid w:val="00220536"/>
    <w:rsid w:val="00220EE9"/>
    <w:rsid w:val="00235629"/>
    <w:rsid w:val="00236E76"/>
    <w:rsid w:val="00246569"/>
    <w:rsid w:val="00246B4B"/>
    <w:rsid w:val="002504E0"/>
    <w:rsid w:val="00260C38"/>
    <w:rsid w:val="002616C0"/>
    <w:rsid w:val="00265372"/>
    <w:rsid w:val="002662AA"/>
    <w:rsid w:val="00280496"/>
    <w:rsid w:val="00294DC9"/>
    <w:rsid w:val="00295495"/>
    <w:rsid w:val="002A31DE"/>
    <w:rsid w:val="002B2613"/>
    <w:rsid w:val="002C25DE"/>
    <w:rsid w:val="002D3AFF"/>
    <w:rsid w:val="002D5D61"/>
    <w:rsid w:val="002D6D05"/>
    <w:rsid w:val="002E6D3D"/>
    <w:rsid w:val="002F1818"/>
    <w:rsid w:val="002F380B"/>
    <w:rsid w:val="002F567B"/>
    <w:rsid w:val="002F6529"/>
    <w:rsid w:val="003168A0"/>
    <w:rsid w:val="003216A9"/>
    <w:rsid w:val="00323051"/>
    <w:rsid w:val="00331D6B"/>
    <w:rsid w:val="00335A74"/>
    <w:rsid w:val="0035436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42F5"/>
    <w:rsid w:val="00471401"/>
    <w:rsid w:val="00473F31"/>
    <w:rsid w:val="0048263A"/>
    <w:rsid w:val="00487E5D"/>
    <w:rsid w:val="00494BEB"/>
    <w:rsid w:val="004A711F"/>
    <w:rsid w:val="004B199D"/>
    <w:rsid w:val="004B4690"/>
    <w:rsid w:val="004E08C1"/>
    <w:rsid w:val="004E0A2D"/>
    <w:rsid w:val="004E206B"/>
    <w:rsid w:val="004E2343"/>
    <w:rsid w:val="004E6DF7"/>
    <w:rsid w:val="004F0FBD"/>
    <w:rsid w:val="00505A47"/>
    <w:rsid w:val="00510D65"/>
    <w:rsid w:val="00512FDA"/>
    <w:rsid w:val="00520DA0"/>
    <w:rsid w:val="0053769E"/>
    <w:rsid w:val="005664BB"/>
    <w:rsid w:val="00566FFA"/>
    <w:rsid w:val="0057481D"/>
    <w:rsid w:val="00577E4B"/>
    <w:rsid w:val="0058486E"/>
    <w:rsid w:val="00585B33"/>
    <w:rsid w:val="0059014D"/>
    <w:rsid w:val="005B5C64"/>
    <w:rsid w:val="005C5337"/>
    <w:rsid w:val="005C6BD0"/>
    <w:rsid w:val="005D1C8B"/>
    <w:rsid w:val="005D468D"/>
    <w:rsid w:val="005D5CED"/>
    <w:rsid w:val="005D5E9E"/>
    <w:rsid w:val="005F1A4C"/>
    <w:rsid w:val="005F3E66"/>
    <w:rsid w:val="00605688"/>
    <w:rsid w:val="006070AF"/>
    <w:rsid w:val="00607E6C"/>
    <w:rsid w:val="006101B1"/>
    <w:rsid w:val="00614E44"/>
    <w:rsid w:val="00616D01"/>
    <w:rsid w:val="0062270A"/>
    <w:rsid w:val="00622830"/>
    <w:rsid w:val="00623DA0"/>
    <w:rsid w:val="00630AEF"/>
    <w:rsid w:val="006325F8"/>
    <w:rsid w:val="00633463"/>
    <w:rsid w:val="00634C9A"/>
    <w:rsid w:val="006440E4"/>
    <w:rsid w:val="0064441B"/>
    <w:rsid w:val="0065561A"/>
    <w:rsid w:val="0066343B"/>
    <w:rsid w:val="00664777"/>
    <w:rsid w:val="006748A4"/>
    <w:rsid w:val="00681A31"/>
    <w:rsid w:val="00683E73"/>
    <w:rsid w:val="00684DB5"/>
    <w:rsid w:val="006903A1"/>
    <w:rsid w:val="0069489F"/>
    <w:rsid w:val="006A3141"/>
    <w:rsid w:val="006A5E34"/>
    <w:rsid w:val="006B2422"/>
    <w:rsid w:val="006B2B9A"/>
    <w:rsid w:val="006C1937"/>
    <w:rsid w:val="006F020C"/>
    <w:rsid w:val="00702F2B"/>
    <w:rsid w:val="0070572C"/>
    <w:rsid w:val="007127B7"/>
    <w:rsid w:val="0071798E"/>
    <w:rsid w:val="007416B6"/>
    <w:rsid w:val="00746F48"/>
    <w:rsid w:val="007507CE"/>
    <w:rsid w:val="0075282F"/>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0EA9"/>
    <w:rsid w:val="00831318"/>
    <w:rsid w:val="00835964"/>
    <w:rsid w:val="0083706E"/>
    <w:rsid w:val="008408F6"/>
    <w:rsid w:val="008423A5"/>
    <w:rsid w:val="00846088"/>
    <w:rsid w:val="00850625"/>
    <w:rsid w:val="00853718"/>
    <w:rsid w:val="00855221"/>
    <w:rsid w:val="00860645"/>
    <w:rsid w:val="00871F71"/>
    <w:rsid w:val="00872FD8"/>
    <w:rsid w:val="008815B9"/>
    <w:rsid w:val="00885AF4"/>
    <w:rsid w:val="008939CD"/>
    <w:rsid w:val="008B11CB"/>
    <w:rsid w:val="008B5B48"/>
    <w:rsid w:val="008B7637"/>
    <w:rsid w:val="008B768C"/>
    <w:rsid w:val="008C4DB1"/>
    <w:rsid w:val="008C4EAF"/>
    <w:rsid w:val="008C5176"/>
    <w:rsid w:val="008C7FD0"/>
    <w:rsid w:val="008E1DE7"/>
    <w:rsid w:val="008E707C"/>
    <w:rsid w:val="008F0BAD"/>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15D4"/>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5ED4"/>
    <w:rsid w:val="00AB64C9"/>
    <w:rsid w:val="00AC3C6A"/>
    <w:rsid w:val="00AD5620"/>
    <w:rsid w:val="00AD656B"/>
    <w:rsid w:val="00AD7C1B"/>
    <w:rsid w:val="00AE16BA"/>
    <w:rsid w:val="00AE1EBE"/>
    <w:rsid w:val="00AF65E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4C43"/>
    <w:rsid w:val="00B77EA6"/>
    <w:rsid w:val="00B81598"/>
    <w:rsid w:val="00B841F1"/>
    <w:rsid w:val="00B857DA"/>
    <w:rsid w:val="00B944D6"/>
    <w:rsid w:val="00BB4DF0"/>
    <w:rsid w:val="00BC289F"/>
    <w:rsid w:val="00BC2D50"/>
    <w:rsid w:val="00BC5361"/>
    <w:rsid w:val="00BC5460"/>
    <w:rsid w:val="00BC6B50"/>
    <w:rsid w:val="00BD0E25"/>
    <w:rsid w:val="00BE6BE2"/>
    <w:rsid w:val="00BF5BD6"/>
    <w:rsid w:val="00C03E31"/>
    <w:rsid w:val="00C06F65"/>
    <w:rsid w:val="00C16173"/>
    <w:rsid w:val="00C17350"/>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C6F5D"/>
    <w:rsid w:val="00CD1E3F"/>
    <w:rsid w:val="00CE44F6"/>
    <w:rsid w:val="00CE49DA"/>
    <w:rsid w:val="00CE7B61"/>
    <w:rsid w:val="00D00095"/>
    <w:rsid w:val="00D114F0"/>
    <w:rsid w:val="00D20620"/>
    <w:rsid w:val="00D254F7"/>
    <w:rsid w:val="00D26091"/>
    <w:rsid w:val="00D2685C"/>
    <w:rsid w:val="00D34E7C"/>
    <w:rsid w:val="00D35489"/>
    <w:rsid w:val="00D36AFE"/>
    <w:rsid w:val="00D476E8"/>
    <w:rsid w:val="00D51276"/>
    <w:rsid w:val="00D65555"/>
    <w:rsid w:val="00D7035F"/>
    <w:rsid w:val="00DA634F"/>
    <w:rsid w:val="00DA65AC"/>
    <w:rsid w:val="00DB1913"/>
    <w:rsid w:val="00DC410D"/>
    <w:rsid w:val="00DC5A81"/>
    <w:rsid w:val="00DC68CA"/>
    <w:rsid w:val="00DC7CBA"/>
    <w:rsid w:val="00DD244C"/>
    <w:rsid w:val="00DD73B7"/>
    <w:rsid w:val="00DF28BC"/>
    <w:rsid w:val="00DF34A7"/>
    <w:rsid w:val="00DF34B9"/>
    <w:rsid w:val="00E01053"/>
    <w:rsid w:val="00E07ACF"/>
    <w:rsid w:val="00E331A1"/>
    <w:rsid w:val="00E33202"/>
    <w:rsid w:val="00E336A9"/>
    <w:rsid w:val="00E472B1"/>
    <w:rsid w:val="00E50624"/>
    <w:rsid w:val="00E568DF"/>
    <w:rsid w:val="00E64269"/>
    <w:rsid w:val="00E66FBD"/>
    <w:rsid w:val="00E809C8"/>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2E78"/>
    <w:rsid w:val="00F45853"/>
    <w:rsid w:val="00F602DF"/>
    <w:rsid w:val="00F754A1"/>
    <w:rsid w:val="00F81FD9"/>
    <w:rsid w:val="00F841AA"/>
    <w:rsid w:val="00F84A94"/>
    <w:rsid w:val="00F87E96"/>
    <w:rsid w:val="00F91C16"/>
    <w:rsid w:val="00FA23E8"/>
    <w:rsid w:val="00FB4A4F"/>
    <w:rsid w:val="00FC3F5A"/>
    <w:rsid w:val="00FD3CC1"/>
    <w:rsid w:val="00FF1E02"/>
    <w:rsid w:val="00FF30B4"/>
    <w:rsid w:val="01523A4E"/>
    <w:rsid w:val="01F343BE"/>
    <w:rsid w:val="0258565A"/>
    <w:rsid w:val="02744762"/>
    <w:rsid w:val="02ED497F"/>
    <w:rsid w:val="032A18DF"/>
    <w:rsid w:val="035774AD"/>
    <w:rsid w:val="03786BFE"/>
    <w:rsid w:val="03790CDC"/>
    <w:rsid w:val="03EF62BC"/>
    <w:rsid w:val="04023D8A"/>
    <w:rsid w:val="040A7B75"/>
    <w:rsid w:val="04300A2A"/>
    <w:rsid w:val="04A8097D"/>
    <w:rsid w:val="04A819F1"/>
    <w:rsid w:val="04CA4EA5"/>
    <w:rsid w:val="04F41B15"/>
    <w:rsid w:val="04FD6823"/>
    <w:rsid w:val="051C2E0B"/>
    <w:rsid w:val="056E33C0"/>
    <w:rsid w:val="058148D3"/>
    <w:rsid w:val="05C96BA5"/>
    <w:rsid w:val="05DC375E"/>
    <w:rsid w:val="063940A6"/>
    <w:rsid w:val="065815A4"/>
    <w:rsid w:val="066E0107"/>
    <w:rsid w:val="06953080"/>
    <w:rsid w:val="069E5754"/>
    <w:rsid w:val="06A20CD7"/>
    <w:rsid w:val="06BF0318"/>
    <w:rsid w:val="06CD6A17"/>
    <w:rsid w:val="07996F6E"/>
    <w:rsid w:val="07C46BE8"/>
    <w:rsid w:val="07D9381E"/>
    <w:rsid w:val="07E60B6A"/>
    <w:rsid w:val="07EC3538"/>
    <w:rsid w:val="083413ED"/>
    <w:rsid w:val="085B37B4"/>
    <w:rsid w:val="08952133"/>
    <w:rsid w:val="08C63F43"/>
    <w:rsid w:val="0911092A"/>
    <w:rsid w:val="093B131D"/>
    <w:rsid w:val="0A2032A3"/>
    <w:rsid w:val="0A382D2C"/>
    <w:rsid w:val="0A7B4B1C"/>
    <w:rsid w:val="0A916724"/>
    <w:rsid w:val="0AC64A82"/>
    <w:rsid w:val="0AEA6AFA"/>
    <w:rsid w:val="0B2951D1"/>
    <w:rsid w:val="0B9E7378"/>
    <w:rsid w:val="0BE86F3E"/>
    <w:rsid w:val="0C276E63"/>
    <w:rsid w:val="0C3145AB"/>
    <w:rsid w:val="0C497992"/>
    <w:rsid w:val="0D204A5A"/>
    <w:rsid w:val="0D234EF1"/>
    <w:rsid w:val="0DB0303E"/>
    <w:rsid w:val="0DFC7DC7"/>
    <w:rsid w:val="0E55758B"/>
    <w:rsid w:val="0E6062A2"/>
    <w:rsid w:val="0E621611"/>
    <w:rsid w:val="0E6C2B6A"/>
    <w:rsid w:val="0E957211"/>
    <w:rsid w:val="0EBE2C82"/>
    <w:rsid w:val="0EC34106"/>
    <w:rsid w:val="0ED779CB"/>
    <w:rsid w:val="0F086AA2"/>
    <w:rsid w:val="0F4D6D0C"/>
    <w:rsid w:val="0F571F28"/>
    <w:rsid w:val="0F674E8F"/>
    <w:rsid w:val="0F6770F5"/>
    <w:rsid w:val="0FA14531"/>
    <w:rsid w:val="0FEF40D2"/>
    <w:rsid w:val="101860EC"/>
    <w:rsid w:val="10375F01"/>
    <w:rsid w:val="10886F41"/>
    <w:rsid w:val="10897BC9"/>
    <w:rsid w:val="10A247D8"/>
    <w:rsid w:val="10C055FF"/>
    <w:rsid w:val="118107EC"/>
    <w:rsid w:val="12615100"/>
    <w:rsid w:val="12891839"/>
    <w:rsid w:val="12B742D2"/>
    <w:rsid w:val="139B50C2"/>
    <w:rsid w:val="13A658DA"/>
    <w:rsid w:val="13BA5FFF"/>
    <w:rsid w:val="13C3345D"/>
    <w:rsid w:val="13CE53DA"/>
    <w:rsid w:val="13D50BC4"/>
    <w:rsid w:val="13E00215"/>
    <w:rsid w:val="140B3D3B"/>
    <w:rsid w:val="143D5B7A"/>
    <w:rsid w:val="144E2C84"/>
    <w:rsid w:val="14BC087B"/>
    <w:rsid w:val="14C646A6"/>
    <w:rsid w:val="14F87800"/>
    <w:rsid w:val="153119B1"/>
    <w:rsid w:val="154C4380"/>
    <w:rsid w:val="15606D6A"/>
    <w:rsid w:val="156A7209"/>
    <w:rsid w:val="158F62EE"/>
    <w:rsid w:val="159A7BFE"/>
    <w:rsid w:val="15B70827"/>
    <w:rsid w:val="162463D9"/>
    <w:rsid w:val="162E04E9"/>
    <w:rsid w:val="167A075E"/>
    <w:rsid w:val="16A27AF4"/>
    <w:rsid w:val="16BB723D"/>
    <w:rsid w:val="16EF7733"/>
    <w:rsid w:val="17062030"/>
    <w:rsid w:val="175315EB"/>
    <w:rsid w:val="177C4D52"/>
    <w:rsid w:val="17AA2F2A"/>
    <w:rsid w:val="17D46A67"/>
    <w:rsid w:val="1849627B"/>
    <w:rsid w:val="189A5979"/>
    <w:rsid w:val="18BA23F1"/>
    <w:rsid w:val="18EF3AC7"/>
    <w:rsid w:val="191214B6"/>
    <w:rsid w:val="1939029E"/>
    <w:rsid w:val="197C354C"/>
    <w:rsid w:val="198F023C"/>
    <w:rsid w:val="19EC7E7A"/>
    <w:rsid w:val="1A577D91"/>
    <w:rsid w:val="1A69732A"/>
    <w:rsid w:val="1AA611F3"/>
    <w:rsid w:val="1B116B9A"/>
    <w:rsid w:val="1B317A65"/>
    <w:rsid w:val="1B5E4FBF"/>
    <w:rsid w:val="1BA36675"/>
    <w:rsid w:val="1BA45AFB"/>
    <w:rsid w:val="1BB25E7D"/>
    <w:rsid w:val="1BC677C8"/>
    <w:rsid w:val="1BE8440E"/>
    <w:rsid w:val="1D155CEE"/>
    <w:rsid w:val="1D8C6869"/>
    <w:rsid w:val="1DD5177B"/>
    <w:rsid w:val="1E30092C"/>
    <w:rsid w:val="1E7667FC"/>
    <w:rsid w:val="1E7C5B20"/>
    <w:rsid w:val="1E961C40"/>
    <w:rsid w:val="1EC022A5"/>
    <w:rsid w:val="1EDD5BCA"/>
    <w:rsid w:val="1EE762E9"/>
    <w:rsid w:val="1F011F88"/>
    <w:rsid w:val="1F6504FA"/>
    <w:rsid w:val="1F756A3C"/>
    <w:rsid w:val="1FA3284A"/>
    <w:rsid w:val="1FFD2DC0"/>
    <w:rsid w:val="202C4E46"/>
    <w:rsid w:val="202E5162"/>
    <w:rsid w:val="20701824"/>
    <w:rsid w:val="207D2FD0"/>
    <w:rsid w:val="20AD489B"/>
    <w:rsid w:val="20CE4FC0"/>
    <w:rsid w:val="2125295C"/>
    <w:rsid w:val="21566293"/>
    <w:rsid w:val="215A5098"/>
    <w:rsid w:val="21713489"/>
    <w:rsid w:val="218A02C3"/>
    <w:rsid w:val="21AD2012"/>
    <w:rsid w:val="21DD4C1F"/>
    <w:rsid w:val="21E34D6C"/>
    <w:rsid w:val="228A01C4"/>
    <w:rsid w:val="231A5F98"/>
    <w:rsid w:val="232436E8"/>
    <w:rsid w:val="23794914"/>
    <w:rsid w:val="237F4F5E"/>
    <w:rsid w:val="23834018"/>
    <w:rsid w:val="23860B96"/>
    <w:rsid w:val="23A91A98"/>
    <w:rsid w:val="23B22167"/>
    <w:rsid w:val="23CB2AA4"/>
    <w:rsid w:val="240371BF"/>
    <w:rsid w:val="24260746"/>
    <w:rsid w:val="24CC63FD"/>
    <w:rsid w:val="24EA7AD5"/>
    <w:rsid w:val="25153237"/>
    <w:rsid w:val="253E1CE6"/>
    <w:rsid w:val="258810EA"/>
    <w:rsid w:val="25FE54F4"/>
    <w:rsid w:val="2657246D"/>
    <w:rsid w:val="26961212"/>
    <w:rsid w:val="26D656B2"/>
    <w:rsid w:val="27136EAE"/>
    <w:rsid w:val="271B3444"/>
    <w:rsid w:val="276A0E0B"/>
    <w:rsid w:val="27721A93"/>
    <w:rsid w:val="278D0684"/>
    <w:rsid w:val="27CB0475"/>
    <w:rsid w:val="27D06E34"/>
    <w:rsid w:val="28240A1F"/>
    <w:rsid w:val="284B291E"/>
    <w:rsid w:val="2864549D"/>
    <w:rsid w:val="28B02A07"/>
    <w:rsid w:val="28D43EC9"/>
    <w:rsid w:val="290C16EA"/>
    <w:rsid w:val="294A641D"/>
    <w:rsid w:val="295B0B36"/>
    <w:rsid w:val="295B4A49"/>
    <w:rsid w:val="29C76F1B"/>
    <w:rsid w:val="29FD04D3"/>
    <w:rsid w:val="2A0A08EA"/>
    <w:rsid w:val="2AB8592A"/>
    <w:rsid w:val="2AD6159E"/>
    <w:rsid w:val="2B097445"/>
    <w:rsid w:val="2B143694"/>
    <w:rsid w:val="2B781EA2"/>
    <w:rsid w:val="2C715888"/>
    <w:rsid w:val="2C7526C5"/>
    <w:rsid w:val="2C8A61B5"/>
    <w:rsid w:val="2C9F32D1"/>
    <w:rsid w:val="2CA30821"/>
    <w:rsid w:val="2CE61880"/>
    <w:rsid w:val="2D706129"/>
    <w:rsid w:val="2D7861DD"/>
    <w:rsid w:val="2DA605FE"/>
    <w:rsid w:val="2DF04E50"/>
    <w:rsid w:val="2DFB3193"/>
    <w:rsid w:val="2EC90D22"/>
    <w:rsid w:val="2ECD160C"/>
    <w:rsid w:val="2EDF7FA4"/>
    <w:rsid w:val="2F06604B"/>
    <w:rsid w:val="2F37651D"/>
    <w:rsid w:val="2F511E06"/>
    <w:rsid w:val="2F635659"/>
    <w:rsid w:val="2F925526"/>
    <w:rsid w:val="2FCB40B7"/>
    <w:rsid w:val="30100393"/>
    <w:rsid w:val="301B65D0"/>
    <w:rsid w:val="302C3DED"/>
    <w:rsid w:val="303469DA"/>
    <w:rsid w:val="30AE6B9C"/>
    <w:rsid w:val="30BD1533"/>
    <w:rsid w:val="31095BBF"/>
    <w:rsid w:val="314C690D"/>
    <w:rsid w:val="314E112F"/>
    <w:rsid w:val="318D0BF0"/>
    <w:rsid w:val="319F7F4E"/>
    <w:rsid w:val="31F57C1B"/>
    <w:rsid w:val="320511CE"/>
    <w:rsid w:val="32320AEF"/>
    <w:rsid w:val="32442716"/>
    <w:rsid w:val="324F5405"/>
    <w:rsid w:val="326D4F15"/>
    <w:rsid w:val="326E62DF"/>
    <w:rsid w:val="328E494E"/>
    <w:rsid w:val="329B5336"/>
    <w:rsid w:val="32DB4065"/>
    <w:rsid w:val="33431A96"/>
    <w:rsid w:val="33467E90"/>
    <w:rsid w:val="33DE03FB"/>
    <w:rsid w:val="34AB6782"/>
    <w:rsid w:val="34DF549F"/>
    <w:rsid w:val="35013D62"/>
    <w:rsid w:val="35142E0E"/>
    <w:rsid w:val="35182EDA"/>
    <w:rsid w:val="35382255"/>
    <w:rsid w:val="356B0A8C"/>
    <w:rsid w:val="360B6EF6"/>
    <w:rsid w:val="360F59B6"/>
    <w:rsid w:val="361D352B"/>
    <w:rsid w:val="36AA5135"/>
    <w:rsid w:val="370011D8"/>
    <w:rsid w:val="37085AAC"/>
    <w:rsid w:val="371435BA"/>
    <w:rsid w:val="371A5950"/>
    <w:rsid w:val="373F0BD6"/>
    <w:rsid w:val="37586D28"/>
    <w:rsid w:val="37A27476"/>
    <w:rsid w:val="37C6655D"/>
    <w:rsid w:val="37CC0EF8"/>
    <w:rsid w:val="37E16F03"/>
    <w:rsid w:val="38A418AB"/>
    <w:rsid w:val="38A7741B"/>
    <w:rsid w:val="38C11B25"/>
    <w:rsid w:val="38CB5F27"/>
    <w:rsid w:val="38F448E0"/>
    <w:rsid w:val="38F955BF"/>
    <w:rsid w:val="391108FA"/>
    <w:rsid w:val="394718E7"/>
    <w:rsid w:val="39C50F27"/>
    <w:rsid w:val="39CA4D59"/>
    <w:rsid w:val="39E10CC6"/>
    <w:rsid w:val="3A0212E6"/>
    <w:rsid w:val="3A43400C"/>
    <w:rsid w:val="3A6D6FA7"/>
    <w:rsid w:val="3A9976DE"/>
    <w:rsid w:val="3AB27147"/>
    <w:rsid w:val="3AD41862"/>
    <w:rsid w:val="3AD8648B"/>
    <w:rsid w:val="3B2771D0"/>
    <w:rsid w:val="3B3B2E96"/>
    <w:rsid w:val="3B413758"/>
    <w:rsid w:val="3B42197C"/>
    <w:rsid w:val="3BA009C0"/>
    <w:rsid w:val="3BA666E3"/>
    <w:rsid w:val="3BA92062"/>
    <w:rsid w:val="3BF1216E"/>
    <w:rsid w:val="3C3E4ABF"/>
    <w:rsid w:val="3C5D22FD"/>
    <w:rsid w:val="3C9210B4"/>
    <w:rsid w:val="3CB4688A"/>
    <w:rsid w:val="3D0E2E82"/>
    <w:rsid w:val="3D98207C"/>
    <w:rsid w:val="3DEC4E5F"/>
    <w:rsid w:val="3E5700F1"/>
    <w:rsid w:val="3E5E43C1"/>
    <w:rsid w:val="3E8B451E"/>
    <w:rsid w:val="3E913535"/>
    <w:rsid w:val="3EA46545"/>
    <w:rsid w:val="3EB778A0"/>
    <w:rsid w:val="3EBD6046"/>
    <w:rsid w:val="3ED82313"/>
    <w:rsid w:val="3EEF7764"/>
    <w:rsid w:val="3F144B3E"/>
    <w:rsid w:val="3F4746C9"/>
    <w:rsid w:val="3F7B1B8F"/>
    <w:rsid w:val="3F9A56AE"/>
    <w:rsid w:val="3FCB2D4F"/>
    <w:rsid w:val="3FEC6381"/>
    <w:rsid w:val="3FF23141"/>
    <w:rsid w:val="40281263"/>
    <w:rsid w:val="417E4FE4"/>
    <w:rsid w:val="41803896"/>
    <w:rsid w:val="41DA416A"/>
    <w:rsid w:val="42A12407"/>
    <w:rsid w:val="430C0CEF"/>
    <w:rsid w:val="431B7257"/>
    <w:rsid w:val="4327583C"/>
    <w:rsid w:val="43D3549D"/>
    <w:rsid w:val="443A3E7E"/>
    <w:rsid w:val="44A51405"/>
    <w:rsid w:val="44E268DA"/>
    <w:rsid w:val="450372CF"/>
    <w:rsid w:val="451A14B5"/>
    <w:rsid w:val="453A78E5"/>
    <w:rsid w:val="45AE488C"/>
    <w:rsid w:val="45C46ADE"/>
    <w:rsid w:val="45D710FE"/>
    <w:rsid w:val="46957D57"/>
    <w:rsid w:val="47050731"/>
    <w:rsid w:val="472458E6"/>
    <w:rsid w:val="479C0D7C"/>
    <w:rsid w:val="47D15EDA"/>
    <w:rsid w:val="47EF2FBA"/>
    <w:rsid w:val="481169B2"/>
    <w:rsid w:val="482D56F8"/>
    <w:rsid w:val="48582275"/>
    <w:rsid w:val="487D5024"/>
    <w:rsid w:val="48BE34B0"/>
    <w:rsid w:val="48D602BE"/>
    <w:rsid w:val="48E94294"/>
    <w:rsid w:val="491139A7"/>
    <w:rsid w:val="49DB2E6B"/>
    <w:rsid w:val="49F67D26"/>
    <w:rsid w:val="4A302325"/>
    <w:rsid w:val="4A5F21E4"/>
    <w:rsid w:val="4A627F82"/>
    <w:rsid w:val="4ABC73A1"/>
    <w:rsid w:val="4AD26B01"/>
    <w:rsid w:val="4AF46585"/>
    <w:rsid w:val="4AF652E7"/>
    <w:rsid w:val="4B384BCA"/>
    <w:rsid w:val="4B4F25DA"/>
    <w:rsid w:val="4B954940"/>
    <w:rsid w:val="4BA82831"/>
    <w:rsid w:val="4BE068DB"/>
    <w:rsid w:val="4BE75A29"/>
    <w:rsid w:val="4BED4B30"/>
    <w:rsid w:val="4C0A7185"/>
    <w:rsid w:val="4C2711F2"/>
    <w:rsid w:val="4C4950B8"/>
    <w:rsid w:val="4C6E3D17"/>
    <w:rsid w:val="4CD15A5F"/>
    <w:rsid w:val="4CEF2655"/>
    <w:rsid w:val="4D05587D"/>
    <w:rsid w:val="4D170869"/>
    <w:rsid w:val="4D577224"/>
    <w:rsid w:val="4D6716BE"/>
    <w:rsid w:val="4DD617D0"/>
    <w:rsid w:val="4DF227F3"/>
    <w:rsid w:val="4E190451"/>
    <w:rsid w:val="4E971678"/>
    <w:rsid w:val="4EAB630A"/>
    <w:rsid w:val="4EAB7239"/>
    <w:rsid w:val="4EB91B76"/>
    <w:rsid w:val="4EBC5046"/>
    <w:rsid w:val="4ECE2238"/>
    <w:rsid w:val="4F3670E9"/>
    <w:rsid w:val="4F880E96"/>
    <w:rsid w:val="4F8938A0"/>
    <w:rsid w:val="4F956D40"/>
    <w:rsid w:val="4FD073AE"/>
    <w:rsid w:val="4FE23CD4"/>
    <w:rsid w:val="500B7FD0"/>
    <w:rsid w:val="501443A9"/>
    <w:rsid w:val="501B1564"/>
    <w:rsid w:val="50A00E9D"/>
    <w:rsid w:val="50F80FEA"/>
    <w:rsid w:val="510035EA"/>
    <w:rsid w:val="513A14C2"/>
    <w:rsid w:val="51C55489"/>
    <w:rsid w:val="51CF44CE"/>
    <w:rsid w:val="52002AD9"/>
    <w:rsid w:val="520F569A"/>
    <w:rsid w:val="521675AF"/>
    <w:rsid w:val="523E7CBB"/>
    <w:rsid w:val="5392319F"/>
    <w:rsid w:val="53A44C27"/>
    <w:rsid w:val="541D77D4"/>
    <w:rsid w:val="542E49B0"/>
    <w:rsid w:val="547C6403"/>
    <w:rsid w:val="55C136DF"/>
    <w:rsid w:val="55CA5F41"/>
    <w:rsid w:val="55E02B13"/>
    <w:rsid w:val="56141686"/>
    <w:rsid w:val="5670604F"/>
    <w:rsid w:val="57064422"/>
    <w:rsid w:val="575A091E"/>
    <w:rsid w:val="57981C6B"/>
    <w:rsid w:val="57F24D57"/>
    <w:rsid w:val="58621204"/>
    <w:rsid w:val="5896186A"/>
    <w:rsid w:val="58AC4B49"/>
    <w:rsid w:val="58C73D32"/>
    <w:rsid w:val="58D95974"/>
    <w:rsid w:val="58DE2F52"/>
    <w:rsid w:val="58F77875"/>
    <w:rsid w:val="58FA02A1"/>
    <w:rsid w:val="590C4499"/>
    <w:rsid w:val="591F18E9"/>
    <w:rsid w:val="59B8019B"/>
    <w:rsid w:val="59D72B05"/>
    <w:rsid w:val="59DF5FA4"/>
    <w:rsid w:val="5AF92295"/>
    <w:rsid w:val="5B1E2254"/>
    <w:rsid w:val="5B323F60"/>
    <w:rsid w:val="5BB23415"/>
    <w:rsid w:val="5C9319D6"/>
    <w:rsid w:val="5CD71FC4"/>
    <w:rsid w:val="5CDA35EB"/>
    <w:rsid w:val="5D0A613C"/>
    <w:rsid w:val="5D1E12A5"/>
    <w:rsid w:val="5D4C3925"/>
    <w:rsid w:val="5D58298F"/>
    <w:rsid w:val="5D763291"/>
    <w:rsid w:val="5DB12508"/>
    <w:rsid w:val="5E2625F5"/>
    <w:rsid w:val="5E351875"/>
    <w:rsid w:val="5ED47645"/>
    <w:rsid w:val="5F5E5F9D"/>
    <w:rsid w:val="5F9A52C6"/>
    <w:rsid w:val="5FA765EA"/>
    <w:rsid w:val="5FDF49A5"/>
    <w:rsid w:val="5FF655E3"/>
    <w:rsid w:val="60111B22"/>
    <w:rsid w:val="603C0889"/>
    <w:rsid w:val="608B5540"/>
    <w:rsid w:val="609F7719"/>
    <w:rsid w:val="610D3E2D"/>
    <w:rsid w:val="614930D8"/>
    <w:rsid w:val="61C8623D"/>
    <w:rsid w:val="61EC09B9"/>
    <w:rsid w:val="62C27ACC"/>
    <w:rsid w:val="634B405B"/>
    <w:rsid w:val="635A511A"/>
    <w:rsid w:val="6376297B"/>
    <w:rsid w:val="637E04A1"/>
    <w:rsid w:val="639C43BC"/>
    <w:rsid w:val="63A37AB6"/>
    <w:rsid w:val="63B65A40"/>
    <w:rsid w:val="63BF3516"/>
    <w:rsid w:val="63C43D36"/>
    <w:rsid w:val="63DE5E76"/>
    <w:rsid w:val="63E1624D"/>
    <w:rsid w:val="64037D0B"/>
    <w:rsid w:val="641F1898"/>
    <w:rsid w:val="644D06DE"/>
    <w:rsid w:val="644F4C6C"/>
    <w:rsid w:val="64AA3C8F"/>
    <w:rsid w:val="64D1637F"/>
    <w:rsid w:val="653763B2"/>
    <w:rsid w:val="653E06D8"/>
    <w:rsid w:val="659652CB"/>
    <w:rsid w:val="65BF293A"/>
    <w:rsid w:val="65E500F7"/>
    <w:rsid w:val="66E43C15"/>
    <w:rsid w:val="67017E3E"/>
    <w:rsid w:val="67483B55"/>
    <w:rsid w:val="674B7FB6"/>
    <w:rsid w:val="675652C4"/>
    <w:rsid w:val="67CE78E9"/>
    <w:rsid w:val="6825611A"/>
    <w:rsid w:val="68402852"/>
    <w:rsid w:val="68903501"/>
    <w:rsid w:val="68AD24A2"/>
    <w:rsid w:val="690E49EE"/>
    <w:rsid w:val="69253C06"/>
    <w:rsid w:val="69675B1C"/>
    <w:rsid w:val="696C4C3F"/>
    <w:rsid w:val="697D72C1"/>
    <w:rsid w:val="69CB613D"/>
    <w:rsid w:val="69CE3AAB"/>
    <w:rsid w:val="69D51B24"/>
    <w:rsid w:val="6A1C2221"/>
    <w:rsid w:val="6A1D1E98"/>
    <w:rsid w:val="6A6131CE"/>
    <w:rsid w:val="6A6E271D"/>
    <w:rsid w:val="6A8A4C9D"/>
    <w:rsid w:val="6A9B46A4"/>
    <w:rsid w:val="6AAB3ABB"/>
    <w:rsid w:val="6B146AB4"/>
    <w:rsid w:val="6B4D7DA5"/>
    <w:rsid w:val="6B6C3039"/>
    <w:rsid w:val="6BB116F6"/>
    <w:rsid w:val="6BBC0EB3"/>
    <w:rsid w:val="6C4A05C8"/>
    <w:rsid w:val="6C5C3B1E"/>
    <w:rsid w:val="6C904F8A"/>
    <w:rsid w:val="6C9339A3"/>
    <w:rsid w:val="6C990A9F"/>
    <w:rsid w:val="6C9B6509"/>
    <w:rsid w:val="6CA23A51"/>
    <w:rsid w:val="6CA658E1"/>
    <w:rsid w:val="6CBD01EA"/>
    <w:rsid w:val="6D1A4B1B"/>
    <w:rsid w:val="6D2577EB"/>
    <w:rsid w:val="6D7F10AD"/>
    <w:rsid w:val="6DB92CEE"/>
    <w:rsid w:val="6DBB7731"/>
    <w:rsid w:val="6DF62A15"/>
    <w:rsid w:val="6E5B65C2"/>
    <w:rsid w:val="6E6018EC"/>
    <w:rsid w:val="6E7E3605"/>
    <w:rsid w:val="6EBF5904"/>
    <w:rsid w:val="6ED7420C"/>
    <w:rsid w:val="6F314EB4"/>
    <w:rsid w:val="6F44211A"/>
    <w:rsid w:val="6F697B07"/>
    <w:rsid w:val="6FBB7B03"/>
    <w:rsid w:val="6FCA7D4B"/>
    <w:rsid w:val="6FD50BBC"/>
    <w:rsid w:val="6FF5CC65"/>
    <w:rsid w:val="6FFD088F"/>
    <w:rsid w:val="701A05B1"/>
    <w:rsid w:val="702B7C77"/>
    <w:rsid w:val="703534AB"/>
    <w:rsid w:val="70520D26"/>
    <w:rsid w:val="70556A29"/>
    <w:rsid w:val="70735BA8"/>
    <w:rsid w:val="7083487D"/>
    <w:rsid w:val="70854731"/>
    <w:rsid w:val="709554EE"/>
    <w:rsid w:val="70B41B11"/>
    <w:rsid w:val="70E47AB8"/>
    <w:rsid w:val="715C0E4B"/>
    <w:rsid w:val="71B97EF7"/>
    <w:rsid w:val="71C01BA3"/>
    <w:rsid w:val="71DE58D9"/>
    <w:rsid w:val="71EB7927"/>
    <w:rsid w:val="720B0D7C"/>
    <w:rsid w:val="72734D90"/>
    <w:rsid w:val="728B015B"/>
    <w:rsid w:val="728B2E5B"/>
    <w:rsid w:val="72900134"/>
    <w:rsid w:val="72C53F48"/>
    <w:rsid w:val="72EA675E"/>
    <w:rsid w:val="72F71DC6"/>
    <w:rsid w:val="733B3C2F"/>
    <w:rsid w:val="73544750"/>
    <w:rsid w:val="73567A19"/>
    <w:rsid w:val="73A846F0"/>
    <w:rsid w:val="73AD73D5"/>
    <w:rsid w:val="73B6EB34"/>
    <w:rsid w:val="744478FC"/>
    <w:rsid w:val="74457E16"/>
    <w:rsid w:val="74776E08"/>
    <w:rsid w:val="749422CE"/>
    <w:rsid w:val="74AF5383"/>
    <w:rsid w:val="74E026DF"/>
    <w:rsid w:val="74E4237B"/>
    <w:rsid w:val="756B4A45"/>
    <w:rsid w:val="75B33A52"/>
    <w:rsid w:val="75B90687"/>
    <w:rsid w:val="75BA2610"/>
    <w:rsid w:val="75D43155"/>
    <w:rsid w:val="75F647E5"/>
    <w:rsid w:val="75F87AA4"/>
    <w:rsid w:val="763245F7"/>
    <w:rsid w:val="7697102D"/>
    <w:rsid w:val="76C21827"/>
    <w:rsid w:val="775A2065"/>
    <w:rsid w:val="77605D29"/>
    <w:rsid w:val="776E5C9A"/>
    <w:rsid w:val="783C4899"/>
    <w:rsid w:val="78BF5B59"/>
    <w:rsid w:val="78DD09AF"/>
    <w:rsid w:val="78EB5B46"/>
    <w:rsid w:val="79575B0D"/>
    <w:rsid w:val="79A439DC"/>
    <w:rsid w:val="79EE5BA4"/>
    <w:rsid w:val="7A0D7CDD"/>
    <w:rsid w:val="7A335FFF"/>
    <w:rsid w:val="7A5438B9"/>
    <w:rsid w:val="7A7556CE"/>
    <w:rsid w:val="7A894339"/>
    <w:rsid w:val="7AEF1340"/>
    <w:rsid w:val="7B2C6B9F"/>
    <w:rsid w:val="7B3E71BC"/>
    <w:rsid w:val="7B9600A4"/>
    <w:rsid w:val="7BD92B3C"/>
    <w:rsid w:val="7BF21646"/>
    <w:rsid w:val="7C0D1840"/>
    <w:rsid w:val="7C4374E5"/>
    <w:rsid w:val="7D0B5C31"/>
    <w:rsid w:val="7D1F54AD"/>
    <w:rsid w:val="7D99464D"/>
    <w:rsid w:val="7DD679F6"/>
    <w:rsid w:val="7E184932"/>
    <w:rsid w:val="7E8125D9"/>
    <w:rsid w:val="7ED45D9F"/>
    <w:rsid w:val="7EEF11D3"/>
    <w:rsid w:val="7EF74D3E"/>
    <w:rsid w:val="7F9622A9"/>
    <w:rsid w:val="7FA30C79"/>
    <w:rsid w:val="7FB01CD6"/>
    <w:rsid w:val="7FBE4634"/>
    <w:rsid w:val="7FC96657"/>
    <w:rsid w:val="7FE31149"/>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link w:val="35"/>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link w:val="37"/>
    <w:qFormat/>
    <w:uiPriority w:val="99"/>
    <w:rPr>
      <w:rFonts w:ascii="宋体" w:hAnsi="Courier New" w:eastAsia="仿宋_GB2312" w:cs="Courier New"/>
      <w:b/>
      <w:sz w:val="32"/>
      <w:szCs w:val="21"/>
    </w:r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Autospacing="1" w:afterAutospacing="1"/>
      <w:jc w:val="left"/>
    </w:pPr>
    <w:rPr>
      <w:kern w:val="0"/>
      <w:sz w:val="24"/>
      <w:szCs w:val="22"/>
    </w:rPr>
  </w:style>
  <w:style w:type="paragraph" w:styleId="15">
    <w:name w:val="Body Text First Indent 2"/>
    <w:basedOn w:val="6"/>
    <w:link w:val="36"/>
    <w:semiHidden/>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99"/>
    <w:pPr>
      <w:ind w:firstLine="420" w:firstLineChars="200"/>
    </w:pPr>
  </w:style>
  <w:style w:type="character" w:customStyle="1" w:styleId="28">
    <w:name w:val="标题 1 字符"/>
    <w:basedOn w:val="17"/>
    <w:link w:val="3"/>
    <w:qFormat/>
    <w:uiPriority w:val="9"/>
    <w:rPr>
      <w:rFonts w:ascii="Times New Roman" w:hAnsi="Times New Roman"/>
      <w:b/>
      <w:bCs/>
      <w:kern w:val="44"/>
      <w:sz w:val="44"/>
      <w:szCs w:val="44"/>
    </w:rPr>
  </w:style>
  <w:style w:type="character" w:customStyle="1" w:styleId="29">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Body text|1"/>
    <w:basedOn w:val="1"/>
    <w:qFormat/>
    <w:uiPriority w:val="0"/>
    <w:pPr>
      <w:spacing w:line="403" w:lineRule="auto"/>
      <w:ind w:firstLine="120"/>
    </w:pPr>
    <w:rPr>
      <w:rFonts w:ascii="MingLiU" w:hAnsi="MingLiU" w:eastAsia="MingLiU" w:cs="MingLiU"/>
      <w:sz w:val="20"/>
      <w:szCs w:val="20"/>
      <w:lang w:val="zh-TW" w:eastAsia="zh-TW" w:bidi="zh-TW"/>
    </w:rPr>
  </w:style>
  <w:style w:type="character" w:customStyle="1" w:styleId="35">
    <w:name w:val="正文文本缩进 字符"/>
    <w:basedOn w:val="17"/>
    <w:link w:val="6"/>
    <w:semiHidden/>
    <w:qFormat/>
    <w:uiPriority w:val="99"/>
    <w:rPr>
      <w:rFonts w:eastAsia="宋体"/>
      <w:kern w:val="2"/>
      <w:sz w:val="21"/>
      <w:szCs w:val="24"/>
    </w:rPr>
  </w:style>
  <w:style w:type="character" w:customStyle="1" w:styleId="36">
    <w:name w:val="正文文本首行缩进 2 字符"/>
    <w:basedOn w:val="35"/>
    <w:link w:val="15"/>
    <w:semiHidden/>
    <w:qFormat/>
    <w:uiPriority w:val="99"/>
    <w:rPr>
      <w:rFonts w:eastAsia="宋体"/>
      <w:kern w:val="2"/>
      <w:sz w:val="21"/>
      <w:szCs w:val="24"/>
    </w:rPr>
  </w:style>
  <w:style w:type="character" w:customStyle="1" w:styleId="37">
    <w:name w:val="纯文本 字符"/>
    <w:basedOn w:val="17"/>
    <w:link w:val="8"/>
    <w:qFormat/>
    <w:uiPriority w:val="99"/>
    <w:rPr>
      <w:rFonts w:ascii="宋体" w:hAnsi="Courier New" w:eastAsia="仿宋_GB2312" w:cs="Courier New"/>
      <w:b/>
      <w:kern w:val="2"/>
      <w:sz w:val="32"/>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489.87</c:v>
                </c:pt>
                <c:pt idx="1">
                  <c:v>489.87</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421.21</c:v>
                </c:pt>
                <c:pt idx="1">
                  <c:v>421.21</c:v>
                </c:pt>
              </c:numCache>
            </c:numRef>
          </c:val>
        </c:ser>
        <c:dLbls>
          <c:showLegendKey val="0"/>
          <c:showVal val="0"/>
          <c:showCatName val="0"/>
          <c:showSerName val="0"/>
          <c:showPercent val="0"/>
          <c:showBubbleSize val="0"/>
        </c:dLbls>
        <c:gapWidth val="219"/>
        <c:overlap val="-27"/>
        <c:axId val="665143732"/>
        <c:axId val="183432607"/>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no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651437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432607"/>
        <c:crosses val="autoZero"/>
        <c:auto val="1"/>
        <c:lblAlgn val="ctr"/>
        <c:lblOffset val="100"/>
        <c:noMultiLvlLbl val="0"/>
      </c:catAx>
      <c:valAx>
        <c:axId val="183432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51437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2022年收入决算结构图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421.21</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2022年支出决算结构图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419.71</c:v>
                </c:pt>
                <c:pt idx="1">
                  <c:v>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年财政拨款收、支决算总计变动情况（万元）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489.87</c:v>
                </c:pt>
                <c:pt idx="1">
                  <c:v>489.87</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421.21</c:v>
                </c:pt>
                <c:pt idx="1">
                  <c:v>421.21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5991270"/>
        <c:axId val="424954050"/>
      </c:barChart>
      <c:catAx>
        <c:axId val="3599127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954050"/>
        <c:crosses val="autoZero"/>
        <c:auto val="1"/>
        <c:lblAlgn val="ctr"/>
        <c:lblOffset val="100"/>
        <c:noMultiLvlLbl val="0"/>
      </c:catAx>
      <c:valAx>
        <c:axId val="42495405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99127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教育支出</c:v>
                </c:pt>
                <c:pt idx="1">
                  <c:v>社会保障和就业支出</c:v>
                </c:pt>
                <c:pt idx="2">
                  <c:v>卫生健康支出</c:v>
                </c:pt>
                <c:pt idx="3">
                  <c:v>住房保障支出</c:v>
                </c:pt>
                <c:pt idx="4">
                  <c:v>文化旅游体育与传媒</c:v>
                </c:pt>
              </c:strCache>
            </c:strRef>
          </c:cat>
          <c:val>
            <c:numRef>
              <c:f>Sheet1!$B$2:$B$6</c:f>
              <c:numCache>
                <c:formatCode>General</c:formatCode>
                <c:ptCount val="5"/>
                <c:pt idx="0">
                  <c:v>353.04</c:v>
                </c:pt>
                <c:pt idx="1">
                  <c:v>29.63</c:v>
                </c:pt>
                <c:pt idx="2">
                  <c:v>14.82</c:v>
                </c:pt>
                <c:pt idx="3">
                  <c:v>22.22</c:v>
                </c:pt>
                <c:pt idx="4" c:formatCode="0.00_ ">
                  <c:v>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21</Pages>
  <Words>6958</Words>
  <Characters>7675</Characters>
  <Lines>65</Lines>
  <Paragraphs>18</Paragraphs>
  <TotalTime>1</TotalTime>
  <ScaleCrop>false</ScaleCrop>
  <LinksUpToDate>false</LinksUpToDate>
  <CharactersWithSpaces>7747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2022-08-08T09:11:00Z</cp:lastPrinted>
  <dcterms:modified xsi:type="dcterms:W3CDTF">2023-12-11T08:42:15Z</dcterms:modified>
  <dc:title>四川省***</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507257C3F26F4FF18CA01B3953F3568F_12</vt:lpwstr>
  </property>
</Properties>
</file>