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96475"/>
      <w:bookmarkStart w:id="1" w:name="_Toc15396597"/>
      <w:bookmarkStart w:id="2" w:name="_Toc15377193"/>
      <w:bookmarkStart w:id="3" w:name="_Toc15377425"/>
      <w:bookmarkStart w:id="4" w:name="_Toc15378441"/>
      <w:bookmarkStart w:id="5" w:name="_Toc15306267"/>
    </w:p>
    <w:p>
      <w:pPr>
        <w:spacing w:line="600" w:lineRule="exact"/>
        <w:jc w:val="center"/>
        <w:outlineLvl w:val="0"/>
        <w:rPr>
          <w:rFonts w:ascii="方正小标宋简体" w:hAnsi="宋体" w:eastAsia="方正小标宋简体"/>
          <w:sz w:val="72"/>
          <w:szCs w:val="72"/>
        </w:rPr>
      </w:pPr>
    </w:p>
    <w:p>
      <w:pPr>
        <w:spacing w:line="600" w:lineRule="exact"/>
        <w:jc w:val="center"/>
        <w:outlineLvl w:val="0"/>
        <w:rPr>
          <w:rFonts w:ascii="方正小标宋简体" w:hAnsi="宋体" w:eastAsia="方正小标宋简体"/>
          <w:sz w:val="72"/>
          <w:szCs w:val="72"/>
        </w:rPr>
      </w:pPr>
    </w:p>
    <w:p>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2022年度</w:t>
      </w:r>
      <w:bookmarkEnd w:id="0"/>
      <w:bookmarkEnd w:id="1"/>
      <w:bookmarkEnd w:id="2"/>
      <w:bookmarkEnd w:id="3"/>
      <w:bookmarkEnd w:id="4"/>
    </w:p>
    <w:p>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6" w:name="_Toc15378442"/>
      <w:bookmarkStart w:id="7" w:name="_Toc15377194"/>
      <w:bookmarkStart w:id="8" w:name="_Toc15396476"/>
      <w:bookmarkStart w:id="9" w:name="_Toc15396598"/>
      <w:bookmarkStart w:id="10" w:name="_Toc15377426"/>
      <w:r>
        <w:rPr>
          <w:rFonts w:hint="eastAsia" w:ascii="方正小标宋简体" w:hAnsi="方正小标宋简体" w:eastAsia="方正小标宋简体" w:cs="方正小标宋简体"/>
          <w:sz w:val="72"/>
          <w:szCs w:val="72"/>
        </w:rPr>
        <w:t>剑阁县</w:t>
      </w:r>
      <w:bookmarkEnd w:id="5"/>
      <w:bookmarkStart w:id="11" w:name="_Toc15306268"/>
      <w:r>
        <w:rPr>
          <w:rFonts w:hint="eastAsia" w:ascii="方正小标宋简体" w:hAnsi="方正小标宋简体" w:eastAsia="方正小标宋简体" w:cs="方正小标宋简体"/>
          <w:sz w:val="72"/>
          <w:szCs w:val="72"/>
          <w:lang w:val="en-US" w:eastAsia="zh-CN"/>
        </w:rPr>
        <w:t xml:space="preserve">乡村振兴局      </w:t>
      </w:r>
      <w:r>
        <w:rPr>
          <w:rFonts w:hint="eastAsia" w:ascii="方正小标宋简体" w:hAnsi="方正小标宋简体" w:eastAsia="方正小标宋简体" w:cs="方正小标宋简体"/>
          <w:sz w:val="72"/>
          <w:szCs w:val="72"/>
        </w:rPr>
        <w:t>部门决算</w:t>
      </w:r>
      <w:bookmarkEnd w:id="6"/>
      <w:bookmarkEnd w:id="7"/>
      <w:bookmarkEnd w:id="8"/>
      <w:bookmarkEnd w:id="9"/>
      <w:bookmarkEnd w:id="10"/>
      <w:bookmarkEnd w:id="11"/>
    </w:p>
    <w:p>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pPr>
        <w:widowControl/>
        <w:jc w:val="center"/>
        <w:rPr>
          <w:rFonts w:ascii="黑体" w:hAnsi="黑体" w:eastAsia="黑体" w:cstheme="minorBidi"/>
          <w:sz w:val="28"/>
          <w:szCs w:val="28"/>
        </w:rPr>
      </w:pPr>
    </w:p>
    <w:p>
      <w:pPr>
        <w:pStyle w:val="12"/>
        <w:rPr>
          <w:sz w:val="32"/>
          <w:szCs w:val="32"/>
        </w:rPr>
      </w:pPr>
      <w:r>
        <w:rPr>
          <w:rFonts w:hint="eastAsia"/>
          <w:sz w:val="32"/>
          <w:szCs w:val="32"/>
        </w:rPr>
        <w:t>公开时间：2023年</w:t>
      </w:r>
      <w:r>
        <w:rPr>
          <w:rFonts w:hint="eastAsia"/>
          <w:sz w:val="32"/>
          <w:szCs w:val="32"/>
          <w:lang w:val="en-US" w:eastAsia="zh-CN"/>
        </w:rPr>
        <w:t>12</w:t>
      </w:r>
      <w:r>
        <w:rPr>
          <w:rFonts w:hint="eastAsia"/>
          <w:sz w:val="32"/>
          <w:szCs w:val="32"/>
        </w:rPr>
        <w:t>月</w:t>
      </w:r>
      <w:r>
        <w:rPr>
          <w:rFonts w:hint="eastAsia"/>
          <w:sz w:val="32"/>
          <w:szCs w:val="32"/>
          <w:lang w:val="en-US" w:eastAsia="zh-CN"/>
        </w:rPr>
        <w:t>12</w:t>
      </w:r>
      <w:r>
        <w:rPr>
          <w:rFonts w:hint="eastAsia"/>
          <w:sz w:val="32"/>
          <w:szCs w:val="32"/>
        </w:rPr>
        <w:t>日</w:t>
      </w:r>
    </w:p>
    <w:p/>
    <w:p>
      <w:pPr>
        <w:pStyle w:val="12"/>
        <w:adjustRightInd w:val="0"/>
        <w:snapToGrid w:val="0"/>
        <w:spacing w:before="0" w:line="440" w:lineRule="exact"/>
        <w:jc w:val="left"/>
        <w:rPr>
          <w:rFonts w:cstheme="minorBidi"/>
          <w:sz w:val="32"/>
          <w:szCs w:val="32"/>
        </w:rPr>
      </w:pPr>
      <w:r>
        <w:rPr>
          <w:rFonts w:hint="eastAsia"/>
          <w:sz w:val="32"/>
          <w:szCs w:val="32"/>
        </w:rPr>
        <w:t>第一部分</w:t>
      </w:r>
      <w:r>
        <w:rPr>
          <w:sz w:val="32"/>
          <w:szCs w:val="32"/>
        </w:rPr>
        <w:t xml:space="preserve"> </w:t>
      </w:r>
      <w:r>
        <w:rPr>
          <w:rFonts w:hint="eastAsia"/>
          <w:sz w:val="32"/>
          <w:szCs w:val="32"/>
        </w:rPr>
        <w:t>部门概况</w:t>
      </w:r>
    </w:p>
    <w:p>
      <w:pPr>
        <w:pStyle w:val="13"/>
        <w:adjustRightInd w:val="0"/>
        <w:snapToGrid w:val="0"/>
        <w:spacing w:line="440" w:lineRule="exact"/>
        <w:jc w:val="left"/>
        <w:rPr>
          <w:sz w:val="32"/>
          <w:szCs w:val="32"/>
        </w:rPr>
      </w:pPr>
      <w:r>
        <w:rPr>
          <w:rFonts w:hint="eastAsia"/>
          <w:sz w:val="32"/>
          <w:szCs w:val="32"/>
        </w:rPr>
        <w:t>一、部门职责及重点</w:t>
      </w:r>
      <w:r>
        <w:rPr>
          <w:sz w:val="32"/>
          <w:szCs w:val="32"/>
        </w:rPr>
        <w:t>工作</w:t>
      </w:r>
    </w:p>
    <w:p>
      <w:pPr>
        <w:pStyle w:val="13"/>
        <w:adjustRightInd w:val="0"/>
        <w:snapToGrid w:val="0"/>
        <w:spacing w:line="440" w:lineRule="exact"/>
        <w:jc w:val="left"/>
        <w:rPr>
          <w:rFonts w:ascii="Times New Roman" w:hAnsi="Times New Roman" w:eastAsia="宋体" w:cs="Times New Roman"/>
          <w:b w:val="0"/>
          <w:bCs w:val="0"/>
          <w:sz w:val="32"/>
          <w:szCs w:val="32"/>
        </w:rPr>
      </w:pPr>
      <w:r>
        <w:rPr>
          <w:rFonts w:hint="eastAsia" w:ascii="Times New Roman" w:hAnsi="Times New Roman" w:eastAsia="宋体" w:cs="Times New Roman"/>
          <w:b w:val="0"/>
          <w:bCs w:val="0"/>
          <w:sz w:val="32"/>
          <w:szCs w:val="32"/>
        </w:rPr>
        <w:t>(一)部门</w:t>
      </w:r>
      <w:r>
        <w:rPr>
          <w:rFonts w:ascii="Times New Roman" w:hAnsi="Times New Roman" w:eastAsia="宋体" w:cs="Times New Roman"/>
          <w:b w:val="0"/>
          <w:bCs w:val="0"/>
          <w:sz w:val="32"/>
          <w:szCs w:val="32"/>
        </w:rPr>
        <w:t>职责</w:t>
      </w:r>
    </w:p>
    <w:p>
      <w:pPr>
        <w:pStyle w:val="13"/>
        <w:adjustRightInd w:val="0"/>
        <w:snapToGrid w:val="0"/>
        <w:spacing w:line="440" w:lineRule="exact"/>
        <w:ind w:left="0" w:leftChars="0" w:firstLine="320" w:firstLineChars="100"/>
        <w:jc w:val="left"/>
        <w:rPr>
          <w:rFonts w:ascii="仿宋" w:hAnsi="仿宋" w:eastAsia="仿宋"/>
          <w:sz w:val="32"/>
          <w:szCs w:val="32"/>
        </w:rPr>
      </w:pPr>
      <w:r>
        <w:rPr>
          <w:rFonts w:hint="eastAsia"/>
          <w:sz w:val="32"/>
          <w:szCs w:val="32"/>
        </w:rPr>
        <w:t>（二）2022年重点工作完成情况</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二、机构设置</w:t>
      </w:r>
    </w:p>
    <w:p>
      <w:pPr>
        <w:pStyle w:val="12"/>
        <w:adjustRightInd w:val="0"/>
        <w:snapToGrid w:val="0"/>
        <w:spacing w:before="0" w:line="440" w:lineRule="exact"/>
        <w:jc w:val="left"/>
        <w:rPr>
          <w:sz w:val="32"/>
          <w:szCs w:val="32"/>
        </w:rPr>
      </w:pPr>
      <w:r>
        <w:rPr>
          <w:rFonts w:hint="eastAsia"/>
          <w:sz w:val="32"/>
          <w:szCs w:val="32"/>
        </w:rPr>
        <w:t>第二部分 2022年度部门决算情况说明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一、收入支出决算总体情况说明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二、收入决算情况说明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三、支出决算情况说明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四、财政拨款收入支出决算总体情况说明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五、一般公共预算财政拨款支出决算情况说明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六、一般公共预算财政拨款基本支出决算情况说明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七、财政拨款“三公”经费支出决算情况说明</w:t>
      </w:r>
    </w:p>
    <w:p>
      <w:pPr>
        <w:pStyle w:val="13"/>
        <w:adjustRightInd w:val="0"/>
        <w:snapToGrid w:val="0"/>
        <w:spacing w:line="440" w:lineRule="exact"/>
        <w:jc w:val="left"/>
        <w:rPr>
          <w:rFonts w:ascii="仿宋" w:hAnsi="仿宋" w:eastAsia="仿宋" w:cstheme="minorBidi"/>
          <w:sz w:val="32"/>
          <w:szCs w:val="32"/>
        </w:rPr>
      </w:pPr>
      <w:r>
        <w:rPr>
          <w:rFonts w:hint="eastAsia"/>
          <w:sz w:val="32"/>
          <w:szCs w:val="32"/>
        </w:rPr>
        <w:t>八、政府性基金预算支出决算情况说明</w:t>
      </w:r>
    </w:p>
    <w:p>
      <w:pPr>
        <w:pStyle w:val="13"/>
        <w:adjustRightInd w:val="0"/>
        <w:snapToGrid w:val="0"/>
        <w:spacing w:line="440" w:lineRule="exact"/>
        <w:ind w:leftChars="0"/>
        <w:jc w:val="left"/>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九、国有资本经营预算支出决算情况说明</w:t>
      </w:r>
    </w:p>
    <w:p>
      <w:pPr>
        <w:adjustRightInd w:val="0"/>
        <w:snapToGrid w:val="0"/>
        <w:spacing w:line="440" w:lineRule="exact"/>
        <w:ind w:firstLine="560" w:firstLineChars="175"/>
        <w:jc w:val="left"/>
        <w:rPr>
          <w:rFonts w:asciiTheme="minorEastAsia" w:hAnsiTheme="minorEastAsia" w:eastAsiaTheme="minorEastAsia" w:cstheme="minorEastAsia"/>
          <w:sz w:val="32"/>
          <w:szCs w:val="32"/>
        </w:rPr>
      </w:pPr>
      <w:r>
        <w:rPr>
          <w:rStyle w:val="19"/>
          <w:rFonts w:hint="eastAsia" w:asciiTheme="minorEastAsia" w:hAnsiTheme="minorEastAsia" w:eastAsiaTheme="minorEastAsia" w:cstheme="minorEastAsia"/>
          <w:color w:val="auto"/>
          <w:sz w:val="32"/>
          <w:szCs w:val="32"/>
          <w:u w:val="none"/>
        </w:rPr>
        <w:t>十、</w:t>
      </w:r>
      <w:r>
        <w:rPr>
          <w:rFonts w:hint="eastAsia" w:asciiTheme="minorEastAsia" w:hAnsiTheme="minorEastAsia" w:eastAsiaTheme="minorEastAsia" w:cstheme="minorEastAsia"/>
          <w:sz w:val="32"/>
          <w:szCs w:val="32"/>
        </w:rPr>
        <w:t>其他重要事项的情况说明</w:t>
      </w:r>
    </w:p>
    <w:p>
      <w:pPr>
        <w:pStyle w:val="12"/>
        <w:adjustRightInd w:val="0"/>
        <w:snapToGrid w:val="0"/>
        <w:spacing w:before="0" w:line="440" w:lineRule="exact"/>
        <w:jc w:val="left"/>
        <w:rPr>
          <w:rFonts w:cstheme="minorBidi"/>
          <w:sz w:val="32"/>
          <w:szCs w:val="32"/>
        </w:rPr>
      </w:pPr>
      <w:r>
        <w:rPr>
          <w:rFonts w:hint="eastAsia"/>
          <w:sz w:val="32"/>
          <w:szCs w:val="32"/>
        </w:rPr>
        <w:t>第三部分</w:t>
      </w:r>
      <w:r>
        <w:rPr>
          <w:sz w:val="32"/>
          <w:szCs w:val="32"/>
        </w:rPr>
        <w:t xml:space="preserve"> </w:t>
      </w:r>
      <w:r>
        <w:rPr>
          <w:rFonts w:hint="eastAsia"/>
          <w:sz w:val="32"/>
          <w:szCs w:val="32"/>
        </w:rPr>
        <w:t>名词解释</w:t>
      </w:r>
    </w:p>
    <w:p>
      <w:pPr>
        <w:pStyle w:val="12"/>
        <w:adjustRightInd w:val="0"/>
        <w:snapToGrid w:val="0"/>
        <w:spacing w:before="0" w:line="440" w:lineRule="exact"/>
        <w:jc w:val="left"/>
        <w:rPr>
          <w:rFonts w:cstheme="minorBidi"/>
          <w:sz w:val="32"/>
          <w:szCs w:val="32"/>
        </w:rPr>
      </w:pPr>
      <w:r>
        <w:rPr>
          <w:rFonts w:hint="eastAsia"/>
          <w:sz w:val="32"/>
          <w:szCs w:val="32"/>
        </w:rPr>
        <w:t>第四部分</w:t>
      </w:r>
      <w:r>
        <w:rPr>
          <w:sz w:val="32"/>
          <w:szCs w:val="32"/>
        </w:rPr>
        <w:t xml:space="preserve"> </w:t>
      </w:r>
      <w:r>
        <w:rPr>
          <w:rFonts w:hint="eastAsia"/>
          <w:sz w:val="32"/>
          <w:szCs w:val="32"/>
        </w:rPr>
        <w:t>附件</w:t>
      </w:r>
    </w:p>
    <w:p>
      <w:pPr>
        <w:pStyle w:val="12"/>
        <w:adjustRightInd w:val="0"/>
        <w:snapToGrid w:val="0"/>
        <w:spacing w:before="0" w:line="440" w:lineRule="exact"/>
        <w:jc w:val="left"/>
        <w:rPr>
          <w:rFonts w:cstheme="minorBidi"/>
          <w:sz w:val="32"/>
          <w:szCs w:val="32"/>
        </w:rPr>
      </w:pPr>
      <w:r>
        <w:rPr>
          <w:rFonts w:hint="eastAsia"/>
          <w:sz w:val="32"/>
          <w:szCs w:val="32"/>
        </w:rPr>
        <w:t>第五部分</w:t>
      </w:r>
      <w:r>
        <w:rPr>
          <w:sz w:val="32"/>
          <w:szCs w:val="32"/>
        </w:rPr>
        <w:t xml:space="preserve"> </w:t>
      </w:r>
      <w:r>
        <w:rPr>
          <w:rFonts w:hint="eastAsia"/>
          <w:sz w:val="32"/>
          <w:szCs w:val="32"/>
        </w:rPr>
        <w:t>附表</w:t>
      </w:r>
    </w:p>
    <w:p>
      <w:pPr>
        <w:pStyle w:val="13"/>
        <w:adjustRightInd w:val="0"/>
        <w:snapToGrid w:val="0"/>
        <w:spacing w:line="440" w:lineRule="exact"/>
        <w:jc w:val="left"/>
        <w:rPr>
          <w:sz w:val="32"/>
          <w:szCs w:val="32"/>
        </w:rPr>
      </w:pPr>
      <w:r>
        <w:rPr>
          <w:rFonts w:hint="eastAsia"/>
          <w:sz w:val="32"/>
          <w:szCs w:val="32"/>
        </w:rPr>
        <w:t>一、收入支出决算总表</w:t>
      </w:r>
    </w:p>
    <w:p>
      <w:pPr>
        <w:pStyle w:val="13"/>
        <w:adjustRightInd w:val="0"/>
        <w:snapToGrid w:val="0"/>
        <w:spacing w:line="440" w:lineRule="exact"/>
        <w:jc w:val="left"/>
        <w:rPr>
          <w:sz w:val="32"/>
          <w:szCs w:val="32"/>
        </w:rPr>
      </w:pPr>
      <w:r>
        <w:rPr>
          <w:rFonts w:hint="eastAsia"/>
          <w:sz w:val="32"/>
          <w:szCs w:val="32"/>
        </w:rPr>
        <w:t>二、收入决算表</w:t>
      </w:r>
    </w:p>
    <w:p>
      <w:pPr>
        <w:pStyle w:val="13"/>
        <w:adjustRightInd w:val="0"/>
        <w:snapToGrid w:val="0"/>
        <w:spacing w:line="440" w:lineRule="exact"/>
        <w:jc w:val="left"/>
        <w:rPr>
          <w:sz w:val="32"/>
          <w:szCs w:val="32"/>
        </w:rPr>
      </w:pPr>
      <w:r>
        <w:rPr>
          <w:rFonts w:hint="eastAsia"/>
          <w:sz w:val="32"/>
          <w:szCs w:val="32"/>
        </w:rPr>
        <w:t>三、支出决算表</w:t>
      </w:r>
    </w:p>
    <w:p>
      <w:pPr>
        <w:pStyle w:val="13"/>
        <w:adjustRightInd w:val="0"/>
        <w:snapToGrid w:val="0"/>
        <w:spacing w:line="440" w:lineRule="exact"/>
        <w:jc w:val="left"/>
        <w:rPr>
          <w:sz w:val="32"/>
          <w:szCs w:val="32"/>
        </w:rPr>
      </w:pPr>
      <w:r>
        <w:rPr>
          <w:rFonts w:hint="eastAsia"/>
          <w:sz w:val="32"/>
          <w:szCs w:val="32"/>
        </w:rPr>
        <w:t>四、财政拨款收入支出决算总表</w:t>
      </w:r>
    </w:p>
    <w:p>
      <w:pPr>
        <w:pStyle w:val="13"/>
        <w:adjustRightInd w:val="0"/>
        <w:snapToGrid w:val="0"/>
        <w:spacing w:line="440" w:lineRule="exact"/>
        <w:jc w:val="left"/>
        <w:rPr>
          <w:sz w:val="32"/>
          <w:szCs w:val="32"/>
        </w:rPr>
      </w:pPr>
      <w:r>
        <w:rPr>
          <w:rFonts w:hint="eastAsia"/>
          <w:sz w:val="32"/>
          <w:szCs w:val="32"/>
        </w:rPr>
        <w:t>五、财政拨款支出决算明细表</w:t>
      </w:r>
    </w:p>
    <w:p>
      <w:pPr>
        <w:pStyle w:val="13"/>
        <w:adjustRightInd w:val="0"/>
        <w:snapToGrid w:val="0"/>
        <w:spacing w:line="440" w:lineRule="exact"/>
        <w:jc w:val="left"/>
        <w:rPr>
          <w:sz w:val="32"/>
          <w:szCs w:val="32"/>
        </w:rPr>
      </w:pPr>
      <w:r>
        <w:rPr>
          <w:rFonts w:hint="eastAsia"/>
          <w:sz w:val="32"/>
          <w:szCs w:val="32"/>
        </w:rPr>
        <w:t>六、一般公共预算财政拨款支出决算表</w:t>
      </w:r>
    </w:p>
    <w:p>
      <w:pPr>
        <w:pStyle w:val="13"/>
        <w:adjustRightInd w:val="0"/>
        <w:snapToGrid w:val="0"/>
        <w:spacing w:line="440" w:lineRule="exact"/>
        <w:jc w:val="left"/>
        <w:rPr>
          <w:sz w:val="32"/>
          <w:szCs w:val="32"/>
        </w:rPr>
      </w:pPr>
      <w:r>
        <w:rPr>
          <w:rFonts w:hint="eastAsia"/>
          <w:sz w:val="32"/>
          <w:szCs w:val="32"/>
        </w:rPr>
        <w:t>七、一般公共预算财政拨款支出决算明细表</w:t>
      </w:r>
    </w:p>
    <w:p>
      <w:pPr>
        <w:pStyle w:val="13"/>
        <w:adjustRightInd w:val="0"/>
        <w:snapToGrid w:val="0"/>
        <w:spacing w:line="440" w:lineRule="exact"/>
        <w:jc w:val="left"/>
        <w:rPr>
          <w:sz w:val="32"/>
          <w:szCs w:val="32"/>
        </w:rPr>
      </w:pPr>
      <w:r>
        <w:rPr>
          <w:rFonts w:hint="eastAsia"/>
          <w:sz w:val="32"/>
          <w:szCs w:val="32"/>
        </w:rPr>
        <w:t>八、一般公共预算财政拨款基本支出决算明细表</w:t>
      </w:r>
    </w:p>
    <w:p>
      <w:pPr>
        <w:pStyle w:val="13"/>
        <w:adjustRightInd w:val="0"/>
        <w:snapToGrid w:val="0"/>
        <w:spacing w:line="440" w:lineRule="exact"/>
        <w:jc w:val="left"/>
        <w:rPr>
          <w:sz w:val="32"/>
          <w:szCs w:val="32"/>
        </w:rPr>
      </w:pPr>
      <w:r>
        <w:rPr>
          <w:rFonts w:hint="eastAsia"/>
          <w:sz w:val="32"/>
          <w:szCs w:val="32"/>
        </w:rPr>
        <w:t>九、一般公共预算财政拨款项目支出决算表</w:t>
      </w:r>
    </w:p>
    <w:p>
      <w:pPr>
        <w:pStyle w:val="13"/>
        <w:adjustRightInd w:val="0"/>
        <w:snapToGrid w:val="0"/>
        <w:spacing w:line="440" w:lineRule="exact"/>
        <w:jc w:val="left"/>
        <w:rPr>
          <w:sz w:val="32"/>
          <w:szCs w:val="32"/>
        </w:rPr>
      </w:pPr>
      <w:r>
        <w:rPr>
          <w:rFonts w:hint="eastAsia"/>
          <w:sz w:val="32"/>
          <w:szCs w:val="32"/>
        </w:rPr>
        <w:t>十、政府性基金预算财政拨款收入支出决算表</w:t>
      </w:r>
    </w:p>
    <w:p>
      <w:pPr>
        <w:pStyle w:val="13"/>
        <w:adjustRightInd w:val="0"/>
        <w:snapToGrid w:val="0"/>
        <w:spacing w:line="440" w:lineRule="exact"/>
        <w:jc w:val="left"/>
        <w:rPr>
          <w:sz w:val="32"/>
          <w:szCs w:val="32"/>
        </w:rPr>
      </w:pPr>
      <w:r>
        <w:rPr>
          <w:rFonts w:hint="eastAsia"/>
          <w:sz w:val="32"/>
          <w:szCs w:val="32"/>
        </w:rPr>
        <w:t>十一、国有资本经营预算财政拨款收入支出决算表</w:t>
      </w:r>
    </w:p>
    <w:p>
      <w:pPr>
        <w:pStyle w:val="13"/>
        <w:adjustRightInd w:val="0"/>
        <w:snapToGrid w:val="0"/>
        <w:spacing w:line="440" w:lineRule="exact"/>
        <w:jc w:val="left"/>
        <w:rPr>
          <w:sz w:val="32"/>
          <w:szCs w:val="32"/>
        </w:rPr>
      </w:pPr>
      <w:r>
        <w:rPr>
          <w:rFonts w:hint="eastAsia"/>
          <w:sz w:val="32"/>
          <w:szCs w:val="32"/>
        </w:rPr>
        <w:t>十二、国有资本经营预算财政拨款支出决算表</w:t>
      </w:r>
    </w:p>
    <w:p>
      <w:pPr>
        <w:pStyle w:val="13"/>
        <w:adjustRightInd w:val="0"/>
        <w:snapToGrid w:val="0"/>
        <w:spacing w:line="440" w:lineRule="exact"/>
        <w:jc w:val="left"/>
        <w:rPr>
          <w:rFonts w:asciiTheme="minorEastAsia" w:hAnsiTheme="minorEastAsia" w:eastAsiaTheme="minorEastAsia" w:cstheme="minorEastAsia"/>
          <w:sz w:val="32"/>
          <w:szCs w:val="32"/>
        </w:rPr>
      </w:pPr>
      <w:r>
        <w:rPr>
          <w:rFonts w:hint="eastAsia"/>
          <w:sz w:val="32"/>
          <w:szCs w:val="32"/>
        </w:rPr>
        <w:t>十三、财政拨款“三公”经费支出决算表</w:t>
      </w:r>
    </w:p>
    <w:p>
      <w:pPr>
        <w:widowControl/>
        <w:spacing w:line="440" w:lineRule="exact"/>
        <w:jc w:val="left"/>
        <w:rPr>
          <w:rFonts w:ascii="仿宋" w:hAnsi="仿宋" w:eastAsia="仿宋"/>
          <w:bCs/>
          <w:kern w:val="44"/>
          <w:sz w:val="32"/>
          <w:szCs w:val="32"/>
        </w:rPr>
      </w:pPr>
      <w:bookmarkStart w:id="12" w:name="_Toc15377196"/>
      <w:bookmarkStart w:id="13" w:name="_Toc15396599"/>
      <w:r>
        <w:rPr>
          <w:rFonts w:ascii="仿宋" w:hAnsi="仿宋" w:eastAsia="仿宋"/>
          <w:b/>
          <w:sz w:val="32"/>
          <w:szCs w:val="32"/>
        </w:rPr>
        <w:br w:type="page"/>
      </w:r>
    </w:p>
    <w:p>
      <w:pPr>
        <w:pStyle w:val="3"/>
        <w:jc w:val="center"/>
        <w:rPr>
          <w:rFonts w:ascii="黑体" w:eastAsia="黑体"/>
          <w:sz w:val="32"/>
          <w:szCs w:val="32"/>
        </w:rPr>
      </w:pPr>
      <w:r>
        <w:rPr>
          <w:rFonts w:hint="eastAsia" w:ascii="黑体" w:hAnsi="黑体" w:eastAsia="黑体"/>
          <w:b w:val="0"/>
        </w:rPr>
        <w:t xml:space="preserve">第一部分 </w:t>
      </w:r>
      <w:r>
        <w:rPr>
          <w:rStyle w:val="29"/>
          <w:rFonts w:hint="eastAsia" w:ascii="黑体" w:hAnsi="黑体" w:eastAsia="黑体"/>
          <w:b w:val="0"/>
          <w:bCs w:val="0"/>
        </w:rPr>
        <w:t>部门概况</w:t>
      </w:r>
      <w:bookmarkEnd w:id="12"/>
      <w:bookmarkEnd w:id="13"/>
    </w:p>
    <w:p>
      <w:pPr>
        <w:pStyle w:val="4"/>
        <w:rPr>
          <w:rFonts w:hint="eastAsia" w:ascii="黑体" w:hAnsi="黑体" w:eastAsia="黑体"/>
          <w:b w:val="0"/>
        </w:rPr>
      </w:pPr>
      <w:bookmarkStart w:id="14" w:name="_Toc15377197"/>
      <w:bookmarkStart w:id="15" w:name="_Toc15396600"/>
      <w:r>
        <w:rPr>
          <w:rFonts w:hint="eastAsia" w:ascii="黑体" w:hAnsi="黑体" w:eastAsia="黑体"/>
          <w:b w:val="0"/>
        </w:rPr>
        <w:t>一、</w:t>
      </w:r>
      <w:bookmarkEnd w:id="14"/>
      <w:bookmarkEnd w:id="15"/>
      <w:r>
        <w:rPr>
          <w:rFonts w:hint="eastAsia" w:ascii="黑体" w:hAnsi="黑体" w:eastAsia="黑体"/>
          <w:b w:val="0"/>
        </w:rPr>
        <w:t>部门职责</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w:t>
      </w:r>
      <w:r>
        <w:rPr>
          <w:rFonts w:ascii="仿宋_GB2312" w:hAnsi="宋体" w:eastAsia="仿宋_GB2312" w:cs="仿宋_GB2312"/>
          <w:color w:val="000000"/>
          <w:kern w:val="0"/>
          <w:sz w:val="32"/>
          <w:szCs w:val="32"/>
          <w:highlight w:val="none"/>
          <w:lang w:val="en-US" w:eastAsia="zh-CN" w:bidi="ar"/>
        </w:rPr>
        <w:t>一</w:t>
      </w:r>
      <w:r>
        <w:rPr>
          <w:rFonts w:hint="eastAsia" w:ascii="仿宋_GB2312" w:hAnsi="宋体" w:eastAsia="仿宋_GB2312" w:cs="仿宋_GB2312"/>
          <w:color w:val="000000"/>
          <w:kern w:val="0"/>
          <w:sz w:val="32"/>
          <w:szCs w:val="32"/>
          <w:highlight w:val="none"/>
          <w:lang w:val="en-US" w:eastAsia="zh-CN" w:bidi="ar"/>
        </w:rPr>
        <w:t>）</w:t>
      </w:r>
      <w:r>
        <w:rPr>
          <w:rFonts w:ascii="仿宋_GB2312" w:hAnsi="宋体" w:eastAsia="仿宋_GB2312" w:cs="仿宋_GB2312"/>
          <w:color w:val="000000"/>
          <w:kern w:val="0"/>
          <w:sz w:val="32"/>
          <w:szCs w:val="32"/>
          <w:highlight w:val="none"/>
          <w:lang w:val="en-US" w:eastAsia="zh-CN" w:bidi="ar"/>
        </w:rPr>
        <w:t>统筹推进</w:t>
      </w:r>
      <w:r>
        <w:rPr>
          <w:rFonts w:hint="eastAsia" w:ascii="仿宋_GB2312" w:hAnsi="宋体" w:eastAsia="仿宋_GB2312" w:cs="仿宋_GB2312"/>
          <w:color w:val="000000"/>
          <w:kern w:val="0"/>
          <w:sz w:val="32"/>
          <w:szCs w:val="32"/>
          <w:highlight w:val="none"/>
          <w:lang w:val="en-US" w:eastAsia="zh-CN" w:bidi="ar"/>
        </w:rPr>
        <w:t>巩固拓展脱贫攻坚成果同乡村振兴有效衔接</w:t>
      </w:r>
      <w:r>
        <w:rPr>
          <w:rFonts w:ascii="仿宋_GB2312" w:hAnsi="宋体" w:eastAsia="仿宋_GB2312" w:cs="仿宋_GB2312"/>
          <w:color w:val="000000"/>
          <w:kern w:val="0"/>
          <w:sz w:val="32"/>
          <w:szCs w:val="32"/>
          <w:highlight w:val="none"/>
          <w:lang w:val="en-US" w:eastAsia="zh-CN" w:bidi="ar"/>
        </w:rPr>
        <w:t>工作</w:t>
      </w:r>
      <w:r>
        <w:rPr>
          <w:rFonts w:hint="eastAsia" w:ascii="仿宋_GB2312" w:hAnsi="宋体" w:eastAsia="仿宋_GB2312" w:cs="仿宋_GB2312"/>
          <w:color w:val="000000"/>
          <w:kern w:val="0"/>
          <w:sz w:val="32"/>
          <w:szCs w:val="32"/>
          <w:highlight w:val="none"/>
          <w:lang w:val="en-US" w:eastAsia="zh-CN" w:bidi="ar"/>
        </w:rPr>
        <w:t>。（</w:t>
      </w:r>
      <w:r>
        <w:rPr>
          <w:rFonts w:ascii="仿宋_GB2312" w:hAnsi="宋体" w:eastAsia="仿宋_GB2312" w:cs="仿宋_GB2312"/>
          <w:color w:val="000000"/>
          <w:kern w:val="0"/>
          <w:sz w:val="32"/>
          <w:szCs w:val="32"/>
          <w:highlight w:val="none"/>
          <w:lang w:val="en-US" w:eastAsia="zh-CN" w:bidi="ar"/>
        </w:rPr>
        <w:t>二</w:t>
      </w:r>
      <w:r>
        <w:rPr>
          <w:rFonts w:hint="eastAsia" w:ascii="仿宋_GB2312" w:hAnsi="宋体" w:eastAsia="仿宋_GB2312" w:cs="仿宋_GB2312"/>
          <w:color w:val="000000"/>
          <w:kern w:val="0"/>
          <w:sz w:val="32"/>
          <w:szCs w:val="32"/>
          <w:highlight w:val="none"/>
          <w:lang w:val="en-US" w:eastAsia="zh-CN" w:bidi="ar"/>
        </w:rPr>
        <w:t>）组织开展防止返贫监测和帮扶，牵头开展乡村振兴帮扶工作。</w:t>
      </w:r>
    </w:p>
    <w:p>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（三）牵头实施乡村建设行动，牵头推进农村人居环境整治工作。</w:t>
      </w:r>
    </w:p>
    <w:p>
      <w:pPr>
        <w:keepNext w:val="0"/>
        <w:keepLines w:val="0"/>
        <w:widowControl/>
        <w:suppressLineNumbers w:val="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（四）推动发展农村社会事业等工作。</w:t>
      </w:r>
    </w:p>
    <w:p>
      <w:pPr>
        <w:keepNext w:val="0"/>
        <w:keepLines w:val="0"/>
        <w:widowControl/>
        <w:suppressLineNumbers w:val="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（五）协调推进乡村治理体系建设。</w:t>
      </w:r>
    </w:p>
    <w:p>
      <w:pPr>
        <w:rPr>
          <w:rFonts w:hint="eastAsia" w:ascii="黑体" w:hAnsi="黑体" w:eastAsia="黑体"/>
          <w:b w:val="0"/>
        </w:rPr>
      </w:pPr>
      <w:r>
        <w:rPr>
          <w:rFonts w:hint="eastAsia" w:ascii="仿宋_GB2312" w:hAnsi="宋体" w:eastAsia="仿宋_GB2312" w:cs="仿宋_GB2312"/>
          <w:color w:val="000000"/>
          <w:kern w:val="0"/>
          <w:sz w:val="32"/>
          <w:szCs w:val="32"/>
          <w:highlight w:val="none"/>
          <w:lang w:val="en-US" w:eastAsia="zh-CN" w:bidi="ar"/>
        </w:rPr>
        <w:t>（六）牵头开展东西部协作、省内对口帮扶工作。</w:t>
      </w:r>
    </w:p>
    <w:p>
      <w:pPr>
        <w:pStyle w:val="4"/>
        <w:rPr>
          <w:rStyle w:val="30"/>
          <w:b w:val="0"/>
          <w:bCs w:val="0"/>
        </w:rPr>
      </w:pPr>
      <w:bookmarkStart w:id="16" w:name="_Toc15396601"/>
      <w:bookmarkStart w:id="17" w:name="_Toc15377200"/>
      <w:r>
        <w:rPr>
          <w:rFonts w:hint="eastAsia" w:ascii="黑体" w:eastAsia="黑体"/>
          <w:b w:val="0"/>
        </w:rPr>
        <w:t>二、</w:t>
      </w:r>
      <w:r>
        <w:rPr>
          <w:rFonts w:hint="eastAsia" w:ascii="黑体" w:hAnsi="黑体" w:eastAsia="黑体"/>
          <w:b w:val="0"/>
        </w:rPr>
        <w:t>机</w:t>
      </w:r>
      <w:r>
        <w:rPr>
          <w:rStyle w:val="30"/>
          <w:rFonts w:hint="eastAsia" w:ascii="黑体" w:hAnsi="黑体" w:eastAsia="黑体"/>
          <w:b w:val="0"/>
          <w:bCs w:val="0"/>
        </w:rPr>
        <w:t>构设置</w:t>
      </w:r>
      <w:bookmarkEnd w:id="16"/>
      <w:bookmarkEnd w:id="17"/>
    </w:p>
    <w:p>
      <w:pPr>
        <w:ind w:firstLine="800" w:firstLineChars="250"/>
        <w:rPr>
          <w:rFonts w:ascii="仿宋" w:hAnsi="仿宋" w:eastAsia="仿宋"/>
          <w:sz w:val="32"/>
          <w:szCs w:val="32"/>
        </w:rPr>
      </w:pPr>
      <w:r>
        <w:rPr>
          <w:rFonts w:hint="eastAsia" w:ascii="仿宋" w:hAnsi="仿宋" w:eastAsia="仿宋"/>
          <w:sz w:val="32"/>
          <w:szCs w:val="32"/>
          <w:lang w:val="en-US" w:eastAsia="zh-CN"/>
        </w:rPr>
        <w:t>剑阁县乡村振兴局</w:t>
      </w:r>
      <w:r>
        <w:rPr>
          <w:rFonts w:hint="eastAsia" w:ascii="仿宋" w:hAnsi="仿宋" w:eastAsia="仿宋"/>
          <w:sz w:val="32"/>
          <w:szCs w:val="32"/>
        </w:rPr>
        <w:t>下属二级预算单位</w:t>
      </w:r>
      <w:r>
        <w:rPr>
          <w:rFonts w:hint="eastAsia" w:ascii="仿宋" w:hAnsi="仿宋" w:eastAsia="仿宋"/>
          <w:sz w:val="32"/>
          <w:szCs w:val="32"/>
          <w:lang w:val="en-US" w:eastAsia="zh-CN"/>
        </w:rPr>
        <w:t>0</w:t>
      </w:r>
      <w:r>
        <w:rPr>
          <w:rFonts w:hint="eastAsia" w:ascii="仿宋" w:hAnsi="仿宋" w:eastAsia="仿宋"/>
          <w:sz w:val="32"/>
          <w:szCs w:val="32"/>
        </w:rPr>
        <w:t>个，其中行政单位</w:t>
      </w:r>
      <w:r>
        <w:rPr>
          <w:rFonts w:hint="eastAsia" w:ascii="仿宋" w:hAnsi="仿宋" w:eastAsia="仿宋"/>
          <w:sz w:val="32"/>
          <w:szCs w:val="32"/>
          <w:lang w:val="en-US" w:eastAsia="zh-CN"/>
        </w:rPr>
        <w:t>0</w:t>
      </w:r>
      <w:r>
        <w:rPr>
          <w:rFonts w:hint="eastAsia" w:ascii="仿宋" w:hAnsi="仿宋" w:eastAsia="仿宋"/>
          <w:sz w:val="32"/>
          <w:szCs w:val="32"/>
        </w:rPr>
        <w:t>个，参照公务员法管理的事业单位</w:t>
      </w:r>
      <w:r>
        <w:rPr>
          <w:rFonts w:hint="eastAsia" w:ascii="仿宋" w:hAnsi="仿宋" w:eastAsia="仿宋"/>
          <w:bCs/>
          <w:sz w:val="32"/>
          <w:szCs w:val="32"/>
          <w:lang w:val="en-US" w:eastAsia="zh-CN"/>
        </w:rPr>
        <w:t>0</w:t>
      </w:r>
      <w:r>
        <w:rPr>
          <w:rFonts w:hint="eastAsia" w:ascii="仿宋" w:hAnsi="仿宋" w:eastAsia="仿宋"/>
          <w:sz w:val="32"/>
          <w:szCs w:val="32"/>
        </w:rPr>
        <w:t>个，其他事业单位</w:t>
      </w:r>
      <w:r>
        <w:rPr>
          <w:rFonts w:hint="eastAsia" w:ascii="仿宋" w:hAnsi="仿宋" w:eastAsia="仿宋"/>
          <w:sz w:val="32"/>
          <w:szCs w:val="32"/>
          <w:lang w:val="en-US" w:eastAsia="zh-CN"/>
        </w:rPr>
        <w:t>0</w:t>
      </w:r>
      <w:r>
        <w:rPr>
          <w:rFonts w:hint="eastAsia" w:ascii="仿宋" w:hAnsi="仿宋" w:eastAsia="仿宋"/>
          <w:sz w:val="32"/>
          <w:szCs w:val="32"/>
        </w:rPr>
        <w:t>个。</w:t>
      </w:r>
    </w:p>
    <w:p>
      <w:pPr>
        <w:pStyle w:val="6"/>
        <w:adjustRightInd w:val="0"/>
        <w:snapToGrid w:val="0"/>
        <w:spacing w:before="93" w:line="600" w:lineRule="exact"/>
        <w:ind w:firstLine="672" w:firstLineChars="210"/>
        <w:rPr>
          <w:rFonts w:ascii="仿宋" w:hAnsi="仿宋" w:eastAsia="仿宋"/>
          <w:sz w:val="32"/>
          <w:szCs w:val="32"/>
        </w:rPr>
      </w:pPr>
      <w:r>
        <w:rPr>
          <w:rFonts w:hint="eastAsia" w:ascii="仿宋" w:hAnsi="仿宋" w:eastAsia="仿宋"/>
          <w:sz w:val="32"/>
          <w:szCs w:val="32"/>
        </w:rPr>
        <w:t>纳入</w:t>
      </w:r>
      <w:r>
        <w:rPr>
          <w:rFonts w:hint="eastAsia" w:ascii="仿宋" w:hAnsi="仿宋" w:eastAsia="仿宋"/>
          <w:sz w:val="32"/>
          <w:szCs w:val="32"/>
          <w:lang w:val="en-US" w:eastAsia="zh-CN"/>
        </w:rPr>
        <w:t>剑阁县乡村振兴局</w:t>
      </w:r>
      <w:r>
        <w:rPr>
          <w:rFonts w:hint="eastAsia" w:ascii="仿宋" w:hAnsi="仿宋" w:eastAsia="仿宋"/>
          <w:sz w:val="32"/>
          <w:szCs w:val="32"/>
        </w:rPr>
        <w:t>2022年度部门决算编制范围的二级预算单位包括：</w:t>
      </w:r>
    </w:p>
    <w:p>
      <w:pPr>
        <w:pStyle w:val="6"/>
        <w:adjustRightInd w:val="0"/>
        <w:snapToGrid w:val="0"/>
        <w:spacing w:before="93" w:line="600" w:lineRule="exact"/>
        <w:ind w:firstLine="1120" w:firstLineChars="350"/>
        <w:rPr>
          <w:rFonts w:hint="eastAsia" w:ascii="仿宋" w:hAnsi="仿宋" w:eastAsia="仿宋"/>
          <w:sz w:val="32"/>
          <w:szCs w:val="32"/>
          <w:lang w:val="en-US" w:eastAsia="zh-CN"/>
        </w:rPr>
      </w:pPr>
      <w:r>
        <w:rPr>
          <w:rFonts w:hint="eastAsia" w:ascii="仿宋" w:hAnsi="仿宋" w:eastAsia="仿宋"/>
          <w:sz w:val="32"/>
          <w:szCs w:val="32"/>
          <w:lang w:val="en-US" w:eastAsia="zh-CN"/>
        </w:rPr>
        <w:t>无</w:t>
      </w:r>
    </w:p>
    <w:p>
      <w:pPr>
        <w:pStyle w:val="6"/>
        <w:adjustRightInd w:val="0"/>
        <w:snapToGrid w:val="0"/>
        <w:spacing w:before="93" w:line="600" w:lineRule="exact"/>
        <w:ind w:firstLine="1120" w:firstLineChars="350"/>
        <w:rPr>
          <w:rFonts w:hint="eastAsia" w:ascii="仿宋" w:hAnsi="仿宋" w:eastAsia="仿宋"/>
          <w:sz w:val="32"/>
          <w:szCs w:val="32"/>
          <w:lang w:val="en-US" w:eastAsia="zh-CN"/>
        </w:rPr>
      </w:pPr>
    </w:p>
    <w:p>
      <w:pPr>
        <w:pStyle w:val="6"/>
        <w:adjustRightInd w:val="0"/>
        <w:snapToGrid w:val="0"/>
        <w:spacing w:before="93" w:line="600" w:lineRule="exact"/>
        <w:rPr>
          <w:rFonts w:hint="eastAsia" w:ascii="仿宋" w:hAnsi="仿宋" w:eastAsia="仿宋"/>
          <w:sz w:val="32"/>
          <w:szCs w:val="32"/>
          <w:lang w:val="en-US" w:eastAsia="zh-CN"/>
        </w:rPr>
      </w:pPr>
    </w:p>
    <w:p>
      <w:pPr>
        <w:widowControl/>
        <w:jc w:val="left"/>
        <w:rPr>
          <w:rFonts w:ascii="仿宋" w:hAnsi="仿宋" w:eastAsia="仿宋"/>
          <w:kern w:val="0"/>
          <w:sz w:val="32"/>
          <w:szCs w:val="32"/>
        </w:rPr>
      </w:pPr>
      <w:r>
        <w:rPr>
          <w:rFonts w:ascii="仿宋" w:hAnsi="仿宋" w:eastAsia="仿宋"/>
          <w:sz w:val="32"/>
          <w:szCs w:val="32"/>
        </w:rPr>
        <w:br w:type="page"/>
      </w:r>
    </w:p>
    <w:p>
      <w:pPr>
        <w:pStyle w:val="3"/>
        <w:ind w:right="440"/>
        <w:jc w:val="center"/>
        <w:rPr>
          <w:rStyle w:val="29"/>
          <w:rFonts w:ascii="黑体" w:hAnsi="黑体" w:eastAsia="黑体"/>
          <w:b w:val="0"/>
          <w:bCs/>
        </w:rPr>
      </w:pPr>
      <w:bookmarkStart w:id="18" w:name="_Toc15396602"/>
      <w:bookmarkStart w:id="19" w:name="_Toc15377204"/>
      <w:r>
        <w:rPr>
          <w:rFonts w:hint="eastAsia" w:ascii="黑体" w:hAnsi="黑体" w:eastAsia="黑体"/>
          <w:b w:val="0"/>
        </w:rPr>
        <w:t>第二部分 2022年度</w:t>
      </w:r>
      <w:r>
        <w:rPr>
          <w:rStyle w:val="29"/>
          <w:rFonts w:hint="eastAsia" w:ascii="黑体" w:hAnsi="黑体" w:eastAsia="黑体"/>
          <w:b w:val="0"/>
          <w:bCs/>
        </w:rPr>
        <w:t>部门决算情况说明</w:t>
      </w:r>
      <w:bookmarkEnd w:id="18"/>
      <w:bookmarkEnd w:id="19"/>
    </w:p>
    <w:p/>
    <w:p>
      <w:pPr>
        <w:pStyle w:val="28"/>
        <w:numPr>
          <w:ilvl w:val="0"/>
          <w:numId w:val="1"/>
        </w:numPr>
        <w:spacing w:line="600" w:lineRule="exact"/>
        <w:ind w:firstLineChars="0"/>
        <w:outlineLvl w:val="1"/>
        <w:rPr>
          <w:rStyle w:val="30"/>
          <w:rFonts w:ascii="黑体" w:hAnsi="黑体" w:eastAsia="黑体"/>
          <w:b w:val="0"/>
        </w:rPr>
      </w:pPr>
      <w:bookmarkStart w:id="20" w:name="_Toc15377205"/>
      <w:bookmarkStart w:id="21" w:name="_Toc15396603"/>
      <w:r>
        <w:rPr>
          <w:rFonts w:hint="eastAsia" w:ascii="黑体" w:hAnsi="黑体" w:eastAsia="黑体"/>
          <w:sz w:val="32"/>
          <w:szCs w:val="32"/>
        </w:rPr>
        <w:t>收</w:t>
      </w:r>
      <w:r>
        <w:rPr>
          <w:rStyle w:val="30"/>
          <w:rFonts w:hint="eastAsia" w:ascii="黑体" w:hAnsi="黑体" w:eastAsia="黑体"/>
          <w:b w:val="0"/>
        </w:rPr>
        <w:t>入支出决算总体情况说明</w:t>
      </w:r>
      <w:bookmarkEnd w:id="20"/>
      <w:bookmarkEnd w:id="21"/>
    </w:p>
    <w:p>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val="en-US" w:eastAsia="zh-CN"/>
        </w:rPr>
        <w:t>入</w:t>
      </w:r>
      <w:r>
        <w:rPr>
          <w:rFonts w:hint="eastAsia" w:ascii="仿宋" w:hAnsi="仿宋" w:eastAsia="仿宋"/>
          <w:sz w:val="32"/>
          <w:szCs w:val="32"/>
        </w:rPr>
        <w:t>12929.71万元</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12929.71万元。与2021年相比，收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3443.65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78.49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减少</w:t>
      </w:r>
      <w:r>
        <w:rPr>
          <w:rFonts w:hint="eastAsia" w:ascii="仿宋" w:hAnsi="仿宋" w:eastAsia="仿宋"/>
          <w:sz w:val="32"/>
          <w:szCs w:val="32"/>
          <w:lang w:val="en-US" w:eastAsia="zh-CN"/>
        </w:rPr>
        <w:t>3443.65</w:t>
      </w:r>
      <w:r>
        <w:rPr>
          <w:rFonts w:hint="eastAsia" w:ascii="仿宋" w:hAnsi="仿宋" w:eastAsia="仿宋"/>
          <w:sz w:val="32"/>
          <w:szCs w:val="32"/>
        </w:rPr>
        <w:t>万元，下降</w:t>
      </w:r>
      <w:r>
        <w:rPr>
          <w:rFonts w:hint="eastAsia" w:ascii="仿宋" w:hAnsi="仿宋" w:eastAsia="仿宋"/>
          <w:sz w:val="32"/>
          <w:szCs w:val="32"/>
          <w:lang w:val="en-US" w:eastAsia="zh-CN"/>
        </w:rPr>
        <w:t>78.49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机构合并，项目及人员减少</w:t>
      </w:r>
      <w:r>
        <w:rPr>
          <w:rFonts w:hint="eastAsia" w:ascii="仿宋" w:hAnsi="仿宋" w:eastAsia="仿宋"/>
          <w:sz w:val="32"/>
          <w:szCs w:val="32"/>
        </w:rPr>
        <w:t>。</w:t>
      </w:r>
    </w:p>
    <w:p>
      <w:pPr>
        <w:pStyle w:val="15"/>
      </w:pPr>
      <w:r>
        <w:drawing>
          <wp:inline distT="0" distB="0" distL="114300" distR="114300">
            <wp:extent cx="4091940" cy="2926080"/>
            <wp:effectExtent l="4445" t="5080" r="18415" b="1016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r>
        <w:rPr>
          <w:rFonts w:hint="eastAsia" w:ascii="仿宋" w:hAnsi="仿宋" w:eastAsia="仿宋"/>
          <w:sz w:val="32"/>
          <w:szCs w:val="32"/>
          <w:lang w:eastAsia="zh-CN"/>
        </w:rPr>
        <w:t>（</w:t>
      </w:r>
      <w:r>
        <w:rPr>
          <w:rFonts w:hint="eastAsia" w:ascii="仿宋" w:hAnsi="仿宋" w:eastAsia="仿宋"/>
          <w:sz w:val="32"/>
          <w:szCs w:val="32"/>
          <w:lang w:val="en-US" w:eastAsia="zh-CN"/>
        </w:rPr>
        <w:t>单位：万元</w:t>
      </w:r>
      <w:r>
        <w:rPr>
          <w:rFonts w:hint="eastAsia" w:ascii="仿宋" w:hAnsi="仿宋" w:eastAsia="仿宋"/>
          <w:sz w:val="32"/>
          <w:szCs w:val="32"/>
        </w:rPr>
        <w:t>）</w:t>
      </w:r>
    </w:p>
    <w:p>
      <w:pPr>
        <w:spacing w:line="600" w:lineRule="exact"/>
        <w:ind w:firstLine="640" w:firstLineChars="200"/>
        <w:jc w:val="left"/>
        <w:rPr>
          <w:rFonts w:ascii="仿宋_GB2312" w:eastAsia="仿宋_GB2312"/>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2" w:name="_Toc15377206"/>
      <w:bookmarkStart w:id="23" w:name="_Toc15396604"/>
      <w:r>
        <w:rPr>
          <w:rFonts w:hint="eastAsia" w:ascii="黑体" w:hAnsi="黑体" w:eastAsia="黑体"/>
          <w:sz w:val="32"/>
          <w:szCs w:val="32"/>
        </w:rPr>
        <w:t>收</w:t>
      </w:r>
      <w:r>
        <w:rPr>
          <w:rStyle w:val="30"/>
          <w:rFonts w:hint="eastAsia" w:ascii="黑体" w:hAnsi="黑体" w:eastAsia="黑体"/>
          <w:b w:val="0"/>
        </w:rPr>
        <w:t>入决算情况说明</w:t>
      </w:r>
      <w:bookmarkEnd w:id="22"/>
      <w:bookmarkEnd w:id="23"/>
    </w:p>
    <w:p>
      <w:pPr>
        <w:spacing w:line="600" w:lineRule="exact"/>
        <w:ind w:firstLine="640" w:firstLineChars="200"/>
        <w:outlineLvl w:val="1"/>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22年本年收入合计9447.05万元，其中：一般公共预算财政拨款收入9447.05万元，占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；政府性基金预算财政拨款收入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；国有资本经营预算财政拨款收入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；上级补助收入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；事业收入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；附属单位上缴收入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；其他收入</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5"/>
        <w:rPr>
          <w:rFonts w:ascii="仿宋" w:hAnsi="仿宋" w:eastAsia="仿宋"/>
          <w:sz w:val="32"/>
          <w:szCs w:val="32"/>
        </w:rPr>
      </w:pPr>
      <w:r>
        <w:drawing>
          <wp:inline distT="0" distB="0" distL="114300" distR="114300">
            <wp:extent cx="4154170" cy="2926080"/>
            <wp:effectExtent l="4445" t="5080" r="17145" b="1016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640" w:firstLineChars="200"/>
        <w:rPr>
          <w:rFonts w:ascii="仿宋" w:hAnsi="仿宋" w:eastAsia="仿宋"/>
          <w:sz w:val="32"/>
          <w:szCs w:val="32"/>
        </w:rPr>
      </w:pPr>
      <w:r>
        <w:rPr>
          <w:rFonts w:hint="eastAsia" w:ascii="仿宋" w:hAnsi="仿宋" w:eastAsia="仿宋"/>
          <w:sz w:val="32"/>
          <w:szCs w:val="32"/>
        </w:rPr>
        <w:t>（图2：收入决算结构图）（饼状图）</w:t>
      </w:r>
    </w:p>
    <w:p>
      <w:pPr>
        <w:spacing w:line="600" w:lineRule="exact"/>
        <w:ind w:firstLine="640" w:firstLineChars="200"/>
        <w:rPr>
          <w:rFonts w:ascii="仿宋_GB2312" w:eastAsia="仿宋_GB2312"/>
          <w:sz w:val="32"/>
          <w:szCs w:val="32"/>
        </w:rPr>
      </w:pPr>
    </w:p>
    <w:p>
      <w:pPr>
        <w:pStyle w:val="28"/>
        <w:numPr>
          <w:ilvl w:val="0"/>
          <w:numId w:val="1"/>
        </w:numPr>
        <w:spacing w:line="600" w:lineRule="exact"/>
        <w:ind w:firstLineChars="0"/>
        <w:outlineLvl w:val="1"/>
        <w:rPr>
          <w:rStyle w:val="30"/>
          <w:rFonts w:ascii="黑体" w:hAnsi="黑体" w:eastAsia="黑体"/>
          <w:b w:val="0"/>
        </w:rPr>
      </w:pPr>
      <w:bookmarkStart w:id="24" w:name="_Toc15396605"/>
      <w:bookmarkStart w:id="25" w:name="_Toc15377207"/>
      <w:r>
        <w:rPr>
          <w:rFonts w:hint="eastAsia" w:ascii="黑体" w:hAnsi="黑体" w:eastAsia="黑体"/>
          <w:sz w:val="32"/>
          <w:szCs w:val="32"/>
        </w:rPr>
        <w:t>支</w:t>
      </w:r>
      <w:r>
        <w:rPr>
          <w:rStyle w:val="30"/>
          <w:rFonts w:hint="eastAsia" w:ascii="黑体" w:hAnsi="黑体" w:eastAsia="黑体"/>
          <w:b w:val="0"/>
        </w:rPr>
        <w:t>出决算情况说明</w:t>
      </w:r>
      <w:bookmarkEnd w:id="24"/>
      <w:bookmarkEnd w:id="25"/>
    </w:p>
    <w:p>
      <w:pPr>
        <w:spacing w:line="600" w:lineRule="exact"/>
        <w:ind w:firstLine="640" w:firstLineChars="200"/>
        <w:outlineLvl w:val="1"/>
        <w:rPr>
          <w:rFonts w:ascii="仿宋" w:hAnsi="仿宋" w:eastAsia="仿宋"/>
          <w:sz w:val="32"/>
          <w:szCs w:val="32"/>
          <w:shd w:val="pct10" w:color="auto" w:fill="FFFFFF"/>
        </w:rPr>
      </w:pPr>
      <w:r>
        <w:rPr>
          <w:rFonts w:ascii="仿宋" w:hAnsi="仿宋" w:eastAsia="仿宋"/>
          <w:sz w:val="32"/>
          <w:szCs w:val="32"/>
        </w:rPr>
        <w:t>20</w:t>
      </w:r>
      <w:r>
        <w:rPr>
          <w:rFonts w:hint="eastAsia" w:ascii="仿宋" w:hAnsi="仿宋" w:eastAsia="仿宋"/>
          <w:sz w:val="32"/>
          <w:szCs w:val="32"/>
        </w:rPr>
        <w:t>22年本年支出合计12929.71万元，其中：基本支出434.34万元，占</w:t>
      </w:r>
      <w:r>
        <w:rPr>
          <w:rFonts w:hint="eastAsia" w:ascii="仿宋" w:hAnsi="仿宋" w:eastAsia="仿宋"/>
          <w:sz w:val="32"/>
          <w:szCs w:val="32"/>
          <w:lang w:val="en-US" w:eastAsia="zh-CN"/>
        </w:rPr>
        <w:t>3.36</w:t>
      </w:r>
      <w:r>
        <w:rPr>
          <w:rFonts w:ascii="仿宋" w:hAnsi="仿宋" w:eastAsia="仿宋"/>
          <w:sz w:val="32"/>
          <w:szCs w:val="32"/>
        </w:rPr>
        <w:t>%</w:t>
      </w:r>
      <w:r>
        <w:rPr>
          <w:rFonts w:hint="eastAsia" w:ascii="仿宋" w:hAnsi="仿宋" w:eastAsia="仿宋"/>
          <w:sz w:val="32"/>
          <w:szCs w:val="32"/>
        </w:rPr>
        <w:t>；项目支出11193.7万元，占</w:t>
      </w:r>
      <w:r>
        <w:rPr>
          <w:rFonts w:hint="eastAsia" w:ascii="仿宋" w:hAnsi="仿宋" w:eastAsia="仿宋"/>
          <w:sz w:val="32"/>
          <w:szCs w:val="32"/>
          <w:lang w:val="en-US" w:eastAsia="zh-CN"/>
        </w:rPr>
        <w:t>86.57</w:t>
      </w:r>
      <w:r>
        <w:rPr>
          <w:rFonts w:ascii="仿宋" w:hAnsi="仿宋" w:eastAsia="仿宋"/>
          <w:sz w:val="32"/>
          <w:szCs w:val="32"/>
        </w:rPr>
        <w:t>%</w:t>
      </w:r>
      <w:r>
        <w:rPr>
          <w:rFonts w:hint="eastAsia" w:ascii="仿宋" w:hAnsi="仿宋" w:eastAsia="仿宋"/>
          <w:sz w:val="32"/>
          <w:szCs w:val="32"/>
        </w:rPr>
        <w:t>；政府性基金预算财政拨款</w:t>
      </w:r>
      <w:r>
        <w:rPr>
          <w:rFonts w:hint="eastAsia" w:ascii="仿宋" w:hAnsi="仿宋" w:eastAsia="仿宋"/>
          <w:sz w:val="32"/>
          <w:szCs w:val="32"/>
          <w:lang w:val="en-US" w:eastAsia="zh-CN"/>
        </w:rPr>
        <w:t>支出1301.66万元，占10.07%；</w:t>
      </w:r>
      <w:r>
        <w:rPr>
          <w:rFonts w:hint="eastAsia" w:ascii="仿宋" w:hAnsi="仿宋" w:eastAsia="仿宋"/>
          <w:sz w:val="32"/>
          <w:szCs w:val="32"/>
        </w:rPr>
        <w:t>上缴上级支出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；经营支出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；对附属单位补助支出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p>
    <w:p>
      <w:pPr>
        <w:pStyle w:val="15"/>
      </w:pPr>
      <w:r>
        <w:drawing>
          <wp:inline distT="0" distB="0" distL="114300" distR="114300">
            <wp:extent cx="4091940" cy="2926080"/>
            <wp:effectExtent l="4445" t="5080" r="18415" b="1016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640" w:firstLineChars="200"/>
        <w:rPr>
          <w:rFonts w:ascii="仿宋_GB2312" w:eastAsia="仿宋_GB2312"/>
          <w:sz w:val="32"/>
          <w:szCs w:val="32"/>
        </w:rPr>
      </w:pPr>
      <w:r>
        <w:rPr>
          <w:rFonts w:hint="eastAsia" w:ascii="仿宋" w:hAnsi="仿宋" w:eastAsia="仿宋"/>
          <w:sz w:val="32"/>
          <w:szCs w:val="32"/>
        </w:rPr>
        <w:t>（图3：支出决算结构图）</w:t>
      </w:r>
    </w:p>
    <w:p>
      <w:pPr>
        <w:spacing w:line="600" w:lineRule="exact"/>
        <w:ind w:firstLine="640" w:firstLineChars="200"/>
        <w:outlineLvl w:val="1"/>
        <w:rPr>
          <w:rStyle w:val="30"/>
          <w:rFonts w:ascii="黑体" w:hAnsi="黑体" w:eastAsia="黑体"/>
          <w:b w:val="0"/>
          <w:highlight w:val="none"/>
        </w:rPr>
      </w:pPr>
      <w:bookmarkStart w:id="26" w:name="_Toc15377208"/>
      <w:bookmarkStart w:id="27" w:name="_Toc15396606"/>
      <w:r>
        <w:rPr>
          <w:rFonts w:hint="eastAsia" w:ascii="黑体" w:hAnsi="黑体" w:eastAsia="黑体"/>
          <w:sz w:val="32"/>
          <w:szCs w:val="32"/>
          <w:highlight w:val="none"/>
        </w:rPr>
        <w:t>四、财</w:t>
      </w:r>
      <w:r>
        <w:rPr>
          <w:rStyle w:val="30"/>
          <w:rFonts w:hint="eastAsia" w:ascii="黑体" w:hAnsi="黑体" w:eastAsia="黑体"/>
          <w:b w:val="0"/>
          <w:highlight w:val="none"/>
        </w:rPr>
        <w:t>政拨款收入支出决算总体情况说明</w:t>
      </w:r>
      <w:bookmarkEnd w:id="26"/>
      <w:bookmarkEnd w:id="27"/>
    </w:p>
    <w:p>
      <w:pPr>
        <w:spacing w:line="600" w:lineRule="exact"/>
        <w:ind w:firstLine="640"/>
        <w:rPr>
          <w:rFonts w:ascii="仿宋" w:hAnsi="仿宋" w:eastAsia="仿宋"/>
          <w:sz w:val="32"/>
          <w:szCs w:val="32"/>
        </w:rPr>
      </w:pPr>
      <w:r>
        <w:rPr>
          <w:rFonts w:hint="eastAsia" w:ascii="仿宋" w:hAnsi="仿宋" w:eastAsia="仿宋"/>
          <w:sz w:val="32"/>
          <w:szCs w:val="32"/>
        </w:rPr>
        <w:t>2022年度收</w:t>
      </w:r>
      <w:r>
        <w:rPr>
          <w:rFonts w:hint="eastAsia" w:ascii="仿宋" w:hAnsi="仿宋" w:eastAsia="仿宋"/>
          <w:sz w:val="32"/>
          <w:szCs w:val="32"/>
          <w:lang w:val="en-US" w:eastAsia="zh-CN"/>
        </w:rPr>
        <w:t>入</w:t>
      </w:r>
      <w:r>
        <w:rPr>
          <w:rFonts w:hint="eastAsia" w:ascii="仿宋" w:hAnsi="仿宋" w:eastAsia="仿宋"/>
          <w:sz w:val="32"/>
          <w:szCs w:val="32"/>
        </w:rPr>
        <w:t>12929.71万元</w:t>
      </w:r>
      <w:r>
        <w:rPr>
          <w:rFonts w:hint="eastAsia" w:ascii="仿宋" w:hAnsi="仿宋" w:eastAsia="仿宋"/>
          <w:sz w:val="32"/>
          <w:szCs w:val="32"/>
          <w:lang w:eastAsia="zh-CN"/>
        </w:rPr>
        <w:t>，</w:t>
      </w:r>
      <w:r>
        <w:rPr>
          <w:rFonts w:hint="eastAsia" w:ascii="仿宋" w:hAnsi="仿宋" w:eastAsia="仿宋"/>
          <w:sz w:val="32"/>
          <w:szCs w:val="32"/>
          <w:lang w:val="en-US" w:eastAsia="zh-CN"/>
        </w:rPr>
        <w:t>支出</w:t>
      </w:r>
      <w:r>
        <w:rPr>
          <w:rFonts w:hint="eastAsia" w:ascii="仿宋" w:hAnsi="仿宋" w:eastAsia="仿宋"/>
          <w:sz w:val="32"/>
          <w:szCs w:val="32"/>
        </w:rPr>
        <w:t>12929.71万元。与2021年相比，收</w:t>
      </w:r>
      <w:r>
        <w:rPr>
          <w:rFonts w:hint="eastAsia" w:ascii="仿宋" w:hAnsi="仿宋" w:eastAsia="仿宋"/>
          <w:sz w:val="32"/>
          <w:szCs w:val="32"/>
          <w:lang w:val="en-US" w:eastAsia="zh-CN"/>
        </w:rPr>
        <w:t>入</w:t>
      </w:r>
      <w:r>
        <w:rPr>
          <w:rFonts w:hint="eastAsia" w:ascii="仿宋" w:hAnsi="仿宋" w:eastAsia="仿宋"/>
          <w:sz w:val="32"/>
          <w:szCs w:val="32"/>
        </w:rPr>
        <w:t>减少</w:t>
      </w:r>
      <w:r>
        <w:rPr>
          <w:rFonts w:hint="eastAsia" w:ascii="仿宋" w:hAnsi="仿宋" w:eastAsia="仿宋"/>
          <w:sz w:val="32"/>
          <w:szCs w:val="32"/>
          <w:lang w:val="en-US" w:eastAsia="zh-CN"/>
        </w:rPr>
        <w:t>3443.65</w:t>
      </w:r>
      <w:r>
        <w:rPr>
          <w:rFonts w:hint="eastAsia" w:ascii="仿宋" w:hAnsi="仿宋" w:eastAsia="仿宋"/>
          <w:sz w:val="32"/>
          <w:szCs w:val="32"/>
        </w:rPr>
        <w:t>万元</w:t>
      </w:r>
      <w:r>
        <w:rPr>
          <w:rFonts w:hint="eastAsia" w:ascii="仿宋" w:hAnsi="仿宋" w:eastAsia="仿宋"/>
          <w:sz w:val="32"/>
          <w:szCs w:val="32"/>
          <w:lang w:eastAsia="zh-CN"/>
        </w:rPr>
        <w:t>，</w:t>
      </w:r>
      <w:r>
        <w:rPr>
          <w:rFonts w:hint="eastAsia" w:ascii="仿宋" w:hAnsi="仿宋" w:eastAsia="仿宋"/>
          <w:sz w:val="32"/>
          <w:szCs w:val="32"/>
        </w:rPr>
        <w:t>下降</w:t>
      </w:r>
      <w:r>
        <w:rPr>
          <w:rFonts w:hint="eastAsia" w:ascii="仿宋" w:hAnsi="仿宋" w:eastAsia="仿宋"/>
          <w:sz w:val="32"/>
          <w:szCs w:val="32"/>
          <w:lang w:val="en-US" w:eastAsia="zh-CN"/>
        </w:rPr>
        <w:t>78.49</w:t>
      </w:r>
      <w:r>
        <w:rPr>
          <w:rFonts w:ascii="仿宋" w:hAnsi="仿宋" w:eastAsia="仿宋"/>
          <w:sz w:val="32"/>
          <w:szCs w:val="32"/>
        </w:rPr>
        <w:t>%</w:t>
      </w:r>
      <w:r>
        <w:rPr>
          <w:rFonts w:hint="eastAsia" w:ascii="仿宋" w:hAnsi="仿宋" w:eastAsia="仿宋"/>
          <w:sz w:val="32"/>
          <w:szCs w:val="32"/>
          <w:lang w:eastAsia="zh-CN"/>
        </w:rPr>
        <w:t>，</w:t>
      </w:r>
      <w:r>
        <w:rPr>
          <w:rFonts w:hint="eastAsia" w:ascii="仿宋" w:hAnsi="仿宋" w:eastAsia="仿宋"/>
          <w:sz w:val="32"/>
          <w:szCs w:val="32"/>
        </w:rPr>
        <w:t>支</w:t>
      </w:r>
      <w:r>
        <w:rPr>
          <w:rFonts w:hint="eastAsia" w:ascii="仿宋" w:hAnsi="仿宋" w:eastAsia="仿宋"/>
          <w:sz w:val="32"/>
          <w:szCs w:val="32"/>
          <w:lang w:val="en-US" w:eastAsia="zh-CN"/>
        </w:rPr>
        <w:t>出</w:t>
      </w:r>
      <w:r>
        <w:rPr>
          <w:rFonts w:hint="eastAsia" w:ascii="仿宋" w:hAnsi="仿宋" w:eastAsia="仿宋"/>
          <w:sz w:val="32"/>
          <w:szCs w:val="32"/>
        </w:rPr>
        <w:t>减少</w:t>
      </w:r>
      <w:r>
        <w:rPr>
          <w:rFonts w:hint="eastAsia" w:ascii="仿宋" w:hAnsi="仿宋" w:eastAsia="仿宋"/>
          <w:sz w:val="32"/>
          <w:szCs w:val="32"/>
          <w:lang w:val="en-US" w:eastAsia="zh-CN"/>
        </w:rPr>
        <w:t>3443.65</w:t>
      </w:r>
      <w:r>
        <w:rPr>
          <w:rFonts w:hint="eastAsia" w:ascii="仿宋" w:hAnsi="仿宋" w:eastAsia="仿宋"/>
          <w:sz w:val="32"/>
          <w:szCs w:val="32"/>
        </w:rPr>
        <w:t>万元，下降</w:t>
      </w:r>
      <w:r>
        <w:rPr>
          <w:rFonts w:hint="eastAsia" w:ascii="仿宋" w:hAnsi="仿宋" w:eastAsia="仿宋"/>
          <w:sz w:val="32"/>
          <w:szCs w:val="32"/>
          <w:lang w:val="en-US" w:eastAsia="zh-CN"/>
        </w:rPr>
        <w:t>78.49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机构合并，项目及人员减少</w:t>
      </w:r>
      <w:r>
        <w:rPr>
          <w:rFonts w:hint="eastAsia" w:ascii="仿宋" w:hAnsi="仿宋" w:eastAsia="仿宋"/>
          <w:sz w:val="32"/>
          <w:szCs w:val="32"/>
        </w:rPr>
        <w:t>。</w:t>
      </w:r>
    </w:p>
    <w:p>
      <w:pPr>
        <w:spacing w:line="600" w:lineRule="exact"/>
        <w:ind w:firstLine="640"/>
        <w:rPr>
          <w:rFonts w:ascii="仿宋" w:hAnsi="仿宋" w:eastAsia="仿宋"/>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pPr>
        <w:pStyle w:val="15"/>
      </w:pPr>
      <w:r>
        <w:drawing>
          <wp:inline distT="0" distB="0" distL="114300" distR="114300">
            <wp:extent cx="4084320" cy="2926080"/>
            <wp:effectExtent l="4445" t="4445" r="10795" b="10795"/>
            <wp:docPr id="5"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（图4：财政拨款收、支决算总计变动情况）（</w:t>
      </w:r>
      <w:r>
        <w:rPr>
          <w:rFonts w:hint="eastAsia" w:ascii="仿宋" w:hAnsi="仿宋" w:eastAsia="仿宋"/>
          <w:sz w:val="32"/>
          <w:szCs w:val="32"/>
          <w:lang w:val="en-US" w:eastAsia="zh-CN"/>
        </w:rPr>
        <w:t>单位：万元</w:t>
      </w:r>
      <w:r>
        <w:rPr>
          <w:rFonts w:hint="eastAsia" w:ascii="仿宋" w:hAnsi="仿宋" w:eastAsia="仿宋"/>
          <w:sz w:val="32"/>
          <w:szCs w:val="32"/>
        </w:rPr>
        <w:t>）</w:t>
      </w:r>
    </w:p>
    <w:p>
      <w:pPr>
        <w:spacing w:line="600" w:lineRule="exact"/>
        <w:ind w:firstLine="640"/>
        <w:rPr>
          <w:rFonts w:ascii="仿宋" w:hAnsi="仿宋" w:eastAsia="仿宋"/>
          <w:b/>
          <w:sz w:val="32"/>
          <w:szCs w:val="32"/>
        </w:rPr>
      </w:pPr>
    </w:p>
    <w:p>
      <w:pPr>
        <w:spacing w:line="600" w:lineRule="exact"/>
        <w:ind w:firstLine="640" w:firstLineChars="200"/>
        <w:outlineLvl w:val="1"/>
        <w:rPr>
          <w:rStyle w:val="30"/>
          <w:rFonts w:ascii="黑体" w:hAnsi="黑体" w:eastAsia="黑体"/>
          <w:b w:val="0"/>
        </w:rPr>
      </w:pPr>
      <w:bookmarkStart w:id="28" w:name="_Toc15377209"/>
      <w:bookmarkStart w:id="29" w:name="_Toc15396607"/>
      <w:r>
        <w:rPr>
          <w:rFonts w:hint="eastAsia" w:ascii="黑体" w:hAnsi="黑体" w:eastAsia="黑体"/>
          <w:sz w:val="32"/>
          <w:szCs w:val="32"/>
        </w:rPr>
        <w:t>五、</w:t>
      </w:r>
      <w:r>
        <w:rPr>
          <w:rFonts w:hint="eastAsia" w:ascii="黑体" w:hAnsi="黑体" w:eastAsia="黑体"/>
          <w:b/>
          <w:sz w:val="32"/>
          <w:szCs w:val="32"/>
        </w:rPr>
        <w:t>一</w:t>
      </w:r>
      <w:r>
        <w:rPr>
          <w:rStyle w:val="30"/>
          <w:rFonts w:hint="eastAsia" w:ascii="黑体" w:hAnsi="黑体" w:eastAsia="黑体"/>
          <w:b w:val="0"/>
        </w:rPr>
        <w:t>般公共预算财政拨款支出决算情况说明</w:t>
      </w:r>
      <w:bookmarkEnd w:id="28"/>
      <w:bookmarkEnd w:id="29"/>
    </w:p>
    <w:p>
      <w:pPr>
        <w:spacing w:line="600" w:lineRule="exact"/>
        <w:ind w:firstLine="643" w:firstLineChars="200"/>
        <w:outlineLvl w:val="2"/>
        <w:rPr>
          <w:rFonts w:ascii="仿宋" w:hAnsi="仿宋" w:eastAsia="仿宋"/>
          <w:b/>
          <w:sz w:val="32"/>
          <w:szCs w:val="32"/>
        </w:rPr>
      </w:pPr>
      <w:bookmarkStart w:id="30" w:name="_Toc15377210"/>
      <w:r>
        <w:rPr>
          <w:rFonts w:hint="eastAsia" w:ascii="仿宋" w:hAnsi="仿宋" w:eastAsia="仿宋"/>
          <w:b/>
          <w:sz w:val="32"/>
          <w:szCs w:val="32"/>
        </w:rPr>
        <w:t>（一）一般公共预算财政拨款支出决算总体情况</w:t>
      </w:r>
      <w:bookmarkEnd w:id="30"/>
    </w:p>
    <w:p>
      <w:pPr>
        <w:spacing w:line="600" w:lineRule="exact"/>
        <w:ind w:firstLine="640" w:firstLineChars="20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22年一般公共预算财政拨款支出12929.71万元，占本年支出合计的</w:t>
      </w:r>
      <w:r>
        <w:rPr>
          <w:rFonts w:hint="eastAsia" w:ascii="仿宋" w:hAnsi="仿宋" w:eastAsia="仿宋"/>
          <w:sz w:val="32"/>
          <w:szCs w:val="32"/>
          <w:lang w:val="en-US" w:eastAsia="zh-CN"/>
        </w:rPr>
        <w:t>96.64</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21年相比，一般公共预算财政拨款支出减少</w:t>
      </w:r>
      <w:r>
        <w:rPr>
          <w:rFonts w:hint="eastAsia" w:ascii="仿宋" w:hAnsi="仿宋" w:eastAsia="仿宋"/>
          <w:sz w:val="32"/>
          <w:szCs w:val="32"/>
          <w:lang w:val="en-US" w:eastAsia="zh-CN"/>
        </w:rPr>
        <w:t>3443.65</w:t>
      </w:r>
      <w:r>
        <w:rPr>
          <w:rFonts w:hint="eastAsia" w:ascii="仿宋" w:hAnsi="仿宋" w:eastAsia="仿宋"/>
          <w:sz w:val="32"/>
          <w:szCs w:val="32"/>
        </w:rPr>
        <w:t>万元，下降</w:t>
      </w:r>
      <w:r>
        <w:rPr>
          <w:rFonts w:hint="eastAsia" w:ascii="仿宋" w:hAnsi="仿宋" w:eastAsia="仿宋"/>
          <w:sz w:val="32"/>
          <w:szCs w:val="32"/>
          <w:lang w:val="en-US" w:eastAsia="zh-CN"/>
        </w:rPr>
        <w:t>78.49</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机构合并，项目及人员减少</w:t>
      </w:r>
      <w:r>
        <w:rPr>
          <w:rFonts w:hint="eastAsia" w:ascii="仿宋" w:hAnsi="仿宋" w:eastAsia="仿宋"/>
          <w:sz w:val="32"/>
          <w:szCs w:val="32"/>
        </w:rPr>
        <w:t>。</w:t>
      </w:r>
    </w:p>
    <w:p>
      <w:pPr>
        <w:spacing w:line="600" w:lineRule="exact"/>
        <w:ind w:firstLine="640" w:firstLineChars="200"/>
        <w:rPr>
          <w:rFonts w:hint="eastAsia" w:ascii="仿宋" w:hAnsi="仿宋" w:eastAsia="仿宋"/>
          <w:sz w:val="32"/>
          <w:szCs w:val="32"/>
        </w:rPr>
      </w:pPr>
    </w:p>
    <w:p>
      <w:pPr>
        <w:pStyle w:val="15"/>
      </w:pPr>
      <w:r>
        <w:drawing>
          <wp:inline distT="0" distB="0" distL="114300" distR="114300">
            <wp:extent cx="3985260" cy="2933700"/>
            <wp:effectExtent l="5080" t="4445" r="17780" b="18415"/>
            <wp:docPr id="7"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pStyle w:val="15"/>
        <w:rPr>
          <w:rFonts w:ascii="仿宋" w:hAnsi="仿宋" w:eastAsia="仿宋"/>
          <w:sz w:val="32"/>
          <w:szCs w:val="32"/>
        </w:rPr>
      </w:pPr>
      <w:r>
        <w:rPr>
          <w:rFonts w:hint="eastAsia" w:ascii="仿宋" w:hAnsi="仿宋" w:eastAsia="仿宋"/>
          <w:sz w:val="32"/>
          <w:szCs w:val="32"/>
        </w:rPr>
        <w:t>（图5：一般公共预算财政拨款支出决算变动情况）（</w:t>
      </w:r>
      <w:r>
        <w:rPr>
          <w:rFonts w:hint="eastAsia" w:ascii="仿宋" w:hAnsi="仿宋" w:eastAsia="仿宋"/>
          <w:sz w:val="32"/>
          <w:szCs w:val="32"/>
          <w:lang w:val="en-US" w:eastAsia="zh-CN"/>
        </w:rPr>
        <w:t>单位：万元</w:t>
      </w:r>
      <w:r>
        <w:rPr>
          <w:rFonts w:hint="eastAsia" w:ascii="仿宋" w:hAnsi="仿宋" w:eastAsia="仿宋"/>
          <w:sz w:val="32"/>
          <w:szCs w:val="32"/>
        </w:rPr>
        <w:t>）</w:t>
      </w:r>
    </w:p>
    <w:p>
      <w:pPr>
        <w:spacing w:line="600" w:lineRule="exact"/>
        <w:ind w:firstLine="643" w:firstLineChars="200"/>
        <w:outlineLvl w:val="2"/>
        <w:rPr>
          <w:rFonts w:ascii="仿宋" w:hAnsi="仿宋" w:eastAsia="仿宋"/>
          <w:b/>
          <w:sz w:val="32"/>
          <w:szCs w:val="32"/>
        </w:rPr>
      </w:pPr>
      <w:bookmarkStart w:id="31" w:name="_Toc15377211"/>
      <w:r>
        <w:rPr>
          <w:rFonts w:hint="eastAsia" w:ascii="仿宋" w:hAnsi="仿宋" w:eastAsia="仿宋"/>
          <w:b/>
          <w:sz w:val="32"/>
          <w:szCs w:val="32"/>
        </w:rPr>
        <w:t>（二）一般公共预算财政拨款支出决算结构情况</w:t>
      </w:r>
      <w:bookmarkEnd w:id="31"/>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22年一般公共预算财政拨款支出12929.71万元，主要用于以下方面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sz w:val="32"/>
          <w:szCs w:val="32"/>
          <w:lang w:val="en-US" w:eastAsia="zh-CN"/>
        </w:rPr>
        <w:t>0.00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rPr>
        <w:t>389.58万元，占</w:t>
      </w:r>
      <w:r>
        <w:rPr>
          <w:rFonts w:hint="eastAsia" w:ascii="仿宋" w:hAnsi="仿宋" w:eastAsia="仿宋"/>
          <w:sz w:val="32"/>
          <w:szCs w:val="32"/>
          <w:lang w:val="en-US" w:eastAsia="zh-CN"/>
        </w:rPr>
        <w:t>3.01</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16.72</w:t>
      </w:r>
      <w:r>
        <w:rPr>
          <w:rFonts w:hint="eastAsia" w:ascii="仿宋" w:hAnsi="仿宋" w:eastAsia="仿宋"/>
          <w:sz w:val="32"/>
          <w:szCs w:val="32"/>
        </w:rPr>
        <w:t>万元，占</w:t>
      </w:r>
      <w:r>
        <w:rPr>
          <w:rFonts w:hint="eastAsia" w:ascii="仿宋" w:hAnsi="仿宋" w:eastAsia="仿宋"/>
          <w:sz w:val="32"/>
          <w:szCs w:val="32"/>
          <w:lang w:val="en-US" w:eastAsia="zh-CN"/>
        </w:rPr>
        <w:t>0.13</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rPr>
        <w:t>24.7万元，占</w:t>
      </w:r>
      <w:r>
        <w:rPr>
          <w:rFonts w:hint="eastAsia" w:ascii="仿宋" w:hAnsi="仿宋" w:eastAsia="仿宋"/>
          <w:sz w:val="32"/>
          <w:szCs w:val="32"/>
          <w:lang w:val="en-US" w:eastAsia="zh-CN"/>
        </w:rPr>
        <w:t>0.19</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sz w:val="32"/>
          <w:szCs w:val="32"/>
          <w:lang w:val="en-US" w:eastAsia="zh-CN"/>
        </w:rPr>
        <w:t>农林水支出12498.71万元，占96.67%</w:t>
      </w:r>
      <w:r>
        <w:rPr>
          <w:rFonts w:hint="eastAsia" w:ascii="仿宋" w:hAnsi="仿宋" w:eastAsia="仿宋"/>
          <w:sz w:val="32"/>
          <w:szCs w:val="32"/>
        </w:rPr>
        <w:t>。</w:t>
      </w:r>
    </w:p>
    <w:p>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（注：数据来源于财决01-1表，仅罗列本部门涉及的全部功能分类科目，至类级。）</w:t>
      </w:r>
    </w:p>
    <w:p>
      <w:pPr>
        <w:spacing w:line="600" w:lineRule="exact"/>
        <w:ind w:firstLine="640"/>
        <w:rPr>
          <w:rFonts w:ascii="仿宋" w:hAnsi="仿宋" w:eastAsia="仿宋"/>
          <w:sz w:val="32"/>
          <w:szCs w:val="32"/>
        </w:rPr>
      </w:pPr>
    </w:p>
    <w:p>
      <w:pPr>
        <w:pStyle w:val="15"/>
      </w:pPr>
      <w:r>
        <w:drawing>
          <wp:inline distT="0" distB="0" distL="114300" distR="114300">
            <wp:extent cx="4091940" cy="2926080"/>
            <wp:effectExtent l="4445" t="5080" r="18415" b="10160"/>
            <wp:docPr id="9"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15"/>
        <w:ind w:left="1698" w:leftChars="504" w:hanging="640" w:hangingChars="200"/>
        <w:rPr>
          <w:rFonts w:ascii="仿宋" w:hAnsi="仿宋" w:eastAsia="仿宋"/>
          <w:sz w:val="32"/>
          <w:szCs w:val="32"/>
        </w:rPr>
      </w:pPr>
      <w:r>
        <w:rPr>
          <w:rFonts w:hint="eastAsia" w:ascii="仿宋" w:hAnsi="仿宋" w:eastAsia="仿宋"/>
          <w:sz w:val="32"/>
          <w:szCs w:val="32"/>
        </w:rPr>
        <w:t>（图6：一般公共预算财政拨款支出决算结构）</w:t>
      </w:r>
      <w:r>
        <w:rPr>
          <w:rFonts w:hint="eastAsia" w:ascii="仿宋" w:hAnsi="仿宋" w:eastAsia="仿宋"/>
          <w:sz w:val="32"/>
          <w:szCs w:val="32"/>
          <w:lang w:val="en-US" w:eastAsia="zh-CN"/>
        </w:rPr>
        <w:t xml:space="preserve">    </w:t>
      </w:r>
      <w:r>
        <w:rPr>
          <w:rFonts w:hint="eastAsia" w:ascii="仿宋" w:hAnsi="仿宋" w:eastAsia="仿宋"/>
          <w:sz w:val="32"/>
          <w:szCs w:val="32"/>
        </w:rPr>
        <w:t>（</w:t>
      </w:r>
      <w:r>
        <w:rPr>
          <w:rFonts w:hint="eastAsia" w:ascii="仿宋" w:hAnsi="仿宋" w:eastAsia="仿宋"/>
          <w:sz w:val="32"/>
          <w:szCs w:val="32"/>
          <w:lang w:val="en-US" w:eastAsia="zh-CN"/>
        </w:rPr>
        <w:t>单位：万元</w:t>
      </w:r>
      <w:r>
        <w:rPr>
          <w:rFonts w:hint="eastAsia" w:ascii="仿宋" w:hAnsi="仿宋" w:eastAsia="仿宋"/>
          <w:sz w:val="32"/>
          <w:szCs w:val="32"/>
        </w:rPr>
        <w:t>）</w:t>
      </w:r>
    </w:p>
    <w:p>
      <w:pPr>
        <w:spacing w:line="600" w:lineRule="exact"/>
        <w:ind w:firstLine="640" w:firstLineChars="200"/>
        <w:rPr>
          <w:rFonts w:ascii="仿宋" w:hAnsi="仿宋" w:eastAsia="仿宋"/>
          <w:sz w:val="32"/>
          <w:szCs w:val="32"/>
        </w:rPr>
      </w:pPr>
    </w:p>
    <w:p>
      <w:pPr>
        <w:spacing w:line="600" w:lineRule="exact"/>
        <w:ind w:firstLine="643" w:firstLineChars="200"/>
        <w:outlineLvl w:val="2"/>
        <w:rPr>
          <w:rFonts w:ascii="仿宋" w:hAnsi="仿宋" w:eastAsia="仿宋"/>
          <w:b/>
          <w:sz w:val="32"/>
          <w:szCs w:val="32"/>
        </w:rPr>
      </w:pPr>
      <w:bookmarkStart w:id="32" w:name="_Toc15377212"/>
      <w:r>
        <w:rPr>
          <w:rFonts w:hint="eastAsia" w:ascii="仿宋" w:hAnsi="仿宋" w:eastAsia="仿宋"/>
          <w:b/>
          <w:sz w:val="32"/>
          <w:szCs w:val="32"/>
        </w:rPr>
        <w:t>（三）一般公共预算财政拨款支出决算具体情况</w:t>
      </w:r>
      <w:bookmarkEnd w:id="32"/>
    </w:p>
    <w:p>
      <w:pPr>
        <w:spacing w:line="600" w:lineRule="exact"/>
        <w:ind w:firstLine="643" w:firstLineChars="200"/>
        <w:outlineLvl w:val="2"/>
        <w:rPr>
          <w:rFonts w:ascii="仿宋" w:hAnsi="仿宋" w:eastAsia="仿宋"/>
          <w:sz w:val="32"/>
          <w:szCs w:val="32"/>
        </w:rPr>
      </w:pPr>
      <w:bookmarkStart w:id="33" w:name="_Toc15378460"/>
      <w:bookmarkStart w:id="34" w:name="_Toc15377213"/>
      <w:bookmarkStart w:id="35" w:name="_Toc15377444"/>
      <w:r>
        <w:rPr>
          <w:rFonts w:hint="eastAsia" w:ascii="仿宋" w:hAnsi="仿宋" w:eastAsia="仿宋"/>
          <w:b/>
          <w:sz w:val="32"/>
          <w:szCs w:val="32"/>
        </w:rPr>
        <w:t>2022年一般公共预算支出决算数为</w:t>
      </w:r>
      <w:r>
        <w:rPr>
          <w:rFonts w:hint="eastAsia" w:ascii="仿宋" w:hAnsi="仿宋" w:eastAsia="仿宋"/>
          <w:sz w:val="32"/>
          <w:szCs w:val="32"/>
        </w:rPr>
        <w:t>12929.71</w:t>
      </w:r>
      <w:r>
        <w:rPr>
          <w:rFonts w:hint="eastAsia" w:ascii="仿宋" w:hAnsi="仿宋" w:eastAsia="仿宋"/>
          <w:sz w:val="32"/>
          <w:szCs w:val="32"/>
          <w:lang w:val="en-US" w:eastAsia="zh-CN"/>
        </w:rPr>
        <w:t>万元</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100</w:t>
      </w:r>
      <w:r>
        <w:rPr>
          <w:rStyle w:val="18"/>
          <w:rFonts w:ascii="仿宋" w:hAnsi="仿宋" w:eastAsia="仿宋"/>
          <w:bCs/>
          <w:sz w:val="32"/>
          <w:szCs w:val="32"/>
        </w:rPr>
        <w:t>%</w:t>
      </w:r>
      <w:r>
        <w:rPr>
          <w:rStyle w:val="18"/>
          <w:rFonts w:hint="eastAsia" w:ascii="仿宋" w:hAnsi="仿宋" w:eastAsia="仿宋"/>
          <w:bCs/>
          <w:sz w:val="32"/>
          <w:szCs w:val="32"/>
        </w:rPr>
        <w:t>。其中：</w:t>
      </w:r>
      <w:bookmarkEnd w:id="33"/>
      <w:bookmarkEnd w:id="34"/>
      <w:bookmarkEnd w:id="35"/>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1.</w:t>
      </w:r>
      <w:r>
        <w:rPr>
          <w:rStyle w:val="18"/>
          <w:rFonts w:hint="eastAsia" w:ascii="仿宋" w:hAnsi="仿宋" w:eastAsia="仿宋"/>
          <w:bCs/>
          <w:sz w:val="32"/>
          <w:szCs w:val="32"/>
        </w:rPr>
        <w:t>一般公共服务（类）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2.</w:t>
      </w:r>
      <w:r>
        <w:rPr>
          <w:rStyle w:val="18"/>
          <w:rFonts w:hint="eastAsia" w:ascii="仿宋" w:hAnsi="仿宋" w:eastAsia="仿宋"/>
          <w:bCs/>
          <w:sz w:val="32"/>
          <w:szCs w:val="32"/>
        </w:rPr>
        <w:t>教育（类）</w:t>
      </w:r>
      <w:r>
        <w:rPr>
          <w:rStyle w:val="18"/>
          <w:rFonts w:ascii="仿宋" w:hAnsi="仿宋" w:eastAsia="仿宋"/>
          <w:bCs/>
          <w:sz w:val="32"/>
          <w:szCs w:val="32"/>
        </w:rPr>
        <w:t>***</w:t>
      </w:r>
      <w:r>
        <w:rPr>
          <w:rStyle w:val="18"/>
          <w:rFonts w:hint="eastAsia" w:ascii="仿宋" w:hAnsi="仿宋" w:eastAsia="仿宋"/>
          <w:bCs/>
          <w:sz w:val="32"/>
          <w:szCs w:val="32"/>
        </w:rPr>
        <w:t>（款）</w:t>
      </w:r>
      <w:r>
        <w:rPr>
          <w:rStyle w:val="18"/>
          <w:rFonts w:ascii="仿宋" w:hAnsi="仿宋" w:eastAsia="仿宋"/>
          <w:bCs/>
          <w:sz w:val="32"/>
          <w:szCs w:val="32"/>
        </w:rPr>
        <w:t>***</w:t>
      </w:r>
      <w:r>
        <w:rPr>
          <w:rStyle w:val="18"/>
          <w:rFonts w:hint="eastAsia" w:ascii="仿宋" w:hAnsi="仿宋" w:eastAsia="仿宋"/>
          <w:bCs/>
          <w:sz w:val="32"/>
          <w:szCs w:val="32"/>
        </w:rPr>
        <w:t>（项）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0</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3.</w:t>
      </w:r>
      <w:r>
        <w:rPr>
          <w:rStyle w:val="18"/>
          <w:rFonts w:hint="eastAsia" w:ascii="仿宋" w:hAnsi="仿宋" w:eastAsia="仿宋"/>
          <w:bCs/>
          <w:sz w:val="32"/>
          <w:szCs w:val="32"/>
        </w:rPr>
        <w:t>农林水支出（类）巩固脱贫衔接乡村振兴（款） 一般行政管理事务（项）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12498.71</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4.</w:t>
      </w:r>
      <w:r>
        <w:rPr>
          <w:rStyle w:val="18"/>
          <w:rFonts w:hint="eastAsia" w:ascii="仿宋" w:hAnsi="仿宋" w:eastAsia="仿宋"/>
          <w:bCs/>
          <w:sz w:val="32"/>
          <w:szCs w:val="32"/>
          <w:lang w:val="en-US" w:eastAsia="zh-CN"/>
        </w:rPr>
        <w:t>住房保障</w:t>
      </w:r>
      <w:r>
        <w:rPr>
          <w:rStyle w:val="18"/>
          <w:rFonts w:hint="eastAsia" w:ascii="仿宋" w:hAnsi="仿宋" w:eastAsia="仿宋"/>
          <w:bCs/>
          <w:sz w:val="32"/>
          <w:szCs w:val="32"/>
        </w:rPr>
        <w:t>（类）住房改革支出（款）住房公积金（项）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24.7</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5.</w:t>
      </w:r>
      <w:r>
        <w:rPr>
          <w:rStyle w:val="18"/>
          <w:rFonts w:hint="eastAsia" w:ascii="仿宋" w:hAnsi="仿宋" w:eastAsia="仿宋"/>
          <w:bCs/>
          <w:sz w:val="32"/>
          <w:szCs w:val="32"/>
        </w:rPr>
        <w:t>社会保障和就业（类）大中型水库移民后期扶持基金支出（款） 基础设施建设和经济发展（项）</w:t>
      </w:r>
      <w:r>
        <w:rPr>
          <w:rStyle w:val="18"/>
          <w:rFonts w:hint="eastAsia" w:ascii="仿宋" w:hAnsi="仿宋" w:eastAsia="仿宋"/>
          <w:bCs/>
          <w:sz w:val="32"/>
          <w:szCs w:val="32"/>
          <w:lang w:eastAsia="zh-CN"/>
        </w:rPr>
        <w:t>：</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Fonts w:hint="eastAsia" w:ascii="仿宋" w:hAnsi="仿宋" w:eastAsia="仿宋"/>
          <w:sz w:val="32"/>
          <w:szCs w:val="32"/>
        </w:rPr>
        <w:t>389.58</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spacing w:line="600" w:lineRule="exact"/>
        <w:ind w:firstLine="643" w:firstLineChars="200"/>
        <w:rPr>
          <w:rFonts w:ascii="仿宋" w:hAnsi="仿宋" w:eastAsia="仿宋"/>
          <w:b/>
          <w:sz w:val="32"/>
          <w:szCs w:val="32"/>
        </w:rPr>
      </w:pPr>
      <w:r>
        <w:rPr>
          <w:rStyle w:val="18"/>
          <w:rFonts w:ascii="仿宋" w:hAnsi="仿宋" w:eastAsia="仿宋"/>
          <w:bCs/>
          <w:sz w:val="32"/>
          <w:szCs w:val="32"/>
        </w:rPr>
        <w:t>6.</w:t>
      </w:r>
      <w:r>
        <w:rPr>
          <w:rFonts w:hint="eastAsia" w:ascii="仿宋" w:hAnsi="仿宋" w:eastAsia="仿宋"/>
          <w:b/>
          <w:bCs/>
          <w:sz w:val="32"/>
          <w:szCs w:val="32"/>
        </w:rPr>
        <w:t>卫生健康</w:t>
      </w:r>
      <w:r>
        <w:rPr>
          <w:rStyle w:val="18"/>
          <w:rFonts w:hint="eastAsia" w:ascii="仿宋" w:hAnsi="仿宋" w:eastAsia="仿宋"/>
          <w:bCs/>
          <w:sz w:val="32"/>
          <w:szCs w:val="32"/>
        </w:rPr>
        <w:t>（类）行政事业单位医疗（款） 行政单位医疗（项）</w:t>
      </w:r>
      <w:r>
        <w:rPr>
          <w:rStyle w:val="18"/>
          <w:rFonts w:hint="eastAsia" w:ascii="仿宋" w:hAnsi="仿宋" w:eastAsia="仿宋"/>
          <w:bCs/>
          <w:sz w:val="32"/>
          <w:szCs w:val="32"/>
          <w:lang w:eastAsia="zh-CN"/>
        </w:rPr>
        <w:t>：</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16.72</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p>
    <w:p>
      <w:pPr>
        <w:tabs>
          <w:tab w:val="right" w:pos="8306"/>
        </w:tabs>
        <w:spacing w:line="600" w:lineRule="exact"/>
        <w:ind w:firstLine="640"/>
        <w:outlineLvl w:val="1"/>
        <w:rPr>
          <w:rStyle w:val="30"/>
        </w:rPr>
      </w:pPr>
      <w:bookmarkStart w:id="36" w:name="_Toc15377214"/>
      <w:bookmarkStart w:id="3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30"/>
          <w:rFonts w:hint="eastAsia" w:ascii="黑体" w:hAnsi="黑体" w:eastAsia="黑体"/>
          <w:b w:val="0"/>
        </w:rPr>
        <w:t>般公共预算财政拨款基本支出决算情况说明</w:t>
      </w:r>
      <w:bookmarkEnd w:id="36"/>
      <w:bookmarkEnd w:id="37"/>
      <w:r>
        <w:rPr>
          <w:rStyle w:val="30"/>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22年一般公共预算财政拨款基本支出434.34万元，其中：</w:t>
      </w:r>
    </w:p>
    <w:p>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393.29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pPr>
        <w:spacing w:line="600" w:lineRule="exact"/>
        <w:ind w:firstLine="645"/>
        <w:rPr>
          <w:rFonts w:ascii="仿宋" w:hAnsi="仿宋" w:eastAsia="仿宋"/>
          <w:b/>
          <w:sz w:val="32"/>
          <w:szCs w:val="32"/>
        </w:rPr>
      </w:pPr>
      <w:r>
        <w:rPr>
          <w:rFonts w:hint="eastAsia" w:ascii="仿宋" w:hAnsi="仿宋" w:eastAsia="仿宋"/>
          <w:sz w:val="32"/>
          <w:szCs w:val="32"/>
        </w:rPr>
        <w:t>　　公用经费41.05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30"/>
          <w:rFonts w:ascii="黑体" w:hAnsi="黑体" w:eastAsia="黑体"/>
          <w:b w:val="0"/>
        </w:rPr>
      </w:pPr>
      <w:bookmarkStart w:id="38" w:name="_Toc15396609"/>
      <w:bookmarkStart w:id="39" w:name="_Toc15377215"/>
      <w:r>
        <w:rPr>
          <w:rFonts w:hint="eastAsia" w:ascii="黑体" w:eastAsia="黑体"/>
          <w:sz w:val="32"/>
          <w:szCs w:val="32"/>
        </w:rPr>
        <w:t>七、</w:t>
      </w:r>
      <w:r>
        <w:rPr>
          <w:rStyle w:val="30"/>
          <w:rFonts w:hint="eastAsia" w:ascii="黑体" w:hAnsi="黑体" w:eastAsia="黑体"/>
          <w:b w:val="0"/>
        </w:rPr>
        <w:t>财政拨款</w:t>
      </w:r>
      <w:r>
        <w:rPr>
          <w:rStyle w:val="30"/>
          <w:rFonts w:hint="eastAsia" w:ascii="黑体" w:hAnsi="黑体" w:eastAsia="黑体"/>
        </w:rPr>
        <w:t>“</w:t>
      </w:r>
      <w:r>
        <w:rPr>
          <w:rStyle w:val="30"/>
          <w:rFonts w:hint="eastAsia" w:ascii="黑体" w:hAnsi="黑体" w:eastAsia="黑体"/>
          <w:b w:val="0"/>
        </w:rPr>
        <w:t>三公”经费支出决算情况说明</w:t>
      </w:r>
      <w:bookmarkEnd w:id="38"/>
      <w:bookmarkEnd w:id="39"/>
    </w:p>
    <w:p>
      <w:pPr>
        <w:spacing w:line="600" w:lineRule="exact"/>
        <w:ind w:firstLine="640"/>
        <w:outlineLvl w:val="2"/>
        <w:rPr>
          <w:rFonts w:ascii="仿宋" w:hAnsi="仿宋" w:eastAsia="仿宋"/>
          <w:b/>
          <w:sz w:val="32"/>
          <w:szCs w:val="32"/>
        </w:rPr>
      </w:pPr>
      <w:bookmarkStart w:id="40" w:name="_Toc15377216"/>
      <w:r>
        <w:rPr>
          <w:rFonts w:hint="eastAsia" w:ascii="仿宋" w:hAnsi="仿宋" w:eastAsia="仿宋"/>
          <w:b/>
          <w:sz w:val="32"/>
          <w:szCs w:val="32"/>
        </w:rPr>
        <w:t>（一）“三公”经费财政拨款支出决算总体情况说明</w:t>
      </w:r>
      <w:bookmarkEnd w:id="40"/>
    </w:p>
    <w:p>
      <w:pPr>
        <w:keepNext w:val="0"/>
        <w:keepLines w:val="0"/>
        <w:widowControl/>
        <w:suppressLineNumbers w:val="0"/>
        <w:jc w:val="left"/>
      </w:pPr>
      <w:r>
        <w:rPr>
          <w:rFonts w:ascii="仿宋" w:hAnsi="仿宋" w:eastAsia="仿宋"/>
          <w:sz w:val="32"/>
          <w:szCs w:val="32"/>
        </w:rPr>
        <w:t>20</w:t>
      </w:r>
      <w:r>
        <w:rPr>
          <w:rFonts w:hint="eastAsia" w:ascii="仿宋" w:hAnsi="仿宋" w:eastAsia="仿宋"/>
          <w:sz w:val="32"/>
          <w:szCs w:val="32"/>
        </w:rPr>
        <w:t>22年“三公”经费财政拨款支出决算为2.77万元，完成预算</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，较上年减少</w:t>
      </w:r>
      <w:r>
        <w:rPr>
          <w:rFonts w:hint="eastAsia" w:ascii="仿宋" w:hAnsi="仿宋" w:eastAsia="仿宋"/>
          <w:sz w:val="32"/>
          <w:szCs w:val="32"/>
          <w:lang w:val="en-US" w:eastAsia="zh-CN"/>
        </w:rPr>
        <w:t>14.83</w:t>
      </w:r>
      <w:r>
        <w:rPr>
          <w:rFonts w:hint="eastAsia" w:ascii="仿宋" w:hAnsi="仿宋" w:eastAsia="仿宋"/>
          <w:sz w:val="32"/>
          <w:szCs w:val="32"/>
        </w:rPr>
        <w:t>万元，下降</w:t>
      </w:r>
      <w:r>
        <w:rPr>
          <w:rFonts w:hint="eastAsia" w:ascii="仿宋" w:hAnsi="仿宋" w:eastAsia="仿宋"/>
          <w:sz w:val="32"/>
          <w:szCs w:val="32"/>
          <w:lang w:val="en-US" w:eastAsia="zh-CN"/>
        </w:rPr>
        <w:t>157.39</w:t>
      </w:r>
      <w:r>
        <w:rPr>
          <w:rFonts w:hint="eastAsia" w:ascii="仿宋" w:hAnsi="仿宋" w:eastAsia="仿宋"/>
          <w:sz w:val="32"/>
          <w:szCs w:val="32"/>
        </w:rPr>
        <w:t>%。决算数小于预算数（或与预算数持平）的主要原因是</w:t>
      </w:r>
      <w:r>
        <w:rPr>
          <w:rFonts w:hint="eastAsia" w:ascii="仿宋" w:hAnsi="仿宋" w:eastAsia="仿宋"/>
          <w:sz w:val="32"/>
          <w:szCs w:val="32"/>
          <w:lang w:val="en-US" w:eastAsia="zh-CN"/>
        </w:rPr>
        <w:t>机构合并</w:t>
      </w:r>
      <w:r>
        <w:rPr>
          <w:rFonts w:ascii="仿宋_GB2312" w:hAnsi="宋体" w:eastAsia="仿宋_GB2312" w:cs="仿宋_GB2312"/>
          <w:color w:val="000000"/>
          <w:kern w:val="0"/>
          <w:sz w:val="31"/>
          <w:szCs w:val="31"/>
          <w:lang w:val="en-US" w:eastAsia="zh-CN" w:bidi="ar"/>
        </w:rPr>
        <w:t>认真贯彻落实中央八项规定和厉行节约要</w:t>
      </w:r>
      <w:r>
        <w:rPr>
          <w:rFonts w:hint="eastAsia" w:ascii="仿宋_GB2312" w:hAnsi="宋体" w:eastAsia="仿宋_GB2312" w:cs="仿宋_GB2312"/>
          <w:color w:val="000000"/>
          <w:kern w:val="0"/>
          <w:sz w:val="31"/>
          <w:szCs w:val="31"/>
          <w:lang w:val="en-US" w:eastAsia="zh-CN" w:bidi="ar"/>
        </w:rPr>
        <w:t>求，从严控制“三公”经费开支。</w:t>
      </w:r>
    </w:p>
    <w:p>
      <w:pPr>
        <w:spacing w:line="600" w:lineRule="exact"/>
        <w:ind w:firstLine="640"/>
        <w:outlineLvl w:val="2"/>
        <w:rPr>
          <w:rFonts w:ascii="仿宋" w:hAnsi="仿宋" w:eastAsia="仿宋"/>
          <w:b/>
          <w:sz w:val="32"/>
          <w:szCs w:val="32"/>
        </w:rPr>
      </w:pPr>
      <w:bookmarkStart w:id="41" w:name="_Toc15377217"/>
      <w:r>
        <w:rPr>
          <w:rFonts w:hint="eastAsia" w:ascii="仿宋" w:hAnsi="仿宋" w:eastAsia="仿宋"/>
          <w:b/>
          <w:sz w:val="32"/>
          <w:szCs w:val="32"/>
        </w:rPr>
        <w:t>（二）“三公”经费财政拨款支出决算具体情况说明</w:t>
      </w:r>
      <w:bookmarkEnd w:id="41"/>
    </w:p>
    <w:p>
      <w:pPr>
        <w:spacing w:line="600" w:lineRule="exact"/>
        <w:ind w:firstLine="640"/>
        <w:rPr>
          <w:rFonts w:hint="eastAsia" w:ascii="仿宋" w:hAnsi="仿宋" w:eastAsia="仿宋"/>
          <w:sz w:val="32"/>
          <w:szCs w:val="32"/>
        </w:rPr>
      </w:pPr>
      <w:r>
        <w:rPr>
          <w:rFonts w:ascii="仿宋" w:hAnsi="仿宋" w:eastAsia="仿宋"/>
          <w:sz w:val="32"/>
          <w:szCs w:val="32"/>
        </w:rPr>
        <w:t>20</w:t>
      </w:r>
      <w:r>
        <w:rPr>
          <w:rFonts w:hint="eastAsia" w:ascii="仿宋" w:hAnsi="仿宋" w:eastAsia="仿宋"/>
          <w:sz w:val="32"/>
          <w:szCs w:val="32"/>
        </w:rPr>
        <w:t>22年“三公”经费财政拨款支出决算中，因公出国（境）费支出决算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；公务用车购置及运行维护费支出决算</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0.00</w:t>
      </w:r>
      <w:r>
        <w:rPr>
          <w:rFonts w:ascii="仿宋" w:hAnsi="仿宋" w:eastAsia="仿宋"/>
          <w:sz w:val="32"/>
          <w:szCs w:val="32"/>
        </w:rPr>
        <w:t>%</w:t>
      </w:r>
      <w:r>
        <w:rPr>
          <w:rFonts w:hint="eastAsia" w:ascii="仿宋" w:hAnsi="仿宋" w:eastAsia="仿宋"/>
          <w:sz w:val="32"/>
          <w:szCs w:val="32"/>
        </w:rPr>
        <w:t>；公务接待费支出决算2.77万元，占</w:t>
      </w:r>
      <w:r>
        <w:rPr>
          <w:rFonts w:hint="eastAsia" w:ascii="仿宋" w:hAnsi="仿宋" w:eastAsia="仿宋"/>
          <w:sz w:val="32"/>
          <w:szCs w:val="32"/>
          <w:lang w:val="en-US" w:eastAsia="zh-CN"/>
        </w:rPr>
        <w:t>100</w:t>
      </w:r>
      <w:r>
        <w:rPr>
          <w:rFonts w:ascii="仿宋" w:hAnsi="仿宋" w:eastAsia="仿宋"/>
          <w:sz w:val="32"/>
          <w:szCs w:val="32"/>
        </w:rPr>
        <w:t>%</w:t>
      </w:r>
      <w:r>
        <w:rPr>
          <w:rFonts w:hint="eastAsia" w:ascii="仿宋" w:hAnsi="仿宋" w:eastAsia="仿宋"/>
          <w:sz w:val="32"/>
          <w:szCs w:val="32"/>
        </w:rPr>
        <w:t>。具体情况如下：</w:t>
      </w:r>
    </w:p>
    <w:p>
      <w:r>
        <w:drawing>
          <wp:inline distT="0" distB="0" distL="114300" distR="114300">
            <wp:extent cx="4367530" cy="2867025"/>
            <wp:effectExtent l="4445" t="4445" r="17145" b="8890"/>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spacing w:line="600" w:lineRule="exact"/>
        <w:rPr>
          <w:rFonts w:ascii="仿宋" w:hAnsi="仿宋" w:eastAsia="仿宋"/>
          <w:sz w:val="32"/>
          <w:szCs w:val="32"/>
        </w:rPr>
      </w:pPr>
      <w:r>
        <w:rPr>
          <w:rFonts w:hint="eastAsia" w:ascii="仿宋" w:hAnsi="仿宋" w:eastAsia="仿宋"/>
          <w:sz w:val="32"/>
          <w:szCs w:val="32"/>
        </w:rPr>
        <w:t>（图7：“三公”经费财政拨款支出结构）（</w:t>
      </w:r>
      <w:r>
        <w:rPr>
          <w:rFonts w:hint="eastAsia" w:ascii="仿宋" w:hAnsi="仿宋" w:eastAsia="仿宋"/>
          <w:sz w:val="32"/>
          <w:szCs w:val="32"/>
          <w:lang w:val="en-US" w:eastAsia="zh-CN"/>
        </w:rPr>
        <w:t>单位：万元</w:t>
      </w:r>
      <w:r>
        <w:rPr>
          <w:rFonts w:hint="eastAsia" w:ascii="仿宋" w:hAnsi="仿宋" w:eastAsia="仿宋"/>
          <w:sz w:val="32"/>
          <w:szCs w:val="32"/>
        </w:rPr>
        <w:t>）</w:t>
      </w:r>
    </w:p>
    <w:p>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hint="eastAsia" w:ascii="仿宋_GB2312" w:eastAsia="仿宋_GB2312"/>
          <w:sz w:val="32"/>
          <w:szCs w:val="32"/>
          <w:lang w:val="en-US" w:eastAsia="zh-CN"/>
        </w:rPr>
        <w:t>0</w:t>
      </w:r>
      <w:r>
        <w:rPr>
          <w:rFonts w:hint="eastAsia" w:ascii="仿宋_GB2312" w:eastAsia="仿宋_GB2312"/>
          <w:sz w:val="32"/>
          <w:szCs w:val="32"/>
        </w:rPr>
        <w:t>次，出国（境）</w:t>
      </w:r>
      <w:r>
        <w:rPr>
          <w:rFonts w:hint="eastAsia" w:ascii="仿宋_GB2312" w:eastAsia="仿宋_GB2312"/>
          <w:sz w:val="32"/>
          <w:szCs w:val="32"/>
          <w:lang w:val="en-US" w:eastAsia="zh-CN"/>
        </w:rPr>
        <w:t>0</w:t>
      </w:r>
      <w:r>
        <w:rPr>
          <w:rFonts w:hint="eastAsia" w:ascii="仿宋_GB2312" w:eastAsia="仿宋_GB2312"/>
          <w:sz w:val="32"/>
          <w:szCs w:val="32"/>
        </w:rPr>
        <w:t>人。</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Fonts w:hint="eastAsia" w:ascii="仿宋_GB2312" w:eastAsia="仿宋_GB2312"/>
          <w:sz w:val="32"/>
          <w:szCs w:val="32"/>
          <w:lang w:val="en-US" w:eastAsia="zh-CN"/>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w:t>
      </w:r>
      <w:r>
        <w:rPr>
          <w:rFonts w:ascii="仿宋_GB2312" w:eastAsia="仿宋_GB2312"/>
          <w:sz w:val="32"/>
          <w:szCs w:val="32"/>
        </w:rPr>
        <w:t>20</w:t>
      </w:r>
      <w:r>
        <w:rPr>
          <w:rFonts w:hint="eastAsia" w:ascii="仿宋_GB2312" w:eastAsia="仿宋_GB2312"/>
          <w:sz w:val="32"/>
          <w:szCs w:val="32"/>
        </w:rPr>
        <w:t>21年增加</w:t>
      </w:r>
      <w:r>
        <w:rPr>
          <w:rFonts w:ascii="仿宋_GB2312" w:eastAsia="仿宋_GB2312"/>
          <w:sz w:val="32"/>
          <w:szCs w:val="32"/>
        </w:rPr>
        <w:t>/</w:t>
      </w:r>
      <w:r>
        <w:rPr>
          <w:rFonts w:hint="eastAsia" w:ascii="仿宋_GB2312" w:eastAsia="仿宋_GB2312"/>
          <w:sz w:val="32"/>
          <w:szCs w:val="32"/>
        </w:rPr>
        <w:t>减少</w:t>
      </w:r>
      <w:r>
        <w:rPr>
          <w:rFonts w:hint="eastAsia" w:ascii="仿宋_GB2312" w:eastAsia="仿宋_GB2312"/>
          <w:sz w:val="32"/>
          <w:szCs w:val="32"/>
          <w:lang w:val="en-US" w:eastAsia="zh-CN"/>
        </w:rPr>
        <w:t>0</w:t>
      </w:r>
      <w:r>
        <w:rPr>
          <w:rFonts w:hint="eastAsia" w:ascii="仿宋_GB2312" w:eastAsia="仿宋_GB2312"/>
          <w:sz w:val="32"/>
          <w:szCs w:val="32"/>
        </w:rPr>
        <w:t>万元。</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lang w:val="en-US" w:eastAsia="zh-CN"/>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月底，单位共有公务用车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pPr>
        <w:spacing w:line="600" w:lineRule="exact"/>
        <w:ind w:firstLine="640"/>
        <w:rPr>
          <w:rFonts w:ascii="仿宋_GB2312" w:eastAsia="仿宋_GB2312"/>
          <w:sz w:val="32"/>
          <w:szCs w:val="32"/>
        </w:rPr>
      </w:pPr>
      <w:r>
        <w:rPr>
          <w:rFonts w:hint="eastAsia" w:ascii="仿宋_GB2312" w:eastAsia="仿宋_GB2312"/>
          <w:b/>
          <w:sz w:val="32"/>
          <w:szCs w:val="32"/>
        </w:rPr>
        <w:t>公务用车运行维护费支出</w:t>
      </w:r>
      <w:r>
        <w:rPr>
          <w:rFonts w:hint="eastAsia" w:ascii="仿宋_GB2312" w:eastAsia="仿宋_GB2312"/>
          <w:sz w:val="32"/>
          <w:szCs w:val="32"/>
          <w:lang w:val="en-US" w:eastAsia="zh-CN"/>
        </w:rPr>
        <w:t>0</w:t>
      </w:r>
      <w:r>
        <w:rPr>
          <w:rFonts w:hint="eastAsia" w:ascii="仿宋_GB2312" w:eastAsia="仿宋_GB2312"/>
          <w:sz w:val="32"/>
          <w:szCs w:val="32"/>
        </w:rPr>
        <w:t>万元。主要用于</w:t>
      </w:r>
      <w:r>
        <w:rPr>
          <w:rFonts w:ascii="仿宋_GB2312" w:eastAsia="仿宋_GB2312"/>
          <w:sz w:val="32"/>
          <w:szCs w:val="32"/>
        </w:rPr>
        <w:t>…</w:t>
      </w:r>
      <w:r>
        <w:rPr>
          <w:rFonts w:hint="eastAsia" w:ascii="仿宋_GB2312" w:eastAsia="仿宋_GB2312"/>
          <w:sz w:val="32"/>
          <w:szCs w:val="32"/>
        </w:rPr>
        <w:t>（具体工作）等所需的公务用车燃料费、维修费、过路过桥费、保险费等支出。</w:t>
      </w:r>
    </w:p>
    <w:p>
      <w:pPr>
        <w:keepNext w:val="0"/>
        <w:keepLines w:val="0"/>
        <w:widowControl/>
        <w:numPr>
          <w:ilvl w:val="0"/>
          <w:numId w:val="2"/>
        </w:numPr>
        <w:suppressLineNumbers w:val="0"/>
        <w:jc w:val="left"/>
        <w:rPr>
          <w:rFonts w:ascii="仿宋_GB2312" w:eastAsia="仿宋_GB2312"/>
          <w:sz w:val="32"/>
          <w:szCs w:val="32"/>
        </w:rPr>
      </w:pPr>
      <w:r>
        <w:rPr>
          <w:rFonts w:hint="eastAsia" w:ascii="仿宋_GB2312" w:eastAsia="仿宋_GB2312"/>
          <w:b/>
          <w:sz w:val="32"/>
          <w:szCs w:val="32"/>
        </w:rPr>
        <w:t>公务接待费支出</w:t>
      </w:r>
      <w:r>
        <w:rPr>
          <w:rFonts w:hint="eastAsia" w:ascii="仿宋_GB2312" w:eastAsia="仿宋_GB2312"/>
          <w:sz w:val="32"/>
          <w:szCs w:val="32"/>
          <w:lang w:val="en-US" w:eastAsia="zh-CN"/>
        </w:rPr>
        <w:t>2.77</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公务接待费支出决算比</w:t>
      </w:r>
      <w:r>
        <w:rPr>
          <w:rFonts w:ascii="仿宋_GB2312" w:eastAsia="仿宋_GB2312"/>
          <w:sz w:val="32"/>
          <w:szCs w:val="32"/>
        </w:rPr>
        <w:t>20</w:t>
      </w:r>
      <w:r>
        <w:rPr>
          <w:rFonts w:hint="eastAsia" w:ascii="仿宋_GB2312" w:eastAsia="仿宋_GB2312"/>
          <w:sz w:val="32"/>
          <w:szCs w:val="32"/>
        </w:rPr>
        <w:t>21年减少</w:t>
      </w:r>
      <w:r>
        <w:rPr>
          <w:rFonts w:hint="eastAsia" w:ascii="仿宋" w:hAnsi="仿宋" w:eastAsia="仿宋"/>
          <w:sz w:val="32"/>
          <w:szCs w:val="32"/>
          <w:lang w:val="en-US" w:eastAsia="zh-CN"/>
        </w:rPr>
        <w:t>14.83</w:t>
      </w:r>
      <w:r>
        <w:rPr>
          <w:rFonts w:hint="eastAsia" w:ascii="仿宋_GB2312" w:eastAsia="仿宋_GB2312"/>
          <w:sz w:val="32"/>
          <w:szCs w:val="32"/>
        </w:rPr>
        <w:t>万元，下降</w:t>
      </w:r>
      <w:r>
        <w:rPr>
          <w:rFonts w:hint="eastAsia" w:ascii="仿宋_GB2312" w:eastAsia="仿宋_GB2312"/>
          <w:sz w:val="32"/>
          <w:szCs w:val="32"/>
          <w:lang w:val="en-US" w:eastAsia="zh-CN"/>
        </w:rPr>
        <w:t>157.39</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单位撤并</w:t>
      </w:r>
      <w:r>
        <w:rPr>
          <w:rFonts w:ascii="仿宋_GB2312" w:hAnsi="宋体" w:eastAsia="仿宋_GB2312" w:cs="仿宋_GB2312"/>
          <w:color w:val="000000"/>
          <w:kern w:val="0"/>
          <w:sz w:val="31"/>
          <w:szCs w:val="31"/>
          <w:lang w:val="en-US" w:eastAsia="zh-CN" w:bidi="ar"/>
        </w:rPr>
        <w:t>认真贯彻落实中央八项规定和厉行节约要</w:t>
      </w:r>
      <w:r>
        <w:rPr>
          <w:rFonts w:hint="eastAsia" w:ascii="仿宋_GB2312" w:hAnsi="宋体" w:eastAsia="仿宋_GB2312" w:cs="仿宋_GB2312"/>
          <w:color w:val="000000"/>
          <w:kern w:val="0"/>
          <w:sz w:val="31"/>
          <w:szCs w:val="31"/>
          <w:lang w:val="en-US" w:eastAsia="zh-CN" w:bidi="ar"/>
        </w:rPr>
        <w:t>求，从严控制“三公”经费开支，</w:t>
      </w:r>
      <w:r>
        <w:rPr>
          <w:rFonts w:hint="eastAsia" w:ascii="仿宋_GB2312" w:eastAsia="仿宋_GB2312"/>
          <w:sz w:val="32"/>
          <w:szCs w:val="32"/>
          <w:lang w:val="en-US" w:eastAsia="zh-CN"/>
        </w:rPr>
        <w:t>公务接待减少</w:t>
      </w:r>
      <w:r>
        <w:rPr>
          <w:rFonts w:hint="eastAsia" w:ascii="仿宋_GB2312" w:eastAsia="仿宋_GB2312"/>
          <w:sz w:val="32"/>
          <w:szCs w:val="32"/>
        </w:rPr>
        <w:t>。</w:t>
      </w:r>
    </w:p>
    <w:p>
      <w:pPr>
        <w:keepNext w:val="0"/>
        <w:keepLines w:val="0"/>
        <w:widowControl/>
        <w:numPr>
          <w:ilvl w:val="0"/>
          <w:numId w:val="0"/>
        </w:numPr>
        <w:suppressLineNumbers w:val="0"/>
        <w:jc w:val="left"/>
        <w:rPr>
          <w:rFonts w:ascii="仿宋_GB2312" w:eastAsia="仿宋_GB2312"/>
          <w:sz w:val="32"/>
          <w:szCs w:val="32"/>
        </w:rPr>
      </w:pPr>
      <w:r>
        <w:rPr>
          <w:rFonts w:hint="eastAsia" w:ascii="仿宋_GB2312" w:eastAsia="仿宋_GB2312"/>
          <w:sz w:val="32"/>
          <w:szCs w:val="32"/>
        </w:rPr>
        <w:t>其中：</w:t>
      </w:r>
    </w:p>
    <w:p>
      <w:pPr>
        <w:spacing w:line="600" w:lineRule="exact"/>
        <w:rPr>
          <w:rFonts w:ascii="仿宋_GB2312" w:eastAsia="仿宋_GB2312"/>
          <w:sz w:val="32"/>
          <w:szCs w:val="32"/>
        </w:rPr>
      </w:pPr>
      <w:r>
        <w:rPr>
          <w:rFonts w:hint="eastAsia" w:ascii="仿宋" w:hAnsi="仿宋" w:eastAsia="仿宋"/>
          <w:b/>
          <w:sz w:val="32"/>
          <w:szCs w:val="32"/>
        </w:rPr>
        <w:t>国内公务接待支出</w:t>
      </w:r>
      <w:r>
        <w:rPr>
          <w:rFonts w:hint="eastAsia" w:ascii="仿宋_GB2312" w:eastAsia="仿宋_GB2312"/>
          <w:sz w:val="32"/>
          <w:szCs w:val="32"/>
          <w:lang w:val="en-US" w:eastAsia="zh-CN"/>
        </w:rPr>
        <w:t>2.77</w:t>
      </w:r>
      <w:r>
        <w:rPr>
          <w:rFonts w:hint="eastAsia" w:ascii="仿宋_GB2312" w:eastAsia="仿宋_GB2312"/>
          <w:sz w:val="32"/>
          <w:szCs w:val="32"/>
        </w:rPr>
        <w:t>万元，主要用于执行公务、开展业务活动开支的用餐费。国内公务接待</w:t>
      </w:r>
      <w:r>
        <w:rPr>
          <w:rFonts w:hint="eastAsia" w:ascii="仿宋_GB2312" w:eastAsia="仿宋_GB2312"/>
          <w:sz w:val="32"/>
          <w:szCs w:val="32"/>
          <w:lang w:val="en-US" w:eastAsia="zh-CN"/>
        </w:rPr>
        <w:t>23</w:t>
      </w:r>
      <w:r>
        <w:rPr>
          <w:rFonts w:hint="eastAsia" w:ascii="仿宋_GB2312" w:eastAsia="仿宋_GB2312"/>
          <w:sz w:val="32"/>
          <w:szCs w:val="32"/>
        </w:rPr>
        <w:t>批次，</w:t>
      </w:r>
      <w:r>
        <w:rPr>
          <w:rFonts w:hint="eastAsia" w:ascii="仿宋_GB2312" w:eastAsia="仿宋_GB2312"/>
          <w:sz w:val="32"/>
          <w:szCs w:val="32"/>
          <w:lang w:val="en-US" w:eastAsia="zh-CN"/>
        </w:rPr>
        <w:t>277</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2.77</w:t>
      </w:r>
      <w:r>
        <w:rPr>
          <w:rFonts w:hint="eastAsia" w:ascii="仿宋_GB2312" w:eastAsia="仿宋_GB2312"/>
          <w:sz w:val="32"/>
          <w:szCs w:val="32"/>
        </w:rPr>
        <w:t>万元，具体内容包括：</w:t>
      </w:r>
      <w:r>
        <w:rPr>
          <w:rFonts w:hint="eastAsia" w:ascii="仿宋_GB2312" w:eastAsia="仿宋_GB2312"/>
          <w:sz w:val="32"/>
          <w:szCs w:val="32"/>
          <w:lang w:val="en-US" w:eastAsia="zh-CN"/>
        </w:rPr>
        <w:t>公务接待巩固拓展脱贫攻坚成果同乡村振兴有效衔接相关项目的检查督导用餐费用2.77万元。</w:t>
      </w:r>
    </w:p>
    <w:p>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hint="eastAsia" w:ascii="仿宋_GB2312" w:eastAsia="仿宋_GB2312"/>
          <w:sz w:val="32"/>
          <w:szCs w:val="32"/>
          <w:lang w:val="en-US" w:eastAsia="zh-CN"/>
        </w:rPr>
        <w:t>0</w:t>
      </w:r>
      <w:r>
        <w:rPr>
          <w:rFonts w:hint="eastAsia" w:ascii="仿宋_GB2312" w:eastAsia="仿宋_GB2312"/>
          <w:sz w:val="32"/>
          <w:szCs w:val="32"/>
        </w:rPr>
        <w:t>万元，主要用于接待</w:t>
      </w:r>
      <w:r>
        <w:rPr>
          <w:rFonts w:ascii="仿宋_GB2312" w:eastAsia="仿宋_GB2312"/>
          <w:sz w:val="32"/>
          <w:szCs w:val="32"/>
        </w:rPr>
        <w:t>…</w:t>
      </w:r>
      <w:r>
        <w:rPr>
          <w:rFonts w:hint="eastAsia" w:ascii="仿宋_GB2312" w:eastAsia="仿宋_GB2312"/>
          <w:sz w:val="32"/>
          <w:szCs w:val="32"/>
        </w:rPr>
        <w:t>（具体项目）。外事接待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bookmarkStart w:id="42" w:name="_Toc15396610"/>
      <w:bookmarkStart w:id="43" w:name="_Toc15377218"/>
    </w:p>
    <w:p>
      <w:pPr>
        <w:spacing w:line="600" w:lineRule="exact"/>
        <w:ind w:firstLine="640"/>
        <w:outlineLvl w:val="1"/>
        <w:rPr>
          <w:rStyle w:val="30"/>
          <w:rFonts w:ascii="黑体" w:hAnsi="黑体" w:eastAsia="黑体"/>
        </w:rPr>
      </w:pPr>
      <w:r>
        <w:rPr>
          <w:rFonts w:hint="eastAsia" w:ascii="黑体" w:eastAsia="黑体"/>
          <w:sz w:val="32"/>
          <w:szCs w:val="32"/>
        </w:rPr>
        <w:t>八、</w:t>
      </w:r>
      <w:r>
        <w:rPr>
          <w:rStyle w:val="30"/>
          <w:rFonts w:hint="eastAsia" w:ascii="黑体" w:hAnsi="黑体" w:eastAsia="黑体"/>
          <w:b w:val="0"/>
        </w:rPr>
        <w:t>政府性基金预算支出决算情况说明</w:t>
      </w:r>
      <w:bookmarkEnd w:id="42"/>
      <w:bookmarkEnd w:id="43"/>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22年政府性基金预算财政拨款支出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44" w:name="_Toc15377219"/>
      <w:bookmarkStart w:id="45" w:name="_Toc15396611"/>
      <w:r>
        <w:rPr>
          <w:rStyle w:val="30"/>
          <w:rFonts w:hint="eastAsia" w:ascii="黑体" w:hAnsi="黑体" w:eastAsia="黑体"/>
          <w:b w:val="0"/>
        </w:rPr>
        <w:t>国有资本经营预算支出决算情况说明</w:t>
      </w:r>
      <w:bookmarkEnd w:id="44"/>
      <w:bookmarkEnd w:id="45"/>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22年国有资本经营预算财政拨款支出</w:t>
      </w:r>
      <w:r>
        <w:rPr>
          <w:rFonts w:hint="eastAsia" w:ascii="仿宋_GB2312" w:eastAsia="仿宋_GB2312"/>
          <w:sz w:val="32"/>
          <w:szCs w:val="32"/>
          <w:lang w:val="en-US" w:eastAsia="zh-CN"/>
        </w:rPr>
        <w:t>0</w:t>
      </w:r>
      <w:r>
        <w:rPr>
          <w:rFonts w:hint="eastAsia" w:ascii="仿宋_GB2312" w:eastAsia="仿宋_GB2312"/>
          <w:sz w:val="32"/>
          <w:szCs w:val="32"/>
        </w:rPr>
        <w:t>万元。</w:t>
      </w:r>
    </w:p>
    <w:p>
      <w:pPr>
        <w:numPr>
          <w:ilvl w:val="0"/>
          <w:numId w:val="3"/>
        </w:numPr>
        <w:spacing w:line="600" w:lineRule="exact"/>
        <w:ind w:firstLine="640"/>
        <w:outlineLvl w:val="1"/>
        <w:rPr>
          <w:rStyle w:val="30"/>
          <w:rFonts w:ascii="黑体" w:hAnsi="黑体" w:eastAsia="黑体"/>
          <w:b w:val="0"/>
        </w:rPr>
      </w:pPr>
      <w:bookmarkStart w:id="46" w:name="_Toc15396612"/>
      <w:bookmarkStart w:id="47" w:name="_Toc15377221"/>
      <w:r>
        <w:rPr>
          <w:rStyle w:val="30"/>
          <w:rFonts w:hint="eastAsia" w:ascii="黑体" w:hAnsi="黑体" w:eastAsia="黑体"/>
          <w:b w:val="0"/>
        </w:rPr>
        <w:t>其他重要事项的情况说明</w:t>
      </w:r>
      <w:bookmarkEnd w:id="46"/>
      <w:bookmarkEnd w:id="47"/>
    </w:p>
    <w:p>
      <w:pPr>
        <w:spacing w:line="600" w:lineRule="exact"/>
        <w:ind w:firstLine="643" w:firstLineChars="200"/>
        <w:outlineLvl w:val="2"/>
        <w:rPr>
          <w:rFonts w:ascii="仿宋" w:hAnsi="仿宋" w:eastAsia="仿宋"/>
          <w:sz w:val="32"/>
          <w:szCs w:val="32"/>
        </w:rPr>
      </w:pPr>
      <w:bookmarkStart w:id="48" w:name="_Toc15377222"/>
      <w:r>
        <w:rPr>
          <w:rFonts w:hint="eastAsia" w:ascii="仿宋" w:hAnsi="仿宋" w:eastAsia="仿宋"/>
          <w:b/>
          <w:sz w:val="32"/>
          <w:szCs w:val="32"/>
        </w:rPr>
        <w:t>（一）机关运行经费支出情况</w:t>
      </w:r>
      <w:bookmarkEnd w:id="48"/>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剑阁县乡村振兴局</w:t>
      </w:r>
      <w:r>
        <w:rPr>
          <w:rFonts w:hint="eastAsia" w:ascii="仿宋_GB2312" w:eastAsia="仿宋_GB2312"/>
          <w:sz w:val="32"/>
          <w:szCs w:val="32"/>
        </w:rPr>
        <w:t>机关运行经费支出</w:t>
      </w:r>
      <w:r>
        <w:rPr>
          <w:rFonts w:hint="eastAsia" w:ascii="仿宋_GB2312" w:eastAsia="仿宋_GB2312"/>
          <w:sz w:val="32"/>
          <w:szCs w:val="32"/>
          <w:lang w:val="en-US" w:eastAsia="zh-CN"/>
        </w:rPr>
        <w:t>41.05</w:t>
      </w:r>
      <w:r>
        <w:rPr>
          <w:rFonts w:hint="eastAsia" w:ascii="仿宋_GB2312" w:eastAsia="仿宋_GB2312"/>
          <w:sz w:val="32"/>
          <w:szCs w:val="32"/>
        </w:rPr>
        <w:t>万元，比</w:t>
      </w:r>
      <w:r>
        <w:rPr>
          <w:rFonts w:ascii="仿宋_GB2312" w:eastAsia="仿宋_GB2312"/>
          <w:sz w:val="32"/>
          <w:szCs w:val="32"/>
        </w:rPr>
        <w:t>20</w:t>
      </w:r>
      <w:r>
        <w:rPr>
          <w:rFonts w:hint="eastAsia" w:ascii="仿宋_GB2312" w:eastAsia="仿宋_GB2312"/>
          <w:sz w:val="32"/>
          <w:szCs w:val="32"/>
        </w:rPr>
        <w:t>21年减少</w:t>
      </w:r>
      <w:r>
        <w:rPr>
          <w:rFonts w:hint="eastAsia" w:ascii="仿宋_GB2312" w:eastAsia="仿宋_GB2312"/>
          <w:sz w:val="32"/>
          <w:szCs w:val="32"/>
          <w:lang w:val="en-US" w:eastAsia="zh-CN"/>
        </w:rPr>
        <w:t>23.52</w:t>
      </w:r>
      <w:r>
        <w:rPr>
          <w:rFonts w:hint="eastAsia" w:ascii="仿宋_GB2312" w:eastAsia="仿宋_GB2312"/>
          <w:sz w:val="32"/>
          <w:szCs w:val="32"/>
        </w:rPr>
        <w:t>万元，下降</w:t>
      </w:r>
      <w:r>
        <w:rPr>
          <w:rFonts w:hint="eastAsia" w:ascii="仿宋_GB2312" w:eastAsia="仿宋_GB2312"/>
          <w:sz w:val="32"/>
          <w:szCs w:val="32"/>
          <w:lang w:val="en-US" w:eastAsia="zh-CN"/>
        </w:rPr>
        <w:t>63.57</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机构合并人员减少</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49" w:name="_Toc15377223"/>
      <w:r>
        <w:rPr>
          <w:rFonts w:hint="eastAsia" w:ascii="仿宋" w:hAnsi="仿宋" w:eastAsia="仿宋"/>
          <w:b/>
          <w:sz w:val="32"/>
          <w:szCs w:val="32"/>
        </w:rPr>
        <w:t>（二）政府采购支出情况</w:t>
      </w:r>
      <w:bookmarkEnd w:id="49"/>
    </w:p>
    <w:p>
      <w:pPr>
        <w:spacing w:line="600" w:lineRule="exact"/>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22年，</w:t>
      </w:r>
      <w:r>
        <w:rPr>
          <w:rFonts w:hint="eastAsia" w:ascii="仿宋_GB2312" w:eastAsia="仿宋_GB2312"/>
          <w:sz w:val="32"/>
          <w:szCs w:val="32"/>
          <w:lang w:val="en-US" w:eastAsia="zh-CN"/>
        </w:rPr>
        <w:t>剑阁县乡村振兴局</w:t>
      </w:r>
      <w:r>
        <w:rPr>
          <w:rFonts w:hint="eastAsia" w:ascii="仿宋_GB2312" w:eastAsia="仿宋_GB2312"/>
          <w:sz w:val="32"/>
          <w:szCs w:val="32"/>
        </w:rPr>
        <w:t>政府采购支出总额</w:t>
      </w:r>
      <w:r>
        <w:rPr>
          <w:rFonts w:hint="eastAsia" w:ascii="仿宋_GB2312" w:eastAsia="仿宋_GB2312"/>
          <w:sz w:val="32"/>
          <w:szCs w:val="32"/>
          <w:lang w:val="en-US" w:eastAsia="zh-CN"/>
        </w:rPr>
        <w:t>3</w:t>
      </w:r>
      <w:r>
        <w:rPr>
          <w:rFonts w:hint="eastAsia" w:ascii="仿宋_GB2312" w:eastAsia="仿宋_GB2312"/>
          <w:sz w:val="32"/>
          <w:szCs w:val="32"/>
        </w:rPr>
        <w:t>万元，其中：政府采购货物支出</w:t>
      </w:r>
      <w:r>
        <w:rPr>
          <w:rFonts w:hint="eastAsia" w:ascii="仿宋_GB2312" w:eastAsia="仿宋_GB2312"/>
          <w:sz w:val="32"/>
          <w:szCs w:val="32"/>
          <w:lang w:val="en-US" w:eastAsia="zh-CN"/>
        </w:rPr>
        <w:t>3</w:t>
      </w:r>
      <w:r>
        <w:rPr>
          <w:rFonts w:hint="eastAsia" w:ascii="仿宋_GB2312" w:eastAsia="仿宋_GB2312"/>
          <w:sz w:val="32"/>
          <w:szCs w:val="32"/>
        </w:rPr>
        <w:t>万元、政府采购工程支出</w:t>
      </w:r>
      <w:r>
        <w:rPr>
          <w:rFonts w:hint="eastAsia" w:ascii="仿宋_GB2312" w:eastAsia="仿宋_GB2312"/>
          <w:sz w:val="32"/>
          <w:szCs w:val="32"/>
          <w:lang w:val="en-US" w:eastAsia="zh-CN"/>
        </w:rPr>
        <w:t>0</w:t>
      </w:r>
      <w:r>
        <w:rPr>
          <w:rFonts w:hint="eastAsia" w:ascii="仿宋_GB2312" w:eastAsia="仿宋_GB2312"/>
          <w:sz w:val="32"/>
          <w:szCs w:val="32"/>
        </w:rPr>
        <w:t>万元、政府采购服务支出</w:t>
      </w:r>
      <w:r>
        <w:rPr>
          <w:rFonts w:hint="eastAsia" w:ascii="仿宋_GB2312" w:eastAsia="仿宋_GB2312"/>
          <w:sz w:val="32"/>
          <w:szCs w:val="32"/>
          <w:lang w:val="en-US" w:eastAsia="zh-CN"/>
        </w:rPr>
        <w:t>0</w:t>
      </w:r>
      <w:r>
        <w:rPr>
          <w:rFonts w:hint="eastAsia" w:ascii="仿宋_GB2312" w:eastAsia="仿宋_GB2312"/>
          <w:sz w:val="32"/>
          <w:szCs w:val="32"/>
        </w:rPr>
        <w:t>万元。主要用</w:t>
      </w:r>
      <w:r>
        <w:rPr>
          <w:rFonts w:hint="eastAsia" w:ascii="仿宋_GB2312" w:eastAsia="仿宋_GB2312"/>
          <w:sz w:val="32"/>
          <w:szCs w:val="32"/>
          <w:lang w:val="en-US" w:eastAsia="zh-CN"/>
        </w:rPr>
        <w:t>机关六有信息系统维护费用</w:t>
      </w:r>
      <w:r>
        <w:rPr>
          <w:rFonts w:hint="eastAsia" w:ascii="仿宋_GB2312" w:eastAsia="仿宋_GB2312"/>
          <w:sz w:val="32"/>
          <w:szCs w:val="32"/>
        </w:rPr>
        <w:t>（具体工作）。授予中小企业合同金额</w:t>
      </w:r>
      <w:r>
        <w:rPr>
          <w:rFonts w:hint="eastAsia" w:ascii="仿宋_GB2312" w:eastAsia="仿宋_GB2312"/>
          <w:sz w:val="32"/>
          <w:szCs w:val="32"/>
          <w:lang w:val="en-US" w:eastAsia="zh-CN"/>
        </w:rPr>
        <w:t>3</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，其中：授予小微企业合同金额</w:t>
      </w:r>
      <w:r>
        <w:rPr>
          <w:rFonts w:hint="eastAsia" w:ascii="仿宋_GB2312" w:eastAsia="仿宋_GB2312"/>
          <w:sz w:val="32"/>
          <w:szCs w:val="32"/>
          <w:lang w:val="en-US" w:eastAsia="zh-CN"/>
        </w:rPr>
        <w:t>3</w:t>
      </w:r>
      <w:r>
        <w:rPr>
          <w:rFonts w:hint="eastAsia" w:ascii="仿宋_GB2312" w:eastAsia="仿宋_GB2312"/>
          <w:sz w:val="32"/>
          <w:szCs w:val="32"/>
        </w:rPr>
        <w:t>万元，占政府采购支出总额的</w:t>
      </w:r>
      <w:r>
        <w:rPr>
          <w:rFonts w:hint="eastAsia" w:ascii="仿宋_GB2312" w:eastAsia="仿宋_GB2312"/>
          <w:sz w:val="32"/>
          <w:szCs w:val="32"/>
          <w:lang w:val="en-US" w:eastAsia="zh-CN"/>
        </w:rPr>
        <w:t>100</w:t>
      </w:r>
      <w:r>
        <w:rPr>
          <w:rFonts w:ascii="仿宋_GB2312" w:eastAsia="仿宋_GB2312"/>
          <w:sz w:val="32"/>
          <w:szCs w:val="32"/>
        </w:rPr>
        <w:t>%</w:t>
      </w:r>
      <w:r>
        <w:rPr>
          <w:rFonts w:hint="eastAsia" w:ascii="仿宋_GB2312" w:eastAsia="仿宋_GB2312"/>
          <w:sz w:val="32"/>
          <w:szCs w:val="32"/>
        </w:rPr>
        <w:t>。</w:t>
      </w:r>
    </w:p>
    <w:p>
      <w:pPr>
        <w:autoSpaceDE w:val="0"/>
        <w:autoSpaceDN w:val="0"/>
        <w:adjustRightInd w:val="0"/>
        <w:spacing w:line="600" w:lineRule="exact"/>
        <w:ind w:firstLine="643" w:firstLineChars="200"/>
        <w:jc w:val="left"/>
        <w:outlineLvl w:val="2"/>
        <w:rPr>
          <w:rFonts w:ascii="仿宋" w:hAnsi="仿宋" w:eastAsia="仿宋"/>
          <w:b/>
          <w:sz w:val="32"/>
          <w:szCs w:val="32"/>
        </w:rPr>
      </w:pPr>
      <w:bookmarkStart w:id="50" w:name="_Toc15377224"/>
      <w:r>
        <w:rPr>
          <w:rFonts w:hint="eastAsia" w:ascii="仿宋" w:hAnsi="仿宋" w:eastAsia="仿宋"/>
          <w:b/>
          <w:sz w:val="32"/>
          <w:szCs w:val="32"/>
        </w:rPr>
        <w:t>（三）国有资产占有使用情况</w:t>
      </w:r>
      <w:bookmarkEnd w:id="50"/>
    </w:p>
    <w:p>
      <w:pPr>
        <w:autoSpaceDE w:val="0"/>
        <w:autoSpaceDN w:val="0"/>
        <w:adjustRightInd w:val="0"/>
        <w:spacing w:line="600" w:lineRule="exact"/>
        <w:ind w:firstLine="640" w:firstLineChars="200"/>
        <w:jc w:val="left"/>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22年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val="en-US" w:eastAsia="zh-CN"/>
        </w:rPr>
        <w:t>剑阁县乡村振兴局</w:t>
      </w:r>
      <w:r>
        <w:rPr>
          <w:rFonts w:hint="eastAsia" w:ascii="仿宋_GB2312" w:eastAsia="仿宋_GB2312"/>
          <w:sz w:val="32"/>
          <w:szCs w:val="32"/>
        </w:rPr>
        <w:t>共有车辆</w:t>
      </w:r>
      <w:r>
        <w:rPr>
          <w:rFonts w:hint="eastAsia" w:ascii="仿宋_GB2312" w:eastAsia="仿宋_GB2312"/>
          <w:sz w:val="32"/>
          <w:szCs w:val="32"/>
          <w:lang w:val="en-US" w:eastAsia="zh-CN"/>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辆，其他用车主要是用于……。单价</w:t>
      </w:r>
      <w:r>
        <w:rPr>
          <w:rFonts w:ascii="仿宋_GB2312" w:eastAsia="仿宋_GB2312"/>
          <w:sz w:val="32"/>
          <w:szCs w:val="32"/>
        </w:rPr>
        <w:t>100</w:t>
      </w:r>
      <w:r>
        <w:rPr>
          <w:rFonts w:hint="eastAsia" w:ascii="仿宋_GB2312" w:eastAsia="仿宋_GB2312"/>
          <w:sz w:val="32"/>
          <w:szCs w:val="32"/>
        </w:rPr>
        <w:t>万元以上专用设备</w:t>
      </w:r>
      <w:r>
        <w:rPr>
          <w:rFonts w:hint="eastAsia" w:ascii="仿宋_GB2312" w:eastAsia="仿宋_GB2312"/>
          <w:sz w:val="32"/>
          <w:szCs w:val="32"/>
          <w:lang w:val="en-US" w:eastAsia="zh-CN"/>
        </w:rPr>
        <w:t>0</w:t>
      </w:r>
      <w:r>
        <w:rPr>
          <w:rFonts w:hint="eastAsia" w:ascii="仿宋_GB2312" w:eastAsia="仿宋_GB2312"/>
          <w:sz w:val="32"/>
          <w:szCs w:val="32"/>
        </w:rPr>
        <w:t>台（套）。</w:t>
      </w:r>
    </w:p>
    <w:p>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pPr>
        <w:widowControl/>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根据预算绩效管理要求，本部门在2022年度预算编制阶段，组织对</w:t>
      </w:r>
      <w:r>
        <w:rPr>
          <w:rFonts w:hint="eastAsia" w:ascii="仿宋_GB2312" w:hAnsi="仿宋_GB2312" w:eastAsia="仿宋_GB2312" w:cs="仿宋_GB2312"/>
          <w:sz w:val="32"/>
          <w:szCs w:val="32"/>
          <w:lang w:val="en-US" w:eastAsia="zh-CN"/>
        </w:rPr>
        <w:t>雨露计划、小额信贷贴息、老促会工作经费、六有信息系统运行维护费、项目管理费</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个项目开展了预算事前绩效评估，对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组织对2022年度一般公共预算、政府性基金预算、国有资本经营预算、社会保险基金预算以及资本资产、债券资金等全面开展绩效自评，</w:t>
      </w:r>
      <w:r>
        <w:rPr>
          <w:rFonts w:hint="eastAsia" w:ascii="仿宋_GB2312" w:hAnsi="仿宋_GB2312" w:eastAsia="仿宋_GB2312" w:cs="仿宋_GB2312"/>
          <w:sz w:val="32"/>
          <w:szCs w:val="32"/>
          <w:lang w:val="en-US" w:eastAsia="zh-CN"/>
        </w:rPr>
        <w:t>形成乡村振兴局</w:t>
      </w:r>
      <w:r>
        <w:rPr>
          <w:rFonts w:hint="eastAsia" w:ascii="仿宋_GB2312" w:hAnsi="仿宋_GB2312" w:eastAsia="仿宋_GB2312" w:cs="仿宋_GB2312"/>
          <w:sz w:val="32"/>
          <w:szCs w:val="32"/>
        </w:rPr>
        <w:t>部门整体（含部门预算项目）绩效自评报告、</w:t>
      </w:r>
      <w:r>
        <w:rPr>
          <w:rFonts w:hint="eastAsia" w:ascii="仿宋_GB2312" w:hAnsi="仿宋_GB2312" w:eastAsia="仿宋_GB2312" w:cs="仿宋_GB2312"/>
          <w:sz w:val="32"/>
          <w:szCs w:val="32"/>
          <w:lang w:val="en-US" w:eastAsia="zh-CN"/>
        </w:rPr>
        <w:t>雨露计划、小额信贷贴息、老促会工作经费、六有信息系统运行维护费、项目管理费</w:t>
      </w:r>
      <w:r>
        <w:rPr>
          <w:rFonts w:hint="eastAsia" w:ascii="仿宋_GB2312" w:hAnsi="仿宋_GB2312" w:eastAsia="仿宋_GB2312" w:cs="仿宋_GB2312"/>
          <w:sz w:val="32"/>
          <w:szCs w:val="32"/>
        </w:rPr>
        <w:t>等专项预算项目绩效自评报告，其中，</w:t>
      </w:r>
      <w:r>
        <w:rPr>
          <w:rFonts w:hint="eastAsia" w:ascii="仿宋_GB2312" w:hAnsi="仿宋_GB2312" w:eastAsia="仿宋_GB2312" w:cs="仿宋_GB2312"/>
          <w:sz w:val="32"/>
          <w:szCs w:val="32"/>
          <w:lang w:val="en-US" w:eastAsia="zh-CN"/>
        </w:rPr>
        <w:t>乡村振兴局</w:t>
      </w:r>
      <w:r>
        <w:rPr>
          <w:rFonts w:hint="eastAsia" w:ascii="仿宋_GB2312" w:hAnsi="仿宋_GB2312" w:eastAsia="仿宋_GB2312" w:cs="仿宋_GB2312"/>
          <w:sz w:val="32"/>
          <w:szCs w:val="32"/>
        </w:rPr>
        <w:t>部门整体（含部门预算项目）绩效自评得分为</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分，绩效自评综述：</w:t>
      </w:r>
    </w:p>
    <w:p>
      <w:pPr>
        <w:widowControl/>
        <w:ind w:firstLine="640" w:firstLineChars="200"/>
        <w:jc w:val="left"/>
        <w:rPr>
          <w:rFonts w:ascii="宋体" w:hAnsi="宋体" w:eastAsia="宋体" w:cs="宋体"/>
          <w:sz w:val="24"/>
          <w:szCs w:val="24"/>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项目绩效目标完成情况。乡村振兴局在 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年度部门决算中雨露计划、小额信贷贴息、老促会工作经费、六有信息系统运行维护费、项目管理费等 </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个项目绩效目标实际完成情况。</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）雨露计划项目绩效目标完成情况综述。项目全年预算数 500 万元，执行数为 </w:t>
      </w:r>
      <w:r>
        <w:rPr>
          <w:rFonts w:hint="eastAsia" w:ascii="仿宋_GB2312" w:hAnsi="仿宋_GB2312" w:eastAsia="仿宋_GB2312" w:cs="仿宋_GB2312"/>
          <w:sz w:val="32"/>
          <w:szCs w:val="32"/>
          <w:lang w:val="en-US" w:eastAsia="zh-CN"/>
        </w:rPr>
        <w:t>500</w:t>
      </w:r>
      <w:r>
        <w:rPr>
          <w:rFonts w:hint="eastAsia" w:ascii="仿宋_GB2312" w:hAnsi="仿宋_GB2312" w:eastAsia="仿宋_GB2312" w:cs="仿宋_GB2312"/>
          <w:sz w:val="32"/>
          <w:szCs w:val="32"/>
        </w:rPr>
        <w:t xml:space="preserve"> 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 xml:space="preserve">%。通过项目实施，完成脱贫家庭（含监测帮扶对象家庭）子女在校接受中高职、技校补助。 </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）小额信贷贴息项目绩效目标完成情况综述。项目全年预算数 </w:t>
      </w:r>
      <w:r>
        <w:rPr>
          <w:rFonts w:hint="eastAsia" w:ascii="仿宋_GB2312" w:hAnsi="仿宋_GB2312" w:eastAsia="仿宋_GB2312" w:cs="仿宋_GB2312"/>
          <w:sz w:val="32"/>
          <w:szCs w:val="32"/>
          <w:lang w:val="en-US" w:eastAsia="zh-CN"/>
        </w:rPr>
        <w:t>740</w:t>
      </w:r>
      <w:r>
        <w:rPr>
          <w:rFonts w:hint="eastAsia" w:ascii="仿宋_GB2312" w:hAnsi="仿宋_GB2312" w:eastAsia="仿宋_GB2312" w:cs="仿宋_GB2312"/>
          <w:sz w:val="32"/>
          <w:szCs w:val="32"/>
        </w:rPr>
        <w:t xml:space="preserve"> 万元，执行数为</w:t>
      </w:r>
      <w:r>
        <w:rPr>
          <w:rFonts w:hint="eastAsia" w:ascii="仿宋_GB2312" w:hAnsi="仿宋_GB2312" w:eastAsia="仿宋_GB2312" w:cs="仿宋_GB2312"/>
          <w:sz w:val="32"/>
          <w:szCs w:val="32"/>
          <w:lang w:val="en-US" w:eastAsia="zh-CN"/>
        </w:rPr>
        <w:t>740</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%。通过项目实施，支持脱贫户、边缘与致贫人口</w:t>
      </w:r>
      <w:r>
        <w:rPr>
          <w:rFonts w:hint="eastAsia" w:ascii="仿宋_GB2312" w:hAnsi="仿宋_GB2312" w:eastAsia="仿宋_GB2312" w:cs="仿宋_GB2312"/>
          <w:sz w:val="32"/>
          <w:szCs w:val="32"/>
          <w:lang w:val="en-US" w:eastAsia="zh-CN"/>
        </w:rPr>
        <w:t>72</w:t>
      </w:r>
      <w:r>
        <w:rPr>
          <w:rFonts w:hint="eastAsia" w:ascii="仿宋_GB2312" w:hAnsi="仿宋_GB2312" w:eastAsia="仿宋_GB2312" w:cs="仿宋_GB2312"/>
          <w:sz w:val="32"/>
          <w:szCs w:val="32"/>
        </w:rPr>
        <w:t>0 户发展产业，完成</w:t>
      </w:r>
      <w:r>
        <w:rPr>
          <w:rFonts w:hint="eastAsia" w:ascii="仿宋_GB2312" w:hAnsi="仿宋_GB2312" w:eastAsia="仿宋_GB2312" w:cs="仿宋_GB2312"/>
          <w:sz w:val="32"/>
          <w:szCs w:val="32"/>
          <w:lang w:val="en-US" w:eastAsia="zh-CN"/>
        </w:rPr>
        <w:t>1650</w:t>
      </w:r>
      <w:r>
        <w:rPr>
          <w:rFonts w:hint="eastAsia" w:ascii="仿宋_GB2312" w:hAnsi="仿宋_GB2312" w:eastAsia="仿宋_GB2312" w:cs="仿宋_GB2312"/>
          <w:sz w:val="32"/>
          <w:szCs w:val="32"/>
        </w:rPr>
        <w:t xml:space="preserve"> 户产业贷款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贴息全部补贴到户。</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）老促会工作经费项目绩效目标完成情况综述。项目全年预算数 18 万元，执行数为</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）六有信息系统运行费项目绩效目标完成情况综述。项目全年预算数 5 万元，执行数为</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万元，完成预算的</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0%。</w:t>
      </w:r>
    </w:p>
    <w:p>
      <w:pPr>
        <w:widowControl/>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）项目管理费项目绩效目标完成情况综述。项目全年预算数</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300</w:t>
      </w:r>
      <w:r>
        <w:rPr>
          <w:rFonts w:hint="eastAsia" w:ascii="仿宋_GB2312" w:hAnsi="仿宋_GB2312" w:eastAsia="仿宋_GB2312" w:cs="仿宋_GB2312"/>
          <w:sz w:val="32"/>
          <w:szCs w:val="32"/>
        </w:rPr>
        <w:t xml:space="preserve"> 万元，完成预算的</w:t>
      </w:r>
      <w:r>
        <w:rPr>
          <w:rFonts w:hint="eastAsia" w:ascii="仿宋_GB2312" w:hAnsi="仿宋_GB2312" w:eastAsia="仿宋_GB2312" w:cs="仿宋_GB2312"/>
          <w:sz w:val="32"/>
          <w:szCs w:val="32"/>
          <w:lang w:val="en-US" w:eastAsia="zh-CN"/>
        </w:rPr>
        <w:t>100</w:t>
      </w:r>
      <w:r>
        <w:rPr>
          <w:rFonts w:hint="eastAsia" w:ascii="仿宋_GB2312" w:hAnsi="仿宋_GB2312" w:eastAsia="仿宋_GB2312" w:cs="仿宋_GB2312"/>
          <w:sz w:val="32"/>
          <w:szCs w:val="32"/>
        </w:rPr>
        <w:t>%。通过项目实施，统筹安排、据实列支项目管理费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主要用于项目前期设计、评审、招标、监理以及项目培训、检查、验收、绩效管理等与项目管理相关支出。绩效自评报告详见附件。</w:t>
      </w:r>
    </w:p>
    <w:p>
      <w:pPr>
        <w:widowControl/>
        <w:numPr>
          <w:ilvl w:val="0"/>
          <w:numId w:val="0"/>
        </w:numPr>
        <w:jc w:val="left"/>
        <w:rPr>
          <w:rFonts w:ascii="仿宋_GB2312" w:eastAsia="仿宋_GB2312"/>
          <w:b/>
          <w:sz w:val="32"/>
          <w:szCs w:val="32"/>
        </w:rPr>
      </w:pPr>
      <w:r>
        <w:rPr>
          <w:rFonts w:ascii="仿宋_GB2312" w:eastAsia="仿宋_GB2312"/>
          <w:b/>
          <w:sz w:val="32"/>
          <w:szCs w:val="32"/>
        </w:rPr>
        <w:br w:type="page"/>
      </w:r>
    </w:p>
    <w:p>
      <w:pPr>
        <w:numPr>
          <w:ilvl w:val="0"/>
          <w:numId w:val="4"/>
        </w:numPr>
        <w:spacing w:line="600" w:lineRule="exact"/>
        <w:ind w:firstLine="660" w:firstLineChars="150"/>
        <w:jc w:val="center"/>
        <w:outlineLvl w:val="0"/>
        <w:rPr>
          <w:rStyle w:val="29"/>
          <w:rFonts w:ascii="黑体" w:hAnsi="黑体" w:eastAsia="黑体"/>
          <w:b w:val="0"/>
        </w:rPr>
      </w:pPr>
      <w:bookmarkStart w:id="51" w:name="_Toc15377225"/>
      <w:bookmarkStart w:id="52" w:name="_Toc15396613"/>
      <w:r>
        <w:rPr>
          <w:rFonts w:hint="eastAsia" w:ascii="黑体" w:hAnsi="黑体" w:eastAsia="黑体"/>
          <w:sz w:val="44"/>
          <w:szCs w:val="44"/>
        </w:rPr>
        <w:t>名</w:t>
      </w:r>
      <w:r>
        <w:rPr>
          <w:rStyle w:val="29"/>
          <w:rFonts w:hint="eastAsia" w:ascii="黑体" w:hAnsi="黑体" w:eastAsia="黑体"/>
          <w:b w:val="0"/>
        </w:rPr>
        <w:t>词解释</w:t>
      </w:r>
      <w:bookmarkEnd w:id="51"/>
      <w:bookmarkEnd w:id="52"/>
    </w:p>
    <w:p>
      <w:pPr>
        <w:spacing w:line="600" w:lineRule="exact"/>
        <w:jc w:val="left"/>
        <w:rPr>
          <w:rFonts w:ascii="宋体"/>
          <w:b/>
          <w:sz w:val="44"/>
          <w:szCs w:val="44"/>
        </w:rPr>
      </w:pP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2.</w:t>
      </w:r>
      <w:r>
        <w:rPr>
          <w:rFonts w:hint="eastAsia" w:ascii="仿宋_GB2312" w:eastAsia="仿宋_GB2312"/>
          <w:color w:val="auto"/>
          <w:sz w:val="32"/>
          <w:szCs w:val="32"/>
        </w:rPr>
        <w:t>事业收入：指事业单位开展专业业务活动及辅助活动取得的收入。如…（二级预算单位事业收入情况）等。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w:t>
      </w:r>
      <w:r>
        <w:rPr>
          <w:rFonts w:hint="eastAsia" w:ascii="仿宋_GB2312" w:eastAsia="仿宋_GB2312"/>
          <w:color w:val="auto"/>
          <w:sz w:val="32"/>
          <w:szCs w:val="32"/>
        </w:rPr>
        <w:t>经营收入：指事业单位在专业业务活动及其辅助活动之外开展非独立核算经营活动取得的收入。如…（二级预算单位经营收入情况）等。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4.</w:t>
      </w:r>
      <w:r>
        <w:rPr>
          <w:rFonts w:hint="eastAsia" w:ascii="仿宋_GB2312" w:eastAsia="仿宋_GB2312"/>
          <w:color w:val="auto"/>
          <w:sz w:val="32"/>
          <w:szCs w:val="32"/>
        </w:rPr>
        <w:t>其他收入：指单位取得的除上述收入以外的各项收入。主要是…（收入类型）等。</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5.</w:t>
      </w:r>
      <w:r>
        <w:rPr>
          <w:rFonts w:hint="eastAsia" w:ascii="仿宋_GB2312" w:eastAsia="仿宋_GB2312"/>
          <w:color w:val="auto"/>
          <w:sz w:val="32"/>
          <w:szCs w:val="32"/>
        </w:rPr>
        <w:t>使用非财政拨款结余：指事业单位使用以前年度积累的非财政拨款结余弥补当年收支差额的金额。</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6.</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7.</w:t>
      </w:r>
      <w:r>
        <w:rPr>
          <w:rFonts w:hint="eastAsia" w:ascii="仿宋_GB2312" w:eastAsia="仿宋_GB2312"/>
          <w:color w:val="auto"/>
          <w:sz w:val="32"/>
          <w:szCs w:val="32"/>
        </w:rPr>
        <w:t>结余分配：指事业单位按照会计制度规定缴纳的所得税、提取的专用结余以及转入非财政拨款结余的金额等。</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8</w:t>
      </w:r>
      <w:r>
        <w:rPr>
          <w:rFonts w:hint="eastAsia" w:ascii="仿宋_GB2312" w:eastAsia="仿宋_GB2312"/>
          <w:color w:val="auto"/>
          <w:sz w:val="32"/>
          <w:szCs w:val="32"/>
        </w:rPr>
        <w:t>.年末结转和结余：指单位按有关规定结转到下年或以后年度继续使用的资金。</w:t>
      </w:r>
    </w:p>
    <w:p>
      <w:pPr>
        <w:ind w:firstLine="640" w:firstLineChars="200"/>
        <w:rPr>
          <w:rFonts w:ascii="仿宋_GB2312" w:eastAsia="仿宋_GB2312"/>
          <w:sz w:val="32"/>
          <w:szCs w:val="32"/>
        </w:rPr>
      </w:pPr>
      <w:r>
        <w:rPr>
          <w:rFonts w:ascii="仿宋_GB2312" w:eastAsia="仿宋_GB2312"/>
          <w:sz w:val="32"/>
          <w:szCs w:val="32"/>
        </w:rPr>
        <w:t>9.</w:t>
      </w:r>
      <w:r>
        <w:rPr>
          <w:rFonts w:hint="eastAsia" w:ascii="仿宋_GB2312" w:eastAsia="仿宋_GB2312"/>
          <w:sz w:val="32"/>
          <w:szCs w:val="32"/>
        </w:rPr>
        <w:t>一般公共服务（类）…（款）…（项）：指……。</w:t>
      </w:r>
    </w:p>
    <w:p>
      <w:pPr>
        <w:ind w:firstLine="640" w:firstLineChars="200"/>
        <w:rPr>
          <w:rFonts w:ascii="仿宋_GB2312" w:eastAsia="仿宋_GB2312"/>
          <w:sz w:val="32"/>
          <w:szCs w:val="32"/>
        </w:rPr>
      </w:pPr>
      <w:r>
        <w:rPr>
          <w:rFonts w:ascii="仿宋_GB2312" w:eastAsia="仿宋_GB2312"/>
          <w:sz w:val="32"/>
          <w:szCs w:val="32"/>
        </w:rPr>
        <w:t>10.</w:t>
      </w:r>
      <w:r>
        <w:rPr>
          <w:rFonts w:hint="eastAsia" w:ascii="仿宋_GB2312" w:eastAsia="仿宋_GB2312"/>
          <w:sz w:val="32"/>
          <w:szCs w:val="32"/>
        </w:rPr>
        <w:t>外交（类）…（款）…（项）：指……。</w:t>
      </w:r>
    </w:p>
    <w:p>
      <w:pPr>
        <w:ind w:firstLine="640" w:firstLineChars="200"/>
        <w:rPr>
          <w:rFonts w:ascii="仿宋_GB2312" w:eastAsia="仿宋_GB2312"/>
          <w:sz w:val="32"/>
          <w:szCs w:val="32"/>
        </w:rPr>
      </w:pPr>
      <w:r>
        <w:rPr>
          <w:rFonts w:ascii="仿宋_GB2312" w:eastAsia="仿宋_GB2312"/>
          <w:sz w:val="32"/>
          <w:szCs w:val="32"/>
        </w:rPr>
        <w:t>11.</w:t>
      </w:r>
      <w:r>
        <w:rPr>
          <w:rFonts w:hint="eastAsia" w:ascii="仿宋_GB2312" w:eastAsia="仿宋_GB2312"/>
          <w:sz w:val="32"/>
          <w:szCs w:val="32"/>
        </w:rPr>
        <w:t>公共安全（类）…（款）…（项）：指……。</w:t>
      </w:r>
    </w:p>
    <w:p>
      <w:pPr>
        <w:ind w:firstLine="640" w:firstLineChars="200"/>
        <w:rPr>
          <w:rFonts w:ascii="仿宋_GB2312" w:eastAsia="仿宋_GB2312"/>
          <w:sz w:val="32"/>
          <w:szCs w:val="32"/>
        </w:rPr>
      </w:pPr>
      <w:r>
        <w:rPr>
          <w:rFonts w:ascii="仿宋_GB2312" w:eastAsia="仿宋_GB2312"/>
          <w:sz w:val="32"/>
          <w:szCs w:val="32"/>
        </w:rPr>
        <w:t>12.</w:t>
      </w:r>
      <w:r>
        <w:rPr>
          <w:rFonts w:hint="eastAsia" w:ascii="仿宋_GB2312" w:eastAsia="仿宋_GB2312"/>
          <w:sz w:val="32"/>
          <w:szCs w:val="32"/>
        </w:rPr>
        <w:t>教育（类）…（款）…（项）：指……。</w:t>
      </w:r>
    </w:p>
    <w:p>
      <w:pPr>
        <w:ind w:firstLine="640" w:firstLineChars="200"/>
        <w:rPr>
          <w:rFonts w:ascii="仿宋_GB2312" w:eastAsia="仿宋_GB2312"/>
          <w:sz w:val="32"/>
          <w:szCs w:val="32"/>
        </w:rPr>
      </w:pPr>
      <w:r>
        <w:rPr>
          <w:rFonts w:ascii="仿宋_GB2312" w:eastAsia="仿宋_GB2312"/>
          <w:sz w:val="32"/>
          <w:szCs w:val="32"/>
        </w:rPr>
        <w:t>13.</w:t>
      </w:r>
      <w:r>
        <w:rPr>
          <w:rFonts w:hint="eastAsia" w:ascii="仿宋_GB2312" w:eastAsia="仿宋_GB2312"/>
          <w:sz w:val="32"/>
          <w:szCs w:val="32"/>
        </w:rPr>
        <w:t>科学技术（类）…（款）…（项）：指……。</w:t>
      </w:r>
    </w:p>
    <w:p>
      <w:pPr>
        <w:ind w:firstLine="640" w:firstLineChars="200"/>
        <w:rPr>
          <w:rFonts w:ascii="仿宋_GB2312" w:eastAsia="仿宋_GB2312"/>
          <w:sz w:val="32"/>
          <w:szCs w:val="32"/>
        </w:rPr>
      </w:pPr>
      <w:r>
        <w:rPr>
          <w:rFonts w:ascii="仿宋_GB2312" w:eastAsia="仿宋_GB2312"/>
          <w:sz w:val="32"/>
          <w:szCs w:val="32"/>
        </w:rPr>
        <w:t>14.</w:t>
      </w:r>
      <w:r>
        <w:rPr>
          <w:rFonts w:hint="eastAsia" w:ascii="仿宋_GB2312" w:eastAsia="仿宋_GB2312"/>
          <w:sz w:val="32"/>
          <w:szCs w:val="32"/>
        </w:rPr>
        <w:t>文化旅游体育与传媒（类）…（款）…（项）：指……。</w:t>
      </w:r>
    </w:p>
    <w:p>
      <w:pPr>
        <w:ind w:firstLine="640" w:firstLineChars="200"/>
        <w:rPr>
          <w:rFonts w:ascii="仿宋_GB2312" w:eastAsia="仿宋_GB2312"/>
          <w:sz w:val="32"/>
          <w:szCs w:val="32"/>
        </w:rPr>
      </w:pPr>
      <w:r>
        <w:rPr>
          <w:rFonts w:ascii="仿宋_GB2312" w:eastAsia="仿宋_GB2312"/>
          <w:sz w:val="32"/>
          <w:szCs w:val="32"/>
        </w:rPr>
        <w:t>15.</w:t>
      </w:r>
      <w:r>
        <w:rPr>
          <w:rFonts w:hint="eastAsia" w:ascii="仿宋_GB2312" w:eastAsia="仿宋_GB2312"/>
          <w:sz w:val="32"/>
          <w:szCs w:val="32"/>
        </w:rPr>
        <w:t>社会保障和就业（类）…（款）…（项）：指……。</w:t>
      </w:r>
    </w:p>
    <w:p>
      <w:pPr>
        <w:ind w:firstLine="640" w:firstLineChars="200"/>
        <w:rPr>
          <w:rFonts w:ascii="仿宋_GB2312" w:eastAsia="仿宋_GB2312"/>
          <w:sz w:val="32"/>
          <w:szCs w:val="32"/>
        </w:rPr>
      </w:pPr>
      <w:r>
        <w:rPr>
          <w:rFonts w:ascii="仿宋_GB2312" w:eastAsia="仿宋_GB2312"/>
          <w:sz w:val="32"/>
          <w:szCs w:val="32"/>
        </w:rPr>
        <w:t>16.</w:t>
      </w:r>
      <w:r>
        <w:rPr>
          <w:rFonts w:hint="eastAsia" w:ascii="仿宋_GB2312" w:eastAsia="仿宋_GB2312"/>
          <w:sz w:val="32"/>
          <w:szCs w:val="32"/>
        </w:rPr>
        <w:t>卫生健康（类）…（款）…（项）：指……。</w:t>
      </w:r>
    </w:p>
    <w:p>
      <w:pPr>
        <w:ind w:firstLine="640" w:firstLineChars="200"/>
        <w:rPr>
          <w:rFonts w:ascii="仿宋_GB2312" w:eastAsia="仿宋_GB2312"/>
          <w:sz w:val="32"/>
          <w:szCs w:val="32"/>
        </w:rPr>
      </w:pPr>
      <w:r>
        <w:rPr>
          <w:rFonts w:ascii="仿宋_GB2312" w:eastAsia="仿宋_GB2312"/>
          <w:sz w:val="32"/>
          <w:szCs w:val="32"/>
        </w:rPr>
        <w:t>17.</w:t>
      </w:r>
      <w:r>
        <w:rPr>
          <w:rFonts w:hint="eastAsia" w:ascii="仿宋_GB2312" w:eastAsia="仿宋_GB2312"/>
          <w:sz w:val="32"/>
          <w:szCs w:val="32"/>
        </w:rPr>
        <w:t>节能环保（类）…（款）…（项）：指……。</w:t>
      </w:r>
    </w:p>
    <w:p>
      <w:pPr>
        <w:ind w:firstLine="640" w:firstLineChars="200"/>
        <w:rPr>
          <w:rFonts w:ascii="仿宋_GB2312" w:eastAsia="仿宋_GB2312"/>
          <w:sz w:val="32"/>
          <w:szCs w:val="32"/>
        </w:rPr>
      </w:pPr>
      <w:r>
        <w:rPr>
          <w:rFonts w:ascii="仿宋_GB2312" w:eastAsia="仿宋_GB2312"/>
          <w:sz w:val="32"/>
          <w:szCs w:val="32"/>
        </w:rPr>
        <w:t>18.</w:t>
      </w:r>
      <w:r>
        <w:rPr>
          <w:rFonts w:hint="eastAsia" w:ascii="仿宋_GB2312" w:eastAsia="仿宋_GB2312"/>
          <w:sz w:val="32"/>
          <w:szCs w:val="32"/>
        </w:rPr>
        <w:t>城乡社区（类）…（款）…（项）：指……。</w:t>
      </w:r>
    </w:p>
    <w:p>
      <w:pPr>
        <w:ind w:firstLine="640" w:firstLineChars="200"/>
        <w:rPr>
          <w:rFonts w:ascii="仿宋_GB2312" w:eastAsia="仿宋_GB2312"/>
          <w:sz w:val="32"/>
          <w:szCs w:val="32"/>
        </w:rPr>
      </w:pPr>
      <w:r>
        <w:rPr>
          <w:rFonts w:ascii="仿宋_GB2312" w:eastAsia="仿宋_GB2312"/>
          <w:sz w:val="32"/>
          <w:szCs w:val="32"/>
        </w:rPr>
        <w:t>19.</w:t>
      </w:r>
      <w:r>
        <w:rPr>
          <w:rFonts w:hint="eastAsia" w:ascii="仿宋_GB2312" w:eastAsia="仿宋_GB2312"/>
          <w:sz w:val="32"/>
          <w:szCs w:val="32"/>
        </w:rPr>
        <w:t>农林水（类）…（款）…（项）：指……。</w:t>
      </w:r>
    </w:p>
    <w:p>
      <w:pPr>
        <w:ind w:firstLine="640" w:firstLineChars="20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交通运输（类）…（款）…（项）：指……。</w:t>
      </w:r>
    </w:p>
    <w:p>
      <w:pPr>
        <w:ind w:firstLine="640" w:firstLineChars="200"/>
        <w:rPr>
          <w:rFonts w:ascii="仿宋_GB2312" w:eastAsia="仿宋_GB2312"/>
          <w:sz w:val="32"/>
          <w:szCs w:val="32"/>
        </w:rPr>
      </w:pPr>
      <w:r>
        <w:rPr>
          <w:rFonts w:ascii="仿宋_GB2312" w:eastAsia="仿宋_GB2312"/>
          <w:sz w:val="32"/>
          <w:szCs w:val="32"/>
        </w:rPr>
        <w:t>21.</w:t>
      </w:r>
      <w:r>
        <w:rPr>
          <w:rFonts w:hint="eastAsia" w:ascii="仿宋_GB2312" w:eastAsia="仿宋_GB2312"/>
          <w:sz w:val="32"/>
          <w:szCs w:val="32"/>
        </w:rPr>
        <w:t>资源勘探工业信息等（类）…（款）…（项）：指……。</w:t>
      </w:r>
    </w:p>
    <w:p>
      <w:pPr>
        <w:ind w:firstLine="640" w:firstLineChars="200"/>
        <w:rPr>
          <w:rFonts w:ascii="仿宋_GB2312" w:eastAsia="仿宋_GB2312"/>
          <w:sz w:val="32"/>
          <w:szCs w:val="32"/>
        </w:rPr>
      </w:pPr>
      <w:r>
        <w:rPr>
          <w:rFonts w:ascii="仿宋_GB2312" w:eastAsia="仿宋_GB2312"/>
          <w:sz w:val="32"/>
          <w:szCs w:val="32"/>
        </w:rPr>
        <w:t>22.</w:t>
      </w:r>
      <w:r>
        <w:rPr>
          <w:rFonts w:hint="eastAsia" w:ascii="仿宋_GB2312" w:eastAsia="仿宋_GB2312"/>
          <w:sz w:val="32"/>
          <w:szCs w:val="32"/>
        </w:rPr>
        <w:t>商业服务业（类）…（款）…（项）：指……。</w:t>
      </w:r>
    </w:p>
    <w:p>
      <w:pPr>
        <w:ind w:firstLine="640" w:firstLineChars="200"/>
        <w:rPr>
          <w:rFonts w:ascii="仿宋_GB2312" w:eastAsia="仿宋_GB2312"/>
          <w:sz w:val="32"/>
          <w:szCs w:val="32"/>
        </w:rPr>
      </w:pPr>
      <w:r>
        <w:rPr>
          <w:rFonts w:ascii="仿宋_GB2312" w:eastAsia="仿宋_GB2312"/>
          <w:sz w:val="32"/>
          <w:szCs w:val="32"/>
        </w:rPr>
        <w:t>23.</w:t>
      </w:r>
      <w:r>
        <w:rPr>
          <w:rFonts w:hint="eastAsia" w:ascii="仿宋_GB2312" w:eastAsia="仿宋_GB2312"/>
          <w:sz w:val="32"/>
          <w:szCs w:val="32"/>
        </w:rPr>
        <w:t>金融（类）…（款）…（项）：指……。</w:t>
      </w:r>
    </w:p>
    <w:p>
      <w:pPr>
        <w:ind w:firstLine="640" w:firstLineChars="200"/>
        <w:rPr>
          <w:rFonts w:ascii="仿宋_GB2312" w:eastAsia="仿宋_GB2312"/>
          <w:sz w:val="32"/>
          <w:szCs w:val="32"/>
        </w:rPr>
      </w:pPr>
      <w:r>
        <w:rPr>
          <w:rFonts w:ascii="仿宋_GB2312" w:eastAsia="仿宋_GB2312"/>
          <w:sz w:val="32"/>
          <w:szCs w:val="32"/>
        </w:rPr>
        <w:t>24.</w:t>
      </w:r>
      <w:r>
        <w:rPr>
          <w:rFonts w:hint="eastAsia" w:ascii="仿宋_GB2312" w:eastAsia="仿宋_GB2312"/>
          <w:sz w:val="32"/>
          <w:szCs w:val="32"/>
        </w:rPr>
        <w:t>自然资源海洋气象等（类）…（款）…（项）：指……。</w:t>
      </w:r>
    </w:p>
    <w:p>
      <w:pPr>
        <w:ind w:firstLine="640" w:firstLineChars="200"/>
        <w:rPr>
          <w:rFonts w:ascii="仿宋_GB2312" w:eastAsia="仿宋_GB2312"/>
          <w:sz w:val="32"/>
          <w:szCs w:val="32"/>
        </w:rPr>
      </w:pPr>
      <w:r>
        <w:rPr>
          <w:rFonts w:ascii="仿宋_GB2312" w:eastAsia="仿宋_GB2312"/>
          <w:sz w:val="32"/>
          <w:szCs w:val="32"/>
        </w:rPr>
        <w:t>25.</w:t>
      </w:r>
      <w:r>
        <w:rPr>
          <w:rFonts w:hint="eastAsia" w:ascii="仿宋_GB2312" w:eastAsia="仿宋_GB2312"/>
          <w:sz w:val="32"/>
          <w:szCs w:val="32"/>
        </w:rPr>
        <w:t>住房保障（类）…（款）…（项）：指……。</w:t>
      </w:r>
    </w:p>
    <w:p>
      <w:pPr>
        <w:ind w:firstLine="640" w:firstLineChars="200"/>
        <w:rPr>
          <w:rFonts w:ascii="仿宋_GB2312" w:eastAsia="仿宋_GB2312"/>
          <w:sz w:val="32"/>
          <w:szCs w:val="32"/>
        </w:rPr>
      </w:pPr>
      <w:r>
        <w:rPr>
          <w:rFonts w:ascii="仿宋_GB2312" w:eastAsia="仿宋_GB2312"/>
          <w:sz w:val="32"/>
          <w:szCs w:val="32"/>
        </w:rPr>
        <w:t>26.</w:t>
      </w:r>
      <w:r>
        <w:rPr>
          <w:rFonts w:hint="eastAsia" w:ascii="仿宋_GB2312" w:eastAsia="仿宋_GB2312"/>
          <w:sz w:val="32"/>
          <w:szCs w:val="32"/>
        </w:rPr>
        <w:t>粮油物资储备（类）…（款）…（项）：指……。</w:t>
      </w:r>
    </w:p>
    <w:p>
      <w:pPr>
        <w:ind w:firstLine="640" w:firstLineChars="200"/>
        <w:rPr>
          <w:rFonts w:ascii="仿宋_GB2312" w:eastAsia="仿宋_GB2312"/>
          <w:sz w:val="32"/>
          <w:szCs w:val="32"/>
        </w:rPr>
      </w:pPr>
      <w:r>
        <w:rPr>
          <w:rFonts w:ascii="仿宋_GB2312" w:eastAsia="仿宋_GB2312"/>
          <w:sz w:val="32"/>
          <w:szCs w:val="32"/>
        </w:rPr>
        <w:t>27.</w:t>
      </w:r>
      <w:r>
        <w:rPr>
          <w:rFonts w:hint="eastAsia" w:ascii="仿宋_GB2312" w:eastAsia="仿宋_GB2312"/>
          <w:sz w:val="32"/>
          <w:szCs w:val="32"/>
        </w:rPr>
        <w:t>基本支出：指为保障机构正常运转、完成日常工作任务而发生的人员支出和公用支出。</w:t>
      </w:r>
    </w:p>
    <w:p>
      <w:pPr>
        <w:ind w:firstLine="640" w:firstLineChars="200"/>
        <w:rPr>
          <w:rFonts w:ascii="仿宋_GB2312" w:eastAsia="仿宋_GB2312"/>
          <w:sz w:val="32"/>
          <w:szCs w:val="32"/>
        </w:rPr>
      </w:pPr>
      <w:r>
        <w:rPr>
          <w:rFonts w:ascii="仿宋_GB2312" w:eastAsia="仿宋_GB2312"/>
          <w:sz w:val="32"/>
          <w:szCs w:val="32"/>
        </w:rPr>
        <w:t>28.</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pPr>
        <w:ind w:firstLine="640" w:firstLineChars="200"/>
        <w:rPr>
          <w:rFonts w:ascii="仿宋_GB2312" w:eastAsia="仿宋_GB2312"/>
          <w:sz w:val="32"/>
          <w:szCs w:val="32"/>
        </w:rPr>
      </w:pPr>
      <w:r>
        <w:rPr>
          <w:rFonts w:ascii="仿宋_GB2312" w:eastAsia="仿宋_GB2312"/>
          <w:sz w:val="32"/>
          <w:szCs w:val="32"/>
        </w:rPr>
        <w:t>29.</w:t>
      </w:r>
      <w:r>
        <w:rPr>
          <w:rFonts w:hint="eastAsia" w:ascii="仿宋_GB2312" w:eastAsia="仿宋_GB2312"/>
          <w:sz w:val="32"/>
          <w:szCs w:val="32"/>
        </w:rPr>
        <w:t>经营支出：指事业单位在专业业务活动及其辅助活动之外开展非独立核算经营活动发生的支出。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30.</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31.</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7"/>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32.</w:t>
      </w:r>
      <w:r>
        <w:rPr>
          <w:rFonts w:hint="eastAsia" w:ascii="仿宋_GB2312" w:eastAsia="仿宋_GB2312"/>
          <w:color w:val="auto"/>
          <w:sz w:val="32"/>
          <w:szCs w:val="32"/>
        </w:rPr>
        <w:t>……。</w:t>
      </w:r>
    </w:p>
    <w:p>
      <w:pPr>
        <w:pStyle w:val="27"/>
        <w:spacing w:line="560" w:lineRule="exact"/>
        <w:ind w:firstLine="640" w:firstLineChars="200"/>
        <w:rPr>
          <w:rFonts w:ascii="仿宋_GB2312" w:eastAsia="仿宋_GB2312" w:cs="黑体"/>
          <w:color w:val="auto"/>
          <w:sz w:val="32"/>
          <w:szCs w:val="32"/>
        </w:rPr>
      </w:pPr>
    </w:p>
    <w:p>
      <w:pPr>
        <w:spacing w:line="600" w:lineRule="exact"/>
        <w:jc w:val="center"/>
        <w:outlineLvl w:val="0"/>
        <w:rPr>
          <w:rStyle w:val="29"/>
          <w:rFonts w:ascii="黑体" w:hAnsi="黑体" w:eastAsia="黑体"/>
          <w:b w:val="0"/>
        </w:rPr>
      </w:pPr>
      <w:bookmarkStart w:id="53" w:name="_Toc15377226"/>
      <w:r>
        <w:rPr>
          <w:rFonts w:ascii="宋体"/>
          <w:b/>
          <w:sz w:val="44"/>
          <w:szCs w:val="44"/>
        </w:rPr>
        <w:br w:type="page"/>
      </w:r>
      <w:bookmarkStart w:id="54" w:name="_Toc15396614"/>
      <w:r>
        <w:rPr>
          <w:rFonts w:hint="eastAsia" w:ascii="黑体" w:hAnsi="黑体" w:eastAsia="黑体"/>
          <w:sz w:val="44"/>
          <w:szCs w:val="44"/>
        </w:rPr>
        <w:t>第</w:t>
      </w:r>
      <w:r>
        <w:rPr>
          <w:rStyle w:val="29"/>
          <w:rFonts w:hint="eastAsia" w:ascii="黑体" w:hAnsi="黑体" w:eastAsia="黑体"/>
          <w:b w:val="0"/>
        </w:rPr>
        <w:t>四部分 附件</w:t>
      </w:r>
      <w:bookmarkEnd w:id="54"/>
    </w:p>
    <w:p>
      <w:pPr>
        <w:spacing w:line="572" w:lineRule="exact"/>
        <w:jc w:val="left"/>
        <w:outlineLvl w:val="0"/>
        <w:rPr>
          <w:rFonts w:ascii="方正小标宋简体" w:hAnsi="方正小标宋简体" w:eastAsia="方正小标宋简体" w:cs="方正小标宋简体"/>
          <w:sz w:val="44"/>
          <w:szCs w:val="44"/>
        </w:rPr>
      </w:pPr>
      <w:r>
        <w:rPr>
          <w:rFonts w:hint="eastAsia" w:ascii="黑体" w:hAnsi="黑体" w:eastAsia="黑体" w:cs="黑体"/>
          <w:sz w:val="32"/>
          <w:szCs w:val="32"/>
        </w:rPr>
        <w:t>附件</w:t>
      </w:r>
    </w:p>
    <w:p>
      <w:pPr>
        <w:widowControl/>
        <w:spacing w:line="560" w:lineRule="exact"/>
        <w:contextualSpacing/>
        <w:jc w:val="center"/>
        <w:rPr>
          <w:rFonts w:ascii="仿宋_GB2312" w:hAnsi="仿宋_GB2312" w:eastAsia="仿宋_GB2312" w:cs="仿宋_GB2312"/>
          <w:sz w:val="32"/>
          <w:szCs w:val="32"/>
          <w:shd w:val="clear" w:color="auto" w:fill="FFFFFF"/>
        </w:rPr>
      </w:pP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p>
    <w:p>
      <w:pPr>
        <w:widowControl/>
        <w:numPr>
          <w:ilvl w:val="0"/>
          <w:numId w:val="5"/>
        </w:numPr>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lang w:val="zh-CN"/>
        </w:rPr>
      </w:pPr>
      <w:r>
        <w:rPr>
          <w:rFonts w:hint="eastAsia" w:ascii="黑体" w:hAnsi="宋体" w:eastAsia="黑体" w:cs="宋体"/>
          <w:kern w:val="0"/>
          <w:sz w:val="32"/>
          <w:szCs w:val="32"/>
          <w:shd w:val="clear" w:color="auto" w:fill="FFFFFF"/>
          <w:lang w:val="zh-CN"/>
        </w:rPr>
        <w:t>部门（单位）基本情况</w:t>
      </w:r>
    </w:p>
    <w:p>
      <w:pPr>
        <w:widowControl/>
        <w:numPr>
          <w:ilvl w:val="0"/>
          <w:numId w:val="6"/>
        </w:numPr>
        <w:adjustRightInd w:val="0"/>
        <w:snapToGrid w:val="0"/>
        <w:spacing w:line="560" w:lineRule="exact"/>
        <w:ind w:left="407" w:leftChars="0" w:firstLine="643" w:firstLineChars="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机构组成。</w:t>
      </w:r>
    </w:p>
    <w:p>
      <w:pPr>
        <w:keepLines w:val="0"/>
        <w:widowControl w:val="0"/>
        <w:snapToGrid/>
        <w:spacing w:before="0" w:beforeAutospacing="0" w:after="0" w:afterAutospacing="0" w:line="576" w:lineRule="exact"/>
        <w:ind w:firstLine="640" w:firstLineChars="200"/>
        <w:jc w:val="both"/>
        <w:textAlignment w:val="baseline"/>
        <w:rPr>
          <w:rFonts w:hint="eastAsia" w:ascii="仿宋_GB2312" w:hAnsi="Calibri" w:eastAsia="仿宋_GB2312" w:cs="仿宋"/>
          <w:color w:val="auto"/>
          <w:kern w:val="0"/>
          <w:sz w:val="32"/>
          <w:szCs w:val="32"/>
          <w:lang w:val="zh-CN" w:eastAsia="zh-CN" w:bidi="ar-SA"/>
        </w:rPr>
      </w:pPr>
      <w:r>
        <w:rPr>
          <w:rFonts w:hint="eastAsia" w:ascii="仿宋_GB2312" w:hAnsi="Calibri" w:eastAsia="仿宋_GB2312" w:cs="仿宋"/>
          <w:color w:val="auto"/>
          <w:kern w:val="0"/>
          <w:sz w:val="32"/>
          <w:szCs w:val="32"/>
          <w:lang w:val="en-US" w:eastAsia="zh-CN" w:bidi="ar-SA"/>
        </w:rPr>
        <w:t>县乡村振兴局下设行政股室8个：办公室、人事股、财务股审计稽查股、督查考核股、项目规划股、项目指导股、信息统计中心、信访股；直属事业单位3个：县乡村振兴事务中心、县扶贫开发事务中心、老促会。</w:t>
      </w:r>
    </w:p>
    <w:p>
      <w:pPr>
        <w:widowControl/>
        <w:numPr>
          <w:ilvl w:val="0"/>
          <w:numId w:val="0"/>
        </w:numPr>
        <w:adjustRightInd w:val="0"/>
        <w:snapToGrid w:val="0"/>
        <w:spacing w:line="560" w:lineRule="exact"/>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（二）机构职能和人员概况。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负责统筹推进巩固拓展脱贫攻坚成果同乡村振兴有效衔接，组织开展防止返贫监测和帮扶，牵头实施乡村建设行动有关工作，推动发展农村社会事业等工作，协调推进乡村治理体系建设，承担乡村振兴督导、检查具体工作，牵头抓好东西部协作、广安对口帮扶有关工作落实。</w:t>
      </w:r>
    </w:p>
    <w:p>
      <w:pPr>
        <w:ind w:firstLine="640" w:firstLineChars="200"/>
        <w:rPr>
          <w:rFonts w:hint="eastAsia" w:ascii="仿宋_GB2312" w:eastAsia="仿宋_GB2312"/>
          <w:sz w:val="32"/>
          <w:szCs w:val="32"/>
          <w:lang w:val="zh-CN"/>
        </w:rPr>
      </w:pPr>
      <w:r>
        <w:rPr>
          <w:rFonts w:hint="eastAsia" w:ascii="仿宋_GB2312" w:eastAsia="仿宋_GB2312"/>
          <w:sz w:val="32"/>
          <w:szCs w:val="32"/>
          <w:lang w:val="en-US" w:eastAsia="zh-CN"/>
        </w:rPr>
        <w:t>总编制34名，其中行政编制16名，事业编制16名，机关工勤编制2名。在职人员总数37人，其中行政人员14人，事业人员17人，工勤人员2人，工勤控制人员1人，劳务派遣4人。</w:t>
      </w:r>
    </w:p>
    <w:p>
      <w:pPr>
        <w:widowControl/>
        <w:numPr>
          <w:ilvl w:val="0"/>
          <w:numId w:val="0"/>
        </w:numPr>
        <w:adjustRightInd w:val="0"/>
        <w:snapToGrid w:val="0"/>
        <w:spacing w:line="560" w:lineRule="exact"/>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三）</w:t>
      </w:r>
      <w:r>
        <w:rPr>
          <w:rFonts w:hint="eastAsia" w:ascii="楷体_GB2312" w:hAnsi="楷体_GB2312" w:eastAsia="楷体_GB2312" w:cs="楷体_GB2312"/>
          <w:b/>
          <w:bCs/>
          <w:kern w:val="0"/>
          <w:sz w:val="32"/>
          <w:szCs w:val="32"/>
          <w:shd w:val="clear" w:color="auto" w:fill="FFFFFF"/>
          <w:lang w:val="zh-CN"/>
        </w:rPr>
        <w:t>年度主要工作任务。</w:t>
      </w:r>
    </w:p>
    <w:p>
      <w:pPr>
        <w:ind w:firstLine="640" w:firstLineChars="200"/>
        <w:rPr>
          <w:rFonts w:hint="eastAsia" w:ascii="仿宋_GB2312" w:eastAsia="仿宋_GB2312"/>
          <w:sz w:val="32"/>
          <w:szCs w:val="32"/>
          <w:lang w:val="zh-CN" w:eastAsia="zh-CN"/>
        </w:rPr>
      </w:pPr>
      <w:r>
        <w:rPr>
          <w:rFonts w:hint="eastAsia" w:ascii="仿宋_GB2312" w:eastAsia="仿宋_GB2312"/>
          <w:sz w:val="32"/>
          <w:szCs w:val="32"/>
          <w:lang w:val="en-US" w:eastAsia="zh-CN"/>
        </w:rPr>
        <w:t>今年以来，我局紧扣县委“1233”执政兴县战略，按照“守底线、抓衔接、促振兴”总要求，坚持把巩固拓展脱贫攻坚成果放在首位，在扎实做好常态化疫情防控前提下，全面推进巩固拓展脱贫攻坚成果同乡村振兴有效衔接工作，取得了实效。</w:t>
      </w:r>
    </w:p>
    <w:p>
      <w:pPr>
        <w:widowControl/>
        <w:numPr>
          <w:ilvl w:val="0"/>
          <w:numId w:val="0"/>
        </w:numPr>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w:t>
      </w:r>
      <w:r>
        <w:rPr>
          <w:rFonts w:hint="eastAsia" w:ascii="楷体_GB2312" w:hAnsi="楷体_GB2312" w:eastAsia="楷体_GB2312" w:cs="楷体_GB2312"/>
          <w:b/>
          <w:bCs/>
          <w:kern w:val="0"/>
          <w:sz w:val="32"/>
          <w:szCs w:val="32"/>
          <w:shd w:val="clear" w:color="auto" w:fill="FFFFFF"/>
          <w:lang w:val="en-US" w:eastAsia="zh-CN"/>
        </w:rPr>
        <w:t>四</w:t>
      </w:r>
      <w:r>
        <w:rPr>
          <w:rFonts w:hint="eastAsia" w:ascii="楷体_GB2312" w:hAnsi="楷体_GB2312" w:eastAsia="楷体_GB2312" w:cs="楷体_GB2312"/>
          <w:b/>
          <w:bCs/>
          <w:kern w:val="0"/>
          <w:sz w:val="32"/>
          <w:szCs w:val="32"/>
          <w:shd w:val="clear" w:color="auto" w:fill="FFFFFF"/>
          <w:lang w:val="zh-CN"/>
        </w:rPr>
        <w:t>）部门整体支出绩效目标。</w:t>
      </w:r>
    </w:p>
    <w:p>
      <w:pPr>
        <w:keepNext w:val="0"/>
        <w:keepLines w:val="0"/>
        <w:widowControl/>
        <w:suppressLineNumbers w:val="0"/>
        <w:ind w:firstLine="620" w:firstLineChars="200"/>
        <w:jc w:val="left"/>
        <w:rPr>
          <w:rFonts w:hint="eastAsia" w:ascii="仿宋_GB2312" w:eastAsia="仿宋_GB2312"/>
          <w:sz w:val="32"/>
          <w:szCs w:val="32"/>
          <w:lang w:val="en-US" w:eastAsia="zh-CN"/>
        </w:rPr>
      </w:pPr>
      <w:r>
        <w:rPr>
          <w:rFonts w:ascii="仿宋_GB2312" w:hAnsi="宋体" w:eastAsia="仿宋_GB2312" w:cs="仿宋_GB2312"/>
          <w:color w:val="000000"/>
          <w:kern w:val="0"/>
          <w:sz w:val="31"/>
          <w:szCs w:val="31"/>
          <w:lang w:val="en-US" w:eastAsia="zh-CN" w:bidi="ar"/>
        </w:rPr>
        <w:t>2022年的总体目标是深入学习贯彻落实党的二十大精神，准</w:t>
      </w:r>
      <w:r>
        <w:rPr>
          <w:rFonts w:hint="eastAsia" w:ascii="仿宋_GB2312" w:hAnsi="宋体" w:eastAsia="仿宋_GB2312" w:cs="仿宋_GB2312"/>
          <w:color w:val="000000"/>
          <w:kern w:val="0"/>
          <w:sz w:val="31"/>
          <w:szCs w:val="31"/>
          <w:lang w:val="en-US" w:eastAsia="zh-CN" w:bidi="ar"/>
        </w:rPr>
        <w:t>确把握巩固拓展脱贫攻坚成果同乡村振兴有效衔接的总体要求，继续巩固拓展脱贫攻坚成果，做好组织领导、工作体系、发展规划、政策举措、考核机制等有效衔接，乡村产业进一步提升，农村基础设施和基本公共服务水平进一步提高，美丽宜居乡村建设扎实推进，农村基层组织建设不断加强，农村低收入人口生活水平逐渐提高。</w:t>
      </w:r>
      <w:r>
        <w:rPr>
          <w:rFonts w:hint="eastAsia" w:ascii="仿宋_GB2312" w:eastAsia="仿宋_GB2312"/>
          <w:sz w:val="32"/>
          <w:szCs w:val="32"/>
          <w:lang w:val="en-US" w:eastAsia="zh-CN"/>
        </w:rPr>
        <w:t>围绕“两不愁三保障”的短板弱项，建档立卡贫困人口和贫困村，重点用于产业发展、劳务协作、干部人才交流培训、消费帮扶、改善民生、稳岗就业、公共服务、脱贫户及监测对象就业、村级集体经济增收、农户增收、提升改善农户生产生活条件等目标实施项目、项目实施后基本实现初定的绩效目标。</w:t>
      </w:r>
    </w:p>
    <w:p>
      <w:pPr>
        <w:pStyle w:val="2"/>
        <w:numPr>
          <w:ilvl w:val="0"/>
          <w:numId w:val="0"/>
        </w:numPr>
        <w:ind w:leftChars="200"/>
        <w:rPr>
          <w:lang w:val="zh-CN"/>
        </w:rPr>
      </w:pP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二、部门资金收支情况</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（一）部门总体收支情况。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1.部门总体收入情况</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2022年我局实际到位资金9447.05万元（决算数）。其中中央资金2540万元、省级资金600万元、市级资金600万元、县级资金418.05万元、广安对口帮扶资金389万元（不含财政局调减到相关预算单位资金2419万元）、东西协作资金4900万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⑴中央资金2540万元。其中农村厕所革命1000万元用于全县农村厕所改造任务；助学补助500万元用于农村贫困家庭新成长劳动力接受直接职业教育的学生；贷款贴息740万元用于全县脱贫户、监测户等产业发展银行扶贫小额信贷贴息；项目管理费300万元及乡村振兴项目规划编制、检查、验收、审计等支出。</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⑵省级资金600万元：主要用于全县人居环境整治项目。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⑶市级资金600万元：主要用于全县厕所革命（500万元）及东西部协作统筹项目支出（100万元）。</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⑷县级资金418.05万元，主要用于保障本单位职工福利待遇及日常运转；⑸广安对口帮扶资金389万元（不含财政局调减到相关预算单位资金2419万元）重点用于产业发展、稳岗就业、干部人才、公共服务、基层治理、其他项目；</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⑹东西协作资金4700万元，重点用于产业合作、劳务协作、干部人才交流培训、消费帮扶、改善民生五大项目。</w:t>
      </w:r>
    </w:p>
    <w:p>
      <w:pPr>
        <w:widowControl/>
        <w:numPr>
          <w:ilvl w:val="0"/>
          <w:numId w:val="7"/>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部门总体支出情况</w:t>
      </w:r>
    </w:p>
    <w:p>
      <w:pPr>
        <w:pStyle w:val="14"/>
        <w:keepNext w:val="0"/>
        <w:keepLines w:val="0"/>
        <w:widowControl/>
        <w:suppressLineNumbers w:val="0"/>
        <w:pBdr>
          <w:bottom w:val="none" w:color="auto" w:sz="0" w:space="0"/>
        </w:pBdr>
        <w:spacing w:before="0" w:beforeAutospacing="0" w:after="0" w:afterAutospacing="0" w:line="450" w:lineRule="atLeast"/>
        <w:ind w:left="0"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2022年我局实际支付资金9447.05万元。其中基本支出434.34万元，项目支出9012.71万元。执行率100%。其中：</w:t>
      </w:r>
    </w:p>
    <w:p>
      <w:pPr>
        <w:pStyle w:val="14"/>
        <w:keepNext w:val="0"/>
        <w:keepLines w:val="0"/>
        <w:widowControl/>
        <w:suppressLineNumbers w:val="0"/>
        <w:pBdr>
          <w:bottom w:val="none" w:color="auto" w:sz="0" w:space="0"/>
        </w:pBdr>
        <w:spacing w:before="0" w:beforeAutospacing="0" w:after="0" w:afterAutospacing="0" w:line="450" w:lineRule="atLeast"/>
        <w:ind w:left="0" w:right="0" w:firstLine="640" w:firstLineChars="200"/>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⑴基本支出434.34万元，占总支出4.6%。其中：工资福利支出393.29万元。主要包括</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(基本工资、津贴补贴、奖金、绩效工资、机关事业单位基本养老保险缴费、职工基本医疗保险缴费、其他社会保障缴费、住房公积金、其他工资福利支出)</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商品和服务支出41.05万元。主要包括</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(办公费、印刷费、水费、电费、物业管理费、差旅费、会议费、培训费、公务接待费、劳务费、工会经费、福利费、其他交通费用、其他商品和服务支出)。</w:t>
      </w:r>
    </w:p>
    <w:p>
      <w:pPr>
        <w:pStyle w:val="14"/>
        <w:keepNext w:val="0"/>
        <w:keepLines w:val="0"/>
        <w:widowControl/>
        <w:suppressLineNumbers w:val="0"/>
        <w:pBdr>
          <w:bottom w:val="none" w:color="auto" w:sz="0" w:space="0"/>
        </w:pBdr>
        <w:spacing w:before="0" w:beforeAutospacing="0" w:after="0" w:afterAutospacing="0" w:line="450" w:lineRule="atLeast"/>
        <w:ind w:left="0" w:right="0" w:firstLine="640" w:firstLineChars="200"/>
      </w:pPr>
      <w:r>
        <w:rPr>
          <w:rFonts w:hint="eastAsia" w:ascii="仿宋_GB2312" w:hAnsi="Times New Roman" w:eastAsia="仿宋_GB2312" w:cs="Times New Roman"/>
          <w:kern w:val="2"/>
          <w:sz w:val="32"/>
          <w:szCs w:val="32"/>
          <w:lang w:val="en-US" w:eastAsia="zh-CN" w:bidi="ar-SA"/>
        </w:rPr>
        <w:t>⑵项目支出9012.71万元，占总支出95.4%。其中：六有信息系统运行费3万元，老促会工作经费36万元，老促会《剑阁县老区发展史》编撰经费2.6万元，东西部协作项目4</w:t>
      </w:r>
      <w:r>
        <w:rPr>
          <w:rFonts w:hint="eastAsia" w:ascii="仿宋_GB2312" w:eastAsia="仿宋_GB2312" w:cs="Times New Roman"/>
          <w:kern w:val="2"/>
          <w:sz w:val="32"/>
          <w:szCs w:val="32"/>
          <w:lang w:val="en-US" w:eastAsia="zh-CN" w:bidi="ar-SA"/>
        </w:rPr>
        <w:t>7</w:t>
      </w:r>
      <w:r>
        <w:rPr>
          <w:rFonts w:hint="eastAsia" w:ascii="仿宋_GB2312" w:hAnsi="Times New Roman" w:eastAsia="仿宋_GB2312" w:cs="Times New Roman"/>
          <w:kern w:val="2"/>
          <w:sz w:val="32"/>
          <w:szCs w:val="32"/>
          <w:lang w:val="en-US" w:eastAsia="zh-CN" w:bidi="ar-SA"/>
        </w:rPr>
        <w:t>00万元，项目争取费2.53万元，统筹推进</w:t>
      </w:r>
      <w:r>
        <w:rPr>
          <w:rFonts w:hint="eastAsia" w:ascii="仿宋_GB2312" w:eastAsia="仿宋_GB2312" w:cs="Times New Roman"/>
          <w:kern w:val="2"/>
          <w:sz w:val="32"/>
          <w:szCs w:val="32"/>
          <w:lang w:val="en-US" w:eastAsia="zh-CN" w:bidi="ar-SA"/>
        </w:rPr>
        <w:t>巩固拓展脱贫攻坚成果同乡村振兴有效衔接</w:t>
      </w:r>
      <w:r>
        <w:rPr>
          <w:rFonts w:hint="eastAsia" w:ascii="仿宋_GB2312" w:hAnsi="Times New Roman" w:eastAsia="仿宋_GB2312" w:cs="Times New Roman"/>
          <w:kern w:val="2"/>
          <w:sz w:val="32"/>
          <w:szCs w:val="32"/>
          <w:lang w:val="en-US" w:eastAsia="zh-CN" w:bidi="ar-SA"/>
        </w:rPr>
        <w:t>经费50万元，</w:t>
      </w:r>
      <w:r>
        <w:rPr>
          <w:rFonts w:hint="eastAsia" w:ascii="仿宋_GB2312" w:eastAsia="仿宋_GB2312" w:cs="Times New Roman"/>
          <w:kern w:val="2"/>
          <w:sz w:val="32"/>
          <w:szCs w:val="32"/>
          <w:lang w:val="en-US" w:eastAsia="zh-CN" w:bidi="ar-SA"/>
        </w:rPr>
        <w:t>巩固拓展脱贫攻坚成果同乡村振兴有效衔接</w:t>
      </w:r>
      <w:r>
        <w:rPr>
          <w:rFonts w:hint="eastAsia" w:ascii="仿宋_GB2312" w:hAnsi="Times New Roman" w:eastAsia="仿宋_GB2312" w:cs="Times New Roman"/>
          <w:kern w:val="2"/>
          <w:sz w:val="32"/>
          <w:szCs w:val="32"/>
          <w:lang w:val="en-US" w:eastAsia="zh-CN" w:bidi="ar-SA"/>
        </w:rPr>
        <w:t>中央贷款贴息740万元，2022年衔接资金项目</w:t>
      </w:r>
      <w:r>
        <w:rPr>
          <w:rFonts w:hint="eastAsia" w:ascii="仿宋_GB2312" w:eastAsia="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人居环境改造600万元，厕所革命1500万元，雨露计划500万元，乡村振兴工作专班6.55万元，</w:t>
      </w:r>
      <w:r>
        <w:rPr>
          <w:rFonts w:hint="eastAsia" w:ascii="仿宋_GB2312" w:eastAsia="仿宋_GB2312" w:cs="Times New Roman"/>
          <w:kern w:val="2"/>
          <w:sz w:val="32"/>
          <w:szCs w:val="32"/>
          <w:lang w:val="en-US" w:eastAsia="zh-CN" w:bidi="ar-SA"/>
        </w:rPr>
        <w:t>巩固拓展脱贫攻坚成果同乡村振兴有效衔接</w:t>
      </w:r>
      <w:r>
        <w:rPr>
          <w:rFonts w:hint="eastAsia" w:ascii="仿宋_GB2312" w:hAnsi="Times New Roman" w:eastAsia="仿宋_GB2312" w:cs="Times New Roman"/>
          <w:kern w:val="2"/>
          <w:sz w:val="32"/>
          <w:szCs w:val="32"/>
          <w:lang w:val="en-US" w:eastAsia="zh-CN" w:bidi="ar-SA"/>
        </w:rPr>
        <w:t>工作经费2022年50万元，东西部协作及对口帮扶工作经费2022年33.03万元。东西部协作市级统筹项目100万元，中央和省级财政衔接推进乡村振兴相关支出300万元，广安对口帮扶389万元。</w:t>
      </w:r>
    </w:p>
    <w:p>
      <w:pPr>
        <w:widowControl/>
        <w:numPr>
          <w:ilvl w:val="0"/>
          <w:numId w:val="7"/>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部门总体结转结余情况</w:t>
      </w:r>
    </w:p>
    <w:p>
      <w:pPr>
        <w:pStyle w:val="2"/>
        <w:numPr>
          <w:ilvl w:val="0"/>
          <w:numId w:val="0"/>
        </w:numPr>
        <w:ind w:leftChars="200"/>
        <w:rPr>
          <w:rFonts w:hint="default" w:ascii="仿宋_GB2312" w:hAnsi="Times New Roman" w:eastAsia="仿宋_GB2312" w:cs="Times New Roman"/>
          <w:kern w:val="2"/>
          <w:sz w:val="32"/>
          <w:szCs w:val="32"/>
          <w:lang w:val="en-US" w:eastAsia="zh-CN" w:bidi="ar-SA"/>
        </w:rPr>
      </w:pPr>
      <w:r>
        <w:rPr>
          <w:rFonts w:hint="eastAsia" w:ascii="仿宋_GB2312" w:hAnsi="Times New Roman" w:eastAsia="仿宋_GB2312" w:cs="Times New Roman"/>
          <w:kern w:val="2"/>
          <w:sz w:val="32"/>
          <w:szCs w:val="32"/>
          <w:lang w:val="en-US" w:eastAsia="zh-CN" w:bidi="ar-SA"/>
        </w:rPr>
        <w:t>2022年剑阁县乡村振兴局无结转结余。</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（二）部门财政拨款收支情况。</w:t>
      </w:r>
    </w:p>
    <w:p>
      <w:pPr>
        <w:widowControl/>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1.部门财政拨款收入情况</w:t>
      </w:r>
    </w:p>
    <w:p>
      <w:pPr>
        <w:pStyle w:val="2"/>
        <w:rPr>
          <w:rFonts w:hint="default" w:eastAsia="仿宋_GB2312"/>
          <w:lang w:val="en-US" w:eastAsia="zh-CN"/>
        </w:rPr>
      </w:pPr>
      <w:r>
        <w:rPr>
          <w:rFonts w:hint="eastAsia" w:ascii="仿宋_GB2312" w:hAnsi="仿宋_GB2312" w:eastAsia="仿宋_GB2312" w:cs="仿宋_GB2312"/>
          <w:kern w:val="0"/>
          <w:sz w:val="32"/>
          <w:szCs w:val="32"/>
          <w:shd w:val="clear" w:color="auto" w:fill="FFFFFF"/>
          <w:lang w:val="en-US" w:eastAsia="zh-CN"/>
        </w:rPr>
        <w:t>2022年财政拨款收入12929.71万元。</w:t>
      </w:r>
    </w:p>
    <w:p>
      <w:pPr>
        <w:widowControl/>
        <w:numPr>
          <w:ilvl w:val="0"/>
          <w:numId w:val="8"/>
        </w:numPr>
        <w:adjustRightInd w:val="0"/>
        <w:snapToGrid w:val="0"/>
        <w:spacing w:line="560" w:lineRule="exact"/>
        <w:ind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部门财政拨款支出情况</w:t>
      </w:r>
    </w:p>
    <w:p>
      <w:pPr>
        <w:pStyle w:val="2"/>
      </w:pPr>
      <w:r>
        <w:rPr>
          <w:rFonts w:hint="eastAsia" w:ascii="仿宋_GB2312" w:hAnsi="仿宋_GB2312" w:eastAsia="仿宋_GB2312" w:cs="仿宋_GB2312"/>
          <w:kern w:val="0"/>
          <w:sz w:val="32"/>
          <w:szCs w:val="32"/>
          <w:shd w:val="clear" w:color="auto" w:fill="FFFFFF"/>
          <w:lang w:val="en-US" w:eastAsia="zh-CN"/>
        </w:rPr>
        <w:t>2022年财政拨款支出12929.71万元。</w:t>
      </w:r>
    </w:p>
    <w:p>
      <w:pPr>
        <w:widowControl/>
        <w:numPr>
          <w:ilvl w:val="0"/>
          <w:numId w:val="8"/>
        </w:numPr>
        <w:adjustRightInd w:val="0"/>
        <w:snapToGrid w:val="0"/>
        <w:spacing w:line="560"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部门财政拨款结转结余情况</w:t>
      </w:r>
    </w:p>
    <w:p>
      <w:pPr>
        <w:pStyle w:val="2"/>
        <w:numPr>
          <w:ilvl w:val="0"/>
          <w:numId w:val="0"/>
        </w:numPr>
        <w:ind w:leftChars="200"/>
      </w:pPr>
      <w:r>
        <w:rPr>
          <w:rFonts w:hint="eastAsia" w:ascii="仿宋" w:hAnsi="仿宋" w:eastAsia="仿宋" w:cs="仿宋"/>
          <w:b w:val="0"/>
          <w:i w:val="0"/>
          <w:caps w:val="0"/>
          <w:color w:val="auto"/>
          <w:spacing w:val="0"/>
          <w:w w:val="100"/>
          <w:kern w:val="0"/>
          <w:sz w:val="28"/>
          <w:szCs w:val="28"/>
          <w:lang w:val="en-US" w:eastAsia="zh-CN" w:bidi="ar"/>
        </w:rPr>
        <w:t>2022年剑阁县乡村振兴局财政拨款无结转结余。</w:t>
      </w:r>
    </w:p>
    <w:p>
      <w:pPr>
        <w:widowControl/>
        <w:adjustRightInd w:val="0"/>
        <w:snapToGrid w:val="0"/>
        <w:spacing w:line="560" w:lineRule="exact"/>
        <w:ind w:firstLine="640" w:firstLineChars="200"/>
        <w:contextualSpacing/>
        <w:jc w:val="left"/>
        <w:rPr>
          <w:rFonts w:ascii="黑体" w:hAnsi="宋体" w:eastAsia="黑体" w:cs="宋体"/>
          <w:kern w:val="0"/>
          <w:sz w:val="32"/>
          <w:szCs w:val="32"/>
          <w:highlight w:val="none"/>
          <w:shd w:val="clear" w:color="auto" w:fill="FFFFFF"/>
        </w:rPr>
      </w:pPr>
      <w:r>
        <w:rPr>
          <w:rFonts w:hint="eastAsia" w:ascii="黑体" w:hAnsi="宋体" w:eastAsia="黑体" w:cs="宋体"/>
          <w:kern w:val="0"/>
          <w:sz w:val="32"/>
          <w:szCs w:val="32"/>
          <w:highlight w:val="none"/>
          <w:shd w:val="clear" w:color="auto" w:fill="FFFFFF"/>
        </w:rPr>
        <w:t>三、部门整体绩效分析</w:t>
      </w:r>
    </w:p>
    <w:p>
      <w:pPr>
        <w:widowControl/>
        <w:adjustRightInd w:val="0"/>
        <w:snapToGrid w:val="0"/>
        <w:spacing w:line="560" w:lineRule="exact"/>
        <w:ind w:firstLine="643" w:firstLineChars="200"/>
        <w:contextualSpacing/>
        <w:jc w:val="left"/>
        <w:rPr>
          <w:rFonts w:ascii="仿宋_GB2312" w:hAnsi="仿宋_GB2312" w:eastAsia="仿宋_GB2312" w:cs="仿宋_GB2312"/>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（一）部门预算项目绩效分析。</w:t>
      </w:r>
    </w:p>
    <w:p>
      <w:pPr>
        <w:widowControl/>
        <w:adjustRightInd w:val="0"/>
        <w:snapToGrid w:val="0"/>
        <w:spacing w:line="560" w:lineRule="exact"/>
        <w:contextualSpacing/>
        <w:jc w:val="left"/>
        <w:rPr>
          <w:rFonts w:hint="eastAsia"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1.人员类项目绩效分析</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(1)绩效目标制定。按照财政2022年部门预算口径，完成剑阁县乡村振兴局职工的基本工资、津贴补贴、绩效工资和年度绩效奖的发放。全年预算</w:t>
      </w:r>
      <w:r>
        <w:rPr>
          <w:rFonts w:hint="eastAsia" w:ascii="仿宋_GB2312" w:hAnsi="仿宋_GB2312" w:eastAsia="仿宋_GB2312" w:cs="仿宋_GB2312"/>
          <w:kern w:val="0"/>
          <w:sz w:val="32"/>
          <w:szCs w:val="32"/>
          <w:shd w:val="clear" w:color="auto" w:fill="FFFFFF"/>
          <w:lang w:val="en-US" w:eastAsia="zh-CN" w:bidi="ar-SA"/>
        </w:rPr>
        <w:t>434.34万元，占总支出4.6%</w:t>
      </w:r>
      <w:r>
        <w:rPr>
          <w:rFonts w:hint="eastAsia" w:ascii="仿宋_GB2312" w:hAnsi="宋体" w:eastAsia="仿宋_GB2312" w:cs="仿宋_GB2312"/>
          <w:color w:val="000000"/>
          <w:kern w:val="0"/>
          <w:sz w:val="31"/>
          <w:szCs w:val="31"/>
          <w:lang w:val="en-US" w:eastAsia="zh-CN" w:bidi="ar"/>
        </w:rPr>
        <w:t>。</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(2)项目管理情况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本部门严格按照人员经费相关制度规定执行，为充分保障部门人员经费的稳定使用，严格使用，均衡使用，所有程序合法合规，资金支付依据合法，不存在虚报套取财政资金及不符合申报条件的情况，经费合规性为100%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(3)项目产出情况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2022年县财政局拨付资金</w:t>
      </w:r>
      <w:r>
        <w:rPr>
          <w:rFonts w:hint="eastAsia" w:ascii="仿宋_GB2312" w:hAnsi="仿宋_GB2312" w:eastAsia="仿宋_GB2312" w:cs="仿宋_GB2312"/>
          <w:kern w:val="0"/>
          <w:sz w:val="32"/>
          <w:szCs w:val="32"/>
          <w:shd w:val="clear" w:color="auto" w:fill="FFFFFF"/>
          <w:lang w:val="en-US" w:eastAsia="zh-CN" w:bidi="ar-SA"/>
        </w:rPr>
        <w:t>434.34</w:t>
      </w:r>
      <w:r>
        <w:rPr>
          <w:rFonts w:hint="eastAsia" w:ascii="仿宋_GB2312" w:hAnsi="宋体" w:eastAsia="仿宋_GB2312" w:cs="仿宋_GB2312"/>
          <w:color w:val="000000"/>
          <w:kern w:val="0"/>
          <w:sz w:val="31"/>
          <w:szCs w:val="31"/>
          <w:lang w:val="en-US" w:eastAsia="zh-CN" w:bidi="ar"/>
        </w:rPr>
        <w:t xml:space="preserve">万元，资金到位率100%。人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员经费使用情况清晰，去路明确，未出现应支未支，资金使用完成率达到100%。 </w:t>
      </w:r>
    </w:p>
    <w:p>
      <w:pPr>
        <w:keepNext w:val="0"/>
        <w:keepLines w:val="0"/>
        <w:widowControl/>
        <w:numPr>
          <w:ilvl w:val="0"/>
          <w:numId w:val="9"/>
        </w:numPr>
        <w:suppressLineNumbers w:val="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 xml:space="preserve">项目效益情况 </w:t>
      </w:r>
    </w:p>
    <w:p>
      <w:pPr>
        <w:keepNext w:val="0"/>
        <w:keepLines w:val="0"/>
        <w:widowControl/>
        <w:numPr>
          <w:ilvl w:val="0"/>
          <w:numId w:val="0"/>
        </w:numPr>
        <w:suppressLineNumbers w:val="0"/>
        <w:ind w:firstLine="620" w:firstLineChars="200"/>
        <w:jc w:val="left"/>
        <w:rPr>
          <w:rFonts w:hint="eastAsia"/>
          <w:lang w:val="en-US" w:eastAsia="zh-CN"/>
        </w:rPr>
      </w:pPr>
      <w:r>
        <w:rPr>
          <w:rFonts w:hint="eastAsia" w:ascii="仿宋_GB2312" w:hAnsi="宋体" w:eastAsia="仿宋_GB2312" w:cs="仿宋_GB2312"/>
          <w:color w:val="000000"/>
          <w:kern w:val="0"/>
          <w:sz w:val="31"/>
          <w:szCs w:val="31"/>
          <w:lang w:val="en-US" w:eastAsia="zh-CN" w:bidi="ar"/>
        </w:rPr>
        <w:t>2022年让每位职工按时领到了应发放的工资福利，较好发挥了经费管控带来的积极作用。</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2.运转类项目绩效分析</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(1)绩效目标制定。按照财政2022年部门预算口径，完成机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关运行、乡村振兴管理事务的顺利开展。全年预算</w:t>
      </w:r>
      <w:r>
        <w:rPr>
          <w:rFonts w:hint="eastAsia" w:ascii="仿宋_GB2312" w:hAnsi="Times New Roman" w:eastAsia="仿宋_GB2312" w:cs="Times New Roman"/>
          <w:kern w:val="2"/>
          <w:sz w:val="32"/>
          <w:szCs w:val="32"/>
          <w:lang w:val="en-US" w:eastAsia="zh-CN" w:bidi="ar-SA"/>
        </w:rPr>
        <w:t>41.05</w:t>
      </w:r>
      <w:r>
        <w:rPr>
          <w:rFonts w:hint="eastAsia" w:ascii="仿宋_GB2312" w:hAnsi="宋体" w:eastAsia="仿宋_GB2312" w:cs="仿宋_GB2312"/>
          <w:color w:val="000000"/>
          <w:kern w:val="0"/>
          <w:sz w:val="31"/>
          <w:szCs w:val="31"/>
          <w:lang w:val="en-US" w:eastAsia="zh-CN" w:bidi="ar"/>
        </w:rPr>
        <w:t xml:space="preserve">万元。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项目管理情况。本部门严格按照公用经费相关制度规定执行，充分保障部门机关运行业务、管理业务和乡村振兴业务经费的合规使用，均衡使用，所有程序合法合规，资金支付依据合法，不存在虚报套取财政资金及不符合申报条件的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(3)项目产出情况。2022年县财政局拨付运转类资金</w:t>
      </w:r>
      <w:r>
        <w:rPr>
          <w:rFonts w:hint="eastAsia" w:ascii="仿宋_GB2312" w:hAnsi="Times New Roman" w:eastAsia="仿宋_GB2312" w:cs="Times New Roman"/>
          <w:kern w:val="2"/>
          <w:sz w:val="32"/>
          <w:szCs w:val="32"/>
          <w:lang w:val="en-US" w:eastAsia="zh-CN" w:bidi="ar-SA"/>
        </w:rPr>
        <w:t>41.05</w:t>
      </w:r>
      <w:r>
        <w:rPr>
          <w:rFonts w:hint="eastAsia" w:ascii="仿宋_GB2312" w:hAnsi="宋体" w:eastAsia="仿宋_GB2312" w:cs="仿宋_GB2312"/>
          <w:color w:val="000000"/>
          <w:kern w:val="0"/>
          <w:sz w:val="31"/>
          <w:szCs w:val="31"/>
          <w:lang w:val="en-US" w:eastAsia="zh-CN" w:bidi="ar"/>
        </w:rPr>
        <w:t>万。运转类经费使用情况清晰。</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(4)项目效益情况。2022年我局严格有效的预算执行，确保了全县乡村振兴事业的健康持续发展</w:t>
      </w:r>
    </w:p>
    <w:p>
      <w:pPr>
        <w:widowControl/>
        <w:adjustRightInd w:val="0"/>
        <w:snapToGrid w:val="0"/>
        <w:spacing w:line="560" w:lineRule="exact"/>
        <w:ind w:firstLine="640" w:firstLineChars="200"/>
        <w:contextualSpacing/>
        <w:jc w:val="left"/>
        <w:rPr>
          <w:rFonts w:ascii="仿宋_GB2312" w:hAnsi="仿宋_GB2312" w:eastAsia="仿宋_GB2312" w:cs="仿宋_GB2312"/>
          <w:kern w:val="0"/>
          <w:sz w:val="32"/>
          <w:szCs w:val="32"/>
          <w:shd w:val="clear" w:color="auto" w:fill="FFFFFF"/>
        </w:rPr>
      </w:pPr>
      <w:r>
        <w:rPr>
          <w:rFonts w:hint="eastAsia" w:ascii="仿宋_GB2312" w:hAnsi="仿宋_GB2312" w:eastAsia="仿宋_GB2312" w:cs="仿宋_GB2312"/>
          <w:kern w:val="0"/>
          <w:sz w:val="32"/>
          <w:szCs w:val="32"/>
          <w:shd w:val="clear" w:color="auto" w:fill="FFFFFF"/>
        </w:rPr>
        <w:t>3.特定目标类项目绩效分析</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(1)绩效目标制定。按照财政2022年部门预算口径，完成</w:t>
      </w:r>
      <w:r>
        <w:rPr>
          <w:rFonts w:hint="eastAsia" w:ascii="仿宋_GB2312" w:hAnsi="宋体" w:eastAsia="仿宋_GB2312" w:cs="仿宋_GB2312"/>
          <w:color w:val="000000"/>
          <w:kern w:val="0"/>
          <w:sz w:val="31"/>
          <w:szCs w:val="31"/>
          <w:lang w:val="en-US" w:eastAsia="zh-CN" w:bidi="ar"/>
        </w:rPr>
        <w:t xml:space="preserve">了剑阁县乡村振兴局民生项目、基本建设项目的顺利实施。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项目管理情况。本部门严格按照项目经费相关制度规定执行，充分保障部门民生项目、基本建设项目经费的合规使用，所有程序合法合规，资金支付依据合法，不存在虚报套取财政资金及不符合申报条件的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(3)项目产出情况。2022年度县财政局拨付项目资金</w:t>
      </w:r>
      <w:r>
        <w:rPr>
          <w:rFonts w:hint="eastAsia" w:ascii="仿宋" w:hAnsi="仿宋" w:eastAsia="仿宋"/>
          <w:sz w:val="32"/>
          <w:szCs w:val="32"/>
        </w:rPr>
        <w:t>11193.7</w:t>
      </w:r>
      <w:r>
        <w:rPr>
          <w:rFonts w:hint="eastAsia" w:ascii="仿宋_GB2312" w:hAnsi="宋体" w:eastAsia="仿宋_GB2312" w:cs="仿宋_GB2312"/>
          <w:color w:val="000000"/>
          <w:kern w:val="0"/>
          <w:sz w:val="31"/>
          <w:szCs w:val="31"/>
          <w:lang w:val="en-US" w:eastAsia="zh-CN" w:bidi="ar"/>
        </w:rPr>
        <w:t>万元。项目经费使用情况清晰。</w:t>
      </w:r>
    </w:p>
    <w:p>
      <w:pPr>
        <w:keepNext w:val="0"/>
        <w:keepLines w:val="0"/>
        <w:widowControl/>
        <w:suppressLineNumbers w:val="0"/>
        <w:jc w:val="left"/>
        <w:rPr>
          <w:rFonts w:ascii="仿宋_GB2312" w:hAnsi="仿宋_GB2312" w:eastAsia="仿宋_GB2312" w:cs="仿宋_GB2312"/>
          <w:kern w:val="0"/>
          <w:sz w:val="32"/>
          <w:szCs w:val="32"/>
          <w:shd w:val="clear" w:color="auto" w:fill="FFFFFF"/>
        </w:rPr>
      </w:pPr>
      <w:r>
        <w:rPr>
          <w:rFonts w:hint="eastAsia" w:ascii="仿宋_GB2312" w:hAnsi="宋体" w:eastAsia="仿宋_GB2312" w:cs="仿宋_GB2312"/>
          <w:color w:val="000000"/>
          <w:kern w:val="0"/>
          <w:sz w:val="31"/>
          <w:szCs w:val="31"/>
          <w:lang w:val="en-US" w:eastAsia="zh-CN" w:bidi="ar"/>
        </w:rPr>
        <w:t>(4)项目效益情况。2022年度我局确保了“雨露计划”、重点帮扶村建设、乡村振兴示范区建设等民生资金的按时拨付，巩固了脱贫攻坚成果，进一步提升了乡村产业，进一步改善农村基础设施和基本公共服务水平，不断加强了农村基层组织建设，逐渐提高了农村低收入人口生活水平，促进了社会稳定和谐。</w:t>
      </w:r>
    </w:p>
    <w:p>
      <w:pPr>
        <w:widowControl/>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（二）部门整体履职绩效分析。</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2022年本部门各类经费坚持做到专款专用，规范管理。所有</w:t>
      </w:r>
      <w:r>
        <w:rPr>
          <w:rFonts w:hint="eastAsia" w:ascii="仿宋_GB2312" w:hAnsi="宋体" w:eastAsia="仿宋_GB2312" w:cs="仿宋_GB2312"/>
          <w:color w:val="000000"/>
          <w:kern w:val="0"/>
          <w:sz w:val="31"/>
          <w:szCs w:val="31"/>
          <w:lang w:val="en-US" w:eastAsia="zh-CN" w:bidi="ar"/>
        </w:rPr>
        <w:t xml:space="preserve">经费使用均按照相关业务流程进行，统一支付标准，规范工作流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程，坚持问题导向，采取有针对性举措，补短板，严格资金审批和资金流动的管理使用工作。保障了34名在职人员的正常办公、生活秩序，完成了全年目标任务；雨露计划项目绩效目标实现了农村脱贫家庭（含监测帮扶对象家庭）新成长劳动力接受职业教育率达100%；重点帮扶村整合资金建设项目绩效目标和中央专项彩票公益金支持欠发达革命老区乡村振兴项目绩效目标彻底改变了脱贫村及非贫困村基础设施及人居环境，特色优势产业逐步壮大，真正实现了农民增收、社会增效，提升了人民群众的获得感和幸福指数；驻村帮扶项目绩效目标保障了</w:t>
      </w:r>
      <w:r>
        <w:rPr>
          <w:rFonts w:hint="eastAsia" w:ascii="仿宋_GB2312" w:eastAsia="仿宋_GB2312" w:cs="Times New Roman"/>
          <w:kern w:val="2"/>
          <w:sz w:val="32"/>
          <w:szCs w:val="32"/>
          <w:lang w:val="en-US" w:eastAsia="zh-CN" w:bidi="ar-SA"/>
        </w:rPr>
        <w:t>巩固拓展脱贫攻坚成果同乡村振兴有效衔接</w:t>
      </w:r>
      <w:r>
        <w:rPr>
          <w:rFonts w:hint="eastAsia" w:ascii="仿宋_GB2312" w:hAnsi="宋体" w:eastAsia="仿宋_GB2312" w:cs="仿宋_GB2312"/>
          <w:color w:val="000000"/>
          <w:kern w:val="0"/>
          <w:sz w:val="31"/>
          <w:szCs w:val="31"/>
          <w:lang w:val="en-US" w:eastAsia="zh-CN" w:bidi="ar"/>
        </w:rPr>
        <w:t>工作队和第一书记的生活，解决他们的后顾之忧，让他们全身心地投入到乡村振兴工作中。在支出控制方面，制定了资产管理、财务报销等管理制度，并严格按照制度管理和执行，防范风险，保证财政资金的安全和高效运行。从严控制机关运行经费，压缩公务费开支，严格控制“三公”经费，资产的配置严格按照政府采购相关规定，按照预算科目和项目资金的规定使用财政资金，保证支出的规范化、制度化。对项目实施过程中发生的支出，及时进行支付，确保执行进行按照时间节点完成。全年整体支出和各项目支出完成预算的100%，无结余资金，无违规违纪行为发生。</w:t>
      </w:r>
    </w:p>
    <w:p>
      <w:pPr>
        <w:widowControl/>
        <w:adjustRightInd w:val="0"/>
        <w:snapToGrid w:val="0"/>
        <w:spacing w:line="560" w:lineRule="exact"/>
        <w:ind w:firstLine="643" w:firstLineChars="200"/>
        <w:contextualSpacing/>
        <w:jc w:val="left"/>
        <w:rPr>
          <w:rFonts w:hint="eastAsia" w:ascii="仿宋_GB2312" w:hAnsi="仿宋_GB2312" w:eastAsia="仿宋_GB2312" w:cs="仿宋_GB2312"/>
          <w:b/>
          <w:bCs/>
          <w:kern w:val="0"/>
          <w:sz w:val="32"/>
          <w:szCs w:val="32"/>
          <w:shd w:val="clear" w:color="auto" w:fill="FFFFFF"/>
          <w:lang w:val="zh-CN"/>
        </w:rPr>
      </w:pPr>
      <w:r>
        <w:rPr>
          <w:rFonts w:hint="eastAsia" w:ascii="仿宋_GB2312" w:hAnsi="仿宋_GB2312" w:eastAsia="仿宋_GB2312" w:cs="仿宋_GB2312"/>
          <w:b/>
          <w:bCs/>
          <w:kern w:val="0"/>
          <w:sz w:val="32"/>
          <w:szCs w:val="32"/>
          <w:shd w:val="clear" w:color="auto" w:fill="FFFFFF"/>
          <w:lang w:val="zh-CN"/>
        </w:rPr>
        <w:t>（三）结果应用情况。</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针对评价报告中</w:t>
      </w:r>
      <w:r>
        <w:rPr>
          <w:rFonts w:hint="eastAsia" w:ascii="仿宋_GB2312" w:hAnsi="宋体" w:eastAsia="仿宋_GB2312" w:cs="仿宋_GB2312"/>
          <w:color w:val="000000"/>
          <w:kern w:val="0"/>
          <w:sz w:val="31"/>
          <w:szCs w:val="31"/>
          <w:lang w:val="en-US" w:eastAsia="zh-CN" w:bidi="ar"/>
        </w:rPr>
        <w:t>反映的问题</w:t>
      </w:r>
      <w:r>
        <w:rPr>
          <w:rFonts w:ascii="仿宋_GB2312" w:hAnsi="宋体" w:eastAsia="仿宋_GB2312" w:cs="仿宋_GB2312"/>
          <w:color w:val="000000"/>
          <w:kern w:val="0"/>
          <w:sz w:val="31"/>
          <w:szCs w:val="31"/>
          <w:lang w:val="en-US" w:eastAsia="zh-CN" w:bidi="ar"/>
        </w:rPr>
        <w:t>，本部门认真开展自查自纠，不</w:t>
      </w:r>
      <w:r>
        <w:rPr>
          <w:rFonts w:hint="eastAsia" w:ascii="仿宋_GB2312" w:hAnsi="宋体" w:eastAsia="仿宋_GB2312" w:cs="仿宋_GB2312"/>
          <w:color w:val="000000"/>
          <w:kern w:val="0"/>
          <w:sz w:val="31"/>
          <w:szCs w:val="31"/>
          <w:lang w:val="en-US" w:eastAsia="zh-CN" w:bidi="ar"/>
        </w:rPr>
        <w:t>断加强学习，不断完善绩效评价指标体系，科学编制预算，严格预算执行，优化资源配置、控制节约成本、提高公共服务质量和财政资金使用效益，充分发挥本单位的职能作用。</w:t>
      </w:r>
    </w:p>
    <w:p>
      <w:pPr>
        <w:widowControl/>
        <w:numPr>
          <w:ilvl w:val="0"/>
          <w:numId w:val="10"/>
        </w:numPr>
        <w:adjustRightInd w:val="0"/>
        <w:snapToGrid w:val="0"/>
        <w:spacing w:line="560" w:lineRule="exact"/>
        <w:ind w:firstLine="643" w:firstLineChars="200"/>
        <w:contextualSpacing/>
        <w:jc w:val="left"/>
        <w:rPr>
          <w:rFonts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自评质量。</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根据评价指标体系测算，本单位部门整体支出绩效</w:t>
      </w:r>
      <w:r>
        <w:rPr>
          <w:rFonts w:hint="eastAsia" w:ascii="仿宋_GB2312" w:hAnsi="宋体" w:eastAsia="仿宋_GB2312" w:cs="仿宋_GB2312"/>
          <w:color w:val="000000"/>
          <w:kern w:val="0"/>
          <w:sz w:val="31"/>
          <w:szCs w:val="31"/>
          <w:lang w:val="en-US" w:eastAsia="zh-CN" w:bidi="ar"/>
        </w:rPr>
        <w:t>评价结果等次为“优”，部门预算、部门整体支出绩效目标以及部门自评情况均按要求及时在剑阁县人民政府网站进行了公开，自觉接受监督。</w:t>
      </w:r>
    </w:p>
    <w:p>
      <w:pPr>
        <w:widowControl/>
        <w:adjustRightInd w:val="0"/>
        <w:snapToGrid w:val="0"/>
        <w:spacing w:line="560" w:lineRule="exact"/>
        <w:ind w:firstLine="640" w:firstLineChars="200"/>
        <w:contextualSpacing/>
        <w:jc w:val="left"/>
        <w:rPr>
          <w:rFonts w:ascii="黑体" w:hAnsi="宋体" w:eastAsia="黑体" w:cs="宋体"/>
          <w:kern w:val="0"/>
          <w:sz w:val="32"/>
          <w:szCs w:val="32"/>
          <w:shd w:val="clear" w:color="auto" w:fill="FFFFFF"/>
        </w:rPr>
      </w:pPr>
      <w:r>
        <w:rPr>
          <w:rFonts w:hint="eastAsia" w:ascii="黑体" w:hAnsi="宋体" w:eastAsia="黑体" w:cs="宋体"/>
          <w:kern w:val="0"/>
          <w:sz w:val="32"/>
          <w:szCs w:val="32"/>
          <w:shd w:val="clear" w:color="auto" w:fill="FFFFFF"/>
        </w:rPr>
        <w:t>四、评价结论及建议</w:t>
      </w:r>
    </w:p>
    <w:p>
      <w:pPr>
        <w:widowControl/>
        <w:adjustRightInd w:val="0"/>
        <w:snapToGrid w:val="0"/>
        <w:spacing w:line="560" w:lineRule="exact"/>
        <w:ind w:firstLine="643" w:firstLineChars="20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（一）评价结论。</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在2022年度整体支出绩效自评工作中，我局认真筹划，严密</w:t>
      </w:r>
      <w:r>
        <w:rPr>
          <w:rFonts w:hint="eastAsia" w:ascii="仿宋_GB2312" w:hAnsi="宋体" w:eastAsia="仿宋_GB2312" w:cs="仿宋_GB2312"/>
          <w:color w:val="000000"/>
          <w:kern w:val="0"/>
          <w:sz w:val="31"/>
          <w:szCs w:val="31"/>
          <w:lang w:val="en-US" w:eastAsia="zh-CN" w:bidi="ar"/>
        </w:rPr>
        <w:t>组织，以严谨、务实的态度，落实县委、县政府及县财政局的相关要求，认真收集整理评价资料，全面真实反映年度经费使用管理及2022年整体工作情况。在今后的工作中，我局将不断增强预算编制的科学性、全面性和可行性，增强法治意识，加强内部控制管理建设，强化预算执行的严肃性。依据预算绩效管理考核的相关要求，运用科学合理的绩效评价方法，结合本单位政策、部门整体支出和项目支出年初预算设定的绩效目标。牢固树立“讲绩效、重绩效、用绩效”“花钱必问效、无效必问责”的绩效管理理念，进一步增强支出责任和效率意识，全面加强预算管理，优化资源配置，提高财政资金使用绩效和科学精细化管理水平，提升政府执行力和公信力。我局部门专项支出资金绩效自评得分为99.8分。</w:t>
      </w:r>
    </w:p>
    <w:p>
      <w:pPr>
        <w:widowControl/>
        <w:numPr>
          <w:ilvl w:val="0"/>
          <w:numId w:val="6"/>
        </w:numPr>
        <w:adjustRightInd w:val="0"/>
        <w:snapToGrid w:val="0"/>
        <w:spacing w:line="560" w:lineRule="exact"/>
        <w:ind w:left="407" w:leftChars="0" w:firstLine="643" w:firstLineChars="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存在问题。</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1.预算绩效管理工作具有政策性强、专业性强、涉及面广、</w:t>
      </w:r>
      <w:r>
        <w:rPr>
          <w:rFonts w:hint="eastAsia" w:ascii="仿宋_GB2312" w:hAnsi="宋体" w:eastAsia="仿宋_GB2312" w:cs="仿宋_GB2312"/>
          <w:color w:val="000000"/>
          <w:kern w:val="0"/>
          <w:sz w:val="31"/>
          <w:szCs w:val="31"/>
          <w:lang w:val="en-US" w:eastAsia="zh-CN" w:bidi="ar"/>
        </w:rPr>
        <w:t>操作难度大等特点。要不断加强预算绩效管理工作的学习，增强法治意识，加强内部绩效管理建设，强化预算绩效管理执行的严肃性。</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2.评价指标体系的进一步完善。一是绩效目标管理体系有待完善。绩效目标分解及设置不细致，产出指标不具体、产出指标未做到量化，缺乏定量可考核指标。二是预算编制有待完善。在预算编制过程中，会出现预算内容与项目内容不相匹配、预算额度测算依据不充分，未按照标准编制；预算确定的资金量与工作任务不相匹配、预算资金分配依据不充分。三是进一步完善年度工作计划和目标。</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3.预算绩效管理人员素质有待进一步提高。由于预算绩效管理工作开展时间较短，任务重且专业性较强，工作人员缺少系统的学习，对预算绩效管理工作认识不到位、理解不充分；对预算绩效管理业务不了解、不熟悉，对工作重点把握不到位，有待进一步加强。</w:t>
      </w:r>
    </w:p>
    <w:p>
      <w:pPr>
        <w:widowControl/>
        <w:numPr>
          <w:ilvl w:val="0"/>
          <w:numId w:val="6"/>
        </w:numPr>
        <w:adjustRightInd w:val="0"/>
        <w:snapToGrid w:val="0"/>
        <w:spacing w:line="560" w:lineRule="exact"/>
        <w:ind w:left="407" w:leftChars="0" w:firstLine="643" w:firstLineChars="0"/>
        <w:contextualSpacing/>
        <w:jc w:val="left"/>
        <w:rPr>
          <w:rFonts w:hint="eastAsia" w:ascii="楷体_GB2312" w:hAnsi="楷体_GB2312" w:eastAsia="楷体_GB2312" w:cs="楷体_GB2312"/>
          <w:b/>
          <w:bCs/>
          <w:kern w:val="0"/>
          <w:sz w:val="32"/>
          <w:szCs w:val="32"/>
          <w:shd w:val="clear" w:color="auto" w:fill="FFFFFF"/>
          <w:lang w:val="zh-CN"/>
        </w:rPr>
      </w:pPr>
      <w:r>
        <w:rPr>
          <w:rFonts w:hint="eastAsia" w:ascii="楷体_GB2312" w:hAnsi="楷体_GB2312" w:eastAsia="楷体_GB2312" w:cs="楷体_GB2312"/>
          <w:b/>
          <w:bCs/>
          <w:kern w:val="0"/>
          <w:sz w:val="32"/>
          <w:szCs w:val="32"/>
          <w:shd w:val="clear" w:color="auto" w:fill="FFFFFF"/>
          <w:lang w:val="zh-CN"/>
        </w:rPr>
        <w:t>改进建议。</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 xml:space="preserve">1.加强业务培训。对相关人员加强业务培训，规范部门收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支核算，切实提高部门预算收支管理水平。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2.细化预算编制工作，认真做好预算编制。进一步提高预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算编制的科学性、严谨性和可控性，加强内部预算编制的审核和预算控制指标的下达。</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3.加强财务管理，严格财务审核。加强单位财务管理，健全单位财务管理制度体系，规范单位财务行为。在费用报销时，严格按照预算规定的费用项目和用途进行资金使用审核、报销支付、财务核算，杜绝超支现象的发生。</w:t>
      </w: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rFonts w:hint="eastAsia" w:hAnsi="宋体" w:cs="宋体"/>
          <w:sz w:val="32"/>
          <w:szCs w:val="32"/>
          <w:shd w:val="clear" w:color="auto" w:fill="FFFFFF"/>
          <w:lang w:val="zh-CN"/>
        </w:rPr>
      </w:pPr>
    </w:p>
    <w:p>
      <w:pPr>
        <w:pStyle w:val="6"/>
        <w:spacing w:before="93"/>
        <w:rPr>
          <w:sz w:val="32"/>
          <w:szCs w:val="32"/>
        </w:rPr>
      </w:pPr>
      <w:r>
        <w:rPr>
          <w:rFonts w:hint="eastAsia" w:hAnsi="宋体" w:cs="宋体"/>
          <w:sz w:val="32"/>
          <w:szCs w:val="32"/>
          <w:shd w:val="clear" w:color="auto" w:fill="FFFFFF"/>
          <w:lang w:val="zh-CN"/>
        </w:rPr>
        <w:t>附件</w:t>
      </w:r>
      <w:r>
        <w:rPr>
          <w:rFonts w:hint="eastAsia" w:hAnsi="宋体" w:cs="宋体"/>
          <w:sz w:val="32"/>
          <w:szCs w:val="32"/>
          <w:shd w:val="clear" w:color="auto" w:fill="FFFFFF"/>
        </w:rPr>
        <w:t>2</w:t>
      </w:r>
    </w:p>
    <w:p>
      <w:pPr>
        <w:pStyle w:val="35"/>
        <w:spacing w:line="578" w:lineRule="exact"/>
        <w:jc w:val="center"/>
        <w:rPr>
          <w:rFonts w:ascii="方正小标宋简体" w:hAnsi="方正小标宋简体" w:eastAsia="方正小标宋简体" w:cs="方正小标宋简体"/>
          <w:color w:val="auto"/>
          <w:kern w:val="2"/>
          <w:sz w:val="32"/>
          <w:szCs w:val="32"/>
          <w:lang w:val="en-US"/>
        </w:rPr>
      </w:pPr>
      <w:r>
        <w:rPr>
          <w:rFonts w:hint="eastAsia" w:ascii="方正小标宋简体" w:hAnsi="方正小标宋简体" w:eastAsia="方正小标宋简体" w:cs="方正小标宋简体"/>
          <w:color w:val="auto"/>
          <w:kern w:val="2"/>
          <w:sz w:val="32"/>
          <w:szCs w:val="32"/>
          <w:lang w:val="en-US" w:eastAsia="zh-CN"/>
        </w:rPr>
        <w:t>2022年度雨露计划</w:t>
      </w:r>
      <w:r>
        <w:rPr>
          <w:rFonts w:hint="eastAsia" w:ascii="方正小标宋简体" w:hAnsi="方正小标宋简体" w:eastAsia="方正小标宋简体" w:cs="方正小标宋简体"/>
          <w:color w:val="auto"/>
          <w:kern w:val="2"/>
          <w:sz w:val="32"/>
          <w:szCs w:val="32"/>
          <w:lang w:val="en-US"/>
        </w:rPr>
        <w:t>项目</w:t>
      </w:r>
      <w:r>
        <w:rPr>
          <w:rFonts w:hint="eastAsia" w:ascii="方正小标宋简体" w:hAnsi="方正小标宋简体" w:eastAsia="方正小标宋简体" w:cs="方正小标宋简体"/>
          <w:color w:val="auto"/>
          <w:kern w:val="2"/>
          <w:sz w:val="32"/>
          <w:szCs w:val="32"/>
          <w:lang w:val="en-US" w:eastAsia="zh-CN"/>
        </w:rPr>
        <w:t>支出</w:t>
      </w:r>
      <w:r>
        <w:rPr>
          <w:rFonts w:hint="eastAsia" w:ascii="方正小标宋简体" w:hAnsi="方正小标宋简体" w:eastAsia="方正小标宋简体" w:cs="方正小标宋简体"/>
          <w:color w:val="auto"/>
          <w:kern w:val="2"/>
          <w:sz w:val="32"/>
          <w:szCs w:val="32"/>
          <w:lang w:val="en-US"/>
        </w:rPr>
        <w:t>绩效自评报告</w:t>
      </w:r>
    </w:p>
    <w:p>
      <w:pPr>
        <w:pStyle w:val="35"/>
        <w:spacing w:line="578" w:lineRule="exact"/>
        <w:ind w:firstLine="640"/>
        <w:jc w:val="center"/>
        <w:rPr>
          <w:rFonts w:ascii="宋体" w:hAnsi="宋体"/>
          <w:color w:val="auto"/>
          <w:kern w:val="2"/>
          <w:sz w:val="32"/>
          <w:szCs w:val="32"/>
        </w:rPr>
      </w:pPr>
    </w:p>
    <w:p>
      <w:pPr>
        <w:adjustRightInd w:val="0"/>
        <w:snapToGrid w:val="0"/>
        <w:spacing w:line="578" w:lineRule="exact"/>
        <w:ind w:firstLine="720"/>
        <w:rPr>
          <w:rFonts w:ascii="黑体" w:hAnsi="宋体" w:eastAsia="黑体"/>
          <w:sz w:val="32"/>
          <w:szCs w:val="32"/>
          <w:lang w:val="zh-CN"/>
        </w:rPr>
      </w:pPr>
      <w:r>
        <w:rPr>
          <w:rFonts w:hint="eastAsia" w:ascii="黑体" w:hAnsi="宋体" w:eastAsia="黑体"/>
          <w:sz w:val="32"/>
          <w:szCs w:val="32"/>
        </w:rPr>
        <w:t>一、</w:t>
      </w:r>
      <w:r>
        <w:rPr>
          <w:rFonts w:hint="eastAsia" w:ascii="黑体" w:hAnsi="宋体" w:eastAsia="黑体"/>
          <w:sz w:val="32"/>
          <w:szCs w:val="32"/>
          <w:lang w:val="zh-CN"/>
        </w:rPr>
        <w:t>项目概况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（一）项目基本情况。</w:t>
      </w:r>
    </w:p>
    <w:p>
      <w:pPr>
        <w:widowControl/>
        <w:adjustRightInd w:val="0"/>
        <w:snapToGrid w:val="0"/>
        <w:spacing w:line="578" w:lineRule="exact"/>
        <w:ind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1．说明项目主管部门（单位）在该项目管理中的职能。</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剑阁</w:t>
      </w:r>
      <w:r>
        <w:rPr>
          <w:rFonts w:ascii="仿宋_GB2312" w:hAnsi="宋体" w:eastAsia="仿宋_GB2312" w:cs="仿宋_GB2312"/>
          <w:color w:val="000000"/>
          <w:kern w:val="0"/>
          <w:sz w:val="31"/>
          <w:szCs w:val="31"/>
          <w:lang w:val="en-US" w:eastAsia="zh-CN" w:bidi="ar"/>
        </w:rPr>
        <w:t>县乡村振兴局切实保障和支持农村脱贫家庭（含监测帮</w:t>
      </w:r>
      <w:r>
        <w:rPr>
          <w:rFonts w:hint="eastAsia" w:ascii="仿宋_GB2312" w:hAnsi="宋体" w:eastAsia="仿宋_GB2312" w:cs="仿宋_GB2312"/>
          <w:color w:val="000000"/>
          <w:kern w:val="0"/>
          <w:sz w:val="31"/>
          <w:szCs w:val="31"/>
          <w:lang w:val="en-US" w:eastAsia="zh-CN" w:bidi="ar"/>
        </w:rPr>
        <w:t>扶对象家庭）新成长劳动力接受职业教育，助力巩固拓展脱贫攻坚成果，全面推进乡村振兴。</w:t>
      </w:r>
    </w:p>
    <w:p>
      <w:pPr>
        <w:keepNext w:val="0"/>
        <w:keepLines w:val="0"/>
        <w:widowControl/>
        <w:numPr>
          <w:ilvl w:val="0"/>
          <w:numId w:val="11"/>
        </w:numPr>
        <w:suppressLineNumbers w:val="0"/>
        <w:ind w:firstLine="640" w:firstLineChars="200"/>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项目立项、资金申报的依据。</w:t>
      </w:r>
    </w:p>
    <w:p>
      <w:pPr>
        <w:keepNext w:val="0"/>
        <w:keepLines w:val="0"/>
        <w:widowControl/>
        <w:suppressLineNumbers w:val="0"/>
        <w:ind w:firstLine="620" w:firstLineChars="200"/>
        <w:jc w:val="left"/>
        <w:rPr>
          <w:lang w:val="zh-CN"/>
        </w:rPr>
      </w:pPr>
      <w:r>
        <w:rPr>
          <w:rFonts w:ascii="仿宋_GB2312" w:hAnsi="宋体" w:eastAsia="仿宋_GB2312" w:cs="仿宋_GB2312"/>
          <w:color w:val="000000"/>
          <w:kern w:val="0"/>
          <w:sz w:val="31"/>
          <w:szCs w:val="31"/>
          <w:lang w:val="en-US" w:eastAsia="zh-CN" w:bidi="ar"/>
        </w:rPr>
        <w:t>因为是业务工作项目，不需要项目立项。资金申报依据是根</w:t>
      </w:r>
      <w:r>
        <w:rPr>
          <w:rFonts w:hint="eastAsia" w:ascii="仿宋_GB2312" w:hAnsi="宋体" w:eastAsia="仿宋_GB2312" w:cs="仿宋_GB2312"/>
          <w:color w:val="000000"/>
          <w:kern w:val="0"/>
          <w:sz w:val="31"/>
          <w:szCs w:val="31"/>
          <w:lang w:val="en-US" w:eastAsia="zh-CN" w:bidi="ar"/>
        </w:rPr>
        <w:t>据县委“三定”方案文件精神和巩固拓展脱贫攻坚成果同乡村振兴有效衔接的工作性质、工作特点和总体要求，并按照年度工作计划做好相关工作。</w:t>
      </w:r>
    </w:p>
    <w:p>
      <w:pPr>
        <w:widowControl/>
        <w:numPr>
          <w:ilvl w:val="0"/>
          <w:numId w:val="11"/>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w:t>
      </w:r>
      <w:r>
        <w:rPr>
          <w:rFonts w:hint="eastAsia" w:ascii="仿宋_GB2312" w:hAnsi="仿宋_GB2312" w:eastAsia="仿宋_GB2312" w:cs="仿宋_GB2312"/>
          <w:kern w:val="0"/>
          <w:sz w:val="32"/>
          <w:szCs w:val="32"/>
          <w:shd w:val="clear" w:color="auto" w:fill="FFFFFF"/>
        </w:rPr>
        <w:t>或项目</w:t>
      </w:r>
      <w:r>
        <w:rPr>
          <w:rFonts w:hint="eastAsia" w:ascii="仿宋_GB2312" w:hAnsi="仿宋_GB2312" w:eastAsia="仿宋_GB2312" w:cs="仿宋_GB2312"/>
          <w:kern w:val="0"/>
          <w:sz w:val="32"/>
          <w:szCs w:val="32"/>
          <w:shd w:val="clear" w:color="auto" w:fill="FFFFFF"/>
          <w:lang w:val="zh-CN"/>
        </w:rPr>
        <w:t>管理办法制定情况，资金支持具体项目的条件、范围与支持方式概况。</w:t>
      </w:r>
    </w:p>
    <w:p>
      <w:pPr>
        <w:keepNext w:val="0"/>
        <w:keepLines w:val="0"/>
        <w:widowControl/>
        <w:suppressLineNumbers w:val="0"/>
        <w:ind w:firstLine="620" w:firstLineChars="200"/>
        <w:jc w:val="left"/>
        <w:rPr>
          <w:lang w:val="zh-CN"/>
        </w:rPr>
      </w:pPr>
      <w:r>
        <w:rPr>
          <w:rFonts w:ascii="仿宋_GB2312" w:hAnsi="宋体" w:eastAsia="仿宋_GB2312" w:cs="仿宋_GB2312"/>
          <w:color w:val="000000"/>
          <w:kern w:val="0"/>
          <w:sz w:val="31"/>
          <w:szCs w:val="31"/>
          <w:lang w:val="en-US" w:eastAsia="zh-CN" w:bidi="ar"/>
        </w:rPr>
        <w:t>资金管理严格按照部门财务管理相关规定进行管理，按照实</w:t>
      </w:r>
      <w:r>
        <w:rPr>
          <w:rFonts w:hint="eastAsia" w:ascii="仿宋_GB2312" w:hAnsi="宋体" w:eastAsia="仿宋_GB2312" w:cs="仿宋_GB2312"/>
          <w:color w:val="000000"/>
          <w:kern w:val="0"/>
          <w:sz w:val="31"/>
          <w:szCs w:val="31"/>
          <w:lang w:val="en-US" w:eastAsia="zh-CN" w:bidi="ar"/>
        </w:rPr>
        <w:t>际工作开展情况使用资金。</w:t>
      </w:r>
    </w:p>
    <w:p>
      <w:pPr>
        <w:widowControl/>
        <w:numPr>
          <w:ilvl w:val="0"/>
          <w:numId w:val="11"/>
        </w:numPr>
        <w:adjustRightInd w:val="0"/>
        <w:snapToGrid w:val="0"/>
        <w:spacing w:line="578" w:lineRule="exact"/>
        <w:ind w:left="0" w:leftChars="0" w:firstLine="640" w:firstLineChars="200"/>
        <w:contextualSpacing/>
        <w:jc w:val="left"/>
        <w:rPr>
          <w:rFonts w:hint="eastAsia"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资金分配的原则及考虑因素。</w:t>
      </w:r>
    </w:p>
    <w:p>
      <w:pPr>
        <w:keepNext w:val="0"/>
        <w:keepLines w:val="0"/>
        <w:widowControl/>
        <w:suppressLineNumbers w:val="0"/>
        <w:jc w:val="left"/>
        <w:rPr>
          <w:lang w:val="zh-CN"/>
        </w:rPr>
      </w:pPr>
      <w:r>
        <w:rPr>
          <w:rFonts w:ascii="仿宋_GB2312" w:hAnsi="宋体" w:eastAsia="仿宋_GB2312" w:cs="仿宋_GB2312"/>
          <w:color w:val="000000"/>
          <w:kern w:val="0"/>
          <w:sz w:val="31"/>
          <w:szCs w:val="31"/>
          <w:lang w:val="en-US" w:eastAsia="zh-CN" w:bidi="ar"/>
        </w:rPr>
        <w:t>该项目资金是按照工作实际开展情况使用，不存在资金分</w:t>
      </w:r>
      <w:r>
        <w:rPr>
          <w:rFonts w:hint="eastAsia" w:ascii="仿宋_GB2312" w:hAnsi="宋体" w:eastAsia="仿宋_GB2312" w:cs="仿宋_GB2312"/>
          <w:color w:val="000000"/>
          <w:kern w:val="0"/>
          <w:sz w:val="31"/>
          <w:szCs w:val="31"/>
          <w:lang w:val="en-US" w:eastAsia="zh-CN" w:bidi="ar"/>
        </w:rPr>
        <w:t>配。</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（二）项目绩效目标。</w:t>
      </w:r>
    </w:p>
    <w:p>
      <w:pPr>
        <w:keepNext w:val="0"/>
        <w:keepLines w:val="0"/>
        <w:widowControl/>
        <w:suppressLineNumbers w:val="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1．项目主要内容。</w:t>
      </w:r>
      <w:r>
        <w:rPr>
          <w:rFonts w:ascii="仿宋_GB2312" w:hAnsi="宋体" w:eastAsia="仿宋_GB2312" w:cs="仿宋_GB2312"/>
          <w:color w:val="000000"/>
          <w:kern w:val="0"/>
          <w:sz w:val="31"/>
          <w:szCs w:val="31"/>
          <w:lang w:val="en-US" w:eastAsia="zh-CN" w:bidi="ar"/>
        </w:rPr>
        <w:t>认真对农村脱贫家庭（含监测帮扶</w:t>
      </w:r>
      <w:r>
        <w:rPr>
          <w:rFonts w:hint="eastAsia" w:ascii="仿宋_GB2312" w:hAnsi="宋体" w:eastAsia="仿宋_GB2312" w:cs="仿宋_GB2312"/>
          <w:color w:val="000000"/>
          <w:kern w:val="0"/>
          <w:sz w:val="31"/>
          <w:szCs w:val="31"/>
          <w:lang w:val="en-US" w:eastAsia="zh-CN" w:bidi="ar"/>
        </w:rPr>
        <w:t>对象家庭）新成长劳动力接受职业教育人员名单审核后按时间进度将补助资金发放到位。</w:t>
      </w:r>
    </w:p>
    <w:p>
      <w:pPr>
        <w:keepNext w:val="0"/>
        <w:keepLines w:val="0"/>
        <w:widowControl/>
        <w:suppressLineNumbers w:val="0"/>
        <w:jc w:val="left"/>
      </w:pPr>
      <w:r>
        <w:rPr>
          <w:rFonts w:hint="eastAsia" w:ascii="仿宋_GB2312" w:hAnsi="仿宋_GB2312" w:eastAsia="仿宋_GB2312" w:cs="仿宋_GB2312"/>
          <w:kern w:val="0"/>
          <w:sz w:val="32"/>
          <w:szCs w:val="32"/>
          <w:shd w:val="clear" w:color="auto" w:fill="FFFFFF"/>
          <w:lang w:val="zh-CN"/>
        </w:rPr>
        <w:t>2．项目应实现的具体绩效目标：</w:t>
      </w:r>
      <w:r>
        <w:rPr>
          <w:rFonts w:ascii="仿宋_GB2312" w:hAnsi="宋体" w:eastAsia="仿宋_GB2312" w:cs="仿宋_GB2312"/>
          <w:color w:val="000000"/>
          <w:kern w:val="0"/>
          <w:sz w:val="31"/>
          <w:szCs w:val="31"/>
          <w:lang w:val="en-US" w:eastAsia="zh-CN" w:bidi="ar"/>
        </w:rPr>
        <w:t>切实保障和支持农村脱贫家</w:t>
      </w:r>
      <w:r>
        <w:rPr>
          <w:rFonts w:hint="eastAsia" w:ascii="仿宋_GB2312" w:hAnsi="宋体" w:eastAsia="仿宋_GB2312" w:cs="仿宋_GB2312"/>
          <w:color w:val="000000"/>
          <w:kern w:val="0"/>
          <w:sz w:val="31"/>
          <w:szCs w:val="31"/>
          <w:lang w:val="en-US" w:eastAsia="zh-CN" w:bidi="ar"/>
        </w:rPr>
        <w:t>庭（含监测帮扶对象家庭）新成长劳动力接受职业教育，助力巩固拓展脱贫攻坚成果，全面推进乡村振兴。</w:t>
      </w:r>
    </w:p>
    <w:p>
      <w:pPr>
        <w:keepNext w:val="0"/>
        <w:keepLines w:val="0"/>
        <w:widowControl/>
        <w:suppressLineNumbers w:val="0"/>
        <w:jc w:val="left"/>
        <w:rPr>
          <w:rFonts w:ascii="仿宋_GB2312" w:hAnsi="仿宋_GB2312" w:eastAsia="仿宋_GB2312" w:cs="仿宋_GB2312"/>
          <w:kern w:val="0"/>
          <w:sz w:val="32"/>
          <w:szCs w:val="32"/>
          <w:shd w:val="clear" w:color="auto" w:fill="FFFFFF"/>
          <w:lang w:val="zh-CN"/>
        </w:rPr>
      </w:pPr>
      <w:r>
        <w:rPr>
          <w:rFonts w:hint="eastAsia" w:ascii="仿宋_GB2312" w:hAnsi="仿宋_GB2312" w:eastAsia="仿宋_GB2312" w:cs="仿宋_GB2312"/>
          <w:kern w:val="0"/>
          <w:sz w:val="32"/>
          <w:szCs w:val="32"/>
          <w:shd w:val="clear" w:color="auto" w:fill="FFFFFF"/>
          <w:lang w:val="zh-CN"/>
        </w:rPr>
        <w:t>3．</w:t>
      </w:r>
      <w:r>
        <w:rPr>
          <w:rFonts w:ascii="仿宋_GB2312" w:hAnsi="宋体" w:eastAsia="仿宋_GB2312" w:cs="仿宋_GB2312"/>
          <w:color w:val="000000"/>
          <w:kern w:val="0"/>
          <w:sz w:val="31"/>
          <w:szCs w:val="31"/>
          <w:lang w:val="en-US" w:eastAsia="zh-CN" w:bidi="ar"/>
        </w:rPr>
        <w:t>申报内容与具体实施内容项目，申报目标合理可行。</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（三）项目自评步骤及方法。</w:t>
      </w:r>
    </w:p>
    <w:p>
      <w:pPr>
        <w:keepNext w:val="0"/>
        <w:keepLines w:val="0"/>
        <w:widowControl/>
        <w:suppressLineNumbers w:val="0"/>
        <w:ind w:firstLine="620" w:firstLineChars="200"/>
        <w:jc w:val="left"/>
        <w:rPr>
          <w:rFonts w:ascii="仿宋_GB2312" w:hAnsi="仿宋_GB2312" w:eastAsia="仿宋_GB2312" w:cs="仿宋_GB2312"/>
          <w:kern w:val="0"/>
          <w:sz w:val="32"/>
          <w:szCs w:val="32"/>
          <w:shd w:val="clear" w:color="auto" w:fill="FFFFFF"/>
          <w:lang w:val="zh-CN"/>
        </w:rPr>
      </w:pPr>
      <w:r>
        <w:rPr>
          <w:rFonts w:ascii="仿宋_GB2312" w:hAnsi="宋体" w:eastAsia="仿宋_GB2312" w:cs="仿宋_GB2312"/>
          <w:color w:val="000000"/>
          <w:kern w:val="0"/>
          <w:sz w:val="31"/>
          <w:szCs w:val="31"/>
          <w:lang w:val="en-US" w:eastAsia="zh-CN" w:bidi="ar"/>
        </w:rPr>
        <w:t>由各乡镇和东西部协作办公室共同起草拟定自评报告，分别</w:t>
      </w:r>
      <w:r>
        <w:rPr>
          <w:rFonts w:hint="eastAsia" w:ascii="仿宋_GB2312" w:hAnsi="宋体" w:eastAsia="仿宋_GB2312" w:cs="仿宋_GB2312"/>
          <w:color w:val="000000"/>
          <w:kern w:val="0"/>
          <w:sz w:val="31"/>
          <w:szCs w:val="31"/>
          <w:lang w:val="en-US" w:eastAsia="zh-CN" w:bidi="ar"/>
        </w:rPr>
        <w:t>报分管领导、主要领导审阅后再报送。我局自评分数为96分。</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二、项目资金申报及使用情况</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（一）项目资金申报及批复情况。</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2022年度雨露计划项目申报资金</w:t>
      </w:r>
      <w:r>
        <w:rPr>
          <w:rFonts w:hint="eastAsia" w:ascii="仿宋_GB2312" w:hAnsi="宋体" w:eastAsia="仿宋_GB2312" w:cs="仿宋_GB2312"/>
          <w:color w:val="000000"/>
          <w:kern w:val="0"/>
          <w:sz w:val="31"/>
          <w:szCs w:val="31"/>
          <w:lang w:val="en-US" w:eastAsia="zh-CN" w:bidi="ar"/>
        </w:rPr>
        <w:t>50</w:t>
      </w:r>
      <w:r>
        <w:rPr>
          <w:rFonts w:ascii="仿宋_GB2312" w:hAnsi="宋体" w:eastAsia="仿宋_GB2312" w:cs="仿宋_GB2312"/>
          <w:color w:val="000000"/>
          <w:kern w:val="0"/>
          <w:sz w:val="31"/>
          <w:szCs w:val="31"/>
          <w:lang w:val="en-US" w:eastAsia="zh-CN" w:bidi="ar"/>
        </w:rPr>
        <w:t>0万元，</w:t>
      </w:r>
      <w:r>
        <w:rPr>
          <w:rFonts w:hint="eastAsia" w:ascii="仿宋_GB2312" w:hAnsi="宋体" w:eastAsia="仿宋_GB2312" w:cs="仿宋_GB2312"/>
          <w:color w:val="000000"/>
          <w:kern w:val="0"/>
          <w:sz w:val="31"/>
          <w:szCs w:val="31"/>
          <w:lang w:val="en-US" w:eastAsia="zh-CN" w:bidi="ar"/>
        </w:rPr>
        <w:t>剑阁县财政局通过剑财农〔2022〕18号文件下达资金500万元。</w:t>
      </w:r>
    </w:p>
    <w:p>
      <w:pPr>
        <w:adjustRightInd w:val="0"/>
        <w:snapToGrid w:val="0"/>
        <w:spacing w:line="578" w:lineRule="exact"/>
        <w:ind w:firstLine="720"/>
        <w:rPr>
          <w:rFonts w:ascii="仿宋_GB2312" w:hAnsi="宋体"/>
          <w:sz w:val="32"/>
          <w:szCs w:val="32"/>
          <w:lang w:val="zh-CN"/>
        </w:rPr>
      </w:pPr>
      <w:r>
        <w:rPr>
          <w:rFonts w:hint="eastAsia" w:ascii="楷体_GB2312" w:hAnsi="宋体" w:eastAsia="楷体_GB2312"/>
          <w:b/>
          <w:sz w:val="32"/>
          <w:szCs w:val="32"/>
          <w:lang w:val="zh-CN"/>
        </w:rPr>
        <w:t>（二）资金计划、到位及使用情况。</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1．资金计划。2022年度雨露计划项目计划县财政资金5</w:t>
      </w:r>
      <w:r>
        <w:rPr>
          <w:rFonts w:hint="eastAsia" w:ascii="仿宋_GB2312" w:hAnsi="宋体" w:eastAsia="仿宋_GB2312" w:cs="仿宋_GB2312"/>
          <w:color w:val="000000"/>
          <w:kern w:val="0"/>
          <w:sz w:val="31"/>
          <w:szCs w:val="31"/>
          <w:lang w:val="en-US" w:eastAsia="zh-CN" w:bidi="ar"/>
        </w:rPr>
        <w:t>0</w:t>
      </w:r>
      <w:r>
        <w:rPr>
          <w:rFonts w:ascii="仿宋_GB2312" w:hAnsi="宋体" w:eastAsia="仿宋_GB2312" w:cs="仿宋_GB2312"/>
          <w:color w:val="000000"/>
          <w:kern w:val="0"/>
          <w:sz w:val="31"/>
          <w:szCs w:val="31"/>
          <w:lang w:val="en-US" w:eastAsia="zh-CN" w:bidi="ar"/>
        </w:rPr>
        <w:t xml:space="preserve">0万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元。</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2．资金到位。2022年5月，剑阁县财政局通过剑财农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〔2022〕18号文件下达资金500万元。资金全部到位，到位率100%。</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3．资金使用。该资金按照项目实施过程中的实际情况，再通过一卡通直接支付，资金支付合规合法、与预算相符。</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（三）项目财务管理情况。</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项目资金严格按照财务管理制度进行管理，保证专款专用，</w:t>
      </w:r>
      <w:r>
        <w:rPr>
          <w:rFonts w:hint="eastAsia" w:ascii="仿宋_GB2312" w:hAnsi="宋体" w:eastAsia="仿宋_GB2312" w:cs="仿宋_GB2312"/>
          <w:color w:val="000000"/>
          <w:kern w:val="0"/>
          <w:sz w:val="31"/>
          <w:szCs w:val="31"/>
          <w:lang w:val="en-US" w:eastAsia="zh-CN" w:bidi="ar"/>
        </w:rPr>
        <w:t>不存在截留、挤占、挪用、套取、虚报、冒领的问题。资金支付复查由财务人员按照财务制度进行资金审查、支付和核算，所有支付按照相关规定进行支付，在具体支付时，具备了资金文件、附件、清单等附件，手续完善，不存在虚假会计凭证的情况，会计严格执行财务管理制度，财务处理及时，核算规范。</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三、项目实施及管理情况</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（一）项目组织架构及实施流程。</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1．制定工作计划和目标任务。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2．落实项目实施具体责任人。 </w:t>
      </w:r>
    </w:p>
    <w:p>
      <w:pPr>
        <w:keepNext w:val="0"/>
        <w:keepLines w:val="0"/>
        <w:widowControl/>
        <w:suppressLineNumbers w:val="0"/>
        <w:jc w:val="left"/>
        <w:rPr>
          <w:lang w:val="zh-CN"/>
        </w:rPr>
      </w:pPr>
      <w:r>
        <w:rPr>
          <w:rFonts w:hint="eastAsia" w:ascii="仿宋_GB2312" w:hAnsi="宋体" w:eastAsia="仿宋_GB2312" w:cs="仿宋_GB2312"/>
          <w:color w:val="000000"/>
          <w:kern w:val="0"/>
          <w:sz w:val="31"/>
          <w:szCs w:val="31"/>
          <w:lang w:val="en-US" w:eastAsia="zh-CN" w:bidi="ar"/>
        </w:rPr>
        <w:t>3．按照计划开展工作。</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（二）项目管理情况。</w:t>
      </w:r>
    </w:p>
    <w:p>
      <w:pPr>
        <w:keepNext w:val="0"/>
        <w:keepLines w:val="0"/>
        <w:widowControl/>
        <w:suppressLineNumbers w:val="0"/>
        <w:ind w:firstLine="620" w:firstLineChars="200"/>
        <w:jc w:val="left"/>
        <w:rPr>
          <w:rFonts w:hint="eastAsia"/>
          <w:lang w:val="zh-CN"/>
        </w:rPr>
      </w:pPr>
      <w:r>
        <w:rPr>
          <w:rFonts w:ascii="仿宋_GB2312" w:hAnsi="宋体" w:eastAsia="仿宋_GB2312" w:cs="仿宋_GB2312"/>
          <w:color w:val="000000"/>
          <w:kern w:val="0"/>
          <w:sz w:val="31"/>
          <w:szCs w:val="31"/>
          <w:lang w:val="en-US" w:eastAsia="zh-CN" w:bidi="ar"/>
        </w:rPr>
        <w:t>由各乡镇和东西部协作办公室具体负责项目的实施，严格按</w:t>
      </w:r>
      <w:r>
        <w:rPr>
          <w:rFonts w:hint="eastAsia" w:ascii="仿宋_GB2312" w:hAnsi="宋体" w:eastAsia="仿宋_GB2312" w:cs="仿宋_GB2312"/>
          <w:color w:val="000000"/>
          <w:kern w:val="0"/>
          <w:sz w:val="31"/>
          <w:szCs w:val="31"/>
          <w:lang w:val="en-US" w:eastAsia="zh-CN" w:bidi="ar"/>
        </w:rPr>
        <w:t>照要求开展工作并及时公开。</w:t>
      </w:r>
    </w:p>
    <w:p>
      <w:pPr>
        <w:adjustRightInd w:val="0"/>
        <w:snapToGrid w:val="0"/>
        <w:spacing w:line="578" w:lineRule="exact"/>
        <w:ind w:firstLine="720"/>
        <w:rPr>
          <w:rFonts w:hint="eastAsia" w:ascii="楷体_GB2312" w:hAnsi="宋体" w:eastAsia="楷体_GB2312"/>
          <w:b/>
          <w:sz w:val="32"/>
          <w:szCs w:val="32"/>
          <w:lang w:val="zh-CN"/>
        </w:rPr>
      </w:pPr>
      <w:r>
        <w:rPr>
          <w:rFonts w:hint="eastAsia" w:ascii="楷体_GB2312" w:hAnsi="宋体" w:eastAsia="楷体_GB2312"/>
          <w:b/>
          <w:sz w:val="32"/>
          <w:szCs w:val="32"/>
          <w:lang w:val="zh-CN"/>
        </w:rPr>
        <w:t>（三）项目监管情况。</w:t>
      </w:r>
    </w:p>
    <w:p>
      <w:pPr>
        <w:keepNext w:val="0"/>
        <w:keepLines w:val="0"/>
        <w:widowControl/>
        <w:suppressLineNumbers w:val="0"/>
        <w:ind w:firstLine="620" w:firstLineChars="200"/>
        <w:jc w:val="left"/>
        <w:rPr>
          <w:rFonts w:hint="eastAsia"/>
          <w:lang w:val="zh-CN"/>
        </w:rPr>
      </w:pPr>
      <w:r>
        <w:rPr>
          <w:rFonts w:ascii="仿宋_GB2312" w:hAnsi="宋体" w:eastAsia="仿宋_GB2312" w:cs="仿宋_GB2312"/>
          <w:color w:val="000000"/>
          <w:kern w:val="0"/>
          <w:sz w:val="31"/>
          <w:szCs w:val="31"/>
          <w:lang w:val="en-US" w:eastAsia="zh-CN" w:bidi="ar"/>
        </w:rPr>
        <w:t>按照工作职责和工作计划，由局东西部协作办公室具体负责</w:t>
      </w:r>
      <w:r>
        <w:rPr>
          <w:rFonts w:hint="eastAsia" w:ascii="仿宋_GB2312" w:hAnsi="宋体" w:eastAsia="仿宋_GB2312" w:cs="仿宋_GB2312"/>
          <w:color w:val="000000"/>
          <w:kern w:val="0"/>
          <w:sz w:val="31"/>
          <w:szCs w:val="31"/>
          <w:lang w:val="en-US" w:eastAsia="zh-CN" w:bidi="ar"/>
        </w:rPr>
        <w:t>项目实施的监管，确保项目实施和开展落实落地。</w:t>
      </w:r>
    </w:p>
    <w:p>
      <w:pPr>
        <w:adjustRightInd w:val="0"/>
        <w:snapToGrid w:val="0"/>
        <w:spacing w:line="578" w:lineRule="exact"/>
        <w:ind w:firstLine="720"/>
        <w:rPr>
          <w:rFonts w:ascii="仿宋_GB2312" w:hAnsi="宋体"/>
          <w:sz w:val="32"/>
          <w:szCs w:val="32"/>
          <w:lang w:val="zh-CN"/>
        </w:rPr>
      </w:pPr>
      <w:r>
        <w:rPr>
          <w:rFonts w:hint="eastAsia" w:ascii="黑体" w:hAnsi="宋体" w:eastAsia="黑体"/>
          <w:sz w:val="32"/>
          <w:szCs w:val="32"/>
        </w:rPr>
        <w:t>四、项目绩效情况</w:t>
      </w:r>
      <w:r>
        <w:rPr>
          <w:rFonts w:hint="eastAsia" w:ascii="仿宋_GB2312" w:hAnsi="宋体"/>
          <w:sz w:val="32"/>
          <w:szCs w:val="32"/>
          <w:lang w:val="zh-CN"/>
        </w:rPr>
        <w:tab/>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（一）项目完成情况。</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1．数量指标：享受雨露计划人数</w:t>
      </w:r>
      <w:r>
        <w:rPr>
          <w:rFonts w:hint="eastAsia" w:ascii="仿宋_GB2312" w:hAnsi="宋体" w:eastAsia="仿宋_GB2312" w:cs="仿宋_GB2312"/>
          <w:color w:val="000000"/>
          <w:kern w:val="0"/>
          <w:sz w:val="31"/>
          <w:szCs w:val="31"/>
          <w:lang w:val="en-US" w:eastAsia="zh-CN" w:bidi="ar"/>
        </w:rPr>
        <w:t>3859</w:t>
      </w:r>
      <w:r>
        <w:rPr>
          <w:rFonts w:ascii="仿宋_GB2312" w:hAnsi="宋体" w:eastAsia="仿宋_GB2312" w:cs="仿宋_GB2312"/>
          <w:color w:val="000000"/>
          <w:kern w:val="0"/>
          <w:sz w:val="31"/>
          <w:szCs w:val="31"/>
          <w:lang w:val="en-US" w:eastAsia="zh-CN" w:bidi="ar"/>
        </w:rPr>
        <w:t xml:space="preserve">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2．效果指标：雨露计划宣传覆盖率达98%。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3．时效指标：按照时间节点及时发放补助资金。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4．成本指标：项目专项经费控制数未超出预算。</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（二）项目效益情况。</w:t>
      </w:r>
    </w:p>
    <w:p>
      <w:pPr>
        <w:keepNext w:val="0"/>
        <w:keepLines w:val="0"/>
        <w:widowControl/>
        <w:suppressLineNumbers w:val="0"/>
        <w:jc w:val="left"/>
        <w:rPr>
          <w:rFonts w:ascii="仿宋_GB2312" w:hAnsi="宋体" w:eastAsia="仿宋_GB2312" w:cs="仿宋_GB2312"/>
          <w:color w:val="000000"/>
          <w:kern w:val="0"/>
          <w:sz w:val="31"/>
          <w:szCs w:val="31"/>
          <w:lang w:val="en-US" w:eastAsia="zh-CN" w:bidi="ar"/>
        </w:rPr>
      </w:pPr>
      <w:r>
        <w:rPr>
          <w:rFonts w:ascii="仿宋_GB2312" w:hAnsi="宋体" w:eastAsia="仿宋_GB2312" w:cs="仿宋_GB2312"/>
          <w:color w:val="000000"/>
          <w:kern w:val="0"/>
          <w:sz w:val="31"/>
          <w:szCs w:val="31"/>
          <w:lang w:val="en-US" w:eastAsia="zh-CN" w:bidi="ar"/>
        </w:rPr>
        <w:t>1．社会效益：提升了人民群众的获得感和幸福指数。</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可持续效益：建立长效机制，为农村脱贫家庭（含监测帮扶对象家庭）新成长劳动力接受职业教育提供资金支持，促进社会可持续健康发展，维护社会稳定，实现社会的长治久安，提高了农村脱贫家庭（含监测帮扶对象家庭）的生活水平。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3.受益对象满意度：服务对象满意率达95%以上。</w:t>
      </w:r>
    </w:p>
    <w:p>
      <w:pPr>
        <w:adjustRightInd w:val="0"/>
        <w:snapToGrid w:val="0"/>
        <w:spacing w:line="578" w:lineRule="exact"/>
        <w:ind w:firstLine="720"/>
        <w:rPr>
          <w:rFonts w:ascii="黑体" w:hAnsi="宋体" w:eastAsia="黑体"/>
          <w:sz w:val="32"/>
          <w:szCs w:val="32"/>
        </w:rPr>
      </w:pPr>
      <w:r>
        <w:rPr>
          <w:rFonts w:hint="eastAsia" w:ascii="黑体" w:hAnsi="宋体" w:eastAsia="黑体"/>
          <w:sz w:val="32"/>
          <w:szCs w:val="32"/>
        </w:rPr>
        <w:t>五、评价结论及建议</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（一）评价结论。</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通过项目实施，农村脱贫家庭（含监测帮扶对象家庭）新成</w:t>
      </w:r>
      <w:r>
        <w:rPr>
          <w:rFonts w:hint="eastAsia" w:ascii="仿宋_GB2312" w:hAnsi="宋体" w:eastAsia="仿宋_GB2312" w:cs="仿宋_GB2312"/>
          <w:color w:val="000000"/>
          <w:kern w:val="0"/>
          <w:sz w:val="31"/>
          <w:szCs w:val="31"/>
          <w:lang w:val="en-US" w:eastAsia="zh-CN" w:bidi="ar"/>
        </w:rPr>
        <w:t>长劳动力能够接受职业教育，提升了人民群众的获得感和幸福指数。</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（二）存在的问题。</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常年外出务工家庭因账户提供不准确，导致不能100%按时发</w:t>
      </w:r>
      <w:r>
        <w:rPr>
          <w:rFonts w:hint="eastAsia" w:ascii="仿宋_GB2312" w:hAnsi="宋体" w:eastAsia="仿宋_GB2312" w:cs="仿宋_GB2312"/>
          <w:color w:val="000000"/>
          <w:kern w:val="0"/>
          <w:sz w:val="31"/>
          <w:szCs w:val="31"/>
          <w:lang w:val="en-US" w:eastAsia="zh-CN" w:bidi="ar"/>
        </w:rPr>
        <w:t>放。</w:t>
      </w:r>
    </w:p>
    <w:p>
      <w:pPr>
        <w:adjustRightInd w:val="0"/>
        <w:snapToGrid w:val="0"/>
        <w:spacing w:line="578" w:lineRule="exact"/>
        <w:ind w:firstLine="720"/>
        <w:rPr>
          <w:rFonts w:ascii="楷体_GB2312" w:hAnsi="宋体" w:eastAsia="楷体_GB2312"/>
          <w:b/>
          <w:sz w:val="32"/>
          <w:szCs w:val="32"/>
          <w:lang w:val="zh-CN"/>
        </w:rPr>
      </w:pPr>
      <w:r>
        <w:rPr>
          <w:rFonts w:hint="eastAsia" w:ascii="楷体_GB2312" w:hAnsi="宋体" w:eastAsia="楷体_GB2312"/>
          <w:b/>
          <w:sz w:val="32"/>
          <w:szCs w:val="32"/>
          <w:lang w:val="zh-CN"/>
        </w:rPr>
        <w:t>（三）相关建议。</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一是加大宣传，争取符合条件的家庭都能够享受到国家的优</w:t>
      </w:r>
      <w:r>
        <w:rPr>
          <w:rFonts w:hint="eastAsia" w:ascii="仿宋_GB2312" w:hAnsi="宋体" w:eastAsia="仿宋_GB2312" w:cs="仿宋_GB2312"/>
          <w:color w:val="000000"/>
          <w:kern w:val="0"/>
          <w:sz w:val="31"/>
          <w:szCs w:val="31"/>
          <w:lang w:val="en-US" w:eastAsia="zh-CN" w:bidi="ar"/>
        </w:rPr>
        <w:t xml:space="preserve">惠政策。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二是学会感恩，农村脱贫家庭（含监测帮扶对象家庭）怀感恩之心回报国家和社会 。</w:t>
      </w:r>
    </w:p>
    <w:p>
      <w:pPr>
        <w:spacing w:line="580" w:lineRule="exact"/>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Pr>
        <w:rPr>
          <w:rStyle w:val="29"/>
          <w:rFonts w:ascii="黑体" w:hAnsi="黑体" w:eastAsia="黑体"/>
          <w:b w:val="0"/>
        </w:rPr>
      </w:pPr>
    </w:p>
    <w:p>
      <w:pPr>
        <w:pStyle w:val="2"/>
        <w:rPr>
          <w:rStyle w:val="29"/>
          <w:rFonts w:ascii="黑体" w:hAnsi="黑体" w:eastAsia="黑体"/>
          <w:b w:val="0"/>
        </w:rPr>
      </w:pPr>
    </w:p>
    <w:p/>
    <w:p>
      <w:pPr>
        <w:rPr>
          <w:rStyle w:val="29"/>
          <w:rFonts w:ascii="黑体" w:hAnsi="黑体" w:eastAsia="黑体"/>
          <w:b w:val="0"/>
        </w:rPr>
      </w:pPr>
    </w:p>
    <w:p>
      <w:pPr>
        <w:rPr>
          <w:rStyle w:val="29"/>
          <w:rFonts w:hint="eastAsia" w:ascii="黑体" w:hAnsi="黑体" w:eastAsia="黑体"/>
          <w:b w:val="0"/>
          <w:lang w:val="en-US" w:eastAsia="zh-CN"/>
        </w:rPr>
      </w:pPr>
    </w:p>
    <w:p>
      <w:pPr>
        <w:ind w:firstLine="440" w:firstLineChars="100"/>
        <w:rPr>
          <w:rStyle w:val="29"/>
          <w:rFonts w:hint="eastAsia" w:ascii="黑体" w:hAnsi="黑体" w:eastAsia="黑体"/>
          <w:b w:val="0"/>
          <w:lang w:val="en-US" w:eastAsia="zh-CN"/>
        </w:rPr>
      </w:pPr>
      <w:r>
        <w:rPr>
          <w:rStyle w:val="29"/>
          <w:rFonts w:hint="eastAsia" w:ascii="黑体" w:hAnsi="黑体" w:eastAsia="黑体"/>
          <w:b w:val="0"/>
          <w:lang w:val="en-US" w:eastAsia="zh-CN"/>
        </w:rPr>
        <w:t>2022年度东西部协作项目支出自评报告</w:t>
      </w:r>
    </w:p>
    <w:p>
      <w:pPr>
        <w:pStyle w:val="2"/>
        <w:rPr>
          <w:rFonts w:hint="eastAsia"/>
          <w:lang w:val="en-US" w:eastAsia="zh-CN"/>
        </w:rPr>
      </w:pP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一、项目概况 </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（一）项目基本情况 </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1．项目主管部门（单位）在该项目管理中的职能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（1）向省乡村振兴局、省财政厅总结汇总规划实施情况，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贯彻落实上级指示要求；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（2）研究、决定、审批项目实施年度计划和工作方案；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（3）审查批准下达项目资金；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（4）研究落实项目配套资金；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（5）考核评定乡镇工作落实情况并提出奖惩意见；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（6）研究解决项目实施中的其他重大问题。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2．项目立项、资金申报的依据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为实施好2022年度东西部协作项目，按照《东西部协作考核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评价办法》(中农组发〔2021〕10号)、《四川省东西部协作考核评价办法》(川协作支援发〔2021〕1号)和《浙川东西部协作资金和项目管理实施办法》(川乡振发〔2021〕41号)要求，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3．资金管理办法制定情况，资金支持具体项目的条件、范围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围与支持方式概况该项目实行县级部门报账制，项目启动时由乡镇根据与施工单位签订的规范有效合同向县乡村振兴局申请启动资金，启动资金可按不低于合同金额30%比例预拨，直接支付到施工单位。项目建设过程中可按工程量建设进度申请进度款。复验通过后，由</w:t>
      </w:r>
      <w:r>
        <w:rPr>
          <w:rFonts w:ascii="仿宋_GB2312" w:hAnsi="宋体" w:eastAsia="仿宋_GB2312" w:cs="仿宋_GB2312"/>
          <w:color w:val="000000"/>
          <w:kern w:val="0"/>
          <w:sz w:val="31"/>
          <w:szCs w:val="31"/>
          <w:lang w:val="en-US" w:eastAsia="zh-CN" w:bidi="ar"/>
        </w:rPr>
        <w:t>施工单位编制项目结算书，乡镇审核后提请审计部门开展结算审</w:t>
      </w:r>
      <w:r>
        <w:rPr>
          <w:rFonts w:hint="eastAsia" w:ascii="仿宋_GB2312" w:hAnsi="宋体" w:eastAsia="仿宋_GB2312" w:cs="仿宋_GB2312"/>
          <w:color w:val="000000"/>
          <w:kern w:val="0"/>
          <w:sz w:val="31"/>
          <w:szCs w:val="31"/>
          <w:lang w:val="en-US" w:eastAsia="zh-CN" w:bidi="ar"/>
        </w:rPr>
        <w:t xml:space="preserve">计，根据结算审计报告在县乡村振兴局进行结算报账（结清尾款）。验收报告、项目合同、材料采购相关凭证、税务发票、结算清单、用工清单、劳务报酬发放台账、结算审计报告等作为资金结算支付依据。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4．资金分配的原则及考虑因素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2022年东西部协作项目资金4700万元，主要用于产业合作、劳务协作、人才交流、消费帮扶、民生改善和其他等。 </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（二）项目绩效目标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1．项目主要内容包括 </w:t>
      </w:r>
    </w:p>
    <w:p>
      <w:pPr>
        <w:keepNext w:val="0"/>
        <w:keepLines w:val="0"/>
        <w:widowControl/>
        <w:suppressLineNumbers w:val="0"/>
        <w:ind w:firstLine="620" w:firstLineChars="200"/>
        <w:jc w:val="left"/>
        <w:rPr>
          <w:rFonts w:hint="eastAsia" w:ascii="仿宋_GB2312" w:hAnsi="宋体" w:eastAsia="仿宋_GB2312" w:cs="仿宋_GB2312"/>
          <w:color w:val="000000"/>
          <w:kern w:val="0"/>
          <w:sz w:val="31"/>
          <w:szCs w:val="31"/>
          <w:lang w:val="en-US" w:eastAsia="zh-CN" w:bidi="ar"/>
        </w:rPr>
      </w:pPr>
      <w:r>
        <w:rPr>
          <w:rFonts w:hint="eastAsia" w:ascii="仿宋_GB2312" w:hAnsi="宋体" w:eastAsia="仿宋_GB2312" w:cs="仿宋_GB2312"/>
          <w:color w:val="000000"/>
          <w:kern w:val="0"/>
          <w:sz w:val="31"/>
          <w:szCs w:val="31"/>
          <w:lang w:val="en-US" w:eastAsia="zh-CN" w:bidi="ar"/>
        </w:rPr>
        <w:t>完成5大类8个项目。其中：产业合作项目3个，计划投入资金3050万元，占比62.2%；劳务协作项目2个，计划投入资金170万元，占比3.5%；人才交流项目1个，计划投入资金480万元，占比9.8%；消费帮扶项目1个，计划投入资金100万元，占比2%；改善民生项目1个，计划投入资金1100万元，占比22.4%。</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2．项目实现的具体绩效目标：</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聚焦巩固拓展脱贫攻坚成果同乡村振兴有效衔接，围绕产业合作、劳务协作、干部人才交流培训、消费帮扶，以及教育、医疗等民生领域，又兼顾数字化转型、就业帮扶、消费帮扶平台体系建设及文创经济开发、妇女就业创业、人居环境整治提升等方面，助力巩固拓展脱贫攻坚成果，全面推进乡村振兴。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3．申报内容与具体实施内容项目、申报目标合理可行。严格按照《浙川东西部协作资金和项目管理实施办法》(川</w:t>
      </w:r>
      <w:r>
        <w:rPr>
          <w:rFonts w:ascii="仿宋_GB2312" w:hAnsi="宋体" w:eastAsia="仿宋_GB2312" w:cs="仿宋_GB2312"/>
          <w:color w:val="000000"/>
          <w:kern w:val="0"/>
          <w:sz w:val="31"/>
          <w:szCs w:val="31"/>
          <w:lang w:val="en-US" w:eastAsia="zh-CN" w:bidi="ar"/>
        </w:rPr>
        <w:t>乡振发</w:t>
      </w:r>
      <w:r>
        <w:rPr>
          <w:rFonts w:hint="eastAsia" w:ascii="仿宋_GB2312" w:hAnsi="宋体" w:eastAsia="仿宋_GB2312" w:cs="仿宋_GB2312"/>
          <w:color w:val="000000"/>
          <w:kern w:val="0"/>
          <w:sz w:val="31"/>
          <w:szCs w:val="31"/>
          <w:lang w:val="en-US" w:eastAsia="zh-CN" w:bidi="ar"/>
        </w:rPr>
        <w:t>〔2021〕</w:t>
      </w:r>
      <w:r>
        <w:rPr>
          <w:rFonts w:ascii="仿宋_GB2312" w:hAnsi="宋体" w:eastAsia="仿宋_GB2312" w:cs="仿宋_GB2312"/>
          <w:color w:val="000000"/>
          <w:kern w:val="0"/>
          <w:sz w:val="31"/>
          <w:szCs w:val="31"/>
          <w:lang w:val="en-US" w:eastAsia="zh-CN" w:bidi="ar"/>
        </w:rPr>
        <w:t>41</w:t>
      </w:r>
      <w:bookmarkStart w:id="69" w:name="_GoBack"/>
      <w:bookmarkEnd w:id="69"/>
      <w:r>
        <w:rPr>
          <w:rFonts w:ascii="仿宋_GB2312" w:hAnsi="宋体" w:eastAsia="仿宋_GB2312" w:cs="仿宋_GB2312"/>
          <w:color w:val="000000"/>
          <w:kern w:val="0"/>
          <w:sz w:val="31"/>
          <w:szCs w:val="31"/>
          <w:lang w:val="en-US" w:eastAsia="zh-CN" w:bidi="ar"/>
        </w:rPr>
        <w:t>号)要求申报。</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（三）项目自评步骤及方法。 </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1．2022年3月30日前：细化项目规划内容，完成县级</w:t>
      </w:r>
      <w:r>
        <w:rPr>
          <w:rFonts w:hint="eastAsia" w:ascii="仿宋_GB2312" w:hAnsi="宋体" w:eastAsia="仿宋_GB2312" w:cs="仿宋_GB2312"/>
          <w:color w:val="000000"/>
          <w:kern w:val="0"/>
          <w:sz w:val="31"/>
          <w:szCs w:val="31"/>
          <w:lang w:val="en-US" w:eastAsia="zh-CN" w:bidi="ar"/>
        </w:rPr>
        <w:t>项目实施</w:t>
      </w:r>
      <w:r>
        <w:rPr>
          <w:rFonts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实施方案编制。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2．2022年5月25日前：完成项目勘察、设计和财政评审，完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成项目实施方案编制，做好开工前各项准备工作。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3．2022年6月30日前：落实施工单位，召开县、乡、村项目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启动实施动员会，全面启动项目建设。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4．2022年12月30日前：项目建设全面竣工，并完成项目验收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收。完成项目建设事前、事中、事后文字、图片、影像等档案资料收集、整理、归档、移交及验收报账等工作。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我局自评分数为95分。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二、项目资金申报及使用情况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（一）项目资金申报及批复情况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乡村振兴局2022年东西部协作项目申报资金4700万元，2022年县财政局通过〔2022〕28号文件下达资金4700万元到乡村振兴局。</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（二）资金计划、到位及使用情况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1．资金计划。2022年剑阁县东西部协作项目申报资金4700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万元。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2．资金到位。2022年8月剑阁县财政局通过〔2022〕28号文件下达资金4700万元到乡村振兴局，资金全部到位，到位率100%。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3．资金使用。该资金按照项目实施进度通过财政大平台系</w:t>
      </w:r>
      <w:r>
        <w:rPr>
          <w:rFonts w:ascii="仿宋_GB2312" w:hAnsi="宋体" w:eastAsia="仿宋_GB2312" w:cs="仿宋_GB2312"/>
          <w:color w:val="000000"/>
          <w:kern w:val="0"/>
          <w:sz w:val="31"/>
          <w:szCs w:val="31"/>
          <w:lang w:val="en-US" w:eastAsia="zh-CN" w:bidi="ar"/>
        </w:rPr>
        <w:t xml:space="preserve">统直接支付，资金支付合规合法、与预算相符。 </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（三）项目财务管理情况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项目资金严格按照财务管理制度进行管理，保证专款专用，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不存在截留、挤占、挪用、套取、虚报、冒领的问题。资金支付复查由财务人员按照财务制度进行资金审查、支付和核算，所有支付按照相关规定进行支付，在具体支付时，具备了资金发票、附件、合同、清单、验收情况等附件，手续完善，不存在虚假会计凭证的情况，会计严格执行财务管理制度，财务处理及时，核算规范。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三、项目实施及管理情况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（一）项目组织架构及实施流程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1．制定工作计划和目标任务。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2．落实项目实施具体责任人。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3．按照计划开展工作。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（二）项目管理情况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为确保项目的顺利开展，各乡镇成立项目实施领导小组，负责项目组织实施工作，建立项目工作站。各项目村成立由全体村民选举产生的项目实施小组和监督小组，每个小组由不少于7人。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（三）项目监管情况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该项目采取全过程监督，保证资金安全，提高使用效率。监 监督管理主要由纪检、监察、发改、审计、财政、乡村振兴、相关行业、社会中介、项目县级部门、乡镇、村、群众等进行。对建设质量差、转移、挪用、拖欠、挤占、贪污项目资金的违纪违法行为，严肃查处，并追究相关责任人的责任。</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四、项目绩效情况 </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（一）项目完成情况 </w:t>
      </w:r>
    </w:p>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1．数量指标：涵盖产业合作、劳务协作、人才交流、消费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帮扶、民生改善和其他等六大类项目.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2．质量指标：项目验收合格率100%。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3．时效指标：项目完成及时率100%。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4．成本指标：项目专项经费控制数未超出预算。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（二）项目效益情况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1．经济效益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人民增收、社会增效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2．社会效益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有力促进社会和谐稳定。通过项目实施，项目区群众参与项目建设和产业发展，提供了更多的就业机会，有力缓解了社会就业压力，做到人人有事干，家家有收入。同时，通过参加国家政策和各项实用技术培训，广大群众感受到项目建成后家乡巨大变化，感党恩、跟党走成为自觉，有力促进项目区社会和谐稳定。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（2）有力改善生产条件。通过田间道路、灌排渠系的配套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建设以及循环农业的发展，将有效促进各类产业生产环境的优化，带动项目区农田基础条件的改善，推动多产业现代物质装备水平的提升。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（3）有力提升管理水平。通过产业规模的扩大和产能的提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升，能有效带动全县农民的就业，为当地居民拓展增收门路，在有力促进全县经济发展的同时，提升农民生产技能和管理水平，促</w:t>
      </w:r>
      <w:r>
        <w:rPr>
          <w:rFonts w:ascii="仿宋_GB2312" w:hAnsi="宋体" w:eastAsia="仿宋_GB2312" w:cs="仿宋_GB2312"/>
          <w:color w:val="000000"/>
          <w:kern w:val="0"/>
          <w:sz w:val="31"/>
          <w:szCs w:val="31"/>
          <w:lang w:val="en-US" w:eastAsia="zh-CN" w:bidi="ar"/>
        </w:rPr>
        <w:t xml:space="preserve">进农业生产管理的科学化。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有力带动周边发展。农业园区提升后走产加销、农工贸一体化，同时能够促进周边地区现代农业特别是猕猴桃产业的发展进程。工业园区建成后引领实行轻资产管理的中小微企业入驻，企业入驻后，带动脱贫户稳岗就业，还将大力促使周边区域农业经营多样化。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3．生态效益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通过项目建设，基本实现农村生活污水、生活垃圾的无害化和集中处理。通过推广应用现代化农业管理，特别是绿色农产品、有机农产品标准化种植养殖技术的推广应用，将有效地减少农药施用剂量、使用次数和施药面积，降低有毒有害物质在土壤、水体、大气、农作物中的残留，减少化肥施用，促进生态环境的良性循环，有效控制了面源污染，实现生态、经济、社会协调发展。生活污水集中处理率达到90%以上，固体废物处理率达到100%。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4．受益对象满意度：服务对象满意率达95%以上。 </w:t>
      </w:r>
    </w:p>
    <w:p>
      <w:pPr>
        <w:keepNext w:val="0"/>
        <w:keepLines w:val="0"/>
        <w:widowControl/>
        <w:suppressLineNumbers w:val="0"/>
        <w:jc w:val="left"/>
      </w:pPr>
      <w:r>
        <w:rPr>
          <w:rFonts w:ascii="黑体" w:hAnsi="宋体" w:eastAsia="黑体" w:cs="黑体"/>
          <w:color w:val="000000"/>
          <w:kern w:val="0"/>
          <w:sz w:val="31"/>
          <w:szCs w:val="31"/>
          <w:lang w:val="en-US" w:eastAsia="zh-CN" w:bidi="ar"/>
        </w:rPr>
        <w:t xml:space="preserve">五、评价结论及建议 </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（一）评价结论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东西部协作项目建设符合上位规划，资源条件和生态环境具有代表性；项目建设主导产业明确，带动能力强，效益显著；项目建设党委、政府支持，群众欢迎，组织管理完善，利益联结机制健全。群众作为项目建设的主要受益人和投入主体，群众纷纷表示要在项目的扶持下，积极参与到项目建设当中，项目建设具有可行性、示范性、带动性，具备项目实施的各类条件，达到项目规划设计要求，能充分发挥项目效益。</w:t>
      </w:r>
    </w:p>
    <w:p>
      <w:pPr>
        <w:keepNext w:val="0"/>
        <w:keepLines w:val="0"/>
        <w:widowControl/>
        <w:suppressLineNumbers w:val="0"/>
        <w:jc w:val="left"/>
      </w:pPr>
      <w:r>
        <w:rPr>
          <w:rFonts w:ascii="楷体_GB2312" w:hAnsi="宋体" w:eastAsia="楷体_GB2312" w:cs="楷体_GB2312"/>
          <w:b/>
          <w:bCs/>
          <w:color w:val="000000"/>
          <w:kern w:val="0"/>
          <w:sz w:val="31"/>
          <w:szCs w:val="31"/>
          <w:lang w:val="en-US" w:eastAsia="zh-CN" w:bidi="ar"/>
        </w:rPr>
        <w:t xml:space="preserve">（二）存在的问题 </w:t>
      </w:r>
    </w:p>
    <w:p>
      <w:pPr>
        <w:keepNext w:val="0"/>
        <w:keepLines w:val="0"/>
        <w:widowControl/>
        <w:suppressLineNumbers w:val="0"/>
        <w:ind w:firstLine="620" w:firstLineChars="200"/>
        <w:jc w:val="left"/>
      </w:pPr>
      <w:r>
        <w:rPr>
          <w:rFonts w:ascii="仿宋_GB2312" w:hAnsi="宋体" w:eastAsia="仿宋_GB2312" w:cs="仿宋_GB2312"/>
          <w:color w:val="000000"/>
          <w:kern w:val="0"/>
          <w:sz w:val="31"/>
          <w:szCs w:val="31"/>
          <w:lang w:val="en-US" w:eastAsia="zh-CN" w:bidi="ar"/>
        </w:rPr>
        <w:t>一是结对帮扶是个长期的工作，产业项目建成之初成效较为</w:t>
      </w:r>
      <w:r>
        <w:rPr>
          <w:rFonts w:hint="eastAsia" w:ascii="仿宋_GB2312" w:hAnsi="宋体" w:eastAsia="仿宋_GB2312" w:cs="仿宋_GB2312"/>
          <w:color w:val="000000"/>
          <w:kern w:val="0"/>
          <w:sz w:val="31"/>
          <w:szCs w:val="31"/>
          <w:lang w:val="en-US" w:eastAsia="zh-CN" w:bidi="ar"/>
        </w:rPr>
        <w:t xml:space="preserve">明显，但客观存在重建轻管现象，在持续助农增收上还需要加强。 </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二是年度东西部协作项目虽然如期完成，但存在项目前期准备时间较长，进入实施时间较晚，导致项目建设时间紧任务重。</w:t>
      </w:r>
    </w:p>
    <w:p>
      <w:pPr>
        <w:keepNext w:val="0"/>
        <w:keepLines w:val="0"/>
        <w:widowControl/>
        <w:suppressLineNumbers w:val="0"/>
        <w:ind w:firstLine="620" w:firstLineChars="200"/>
        <w:jc w:val="left"/>
      </w:pPr>
      <w:r>
        <w:rPr>
          <w:rFonts w:hint="eastAsia" w:ascii="仿宋_GB2312" w:hAnsi="宋体" w:eastAsia="仿宋_GB2312" w:cs="仿宋_GB2312"/>
          <w:color w:val="000000"/>
          <w:kern w:val="0"/>
          <w:sz w:val="31"/>
          <w:szCs w:val="31"/>
          <w:lang w:val="en-US" w:eastAsia="zh-CN" w:bidi="ar"/>
        </w:rPr>
        <w:t xml:space="preserve">三是东西部协作源自东西部扶贫协作，是从单向输出到双向共赢，但实际工作中协作方仍然工作创新不够的问题，把一时的结对关系变成长期的互利共赢上还要加强。 </w:t>
      </w:r>
    </w:p>
    <w:p>
      <w:pPr>
        <w:keepNext w:val="0"/>
        <w:keepLines w:val="0"/>
        <w:widowControl/>
        <w:suppressLineNumbers w:val="0"/>
        <w:jc w:val="left"/>
      </w:pPr>
      <w:r>
        <w:rPr>
          <w:rFonts w:hint="eastAsia" w:ascii="楷体_GB2312" w:hAnsi="宋体" w:eastAsia="楷体_GB2312" w:cs="楷体_GB2312"/>
          <w:b/>
          <w:bCs/>
          <w:color w:val="000000"/>
          <w:kern w:val="0"/>
          <w:sz w:val="31"/>
          <w:szCs w:val="31"/>
          <w:lang w:val="en-US" w:eastAsia="zh-CN" w:bidi="ar"/>
        </w:rPr>
        <w:t xml:space="preserve">（三）相关建议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1.加强项目监督管理，确保预期目标实现。项目主管部门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加大对项目实施的全过程监管力度，防止实施单位人员因履职不到位造成资金损失。对已安排实施的项目，有序推进项目进度，完善项目报账资料及时报账，已完工项目要及时办理竣工验收、交付使用，并按相关要求进行确权和管理，确保项目达到预期目标。</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2.加强项目资金监管，提高资金使用效益。加强项目资金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管理、强化监督检查，严格按照《浙川东西部协作资金和项目管理实施办法》管理拨付使用资金，确保东西部协作项目顺利实施和及时发挥效益。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 xml:space="preserve">3.加快项目档案管理，实现项目档案资料管理规范化。项 </w:t>
      </w:r>
    </w:p>
    <w:p>
      <w:pPr>
        <w:keepNext w:val="0"/>
        <w:keepLines w:val="0"/>
        <w:widowControl/>
        <w:suppressLineNumbers w:val="0"/>
        <w:jc w:val="left"/>
      </w:pPr>
      <w:r>
        <w:rPr>
          <w:rFonts w:hint="eastAsia" w:ascii="仿宋_GB2312" w:hAnsi="宋体" w:eastAsia="仿宋_GB2312" w:cs="仿宋_GB2312"/>
          <w:color w:val="000000"/>
          <w:kern w:val="0"/>
          <w:sz w:val="31"/>
          <w:szCs w:val="31"/>
          <w:lang w:val="en-US" w:eastAsia="zh-CN" w:bidi="ar"/>
        </w:rPr>
        <w:t>目实施单位和主管单位严格按照规定的文书格式、内容进行整理并及时归档，尽力实现项目档案的规范化。</w:t>
      </w:r>
    </w:p>
    <w:p>
      <w:pPr>
        <w:keepNext w:val="0"/>
        <w:keepLines w:val="0"/>
        <w:widowControl/>
        <w:suppressLineNumbers w:val="0"/>
        <w:jc w:val="left"/>
      </w:pPr>
    </w:p>
    <w:p>
      <w:pPr>
        <w:keepNext w:val="0"/>
        <w:keepLines w:val="0"/>
        <w:widowControl/>
        <w:suppressLineNumbers w:val="0"/>
        <w:jc w:val="left"/>
      </w:pPr>
    </w:p>
    <w:p>
      <w:pPr>
        <w:keepNext w:val="0"/>
        <w:keepLines w:val="0"/>
        <w:widowControl/>
        <w:suppressLineNumbers w:val="0"/>
        <w:jc w:val="left"/>
      </w:pPr>
    </w:p>
    <w:p>
      <w:pPr>
        <w:rPr>
          <w:rFonts w:hint="default"/>
          <w:lang w:val="en-US" w:eastAsia="zh-CN"/>
        </w:rPr>
      </w:pPr>
    </w:p>
    <w:p>
      <w:pPr>
        <w:widowControl/>
        <w:jc w:val="left"/>
        <w:rPr>
          <w:rStyle w:val="29"/>
          <w:rFonts w:ascii="黑体" w:hAnsi="黑体" w:eastAsia="黑体"/>
          <w:b w:val="0"/>
        </w:rPr>
      </w:pPr>
      <w:r>
        <w:rPr>
          <w:rStyle w:val="29"/>
          <w:rFonts w:ascii="黑体" w:hAnsi="黑体" w:eastAsia="黑体"/>
          <w:b w:val="0"/>
        </w:rPr>
        <w:br w:type="page"/>
      </w:r>
    </w:p>
    <w:p>
      <w:pPr>
        <w:spacing w:line="600" w:lineRule="exact"/>
        <w:jc w:val="center"/>
        <w:outlineLvl w:val="0"/>
        <w:rPr>
          <w:rFonts w:ascii="仿宋" w:hAnsi="仿宋" w:eastAsia="仿宋"/>
        </w:rPr>
      </w:pPr>
      <w:bookmarkStart w:id="55" w:name="_Toc15396618"/>
      <w:r>
        <w:rPr>
          <w:rFonts w:hint="eastAsia" w:ascii="黑体" w:hAnsi="黑体" w:eastAsia="黑体"/>
          <w:sz w:val="44"/>
          <w:szCs w:val="44"/>
        </w:rPr>
        <w:t>第</w:t>
      </w:r>
      <w:r>
        <w:rPr>
          <w:rStyle w:val="29"/>
          <w:rFonts w:hint="eastAsia" w:ascii="黑体" w:hAnsi="黑体" w:eastAsia="黑体"/>
          <w:b w:val="0"/>
        </w:rPr>
        <w:t>五部分 附表</w:t>
      </w:r>
      <w:bookmarkEnd w:id="53"/>
      <w:bookmarkEnd w:id="55"/>
      <w:bookmarkStart w:id="56" w:name="_Toc15396619"/>
    </w:p>
    <w:p>
      <w:pPr>
        <w:pStyle w:val="4"/>
        <w:rPr>
          <w:rFonts w:ascii="仿宋" w:hAnsi="仿宋" w:eastAsia="仿宋"/>
        </w:rPr>
      </w:pPr>
      <w:r>
        <w:rPr>
          <w:rFonts w:hint="eastAsia" w:ascii="仿宋" w:hAnsi="仿宋" w:eastAsia="仿宋"/>
          <w:b w:val="0"/>
        </w:rPr>
        <w:t>一、收</w:t>
      </w:r>
      <w:r>
        <w:rPr>
          <w:rStyle w:val="30"/>
          <w:rFonts w:hint="eastAsia" w:ascii="仿宋" w:hAnsi="仿宋" w:eastAsia="仿宋"/>
          <w:b w:val="0"/>
          <w:bCs w:val="0"/>
        </w:rPr>
        <w:t>入支出决算总表</w:t>
      </w:r>
      <w:bookmarkEnd w:id="56"/>
    </w:p>
    <w:p>
      <w:pPr>
        <w:pStyle w:val="4"/>
        <w:rPr>
          <w:rFonts w:ascii="仿宋" w:hAnsi="仿宋" w:eastAsia="仿宋"/>
        </w:rPr>
      </w:pPr>
      <w:bookmarkStart w:id="57" w:name="_Toc15396620"/>
      <w:r>
        <w:rPr>
          <w:rFonts w:hint="eastAsia" w:ascii="仿宋" w:hAnsi="仿宋" w:eastAsia="仿宋"/>
          <w:b w:val="0"/>
        </w:rPr>
        <w:t>二、收</w:t>
      </w:r>
      <w:r>
        <w:rPr>
          <w:rStyle w:val="30"/>
          <w:rFonts w:hint="eastAsia" w:ascii="仿宋" w:hAnsi="仿宋" w:eastAsia="仿宋"/>
          <w:b w:val="0"/>
          <w:bCs w:val="0"/>
        </w:rPr>
        <w:t>入决算表</w:t>
      </w:r>
      <w:bookmarkEnd w:id="57"/>
    </w:p>
    <w:p>
      <w:pPr>
        <w:pStyle w:val="4"/>
        <w:rPr>
          <w:rFonts w:ascii="仿宋" w:hAnsi="仿宋" w:eastAsia="仿宋"/>
        </w:rPr>
      </w:pPr>
      <w:bookmarkStart w:id="58" w:name="_Toc15396621"/>
      <w:r>
        <w:rPr>
          <w:rStyle w:val="30"/>
          <w:rFonts w:hint="eastAsia" w:ascii="仿宋" w:hAnsi="仿宋" w:eastAsia="仿宋"/>
          <w:b w:val="0"/>
          <w:bCs w:val="0"/>
        </w:rPr>
        <w:t>三、</w:t>
      </w:r>
      <w:r>
        <w:rPr>
          <w:rFonts w:hint="eastAsia" w:ascii="仿宋" w:hAnsi="仿宋" w:eastAsia="仿宋"/>
          <w:b w:val="0"/>
        </w:rPr>
        <w:t>支</w:t>
      </w:r>
      <w:r>
        <w:rPr>
          <w:rStyle w:val="30"/>
          <w:rFonts w:hint="eastAsia" w:ascii="仿宋" w:hAnsi="仿宋" w:eastAsia="仿宋"/>
          <w:b w:val="0"/>
          <w:bCs w:val="0"/>
        </w:rPr>
        <w:t>出决算表</w:t>
      </w:r>
      <w:bookmarkEnd w:id="58"/>
    </w:p>
    <w:p>
      <w:pPr>
        <w:pStyle w:val="4"/>
        <w:rPr>
          <w:rFonts w:ascii="仿宋" w:hAnsi="仿宋" w:eastAsia="仿宋"/>
          <w:b w:val="0"/>
        </w:rPr>
      </w:pPr>
      <w:bookmarkStart w:id="59" w:name="_Toc15396622"/>
      <w:r>
        <w:rPr>
          <w:rStyle w:val="30"/>
          <w:rFonts w:hint="eastAsia" w:ascii="仿宋" w:hAnsi="仿宋" w:eastAsia="仿宋"/>
          <w:b w:val="0"/>
          <w:bCs w:val="0"/>
        </w:rPr>
        <w:t>四、</w:t>
      </w:r>
      <w:r>
        <w:rPr>
          <w:rFonts w:hint="eastAsia" w:ascii="仿宋" w:hAnsi="仿宋" w:eastAsia="仿宋"/>
          <w:b w:val="0"/>
        </w:rPr>
        <w:t>财</w:t>
      </w:r>
      <w:r>
        <w:rPr>
          <w:rStyle w:val="30"/>
          <w:rFonts w:hint="eastAsia" w:ascii="仿宋" w:hAnsi="仿宋" w:eastAsia="仿宋"/>
          <w:b w:val="0"/>
          <w:bCs w:val="0"/>
        </w:rPr>
        <w:t>政拨款收入支出决算总表</w:t>
      </w:r>
      <w:bookmarkEnd w:id="59"/>
    </w:p>
    <w:p>
      <w:pPr>
        <w:pStyle w:val="4"/>
        <w:rPr>
          <w:rStyle w:val="30"/>
          <w:rFonts w:ascii="仿宋" w:hAnsi="仿宋" w:eastAsia="仿宋"/>
          <w:b w:val="0"/>
          <w:bCs w:val="0"/>
        </w:rPr>
      </w:pPr>
      <w:bookmarkStart w:id="60" w:name="_Toc15396623"/>
      <w:r>
        <w:rPr>
          <w:rStyle w:val="30"/>
          <w:rFonts w:hint="eastAsia" w:ascii="仿宋" w:hAnsi="仿宋" w:eastAsia="仿宋"/>
          <w:b w:val="0"/>
          <w:bCs w:val="0"/>
        </w:rPr>
        <w:t>五、</w:t>
      </w:r>
      <w:r>
        <w:rPr>
          <w:rFonts w:hint="eastAsia" w:ascii="仿宋" w:hAnsi="仿宋" w:eastAsia="仿宋"/>
          <w:b w:val="0"/>
        </w:rPr>
        <w:t>财</w:t>
      </w:r>
      <w:r>
        <w:rPr>
          <w:rStyle w:val="30"/>
          <w:rFonts w:hint="eastAsia" w:ascii="仿宋" w:hAnsi="仿宋" w:eastAsia="仿宋"/>
          <w:b w:val="0"/>
          <w:bCs w:val="0"/>
        </w:rPr>
        <w:t>政拨款支出决算明细表</w:t>
      </w:r>
      <w:bookmarkEnd w:id="60"/>
      <w:bookmarkStart w:id="61" w:name="_Toc15396624"/>
    </w:p>
    <w:p>
      <w:pPr>
        <w:pStyle w:val="4"/>
        <w:rPr>
          <w:rFonts w:ascii="仿宋" w:hAnsi="仿宋" w:eastAsia="仿宋"/>
        </w:rPr>
      </w:pPr>
      <w:r>
        <w:rPr>
          <w:rStyle w:val="30"/>
          <w:rFonts w:hint="eastAsia" w:ascii="仿宋" w:hAnsi="仿宋" w:eastAsia="仿宋"/>
          <w:b w:val="0"/>
          <w:bCs w:val="0"/>
        </w:rPr>
        <w:t>六、</w:t>
      </w:r>
      <w:r>
        <w:rPr>
          <w:rFonts w:hint="eastAsia" w:ascii="仿宋" w:hAnsi="仿宋" w:eastAsia="仿宋"/>
          <w:b w:val="0"/>
        </w:rPr>
        <w:t>一</w:t>
      </w:r>
      <w:r>
        <w:rPr>
          <w:rStyle w:val="30"/>
          <w:rFonts w:hint="eastAsia" w:ascii="仿宋" w:hAnsi="仿宋" w:eastAsia="仿宋"/>
          <w:b w:val="0"/>
          <w:bCs w:val="0"/>
        </w:rPr>
        <w:t>般公共预算财政拨款支出决算表</w:t>
      </w:r>
      <w:bookmarkEnd w:id="61"/>
    </w:p>
    <w:p>
      <w:pPr>
        <w:pStyle w:val="4"/>
        <w:rPr>
          <w:rFonts w:ascii="仿宋" w:hAnsi="仿宋" w:eastAsia="仿宋"/>
        </w:rPr>
      </w:pPr>
      <w:bookmarkStart w:id="62" w:name="_Toc15396625"/>
      <w:r>
        <w:rPr>
          <w:rStyle w:val="30"/>
          <w:rFonts w:hint="eastAsia" w:ascii="仿宋" w:hAnsi="仿宋" w:eastAsia="仿宋"/>
          <w:b w:val="0"/>
          <w:bCs w:val="0"/>
        </w:rPr>
        <w:t>七、</w:t>
      </w:r>
      <w:r>
        <w:rPr>
          <w:rFonts w:hint="eastAsia" w:ascii="仿宋" w:hAnsi="仿宋" w:eastAsia="仿宋"/>
          <w:b w:val="0"/>
        </w:rPr>
        <w:t>一</w:t>
      </w:r>
      <w:r>
        <w:rPr>
          <w:rStyle w:val="30"/>
          <w:rFonts w:hint="eastAsia" w:ascii="仿宋" w:hAnsi="仿宋" w:eastAsia="仿宋"/>
          <w:b w:val="0"/>
          <w:bCs w:val="0"/>
        </w:rPr>
        <w:t>般公共预算财政拨款支出决算明细表</w:t>
      </w:r>
      <w:bookmarkEnd w:id="62"/>
    </w:p>
    <w:p>
      <w:pPr>
        <w:pStyle w:val="4"/>
        <w:rPr>
          <w:rFonts w:ascii="仿宋" w:hAnsi="仿宋" w:eastAsia="仿宋"/>
        </w:rPr>
      </w:pPr>
      <w:bookmarkStart w:id="63" w:name="_Toc15396626"/>
      <w:r>
        <w:rPr>
          <w:rStyle w:val="30"/>
          <w:rFonts w:hint="eastAsia" w:ascii="仿宋" w:hAnsi="仿宋" w:eastAsia="仿宋"/>
          <w:b w:val="0"/>
          <w:bCs w:val="0"/>
        </w:rPr>
        <w:t>八、</w:t>
      </w:r>
      <w:r>
        <w:rPr>
          <w:rFonts w:hint="eastAsia" w:ascii="仿宋" w:hAnsi="仿宋" w:eastAsia="仿宋"/>
          <w:b w:val="0"/>
        </w:rPr>
        <w:t>一</w:t>
      </w:r>
      <w:r>
        <w:rPr>
          <w:rStyle w:val="30"/>
          <w:rFonts w:hint="eastAsia" w:ascii="仿宋" w:hAnsi="仿宋" w:eastAsia="仿宋"/>
          <w:b w:val="0"/>
          <w:bCs w:val="0"/>
        </w:rPr>
        <w:t>般公共预算财政拨款基本支出决算表</w:t>
      </w:r>
      <w:bookmarkEnd w:id="63"/>
    </w:p>
    <w:p>
      <w:pPr>
        <w:pStyle w:val="4"/>
        <w:rPr>
          <w:rFonts w:ascii="仿宋" w:hAnsi="仿宋" w:eastAsia="仿宋"/>
        </w:rPr>
      </w:pPr>
      <w:bookmarkStart w:id="64" w:name="_Toc15396627"/>
      <w:r>
        <w:rPr>
          <w:rStyle w:val="30"/>
          <w:rFonts w:hint="eastAsia" w:ascii="仿宋" w:hAnsi="仿宋" w:eastAsia="仿宋"/>
          <w:b w:val="0"/>
          <w:bCs w:val="0"/>
        </w:rPr>
        <w:t>九、</w:t>
      </w:r>
      <w:r>
        <w:rPr>
          <w:rFonts w:hint="eastAsia" w:ascii="仿宋" w:hAnsi="仿宋" w:eastAsia="仿宋"/>
          <w:b w:val="0"/>
        </w:rPr>
        <w:t>一</w:t>
      </w:r>
      <w:r>
        <w:rPr>
          <w:rStyle w:val="30"/>
          <w:rFonts w:hint="eastAsia" w:ascii="仿宋" w:hAnsi="仿宋" w:eastAsia="仿宋"/>
          <w:b w:val="0"/>
          <w:bCs w:val="0"/>
        </w:rPr>
        <w:t>般公共预算财政拨款项目支出决算表</w:t>
      </w:r>
      <w:bookmarkEnd w:id="64"/>
    </w:p>
    <w:p>
      <w:pPr>
        <w:pStyle w:val="4"/>
        <w:rPr>
          <w:rFonts w:ascii="仿宋" w:hAnsi="仿宋" w:eastAsia="仿宋"/>
        </w:rPr>
      </w:pPr>
      <w:bookmarkStart w:id="65" w:name="_Toc15396628"/>
      <w:r>
        <w:rPr>
          <w:rStyle w:val="30"/>
          <w:rFonts w:hint="eastAsia" w:ascii="仿宋" w:hAnsi="仿宋" w:eastAsia="仿宋"/>
          <w:b w:val="0"/>
          <w:bCs w:val="0"/>
        </w:rPr>
        <w:t>十、</w:t>
      </w:r>
      <w:bookmarkEnd w:id="65"/>
      <w:r>
        <w:rPr>
          <w:rFonts w:hint="eastAsia" w:ascii="仿宋" w:hAnsi="仿宋" w:eastAsia="仿宋"/>
          <w:b w:val="0"/>
        </w:rPr>
        <w:t>政</w:t>
      </w:r>
      <w:r>
        <w:rPr>
          <w:rStyle w:val="30"/>
          <w:rFonts w:hint="eastAsia" w:ascii="仿宋" w:hAnsi="仿宋" w:eastAsia="仿宋"/>
          <w:b w:val="0"/>
          <w:bCs w:val="0"/>
        </w:rPr>
        <w:t>府性基金预算财政拨款收入支出决算表</w:t>
      </w:r>
    </w:p>
    <w:p>
      <w:pPr>
        <w:pStyle w:val="4"/>
        <w:rPr>
          <w:rFonts w:ascii="仿宋" w:hAnsi="仿宋" w:eastAsia="仿宋"/>
        </w:rPr>
      </w:pPr>
      <w:bookmarkStart w:id="66" w:name="_Toc15396629"/>
      <w:r>
        <w:rPr>
          <w:rStyle w:val="30"/>
          <w:rFonts w:hint="eastAsia" w:ascii="仿宋" w:hAnsi="仿宋" w:eastAsia="仿宋"/>
          <w:b w:val="0"/>
          <w:bCs w:val="0"/>
        </w:rPr>
        <w:t>十一、</w:t>
      </w:r>
      <w:bookmarkEnd w:id="66"/>
      <w:r>
        <w:rPr>
          <w:rFonts w:hint="eastAsia" w:ascii="仿宋" w:hAnsi="仿宋" w:eastAsia="仿宋"/>
          <w:b w:val="0"/>
        </w:rPr>
        <w:t>国</w:t>
      </w:r>
      <w:r>
        <w:rPr>
          <w:rStyle w:val="30"/>
          <w:rFonts w:hint="eastAsia" w:ascii="仿宋" w:hAnsi="仿宋" w:eastAsia="仿宋"/>
          <w:b w:val="0"/>
          <w:bCs w:val="0"/>
        </w:rPr>
        <w:t>有资本经营预算财政拨款收入支出决算表</w:t>
      </w:r>
    </w:p>
    <w:p>
      <w:pPr>
        <w:pStyle w:val="4"/>
        <w:rPr>
          <w:rFonts w:ascii="仿宋" w:hAnsi="仿宋" w:eastAsia="仿宋"/>
        </w:rPr>
      </w:pPr>
      <w:bookmarkStart w:id="67" w:name="_Toc15396630"/>
      <w:r>
        <w:rPr>
          <w:rStyle w:val="30"/>
          <w:rFonts w:hint="eastAsia" w:ascii="仿宋" w:hAnsi="仿宋" w:eastAsia="仿宋"/>
          <w:b w:val="0"/>
          <w:bCs w:val="0"/>
        </w:rPr>
        <w:t>十二、</w:t>
      </w:r>
      <w:bookmarkEnd w:id="67"/>
      <w:r>
        <w:rPr>
          <w:rStyle w:val="30"/>
          <w:rFonts w:hint="eastAsia" w:ascii="仿宋" w:hAnsi="仿宋" w:eastAsia="仿宋"/>
          <w:b w:val="0"/>
          <w:bCs w:val="0"/>
        </w:rPr>
        <w:t>国有资本经营预算财政拨款支出决算表</w:t>
      </w:r>
    </w:p>
    <w:p>
      <w:pPr>
        <w:pStyle w:val="4"/>
        <w:rPr>
          <w:rFonts w:eastAsia="仿宋"/>
        </w:rPr>
      </w:pPr>
      <w:bookmarkStart w:id="68" w:name="_Toc15396631"/>
      <w:r>
        <w:rPr>
          <w:rStyle w:val="30"/>
          <w:rFonts w:hint="eastAsia" w:ascii="仿宋" w:hAnsi="仿宋" w:eastAsia="仿宋"/>
          <w:b w:val="0"/>
          <w:bCs w:val="0"/>
        </w:rPr>
        <w:t>十三、</w:t>
      </w:r>
      <w:bookmarkEnd w:id="68"/>
      <w:r>
        <w:rPr>
          <w:rStyle w:val="30"/>
          <w:rFonts w:hint="eastAsia" w:ascii="仿宋" w:hAnsi="仿宋" w:eastAsia="仿宋"/>
          <w:b w:val="0"/>
          <w:bCs w:val="0"/>
        </w:rPr>
        <w:t>财政拨款“三公”经费支出决算表</w:t>
      </w:r>
    </w:p>
    <w:sectPr>
      <w:headerReference r:id="rId3" w:type="default"/>
      <w:footerReference r:id="rId4" w:type="default"/>
      <w:pgSz w:w="11906" w:h="16838"/>
      <w:pgMar w:top="1440" w:right="1633"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C4D1467-743F-4763-88D7-DEE3C3D3CD5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54DE233-D271-45BD-9F30-65247DEF9E08}"/>
  </w:font>
  <w:font w:name="Cambria">
    <w:panose1 w:val="02040503050406030204"/>
    <w:charset w:val="00"/>
    <w:family w:val="roman"/>
    <w:pitch w:val="default"/>
    <w:sig w:usb0="E00006FF" w:usb1="420024FF" w:usb2="02000000" w:usb3="00000000" w:csb0="2000019F" w:csb1="00000000"/>
    <w:embedRegular r:id="rId3" w:fontKey="{EB3B2BB5-F11B-4884-A7A3-5CD5EF01A36F}"/>
  </w:font>
  <w:font w:name="仿宋_GB2312">
    <w:altName w:val="仿宋"/>
    <w:panose1 w:val="02010609030101010101"/>
    <w:charset w:val="86"/>
    <w:family w:val="modern"/>
    <w:pitch w:val="default"/>
    <w:sig w:usb0="00000000" w:usb1="00000000" w:usb2="00000000" w:usb3="00000000" w:csb0="00040000" w:csb1="00000000"/>
    <w:embedRegular r:id="rId4" w:fontKey="{D47AA2D6-BB0D-4FCF-A0C8-964D246E7EC3}"/>
  </w:font>
  <w:font w:name="仿宋">
    <w:panose1 w:val="02010609060101010101"/>
    <w:charset w:val="86"/>
    <w:family w:val="modern"/>
    <w:pitch w:val="default"/>
    <w:sig w:usb0="800002BF" w:usb1="38CF7CFA" w:usb2="00000016" w:usb3="00000000" w:csb0="00040001" w:csb1="00000000"/>
    <w:embedRegular r:id="rId5" w:fontKey="{335D046B-CECE-4657-8349-BE98E661D384}"/>
  </w:font>
  <w:font w:name="??">
    <w:altName w:val="Times New Roman"/>
    <w:panose1 w:val="00000000000000000000"/>
    <w:charset w:val="00"/>
    <w:family w:val="roman"/>
    <w:pitch w:val="default"/>
    <w:sig w:usb0="00000000" w:usb1="00000000" w:usb2="00000000" w:usb3="00000000" w:csb0="00000000" w:csb1="00000000"/>
  </w:font>
  <w:font w:name="方正小标宋简体">
    <w:panose1 w:val="02000000000000000000"/>
    <w:charset w:val="86"/>
    <w:family w:val="script"/>
    <w:pitch w:val="default"/>
    <w:sig w:usb0="00000001" w:usb1="08000000" w:usb2="00000000" w:usb3="00000000" w:csb0="00040000" w:csb1="00000000"/>
    <w:embedRegular r:id="rId6" w:fontKey="{D06A1997-E18A-4224-89AD-D9EE527888D6}"/>
  </w:font>
  <w:font w:name="楷体_GB2312">
    <w:altName w:val="楷体"/>
    <w:panose1 w:val="02010609030101010101"/>
    <w:charset w:val="86"/>
    <w:family w:val="auto"/>
    <w:pitch w:val="default"/>
    <w:sig w:usb0="00000000" w:usb1="00000000" w:usb2="00000000" w:usb3="00000000" w:csb0="00040000" w:csb1="00000000"/>
    <w:embedRegular r:id="rId7" w:fontKey="{3805CE94-4D49-4616-A48A-CF22D6432EA3}"/>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pPr>
          <w:pStyle w:val="10"/>
          <w:jc w:val="center"/>
        </w:pPr>
        <w:r>
          <w:fldChar w:fldCharType="begin"/>
        </w:r>
        <w:r>
          <w:instrText xml:space="preserve">PAGE   \* MERGEFORMAT</w:instrText>
        </w:r>
        <w:r>
          <w:fldChar w:fldCharType="separate"/>
        </w:r>
        <w:r>
          <w:rPr>
            <w:lang w:val="zh-CN"/>
          </w:rPr>
          <w:t>2</w:t>
        </w:r>
        <w:r>
          <w:fldChar w:fldCharType="end"/>
        </w:r>
      </w:p>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FDBC6"/>
    <w:multiLevelType w:val="singleLevel"/>
    <w:tmpl w:val="887FDBC6"/>
    <w:lvl w:ilvl="0" w:tentative="0">
      <w:start w:val="3"/>
      <w:numFmt w:val="decimal"/>
      <w:lvlText w:val="%1."/>
      <w:lvlJc w:val="left"/>
      <w:pPr>
        <w:tabs>
          <w:tab w:val="left" w:pos="312"/>
        </w:tabs>
      </w:pPr>
    </w:lvl>
  </w:abstractNum>
  <w:abstractNum w:abstractNumId="1">
    <w:nsid w:val="ADE23CEF"/>
    <w:multiLevelType w:val="singleLevel"/>
    <w:tmpl w:val="ADE23CEF"/>
    <w:lvl w:ilvl="0" w:tentative="0">
      <w:start w:val="4"/>
      <w:numFmt w:val="decimal"/>
      <w:lvlText w:val="(%1)"/>
      <w:lvlJc w:val="left"/>
      <w:pPr>
        <w:tabs>
          <w:tab w:val="left" w:pos="312"/>
        </w:tabs>
      </w:pPr>
    </w:lvl>
  </w:abstractNum>
  <w:abstractNum w:abstractNumId="2">
    <w:nsid w:val="CEE6562A"/>
    <w:multiLevelType w:val="singleLevel"/>
    <w:tmpl w:val="CEE6562A"/>
    <w:lvl w:ilvl="0" w:tentative="0">
      <w:start w:val="2"/>
      <w:numFmt w:val="decimal"/>
      <w:lvlText w:val="%1."/>
      <w:lvlJc w:val="left"/>
      <w:pPr>
        <w:tabs>
          <w:tab w:val="left" w:pos="312"/>
        </w:tabs>
      </w:pPr>
    </w:lvl>
  </w:abstractNum>
  <w:abstractNum w:abstractNumId="3">
    <w:nsid w:val="CF652CEC"/>
    <w:multiLevelType w:val="singleLevel"/>
    <w:tmpl w:val="CF652CEC"/>
    <w:lvl w:ilvl="0" w:tentative="0">
      <w:start w:val="9"/>
      <w:numFmt w:val="chineseCounting"/>
      <w:suff w:val="nothing"/>
      <w:lvlText w:val="%1、"/>
      <w:lvlJc w:val="left"/>
      <w:rPr>
        <w:rFonts w:hint="eastAsia"/>
      </w:rPr>
    </w:lvl>
  </w:abstractNum>
  <w:abstractNum w:abstractNumId="4">
    <w:nsid w:val="DEBEF323"/>
    <w:multiLevelType w:val="singleLevel"/>
    <w:tmpl w:val="DEBEF323"/>
    <w:lvl w:ilvl="0" w:tentative="0">
      <w:start w:val="4"/>
      <w:numFmt w:val="chineseCounting"/>
      <w:suff w:val="nothing"/>
      <w:lvlText w:val="（%1）"/>
      <w:lvlJc w:val="left"/>
      <w:rPr>
        <w:rFonts w:hint="eastAsia"/>
      </w:rPr>
    </w:lvl>
  </w:abstractNum>
  <w:abstractNum w:abstractNumId="5">
    <w:nsid w:val="E2FA047D"/>
    <w:multiLevelType w:val="singleLevel"/>
    <w:tmpl w:val="E2FA047D"/>
    <w:lvl w:ilvl="0" w:tentative="0">
      <w:start w:val="3"/>
      <w:numFmt w:val="chineseCounting"/>
      <w:suff w:val="space"/>
      <w:lvlText w:val="第%1部分"/>
      <w:lvlJc w:val="left"/>
      <w:rPr>
        <w:rFonts w:hint="eastAsia"/>
      </w:rPr>
    </w:lvl>
  </w:abstractNum>
  <w:abstractNum w:abstractNumId="6">
    <w:nsid w:val="FC4678E2"/>
    <w:multiLevelType w:val="singleLevel"/>
    <w:tmpl w:val="FC4678E2"/>
    <w:lvl w:ilvl="0" w:tentative="0">
      <w:start w:val="1"/>
      <w:numFmt w:val="chineseCounting"/>
      <w:suff w:val="nothing"/>
      <w:lvlText w:val="（%1）"/>
      <w:lvlJc w:val="left"/>
      <w:pPr>
        <w:ind w:left="407"/>
      </w:pPr>
      <w:rPr>
        <w:rFonts w:hint="eastAsia"/>
      </w:rPr>
    </w:lvl>
  </w:abstractNum>
  <w:abstractNum w:abstractNumId="7">
    <w:nsid w:val="FFF674BC"/>
    <w:multiLevelType w:val="singleLevel"/>
    <w:tmpl w:val="FFF674BC"/>
    <w:lvl w:ilvl="0" w:tentative="0">
      <w:start w:val="1"/>
      <w:numFmt w:val="chineseCounting"/>
      <w:suff w:val="nothing"/>
      <w:lvlText w:val="%1、"/>
      <w:lvlJc w:val="left"/>
      <w:rPr>
        <w:rFonts w:hint="eastAsia"/>
      </w:rPr>
    </w:lvl>
  </w:abstractNum>
  <w:abstractNum w:abstractNumId="8">
    <w:nsid w:val="03979314"/>
    <w:multiLevelType w:val="singleLevel"/>
    <w:tmpl w:val="03979314"/>
    <w:lvl w:ilvl="0" w:tentative="0">
      <w:start w:val="2"/>
      <w:numFmt w:val="decimal"/>
      <w:suff w:val="nothing"/>
      <w:lvlText w:val="%1．"/>
      <w:lvlJc w:val="left"/>
    </w:lvl>
  </w:abstractNum>
  <w:abstractNum w:abstractNumId="9">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4BDE5216"/>
    <w:multiLevelType w:val="singleLevel"/>
    <w:tmpl w:val="4BDE5216"/>
    <w:lvl w:ilvl="0" w:tentative="0">
      <w:start w:val="2"/>
      <w:numFmt w:val="decimal"/>
      <w:lvlText w:val="%1."/>
      <w:lvlJc w:val="left"/>
      <w:pPr>
        <w:tabs>
          <w:tab w:val="left" w:pos="312"/>
        </w:tabs>
      </w:pPr>
    </w:lvl>
  </w:abstractNum>
  <w:num w:numId="1">
    <w:abstractNumId w:val="9"/>
  </w:num>
  <w:num w:numId="2">
    <w:abstractNumId w:val="0"/>
  </w:num>
  <w:num w:numId="3">
    <w:abstractNumId w:val="3"/>
  </w:num>
  <w:num w:numId="4">
    <w:abstractNumId w:val="5"/>
  </w:num>
  <w:num w:numId="5">
    <w:abstractNumId w:val="7"/>
  </w:num>
  <w:num w:numId="6">
    <w:abstractNumId w:val="6"/>
  </w:num>
  <w:num w:numId="7">
    <w:abstractNumId w:val="2"/>
  </w:num>
  <w:num w:numId="8">
    <w:abstractNumId w:val="10"/>
  </w:num>
  <w:num w:numId="9">
    <w:abstractNumId w:val="1"/>
  </w:num>
  <w:num w:numId="10">
    <w:abstractNumId w:val="4"/>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M2VjZDNkNmI4OWZkMThmMzE1MjhjOWI3MzQzN2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3CE0"/>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2F6E"/>
    <w:rsid w:val="00357D1A"/>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74FC"/>
    <w:rsid w:val="005664BB"/>
    <w:rsid w:val="00566FFA"/>
    <w:rsid w:val="0057481D"/>
    <w:rsid w:val="0058486E"/>
    <w:rsid w:val="00585B33"/>
    <w:rsid w:val="0059014D"/>
    <w:rsid w:val="005B5C64"/>
    <w:rsid w:val="005C5337"/>
    <w:rsid w:val="005C6BD0"/>
    <w:rsid w:val="005D1C8B"/>
    <w:rsid w:val="005D2A80"/>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94377"/>
    <w:rsid w:val="007C717F"/>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9666D"/>
    <w:rsid w:val="008B065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647E"/>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21F16"/>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D54BB"/>
    <w:rsid w:val="00CD79DA"/>
    <w:rsid w:val="00CE44F6"/>
    <w:rsid w:val="00CE49DA"/>
    <w:rsid w:val="00CE7B61"/>
    <w:rsid w:val="00D00095"/>
    <w:rsid w:val="00D114F0"/>
    <w:rsid w:val="00D20620"/>
    <w:rsid w:val="00D254F7"/>
    <w:rsid w:val="00D26091"/>
    <w:rsid w:val="00D2685C"/>
    <w:rsid w:val="00D26D9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269"/>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C75C6"/>
    <w:rsid w:val="00ED1B63"/>
    <w:rsid w:val="00ED3C1F"/>
    <w:rsid w:val="00ED4085"/>
    <w:rsid w:val="00ED420E"/>
    <w:rsid w:val="00ED6FBE"/>
    <w:rsid w:val="00EE2F57"/>
    <w:rsid w:val="00EF4C34"/>
    <w:rsid w:val="00EF5BA2"/>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A3F4C"/>
    <w:rsid w:val="00FD3CC1"/>
    <w:rsid w:val="00FE4037"/>
    <w:rsid w:val="00FF1E02"/>
    <w:rsid w:val="00FF30B4"/>
    <w:rsid w:val="01156139"/>
    <w:rsid w:val="015975B8"/>
    <w:rsid w:val="0192316A"/>
    <w:rsid w:val="01944054"/>
    <w:rsid w:val="020C62E0"/>
    <w:rsid w:val="02143E91"/>
    <w:rsid w:val="02377801"/>
    <w:rsid w:val="024912E2"/>
    <w:rsid w:val="025B2DC4"/>
    <w:rsid w:val="025D08EA"/>
    <w:rsid w:val="0270061D"/>
    <w:rsid w:val="02FC6355"/>
    <w:rsid w:val="033E7623"/>
    <w:rsid w:val="035C6DF3"/>
    <w:rsid w:val="03CB34F6"/>
    <w:rsid w:val="03D42E2E"/>
    <w:rsid w:val="04180F6C"/>
    <w:rsid w:val="04207E21"/>
    <w:rsid w:val="04477AA3"/>
    <w:rsid w:val="0458580D"/>
    <w:rsid w:val="04702B56"/>
    <w:rsid w:val="049A5E25"/>
    <w:rsid w:val="04BA3546"/>
    <w:rsid w:val="04D035F5"/>
    <w:rsid w:val="04F217BD"/>
    <w:rsid w:val="05096B07"/>
    <w:rsid w:val="052A2329"/>
    <w:rsid w:val="05445D91"/>
    <w:rsid w:val="05A625A8"/>
    <w:rsid w:val="060D2627"/>
    <w:rsid w:val="066E0107"/>
    <w:rsid w:val="066E30C6"/>
    <w:rsid w:val="06B378B3"/>
    <w:rsid w:val="076444C8"/>
    <w:rsid w:val="07672BD8"/>
    <w:rsid w:val="0768045D"/>
    <w:rsid w:val="076F17EB"/>
    <w:rsid w:val="076F5347"/>
    <w:rsid w:val="07996F6E"/>
    <w:rsid w:val="07B90CB8"/>
    <w:rsid w:val="07DE071F"/>
    <w:rsid w:val="080C703A"/>
    <w:rsid w:val="082F0F7A"/>
    <w:rsid w:val="087D3A94"/>
    <w:rsid w:val="08D4742C"/>
    <w:rsid w:val="093A3733"/>
    <w:rsid w:val="09523172"/>
    <w:rsid w:val="0A0D52EB"/>
    <w:rsid w:val="0A2032A3"/>
    <w:rsid w:val="0AE53B72"/>
    <w:rsid w:val="0B5331D2"/>
    <w:rsid w:val="0B990099"/>
    <w:rsid w:val="0C474AE5"/>
    <w:rsid w:val="0C5114BF"/>
    <w:rsid w:val="0CE340E1"/>
    <w:rsid w:val="0D2B61B4"/>
    <w:rsid w:val="0D442DD2"/>
    <w:rsid w:val="0D4903E8"/>
    <w:rsid w:val="0DAB2E51"/>
    <w:rsid w:val="0DBD4932"/>
    <w:rsid w:val="0E172295"/>
    <w:rsid w:val="0E197DBB"/>
    <w:rsid w:val="0E3966AF"/>
    <w:rsid w:val="0E462B7A"/>
    <w:rsid w:val="0E76520D"/>
    <w:rsid w:val="0EA7186A"/>
    <w:rsid w:val="0EF97BEC"/>
    <w:rsid w:val="0F0C5B71"/>
    <w:rsid w:val="0F362BEE"/>
    <w:rsid w:val="0F543075"/>
    <w:rsid w:val="0F98263C"/>
    <w:rsid w:val="0FDC19E8"/>
    <w:rsid w:val="101860EC"/>
    <w:rsid w:val="10533FA9"/>
    <w:rsid w:val="10BE733F"/>
    <w:rsid w:val="10C055FF"/>
    <w:rsid w:val="10E16B8A"/>
    <w:rsid w:val="1154735C"/>
    <w:rsid w:val="11603F53"/>
    <w:rsid w:val="117C5F04"/>
    <w:rsid w:val="118107EC"/>
    <w:rsid w:val="123A0C48"/>
    <w:rsid w:val="12483364"/>
    <w:rsid w:val="125C6E10"/>
    <w:rsid w:val="1288550F"/>
    <w:rsid w:val="12905D29"/>
    <w:rsid w:val="12AF6F40"/>
    <w:rsid w:val="12E110C3"/>
    <w:rsid w:val="12F26E2C"/>
    <w:rsid w:val="12F72695"/>
    <w:rsid w:val="130059ED"/>
    <w:rsid w:val="13165211"/>
    <w:rsid w:val="13250FB0"/>
    <w:rsid w:val="138D4967"/>
    <w:rsid w:val="13D50BC4"/>
    <w:rsid w:val="14025795"/>
    <w:rsid w:val="14616820"/>
    <w:rsid w:val="146B333A"/>
    <w:rsid w:val="14AB7BDB"/>
    <w:rsid w:val="153C0833"/>
    <w:rsid w:val="1573694A"/>
    <w:rsid w:val="15D168FF"/>
    <w:rsid w:val="162714E3"/>
    <w:rsid w:val="16BB723D"/>
    <w:rsid w:val="16E22884"/>
    <w:rsid w:val="17011D34"/>
    <w:rsid w:val="17AC7EF2"/>
    <w:rsid w:val="17C23271"/>
    <w:rsid w:val="17F92A0B"/>
    <w:rsid w:val="18155A97"/>
    <w:rsid w:val="18245CDA"/>
    <w:rsid w:val="18583BD5"/>
    <w:rsid w:val="188B7B07"/>
    <w:rsid w:val="18C82B09"/>
    <w:rsid w:val="18FE652B"/>
    <w:rsid w:val="19467ED2"/>
    <w:rsid w:val="19AF7825"/>
    <w:rsid w:val="19BB08C0"/>
    <w:rsid w:val="19D74F87"/>
    <w:rsid w:val="19E75211"/>
    <w:rsid w:val="1A512FD2"/>
    <w:rsid w:val="1A587EBD"/>
    <w:rsid w:val="1AAD645B"/>
    <w:rsid w:val="1B0B13D3"/>
    <w:rsid w:val="1B854CE1"/>
    <w:rsid w:val="1BA57132"/>
    <w:rsid w:val="1BC021BE"/>
    <w:rsid w:val="1BE8440E"/>
    <w:rsid w:val="1C4F52EF"/>
    <w:rsid w:val="1C6568C1"/>
    <w:rsid w:val="1C6E39C8"/>
    <w:rsid w:val="1C7B7E93"/>
    <w:rsid w:val="1CE27F12"/>
    <w:rsid w:val="1D155CEE"/>
    <w:rsid w:val="1D4806BC"/>
    <w:rsid w:val="1D4F4CBA"/>
    <w:rsid w:val="1D525097"/>
    <w:rsid w:val="1D8334A3"/>
    <w:rsid w:val="1E0F4D36"/>
    <w:rsid w:val="1EB20626"/>
    <w:rsid w:val="1F2C36C6"/>
    <w:rsid w:val="1FF35744"/>
    <w:rsid w:val="20191E9C"/>
    <w:rsid w:val="20280331"/>
    <w:rsid w:val="203D202F"/>
    <w:rsid w:val="20566C4C"/>
    <w:rsid w:val="20CC33B3"/>
    <w:rsid w:val="20E029BA"/>
    <w:rsid w:val="21C10A3D"/>
    <w:rsid w:val="21C5052E"/>
    <w:rsid w:val="21DE15EF"/>
    <w:rsid w:val="21E62252"/>
    <w:rsid w:val="21F7445F"/>
    <w:rsid w:val="21FC3824"/>
    <w:rsid w:val="224156DA"/>
    <w:rsid w:val="226A2E83"/>
    <w:rsid w:val="226B2757"/>
    <w:rsid w:val="22E5250A"/>
    <w:rsid w:val="23425BAE"/>
    <w:rsid w:val="23675615"/>
    <w:rsid w:val="23860B96"/>
    <w:rsid w:val="23F5677C"/>
    <w:rsid w:val="240371BF"/>
    <w:rsid w:val="241412F8"/>
    <w:rsid w:val="243E0123"/>
    <w:rsid w:val="24A106B2"/>
    <w:rsid w:val="24BA1552"/>
    <w:rsid w:val="25381017"/>
    <w:rsid w:val="267047E0"/>
    <w:rsid w:val="267E514F"/>
    <w:rsid w:val="269C3827"/>
    <w:rsid w:val="26B96187"/>
    <w:rsid w:val="26C863CA"/>
    <w:rsid w:val="272950BB"/>
    <w:rsid w:val="27AE55C0"/>
    <w:rsid w:val="27BD5803"/>
    <w:rsid w:val="27F60D15"/>
    <w:rsid w:val="288D1679"/>
    <w:rsid w:val="28996270"/>
    <w:rsid w:val="28FE2577"/>
    <w:rsid w:val="290515F5"/>
    <w:rsid w:val="293146FB"/>
    <w:rsid w:val="293E4722"/>
    <w:rsid w:val="29FD04D3"/>
    <w:rsid w:val="2A1262DA"/>
    <w:rsid w:val="2A375D41"/>
    <w:rsid w:val="2A3A75DF"/>
    <w:rsid w:val="2A742AF1"/>
    <w:rsid w:val="2A895E70"/>
    <w:rsid w:val="2A8E3487"/>
    <w:rsid w:val="2AE9704E"/>
    <w:rsid w:val="2B82302C"/>
    <w:rsid w:val="2B85488A"/>
    <w:rsid w:val="2BA80578"/>
    <w:rsid w:val="2BD80E5D"/>
    <w:rsid w:val="2C0559CB"/>
    <w:rsid w:val="2C302A48"/>
    <w:rsid w:val="2C510C88"/>
    <w:rsid w:val="2C884632"/>
    <w:rsid w:val="2C8903AA"/>
    <w:rsid w:val="2C8A61B5"/>
    <w:rsid w:val="2CE33F5E"/>
    <w:rsid w:val="2CFC5020"/>
    <w:rsid w:val="2D3E73E6"/>
    <w:rsid w:val="2DF04E50"/>
    <w:rsid w:val="2E6E7857"/>
    <w:rsid w:val="2ED753FC"/>
    <w:rsid w:val="2EDD678B"/>
    <w:rsid w:val="2EFA558F"/>
    <w:rsid w:val="2EFE507F"/>
    <w:rsid w:val="2F040D46"/>
    <w:rsid w:val="2F4F1437"/>
    <w:rsid w:val="2F522CD5"/>
    <w:rsid w:val="2F6A001E"/>
    <w:rsid w:val="2FB92D54"/>
    <w:rsid w:val="2FD37C16"/>
    <w:rsid w:val="2FD951A4"/>
    <w:rsid w:val="2FF818BA"/>
    <w:rsid w:val="305E56A9"/>
    <w:rsid w:val="30C9346B"/>
    <w:rsid w:val="31172428"/>
    <w:rsid w:val="316D029A"/>
    <w:rsid w:val="319F7F4E"/>
    <w:rsid w:val="326A6587"/>
    <w:rsid w:val="32BF2D77"/>
    <w:rsid w:val="32C72FD7"/>
    <w:rsid w:val="32FD11AA"/>
    <w:rsid w:val="3304709D"/>
    <w:rsid w:val="331758B7"/>
    <w:rsid w:val="333A23FE"/>
    <w:rsid w:val="33462B51"/>
    <w:rsid w:val="337E678E"/>
    <w:rsid w:val="33957634"/>
    <w:rsid w:val="33E630C5"/>
    <w:rsid w:val="342310E4"/>
    <w:rsid w:val="34FF745B"/>
    <w:rsid w:val="350607E9"/>
    <w:rsid w:val="352B0250"/>
    <w:rsid w:val="35351C4F"/>
    <w:rsid w:val="362F3D70"/>
    <w:rsid w:val="368340BC"/>
    <w:rsid w:val="369342FF"/>
    <w:rsid w:val="3699743B"/>
    <w:rsid w:val="36AA5135"/>
    <w:rsid w:val="36B50719"/>
    <w:rsid w:val="36C344B8"/>
    <w:rsid w:val="36D84407"/>
    <w:rsid w:val="3733163E"/>
    <w:rsid w:val="37335AE2"/>
    <w:rsid w:val="37555A58"/>
    <w:rsid w:val="376D39B2"/>
    <w:rsid w:val="37BF2ED1"/>
    <w:rsid w:val="37CA7693"/>
    <w:rsid w:val="37E16F03"/>
    <w:rsid w:val="3814146F"/>
    <w:rsid w:val="384855BD"/>
    <w:rsid w:val="385C6972"/>
    <w:rsid w:val="38BE13DB"/>
    <w:rsid w:val="38D469F0"/>
    <w:rsid w:val="393F499E"/>
    <w:rsid w:val="395A7356"/>
    <w:rsid w:val="39671A73"/>
    <w:rsid w:val="398919E9"/>
    <w:rsid w:val="39900FC9"/>
    <w:rsid w:val="3991089E"/>
    <w:rsid w:val="39E210F9"/>
    <w:rsid w:val="39F257E0"/>
    <w:rsid w:val="3A1C460B"/>
    <w:rsid w:val="3A655477"/>
    <w:rsid w:val="3AD1365D"/>
    <w:rsid w:val="3B3360B0"/>
    <w:rsid w:val="3B5E2A01"/>
    <w:rsid w:val="3B6C3370"/>
    <w:rsid w:val="3B954675"/>
    <w:rsid w:val="3BB645EB"/>
    <w:rsid w:val="3C8B7826"/>
    <w:rsid w:val="3C964B49"/>
    <w:rsid w:val="3CA37266"/>
    <w:rsid w:val="3CB076A6"/>
    <w:rsid w:val="3CD1792F"/>
    <w:rsid w:val="3D0870C9"/>
    <w:rsid w:val="3D98207C"/>
    <w:rsid w:val="3D9848F1"/>
    <w:rsid w:val="3DAF5796"/>
    <w:rsid w:val="3E0E070F"/>
    <w:rsid w:val="3E1675C3"/>
    <w:rsid w:val="3E1C72D0"/>
    <w:rsid w:val="3E1F46CA"/>
    <w:rsid w:val="3E78745D"/>
    <w:rsid w:val="3EE057E6"/>
    <w:rsid w:val="3F171845"/>
    <w:rsid w:val="3F255D10"/>
    <w:rsid w:val="3FB55DB6"/>
    <w:rsid w:val="401D2E8B"/>
    <w:rsid w:val="40275AB8"/>
    <w:rsid w:val="408E5B37"/>
    <w:rsid w:val="415F2E01"/>
    <w:rsid w:val="41656898"/>
    <w:rsid w:val="41B25855"/>
    <w:rsid w:val="42793C60"/>
    <w:rsid w:val="429C5383"/>
    <w:rsid w:val="42DF6B1E"/>
    <w:rsid w:val="42F04887"/>
    <w:rsid w:val="436239D7"/>
    <w:rsid w:val="436A288B"/>
    <w:rsid w:val="43A51B15"/>
    <w:rsid w:val="43BE6733"/>
    <w:rsid w:val="43C7383A"/>
    <w:rsid w:val="446948F1"/>
    <w:rsid w:val="446E63AB"/>
    <w:rsid w:val="449000D0"/>
    <w:rsid w:val="44E268DA"/>
    <w:rsid w:val="45014B29"/>
    <w:rsid w:val="4521341D"/>
    <w:rsid w:val="45280308"/>
    <w:rsid w:val="460348D1"/>
    <w:rsid w:val="46537607"/>
    <w:rsid w:val="468C48C7"/>
    <w:rsid w:val="46BC33FE"/>
    <w:rsid w:val="46D324F5"/>
    <w:rsid w:val="4723522B"/>
    <w:rsid w:val="473A2575"/>
    <w:rsid w:val="474451A1"/>
    <w:rsid w:val="47B73BC5"/>
    <w:rsid w:val="47D66741"/>
    <w:rsid w:val="47EC7D13"/>
    <w:rsid w:val="47F170D7"/>
    <w:rsid w:val="486C1165"/>
    <w:rsid w:val="48831CF9"/>
    <w:rsid w:val="49697141"/>
    <w:rsid w:val="49940662"/>
    <w:rsid w:val="4A275032"/>
    <w:rsid w:val="4A627F82"/>
    <w:rsid w:val="4AA85A47"/>
    <w:rsid w:val="4ABB577A"/>
    <w:rsid w:val="4AE64EED"/>
    <w:rsid w:val="4B0E749A"/>
    <w:rsid w:val="4B2262F7"/>
    <w:rsid w:val="4B4F25DA"/>
    <w:rsid w:val="4B9009B5"/>
    <w:rsid w:val="4BAD1567"/>
    <w:rsid w:val="4BB548C0"/>
    <w:rsid w:val="4BD96800"/>
    <w:rsid w:val="4BE068DB"/>
    <w:rsid w:val="4C4D2D4A"/>
    <w:rsid w:val="4C62410C"/>
    <w:rsid w:val="4C650094"/>
    <w:rsid w:val="4CAF57B3"/>
    <w:rsid w:val="4CAF7561"/>
    <w:rsid w:val="4D16313C"/>
    <w:rsid w:val="4D4C4DB0"/>
    <w:rsid w:val="4D5123C6"/>
    <w:rsid w:val="4D577224"/>
    <w:rsid w:val="4D902EEE"/>
    <w:rsid w:val="4D9D560B"/>
    <w:rsid w:val="4DB841F3"/>
    <w:rsid w:val="4E5F2680"/>
    <w:rsid w:val="4E6F51FA"/>
    <w:rsid w:val="4EAB630A"/>
    <w:rsid w:val="4EAD7AD0"/>
    <w:rsid w:val="4EBE3E4D"/>
    <w:rsid w:val="4ECE2238"/>
    <w:rsid w:val="4EEF1E97"/>
    <w:rsid w:val="4FB530E0"/>
    <w:rsid w:val="4FEB4D54"/>
    <w:rsid w:val="4FEC63D6"/>
    <w:rsid w:val="501F0559"/>
    <w:rsid w:val="50245B70"/>
    <w:rsid w:val="5060304C"/>
    <w:rsid w:val="508D1967"/>
    <w:rsid w:val="50A15412"/>
    <w:rsid w:val="50BE5FC4"/>
    <w:rsid w:val="50E023DF"/>
    <w:rsid w:val="512C2F2E"/>
    <w:rsid w:val="51453FF0"/>
    <w:rsid w:val="514B3CFC"/>
    <w:rsid w:val="51A16977"/>
    <w:rsid w:val="51A769A6"/>
    <w:rsid w:val="51FF0643"/>
    <w:rsid w:val="52326C6A"/>
    <w:rsid w:val="52B0193D"/>
    <w:rsid w:val="52BD3EDA"/>
    <w:rsid w:val="52D01FDF"/>
    <w:rsid w:val="537E6D0A"/>
    <w:rsid w:val="537F7C8D"/>
    <w:rsid w:val="53A616BE"/>
    <w:rsid w:val="54212AF2"/>
    <w:rsid w:val="54CD4A28"/>
    <w:rsid w:val="54F93A6F"/>
    <w:rsid w:val="550A17D8"/>
    <w:rsid w:val="550C37A2"/>
    <w:rsid w:val="55314FB7"/>
    <w:rsid w:val="557B4484"/>
    <w:rsid w:val="55DA73FC"/>
    <w:rsid w:val="55DB13C7"/>
    <w:rsid w:val="56531B75"/>
    <w:rsid w:val="56DC0F52"/>
    <w:rsid w:val="570D735E"/>
    <w:rsid w:val="57193F55"/>
    <w:rsid w:val="57430FD1"/>
    <w:rsid w:val="57C77E54"/>
    <w:rsid w:val="57FB365A"/>
    <w:rsid w:val="57FB5D50"/>
    <w:rsid w:val="581A7F84"/>
    <w:rsid w:val="58201313"/>
    <w:rsid w:val="58DC348C"/>
    <w:rsid w:val="59162E41"/>
    <w:rsid w:val="594A2AEB"/>
    <w:rsid w:val="596F2552"/>
    <w:rsid w:val="59A73A9A"/>
    <w:rsid w:val="59BD32BD"/>
    <w:rsid w:val="59D32AE1"/>
    <w:rsid w:val="5A551748"/>
    <w:rsid w:val="5ABA5D49"/>
    <w:rsid w:val="5AC02939"/>
    <w:rsid w:val="5AF92295"/>
    <w:rsid w:val="5C473312"/>
    <w:rsid w:val="5C9347A9"/>
    <w:rsid w:val="5CC93D27"/>
    <w:rsid w:val="5CD71FC4"/>
    <w:rsid w:val="5D2E44D2"/>
    <w:rsid w:val="5D50269A"/>
    <w:rsid w:val="5D6F5C48"/>
    <w:rsid w:val="5D900CE9"/>
    <w:rsid w:val="5DC82230"/>
    <w:rsid w:val="5DFB64A9"/>
    <w:rsid w:val="5E086AD1"/>
    <w:rsid w:val="5E4775F9"/>
    <w:rsid w:val="5E6737F7"/>
    <w:rsid w:val="5ECB647C"/>
    <w:rsid w:val="5F0E45BB"/>
    <w:rsid w:val="5F864151"/>
    <w:rsid w:val="5FCF3D4A"/>
    <w:rsid w:val="602A0F80"/>
    <w:rsid w:val="60824919"/>
    <w:rsid w:val="60956D42"/>
    <w:rsid w:val="60B60A66"/>
    <w:rsid w:val="61783F6D"/>
    <w:rsid w:val="6189617B"/>
    <w:rsid w:val="61CE3B8D"/>
    <w:rsid w:val="61E6537B"/>
    <w:rsid w:val="62650996"/>
    <w:rsid w:val="626F711E"/>
    <w:rsid w:val="62E21FE6"/>
    <w:rsid w:val="630E06E5"/>
    <w:rsid w:val="636522D0"/>
    <w:rsid w:val="63864720"/>
    <w:rsid w:val="63870498"/>
    <w:rsid w:val="639257BA"/>
    <w:rsid w:val="63E31B72"/>
    <w:rsid w:val="64BB2CCB"/>
    <w:rsid w:val="64FD4EB5"/>
    <w:rsid w:val="6522491C"/>
    <w:rsid w:val="652A37D1"/>
    <w:rsid w:val="65646CE3"/>
    <w:rsid w:val="66DB2FD4"/>
    <w:rsid w:val="66E63727"/>
    <w:rsid w:val="66FB5425"/>
    <w:rsid w:val="67317098"/>
    <w:rsid w:val="6736645D"/>
    <w:rsid w:val="67A72688"/>
    <w:rsid w:val="67B83316"/>
    <w:rsid w:val="67CD5013"/>
    <w:rsid w:val="67DA14DE"/>
    <w:rsid w:val="68752FB5"/>
    <w:rsid w:val="68CF6B69"/>
    <w:rsid w:val="69036813"/>
    <w:rsid w:val="694C1F68"/>
    <w:rsid w:val="69A71894"/>
    <w:rsid w:val="69AB1384"/>
    <w:rsid w:val="69FA6D88"/>
    <w:rsid w:val="6A1011E7"/>
    <w:rsid w:val="6A244C92"/>
    <w:rsid w:val="6A325601"/>
    <w:rsid w:val="6A4175F2"/>
    <w:rsid w:val="6A4610AD"/>
    <w:rsid w:val="6AC10733"/>
    <w:rsid w:val="6AD541DF"/>
    <w:rsid w:val="6B513865"/>
    <w:rsid w:val="6B833C3B"/>
    <w:rsid w:val="6BC02799"/>
    <w:rsid w:val="6BC627E8"/>
    <w:rsid w:val="6C184383"/>
    <w:rsid w:val="6C1F5711"/>
    <w:rsid w:val="6C4A05C8"/>
    <w:rsid w:val="6C5D623A"/>
    <w:rsid w:val="6CA83959"/>
    <w:rsid w:val="6CB3461B"/>
    <w:rsid w:val="6CF22E26"/>
    <w:rsid w:val="6D9B34BE"/>
    <w:rsid w:val="6DA73C10"/>
    <w:rsid w:val="6DC61953"/>
    <w:rsid w:val="6DCE3893"/>
    <w:rsid w:val="6DDF784E"/>
    <w:rsid w:val="6DE704B1"/>
    <w:rsid w:val="6E7E3605"/>
    <w:rsid w:val="6EC16F54"/>
    <w:rsid w:val="6F094457"/>
    <w:rsid w:val="6F103A37"/>
    <w:rsid w:val="6F213E96"/>
    <w:rsid w:val="6F215C44"/>
    <w:rsid w:val="6FB2689C"/>
    <w:rsid w:val="6FF173C5"/>
    <w:rsid w:val="6FF5CC65"/>
    <w:rsid w:val="700D7F77"/>
    <w:rsid w:val="70473489"/>
    <w:rsid w:val="704E4817"/>
    <w:rsid w:val="70693183"/>
    <w:rsid w:val="715C0E4B"/>
    <w:rsid w:val="716D33C3"/>
    <w:rsid w:val="71A861A9"/>
    <w:rsid w:val="72001B41"/>
    <w:rsid w:val="72077373"/>
    <w:rsid w:val="724A2A5A"/>
    <w:rsid w:val="724A7260"/>
    <w:rsid w:val="72563E57"/>
    <w:rsid w:val="72734D90"/>
    <w:rsid w:val="72785B7B"/>
    <w:rsid w:val="727D13E4"/>
    <w:rsid w:val="731F06ED"/>
    <w:rsid w:val="73661E78"/>
    <w:rsid w:val="738A200A"/>
    <w:rsid w:val="73AD73D5"/>
    <w:rsid w:val="73B6EB34"/>
    <w:rsid w:val="73C31078"/>
    <w:rsid w:val="73D94D40"/>
    <w:rsid w:val="74367A9C"/>
    <w:rsid w:val="744731E5"/>
    <w:rsid w:val="74856C75"/>
    <w:rsid w:val="74911176"/>
    <w:rsid w:val="74B24EB7"/>
    <w:rsid w:val="74B60BDD"/>
    <w:rsid w:val="75096F5F"/>
    <w:rsid w:val="75355FA6"/>
    <w:rsid w:val="754206C3"/>
    <w:rsid w:val="754E7067"/>
    <w:rsid w:val="75930F1E"/>
    <w:rsid w:val="761D53B8"/>
    <w:rsid w:val="762878B8"/>
    <w:rsid w:val="764741E2"/>
    <w:rsid w:val="769211D6"/>
    <w:rsid w:val="76B22896"/>
    <w:rsid w:val="76E3355F"/>
    <w:rsid w:val="76F459ED"/>
    <w:rsid w:val="771A36A5"/>
    <w:rsid w:val="772C162A"/>
    <w:rsid w:val="776808B4"/>
    <w:rsid w:val="778769C8"/>
    <w:rsid w:val="77B37656"/>
    <w:rsid w:val="78013949"/>
    <w:rsid w:val="786C7F30"/>
    <w:rsid w:val="787E7C64"/>
    <w:rsid w:val="790F7570"/>
    <w:rsid w:val="79314CD6"/>
    <w:rsid w:val="79511A9B"/>
    <w:rsid w:val="79782905"/>
    <w:rsid w:val="797D7F1B"/>
    <w:rsid w:val="797F0137"/>
    <w:rsid w:val="79EB1329"/>
    <w:rsid w:val="79EE5BA4"/>
    <w:rsid w:val="7A036672"/>
    <w:rsid w:val="7A090922"/>
    <w:rsid w:val="7A537AA0"/>
    <w:rsid w:val="7A894339"/>
    <w:rsid w:val="7AC5601E"/>
    <w:rsid w:val="7B1D7C08"/>
    <w:rsid w:val="7BEC1388"/>
    <w:rsid w:val="7C9C2DAE"/>
    <w:rsid w:val="7CB73744"/>
    <w:rsid w:val="7CEF2EDE"/>
    <w:rsid w:val="7CF95B0B"/>
    <w:rsid w:val="7D515947"/>
    <w:rsid w:val="7DBB1012"/>
    <w:rsid w:val="7DC0223C"/>
    <w:rsid w:val="7DCE6F97"/>
    <w:rsid w:val="7DD65E4C"/>
    <w:rsid w:val="7E064983"/>
    <w:rsid w:val="7E265025"/>
    <w:rsid w:val="7E5E656D"/>
    <w:rsid w:val="7E953F59"/>
    <w:rsid w:val="7EEF11D3"/>
    <w:rsid w:val="7F0D7F93"/>
    <w:rsid w:val="7FA30C79"/>
    <w:rsid w:val="7FB7269E"/>
    <w:rsid w:val="7FC248DA"/>
    <w:rsid w:val="7FC96657"/>
    <w:rsid w:val="D8D6DB89"/>
    <w:rsid w:val="DB6F4CAB"/>
    <w:rsid w:val="DF6F978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7">
    <w:name w:val="Default Paragraph Font"/>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2">
    <w:name w:val="table of figures"/>
    <w:basedOn w:val="1"/>
    <w:next w:val="1"/>
    <w:unhideWhenUsed/>
    <w:qFormat/>
    <w:uiPriority w:val="99"/>
    <w:pPr>
      <w:ind w:leftChars="200" w:hanging="200" w:hangingChars="200"/>
    </w:pPr>
  </w:style>
  <w:style w:type="paragraph" w:styleId="6">
    <w:name w:val="Body Text"/>
    <w:basedOn w:val="1"/>
    <w:link w:val="26"/>
    <w:qFormat/>
    <w:uiPriority w:val="99"/>
    <w:pPr>
      <w:spacing w:beforeLines="30"/>
    </w:pPr>
    <w:rPr>
      <w:rFonts w:ascii="仿宋_GB2312" w:eastAsia="仿宋_GB2312"/>
      <w:kern w:val="0"/>
      <w:sz w:val="30"/>
    </w:rPr>
  </w:style>
  <w:style w:type="paragraph" w:styleId="7">
    <w:name w:val="Body Text Indent"/>
    <w:basedOn w:val="1"/>
    <w:autoRedefine/>
    <w:qFormat/>
    <w:uiPriority w:val="0"/>
    <w:pPr>
      <w:spacing w:after="120"/>
      <w:ind w:left="200" w:leftChars="200"/>
    </w:pPr>
    <w:rPr>
      <w:rFonts w:ascii="仿宋_GB2312"/>
      <w:szCs w:val="32"/>
    </w:rPr>
  </w:style>
  <w:style w:type="paragraph" w:styleId="8">
    <w:name w:val="toc 3"/>
    <w:basedOn w:val="1"/>
    <w:next w:val="1"/>
    <w:autoRedefine/>
    <w:unhideWhenUsed/>
    <w:qFormat/>
    <w:uiPriority w:val="39"/>
    <w:pPr>
      <w:tabs>
        <w:tab w:val="right" w:leader="dot" w:pos="8296"/>
      </w:tabs>
      <w:ind w:left="840" w:leftChars="400"/>
    </w:pPr>
  </w:style>
  <w:style w:type="paragraph" w:styleId="9">
    <w:name w:val="Balloon Text"/>
    <w:basedOn w:val="1"/>
    <w:link w:val="32"/>
    <w:autoRedefine/>
    <w:semiHidden/>
    <w:unhideWhenUsed/>
    <w:qFormat/>
    <w:uiPriority w:val="99"/>
    <w:rPr>
      <w:sz w:val="18"/>
      <w:szCs w:val="18"/>
    </w:rPr>
  </w:style>
  <w:style w:type="paragraph" w:styleId="10">
    <w:name w:val="footer"/>
    <w:basedOn w:val="1"/>
    <w:link w:val="24"/>
    <w:autoRedefine/>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2"/>
    <w:autoRedefine/>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autoRedefine/>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autoRedefine/>
    <w:unhideWhenUsed/>
    <w:qFormat/>
    <w:uiPriority w:val="39"/>
    <w:pPr>
      <w:tabs>
        <w:tab w:val="right" w:leader="dot" w:pos="8296"/>
      </w:tabs>
      <w:ind w:left="420" w:leftChars="200"/>
    </w:pPr>
  </w:style>
  <w:style w:type="paragraph" w:styleId="1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15">
    <w:name w:val="Body Text First Indent 2"/>
    <w:basedOn w:val="7"/>
    <w:next w:val="1"/>
    <w:unhideWhenUsed/>
    <w:qFormat/>
    <w:uiPriority w:val="99"/>
    <w:pPr>
      <w:ind w:firstLine="420" w:firstLine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paragraph" w:customStyle="1" w:styleId="2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21">
    <w:name w:val="Header Char"/>
    <w:basedOn w:val="17"/>
    <w:semiHidden/>
    <w:qFormat/>
    <w:uiPriority w:val="99"/>
    <w:rPr>
      <w:rFonts w:ascii="Times New Roman" w:hAnsi="Times New Roman"/>
      <w:sz w:val="18"/>
      <w:szCs w:val="18"/>
    </w:rPr>
  </w:style>
  <w:style w:type="character" w:customStyle="1" w:styleId="22">
    <w:name w:val="页眉 字符"/>
    <w:link w:val="11"/>
    <w:semiHidden/>
    <w:qFormat/>
    <w:locked/>
    <w:uiPriority w:val="99"/>
    <w:rPr>
      <w:sz w:val="18"/>
    </w:rPr>
  </w:style>
  <w:style w:type="character" w:customStyle="1" w:styleId="23">
    <w:name w:val="Footer Char"/>
    <w:basedOn w:val="17"/>
    <w:autoRedefine/>
    <w:semiHidden/>
    <w:qFormat/>
    <w:uiPriority w:val="99"/>
    <w:rPr>
      <w:rFonts w:ascii="Times New Roman" w:hAnsi="Times New Roman"/>
      <w:sz w:val="18"/>
      <w:szCs w:val="18"/>
    </w:rPr>
  </w:style>
  <w:style w:type="character" w:customStyle="1" w:styleId="24">
    <w:name w:val="页脚 字符"/>
    <w:link w:val="10"/>
    <w:qFormat/>
    <w:locked/>
    <w:uiPriority w:val="99"/>
    <w:rPr>
      <w:sz w:val="18"/>
    </w:rPr>
  </w:style>
  <w:style w:type="character" w:customStyle="1" w:styleId="25">
    <w:name w:val="Body Text Char"/>
    <w:basedOn w:val="17"/>
    <w:semiHidden/>
    <w:qFormat/>
    <w:uiPriority w:val="99"/>
    <w:rPr>
      <w:rFonts w:ascii="Times New Roman" w:hAnsi="Times New Roman"/>
      <w:szCs w:val="24"/>
    </w:rPr>
  </w:style>
  <w:style w:type="character" w:customStyle="1" w:styleId="26">
    <w:name w:val="正文文本 字符"/>
    <w:link w:val="6"/>
    <w:qFormat/>
    <w:locked/>
    <w:uiPriority w:val="99"/>
    <w:rPr>
      <w:rFonts w:ascii="仿宋_GB2312" w:hAnsi="Times New Roman" w:eastAsia="仿宋_GB2312"/>
      <w:sz w:val="24"/>
    </w:rPr>
  </w:style>
  <w:style w:type="paragraph" w:customStyle="1" w:styleId="27">
    <w:name w:val="Default"/>
    <w:autoRedefine/>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autoRedefine/>
    <w:qFormat/>
    <w:uiPriority w:val="34"/>
    <w:pPr>
      <w:ind w:firstLine="420" w:firstLineChars="200"/>
    </w:pPr>
  </w:style>
  <w:style w:type="character" w:customStyle="1" w:styleId="29">
    <w:name w:val="标题 1 字符"/>
    <w:basedOn w:val="17"/>
    <w:link w:val="3"/>
    <w:autoRedefine/>
    <w:qFormat/>
    <w:uiPriority w:val="9"/>
    <w:rPr>
      <w:rFonts w:ascii="Times New Roman" w:hAnsi="Times New Roman"/>
      <w:b/>
      <w:bCs/>
      <w:kern w:val="44"/>
      <w:sz w:val="44"/>
      <w:szCs w:val="44"/>
    </w:rPr>
  </w:style>
  <w:style w:type="character" w:customStyle="1" w:styleId="30">
    <w:name w:val="标题 2 字符"/>
    <w:basedOn w:val="17"/>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字符"/>
    <w:basedOn w:val="17"/>
    <w:link w:val="9"/>
    <w:autoRedefine/>
    <w:semiHidden/>
    <w:qFormat/>
    <w:uiPriority w:val="99"/>
    <w:rPr>
      <w:rFonts w:ascii="Times New Roman" w:hAnsi="Times New Roman"/>
      <w:kern w:val="2"/>
      <w:sz w:val="18"/>
      <w:szCs w:val="18"/>
    </w:rPr>
  </w:style>
  <w:style w:type="character" w:customStyle="1" w:styleId="33">
    <w:name w:val="标题 3 字符"/>
    <w:basedOn w:val="17"/>
    <w:link w:val="5"/>
    <w:autoRedefine/>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autoRedefine/>
    <w:qFormat/>
    <w:uiPriority w:val="0"/>
    <w:pPr>
      <w:spacing w:line="360" w:lineRule="auto"/>
    </w:pPr>
    <w:rPr>
      <w:rFonts w:ascii="??" w:hAnsi="??"/>
      <w:color w:val="000000"/>
      <w:kern w:val="0"/>
      <w:sz w:val="28"/>
      <w:szCs w:val="21"/>
      <w:lang w:val="zh-CN"/>
    </w:rPr>
  </w:style>
  <w:style w:type="character" w:customStyle="1" w:styleId="36">
    <w:name w:val="NormalCharacter"/>
    <w:link w:val="37"/>
    <w:autoRedefine/>
    <w:semiHidden/>
    <w:qFormat/>
    <w:uiPriority w:val="0"/>
    <w:rPr>
      <w:rFonts w:ascii="Calibri" w:hAnsi="Calibri"/>
      <w:kern w:val="0"/>
      <w:sz w:val="21"/>
      <w:szCs w:val="21"/>
      <w:lang w:val="en-US" w:eastAsia="zh-CN" w:bidi="ar-SA"/>
    </w:rPr>
  </w:style>
  <w:style w:type="paragraph" w:customStyle="1" w:styleId="37">
    <w:name w:val="UserStyle_1"/>
    <w:basedOn w:val="1"/>
    <w:next w:val="1"/>
    <w:link w:val="36"/>
    <w:autoRedefine/>
    <w:qFormat/>
    <w:uiPriority w:val="0"/>
    <w:pPr>
      <w:spacing w:line="240" w:lineRule="atLeast"/>
      <w:ind w:left="420" w:firstLine="420"/>
      <w:jc w:val="left"/>
      <w:textAlignment w:val="baseline"/>
    </w:pPr>
    <w:rPr>
      <w:rFonts w:ascii="Calibri" w:hAnsi="Calibri"/>
      <w:kern w:val="0"/>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HE\Desktop\&#20844;&#24320;&#21450;&#25209;&#22797;&#26448;&#26009;&#65288;&#20379;&#21442;&#32771;&#65289;\&#30465;&#26412;&#32423;\&#20844;&#24320;&#26448;&#26009;\&#20915;&#31639;&#20844;&#24320;&#25554;&#22270;&#21046;&#20316;&#31034;&#2036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29546865301055"/>
          <c:y val="0.00672743055555556"/>
          <c:w val="0.680167597765363"/>
          <c:h val="0.837890625"/>
        </c:manualLayout>
      </c:layout>
      <c:barChart>
        <c:barDir val="col"/>
        <c:grouping val="clustered"/>
        <c:varyColors val="0"/>
        <c:ser>
          <c:idx val="0"/>
          <c:order val="0"/>
          <c:spPr>
            <a:solidFill>
              <a:schemeClr val="accent1"/>
            </a:solidFill>
          </c:spPr>
          <c:invertIfNegative val="0"/>
          <c:dPt>
            <c:idx val="1"/>
            <c:invertIfNegative val="0"/>
            <c:bubble3D val="0"/>
            <c:spPr>
              <a:solidFill>
                <a:srgbClr val="FFC000"/>
              </a:solidFill>
            </c:spPr>
          </c:dPt>
          <c:dLbls>
            <c:dLbl>
              <c:idx val="0"/>
              <c:layout/>
              <c:tx>
                <c:rich>
                  <a:bodyPr rot="0" spcFirstLastPara="0" vertOverflow="ellipsis" vert="horz" wrap="square" lIns="38100" tIns="19050" rIns="38100" bIns="19050" anchor="ctr" anchorCtr="1"/>
                  <a:lstStyle/>
                  <a:p>
                    <a:pPr defTabSz="914400">
                      <a:defRPr lang="zh-CN" sz="1000" b="0" i="0" u="none" strike="noStrike" kern="1200" baseline="0">
                        <a:solidFill>
                          <a:schemeClr val="tx1"/>
                        </a:solidFill>
                        <a:latin typeface="+mn-lt"/>
                        <a:ea typeface="+mn-ea"/>
                        <a:cs typeface="+mn-cs"/>
                      </a:defRPr>
                    </a:pPr>
                    <a:r>
                      <a:t>16473.</a:t>
                    </a:r>
                    <a:r>
                      <a:rPr lang="en-US" altLang="zh-CN"/>
                      <a:t>3</a:t>
                    </a:r>
                    <a:r>
                      <a:t>6</a:t>
                    </a:r>
                  </a:p>
                </c:rich>
              </c:tx>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[决算公开插图制作示例.xlsx]图一!$A$1:$B$1</c:f>
              <c:strCache>
                <c:ptCount val="2"/>
                <c:pt idx="0">
                  <c:v>2021年</c:v>
                </c:pt>
                <c:pt idx="1">
                  <c:v>2022年</c:v>
                </c:pt>
              </c:strCache>
            </c:strRef>
          </c:cat>
          <c:val>
            <c:numRef>
              <c:f>[决算公开插图制作示例.xlsx]图一!$A$2:$B$2</c:f>
              <c:numCache>
                <c:formatCode>General</c:formatCode>
                <c:ptCount val="2"/>
                <c:pt idx="0">
                  <c:v>16473.26</c:v>
                </c:pt>
                <c:pt idx="1">
                  <c:v>12929.71</c:v>
                </c:pt>
              </c:numCache>
            </c:numRef>
          </c:val>
        </c:ser>
        <c:dLbls>
          <c:showLegendKey val="0"/>
          <c:showVal val="1"/>
          <c:showCatName val="0"/>
          <c:showSerName val="0"/>
          <c:showPercent val="0"/>
          <c:showBubbleSize val="0"/>
        </c:dLbls>
        <c:gapWidth val="150"/>
        <c:axId val="132649344"/>
        <c:axId val="132650880"/>
      </c:barChart>
      <c:catAx>
        <c:axId val="13264934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50880"/>
        <c:crosses val="autoZero"/>
        <c:auto val="1"/>
        <c:lblAlgn val="ctr"/>
        <c:lblOffset val="100"/>
        <c:noMultiLvlLbl val="0"/>
      </c:catAx>
      <c:valAx>
        <c:axId val="132650880"/>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2649344"/>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图</a:t>
            </a:r>
            <a:r>
              <a:rPr lang="en-US" altLang="zh-CN"/>
              <a:t>2:</a:t>
            </a:r>
            <a:r>
              <a:rPr altLang="en-US"/>
              <a:t>收入决算结构图</a:t>
            </a:r>
            <a:endParaRPr altLang="en-US"/>
          </a:p>
        </c:rich>
      </c:tx>
      <c:layout/>
      <c:overlay val="0"/>
      <c:spPr>
        <a:noFill/>
        <a:ln>
          <a:noFill/>
        </a:ln>
        <a:effectLst/>
      </c:spPr>
    </c:title>
    <c:autoTitleDeleted val="0"/>
    <c:plotArea>
      <c:layout>
        <c:manualLayout>
          <c:layoutTarget val="inner"/>
          <c:xMode val="edge"/>
          <c:yMode val="edge"/>
          <c:x val="0.342013888888889"/>
          <c:y val="0.176388888888889"/>
          <c:w val="0.324305555555556"/>
          <c:h val="0.540509259259259"/>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[决算公开插图制作示例.xlsx]图二!$B$1:$B$6</c:f>
              <c:numCache>
                <c:formatCode>#,##0.00</c:formatCode>
                <c:ptCount val="6"/>
                <c:pt idx="0">
                  <c:v>9447.05</c:v>
                </c:pt>
                <c:pt idx="1" c:formatCode="General">
                  <c:v>0</c:v>
                </c:pt>
                <c:pt idx="2" c:formatCode="General">
                  <c:v>0</c:v>
                </c:pt>
                <c:pt idx="3" c:formatCode="General">
                  <c:v>0</c:v>
                </c:pt>
                <c:pt idx="4" c:formatCode="General">
                  <c:v>0</c:v>
                </c:pt>
                <c:pt idx="5" c:formatCode="General">
                  <c:v>0</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Lbl>
              <c:idx val="1"/>
              <c:layout>
                <c:manualLayout>
                  <c:x val="0.0321654287916653"/>
                  <c:y val="-0.14979027458553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[决算公开插图制作示例.xlsx]图二!$A$1:$A$6</c:f>
              <c:strCache>
                <c:ptCount val="6"/>
                <c:pt idx="0">
                  <c:v>一、一般公共预算财政拨款收入</c:v>
                </c:pt>
                <c:pt idx="1">
                  <c:v>二、政府性基金预算财政拨款收入</c:v>
                </c:pt>
                <c:pt idx="2">
                  <c:v>三、国有资本经营预算财政拨款收入</c:v>
                </c:pt>
                <c:pt idx="3">
                  <c:v>四、事业收入</c:v>
                </c:pt>
                <c:pt idx="4">
                  <c:v>五、经营收入</c:v>
                </c:pt>
                <c:pt idx="5">
                  <c:v>六、其他收入</c:v>
                </c:pt>
              </c:strCache>
            </c:strRef>
          </c:cat>
          <c:val>
            <c:numRef>
              <c:f>[决算公开插图制作示例.xlsx]图二!$C$1:$C$6</c:f>
              <c:numCache>
                <c:formatCode>0.00%</c:formatCode>
                <c:ptCount val="6"/>
                <c:pt idx="0">
                  <c:v>1</c:v>
                </c:pt>
                <c:pt idx="1">
                  <c:v>0</c:v>
                </c:pt>
                <c:pt idx="2">
                  <c:v>0</c:v>
                </c:pt>
                <c:pt idx="3">
                  <c:v>0</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9224846894138"/>
          <c:y val="0.150462962962963"/>
          <c:w val="0.566371172353456"/>
          <c:h val="0.689814814814815"/>
        </c:manualLayout>
      </c:layout>
      <c:pieChart>
        <c:varyColors val="1"/>
        <c:ser>
          <c:idx val="0"/>
          <c:order val="0"/>
          <c:explosion val="0"/>
          <c:dPt>
            <c:idx val="0"/>
            <c:bubble3D val="0"/>
          </c:dPt>
          <c:dPt>
            <c:idx val="1"/>
            <c:bubble3D val="0"/>
          </c:dPt>
          <c:dLbls>
            <c:dLbl>
              <c:idx val="0"/>
              <c:layout>
                <c:manualLayout>
                  <c:x val="0.0848707349081365"/>
                  <c:y val="-0.17157334499854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6458880139982"/>
                  <c:y val="0.14014727325750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[决算公开插图制作示例.xlsx]图三!$A$2:$B$2</c:f>
              <c:strCache>
                <c:ptCount val="2"/>
                <c:pt idx="0">
                  <c:v>基本支出</c:v>
                </c:pt>
                <c:pt idx="1">
                  <c:v>项目支出</c:v>
                </c:pt>
              </c:strCache>
            </c:strRef>
          </c:cat>
          <c:val>
            <c:numRef>
              <c:f>[决算公开插图制作示例.xlsx]图三!$A$3:$B$3</c:f>
              <c:numCache>
                <c:formatCode>0.00%</c:formatCode>
                <c:ptCount val="2"/>
                <c:pt idx="0">
                  <c:v>0.0336</c:v>
                </c:pt>
                <c:pt idx="1">
                  <c:v>0.9664</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777043088363955"/>
          <c:y val="0.434801326917469"/>
          <c:w val="0.186845800524934"/>
          <c:h val="0.1674343832021"/>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9668853893263"/>
          <c:y val="0.0514005540974045"/>
          <c:w val="0.587929790026247"/>
          <c:h val="0.824965368912219"/>
        </c:manualLayout>
      </c:layout>
      <c:barChart>
        <c:barDir val="col"/>
        <c:grouping val="clustered"/>
        <c:varyColors val="0"/>
        <c:ser>
          <c:idx val="0"/>
          <c:order val="0"/>
          <c:invertIfNegative val="0"/>
          <c:dPt>
            <c:idx val="1"/>
            <c:invertIfNegative val="0"/>
            <c:bubble3D val="0"/>
            <c:spPr>
              <a:solidFill>
                <a:srgbClr val="C0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'[决算公开插图制作示例.xlsx]图4 '!$A$1:$B$1</c:f>
              <c:strCache>
                <c:ptCount val="2"/>
                <c:pt idx="0">
                  <c:v>2021年</c:v>
                </c:pt>
                <c:pt idx="1">
                  <c:v>2022年</c:v>
                </c:pt>
              </c:strCache>
            </c:strRef>
          </c:cat>
          <c:val>
            <c:numRef>
              <c:f>'[决算公开插图制作示例.xlsx]图4 '!$A$2:$B$2</c:f>
              <c:numCache>
                <c:formatCode>General</c:formatCode>
                <c:ptCount val="2"/>
                <c:pt idx="0">
                  <c:v>16473.36</c:v>
                </c:pt>
                <c:pt idx="1">
                  <c:v>12929.71</c:v>
                </c:pt>
              </c:numCache>
            </c:numRef>
          </c:val>
        </c:ser>
        <c:dLbls>
          <c:showLegendKey val="0"/>
          <c:showVal val="1"/>
          <c:showCatName val="0"/>
          <c:showSerName val="0"/>
          <c:showPercent val="0"/>
          <c:showBubbleSize val="0"/>
        </c:dLbls>
        <c:gapWidth val="150"/>
        <c:axId val="133066112"/>
        <c:axId val="133084288"/>
      </c:barChart>
      <c:catAx>
        <c:axId val="133066112"/>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084288"/>
        <c:crosses val="autoZero"/>
        <c:auto val="1"/>
        <c:lblAlgn val="ctr"/>
        <c:lblOffset val="100"/>
        <c:noMultiLvlLbl val="0"/>
      </c:catAx>
      <c:valAx>
        <c:axId val="13308428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066112"/>
        <c:crosses val="autoZero"/>
        <c:crossBetween val="between"/>
      </c:valAx>
    </c:plotArea>
    <c:legend>
      <c:legendPos val="r"/>
      <c:layout>
        <c:manualLayout>
          <c:xMode val="edge"/>
          <c:yMode val="edge"/>
          <c:x val="0.763154199475066"/>
          <c:y val="0.360343394575678"/>
          <c:w val="0.220179133858268"/>
          <c:h val="0.279313210848644"/>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98571741032371"/>
          <c:y val="0.168676727909011"/>
          <c:w val="0.606249125109361"/>
          <c:h val="0.679911417322835"/>
        </c:manualLayout>
      </c:layout>
      <c:barChart>
        <c:barDir val="col"/>
        <c:grouping val="clustered"/>
        <c:varyColors val="0"/>
        <c:ser>
          <c:idx val="0"/>
          <c:order val="0"/>
          <c:invertIfNegative val="0"/>
          <c:dPt>
            <c:idx val="1"/>
            <c:invertIfNegative val="0"/>
            <c:bubble3D val="0"/>
            <c:spPr>
              <a:solidFill>
                <a:srgbClr val="FF0000"/>
              </a:solidFill>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[决算公开插图制作示例.xlsx]图5!$A$1:$B$1</c:f>
              <c:strCache>
                <c:ptCount val="2"/>
                <c:pt idx="0">
                  <c:v>2021年</c:v>
                </c:pt>
                <c:pt idx="1">
                  <c:v>2022年</c:v>
                </c:pt>
              </c:strCache>
            </c:strRef>
          </c:cat>
          <c:val>
            <c:numRef>
              <c:f>[决算公开插图制作示例.xlsx]图5!$A$2:$B$2</c:f>
              <c:numCache>
                <c:formatCode>General</c:formatCode>
                <c:ptCount val="2"/>
                <c:pt idx="0">
                  <c:v>16473.36</c:v>
                </c:pt>
                <c:pt idx="1">
                  <c:v>12929.71</c:v>
                </c:pt>
              </c:numCache>
            </c:numRef>
          </c:val>
        </c:ser>
        <c:dLbls>
          <c:showLegendKey val="0"/>
          <c:showVal val="1"/>
          <c:showCatName val="0"/>
          <c:showSerName val="0"/>
          <c:showPercent val="0"/>
          <c:showBubbleSize val="0"/>
        </c:dLbls>
        <c:gapWidth val="150"/>
        <c:axId val="133142016"/>
        <c:axId val="133143552"/>
      </c:barChart>
      <c:catAx>
        <c:axId val="133142016"/>
        <c:scaling>
          <c:orientation val="minMax"/>
        </c:scaling>
        <c:delete val="0"/>
        <c:axPos val="b"/>
        <c:majorTickMark val="out"/>
        <c:minorTickMark val="none"/>
        <c:tickLblPos val="nextTo"/>
        <c:txPr>
          <a:bodyPr rot="-60000000" spcFirstLastPara="0" vertOverflow="ellipsis" vert="horz" wrap="square" anchor="ctr" anchorCtr="1"/>
          <a:lstStyle/>
          <a:p>
            <a:pPr>
              <a:defRPr lang="zh-CN" sz="600" b="0" i="0" u="none" strike="noStrike" kern="1200" baseline="0">
                <a:solidFill>
                  <a:schemeClr val="tx1"/>
                </a:solidFill>
                <a:latin typeface="+mn-lt"/>
                <a:ea typeface="+mn-ea"/>
                <a:cs typeface="+mn-cs"/>
              </a:defRPr>
            </a:pPr>
          </a:p>
        </c:txPr>
        <c:crossAx val="133143552"/>
        <c:crosses val="autoZero"/>
        <c:auto val="1"/>
        <c:lblAlgn val="ctr"/>
        <c:lblOffset val="100"/>
        <c:noMultiLvlLbl val="0"/>
      </c:catAx>
      <c:valAx>
        <c:axId val="13314355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133142016"/>
        <c:crosses val="autoZero"/>
        <c:crossBetween val="between"/>
      </c:valAx>
    </c:plotArea>
    <c:legend>
      <c:legendPos val="tr"/>
      <c:layout>
        <c:manualLayout>
          <c:xMode val="edge"/>
          <c:yMode val="edge"/>
          <c:x val="0.765931977252843"/>
          <c:y val="0.236111111111111"/>
          <c:w val="0.211845800524934"/>
          <c:h val="0.45523913677457"/>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spPr>
              <a:solidFill>
                <a:schemeClr val="tx2">
                  <a:lumMod val="40000"/>
                  <a:lumOff val="60000"/>
                </a:schemeClr>
              </a:solidFill>
            </c:spPr>
          </c:dPt>
          <c:dPt>
            <c:idx val="1"/>
            <c:bubble3D val="0"/>
          </c:dPt>
          <c:dPt>
            <c:idx val="2"/>
            <c:bubble3D val="0"/>
          </c:dPt>
          <c:dPt>
            <c:idx val="3"/>
            <c:bubble3D val="0"/>
          </c:dPt>
          <c:dLbls>
            <c:dLbl>
              <c:idx val="0"/>
              <c:layout>
                <c:manualLayout>
                  <c:x val="0.0483216316710411"/>
                  <c:y val="0.097738043161271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46208442694663"/>
                  <c:y val="-0.03596310877806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00951443569554"/>
                  <c:y val="-0.13227836103820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166543197725284"/>
                  <c:y val="-0.108673447069116"/>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[决算公开插图制作示例.xlsx]图6!$A$2:$A$5</c:f>
              <c:strCache>
                <c:ptCount val="4"/>
                <c:pt idx="0">
                  <c:v>农林水（类）支出</c:v>
                </c:pt>
                <c:pt idx="1">
                  <c:v>社会保障和就业（类）支出</c:v>
                </c:pt>
                <c:pt idx="2">
                  <c:v>卫生健康(类)支出</c:v>
                </c:pt>
                <c:pt idx="3">
                  <c:v>住房保障（类）支出</c:v>
                </c:pt>
              </c:strCache>
            </c:strRef>
          </c:cat>
          <c:val>
            <c:numRef>
              <c:f>[决算公开插图制作示例.xlsx]图6!$B$2:$B$5</c:f>
              <c:numCache>
                <c:formatCode>General</c:formatCode>
                <c:ptCount val="4"/>
                <c:pt idx="0">
                  <c:v>12498.71</c:v>
                </c:pt>
                <c:pt idx="1">
                  <c:v>389.58</c:v>
                </c:pt>
                <c:pt idx="2">
                  <c:v>16.72</c:v>
                </c:pt>
                <c:pt idx="3">
                  <c:v>24.7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explosion val="0"/>
          <c:dPt>
            <c:idx val="0"/>
            <c:bubble3D val="0"/>
          </c:dPt>
          <c:dPt>
            <c:idx val="1"/>
            <c:bubble3D val="0"/>
          </c:dPt>
          <c:dPt>
            <c:idx val="2"/>
            <c:bubble3D val="0"/>
          </c:dPt>
          <c:dLbls>
            <c:dLbl>
              <c:idx val="0"/>
              <c:layout>
                <c:manualLayout>
                  <c:x val="-0.0677309711286089"/>
                  <c:y val="-0.062589676290463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112130139982502"/>
                  <c:y val="-0.049858194808982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179491251093613"/>
                  <c:y val="0.054969743365412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[决算公开插图制作示例.xlsx]图7!$A$2:$A$4</c:f>
              <c:strCache>
                <c:ptCount val="3"/>
                <c:pt idx="0">
                  <c:v>因公出国（境）费支出</c:v>
                </c:pt>
                <c:pt idx="1">
                  <c:v>公务用车购置及运行维护费支出</c:v>
                </c:pt>
                <c:pt idx="2">
                  <c:v>公务接待费支出</c:v>
                </c:pt>
              </c:strCache>
            </c:strRef>
          </c:cat>
          <c:val>
            <c:numRef>
              <c:f>[决算公开插图制作示例.xlsx]图7!$B$2:$B$4</c:f>
              <c:numCache>
                <c:formatCode>General</c:formatCode>
                <c:ptCount val="3"/>
                <c:pt idx="0">
                  <c:v>0</c:v>
                </c:pt>
                <c:pt idx="1">
                  <c:v>0</c:v>
                </c:pt>
                <c:pt idx="2">
                  <c:v>2.77</c:v>
                </c:pt>
              </c:numCache>
            </c:numRef>
          </c:val>
        </c:ser>
        <c:dLbls>
          <c:showLegendKey val="0"/>
          <c:showVal val="1"/>
          <c:showCatName val="0"/>
          <c:showSerName val="0"/>
          <c:showPercent val="0"/>
          <c:showBubbleSize val="0"/>
          <c:showLeaderLines val="1"/>
        </c:dLbls>
        <c:firstSliceAng val="15"/>
      </c:pieChart>
      <c:spPr>
        <a:noFill/>
        <a:ln>
          <a:noFill/>
        </a:ln>
        <a:effectLst/>
      </c:spPr>
    </c:plotArea>
    <c:legend>
      <c:legendPos val="r"/>
      <c:layout>
        <c:manualLayout>
          <c:xMode val="edge"/>
          <c:yMode val="edge"/>
          <c:x val="0.662401861006106"/>
          <c:y val="0.338638098488179"/>
        </c:manualLayout>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9498</Words>
  <Characters>10311</Characters>
  <Lines>58</Lines>
  <Paragraphs>16</Paragraphs>
  <TotalTime>9</TotalTime>
  <ScaleCrop>false</ScaleCrop>
  <LinksUpToDate>false</LinksUpToDate>
  <CharactersWithSpaces>10444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罗汉</cp:lastModifiedBy>
  <cp:lastPrinted>2023-07-31T02:35:00Z</cp:lastPrinted>
  <dcterms:modified xsi:type="dcterms:W3CDTF">2023-12-27T07:22:38Z</dcterms:modified>
  <dc:title>四川省***</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FE3B60C91A9641EEA77843B5A0802A7B_13</vt:lpwstr>
  </property>
</Properties>
</file>