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425"/>
      <w:bookmarkStart w:id="2" w:name="_Toc15396597"/>
      <w:bookmarkStart w:id="3" w:name="_Toc15377193"/>
      <w:bookmarkStart w:id="4" w:name="_Toc15396475"/>
      <w:bookmarkStart w:id="5" w:name="_Toc15378441"/>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426"/>
      <w:bookmarkStart w:id="7" w:name="_Toc15378442"/>
      <w:bookmarkStart w:id="8" w:name="_Toc15396598"/>
      <w:bookmarkStart w:id="9" w:name="_Toc15377194"/>
      <w:bookmarkStart w:id="10" w:name="_Toc15396476"/>
      <w:r>
        <w:rPr>
          <w:rFonts w:hint="eastAsia" w:ascii="方正小标宋简体" w:hAnsi="方正小标宋简体" w:eastAsia="方正小标宋简体" w:cs="方正小标宋简体"/>
          <w:sz w:val="72"/>
          <w:szCs w:val="72"/>
        </w:rPr>
        <w:t>剑阁县</w:t>
      </w:r>
      <w:bookmarkEnd w:id="0"/>
      <w:bookmarkStart w:id="11" w:name="_Toc15306268"/>
      <w:r>
        <w:rPr>
          <w:rFonts w:hint="eastAsia" w:ascii="方正小标宋简体" w:hAnsi="方正小标宋简体" w:eastAsia="方正小标宋简体" w:cs="方正小标宋简体"/>
          <w:sz w:val="72"/>
          <w:szCs w:val="72"/>
          <w:lang w:val="en-US" w:eastAsia="zh-CN"/>
        </w:rPr>
        <w:t>交通运输综合服务中心</w:t>
      </w: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sz w:val="52"/>
          <w:szCs w:val="52"/>
        </w:rPr>
      </w:pP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pPr>
      <w:r>
        <w:rPr>
          <w:rFonts w:hint="eastAsia"/>
        </w:rPr>
        <w:t xml:space="preserve">公开时间：2023年 </w:t>
      </w:r>
      <w:r>
        <w:rPr>
          <w:rFonts w:hint="eastAsia"/>
          <w:lang w:val="en-US" w:eastAsia="zh-CN"/>
        </w:rPr>
        <w:t>10</w:t>
      </w:r>
      <w:r>
        <w:rPr>
          <w:rFonts w:hint="eastAsia"/>
        </w:rPr>
        <w:t>月</w:t>
      </w:r>
      <w:r>
        <w:rPr>
          <w:rFonts w:hint="eastAsia"/>
          <w:lang w:val="en-US" w:eastAsia="zh-CN"/>
        </w:rPr>
        <w:t>16</w:t>
      </w:r>
      <w:r>
        <w:rPr>
          <w:rFonts w:hint="eastAsia"/>
        </w:rPr>
        <w:t xml:space="preserve"> 日</w:t>
      </w:r>
    </w:p>
    <w:p/>
    <w:p>
      <w:pPr>
        <w:pStyle w:val="12"/>
        <w:numPr>
          <w:ilvl w:val="0"/>
          <w:numId w:val="1"/>
        </w:numPr>
        <w:tabs>
          <w:tab w:val="left" w:pos="6941"/>
          <w:tab w:val="clear" w:pos="8296"/>
        </w:tabs>
        <w:adjustRightInd w:val="0"/>
        <w:snapToGrid w:val="0"/>
        <w:spacing w:before="0" w:line="440" w:lineRule="exact"/>
        <w:jc w:val="left"/>
        <w:rPr>
          <w:rFonts w:hint="eastAsia" w:ascii="微软雅黑" w:hAnsi="微软雅黑" w:eastAsia="微软雅黑" w:cs="微软雅黑"/>
          <w:sz w:val="24"/>
          <w:szCs w:val="24"/>
          <w:lang w:val="en-US" w:eastAsia="zh-CN"/>
        </w:rPr>
      </w:pPr>
      <w:r>
        <w:rPr>
          <w:rFonts w:hint="eastAsia"/>
          <w:sz w:val="24"/>
          <w:szCs w:val="24"/>
        </w:rPr>
        <w:t>单位概况</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.4</w:t>
      </w:r>
    </w:p>
    <w:p>
      <w:pPr>
        <w:pStyle w:val="13"/>
        <w:numPr>
          <w:ilvl w:val="0"/>
          <w:numId w:val="2"/>
        </w:numPr>
        <w:adjustRightInd w:val="0"/>
        <w:snapToGrid w:val="0"/>
        <w:spacing w:line="440" w:lineRule="exact"/>
        <w:jc w:val="left"/>
        <w:rPr>
          <w:rFonts w:hint="eastAsia" w:ascii="微软雅黑" w:hAnsi="微软雅黑" w:eastAsia="微软雅黑" w:cs="微软雅黑"/>
          <w:sz w:val="24"/>
          <w:szCs w:val="24"/>
          <w:lang w:val="en-US" w:eastAsia="zh-CN"/>
        </w:rPr>
      </w:pPr>
      <w:r>
        <w:rPr>
          <w:rFonts w:hint="eastAsia"/>
          <w:sz w:val="24"/>
          <w:szCs w:val="24"/>
        </w:rPr>
        <w:t>主要职责及重点</w:t>
      </w:r>
      <w:r>
        <w:rPr>
          <w:sz w:val="24"/>
          <w:szCs w:val="24"/>
        </w:rPr>
        <w:t>工作</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4</w:t>
      </w:r>
    </w:p>
    <w:p>
      <w:pPr>
        <w:pStyle w:val="13"/>
        <w:numPr>
          <w:ilvl w:val="0"/>
          <w:numId w:val="3"/>
        </w:numPr>
        <w:adjustRightInd w:val="0"/>
        <w:snapToGrid w:val="0"/>
        <w:spacing w:line="440" w:lineRule="exact"/>
        <w:jc w:val="left"/>
        <w:rPr>
          <w:sz w:val="24"/>
          <w:szCs w:val="24"/>
        </w:rPr>
      </w:pPr>
      <w:r>
        <w:rPr>
          <w:rFonts w:hint="eastAsia"/>
          <w:sz w:val="24"/>
          <w:szCs w:val="24"/>
        </w:rPr>
        <w:t>单位</w:t>
      </w:r>
      <w:r>
        <w:rPr>
          <w:sz w:val="24"/>
          <w:szCs w:val="24"/>
        </w:rPr>
        <w:t>职责</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4</w:t>
      </w:r>
    </w:p>
    <w:p>
      <w:pPr>
        <w:pStyle w:val="13"/>
        <w:numPr>
          <w:ilvl w:val="0"/>
          <w:numId w:val="0"/>
        </w:numPr>
        <w:adjustRightInd w:val="0"/>
        <w:snapToGrid w:val="0"/>
        <w:spacing w:line="440" w:lineRule="exact"/>
        <w:ind w:firstLine="480" w:firstLineChars="200"/>
        <w:jc w:val="left"/>
        <w:rPr>
          <w:rFonts w:hint="default"/>
          <w:b/>
          <w:bCs/>
          <w:sz w:val="24"/>
          <w:szCs w:val="24"/>
          <w:lang w:val="en-US"/>
        </w:rPr>
      </w:pPr>
      <w:r>
        <w:rPr>
          <w:rFonts w:hint="eastAsia"/>
          <w:sz w:val="24"/>
          <w:szCs w:val="24"/>
        </w:rPr>
        <w:t>（二）2022年重点工作完成情况</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5</w:t>
      </w:r>
    </w:p>
    <w:p>
      <w:pPr>
        <w:pStyle w:val="13"/>
        <w:adjustRightInd w:val="0"/>
        <w:snapToGrid w:val="0"/>
        <w:spacing w:line="440" w:lineRule="exact"/>
        <w:ind w:left="0" w:leftChars="0" w:firstLine="480" w:firstLineChars="200"/>
        <w:jc w:val="left"/>
        <w:rPr>
          <w:rFonts w:hint="default" w:cs="Times New Roman"/>
          <w:kern w:val="2"/>
          <w:sz w:val="24"/>
          <w:szCs w:val="24"/>
          <w:lang w:val="en-US" w:eastAsia="zh-CN" w:bidi="ar-SA"/>
        </w:rPr>
      </w:pPr>
      <w:r>
        <w:rPr>
          <w:rFonts w:hint="eastAsia"/>
          <w:sz w:val="24"/>
          <w:szCs w:val="24"/>
          <w:lang w:eastAsia="zh-CN"/>
        </w:rPr>
        <w:t>二、</w:t>
      </w:r>
      <w:r>
        <w:rPr>
          <w:rFonts w:hint="eastAsia" w:ascii="Times New Roman" w:hAnsi="Times New Roman" w:eastAsia="宋体" w:cs="Times New Roman"/>
          <w:kern w:val="2"/>
          <w:sz w:val="24"/>
          <w:szCs w:val="24"/>
          <w:lang w:val="en-US" w:eastAsia="zh-CN" w:bidi="ar-SA"/>
        </w:rPr>
        <w:t>机构设置</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..11</w:t>
      </w:r>
    </w:p>
    <w:p>
      <w:pPr>
        <w:pStyle w:val="13"/>
        <w:adjustRightInd w:val="0"/>
        <w:snapToGrid w:val="0"/>
        <w:spacing w:line="440" w:lineRule="exact"/>
        <w:jc w:val="left"/>
        <w:rPr>
          <w:rFonts w:hint="default"/>
          <w:sz w:val="24"/>
          <w:szCs w:val="24"/>
          <w:lang w:val="en-US"/>
        </w:rPr>
      </w:pPr>
      <w:r>
        <w:rPr>
          <w:rFonts w:hint="eastAsia"/>
          <w:sz w:val="24"/>
          <w:szCs w:val="24"/>
        </w:rPr>
        <w:t>第二部分 2022年度单位决</w:t>
      </w:r>
      <w:r>
        <w:rPr>
          <w:rFonts w:hint="eastAsia"/>
          <w:sz w:val="24"/>
          <w:szCs w:val="24"/>
          <w:lang w:val="en-US" w:eastAsia="zh-CN"/>
        </w:rPr>
        <w:t>算说</w:t>
      </w:r>
      <w:r>
        <w:rPr>
          <w:rFonts w:hint="eastAsia"/>
          <w:sz w:val="24"/>
          <w:szCs w:val="24"/>
        </w:rPr>
        <w:t>明</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...12</w:t>
      </w:r>
    </w:p>
    <w:p>
      <w:pPr>
        <w:pStyle w:val="13"/>
        <w:adjustRightInd w:val="0"/>
        <w:snapToGrid w:val="0"/>
        <w:spacing w:line="440" w:lineRule="exact"/>
        <w:jc w:val="left"/>
        <w:rPr>
          <w:rFonts w:hint="default" w:ascii="仿宋" w:hAnsi="仿宋" w:eastAsia="仿宋" w:cstheme="minorBidi"/>
          <w:sz w:val="24"/>
          <w:szCs w:val="24"/>
          <w:lang w:val="en-US"/>
        </w:rPr>
      </w:pPr>
      <w:r>
        <w:rPr>
          <w:rFonts w:hint="eastAsia"/>
          <w:sz w:val="24"/>
          <w:szCs w:val="24"/>
        </w:rPr>
        <w:t>一、收入支出决算总体情况说明</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12</w:t>
      </w:r>
    </w:p>
    <w:p>
      <w:pPr>
        <w:pStyle w:val="13"/>
        <w:adjustRightInd w:val="0"/>
        <w:snapToGrid w:val="0"/>
        <w:spacing w:line="440" w:lineRule="exact"/>
        <w:jc w:val="left"/>
        <w:rPr>
          <w:rFonts w:hint="default" w:ascii="仿宋" w:hAnsi="仿宋" w:eastAsia="仿宋" w:cstheme="minorBidi"/>
          <w:sz w:val="24"/>
          <w:szCs w:val="24"/>
          <w:lang w:val="en-US"/>
        </w:rPr>
      </w:pPr>
      <w:r>
        <w:rPr>
          <w:rFonts w:hint="eastAsia"/>
          <w:sz w:val="24"/>
          <w:szCs w:val="24"/>
        </w:rPr>
        <w:t>二、收入决算情况说明</w:t>
      </w:r>
      <w:r>
        <w:rPr>
          <w:rFonts w:hint="eastAsia" w:ascii="微软雅黑" w:hAnsi="微软雅黑" w:eastAsia="微软雅黑" w:cs="微软雅黑"/>
          <w:sz w:val="24"/>
          <w:szCs w:val="24"/>
          <w:lang w:eastAsia="zh-CN"/>
        </w:rPr>
        <w:t>……………………………………………………………………</w:t>
      </w:r>
      <w:r>
        <w:rPr>
          <w:rFonts w:hint="default" w:ascii="Arial" w:hAnsi="Arial" w:eastAsia="微软雅黑" w:cs="Arial"/>
          <w:sz w:val="24"/>
          <w:szCs w:val="24"/>
          <w:lang w:eastAsia="zh-CN"/>
        </w:rPr>
        <w:t>…</w:t>
      </w:r>
      <w:r>
        <w:rPr>
          <w:rFonts w:hint="eastAsia" w:ascii="微软雅黑" w:hAnsi="微软雅黑" w:eastAsia="微软雅黑" w:cs="微软雅黑"/>
          <w:sz w:val="24"/>
          <w:szCs w:val="24"/>
          <w:lang w:val="en-US" w:eastAsia="zh-CN"/>
        </w:rPr>
        <w:t>12</w:t>
      </w:r>
    </w:p>
    <w:p>
      <w:pPr>
        <w:pStyle w:val="13"/>
        <w:adjustRightInd w:val="0"/>
        <w:snapToGrid w:val="0"/>
        <w:spacing w:line="440" w:lineRule="exact"/>
        <w:jc w:val="left"/>
        <w:rPr>
          <w:rFonts w:hint="default" w:ascii="仿宋" w:hAnsi="仿宋" w:eastAsia="仿宋" w:cstheme="minorBidi"/>
          <w:sz w:val="24"/>
          <w:szCs w:val="24"/>
          <w:lang w:val="en-US"/>
        </w:rPr>
      </w:pPr>
      <w:r>
        <w:rPr>
          <w:rFonts w:hint="eastAsia"/>
          <w:sz w:val="24"/>
          <w:szCs w:val="24"/>
        </w:rPr>
        <w:t>三、支出决算情况说明</w:t>
      </w:r>
      <w:r>
        <w:rPr>
          <w:rFonts w:hint="eastAsia" w:ascii="微软雅黑" w:hAnsi="微软雅黑" w:eastAsia="微软雅黑" w:cs="微软雅黑"/>
          <w:sz w:val="24"/>
          <w:szCs w:val="24"/>
          <w:lang w:eastAsia="zh-CN"/>
        </w:rPr>
        <w:t>……………………………………………………………………</w:t>
      </w:r>
      <w:r>
        <w:rPr>
          <w:rFonts w:hint="default" w:ascii="Arial" w:hAnsi="Arial" w:eastAsia="微软雅黑" w:cs="Arial"/>
          <w:sz w:val="24"/>
          <w:szCs w:val="24"/>
          <w:lang w:eastAsia="zh-CN"/>
        </w:rPr>
        <w:t>…</w:t>
      </w:r>
      <w:r>
        <w:rPr>
          <w:rFonts w:hint="eastAsia" w:ascii="微软雅黑" w:hAnsi="微软雅黑" w:eastAsia="微软雅黑" w:cs="微软雅黑"/>
          <w:sz w:val="24"/>
          <w:szCs w:val="24"/>
          <w:lang w:val="en-US" w:eastAsia="zh-CN"/>
        </w:rPr>
        <w:t>13</w:t>
      </w:r>
    </w:p>
    <w:p>
      <w:pPr>
        <w:pStyle w:val="13"/>
        <w:adjustRightInd w:val="0"/>
        <w:snapToGrid w:val="0"/>
        <w:spacing w:line="440" w:lineRule="exact"/>
        <w:jc w:val="left"/>
        <w:rPr>
          <w:rFonts w:hint="default" w:ascii="仿宋" w:hAnsi="仿宋" w:eastAsia="仿宋" w:cstheme="minorBidi"/>
          <w:sz w:val="24"/>
          <w:szCs w:val="24"/>
          <w:lang w:val="en-US"/>
        </w:rPr>
      </w:pPr>
      <w:r>
        <w:rPr>
          <w:rFonts w:hint="eastAsia"/>
          <w:sz w:val="24"/>
          <w:szCs w:val="24"/>
        </w:rPr>
        <w:t>四、财政拨款收入支出决算总体情况说明</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14</w:t>
      </w:r>
    </w:p>
    <w:p>
      <w:pPr>
        <w:pStyle w:val="13"/>
        <w:adjustRightInd w:val="0"/>
        <w:snapToGrid w:val="0"/>
        <w:spacing w:line="440" w:lineRule="exact"/>
        <w:jc w:val="left"/>
        <w:rPr>
          <w:rFonts w:hint="default" w:ascii="仿宋" w:hAnsi="仿宋" w:eastAsia="仿宋" w:cstheme="minorBidi"/>
          <w:sz w:val="24"/>
          <w:szCs w:val="24"/>
          <w:lang w:val="en-US"/>
        </w:rPr>
      </w:pPr>
      <w:r>
        <w:rPr>
          <w:rFonts w:hint="eastAsia"/>
          <w:sz w:val="24"/>
          <w:szCs w:val="24"/>
        </w:rPr>
        <w:t>五、一般公共预算财政拨款支出决算情况说明</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..15</w:t>
      </w:r>
    </w:p>
    <w:p>
      <w:pPr>
        <w:pStyle w:val="13"/>
        <w:adjustRightInd w:val="0"/>
        <w:snapToGrid w:val="0"/>
        <w:spacing w:line="440" w:lineRule="exact"/>
        <w:jc w:val="left"/>
        <w:rPr>
          <w:rFonts w:hint="default" w:ascii="仿宋" w:hAnsi="仿宋" w:eastAsia="仿宋" w:cstheme="minorBidi"/>
          <w:sz w:val="24"/>
          <w:szCs w:val="24"/>
          <w:lang w:val="en-US"/>
        </w:rPr>
      </w:pPr>
      <w:r>
        <w:rPr>
          <w:rFonts w:hint="eastAsia"/>
          <w:sz w:val="24"/>
          <w:szCs w:val="24"/>
        </w:rPr>
        <w:t>六、一般公共预算财政拨款基本支出决算情况说明</w:t>
      </w:r>
      <w:r>
        <w:rPr>
          <w:rFonts w:hint="eastAsia" w:ascii="微软雅黑" w:hAnsi="微软雅黑" w:eastAsia="微软雅黑" w:cs="微软雅黑"/>
          <w:sz w:val="24"/>
          <w:szCs w:val="24"/>
          <w:lang w:eastAsia="zh-CN"/>
        </w:rPr>
        <w:t>……………………………</w:t>
      </w:r>
      <w:r>
        <w:rPr>
          <w:rFonts w:hint="default" w:ascii="Arial" w:hAnsi="Arial" w:eastAsia="微软雅黑" w:cs="Arial"/>
          <w:sz w:val="24"/>
          <w:szCs w:val="24"/>
          <w:lang w:eastAsia="zh-CN"/>
        </w:rPr>
        <w:t>…</w:t>
      </w:r>
      <w:r>
        <w:rPr>
          <w:rFonts w:hint="eastAsia" w:ascii="微软雅黑" w:hAnsi="微软雅黑" w:eastAsia="微软雅黑" w:cs="微软雅黑"/>
          <w:sz w:val="24"/>
          <w:szCs w:val="24"/>
          <w:lang w:val="en-US" w:eastAsia="zh-CN"/>
        </w:rPr>
        <w:t>18</w:t>
      </w:r>
    </w:p>
    <w:p>
      <w:pPr>
        <w:pStyle w:val="13"/>
        <w:adjustRightInd w:val="0"/>
        <w:snapToGrid w:val="0"/>
        <w:spacing w:line="440" w:lineRule="exact"/>
        <w:jc w:val="left"/>
        <w:rPr>
          <w:rFonts w:hint="eastAsia" w:ascii="仿宋" w:hAnsi="仿宋" w:eastAsia="仿宋" w:cstheme="minorBidi"/>
          <w:sz w:val="24"/>
          <w:szCs w:val="24"/>
          <w:lang w:val="en-US" w:eastAsia="zh-CN"/>
        </w:rPr>
      </w:pPr>
      <w:r>
        <w:rPr>
          <w:rFonts w:hint="eastAsia"/>
          <w:sz w:val="24"/>
          <w:szCs w:val="24"/>
        </w:rPr>
        <w:t>七、财政拨款“三公”经费支出决算情况说明</w:t>
      </w:r>
      <w:r>
        <w:rPr>
          <w:rFonts w:hint="eastAsia" w:ascii="微软雅黑" w:hAnsi="微软雅黑" w:eastAsia="微软雅黑" w:cs="微软雅黑"/>
          <w:sz w:val="24"/>
          <w:szCs w:val="24"/>
          <w:lang w:eastAsia="zh-CN"/>
        </w:rPr>
        <w:t>…………………………………</w:t>
      </w:r>
      <w:r>
        <w:rPr>
          <w:rFonts w:hint="default" w:ascii="Arial" w:hAnsi="Arial" w:eastAsia="微软雅黑" w:cs="Arial"/>
          <w:sz w:val="24"/>
          <w:szCs w:val="24"/>
          <w:lang w:eastAsia="zh-CN"/>
        </w:rPr>
        <w:t>…</w:t>
      </w:r>
      <w:r>
        <w:rPr>
          <w:rFonts w:hint="eastAsia" w:ascii="Arial" w:hAnsi="Arial" w:eastAsia="微软雅黑" w:cs="Arial"/>
          <w:sz w:val="24"/>
          <w:szCs w:val="24"/>
          <w:lang w:val="en-US" w:eastAsia="zh-CN"/>
        </w:rPr>
        <w:t>.</w:t>
      </w:r>
      <w:r>
        <w:rPr>
          <w:rFonts w:hint="eastAsia" w:ascii="仿宋" w:hAnsi="仿宋" w:eastAsia="仿宋" w:cstheme="minorBidi"/>
          <w:sz w:val="24"/>
          <w:szCs w:val="24"/>
          <w:lang w:val="en-US" w:eastAsia="zh-CN"/>
        </w:rPr>
        <w:t>19</w:t>
      </w:r>
    </w:p>
    <w:p>
      <w:pPr>
        <w:pStyle w:val="13"/>
        <w:adjustRightInd w:val="0"/>
        <w:snapToGrid w:val="0"/>
        <w:spacing w:line="440" w:lineRule="exact"/>
        <w:jc w:val="left"/>
        <w:rPr>
          <w:rFonts w:hint="default" w:ascii="仿宋" w:hAnsi="仿宋" w:eastAsia="仿宋" w:cstheme="minorBidi"/>
          <w:sz w:val="24"/>
          <w:szCs w:val="24"/>
          <w:lang w:val="en-US"/>
        </w:rPr>
      </w:pPr>
      <w:r>
        <w:rPr>
          <w:rFonts w:hint="eastAsia"/>
          <w:sz w:val="24"/>
          <w:szCs w:val="24"/>
        </w:rPr>
        <w:t>八、政府性基金预算支出决算情况说明</w:t>
      </w:r>
      <w:r>
        <w:rPr>
          <w:rFonts w:hint="eastAsia" w:ascii="微软雅黑" w:hAnsi="微软雅黑" w:eastAsia="微软雅黑" w:cs="微软雅黑"/>
          <w:sz w:val="24"/>
          <w:szCs w:val="24"/>
          <w:lang w:eastAsia="zh-CN"/>
        </w:rPr>
        <w:t>…………………………………………</w:t>
      </w:r>
      <w:r>
        <w:rPr>
          <w:rFonts w:hint="default" w:ascii="Arial" w:hAnsi="Arial" w:eastAsia="微软雅黑" w:cs="Arial"/>
          <w:sz w:val="24"/>
          <w:szCs w:val="24"/>
          <w:lang w:eastAsia="zh-CN"/>
        </w:rPr>
        <w:t>……</w:t>
      </w:r>
      <w:r>
        <w:rPr>
          <w:rFonts w:hint="eastAsia" w:ascii="微软雅黑" w:hAnsi="微软雅黑" w:eastAsia="微软雅黑" w:cs="微软雅黑"/>
          <w:sz w:val="24"/>
          <w:szCs w:val="24"/>
          <w:lang w:val="en-US" w:eastAsia="zh-CN"/>
        </w:rPr>
        <w:t>21</w:t>
      </w:r>
    </w:p>
    <w:p>
      <w:pPr>
        <w:pStyle w:val="13"/>
        <w:adjustRightInd w:val="0"/>
        <w:snapToGrid w:val="0"/>
        <w:spacing w:line="440" w:lineRule="exact"/>
        <w:jc w:val="left"/>
        <w:rPr>
          <w:rFonts w:hint="default"/>
          <w:sz w:val="24"/>
          <w:szCs w:val="24"/>
          <w:lang w:val="en-US"/>
        </w:rPr>
      </w:pPr>
      <w:r>
        <w:rPr>
          <w:rFonts w:hint="eastAsia"/>
          <w:sz w:val="24"/>
          <w:szCs w:val="24"/>
        </w:rPr>
        <w:t>九、国有资本经营预算支出决算情况说明</w:t>
      </w:r>
      <w:r>
        <w:rPr>
          <w:rFonts w:hint="eastAsia" w:ascii="微软雅黑" w:hAnsi="微软雅黑" w:eastAsia="微软雅黑" w:cs="微软雅黑"/>
          <w:sz w:val="24"/>
          <w:szCs w:val="24"/>
          <w:lang w:eastAsia="zh-CN"/>
        </w:rPr>
        <w:t>………………………………………</w:t>
      </w:r>
      <w:r>
        <w:rPr>
          <w:rFonts w:hint="default" w:ascii="Arial" w:hAnsi="Arial" w:eastAsia="微软雅黑" w:cs="Arial"/>
          <w:sz w:val="24"/>
          <w:szCs w:val="24"/>
          <w:lang w:eastAsia="zh-CN"/>
        </w:rPr>
        <w:t>…</w:t>
      </w:r>
      <w:r>
        <w:rPr>
          <w:rFonts w:hint="eastAsia" w:ascii="Arial" w:hAnsi="Arial" w:eastAsia="微软雅黑" w:cs="Arial"/>
          <w:sz w:val="24"/>
          <w:szCs w:val="24"/>
          <w:lang w:val="en-US" w:eastAsia="zh-CN"/>
        </w:rPr>
        <w:t>..</w:t>
      </w:r>
      <w:r>
        <w:rPr>
          <w:rFonts w:hint="eastAsia" w:ascii="微软雅黑" w:hAnsi="微软雅黑" w:eastAsia="微软雅黑" w:cs="微软雅黑"/>
          <w:sz w:val="24"/>
          <w:szCs w:val="24"/>
          <w:lang w:val="en-US" w:eastAsia="zh-CN"/>
        </w:rPr>
        <w:t>21</w:t>
      </w:r>
    </w:p>
    <w:p>
      <w:pPr>
        <w:pStyle w:val="13"/>
        <w:adjustRightInd w:val="0"/>
        <w:snapToGrid w:val="0"/>
        <w:spacing w:line="440" w:lineRule="exact"/>
        <w:jc w:val="left"/>
        <w:rPr>
          <w:rFonts w:hint="default"/>
          <w:sz w:val="24"/>
          <w:szCs w:val="24"/>
          <w:lang w:val="en-US"/>
        </w:rPr>
      </w:pPr>
      <w:r>
        <w:rPr>
          <w:rFonts w:hint="eastAsia"/>
          <w:sz w:val="24"/>
          <w:szCs w:val="24"/>
        </w:rPr>
        <w:t>十、其他重要事项的情况说明</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...........................21</w:t>
      </w:r>
    </w:p>
    <w:p>
      <w:pPr>
        <w:pStyle w:val="12"/>
        <w:adjustRightInd w:val="0"/>
        <w:snapToGrid w:val="0"/>
        <w:spacing w:before="0" w:line="440" w:lineRule="exact"/>
        <w:jc w:val="left"/>
        <w:rPr>
          <w:rFonts w:hint="eastAsia" w:eastAsia="微软雅黑"/>
          <w:sz w:val="24"/>
          <w:szCs w:val="24"/>
          <w:lang w:val="en-US" w:eastAsia="zh-CN"/>
        </w:rPr>
      </w:pPr>
      <w:r>
        <w:rPr>
          <w:rFonts w:hint="eastAsia"/>
          <w:sz w:val="24"/>
          <w:szCs w:val="24"/>
        </w:rPr>
        <w:t>第三部分 名词解释</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w:t>
      </w:r>
      <w:r>
        <w:rPr>
          <w:rFonts w:hint="eastAsia" w:eastAsia="微软雅黑"/>
          <w:sz w:val="24"/>
          <w:szCs w:val="24"/>
          <w:lang w:val="en-US" w:eastAsia="zh-CN"/>
        </w:rPr>
        <w:t>24</w:t>
      </w:r>
    </w:p>
    <w:p>
      <w:pPr>
        <w:pStyle w:val="12"/>
        <w:adjustRightInd w:val="0"/>
        <w:snapToGrid w:val="0"/>
        <w:spacing w:before="0" w:line="440" w:lineRule="exact"/>
        <w:jc w:val="left"/>
        <w:rPr>
          <w:rFonts w:hint="default"/>
          <w:sz w:val="24"/>
          <w:szCs w:val="24"/>
          <w:lang w:val="en-US"/>
        </w:rPr>
      </w:pPr>
      <w:r>
        <w:rPr>
          <w:rFonts w:hint="eastAsia"/>
          <w:sz w:val="24"/>
          <w:szCs w:val="24"/>
        </w:rPr>
        <w:t>第四部分 附件</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...................................................26</w:t>
      </w:r>
    </w:p>
    <w:p>
      <w:pPr>
        <w:pStyle w:val="12"/>
        <w:adjustRightInd w:val="0"/>
        <w:snapToGrid w:val="0"/>
        <w:spacing w:before="0" w:line="440" w:lineRule="exact"/>
        <w:jc w:val="left"/>
        <w:rPr>
          <w:rFonts w:hint="default"/>
          <w:sz w:val="24"/>
          <w:szCs w:val="24"/>
          <w:lang w:val="en-US"/>
        </w:rPr>
      </w:pPr>
      <w:r>
        <w:rPr>
          <w:rFonts w:hint="eastAsia"/>
          <w:sz w:val="24"/>
          <w:szCs w:val="24"/>
        </w:rPr>
        <w:t>第五部分 附表</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...................................................32</w:t>
      </w:r>
    </w:p>
    <w:p>
      <w:pPr>
        <w:pStyle w:val="13"/>
        <w:adjustRightInd w:val="0"/>
        <w:snapToGrid w:val="0"/>
        <w:spacing w:line="440" w:lineRule="exact"/>
        <w:jc w:val="left"/>
        <w:rPr>
          <w:rFonts w:hint="default"/>
          <w:sz w:val="24"/>
          <w:szCs w:val="24"/>
          <w:lang w:val="en-US"/>
        </w:rPr>
      </w:pPr>
      <w:r>
        <w:rPr>
          <w:rFonts w:hint="eastAsia"/>
          <w:sz w:val="24"/>
          <w:szCs w:val="24"/>
        </w:rPr>
        <w:t>一、收入支出决算总表</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.............................32</w:t>
      </w:r>
    </w:p>
    <w:p>
      <w:pPr>
        <w:pStyle w:val="13"/>
        <w:adjustRightInd w:val="0"/>
        <w:snapToGrid w:val="0"/>
        <w:spacing w:line="440" w:lineRule="exact"/>
        <w:jc w:val="left"/>
        <w:rPr>
          <w:rFonts w:hint="default"/>
          <w:sz w:val="24"/>
          <w:szCs w:val="24"/>
          <w:lang w:val="en-US"/>
        </w:rPr>
      </w:pPr>
      <w:r>
        <w:rPr>
          <w:rFonts w:hint="eastAsia"/>
          <w:sz w:val="24"/>
          <w:szCs w:val="24"/>
        </w:rPr>
        <w:t>二、收入决算表</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..........................................32</w:t>
      </w:r>
    </w:p>
    <w:p>
      <w:pPr>
        <w:pStyle w:val="13"/>
        <w:adjustRightInd w:val="0"/>
        <w:snapToGrid w:val="0"/>
        <w:spacing w:line="440" w:lineRule="exact"/>
        <w:jc w:val="left"/>
        <w:rPr>
          <w:rFonts w:hint="default"/>
          <w:sz w:val="24"/>
          <w:szCs w:val="24"/>
          <w:lang w:val="en-US"/>
        </w:rPr>
      </w:pPr>
      <w:r>
        <w:rPr>
          <w:rFonts w:hint="eastAsia"/>
          <w:sz w:val="24"/>
          <w:szCs w:val="24"/>
        </w:rPr>
        <w:t>三、支出决算表</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..........................................32</w:t>
      </w:r>
    </w:p>
    <w:p>
      <w:pPr>
        <w:pStyle w:val="13"/>
        <w:adjustRightInd w:val="0"/>
        <w:snapToGrid w:val="0"/>
        <w:spacing w:line="440" w:lineRule="exact"/>
        <w:jc w:val="left"/>
        <w:rPr>
          <w:rFonts w:hint="default"/>
          <w:sz w:val="24"/>
          <w:szCs w:val="24"/>
          <w:lang w:val="en-US"/>
        </w:rPr>
      </w:pPr>
      <w:r>
        <w:rPr>
          <w:rFonts w:hint="eastAsia"/>
          <w:sz w:val="24"/>
          <w:szCs w:val="24"/>
        </w:rPr>
        <w:t>四、财政拨款收入支出决算总表</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..........................32</w:t>
      </w:r>
    </w:p>
    <w:p>
      <w:pPr>
        <w:pStyle w:val="13"/>
        <w:adjustRightInd w:val="0"/>
        <w:snapToGrid w:val="0"/>
        <w:spacing w:line="440" w:lineRule="exact"/>
        <w:jc w:val="left"/>
        <w:rPr>
          <w:rFonts w:hint="eastAsia" w:eastAsia="微软雅黑"/>
          <w:sz w:val="24"/>
          <w:szCs w:val="24"/>
          <w:lang w:val="en-US" w:eastAsia="zh-CN"/>
        </w:rPr>
      </w:pPr>
      <w:r>
        <w:rPr>
          <w:rFonts w:hint="eastAsia"/>
          <w:sz w:val="24"/>
          <w:szCs w:val="24"/>
        </w:rPr>
        <w:t>五、财政拨款支出决算明细表</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w:t>
      </w:r>
      <w:r>
        <w:rPr>
          <w:rFonts w:hint="eastAsia" w:eastAsia="微软雅黑"/>
          <w:sz w:val="24"/>
          <w:szCs w:val="24"/>
          <w:lang w:val="en-US" w:eastAsia="zh-CN"/>
        </w:rPr>
        <w:t>32</w:t>
      </w:r>
    </w:p>
    <w:p>
      <w:pPr>
        <w:pStyle w:val="13"/>
        <w:adjustRightInd w:val="0"/>
        <w:snapToGrid w:val="0"/>
        <w:spacing w:line="440" w:lineRule="exact"/>
        <w:jc w:val="left"/>
        <w:rPr>
          <w:rFonts w:hint="default"/>
          <w:sz w:val="24"/>
          <w:szCs w:val="24"/>
          <w:lang w:val="en-US"/>
        </w:rPr>
      </w:pPr>
      <w:r>
        <w:rPr>
          <w:rFonts w:hint="eastAsia"/>
          <w:sz w:val="24"/>
          <w:szCs w:val="24"/>
        </w:rPr>
        <w:t>六、一般公共预算财政拨款支出决算表</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..................32</w:t>
      </w:r>
    </w:p>
    <w:p>
      <w:pPr>
        <w:pStyle w:val="13"/>
        <w:adjustRightInd w:val="0"/>
        <w:snapToGrid w:val="0"/>
        <w:spacing w:line="440" w:lineRule="exact"/>
        <w:jc w:val="left"/>
        <w:rPr>
          <w:rFonts w:hint="eastAsia" w:eastAsia="微软雅黑"/>
          <w:sz w:val="24"/>
          <w:szCs w:val="24"/>
          <w:lang w:val="en-US" w:eastAsia="zh-CN"/>
        </w:rPr>
      </w:pPr>
      <w:r>
        <w:rPr>
          <w:rFonts w:hint="eastAsia"/>
          <w:sz w:val="24"/>
          <w:szCs w:val="24"/>
        </w:rPr>
        <w:t>七、一般公共预算财政拨款支出决算明细表</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w:t>
      </w:r>
      <w:r>
        <w:rPr>
          <w:rFonts w:hint="eastAsia" w:eastAsia="微软雅黑"/>
          <w:sz w:val="24"/>
          <w:szCs w:val="24"/>
          <w:lang w:val="en-US" w:eastAsia="zh-CN"/>
        </w:rPr>
        <w:t>32</w:t>
      </w:r>
    </w:p>
    <w:p>
      <w:pPr>
        <w:pStyle w:val="13"/>
        <w:adjustRightInd w:val="0"/>
        <w:snapToGrid w:val="0"/>
        <w:spacing w:line="440" w:lineRule="exact"/>
        <w:jc w:val="left"/>
        <w:rPr>
          <w:rFonts w:hint="eastAsia" w:eastAsia="微软雅黑"/>
          <w:sz w:val="24"/>
          <w:szCs w:val="24"/>
          <w:lang w:val="en-US" w:eastAsia="zh-CN"/>
        </w:rPr>
      </w:pPr>
      <w:r>
        <w:rPr>
          <w:rFonts w:hint="eastAsia"/>
          <w:sz w:val="24"/>
          <w:szCs w:val="24"/>
        </w:rPr>
        <w:t>八、一般公共预算财政拨款基本支出决算明细表</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w:t>
      </w:r>
      <w:r>
        <w:rPr>
          <w:rFonts w:hint="eastAsia" w:eastAsia="微软雅黑"/>
          <w:sz w:val="24"/>
          <w:szCs w:val="24"/>
          <w:lang w:val="en-US" w:eastAsia="zh-CN"/>
        </w:rPr>
        <w:t>32</w:t>
      </w:r>
    </w:p>
    <w:p>
      <w:pPr>
        <w:pStyle w:val="13"/>
        <w:adjustRightInd w:val="0"/>
        <w:snapToGrid w:val="0"/>
        <w:spacing w:line="440" w:lineRule="exact"/>
        <w:jc w:val="left"/>
        <w:rPr>
          <w:rFonts w:hint="eastAsia" w:eastAsia="微软雅黑"/>
          <w:sz w:val="24"/>
          <w:szCs w:val="24"/>
          <w:lang w:val="en-US" w:eastAsia="zh-CN"/>
        </w:rPr>
      </w:pPr>
      <w:r>
        <w:rPr>
          <w:rFonts w:hint="eastAsia"/>
          <w:sz w:val="24"/>
          <w:szCs w:val="24"/>
        </w:rPr>
        <w:t>九、一般公共预算财政拨款项目支出决算表</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w:t>
      </w:r>
      <w:r>
        <w:rPr>
          <w:rFonts w:hint="eastAsia" w:eastAsia="微软雅黑"/>
          <w:sz w:val="24"/>
          <w:szCs w:val="24"/>
          <w:lang w:val="en-US" w:eastAsia="zh-CN"/>
        </w:rPr>
        <w:t>32</w:t>
      </w:r>
    </w:p>
    <w:p>
      <w:pPr>
        <w:pStyle w:val="13"/>
        <w:adjustRightInd w:val="0"/>
        <w:snapToGrid w:val="0"/>
        <w:spacing w:line="440" w:lineRule="exact"/>
        <w:jc w:val="left"/>
        <w:rPr>
          <w:rFonts w:hint="eastAsia" w:eastAsia="微软雅黑"/>
          <w:sz w:val="24"/>
          <w:szCs w:val="24"/>
          <w:lang w:val="en-US" w:eastAsia="zh-CN"/>
        </w:rPr>
      </w:pPr>
      <w:r>
        <w:rPr>
          <w:rFonts w:hint="eastAsia"/>
          <w:sz w:val="24"/>
          <w:szCs w:val="24"/>
        </w:rPr>
        <w:t>十、政府性基金预算财政拨款收入支出决算表</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w:t>
      </w:r>
      <w:r>
        <w:rPr>
          <w:rFonts w:hint="eastAsia" w:eastAsia="微软雅黑"/>
          <w:sz w:val="24"/>
          <w:szCs w:val="24"/>
          <w:lang w:val="en-US" w:eastAsia="zh-CN"/>
        </w:rPr>
        <w:t>32</w:t>
      </w:r>
    </w:p>
    <w:p>
      <w:pPr>
        <w:pStyle w:val="13"/>
        <w:adjustRightInd w:val="0"/>
        <w:snapToGrid w:val="0"/>
        <w:spacing w:line="440" w:lineRule="exact"/>
        <w:jc w:val="left"/>
        <w:rPr>
          <w:rFonts w:hint="default"/>
          <w:sz w:val="24"/>
          <w:szCs w:val="24"/>
          <w:lang w:val="en-US"/>
        </w:rPr>
      </w:pPr>
      <w:r>
        <w:rPr>
          <w:rFonts w:hint="eastAsia"/>
          <w:sz w:val="24"/>
          <w:szCs w:val="24"/>
        </w:rPr>
        <w:t>十一、国有资本经营预算财政拨款收入支出决算表</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..........32</w:t>
      </w:r>
    </w:p>
    <w:p>
      <w:pPr>
        <w:pStyle w:val="13"/>
        <w:adjustRightInd w:val="0"/>
        <w:snapToGrid w:val="0"/>
        <w:spacing w:line="440" w:lineRule="exact"/>
        <w:jc w:val="left"/>
        <w:rPr>
          <w:rFonts w:hint="default"/>
          <w:sz w:val="24"/>
          <w:szCs w:val="24"/>
          <w:lang w:val="en-US"/>
        </w:rPr>
      </w:pPr>
      <w:r>
        <w:rPr>
          <w:rFonts w:hint="eastAsia"/>
          <w:sz w:val="24"/>
          <w:szCs w:val="24"/>
        </w:rPr>
        <w:t>十二、国有资本经营预算财政拨款支出决算表</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............32</w:t>
      </w:r>
    </w:p>
    <w:p>
      <w:pPr>
        <w:pStyle w:val="13"/>
        <w:adjustRightInd w:val="0"/>
        <w:snapToGrid w:val="0"/>
        <w:spacing w:line="440" w:lineRule="exact"/>
        <w:jc w:val="left"/>
        <w:rPr>
          <w:rFonts w:hint="default"/>
          <w:sz w:val="24"/>
          <w:szCs w:val="24"/>
          <w:lang w:val="en-US"/>
        </w:rPr>
      </w:pPr>
      <w:r>
        <w:rPr>
          <w:rFonts w:hint="eastAsia"/>
          <w:sz w:val="24"/>
          <w:szCs w:val="24"/>
        </w:rPr>
        <w:t>十三、财政拨款“三公”经费支出决算表</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.............32</w:t>
      </w:r>
    </w:p>
    <w:p>
      <w:pPr>
        <w:widowControl/>
        <w:spacing w:line="440" w:lineRule="exact"/>
        <w:jc w:val="left"/>
        <w:rPr>
          <w:rFonts w:ascii="仿宋" w:hAnsi="仿宋" w:eastAsia="仿宋"/>
          <w:bCs/>
          <w:kern w:val="44"/>
          <w:sz w:val="24"/>
          <w:szCs w:val="24"/>
        </w:rPr>
      </w:pPr>
      <w:bookmarkStart w:id="12" w:name="_Toc15396599"/>
      <w:bookmarkStart w:id="13" w:name="_Toc15377196"/>
      <w:r>
        <w:rPr>
          <w:rFonts w:ascii="仿宋" w:hAnsi="仿宋" w:eastAsia="仿宋"/>
          <w:b/>
          <w:sz w:val="24"/>
          <w:szCs w:val="24"/>
        </w:rPr>
        <w:br w:type="page"/>
      </w:r>
    </w:p>
    <w:p>
      <w:pPr>
        <w:pStyle w:val="3"/>
        <w:jc w:val="center"/>
        <w:rPr>
          <w:rStyle w:val="29"/>
          <w:rFonts w:ascii="黑体" w:hAnsi="黑体" w:eastAsia="黑体"/>
          <w:b/>
          <w:bCs w:val="0"/>
        </w:rPr>
      </w:pPr>
      <w:r>
        <w:rPr>
          <w:rFonts w:hint="eastAsia" w:ascii="黑体" w:hAnsi="黑体" w:eastAsia="黑体"/>
          <w:b w:val="0"/>
        </w:rPr>
        <w:t>第一部分 单位</w:t>
      </w:r>
      <w:r>
        <w:rPr>
          <w:rStyle w:val="29"/>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4"/>
        </w:numPr>
        <w:ind w:firstLine="320" w:firstLineChars="100"/>
        <w:rPr>
          <w:rStyle w:val="30"/>
          <w:rFonts w:hint="eastAsia" w:ascii="黑体" w:hAnsi="黑体" w:eastAsia="黑体"/>
          <w:b w:val="0"/>
          <w:bCs w:val="0"/>
        </w:rPr>
      </w:pPr>
      <w:bookmarkStart w:id="14" w:name="_Toc15377197"/>
      <w:bookmarkStart w:id="15" w:name="_Toc15396600"/>
      <w:r>
        <w:rPr>
          <w:rStyle w:val="30"/>
          <w:rFonts w:hint="eastAsia" w:ascii="黑体" w:hAnsi="黑体" w:eastAsia="黑体"/>
          <w:b w:val="0"/>
          <w:bCs w:val="0"/>
        </w:rPr>
        <w:t>主要职责</w:t>
      </w:r>
    </w:p>
    <w:p>
      <w:pPr>
        <w:pStyle w:val="4"/>
        <w:ind w:firstLine="241" w:firstLineChars="100"/>
        <w:rPr>
          <w:sz w:val="32"/>
          <w:szCs w:val="32"/>
        </w:rPr>
      </w:pPr>
      <w:r>
        <w:rPr>
          <w:rFonts w:hint="eastAsia"/>
          <w:sz w:val="24"/>
        </w:rPr>
        <w:t>（</w:t>
      </w:r>
      <w:r>
        <w:rPr>
          <w:rFonts w:hint="eastAsia"/>
          <w:sz w:val="32"/>
          <w:szCs w:val="32"/>
        </w:rPr>
        <w:t>一）</w:t>
      </w:r>
      <w:r>
        <w:rPr>
          <w:rFonts w:hint="eastAsia"/>
          <w:sz w:val="32"/>
          <w:szCs w:val="32"/>
          <w:lang w:val="en-US" w:eastAsia="zh-CN"/>
        </w:rPr>
        <w:t>主要</w:t>
      </w:r>
      <w:r>
        <w:rPr>
          <w:sz w:val="32"/>
          <w:szCs w:val="32"/>
        </w:rPr>
        <w:t>职责</w:t>
      </w:r>
    </w:p>
    <w:p>
      <w:pPr>
        <w:pStyle w:val="4"/>
        <w:ind w:firstLine="320" w:firstLineChars="100"/>
        <w:rPr>
          <w:rFonts w:hint="eastAsia" w:ascii="宋体" w:hAnsi="宋体" w:eastAsia="宋体" w:cs="宋体"/>
          <w:b w:val="0"/>
          <w:bCs w:val="0"/>
          <w:i w:val="0"/>
          <w:iCs w:val="0"/>
          <w:caps w:val="0"/>
          <w:color w:val="000000"/>
          <w:spacing w:val="0"/>
          <w:sz w:val="32"/>
          <w:szCs w:val="32"/>
        </w:rPr>
      </w:pPr>
      <w:r>
        <w:rPr>
          <w:rFonts w:hint="eastAsia" w:ascii="宋体" w:hAnsi="宋体" w:eastAsia="宋体" w:cs="宋体"/>
          <w:b w:val="0"/>
          <w:bCs w:val="0"/>
          <w:i w:val="0"/>
          <w:iCs w:val="0"/>
          <w:caps w:val="0"/>
          <w:color w:val="000000"/>
          <w:spacing w:val="0"/>
          <w:sz w:val="32"/>
          <w:szCs w:val="32"/>
          <w:shd w:val="clear" w:fill="FFFFFF"/>
          <w:lang w:eastAsia="zh-CN"/>
        </w:rPr>
        <w:t>（一）</w:t>
      </w:r>
      <w:r>
        <w:rPr>
          <w:rFonts w:hint="eastAsia" w:ascii="宋体" w:hAnsi="宋体" w:eastAsia="宋体" w:cs="宋体"/>
          <w:b w:val="0"/>
          <w:bCs w:val="0"/>
          <w:i w:val="0"/>
          <w:iCs w:val="0"/>
          <w:caps w:val="0"/>
          <w:color w:val="000000"/>
          <w:spacing w:val="0"/>
          <w:sz w:val="32"/>
          <w:szCs w:val="32"/>
          <w:shd w:val="clear" w:fill="FFFFFF"/>
        </w:rPr>
        <w:t>贯彻执行有关交通运输发展战略、方针、政策，参与拟定全县交通运输行业发展规划。推广应用交通行业发展新成果、新科技。</w:t>
      </w:r>
    </w:p>
    <w:p>
      <w:pPr>
        <w:pStyle w:val="14"/>
        <w:keepNext w:val="0"/>
        <w:keepLines w:val="0"/>
        <w:widowControl/>
        <w:suppressLineNumbers w:val="0"/>
        <w:shd w:val="clear" w:fill="FFFFFF"/>
        <w:spacing w:before="210" w:beforeAutospacing="0" w:after="210" w:afterAutospacing="0" w:line="450" w:lineRule="atLeast"/>
        <w:ind w:left="0" w:right="0" w:firstLine="420"/>
        <w:jc w:val="both"/>
        <w:rPr>
          <w:rFonts w:hint="eastAsia" w:ascii="宋体" w:hAnsi="宋体" w:eastAsia="宋体" w:cs="宋体"/>
          <w:i w:val="0"/>
          <w:iCs w:val="0"/>
          <w:caps w:val="0"/>
          <w:color w:val="000000"/>
          <w:spacing w:val="0"/>
          <w:sz w:val="32"/>
          <w:szCs w:val="32"/>
        </w:rPr>
      </w:pPr>
      <w:r>
        <w:rPr>
          <w:rFonts w:hint="eastAsia" w:cs="宋体"/>
          <w:i w:val="0"/>
          <w:iCs w:val="0"/>
          <w:caps w:val="0"/>
          <w:color w:val="000000"/>
          <w:spacing w:val="0"/>
          <w:sz w:val="32"/>
          <w:szCs w:val="32"/>
          <w:shd w:val="clear" w:fill="FFFFFF"/>
          <w:lang w:eastAsia="zh-CN"/>
        </w:rPr>
        <w:t>（二）</w:t>
      </w:r>
      <w:r>
        <w:rPr>
          <w:rFonts w:hint="eastAsia" w:ascii="宋体" w:hAnsi="宋体" w:eastAsia="宋体" w:cs="宋体"/>
          <w:i w:val="0"/>
          <w:iCs w:val="0"/>
          <w:caps w:val="0"/>
          <w:color w:val="000000"/>
          <w:spacing w:val="0"/>
          <w:sz w:val="32"/>
          <w:szCs w:val="32"/>
          <w:shd w:val="clear" w:fill="FFFFFF"/>
        </w:rPr>
        <w:t>负责职责范围内全县公路附属设施及航道、港口、码头、客运站（场）等设施的建设、维护和日常管理工作。</w:t>
      </w:r>
    </w:p>
    <w:p>
      <w:pPr>
        <w:pStyle w:val="14"/>
        <w:keepNext w:val="0"/>
        <w:keepLines w:val="0"/>
        <w:widowControl/>
        <w:suppressLineNumbers w:val="0"/>
        <w:shd w:val="clear" w:fill="FFFFFF"/>
        <w:spacing w:before="210" w:beforeAutospacing="0" w:after="210" w:afterAutospacing="0" w:line="450" w:lineRule="atLeast"/>
        <w:ind w:left="0" w:right="0" w:firstLine="420"/>
        <w:jc w:val="both"/>
        <w:rPr>
          <w:rFonts w:hint="eastAsia" w:ascii="宋体" w:hAnsi="宋体" w:eastAsia="宋体" w:cs="宋体"/>
          <w:i w:val="0"/>
          <w:iCs w:val="0"/>
          <w:caps w:val="0"/>
          <w:color w:val="000000"/>
          <w:spacing w:val="0"/>
          <w:sz w:val="32"/>
          <w:szCs w:val="32"/>
        </w:rPr>
      </w:pPr>
      <w:r>
        <w:rPr>
          <w:rFonts w:hint="eastAsia" w:cs="宋体"/>
          <w:i w:val="0"/>
          <w:iCs w:val="0"/>
          <w:caps w:val="0"/>
          <w:color w:val="000000"/>
          <w:spacing w:val="0"/>
          <w:sz w:val="32"/>
          <w:szCs w:val="32"/>
          <w:shd w:val="clear" w:fill="FFFFFF"/>
          <w:lang w:eastAsia="zh-CN"/>
        </w:rPr>
        <w:t>（三）</w:t>
      </w:r>
      <w:r>
        <w:rPr>
          <w:rFonts w:hint="eastAsia" w:ascii="宋体" w:hAnsi="宋体" w:eastAsia="宋体" w:cs="宋体"/>
          <w:i w:val="0"/>
          <w:iCs w:val="0"/>
          <w:caps w:val="0"/>
          <w:color w:val="000000"/>
          <w:spacing w:val="0"/>
          <w:sz w:val="32"/>
          <w:szCs w:val="32"/>
          <w:shd w:val="clear" w:fill="FFFFFF"/>
        </w:rPr>
        <w:t>负责道路（水路）客运、货运、运输服务业、交通工程质量检测、检验年审（车辆船舶）、驾驶员（汽车、船舶）培训业等相关服务性工作。</w:t>
      </w:r>
    </w:p>
    <w:p>
      <w:pPr>
        <w:pStyle w:val="14"/>
        <w:keepNext w:val="0"/>
        <w:keepLines w:val="0"/>
        <w:widowControl/>
        <w:suppressLineNumbers w:val="0"/>
        <w:shd w:val="clear" w:fill="FFFFFF"/>
        <w:spacing w:before="210" w:beforeAutospacing="0" w:after="210" w:afterAutospacing="0" w:line="450" w:lineRule="atLeast"/>
        <w:ind w:left="0" w:right="0" w:firstLine="420"/>
        <w:jc w:val="both"/>
        <w:rPr>
          <w:rFonts w:hint="eastAsia" w:ascii="宋体" w:hAnsi="宋体" w:eastAsia="宋体" w:cs="宋体"/>
          <w:i w:val="0"/>
          <w:iCs w:val="0"/>
          <w:caps w:val="0"/>
          <w:color w:val="000000"/>
          <w:spacing w:val="0"/>
          <w:sz w:val="32"/>
          <w:szCs w:val="32"/>
        </w:rPr>
      </w:pPr>
      <w:r>
        <w:rPr>
          <w:rFonts w:hint="eastAsia" w:cs="宋体"/>
          <w:i w:val="0"/>
          <w:iCs w:val="0"/>
          <w:caps w:val="0"/>
          <w:color w:val="000000"/>
          <w:spacing w:val="0"/>
          <w:sz w:val="32"/>
          <w:szCs w:val="32"/>
          <w:shd w:val="clear" w:fill="FFFFFF"/>
          <w:lang w:eastAsia="zh-CN"/>
        </w:rPr>
        <w:t>（四）</w:t>
      </w:r>
      <w:r>
        <w:rPr>
          <w:rFonts w:hint="eastAsia" w:ascii="宋体" w:hAnsi="宋体" w:eastAsia="宋体" w:cs="宋体"/>
          <w:i w:val="0"/>
          <w:iCs w:val="0"/>
          <w:caps w:val="0"/>
          <w:color w:val="000000"/>
          <w:spacing w:val="0"/>
          <w:sz w:val="32"/>
          <w:szCs w:val="32"/>
          <w:shd w:val="clear" w:fill="FFFFFF"/>
        </w:rPr>
        <w:t>负责汽车维修、船舶建造和维修等相关服务性工作。</w:t>
      </w:r>
    </w:p>
    <w:p>
      <w:pPr>
        <w:pStyle w:val="14"/>
        <w:keepNext w:val="0"/>
        <w:keepLines w:val="0"/>
        <w:widowControl/>
        <w:suppressLineNumbers w:val="0"/>
        <w:shd w:val="clear" w:fill="FFFFFF"/>
        <w:spacing w:before="210" w:beforeAutospacing="0" w:after="210" w:afterAutospacing="0" w:line="450" w:lineRule="atLeast"/>
        <w:ind w:left="0" w:right="0" w:firstLine="420"/>
        <w:jc w:val="both"/>
        <w:rPr>
          <w:rFonts w:hint="eastAsia" w:ascii="宋体" w:hAnsi="宋体" w:eastAsia="宋体" w:cs="宋体"/>
          <w:i w:val="0"/>
          <w:iCs w:val="0"/>
          <w:caps w:val="0"/>
          <w:color w:val="000000"/>
          <w:spacing w:val="0"/>
          <w:sz w:val="32"/>
          <w:szCs w:val="32"/>
        </w:rPr>
      </w:pPr>
      <w:r>
        <w:rPr>
          <w:rFonts w:hint="eastAsia" w:cs="宋体"/>
          <w:i w:val="0"/>
          <w:iCs w:val="0"/>
          <w:caps w:val="0"/>
          <w:color w:val="000000"/>
          <w:spacing w:val="0"/>
          <w:sz w:val="32"/>
          <w:szCs w:val="32"/>
          <w:shd w:val="clear" w:fill="FFFFFF"/>
          <w:lang w:eastAsia="zh-CN"/>
        </w:rPr>
        <w:t>（五）</w:t>
      </w:r>
      <w:r>
        <w:rPr>
          <w:rFonts w:hint="eastAsia" w:ascii="宋体" w:hAnsi="宋体" w:eastAsia="宋体" w:cs="宋体"/>
          <w:i w:val="0"/>
          <w:iCs w:val="0"/>
          <w:caps w:val="0"/>
          <w:color w:val="000000"/>
          <w:spacing w:val="0"/>
          <w:sz w:val="32"/>
          <w:szCs w:val="32"/>
          <w:shd w:val="clear" w:fill="FFFFFF"/>
        </w:rPr>
        <w:t>负责道路水运行业运量统计、燃油补助发放、客渡船舶保险工作。</w:t>
      </w:r>
    </w:p>
    <w:p>
      <w:pPr>
        <w:pStyle w:val="14"/>
        <w:keepNext w:val="0"/>
        <w:keepLines w:val="0"/>
        <w:widowControl/>
        <w:suppressLineNumbers w:val="0"/>
        <w:shd w:val="clear" w:fill="FFFFFF"/>
        <w:spacing w:before="210" w:beforeAutospacing="0" w:after="210" w:afterAutospacing="0" w:line="450" w:lineRule="atLeast"/>
        <w:ind w:left="0" w:right="0" w:firstLine="420"/>
        <w:jc w:val="both"/>
        <w:rPr>
          <w:rFonts w:hint="eastAsia" w:ascii="宋体" w:hAnsi="宋体" w:eastAsia="宋体" w:cs="宋体"/>
          <w:i w:val="0"/>
          <w:iCs w:val="0"/>
          <w:caps w:val="0"/>
          <w:color w:val="000000"/>
          <w:spacing w:val="0"/>
          <w:sz w:val="32"/>
          <w:szCs w:val="32"/>
        </w:rPr>
      </w:pPr>
      <w:r>
        <w:rPr>
          <w:rFonts w:hint="eastAsia" w:cs="宋体"/>
          <w:i w:val="0"/>
          <w:iCs w:val="0"/>
          <w:caps w:val="0"/>
          <w:color w:val="000000"/>
          <w:spacing w:val="0"/>
          <w:sz w:val="32"/>
          <w:szCs w:val="32"/>
          <w:shd w:val="clear" w:fill="FFFFFF"/>
          <w:lang w:eastAsia="zh-CN"/>
        </w:rPr>
        <w:t>（六）</w:t>
      </w:r>
      <w:r>
        <w:rPr>
          <w:rFonts w:hint="eastAsia" w:ascii="宋体" w:hAnsi="宋体" w:eastAsia="宋体" w:cs="宋体"/>
          <w:i w:val="0"/>
          <w:iCs w:val="0"/>
          <w:caps w:val="0"/>
          <w:color w:val="000000"/>
          <w:spacing w:val="0"/>
          <w:sz w:val="32"/>
          <w:szCs w:val="32"/>
          <w:shd w:val="clear" w:fill="FFFFFF"/>
        </w:rPr>
        <w:t>参与水上交通事故调查、船舶技术鉴定工作。</w:t>
      </w:r>
    </w:p>
    <w:p>
      <w:pPr>
        <w:pStyle w:val="14"/>
        <w:keepNext w:val="0"/>
        <w:keepLines w:val="0"/>
        <w:widowControl/>
        <w:suppressLineNumbers w:val="0"/>
        <w:shd w:val="clear" w:fill="FFFFFF"/>
        <w:spacing w:before="210" w:beforeAutospacing="0" w:after="210" w:afterAutospacing="0" w:line="450" w:lineRule="atLeast"/>
        <w:ind w:left="0" w:right="0" w:firstLine="420"/>
        <w:jc w:val="both"/>
        <w:rPr>
          <w:rFonts w:ascii="Times New Roman" w:hAnsi="Times New Roman" w:eastAsia="宋体" w:cs="Times New Roman"/>
          <w:b w:val="0"/>
          <w:bCs w:val="0"/>
          <w:sz w:val="32"/>
          <w:szCs w:val="32"/>
        </w:rPr>
      </w:pPr>
      <w:r>
        <w:rPr>
          <w:rFonts w:hint="eastAsia" w:cs="宋体"/>
          <w:i w:val="0"/>
          <w:iCs w:val="0"/>
          <w:caps w:val="0"/>
          <w:color w:val="000000"/>
          <w:spacing w:val="0"/>
          <w:sz w:val="32"/>
          <w:szCs w:val="32"/>
          <w:shd w:val="clear" w:fill="FFFFFF"/>
          <w:lang w:eastAsia="zh-CN"/>
        </w:rPr>
        <w:t>（七）</w:t>
      </w:r>
      <w:r>
        <w:rPr>
          <w:rFonts w:hint="eastAsia" w:ascii="宋体" w:hAnsi="宋体" w:eastAsia="宋体" w:cs="宋体"/>
          <w:i w:val="0"/>
          <w:iCs w:val="0"/>
          <w:caps w:val="0"/>
          <w:color w:val="000000"/>
          <w:spacing w:val="0"/>
          <w:sz w:val="32"/>
          <w:szCs w:val="32"/>
          <w:shd w:val="clear" w:fill="FFFFFF"/>
        </w:rPr>
        <w:t>完成县交通局交办的其他工作。</w:t>
      </w:r>
    </w:p>
    <w:p>
      <w:pPr>
        <w:pStyle w:val="13"/>
        <w:adjustRightInd w:val="0"/>
        <w:snapToGrid w:val="0"/>
        <w:spacing w:line="440" w:lineRule="exact"/>
        <w:jc w:val="left"/>
        <w:rPr>
          <w:rFonts w:hint="eastAsia"/>
          <w:sz w:val="24"/>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2"/>
          <w:szCs w:val="32"/>
        </w:rPr>
      </w:pPr>
      <w:r>
        <w:rPr>
          <w:rFonts w:hint="eastAsia"/>
          <w:sz w:val="32"/>
          <w:szCs w:val="32"/>
        </w:rPr>
        <w:t>（二）2022年重点工作完成情况</w:t>
      </w:r>
    </w:p>
    <w:p>
      <w:pPr>
        <w:keepNext w:val="0"/>
        <w:keepLines w:val="0"/>
        <w:pageBreakBefore w:val="0"/>
        <w:widowControl w:val="0"/>
        <w:kinsoku/>
        <w:wordWrap/>
        <w:overflowPunct/>
        <w:topLinePunct w:val="0"/>
        <w:autoSpaceDE/>
        <w:autoSpaceDN/>
        <w:bidi w:val="0"/>
        <w:adjustRightInd/>
        <w:snapToGrid/>
        <w:spacing w:line="576" w:lineRule="exact"/>
        <w:ind w:firstLine="480" w:firstLineChars="200"/>
        <w:textAlignment w:val="auto"/>
        <w:rPr>
          <w:rFonts w:hint="default" w:ascii="黑体" w:eastAsia="黑体"/>
          <w:b w:val="0"/>
          <w:bCs w:val="0"/>
          <w:sz w:val="32"/>
          <w:szCs w:val="32"/>
          <w:lang w:val="en-US" w:eastAsia="zh-CN"/>
        </w:rPr>
      </w:pPr>
      <w:r>
        <w:rPr>
          <w:rFonts w:hint="eastAsia"/>
          <w:b w:val="0"/>
          <w:bCs w:val="0"/>
          <w:sz w:val="24"/>
          <w:lang w:val="en-US" w:eastAsia="zh-CN"/>
        </w:rPr>
        <w:t>一</w:t>
      </w:r>
      <w:r>
        <w:rPr>
          <w:rFonts w:hint="eastAsia" w:ascii="黑体" w:eastAsia="黑体"/>
          <w:b w:val="0"/>
          <w:bCs w:val="0"/>
          <w:sz w:val="32"/>
          <w:szCs w:val="32"/>
        </w:rPr>
        <w:t>、</w:t>
      </w:r>
      <w:r>
        <w:rPr>
          <w:rFonts w:hint="eastAsia" w:ascii="黑体" w:eastAsia="黑体"/>
          <w:b w:val="0"/>
          <w:bCs w:val="0"/>
          <w:sz w:val="32"/>
          <w:szCs w:val="32"/>
          <w:lang w:val="en-US" w:eastAsia="zh-CN"/>
        </w:rPr>
        <w:t>立足道路隐患整治，构建公路通行安全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b w:val="0"/>
          <w:bCs w:val="0"/>
          <w:sz w:val="32"/>
          <w:szCs w:val="32"/>
          <w:lang w:val="en-US" w:eastAsia="zh-CN"/>
        </w:rPr>
      </w:pPr>
      <w:r>
        <w:rPr>
          <w:rFonts w:hint="eastAsia" w:ascii="仿宋" w:hAnsi="仿宋" w:eastAsia="仿宋" w:cs="仿宋"/>
          <w:b w:val="0"/>
          <w:bCs w:val="0"/>
          <w:sz w:val="32"/>
          <w:szCs w:val="32"/>
          <w:lang w:val="en-US" w:eastAsia="zh-CN"/>
        </w:rPr>
        <w:t>按照</w:t>
      </w:r>
      <w:r>
        <w:rPr>
          <w:rFonts w:hint="eastAsia" w:ascii="仿宋_GB2312" w:eastAsia="仿宋_GB2312"/>
          <w:b w:val="0"/>
          <w:bCs w:val="0"/>
          <w:sz w:val="32"/>
          <w:szCs w:val="32"/>
          <w:lang w:val="en-US" w:eastAsia="zh-CN"/>
        </w:rPr>
        <w:t>县委、县政府“交通强县”战略部署，加快推进全县国省县乡村道公路隐患整治和水上智慧交通建设及渡口码头提档升级改造工程，提升我县水陆交通安全通行环境。</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仿宋" w:hAnsi="仿宋" w:eastAsia="仿宋" w:cs="仿宋"/>
          <w:b w:val="0"/>
          <w:bCs w:val="0"/>
          <w:color w:val="auto"/>
          <w:sz w:val="32"/>
          <w:szCs w:val="32"/>
          <w:shd w:val="clear" w:color="auto" w:fill="FFFFFF"/>
          <w:lang w:val="en-US" w:eastAsia="zh-CN"/>
        </w:rPr>
      </w:pPr>
      <w:r>
        <w:rPr>
          <w:rFonts w:hint="eastAsia" w:ascii="楷体" w:hAnsi="楷体" w:eastAsia="楷体" w:cs="楷体"/>
          <w:b w:val="0"/>
          <w:bCs w:val="0"/>
          <w:sz w:val="32"/>
          <w:szCs w:val="32"/>
          <w:lang w:val="en-US" w:eastAsia="zh-CN"/>
        </w:rPr>
        <w:t>（一）强力推进2022—2023年安全生命防护工程建设。</w:t>
      </w:r>
      <w:r>
        <w:rPr>
          <w:rFonts w:hint="eastAsia" w:ascii="仿宋" w:hAnsi="仿宋" w:eastAsia="仿宋" w:cs="仿宋"/>
          <w:b w:val="0"/>
          <w:bCs w:val="0"/>
          <w:sz w:val="32"/>
          <w:szCs w:val="32"/>
          <w:lang w:val="en-US" w:eastAsia="zh-CN"/>
        </w:rPr>
        <w:t>2022年市下达我县安全生命防护工程建设任务302公里，我县实际立项新建安全生命防护工程</w:t>
      </w:r>
      <w:r>
        <w:rPr>
          <w:rFonts w:hint="eastAsia" w:ascii="仿宋" w:hAnsi="仿宋" w:eastAsia="仿宋" w:cs="仿宋"/>
          <w:b w:val="0"/>
          <w:bCs w:val="0"/>
          <w:sz w:val="32"/>
          <w:szCs w:val="32"/>
        </w:rPr>
        <w:t>3</w:t>
      </w:r>
      <w:r>
        <w:rPr>
          <w:rFonts w:hint="eastAsia" w:ascii="仿宋" w:hAnsi="仿宋" w:eastAsia="仿宋" w:cs="仿宋"/>
          <w:b w:val="0"/>
          <w:bCs w:val="0"/>
          <w:sz w:val="32"/>
          <w:szCs w:val="32"/>
          <w:lang w:val="en-US" w:eastAsia="zh-CN"/>
        </w:rPr>
        <w:t>70</w:t>
      </w:r>
      <w:r>
        <w:rPr>
          <w:rFonts w:hint="eastAsia" w:ascii="仿宋" w:hAnsi="仿宋" w:eastAsia="仿宋" w:cs="仿宋"/>
          <w:b w:val="0"/>
          <w:bCs w:val="0"/>
          <w:sz w:val="32"/>
          <w:szCs w:val="32"/>
        </w:rPr>
        <w:t>公里</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总投资</w:t>
      </w:r>
      <w:r>
        <w:rPr>
          <w:rFonts w:hint="eastAsia" w:ascii="仿宋" w:hAnsi="仿宋" w:eastAsia="仿宋" w:cs="仿宋"/>
          <w:b w:val="0"/>
          <w:bCs w:val="0"/>
          <w:sz w:val="32"/>
          <w:szCs w:val="32"/>
          <w:lang w:val="en-US" w:eastAsia="zh-CN"/>
        </w:rPr>
        <w:t>11289.88万</w:t>
      </w:r>
      <w:r>
        <w:rPr>
          <w:rFonts w:hint="eastAsia" w:ascii="仿宋" w:hAnsi="仿宋" w:eastAsia="仿宋" w:cs="仿宋"/>
          <w:b w:val="0"/>
          <w:bCs w:val="0"/>
          <w:sz w:val="32"/>
          <w:szCs w:val="32"/>
        </w:rPr>
        <w:t>元，</w:t>
      </w:r>
      <w:r>
        <w:rPr>
          <w:rFonts w:hint="eastAsia" w:ascii="仿宋" w:hAnsi="仿宋" w:eastAsia="仿宋" w:cs="仿宋"/>
          <w:b w:val="0"/>
          <w:bCs w:val="0"/>
          <w:sz w:val="32"/>
          <w:szCs w:val="32"/>
          <w:lang w:val="en-US" w:eastAsia="zh-CN"/>
        </w:rPr>
        <w:t>其中：省</w:t>
      </w:r>
      <w:r>
        <w:rPr>
          <w:rFonts w:hint="eastAsia" w:ascii="仿宋" w:hAnsi="仿宋" w:eastAsia="仿宋" w:cs="仿宋"/>
          <w:b w:val="0"/>
          <w:bCs w:val="0"/>
          <w:sz w:val="32"/>
          <w:szCs w:val="32"/>
        </w:rPr>
        <w:t>补</w:t>
      </w:r>
      <w:r>
        <w:rPr>
          <w:rFonts w:hint="eastAsia" w:ascii="仿宋" w:hAnsi="仿宋" w:eastAsia="仿宋" w:cs="仿宋"/>
          <w:b w:val="0"/>
          <w:bCs w:val="0"/>
          <w:sz w:val="32"/>
          <w:szCs w:val="32"/>
          <w:lang w:val="en-US" w:eastAsia="zh-CN"/>
        </w:rPr>
        <w:t>资金</w:t>
      </w:r>
      <w:r>
        <w:rPr>
          <w:rFonts w:hint="eastAsia" w:ascii="仿宋" w:hAnsi="仿宋" w:eastAsia="仿宋" w:cs="仿宋"/>
          <w:b w:val="0"/>
          <w:bCs w:val="0"/>
          <w:sz w:val="32"/>
          <w:szCs w:val="32"/>
          <w:shd w:val="clear" w:color="auto" w:fill="FFFFFF"/>
        </w:rPr>
        <w:t>228</w:t>
      </w:r>
      <w:r>
        <w:rPr>
          <w:rFonts w:hint="eastAsia" w:ascii="仿宋" w:hAnsi="仿宋" w:eastAsia="仿宋" w:cs="仿宋"/>
          <w:b w:val="0"/>
          <w:bCs w:val="0"/>
          <w:sz w:val="32"/>
          <w:szCs w:val="32"/>
          <w:shd w:val="clear" w:color="auto" w:fill="FFFFFF"/>
          <w:lang w:val="en-US" w:eastAsia="zh-CN"/>
        </w:rPr>
        <w:t>3</w:t>
      </w:r>
      <w:r>
        <w:rPr>
          <w:rFonts w:hint="eastAsia" w:ascii="仿宋" w:hAnsi="仿宋" w:eastAsia="仿宋" w:cs="仿宋"/>
          <w:b w:val="0"/>
          <w:bCs w:val="0"/>
          <w:sz w:val="32"/>
          <w:szCs w:val="32"/>
          <w:shd w:val="clear" w:color="auto" w:fill="FFFFFF"/>
        </w:rPr>
        <w:t>万元</w:t>
      </w:r>
      <w:r>
        <w:rPr>
          <w:rFonts w:hint="eastAsia" w:ascii="仿宋" w:hAnsi="仿宋" w:eastAsia="仿宋" w:cs="仿宋"/>
          <w:b w:val="0"/>
          <w:bCs w:val="0"/>
          <w:sz w:val="32"/>
          <w:szCs w:val="32"/>
          <w:shd w:val="clear" w:color="auto" w:fill="FFFFFF"/>
          <w:lang w:eastAsia="zh-CN"/>
        </w:rPr>
        <w:t>，</w:t>
      </w:r>
      <w:r>
        <w:rPr>
          <w:rFonts w:hint="eastAsia" w:ascii="仿宋" w:hAnsi="仿宋" w:eastAsia="仿宋" w:cs="仿宋"/>
          <w:b w:val="0"/>
          <w:bCs w:val="0"/>
          <w:sz w:val="32"/>
          <w:szCs w:val="32"/>
          <w:shd w:val="clear" w:color="auto" w:fill="FFFFFF"/>
          <w:lang w:val="en-US" w:eastAsia="zh-CN"/>
        </w:rPr>
        <w:t>缺口资金由县人民政府融资解决。截至目前，</w:t>
      </w:r>
      <w:r>
        <w:rPr>
          <w:rFonts w:hint="eastAsia" w:ascii="仿宋" w:hAnsi="仿宋" w:eastAsia="仿宋" w:cs="仿宋"/>
          <w:b w:val="0"/>
          <w:bCs w:val="0"/>
          <w:sz w:val="32"/>
          <w:szCs w:val="32"/>
          <w:lang w:val="en-US" w:eastAsia="zh-CN"/>
        </w:rPr>
        <w:t>项目建设正有序推进，预计12月底完成总建设任务的55</w:t>
      </w:r>
      <w:r>
        <w:rPr>
          <w:rFonts w:hint="eastAsia" w:ascii="宋体" w:hAnsi="宋体" w:eastAsia="宋体" w:cs="宋体"/>
          <w:b w:val="0"/>
          <w:bCs w:val="0"/>
          <w:sz w:val="32"/>
          <w:szCs w:val="32"/>
          <w:lang w:val="en-US" w:eastAsia="zh-CN"/>
        </w:rPr>
        <w:t>％</w:t>
      </w:r>
      <w:r>
        <w:rPr>
          <w:rFonts w:hint="eastAsia" w:ascii="仿宋" w:hAnsi="仿宋" w:eastAsia="仿宋" w:cs="仿宋"/>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（二）加快“平安渡运”项目建设进度。</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平安渡运</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项目建设</w:t>
      </w:r>
      <w:r>
        <w:rPr>
          <w:rFonts w:hint="eastAsia" w:ascii="仿宋" w:hAnsi="仿宋" w:eastAsia="仿宋" w:cs="仿宋"/>
          <w:b w:val="0"/>
          <w:bCs w:val="0"/>
          <w:sz w:val="32"/>
          <w:szCs w:val="32"/>
        </w:rPr>
        <w:t>总投资估算为</w:t>
      </w:r>
      <w:r>
        <w:rPr>
          <w:rFonts w:hint="eastAsia" w:ascii="仿宋" w:hAnsi="仿宋" w:eastAsia="仿宋" w:cs="仿宋"/>
          <w:b w:val="0"/>
          <w:bCs w:val="0"/>
          <w:sz w:val="32"/>
          <w:szCs w:val="32"/>
          <w:lang w:val="en-US" w:eastAsia="zh-CN"/>
        </w:rPr>
        <w:t>1020万</w:t>
      </w:r>
      <w:r>
        <w:rPr>
          <w:rFonts w:hint="eastAsia" w:ascii="仿宋" w:hAnsi="仿宋" w:eastAsia="仿宋" w:cs="仿宋"/>
          <w:b w:val="0"/>
          <w:bCs w:val="0"/>
          <w:sz w:val="32"/>
          <w:szCs w:val="32"/>
        </w:rPr>
        <w:t>元，资金来源为</w:t>
      </w:r>
      <w:r>
        <w:rPr>
          <w:rFonts w:hint="eastAsia" w:ascii="仿宋" w:hAnsi="仿宋" w:eastAsia="仿宋" w:cs="仿宋"/>
          <w:b w:val="0"/>
          <w:bCs w:val="0"/>
          <w:sz w:val="32"/>
          <w:szCs w:val="32"/>
          <w:lang w:val="en-US" w:eastAsia="zh-CN"/>
        </w:rPr>
        <w:t>省级</w:t>
      </w:r>
      <w:r>
        <w:rPr>
          <w:rFonts w:hint="eastAsia" w:ascii="仿宋" w:hAnsi="仿宋" w:eastAsia="仿宋" w:cs="仿宋"/>
          <w:b w:val="0"/>
          <w:bCs w:val="0"/>
          <w:sz w:val="32"/>
          <w:szCs w:val="32"/>
        </w:rPr>
        <w:t>补助</w:t>
      </w:r>
      <w:r>
        <w:rPr>
          <w:rFonts w:hint="eastAsia" w:ascii="仿宋" w:hAnsi="仿宋" w:eastAsia="仿宋" w:cs="仿宋"/>
          <w:b w:val="0"/>
          <w:bCs w:val="0"/>
          <w:sz w:val="32"/>
          <w:szCs w:val="32"/>
          <w:shd w:val="clear" w:color="auto" w:fill="FFFFFF"/>
          <w:lang w:val="en-US" w:eastAsia="zh-CN"/>
        </w:rPr>
        <w:t>340</w:t>
      </w:r>
      <w:r>
        <w:rPr>
          <w:rFonts w:hint="eastAsia" w:ascii="仿宋" w:hAnsi="仿宋" w:eastAsia="仿宋" w:cs="仿宋"/>
          <w:b w:val="0"/>
          <w:bCs w:val="0"/>
          <w:sz w:val="32"/>
          <w:szCs w:val="32"/>
          <w:shd w:val="clear" w:color="auto" w:fill="FFFFFF"/>
        </w:rPr>
        <w:t>万元</w:t>
      </w:r>
      <w:r>
        <w:rPr>
          <w:rFonts w:hint="eastAsia" w:ascii="仿宋" w:hAnsi="仿宋" w:eastAsia="仿宋" w:cs="仿宋"/>
          <w:b w:val="0"/>
          <w:bCs w:val="0"/>
          <w:sz w:val="32"/>
          <w:szCs w:val="32"/>
          <w:shd w:val="clear" w:color="auto" w:fill="FFFFFF"/>
          <w:lang w:val="en-US" w:eastAsia="zh-CN"/>
        </w:rPr>
        <w:t>和</w:t>
      </w:r>
      <w:r>
        <w:rPr>
          <w:rFonts w:hint="eastAsia" w:ascii="仿宋" w:hAnsi="仿宋" w:eastAsia="仿宋" w:cs="仿宋"/>
          <w:b w:val="0"/>
          <w:bCs w:val="0"/>
          <w:sz w:val="32"/>
          <w:szCs w:val="32"/>
          <w:lang w:val="en-US" w:eastAsia="zh-CN"/>
        </w:rPr>
        <w:t>其他渠道资金</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该项目一是完成</w:t>
      </w:r>
      <w:r>
        <w:rPr>
          <w:rFonts w:hint="eastAsia" w:ascii="仿宋_GB2312" w:hAnsi="Times New Roman" w:eastAsia="仿宋_GB2312" w:cs="Times New Roman"/>
          <w:b w:val="0"/>
          <w:bCs w:val="0"/>
          <w:sz w:val="32"/>
          <w:szCs w:val="32"/>
          <w:lang w:val="en-US" w:eastAsia="zh-CN"/>
        </w:rPr>
        <w:t>江口镇、张王镇船舶应急安全停泊区2个，建成防洪桩</w:t>
      </w:r>
      <w:r>
        <w:rPr>
          <w:rFonts w:hint="eastAsia" w:ascii="仿宋_GB2312" w:eastAsia="仿宋_GB2312" w:cs="Times New Roman"/>
          <w:b w:val="0"/>
          <w:bCs w:val="0"/>
          <w:sz w:val="32"/>
          <w:szCs w:val="32"/>
          <w:lang w:val="en-US" w:eastAsia="zh-CN"/>
        </w:rPr>
        <w:t>25</w:t>
      </w:r>
      <w:r>
        <w:rPr>
          <w:rFonts w:hint="eastAsia" w:ascii="仿宋_GB2312" w:hAnsi="Times New Roman" w:eastAsia="仿宋_GB2312" w:cs="Times New Roman"/>
          <w:b w:val="0"/>
          <w:bCs w:val="0"/>
          <w:sz w:val="32"/>
          <w:szCs w:val="32"/>
          <w:lang w:val="en-US" w:eastAsia="zh-CN"/>
        </w:rPr>
        <w:t>个；二是已完成</w:t>
      </w:r>
      <w:r>
        <w:rPr>
          <w:rFonts w:hint="eastAsia" w:ascii="仿宋" w:hAnsi="仿宋" w:eastAsia="仿宋" w:cs="仿宋"/>
          <w:b w:val="0"/>
          <w:bCs w:val="0"/>
          <w:color w:val="auto"/>
          <w:spacing w:val="-4"/>
          <w:sz w:val="32"/>
          <w:szCs w:val="32"/>
          <w:lang w:val="en-US" w:eastAsia="zh-CN"/>
        </w:rPr>
        <w:t>4艘传统能源渡船的船舶主体建造工作，正抓紧按照船载设施设备，预计12月底完成船舶调试并交付使用；三是</w:t>
      </w:r>
      <w:r>
        <w:rPr>
          <w:rFonts w:hint="eastAsia" w:ascii="仿宋" w:hAnsi="仿宋" w:eastAsia="仿宋" w:cs="仿宋"/>
          <w:b w:val="0"/>
          <w:bCs w:val="0"/>
          <w:sz w:val="32"/>
          <w:szCs w:val="32"/>
        </w:rPr>
        <w:t>陵江渡</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陈家堰、鹅项颈</w:t>
      </w:r>
      <w:r>
        <w:rPr>
          <w:rFonts w:hint="eastAsia" w:ascii="仿宋" w:hAnsi="仿宋" w:eastAsia="仿宋" w:cs="仿宋"/>
          <w:b w:val="0"/>
          <w:bCs w:val="0"/>
          <w:sz w:val="32"/>
          <w:szCs w:val="32"/>
          <w:lang w:val="en-US" w:eastAsia="zh-CN"/>
        </w:rPr>
        <w:t>和</w:t>
      </w:r>
      <w:r>
        <w:rPr>
          <w:rFonts w:hint="eastAsia" w:ascii="仿宋" w:hAnsi="仿宋" w:eastAsia="仿宋" w:cs="仿宋"/>
          <w:b w:val="0"/>
          <w:bCs w:val="0"/>
          <w:sz w:val="32"/>
          <w:szCs w:val="32"/>
        </w:rPr>
        <w:t>小垭子</w:t>
      </w:r>
      <w:r>
        <w:rPr>
          <w:rFonts w:hint="eastAsia" w:ascii="仿宋" w:hAnsi="仿宋" w:eastAsia="仿宋" w:cs="仿宋"/>
          <w:b w:val="0"/>
          <w:bCs w:val="0"/>
          <w:sz w:val="32"/>
          <w:szCs w:val="32"/>
          <w:lang w:val="en-US" w:eastAsia="zh-CN"/>
        </w:rPr>
        <w:t>左右岸</w:t>
      </w:r>
      <w:r>
        <w:rPr>
          <w:rFonts w:hint="eastAsia" w:ascii="仿宋" w:hAnsi="仿宋" w:eastAsia="仿宋" w:cs="仿宋"/>
          <w:b w:val="0"/>
          <w:bCs w:val="0"/>
          <w:sz w:val="32"/>
          <w:szCs w:val="32"/>
        </w:rPr>
        <w:t>码头</w:t>
      </w:r>
      <w:r>
        <w:rPr>
          <w:rFonts w:hint="eastAsia" w:ascii="仿宋" w:hAnsi="仿宋" w:eastAsia="仿宋" w:cs="仿宋"/>
          <w:b w:val="0"/>
          <w:bCs w:val="0"/>
          <w:sz w:val="32"/>
          <w:szCs w:val="32"/>
          <w:lang w:val="en-US" w:eastAsia="zh-CN"/>
        </w:rPr>
        <w:t>提档升级维修改造现已开工建设；四是水上监控设施安装施工与</w:t>
      </w:r>
      <w:r>
        <w:rPr>
          <w:rFonts w:hint="eastAsia" w:ascii="仿宋" w:hAnsi="仿宋" w:eastAsia="仿宋" w:cs="仿宋"/>
          <w:b w:val="0"/>
          <w:bCs w:val="0"/>
          <w:sz w:val="32"/>
          <w:szCs w:val="32"/>
        </w:rPr>
        <w:t>码头</w:t>
      </w:r>
      <w:r>
        <w:rPr>
          <w:rFonts w:hint="eastAsia" w:ascii="仿宋" w:hAnsi="仿宋" w:eastAsia="仿宋" w:cs="仿宋"/>
          <w:b w:val="0"/>
          <w:bCs w:val="0"/>
          <w:sz w:val="32"/>
          <w:szCs w:val="32"/>
          <w:lang w:val="en-US" w:eastAsia="zh-CN"/>
        </w:rPr>
        <w:t>提档升级维修改造同步实施，目前正进行管线埋设，预计12月底码头改造、视频监控同步验收和交付使用。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b w:val="0"/>
          <w:bCs w:val="0"/>
          <w:sz w:val="32"/>
          <w:szCs w:val="32"/>
          <w:lang w:val="en-US" w:eastAsia="zh-CN"/>
        </w:rPr>
      </w:pPr>
      <w:r>
        <w:rPr>
          <w:rFonts w:hint="eastAsia" w:ascii="楷体" w:hAnsi="楷体" w:eastAsia="楷体" w:cs="楷体"/>
          <w:b w:val="0"/>
          <w:bCs w:val="0"/>
          <w:sz w:val="32"/>
          <w:szCs w:val="32"/>
          <w:lang w:val="en-US" w:eastAsia="zh-CN"/>
        </w:rPr>
        <w:t>（三）圆满完成观音寺渡改桥项目建设任务。</w:t>
      </w:r>
      <w:r>
        <w:rPr>
          <w:rFonts w:hint="eastAsia" w:ascii="仿宋" w:hAnsi="仿宋" w:eastAsia="仿宋" w:cs="仿宋"/>
          <w:b w:val="0"/>
          <w:bCs w:val="0"/>
          <w:sz w:val="32"/>
          <w:szCs w:val="32"/>
          <w:lang w:val="en-US" w:eastAsia="zh-CN"/>
        </w:rPr>
        <w:t>为彻底消除升钟库区“库中库”对西河流域的环境影响，</w:t>
      </w:r>
      <w:r>
        <w:rPr>
          <w:rFonts w:hint="eastAsia" w:ascii="仿宋_GB2312" w:hAnsi="Times New Roman" w:eastAsia="仿宋_GB2312" w:cs="Times New Roman"/>
          <w:b w:val="0"/>
          <w:bCs w:val="0"/>
          <w:sz w:val="32"/>
          <w:szCs w:val="32"/>
        </w:rPr>
        <w:t>长岭乡观音寺渡改桥项目</w:t>
      </w:r>
      <w:r>
        <w:rPr>
          <w:rFonts w:hint="eastAsia" w:ascii="仿宋_GB2312" w:hAnsi="Times New Roman" w:eastAsia="仿宋_GB2312" w:cs="Times New Roman"/>
          <w:b w:val="0"/>
          <w:bCs w:val="0"/>
          <w:sz w:val="32"/>
          <w:szCs w:val="32"/>
          <w:lang w:val="en-US" w:eastAsia="zh-CN"/>
        </w:rPr>
        <w:t>于2021年9月开工建设，于2022年11月底完成桥梁主体工程和连接路建设，目前正清理建筑垃圾和施划交通标线及安装交通警示标牌。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宋体" w:eastAsia="仿宋_GB2312" w:cs="Times New Roman"/>
          <w:b w:val="0"/>
          <w:bCs w:val="0"/>
          <w:sz w:val="32"/>
          <w:szCs w:val="32"/>
          <w:lang w:val="en-US" w:eastAsia="zh-CN"/>
        </w:rPr>
      </w:pPr>
      <w:r>
        <w:rPr>
          <w:rFonts w:hint="eastAsia" w:ascii="楷体" w:hAnsi="楷体" w:eastAsia="楷体" w:cs="楷体"/>
          <w:b w:val="0"/>
          <w:bCs w:val="0"/>
          <w:sz w:val="32"/>
          <w:szCs w:val="32"/>
          <w:lang w:val="en-US" w:eastAsia="zh-CN"/>
        </w:rPr>
        <w:t>（四）完成上级交办天府旅游名县创建任务。</w:t>
      </w:r>
      <w:r>
        <w:rPr>
          <w:rFonts w:hint="eastAsia" w:ascii="仿宋_GB2312" w:hAnsi="Times New Roman" w:eastAsia="仿宋_GB2312" w:cs="Times New Roman"/>
          <w:b w:val="0"/>
          <w:bCs w:val="0"/>
          <w:sz w:val="32"/>
          <w:szCs w:val="32"/>
          <w:lang w:val="en-US" w:eastAsia="zh-CN"/>
        </w:rPr>
        <w:t>为有效提升我县旅游公路路遇通行环境，为巩固天府旅游名县成果，我中心对下普快速通道沿线交通标志标牌和破损客运招呼站进行维修更换与清洁。期间更换标志标牌92个、修复和清洁标志标牌20处、制作高铁站文化宣传墙150m、新换双旗美村中央隔离带水马40个、安装下普快速通道客运招呼站垃圾桶</w:t>
      </w:r>
      <w:r>
        <w:rPr>
          <w:rFonts w:hint="eastAsia" w:ascii="仿宋_GB2312" w:eastAsia="仿宋_GB2312" w:cs="Times New Roman"/>
          <w:b w:val="0"/>
          <w:bCs w:val="0"/>
          <w:sz w:val="32"/>
          <w:szCs w:val="32"/>
          <w:lang w:val="en-US" w:eastAsia="zh-CN"/>
        </w:rPr>
        <w:t>8</w:t>
      </w:r>
      <w:r>
        <w:rPr>
          <w:rFonts w:hint="eastAsia" w:ascii="仿宋_GB2312" w:hAnsi="Times New Roman" w:eastAsia="仿宋_GB2312" w:cs="Times New Roman"/>
          <w:b w:val="0"/>
          <w:bCs w:val="0"/>
          <w:sz w:val="32"/>
          <w:szCs w:val="32"/>
          <w:lang w:val="en-US" w:eastAsia="zh-CN"/>
        </w:rPr>
        <w:t>组</w:t>
      </w:r>
      <w:r>
        <w:rPr>
          <w:rFonts w:hint="eastAsia" w:ascii="仿宋_GB2312" w:hAnsi="宋体" w:eastAsia="仿宋_GB2312"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（五）完成隐患整治和安保设施维修维护工作。</w:t>
      </w:r>
      <w:r>
        <w:rPr>
          <w:rFonts w:hint="eastAsia" w:ascii="仿宋_GB2312" w:hAnsi="宋体" w:eastAsia="仿宋_GB2312" w:cs="Times New Roman"/>
          <w:b w:val="0"/>
          <w:bCs w:val="0"/>
          <w:color w:val="auto"/>
          <w:sz w:val="32"/>
          <w:szCs w:val="32"/>
          <w:highlight w:val="none"/>
          <w:lang w:val="en-US" w:eastAsia="zh-CN"/>
        </w:rPr>
        <w:t>一是</w:t>
      </w:r>
      <w:r>
        <w:rPr>
          <w:rFonts w:hint="eastAsia" w:ascii="仿宋_GB2312" w:hAnsi="仿宋" w:eastAsia="仿宋_GB2312" w:cs="Times New Roman"/>
          <w:b w:val="0"/>
          <w:bCs w:val="0"/>
          <w:color w:val="auto"/>
          <w:sz w:val="32"/>
          <w:szCs w:val="32"/>
          <w:highlight w:val="none"/>
          <w:lang w:val="en-US" w:eastAsia="zh-CN"/>
        </w:rPr>
        <w:t>完成国道108线K1917+400m路段安全隐患整治，共安装警示标志标牌3个、电子雷达测速1个、更换波形护栏50米、施刻振荡标线100㎡</w:t>
      </w:r>
      <w:r>
        <w:rPr>
          <w:rFonts w:hint="eastAsia" w:ascii="仿宋_GB2312" w:hAnsi="仿宋" w:eastAsia="仿宋_GB2312"/>
          <w:b w:val="0"/>
          <w:bCs w:val="0"/>
          <w:color w:val="auto"/>
          <w:sz w:val="32"/>
          <w:szCs w:val="32"/>
          <w:highlight w:val="none"/>
          <w:lang w:eastAsia="zh-CN"/>
        </w:rPr>
        <w:t>；</w:t>
      </w:r>
      <w:r>
        <w:rPr>
          <w:rFonts w:hint="eastAsia" w:ascii="仿宋_GB2312" w:hAnsi="宋体" w:eastAsia="仿宋_GB2312" w:cs="Times New Roman"/>
          <w:b w:val="0"/>
          <w:bCs w:val="0"/>
          <w:color w:val="auto"/>
          <w:sz w:val="32"/>
          <w:szCs w:val="32"/>
          <w:highlight w:val="none"/>
          <w:lang w:val="en-US" w:eastAsia="zh-CN"/>
        </w:rPr>
        <w:t>二是完成全县</w:t>
      </w:r>
      <w:r>
        <w:rPr>
          <w:rFonts w:hint="eastAsia" w:ascii="仿宋_GB2312" w:hAnsi="仿宋" w:eastAsia="仿宋_GB2312" w:cs="Times New Roman"/>
          <w:b w:val="0"/>
          <w:bCs w:val="0"/>
          <w:color w:val="auto"/>
          <w:sz w:val="32"/>
          <w:szCs w:val="32"/>
          <w:highlight w:val="none"/>
          <w:lang w:val="en-US" w:eastAsia="zh-CN"/>
        </w:rPr>
        <w:t>公路安保设施隐患维修维护52处，更换波形护栏板688米、立柱125根、端头22个</w:t>
      </w:r>
      <w:r>
        <w:rPr>
          <w:rFonts w:ascii="仿宋_GB2312" w:hAnsi="仿宋" w:eastAsia="仿宋_GB2312"/>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eastAsia="黑体"/>
          <w:b w:val="0"/>
          <w:bCs w:val="0"/>
          <w:sz w:val="32"/>
          <w:szCs w:val="32"/>
          <w:lang w:val="en-US" w:eastAsia="zh-CN"/>
        </w:rPr>
      </w:pPr>
      <w:r>
        <w:rPr>
          <w:rFonts w:hint="eastAsia" w:ascii="黑体" w:eastAsia="黑体"/>
          <w:b w:val="0"/>
          <w:bCs w:val="0"/>
          <w:sz w:val="32"/>
          <w:szCs w:val="32"/>
          <w:lang w:val="en-US" w:eastAsia="zh-CN"/>
        </w:rPr>
        <w:t>二</w:t>
      </w:r>
      <w:r>
        <w:rPr>
          <w:rFonts w:hint="eastAsia" w:ascii="黑体" w:eastAsia="黑体"/>
          <w:b w:val="0"/>
          <w:bCs w:val="0"/>
          <w:sz w:val="32"/>
          <w:szCs w:val="32"/>
        </w:rPr>
        <w:t>、</w:t>
      </w:r>
      <w:r>
        <w:rPr>
          <w:rFonts w:hint="eastAsia" w:ascii="黑体" w:eastAsia="黑体"/>
          <w:b w:val="0"/>
          <w:bCs w:val="0"/>
          <w:sz w:val="32"/>
          <w:szCs w:val="32"/>
          <w:lang w:val="en-US" w:eastAsia="zh-CN"/>
        </w:rPr>
        <w:t>着力提升运输服务，稳步推进行业发展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b w:val="0"/>
          <w:bCs w:val="0"/>
          <w:sz w:val="32"/>
          <w:szCs w:val="32"/>
          <w:lang w:eastAsia="zh-CN"/>
        </w:rPr>
      </w:pPr>
      <w:r>
        <w:rPr>
          <w:rFonts w:hint="eastAsia" w:ascii="楷体" w:hAnsi="楷体" w:eastAsia="楷体" w:cs="楷体"/>
          <w:b w:val="0"/>
          <w:bCs w:val="0"/>
          <w:sz w:val="32"/>
          <w:szCs w:val="32"/>
          <w:lang w:val="en-US" w:eastAsia="zh-CN"/>
        </w:rPr>
        <w:t>（一）加快客货运输行业发展。</w:t>
      </w:r>
      <w:r>
        <w:rPr>
          <w:rFonts w:hint="eastAsia" w:ascii="仿宋_GB2312" w:eastAsia="仿宋_GB2312"/>
          <w:b w:val="0"/>
          <w:bCs w:val="0"/>
          <w:sz w:val="32"/>
          <w:szCs w:val="32"/>
          <w:lang w:val="en-US" w:eastAsia="zh-CN"/>
        </w:rPr>
        <w:t>一是结合金通工程和旅游名县创建，</w:t>
      </w:r>
      <w:r>
        <w:rPr>
          <w:rFonts w:hint="eastAsia" w:ascii="仿宋_GB2312" w:hAnsi="宋体" w:eastAsia="仿宋_GB2312" w:cs="Times New Roman"/>
          <w:b w:val="0"/>
          <w:bCs w:val="0"/>
          <w:sz w:val="32"/>
          <w:szCs w:val="32"/>
          <w:lang w:val="en-US" w:eastAsia="zh-CN"/>
        </w:rPr>
        <w:t>新建招呼牌147个，</w:t>
      </w:r>
      <w:r>
        <w:rPr>
          <w:rFonts w:hint="eastAsia" w:ascii="仿宋_GB2312" w:hAnsi="仿宋" w:eastAsia="仿宋_GB2312"/>
          <w:b w:val="0"/>
          <w:bCs w:val="0"/>
          <w:sz w:val="32"/>
          <w:szCs w:val="32"/>
        </w:rPr>
        <w:t>维修</w:t>
      </w:r>
      <w:r>
        <w:rPr>
          <w:rFonts w:hint="eastAsia" w:ascii="仿宋_GB2312" w:hAnsi="仿宋" w:eastAsia="仿宋_GB2312"/>
          <w:b w:val="0"/>
          <w:bCs w:val="0"/>
          <w:sz w:val="32"/>
          <w:szCs w:val="32"/>
          <w:lang w:val="en-US" w:eastAsia="zh-CN"/>
        </w:rPr>
        <w:t>招呼站288个，实现全县</w:t>
      </w:r>
      <w:r>
        <w:rPr>
          <w:rFonts w:hint="eastAsia" w:ascii="仿宋_GB2312" w:eastAsia="仿宋_GB2312"/>
          <w:b w:val="0"/>
          <w:bCs w:val="0"/>
          <w:sz w:val="32"/>
          <w:szCs w:val="32"/>
          <w:lang w:val="en-US" w:eastAsia="zh-CN"/>
        </w:rPr>
        <w:t>招呼站台、264辆农村客运车辆车身外观和驾驶员着装形象统一；二是经核实，2020年度全县382辆(艘)农村客运车辆船舶成品油补助资金现已发放50</w:t>
      </w:r>
      <w:r>
        <w:rPr>
          <w:rFonts w:hint="eastAsia" w:ascii="宋体" w:hAnsi="宋体" w:eastAsia="宋体" w:cs="宋体"/>
          <w:b w:val="0"/>
          <w:bCs w:val="0"/>
          <w:sz w:val="32"/>
          <w:szCs w:val="32"/>
          <w:lang w:val="en-US" w:eastAsia="zh-CN"/>
        </w:rPr>
        <w:t>％</w:t>
      </w:r>
      <w:r>
        <w:rPr>
          <w:rFonts w:hint="eastAsia" w:ascii="仿宋_GB2312" w:eastAsia="仿宋_GB2312"/>
          <w:b w:val="0"/>
          <w:bCs w:val="0"/>
          <w:sz w:val="32"/>
          <w:szCs w:val="32"/>
          <w:lang w:val="en-US" w:eastAsia="zh-CN"/>
        </w:rPr>
        <w:t>，现正积极向县人民政府和县财政局汇报，力争12月足额发放到位；三是按照旅游名县和文明城市创建规划，督促公交公司规范公交车辆运营，明确发班时间，运行路线和停靠站点，方便群众便捷出行；四是拟对10辆老旧公交车辆进行报废更新为新能源车辆，目前正抓紧实施报废更新手续报批；五是</w:t>
      </w:r>
      <w:r>
        <w:rPr>
          <w:rFonts w:hint="eastAsia" w:ascii="仿宋" w:hAnsi="仿宋" w:eastAsia="仿宋" w:cs="仿宋"/>
          <w:b w:val="0"/>
          <w:bCs w:val="0"/>
          <w:sz w:val="32"/>
          <w:szCs w:val="32"/>
          <w:lang w:val="en-US" w:eastAsia="zh-CN"/>
        </w:rPr>
        <w:t>加快广元治同货物运输公司“规上”企业培育，目前该公司拥有各型货运车辆16辆，预计2022年底公司上户车辆30辆，营收过300万元；六是2022年我县新增货运车辆20辆，1--11月客货运周转量同比增长6.3％，全市排名第二；七是</w:t>
      </w:r>
      <w:r>
        <w:rPr>
          <w:rFonts w:hint="eastAsia" w:ascii="仿宋_GB2312" w:eastAsia="仿宋_GB2312"/>
          <w:b w:val="0"/>
          <w:bCs w:val="0"/>
          <w:sz w:val="32"/>
          <w:szCs w:val="32"/>
        </w:rPr>
        <w:t>印制</w:t>
      </w:r>
      <w:r>
        <w:rPr>
          <w:rFonts w:hint="eastAsia" w:ascii="仿宋_GB2312" w:eastAsia="仿宋_GB2312"/>
          <w:b w:val="0"/>
          <w:bCs w:val="0"/>
          <w:sz w:val="32"/>
          <w:szCs w:val="32"/>
          <w:lang w:val="en-US" w:eastAsia="zh-CN"/>
        </w:rPr>
        <w:t>交通运输行业管理9</w:t>
      </w:r>
      <w:r>
        <w:rPr>
          <w:rFonts w:hint="eastAsia" w:ascii="仿宋_GB2312" w:eastAsia="仿宋_GB2312"/>
          <w:b w:val="0"/>
          <w:bCs w:val="0"/>
          <w:sz w:val="32"/>
          <w:szCs w:val="32"/>
        </w:rPr>
        <w:t>项许可</w:t>
      </w:r>
      <w:r>
        <w:rPr>
          <w:rFonts w:hint="eastAsia" w:ascii="仿宋_GB2312" w:eastAsia="仿宋_GB2312"/>
          <w:b w:val="0"/>
          <w:bCs w:val="0"/>
          <w:sz w:val="32"/>
          <w:szCs w:val="32"/>
          <w:lang w:val="en-US" w:eastAsia="zh-CN"/>
        </w:rPr>
        <w:t>和5项备案</w:t>
      </w:r>
      <w:r>
        <w:rPr>
          <w:rFonts w:hint="eastAsia" w:ascii="仿宋_GB2312" w:eastAsia="仿宋_GB2312"/>
          <w:b w:val="0"/>
          <w:bCs w:val="0"/>
          <w:sz w:val="32"/>
          <w:szCs w:val="32"/>
        </w:rPr>
        <w:t>业务办事指南</w:t>
      </w:r>
      <w:r>
        <w:rPr>
          <w:rFonts w:hint="eastAsia" w:ascii="仿宋_GB2312" w:eastAsia="仿宋_GB2312"/>
          <w:b w:val="0"/>
          <w:bCs w:val="0"/>
          <w:sz w:val="32"/>
          <w:szCs w:val="32"/>
          <w:lang w:val="en-US" w:eastAsia="zh-CN"/>
        </w:rPr>
        <w:t>5000</w:t>
      </w:r>
      <w:r>
        <w:rPr>
          <w:rFonts w:hint="eastAsia" w:ascii="仿宋_GB2312" w:eastAsia="仿宋_GB2312"/>
          <w:b w:val="0"/>
          <w:bCs w:val="0"/>
          <w:sz w:val="32"/>
          <w:szCs w:val="32"/>
        </w:rPr>
        <w:t>份，并开通业务快递服务，让群众业务办理“最多跑一次”</w:t>
      </w:r>
      <w:r>
        <w:rPr>
          <w:rFonts w:hint="eastAsia" w:ascii="仿宋_GB2312" w:eastAsia="仿宋_GB2312"/>
          <w:b w:val="0"/>
          <w:bCs w:val="0"/>
          <w:sz w:val="32"/>
          <w:szCs w:val="32"/>
          <w:lang w:eastAsia="zh-CN"/>
        </w:rPr>
        <w:t>；</w:t>
      </w:r>
      <w:r>
        <w:rPr>
          <w:rFonts w:hint="eastAsia" w:ascii="仿宋_GB2312" w:eastAsia="仿宋_GB2312"/>
          <w:b w:val="0"/>
          <w:bCs w:val="0"/>
          <w:sz w:val="32"/>
          <w:szCs w:val="32"/>
          <w:lang w:val="en-US" w:eastAsia="zh-CN"/>
        </w:rPr>
        <w:t>八是结合全市道路客货运输突出问题违法违规行为专项整治行动，深入水陆客货运输企业突出违法违规问题专项检查。其间，下发指导意见书44份。同时督促指导各客货运输、驾培学校、检测站、维修企业集中开展从业人员职业技能和安全教育培训，大力提升服务水平和社会满意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（二）强化驾培维修市场指导。</w:t>
      </w:r>
      <w:r>
        <w:rPr>
          <w:rFonts w:hint="eastAsia" w:ascii="仿宋_GB2312" w:eastAsia="仿宋_GB2312"/>
          <w:b w:val="0"/>
          <w:bCs w:val="0"/>
          <w:sz w:val="32"/>
          <w:szCs w:val="32"/>
        </w:rPr>
        <w:t>一是</w:t>
      </w:r>
      <w:r>
        <w:rPr>
          <w:rFonts w:hint="eastAsia" w:ascii="仿宋_GB2312" w:eastAsia="仿宋_GB2312"/>
          <w:b w:val="0"/>
          <w:bCs w:val="0"/>
          <w:sz w:val="32"/>
          <w:szCs w:val="32"/>
          <w:lang w:val="en-US" w:eastAsia="zh-CN"/>
        </w:rPr>
        <w:t>督促指导对剑州、剑门关、雄关三所驾校33个乡镇驾培点场地规范化建设和学员课时培训；二是依规定明确驾培车辆报废更新排放标准、车辆排量、品牌型号和所投放运营驾培点，确保我县驾培市场形象统一，发展有序；三是圆满完成上级交办剑阁县众达汽车修理厂“两上”企业培育任务，目前新公司已完成经营注册和公司申报入库工作；四是</w:t>
      </w:r>
      <w:r>
        <w:rPr>
          <w:rFonts w:hint="eastAsia" w:ascii="仿宋" w:hAnsi="仿宋" w:eastAsia="仿宋" w:cs="仿宋"/>
          <w:b w:val="0"/>
          <w:bCs w:val="0"/>
          <w:sz w:val="32"/>
          <w:szCs w:val="32"/>
          <w:lang w:val="en-US" w:eastAsia="zh-CN"/>
        </w:rPr>
        <w:t>在全县机动车维修企业环保督查，下发指导意见书63份，对37家环保达标维修企业实施环保备案；五是督促维修企业认真贯彻落实《机动车维修服务规范》，2022年成功调解2起维修纠纷；六是开展机动车维修企业实施年度质量信誉考核，对照考核计分标准和维修企业类别，完成全县二、三类19家维修企业的质量信誉考核工作，</w:t>
      </w:r>
      <w:r>
        <w:rPr>
          <w:rFonts w:hint="eastAsia" w:ascii="仿宋" w:hAnsi="仿宋" w:eastAsia="仿宋" w:cs="仿宋"/>
          <w:b w:val="0"/>
          <w:bCs w:val="0"/>
          <w:sz w:val="32"/>
          <w:szCs w:val="32"/>
        </w:rPr>
        <w:t>考核</w:t>
      </w:r>
      <w:r>
        <w:rPr>
          <w:rFonts w:hint="eastAsia" w:ascii="仿宋" w:hAnsi="仿宋" w:eastAsia="仿宋" w:cs="仿宋"/>
          <w:b w:val="0"/>
          <w:bCs w:val="0"/>
          <w:sz w:val="32"/>
          <w:szCs w:val="32"/>
          <w:lang w:val="en-US" w:eastAsia="zh-CN"/>
        </w:rPr>
        <w:t>达标率100</w:t>
      </w:r>
      <w:r>
        <w:rPr>
          <w:rFonts w:hint="eastAsia" w:ascii="宋体" w:hAnsi="宋体" w:eastAsia="宋体" w:cs="宋体"/>
          <w:b w:val="0"/>
          <w:bCs w:val="0"/>
          <w:sz w:val="32"/>
          <w:szCs w:val="32"/>
          <w:lang w:val="en-US" w:eastAsia="zh-CN"/>
        </w:rPr>
        <w:t>％</w:t>
      </w:r>
      <w:r>
        <w:rPr>
          <w:rFonts w:hint="eastAsia" w:ascii="宋体" w:hAnsi="宋体" w:cs="宋体"/>
          <w:b w:val="0"/>
          <w:bCs w:val="0"/>
          <w:sz w:val="32"/>
          <w:szCs w:val="32"/>
          <w:lang w:val="en-US" w:eastAsia="zh-CN"/>
        </w:rPr>
        <w:t>，</w:t>
      </w:r>
      <w:r>
        <w:rPr>
          <w:rFonts w:hint="eastAsia" w:ascii="仿宋" w:hAnsi="仿宋" w:eastAsia="仿宋" w:cs="仿宋"/>
          <w:b w:val="0"/>
          <w:bCs w:val="0"/>
          <w:sz w:val="32"/>
          <w:szCs w:val="32"/>
          <w:lang w:val="en-US" w:eastAsia="zh-CN"/>
        </w:rPr>
        <w:t>其中：3A企业1家，2A企业6家、1A企业12家。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eastAsia="仿宋_GB2312"/>
          <w:b w:val="0"/>
          <w:bCs w:val="0"/>
          <w:sz w:val="32"/>
          <w:szCs w:val="32"/>
          <w:lang w:val="en-US" w:eastAsia="zh-CN"/>
        </w:rPr>
      </w:pPr>
      <w:r>
        <w:rPr>
          <w:rFonts w:hint="eastAsia" w:ascii="楷体" w:hAnsi="楷体" w:eastAsia="楷体" w:cs="楷体"/>
          <w:b w:val="0"/>
          <w:bCs w:val="0"/>
          <w:sz w:val="32"/>
          <w:szCs w:val="32"/>
          <w:lang w:val="en-US" w:eastAsia="zh-CN"/>
        </w:rPr>
        <w:t>（三）</w:t>
      </w:r>
      <w:r>
        <w:rPr>
          <w:rFonts w:hint="eastAsia" w:ascii="楷体" w:hAnsi="楷体" w:eastAsia="楷体" w:cs="楷体"/>
          <w:b w:val="0"/>
          <w:bCs w:val="0"/>
          <w:sz w:val="32"/>
          <w:szCs w:val="32"/>
          <w:lang w:eastAsia="zh-CN"/>
        </w:rPr>
        <w:t>严格</w:t>
      </w:r>
      <w:r>
        <w:rPr>
          <w:rFonts w:hint="eastAsia" w:ascii="楷体" w:hAnsi="楷体" w:eastAsia="楷体" w:cs="楷体"/>
          <w:b w:val="0"/>
          <w:bCs w:val="0"/>
          <w:sz w:val="32"/>
          <w:szCs w:val="32"/>
          <w:lang w:val="en-US" w:eastAsia="zh-CN"/>
        </w:rPr>
        <w:t>水上安全环保指导。</w:t>
      </w:r>
      <w:r>
        <w:rPr>
          <w:rFonts w:hint="eastAsia" w:ascii="仿宋" w:hAnsi="仿宋" w:eastAsia="仿宋" w:cs="仿宋"/>
          <w:b w:val="0"/>
          <w:bCs w:val="0"/>
          <w:sz w:val="32"/>
          <w:szCs w:val="32"/>
          <w:lang w:val="en-US" w:eastAsia="zh-CN"/>
        </w:rPr>
        <w:t>一是按照省厅《关于严格落实汛期防“跑船”八条措施切实抓好船舶安全度汛工作的通知》与库区客货运输船舶签订“防跑船”承诺书34份；二是</w:t>
      </w:r>
      <w:r>
        <w:rPr>
          <w:rFonts w:hint="eastAsia" w:ascii="仿宋_GB2312" w:eastAsia="仿宋_GB2312"/>
          <w:b w:val="0"/>
          <w:bCs w:val="0"/>
          <w:sz w:val="32"/>
          <w:szCs w:val="32"/>
          <w:lang w:val="en-US" w:eastAsia="zh-CN"/>
        </w:rPr>
        <w:t>督促指导客货运输船舶下载“船e行”，</w:t>
      </w:r>
      <w:r>
        <w:rPr>
          <w:rFonts w:hint="eastAsia" w:ascii="仿宋_GB2312" w:eastAsia="仿宋_GB2312"/>
          <w:b w:val="0"/>
          <w:bCs w:val="0"/>
          <w:sz w:val="32"/>
          <w:szCs w:val="32"/>
        </w:rPr>
        <w:t>落实</w:t>
      </w:r>
      <w:r>
        <w:rPr>
          <w:rFonts w:hint="eastAsia" w:ascii="仿宋_GB2312" w:eastAsia="仿宋_GB2312"/>
          <w:b w:val="0"/>
          <w:bCs w:val="0"/>
          <w:sz w:val="32"/>
          <w:szCs w:val="32"/>
          <w:lang w:val="en-US" w:eastAsia="zh-CN"/>
        </w:rPr>
        <w:t>生活垃圾定点投放和船舶废弃油污回收、处置；三是对</w:t>
      </w:r>
      <w:r>
        <w:rPr>
          <w:rFonts w:hint="eastAsia" w:ascii="仿宋" w:hAnsi="仿宋" w:eastAsia="仿宋" w:cs="仿宋"/>
          <w:b w:val="0"/>
          <w:bCs w:val="0"/>
          <w:sz w:val="32"/>
          <w:szCs w:val="32"/>
          <w:lang w:val="en-US" w:eastAsia="zh-CN"/>
        </w:rPr>
        <w:t>升钟、亭子口库区水运企业21艘船舶实施环保备案，并</w:t>
      </w:r>
      <w:r>
        <w:rPr>
          <w:rFonts w:hint="eastAsia" w:ascii="仿宋_GB2312" w:eastAsia="仿宋_GB2312"/>
          <w:b w:val="0"/>
          <w:bCs w:val="0"/>
          <w:sz w:val="32"/>
          <w:szCs w:val="32"/>
          <w:lang w:val="en-US" w:eastAsia="zh-CN"/>
        </w:rPr>
        <w:t>按时完成升钟、亭子口库区渔船年检工作；四是集中开展船员、签单员水上安全业务培训4期，培训人员167人/次；五是开展“水上平安交通、安全伴我成长”交通安全知识进校园活动，旨在增强广大师生安全防范意识和避险防灾、自救自护能力。</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2022年，共开展水上交通业务指导112次，下发交通运输服务指导意见书45份，督促、指导47艘船舶完成单船防汛应急预案。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b w:val="0"/>
          <w:bCs w:val="0"/>
          <w:lang w:val="en-US" w:eastAsia="zh-CN"/>
        </w:rPr>
      </w:pPr>
      <w:r>
        <w:rPr>
          <w:rFonts w:hint="eastAsia" w:ascii="楷体" w:hAnsi="楷体" w:eastAsia="楷体" w:cs="楷体"/>
          <w:b w:val="0"/>
          <w:bCs w:val="0"/>
          <w:sz w:val="32"/>
          <w:szCs w:val="32"/>
          <w:lang w:val="en-US" w:eastAsia="zh-CN"/>
        </w:rPr>
        <w:t>（四）做好信访矛盾处置工作。</w:t>
      </w:r>
      <w:r>
        <w:rPr>
          <w:rFonts w:hint="eastAsia" w:ascii="仿宋" w:hAnsi="仿宋" w:eastAsia="仿宋" w:cs="仿宋"/>
          <w:b w:val="0"/>
          <w:bCs w:val="0"/>
          <w:sz w:val="32"/>
          <w:szCs w:val="32"/>
          <w:lang w:val="en-US" w:eastAsia="zh-CN"/>
        </w:rPr>
        <w:t>一是全年有效处置12328服务监督中心、县长信箱和市长信箱转办各类信访件43件，同时电话回访满意率达100</w:t>
      </w:r>
      <w:r>
        <w:rPr>
          <w:rFonts w:hint="eastAsia" w:ascii="宋体" w:hAnsi="宋体" w:eastAsia="宋体" w:cs="宋体"/>
          <w:b w:val="0"/>
          <w:bCs w:val="0"/>
          <w:sz w:val="32"/>
          <w:szCs w:val="32"/>
          <w:lang w:val="en-US" w:eastAsia="zh-CN"/>
        </w:rPr>
        <w:t>％</w:t>
      </w:r>
      <w:r>
        <w:rPr>
          <w:rFonts w:hint="eastAsia" w:ascii="仿宋" w:hAnsi="仿宋" w:eastAsia="仿宋" w:cs="仿宋"/>
          <w:b w:val="0"/>
          <w:bCs w:val="0"/>
          <w:sz w:val="32"/>
          <w:szCs w:val="32"/>
          <w:lang w:val="en-US" w:eastAsia="zh-CN"/>
        </w:rPr>
        <w:t>；二是先后完成党的二十大、两会、省人代会期间交通运输行业信访维稳矛盾纠纷排查化解工作；三是完成人大代表和政协委员所提建议、提案3件。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（五）完成重要时段保障工作。</w:t>
      </w:r>
      <w:r>
        <w:rPr>
          <w:rFonts w:hint="eastAsia" w:ascii="仿宋" w:hAnsi="仿宋" w:eastAsia="仿宋" w:cs="仿宋"/>
          <w:b w:val="0"/>
          <w:bCs w:val="0"/>
          <w:sz w:val="32"/>
          <w:szCs w:val="32"/>
          <w:lang w:val="en-US" w:eastAsia="zh-CN"/>
        </w:rPr>
        <w:t>先后完成清明、五一、端午、国庆等重要节假日剑门关景区旅客出行和中、高考考生运输车辆调配保障工作。期间未发生旅客滞留或安全事件。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三、强化廉政勤政意识，增强使命担当责任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（一）严守政治纪律和政治规矩。</w:t>
      </w:r>
      <w:r>
        <w:rPr>
          <w:rFonts w:hint="eastAsia" w:ascii="仿宋_GB2312" w:hAnsi="仿宋_GB2312" w:eastAsia="仿宋_GB2312" w:cs="仿宋_GB2312"/>
          <w:b w:val="0"/>
          <w:bCs w:val="0"/>
          <w:sz w:val="32"/>
          <w:szCs w:val="32"/>
          <w:lang w:val="en-US" w:eastAsia="zh-CN"/>
        </w:rPr>
        <w:t>一是全年共组织全体党员召开党史学习教育专题会议4次，通过学习</w:t>
      </w:r>
      <w:r>
        <w:rPr>
          <w:rFonts w:hint="eastAsia" w:ascii="仿宋_GB2312" w:hAnsi="Times New Roman" w:eastAsia="仿宋_GB2312" w:cs="Times New Roman"/>
          <w:b w:val="0"/>
          <w:bCs w:val="0"/>
          <w:color w:val="000000"/>
          <w:sz w:val="32"/>
          <w:szCs w:val="32"/>
        </w:rPr>
        <w:t>增强全体党员责任意识、风险意识和大局意识</w:t>
      </w:r>
      <w:r>
        <w:rPr>
          <w:rFonts w:hint="eastAsia" w:ascii="仿宋_GB2312" w:hAnsi="Times New Roman" w:eastAsia="仿宋_GB2312" w:cs="Times New Roman"/>
          <w:b w:val="0"/>
          <w:bCs w:val="0"/>
          <w:color w:val="000000"/>
          <w:sz w:val="32"/>
          <w:szCs w:val="32"/>
          <w:lang w:eastAsia="zh-CN"/>
        </w:rPr>
        <w:t>；</w:t>
      </w:r>
      <w:r>
        <w:rPr>
          <w:rFonts w:hint="eastAsia" w:ascii="仿宋_GB2312" w:hAnsi="仿宋_GB2312" w:eastAsia="仿宋_GB2312" w:cs="仿宋_GB2312"/>
          <w:b w:val="0"/>
          <w:bCs w:val="0"/>
          <w:sz w:val="32"/>
          <w:szCs w:val="32"/>
          <w:lang w:val="en-US" w:eastAsia="zh-CN"/>
        </w:rPr>
        <w:t>二是按照</w:t>
      </w:r>
      <w:r>
        <w:rPr>
          <w:rFonts w:hint="eastAsia" w:ascii="仿宋" w:hAnsi="仿宋" w:eastAsia="仿宋" w:cs="仿宋"/>
          <w:b w:val="0"/>
          <w:bCs w:val="0"/>
          <w:sz w:val="32"/>
          <w:szCs w:val="32"/>
          <w:lang w:val="en-US" w:eastAsia="zh-CN"/>
        </w:rPr>
        <w:t>“三会一课”党课制度，按时开展党课学习和完善党内生活各项管理监督制度及办法，截至目前</w:t>
      </w:r>
      <w:r>
        <w:rPr>
          <w:rFonts w:hint="eastAsia" w:ascii="仿宋_GB2312" w:hAnsi="仿宋_GB2312" w:eastAsia="仿宋_GB2312" w:cs="仿宋_GB2312"/>
          <w:b w:val="0"/>
          <w:bCs w:val="0"/>
          <w:sz w:val="32"/>
          <w:szCs w:val="32"/>
          <w:lang w:val="en-US" w:eastAsia="zh-CN"/>
        </w:rPr>
        <w:t>已开展“周三夜学”41期；三是深入</w:t>
      </w:r>
      <w:r>
        <w:rPr>
          <w:rFonts w:hint="eastAsia" w:ascii="仿宋" w:hAnsi="仿宋" w:eastAsia="仿宋" w:cs="仿宋"/>
          <w:b w:val="0"/>
          <w:bCs w:val="0"/>
          <w:sz w:val="32"/>
          <w:szCs w:val="32"/>
          <w:lang w:val="en-US" w:eastAsia="zh-CN"/>
        </w:rPr>
        <w:t>开展作风纪律集中整治，从源头上防治不作为、乱作为行为发生；四是与22名职工签订廉洁自律责任书，并开展风险岗位管理排查，对应设置相应防范措施；五是坚决执行中央八项规定，严格公务接待标准执行和出台人员出差审批及公务用车管理等办法，立规矩严制度，堵塞“四风”漏洞；六是认真开展民主评议，深入查摆问题，做好批评和自我批评，并抓好整改，确保民主生活会取得实效；七是</w:t>
      </w:r>
      <w:r>
        <w:rPr>
          <w:rFonts w:hint="eastAsia" w:ascii="仿宋_GB2312" w:eastAsia="仿宋_GB2312"/>
          <w:b w:val="0"/>
          <w:bCs w:val="0"/>
          <w:sz w:val="32"/>
          <w:szCs w:val="32"/>
          <w:lang w:val="en-US" w:eastAsia="zh-CN"/>
        </w:rPr>
        <w:t>召开作风纪律专题工作会，要求全体干部职工对照十二个问题主要表现形式，自觉查找存在的问题，明确整改措施和整改时限。期间：共排查涉及12个方面问题30条，已逐一对标整改销号；八是</w:t>
      </w:r>
      <w:r>
        <w:rPr>
          <w:rFonts w:hint="eastAsia" w:ascii="仿宋_GB2312" w:hAnsi="仿宋" w:eastAsia="仿宋_GB2312" w:cs="仿宋"/>
          <w:b w:val="0"/>
          <w:bCs w:val="0"/>
          <w:color w:val="000000"/>
          <w:kern w:val="0"/>
          <w:sz w:val="32"/>
          <w:szCs w:val="32"/>
        </w:rPr>
        <w:t>全</w:t>
      </w:r>
      <w:r>
        <w:rPr>
          <w:rFonts w:hint="eastAsia" w:ascii="仿宋_GB2312" w:hAnsi="仿宋" w:eastAsia="仿宋_GB2312" w:cs="仿宋"/>
          <w:b w:val="0"/>
          <w:bCs w:val="0"/>
          <w:color w:val="000000"/>
          <w:kern w:val="0"/>
          <w:sz w:val="32"/>
          <w:szCs w:val="32"/>
          <w:lang w:val="en-US" w:eastAsia="zh-CN"/>
        </w:rPr>
        <w:t>体</w:t>
      </w:r>
      <w:r>
        <w:rPr>
          <w:rFonts w:hint="eastAsia" w:ascii="仿宋_GB2312" w:hAnsi="仿宋" w:eastAsia="仿宋_GB2312" w:cs="仿宋"/>
          <w:b w:val="0"/>
          <w:bCs w:val="0"/>
          <w:color w:val="000000"/>
          <w:kern w:val="0"/>
          <w:sz w:val="32"/>
          <w:szCs w:val="32"/>
        </w:rPr>
        <w:t>职工每月参加县“法治月考”网络答题活动，全年参加法治月考</w:t>
      </w:r>
      <w:r>
        <w:rPr>
          <w:rFonts w:hint="eastAsia" w:ascii="仿宋_GB2312" w:hAnsi="仿宋" w:eastAsia="仿宋_GB2312" w:cs="仿宋"/>
          <w:b w:val="0"/>
          <w:bCs w:val="0"/>
          <w:color w:val="000000"/>
          <w:kern w:val="0"/>
          <w:sz w:val="32"/>
          <w:szCs w:val="32"/>
          <w:lang w:val="en-US" w:eastAsia="zh-CN"/>
        </w:rPr>
        <w:t>6</w:t>
      </w:r>
      <w:r>
        <w:rPr>
          <w:rFonts w:hint="eastAsia" w:ascii="仿宋_GB2312" w:hAnsi="仿宋" w:eastAsia="仿宋_GB2312" w:cs="仿宋"/>
          <w:b w:val="0"/>
          <w:bCs w:val="0"/>
          <w:color w:val="000000"/>
          <w:kern w:val="0"/>
          <w:sz w:val="32"/>
          <w:szCs w:val="32"/>
        </w:rPr>
        <w:t>期，合格率达</w:t>
      </w:r>
      <w:r>
        <w:rPr>
          <w:rFonts w:ascii="仿宋_GB2312" w:hAnsi="仿宋" w:eastAsia="仿宋_GB2312" w:cs="仿宋"/>
          <w:b w:val="0"/>
          <w:bCs w:val="0"/>
          <w:color w:val="000000"/>
          <w:kern w:val="0"/>
          <w:sz w:val="32"/>
          <w:szCs w:val="32"/>
        </w:rPr>
        <w:t>100</w:t>
      </w:r>
      <w:r>
        <w:rPr>
          <w:rFonts w:hint="eastAsia" w:ascii="仿宋_GB2312" w:hAnsi="宋体" w:cs="宋体"/>
          <w:b w:val="0"/>
          <w:bCs w:val="0"/>
          <w:color w:val="000000"/>
          <w:kern w:val="0"/>
          <w:sz w:val="32"/>
          <w:szCs w:val="32"/>
        </w:rPr>
        <w:t>﹪</w:t>
      </w:r>
      <w:r>
        <w:rPr>
          <w:rFonts w:hint="eastAsia" w:ascii="仿宋_GB2312" w:hAnsi="宋体" w:eastAsia="仿宋_GB2312"/>
          <w:b w:val="0"/>
          <w:bCs w:val="0"/>
          <w:sz w:val="32"/>
          <w:szCs w:val="32"/>
        </w:rPr>
        <w:t>。</w:t>
      </w:r>
    </w:p>
    <w:p>
      <w:pPr>
        <w:pStyle w:val="8"/>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（二）聚焦乡村振兴巩固扶贫成果。</w:t>
      </w:r>
      <w:r>
        <w:rPr>
          <w:rFonts w:hint="eastAsia" w:ascii="仿宋" w:hAnsi="仿宋" w:eastAsia="仿宋" w:cs="仿宋"/>
          <w:b w:val="0"/>
          <w:bCs w:val="0"/>
          <w:sz w:val="32"/>
          <w:szCs w:val="32"/>
          <w:lang w:val="en-US" w:eastAsia="zh-CN"/>
        </w:rPr>
        <w:t>一是全脱产派驻开封镇青荣村驻村第一书记1名，协助村两委做好保障性政策宣讲落实和村集体产业发展规划、疫情防控等工作；二是每月组织职工集中开展挂联户走访慰问，及时掌握贫困户动态，因户施策帮助制定精准帮扶措施计划；三是12月组织全体职工购买挂联青荣村农副产品，帮助村集体增收8000余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b w:val="0"/>
          <w:bCs w:val="0"/>
          <w:color w:val="auto"/>
          <w:sz w:val="32"/>
          <w:szCs w:val="32"/>
          <w:u w:val="none"/>
          <w:lang w:val="en-US" w:eastAsia="zh-CN"/>
        </w:rPr>
      </w:pPr>
      <w:r>
        <w:rPr>
          <w:rFonts w:hint="eastAsia" w:ascii="楷体" w:hAnsi="楷体" w:eastAsia="楷体" w:cs="楷体"/>
          <w:b w:val="0"/>
          <w:bCs w:val="0"/>
          <w:sz w:val="32"/>
          <w:szCs w:val="32"/>
          <w:lang w:val="en-US" w:eastAsia="zh-CN"/>
        </w:rPr>
        <w:t>（三）精准抓好疫情防控措施落地。</w:t>
      </w:r>
      <w:r>
        <w:rPr>
          <w:rFonts w:hint="eastAsia" w:ascii="仿宋" w:hAnsi="仿宋" w:eastAsia="仿宋" w:cs="仿宋"/>
          <w:b w:val="0"/>
          <w:bCs w:val="0"/>
          <w:sz w:val="32"/>
          <w:szCs w:val="32"/>
          <w:lang w:val="en-US" w:eastAsia="zh-CN"/>
        </w:rPr>
        <w:t>一是抽调4名职工在剑门关高速路入口、绵广高速剑门关服务站和县疫情防控指挥部全脱产参与入剑人员车辆核酸检测、体温测量和健康码、行程码查验及转运人员车辆调配；二是落实专人负责办公区域环境卫生清洁、消毒和防疫物资采购及来访人员体温检测、健康码、行程码查验和登记工作；三是</w:t>
      </w:r>
      <w:r>
        <w:rPr>
          <w:rFonts w:hint="eastAsia" w:ascii="仿宋" w:hAnsi="仿宋" w:eastAsia="仿宋" w:cs="仿宋"/>
          <w:b w:val="0"/>
          <w:bCs w:val="0"/>
          <w:color w:val="auto"/>
          <w:sz w:val="32"/>
          <w:szCs w:val="32"/>
          <w:lang w:val="en-US" w:eastAsia="zh-CN"/>
        </w:rPr>
        <w:t>10月12日，针对普安疫情，我单位连夜组织8名职工成立疫情防控突击队，督导指导普安客运站做好转运车辆调配、转运人员护送及防疫物资分发等工作。期间：</w:t>
      </w:r>
      <w:r>
        <w:rPr>
          <w:rFonts w:hint="eastAsia" w:ascii="仿宋" w:hAnsi="仿宋" w:eastAsia="仿宋" w:cs="仿宋"/>
          <w:b w:val="0"/>
          <w:bCs w:val="0"/>
          <w:color w:val="auto"/>
          <w:sz w:val="32"/>
          <w:szCs w:val="32"/>
          <w:u w:val="none"/>
          <w:lang w:val="en-US" w:eastAsia="zh-CN"/>
        </w:rPr>
        <w:t>共调派客运车辆503趟、出租车661趟、货运车辆15趟，转运密接和次密接人员15711人次，圆满完成医护人员护送和核酸样本、医疗防疫、帐篷及生活物资转运任务。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b w:val="0"/>
          <w:bCs w:val="0"/>
          <w:sz w:val="32"/>
          <w:szCs w:val="32"/>
        </w:rPr>
      </w:pPr>
      <w:r>
        <w:rPr>
          <w:rFonts w:hint="eastAsia" w:ascii="楷体_GB2312" w:hAnsi="仿宋_GB2312" w:eastAsia="楷体_GB2312" w:cs="仿宋_GB2312"/>
          <w:b w:val="0"/>
          <w:bCs w:val="0"/>
          <w:kern w:val="0"/>
          <w:sz w:val="32"/>
          <w:szCs w:val="32"/>
          <w:lang w:val="en-US" w:eastAsia="zh-CN"/>
        </w:rPr>
        <w:t>（四）深入开展扫黑除恶专项斗争</w:t>
      </w:r>
      <w:r>
        <w:rPr>
          <w:rFonts w:hint="eastAsia" w:ascii="楷体_GB2312" w:hAnsi="仿宋_GB2312" w:eastAsia="楷体_GB2312" w:cs="仿宋_GB2312"/>
          <w:b w:val="0"/>
          <w:bCs w:val="0"/>
          <w:kern w:val="0"/>
          <w:sz w:val="32"/>
          <w:szCs w:val="32"/>
          <w:lang w:eastAsia="zh-CN"/>
        </w:rPr>
        <w:t>。</w:t>
      </w:r>
      <w:r>
        <w:rPr>
          <w:rFonts w:hint="eastAsia" w:ascii="仿宋_GB2312" w:hAnsi="宋体" w:eastAsia="仿宋_GB2312"/>
          <w:b w:val="0"/>
          <w:bCs w:val="0"/>
          <w:sz w:val="32"/>
          <w:szCs w:val="32"/>
          <w:lang w:val="en-US" w:eastAsia="zh-CN"/>
        </w:rPr>
        <w:t>一是</w:t>
      </w:r>
      <w:r>
        <w:rPr>
          <w:rFonts w:hint="eastAsia" w:ascii="仿宋_GB2312" w:hAnsi="宋体" w:eastAsia="仿宋_GB2312"/>
          <w:b w:val="0"/>
          <w:bCs w:val="0"/>
          <w:sz w:val="32"/>
          <w:szCs w:val="32"/>
        </w:rPr>
        <w:t>成立以</w:t>
      </w:r>
      <w:r>
        <w:rPr>
          <w:rFonts w:hint="eastAsia" w:ascii="仿宋_GB2312" w:hAnsi="宋体" w:eastAsia="仿宋_GB2312"/>
          <w:b w:val="0"/>
          <w:bCs w:val="0"/>
          <w:sz w:val="32"/>
          <w:szCs w:val="32"/>
          <w:lang w:val="en-US" w:eastAsia="zh-CN"/>
        </w:rPr>
        <w:t>中心主要领导</w:t>
      </w:r>
      <w:r>
        <w:rPr>
          <w:rFonts w:hint="eastAsia" w:ascii="仿宋_GB2312" w:hAnsi="宋体" w:eastAsia="仿宋_GB2312"/>
          <w:b w:val="0"/>
          <w:bCs w:val="0"/>
          <w:sz w:val="32"/>
          <w:szCs w:val="32"/>
        </w:rPr>
        <w:t>为组长的扫黑除恶专项斗争工作领导小组</w:t>
      </w:r>
      <w:r>
        <w:rPr>
          <w:rFonts w:hint="eastAsia" w:ascii="仿宋_GB2312" w:hAnsi="宋体" w:eastAsia="仿宋_GB2312"/>
          <w:b w:val="0"/>
          <w:bCs w:val="0"/>
          <w:sz w:val="32"/>
          <w:szCs w:val="32"/>
          <w:lang w:eastAsia="zh-CN"/>
        </w:rPr>
        <w:t>，</w:t>
      </w:r>
      <w:r>
        <w:rPr>
          <w:rFonts w:hint="eastAsia" w:ascii="仿宋_GB2312" w:hAnsi="宋体" w:eastAsia="仿宋_GB2312"/>
          <w:b w:val="0"/>
          <w:bCs w:val="0"/>
          <w:sz w:val="32"/>
          <w:szCs w:val="32"/>
          <w:lang w:val="en-US" w:eastAsia="zh-CN"/>
        </w:rPr>
        <w:t>落实专人</w:t>
      </w:r>
      <w:r>
        <w:rPr>
          <w:rFonts w:hint="eastAsia" w:ascii="仿宋_GB2312" w:hAnsi="宋体" w:eastAsia="仿宋_GB2312"/>
          <w:b w:val="0"/>
          <w:bCs w:val="0"/>
          <w:sz w:val="32"/>
          <w:szCs w:val="32"/>
        </w:rPr>
        <w:t>负责扫黑除恶专项斗争工作开展的组织、协调、指导和监督</w:t>
      </w:r>
      <w:r>
        <w:rPr>
          <w:rFonts w:hint="eastAsia" w:ascii="仿宋_GB2312" w:hAnsi="宋体" w:eastAsia="仿宋_GB2312"/>
          <w:b w:val="0"/>
          <w:bCs w:val="0"/>
          <w:sz w:val="32"/>
          <w:szCs w:val="32"/>
          <w:lang w:val="en-US" w:eastAsia="zh-CN"/>
        </w:rPr>
        <w:t>和相关</w:t>
      </w:r>
      <w:r>
        <w:rPr>
          <w:rFonts w:hint="eastAsia" w:ascii="仿宋_GB2312" w:hAnsi="宋体" w:eastAsia="仿宋_GB2312"/>
          <w:b w:val="0"/>
          <w:bCs w:val="0"/>
          <w:sz w:val="32"/>
          <w:szCs w:val="32"/>
        </w:rPr>
        <w:t>资料收集、归档和上报工作</w:t>
      </w:r>
      <w:r>
        <w:rPr>
          <w:rFonts w:hint="eastAsia" w:ascii="仿宋_GB2312" w:hAnsi="宋体" w:eastAsia="仿宋_GB2312"/>
          <w:b w:val="0"/>
          <w:bCs w:val="0"/>
          <w:sz w:val="32"/>
          <w:szCs w:val="32"/>
          <w:lang w:eastAsia="zh-CN"/>
        </w:rPr>
        <w:t>；</w:t>
      </w:r>
      <w:r>
        <w:rPr>
          <w:rFonts w:hint="eastAsia" w:ascii="仿宋_GB2312" w:hAnsi="仿宋_GB2312" w:eastAsia="仿宋_GB2312" w:cs="仿宋_GB2312"/>
          <w:b w:val="0"/>
          <w:bCs w:val="0"/>
          <w:sz w:val="32"/>
          <w:szCs w:val="32"/>
        </w:rPr>
        <w:t>二是在</w:t>
      </w:r>
      <w:r>
        <w:rPr>
          <w:rFonts w:hint="eastAsia" w:ascii="仿宋_GB2312" w:hAnsi="仿宋_GB2312" w:eastAsia="仿宋_GB2312" w:cs="仿宋_GB2312"/>
          <w:b w:val="0"/>
          <w:bCs w:val="0"/>
          <w:sz w:val="32"/>
          <w:szCs w:val="32"/>
          <w:lang w:val="en-US" w:eastAsia="zh-CN"/>
        </w:rPr>
        <w:t>升钟和亭子口库区站外墙显著位置</w:t>
      </w:r>
      <w:r>
        <w:rPr>
          <w:rFonts w:hint="eastAsia" w:ascii="仿宋_GB2312" w:hAnsi="仿宋_GB2312" w:eastAsia="仿宋_GB2312" w:cs="仿宋_GB2312"/>
          <w:b w:val="0"/>
          <w:bCs w:val="0"/>
          <w:sz w:val="32"/>
          <w:szCs w:val="32"/>
        </w:rPr>
        <w:t>悬挂扫黑除恶专项斗争宣传标语横幅</w:t>
      </w:r>
      <w:r>
        <w:rPr>
          <w:rFonts w:hint="eastAsia" w:ascii="仿宋_GB2312" w:hAnsi="仿宋_GB2312" w:eastAsia="仿宋_GB2312" w:cs="仿宋_GB2312"/>
          <w:b w:val="0"/>
          <w:bCs w:val="0"/>
          <w:sz w:val="32"/>
          <w:szCs w:val="32"/>
          <w:lang w:val="en-US" w:eastAsia="zh-CN"/>
        </w:rPr>
        <w:t>2幅</w:t>
      </w:r>
      <w:r>
        <w:rPr>
          <w:rFonts w:hint="eastAsia" w:ascii="仿宋_GB2312" w:hAnsi="仿宋_GB2312" w:eastAsia="仿宋_GB2312" w:cs="仿宋_GB2312"/>
          <w:b w:val="0"/>
          <w:bCs w:val="0"/>
          <w:sz w:val="32"/>
          <w:szCs w:val="32"/>
        </w:rPr>
        <w:t>，利用</w:t>
      </w:r>
      <w:r>
        <w:rPr>
          <w:rFonts w:hint="eastAsia" w:ascii="宋体" w:hAnsi="宋体" w:eastAsia="仿宋_GB2312" w:cs="仿宋_GB2312"/>
          <w:b w:val="0"/>
          <w:bCs w:val="0"/>
          <w:sz w:val="32"/>
          <w:szCs w:val="32"/>
          <w:lang w:val="en-US" w:eastAsia="zh-CN"/>
        </w:rPr>
        <w:t>广运集团普安、下寺客运站站</w:t>
      </w:r>
      <w:r>
        <w:rPr>
          <w:rFonts w:hint="eastAsia" w:ascii="仿宋_GB2312" w:hAnsi="仿宋_GB2312" w:eastAsia="仿宋_GB2312" w:cs="仿宋_GB2312"/>
          <w:b w:val="0"/>
          <w:bCs w:val="0"/>
          <w:sz w:val="32"/>
          <w:szCs w:val="32"/>
        </w:rPr>
        <w:t>前LED显示屏</w:t>
      </w:r>
      <w:r>
        <w:rPr>
          <w:rFonts w:hint="eastAsia" w:ascii="仿宋_GB2312" w:hAnsi="仿宋_GB2312" w:eastAsia="仿宋_GB2312" w:cs="仿宋_GB2312"/>
          <w:b w:val="0"/>
          <w:bCs w:val="0"/>
          <w:sz w:val="32"/>
          <w:szCs w:val="32"/>
          <w:lang w:val="en-US" w:eastAsia="zh-CN"/>
        </w:rPr>
        <w:t>和公交车、出租公司车载</w:t>
      </w:r>
      <w:r>
        <w:rPr>
          <w:rFonts w:hint="eastAsia" w:ascii="仿宋_GB2312" w:hAnsi="仿宋_GB2312" w:eastAsia="仿宋_GB2312" w:cs="仿宋_GB2312"/>
          <w:b w:val="0"/>
          <w:bCs w:val="0"/>
          <w:sz w:val="32"/>
          <w:szCs w:val="32"/>
        </w:rPr>
        <w:t>LED显示屏滚动播放扫黑除恶宣传标语</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三是结合“安全生产月</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法律七进”和“法治创建”</w:t>
      </w:r>
      <w:r>
        <w:rPr>
          <w:rFonts w:hint="eastAsia" w:ascii="仿宋_GB2312" w:hAnsi="仿宋_GB2312" w:eastAsia="仿宋_GB2312" w:cs="仿宋_GB2312"/>
          <w:b w:val="0"/>
          <w:bCs w:val="0"/>
          <w:sz w:val="32"/>
          <w:szCs w:val="32"/>
          <w:lang w:val="en-US" w:eastAsia="zh-CN"/>
        </w:rPr>
        <w:t>及乡村振兴</w:t>
      </w:r>
      <w:r>
        <w:rPr>
          <w:rFonts w:hint="eastAsia" w:ascii="仿宋_GB2312" w:hAnsi="仿宋_GB2312" w:eastAsia="仿宋_GB2312" w:cs="仿宋_GB2312"/>
          <w:b w:val="0"/>
          <w:bCs w:val="0"/>
          <w:sz w:val="32"/>
          <w:szCs w:val="32"/>
        </w:rPr>
        <w:t>等专项活动，发放《扫黑除恶应知会知</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平安剑阁宣传手册》等宣传资料积极营造全民参与扫黑除恶良好社会氛围。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_GB2312" w:hAnsi="仿宋_GB2312" w:eastAsia="仿宋_GB2312" w:cs="仿宋_GB2312"/>
          <w:b w:val="0"/>
          <w:bCs w:val="0"/>
          <w:sz w:val="32"/>
          <w:szCs w:val="32"/>
          <w:lang w:val="en-US" w:eastAsia="zh-CN"/>
        </w:rPr>
        <w:t>2022年，共</w:t>
      </w:r>
      <w:r>
        <w:rPr>
          <w:rFonts w:hint="eastAsia" w:ascii="仿宋_GB2312" w:hAnsi="仿宋_GB2312" w:eastAsia="仿宋_GB2312" w:cs="仿宋_GB2312"/>
          <w:b w:val="0"/>
          <w:bCs w:val="0"/>
          <w:sz w:val="32"/>
          <w:szCs w:val="32"/>
        </w:rPr>
        <w:t>摸排</w:t>
      </w:r>
      <w:r>
        <w:rPr>
          <w:rFonts w:hint="eastAsia" w:ascii="仿宋_GB2312" w:hAnsi="仿宋_GB2312" w:eastAsia="仿宋_GB2312" w:cs="仿宋_GB2312"/>
          <w:b w:val="0"/>
          <w:bCs w:val="0"/>
          <w:sz w:val="32"/>
          <w:szCs w:val="32"/>
          <w:lang w:val="en-US" w:eastAsia="zh-CN"/>
        </w:rPr>
        <w:t>交通运输行业涉黑涉恶涉乱</w:t>
      </w:r>
      <w:r>
        <w:rPr>
          <w:rFonts w:hint="eastAsia" w:ascii="仿宋_GB2312" w:hAnsi="仿宋_GB2312" w:eastAsia="仿宋_GB2312" w:cs="仿宋_GB2312"/>
          <w:b w:val="0"/>
          <w:bCs w:val="0"/>
          <w:sz w:val="32"/>
          <w:szCs w:val="32"/>
        </w:rPr>
        <w:t>线索</w:t>
      </w:r>
      <w:r>
        <w:rPr>
          <w:rFonts w:hint="eastAsia" w:ascii="仿宋_GB2312" w:hAnsi="仿宋_GB2312" w:eastAsia="仿宋_GB2312" w:cs="仿宋_GB2312"/>
          <w:b w:val="0"/>
          <w:bCs w:val="0"/>
          <w:sz w:val="32"/>
          <w:szCs w:val="32"/>
          <w:lang w:val="en-US" w:eastAsia="zh-CN"/>
        </w:rPr>
        <w:t>合计43</w:t>
      </w:r>
      <w:r>
        <w:rPr>
          <w:rFonts w:hint="eastAsia" w:ascii="仿宋_GB2312" w:hAnsi="仿宋_GB2312" w:eastAsia="仿宋_GB2312" w:cs="仿宋_GB2312"/>
          <w:b w:val="0"/>
          <w:bCs w:val="0"/>
          <w:sz w:val="32"/>
          <w:szCs w:val="32"/>
        </w:rPr>
        <w:t>条，其中：涉黑线索0条，涉恶线索0条，</w:t>
      </w:r>
      <w:r>
        <w:rPr>
          <w:rFonts w:hint="eastAsia" w:ascii="仿宋_GB2312" w:hAnsi="仿宋_GB2312" w:eastAsia="仿宋_GB2312" w:cs="仿宋_GB2312"/>
          <w:b w:val="0"/>
          <w:bCs w:val="0"/>
          <w:sz w:val="32"/>
          <w:szCs w:val="32"/>
          <w:lang w:val="en-US" w:eastAsia="zh-CN"/>
        </w:rPr>
        <w:t>行业</w:t>
      </w:r>
      <w:r>
        <w:rPr>
          <w:rFonts w:hint="eastAsia" w:ascii="仿宋_GB2312" w:hAnsi="仿宋_GB2312" w:eastAsia="仿宋_GB2312" w:cs="仿宋_GB2312"/>
          <w:b w:val="0"/>
          <w:bCs w:val="0"/>
          <w:sz w:val="32"/>
          <w:szCs w:val="32"/>
        </w:rPr>
        <w:t>乱象</w:t>
      </w:r>
      <w:r>
        <w:rPr>
          <w:rFonts w:hint="eastAsia" w:ascii="仿宋_GB2312" w:hAnsi="仿宋_GB2312" w:eastAsia="仿宋_GB2312" w:cs="仿宋_GB2312"/>
          <w:b w:val="0"/>
          <w:bCs w:val="0"/>
          <w:sz w:val="32"/>
          <w:szCs w:val="32"/>
          <w:lang w:val="en-US" w:eastAsia="zh-CN"/>
        </w:rPr>
        <w:t>43</w:t>
      </w:r>
      <w:r>
        <w:rPr>
          <w:rFonts w:hint="eastAsia" w:ascii="仿宋_GB2312" w:hAnsi="仿宋_GB2312" w:eastAsia="仿宋_GB2312" w:cs="仿宋_GB2312"/>
          <w:b w:val="0"/>
          <w:bCs w:val="0"/>
          <w:sz w:val="32"/>
          <w:szCs w:val="32"/>
        </w:rPr>
        <w:t>条，</w:t>
      </w:r>
      <w:r>
        <w:rPr>
          <w:rFonts w:hint="eastAsia" w:ascii="仿宋_GB2312" w:hAnsi="仿宋_GB2312" w:eastAsia="仿宋_GB2312" w:cs="仿宋_GB2312"/>
          <w:b w:val="0"/>
          <w:bCs w:val="0"/>
          <w:sz w:val="32"/>
          <w:szCs w:val="32"/>
          <w:lang w:val="en-US" w:eastAsia="zh-CN"/>
        </w:rPr>
        <w:t>现已</w:t>
      </w:r>
      <w:r>
        <w:rPr>
          <w:rFonts w:hint="eastAsia" w:ascii="仿宋_GB2312" w:hAnsi="仿宋_GB2312" w:eastAsia="仿宋_GB2312" w:cs="仿宋_GB2312"/>
          <w:b w:val="0"/>
          <w:bCs w:val="0"/>
          <w:sz w:val="32"/>
          <w:szCs w:val="32"/>
        </w:rPr>
        <w:t>全部按规定进行了整改销号。</w:t>
      </w:r>
    </w:p>
    <w:p>
      <w:pPr>
        <w:pStyle w:val="4"/>
        <w:rPr>
          <w:rFonts w:hint="eastAsia" w:ascii="黑体" w:hAnsi="黑体" w:eastAsia="黑体"/>
          <w:b w:val="0"/>
          <w:bCs/>
        </w:rPr>
      </w:pPr>
      <w:r>
        <w:rPr>
          <w:rFonts w:hint="eastAsia" w:ascii="黑体" w:hAnsi="黑体" w:eastAsia="黑体"/>
          <w:b w:val="0"/>
          <w:bCs/>
        </w:rPr>
        <w:t>二、机构设置</w:t>
      </w:r>
    </w:p>
    <w:p>
      <w:pPr>
        <w:pStyle w:val="4"/>
        <w:ind w:firstLine="640" w:firstLineChars="200"/>
        <w:rPr>
          <w:rFonts w:ascii="黑体" w:hAnsi="黑体" w:eastAsia="黑体"/>
          <w:b w:val="0"/>
          <w:bCs/>
        </w:rPr>
      </w:pPr>
      <w:r>
        <w:rPr>
          <w:rFonts w:hint="eastAsia" w:ascii="仿宋_GB2312" w:hAnsi="仿宋_GB2312" w:eastAsia="仿宋_GB2312" w:cs="仿宋_GB2312"/>
          <w:b w:val="0"/>
          <w:bCs w:val="0"/>
          <w:kern w:val="2"/>
          <w:sz w:val="32"/>
          <w:szCs w:val="32"/>
          <w:lang w:val="en-US" w:eastAsia="zh-CN" w:bidi="ar-SA"/>
        </w:rPr>
        <w:t>内设四股两站一大厅，即：综合股、运输服务股、检验服务股、建设服务股和升钟库区站、亭子口库区站及办证大厅。主要负责交通运输综合性、事务性和服务性工作。</w:t>
      </w:r>
    </w:p>
    <w:bookmarkEnd w:id="14"/>
    <w:bookmarkEnd w:id="15"/>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9"/>
          <w:rFonts w:ascii="黑体" w:hAnsi="黑体" w:eastAsia="黑体"/>
          <w:b w:val="0"/>
          <w:bCs/>
        </w:rPr>
      </w:pPr>
      <w:bookmarkStart w:id="16" w:name="_Toc15377204"/>
      <w:bookmarkStart w:id="17" w:name="_Toc15396602"/>
      <w:r>
        <w:rPr>
          <w:rFonts w:hint="eastAsia" w:ascii="黑体" w:hAnsi="黑体" w:eastAsia="黑体"/>
          <w:b w:val="0"/>
        </w:rPr>
        <w:t>第二部分 2022年度</w:t>
      </w:r>
      <w:r>
        <w:rPr>
          <w:rStyle w:val="29"/>
          <w:rFonts w:hint="eastAsia" w:ascii="黑体" w:hAnsi="黑体" w:eastAsia="黑体"/>
          <w:b w:val="0"/>
          <w:bCs/>
        </w:rPr>
        <w:t>单位决算情况说明</w:t>
      </w:r>
      <w:bookmarkEnd w:id="16"/>
      <w:bookmarkEnd w:id="17"/>
    </w:p>
    <w:p/>
    <w:p>
      <w:pPr>
        <w:pStyle w:val="28"/>
        <w:numPr>
          <w:ilvl w:val="0"/>
          <w:numId w:val="5"/>
        </w:numPr>
        <w:spacing w:line="600" w:lineRule="exact"/>
        <w:ind w:firstLineChars="0"/>
        <w:outlineLvl w:val="1"/>
        <w:rPr>
          <w:rStyle w:val="30"/>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30"/>
          <w:rFonts w:hint="eastAsia" w:ascii="黑体" w:hAnsi="黑体" w:eastAsia="黑体"/>
          <w:b w:val="0"/>
        </w:rPr>
        <w:t>入支出决算总体情况说明</w:t>
      </w:r>
      <w:bookmarkEnd w:id="18"/>
      <w:bookmarkEnd w:id="19"/>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1522.93</w:t>
      </w:r>
      <w:r>
        <w:rPr>
          <w:rFonts w:hint="eastAsia" w:ascii="仿宋" w:hAnsi="仿宋" w:eastAsia="仿宋"/>
          <w:sz w:val="32"/>
          <w:szCs w:val="32"/>
        </w:rPr>
        <w:t>万元。与2021年相比，收、支总计各增加</w:t>
      </w:r>
      <w:r>
        <w:rPr>
          <w:rFonts w:hint="eastAsia" w:ascii="仿宋" w:hAnsi="仿宋" w:eastAsia="仿宋"/>
          <w:sz w:val="32"/>
          <w:szCs w:val="32"/>
          <w:lang w:val="en-US" w:eastAsia="zh-CN"/>
        </w:rPr>
        <w:t>1370.65</w:t>
      </w:r>
      <w:r>
        <w:rPr>
          <w:rFonts w:hint="eastAsia" w:ascii="仿宋" w:hAnsi="仿宋" w:eastAsia="仿宋"/>
          <w:sz w:val="32"/>
          <w:szCs w:val="32"/>
        </w:rPr>
        <w:t>万元，增长</w:t>
      </w:r>
      <w:r>
        <w:rPr>
          <w:rFonts w:hint="eastAsia" w:ascii="仿宋" w:hAnsi="仿宋" w:eastAsia="仿宋"/>
          <w:sz w:val="32"/>
          <w:szCs w:val="32"/>
          <w:lang w:val="en-US" w:eastAsia="zh-CN"/>
        </w:rPr>
        <w:t>90</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人员经费增加、专项项目经费增加</w:t>
      </w:r>
      <w:r>
        <w:rPr>
          <w:rFonts w:hint="eastAsia" w:ascii="仿宋" w:hAnsi="仿宋" w:eastAsia="仿宋"/>
          <w:sz w:val="32"/>
          <w:szCs w:val="32"/>
        </w:rPr>
        <w:t>。</w:t>
      </w:r>
    </w:p>
    <w:p>
      <w:pPr>
        <w:pStyle w:val="16"/>
        <w:jc w:val="both"/>
      </w:pPr>
      <w:r>
        <w:drawing>
          <wp:inline distT="0" distB="0" distL="114300" distR="114300">
            <wp:extent cx="4826000" cy="2743200"/>
            <wp:effectExtent l="4445" t="4445" r="825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28"/>
        <w:numPr>
          <w:ilvl w:val="0"/>
          <w:numId w:val="5"/>
        </w:numPr>
        <w:spacing w:line="600" w:lineRule="exact"/>
        <w:ind w:firstLineChars="0"/>
        <w:outlineLvl w:val="1"/>
        <w:rPr>
          <w:rStyle w:val="30"/>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30"/>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1522.93</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1522.93</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outlineLvl w:val="1"/>
        <w:rPr>
          <w:rFonts w:ascii="仿宋" w:hAnsi="仿宋" w:eastAsia="仿宋"/>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r>
        <w:rPr>
          <w:rFonts w:ascii="仿宋" w:hAnsi="仿宋" w:eastAsia="仿宋"/>
          <w:b/>
          <w:sz w:val="32"/>
          <w:szCs w:val="32"/>
        </w:rPr>
        <w:t>）</w:t>
      </w:r>
    </w:p>
    <w:p>
      <w:pPr>
        <w:pStyle w:val="16"/>
        <w:rPr>
          <w:rFonts w:ascii="仿宋" w:hAnsi="仿宋" w:eastAsia="仿宋"/>
          <w:sz w:val="32"/>
          <w:szCs w:val="32"/>
        </w:rPr>
      </w:pPr>
      <w:r>
        <w:drawing>
          <wp:inline distT="0" distB="0" distL="114300" distR="114300">
            <wp:extent cx="4040505" cy="2448560"/>
            <wp:effectExtent l="4445" t="5080" r="12700" b="22860"/>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Fonts w:ascii="仿宋_GB2312" w:eastAsia="仿宋_GB2312"/>
          <w:sz w:val="32"/>
          <w:szCs w:val="32"/>
        </w:rPr>
      </w:pPr>
    </w:p>
    <w:p>
      <w:pPr>
        <w:pStyle w:val="28"/>
        <w:numPr>
          <w:ilvl w:val="0"/>
          <w:numId w:val="5"/>
        </w:numPr>
        <w:spacing w:line="600" w:lineRule="exact"/>
        <w:ind w:firstLineChars="0"/>
        <w:outlineLvl w:val="1"/>
        <w:rPr>
          <w:rStyle w:val="30"/>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30"/>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1522.93</w:t>
      </w:r>
      <w:r>
        <w:rPr>
          <w:rFonts w:hint="eastAsia" w:ascii="仿宋" w:hAnsi="仿宋" w:eastAsia="仿宋"/>
          <w:sz w:val="32"/>
          <w:szCs w:val="32"/>
        </w:rPr>
        <w:t>万元，其中：基本支出</w:t>
      </w:r>
      <w:r>
        <w:rPr>
          <w:rFonts w:hint="eastAsia" w:ascii="仿宋" w:hAnsi="仿宋" w:eastAsia="仿宋"/>
          <w:sz w:val="32"/>
          <w:szCs w:val="32"/>
          <w:lang w:val="en-US" w:eastAsia="zh-CN"/>
        </w:rPr>
        <w:t>213.10</w:t>
      </w:r>
      <w:r>
        <w:rPr>
          <w:rFonts w:hint="eastAsia" w:ascii="仿宋" w:hAnsi="仿宋" w:eastAsia="仿宋"/>
          <w:sz w:val="32"/>
          <w:szCs w:val="32"/>
        </w:rPr>
        <w:t>万元，占</w:t>
      </w:r>
      <w:r>
        <w:rPr>
          <w:rFonts w:hint="eastAsia" w:ascii="仿宋" w:hAnsi="仿宋" w:eastAsia="仿宋"/>
          <w:sz w:val="32"/>
          <w:szCs w:val="32"/>
          <w:lang w:val="en-US" w:eastAsia="zh-CN"/>
        </w:rPr>
        <w:t>14</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1309.83</w:t>
      </w:r>
      <w:r>
        <w:rPr>
          <w:rFonts w:hint="eastAsia" w:ascii="仿宋" w:hAnsi="仿宋" w:eastAsia="仿宋"/>
          <w:sz w:val="32"/>
          <w:szCs w:val="32"/>
        </w:rPr>
        <w:t>万元，占</w:t>
      </w:r>
      <w:r>
        <w:rPr>
          <w:rFonts w:hint="eastAsia" w:ascii="仿宋" w:hAnsi="仿宋" w:eastAsia="仿宋"/>
          <w:sz w:val="32"/>
          <w:szCs w:val="32"/>
          <w:lang w:val="en-US" w:eastAsia="zh-CN"/>
        </w:rPr>
        <w:t>86</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p>
    <w:p>
      <w:pPr>
        <w:spacing w:line="600" w:lineRule="exact"/>
        <w:ind w:firstLine="640"/>
        <w:rPr>
          <w:rFonts w:ascii="仿宋" w:hAnsi="仿宋" w:eastAsia="仿宋"/>
          <w:sz w:val="32"/>
          <w:szCs w:val="32"/>
          <w:shd w:val="pct10" w:color="auto" w:fill="FFFFFF"/>
        </w:rPr>
      </w:pPr>
    </w:p>
    <w:p>
      <w:pPr>
        <w:pStyle w:val="16"/>
        <w:rPr>
          <w:rFonts w:ascii="仿宋" w:hAnsi="仿宋" w:eastAsia="仿宋"/>
          <w:sz w:val="32"/>
          <w:szCs w:val="32"/>
          <w:shd w:val="pct10" w:color="auto" w:fill="FFFFFF"/>
        </w:rPr>
      </w:pPr>
    </w:p>
    <w:p>
      <w:pPr>
        <w:pStyle w:val="15"/>
      </w:pPr>
    </w:p>
    <w:p>
      <w:pPr>
        <w:pStyle w:val="16"/>
        <w:rPr>
          <w:rFonts w:ascii="仿宋" w:hAnsi="仿宋" w:eastAsia="仿宋"/>
          <w:sz w:val="32"/>
          <w:szCs w:val="32"/>
          <w:shd w:val="pct10" w:color="auto" w:fill="FFFFFF"/>
        </w:rPr>
      </w:pPr>
    </w:p>
    <w:p>
      <w:pPr>
        <w:pStyle w:val="15"/>
      </w:pPr>
      <w:r>
        <w:drawing>
          <wp:inline distT="0" distB="0" distL="114300" distR="114300">
            <wp:extent cx="4826000" cy="2743200"/>
            <wp:effectExtent l="4445" t="4445" r="825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15"/>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30"/>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24"/>
      <w:bookmarkEnd w:id="25"/>
    </w:p>
    <w:p>
      <w:pPr>
        <w:spacing w:line="600" w:lineRule="exact"/>
        <w:ind w:firstLine="640"/>
        <w:rPr>
          <w:rFonts w:hint="default"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1522.93</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21年相比，财政拨款收、支总计各增加</w:t>
      </w:r>
      <w:r>
        <w:rPr>
          <w:rFonts w:hint="eastAsia" w:ascii="仿宋" w:hAnsi="仿宋" w:eastAsia="仿宋"/>
          <w:sz w:val="32"/>
          <w:szCs w:val="32"/>
          <w:lang w:val="en-US" w:eastAsia="zh-CN"/>
        </w:rPr>
        <w:t>1370.65</w:t>
      </w:r>
      <w:r>
        <w:rPr>
          <w:rFonts w:hint="eastAsia" w:ascii="仿宋" w:hAnsi="仿宋" w:eastAsia="仿宋"/>
          <w:sz w:val="32"/>
          <w:szCs w:val="32"/>
        </w:rPr>
        <w:t>万元，增长</w:t>
      </w:r>
      <w:r>
        <w:rPr>
          <w:rFonts w:hint="eastAsia" w:ascii="仿宋" w:hAnsi="仿宋" w:eastAsia="仿宋"/>
          <w:sz w:val="32"/>
          <w:szCs w:val="32"/>
          <w:lang w:val="en-US" w:eastAsia="zh-CN"/>
        </w:rPr>
        <w:t>90</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人员经费增加、专项项目经费增加。</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spacing w:line="600" w:lineRule="exact"/>
        <w:rPr>
          <w:rFonts w:ascii="仿宋" w:hAnsi="仿宋" w:eastAsia="仿宋"/>
          <w:sz w:val="32"/>
          <w:szCs w:val="32"/>
        </w:rPr>
      </w:pPr>
    </w:p>
    <w:p>
      <w:pPr>
        <w:pStyle w:val="16"/>
      </w:pPr>
    </w:p>
    <w:p>
      <w:pPr>
        <w:pStyle w:val="16"/>
        <w:rPr>
          <w:rFonts w:ascii="仿宋" w:hAnsi="仿宋" w:eastAsia="仿宋"/>
          <w:sz w:val="32"/>
          <w:szCs w:val="32"/>
        </w:rPr>
      </w:pPr>
      <w:r>
        <w:drawing>
          <wp:inline distT="0" distB="0" distL="114300" distR="114300">
            <wp:extent cx="4826000" cy="2743200"/>
            <wp:effectExtent l="4445" t="4445" r="8255" b="14605"/>
            <wp:docPr id="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p>
    <w:p>
      <w:pPr>
        <w:spacing w:line="600" w:lineRule="exact"/>
        <w:ind w:firstLine="640" w:firstLineChars="200"/>
        <w:outlineLvl w:val="1"/>
        <w:rPr>
          <w:rStyle w:val="30"/>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rPr>
          <w:rFonts w:hint="default"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1522.93</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hint="eastAsia" w:ascii="仿宋" w:hAnsi="仿宋" w:eastAsia="仿宋"/>
          <w:sz w:val="32"/>
          <w:szCs w:val="32"/>
          <w:lang w:val="en-US" w:eastAsia="zh-CN"/>
        </w:rPr>
        <w:t>1370.65</w:t>
      </w:r>
      <w:r>
        <w:rPr>
          <w:rFonts w:hint="eastAsia" w:ascii="仿宋" w:hAnsi="仿宋" w:eastAsia="仿宋"/>
          <w:sz w:val="32"/>
          <w:szCs w:val="32"/>
        </w:rPr>
        <w:t>万元，增长</w:t>
      </w:r>
      <w:r>
        <w:rPr>
          <w:rFonts w:hint="eastAsia" w:ascii="仿宋" w:hAnsi="仿宋" w:eastAsia="仿宋"/>
          <w:sz w:val="32"/>
          <w:szCs w:val="32"/>
          <w:lang w:val="en-US" w:eastAsia="zh-CN"/>
        </w:rPr>
        <w:t>90</w:t>
      </w:r>
      <w:r>
        <w:rPr>
          <w:rFonts w:ascii="仿宋" w:hAnsi="仿宋" w:eastAsia="仿宋"/>
          <w:sz w:val="32"/>
          <w:szCs w:val="32"/>
        </w:rPr>
        <w:t>%</w:t>
      </w:r>
      <w:r>
        <w:rPr>
          <w:rFonts w:hint="eastAsia" w:ascii="仿宋" w:hAnsi="仿宋" w:eastAsia="仿宋"/>
          <w:sz w:val="32"/>
          <w:szCs w:val="32"/>
        </w:rPr>
        <w:t>。主要变动原因</w:t>
      </w:r>
      <w:r>
        <w:rPr>
          <w:rFonts w:hint="eastAsia" w:ascii="仿宋" w:hAnsi="仿宋" w:eastAsia="仿宋"/>
          <w:sz w:val="32"/>
          <w:szCs w:val="32"/>
          <w:lang w:eastAsia="zh-CN"/>
        </w:rPr>
        <w:t>是</w:t>
      </w:r>
      <w:r>
        <w:rPr>
          <w:rFonts w:hint="eastAsia" w:ascii="仿宋" w:hAnsi="仿宋" w:eastAsia="仿宋"/>
          <w:sz w:val="32"/>
          <w:szCs w:val="32"/>
          <w:lang w:val="en-US" w:eastAsia="zh-CN"/>
        </w:rPr>
        <w:t>人员经费增加、专项项目经费增加。</w:t>
      </w:r>
    </w:p>
    <w:p>
      <w:pPr>
        <w:spacing w:line="600" w:lineRule="exact"/>
        <w:ind w:firstLine="640" w:firstLineChars="200"/>
        <w:rPr>
          <w:rFonts w:ascii="仿宋" w:hAnsi="仿宋" w:eastAsia="仿宋"/>
          <w:sz w:val="32"/>
          <w:szCs w:val="32"/>
        </w:rPr>
      </w:pPr>
    </w:p>
    <w:p>
      <w:pPr>
        <w:pStyle w:val="16"/>
        <w:rPr>
          <w:rFonts w:ascii="仿宋" w:hAnsi="仿宋" w:eastAsia="仿宋"/>
          <w:sz w:val="32"/>
          <w:szCs w:val="32"/>
        </w:rPr>
      </w:pPr>
      <w:r>
        <w:drawing>
          <wp:inline distT="0" distB="0" distL="114300" distR="114300">
            <wp:extent cx="4469130" cy="2540635"/>
            <wp:effectExtent l="4445" t="4445" r="22225" b="762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15"/>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1522.93</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b/>
          <w:bCs/>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b/>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b/>
          <w:bCs/>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b/>
          <w:bCs/>
          <w:sz w:val="32"/>
          <w:szCs w:val="32"/>
          <w:lang w:val="en-US" w:eastAsia="zh-CN"/>
        </w:rPr>
        <w:t>15.60</w:t>
      </w:r>
      <w:r>
        <w:rPr>
          <w:rFonts w:hint="eastAsia" w:ascii="仿宋" w:hAnsi="仿宋" w:eastAsia="仿宋"/>
          <w:sz w:val="32"/>
          <w:szCs w:val="32"/>
        </w:rPr>
        <w:t>万元，占</w:t>
      </w:r>
      <w:r>
        <w:rPr>
          <w:rFonts w:hint="eastAsia" w:ascii="仿宋" w:hAnsi="仿宋" w:eastAsia="仿宋"/>
          <w:sz w:val="32"/>
          <w:szCs w:val="32"/>
          <w:lang w:val="en-US" w:eastAsia="zh-CN"/>
        </w:rPr>
        <w:t>1.02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b/>
          <w:bCs/>
          <w:sz w:val="32"/>
          <w:szCs w:val="32"/>
          <w:lang w:val="en-US" w:eastAsia="zh-CN"/>
        </w:rPr>
        <w:t>7.80</w:t>
      </w:r>
      <w:r>
        <w:rPr>
          <w:rFonts w:hint="eastAsia" w:ascii="仿宋" w:hAnsi="仿宋" w:eastAsia="仿宋"/>
          <w:sz w:val="32"/>
          <w:szCs w:val="32"/>
        </w:rPr>
        <w:t>万元，占</w:t>
      </w:r>
      <w:r>
        <w:rPr>
          <w:rFonts w:hint="eastAsia" w:ascii="仿宋" w:hAnsi="仿宋" w:eastAsia="仿宋"/>
          <w:sz w:val="32"/>
          <w:szCs w:val="32"/>
          <w:lang w:val="en-US" w:eastAsia="zh-CN"/>
        </w:rPr>
        <w:t>0.51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val="en-US" w:eastAsia="zh-CN"/>
        </w:rPr>
        <w:t>交通运输支出1487.81万元，</w:t>
      </w:r>
      <w:r>
        <w:rPr>
          <w:rFonts w:hint="eastAsia" w:ascii="仿宋" w:hAnsi="仿宋" w:eastAsia="仿宋"/>
          <w:sz w:val="32"/>
          <w:szCs w:val="32"/>
        </w:rPr>
        <w:t>占</w:t>
      </w:r>
      <w:r>
        <w:rPr>
          <w:rFonts w:hint="eastAsia" w:ascii="仿宋" w:hAnsi="仿宋" w:eastAsia="仿宋"/>
          <w:sz w:val="32"/>
          <w:szCs w:val="32"/>
          <w:lang w:val="en-US" w:eastAsia="zh-CN"/>
        </w:rPr>
        <w:t>97.69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b/>
          <w:bCs/>
          <w:sz w:val="32"/>
          <w:szCs w:val="32"/>
          <w:lang w:val="en-US" w:eastAsia="zh-CN"/>
        </w:rPr>
        <w:t>11.70</w:t>
      </w:r>
      <w:r>
        <w:rPr>
          <w:rFonts w:hint="eastAsia" w:ascii="仿宋" w:hAnsi="仿宋" w:eastAsia="仿宋"/>
          <w:sz w:val="32"/>
          <w:szCs w:val="32"/>
        </w:rPr>
        <w:t>万元，占</w:t>
      </w:r>
      <w:r>
        <w:rPr>
          <w:rFonts w:hint="eastAsia" w:ascii="仿宋" w:hAnsi="仿宋" w:eastAsia="仿宋"/>
          <w:sz w:val="32"/>
          <w:szCs w:val="32"/>
          <w:lang w:val="en-US" w:eastAsia="zh-CN"/>
        </w:rPr>
        <w:t>0.7</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（注：数据来源于财决01-1表，仅罗列本单位涉及的全部功能分类科目，至类级。）</w:t>
      </w:r>
    </w:p>
    <w:p>
      <w:pPr>
        <w:spacing w:line="600" w:lineRule="exact"/>
        <w:ind w:firstLine="640"/>
        <w:rPr>
          <w:rFonts w:ascii="仿宋" w:hAnsi="仿宋" w:eastAsia="仿宋"/>
          <w:sz w:val="32"/>
          <w:szCs w:val="32"/>
        </w:rPr>
      </w:pPr>
    </w:p>
    <w:p>
      <w:pPr>
        <w:pStyle w:val="16"/>
        <w:rPr>
          <w:rFonts w:ascii="仿宋" w:hAnsi="仿宋" w:eastAsia="仿宋"/>
          <w:sz w:val="32"/>
          <w:szCs w:val="32"/>
        </w:rPr>
      </w:pPr>
    </w:p>
    <w:p>
      <w:pPr>
        <w:pStyle w:val="15"/>
        <w:rPr>
          <w:rFonts w:ascii="仿宋" w:hAnsi="仿宋" w:eastAsia="仿宋"/>
          <w:sz w:val="32"/>
          <w:szCs w:val="32"/>
        </w:rPr>
      </w:pPr>
    </w:p>
    <w:p>
      <w:pPr>
        <w:pStyle w:val="15"/>
        <w:rPr>
          <w:rFonts w:ascii="仿宋" w:hAnsi="仿宋" w:eastAsia="仿宋"/>
          <w:sz w:val="32"/>
          <w:szCs w:val="32"/>
        </w:rPr>
      </w:pPr>
    </w:p>
    <w:p>
      <w:pPr>
        <w:pStyle w:val="15"/>
        <w:rPr>
          <w:rFonts w:ascii="仿宋" w:hAnsi="仿宋" w:eastAsia="仿宋"/>
          <w:sz w:val="32"/>
          <w:szCs w:val="32"/>
        </w:rPr>
      </w:pPr>
      <w:r>
        <w:drawing>
          <wp:inline distT="0" distB="0" distL="114300" distR="114300">
            <wp:extent cx="5048250" cy="2868930"/>
            <wp:effectExtent l="4445" t="4445" r="14605" b="22225"/>
            <wp:docPr id="9"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b/>
          <w:sz w:val="32"/>
          <w:szCs w:val="32"/>
        </w:rPr>
      </w:pPr>
      <w:bookmarkStart w:id="31" w:name="_Toc15378460"/>
      <w:bookmarkStart w:id="32" w:name="_Toc15377444"/>
      <w:bookmarkStart w:id="33" w:name="_Toc15377213"/>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1522.93</w:t>
      </w:r>
      <w:r>
        <w:rPr>
          <w:rFonts w:hint="eastAsia" w:ascii="仿宋" w:hAnsi="仿宋" w:eastAsia="仿宋"/>
          <w:sz w:val="32"/>
          <w:szCs w:val="32"/>
        </w:rPr>
        <w:t>，</w:t>
      </w:r>
      <w:r>
        <w:rPr>
          <w:rStyle w:val="19"/>
          <w:rFonts w:hint="eastAsia" w:ascii="仿宋" w:hAnsi="仿宋" w:eastAsia="仿宋"/>
          <w:bCs/>
          <w:sz w:val="32"/>
          <w:szCs w:val="32"/>
        </w:rPr>
        <w:t>完成预算</w:t>
      </w:r>
      <w:r>
        <w:rPr>
          <w:rStyle w:val="19"/>
          <w:rFonts w:hint="eastAsia" w:ascii="仿宋" w:hAnsi="仿宋" w:eastAsia="仿宋"/>
          <w:bCs/>
          <w:sz w:val="32"/>
          <w:szCs w:val="32"/>
          <w:lang w:val="en-US" w:eastAsia="zh-CN"/>
        </w:rPr>
        <w:t>100</w:t>
      </w:r>
      <w:r>
        <w:rPr>
          <w:rStyle w:val="19"/>
          <w:rFonts w:ascii="仿宋" w:hAnsi="仿宋" w:eastAsia="仿宋"/>
          <w:bCs/>
          <w:sz w:val="32"/>
          <w:szCs w:val="32"/>
        </w:rPr>
        <w:t>%</w:t>
      </w:r>
      <w:r>
        <w:rPr>
          <w:rStyle w:val="19"/>
          <w:rFonts w:hint="eastAsia" w:ascii="仿宋" w:hAnsi="仿宋" w:eastAsia="仿宋"/>
          <w:bCs/>
          <w:sz w:val="32"/>
          <w:szCs w:val="32"/>
        </w:rPr>
        <w:t>。其中：</w:t>
      </w:r>
      <w:bookmarkEnd w:id="31"/>
      <w:bookmarkEnd w:id="32"/>
      <w:bookmarkEnd w:id="33"/>
    </w:p>
    <w:p>
      <w:pPr>
        <w:spacing w:line="600" w:lineRule="exact"/>
        <w:ind w:firstLine="643" w:firstLineChars="200"/>
        <w:rPr>
          <w:rFonts w:hint="default" w:ascii="仿宋" w:hAnsi="仿宋" w:eastAsia="仿宋"/>
          <w:b/>
          <w:sz w:val="32"/>
          <w:szCs w:val="32"/>
          <w:lang w:val="en-US" w:eastAsia="zh-CN"/>
        </w:rPr>
      </w:pPr>
      <w:r>
        <w:rPr>
          <w:rStyle w:val="19"/>
          <w:rFonts w:hint="eastAsia" w:ascii="仿宋" w:hAnsi="仿宋" w:eastAsia="仿宋"/>
          <w:bCs/>
          <w:sz w:val="32"/>
          <w:szCs w:val="32"/>
          <w:lang w:val="en-US" w:eastAsia="zh-CN"/>
        </w:rPr>
        <w:t>1</w:t>
      </w:r>
      <w:r>
        <w:rPr>
          <w:rStyle w:val="19"/>
          <w:rFonts w:ascii="仿宋" w:hAnsi="仿宋" w:eastAsia="仿宋"/>
          <w:bCs/>
          <w:sz w:val="32"/>
          <w:szCs w:val="32"/>
        </w:rPr>
        <w:t>.</w:t>
      </w:r>
      <w:r>
        <w:rPr>
          <w:rStyle w:val="19"/>
          <w:rFonts w:hint="eastAsia" w:ascii="仿宋" w:hAnsi="仿宋" w:eastAsia="仿宋"/>
          <w:bCs/>
          <w:sz w:val="32"/>
          <w:szCs w:val="32"/>
        </w:rPr>
        <w:t>社会保障和就业（类）</w:t>
      </w:r>
      <w:r>
        <w:rPr>
          <w:rStyle w:val="19"/>
          <w:rFonts w:hint="eastAsia" w:ascii="仿宋" w:hAnsi="仿宋" w:eastAsia="仿宋"/>
          <w:bCs/>
          <w:sz w:val="32"/>
          <w:szCs w:val="32"/>
          <w:lang w:val="en-US" w:eastAsia="zh-CN"/>
        </w:rPr>
        <w:t>行政事业单位养老支出</w:t>
      </w:r>
      <w:r>
        <w:rPr>
          <w:rStyle w:val="19"/>
          <w:rFonts w:hint="eastAsia" w:ascii="仿宋" w:hAnsi="仿宋" w:eastAsia="仿宋"/>
          <w:bCs/>
          <w:sz w:val="32"/>
          <w:szCs w:val="32"/>
        </w:rPr>
        <w:t>（款）</w:t>
      </w:r>
      <w:r>
        <w:rPr>
          <w:rFonts w:hint="eastAsia" w:ascii="宋体" w:hAnsi="宋体" w:eastAsia="宋体" w:cs="宋体"/>
          <w:b w:val="0"/>
          <w:bCs w:val="0"/>
          <w:i w:val="0"/>
          <w:iCs w:val="0"/>
          <w:caps w:val="0"/>
          <w:color w:val="000000"/>
          <w:spacing w:val="0"/>
          <w:sz w:val="30"/>
          <w:szCs w:val="30"/>
          <w:shd w:val="clear" w:fill="FFFFFF"/>
        </w:rPr>
        <w:t>机关事业单位基本养老保险缴费支出</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15.60</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，决算数</w:t>
      </w:r>
      <w:r>
        <w:rPr>
          <w:rStyle w:val="19"/>
          <w:rFonts w:hint="eastAsia" w:ascii="仿宋" w:hAnsi="仿宋" w:eastAsia="仿宋"/>
          <w:b w:val="0"/>
          <w:bCs/>
          <w:sz w:val="32"/>
          <w:szCs w:val="32"/>
          <w:lang w:val="en-US" w:eastAsia="zh-CN"/>
        </w:rPr>
        <w:t>大</w:t>
      </w:r>
      <w:r>
        <w:rPr>
          <w:rStyle w:val="19"/>
          <w:rFonts w:hint="eastAsia" w:ascii="仿宋" w:hAnsi="仿宋" w:eastAsia="仿宋"/>
          <w:b w:val="0"/>
          <w:bCs/>
          <w:sz w:val="32"/>
          <w:szCs w:val="32"/>
        </w:rPr>
        <w:t>于</w:t>
      </w:r>
      <w:r>
        <w:rPr>
          <w:rStyle w:val="19"/>
          <w:rFonts w:ascii="仿宋" w:hAnsi="仿宋" w:eastAsia="仿宋"/>
          <w:b w:val="0"/>
          <w:bCs/>
          <w:sz w:val="32"/>
          <w:szCs w:val="32"/>
        </w:rPr>
        <w:t>/</w:t>
      </w:r>
      <w:r>
        <w:rPr>
          <w:rStyle w:val="19"/>
          <w:rFonts w:hint="eastAsia" w:ascii="仿宋" w:hAnsi="仿宋" w:eastAsia="仿宋"/>
          <w:b w:val="0"/>
          <w:bCs/>
          <w:sz w:val="32"/>
          <w:szCs w:val="32"/>
        </w:rPr>
        <w:t>等于预算数的主要原因是</w:t>
      </w:r>
      <w:r>
        <w:rPr>
          <w:rStyle w:val="19"/>
          <w:rFonts w:hint="eastAsia" w:ascii="仿宋" w:hAnsi="仿宋" w:eastAsia="仿宋"/>
          <w:b w:val="0"/>
          <w:bCs/>
          <w:sz w:val="32"/>
          <w:szCs w:val="32"/>
          <w:lang w:val="en-US" w:eastAsia="zh-CN"/>
        </w:rPr>
        <w:t>人员增加养老保险经费增加。</w:t>
      </w:r>
    </w:p>
    <w:p>
      <w:pPr>
        <w:spacing w:line="600" w:lineRule="exact"/>
        <w:ind w:firstLine="643" w:firstLineChars="200"/>
        <w:rPr>
          <w:rFonts w:ascii="仿宋" w:hAnsi="仿宋" w:eastAsia="仿宋"/>
          <w:b/>
          <w:sz w:val="32"/>
          <w:szCs w:val="32"/>
        </w:rPr>
      </w:pPr>
      <w:r>
        <w:rPr>
          <w:rStyle w:val="19"/>
          <w:rFonts w:hint="eastAsia" w:ascii="仿宋" w:hAnsi="仿宋" w:eastAsia="仿宋"/>
          <w:bCs/>
          <w:sz w:val="32"/>
          <w:szCs w:val="32"/>
          <w:lang w:val="en-US" w:eastAsia="zh-CN"/>
        </w:rPr>
        <w:t>2</w:t>
      </w:r>
      <w:r>
        <w:rPr>
          <w:rStyle w:val="19"/>
          <w:rFonts w:ascii="仿宋" w:hAnsi="仿宋" w:eastAsia="仿宋"/>
          <w:bCs/>
          <w:sz w:val="32"/>
          <w:szCs w:val="32"/>
        </w:rPr>
        <w:t>.</w:t>
      </w:r>
      <w:r>
        <w:rPr>
          <w:rFonts w:hint="eastAsia" w:ascii="仿宋" w:hAnsi="仿宋" w:eastAsia="仿宋"/>
          <w:b/>
          <w:bCs/>
          <w:sz w:val="32"/>
          <w:szCs w:val="32"/>
        </w:rPr>
        <w:t>卫生健康</w:t>
      </w:r>
      <w:r>
        <w:rPr>
          <w:rStyle w:val="19"/>
          <w:rFonts w:hint="eastAsia" w:ascii="仿宋" w:hAnsi="仿宋" w:eastAsia="仿宋"/>
          <w:bCs/>
          <w:sz w:val="32"/>
          <w:szCs w:val="32"/>
        </w:rPr>
        <w:t>（类）</w:t>
      </w:r>
      <w:r>
        <w:rPr>
          <w:rFonts w:hint="eastAsia" w:ascii="宋体" w:hAnsi="宋体" w:eastAsia="宋体" w:cs="宋体"/>
          <w:i w:val="0"/>
          <w:iCs w:val="0"/>
          <w:caps w:val="0"/>
          <w:color w:val="000000"/>
          <w:spacing w:val="0"/>
          <w:sz w:val="30"/>
          <w:szCs w:val="30"/>
          <w:shd w:val="clear" w:fill="FFFFFF"/>
        </w:rPr>
        <w:t>行政事业单位医疗</w:t>
      </w:r>
      <w:r>
        <w:rPr>
          <w:rStyle w:val="19"/>
          <w:rFonts w:hint="eastAsia" w:ascii="仿宋" w:hAnsi="仿宋" w:eastAsia="仿宋"/>
          <w:bCs/>
          <w:sz w:val="32"/>
          <w:szCs w:val="32"/>
        </w:rPr>
        <w:t>（款）</w:t>
      </w:r>
      <w:r>
        <w:rPr>
          <w:rFonts w:hint="eastAsia" w:ascii="宋体" w:hAnsi="宋体" w:eastAsia="宋体" w:cs="宋体"/>
          <w:i w:val="0"/>
          <w:iCs w:val="0"/>
          <w:caps w:val="0"/>
          <w:color w:val="000000"/>
          <w:spacing w:val="0"/>
          <w:sz w:val="30"/>
          <w:szCs w:val="30"/>
          <w:shd w:val="clear" w:fill="FFFFFF"/>
        </w:rPr>
        <w:t>事业单位医疗</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7.80</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，决算数</w:t>
      </w:r>
      <w:r>
        <w:rPr>
          <w:rStyle w:val="19"/>
          <w:rFonts w:hint="eastAsia" w:ascii="仿宋" w:hAnsi="仿宋" w:eastAsia="仿宋"/>
          <w:b w:val="0"/>
          <w:bCs/>
          <w:sz w:val="32"/>
          <w:szCs w:val="32"/>
          <w:lang w:val="en-US" w:eastAsia="zh-CN"/>
        </w:rPr>
        <w:t>大</w:t>
      </w:r>
      <w:r>
        <w:rPr>
          <w:rStyle w:val="19"/>
          <w:rFonts w:hint="eastAsia" w:ascii="仿宋" w:hAnsi="仿宋" w:eastAsia="仿宋"/>
          <w:b w:val="0"/>
          <w:bCs/>
          <w:sz w:val="32"/>
          <w:szCs w:val="32"/>
        </w:rPr>
        <w:t>于</w:t>
      </w:r>
      <w:r>
        <w:rPr>
          <w:rStyle w:val="19"/>
          <w:rFonts w:ascii="仿宋" w:hAnsi="仿宋" w:eastAsia="仿宋"/>
          <w:b w:val="0"/>
          <w:bCs/>
          <w:sz w:val="32"/>
          <w:szCs w:val="32"/>
        </w:rPr>
        <w:t>/</w:t>
      </w:r>
      <w:r>
        <w:rPr>
          <w:rStyle w:val="19"/>
          <w:rFonts w:hint="eastAsia" w:ascii="仿宋" w:hAnsi="仿宋" w:eastAsia="仿宋"/>
          <w:b w:val="0"/>
          <w:bCs/>
          <w:sz w:val="32"/>
          <w:szCs w:val="32"/>
        </w:rPr>
        <w:t>等于预算数的主要原因是</w:t>
      </w:r>
      <w:r>
        <w:rPr>
          <w:rStyle w:val="19"/>
          <w:rFonts w:hint="eastAsia" w:ascii="仿宋" w:hAnsi="仿宋" w:eastAsia="仿宋"/>
          <w:b w:val="0"/>
          <w:bCs/>
          <w:sz w:val="32"/>
          <w:szCs w:val="32"/>
          <w:lang w:val="en-US" w:eastAsia="zh-CN"/>
        </w:rPr>
        <w:t>人员增加医疗保险经费增加</w:t>
      </w:r>
      <w:r>
        <w:rPr>
          <w:rStyle w:val="19"/>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9"/>
          <w:rFonts w:hint="eastAsia" w:ascii="仿宋" w:hAnsi="仿宋" w:eastAsia="仿宋"/>
          <w:bCs/>
          <w:sz w:val="32"/>
          <w:szCs w:val="32"/>
          <w:lang w:val="en-US" w:eastAsia="zh-CN"/>
        </w:rPr>
        <w:t>3</w:t>
      </w:r>
      <w:r>
        <w:rPr>
          <w:rStyle w:val="19"/>
          <w:rFonts w:ascii="仿宋" w:hAnsi="仿宋" w:eastAsia="仿宋"/>
          <w:bCs/>
          <w:sz w:val="32"/>
          <w:szCs w:val="32"/>
        </w:rPr>
        <w:t>.</w:t>
      </w:r>
      <w:r>
        <w:rPr>
          <w:rStyle w:val="19"/>
          <w:rFonts w:hint="eastAsia" w:ascii="仿宋" w:hAnsi="仿宋" w:eastAsia="仿宋"/>
          <w:bCs/>
          <w:sz w:val="32"/>
          <w:szCs w:val="32"/>
          <w:lang w:val="en-US" w:eastAsia="zh-CN"/>
        </w:rPr>
        <w:t>交通运输</w:t>
      </w:r>
      <w:r>
        <w:rPr>
          <w:rStyle w:val="19"/>
          <w:rFonts w:hint="eastAsia" w:ascii="仿宋" w:hAnsi="仿宋" w:eastAsia="仿宋"/>
          <w:bCs/>
          <w:sz w:val="32"/>
          <w:szCs w:val="32"/>
          <w:lang w:eastAsia="zh-CN"/>
        </w:rPr>
        <w:t>（</w:t>
      </w:r>
      <w:r>
        <w:rPr>
          <w:rStyle w:val="19"/>
          <w:rFonts w:hint="eastAsia" w:ascii="仿宋" w:hAnsi="仿宋" w:eastAsia="仿宋"/>
          <w:bCs/>
          <w:sz w:val="32"/>
          <w:szCs w:val="32"/>
        </w:rPr>
        <w:t>类</w:t>
      </w:r>
      <w:r>
        <w:rPr>
          <w:rStyle w:val="19"/>
          <w:rFonts w:hint="eastAsia" w:ascii="仿宋" w:hAnsi="仿宋" w:eastAsia="仿宋"/>
          <w:bCs/>
          <w:sz w:val="32"/>
          <w:szCs w:val="32"/>
          <w:lang w:eastAsia="zh-CN"/>
        </w:rPr>
        <w:t>）</w:t>
      </w:r>
      <w:r>
        <w:rPr>
          <w:rFonts w:hint="eastAsia" w:ascii="宋体" w:hAnsi="宋体" w:eastAsia="宋体" w:cs="宋体"/>
          <w:i w:val="0"/>
          <w:iCs w:val="0"/>
          <w:caps w:val="0"/>
          <w:color w:val="000000"/>
          <w:spacing w:val="0"/>
          <w:sz w:val="30"/>
          <w:szCs w:val="30"/>
          <w:shd w:val="clear" w:fill="FFFFFF"/>
        </w:rPr>
        <w:t>公路水路运输</w:t>
      </w:r>
      <w:r>
        <w:rPr>
          <w:rStyle w:val="19"/>
          <w:rFonts w:hint="eastAsia" w:ascii="仿宋" w:hAnsi="仿宋" w:eastAsia="仿宋"/>
          <w:bCs/>
          <w:sz w:val="32"/>
          <w:szCs w:val="32"/>
        </w:rPr>
        <w:t>（款）</w:t>
      </w:r>
      <w:r>
        <w:rPr>
          <w:rFonts w:hint="eastAsia" w:ascii="宋体" w:hAnsi="宋体" w:eastAsia="宋体" w:cs="宋体"/>
          <w:i w:val="0"/>
          <w:iCs w:val="0"/>
          <w:caps w:val="0"/>
          <w:color w:val="000000"/>
          <w:spacing w:val="0"/>
          <w:sz w:val="30"/>
          <w:szCs w:val="30"/>
          <w:shd w:val="clear" w:fill="FFFFFF"/>
        </w:rPr>
        <w:t>公路运输管理</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1487.81</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，决算数</w:t>
      </w:r>
      <w:r>
        <w:rPr>
          <w:rStyle w:val="19"/>
          <w:rFonts w:hint="eastAsia" w:ascii="仿宋" w:hAnsi="仿宋" w:eastAsia="仿宋"/>
          <w:b w:val="0"/>
          <w:bCs/>
          <w:sz w:val="32"/>
          <w:szCs w:val="32"/>
          <w:lang w:val="en-US" w:eastAsia="zh-CN"/>
        </w:rPr>
        <w:t>大</w:t>
      </w:r>
      <w:r>
        <w:rPr>
          <w:rStyle w:val="19"/>
          <w:rFonts w:hint="eastAsia" w:ascii="仿宋" w:hAnsi="仿宋" w:eastAsia="仿宋"/>
          <w:b w:val="0"/>
          <w:bCs/>
          <w:sz w:val="32"/>
          <w:szCs w:val="32"/>
        </w:rPr>
        <w:t>于</w:t>
      </w:r>
      <w:r>
        <w:rPr>
          <w:rStyle w:val="19"/>
          <w:rFonts w:ascii="仿宋" w:hAnsi="仿宋" w:eastAsia="仿宋"/>
          <w:b w:val="0"/>
          <w:bCs/>
          <w:sz w:val="32"/>
          <w:szCs w:val="32"/>
        </w:rPr>
        <w:t>/</w:t>
      </w:r>
      <w:r>
        <w:rPr>
          <w:rStyle w:val="19"/>
          <w:rFonts w:hint="eastAsia" w:ascii="仿宋" w:hAnsi="仿宋" w:eastAsia="仿宋"/>
          <w:b w:val="0"/>
          <w:bCs/>
          <w:sz w:val="32"/>
          <w:szCs w:val="32"/>
        </w:rPr>
        <w:t>等于预算数的主要原因是</w:t>
      </w:r>
      <w:r>
        <w:rPr>
          <w:rStyle w:val="19"/>
          <w:rFonts w:hint="eastAsia" w:ascii="仿宋" w:hAnsi="仿宋" w:eastAsia="仿宋"/>
          <w:b w:val="0"/>
          <w:bCs/>
          <w:sz w:val="32"/>
          <w:szCs w:val="32"/>
          <w:lang w:val="en-US" w:eastAsia="zh-CN"/>
        </w:rPr>
        <w:t>专项项目经费增加</w:t>
      </w:r>
      <w:r>
        <w:rPr>
          <w:rStyle w:val="19"/>
          <w:rFonts w:hint="eastAsia" w:ascii="仿宋" w:hAnsi="仿宋" w:eastAsia="仿宋"/>
          <w:b w:val="0"/>
          <w:bCs/>
          <w:sz w:val="32"/>
          <w:szCs w:val="32"/>
        </w:rPr>
        <w:t>。</w:t>
      </w:r>
    </w:p>
    <w:p>
      <w:pPr>
        <w:spacing w:line="600" w:lineRule="exact"/>
        <w:ind w:firstLine="643" w:firstLineChars="200"/>
        <w:rPr>
          <w:rFonts w:ascii="仿宋" w:hAnsi="仿宋" w:eastAsia="仿宋"/>
          <w:sz w:val="32"/>
          <w:szCs w:val="32"/>
        </w:rPr>
      </w:pPr>
      <w:r>
        <w:rPr>
          <w:rStyle w:val="19"/>
          <w:rFonts w:hint="eastAsia" w:ascii="仿宋" w:hAnsi="仿宋" w:eastAsia="仿宋"/>
          <w:bCs/>
          <w:sz w:val="32"/>
          <w:szCs w:val="32"/>
          <w:lang w:val="en-US" w:eastAsia="zh-CN"/>
        </w:rPr>
        <w:t>4</w:t>
      </w:r>
      <w:r>
        <w:rPr>
          <w:rStyle w:val="19"/>
          <w:rFonts w:ascii="仿宋" w:hAnsi="仿宋" w:eastAsia="仿宋"/>
          <w:bCs/>
          <w:sz w:val="32"/>
          <w:szCs w:val="32"/>
        </w:rPr>
        <w:t>.</w:t>
      </w:r>
      <w:r>
        <w:rPr>
          <w:rStyle w:val="19"/>
          <w:rFonts w:hint="eastAsia" w:ascii="仿宋" w:hAnsi="仿宋" w:eastAsia="仿宋"/>
          <w:bCs/>
          <w:sz w:val="32"/>
          <w:szCs w:val="32"/>
          <w:lang w:val="en-US" w:eastAsia="zh-CN"/>
        </w:rPr>
        <w:t>住房保障</w:t>
      </w:r>
      <w:r>
        <w:rPr>
          <w:rStyle w:val="19"/>
          <w:rFonts w:hint="eastAsia" w:ascii="仿宋" w:hAnsi="仿宋" w:eastAsia="仿宋"/>
          <w:bCs/>
          <w:sz w:val="32"/>
          <w:szCs w:val="32"/>
        </w:rPr>
        <w:t>（类）</w:t>
      </w:r>
      <w:r>
        <w:rPr>
          <w:rFonts w:hint="eastAsia" w:ascii="宋体" w:hAnsi="宋体" w:eastAsia="宋体" w:cs="宋体"/>
          <w:i w:val="0"/>
          <w:iCs w:val="0"/>
          <w:caps w:val="0"/>
          <w:color w:val="000000"/>
          <w:spacing w:val="0"/>
          <w:sz w:val="30"/>
          <w:szCs w:val="30"/>
          <w:shd w:val="clear" w:fill="FFFFFF"/>
        </w:rPr>
        <w:t>住房改革支出</w:t>
      </w:r>
      <w:r>
        <w:rPr>
          <w:rStyle w:val="19"/>
          <w:rFonts w:hint="eastAsia" w:ascii="仿宋" w:hAnsi="仿宋" w:eastAsia="仿宋"/>
          <w:bCs/>
          <w:sz w:val="32"/>
          <w:szCs w:val="32"/>
        </w:rPr>
        <w:t>（款）</w:t>
      </w:r>
      <w:r>
        <w:rPr>
          <w:rFonts w:hint="eastAsia" w:ascii="宋体" w:hAnsi="宋体" w:eastAsia="宋体" w:cs="宋体"/>
          <w:i w:val="0"/>
          <w:iCs w:val="0"/>
          <w:caps w:val="0"/>
          <w:color w:val="000000"/>
          <w:spacing w:val="0"/>
          <w:sz w:val="30"/>
          <w:szCs w:val="30"/>
          <w:shd w:val="clear" w:fill="FFFFFF"/>
        </w:rPr>
        <w:t>住房公积金</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11.70</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，决算数</w:t>
      </w:r>
      <w:r>
        <w:rPr>
          <w:rStyle w:val="19"/>
          <w:rFonts w:hint="eastAsia" w:ascii="仿宋" w:hAnsi="仿宋" w:eastAsia="仿宋"/>
          <w:b w:val="0"/>
          <w:bCs/>
          <w:sz w:val="32"/>
          <w:szCs w:val="32"/>
          <w:lang w:val="en-US" w:eastAsia="zh-CN"/>
        </w:rPr>
        <w:t>大</w:t>
      </w:r>
      <w:r>
        <w:rPr>
          <w:rStyle w:val="19"/>
          <w:rFonts w:hint="eastAsia" w:ascii="仿宋" w:hAnsi="仿宋" w:eastAsia="仿宋"/>
          <w:b w:val="0"/>
          <w:bCs/>
          <w:sz w:val="32"/>
          <w:szCs w:val="32"/>
        </w:rPr>
        <w:t>于</w:t>
      </w:r>
      <w:r>
        <w:rPr>
          <w:rStyle w:val="19"/>
          <w:rFonts w:ascii="仿宋" w:hAnsi="仿宋" w:eastAsia="仿宋"/>
          <w:b w:val="0"/>
          <w:bCs/>
          <w:sz w:val="32"/>
          <w:szCs w:val="32"/>
        </w:rPr>
        <w:t>/</w:t>
      </w:r>
      <w:r>
        <w:rPr>
          <w:rStyle w:val="19"/>
          <w:rFonts w:hint="eastAsia" w:ascii="仿宋" w:hAnsi="仿宋" w:eastAsia="仿宋"/>
          <w:b w:val="0"/>
          <w:bCs/>
          <w:sz w:val="32"/>
          <w:szCs w:val="32"/>
        </w:rPr>
        <w:t>等于预算数的主要原因是</w:t>
      </w:r>
      <w:r>
        <w:rPr>
          <w:rStyle w:val="19"/>
          <w:rFonts w:hint="eastAsia" w:ascii="仿宋" w:hAnsi="仿宋" w:eastAsia="仿宋"/>
          <w:b w:val="0"/>
          <w:bCs/>
          <w:sz w:val="32"/>
          <w:szCs w:val="32"/>
          <w:lang w:val="en-US" w:eastAsia="zh-CN"/>
        </w:rPr>
        <w:t>人员增加住房公积金经费增加</w:t>
      </w:r>
      <w:r>
        <w:rPr>
          <w:rStyle w:val="19"/>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1-1表和财决08表，仅罗列本单位涉及的全部功能分类科目，至项级。上述“预算”口径为全年预算数。增减变动原因为决算数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和全年预算数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比较，与预算数持平可以不写原因。）</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30"/>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34"/>
      <w:bookmarkEnd w:id="35"/>
      <w:r>
        <w:rPr>
          <w:rStyle w:val="30"/>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213.10</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203.33</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9.77</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pPr>
        <w:spacing w:line="600" w:lineRule="exact"/>
        <w:ind w:firstLine="640"/>
        <w:rPr>
          <w:rFonts w:ascii="仿宋" w:hAnsi="仿宋" w:eastAsia="仿宋"/>
          <w:b/>
          <w:sz w:val="32"/>
          <w:szCs w:val="32"/>
        </w:rPr>
      </w:pPr>
    </w:p>
    <w:p>
      <w:pPr>
        <w:spacing w:line="600" w:lineRule="exact"/>
        <w:ind w:firstLine="640"/>
        <w:outlineLvl w:val="1"/>
        <w:rPr>
          <w:rStyle w:val="30"/>
          <w:rFonts w:ascii="黑体" w:hAnsi="黑体" w:eastAsia="黑体"/>
          <w:b w:val="0"/>
        </w:rPr>
      </w:pPr>
      <w:bookmarkStart w:id="36" w:name="_Toc15377215"/>
      <w:bookmarkStart w:id="37" w:name="_Toc15396609"/>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3.81</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0.17</w:t>
      </w:r>
      <w:r>
        <w:rPr>
          <w:rFonts w:hint="eastAsia" w:ascii="仿宋" w:hAnsi="仿宋" w:eastAsia="仿宋"/>
          <w:sz w:val="32"/>
          <w:szCs w:val="32"/>
        </w:rPr>
        <w:t>万元，下降</w:t>
      </w:r>
      <w:r>
        <w:rPr>
          <w:rFonts w:hint="eastAsia" w:ascii="仿宋" w:hAnsi="仿宋" w:eastAsia="仿宋"/>
          <w:sz w:val="32"/>
          <w:szCs w:val="32"/>
          <w:lang w:val="en-US" w:eastAsia="zh-CN"/>
        </w:rPr>
        <w:t>0.06</w:t>
      </w:r>
      <w:r>
        <w:rPr>
          <w:rFonts w:hint="eastAsia" w:ascii="仿宋" w:hAnsi="仿宋" w:eastAsia="仿宋"/>
          <w:sz w:val="32"/>
          <w:szCs w:val="32"/>
        </w:rPr>
        <w:t>%。决算数小于预算数（或与预算数持平）的主要原因是</w:t>
      </w:r>
      <w:r>
        <w:rPr>
          <w:rFonts w:hint="eastAsia" w:ascii="仿宋_GB2312" w:eastAsia="仿宋_GB2312"/>
          <w:sz w:val="32"/>
          <w:szCs w:val="32"/>
          <w:lang w:val="en-US" w:eastAsia="zh-CN"/>
        </w:rPr>
        <w:t>开源节流</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2.81</w:t>
      </w:r>
      <w:r>
        <w:rPr>
          <w:rFonts w:hint="eastAsia" w:ascii="仿宋" w:hAnsi="仿宋" w:eastAsia="仿宋"/>
          <w:sz w:val="32"/>
          <w:szCs w:val="32"/>
        </w:rPr>
        <w:t>万元，占</w:t>
      </w:r>
      <w:r>
        <w:rPr>
          <w:rFonts w:hint="eastAsia" w:ascii="仿宋" w:hAnsi="仿宋" w:eastAsia="仿宋"/>
          <w:sz w:val="32"/>
          <w:szCs w:val="32"/>
          <w:lang w:val="en-US" w:eastAsia="zh-CN"/>
        </w:rPr>
        <w:t>74</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1.00</w:t>
      </w:r>
      <w:r>
        <w:rPr>
          <w:rFonts w:hint="eastAsia" w:ascii="仿宋" w:hAnsi="仿宋" w:eastAsia="仿宋"/>
          <w:sz w:val="32"/>
          <w:szCs w:val="32"/>
        </w:rPr>
        <w:t>万元，占</w:t>
      </w:r>
      <w:r>
        <w:rPr>
          <w:rFonts w:hint="eastAsia" w:ascii="仿宋" w:hAnsi="仿宋" w:eastAsia="仿宋"/>
          <w:sz w:val="32"/>
          <w:szCs w:val="32"/>
          <w:lang w:val="en-US" w:eastAsia="zh-CN"/>
        </w:rPr>
        <w:t>26</w:t>
      </w:r>
      <w:r>
        <w:rPr>
          <w:rFonts w:ascii="仿宋" w:hAnsi="仿宋" w:eastAsia="仿宋"/>
          <w:sz w:val="32"/>
          <w:szCs w:val="32"/>
        </w:rPr>
        <w:t>%</w:t>
      </w:r>
      <w:r>
        <w:rPr>
          <w:rFonts w:hint="eastAsia" w:ascii="仿宋" w:hAnsi="仿宋" w:eastAsia="仿宋"/>
          <w:sz w:val="32"/>
          <w:szCs w:val="32"/>
        </w:rPr>
        <w:t>。具体情况如下：</w:t>
      </w:r>
    </w:p>
    <w:p>
      <w:pPr>
        <w:pStyle w:val="16"/>
        <w:rPr>
          <w:rFonts w:hint="eastAsia" w:ascii="仿宋" w:hAnsi="仿宋" w:eastAsia="仿宋"/>
          <w:sz w:val="32"/>
          <w:szCs w:val="32"/>
        </w:rPr>
      </w:pPr>
      <w:r>
        <w:drawing>
          <wp:inline distT="0" distB="0" distL="114300" distR="114300">
            <wp:extent cx="4826000" cy="2743200"/>
            <wp:effectExtent l="4445" t="4445" r="8255" b="14605"/>
            <wp:docPr id="10"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15"/>
        <w:rPr>
          <w:rFonts w:hint="eastAsia" w:ascii="仿宋" w:hAnsi="仿宋" w:eastAsia="仿宋"/>
          <w:sz w:val="32"/>
          <w:szCs w:val="32"/>
        </w:rPr>
      </w:pP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b/>
          <w:sz w:val="32"/>
          <w:szCs w:val="32"/>
          <w:lang w:val="en-US" w:eastAsia="zh-CN"/>
        </w:rPr>
        <w:t>0</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rStyle w:val="19"/>
          <w:rFonts w:hint="eastAsia" w:ascii="仿宋" w:hAnsi="仿宋" w:eastAsia="仿宋"/>
          <w:b w:val="0"/>
          <w:bCs/>
          <w:sz w:val="32"/>
          <w:szCs w:val="32"/>
          <w:lang w:val="en-US" w:eastAsia="zh-CN"/>
        </w:rPr>
        <w:t>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p>
    <w:p>
      <w:pPr>
        <w:spacing w:line="600" w:lineRule="exact"/>
        <w:ind w:firstLine="640"/>
        <w:rPr>
          <w:rFonts w:ascii="仿宋_GB2312" w:eastAsia="仿宋_GB2312"/>
          <w:sz w:val="32"/>
          <w:szCs w:val="32"/>
        </w:rPr>
      </w:pPr>
      <w:r>
        <w:rPr>
          <w:rFonts w:hint="eastAsia" w:ascii="仿宋_GB2312" w:eastAsia="仿宋_GB2312"/>
          <w:sz w:val="32"/>
          <w:szCs w:val="32"/>
        </w:rPr>
        <w:t>开支内容包括：…（团组名称、出访地点、取得成效）等。</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b/>
          <w:sz w:val="32"/>
          <w:szCs w:val="32"/>
          <w:lang w:val="en-US" w:eastAsia="zh-CN"/>
        </w:rPr>
        <w:t>2.81</w:t>
      </w:r>
      <w:r>
        <w:rPr>
          <w:rFonts w:hint="eastAsia" w:ascii="仿宋_GB2312" w:eastAsia="仿宋_GB2312"/>
          <w:sz w:val="32"/>
          <w:szCs w:val="32"/>
        </w:rPr>
        <w:t>万元</w:t>
      </w:r>
      <w:r>
        <w:rPr>
          <w:rFonts w:hint="eastAsia" w:ascii="仿宋_GB2312" w:eastAsia="仿宋_GB2312"/>
          <w:sz w:val="32"/>
          <w:szCs w:val="32"/>
          <w:lang w:eastAsia="zh-CN"/>
        </w:rPr>
        <w:t>，</w:t>
      </w:r>
      <w:r>
        <w:rPr>
          <w:rStyle w:val="19"/>
          <w:rFonts w:hint="eastAsia" w:ascii="仿宋" w:hAnsi="仿宋" w:eastAsia="仿宋"/>
          <w:b w:val="0"/>
          <w:bCs/>
          <w:sz w:val="32"/>
          <w:szCs w:val="32"/>
        </w:rPr>
        <w:t>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21年减少</w:t>
      </w:r>
      <w:bookmarkStart w:id="67" w:name="_GoBack"/>
      <w:bookmarkEnd w:id="67"/>
      <w:r>
        <w:rPr>
          <w:rFonts w:hint="eastAsia" w:ascii="仿宋_GB2312" w:eastAsia="仿宋_GB2312"/>
          <w:sz w:val="32"/>
          <w:szCs w:val="32"/>
          <w:lang w:val="en-US" w:eastAsia="zh-CN"/>
        </w:rPr>
        <w:t>0.17</w:t>
      </w:r>
      <w:r>
        <w:rPr>
          <w:rFonts w:hint="eastAsia" w:ascii="仿宋_GB2312" w:eastAsia="仿宋_GB2312"/>
          <w:sz w:val="32"/>
          <w:szCs w:val="32"/>
        </w:rPr>
        <w:t>万元，下降</w:t>
      </w:r>
      <w:r>
        <w:rPr>
          <w:rFonts w:hint="eastAsia" w:ascii="仿宋_GB2312" w:eastAsia="仿宋_GB2312"/>
          <w:sz w:val="32"/>
          <w:szCs w:val="32"/>
          <w:lang w:val="en-US" w:eastAsia="zh-CN"/>
        </w:rPr>
        <w:t>0.06</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开源节流</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b/>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万元，主要用于…。截至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1</w:t>
      </w:r>
      <w:r>
        <w:rPr>
          <w:rFonts w:hint="eastAsia" w:ascii="仿宋_GB2312" w:eastAsia="仿宋_GB2312"/>
          <w:sz w:val="32"/>
          <w:szCs w:val="32"/>
        </w:rPr>
        <w:t>辆，其中：轿车</w:t>
      </w:r>
      <w:r>
        <w:rPr>
          <w:rFonts w:hint="eastAsia" w:ascii="仿宋_GB2312" w:eastAsia="仿宋_GB2312"/>
          <w:sz w:val="32"/>
          <w:szCs w:val="32"/>
          <w:lang w:val="en-US" w:eastAsia="zh-CN"/>
        </w:rPr>
        <w:t>1</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b/>
          <w:sz w:val="32"/>
          <w:szCs w:val="32"/>
          <w:lang w:val="en-US" w:eastAsia="zh-CN"/>
        </w:rPr>
        <w:t>2.81</w:t>
      </w:r>
      <w:r>
        <w:rPr>
          <w:rFonts w:hint="eastAsia" w:ascii="仿宋_GB2312" w:eastAsia="仿宋_GB2312"/>
          <w:sz w:val="32"/>
          <w:szCs w:val="32"/>
        </w:rPr>
        <w:t>万元。主要用于</w:t>
      </w:r>
      <w:r>
        <w:rPr>
          <w:rFonts w:hint="eastAsia" w:ascii="仿宋_GB2312" w:eastAsia="仿宋_GB2312"/>
          <w:sz w:val="32"/>
          <w:szCs w:val="32"/>
          <w:lang w:val="en-US" w:eastAsia="zh-CN"/>
        </w:rPr>
        <w:t>乡镇道路安全检查</w:t>
      </w:r>
      <w:r>
        <w:rPr>
          <w:rFonts w:hint="eastAsia" w:ascii="仿宋_GB2312" w:eastAsia="仿宋_GB2312"/>
          <w:sz w:val="32"/>
          <w:szCs w:val="32"/>
        </w:rPr>
        <w:t>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b/>
          <w:sz w:val="32"/>
          <w:szCs w:val="32"/>
          <w:lang w:val="en-US" w:eastAsia="zh-CN"/>
        </w:rPr>
        <w:t>1.00</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val="en-US" w:eastAsia="zh-CN"/>
        </w:rPr>
        <w:t>持平</w:t>
      </w:r>
      <w:r>
        <w:rPr>
          <w:rFonts w:hint="eastAsia" w:ascii="仿宋_GB2312" w:eastAsia="仿宋_GB2312"/>
          <w:sz w:val="32"/>
          <w:szCs w:val="32"/>
        </w:rPr>
        <w:t>。主要原因是</w:t>
      </w:r>
      <w:r>
        <w:rPr>
          <w:rFonts w:hint="eastAsia" w:ascii="仿宋_GB2312" w:eastAsia="仿宋_GB2312"/>
          <w:sz w:val="32"/>
          <w:szCs w:val="32"/>
          <w:lang w:val="en-US" w:eastAsia="zh-CN"/>
        </w:rPr>
        <w:t>正常业务接待</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b/>
          <w:sz w:val="32"/>
          <w:szCs w:val="32"/>
          <w:lang w:val="en-US" w:eastAsia="zh-CN"/>
        </w:rPr>
        <w:t>1.00</w:t>
      </w:r>
      <w:r>
        <w:rPr>
          <w:rFonts w:hint="eastAsia" w:ascii="仿宋_GB2312" w:eastAsia="仿宋_GB2312"/>
          <w:sz w:val="32"/>
          <w:szCs w:val="32"/>
        </w:rPr>
        <w:t>万元，主要用于</w:t>
      </w:r>
      <w:r>
        <w:rPr>
          <w:rFonts w:hint="eastAsia" w:ascii="仿宋_GB2312" w:eastAsia="仿宋_GB2312"/>
          <w:sz w:val="32"/>
          <w:szCs w:val="32"/>
          <w:lang w:val="en-US" w:eastAsia="zh-CN"/>
        </w:rPr>
        <w:t>平常业务</w:t>
      </w:r>
      <w:r>
        <w:rPr>
          <w:rFonts w:hint="eastAsia" w:ascii="仿宋_GB2312" w:eastAsia="仿宋_GB2312"/>
          <w:sz w:val="32"/>
          <w:szCs w:val="32"/>
        </w:rPr>
        <w:t>(执行公务、开展业务活动开支的交通费、住宿费、用餐费等)。国内公务接待</w:t>
      </w:r>
      <w:r>
        <w:rPr>
          <w:rFonts w:hint="eastAsia" w:ascii="仿宋_GB2312" w:eastAsia="仿宋_GB2312"/>
          <w:sz w:val="32"/>
          <w:szCs w:val="32"/>
          <w:lang w:val="en-US" w:eastAsia="zh-CN"/>
        </w:rPr>
        <w:t>29</w:t>
      </w:r>
      <w:r>
        <w:rPr>
          <w:rFonts w:hint="eastAsia" w:ascii="仿宋_GB2312" w:eastAsia="仿宋_GB2312"/>
          <w:sz w:val="32"/>
          <w:szCs w:val="32"/>
        </w:rPr>
        <w:t>批次，</w:t>
      </w:r>
      <w:r>
        <w:rPr>
          <w:rFonts w:hint="eastAsia" w:ascii="仿宋_GB2312" w:eastAsia="仿宋_GB2312"/>
          <w:sz w:val="32"/>
          <w:szCs w:val="32"/>
          <w:lang w:val="en-US" w:eastAsia="zh-CN"/>
        </w:rPr>
        <w:t>201</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1.00</w:t>
      </w:r>
      <w:r>
        <w:rPr>
          <w:rFonts w:hint="eastAsia" w:ascii="仿宋_GB2312" w:eastAsia="仿宋_GB2312"/>
          <w:sz w:val="32"/>
          <w:szCs w:val="32"/>
        </w:rPr>
        <w:t>万元，具体内容包括：</w:t>
      </w:r>
      <w:r>
        <w:rPr>
          <w:rFonts w:hint="eastAsia" w:ascii="仿宋_GB2312" w:eastAsia="仿宋_GB2312"/>
          <w:sz w:val="32"/>
          <w:szCs w:val="32"/>
          <w:lang w:val="en-US" w:eastAsia="zh-CN"/>
        </w:rPr>
        <w:t>学习培训、水路、公路检查等，共计1.00万元</w:t>
      </w:r>
      <w:r>
        <w:rPr>
          <w:rFonts w:hint="eastAsia" w:ascii="仿宋_GB2312" w:eastAsia="仿宋_GB2312"/>
          <w:sz w:val="32"/>
          <w:szCs w:val="32"/>
        </w:rPr>
        <w:t>。</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b/>
          <w:sz w:val="32"/>
          <w:szCs w:val="32"/>
          <w:lang w:val="en-US" w:eastAsia="zh-CN"/>
        </w:rPr>
        <w:t>0</w:t>
      </w:r>
      <w:r>
        <w:rPr>
          <w:rFonts w:hint="eastAsia" w:ascii="仿宋_GB2312" w:eastAsia="仿宋_GB2312"/>
          <w:sz w:val="32"/>
          <w:szCs w:val="32"/>
        </w:rPr>
        <w:t>万元，主要用于接待</w:t>
      </w:r>
      <w:r>
        <w:rPr>
          <w:rFonts w:ascii="仿宋_GB2312" w:eastAsia="仿宋_GB2312"/>
          <w:sz w:val="32"/>
          <w:szCs w:val="32"/>
        </w:rPr>
        <w:t>…</w:t>
      </w:r>
      <w:r>
        <w:rPr>
          <w:rFonts w:hint="eastAsia" w:ascii="仿宋_GB2312" w:eastAsia="仿宋_GB2312"/>
          <w:sz w:val="32"/>
          <w:szCs w:val="32"/>
        </w:rPr>
        <w:t>（具体项目）。外事接待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outlineLvl w:val="1"/>
        <w:rPr>
          <w:rFonts w:ascii="黑体" w:eastAsia="黑体"/>
          <w:sz w:val="32"/>
          <w:szCs w:val="32"/>
        </w:rPr>
      </w:pPr>
      <w:bookmarkStart w:id="40" w:name="_Toc15377218"/>
      <w:bookmarkStart w:id="41" w:name="_Toc15396610"/>
    </w:p>
    <w:p>
      <w:pPr>
        <w:spacing w:line="600" w:lineRule="exact"/>
        <w:ind w:firstLine="640"/>
        <w:outlineLvl w:val="1"/>
        <w:rPr>
          <w:rStyle w:val="30"/>
          <w:rFonts w:ascii="黑体" w:hAnsi="黑体" w:eastAsia="黑体"/>
        </w:rPr>
      </w:pPr>
      <w:r>
        <w:rPr>
          <w:rFonts w:hint="eastAsia" w:ascii="黑体" w:eastAsia="黑体"/>
          <w:sz w:val="32"/>
          <w:szCs w:val="32"/>
        </w:rPr>
        <w:t>八、</w:t>
      </w:r>
      <w:r>
        <w:rPr>
          <w:rStyle w:val="30"/>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0.00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6"/>
        </w:numPr>
        <w:spacing w:line="600" w:lineRule="exact"/>
        <w:ind w:firstLine="640"/>
        <w:outlineLvl w:val="1"/>
        <w:rPr>
          <w:rStyle w:val="30"/>
          <w:rFonts w:ascii="黑体" w:hAnsi="黑体" w:eastAsia="黑体"/>
          <w:b w:val="0"/>
        </w:rPr>
      </w:pPr>
      <w:bookmarkStart w:id="42" w:name="_Toc15396611"/>
      <w:bookmarkStart w:id="43" w:name="_Toc15377219"/>
      <w:r>
        <w:rPr>
          <w:rStyle w:val="30"/>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0.00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6"/>
        </w:numPr>
        <w:spacing w:line="600" w:lineRule="exact"/>
        <w:ind w:firstLine="640"/>
        <w:outlineLvl w:val="1"/>
        <w:rPr>
          <w:rStyle w:val="30"/>
          <w:rFonts w:ascii="黑体" w:hAnsi="黑体" w:eastAsia="黑体"/>
          <w:b w:val="0"/>
        </w:rPr>
      </w:pPr>
      <w:bookmarkStart w:id="44" w:name="_Toc15377221"/>
      <w:bookmarkStart w:id="45" w:name="_Toc15396612"/>
      <w:r>
        <w:rPr>
          <w:rStyle w:val="30"/>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剑阁县交通运输综合服务中心</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/减少</w:t>
      </w:r>
      <w:r>
        <w:rPr>
          <w:rFonts w:hint="eastAsia" w:ascii="仿宋_GB2312" w:eastAsia="仿宋_GB2312"/>
          <w:sz w:val="32"/>
          <w:szCs w:val="32"/>
        </w:rPr>
        <w:t>万元，增长</w:t>
      </w:r>
      <w:r>
        <w:rPr>
          <w:rFonts w:hint="eastAsia" w:ascii="仿宋_GB2312" w:eastAsia="仿宋_GB2312"/>
          <w:sz w:val="32"/>
          <w:szCs w:val="32"/>
          <w:lang w:val="en-US" w:eastAsia="zh-CN"/>
        </w:rPr>
        <w:t>/减少</w:t>
      </w:r>
      <w:r>
        <w:rPr>
          <w:rFonts w:ascii="仿宋_GB2312" w:eastAsia="仿宋_GB2312"/>
          <w:sz w:val="32"/>
          <w:szCs w:val="32"/>
        </w:rPr>
        <w:t>%</w:t>
      </w:r>
      <w:r>
        <w:rPr>
          <w:rFonts w:hint="eastAsia" w:ascii="仿宋_GB2312" w:eastAsia="仿宋_GB2312"/>
          <w:sz w:val="32"/>
          <w:szCs w:val="32"/>
        </w:rPr>
        <w:t>。主要原因是</w:t>
      </w:r>
      <w:r>
        <w:rPr>
          <w:rFonts w:hint="eastAsia" w:ascii="微软雅黑" w:hAnsi="微软雅黑" w:eastAsia="微软雅黑" w:cs="微软雅黑"/>
          <w:sz w:val="32"/>
          <w:szCs w:val="32"/>
          <w:lang w:eastAsia="zh-CN"/>
        </w:rPr>
        <w:t>……</w:t>
      </w:r>
      <w:r>
        <w:rPr>
          <w:rFonts w:hint="eastAsia" w:ascii="仿宋_GB2312" w:eastAsia="仿宋_GB2312"/>
          <w:sz w:val="32"/>
          <w:szCs w:val="32"/>
          <w:lang w:val="en-US" w:eastAsia="zh-CN"/>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剑阁县交通运输综合服务中心</w:t>
      </w:r>
      <w:r>
        <w:rPr>
          <w:rFonts w:hint="eastAsia" w:ascii="仿宋_GB2312" w:eastAsia="仿宋_GB2312"/>
          <w:sz w:val="32"/>
          <w:szCs w:val="32"/>
        </w:rPr>
        <w:t>采购支出总额</w:t>
      </w:r>
      <w:r>
        <w:rPr>
          <w:rFonts w:hint="eastAsia" w:ascii="仿宋_GB2312" w:eastAsia="仿宋_GB2312"/>
          <w:sz w:val="32"/>
          <w:szCs w:val="32"/>
          <w:lang w:val="en-US" w:eastAsia="zh-CN"/>
        </w:rPr>
        <w:t>272.50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272.50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hint="eastAsia" w:ascii="仿宋_GB2312" w:eastAsia="仿宋_GB2312"/>
          <w:sz w:val="32"/>
          <w:szCs w:val="32"/>
          <w:lang w:val="en-US" w:eastAsia="zh-CN"/>
        </w:rPr>
        <w:t>剑阁县2023年平安渡运建设项目</w:t>
      </w:r>
      <w:r>
        <w:rPr>
          <w:rFonts w:hint="eastAsia" w:ascii="仿宋_GB2312" w:eastAsia="仿宋_GB2312"/>
          <w:sz w:val="32"/>
          <w:szCs w:val="32"/>
        </w:rPr>
        <w:t>。授予中小企业合同金额</w:t>
      </w:r>
      <w:r>
        <w:rPr>
          <w:rFonts w:hint="eastAsia" w:ascii="仿宋_GB2312" w:eastAsia="仿宋_GB2312"/>
          <w:sz w:val="32"/>
          <w:szCs w:val="32"/>
          <w:lang w:val="en-US" w:eastAsia="zh-CN"/>
        </w:rPr>
        <w:t>272.50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272.50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宋体" w:hAnsi="宋体" w:eastAsia="宋体" w:cs="宋体"/>
          <w:b w:val="0"/>
          <w:bCs/>
          <w:i w:val="0"/>
          <w:iCs w:val="0"/>
          <w:caps w:val="0"/>
          <w:color w:val="000000"/>
          <w:spacing w:val="0"/>
          <w:sz w:val="30"/>
          <w:szCs w:val="30"/>
          <w:shd w:val="clear" w:fill="FFFFFF"/>
        </w:rPr>
        <w:t>剑阁县交通运输综合服务中心</w:t>
      </w:r>
      <w:r>
        <w:rPr>
          <w:rFonts w:hint="eastAsia" w:ascii="仿宋_GB2312" w:eastAsia="仿宋_GB2312"/>
          <w:sz w:val="32"/>
          <w:szCs w:val="32"/>
        </w:rPr>
        <w:t>共有车辆</w:t>
      </w:r>
      <w:r>
        <w:rPr>
          <w:rFonts w:hint="eastAsia" w:ascii="仿宋_GB2312" w:eastAsia="仿宋_GB2312"/>
          <w:sz w:val="32"/>
          <w:szCs w:val="32"/>
          <w:lang w:val="en-US" w:eastAsia="zh-CN"/>
        </w:rPr>
        <w:t>1</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1</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辆，其他用车主要是用于</w:t>
      </w:r>
      <w:r>
        <w:rPr>
          <w:rFonts w:hint="eastAsia" w:ascii="仿宋_GB2312" w:eastAsia="仿宋_GB2312"/>
          <w:sz w:val="32"/>
          <w:szCs w:val="32"/>
          <w:lang w:val="en-US" w:eastAsia="zh-CN"/>
        </w:rPr>
        <w:t>水路、道路检查使用</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2"/>
        <w:spacing w:before="93"/>
        <w:ind w:firstLine="640" w:firstLineChars="200"/>
        <w:rPr>
          <w:highlight w:val="yellow"/>
        </w:rPr>
      </w:pPr>
      <w:r>
        <w:rPr>
          <w:rFonts w:hint="eastAsia" w:hAnsi="仿宋_GB2312" w:cs="仿宋_GB2312"/>
          <w:sz w:val="32"/>
          <w:szCs w:val="32"/>
        </w:rPr>
        <w:t>根据预算绩效管理要求，本单位在2022年度预算编制阶段，组织对</w:t>
      </w:r>
      <w:r>
        <w:rPr>
          <w:rFonts w:ascii="宋体" w:hAnsi="宋体" w:eastAsia="宋体" w:cs="宋体"/>
          <w:i w:val="0"/>
          <w:iCs w:val="0"/>
          <w:color w:val="000000"/>
          <w:kern w:val="0"/>
          <w:sz w:val="30"/>
          <w:szCs w:val="30"/>
          <w:u w:val="none"/>
          <w:lang w:val="en-US" w:eastAsia="zh-CN" w:bidi="ar"/>
        </w:rPr>
        <w:t>公路安保维护维修费用</w:t>
      </w:r>
      <w:r>
        <w:rPr>
          <w:rFonts w:hint="eastAsia" w:ascii="宋体" w:hAnsi="宋体" w:eastAsia="宋体" w:cs="宋体"/>
          <w:i w:val="0"/>
          <w:iCs w:val="0"/>
          <w:color w:val="000000"/>
          <w:kern w:val="0"/>
          <w:sz w:val="30"/>
          <w:szCs w:val="30"/>
          <w:u w:val="none"/>
          <w:lang w:val="en-US" w:eastAsia="zh-CN" w:bidi="ar"/>
        </w:rPr>
        <w:t>、</w:t>
      </w:r>
      <w:r>
        <w:rPr>
          <w:rFonts w:ascii="宋体" w:hAnsi="宋体" w:eastAsia="宋体" w:cs="宋体"/>
          <w:i w:val="0"/>
          <w:iCs w:val="0"/>
          <w:color w:val="000000"/>
          <w:kern w:val="0"/>
          <w:sz w:val="30"/>
          <w:szCs w:val="30"/>
          <w:u w:val="none"/>
          <w:lang w:val="en-US" w:eastAsia="zh-CN" w:bidi="ar"/>
        </w:rPr>
        <w:t>农村客运出租车成品油价格补助资金</w:t>
      </w:r>
      <w:r>
        <w:rPr>
          <w:rFonts w:hint="eastAsia" w:ascii="宋体" w:hAnsi="宋体" w:eastAsia="宋体" w:cs="宋体"/>
          <w:i w:val="0"/>
          <w:iCs w:val="0"/>
          <w:color w:val="000000"/>
          <w:kern w:val="0"/>
          <w:sz w:val="30"/>
          <w:szCs w:val="30"/>
          <w:u w:val="none"/>
          <w:lang w:val="en-US" w:eastAsia="zh-CN" w:bidi="ar"/>
        </w:rPr>
        <w:t>、</w:t>
      </w:r>
      <w:r>
        <w:rPr>
          <w:rFonts w:ascii="宋体" w:hAnsi="宋体" w:eastAsia="宋体" w:cs="宋体"/>
          <w:i w:val="0"/>
          <w:iCs w:val="0"/>
          <w:color w:val="000000"/>
          <w:kern w:val="0"/>
          <w:sz w:val="30"/>
          <w:szCs w:val="30"/>
          <w:u w:val="none"/>
          <w:lang w:val="en-US" w:eastAsia="zh-CN" w:bidi="ar"/>
        </w:rPr>
        <w:t>剑阁县2022年平安渡运建设工程</w:t>
      </w:r>
      <w:r>
        <w:rPr>
          <w:rFonts w:hint="eastAsia" w:hAnsi="仿宋_GB2312" w:cs="仿宋_GB2312"/>
          <w:sz w:val="32"/>
          <w:szCs w:val="32"/>
        </w:rPr>
        <w:t>项目等</w:t>
      </w:r>
      <w:r>
        <w:rPr>
          <w:rFonts w:hint="eastAsia" w:hAnsi="仿宋_GB2312" w:cs="仿宋_GB2312"/>
          <w:sz w:val="32"/>
          <w:szCs w:val="32"/>
          <w:lang w:val="en-US" w:eastAsia="zh-CN"/>
        </w:rPr>
        <w:t>3</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3</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3</w:t>
      </w:r>
      <w:r>
        <w:rPr>
          <w:rFonts w:hint="eastAsia" w:hAnsi="仿宋_GB2312" w:cs="仿宋_GB2312"/>
          <w:sz w:val="32"/>
          <w:szCs w:val="32"/>
        </w:rPr>
        <w:t>个项目开展绩效监控，组织对</w:t>
      </w:r>
      <w:r>
        <w:rPr>
          <w:rFonts w:hint="eastAsia" w:hAnsi="仿宋_GB2312" w:cs="仿宋_GB2312"/>
          <w:sz w:val="32"/>
          <w:szCs w:val="32"/>
          <w:lang w:val="en-US" w:eastAsia="zh-CN"/>
        </w:rPr>
        <w:t>3</w:t>
      </w:r>
      <w:r>
        <w:rPr>
          <w:rFonts w:hint="eastAsia" w:hAnsi="仿宋_GB2312" w:cs="仿宋_GB2312"/>
          <w:sz w:val="32"/>
          <w:szCs w:val="32"/>
        </w:rPr>
        <w:t>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7"/>
        </w:numPr>
        <w:spacing w:line="600" w:lineRule="exact"/>
        <w:ind w:firstLine="660" w:firstLineChars="150"/>
        <w:jc w:val="center"/>
        <w:outlineLvl w:val="0"/>
        <w:rPr>
          <w:rStyle w:val="29"/>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9"/>
          <w:rFonts w:hint="eastAsia" w:ascii="黑体" w:hAnsi="黑体" w:eastAsia="黑体"/>
          <w:b w:val="0"/>
        </w:rPr>
        <w:t>词解释</w:t>
      </w:r>
      <w:bookmarkEnd w:id="49"/>
      <w:bookmarkEnd w:id="50"/>
    </w:p>
    <w:p>
      <w:pPr>
        <w:spacing w:line="600" w:lineRule="exact"/>
        <w:jc w:val="left"/>
        <w:rPr>
          <w:rFonts w:ascii="宋体"/>
          <w:b/>
          <w:sz w:val="44"/>
          <w:szCs w:val="44"/>
        </w:rPr>
      </w:pPr>
    </w:p>
    <w:p>
      <w:pPr>
        <w:pStyle w:val="27"/>
        <w:spacing w:line="560" w:lineRule="exact"/>
        <w:ind w:firstLine="640" w:firstLineChars="200"/>
        <w:rPr>
          <w:rFonts w:ascii="仿宋_GB2312" w:eastAsia="仿宋_GB2312"/>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r>
        <w:rPr>
          <w:rFonts w:ascii="仿宋_GB2312" w:eastAsia="仿宋_GB2312"/>
          <w:color w:val="auto"/>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ascii="仿宋" w:hAnsi="仿宋" w:eastAsia="仿宋" w:cs="仿宋_GB2312"/>
          <w:b w:val="0"/>
          <w:bCs/>
          <w:sz w:val="32"/>
          <w:szCs w:val="32"/>
        </w:rPr>
        <w:t>社会保障和就业（类）行政事业单位</w:t>
      </w:r>
      <w:r>
        <w:rPr>
          <w:rFonts w:hint="eastAsia" w:ascii="仿宋" w:hAnsi="仿宋" w:eastAsia="仿宋" w:cs="仿宋_GB2312"/>
          <w:b w:val="0"/>
          <w:bCs/>
          <w:sz w:val="32"/>
          <w:szCs w:val="32"/>
          <w:lang w:val="en-US" w:eastAsia="zh-CN"/>
        </w:rPr>
        <w:t>养老支出</w:t>
      </w:r>
      <w:r>
        <w:rPr>
          <w:rFonts w:ascii="仿宋" w:hAnsi="仿宋" w:eastAsia="仿宋" w:cs="仿宋_GB2312"/>
          <w:b w:val="0"/>
          <w:bCs/>
          <w:sz w:val="32"/>
          <w:szCs w:val="32"/>
        </w:rPr>
        <w:t>（款）机关事业单位基本养老保险缴费支出（项）</w:t>
      </w:r>
      <w:r>
        <w:rPr>
          <w:rFonts w:hint="eastAsia" w:ascii="仿宋_GB2312" w:eastAsia="仿宋_GB2312"/>
          <w:sz w:val="32"/>
          <w:szCs w:val="32"/>
        </w:rPr>
        <w:t>：</w:t>
      </w:r>
      <w:r>
        <w:rPr>
          <w:rFonts w:ascii="仿宋" w:hAnsi="仿宋" w:eastAsia="仿宋" w:cs="仿宋_GB2312"/>
          <w:b w:val="0"/>
          <w:bCs/>
          <w:sz w:val="32"/>
          <w:szCs w:val="32"/>
        </w:rPr>
        <w:t>指</w:t>
      </w:r>
      <w:r>
        <w:rPr>
          <w:rFonts w:hint="eastAsia" w:ascii="仿宋" w:hAnsi="仿宋" w:eastAsia="仿宋" w:cs="仿宋_GB2312"/>
          <w:b w:val="0"/>
          <w:bCs/>
          <w:sz w:val="32"/>
          <w:szCs w:val="32"/>
        </w:rPr>
        <w:t>机关事业单位</w:t>
      </w:r>
      <w:r>
        <w:rPr>
          <w:rFonts w:ascii="仿宋" w:hAnsi="仿宋" w:eastAsia="仿宋" w:cs="仿宋_GB2312"/>
          <w:b w:val="0"/>
          <w:bCs/>
          <w:sz w:val="32"/>
          <w:szCs w:val="32"/>
        </w:rPr>
        <w:t>实施养老保险制度由单位缴纳的</w:t>
      </w:r>
      <w:r>
        <w:rPr>
          <w:rFonts w:hint="eastAsia" w:ascii="仿宋" w:hAnsi="仿宋" w:eastAsia="仿宋" w:cs="仿宋_GB2312"/>
          <w:b w:val="0"/>
          <w:bCs/>
          <w:sz w:val="32"/>
          <w:szCs w:val="32"/>
        </w:rPr>
        <w:t>基本</w:t>
      </w:r>
      <w:r>
        <w:rPr>
          <w:rFonts w:ascii="仿宋" w:hAnsi="仿宋" w:eastAsia="仿宋" w:cs="仿宋_GB2312"/>
          <w:b w:val="0"/>
          <w:bCs/>
          <w:sz w:val="32"/>
          <w:szCs w:val="32"/>
        </w:rPr>
        <w:t>养老保险费的支出。</w:t>
      </w:r>
    </w:p>
    <w:p>
      <w:pPr>
        <w:pStyle w:val="8"/>
        <w:ind w:firstLine="643" w:firstLineChars="200"/>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ascii="仿宋" w:hAnsi="仿宋" w:eastAsia="仿宋" w:cs="仿宋_GB2312"/>
          <w:b w:val="0"/>
          <w:bCs/>
          <w:szCs w:val="32"/>
        </w:rPr>
        <w:t>卫生健康（类）行政事业单位医疗（款）事业单位医疗（项）</w:t>
      </w:r>
      <w:r>
        <w:rPr>
          <w:rFonts w:hint="eastAsia" w:ascii="仿宋_GB2312" w:eastAsia="仿宋_GB2312"/>
          <w:sz w:val="32"/>
          <w:szCs w:val="32"/>
        </w:rPr>
        <w:t>：</w:t>
      </w:r>
      <w:r>
        <w:rPr>
          <w:rFonts w:ascii="仿宋" w:hAnsi="仿宋" w:eastAsia="仿宋" w:cs="仿宋_GB2312"/>
          <w:b w:val="0"/>
          <w:bCs/>
          <w:szCs w:val="32"/>
        </w:rPr>
        <w:t>指事业单位用于缴纳单位基本医疗保险</w:t>
      </w:r>
      <w:r>
        <w:rPr>
          <w:rFonts w:hint="eastAsia" w:ascii="仿宋" w:hAnsi="仿宋" w:eastAsia="仿宋" w:cs="仿宋_GB2312"/>
          <w:b w:val="0"/>
          <w:bCs/>
          <w:szCs w:val="32"/>
        </w:rPr>
        <w:t>费的</w:t>
      </w:r>
      <w:r>
        <w:rPr>
          <w:rFonts w:ascii="仿宋" w:hAnsi="仿宋" w:eastAsia="仿宋" w:cs="仿宋_GB2312"/>
          <w:b w:val="0"/>
          <w:bCs/>
          <w:szCs w:val="32"/>
        </w:rPr>
        <w:t>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交通运输</w:t>
      </w:r>
      <w:r>
        <w:rPr>
          <w:rFonts w:hint="eastAsia" w:ascii="宋体" w:hAnsi="宋体" w:eastAsia="宋体" w:cs="宋体"/>
          <w:b w:val="0"/>
          <w:bCs/>
          <w:i w:val="0"/>
          <w:iCs w:val="0"/>
          <w:caps w:val="0"/>
          <w:color w:val="000000"/>
          <w:spacing w:val="0"/>
          <w:sz w:val="32"/>
          <w:szCs w:val="32"/>
          <w:shd w:val="clear" w:fill="FFFFFF"/>
        </w:rPr>
        <w:t>（类）公路水路运输（款）公路运输管理（项）</w:t>
      </w:r>
      <w:r>
        <w:rPr>
          <w:rFonts w:hint="eastAsia" w:ascii="仿宋_GB2312" w:eastAsia="仿宋_GB2312"/>
          <w:sz w:val="32"/>
          <w:szCs w:val="32"/>
        </w:rPr>
        <w:t>：</w:t>
      </w:r>
      <w:r>
        <w:rPr>
          <w:rFonts w:hint="eastAsia" w:ascii="宋体" w:hAnsi="宋体" w:eastAsia="宋体" w:cs="宋体"/>
          <w:b w:val="0"/>
          <w:bCs/>
          <w:i w:val="0"/>
          <w:iCs w:val="0"/>
          <w:caps w:val="0"/>
          <w:color w:val="000000"/>
          <w:spacing w:val="0"/>
          <w:sz w:val="32"/>
          <w:szCs w:val="32"/>
          <w:shd w:val="clear" w:fill="FFFFFF"/>
        </w:rPr>
        <w:t>指交通运输</w:t>
      </w:r>
      <w:r>
        <w:rPr>
          <w:rFonts w:hint="eastAsia" w:eastAsia="宋体" w:cs="宋体"/>
          <w:b w:val="0"/>
          <w:bCs/>
          <w:i w:val="0"/>
          <w:iCs w:val="0"/>
          <w:caps w:val="0"/>
          <w:color w:val="000000"/>
          <w:spacing w:val="0"/>
          <w:sz w:val="32"/>
          <w:szCs w:val="32"/>
          <w:shd w:val="clear" w:fill="FFFFFF"/>
          <w:lang w:eastAsia="zh-CN"/>
        </w:rPr>
        <w:t>管理支出</w:t>
      </w:r>
      <w:r>
        <w:rPr>
          <w:rFonts w:hint="eastAsia" w:ascii="仿宋_GB2312" w:eastAsia="仿宋_GB2312"/>
          <w:sz w:val="32"/>
          <w:szCs w:val="32"/>
        </w:rPr>
        <w:t>。</w:t>
      </w:r>
    </w:p>
    <w:p>
      <w:pPr>
        <w:pStyle w:val="8"/>
        <w:ind w:firstLine="643" w:firstLineChars="200"/>
        <w:rPr>
          <w:rFonts w:ascii="仿宋" w:hAnsi="仿宋" w:eastAsia="仿宋"/>
          <w:b/>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ascii="仿宋" w:hAnsi="仿宋" w:eastAsia="仿宋" w:cs="仿宋_GB2312"/>
          <w:b w:val="0"/>
          <w:bCs/>
          <w:szCs w:val="32"/>
        </w:rPr>
        <w:t>住房保障（类）住房改革支出（款）住房公积金（项）</w:t>
      </w:r>
      <w:r>
        <w:rPr>
          <w:rFonts w:hint="eastAsia" w:ascii="仿宋_GB2312" w:eastAsia="仿宋_GB2312"/>
          <w:sz w:val="32"/>
          <w:szCs w:val="32"/>
        </w:rPr>
        <w:t>：</w:t>
      </w:r>
      <w:r>
        <w:rPr>
          <w:rFonts w:ascii="仿宋" w:hAnsi="仿宋" w:eastAsia="仿宋" w:cs="仿宋_GB2312"/>
          <w:b w:val="0"/>
          <w:bCs/>
          <w:szCs w:val="32"/>
        </w:rPr>
        <w:t>指按照《住房公积金管理条例》的规定，由单位</w:t>
      </w:r>
      <w:r>
        <w:rPr>
          <w:rFonts w:hint="eastAsia" w:ascii="仿宋" w:hAnsi="仿宋" w:eastAsia="仿宋" w:cs="仿宋_GB2312"/>
          <w:b w:val="0"/>
          <w:bCs/>
          <w:szCs w:val="32"/>
        </w:rPr>
        <w:t>按规定比例为职工缴纳的住房公积金</w:t>
      </w:r>
      <w:r>
        <w:rPr>
          <w:rFonts w:ascii="仿宋" w:hAnsi="仿宋" w:eastAsia="仿宋" w:cs="仿宋_GB2312"/>
          <w:b w:val="0"/>
          <w:bCs/>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7</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8</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rFonts w:ascii="仿宋" w:hAnsi="仿宋" w:eastAsia="仿宋"/>
          <w:b/>
          <w:sz w:val="32"/>
          <w:szCs w:val="32"/>
        </w:rPr>
      </w:pPr>
    </w:p>
    <w:p>
      <w:pPr>
        <w:spacing w:line="600" w:lineRule="exact"/>
        <w:jc w:val="center"/>
        <w:outlineLvl w:val="0"/>
        <w:rPr>
          <w:rStyle w:val="29"/>
          <w:rFonts w:ascii="黑体" w:hAnsi="黑体" w:eastAsia="黑体"/>
          <w:b w:val="0"/>
        </w:rPr>
      </w:pPr>
      <w:bookmarkStart w:id="51" w:name="_Toc15377226"/>
      <w:r>
        <w:rPr>
          <w:rFonts w:ascii="宋体"/>
          <w:b/>
          <w:sz w:val="44"/>
          <w:szCs w:val="44"/>
        </w:rPr>
        <w:br w:type="page"/>
      </w:r>
      <w:bookmarkStart w:id="52" w:name="_Toc15396614"/>
      <w:r>
        <w:rPr>
          <w:rFonts w:hint="eastAsia" w:ascii="黑体" w:hAnsi="黑体" w:eastAsia="黑体"/>
          <w:sz w:val="44"/>
          <w:szCs w:val="44"/>
        </w:rPr>
        <w:t>第</w:t>
      </w:r>
      <w:r>
        <w:rPr>
          <w:rStyle w:val="29"/>
          <w:rFonts w:hint="eastAsia" w:ascii="黑体" w:hAnsi="黑体" w:eastAsia="黑体"/>
          <w:b w:val="0"/>
        </w:rPr>
        <w:t>四部分 附件</w:t>
      </w:r>
      <w:bookmarkEnd w:id="52"/>
    </w:p>
    <w:p>
      <w:pPr>
        <w:spacing w:line="600" w:lineRule="exact"/>
        <w:jc w:val="both"/>
        <w:outlineLvl w:val="0"/>
        <w:rPr>
          <w:rFonts w:ascii="仿宋_GB2312" w:hAnsi="Calibri" w:eastAsia="仿宋_GB2312" w:cs="仿宋"/>
          <w:kern w:val="0"/>
          <w:sz w:val="32"/>
          <w:szCs w:val="32"/>
        </w:rPr>
      </w:pPr>
      <w:bookmarkStart w:id="53" w:name="_Toc15396618"/>
    </w:p>
    <w:tbl>
      <w:tblPr>
        <w:tblStyle w:val="17"/>
        <w:tblW w:w="8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4"/>
        <w:gridCol w:w="485"/>
        <w:gridCol w:w="703"/>
        <w:gridCol w:w="1096"/>
        <w:gridCol w:w="751"/>
        <w:gridCol w:w="702"/>
        <w:gridCol w:w="534"/>
        <w:gridCol w:w="776"/>
        <w:gridCol w:w="664"/>
        <w:gridCol w:w="603"/>
        <w:gridCol w:w="1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6"/>
                <w:szCs w:val="16"/>
                <w:u w:val="none"/>
              </w:rPr>
            </w:pPr>
            <w:r>
              <w:rPr>
                <w:rFonts w:hint="eastAsia" w:ascii="黑体" w:hAnsi="宋体" w:eastAsia="黑体" w:cs="黑体"/>
                <w:b/>
                <w:bCs/>
                <w:i w:val="0"/>
                <w:iCs w:val="0"/>
                <w:color w:val="000000"/>
                <w:kern w:val="0"/>
                <w:sz w:val="32"/>
                <w:szCs w:val="32"/>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68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51082322T000000405915</w:t>
            </w:r>
            <w:r>
              <w:rPr>
                <w:rFonts w:hint="eastAsia" w:ascii="宋体" w:hAnsi="宋体" w:cs="宋体"/>
                <w:i w:val="0"/>
                <w:iCs w:val="0"/>
                <w:color w:val="000000"/>
                <w:kern w:val="0"/>
                <w:sz w:val="16"/>
                <w:szCs w:val="16"/>
                <w:u w:val="none"/>
                <w:lang w:val="en-US" w:eastAsia="zh-CN" w:bidi="ar"/>
              </w:rPr>
              <w:t>－</w:t>
            </w:r>
            <w:r>
              <w:rPr>
                <w:rFonts w:ascii="宋体" w:hAnsi="宋体" w:eastAsia="宋体" w:cs="宋体"/>
                <w:i w:val="0"/>
                <w:iCs w:val="0"/>
                <w:color w:val="000000"/>
                <w:kern w:val="0"/>
                <w:sz w:val="16"/>
                <w:szCs w:val="16"/>
                <w:u w:val="none"/>
                <w:lang w:val="en-US" w:eastAsia="zh-CN" w:bidi="ar"/>
              </w:rPr>
              <w:t>公路安保维护维修费用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3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剑阁县交通运输局部门</w:t>
            </w:r>
          </w:p>
        </w:tc>
        <w:tc>
          <w:tcPr>
            <w:tcW w:w="77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2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剑阁县交通运输综合服务中心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3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30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3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及时对全县损坏的公路附属设施进行修复。 同时，确保汛期、冰雪雨雾等恶劣天气路产</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的完整 。</w:t>
            </w:r>
          </w:p>
        </w:tc>
        <w:tc>
          <w:tcPr>
            <w:tcW w:w="30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及时对全县损坏的公路附属设施进行修复。 同时，确保汛期、冰雪雨雾等恶劣天气路产</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的完整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68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按时</w:t>
            </w:r>
            <w:r>
              <w:rPr>
                <w:rFonts w:ascii="宋体" w:hAnsi="宋体" w:eastAsia="宋体" w:cs="宋体"/>
                <w:i w:val="0"/>
                <w:iCs w:val="0"/>
                <w:color w:val="000000"/>
                <w:kern w:val="0"/>
                <w:sz w:val="16"/>
                <w:szCs w:val="16"/>
                <w:u w:val="none"/>
                <w:lang w:val="en-US" w:eastAsia="zh-CN" w:bidi="ar"/>
              </w:rPr>
              <w:t>及时对全县损坏的公路附属设施进行修复。 同时，确保汛期、冰雪雨雾等恶劣天气路产</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的完整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1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1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10</w:t>
            </w:r>
          </w:p>
        </w:tc>
        <w:tc>
          <w:tcPr>
            <w:tcW w:w="10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2"/>
                <w:szCs w:val="12"/>
                <w:u w:val="none"/>
              </w:rPr>
            </w:pPr>
            <w:r>
              <w:rPr>
                <w:rFonts w:hint="eastAsia" w:ascii="黑体" w:hAnsi="黑体" w:eastAsia="黑体" w:cs="黑体"/>
                <w:i/>
                <w:iCs/>
                <w:color w:val="000000"/>
                <w:kern w:val="0"/>
                <w:sz w:val="12"/>
                <w:szCs w:val="12"/>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1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公路建设工程量完成率</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95</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20</w:t>
            </w:r>
          </w:p>
          <w:p>
            <w:pPr>
              <w:pStyle w:val="16"/>
              <w:rPr>
                <w:rFonts w:hint="default"/>
                <w:lang w:val="en-US" w:eastAsia="zh-CN"/>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经济效益指标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营业性货运周转量增长率</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95</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20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营业性公路货物量增长率</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96</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20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降低危险系数</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95</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20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服务对象满意度指标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人民群众满意度</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95</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10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84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73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按时完成</w:t>
            </w:r>
            <w:r>
              <w:rPr>
                <w:rFonts w:ascii="宋体" w:hAnsi="宋体" w:eastAsia="宋体" w:cs="宋体"/>
                <w:i w:val="0"/>
                <w:iCs w:val="0"/>
                <w:color w:val="000000"/>
                <w:kern w:val="0"/>
                <w:sz w:val="16"/>
                <w:szCs w:val="16"/>
                <w:u w:val="none"/>
                <w:lang w:val="en-US" w:eastAsia="zh-CN" w:bidi="ar"/>
              </w:rPr>
              <w:t>公路附属设施修复</w:t>
            </w:r>
            <w:r>
              <w:rPr>
                <w:rFonts w:hint="eastAsia" w:ascii="宋体" w:hAnsi="宋体" w:cs="宋体"/>
                <w:i w:val="0"/>
                <w:iCs w:val="0"/>
                <w:color w:val="000000"/>
                <w:kern w:val="0"/>
                <w:sz w:val="16"/>
                <w:szCs w:val="16"/>
                <w:u w:val="none"/>
                <w:lang w:val="en-US" w:eastAsia="zh-CN" w:bidi="ar"/>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73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73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8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42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48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7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0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7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7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7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6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6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00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48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7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0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7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7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7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6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6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00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6"/>
                <w:szCs w:val="16"/>
                <w:u w:val="none"/>
              </w:rPr>
            </w:pPr>
            <w:r>
              <w:rPr>
                <w:rFonts w:hint="eastAsia" w:ascii="黑体" w:hAnsi="宋体" w:eastAsia="黑体" w:cs="黑体"/>
                <w:b/>
                <w:bCs/>
                <w:i w:val="0"/>
                <w:iCs w:val="0"/>
                <w:color w:val="000000"/>
                <w:kern w:val="0"/>
                <w:sz w:val="32"/>
                <w:szCs w:val="32"/>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68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51082322T000006999197</w:t>
            </w:r>
            <w:r>
              <w:rPr>
                <w:rFonts w:hint="eastAsia" w:ascii="宋体" w:hAnsi="宋体" w:cs="宋体"/>
                <w:i w:val="0"/>
                <w:iCs w:val="0"/>
                <w:color w:val="000000"/>
                <w:kern w:val="0"/>
                <w:sz w:val="16"/>
                <w:szCs w:val="16"/>
                <w:u w:val="none"/>
                <w:lang w:val="en-US" w:eastAsia="zh-CN" w:bidi="ar"/>
              </w:rPr>
              <w:t>－</w:t>
            </w:r>
            <w:r>
              <w:rPr>
                <w:rFonts w:ascii="宋体" w:hAnsi="宋体" w:eastAsia="宋体" w:cs="宋体"/>
                <w:i w:val="0"/>
                <w:iCs w:val="0"/>
                <w:color w:val="000000"/>
                <w:kern w:val="0"/>
                <w:sz w:val="16"/>
                <w:szCs w:val="16"/>
                <w:u w:val="none"/>
                <w:lang w:val="en-US" w:eastAsia="zh-CN" w:bidi="ar"/>
              </w:rPr>
              <w:t>农村客运出租车成品油价格补助资金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3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剑阁县交通运输局部门</w:t>
            </w:r>
          </w:p>
        </w:tc>
        <w:tc>
          <w:tcPr>
            <w:tcW w:w="77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2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剑阁县交通运输综合服务中心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3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30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3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r>
              <w:drawing>
                <wp:inline distT="0" distB="0" distL="114300" distR="114300">
                  <wp:extent cx="57150" cy="1809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7150" cy="180975"/>
                          </a:xfrm>
                          <a:prstGeom prst="rect">
                            <a:avLst/>
                          </a:prstGeom>
                          <a:noFill/>
                          <a:ln>
                            <a:noFill/>
                          </a:ln>
                        </pic:spPr>
                      </pic:pic>
                    </a:graphicData>
                  </a:graphic>
                </wp:inline>
              </w:drawing>
            </w:r>
            <w:r>
              <w:drawing>
                <wp:inline distT="0" distB="0" distL="114300" distR="114300">
                  <wp:extent cx="57150" cy="1809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7150" cy="180975"/>
                          </a:xfrm>
                          <a:prstGeom prst="rect">
                            <a:avLst/>
                          </a:prstGeom>
                          <a:noFill/>
                          <a:ln>
                            <a:noFill/>
                          </a:ln>
                        </pic:spPr>
                      </pic:pic>
                    </a:graphicData>
                  </a:graphic>
                </wp:inline>
              </w:drawing>
            </w:r>
            <w:r>
              <w:rPr>
                <w:rFonts w:hint="eastAsia" w:ascii="黑体" w:hAnsi="黑体" w:eastAsia="黑体" w:cs="黑体"/>
                <w:i w:val="0"/>
                <w:iCs w:val="0"/>
                <w:color w:val="000000"/>
                <w:sz w:val="16"/>
                <w:szCs w:val="16"/>
                <w:u w:val="none"/>
                <w:lang w:val="en-US" w:eastAsia="zh-CN"/>
              </w:rPr>
              <w:t>完成农村客运车辆燃油补助255辆、出租车客运燃油补助100辆，农村水路客运燃油补助19艘。</w:t>
            </w:r>
          </w:p>
        </w:tc>
        <w:tc>
          <w:tcPr>
            <w:tcW w:w="30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6"/>
                <w:szCs w:val="16"/>
                <w:u w:val="none"/>
                <w:lang w:val="en-US" w:eastAsia="zh-CN"/>
              </w:rPr>
            </w:pPr>
            <w:r>
              <w:rPr>
                <w:rFonts w:hint="eastAsia" w:ascii="黑体" w:hAnsi="黑体" w:eastAsia="黑体" w:cs="黑体"/>
                <w:i w:val="0"/>
                <w:iCs w:val="0"/>
                <w:color w:val="000000"/>
                <w:sz w:val="16"/>
                <w:szCs w:val="16"/>
                <w:u w:val="none"/>
                <w:lang w:val="en-US" w:eastAsia="zh-CN"/>
              </w:rPr>
              <w:t>完成农村客运车辆燃油补助255辆、出租车客运燃油补助100辆，农村水路客运燃油补助19艘。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68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r>
              <w:rPr>
                <w:rFonts w:hint="eastAsia" w:ascii="黑体" w:hAnsi="黑体" w:eastAsia="黑体" w:cs="黑体"/>
                <w:i w:val="0"/>
                <w:iCs w:val="0"/>
                <w:color w:val="000000"/>
                <w:sz w:val="16"/>
                <w:szCs w:val="16"/>
                <w:u w:val="none"/>
                <w:lang w:val="en-US" w:eastAsia="zh-CN"/>
              </w:rPr>
              <w:t>按时完成农村客运车辆燃油补助255辆、出租车客运燃油补助100辆，农村水路客运燃油补助19艘。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1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820.94</w:t>
            </w:r>
          </w:p>
        </w:tc>
        <w:tc>
          <w:tcPr>
            <w:tcW w:w="1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820.69</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99.97%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10</w:t>
            </w:r>
          </w:p>
        </w:tc>
        <w:tc>
          <w:tcPr>
            <w:tcW w:w="10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2"/>
                <w:szCs w:val="12"/>
                <w:u w:val="none"/>
              </w:rPr>
            </w:pPr>
            <w:r>
              <w:rPr>
                <w:rFonts w:hint="eastAsia" w:ascii="黑体" w:hAnsi="黑体" w:eastAsia="黑体" w:cs="黑体"/>
                <w:i/>
                <w:iCs/>
                <w:color w:val="000000"/>
                <w:kern w:val="0"/>
                <w:sz w:val="12"/>
                <w:szCs w:val="12"/>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820.94</w:t>
            </w:r>
          </w:p>
        </w:tc>
        <w:tc>
          <w:tcPr>
            <w:tcW w:w="1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820.69</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99.97%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产出指标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数量指标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r>
              <w:rPr>
                <w:rFonts w:hint="eastAsia" w:ascii="黑体" w:hAnsi="黑体" w:eastAsia="黑体" w:cs="黑体"/>
                <w:i w:val="0"/>
                <w:iCs w:val="0"/>
                <w:color w:val="000000"/>
                <w:sz w:val="16"/>
                <w:szCs w:val="16"/>
                <w:u w:val="none"/>
                <w:lang w:val="en-US" w:eastAsia="zh-CN"/>
              </w:rPr>
              <w:t>农村客运车辆燃油补助255辆、出租车客运燃油补助100辆，农村水路客运燃油补助19艘。</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定性</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lang w:eastAsia="zh-CN"/>
              </w:rPr>
            </w:pPr>
            <w:r>
              <w:rPr>
                <w:rFonts w:hint="eastAsia" w:ascii="宋体" w:hAnsi="宋体" w:cs="宋体"/>
                <w:i w:val="0"/>
                <w:iCs w:val="0"/>
                <w:color w:val="000000"/>
                <w:sz w:val="16"/>
                <w:szCs w:val="16"/>
                <w:u w:val="none"/>
                <w:lang w:eastAsia="zh-CN"/>
              </w:rPr>
              <w:t>辆</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90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84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73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sz w:val="16"/>
                <w:szCs w:val="16"/>
                <w:u w:val="none"/>
                <w:lang w:val="en-US" w:eastAsia="zh-CN"/>
              </w:rPr>
              <w:t>按时完成农村客运车辆燃油补助255辆、出租车客运燃油补助100辆，农村水路客运燃油补助19艘。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73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73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8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42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48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7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0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7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7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7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6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6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00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6"/>
                <w:szCs w:val="16"/>
                <w:u w:val="none"/>
              </w:rPr>
            </w:pPr>
            <w:r>
              <w:rPr>
                <w:rFonts w:hint="eastAsia" w:ascii="黑体" w:hAnsi="宋体" w:eastAsia="黑体" w:cs="黑体"/>
                <w:b/>
                <w:bCs/>
                <w:i w:val="0"/>
                <w:iCs w:val="0"/>
                <w:color w:val="000000"/>
                <w:kern w:val="0"/>
                <w:sz w:val="32"/>
                <w:szCs w:val="32"/>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68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51082322T000007196603</w:t>
            </w:r>
            <w:r>
              <w:rPr>
                <w:rFonts w:hint="eastAsia" w:ascii="宋体" w:hAnsi="宋体" w:cs="宋体"/>
                <w:i w:val="0"/>
                <w:iCs w:val="0"/>
                <w:color w:val="000000"/>
                <w:kern w:val="0"/>
                <w:sz w:val="16"/>
                <w:szCs w:val="16"/>
                <w:u w:val="none"/>
                <w:lang w:val="en-US" w:eastAsia="zh-CN" w:bidi="ar"/>
              </w:rPr>
              <w:t>－</w:t>
            </w:r>
            <w:r>
              <w:rPr>
                <w:rFonts w:ascii="宋体" w:hAnsi="宋体" w:eastAsia="宋体" w:cs="宋体"/>
                <w:i w:val="0"/>
                <w:iCs w:val="0"/>
                <w:color w:val="000000"/>
                <w:kern w:val="0"/>
                <w:sz w:val="16"/>
                <w:szCs w:val="16"/>
                <w:u w:val="none"/>
                <w:lang w:val="en-US" w:eastAsia="zh-CN" w:bidi="ar"/>
              </w:rPr>
              <w:t>剑阁县2022年平安渡运建设工程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3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剑阁县交通运输局部门</w:t>
            </w:r>
          </w:p>
        </w:tc>
        <w:tc>
          <w:tcPr>
            <w:tcW w:w="77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2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剑阁县交通运输综合服务中心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3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30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5"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3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升级改造张王镇陵江渡、店子镇陈家堰、金仙镇鹅项颈和小垭子4处渡口的候船厅、码头道路，购置码头CCTV视频监控系统等设施设备、增设标志牌和警戒水位线和停航封渡线、防护栏、救生、消防等应急设施；更新20客位传统能源渡船4艘（退出川剑阁渡0001、川剑阁渡0002、川剑阁渡0005、川剑阁渡0056船舶）。</w:t>
            </w:r>
          </w:p>
        </w:tc>
        <w:tc>
          <w:tcPr>
            <w:tcW w:w="30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宋体" w:hAnsi="宋体" w:eastAsia="宋体" w:cs="宋体"/>
                <w:i w:val="0"/>
                <w:iCs w:val="0"/>
                <w:color w:val="000000"/>
                <w:sz w:val="16"/>
                <w:szCs w:val="16"/>
                <w:u w:val="none"/>
              </w:rPr>
              <w:t>升级改造张王镇陵江渡、店子镇陈家堰、金仙镇鹅项颈和小垭子4处渡口的候船厅、码头道路，购置码头CCTV视频监控系统等设施设备、增设标志牌和警戒水位线和停航封渡线、防护栏、救生、消防等应急设施；更新20客位传统能源渡船4艘（退出川剑阁渡0001、川剑阁渡0002、川剑阁渡0005、川剑阁渡0056船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683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升级改造张王镇陵江渡、店子镇陈家堰、金仙镇鹅项颈和小垭子4处渡口的候船厅、码头道路，购置码头CCTV视频监控系统等设施设备、增设标志牌和警戒水位线和停航封渡线、防护栏、救生、消防等应急设施；更新20客位传统能源渡船4艘（退出川剑阁渡0001、川剑阁渡0002、川剑阁渡0005、川剑阁渡0056船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1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318.00</w:t>
            </w:r>
          </w:p>
        </w:tc>
        <w:tc>
          <w:tcPr>
            <w:tcW w:w="1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300.68</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94.55%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10</w:t>
            </w:r>
          </w:p>
        </w:tc>
        <w:tc>
          <w:tcPr>
            <w:tcW w:w="10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2"/>
                <w:szCs w:val="12"/>
                <w:u w:val="none"/>
              </w:rPr>
            </w:pPr>
            <w:r>
              <w:rPr>
                <w:rFonts w:hint="eastAsia" w:ascii="黑体" w:hAnsi="黑体" w:eastAsia="黑体" w:cs="黑体"/>
                <w:i/>
                <w:iCs/>
                <w:color w:val="000000"/>
                <w:kern w:val="0"/>
                <w:sz w:val="12"/>
                <w:szCs w:val="12"/>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318.00</w:t>
            </w:r>
          </w:p>
        </w:tc>
        <w:tc>
          <w:tcPr>
            <w:tcW w:w="1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300.68</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94.55%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产出指标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数量指标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项目计划完成时间</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定性</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100%</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90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90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84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73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按时按量完成平安渡运输工程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73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732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42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48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7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0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7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70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5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7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6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6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c>
          <w:tcPr>
            <w:tcW w:w="100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6"/>
                <w:szCs w:val="16"/>
                <w:u w:val="none"/>
              </w:rPr>
            </w:pPr>
          </w:p>
        </w:tc>
      </w:tr>
    </w:tbl>
    <w:p>
      <w:pPr>
        <w:pStyle w:val="2"/>
        <w:spacing w:before="93"/>
        <w:rPr>
          <w:rFonts w:hAnsi="Calibri" w:cs="仿宋"/>
          <w:sz w:val="32"/>
          <w:szCs w:val="32"/>
        </w:rPr>
      </w:pPr>
    </w:p>
    <w:p>
      <w:pPr>
        <w:pStyle w:val="2"/>
        <w:spacing w:before="93"/>
        <w:rPr>
          <w:rFonts w:hAnsi="Calibri" w:cs="仿宋"/>
          <w:sz w:val="32"/>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9"/>
          <w:rFonts w:hint="eastAsia" w:ascii="黑体" w:hAnsi="黑体" w:eastAsia="黑体"/>
          <w:b w:val="0"/>
        </w:rPr>
        <w:t>五部分 附表</w:t>
      </w:r>
      <w:bookmarkEnd w:id="51"/>
      <w:bookmarkEnd w:id="53"/>
      <w:bookmarkStart w:id="54" w:name="_Toc15396619"/>
    </w:p>
    <w:p>
      <w:pPr>
        <w:pStyle w:val="4"/>
        <w:rPr>
          <w:rFonts w:ascii="仿宋" w:hAnsi="仿宋" w:eastAsia="仿宋"/>
        </w:rPr>
      </w:pPr>
      <w:r>
        <w:rPr>
          <w:rFonts w:hint="eastAsia" w:ascii="仿宋" w:hAnsi="仿宋" w:eastAsia="仿宋"/>
          <w:b w:val="0"/>
        </w:rPr>
        <w:t>一、收</w:t>
      </w:r>
      <w:r>
        <w:rPr>
          <w:rStyle w:val="30"/>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30"/>
          <w:rFonts w:hint="eastAsia" w:ascii="仿宋" w:hAnsi="仿宋" w:eastAsia="仿宋"/>
          <w:b w:val="0"/>
          <w:bCs w:val="0"/>
        </w:rPr>
        <w:t>入决算表</w:t>
      </w:r>
      <w:bookmarkEnd w:id="55"/>
    </w:p>
    <w:p>
      <w:pPr>
        <w:pStyle w:val="4"/>
        <w:rPr>
          <w:rFonts w:ascii="仿宋" w:hAnsi="仿宋" w:eastAsia="仿宋"/>
        </w:rPr>
      </w:pPr>
      <w:bookmarkStart w:id="56" w:name="_Toc15396621"/>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57"/>
    </w:p>
    <w:p>
      <w:pPr>
        <w:pStyle w:val="4"/>
        <w:rPr>
          <w:rStyle w:val="30"/>
          <w:rFonts w:ascii="仿宋" w:hAnsi="仿宋" w:eastAsia="仿宋"/>
          <w:b w:val="0"/>
          <w:bCs w:val="0"/>
        </w:rPr>
      </w:pPr>
      <w:bookmarkStart w:id="58" w:name="_Toc15396623"/>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30"/>
          <w:rFonts w:hint="eastAsia" w:ascii="仿宋" w:hAnsi="仿宋" w:eastAsia="仿宋"/>
          <w:b w:val="0"/>
          <w:bCs w:val="0"/>
        </w:rPr>
        <w:t>十、</w:t>
      </w:r>
      <w:bookmarkEnd w:id="63"/>
      <w:r>
        <w:rPr>
          <w:rFonts w:hint="eastAsia" w:ascii="仿宋" w:hAnsi="仿宋" w:eastAsia="仿宋"/>
          <w:b w:val="0"/>
        </w:rPr>
        <w:t>政</w:t>
      </w:r>
      <w:r>
        <w:rPr>
          <w:rStyle w:val="30"/>
          <w:rFonts w:hint="eastAsia" w:ascii="仿宋" w:hAnsi="仿宋" w:eastAsia="仿宋"/>
          <w:b w:val="0"/>
          <w:bCs w:val="0"/>
        </w:rPr>
        <w:t>府性基金预算财政拨款收入支出决算表</w:t>
      </w:r>
    </w:p>
    <w:p>
      <w:pPr>
        <w:pStyle w:val="4"/>
        <w:rPr>
          <w:rFonts w:ascii="仿宋" w:hAnsi="仿宋" w:eastAsia="仿宋"/>
        </w:rPr>
      </w:pPr>
      <w:bookmarkStart w:id="64" w:name="_Toc15396629"/>
      <w:r>
        <w:rPr>
          <w:rStyle w:val="30"/>
          <w:rFonts w:hint="eastAsia" w:ascii="仿宋" w:hAnsi="仿宋" w:eastAsia="仿宋"/>
          <w:b w:val="0"/>
          <w:bCs w:val="0"/>
        </w:rPr>
        <w:t>十一、</w:t>
      </w:r>
      <w:bookmarkEnd w:id="64"/>
      <w:r>
        <w:rPr>
          <w:rFonts w:hint="eastAsia" w:ascii="仿宋" w:hAnsi="仿宋" w:eastAsia="仿宋"/>
          <w:b w:val="0"/>
        </w:rPr>
        <w:t>国</w:t>
      </w:r>
      <w:r>
        <w:rPr>
          <w:rStyle w:val="30"/>
          <w:rFonts w:hint="eastAsia" w:ascii="仿宋" w:hAnsi="仿宋" w:eastAsia="仿宋"/>
          <w:b w:val="0"/>
          <w:bCs w:val="0"/>
        </w:rPr>
        <w:t>有资本经营预算财政拨款收入支出决算表</w:t>
      </w:r>
    </w:p>
    <w:p>
      <w:pPr>
        <w:pStyle w:val="4"/>
        <w:rPr>
          <w:rFonts w:ascii="仿宋" w:hAnsi="仿宋" w:eastAsia="仿宋"/>
        </w:rPr>
      </w:pPr>
      <w:bookmarkStart w:id="65" w:name="_Toc15396630"/>
      <w:r>
        <w:rPr>
          <w:rStyle w:val="30"/>
          <w:rFonts w:hint="eastAsia" w:ascii="仿宋" w:hAnsi="仿宋" w:eastAsia="仿宋"/>
          <w:b w:val="0"/>
          <w:bCs w:val="0"/>
        </w:rPr>
        <w:t>十二、</w:t>
      </w:r>
      <w:bookmarkEnd w:id="65"/>
      <w:r>
        <w:rPr>
          <w:rStyle w:val="30"/>
          <w:rFonts w:hint="eastAsia" w:ascii="仿宋" w:hAnsi="仿宋" w:eastAsia="仿宋"/>
          <w:b w:val="0"/>
          <w:bCs w:val="0"/>
        </w:rPr>
        <w:t>国有资本经营预算财政拨款支出决算表</w:t>
      </w:r>
    </w:p>
    <w:p>
      <w:pPr>
        <w:pStyle w:val="4"/>
        <w:rPr>
          <w:rFonts w:eastAsia="仿宋"/>
        </w:rPr>
      </w:pPr>
      <w:bookmarkStart w:id="66" w:name="_Toc15396631"/>
      <w:r>
        <w:rPr>
          <w:rStyle w:val="30"/>
          <w:rFonts w:hint="eastAsia" w:ascii="仿宋" w:hAnsi="仿宋" w:eastAsia="仿宋"/>
          <w:b w:val="0"/>
          <w:bCs w:val="0"/>
        </w:rPr>
        <w:t>十三、</w:t>
      </w:r>
      <w:bookmarkEnd w:id="66"/>
      <w:r>
        <w:rPr>
          <w:rStyle w:val="30"/>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02689"/>
    <w:multiLevelType w:val="singleLevel"/>
    <w:tmpl w:val="83A02689"/>
    <w:lvl w:ilvl="0" w:tentative="0">
      <w:start w:val="1"/>
      <w:numFmt w:val="chineseCounting"/>
      <w:suff w:val="nothing"/>
      <w:lvlText w:val="%1、"/>
      <w:lvlJc w:val="left"/>
      <w:rPr>
        <w:rFonts w:hint="eastAsia"/>
      </w:rPr>
    </w:lvl>
  </w:abstractNum>
  <w:abstractNum w:abstractNumId="1">
    <w:nsid w:val="964FEA9C"/>
    <w:multiLevelType w:val="singleLevel"/>
    <w:tmpl w:val="964FEA9C"/>
    <w:lvl w:ilvl="0" w:tentative="0">
      <w:start w:val="1"/>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4">
    <w:nsid w:val="ED1C7019"/>
    <w:multiLevelType w:val="singleLevel"/>
    <w:tmpl w:val="ED1C7019"/>
    <w:lvl w:ilvl="0" w:tentative="0">
      <w:start w:val="1"/>
      <w:numFmt w:val="chineseCounting"/>
      <w:suff w:val="space"/>
      <w:lvlText w:val="第%1部分"/>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293BBA1F"/>
    <w:multiLevelType w:val="singleLevel"/>
    <w:tmpl w:val="293BBA1F"/>
    <w:lvl w:ilvl="0" w:tentative="0">
      <w:start w:val="1"/>
      <w:numFmt w:val="chineseCounting"/>
      <w:suff w:val="nothing"/>
      <w:lvlText w:val="%1、"/>
      <w:lvlJc w:val="left"/>
      <w:rPr>
        <w:rFonts w:hint="eastAsia"/>
      </w:rPr>
    </w:lvl>
  </w:abstractNum>
  <w:num w:numId="1">
    <w:abstractNumId w:val="4"/>
  </w:num>
  <w:num w:numId="2">
    <w:abstractNumId w:val="0"/>
  </w:num>
  <w:num w:numId="3">
    <w:abstractNumId w:val="1"/>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NTY2MDcyODQ2N2FkODM5ZTkwNDc3NmI1NDljNjAifQ=="/>
  </w:docVars>
  <w:rsids>
    <w:rsidRoot w:val="00F1361C"/>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347ABE"/>
    <w:rsid w:val="03454875"/>
    <w:rsid w:val="04454B29"/>
    <w:rsid w:val="0462668B"/>
    <w:rsid w:val="046B5540"/>
    <w:rsid w:val="04B54A0D"/>
    <w:rsid w:val="04F512AE"/>
    <w:rsid w:val="053A62B5"/>
    <w:rsid w:val="05A037B3"/>
    <w:rsid w:val="06B14A52"/>
    <w:rsid w:val="0A2032A3"/>
    <w:rsid w:val="0B7F7B23"/>
    <w:rsid w:val="0B8A37D8"/>
    <w:rsid w:val="0CB36495"/>
    <w:rsid w:val="0D605732"/>
    <w:rsid w:val="0DD00B0A"/>
    <w:rsid w:val="0EA53D44"/>
    <w:rsid w:val="0EB36461"/>
    <w:rsid w:val="10C055FF"/>
    <w:rsid w:val="10E072B6"/>
    <w:rsid w:val="110D797F"/>
    <w:rsid w:val="118107EC"/>
    <w:rsid w:val="11DD6519"/>
    <w:rsid w:val="124E024F"/>
    <w:rsid w:val="15DA0777"/>
    <w:rsid w:val="161377E5"/>
    <w:rsid w:val="16BB723D"/>
    <w:rsid w:val="171001C9"/>
    <w:rsid w:val="173279A6"/>
    <w:rsid w:val="17575DF8"/>
    <w:rsid w:val="18015F3F"/>
    <w:rsid w:val="18095344"/>
    <w:rsid w:val="18B03A11"/>
    <w:rsid w:val="194818DD"/>
    <w:rsid w:val="1A18361C"/>
    <w:rsid w:val="1B08723F"/>
    <w:rsid w:val="1BE8440E"/>
    <w:rsid w:val="1C44759D"/>
    <w:rsid w:val="1C7865F4"/>
    <w:rsid w:val="1C961170"/>
    <w:rsid w:val="1CB6711D"/>
    <w:rsid w:val="1D155CEE"/>
    <w:rsid w:val="1F9F20EA"/>
    <w:rsid w:val="20437FF1"/>
    <w:rsid w:val="20F57F95"/>
    <w:rsid w:val="238532CC"/>
    <w:rsid w:val="240371BF"/>
    <w:rsid w:val="2435301D"/>
    <w:rsid w:val="25711CC6"/>
    <w:rsid w:val="25C741E6"/>
    <w:rsid w:val="26DC3C24"/>
    <w:rsid w:val="275F6D2E"/>
    <w:rsid w:val="27842671"/>
    <w:rsid w:val="28537F15"/>
    <w:rsid w:val="29DD3F3B"/>
    <w:rsid w:val="29FD04D3"/>
    <w:rsid w:val="2ABE7A3E"/>
    <w:rsid w:val="2CA234A8"/>
    <w:rsid w:val="2CCC5D1D"/>
    <w:rsid w:val="2CD05FD9"/>
    <w:rsid w:val="2CE60F00"/>
    <w:rsid w:val="2D016192"/>
    <w:rsid w:val="2D403ACD"/>
    <w:rsid w:val="2DC31699"/>
    <w:rsid w:val="2E523BE1"/>
    <w:rsid w:val="2EFA178C"/>
    <w:rsid w:val="2FE53B49"/>
    <w:rsid w:val="2FF40230"/>
    <w:rsid w:val="30B46D73"/>
    <w:rsid w:val="30D81900"/>
    <w:rsid w:val="319F7F4E"/>
    <w:rsid w:val="328A09D8"/>
    <w:rsid w:val="330133A1"/>
    <w:rsid w:val="337A0A4C"/>
    <w:rsid w:val="33BE6B8B"/>
    <w:rsid w:val="343B467F"/>
    <w:rsid w:val="3442156A"/>
    <w:rsid w:val="34A71D15"/>
    <w:rsid w:val="34B306BA"/>
    <w:rsid w:val="35450CC0"/>
    <w:rsid w:val="383D272C"/>
    <w:rsid w:val="38774657"/>
    <w:rsid w:val="39AE70AB"/>
    <w:rsid w:val="39C24EFB"/>
    <w:rsid w:val="3A015A23"/>
    <w:rsid w:val="3ACC4283"/>
    <w:rsid w:val="3C0C0783"/>
    <w:rsid w:val="3DCE0312"/>
    <w:rsid w:val="3DDA6CB7"/>
    <w:rsid w:val="3EEF6792"/>
    <w:rsid w:val="3F073ADC"/>
    <w:rsid w:val="3F270ACE"/>
    <w:rsid w:val="3F9F3A96"/>
    <w:rsid w:val="3FC03C8B"/>
    <w:rsid w:val="402E6E46"/>
    <w:rsid w:val="403A1C8F"/>
    <w:rsid w:val="41377F7D"/>
    <w:rsid w:val="41FA7928"/>
    <w:rsid w:val="43C24475"/>
    <w:rsid w:val="440C590B"/>
    <w:rsid w:val="45E06E35"/>
    <w:rsid w:val="4831602D"/>
    <w:rsid w:val="48BF60AB"/>
    <w:rsid w:val="493C27E9"/>
    <w:rsid w:val="496F39ED"/>
    <w:rsid w:val="49FF41D3"/>
    <w:rsid w:val="4B69167A"/>
    <w:rsid w:val="4BE068DB"/>
    <w:rsid w:val="4BF6002B"/>
    <w:rsid w:val="4D0B0C3B"/>
    <w:rsid w:val="4ECE2238"/>
    <w:rsid w:val="5164091A"/>
    <w:rsid w:val="516721B8"/>
    <w:rsid w:val="51DB4B86"/>
    <w:rsid w:val="53195734"/>
    <w:rsid w:val="55333C3E"/>
    <w:rsid w:val="55540CA5"/>
    <w:rsid w:val="558C043F"/>
    <w:rsid w:val="55DD766C"/>
    <w:rsid w:val="57831D16"/>
    <w:rsid w:val="57B0552D"/>
    <w:rsid w:val="57B43C7D"/>
    <w:rsid w:val="59E20F76"/>
    <w:rsid w:val="5B4377F2"/>
    <w:rsid w:val="5D72263D"/>
    <w:rsid w:val="5D881E34"/>
    <w:rsid w:val="5F131BD1"/>
    <w:rsid w:val="5FC44C79"/>
    <w:rsid w:val="5FF53085"/>
    <w:rsid w:val="603B13E0"/>
    <w:rsid w:val="61645EBC"/>
    <w:rsid w:val="62316984"/>
    <w:rsid w:val="649015CE"/>
    <w:rsid w:val="64CA39A1"/>
    <w:rsid w:val="660109D5"/>
    <w:rsid w:val="66DE4873"/>
    <w:rsid w:val="69630ADE"/>
    <w:rsid w:val="69D41F5D"/>
    <w:rsid w:val="6AEF704E"/>
    <w:rsid w:val="6B543355"/>
    <w:rsid w:val="6B910106"/>
    <w:rsid w:val="6C4A05C8"/>
    <w:rsid w:val="6C635F46"/>
    <w:rsid w:val="6CD56CEF"/>
    <w:rsid w:val="6D3B1A89"/>
    <w:rsid w:val="6D437B25"/>
    <w:rsid w:val="6F885CC3"/>
    <w:rsid w:val="71BF4EC2"/>
    <w:rsid w:val="71E82EE6"/>
    <w:rsid w:val="72734D90"/>
    <w:rsid w:val="72D8486C"/>
    <w:rsid w:val="7412278C"/>
    <w:rsid w:val="76CF5F86"/>
    <w:rsid w:val="77334767"/>
    <w:rsid w:val="78245629"/>
    <w:rsid w:val="79E7B28D"/>
    <w:rsid w:val="79EC20EC"/>
    <w:rsid w:val="7A804639"/>
    <w:rsid w:val="7A8B6668"/>
    <w:rsid w:val="7EAF54D9"/>
    <w:rsid w:val="7F9F20EE"/>
    <w:rsid w:val="7FC55D23"/>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qFormat/>
    <w:uiPriority w:val="99"/>
    <w:rPr>
      <w:rFonts w:ascii="宋体" w:hAnsi="Courier New" w:eastAsia="仿宋_GB2312" w:cs="Courier New"/>
      <w:b/>
      <w:sz w:val="32"/>
      <w:szCs w:val="21"/>
    </w:r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w:basedOn w:val="2"/>
    <w:qFormat/>
    <w:uiPriority w:val="0"/>
    <w:pPr>
      <w:ind w:firstLine="420" w:firstLineChars="100"/>
    </w:pPr>
  </w:style>
  <w:style w:type="paragraph" w:styleId="16">
    <w:name w:val="Body Text First Indent 2"/>
    <w:basedOn w:val="6"/>
    <w:next w:val="15"/>
    <w:unhideWhenUsed/>
    <w:qFormat/>
    <w:uiPriority w:val="99"/>
    <w:pPr>
      <w:ind w:firstLine="420" w:firstLine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Header Char"/>
    <w:basedOn w:val="18"/>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8"/>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8"/>
    <w:semiHidden/>
    <w:qFormat/>
    <w:uiPriority w:val="99"/>
    <w:rPr>
      <w:rFonts w:ascii="Times New Roman" w:hAnsi="Times New Roman"/>
      <w:szCs w:val="24"/>
    </w:rPr>
  </w:style>
  <w:style w:type="character" w:customStyle="1" w:styleId="26">
    <w:name w:val="正文文本 字符"/>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8"/>
    <w:link w:val="3"/>
    <w:qFormat/>
    <w:uiPriority w:val="9"/>
    <w:rPr>
      <w:rFonts w:ascii="Times New Roman" w:hAnsi="Times New Roman"/>
      <w:b/>
      <w:bCs/>
      <w:kern w:val="44"/>
      <w:sz w:val="44"/>
      <w:szCs w:val="44"/>
    </w:rPr>
  </w:style>
  <w:style w:type="character" w:customStyle="1" w:styleId="30">
    <w:name w:val="标题 2 字符"/>
    <w:basedOn w:val="18"/>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8"/>
    <w:link w:val="9"/>
    <w:semiHidden/>
    <w:qFormat/>
    <w:uiPriority w:val="99"/>
    <w:rPr>
      <w:rFonts w:ascii="Times New Roman" w:hAnsi="Times New Roman"/>
      <w:kern w:val="2"/>
      <w:sz w:val="18"/>
      <w:szCs w:val="18"/>
    </w:rPr>
  </w:style>
  <w:style w:type="character" w:customStyle="1" w:styleId="33">
    <w:name w:val="标题 3 字符"/>
    <w:basedOn w:val="18"/>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png"/><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4"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收、支决算总计变动情况表</a:t>
            </a:r>
          </a:p>
        </c:rich>
      </c:tx>
      <c:layout>
        <c:manualLayout>
          <c:xMode val="edge"/>
          <c:yMode val="edge"/>
          <c:x val="0.321710526315789"/>
          <c:y val="0.0486111111111111"/>
        </c:manualLayout>
      </c:layout>
      <c:overlay val="0"/>
      <c:spPr>
        <a:noFill/>
        <a:ln>
          <a:noFill/>
        </a:ln>
        <a:effectLst/>
      </c:spPr>
    </c:title>
    <c:autoTitleDeleted val="0"/>
    <c:plotArea>
      <c:layout/>
      <c:barChart>
        <c:barDir val="col"/>
        <c:grouping val="clustered"/>
        <c:varyColors val="0"/>
        <c:ser>
          <c:idx val="0"/>
          <c:order val="0"/>
          <c:tx>
            <c:strRef>
              <c:f>[工作簿1]Sheet1!$B$7</c:f>
              <c:strCache>
                <c:ptCount val="1"/>
                <c:pt idx="0">
                  <c:v>2021</c:v>
                </c:pt>
              </c:strCache>
            </c:strRef>
          </c:tx>
          <c:spPr>
            <a:solidFill>
              <a:schemeClr val="accent1"/>
            </a:solidFill>
            <a:ln>
              <a:noFill/>
            </a:ln>
            <a:effectLst/>
          </c:spPr>
          <c:invertIfNegative val="0"/>
          <c:dLbls>
            <c:delete val="1"/>
          </c:dLbls>
          <c:cat>
            <c:strRef>
              <c:f>[工作簿1]Sheet1!$C$6:$D$6</c:f>
              <c:strCache>
                <c:ptCount val="2"/>
                <c:pt idx="0">
                  <c:v>收入</c:v>
                </c:pt>
                <c:pt idx="1">
                  <c:v>支出</c:v>
                </c:pt>
              </c:strCache>
            </c:strRef>
          </c:cat>
          <c:val>
            <c:numRef>
              <c:f>[工作簿1]Sheet1!$C$7:$D$7</c:f>
              <c:numCache>
                <c:formatCode>General</c:formatCode>
                <c:ptCount val="2"/>
                <c:pt idx="0">
                  <c:v>152.28</c:v>
                </c:pt>
                <c:pt idx="1">
                  <c:v>152.28</c:v>
                </c:pt>
              </c:numCache>
            </c:numRef>
          </c:val>
        </c:ser>
        <c:ser>
          <c:idx val="1"/>
          <c:order val="1"/>
          <c:tx>
            <c:strRef>
              <c:f>[工作簿1]Sheet1!$B$8</c:f>
              <c:strCache>
                <c:ptCount val="1"/>
                <c:pt idx="0">
                  <c:v>2022</c:v>
                </c:pt>
              </c:strCache>
            </c:strRef>
          </c:tx>
          <c:spPr>
            <a:solidFill>
              <a:schemeClr val="accent2"/>
            </a:solidFill>
            <a:ln>
              <a:noFill/>
            </a:ln>
            <a:effectLst/>
          </c:spPr>
          <c:invertIfNegative val="0"/>
          <c:dLbls>
            <c:delete val="1"/>
          </c:dLbls>
          <c:cat>
            <c:strRef>
              <c:f>[工作簿1]Sheet1!$C$6:$D$6</c:f>
              <c:strCache>
                <c:ptCount val="2"/>
                <c:pt idx="0">
                  <c:v>收入</c:v>
                </c:pt>
                <c:pt idx="1">
                  <c:v>支出</c:v>
                </c:pt>
              </c:strCache>
            </c:strRef>
          </c:cat>
          <c:val>
            <c:numRef>
              <c:f>[工作簿1]Sheet1!$C$8:$D$8</c:f>
              <c:numCache>
                <c:formatCode>General</c:formatCode>
                <c:ptCount val="2"/>
                <c:pt idx="0">
                  <c:v>1522.93</c:v>
                </c:pt>
                <c:pt idx="1">
                  <c:v>1522.93</c:v>
                </c:pt>
              </c:numCache>
            </c:numRef>
          </c:val>
        </c:ser>
        <c:dLbls>
          <c:showLegendKey val="0"/>
          <c:showVal val="0"/>
          <c:showCatName val="0"/>
          <c:showSerName val="0"/>
          <c:showPercent val="0"/>
          <c:showBubbleSize val="0"/>
        </c:dLbls>
        <c:gapWidth val="246"/>
        <c:overlap val="-28"/>
        <c:axId val="812520462"/>
        <c:axId val="438825616"/>
      </c:barChart>
      <c:catAx>
        <c:axId val="81252046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8825616"/>
        <c:crosses val="autoZero"/>
        <c:auto val="1"/>
        <c:lblAlgn val="ctr"/>
        <c:lblOffset val="100"/>
        <c:noMultiLvlLbl val="0"/>
      </c:catAx>
      <c:valAx>
        <c:axId val="438825616"/>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252046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[工作簿4]Sheet1!$A$29:$A$30</c:f>
              <c:strCache>
                <c:ptCount val="2"/>
                <c:pt idx="0">
                  <c:v>收入决算结构图</c:v>
                </c:pt>
                <c:pt idx="1">
                  <c:v>一般公共预算财政拨款收入</c:v>
                </c:pt>
              </c:strCache>
            </c:strRef>
          </c:cat>
          <c:val>
            <c:numRef>
              <c:f>[工作簿4]Sheet1!$B$29:$B$30</c:f>
              <c:numCache>
                <c:formatCode>General</c:formatCode>
                <c:ptCount val="2"/>
                <c:pt idx="1">
                  <c:v>1121.27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[工作簿1]Sheet1!$B$26:$B$28</c:f>
              <c:strCache>
                <c:ptCount val="3"/>
                <c:pt idx="0">
                  <c:v>支出决算结构图</c:v>
                </c:pt>
                <c:pt idx="1">
                  <c:v>基本支出</c:v>
                </c:pt>
                <c:pt idx="2">
                  <c:v>项目支出</c:v>
                </c:pt>
              </c:strCache>
            </c:strRef>
          </c:cat>
          <c:val>
            <c:numRef>
              <c:f>[工作簿1]Sheet1!$C$26:$C$28</c:f>
              <c:numCache>
                <c:formatCode>General</c:formatCode>
                <c:ptCount val="3"/>
                <c:pt idx="1">
                  <c:v>213.1</c:v>
                </c:pt>
                <c:pt idx="2">
                  <c:v>1309.83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egendEntry>
        <c:idx val="0"/>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财政拨款收、支决算总计变动情况图</a:t>
            </a:r>
          </a:p>
        </c:rich>
      </c:tx>
      <c:layout/>
      <c:overlay val="0"/>
      <c:spPr>
        <a:noFill/>
        <a:ln>
          <a:noFill/>
        </a:ln>
        <a:effectLst/>
      </c:spPr>
    </c:title>
    <c:autoTitleDeleted val="0"/>
    <c:plotArea>
      <c:layout/>
      <c:barChart>
        <c:barDir val="col"/>
        <c:grouping val="clustered"/>
        <c:varyColors val="0"/>
        <c:ser>
          <c:idx val="0"/>
          <c:order val="0"/>
          <c:tx>
            <c:strRef>
              <c:f>[工作簿1]Sheet1!$B$47</c:f>
              <c:strCache>
                <c:ptCount val="1"/>
                <c:pt idx="0">
                  <c:v>2021年</c:v>
                </c:pt>
              </c:strCache>
            </c:strRef>
          </c:tx>
          <c:spPr>
            <a:solidFill>
              <a:schemeClr val="accent1"/>
            </a:solidFill>
            <a:ln>
              <a:noFill/>
            </a:ln>
            <a:effectLst/>
          </c:spPr>
          <c:invertIfNegative val="0"/>
          <c:dLbls>
            <c:delete val="1"/>
          </c:dLbls>
          <c:cat>
            <c:strRef>
              <c:f>[工作簿1]Sheet1!$C$46:$D$46</c:f>
              <c:strCache>
                <c:ptCount val="2"/>
                <c:pt idx="0">
                  <c:v>收入</c:v>
                </c:pt>
                <c:pt idx="1">
                  <c:v>支出</c:v>
                </c:pt>
              </c:strCache>
            </c:strRef>
          </c:cat>
          <c:val>
            <c:numRef>
              <c:f>[工作簿1]Sheet1!$C$47:$D$47</c:f>
              <c:numCache>
                <c:formatCode>General</c:formatCode>
                <c:ptCount val="2"/>
                <c:pt idx="0">
                  <c:v>152.28</c:v>
                </c:pt>
                <c:pt idx="1">
                  <c:v>152.28</c:v>
                </c:pt>
              </c:numCache>
            </c:numRef>
          </c:val>
        </c:ser>
        <c:ser>
          <c:idx val="1"/>
          <c:order val="1"/>
          <c:tx>
            <c:strRef>
              <c:f>[工作簿1]Sheet1!$B$48</c:f>
              <c:strCache>
                <c:ptCount val="1"/>
                <c:pt idx="0">
                  <c:v>2022年</c:v>
                </c:pt>
              </c:strCache>
            </c:strRef>
          </c:tx>
          <c:spPr>
            <a:solidFill>
              <a:schemeClr val="accent2"/>
            </a:solidFill>
            <a:ln>
              <a:noFill/>
            </a:ln>
            <a:effectLst/>
          </c:spPr>
          <c:invertIfNegative val="0"/>
          <c:dLbls>
            <c:delete val="1"/>
          </c:dLbls>
          <c:cat>
            <c:strRef>
              <c:f>[工作簿1]Sheet1!$C$46:$D$46</c:f>
              <c:strCache>
                <c:ptCount val="2"/>
                <c:pt idx="0">
                  <c:v>收入</c:v>
                </c:pt>
                <c:pt idx="1">
                  <c:v>支出</c:v>
                </c:pt>
              </c:strCache>
            </c:strRef>
          </c:cat>
          <c:val>
            <c:numRef>
              <c:f>[工作簿1]Sheet1!$C$48:$D$48</c:f>
              <c:numCache>
                <c:formatCode>General</c:formatCode>
                <c:ptCount val="2"/>
                <c:pt idx="0">
                  <c:v>1522.93</c:v>
                </c:pt>
                <c:pt idx="1">
                  <c:v>1522.93</c:v>
                </c:pt>
              </c:numCache>
            </c:numRef>
          </c:val>
        </c:ser>
        <c:dLbls>
          <c:showLegendKey val="0"/>
          <c:showVal val="0"/>
          <c:showCatName val="0"/>
          <c:showSerName val="0"/>
          <c:showPercent val="0"/>
          <c:showBubbleSize val="0"/>
        </c:dLbls>
        <c:gapWidth val="246"/>
        <c:overlap val="-28"/>
        <c:axId val="523712569"/>
        <c:axId val="904512239"/>
      </c:barChart>
      <c:catAx>
        <c:axId val="52371256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4512239"/>
        <c:crosses val="autoZero"/>
        <c:auto val="1"/>
        <c:lblAlgn val="ctr"/>
        <c:lblOffset val="100"/>
        <c:noMultiLvlLbl val="0"/>
      </c:catAx>
      <c:valAx>
        <c:axId val="904512239"/>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37125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一般公共预算财政拨款支出决算表</a:t>
            </a:r>
          </a:p>
        </c:rich>
      </c:tx>
      <c:layout/>
      <c:overlay val="0"/>
      <c:spPr>
        <a:noFill/>
        <a:ln>
          <a:noFill/>
        </a:ln>
        <a:effectLst/>
      </c:spPr>
    </c:title>
    <c:autoTitleDeleted val="0"/>
    <c:plotArea>
      <c:layout>
        <c:manualLayout>
          <c:layoutTarget val="inner"/>
          <c:xMode val="edge"/>
          <c:yMode val="edge"/>
          <c:x val="0.0848157894736842"/>
          <c:y val="0.176388888888889"/>
          <c:w val="0.888210526315789"/>
          <c:h val="0.606342592592593"/>
        </c:manualLayout>
      </c:layout>
      <c:barChart>
        <c:barDir val="col"/>
        <c:grouping val="clustered"/>
        <c:varyColors val="0"/>
        <c:ser>
          <c:idx val="0"/>
          <c:order val="0"/>
          <c:tx>
            <c:strRef>
              <c:f>"一般公共预算财政拨款支出决算"</c:f>
              <c:strCache>
                <c:ptCount val="1"/>
                <c:pt idx="0">
                  <c:v>一般公共预算财政拨款支出决算</c:v>
                </c:pt>
              </c:strCache>
            </c:strRef>
          </c:tx>
          <c:spPr>
            <a:solidFill>
              <a:schemeClr val="accent1"/>
            </a:solidFill>
            <a:ln>
              <a:noFill/>
            </a:ln>
            <a:effectLst/>
          </c:spPr>
          <c:invertIfNegative val="0"/>
          <c:dLbls>
            <c:delete val="1"/>
          </c:dLbls>
          <c:cat>
            <c:strRef>
              <c:f>[工作簿1]Sheet1!$B$65:$B$66</c:f>
              <c:strCache>
                <c:ptCount val="2"/>
                <c:pt idx="0">
                  <c:v>2021年</c:v>
                </c:pt>
                <c:pt idx="1">
                  <c:v>2022年</c:v>
                </c:pt>
              </c:strCache>
            </c:strRef>
          </c:cat>
          <c:val>
            <c:numRef>
              <c:f>[工作簿1]Sheet1!$C$65:$C$66</c:f>
              <c:numCache>
                <c:formatCode>General</c:formatCode>
                <c:ptCount val="2"/>
                <c:pt idx="0">
                  <c:v>152.28</c:v>
                </c:pt>
                <c:pt idx="1">
                  <c:v>1522.93</c:v>
                </c:pt>
              </c:numCache>
            </c:numRef>
          </c:val>
        </c:ser>
        <c:dLbls>
          <c:showLegendKey val="0"/>
          <c:showVal val="0"/>
          <c:showCatName val="0"/>
          <c:showSerName val="0"/>
          <c:showPercent val="0"/>
          <c:showBubbleSize val="0"/>
        </c:dLbls>
        <c:gapWidth val="246"/>
        <c:overlap val="-28"/>
        <c:axId val="761639039"/>
        <c:axId val="769265313"/>
      </c:barChart>
      <c:catAx>
        <c:axId val="76163903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9265313"/>
        <c:crosses val="autoZero"/>
        <c:auto val="1"/>
        <c:lblAlgn val="ctr"/>
        <c:lblOffset val="100"/>
        <c:noMultiLvlLbl val="0"/>
      </c:catAx>
      <c:valAx>
        <c:axId val="769265313"/>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163903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[工作簿1]Sheet1!$B$85:$B$88</c:f>
              <c:strCache>
                <c:ptCount val="4"/>
                <c:pt idx="0">
                  <c:v>社会保障和就业支出</c:v>
                </c:pt>
                <c:pt idx="1">
                  <c:v>卫生健康支出</c:v>
                </c:pt>
                <c:pt idx="2">
                  <c:v>交通运输支出</c:v>
                </c:pt>
                <c:pt idx="3">
                  <c:v>住房保障支出</c:v>
                </c:pt>
              </c:strCache>
            </c:strRef>
          </c:cat>
          <c:val>
            <c:numRef>
              <c:f>[工作簿1]Sheet1!$C$85:$C$88</c:f>
              <c:numCache>
                <c:formatCode>General</c:formatCode>
                <c:ptCount val="4"/>
                <c:pt idx="0">
                  <c:v>15.6</c:v>
                </c:pt>
                <c:pt idx="1">
                  <c:v>7.8</c:v>
                </c:pt>
                <c:pt idx="2">
                  <c:v>1487.81</c:v>
                </c:pt>
                <c:pt idx="3">
                  <c:v>11.7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“三公”经费财政拨款支出结构图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[工作簿1]Sheet1!$B$99:$B$100</c:f>
              <c:strCache>
                <c:ptCount val="2"/>
                <c:pt idx="0">
                  <c:v>公务用车购置及运行维护费</c:v>
                </c:pt>
                <c:pt idx="1">
                  <c:v>公务接待费</c:v>
                </c:pt>
              </c:strCache>
            </c:strRef>
          </c:cat>
          <c:val>
            <c:numRef>
              <c:f>[工作簿1]Sheet1!$C$99:$C$100</c:f>
              <c:numCache>
                <c:formatCode>General</c:formatCode>
                <c:ptCount val="2"/>
                <c:pt idx="0">
                  <c:v>2.81</c:v>
                </c:pt>
                <c:pt idx="1">
                  <c:v>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11038</Words>
  <Characters>12505</Characters>
  <Lines>5</Lines>
  <Paragraphs>11</Paragraphs>
  <TotalTime>22</TotalTime>
  <ScaleCrop>false</ScaleCrop>
  <LinksUpToDate>false</LinksUpToDate>
  <CharactersWithSpaces>12531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2023-07-31T02:35:00Z</cp:lastPrinted>
  <dcterms:modified xsi:type="dcterms:W3CDTF">2023-12-27T08:43:16Z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ACECCADD41CA4DDCBF97F5B3023880AC_13</vt:lpwstr>
  </property>
</Properties>
</file>