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9"/>
        <w:rPr>
          <w:rFonts w:hint="eastAsia" w:ascii="仿宋_GB2312" w:hAnsi="仿宋_GB2312" w:eastAsia="仿宋_GB2312" w:cs="仿宋_GB2312"/>
          <w:b w:val="0"/>
          <w:bCs w:val="0"/>
          <w:color w:val="auto"/>
          <w:sz w:val="72"/>
          <w:szCs w:val="72"/>
        </w:rPr>
      </w:pPr>
      <w:bookmarkStart w:id="0" w:name="_Toc15377193"/>
      <w:bookmarkStart w:id="1" w:name="_Toc15377425"/>
      <w:bookmarkStart w:id="2" w:name="_Toc15396475"/>
      <w:bookmarkStart w:id="3" w:name="_Toc15396597"/>
      <w:bookmarkStart w:id="4" w:name="_Toc15378441"/>
      <w:bookmarkStart w:id="5" w:name="_Toc15306267"/>
    </w:p>
    <w:p>
      <w:pPr>
        <w:spacing w:line="600" w:lineRule="exact"/>
        <w:jc w:val="center"/>
        <w:outlineLvl w:val="9"/>
        <w:rPr>
          <w:rFonts w:hint="eastAsia" w:ascii="仿宋_GB2312" w:hAnsi="仿宋_GB2312" w:eastAsia="仿宋_GB2312" w:cs="仿宋_GB2312"/>
          <w:b w:val="0"/>
          <w:bCs w:val="0"/>
          <w:color w:val="auto"/>
          <w:sz w:val="72"/>
          <w:szCs w:val="72"/>
        </w:rPr>
      </w:pPr>
    </w:p>
    <w:p>
      <w:pPr>
        <w:spacing w:line="600" w:lineRule="exact"/>
        <w:jc w:val="center"/>
        <w:outlineLvl w:val="9"/>
        <w:rPr>
          <w:rFonts w:hint="eastAsia" w:ascii="仿宋_GB2312" w:hAnsi="仿宋_GB2312" w:eastAsia="仿宋_GB2312" w:cs="仿宋_GB2312"/>
          <w:b w:val="0"/>
          <w:bCs w:val="0"/>
          <w:color w:val="auto"/>
          <w:sz w:val="72"/>
          <w:szCs w:val="72"/>
        </w:rPr>
      </w:pPr>
    </w:p>
    <w:p>
      <w:pPr>
        <w:spacing w:line="600" w:lineRule="exact"/>
        <w:jc w:val="center"/>
        <w:outlineLvl w:val="9"/>
        <w:rPr>
          <w:rFonts w:hint="eastAsia" w:ascii="仿宋_GB2312" w:hAnsi="仿宋_GB2312" w:eastAsia="仿宋_GB2312" w:cs="仿宋_GB2312"/>
          <w:b/>
          <w:bCs/>
          <w:color w:val="auto"/>
          <w:sz w:val="72"/>
          <w:szCs w:val="72"/>
        </w:rPr>
      </w:pPr>
    </w:p>
    <w:p>
      <w:pPr>
        <w:adjustRightInd w:val="0"/>
        <w:snapToGrid w:val="0"/>
        <w:spacing w:line="360" w:lineRule="auto"/>
        <w:jc w:val="center"/>
        <w:outlineLvl w:val="0"/>
        <w:rPr>
          <w:rFonts w:hint="eastAsia" w:ascii="华文中宋" w:hAnsi="华文中宋" w:eastAsia="华文中宋" w:cs="华文中宋"/>
          <w:b/>
          <w:bCs/>
          <w:color w:val="auto"/>
          <w:sz w:val="72"/>
          <w:szCs w:val="72"/>
        </w:rPr>
      </w:pPr>
      <w:bookmarkStart w:id="6" w:name="_Toc17045"/>
      <w:bookmarkStart w:id="7" w:name="_Toc218"/>
      <w:r>
        <w:rPr>
          <w:rFonts w:hint="eastAsia" w:ascii="Gulim" w:hAnsi="Gulim" w:eastAsia="Gulim" w:cs="Gulim"/>
          <w:b/>
          <w:bCs/>
          <w:color w:val="auto"/>
          <w:sz w:val="72"/>
          <w:szCs w:val="72"/>
        </w:rPr>
        <w:t>202</w:t>
      </w:r>
      <w:r>
        <w:rPr>
          <w:rFonts w:hint="eastAsia" w:ascii="Gulim" w:hAnsi="Gulim" w:eastAsia="宋体" w:cs="Gulim"/>
          <w:b/>
          <w:bCs/>
          <w:color w:val="auto"/>
          <w:sz w:val="72"/>
          <w:szCs w:val="72"/>
          <w:lang w:val="en-US" w:eastAsia="zh-CN"/>
        </w:rPr>
        <w:t>2</w:t>
      </w:r>
      <w:r>
        <w:rPr>
          <w:rFonts w:hint="eastAsia" w:ascii="华文中宋" w:hAnsi="华文中宋" w:eastAsia="华文中宋" w:cs="华文中宋"/>
          <w:b/>
          <w:bCs/>
          <w:color w:val="auto"/>
          <w:sz w:val="72"/>
          <w:szCs w:val="72"/>
        </w:rPr>
        <w:t>年度</w:t>
      </w:r>
      <w:bookmarkEnd w:id="0"/>
      <w:bookmarkEnd w:id="1"/>
      <w:bookmarkEnd w:id="2"/>
      <w:bookmarkEnd w:id="3"/>
      <w:bookmarkEnd w:id="4"/>
      <w:bookmarkEnd w:id="6"/>
      <w:bookmarkEnd w:id="7"/>
    </w:p>
    <w:bookmarkEnd w:id="5"/>
    <w:p>
      <w:pPr>
        <w:adjustRightInd w:val="0"/>
        <w:snapToGrid w:val="0"/>
        <w:spacing w:line="360" w:lineRule="auto"/>
        <w:jc w:val="center"/>
        <w:outlineLvl w:val="0"/>
        <w:rPr>
          <w:rFonts w:hint="eastAsia" w:ascii="华文中宋" w:hAnsi="华文中宋" w:eastAsia="华文中宋" w:cs="华文中宋"/>
          <w:b/>
          <w:bCs/>
          <w:color w:val="auto"/>
          <w:sz w:val="72"/>
          <w:szCs w:val="72"/>
        </w:rPr>
      </w:pPr>
      <w:bookmarkStart w:id="8" w:name="_Toc4077"/>
      <w:bookmarkStart w:id="9" w:name="_Toc11658"/>
      <w:bookmarkStart w:id="10" w:name="_Toc15396598"/>
      <w:bookmarkStart w:id="11" w:name="_Toc15306268"/>
      <w:bookmarkStart w:id="12" w:name="_Toc15378442"/>
      <w:bookmarkStart w:id="13" w:name="_Toc15377194"/>
      <w:bookmarkStart w:id="14" w:name="_Toc15396476"/>
      <w:bookmarkStart w:id="15" w:name="_Toc15377426"/>
      <w:r>
        <w:rPr>
          <w:rFonts w:hint="eastAsia" w:ascii="华文中宋" w:hAnsi="华文中宋" w:eastAsia="华文中宋" w:cs="华文中宋"/>
          <w:b/>
          <w:bCs/>
          <w:color w:val="auto"/>
          <w:sz w:val="72"/>
          <w:szCs w:val="72"/>
        </w:rPr>
        <w:t>剑阁县住房和城乡建设局</w:t>
      </w:r>
      <w:bookmarkEnd w:id="8"/>
      <w:bookmarkEnd w:id="9"/>
    </w:p>
    <w:p>
      <w:pPr>
        <w:keepNext w:val="0"/>
        <w:keepLines w:val="0"/>
        <w:widowControl/>
        <w:suppressLineNumbers w:val="0"/>
        <w:jc w:val="center"/>
        <w:rPr>
          <w:rFonts w:hint="eastAsia" w:ascii="仿宋_GB2312" w:hAnsi="仿宋_GB2312" w:eastAsia="仿宋_GB2312" w:cs="仿宋_GB2312"/>
          <w:b/>
          <w:bCs/>
          <w:color w:val="auto"/>
          <w:sz w:val="72"/>
          <w:szCs w:val="72"/>
        </w:rPr>
      </w:pPr>
      <w:r>
        <w:rPr>
          <w:rFonts w:hint="eastAsia" w:ascii="华文中宋" w:hAnsi="华文中宋" w:eastAsia="华文中宋" w:cs="华文中宋"/>
          <w:b/>
          <w:bCs/>
          <w:color w:val="auto"/>
          <w:sz w:val="72"/>
          <w:szCs w:val="72"/>
        </w:rPr>
        <w:t>部门决算</w:t>
      </w:r>
      <w:bookmarkEnd w:id="10"/>
      <w:bookmarkEnd w:id="11"/>
      <w:bookmarkEnd w:id="12"/>
      <w:bookmarkEnd w:id="13"/>
      <w:bookmarkEnd w:id="14"/>
      <w:bookmarkEnd w:id="15"/>
    </w:p>
    <w:p>
      <w:pPr>
        <w:adjustRightInd w:val="0"/>
        <w:snapToGrid w:val="0"/>
        <w:spacing w:line="360" w:lineRule="auto"/>
        <w:jc w:val="center"/>
        <w:outlineLvl w:val="9"/>
        <w:rPr>
          <w:rFonts w:hint="eastAsia" w:ascii="仿宋_GB2312" w:hAnsi="仿宋_GB2312" w:eastAsia="仿宋_GB2312" w:cs="仿宋_GB2312"/>
          <w:b w:val="0"/>
          <w:bCs w:val="0"/>
          <w:color w:val="auto"/>
          <w:sz w:val="72"/>
          <w:szCs w:val="72"/>
        </w:rPr>
      </w:pPr>
    </w:p>
    <w:p>
      <w:pPr>
        <w:widowControl/>
        <w:jc w:val="center"/>
        <w:rPr>
          <w:rFonts w:hint="eastAsia" w:ascii="仿宋_GB2312" w:hAnsi="仿宋_GB2312" w:eastAsia="仿宋_GB2312" w:cs="仿宋_GB2312"/>
          <w:b w:val="0"/>
          <w:bCs w:val="0"/>
          <w:color w:val="auto"/>
          <w:sz w:val="48"/>
          <w:szCs w:val="48"/>
        </w:rPr>
      </w:pPr>
      <w:r>
        <w:rPr>
          <w:rFonts w:hint="eastAsia" w:ascii="仿宋_GB2312" w:hAnsi="仿宋_GB2312" w:eastAsia="仿宋_GB2312" w:cs="仿宋_GB2312"/>
          <w:b w:val="0"/>
          <w:bCs w:val="0"/>
          <w:color w:val="auto"/>
          <w:sz w:val="36"/>
          <w:szCs w:val="36"/>
        </w:rPr>
        <w:br w:type="page"/>
      </w:r>
      <w:r>
        <w:rPr>
          <w:rFonts w:hint="eastAsia" w:ascii="黑体" w:hAnsi="黑体" w:eastAsia="黑体" w:cs="黑体"/>
          <w:b w:val="0"/>
          <w:bCs w:val="0"/>
          <w:color w:val="auto"/>
          <w:sz w:val="48"/>
          <w:szCs w:val="48"/>
        </w:rPr>
        <w:t>目</w:t>
      </w:r>
      <w:r>
        <w:rPr>
          <w:rFonts w:hint="eastAsia" w:ascii="黑体" w:hAnsi="黑体" w:eastAsia="黑体" w:cs="黑体"/>
          <w:b w:val="0"/>
          <w:bCs w:val="0"/>
          <w:color w:val="auto"/>
          <w:sz w:val="48"/>
          <w:szCs w:val="48"/>
          <w:lang w:val="en-US" w:eastAsia="zh-CN"/>
        </w:rPr>
        <w:t xml:space="preserve">   </w:t>
      </w:r>
      <w:r>
        <w:rPr>
          <w:rFonts w:hint="eastAsia" w:ascii="黑体" w:hAnsi="黑体" w:eastAsia="黑体" w:cs="黑体"/>
          <w:b w:val="0"/>
          <w:bCs w:val="0"/>
          <w:color w:val="auto"/>
          <w:sz w:val="48"/>
          <w:szCs w:val="48"/>
        </w:rPr>
        <w:t>录</w:t>
      </w:r>
    </w:p>
    <w:p>
      <w:pPr>
        <w:widowControl/>
        <w:jc w:val="center"/>
        <w:rPr>
          <w:rFonts w:hint="eastAsia" w:ascii="仿宋_GB2312" w:hAnsi="仿宋_GB2312" w:eastAsia="仿宋_GB2312" w:cs="仿宋_GB2312"/>
          <w:b w:val="0"/>
          <w:bCs w:val="0"/>
          <w:color w:val="auto"/>
          <w:sz w:val="28"/>
          <w:szCs w:val="28"/>
        </w:rPr>
      </w:pPr>
    </w:p>
    <w:p>
      <w:pPr>
        <w:pStyle w:val="14"/>
        <w:rPr>
          <w:rFonts w:hint="eastAsia"/>
        </w:rPr>
      </w:pPr>
      <w:r>
        <w:rPr>
          <w:rFonts w:hint="eastAsia"/>
        </w:rPr>
        <w:t>公开时间：2023年</w:t>
      </w:r>
      <w:r>
        <w:rPr>
          <w:rFonts w:hint="eastAsia"/>
          <w:lang w:val="en-US" w:eastAsia="zh-CN"/>
        </w:rPr>
        <w:t xml:space="preserve"> 10</w:t>
      </w:r>
      <w:r>
        <w:rPr>
          <w:rFonts w:hint="eastAsia"/>
        </w:rPr>
        <w:t>月</w:t>
      </w:r>
      <w:r>
        <w:rPr>
          <w:rFonts w:hint="eastAsia"/>
          <w:lang w:val="en-US" w:eastAsia="zh-CN"/>
        </w:rPr>
        <w:t xml:space="preserve">16 </w:t>
      </w:r>
      <w:r>
        <w:rPr>
          <w:rFonts w:hint="eastAsia"/>
        </w:rPr>
        <w:t>日</w:t>
      </w:r>
    </w:p>
    <w:p/>
    <w:p>
      <w:pPr>
        <w:pStyle w:val="14"/>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部门概况</w:t>
      </w:r>
    </w:p>
    <w:p>
      <w:pPr>
        <w:pStyle w:val="15"/>
        <w:adjustRightInd w:val="0"/>
        <w:snapToGrid w:val="0"/>
        <w:spacing w:line="440" w:lineRule="exact"/>
        <w:jc w:val="left"/>
        <w:rPr>
          <w:rFonts w:hint="eastAsia"/>
          <w:sz w:val="24"/>
        </w:rPr>
      </w:pPr>
      <w:r>
        <w:rPr>
          <w:rFonts w:hint="eastAsia"/>
          <w:sz w:val="24"/>
        </w:rPr>
        <w:t>一、部门职责及重点工作</w:t>
      </w:r>
    </w:p>
    <w:p>
      <w:pPr>
        <w:pStyle w:val="15"/>
        <w:adjustRightInd w:val="0"/>
        <w:snapToGrid w:val="0"/>
        <w:spacing w:line="440" w:lineRule="exact"/>
        <w:jc w:val="left"/>
        <w:rPr>
          <w:rFonts w:hint="eastAsia"/>
          <w:sz w:val="24"/>
        </w:rPr>
      </w:pPr>
      <w:r>
        <w:rPr>
          <w:rFonts w:hint="eastAsia"/>
          <w:sz w:val="24"/>
          <w:lang w:eastAsia="zh-CN"/>
        </w:rPr>
        <w:t>（一）</w:t>
      </w:r>
      <w:r>
        <w:rPr>
          <w:rFonts w:hint="eastAsia"/>
          <w:sz w:val="24"/>
        </w:rPr>
        <w:t>部门职责</w:t>
      </w:r>
    </w:p>
    <w:p>
      <w:pPr>
        <w:pStyle w:val="15"/>
        <w:adjustRightInd w:val="0"/>
        <w:snapToGrid w:val="0"/>
        <w:spacing w:line="440" w:lineRule="exact"/>
        <w:jc w:val="left"/>
        <w:rPr>
          <w:rFonts w:hint="eastAsia"/>
          <w:sz w:val="24"/>
        </w:rPr>
      </w:pPr>
      <w:r>
        <w:rPr>
          <w:rFonts w:hint="eastAsia"/>
          <w:sz w:val="24"/>
        </w:rPr>
        <w:t>（二）2022年重点工作完成情况</w:t>
      </w:r>
    </w:p>
    <w:p>
      <w:pPr>
        <w:pStyle w:val="15"/>
        <w:adjustRightInd w:val="0"/>
        <w:snapToGrid w:val="0"/>
        <w:spacing w:line="440" w:lineRule="exact"/>
        <w:jc w:val="left"/>
        <w:rPr>
          <w:rFonts w:hint="eastAsia"/>
          <w:sz w:val="24"/>
        </w:rPr>
      </w:pPr>
      <w:r>
        <w:rPr>
          <w:rFonts w:hint="eastAsia"/>
          <w:sz w:val="24"/>
        </w:rPr>
        <w:t>二</w:t>
      </w:r>
      <w:r>
        <w:rPr>
          <w:rFonts w:hint="eastAsia"/>
          <w:sz w:val="24"/>
          <w:lang w:val="en-US" w:eastAsia="zh-CN"/>
        </w:rPr>
        <w:t>、机构设置</w:t>
      </w:r>
    </w:p>
    <w:p>
      <w:pPr>
        <w:pStyle w:val="14"/>
        <w:adjustRightInd w:val="0"/>
        <w:snapToGrid w:val="0"/>
        <w:spacing w:before="0" w:line="440" w:lineRule="exact"/>
        <w:jc w:val="left"/>
        <w:rPr>
          <w:sz w:val="24"/>
          <w:szCs w:val="24"/>
        </w:rPr>
      </w:pPr>
      <w:r>
        <w:rPr>
          <w:rFonts w:hint="eastAsia"/>
          <w:sz w:val="24"/>
        </w:rPr>
        <w:t>第二部分 2022年度部门决算情况说明</w:t>
      </w:r>
    </w:p>
    <w:p>
      <w:pPr>
        <w:pStyle w:val="15"/>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pPr>
        <w:pStyle w:val="15"/>
        <w:adjustRightInd w:val="0"/>
        <w:snapToGrid w:val="0"/>
        <w:spacing w:line="440" w:lineRule="exact"/>
        <w:jc w:val="left"/>
        <w:rPr>
          <w:rFonts w:ascii="仿宋" w:hAnsi="仿宋" w:eastAsia="仿宋" w:cstheme="minorBidi"/>
          <w:sz w:val="24"/>
        </w:rPr>
      </w:pPr>
      <w:r>
        <w:rPr>
          <w:rFonts w:hint="eastAsia"/>
          <w:sz w:val="24"/>
        </w:rPr>
        <w:t>二、收入决算情况说明</w:t>
      </w:r>
    </w:p>
    <w:p>
      <w:pPr>
        <w:pStyle w:val="15"/>
        <w:adjustRightInd w:val="0"/>
        <w:snapToGrid w:val="0"/>
        <w:spacing w:line="440" w:lineRule="exact"/>
        <w:jc w:val="left"/>
        <w:rPr>
          <w:rFonts w:ascii="仿宋" w:hAnsi="仿宋" w:eastAsia="仿宋" w:cstheme="minorBidi"/>
          <w:sz w:val="24"/>
        </w:rPr>
      </w:pPr>
      <w:r>
        <w:rPr>
          <w:rFonts w:hint="eastAsia"/>
          <w:sz w:val="24"/>
        </w:rPr>
        <w:t>三、支出决算情况说明</w:t>
      </w:r>
    </w:p>
    <w:p>
      <w:pPr>
        <w:pStyle w:val="15"/>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pPr>
        <w:pStyle w:val="15"/>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pPr>
        <w:pStyle w:val="15"/>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pPr>
        <w:pStyle w:val="15"/>
        <w:adjustRightInd w:val="0"/>
        <w:snapToGrid w:val="0"/>
        <w:spacing w:line="440" w:lineRule="exact"/>
        <w:jc w:val="left"/>
        <w:rPr>
          <w:rFonts w:ascii="仿宋" w:hAnsi="仿宋" w:eastAsia="仿宋" w:cstheme="minorBidi"/>
          <w:sz w:val="24"/>
        </w:rPr>
      </w:pPr>
      <w:r>
        <w:rPr>
          <w:rFonts w:hint="eastAsia"/>
          <w:sz w:val="24"/>
        </w:rPr>
        <w:t>七、财政拨款“三公”经费支出决算情况说明</w:t>
      </w:r>
    </w:p>
    <w:p>
      <w:pPr>
        <w:pStyle w:val="15"/>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pPr>
        <w:pStyle w:val="15"/>
        <w:adjustRightInd w:val="0"/>
        <w:snapToGrid w:val="0"/>
        <w:spacing w:line="440" w:lineRule="exact"/>
        <w:ind w:leftChars="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九、国有资本经营预算支出决算情况说明</w:t>
      </w:r>
    </w:p>
    <w:p>
      <w:pPr>
        <w:adjustRightInd w:val="0"/>
        <w:snapToGrid w:val="0"/>
        <w:spacing w:line="440" w:lineRule="exact"/>
        <w:ind w:firstLine="420" w:firstLineChars="175"/>
        <w:jc w:val="left"/>
        <w:rPr>
          <w:rFonts w:asciiTheme="minorEastAsia" w:hAnsiTheme="minorEastAsia" w:eastAsiaTheme="minorEastAsia" w:cstheme="minorEastAsia"/>
          <w:sz w:val="24"/>
        </w:rPr>
      </w:pPr>
      <w:r>
        <w:rPr>
          <w:rStyle w:val="22"/>
          <w:rFonts w:hint="eastAsia" w:asciiTheme="minorEastAsia" w:hAnsiTheme="minorEastAsia" w:eastAsiaTheme="minorEastAsia" w:cstheme="minorEastAsia"/>
          <w:color w:val="auto"/>
          <w:sz w:val="24"/>
          <w:u w:val="none"/>
        </w:rPr>
        <w:t>十、</w:t>
      </w:r>
      <w:r>
        <w:rPr>
          <w:rFonts w:hint="eastAsia" w:asciiTheme="minorEastAsia" w:hAnsiTheme="minorEastAsia" w:eastAsiaTheme="minorEastAsia" w:cstheme="minorEastAsia"/>
          <w:sz w:val="24"/>
        </w:rPr>
        <w:t>其他重要事项的情况说明</w:t>
      </w:r>
      <w:r>
        <w:rPr>
          <w:rFonts w:hint="eastAsia" w:asciiTheme="minorEastAsia" w:hAnsiTheme="minorEastAsia" w:eastAsiaTheme="minorEastAsia" w:cstheme="minorEastAsia"/>
          <w:sz w:val="24"/>
        </w:rPr>
        <w:tab/>
      </w:r>
    </w:p>
    <w:p>
      <w:pPr>
        <w:pStyle w:val="14"/>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p>
    <w:p>
      <w:pPr>
        <w:pStyle w:val="14"/>
        <w:adjustRightInd w:val="0"/>
        <w:snapToGrid w:val="0"/>
        <w:spacing w:before="0" w:line="440" w:lineRule="exact"/>
        <w:jc w:val="left"/>
        <w:rPr>
          <w:rFonts w:cstheme="minorBidi"/>
          <w:sz w:val="24"/>
          <w:szCs w:val="24"/>
        </w:rPr>
      </w:pPr>
      <w:r>
        <w:rPr>
          <w:rFonts w:hint="eastAsia"/>
          <w:sz w:val="24"/>
        </w:rPr>
        <w:t>第四部分</w:t>
      </w:r>
      <w:r>
        <w:rPr>
          <w:sz w:val="24"/>
        </w:rPr>
        <w:t xml:space="preserve"> </w:t>
      </w:r>
      <w:r>
        <w:rPr>
          <w:rFonts w:hint="eastAsia"/>
          <w:sz w:val="24"/>
        </w:rPr>
        <w:t>附件</w:t>
      </w:r>
    </w:p>
    <w:p>
      <w:pPr>
        <w:pStyle w:val="14"/>
        <w:adjustRightInd w:val="0"/>
        <w:snapToGrid w:val="0"/>
        <w:spacing w:before="0" w:line="440" w:lineRule="exact"/>
        <w:jc w:val="left"/>
        <w:rPr>
          <w:rFonts w:cstheme="minorBidi"/>
          <w:sz w:val="24"/>
          <w:szCs w:val="24"/>
        </w:rPr>
      </w:pPr>
      <w:r>
        <w:rPr>
          <w:rFonts w:hint="eastAsia"/>
          <w:sz w:val="24"/>
        </w:rPr>
        <w:t>第五部分</w:t>
      </w:r>
      <w:r>
        <w:rPr>
          <w:sz w:val="24"/>
        </w:rPr>
        <w:t xml:space="preserve"> </w:t>
      </w:r>
      <w:r>
        <w:rPr>
          <w:rFonts w:hint="eastAsia"/>
          <w:sz w:val="24"/>
        </w:rPr>
        <w:t>附表</w:t>
      </w:r>
    </w:p>
    <w:p>
      <w:pPr>
        <w:pStyle w:val="15"/>
        <w:adjustRightInd w:val="0"/>
        <w:snapToGrid w:val="0"/>
        <w:spacing w:line="440" w:lineRule="exact"/>
        <w:jc w:val="left"/>
        <w:rPr>
          <w:sz w:val="24"/>
        </w:rPr>
      </w:pPr>
      <w:r>
        <w:rPr>
          <w:rFonts w:hint="eastAsia"/>
          <w:sz w:val="24"/>
        </w:rPr>
        <w:t>一、收入支出决算总表</w:t>
      </w:r>
    </w:p>
    <w:p>
      <w:pPr>
        <w:pStyle w:val="15"/>
        <w:adjustRightInd w:val="0"/>
        <w:snapToGrid w:val="0"/>
        <w:spacing w:line="440" w:lineRule="exact"/>
        <w:jc w:val="left"/>
        <w:rPr>
          <w:sz w:val="24"/>
        </w:rPr>
      </w:pPr>
      <w:r>
        <w:rPr>
          <w:rFonts w:hint="eastAsia"/>
          <w:sz w:val="24"/>
        </w:rPr>
        <w:t>二、收入决算表</w:t>
      </w:r>
    </w:p>
    <w:p>
      <w:pPr>
        <w:pStyle w:val="15"/>
        <w:adjustRightInd w:val="0"/>
        <w:snapToGrid w:val="0"/>
        <w:spacing w:line="440" w:lineRule="exact"/>
        <w:jc w:val="left"/>
        <w:rPr>
          <w:sz w:val="24"/>
        </w:rPr>
      </w:pPr>
      <w:r>
        <w:rPr>
          <w:rFonts w:hint="eastAsia"/>
          <w:sz w:val="24"/>
        </w:rPr>
        <w:t>三、支出决算表</w:t>
      </w:r>
    </w:p>
    <w:p>
      <w:pPr>
        <w:pStyle w:val="15"/>
        <w:adjustRightInd w:val="0"/>
        <w:snapToGrid w:val="0"/>
        <w:spacing w:line="440" w:lineRule="exact"/>
        <w:jc w:val="left"/>
        <w:rPr>
          <w:sz w:val="24"/>
        </w:rPr>
      </w:pPr>
      <w:r>
        <w:rPr>
          <w:rFonts w:hint="eastAsia"/>
          <w:sz w:val="24"/>
        </w:rPr>
        <w:t>四、财政拨款收入支出决算总表</w:t>
      </w:r>
    </w:p>
    <w:p>
      <w:pPr>
        <w:pStyle w:val="15"/>
        <w:adjustRightInd w:val="0"/>
        <w:snapToGrid w:val="0"/>
        <w:spacing w:line="440" w:lineRule="exact"/>
        <w:jc w:val="left"/>
        <w:rPr>
          <w:sz w:val="24"/>
        </w:rPr>
      </w:pPr>
      <w:r>
        <w:rPr>
          <w:rFonts w:hint="eastAsia"/>
          <w:sz w:val="24"/>
        </w:rPr>
        <w:t>五、财政拨款支出决算明细表</w:t>
      </w:r>
    </w:p>
    <w:p>
      <w:pPr>
        <w:pStyle w:val="15"/>
        <w:adjustRightInd w:val="0"/>
        <w:snapToGrid w:val="0"/>
        <w:spacing w:line="440" w:lineRule="exact"/>
        <w:jc w:val="left"/>
        <w:rPr>
          <w:sz w:val="24"/>
        </w:rPr>
      </w:pPr>
      <w:r>
        <w:rPr>
          <w:rFonts w:hint="eastAsia"/>
          <w:sz w:val="24"/>
        </w:rPr>
        <w:t>六、一般公共预算财政拨款支出决算表</w:t>
      </w:r>
    </w:p>
    <w:p>
      <w:pPr>
        <w:pStyle w:val="15"/>
        <w:adjustRightInd w:val="0"/>
        <w:snapToGrid w:val="0"/>
        <w:spacing w:line="440" w:lineRule="exact"/>
        <w:jc w:val="left"/>
        <w:rPr>
          <w:sz w:val="24"/>
        </w:rPr>
      </w:pPr>
      <w:r>
        <w:rPr>
          <w:rFonts w:hint="eastAsia"/>
          <w:sz w:val="24"/>
        </w:rPr>
        <w:t>七、一般公共预算财政拨款支出决算明细表</w:t>
      </w:r>
    </w:p>
    <w:p>
      <w:pPr>
        <w:pStyle w:val="15"/>
        <w:adjustRightInd w:val="0"/>
        <w:snapToGrid w:val="0"/>
        <w:spacing w:line="440" w:lineRule="exact"/>
        <w:jc w:val="left"/>
        <w:rPr>
          <w:sz w:val="24"/>
        </w:rPr>
      </w:pPr>
      <w:r>
        <w:rPr>
          <w:rFonts w:hint="eastAsia"/>
          <w:sz w:val="24"/>
        </w:rPr>
        <w:t>八、一般公共预算财政拨款基本支出决算明细表</w:t>
      </w:r>
    </w:p>
    <w:p>
      <w:pPr>
        <w:pStyle w:val="15"/>
        <w:adjustRightInd w:val="0"/>
        <w:snapToGrid w:val="0"/>
        <w:spacing w:line="440" w:lineRule="exact"/>
        <w:jc w:val="left"/>
        <w:rPr>
          <w:sz w:val="24"/>
        </w:rPr>
      </w:pPr>
      <w:r>
        <w:rPr>
          <w:rFonts w:hint="eastAsia"/>
          <w:sz w:val="24"/>
        </w:rPr>
        <w:t>九、一般公共预算财政拨款项目支出决算表</w:t>
      </w:r>
    </w:p>
    <w:p>
      <w:pPr>
        <w:pStyle w:val="15"/>
        <w:adjustRightInd w:val="0"/>
        <w:snapToGrid w:val="0"/>
        <w:spacing w:line="440" w:lineRule="exact"/>
        <w:jc w:val="left"/>
        <w:rPr>
          <w:sz w:val="24"/>
        </w:rPr>
      </w:pPr>
      <w:r>
        <w:rPr>
          <w:rFonts w:hint="eastAsia"/>
          <w:sz w:val="24"/>
        </w:rPr>
        <w:t>十、政府性基金预算财政拨款收入支出决算表</w:t>
      </w:r>
    </w:p>
    <w:p>
      <w:pPr>
        <w:pStyle w:val="15"/>
        <w:adjustRightInd w:val="0"/>
        <w:snapToGrid w:val="0"/>
        <w:spacing w:line="440" w:lineRule="exact"/>
        <w:jc w:val="left"/>
        <w:rPr>
          <w:sz w:val="24"/>
        </w:rPr>
      </w:pPr>
      <w:r>
        <w:rPr>
          <w:rFonts w:hint="eastAsia"/>
          <w:sz w:val="24"/>
        </w:rPr>
        <w:t>十一、国有资本经营预算财政拨款收入支出决算表</w:t>
      </w:r>
    </w:p>
    <w:p>
      <w:pPr>
        <w:pStyle w:val="15"/>
        <w:adjustRightInd w:val="0"/>
        <w:snapToGrid w:val="0"/>
        <w:spacing w:line="440" w:lineRule="exact"/>
        <w:jc w:val="left"/>
        <w:rPr>
          <w:sz w:val="24"/>
        </w:rPr>
      </w:pPr>
      <w:r>
        <w:rPr>
          <w:rFonts w:hint="eastAsia"/>
          <w:sz w:val="24"/>
        </w:rPr>
        <w:t>十二、国有资本经营预算财政拨款支出决算表</w:t>
      </w:r>
    </w:p>
    <w:p>
      <w:pPr>
        <w:pStyle w:val="15"/>
        <w:adjustRightInd w:val="0"/>
        <w:snapToGrid w:val="0"/>
        <w:spacing w:line="440" w:lineRule="exact"/>
        <w:jc w:val="left"/>
        <w:rPr>
          <w:rFonts w:asciiTheme="minorEastAsia" w:hAnsiTheme="minorEastAsia" w:eastAsiaTheme="minorEastAsia" w:cstheme="minorEastAsia"/>
          <w:sz w:val="24"/>
        </w:rPr>
      </w:pPr>
      <w:r>
        <w:rPr>
          <w:rFonts w:hint="eastAsia"/>
          <w:sz w:val="24"/>
        </w:rPr>
        <w:t>十三、财政拨款“三公”经费支出决算表</w:t>
      </w:r>
    </w:p>
    <w:p>
      <w:pPr>
        <w:rPr>
          <w:rFonts w:hint="eastAsia" w:ascii="仿宋_GB2312" w:hAnsi="仿宋_GB2312" w:eastAsia="仿宋_GB2312" w:cs="仿宋_GB2312"/>
          <w:b w:val="0"/>
          <w:bCs w:val="0"/>
          <w:color w:val="auto"/>
        </w:rPr>
      </w:pPr>
    </w:p>
    <w:sdt>
      <w:sdtPr>
        <w:rPr>
          <w:rFonts w:ascii="宋体" w:hAnsi="宋体" w:eastAsia="宋体" w:cs="Times New Roman"/>
          <w:kern w:val="2"/>
          <w:sz w:val="21"/>
          <w:szCs w:val="24"/>
          <w:lang w:val="en-US" w:eastAsia="zh-CN" w:bidi="ar-SA"/>
        </w:rPr>
        <w:id w:val="147470669"/>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b/>
            </w:rPr>
            <w:sectPr>
              <w:footerReference r:id="rId5" w:type="first"/>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sdtContent>
    </w:sdt>
    <w:p>
      <w:pPr>
        <w:pStyle w:val="4"/>
        <w:jc w:val="center"/>
        <w:rPr>
          <w:rStyle w:val="31"/>
          <w:rFonts w:hint="eastAsia" w:ascii="仿宋_GB2312" w:hAnsi="仿宋_GB2312" w:eastAsia="仿宋_GB2312" w:cs="仿宋_GB2312"/>
          <w:b w:val="0"/>
          <w:bCs w:val="0"/>
          <w:color w:val="auto"/>
          <w:sz w:val="40"/>
          <w:szCs w:val="40"/>
        </w:rPr>
      </w:pPr>
      <w:bookmarkStart w:id="16" w:name="_Toc15396599"/>
      <w:bookmarkStart w:id="17" w:name="_Toc15377196"/>
      <w:bookmarkStart w:id="18" w:name="_Toc13408"/>
      <w:r>
        <w:rPr>
          <w:rFonts w:hint="eastAsia" w:ascii="黑体" w:hAnsi="黑体" w:eastAsia="黑体" w:cs="黑体"/>
          <w:b w:val="0"/>
          <w:bCs w:val="0"/>
          <w:color w:val="auto"/>
          <w:sz w:val="40"/>
          <w:szCs w:val="40"/>
        </w:rPr>
        <w:t xml:space="preserve">第一部分 </w:t>
      </w:r>
      <w:r>
        <w:rPr>
          <w:rStyle w:val="31"/>
          <w:rFonts w:hint="eastAsia" w:ascii="黑体" w:hAnsi="黑体" w:eastAsia="黑体" w:cs="黑体"/>
          <w:b w:val="0"/>
          <w:bCs w:val="0"/>
          <w:color w:val="auto"/>
          <w:sz w:val="40"/>
          <w:szCs w:val="40"/>
        </w:rPr>
        <w:t>部门概况</w:t>
      </w:r>
      <w:bookmarkEnd w:id="16"/>
      <w:bookmarkEnd w:id="17"/>
      <w:bookmarkEnd w:id="18"/>
    </w:p>
    <w:p>
      <w:pPr>
        <w:widowControl/>
        <w:jc w:val="left"/>
        <w:rPr>
          <w:rFonts w:hint="eastAsia" w:ascii="仿宋_GB2312" w:hAnsi="仿宋_GB2312" w:eastAsia="仿宋_GB2312" w:cs="仿宋_GB2312"/>
          <w:b w:val="0"/>
          <w:bCs w:val="0"/>
          <w:color w:val="auto"/>
          <w:sz w:val="32"/>
          <w:szCs w:val="32"/>
        </w:rPr>
      </w:pPr>
    </w:p>
    <w:p>
      <w:pPr>
        <w:pStyle w:val="5"/>
        <w:rPr>
          <w:rStyle w:val="32"/>
          <w:rFonts w:hint="eastAsia" w:ascii="黑体" w:hAnsi="黑体" w:eastAsia="黑体" w:cs="黑体"/>
          <w:b w:val="0"/>
          <w:bCs w:val="0"/>
          <w:color w:val="auto"/>
          <w:lang w:val="en-US" w:eastAsia="zh-CN"/>
        </w:rPr>
      </w:pPr>
      <w:bookmarkStart w:id="19" w:name="_Toc15377197"/>
      <w:bookmarkStart w:id="20" w:name="_Toc15396600"/>
      <w:bookmarkStart w:id="21" w:name="_Toc2545"/>
      <w:r>
        <w:rPr>
          <w:rFonts w:hint="eastAsia" w:ascii="黑体" w:hAnsi="黑体" w:eastAsia="黑体" w:cs="黑体"/>
          <w:b w:val="0"/>
          <w:bCs w:val="0"/>
          <w:color w:val="auto"/>
        </w:rPr>
        <w:t>一、</w:t>
      </w:r>
      <w:bookmarkEnd w:id="19"/>
      <w:bookmarkEnd w:id="20"/>
      <w:bookmarkEnd w:id="21"/>
      <w:r>
        <w:rPr>
          <w:rFonts w:hint="eastAsia" w:ascii="黑体" w:hAnsi="黑体" w:eastAsia="黑体" w:cs="黑体"/>
          <w:b w:val="0"/>
          <w:bCs w:val="0"/>
          <w:color w:val="auto"/>
          <w:lang w:eastAsia="zh-CN"/>
        </w:rPr>
        <w:t>部门职责</w:t>
      </w:r>
    </w:p>
    <w:p>
      <w:pPr>
        <w:rPr>
          <w:rFonts w:hint="eastAsia" w:ascii="仿宋_GB2312" w:hAnsi="仿宋_GB2312" w:eastAsia="仿宋_GB2312" w:cs="仿宋_GB2312"/>
          <w:b/>
          <w:bCs/>
          <w:color w:val="000000"/>
          <w:sz w:val="32"/>
          <w:szCs w:val="32"/>
          <w:lang w:eastAsia="zh-CN"/>
        </w:rPr>
      </w:pPr>
      <w:bookmarkStart w:id="22" w:name="_Toc15378445"/>
      <w:bookmarkStart w:id="23" w:name="_Toc15377198"/>
      <w:r>
        <w:rPr>
          <w:rFonts w:hint="eastAsia" w:ascii="仿宋_GB2312" w:hAnsi="仿宋_GB2312" w:eastAsia="仿宋_GB2312" w:cs="仿宋_GB2312"/>
          <w:b/>
          <w:bCs/>
          <w:color w:val="auto"/>
          <w:sz w:val="32"/>
          <w:szCs w:val="32"/>
        </w:rPr>
        <w:t>（一）</w:t>
      </w:r>
      <w:bookmarkEnd w:id="22"/>
      <w:bookmarkEnd w:id="23"/>
      <w:bookmarkStart w:id="24" w:name="_Toc15378446"/>
      <w:bookmarkStart w:id="25" w:name="_Toc15377199"/>
      <w:r>
        <w:rPr>
          <w:rFonts w:hint="eastAsia" w:ascii="仿宋_GB2312" w:hAnsi="仿宋_GB2312" w:eastAsia="仿宋_GB2312" w:cs="仿宋_GB2312"/>
          <w:b/>
          <w:bCs/>
          <w:color w:val="auto"/>
          <w:sz w:val="32"/>
          <w:szCs w:val="32"/>
          <w:lang w:eastAsia="zh-CN"/>
        </w:rPr>
        <w:t>剑阁县住房和城乡建设局</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贯彻执行国家住房和城乡建</w:t>
      </w:r>
      <w:r>
        <w:rPr>
          <w:rFonts w:hint="eastAsia" w:ascii="仿宋_GB2312" w:hAnsi="仿宋_GB2312" w:eastAsia="仿宋_GB2312" w:cs="仿宋_GB2312"/>
          <w:sz w:val="28"/>
          <w:szCs w:val="28"/>
          <w:lang w:eastAsia="zh-CN"/>
        </w:rPr>
        <w:t>法律法规</w:t>
      </w:r>
      <w:r>
        <w:rPr>
          <w:rFonts w:hint="eastAsia" w:ascii="仿宋_GB2312" w:hAnsi="仿宋_GB2312" w:eastAsia="仿宋_GB2312" w:cs="仿宋_GB2312"/>
          <w:sz w:val="28"/>
          <w:szCs w:val="28"/>
        </w:rPr>
        <w:t>法规和方针、政策。研究拟订全县住房保障、</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"http://baike.so.com/doc/6117178.html"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工程建设</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"http://baike.so.com/doc/5414331.html"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城市建设</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、村镇建设、建筑业、房屋</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"http://baike.so.com/doc/5338327.html"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装饰装修</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业、住宅与房地产业、</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"http://baike.so.com/doc/5350465.html"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勘察设计</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咨询业、市政公用事业的政策措施，负责本系统、本部门依法行政工作，落实</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"http://baike.so.com/doc/359522.html"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行政执法</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责任制。</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承担推进住房制度改革、保障城镇中低收入家庭住房的责任。拟订全</w:t>
      </w:r>
      <w:r>
        <w:rPr>
          <w:rFonts w:hint="eastAsia" w:ascii="仿宋_GB2312" w:hAnsi="仿宋_GB2312" w:eastAsia="仿宋_GB2312" w:cs="仿宋_GB2312"/>
          <w:sz w:val="28"/>
          <w:szCs w:val="28"/>
          <w:lang w:eastAsia="zh-CN"/>
        </w:rPr>
        <w:t>县</w:t>
      </w:r>
      <w:r>
        <w:rPr>
          <w:rFonts w:hint="eastAsia" w:ascii="仿宋_GB2312" w:hAnsi="仿宋_GB2312" w:eastAsia="仿宋_GB2312" w:cs="仿宋_GB2312"/>
          <w:sz w:val="28"/>
          <w:szCs w:val="28"/>
        </w:rPr>
        <w:t>住房及住房保障相关政策并指导实施，指导住房建设和住房制度改革。拟订廉租住房规划及政策，会同有关部门做好国家、省、市有关保障性安居工程资金安排并监督组织实施。编制住房保障发展规划和年度计划并监督实施。</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组织实施工程建设实施阶段国家和省标准、全国统一定额和</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"http://baike.so.com/doc/1587706.html"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行业标准</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定额。指导监督各类工程建设标准定额的实施和工程造价计价，组织发布工程造价信息。</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承担规范</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"http://baike.so.com/doc/6216633.html"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房地产市场</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秩序、监督管理房地产市场的责任。指导城镇</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"http://baike.so.com/doc/5397946.html"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土地使用权</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有偿转让和开发利用工作，拟订房地产业的行业发展规划和产业政策，制定</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"http://baike.so.com/doc/2159303.html"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房地产开发</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、房屋权属管理、</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"http://baike.so.com/doc/6224045.html"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房屋租赁</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、房屋面积管理、危房鉴定、白蚁防治、房地产估价与经纪管理、物业管理、国有土地上房屋征收与补偿的制度规定并监督执行。</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承担监督管理建筑市场、规范市场各方主体行为的责任。综合管理和指导全市建筑活动，拟订工程建设、建筑业及装饰装修业</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"http://baike.so.com/doc/5570001.html"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发展战略</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、中长期规划、改革方案、产业政策、制度规定并监督执行。组织实施房屋和市政工程项目招标投标活动的监督执法，拟订</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"http://baike.so.com/doc/6757751.html"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建设工程</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施工、监理以及规范建筑市场各方主体行为的制度规定并监督执行。负责建筑工程质量安全的监督管理工作，拟订建筑工程质量、建筑</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"http://baike.so.com/doc/4474135.html"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安全生产</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和</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"http://baike.so.com/doc/5429973.html"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竣工验收</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备案的政策、制度规定并监督执行，组织或参与工程重大质量、</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"http://baike.so.com/doc/668884.html"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安全事故</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的调查处理。</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承担监督管理勘察设计咨询市场秩序和勘察设计咨询质量的责任。拟订工程勘察设计咨询业的发展战略、中长期规划、改革方案、产业和技术政策、制度规定并组织实施。指导建设工程抗震设防工作，组织编制并实施房屋建筑和市政设施抗震技术地方规范和标准图集，组织开展城市建筑物抗震性能普查、鉴定加固和改造工作，指导村镇和农村建设抗震工作，指导和组织灾后恢复重建工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承担指导城镇建设管理的责任。拟订城镇建设的政策、规划并组织实施，指导城镇燃气和</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"http://baike.so.com/doc/3368241.html"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垃圾处理</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等市政公用设施的建设管理，指导城镇市容环境综合整治、城建监察工作，指导城镇防汛排涝工作，指导城镇建设档案管理工作。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承担规范和指导村镇建设的责任。指导村镇规划编制、农村住房建设管理和危房改造，拟订村庄和</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"http://baike.so.com/doc/5401769.html"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小城镇建设</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政策并指导实施，指导小城镇和村庄人居生态环境的改善工作，指导和组织各类村镇建设试点工作，指导受灾村镇及国家大型重点建设项目地区村镇迁建、重建的规划建设和管理工作。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组织指导城镇园林绿化工作。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承担推进</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"http://baike.so.com/doc/5406618.html"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建筑节能</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城镇减排的责任。会同有关部门拟订建筑节能政策、规划并监督实施，组织实施重大建筑节能项目，推进城镇减排。组织实施重点科技项目的研究开发及成果转化工作，承担推进墙体材料革新的责任。负责组织实施散装水泥的推广工作。</w:t>
      </w:r>
    </w:p>
    <w:p>
      <w:pPr>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承担贯彻执行县政府非经营性</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"http://baike.so.com/doc/1263493.html"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投资项目</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“代建制”的</w:t>
      </w:r>
      <w:r>
        <w:rPr>
          <w:rFonts w:hint="eastAsia" w:ascii="仿宋_GB2312" w:hAnsi="仿宋_GB2312" w:eastAsia="仿宋_GB2312" w:cs="仿宋_GB2312"/>
          <w:sz w:val="28"/>
          <w:szCs w:val="28"/>
          <w:lang w:eastAsia="zh-CN"/>
        </w:rPr>
        <w:t>责任。</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制定城乡规划建设和住房行业</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"http://baike.so.com/doc/5023917.html"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人才培养</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、教育发展规划并组织实施，指导城乡规划建设和住房行业科技人才队伍建设、</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"http://baike.so.com/doc/198893.html"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专业技术职务</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评审和执业资格管理工作。指导监督住房和城乡建设</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"http://baike.so.com/doc/6278619.html"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行业协会</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、学会工作。开展住房和城乡建设方面的国际交流与合作，制定城乡规划建设和住房行业的科技发展规划和技术经济政策。</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rPr>
        <w:t>管理城乡规划建设住房行业的对外经济技术合作，指导企事业单位开拓县内外建筑市场和房地产市场，组织协调住房和建设企业开展对外</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"http://baike.so.com/doc/1139883.html"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工程承包</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、建筑劳务合作。</w:t>
      </w:r>
    </w:p>
    <w:p>
      <w:pPr>
        <w:spacing w:after="0" w:line="540" w:lineRule="exact"/>
        <w:ind w:firstLine="643" w:firstLineChars="200"/>
        <w:jc w:val="both"/>
        <w:rPr>
          <w:rFonts w:hint="eastAsia" w:ascii="楷体_GB2312" w:hAnsi="楷体_GB2312" w:eastAsia="楷体_GB2312" w:cs="楷体_GB2312"/>
          <w:b/>
          <w:bCs/>
          <w:spacing w:val="0"/>
          <w:kern w:val="2"/>
          <w:sz w:val="32"/>
          <w:szCs w:val="32"/>
          <w:lang w:val="en-US" w:eastAsia="zh-CN" w:bidi="ar-SA"/>
        </w:rPr>
      </w:pPr>
      <w:r>
        <w:rPr>
          <w:rFonts w:hint="eastAsia" w:ascii="楷体_GB2312" w:hAnsi="楷体_GB2312" w:eastAsia="楷体_GB2312" w:cs="楷体_GB2312"/>
          <w:b/>
          <w:bCs/>
          <w:spacing w:val="0"/>
          <w:kern w:val="2"/>
          <w:sz w:val="32"/>
          <w:szCs w:val="32"/>
          <w:lang w:val="en-US" w:eastAsia="zh-CN" w:bidi="ar-SA"/>
        </w:rPr>
        <w:t>（二）剑阁县园林绿化管理所</w:t>
      </w:r>
    </w:p>
    <w:p>
      <w:pPr>
        <w:pageBreakBefore w:val="0"/>
        <w:widowControl/>
        <w:kinsoku/>
        <w:wordWrap/>
        <w:overflowPunct/>
        <w:topLinePunct w:val="0"/>
        <w:autoSpaceDE/>
        <w:autoSpaceDN/>
        <w:bidi w:val="0"/>
        <w:spacing w:line="616" w:lineRule="exact"/>
        <w:ind w:left="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剑阁县园林绿化管理所的主要职责是依据《中华人民共和国城市绿化条例》和《四川省城市园林绿化条例》，行使职责。</w:t>
      </w:r>
    </w:p>
    <w:p>
      <w:pPr>
        <w:pageBreakBefore w:val="0"/>
        <w:widowControl/>
        <w:kinsoku/>
        <w:wordWrap/>
        <w:overflowPunct/>
        <w:topLinePunct w:val="0"/>
        <w:autoSpaceDE/>
        <w:autoSpaceDN/>
        <w:bidi w:val="0"/>
        <w:spacing w:line="616" w:lineRule="exact"/>
        <w:ind w:left="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1.贯彻执行中央、省、市、县有关</w:t>
      </w:r>
      <w:r>
        <w:rPr>
          <w:rFonts w:hint="eastAsia" w:ascii="仿宋" w:hAnsi="仿宋" w:eastAsia="仿宋" w:cs="仿宋"/>
          <w:sz w:val="32"/>
          <w:szCs w:val="32"/>
          <w:lang w:eastAsia="zh-CN"/>
        </w:rPr>
        <w:t>法律法规</w:t>
      </w:r>
      <w:r>
        <w:rPr>
          <w:rFonts w:hint="eastAsia" w:ascii="仿宋" w:hAnsi="仿宋" w:eastAsia="仿宋" w:cs="仿宋"/>
          <w:sz w:val="32"/>
          <w:szCs w:val="32"/>
        </w:rPr>
        <w:t>、政策，拟定地方性法规和规章，并组织实施。</w:t>
      </w:r>
    </w:p>
    <w:p>
      <w:pPr>
        <w:pageBreakBefore w:val="0"/>
        <w:widowControl/>
        <w:kinsoku/>
        <w:wordWrap/>
        <w:overflowPunct/>
        <w:topLinePunct w:val="0"/>
        <w:autoSpaceDE/>
        <w:autoSpaceDN/>
        <w:bidi w:val="0"/>
        <w:spacing w:line="616" w:lineRule="exact"/>
        <w:ind w:left="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2.根据城市总体规划、协助规划部门具体组织编制好《城市绿地系统规划》</w:t>
      </w:r>
      <w:r>
        <w:rPr>
          <w:rFonts w:hint="eastAsia" w:ascii="仿宋" w:hAnsi="仿宋" w:eastAsia="仿宋" w:cs="仿宋"/>
          <w:sz w:val="32"/>
          <w:szCs w:val="32"/>
          <w:lang w:eastAsia="zh-CN"/>
        </w:rPr>
        <w:t>，</w:t>
      </w:r>
      <w:r>
        <w:rPr>
          <w:rFonts w:hint="eastAsia" w:ascii="仿宋" w:hAnsi="仿宋" w:eastAsia="仿宋" w:cs="仿宋"/>
          <w:sz w:val="32"/>
          <w:szCs w:val="32"/>
        </w:rPr>
        <w:t>并负责监督实施。</w:t>
      </w:r>
    </w:p>
    <w:p>
      <w:pPr>
        <w:pageBreakBefore w:val="0"/>
        <w:widowControl/>
        <w:kinsoku/>
        <w:wordWrap/>
        <w:overflowPunct/>
        <w:topLinePunct w:val="0"/>
        <w:autoSpaceDE/>
        <w:autoSpaceDN/>
        <w:bidi w:val="0"/>
        <w:spacing w:line="616" w:lineRule="exact"/>
        <w:ind w:left="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3.负责对全县新建、改建工程项目和开发区项目的配套绿化指标和配套绿化工</w:t>
      </w:r>
      <w:r>
        <w:rPr>
          <w:rFonts w:hint="eastAsia" w:ascii="仿宋" w:hAnsi="仿宋" w:eastAsia="仿宋" w:cs="仿宋"/>
          <w:sz w:val="32"/>
          <w:szCs w:val="32"/>
          <w:lang w:eastAsia="zh-CN"/>
        </w:rPr>
        <w:t>程设</w:t>
      </w:r>
      <w:r>
        <w:rPr>
          <w:rFonts w:hint="eastAsia" w:ascii="仿宋" w:hAnsi="仿宋" w:eastAsia="仿宋" w:cs="仿宋"/>
          <w:sz w:val="32"/>
          <w:szCs w:val="32"/>
        </w:rPr>
        <w:t>计方案及改变绿化规划用地性质进行审批。</w:t>
      </w:r>
    </w:p>
    <w:p>
      <w:pPr>
        <w:pageBreakBefore w:val="0"/>
        <w:widowControl/>
        <w:kinsoku/>
        <w:wordWrap/>
        <w:overflowPunct/>
        <w:topLinePunct w:val="0"/>
        <w:autoSpaceDE/>
        <w:autoSpaceDN/>
        <w:bidi w:val="0"/>
        <w:spacing w:line="616" w:lineRule="exact"/>
        <w:ind w:left="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4.负责园林绿化工程监督管理、严格执行绿线管理制度。</w:t>
      </w:r>
    </w:p>
    <w:p>
      <w:pPr>
        <w:pageBreakBefore w:val="0"/>
        <w:widowControl/>
        <w:kinsoku/>
        <w:wordWrap/>
        <w:overflowPunct/>
        <w:topLinePunct w:val="0"/>
        <w:autoSpaceDE/>
        <w:autoSpaceDN/>
        <w:bidi w:val="0"/>
        <w:spacing w:line="616" w:lineRule="exact"/>
        <w:ind w:left="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5.监督检查城市古树名木的保护与管理。</w:t>
      </w:r>
    </w:p>
    <w:p>
      <w:pPr>
        <w:pageBreakBefore w:val="0"/>
        <w:widowControl/>
        <w:kinsoku/>
        <w:wordWrap/>
        <w:overflowPunct/>
        <w:topLinePunct w:val="0"/>
        <w:autoSpaceDE/>
        <w:autoSpaceDN/>
        <w:bidi w:val="0"/>
        <w:spacing w:line="616" w:lineRule="exact"/>
        <w:ind w:left="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6.宝龙山公园的日常运行，维护管理。</w:t>
      </w:r>
    </w:p>
    <w:p>
      <w:pPr>
        <w:spacing w:after="0" w:line="540" w:lineRule="exact"/>
        <w:ind w:firstLine="643" w:firstLineChars="200"/>
        <w:jc w:val="both"/>
        <w:rPr>
          <w:rFonts w:hint="eastAsia" w:ascii="楷体_GB2312" w:hAnsi="楷体_GB2312" w:eastAsia="楷体_GB2312" w:cs="楷体_GB2312"/>
          <w:b/>
          <w:bCs/>
          <w:spacing w:val="0"/>
          <w:kern w:val="2"/>
          <w:sz w:val="32"/>
          <w:szCs w:val="32"/>
          <w:lang w:val="en-US" w:eastAsia="zh-CN" w:bidi="ar-SA"/>
        </w:rPr>
      </w:pPr>
      <w:r>
        <w:rPr>
          <w:rFonts w:hint="eastAsia" w:ascii="楷体_GB2312" w:hAnsi="楷体_GB2312" w:eastAsia="楷体_GB2312" w:cs="楷体_GB2312"/>
          <w:b/>
          <w:bCs/>
          <w:spacing w:val="0"/>
          <w:kern w:val="2"/>
          <w:sz w:val="32"/>
          <w:szCs w:val="32"/>
          <w:lang w:val="en-US" w:eastAsia="zh-CN" w:bidi="ar-SA"/>
        </w:rPr>
        <w:t>（三）剑阁县住房保障中心</w:t>
      </w:r>
    </w:p>
    <w:p>
      <w:pPr>
        <w:widowControl/>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1、负责拟定全县保障性住房规划编制及政策、实物配租和租赁补贴工作，着力解决中等收入家庭住房困难问题。</w:t>
      </w:r>
    </w:p>
    <w:p>
      <w:pPr>
        <w:widowControl/>
        <w:spacing w:line="560" w:lineRule="exact"/>
        <w:ind w:firstLine="640" w:firstLineChars="200"/>
        <w:rPr>
          <w:color w:val="000000"/>
          <w:sz w:val="32"/>
          <w:szCs w:val="32"/>
        </w:rPr>
      </w:pPr>
      <w:r>
        <w:rPr>
          <w:rFonts w:hint="eastAsia" w:ascii="仿宋_GB2312" w:eastAsia="仿宋_GB2312"/>
          <w:color w:val="000000"/>
          <w:kern w:val="0"/>
          <w:sz w:val="32"/>
          <w:szCs w:val="32"/>
        </w:rPr>
        <w:t>2、负责全县城镇危旧房棚户区改造的规划编制和协调、指导、监督检查工作</w:t>
      </w:r>
      <w:r>
        <w:rPr>
          <w:rFonts w:ascii="仿宋_GB2312" w:eastAsia="仿宋_GB2312"/>
          <w:color w:val="000000"/>
          <w:kern w:val="0"/>
          <w:sz w:val="32"/>
          <w:szCs w:val="32"/>
        </w:rPr>
        <w:t>。</w:t>
      </w:r>
      <w:r>
        <w:rPr>
          <w:rFonts w:ascii="仿宋_GB2312" w:eastAsia="仿宋_GB2312"/>
          <w:color w:val="000000"/>
          <w:kern w:val="0"/>
          <w:sz w:val="32"/>
          <w:szCs w:val="32"/>
        </w:rPr>
        <w:br w:type="textWrapping"/>
      </w:r>
      <w:r>
        <w:rPr>
          <w:rFonts w:hint="eastAsia" w:ascii="仿宋_GB2312" w:eastAsia="仿宋_GB2312"/>
          <w:color w:val="000000"/>
          <w:kern w:val="0"/>
          <w:sz w:val="32"/>
          <w:szCs w:val="32"/>
        </w:rPr>
        <w:t xml:space="preserve">    3、负责县政府投资的保障性住房租金的收缴与管理监督工作</w:t>
      </w:r>
      <w:r>
        <w:rPr>
          <w:rFonts w:ascii="仿宋_GB2312" w:eastAsia="仿宋_GB2312"/>
          <w:color w:val="000000"/>
          <w:kern w:val="0"/>
          <w:sz w:val="32"/>
          <w:szCs w:val="32"/>
        </w:rPr>
        <w:t>。</w:t>
      </w:r>
      <w:r>
        <w:rPr>
          <w:rFonts w:ascii="仿宋_GB2312" w:eastAsia="仿宋_GB2312"/>
          <w:color w:val="000000"/>
          <w:kern w:val="0"/>
          <w:sz w:val="32"/>
          <w:szCs w:val="32"/>
        </w:rPr>
        <w:br w:type="textWrapping"/>
      </w:r>
      <w:r>
        <w:rPr>
          <w:rFonts w:hint="eastAsia" w:ascii="仿宋_GB2312" w:eastAsia="仿宋_GB2312"/>
          <w:color w:val="000000"/>
          <w:kern w:val="0"/>
          <w:sz w:val="32"/>
          <w:szCs w:val="32"/>
        </w:rPr>
        <w:t xml:space="preserve">    4、负责政府投资的保障性住房的资产管理及房屋维护、维修工作。以市场化的方式选择保障性住房小区的物业服务企业和维修企业</w:t>
      </w:r>
      <w:r>
        <w:rPr>
          <w:rFonts w:ascii="仿宋_GB2312" w:eastAsia="仿宋_GB2312"/>
          <w:color w:val="000000"/>
          <w:kern w:val="0"/>
          <w:sz w:val="32"/>
          <w:szCs w:val="32"/>
        </w:rPr>
        <w:t>。</w:t>
      </w:r>
      <w:r>
        <w:rPr>
          <w:rFonts w:ascii="仿宋_GB2312" w:eastAsia="仿宋_GB2312"/>
          <w:color w:val="000000"/>
          <w:kern w:val="0"/>
          <w:sz w:val="32"/>
          <w:szCs w:val="32"/>
        </w:rPr>
        <w:br w:type="textWrapping"/>
      </w:r>
      <w:r>
        <w:rPr>
          <w:rFonts w:hint="eastAsia" w:ascii="仿宋_GB2312" w:eastAsia="仿宋_GB2312"/>
          <w:color w:val="000000"/>
          <w:kern w:val="0"/>
          <w:sz w:val="32"/>
          <w:szCs w:val="32"/>
        </w:rPr>
        <w:t xml:space="preserve">    5、负责全县保障性安居工程建设资金的筹措和管理。 </w:t>
      </w:r>
    </w:p>
    <w:p>
      <w:pPr>
        <w:pStyle w:val="8"/>
        <w:adjustRightInd w:val="0"/>
        <w:snapToGrid w:val="0"/>
        <w:spacing w:before="93" w:line="600" w:lineRule="exact"/>
        <w:ind w:firstLine="675" w:firstLineChars="210"/>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二</w:t>
      </w:r>
      <w:r>
        <w:rPr>
          <w:rFonts w:hint="eastAsia" w:hAnsi="仿宋_GB2312" w:cs="仿宋_GB2312"/>
          <w:b/>
          <w:bCs/>
          <w:color w:val="auto"/>
          <w:sz w:val="32"/>
          <w:szCs w:val="32"/>
          <w:lang w:eastAsia="zh-CN"/>
        </w:rPr>
        <w:t>、</w:t>
      </w:r>
      <w:r>
        <w:rPr>
          <w:rFonts w:hint="eastAsia" w:ascii="仿宋_GB2312" w:hAnsi="仿宋_GB2312" w:eastAsia="仿宋_GB2312" w:cs="仿宋_GB2312"/>
          <w:b/>
          <w:bCs/>
          <w:color w:val="auto"/>
          <w:sz w:val="32"/>
          <w:szCs w:val="32"/>
        </w:rPr>
        <w:t>202</w:t>
      </w:r>
      <w:r>
        <w:rPr>
          <w:rFonts w:hint="eastAsia" w:hAnsi="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年重点工作。</w:t>
      </w:r>
      <w:bookmarkEnd w:id="24"/>
      <w:bookmarkEnd w:id="25"/>
    </w:p>
    <w:p>
      <w:pPr>
        <w:pStyle w:val="8"/>
        <w:adjustRightInd w:val="0"/>
        <w:snapToGrid w:val="0"/>
        <w:spacing w:before="93" w:line="600" w:lineRule="exact"/>
        <w:ind w:firstLine="672" w:firstLineChars="210"/>
        <w:outlineLvl w:val="2"/>
        <w:rPr>
          <w:rFonts w:hint="eastAsia" w:ascii="仿宋_GB2312" w:hAnsi="仿宋_GB2312" w:eastAsia="仿宋_GB2312" w:cs="仿宋_GB2312"/>
          <w:b/>
          <w:bCs/>
          <w:color w:val="auto"/>
          <w:sz w:val="32"/>
          <w:szCs w:val="32"/>
          <w:lang w:val="en-US" w:eastAsia="zh-CN"/>
        </w:rPr>
      </w:pPr>
      <w:r>
        <w:rPr>
          <w:rFonts w:hint="eastAsia" w:hAnsi="仿宋_GB2312" w:cs="仿宋_GB2312"/>
          <w:b w:val="0"/>
          <w:bCs w:val="0"/>
          <w:color w:val="auto"/>
          <w:sz w:val="32"/>
          <w:szCs w:val="32"/>
          <w:lang w:val="en-US" w:eastAsia="zh-CN"/>
        </w:rPr>
        <w:t>（一）</w:t>
      </w:r>
      <w:r>
        <w:rPr>
          <w:rFonts w:hint="eastAsia" w:ascii="仿宋_GB2312" w:hAnsi="仿宋_GB2312" w:eastAsia="仿宋_GB2312" w:cs="仿宋_GB2312"/>
          <w:b/>
          <w:bCs/>
          <w:color w:val="auto"/>
          <w:sz w:val="32"/>
          <w:szCs w:val="32"/>
          <w:lang w:val="en-US" w:eastAsia="zh-CN"/>
        </w:rPr>
        <w:t>住房和城乡建设局</w:t>
      </w:r>
    </w:p>
    <w:p>
      <w:pPr>
        <w:pStyle w:val="8"/>
        <w:adjustRightInd w:val="0"/>
        <w:snapToGrid w:val="0"/>
        <w:spacing w:before="93" w:line="600" w:lineRule="exact"/>
        <w:ind w:firstLine="672" w:firstLineChars="210"/>
        <w:outlineLvl w:val="2"/>
        <w:rPr>
          <w:rFonts w:hint="eastAsia" w:ascii="仿宋_GB2312" w:hAnsi="仿宋_GB2312" w:eastAsia="仿宋_GB2312" w:cs="仿宋_GB2312"/>
          <w:b w:val="0"/>
          <w:bCs w:val="0"/>
          <w:color w:val="auto"/>
          <w:sz w:val="32"/>
          <w:szCs w:val="32"/>
        </w:rPr>
      </w:pPr>
      <w:r>
        <w:rPr>
          <w:rFonts w:hint="eastAsia" w:hAnsi="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lang w:eastAsia="zh-CN"/>
        </w:rPr>
        <w:t>全年</w:t>
      </w:r>
      <w:r>
        <w:rPr>
          <w:rFonts w:hint="eastAsia" w:ascii="仿宋_GB2312" w:hAnsi="仿宋_GB2312" w:eastAsia="仿宋_GB2312" w:cs="仿宋_GB2312"/>
          <w:b w:val="0"/>
          <w:bCs w:val="0"/>
          <w:color w:val="auto"/>
          <w:sz w:val="32"/>
          <w:szCs w:val="32"/>
        </w:rPr>
        <w:t>完成固定资产投资15.5亿元，现在库项目14个年内可调度1.9亿元，全年可完成固定资产投资累计约17.4亿元，占全年任务的102.35%。非税收入力争完成1022.52万元，占全年任务的80%。向上争取资金3.7亿元，占全年任务的80.4%。前三季度完成建筑业产值14.3亿元，实现同比增长27%，预计全年完成建筑业总产值22.3亿元，同比增长35%。培育资质建筑企业15家，超额完成任务12家。商品房销售面积18.97万平方米，同比增幅34.9%，房地产从业人员工资总额增长49.8%。培育房地产企业2家，超额完成任务1家。</w:t>
      </w:r>
    </w:p>
    <w:p>
      <w:pPr>
        <w:pStyle w:val="8"/>
        <w:adjustRightInd w:val="0"/>
        <w:snapToGrid w:val="0"/>
        <w:spacing w:before="93" w:line="600" w:lineRule="exact"/>
        <w:ind w:firstLine="672" w:firstLineChars="210"/>
        <w:outlineLvl w:val="2"/>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坚持住有所居，住房保障体系逐步完善。一是房地产开发有序推进。名洲缘、卓锦城二期、佳源广场已完工入住，佳源·翰林苑竣工交付投入使用，卓锦城三期即将完工进行验收，巴蜀广场、天赐·玺悦滨江以及普安镇三江水岸启动建设并实现封顶；普安镇</w:t>
      </w:r>
      <w:r>
        <w:rPr>
          <w:rFonts w:hint="eastAsia" w:hAnsi="仿宋_GB2312" w:cs="仿宋_GB2312"/>
          <w:b w:val="0"/>
          <w:bCs w:val="0"/>
          <w:color w:val="auto"/>
          <w:sz w:val="32"/>
          <w:szCs w:val="32"/>
          <w:lang w:eastAsia="zh-CN"/>
        </w:rPr>
        <w:t>时代广场</w:t>
      </w:r>
      <w:r>
        <w:rPr>
          <w:rFonts w:hint="eastAsia" w:ascii="仿宋_GB2312" w:hAnsi="仿宋_GB2312" w:eastAsia="仿宋_GB2312" w:cs="仿宋_GB2312"/>
          <w:b w:val="0"/>
          <w:bCs w:val="0"/>
          <w:color w:val="auto"/>
          <w:sz w:val="32"/>
          <w:szCs w:val="32"/>
        </w:rPr>
        <w:t>项目正有序推进，普安镇一品居、天立国际配套商住项目全面恢复施工，巴蜀广场二期、毛巾床单厂（城南9号）现已开工建设。二是加大问题楼盘化解力度。全县26个遗留问题楼盘项目，已结案销号16个，结案率61.5%，1823户将办结产权证。其中：问题楼盘13个，已结案销号5个，结案率46.1%；办证楼盘13个，已结案销号11个，结案率84.6%。三是加大老旧城区改造力度。2020年改造的普安镇小玲珑、鼓楼社区102个小区全面完工。2021年新开工改造的普安镇较场坝、卧龙社区老旧小区62个，正在施工中。大仓坝、高铁片区棚户区改造项目全面启动，正在加快房屋基础工程建设，文旅体局北侧棚改项目法院地块和安置地块完成拆迁工作，率先向县政府移交净地。四是提升物业行业管理水平。充分发挥全县物业行业综合党委示范引领作用，积极探索小区管理、纠纷化解共治共享治理体系，明珠尚城“红色物业”示范小区基础设施建设、组织机构建设等工作有序推进，为全县社区治理提供实践模板。加强物业企业的监督管理，推行信用惩戒机制，对管理中存在问题的物业企业实行信用扣分，约谈了4家物业公司。五是提升保障性住房管理水平。加强公租房动态核查，依法规范公租房退出程序，提高公租房流转效率，积极推行住房智慧管理系统，全面启动东滨人家、三江花园、康居人家、剑门人家保障性住房智慧管理，加强了对承租户和进出人员的管理。加大对违规占用保障性住房的清理整治工作，查出问题线索涉及600余户、1084条，其中：有企业登记96条、重复享受住房和租赁补贴16条、有房产登记691条、有车辆登记281条。已完成问题线索整治261户、641条。加大租赁补贴发放力度，全年发放公共租赁住房补贴2049户，通过“惠民一卡通”平台打卡直发租赁补贴资金93.73万元。</w:t>
      </w:r>
    </w:p>
    <w:p>
      <w:pPr>
        <w:pStyle w:val="8"/>
        <w:adjustRightInd w:val="0"/>
        <w:snapToGrid w:val="0"/>
        <w:spacing w:before="93" w:line="600" w:lineRule="exact"/>
        <w:ind w:firstLine="672" w:firstLineChars="210"/>
        <w:outlineLvl w:val="2"/>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加快城市基础设施建设，综合承载能力不断提升。一是加大项目策划包装储备力度。紧盯“十四五”规划、“一带一路”建设、长江经济带发展、成渝地区双城经济圈建设等重大国家战略机遇，完成剑阁县城镇市政基础设施建设“十四五”规划编制，精心谋划包装城市供水（水源地置换）、宝龙大桥（天赐温泉-文旅体局）、宝龙新区市政基础设施项目、城市更新补短等一批政策支持大、关联度高、辐射力强的重大项目，确保常态化储备项目投资100亿元以上。二是加大县城基础设施建设力度。天立教育园区市政设施项目学友路完工投入使用；下寺中路进入路面施工阶段；诸葛桥续建项目全面完工；总投资12.8亿元宝龙山职教园区及配套基础设施项目，成功纳入国家重大项目“盘子”， 三年将到位专项债券资金7亿元，现已到位1.57亿元；天赐温泉等5个城市内涝点综合整治加快推进；县城污水处理厂提标升级项目已开工建设。三是保障市政基础设施运行安全。统筹推进城市道路、桥梁、供排水、城市照明、园林绿化、城市公园等市政基础设施巡查维护管理，保障市政基础设施完好率达95%以上。全年累计更换或修复窨井盖（水篦子）157个，修复人行道890平方米，修补破损车行路面1410平方米，对县城区600余亩公共绿地进行病虫害防治、修剪、浇水、涂白等维护，完成水映长岛河堤段、影视文化中心、实验小学、高速出口4个点位应急施工任务。</w:t>
      </w:r>
    </w:p>
    <w:p>
      <w:pPr>
        <w:pStyle w:val="8"/>
        <w:adjustRightInd w:val="0"/>
        <w:snapToGrid w:val="0"/>
        <w:spacing w:before="93" w:line="600" w:lineRule="exact"/>
        <w:ind w:firstLine="672" w:firstLineChars="210"/>
        <w:outlineLvl w:val="2"/>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rPr>
        <w:t>加强行业监管，推进建筑业高质量发展 。一是培育和壮大建筑业企业。按照“做大、做优、做强”原则，加大对建筑业企业转型发展指导、协调和支持力度，鼓励建筑企业提质增效和上档升级，新培育建筑资质企业15家。二是不断优化营商环境，纵深推进工程建设项目审批制度改革。狠抓“全流程审批50个工作日”改革各项任务落地落实，精简审批事项条件、简化施工许可证办理程序，全面加强工程项目审批系统（2.0版）本地化建设，推动实现所有工程建设项目审批涉及的事项100%上网运行。优化“获得用水用气指标”，按照“三标一网”的要求，压缩用水用气报装时间，公开价格信息，推动用水用气报装报验“网上运行”。三是加强房屋与市政基础设施建筑市场管理。持续推进招投标领域突出问题系统治理，建筑业市场环境不断规范。对住建系统2019年1月以来公开招标的30个房屋和市政工程项目重点核查18个，核查比例60%，处理2020年市纪委转办案件，处罚金50余万元。对全县15家招标代理机构、从业人员进行全面摸排，严格执行《四川省工程建设项目招标代理机构信用记录管理办法（试行）》，对照招标代理机构信用信息量化评价标准进行信用加减分管理，推进全县工程建设项目招标代理行业信用体系建设，促进招标代理行业高质量发展。持续开展根治欠薪专项行动，严格落实农民工工资实名制制度，落实新开工的24个建设项目缴纳农民工工资保证金1921.17万元，加强恶意拖欠农民工工资整治，协助县人力资源和社会保障局处理有关农民工工资纠纷3起。四是建筑领域安全质量监管到位。202</w:t>
      </w:r>
      <w:r>
        <w:rPr>
          <w:rFonts w:hint="eastAsia" w:hAnsi="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新办工程质量安全监督项目24个，新增建筑面积27.86万平方米，受监率100%，工程质量合格率100%。深入开展安全生产专项整治三年行动集中攻坚，全面落实行政执法“三项制度”，进一步健全“双随机、一公开”监管机制，不断压实五方主体责任，加大违法违规行为处罚力度。发出停工通知书7份，整改通知书50份，督办施工许可手续通知书8份。开展违法违规建设工程项目查处、建筑节能、抗震设防、施工质量和施工现场安全文明施工管理及汛期施工、环境扬尘和噪音的专项治理，质量安全监管到位。五是加强燃气管理和消防审验监管。完成燃气和建筑消防事务中心挂牌运行。编制全县燃气安全事故应急预案，召开安全生产会议5次，林区输配气管道森林防火专题会议2次，应急演练1次，开展城镇燃气安全隐患专项排查整治4次，下达整改通知书10份，督促燃气企业落实安全生产主体责任，提升燃气监管水平；扎实开展建设工程消防设计审查验收工作，202</w:t>
      </w:r>
      <w:r>
        <w:rPr>
          <w:rFonts w:hint="eastAsia" w:hAnsi="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受理建设工程消防设计审查验收备案39件；会同县经信科局联合对全县成品油经营企业（加油站）42家，化工、烟花爆竹企业6家随机抽查检查，下发整改通知书2份，取缔了下寺镇北温泉旁液化石油气钢瓶储存点；加快推进非居民用气可燃气体报警装置安装工作。六是疫情防控工作有序推进。在办公场所、房地产企业、在建工地、物业小区等场所悬挂张贴宣传疫情防控标语，严格落实测温、扫码、外来人员登记等防控措施，全面开展物业小区、在建工地的疫情防控风险排查。组织住建系统全体干部职工及建筑企业职工进行新冠接种疫苗工作，机关105人接种疫苗，达到全覆盖。</w:t>
      </w:r>
    </w:p>
    <w:p>
      <w:pPr>
        <w:pStyle w:val="8"/>
        <w:adjustRightInd w:val="0"/>
        <w:snapToGrid w:val="0"/>
        <w:spacing w:before="93" w:line="600" w:lineRule="exact"/>
        <w:ind w:firstLine="672" w:firstLineChars="210"/>
        <w:outlineLvl w:val="2"/>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统筹村镇发展，助力乡村振兴有效衔接。一是着力推动中心镇改革发展。成功将普安镇、白龙镇等2个乡镇纳入“省级百强中心镇”候选名单，起草《剑阁县中心镇培育创建工作方案》，202</w:t>
      </w:r>
      <w:r>
        <w:rPr>
          <w:rFonts w:hint="eastAsia" w:hAnsi="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年底申请对普安镇进行验收。二是巩固拓展</w:t>
      </w:r>
      <w:bookmarkStart w:id="108" w:name="_GoBack"/>
      <w:bookmarkEnd w:id="108"/>
      <w:r>
        <w:rPr>
          <w:rFonts w:hint="eastAsia" w:ascii="仿宋_GB2312" w:hAnsi="仿宋_GB2312" w:eastAsia="仿宋_GB2312" w:cs="仿宋_GB2312"/>
          <w:b w:val="0"/>
          <w:bCs w:val="0"/>
          <w:color w:val="auto"/>
          <w:sz w:val="32"/>
          <w:szCs w:val="32"/>
        </w:rPr>
        <w:t>脱贫攻坚成果同乡村振兴有效衔接住房安全保障。对全县脱贫不稳定户、边缘易致贫户、严重困难户等951户对象的住房安全变化情况重点关注，并对全县128926户农村房屋建筑进行排查整治，完成60户存在安全隐患房屋的整治。三是持续做好农村危房改造。省下达农村危房改造任务123户，补助资金307.5万元，已全面开工建设，已竣工89户，2022年3月底前全部完工入住。市下达我县202</w:t>
      </w:r>
      <w:r>
        <w:rPr>
          <w:rFonts w:hint="eastAsia" w:hAnsi="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农村土坯房改造任务1367户全部完工。四是加强传统村落乡土建筑保护。启动了全县21处历史建筑三维测绘建档工作，已完成外业扫描15处、绘图5处、档案制作3处；对秀钟乡青岭村部分年久失修的历史建筑进行了抢救性保护。五是加强城镇污水处理设施建设运行。木马镇等7个建制镇污水处理设施及管网建设项目主体工程已进入尾声，力争2022年6月底全面完工，届时我县将实现建制镇污水处理设施全覆盖。组建技术指导小组、落实运行经费，切实保障白龙镇等14处未纳入财政预算的污水处理设施正常运行。</w:t>
      </w:r>
    </w:p>
    <w:p>
      <w:pPr>
        <w:pStyle w:val="8"/>
        <w:adjustRightInd w:val="0"/>
        <w:snapToGrid w:val="0"/>
        <w:spacing w:before="93" w:line="600" w:lineRule="exact"/>
        <w:ind w:firstLine="672" w:firstLineChars="210"/>
        <w:outlineLvl w:val="2"/>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6.</w:t>
      </w:r>
      <w:r>
        <w:rPr>
          <w:rFonts w:hint="eastAsia" w:ascii="仿宋_GB2312" w:hAnsi="仿宋_GB2312" w:eastAsia="仿宋_GB2312" w:cs="仿宋_GB2312"/>
          <w:b w:val="0"/>
          <w:bCs w:val="0"/>
          <w:color w:val="auto"/>
          <w:sz w:val="32"/>
          <w:szCs w:val="32"/>
        </w:rPr>
        <w:t>加强队伍建设，推进全面从严治党纵深发展。一是全面加强政治、理论建设。大力推进党史学习教育，通过会议集中学习和个人自学相结合、座谈交流与心得分享相结合等方式有力</w:t>
      </w:r>
      <w:r>
        <w:rPr>
          <w:rFonts w:hint="eastAsia" w:hAnsi="仿宋_GB2312" w:cs="仿宋_GB2312"/>
          <w:b w:val="0"/>
          <w:bCs w:val="0"/>
          <w:color w:val="auto"/>
          <w:sz w:val="32"/>
          <w:szCs w:val="32"/>
          <w:lang w:eastAsia="zh-CN"/>
        </w:rPr>
        <w:t>地</w:t>
      </w:r>
      <w:r>
        <w:rPr>
          <w:rFonts w:hint="eastAsia" w:ascii="仿宋_GB2312" w:hAnsi="仿宋_GB2312" w:eastAsia="仿宋_GB2312" w:cs="仿宋_GB2312"/>
          <w:b w:val="0"/>
          <w:bCs w:val="0"/>
          <w:color w:val="auto"/>
          <w:sz w:val="32"/>
          <w:szCs w:val="32"/>
        </w:rPr>
        <w:t>促进了干部职工学习的自觉性。推广“互联网+党建”学习模式，党员干部职工充分利用“学习强国”APP加强学习，将党史学习教育贯穿202</w:t>
      </w:r>
      <w:r>
        <w:rPr>
          <w:rFonts w:hint="eastAsia" w:hAnsi="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年全年，组织全体党员利用“党员活动日</w:t>
      </w:r>
      <w:r>
        <w:rPr>
          <w:rFonts w:hint="eastAsia" w:hAnsi="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周三夜学”等契机不断加强理论学习，重点学习《中国共产党简史》《论中国共产党历史》《习近平新时代中国特色社会主义思想学习问答》等党史知识。通过坚持读原著、学原文、悟原理，全体干部职工不断加强党的理论武装，切实增强“四个意识”、坚定“四个自信”、做到“两个维护”，不断提高政治判断力、政治领悟力、政治执行力。今年以来，共开展“党员活动日”活动4次，党员集中培训教育5次。二是加强组织和干部队伍建设。今年对项目办负责人进行了调整，充实了重要股室人员。三是扎实推进意识形态工作。严格按照县委宣传部和组织部关于意识形态工作的要求，落实意识形态工作责任制，健全完善工作体制机制，加强意识形态阵地管理，严格落实对外公开信息发布审核制度。四是持续深化党风廉政建设。局党组召开党风廉政建设警示教育会5次，通过集中学习典型违纪违规案例，观看警示教育片，引导全体干部职工从反面典型中吸取教训、引以为戒、警钟长鸣，时刻紧绷廉洁自律这根弦，树牢作风建设永远在路上的思想认识。五是持续深化“细胞强健”工程。认真按照“坚持标准、保证质量、改善结构、慎重发展”的方针，严格制度，规范程序，严把党员入口关，做到发展党员流程清晰、档案规范、质量可控、责任可查，切实提高发展党员“含金量”。</w:t>
      </w:r>
    </w:p>
    <w:p>
      <w:pPr>
        <w:pStyle w:val="8"/>
        <w:adjustRightInd w:val="0"/>
        <w:snapToGrid w:val="0"/>
        <w:spacing w:before="93" w:line="600" w:lineRule="exact"/>
        <w:ind w:firstLine="675" w:firstLineChars="21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（二）园林绿化管理所</w:t>
      </w:r>
    </w:p>
    <w:p>
      <w:pPr>
        <w:keepNext w:val="0"/>
        <w:keepLines w:val="0"/>
        <w:pageBreakBefore w:val="0"/>
        <w:widowControl w:val="0"/>
        <w:numPr>
          <w:ilvl w:val="0"/>
          <w:numId w:val="0"/>
        </w:numPr>
        <w:kinsoku/>
        <w:wordWrap/>
        <w:overflowPunct/>
        <w:topLinePunct w:val="0"/>
        <w:autoSpaceDE/>
        <w:autoSpaceDN/>
        <w:bidi w:val="0"/>
        <w:adjustRightInd/>
        <w:snapToGrid/>
        <w:spacing w:line="616" w:lineRule="exact"/>
        <w:ind w:left="0" w:firstLine="643" w:firstLineChars="200"/>
        <w:jc w:val="both"/>
        <w:textAlignment w:val="auto"/>
        <w:rPr>
          <w:rStyle w:val="41"/>
          <w:rFonts w:hint="default" w:ascii="仿宋_GB2312" w:eastAsia="仿宋_GB2312"/>
          <w:sz w:val="32"/>
          <w:szCs w:val="32"/>
          <w:lang w:val="en-US" w:eastAsia="zh-CN"/>
        </w:rPr>
      </w:pPr>
      <w:r>
        <w:rPr>
          <w:rStyle w:val="41"/>
          <w:rFonts w:hint="eastAsia" w:ascii="仿宋" w:hAnsi="仿宋" w:eastAsia="仿宋" w:cs="仿宋"/>
          <w:b/>
          <w:bCs/>
          <w:sz w:val="32"/>
          <w:szCs w:val="32"/>
          <w:lang w:val="en-US" w:eastAsia="zh-CN"/>
        </w:rPr>
        <w:t>1、城</w:t>
      </w:r>
      <w:r>
        <w:rPr>
          <w:rStyle w:val="42"/>
          <w:rFonts w:hint="eastAsia" w:ascii="楷体" w:hAnsi="楷体" w:eastAsia="仿宋_GB2312" w:cs="楷体"/>
          <w:b/>
          <w:bCs/>
          <w:sz w:val="32"/>
          <w:szCs w:val="32"/>
          <w:lang w:val="en-US" w:eastAsia="zh-CN"/>
        </w:rPr>
        <w:t>市创建工作。</w:t>
      </w:r>
      <w:r>
        <w:rPr>
          <w:rStyle w:val="41"/>
          <w:rFonts w:hint="eastAsia" w:ascii="仿宋" w:hAnsi="仿宋" w:eastAsia="仿宋" w:cs="仿宋"/>
          <w:sz w:val="32"/>
          <w:szCs w:val="32"/>
          <w:lang w:val="en-US" w:eastAsia="zh-CN"/>
        </w:rPr>
        <w:t>成功</w:t>
      </w:r>
      <w:r>
        <w:rPr>
          <w:rFonts w:hint="eastAsia" w:ascii="仿宋" w:hAnsi="仿宋" w:eastAsia="仿宋" w:cs="仿宋"/>
          <w:sz w:val="32"/>
          <w:szCs w:val="32"/>
          <w:lang w:val="en-US" w:eastAsia="zh-CN"/>
        </w:rPr>
        <w:t>申报武连镇武五村为省级园林村（川建通告</w:t>
      </w:r>
      <w:r>
        <w:rPr>
          <w:rFonts w:hint="eastAsia" w:ascii="新宋体" w:hAnsi="新宋体" w:eastAsia="新宋体" w:cs="新宋体"/>
          <w:sz w:val="32"/>
          <w:szCs w:val="32"/>
          <w:lang w:val="en-US" w:eastAsia="zh-CN"/>
        </w:rPr>
        <w:t>〔2022</w:t>
      </w:r>
      <w:r>
        <w:rPr>
          <w:rFonts w:hint="eastAsia" w:ascii="仿宋" w:hAnsi="仿宋" w:eastAsia="仿宋" w:cs="仿宋"/>
          <w:sz w:val="32"/>
          <w:szCs w:val="32"/>
          <w:lang w:val="en-US" w:eastAsia="zh-CN"/>
        </w:rPr>
        <w:t>〕76号），已申报剑门关实验学校、剑门关天立学校为市级园林式单位，明珠时光城小区为市级园林式小区，正在申报下寺镇双旗村、中心村为省级园林村。</w:t>
      </w:r>
    </w:p>
    <w:p>
      <w:pPr>
        <w:keepNext w:val="0"/>
        <w:keepLines w:val="0"/>
        <w:pageBreakBefore w:val="0"/>
        <w:widowControl w:val="0"/>
        <w:numPr>
          <w:ilvl w:val="0"/>
          <w:numId w:val="0"/>
        </w:numPr>
        <w:kinsoku/>
        <w:wordWrap/>
        <w:overflowPunct/>
        <w:topLinePunct w:val="0"/>
        <w:autoSpaceDE/>
        <w:autoSpaceDN/>
        <w:bidi w:val="0"/>
        <w:adjustRightInd/>
        <w:snapToGrid/>
        <w:spacing w:line="616" w:lineRule="exact"/>
        <w:ind w:left="0" w:firstLine="643" w:firstLineChars="200"/>
        <w:jc w:val="both"/>
        <w:textAlignment w:val="auto"/>
        <w:rPr>
          <w:rStyle w:val="41"/>
          <w:rFonts w:hint="eastAsia" w:ascii="仿宋_GB2312" w:eastAsia="仿宋_GB2312"/>
          <w:sz w:val="32"/>
          <w:szCs w:val="32"/>
          <w:lang w:val="en-US" w:eastAsia="zh-CN"/>
        </w:rPr>
      </w:pPr>
      <w:r>
        <w:rPr>
          <w:rStyle w:val="41"/>
          <w:rFonts w:hint="eastAsia" w:ascii="仿宋" w:hAnsi="仿宋" w:eastAsia="仿宋" w:cs="仿宋"/>
          <w:b/>
          <w:bCs/>
          <w:sz w:val="32"/>
          <w:szCs w:val="32"/>
          <w:lang w:val="en-US" w:eastAsia="zh-CN"/>
        </w:rPr>
        <w:t>2、城市园林绿化管理工作。</w:t>
      </w:r>
      <w:r>
        <w:rPr>
          <w:rStyle w:val="42"/>
          <w:rFonts w:hint="eastAsia" w:ascii="仿宋" w:hAnsi="仿宋" w:eastAsia="仿宋" w:cs="仿宋"/>
          <w:b w:val="0"/>
          <w:bCs w:val="0"/>
          <w:spacing w:val="0"/>
          <w:sz w:val="32"/>
          <w:szCs w:val="32"/>
          <w:lang w:val="en-US" w:eastAsia="zh-CN"/>
        </w:rPr>
        <w:t>一是开展园林绿化安全隐患排查8次，排除隐患10处。二是</w:t>
      </w:r>
      <w:r>
        <w:rPr>
          <w:rStyle w:val="41"/>
          <w:rFonts w:hint="eastAsia" w:ascii="仿宋_GB2312" w:eastAsia="仿宋_GB2312"/>
          <w:sz w:val="32"/>
          <w:szCs w:val="32"/>
          <w:lang w:val="en-US" w:eastAsia="zh-CN"/>
        </w:rPr>
        <w:t>在疫情关键时期立即关闭了宝龙阁、茶园，每天根据防疫要求对公园（道路、公厕及设施）进行全面消毒，共使用消毒药品80余公斤；在防护物资方面购置了消毒药品、口罩等，确保了消杀不断档。三是对公共绿地死角、杂草杂物进行了全面清理。</w:t>
      </w:r>
    </w:p>
    <w:p>
      <w:pPr>
        <w:keepNext w:val="0"/>
        <w:keepLines w:val="0"/>
        <w:pageBreakBefore w:val="0"/>
        <w:widowControl w:val="0"/>
        <w:numPr>
          <w:ilvl w:val="0"/>
          <w:numId w:val="0"/>
        </w:numPr>
        <w:kinsoku/>
        <w:wordWrap/>
        <w:overflowPunct/>
        <w:topLinePunct w:val="0"/>
        <w:autoSpaceDE/>
        <w:autoSpaceDN/>
        <w:bidi w:val="0"/>
        <w:adjustRightInd/>
        <w:snapToGrid/>
        <w:spacing w:line="616" w:lineRule="exact"/>
        <w:ind w:left="0" w:firstLine="643" w:firstLineChars="200"/>
        <w:jc w:val="both"/>
        <w:textAlignment w:val="auto"/>
        <w:rPr>
          <w:rStyle w:val="41"/>
          <w:rFonts w:hint="eastAsia" w:ascii="仿宋_GB2312" w:eastAsia="仿宋_GB2312"/>
          <w:sz w:val="32"/>
          <w:szCs w:val="32"/>
          <w:lang w:eastAsia="zh-CN"/>
        </w:rPr>
      </w:pPr>
      <w:r>
        <w:rPr>
          <w:rStyle w:val="41"/>
          <w:rFonts w:hint="eastAsia" w:ascii="仿宋" w:hAnsi="仿宋" w:eastAsia="仿宋" w:cs="仿宋"/>
          <w:b/>
          <w:bCs/>
          <w:sz w:val="32"/>
          <w:szCs w:val="32"/>
          <w:lang w:val="en-US" w:eastAsia="zh-CN"/>
        </w:rPr>
        <w:t>3、城市园林绿化日常养护工作。</w:t>
      </w:r>
      <w:r>
        <w:rPr>
          <w:rStyle w:val="41"/>
          <w:rFonts w:hint="eastAsia" w:ascii="仿宋_GB2312" w:eastAsia="仿宋_GB2312"/>
          <w:sz w:val="32"/>
          <w:szCs w:val="32"/>
          <w:lang w:eastAsia="zh-CN"/>
        </w:rPr>
        <w:t>全年</w:t>
      </w:r>
      <w:r>
        <w:rPr>
          <w:rStyle w:val="42"/>
          <w:rFonts w:hint="eastAsia" w:ascii="仿宋_GB2312" w:hAnsi="仿宋_GB2312" w:eastAsia="仿宋_GB2312" w:cs="仿宋_GB2312"/>
          <w:sz w:val="32"/>
          <w:szCs w:val="32"/>
        </w:rPr>
        <w:t>对公共绿地实施了喷药防治有害生物</w:t>
      </w:r>
      <w:r>
        <w:rPr>
          <w:rStyle w:val="42"/>
          <w:rFonts w:hint="eastAsia" w:ascii="仿宋_GB2312" w:hAnsi="仿宋_GB2312" w:eastAsia="仿宋_GB2312" w:cs="仿宋_GB2312"/>
          <w:sz w:val="32"/>
          <w:szCs w:val="32"/>
          <w:lang w:val="en-US" w:eastAsia="zh-CN"/>
        </w:rPr>
        <w:t>5</w:t>
      </w:r>
      <w:r>
        <w:rPr>
          <w:rStyle w:val="42"/>
          <w:rFonts w:hint="eastAsia" w:ascii="仿宋_GB2312" w:hAnsi="仿宋_GB2312" w:eastAsia="仿宋_GB2312" w:cs="仿宋_GB2312"/>
          <w:sz w:val="32"/>
          <w:szCs w:val="32"/>
        </w:rPr>
        <w:t>次，喷洒面积</w:t>
      </w:r>
      <w:r>
        <w:rPr>
          <w:rStyle w:val="42"/>
          <w:rFonts w:hint="eastAsia" w:ascii="仿宋_GB2312" w:hAnsi="仿宋_GB2312" w:eastAsia="仿宋_GB2312" w:cs="仿宋_GB2312"/>
          <w:sz w:val="32"/>
          <w:szCs w:val="32"/>
          <w:lang w:val="en-US" w:eastAsia="zh-CN"/>
        </w:rPr>
        <w:t>16</w:t>
      </w:r>
      <w:r>
        <w:rPr>
          <w:rStyle w:val="42"/>
          <w:rFonts w:hint="eastAsia" w:ascii="仿宋_GB2312" w:hAnsi="仿宋_GB2312" w:eastAsia="仿宋_GB2312" w:cs="仿宋_GB2312"/>
          <w:sz w:val="32"/>
          <w:szCs w:val="32"/>
        </w:rPr>
        <w:t>余万平方米</w:t>
      </w:r>
      <w:r>
        <w:rPr>
          <w:rStyle w:val="42"/>
          <w:rFonts w:hint="eastAsia" w:ascii="仿宋_GB2312" w:hAnsi="仿宋_GB2312" w:eastAsia="仿宋_GB2312" w:cs="仿宋_GB2312"/>
          <w:sz w:val="32"/>
          <w:szCs w:val="32"/>
          <w:lang w:eastAsia="zh-CN"/>
        </w:rPr>
        <w:t>；对</w:t>
      </w:r>
      <w:r>
        <w:rPr>
          <w:rStyle w:val="42"/>
          <w:rFonts w:hint="eastAsia" w:ascii="仿宋_GB2312" w:hAnsi="仿宋_GB2312" w:eastAsia="仿宋_GB2312" w:cs="仿宋_GB2312"/>
          <w:sz w:val="32"/>
          <w:szCs w:val="32"/>
        </w:rPr>
        <w:t>公共绿化地段完成</w:t>
      </w:r>
      <w:r>
        <w:rPr>
          <w:rStyle w:val="42"/>
          <w:rFonts w:hint="eastAsia" w:ascii="仿宋_GB2312" w:hAnsi="仿宋_GB2312" w:eastAsia="仿宋_GB2312" w:cs="仿宋_GB2312"/>
          <w:sz w:val="32"/>
          <w:szCs w:val="32"/>
          <w:lang w:val="en-US" w:eastAsia="zh-CN"/>
        </w:rPr>
        <w:t>5</w:t>
      </w:r>
      <w:r>
        <w:rPr>
          <w:rStyle w:val="42"/>
          <w:rFonts w:hint="eastAsia" w:ascii="仿宋_GB2312" w:hAnsi="仿宋_GB2312" w:eastAsia="仿宋_GB2312" w:cs="仿宋_GB2312"/>
          <w:sz w:val="32"/>
          <w:szCs w:val="32"/>
        </w:rPr>
        <w:t>次整形修剪，</w:t>
      </w:r>
      <w:r>
        <w:rPr>
          <w:rStyle w:val="42"/>
          <w:rFonts w:hint="eastAsia" w:ascii="仿宋_GB2312" w:hAnsi="仿宋_GB2312" w:eastAsia="仿宋_GB2312" w:cs="仿宋_GB2312"/>
          <w:sz w:val="32"/>
          <w:szCs w:val="32"/>
          <w:lang w:eastAsia="zh-CN"/>
        </w:rPr>
        <w:t>修剪面积近</w:t>
      </w:r>
      <w:r>
        <w:rPr>
          <w:rStyle w:val="42"/>
          <w:rFonts w:hint="eastAsia" w:ascii="仿宋_GB2312" w:hAnsi="仿宋_GB2312" w:eastAsia="仿宋_GB2312" w:cs="仿宋_GB2312"/>
          <w:sz w:val="32"/>
          <w:szCs w:val="32"/>
          <w:lang w:val="en-US" w:eastAsia="zh-CN"/>
        </w:rPr>
        <w:t>4万平方米；对公共绿地全面施肥2次，施肥面积达50万平方米，施肥近10吨；对县城公共绿地树木进行修剪、清园工作；加强对公园绿地浇水工作，特别是在今年极端天气情况下，无大面积花卉、苗木死亡。</w:t>
      </w:r>
    </w:p>
    <w:p>
      <w:pPr>
        <w:keepNext w:val="0"/>
        <w:keepLines w:val="0"/>
        <w:pageBreakBefore w:val="0"/>
        <w:widowControl w:val="0"/>
        <w:numPr>
          <w:ilvl w:val="0"/>
          <w:numId w:val="0"/>
        </w:numPr>
        <w:kinsoku/>
        <w:wordWrap/>
        <w:overflowPunct/>
        <w:topLinePunct w:val="0"/>
        <w:autoSpaceDE/>
        <w:autoSpaceDN/>
        <w:bidi w:val="0"/>
        <w:adjustRightInd/>
        <w:snapToGrid/>
        <w:spacing w:line="616" w:lineRule="exact"/>
        <w:ind w:left="0" w:firstLine="643" w:firstLineChars="200"/>
        <w:jc w:val="both"/>
        <w:textAlignment w:val="auto"/>
        <w:rPr>
          <w:rStyle w:val="41"/>
          <w:rFonts w:hint="eastAsia" w:ascii="仿宋_GB2312" w:eastAsia="仿宋_GB2312"/>
          <w:sz w:val="32"/>
          <w:szCs w:val="32"/>
          <w:lang w:val="en-US" w:eastAsia="zh-CN"/>
        </w:rPr>
      </w:pPr>
      <w:r>
        <w:rPr>
          <w:rStyle w:val="41"/>
          <w:rFonts w:hint="eastAsia" w:ascii="仿宋" w:hAnsi="仿宋" w:eastAsia="仿宋" w:cs="仿宋"/>
          <w:b/>
          <w:bCs/>
          <w:sz w:val="32"/>
          <w:szCs w:val="32"/>
          <w:lang w:val="en-US" w:eastAsia="zh-CN"/>
        </w:rPr>
        <w:t>4、城市绿化美化工作。</w:t>
      </w:r>
      <w:r>
        <w:rPr>
          <w:rStyle w:val="42"/>
          <w:rFonts w:hint="eastAsia" w:ascii="仿宋_GB2312" w:hAnsi="仿宋_GB2312" w:eastAsia="仿宋_GB2312" w:cs="仿宋_GB2312"/>
          <w:sz w:val="32"/>
          <w:szCs w:val="32"/>
          <w:lang w:val="en-US" w:eastAsia="zh-CN"/>
        </w:rPr>
        <w:t>一是在春节、</w:t>
      </w:r>
      <w:r>
        <w:rPr>
          <w:rStyle w:val="41"/>
          <w:rFonts w:hint="eastAsia" w:ascii="仿宋_GB2312" w:eastAsia="仿宋_GB2312"/>
          <w:sz w:val="32"/>
          <w:szCs w:val="32"/>
          <w:lang w:eastAsia="zh-CN"/>
        </w:rPr>
        <w:t>五一、国庆节假日及旅游景点提升工作等重大活动期间</w:t>
      </w:r>
      <w:r>
        <w:rPr>
          <w:rStyle w:val="41"/>
          <w:rFonts w:hint="eastAsia" w:ascii="仿宋_GB2312" w:eastAsia="仿宋_GB2312"/>
          <w:sz w:val="32"/>
          <w:szCs w:val="32"/>
        </w:rPr>
        <w:t>围绕城市街道、主要交通节点、国道108线、剑门关景区累计摆放鲜花</w:t>
      </w:r>
      <w:r>
        <w:rPr>
          <w:rStyle w:val="41"/>
          <w:rFonts w:hint="eastAsia" w:ascii="仿宋_GB2312" w:eastAsia="仿宋_GB2312"/>
          <w:sz w:val="32"/>
          <w:szCs w:val="32"/>
          <w:lang w:val="en-US" w:eastAsia="zh-CN"/>
        </w:rPr>
        <w:t>42</w:t>
      </w:r>
      <w:r>
        <w:rPr>
          <w:rStyle w:val="41"/>
          <w:rFonts w:hint="eastAsia" w:ascii="仿宋_GB2312" w:eastAsia="仿宋_GB2312"/>
          <w:sz w:val="32"/>
          <w:szCs w:val="32"/>
        </w:rPr>
        <w:t>万余盆（杯），投入资金</w:t>
      </w:r>
      <w:r>
        <w:rPr>
          <w:rStyle w:val="41"/>
          <w:rFonts w:hint="eastAsia" w:ascii="仿宋_GB2312" w:eastAsia="仿宋_GB2312"/>
          <w:sz w:val="32"/>
          <w:szCs w:val="32"/>
          <w:lang w:val="en-US" w:eastAsia="zh-CN"/>
        </w:rPr>
        <w:t>近65</w:t>
      </w:r>
      <w:r>
        <w:rPr>
          <w:rStyle w:val="41"/>
          <w:rFonts w:hint="eastAsia" w:ascii="仿宋_GB2312" w:eastAsia="仿宋_GB2312"/>
          <w:sz w:val="32"/>
          <w:szCs w:val="32"/>
        </w:rPr>
        <w:t>余万元，以花应景，美化了城市，营造了节日喜庆气氛</w:t>
      </w:r>
      <w:r>
        <w:rPr>
          <w:rStyle w:val="41"/>
          <w:rFonts w:hint="eastAsia" w:ascii="仿宋_GB2312" w:eastAsia="仿宋_GB2312"/>
          <w:sz w:val="32"/>
          <w:szCs w:val="32"/>
          <w:lang w:eastAsia="zh-CN"/>
        </w:rPr>
        <w:t>；二是完成全市大比武、旅游名县提升工作中对县城绿地整治面积</w:t>
      </w:r>
      <w:r>
        <w:rPr>
          <w:rStyle w:val="41"/>
          <w:rFonts w:hint="eastAsia" w:ascii="仿宋_GB2312" w:eastAsia="仿宋_GB2312"/>
          <w:sz w:val="32"/>
          <w:szCs w:val="32"/>
          <w:lang w:val="en-US" w:eastAsia="zh-CN"/>
        </w:rPr>
        <w:t>60万平方米，投入人工1200余个，清运杂物450余车，新建绿地1.5万平方米，投入资金约16万余元。</w:t>
      </w:r>
    </w:p>
    <w:p>
      <w:pPr>
        <w:pStyle w:val="8"/>
        <w:adjustRightInd w:val="0"/>
        <w:snapToGrid w:val="0"/>
        <w:spacing w:before="93" w:line="600" w:lineRule="exact"/>
        <w:ind w:firstLine="675" w:firstLineChars="210"/>
        <w:outlineLvl w:val="2"/>
        <w:rPr>
          <w:rFonts w:hint="eastAsia" w:hAnsi="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w:t>
      </w:r>
      <w:r>
        <w:rPr>
          <w:rFonts w:hint="eastAsia" w:hAnsi="仿宋_GB2312" w:cs="仿宋_GB2312"/>
          <w:b/>
          <w:bCs/>
          <w:color w:val="auto"/>
          <w:sz w:val="32"/>
          <w:szCs w:val="32"/>
          <w:lang w:val="en-US" w:eastAsia="zh-CN"/>
        </w:rPr>
        <w:t>三</w:t>
      </w:r>
      <w:r>
        <w:rPr>
          <w:rFonts w:hint="eastAsia" w:ascii="仿宋_GB2312" w:hAnsi="仿宋_GB2312" w:eastAsia="仿宋_GB2312" w:cs="仿宋_GB2312"/>
          <w:b/>
          <w:bCs/>
          <w:color w:val="auto"/>
          <w:sz w:val="32"/>
          <w:szCs w:val="32"/>
          <w:lang w:val="en-US" w:eastAsia="zh-CN"/>
        </w:rPr>
        <w:t>）</w:t>
      </w:r>
      <w:r>
        <w:rPr>
          <w:rFonts w:hint="eastAsia" w:hAnsi="仿宋_GB2312" w:cs="仿宋_GB2312"/>
          <w:b/>
          <w:bCs/>
          <w:color w:val="auto"/>
          <w:sz w:val="32"/>
          <w:szCs w:val="32"/>
          <w:lang w:val="en-US" w:eastAsia="zh-CN"/>
        </w:rPr>
        <w:t>剑阁县住房保障中心</w:t>
      </w:r>
    </w:p>
    <w:p>
      <w:pPr>
        <w:spacing w:line="560" w:lineRule="exact"/>
        <w:ind w:firstLine="643" w:firstLineChars="200"/>
        <w:rPr>
          <w:rFonts w:ascii="仿宋_GB2312" w:hAnsi="仿宋_GB2312" w:eastAsia="仿宋" w:cs="仿宋_GB2312"/>
          <w:sz w:val="32"/>
          <w:szCs w:val="32"/>
        </w:rPr>
      </w:pPr>
      <w:r>
        <w:rPr>
          <w:rFonts w:hint="eastAsia" w:ascii="楷体_GB2312" w:eastAsia="楷体_GB2312"/>
          <w:b/>
          <w:sz w:val="32"/>
          <w:szCs w:val="32"/>
        </w:rPr>
        <w:t>1、老旧小区改造推进情况。</w:t>
      </w:r>
      <w:r>
        <w:rPr>
          <w:rFonts w:hint="eastAsia" w:ascii="仿宋" w:hAnsi="仿宋" w:eastAsia="仿宋" w:cs="仿宋"/>
          <w:color w:val="000000"/>
          <w:sz w:val="32"/>
          <w:szCs w:val="32"/>
        </w:rPr>
        <w:t>2022年普安镇老旧小区改造项目</w:t>
      </w:r>
      <w:r>
        <w:rPr>
          <w:rFonts w:hint="eastAsia" w:ascii="仿宋" w:hAnsi="仿宋" w:eastAsia="仿宋" w:cs="仿宋"/>
          <w:color w:val="000000"/>
          <w:sz w:val="32"/>
          <w:szCs w:val="32"/>
          <w:lang w:eastAsia="zh-CN"/>
        </w:rPr>
        <w:t>截至2023年</w:t>
      </w:r>
      <w:r>
        <w:rPr>
          <w:rFonts w:hint="eastAsia" w:ascii="仿宋" w:hAnsi="仿宋" w:eastAsia="仿宋" w:cs="仿宋"/>
          <w:color w:val="000000"/>
          <w:sz w:val="32"/>
          <w:szCs w:val="32"/>
        </w:rPr>
        <w:t>1</w:t>
      </w:r>
      <w:r>
        <w:rPr>
          <w:rFonts w:ascii="仿宋" w:hAnsi="仿宋" w:eastAsia="仿宋" w:cs="仿宋"/>
          <w:color w:val="000000"/>
          <w:sz w:val="32"/>
          <w:szCs w:val="32"/>
        </w:rPr>
        <w:t>0</w:t>
      </w:r>
      <w:r>
        <w:rPr>
          <w:rFonts w:hint="eastAsia" w:ascii="仿宋" w:hAnsi="仿宋" w:eastAsia="仿宋" w:cs="仿宋"/>
          <w:color w:val="000000"/>
          <w:sz w:val="32"/>
          <w:szCs w:val="32"/>
        </w:rPr>
        <w:t>月已全部完成改造，完成投资1013万元；2022年老旧小区燃气更新改造项目已全面开工，稳步推进。</w:t>
      </w:r>
    </w:p>
    <w:p>
      <w:pPr>
        <w:spacing w:line="560" w:lineRule="exact"/>
        <w:ind w:firstLine="643" w:firstLineChars="200"/>
        <w:rPr>
          <w:rFonts w:ascii="仿宋" w:hAnsi="仿宋" w:eastAsia="仿宋" w:cs="仿宋"/>
          <w:color w:val="000000"/>
          <w:sz w:val="32"/>
          <w:szCs w:val="32"/>
        </w:rPr>
      </w:pPr>
      <w:r>
        <w:rPr>
          <w:rFonts w:hint="eastAsia" w:ascii="楷体_GB2312" w:eastAsia="楷体_GB2312"/>
          <w:b/>
          <w:sz w:val="32"/>
          <w:szCs w:val="32"/>
        </w:rPr>
        <w:t>2、向上争取专项资金情况。</w:t>
      </w:r>
      <w:r>
        <w:rPr>
          <w:rFonts w:hint="eastAsia" w:ascii="仿宋" w:hAnsi="仿宋" w:eastAsia="仿宋" w:cs="仿宋"/>
          <w:color w:val="000000"/>
          <w:sz w:val="32"/>
          <w:szCs w:val="32"/>
        </w:rPr>
        <w:t>2022年我县已向上争取到位专项资金共计5533万元，其中老旧小区改造补助资金1013万元，老旧小区燃气更新改造项目补助资金4396万元，公共租赁住房资金126万元。</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3、住房违规清理整治工作。</w:t>
      </w:r>
      <w:r>
        <w:rPr>
          <w:rFonts w:hint="eastAsia" w:ascii="仿宋" w:hAnsi="仿宋" w:eastAsia="仿宋" w:cs="仿宋"/>
          <w:sz w:val="32"/>
          <w:szCs w:val="32"/>
        </w:rPr>
        <w:t>全面</w:t>
      </w:r>
      <w:r>
        <w:rPr>
          <w:rFonts w:hint="eastAsia" w:ascii="仿宋_GB2312" w:hAnsi="仿宋_GB2312" w:eastAsia="仿宋_GB2312" w:cs="仿宋_GB2312"/>
          <w:sz w:val="32"/>
          <w:szCs w:val="32"/>
        </w:rPr>
        <w:t>清理整治完成问题线索2</w:t>
      </w:r>
      <w:r>
        <w:rPr>
          <w:rFonts w:ascii="仿宋_GB2312" w:hAnsi="仿宋_GB2312" w:eastAsia="仿宋_GB2312" w:cs="仿宋_GB2312"/>
          <w:sz w:val="32"/>
          <w:szCs w:val="32"/>
        </w:rPr>
        <w:t>61</w:t>
      </w:r>
      <w:r>
        <w:rPr>
          <w:rFonts w:hint="eastAsia" w:ascii="仿宋_GB2312" w:hAnsi="仿宋_GB2312" w:eastAsia="仿宋_GB2312" w:cs="仿宋_GB2312"/>
          <w:sz w:val="32"/>
          <w:szCs w:val="32"/>
        </w:rPr>
        <w:t>户，641条，该项工作仍然在进行中。</w:t>
      </w:r>
    </w:p>
    <w:p>
      <w:pPr>
        <w:spacing w:line="560" w:lineRule="exact"/>
        <w:ind w:firstLine="643" w:firstLineChars="200"/>
        <w:rPr>
          <w:rFonts w:ascii="仿宋_GB2312" w:hAnsi="仿宋" w:eastAsia="仿宋_GB2312" w:cs="仿宋"/>
          <w:sz w:val="32"/>
          <w:szCs w:val="32"/>
        </w:rPr>
      </w:pPr>
      <w:r>
        <w:rPr>
          <w:rFonts w:ascii="楷体_GB2312" w:eastAsia="楷体_GB2312"/>
          <w:b/>
          <w:sz w:val="32"/>
          <w:szCs w:val="32"/>
        </w:rPr>
        <w:t>4</w:t>
      </w:r>
      <w:r>
        <w:rPr>
          <w:rFonts w:hint="eastAsia" w:ascii="楷体_GB2312" w:eastAsia="楷体_GB2312"/>
          <w:b/>
          <w:sz w:val="32"/>
          <w:szCs w:val="32"/>
        </w:rPr>
        <w:t>、住房租赁补贴发放工作。</w:t>
      </w:r>
      <w:r>
        <w:rPr>
          <w:rFonts w:hint="eastAsia" w:ascii="仿宋_GB2312" w:hAnsi="仿宋_GB2312" w:eastAsia="仿宋_GB2312" w:cs="仿宋_GB2312"/>
          <w:sz w:val="32"/>
          <w:szCs w:val="32"/>
        </w:rPr>
        <w:t>全年通过“惠民一卡通”平台累计打卡直发租赁补贴1600户，82.26万元。</w:t>
      </w:r>
    </w:p>
    <w:p>
      <w:pPr>
        <w:spacing w:line="560" w:lineRule="exact"/>
        <w:ind w:firstLine="643" w:firstLineChars="200"/>
      </w:pPr>
      <w:r>
        <w:rPr>
          <w:rFonts w:hint="eastAsia" w:ascii="楷体_GB2312" w:eastAsia="楷体_GB2312"/>
          <w:b/>
          <w:sz w:val="32"/>
          <w:szCs w:val="32"/>
        </w:rPr>
        <w:t>5、非税收入任务完成情况。</w:t>
      </w:r>
      <w:r>
        <w:rPr>
          <w:rFonts w:hint="eastAsia" w:ascii="仿宋_GB2312" w:hAnsi="仿宋_GB2312" w:eastAsia="仿宋_GB2312" w:cs="仿宋_GB2312"/>
          <w:sz w:val="32"/>
          <w:szCs w:val="32"/>
        </w:rPr>
        <w:t>2022年12月我中心已完成政府性基金收入546万元，完成</w:t>
      </w:r>
      <w:r>
        <w:rPr>
          <w:rFonts w:hint="eastAsia" w:ascii="仿宋_GB2312" w:hAnsi="仿宋_GB2312" w:eastAsia="仿宋_GB2312" w:cs="仿宋_GB2312"/>
          <w:sz w:val="32"/>
          <w:szCs w:val="32"/>
          <w:lang w:eastAsia="zh-CN"/>
        </w:rPr>
        <w:t>县委县政府</w:t>
      </w:r>
      <w:r>
        <w:rPr>
          <w:rFonts w:hint="eastAsia" w:ascii="仿宋_GB2312" w:hAnsi="仿宋_GB2312" w:eastAsia="仿宋_GB2312" w:cs="仿宋_GB2312"/>
          <w:sz w:val="32"/>
          <w:szCs w:val="32"/>
        </w:rPr>
        <w:t>下达任务109.2%。</w:t>
      </w:r>
    </w:p>
    <w:p>
      <w:pPr>
        <w:ind w:firstLine="800" w:firstLineChars="250"/>
        <w:rPr>
          <w:rStyle w:val="32"/>
          <w:rFonts w:hint="eastAsia" w:ascii="黑体" w:hAnsi="黑体" w:eastAsia="黑体" w:cs="黑体"/>
          <w:b w:val="0"/>
          <w:bCs w:val="0"/>
          <w:color w:val="auto"/>
          <w:sz w:val="32"/>
          <w:szCs w:val="32"/>
        </w:rPr>
      </w:pPr>
      <w:bookmarkStart w:id="26" w:name="_Toc15377200"/>
      <w:bookmarkStart w:id="27" w:name="_Toc22707"/>
      <w:bookmarkStart w:id="28" w:name="_Toc15396601"/>
      <w:r>
        <w:rPr>
          <w:rFonts w:hint="eastAsia" w:ascii="黑体" w:hAnsi="黑体" w:eastAsia="黑体" w:cs="黑体"/>
          <w:b w:val="0"/>
          <w:bCs w:val="0"/>
          <w:color w:val="auto"/>
          <w:sz w:val="32"/>
          <w:szCs w:val="32"/>
        </w:rPr>
        <w:t>二、机</w:t>
      </w:r>
      <w:r>
        <w:rPr>
          <w:rStyle w:val="32"/>
          <w:rFonts w:hint="eastAsia" w:ascii="黑体" w:hAnsi="黑体" w:eastAsia="黑体" w:cs="黑体"/>
          <w:b w:val="0"/>
          <w:bCs w:val="0"/>
          <w:color w:val="auto"/>
          <w:sz w:val="32"/>
          <w:szCs w:val="32"/>
        </w:rPr>
        <w:t>构设置</w:t>
      </w:r>
      <w:bookmarkEnd w:id="26"/>
      <w:bookmarkEnd w:id="27"/>
      <w:bookmarkEnd w:id="28"/>
    </w:p>
    <w:p>
      <w:pPr>
        <w:ind w:firstLine="800" w:firstLineChars="25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剑阁县住房和城乡建设局</w:t>
      </w:r>
      <w:r>
        <w:rPr>
          <w:rFonts w:hint="eastAsia" w:ascii="仿宋_GB2312" w:hAnsi="仿宋_GB2312" w:eastAsia="仿宋_GB2312" w:cs="仿宋_GB2312"/>
          <w:b w:val="0"/>
          <w:bCs w:val="0"/>
          <w:color w:val="auto"/>
          <w:sz w:val="32"/>
          <w:szCs w:val="32"/>
        </w:rPr>
        <w:t>下属二级单位</w:t>
      </w: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个，其中行政单位</w:t>
      </w:r>
      <w:r>
        <w:rPr>
          <w:rFonts w:hint="eastAsia" w:ascii="仿宋_GB2312" w:hAnsi="仿宋_GB2312" w:eastAsia="仿宋_GB2312" w:cs="仿宋_GB2312"/>
          <w:b w:val="0"/>
          <w:bCs w:val="0"/>
          <w:color w:val="auto"/>
          <w:sz w:val="32"/>
          <w:szCs w:val="32"/>
          <w:lang w:val="en-US" w:eastAsia="zh-CN"/>
        </w:rPr>
        <w:t>0</w:t>
      </w:r>
      <w:r>
        <w:rPr>
          <w:rFonts w:hint="eastAsia" w:ascii="仿宋_GB2312" w:hAnsi="仿宋_GB2312" w:eastAsia="仿宋_GB2312" w:cs="仿宋_GB2312"/>
          <w:b w:val="0"/>
          <w:bCs w:val="0"/>
          <w:color w:val="auto"/>
          <w:sz w:val="32"/>
          <w:szCs w:val="32"/>
        </w:rPr>
        <w:t>个，参照公务员法管理的事业单位</w:t>
      </w:r>
      <w:r>
        <w:rPr>
          <w:rFonts w:hint="eastAsia" w:ascii="仿宋_GB2312" w:hAnsi="仿宋_GB2312" w:eastAsia="仿宋_GB2312" w:cs="仿宋_GB2312"/>
          <w:b w:val="0"/>
          <w:bCs w:val="0"/>
          <w:color w:val="auto"/>
          <w:sz w:val="32"/>
          <w:szCs w:val="32"/>
          <w:lang w:val="en-US" w:eastAsia="zh-CN"/>
        </w:rPr>
        <w:t>0</w:t>
      </w:r>
      <w:r>
        <w:rPr>
          <w:rFonts w:hint="eastAsia" w:ascii="仿宋_GB2312" w:hAnsi="仿宋_GB2312" w:eastAsia="仿宋_GB2312" w:cs="仿宋_GB2312"/>
          <w:b w:val="0"/>
          <w:bCs w:val="0"/>
          <w:color w:val="auto"/>
          <w:sz w:val="32"/>
          <w:szCs w:val="32"/>
        </w:rPr>
        <w:t>个，其他事业单位</w:t>
      </w: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个。</w:t>
      </w:r>
    </w:p>
    <w:p>
      <w:pPr>
        <w:ind w:firstLine="800" w:firstLineChars="25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纳入</w:t>
      </w:r>
      <w:r>
        <w:rPr>
          <w:rFonts w:hint="eastAsia" w:ascii="仿宋_GB2312" w:hAnsi="仿宋_GB2312" w:eastAsia="仿宋_GB2312" w:cs="仿宋_GB2312"/>
          <w:b w:val="0"/>
          <w:bCs w:val="0"/>
          <w:color w:val="auto"/>
          <w:sz w:val="32"/>
          <w:szCs w:val="32"/>
          <w:lang w:eastAsia="zh-CN"/>
        </w:rPr>
        <w:t>剑阁县住房和城乡建设局</w:t>
      </w:r>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年度部门决算编制范围的二级预算单位包括：</w:t>
      </w:r>
      <w:bookmarkStart w:id="29" w:name="_Toc15378449"/>
      <w:bookmarkStart w:id="30" w:name="_Toc15377433"/>
      <w:bookmarkStart w:id="31" w:name="_Toc15377202"/>
      <w:bookmarkStart w:id="32" w:name="_Toc15306276"/>
    </w:p>
    <w:bookmarkEnd w:id="29"/>
    <w:bookmarkEnd w:id="30"/>
    <w:bookmarkEnd w:id="31"/>
    <w:bookmarkEnd w:id="32"/>
    <w:p>
      <w:pPr>
        <w:ind w:firstLine="800" w:firstLineChars="250"/>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lang w:eastAsia="zh-CN"/>
        </w:rPr>
        <w:t>剑阁县园林绿化管理所</w:t>
      </w:r>
    </w:p>
    <w:p>
      <w:pPr>
        <w:ind w:firstLine="800" w:firstLineChars="25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2.剑阁县住房保障中心</w:t>
      </w:r>
    </w:p>
    <w:p>
      <w:pPr>
        <w:pStyle w:val="4"/>
        <w:ind w:right="440"/>
        <w:jc w:val="center"/>
        <w:rPr>
          <w:rStyle w:val="31"/>
          <w:rFonts w:hint="eastAsia" w:ascii="黑体" w:hAnsi="黑体" w:eastAsia="黑体" w:cs="黑体"/>
          <w:b w:val="0"/>
          <w:bCs w:val="0"/>
          <w:color w:val="auto"/>
          <w:sz w:val="40"/>
          <w:szCs w:val="40"/>
        </w:rPr>
      </w:pPr>
      <w:bookmarkStart w:id="33" w:name="_Toc15396602"/>
      <w:bookmarkStart w:id="34" w:name="_Toc30073"/>
      <w:bookmarkStart w:id="35" w:name="_Toc15377204"/>
      <w:r>
        <w:rPr>
          <w:rFonts w:hint="eastAsia" w:ascii="黑体" w:hAnsi="黑体" w:eastAsia="黑体" w:cs="黑体"/>
          <w:b w:val="0"/>
          <w:bCs w:val="0"/>
          <w:color w:val="auto"/>
          <w:sz w:val="40"/>
          <w:szCs w:val="40"/>
        </w:rPr>
        <w:t>第二部分 202</w:t>
      </w:r>
      <w:r>
        <w:rPr>
          <w:rFonts w:hint="eastAsia" w:ascii="黑体" w:hAnsi="黑体" w:eastAsia="黑体" w:cs="黑体"/>
          <w:b w:val="0"/>
          <w:bCs w:val="0"/>
          <w:color w:val="auto"/>
          <w:sz w:val="40"/>
          <w:szCs w:val="40"/>
          <w:lang w:val="en-US" w:eastAsia="zh-CN"/>
        </w:rPr>
        <w:t>2</w:t>
      </w:r>
      <w:r>
        <w:rPr>
          <w:rFonts w:hint="eastAsia" w:ascii="黑体" w:hAnsi="黑体" w:eastAsia="黑体" w:cs="黑体"/>
          <w:b w:val="0"/>
          <w:bCs w:val="0"/>
          <w:color w:val="auto"/>
          <w:sz w:val="40"/>
          <w:szCs w:val="40"/>
        </w:rPr>
        <w:t>年度</w:t>
      </w:r>
      <w:r>
        <w:rPr>
          <w:rStyle w:val="31"/>
          <w:rFonts w:hint="eastAsia" w:ascii="黑体" w:hAnsi="黑体" w:eastAsia="黑体" w:cs="黑体"/>
          <w:b w:val="0"/>
          <w:bCs w:val="0"/>
          <w:color w:val="auto"/>
          <w:sz w:val="40"/>
          <w:szCs w:val="40"/>
        </w:rPr>
        <w:t>部门决算情况说明</w:t>
      </w:r>
      <w:bookmarkEnd w:id="33"/>
      <w:bookmarkEnd w:id="34"/>
      <w:bookmarkEnd w:id="35"/>
    </w:p>
    <w:p>
      <w:pPr>
        <w:pStyle w:val="30"/>
        <w:numPr>
          <w:ilvl w:val="0"/>
          <w:numId w:val="0"/>
        </w:numPr>
        <w:spacing w:line="600" w:lineRule="exact"/>
        <w:ind w:left="640" w:leftChars="0"/>
        <w:outlineLvl w:val="1"/>
        <w:rPr>
          <w:rStyle w:val="32"/>
          <w:rFonts w:hint="eastAsia" w:ascii="黑体" w:hAnsi="黑体" w:eastAsia="黑体" w:cs="黑体"/>
          <w:b w:val="0"/>
          <w:bCs w:val="0"/>
          <w:color w:val="auto"/>
        </w:rPr>
      </w:pPr>
      <w:bookmarkStart w:id="36" w:name="_Toc23991"/>
      <w:bookmarkStart w:id="37" w:name="_Toc15377205"/>
      <w:bookmarkStart w:id="38" w:name="_Toc15396603"/>
      <w:r>
        <w:rPr>
          <w:rFonts w:hint="eastAsia" w:ascii="黑体" w:hAnsi="黑体" w:eastAsia="黑体" w:cs="黑体"/>
          <w:b w:val="0"/>
          <w:bCs w:val="0"/>
          <w:color w:val="auto"/>
          <w:sz w:val="32"/>
          <w:szCs w:val="32"/>
          <w:lang w:eastAsia="zh-CN"/>
        </w:rPr>
        <w:t>一、</w:t>
      </w:r>
      <w:r>
        <w:rPr>
          <w:rFonts w:hint="eastAsia" w:ascii="黑体" w:hAnsi="黑体" w:eastAsia="黑体" w:cs="黑体"/>
          <w:b w:val="0"/>
          <w:bCs w:val="0"/>
          <w:color w:val="auto"/>
          <w:sz w:val="32"/>
          <w:szCs w:val="32"/>
        </w:rPr>
        <w:t>收</w:t>
      </w:r>
      <w:r>
        <w:rPr>
          <w:rStyle w:val="32"/>
          <w:rFonts w:hint="eastAsia" w:ascii="黑体" w:hAnsi="黑体" w:eastAsia="黑体" w:cs="黑体"/>
          <w:b w:val="0"/>
          <w:bCs w:val="0"/>
          <w:color w:val="auto"/>
        </w:rPr>
        <w:t>入支出决算总体情况说明</w:t>
      </w:r>
      <w:bookmarkEnd w:id="36"/>
      <w:bookmarkEnd w:id="37"/>
      <w:bookmarkEnd w:id="38"/>
    </w:p>
    <w:p>
      <w:pPr>
        <w:spacing w:line="600" w:lineRule="exact"/>
        <w:ind w:firstLine="640" w:firstLineChars="200"/>
        <w:rPr>
          <w:rFonts w:hint="eastAsia" w:ascii="仿宋" w:hAnsi="仿宋" w:eastAsia="仿宋" w:cs="Times New Roman"/>
          <w:sz w:val="32"/>
          <w:szCs w:val="32"/>
          <w:lang w:eastAsia="zh-CN"/>
        </w:rPr>
      </w:pP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lang w:eastAsia="zh-CN"/>
        </w:rPr>
        <w:t>年度收、支总计</w:t>
      </w:r>
      <w:r>
        <w:rPr>
          <w:rFonts w:hint="eastAsia" w:ascii="仿宋" w:hAnsi="仿宋" w:eastAsia="仿宋" w:cs="Times New Roman"/>
          <w:sz w:val="32"/>
          <w:szCs w:val="32"/>
          <w:lang w:val="en-US" w:eastAsia="zh-CN"/>
        </w:rPr>
        <w:t>50732.82</w:t>
      </w:r>
      <w:r>
        <w:rPr>
          <w:rFonts w:hint="eastAsia" w:ascii="仿宋" w:hAnsi="仿宋" w:eastAsia="仿宋" w:cs="Times New Roman"/>
          <w:sz w:val="32"/>
          <w:szCs w:val="32"/>
          <w:lang w:eastAsia="zh-CN"/>
        </w:rPr>
        <w:t>万元。与202</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lang w:eastAsia="zh-CN"/>
        </w:rPr>
        <w:t>年相比，收、支总计各减少</w:t>
      </w:r>
      <w:r>
        <w:rPr>
          <w:rFonts w:hint="eastAsia" w:ascii="仿宋" w:hAnsi="仿宋" w:eastAsia="仿宋" w:cs="Times New Roman"/>
          <w:sz w:val="32"/>
          <w:szCs w:val="32"/>
          <w:lang w:val="en-US" w:eastAsia="zh-CN"/>
        </w:rPr>
        <w:t>17010.41</w:t>
      </w:r>
      <w:r>
        <w:rPr>
          <w:rFonts w:hint="eastAsia" w:ascii="仿宋" w:hAnsi="仿宋" w:eastAsia="仿宋" w:cs="Times New Roman"/>
          <w:sz w:val="32"/>
          <w:szCs w:val="32"/>
          <w:lang w:eastAsia="zh-CN"/>
        </w:rPr>
        <w:t>万元，减少</w:t>
      </w:r>
      <w:r>
        <w:rPr>
          <w:rFonts w:hint="eastAsia" w:ascii="仿宋" w:hAnsi="仿宋" w:eastAsia="仿宋" w:cs="Times New Roman"/>
          <w:sz w:val="32"/>
          <w:szCs w:val="32"/>
          <w:lang w:val="en-US" w:eastAsia="zh-CN"/>
        </w:rPr>
        <w:t>25.11</w:t>
      </w:r>
      <w:r>
        <w:rPr>
          <w:rFonts w:hint="eastAsia" w:ascii="仿宋" w:hAnsi="仿宋" w:eastAsia="仿宋" w:cs="Times New Roman"/>
          <w:sz w:val="32"/>
          <w:szCs w:val="32"/>
          <w:lang w:eastAsia="zh-CN"/>
        </w:rPr>
        <w:t>%。主要变动原因是压缩公用经费及项目减少。</w:t>
      </w:r>
    </w:p>
    <w:p>
      <w:pPr>
        <w:pStyle w:val="8"/>
        <w:rPr>
          <w:rFonts w:hint="eastAsia" w:ascii="仿宋_GB2312" w:hAnsi="仿宋_GB2312" w:eastAsia="仿宋_GB2312" w:cs="仿宋_GB2312"/>
          <w:b w:val="0"/>
          <w:bCs w:val="0"/>
          <w:color w:val="auto"/>
          <w:sz w:val="32"/>
          <w:szCs w:val="32"/>
        </w:rPr>
      </w:pPr>
      <w:r>
        <w:drawing>
          <wp:inline distT="0" distB="0" distL="114300" distR="114300">
            <wp:extent cx="4572000" cy="2743200"/>
            <wp:effectExtent l="4445" t="4445" r="14605" b="14605"/>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560" w:firstLineChars="200"/>
        <w:jc w:val="center"/>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图1：收、支决算总计变动情况图</w:t>
      </w:r>
      <w:r>
        <w:rPr>
          <w:rFonts w:hint="eastAsia" w:ascii="仿宋_GB2312" w:hAnsi="仿宋_GB2312" w:eastAsia="仿宋_GB2312" w:cs="仿宋_GB2312"/>
          <w:b w:val="0"/>
          <w:bCs w:val="0"/>
          <w:color w:val="auto"/>
          <w:sz w:val="28"/>
          <w:szCs w:val="28"/>
          <w:lang w:eastAsia="zh-CN"/>
        </w:rPr>
        <w:t>）</w:t>
      </w:r>
    </w:p>
    <w:p>
      <w:pPr>
        <w:pStyle w:val="30"/>
        <w:numPr>
          <w:ilvl w:val="0"/>
          <w:numId w:val="0"/>
        </w:numPr>
        <w:spacing w:line="600" w:lineRule="exact"/>
        <w:ind w:left="640" w:leftChars="0"/>
        <w:outlineLvl w:val="1"/>
        <w:rPr>
          <w:rStyle w:val="32"/>
          <w:rFonts w:hint="eastAsia" w:ascii="黑体" w:hAnsi="黑体" w:eastAsia="黑体" w:cs="黑体"/>
          <w:b w:val="0"/>
          <w:bCs w:val="0"/>
          <w:color w:val="auto"/>
        </w:rPr>
      </w:pPr>
      <w:bookmarkStart w:id="39" w:name="_Toc15377206"/>
      <w:bookmarkStart w:id="40" w:name="_Toc15396604"/>
      <w:bookmarkStart w:id="41" w:name="_Toc7229"/>
      <w:r>
        <w:rPr>
          <w:rFonts w:hint="eastAsia" w:ascii="黑体" w:hAnsi="黑体" w:eastAsia="黑体" w:cs="黑体"/>
          <w:b w:val="0"/>
          <w:bCs w:val="0"/>
          <w:color w:val="auto"/>
          <w:sz w:val="32"/>
          <w:szCs w:val="32"/>
          <w:lang w:eastAsia="zh-CN"/>
        </w:rPr>
        <w:t>二、</w:t>
      </w:r>
      <w:r>
        <w:rPr>
          <w:rFonts w:hint="eastAsia" w:ascii="黑体" w:hAnsi="黑体" w:eastAsia="黑体" w:cs="黑体"/>
          <w:b w:val="0"/>
          <w:bCs w:val="0"/>
          <w:color w:val="auto"/>
          <w:sz w:val="32"/>
          <w:szCs w:val="32"/>
        </w:rPr>
        <w:t>收</w:t>
      </w:r>
      <w:r>
        <w:rPr>
          <w:rStyle w:val="32"/>
          <w:rFonts w:hint="eastAsia" w:ascii="黑体" w:hAnsi="黑体" w:eastAsia="黑体" w:cs="黑体"/>
          <w:b w:val="0"/>
          <w:bCs w:val="0"/>
          <w:color w:val="auto"/>
        </w:rPr>
        <w:t>入决算情况说明</w:t>
      </w:r>
      <w:bookmarkEnd w:id="39"/>
      <w:bookmarkEnd w:id="40"/>
      <w:bookmarkEnd w:id="41"/>
    </w:p>
    <w:p>
      <w:pPr>
        <w:spacing w:line="600" w:lineRule="exact"/>
        <w:ind w:firstLine="640" w:firstLineChars="200"/>
        <w:outlineLvl w:val="1"/>
        <w:rPr>
          <w:rFonts w:hint="eastAsia" w:ascii="仿宋_GB2312" w:hAnsi="仿宋_GB2312" w:eastAsia="仿宋_GB2312" w:cs="仿宋_GB2312"/>
          <w:b w:val="0"/>
          <w:bCs w:val="0"/>
          <w:color w:val="auto"/>
          <w:sz w:val="32"/>
          <w:szCs w:val="32"/>
        </w:rPr>
      </w:pPr>
      <w:bookmarkStart w:id="42" w:name="_Toc8730"/>
      <w:bookmarkStart w:id="43" w:name="_Toc19976"/>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年本年收入合计</w:t>
      </w:r>
      <w:r>
        <w:rPr>
          <w:rFonts w:hint="eastAsia" w:ascii="仿宋_GB2312" w:hAnsi="仿宋_GB2312" w:eastAsia="仿宋_GB2312" w:cs="仿宋_GB2312"/>
          <w:b w:val="0"/>
          <w:bCs w:val="0"/>
          <w:color w:val="auto"/>
          <w:sz w:val="32"/>
          <w:szCs w:val="32"/>
          <w:lang w:val="en-US" w:eastAsia="zh-CN"/>
        </w:rPr>
        <w:t>50732.82</w:t>
      </w:r>
      <w:r>
        <w:rPr>
          <w:rFonts w:hint="eastAsia" w:ascii="仿宋_GB2312" w:hAnsi="仿宋_GB2312" w:eastAsia="仿宋_GB2312" w:cs="仿宋_GB2312"/>
          <w:b w:val="0"/>
          <w:bCs w:val="0"/>
          <w:color w:val="auto"/>
          <w:sz w:val="32"/>
          <w:szCs w:val="32"/>
        </w:rPr>
        <w:t>万元，其中：一般公共预算财政拨款收入</w:t>
      </w:r>
      <w:r>
        <w:rPr>
          <w:rFonts w:hint="eastAsia" w:ascii="仿宋_GB2312" w:hAnsi="仿宋_GB2312" w:eastAsia="仿宋_GB2312" w:cs="仿宋_GB2312"/>
          <w:b w:val="0"/>
          <w:bCs w:val="0"/>
          <w:color w:val="auto"/>
          <w:sz w:val="32"/>
          <w:szCs w:val="32"/>
          <w:lang w:val="en-US" w:eastAsia="zh-CN"/>
        </w:rPr>
        <w:t>4730.49</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9.32</w:t>
      </w:r>
      <w:r>
        <w:rPr>
          <w:rFonts w:hint="eastAsia" w:ascii="仿宋_GB2312" w:hAnsi="仿宋_GB2312" w:eastAsia="仿宋_GB2312" w:cs="仿宋_GB2312"/>
          <w:b w:val="0"/>
          <w:bCs w:val="0"/>
          <w:color w:val="auto"/>
          <w:sz w:val="32"/>
          <w:szCs w:val="32"/>
        </w:rPr>
        <w:t>%；政府性基金预算财政拨款收入</w:t>
      </w:r>
      <w:r>
        <w:rPr>
          <w:rFonts w:hint="eastAsia" w:ascii="仿宋_GB2312" w:hAnsi="仿宋_GB2312" w:eastAsia="仿宋_GB2312" w:cs="仿宋_GB2312"/>
          <w:b w:val="0"/>
          <w:bCs w:val="0"/>
          <w:color w:val="auto"/>
          <w:sz w:val="32"/>
          <w:szCs w:val="32"/>
          <w:lang w:val="en-US" w:eastAsia="zh-CN"/>
        </w:rPr>
        <w:t>40114.36</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79.07</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年初财政拨款结转和结余</w:t>
      </w:r>
      <w:r>
        <w:rPr>
          <w:rFonts w:hint="eastAsia" w:ascii="仿宋_GB2312" w:hAnsi="仿宋_GB2312" w:eastAsia="仿宋_GB2312" w:cs="仿宋_GB2312"/>
          <w:b w:val="0"/>
          <w:bCs w:val="0"/>
          <w:color w:val="auto"/>
          <w:sz w:val="32"/>
          <w:szCs w:val="32"/>
          <w:lang w:val="en-US" w:eastAsia="zh-CN"/>
        </w:rPr>
        <w:t>5887.97</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11.61</w:t>
      </w:r>
      <w:r>
        <w:rPr>
          <w:rFonts w:hint="eastAsia" w:ascii="仿宋_GB2312" w:hAnsi="仿宋_GB2312" w:eastAsia="仿宋_GB2312" w:cs="仿宋_GB2312"/>
          <w:b w:val="0"/>
          <w:bCs w:val="0"/>
          <w:color w:val="auto"/>
          <w:sz w:val="32"/>
          <w:szCs w:val="32"/>
        </w:rPr>
        <w:t>%。</w:t>
      </w:r>
      <w:bookmarkEnd w:id="42"/>
      <w:bookmarkEnd w:id="43"/>
    </w:p>
    <w:p>
      <w:pPr>
        <w:spacing w:line="600" w:lineRule="exact"/>
        <w:ind w:firstLine="560" w:firstLineChars="200"/>
        <w:jc w:val="center"/>
        <w:outlineLvl w:val="1"/>
        <w:rPr>
          <w:rFonts w:hint="eastAsia" w:ascii="仿宋_GB2312" w:hAnsi="仿宋_GB2312" w:eastAsia="仿宋_GB2312" w:cs="仿宋_GB2312"/>
          <w:b w:val="0"/>
          <w:bCs w:val="0"/>
          <w:color w:val="auto"/>
          <w:sz w:val="28"/>
          <w:szCs w:val="28"/>
        </w:rPr>
      </w:pPr>
      <w:bookmarkStart w:id="44" w:name="_Toc1874"/>
      <w:bookmarkStart w:id="45" w:name="_Toc2718"/>
    </w:p>
    <w:p>
      <w:pPr>
        <w:pStyle w:val="2"/>
        <w:rPr>
          <w:rFonts w:hint="eastAsia"/>
        </w:rPr>
      </w:pPr>
      <w:r>
        <w:drawing>
          <wp:inline distT="0" distB="0" distL="114300" distR="114300">
            <wp:extent cx="4572000" cy="2743200"/>
            <wp:effectExtent l="4445" t="4445" r="14605" b="14605"/>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jc w:val="center"/>
        <w:outlineLvl w:val="1"/>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图2：收入决算结构图</w:t>
      </w:r>
      <w:r>
        <w:rPr>
          <w:rFonts w:hint="eastAsia" w:ascii="仿宋_GB2312" w:hAnsi="仿宋_GB2312" w:eastAsia="仿宋_GB2312" w:cs="仿宋_GB2312"/>
          <w:b w:val="0"/>
          <w:bCs w:val="0"/>
          <w:color w:val="auto"/>
          <w:sz w:val="28"/>
          <w:szCs w:val="28"/>
          <w:lang w:eastAsia="zh-CN"/>
        </w:rPr>
        <w:t>）</w:t>
      </w:r>
      <w:bookmarkEnd w:id="44"/>
      <w:bookmarkEnd w:id="45"/>
    </w:p>
    <w:p>
      <w:pPr>
        <w:pStyle w:val="30"/>
        <w:numPr>
          <w:ilvl w:val="0"/>
          <w:numId w:val="0"/>
        </w:numPr>
        <w:spacing w:line="600" w:lineRule="exact"/>
        <w:ind w:left="640" w:leftChars="0"/>
        <w:outlineLvl w:val="1"/>
        <w:rPr>
          <w:rStyle w:val="32"/>
          <w:rFonts w:hint="eastAsia" w:ascii="黑体" w:hAnsi="黑体" w:eastAsia="黑体" w:cs="黑体"/>
          <w:b w:val="0"/>
          <w:bCs w:val="0"/>
          <w:color w:val="auto"/>
        </w:rPr>
      </w:pPr>
      <w:bookmarkStart w:id="46" w:name="_Toc15396605"/>
      <w:bookmarkStart w:id="47" w:name="_Toc26704"/>
      <w:bookmarkStart w:id="48" w:name="_Toc15377207"/>
      <w:r>
        <w:rPr>
          <w:rFonts w:hint="eastAsia" w:ascii="黑体" w:hAnsi="黑体" w:eastAsia="黑体" w:cs="黑体"/>
          <w:b w:val="0"/>
          <w:bCs w:val="0"/>
          <w:color w:val="auto"/>
          <w:sz w:val="32"/>
          <w:szCs w:val="32"/>
          <w:lang w:eastAsia="zh-CN"/>
        </w:rPr>
        <w:t>三、</w:t>
      </w:r>
      <w:r>
        <w:rPr>
          <w:rFonts w:hint="eastAsia" w:ascii="黑体" w:hAnsi="黑体" w:eastAsia="黑体" w:cs="黑体"/>
          <w:b w:val="0"/>
          <w:bCs w:val="0"/>
          <w:color w:val="auto"/>
          <w:sz w:val="32"/>
          <w:szCs w:val="32"/>
        </w:rPr>
        <w:t>支</w:t>
      </w:r>
      <w:r>
        <w:rPr>
          <w:rStyle w:val="32"/>
          <w:rFonts w:hint="eastAsia" w:ascii="黑体" w:hAnsi="黑体" w:eastAsia="黑体" w:cs="黑体"/>
          <w:b w:val="0"/>
          <w:bCs w:val="0"/>
          <w:color w:val="auto"/>
        </w:rPr>
        <w:t>出决算情况说明</w:t>
      </w:r>
      <w:bookmarkEnd w:id="46"/>
      <w:bookmarkEnd w:id="47"/>
      <w:bookmarkEnd w:id="48"/>
    </w:p>
    <w:p>
      <w:pPr>
        <w:spacing w:line="600" w:lineRule="exact"/>
        <w:ind w:firstLine="640" w:firstLineChars="200"/>
        <w:outlineLvl w:val="1"/>
        <w:rPr>
          <w:rFonts w:hint="eastAsia" w:ascii="仿宋_GB2312" w:hAnsi="仿宋_GB2312" w:eastAsia="仿宋_GB2312" w:cs="仿宋_GB2312"/>
          <w:b w:val="0"/>
          <w:bCs w:val="0"/>
          <w:color w:val="auto"/>
          <w:sz w:val="32"/>
          <w:szCs w:val="32"/>
          <w:lang w:eastAsia="zh-CN"/>
        </w:rPr>
      </w:pPr>
      <w:bookmarkStart w:id="49" w:name="_Toc23729"/>
      <w:bookmarkStart w:id="50" w:name="_Toc4729"/>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年本年支出合计</w:t>
      </w:r>
      <w:r>
        <w:rPr>
          <w:rFonts w:hint="eastAsia" w:ascii="仿宋_GB2312" w:hAnsi="仿宋_GB2312" w:eastAsia="仿宋_GB2312" w:cs="仿宋_GB2312"/>
          <w:b w:val="0"/>
          <w:bCs w:val="0"/>
          <w:color w:val="auto"/>
          <w:sz w:val="32"/>
          <w:szCs w:val="32"/>
          <w:lang w:val="en-US" w:eastAsia="zh-CN"/>
        </w:rPr>
        <w:t>50732.82</w:t>
      </w:r>
      <w:r>
        <w:rPr>
          <w:rFonts w:hint="eastAsia" w:ascii="仿宋_GB2312" w:hAnsi="仿宋_GB2312" w:eastAsia="仿宋_GB2312" w:cs="仿宋_GB2312"/>
          <w:b w:val="0"/>
          <w:bCs w:val="0"/>
          <w:color w:val="auto"/>
          <w:sz w:val="32"/>
          <w:szCs w:val="32"/>
        </w:rPr>
        <w:t>万元，其中：基本支出</w:t>
      </w:r>
      <w:r>
        <w:rPr>
          <w:rFonts w:hint="eastAsia" w:ascii="仿宋_GB2312" w:hAnsi="仿宋_GB2312" w:eastAsia="仿宋_GB2312" w:cs="仿宋_GB2312"/>
          <w:b w:val="0"/>
          <w:bCs w:val="0"/>
          <w:color w:val="auto"/>
          <w:sz w:val="32"/>
          <w:szCs w:val="32"/>
          <w:lang w:val="en-US" w:eastAsia="zh-CN"/>
        </w:rPr>
        <w:t>667.31</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1.32%</w:t>
      </w:r>
      <w:r>
        <w:rPr>
          <w:rFonts w:hint="eastAsia" w:ascii="仿宋_GB2312" w:hAnsi="仿宋_GB2312" w:eastAsia="仿宋_GB2312" w:cs="仿宋_GB2312"/>
          <w:b w:val="0"/>
          <w:bCs w:val="0"/>
          <w:color w:val="auto"/>
          <w:sz w:val="32"/>
          <w:szCs w:val="32"/>
        </w:rPr>
        <w:t>；项目支出</w:t>
      </w:r>
      <w:r>
        <w:rPr>
          <w:rFonts w:hint="eastAsia" w:ascii="仿宋_GB2312" w:hAnsi="仿宋_GB2312" w:eastAsia="仿宋_GB2312" w:cs="仿宋_GB2312"/>
          <w:b w:val="0"/>
          <w:bCs w:val="0"/>
          <w:color w:val="auto"/>
          <w:sz w:val="32"/>
          <w:szCs w:val="32"/>
          <w:lang w:val="en-US" w:eastAsia="zh-CN"/>
        </w:rPr>
        <w:t>50065.61</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98.68</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一般公共预算财政拨款结转结余</w:t>
      </w:r>
      <w:r>
        <w:rPr>
          <w:rFonts w:hint="eastAsia" w:ascii="仿宋_GB2312" w:hAnsi="仿宋_GB2312" w:eastAsia="仿宋_GB2312" w:cs="仿宋_GB2312"/>
          <w:b w:val="0"/>
          <w:bCs w:val="0"/>
          <w:color w:val="auto"/>
          <w:sz w:val="32"/>
          <w:szCs w:val="32"/>
          <w:lang w:val="en-US" w:eastAsia="zh-CN"/>
        </w:rPr>
        <w:t>5697.18</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11.23</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政府性基金预算财政拨款结转结余</w:t>
      </w:r>
      <w:r>
        <w:rPr>
          <w:rFonts w:hint="eastAsia" w:ascii="仿宋_GB2312" w:hAnsi="仿宋_GB2312" w:eastAsia="仿宋_GB2312" w:cs="仿宋_GB2312"/>
          <w:b w:val="0"/>
          <w:bCs w:val="0"/>
          <w:color w:val="auto"/>
          <w:sz w:val="32"/>
          <w:szCs w:val="32"/>
          <w:lang w:val="en-US" w:eastAsia="zh-CN"/>
        </w:rPr>
        <w:t>190.79</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0.38</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w:t>
      </w:r>
      <w:bookmarkEnd w:id="49"/>
      <w:bookmarkEnd w:id="50"/>
    </w:p>
    <w:p>
      <w:pPr>
        <w:spacing w:line="600" w:lineRule="exact"/>
        <w:ind w:firstLine="560" w:firstLineChars="200"/>
        <w:jc w:val="center"/>
        <w:outlineLvl w:val="1"/>
        <w:rPr>
          <w:rFonts w:hint="eastAsia" w:ascii="仿宋_GB2312" w:hAnsi="仿宋_GB2312" w:eastAsia="仿宋_GB2312" w:cs="仿宋_GB2312"/>
          <w:b w:val="0"/>
          <w:bCs w:val="0"/>
          <w:color w:val="auto"/>
          <w:sz w:val="28"/>
          <w:szCs w:val="28"/>
        </w:rPr>
      </w:pPr>
      <w:bookmarkStart w:id="51" w:name="_Toc26903"/>
      <w:bookmarkStart w:id="52" w:name="_Toc13564"/>
    </w:p>
    <w:p>
      <w:pPr>
        <w:pStyle w:val="2"/>
        <w:rPr>
          <w:rFonts w:hint="eastAsia" w:ascii="仿宋_GB2312" w:hAnsi="仿宋_GB2312" w:eastAsia="仿宋_GB2312" w:cs="仿宋_GB2312"/>
          <w:b w:val="0"/>
          <w:bCs w:val="0"/>
          <w:color w:val="auto"/>
          <w:sz w:val="28"/>
          <w:szCs w:val="28"/>
        </w:rPr>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560" w:firstLineChars="200"/>
        <w:jc w:val="center"/>
        <w:outlineLvl w:val="1"/>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图3：支出决算结构图</w:t>
      </w:r>
      <w:r>
        <w:rPr>
          <w:rFonts w:hint="eastAsia" w:ascii="仿宋_GB2312" w:hAnsi="仿宋_GB2312" w:eastAsia="仿宋_GB2312" w:cs="仿宋_GB2312"/>
          <w:b w:val="0"/>
          <w:bCs w:val="0"/>
          <w:color w:val="auto"/>
          <w:sz w:val="28"/>
          <w:szCs w:val="28"/>
          <w:lang w:eastAsia="zh-CN"/>
        </w:rPr>
        <w:t>）</w:t>
      </w:r>
      <w:bookmarkEnd w:id="51"/>
      <w:bookmarkEnd w:id="52"/>
    </w:p>
    <w:p>
      <w:pPr>
        <w:spacing w:line="600" w:lineRule="exact"/>
        <w:ind w:firstLine="640" w:firstLineChars="200"/>
        <w:outlineLvl w:val="1"/>
        <w:rPr>
          <w:rStyle w:val="32"/>
          <w:rFonts w:hint="eastAsia" w:ascii="黑体" w:hAnsi="黑体" w:eastAsia="黑体" w:cs="黑体"/>
          <w:b w:val="0"/>
          <w:bCs w:val="0"/>
          <w:color w:val="auto"/>
        </w:rPr>
      </w:pPr>
      <w:bookmarkStart w:id="53" w:name="_Toc25540"/>
      <w:bookmarkStart w:id="54" w:name="_Toc15396606"/>
      <w:bookmarkStart w:id="55" w:name="_Toc15377208"/>
      <w:r>
        <w:rPr>
          <w:rFonts w:hint="eastAsia" w:ascii="黑体" w:hAnsi="黑体" w:eastAsia="黑体" w:cs="黑体"/>
          <w:b w:val="0"/>
          <w:bCs w:val="0"/>
          <w:color w:val="auto"/>
          <w:sz w:val="32"/>
          <w:szCs w:val="32"/>
        </w:rPr>
        <w:t>四、财</w:t>
      </w:r>
      <w:r>
        <w:rPr>
          <w:rStyle w:val="32"/>
          <w:rFonts w:hint="eastAsia" w:ascii="黑体" w:hAnsi="黑体" w:eastAsia="黑体" w:cs="黑体"/>
          <w:b w:val="0"/>
          <w:bCs w:val="0"/>
          <w:color w:val="auto"/>
        </w:rPr>
        <w:t>政拨款收入支出决算总体情况说明</w:t>
      </w:r>
      <w:bookmarkEnd w:id="53"/>
      <w:bookmarkEnd w:id="54"/>
      <w:bookmarkEnd w:id="55"/>
    </w:p>
    <w:p>
      <w:pPr>
        <w:spacing w:line="600" w:lineRule="exact"/>
        <w:ind w:firstLine="640" w:firstLineChars="200"/>
        <w:rPr>
          <w:rFonts w:hint="eastAsia" w:ascii="仿宋" w:hAnsi="仿宋" w:eastAsia="仿宋" w:cs="Times New Roman"/>
          <w:sz w:val="32"/>
          <w:szCs w:val="32"/>
          <w:lang w:eastAsia="zh-CN"/>
        </w:rPr>
      </w:pPr>
      <w:bookmarkStart w:id="56" w:name="_Toc9444"/>
      <w:bookmarkStart w:id="57" w:name="_Toc12562"/>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lang w:eastAsia="zh-CN"/>
        </w:rPr>
        <w:t>年度收、支总计</w:t>
      </w:r>
      <w:r>
        <w:rPr>
          <w:rFonts w:hint="eastAsia" w:ascii="仿宋" w:hAnsi="仿宋" w:eastAsia="仿宋" w:cs="Times New Roman"/>
          <w:sz w:val="32"/>
          <w:szCs w:val="32"/>
          <w:lang w:val="en-US" w:eastAsia="zh-CN"/>
        </w:rPr>
        <w:t>50732.82</w:t>
      </w:r>
      <w:r>
        <w:rPr>
          <w:rFonts w:hint="eastAsia" w:ascii="仿宋" w:hAnsi="仿宋" w:eastAsia="仿宋" w:cs="Times New Roman"/>
          <w:sz w:val="32"/>
          <w:szCs w:val="32"/>
          <w:lang w:eastAsia="zh-CN"/>
        </w:rPr>
        <w:t>万元。与202</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lang w:eastAsia="zh-CN"/>
        </w:rPr>
        <w:t>年相比，收、支总计各减少</w:t>
      </w:r>
      <w:r>
        <w:rPr>
          <w:rFonts w:hint="eastAsia" w:ascii="仿宋" w:hAnsi="仿宋" w:eastAsia="仿宋" w:cs="Times New Roman"/>
          <w:sz w:val="32"/>
          <w:szCs w:val="32"/>
          <w:lang w:val="en-US" w:eastAsia="zh-CN"/>
        </w:rPr>
        <w:t>17010.41</w:t>
      </w:r>
      <w:r>
        <w:rPr>
          <w:rFonts w:hint="eastAsia" w:ascii="仿宋" w:hAnsi="仿宋" w:eastAsia="仿宋" w:cs="Times New Roman"/>
          <w:sz w:val="32"/>
          <w:szCs w:val="32"/>
          <w:lang w:eastAsia="zh-CN"/>
        </w:rPr>
        <w:t>万元，减少</w:t>
      </w:r>
      <w:r>
        <w:rPr>
          <w:rFonts w:hint="eastAsia" w:ascii="仿宋" w:hAnsi="仿宋" w:eastAsia="仿宋" w:cs="Times New Roman"/>
          <w:sz w:val="32"/>
          <w:szCs w:val="32"/>
          <w:lang w:val="en-US" w:eastAsia="zh-CN"/>
        </w:rPr>
        <w:t>25.11</w:t>
      </w:r>
      <w:r>
        <w:rPr>
          <w:rFonts w:hint="eastAsia" w:ascii="仿宋" w:hAnsi="仿宋" w:eastAsia="仿宋" w:cs="Times New Roman"/>
          <w:sz w:val="32"/>
          <w:szCs w:val="32"/>
          <w:lang w:eastAsia="zh-CN"/>
        </w:rPr>
        <w:t>%。主要变动原因是压缩公用经费及项目减少。</w:t>
      </w:r>
    </w:p>
    <w:p>
      <w:pPr>
        <w:spacing w:line="600" w:lineRule="exact"/>
        <w:ind w:left="0" w:leftChars="0" w:firstLine="0" w:firstLineChars="0"/>
        <w:jc w:val="center"/>
        <w:outlineLvl w:val="1"/>
        <w:rPr>
          <w:rFonts w:hint="eastAsia" w:ascii="仿宋_GB2312" w:hAnsi="仿宋_GB2312" w:eastAsia="仿宋_GB2312" w:cs="仿宋_GB2312"/>
          <w:b w:val="0"/>
          <w:bCs w:val="0"/>
          <w:color w:val="auto"/>
          <w:sz w:val="28"/>
          <w:szCs w:val="28"/>
        </w:rPr>
      </w:pPr>
    </w:p>
    <w:p>
      <w:pPr>
        <w:pStyle w:val="2"/>
        <w:rPr>
          <w:rFonts w:hint="eastAsia" w:ascii="仿宋_GB2312" w:hAnsi="仿宋_GB2312" w:eastAsia="仿宋_GB2312" w:cs="仿宋_GB2312"/>
          <w:b w:val="0"/>
          <w:bCs w:val="0"/>
          <w:color w:val="auto"/>
          <w:sz w:val="28"/>
          <w:szCs w:val="28"/>
        </w:rPr>
      </w:pPr>
    </w:p>
    <w:p>
      <w:pPr>
        <w:pStyle w:val="2"/>
        <w:rPr>
          <w:rFonts w:hint="eastAsia" w:ascii="仿宋_GB2312" w:hAnsi="仿宋_GB2312" w:eastAsia="仿宋_GB2312" w:cs="仿宋_GB2312"/>
          <w:b w:val="0"/>
          <w:bCs w:val="0"/>
          <w:color w:val="auto"/>
          <w:sz w:val="28"/>
          <w:szCs w:val="28"/>
        </w:rPr>
      </w:pPr>
    </w:p>
    <w:p>
      <w:pPr>
        <w:pStyle w:val="2"/>
        <w:rPr>
          <w:rFonts w:hint="eastAsia" w:ascii="仿宋_GB2312" w:hAnsi="仿宋_GB2312" w:eastAsia="仿宋_GB2312" w:cs="仿宋_GB2312"/>
          <w:b w:val="0"/>
          <w:bCs w:val="0"/>
          <w:color w:val="auto"/>
          <w:sz w:val="28"/>
          <w:szCs w:val="28"/>
        </w:rPr>
      </w:pPr>
    </w:p>
    <w:p>
      <w:pPr>
        <w:spacing w:line="600" w:lineRule="exact"/>
        <w:ind w:left="0" w:leftChars="0" w:firstLine="0" w:firstLineChars="0"/>
        <w:jc w:val="center"/>
        <w:outlineLvl w:val="1"/>
        <w:rPr>
          <w:rFonts w:hint="eastAsia" w:ascii="仿宋_GB2312" w:hAnsi="仿宋_GB2312" w:eastAsia="仿宋_GB2312" w:cs="仿宋_GB2312"/>
          <w:b w:val="0"/>
          <w:bCs w:val="0"/>
          <w:color w:val="auto"/>
          <w:sz w:val="28"/>
          <w:szCs w:val="28"/>
        </w:rPr>
      </w:pPr>
    </w:p>
    <w:p>
      <w:pPr>
        <w:pStyle w:val="2"/>
        <w:rPr>
          <w:rFonts w:hint="eastAsia" w:ascii="仿宋_GB2312" w:hAnsi="仿宋_GB2312" w:eastAsia="仿宋_GB2312" w:cs="仿宋_GB2312"/>
          <w:b w:val="0"/>
          <w:bCs w:val="0"/>
          <w:color w:val="auto"/>
          <w:sz w:val="28"/>
          <w:szCs w:val="28"/>
        </w:rPr>
      </w:pPr>
    </w:p>
    <w:p>
      <w:pPr>
        <w:pStyle w:val="2"/>
        <w:rPr>
          <w:rFonts w:hint="eastAsia" w:ascii="仿宋_GB2312" w:hAnsi="仿宋_GB2312" w:eastAsia="仿宋_GB2312" w:cs="仿宋_GB2312"/>
          <w:b w:val="0"/>
          <w:bCs w:val="0"/>
          <w:color w:val="auto"/>
          <w:sz w:val="28"/>
          <w:szCs w:val="28"/>
        </w:rPr>
      </w:pPr>
      <w:r>
        <w:drawing>
          <wp:inline distT="0" distB="0" distL="114300" distR="114300">
            <wp:extent cx="4572000" cy="2743200"/>
            <wp:effectExtent l="4445" t="4445" r="14605" b="14605"/>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left="0" w:leftChars="0" w:firstLine="0" w:firstLineChars="0"/>
        <w:jc w:val="center"/>
        <w:outlineLvl w:val="1"/>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图4：财政拨款收、支决算总计变动情况</w:t>
      </w:r>
      <w:bookmarkEnd w:id="56"/>
      <w:bookmarkEnd w:id="57"/>
      <w:r>
        <w:rPr>
          <w:rFonts w:hint="eastAsia" w:ascii="仿宋_GB2312" w:hAnsi="仿宋_GB2312" w:eastAsia="仿宋_GB2312" w:cs="仿宋_GB2312"/>
          <w:b w:val="0"/>
          <w:bCs w:val="0"/>
          <w:color w:val="auto"/>
          <w:sz w:val="28"/>
          <w:szCs w:val="28"/>
          <w:lang w:eastAsia="zh-CN"/>
        </w:rPr>
        <w:t>）</w:t>
      </w:r>
    </w:p>
    <w:p>
      <w:pPr>
        <w:spacing w:line="600" w:lineRule="exact"/>
        <w:ind w:firstLine="640" w:firstLineChars="200"/>
        <w:outlineLvl w:val="1"/>
        <w:rPr>
          <w:rStyle w:val="32"/>
          <w:rFonts w:hint="eastAsia" w:ascii="黑体" w:hAnsi="黑体" w:eastAsia="黑体" w:cs="黑体"/>
          <w:b w:val="0"/>
          <w:bCs w:val="0"/>
          <w:color w:val="auto"/>
        </w:rPr>
      </w:pPr>
      <w:bookmarkStart w:id="58" w:name="_Toc20889"/>
      <w:bookmarkStart w:id="59" w:name="_Toc15396607"/>
      <w:bookmarkStart w:id="60" w:name="_Toc15377209"/>
      <w:r>
        <w:rPr>
          <w:rFonts w:hint="eastAsia" w:ascii="黑体" w:hAnsi="黑体" w:eastAsia="黑体" w:cs="黑体"/>
          <w:b w:val="0"/>
          <w:bCs w:val="0"/>
          <w:color w:val="auto"/>
          <w:sz w:val="32"/>
          <w:szCs w:val="32"/>
        </w:rPr>
        <w:t>五、一</w:t>
      </w:r>
      <w:r>
        <w:rPr>
          <w:rStyle w:val="32"/>
          <w:rFonts w:hint="eastAsia" w:ascii="黑体" w:hAnsi="黑体" w:eastAsia="黑体" w:cs="黑体"/>
          <w:b w:val="0"/>
          <w:bCs w:val="0"/>
          <w:color w:val="auto"/>
        </w:rPr>
        <w:t>般公共预算财政拨款支出决算情况说明</w:t>
      </w:r>
      <w:bookmarkEnd w:id="58"/>
      <w:bookmarkEnd w:id="59"/>
      <w:bookmarkEnd w:id="60"/>
    </w:p>
    <w:p>
      <w:pPr>
        <w:spacing w:line="600" w:lineRule="exact"/>
        <w:ind w:firstLine="643" w:firstLineChars="200"/>
        <w:outlineLvl w:val="2"/>
        <w:rPr>
          <w:rFonts w:hint="eastAsia" w:ascii="仿宋_GB2312" w:hAnsi="仿宋_GB2312" w:eastAsia="仿宋_GB2312" w:cs="仿宋_GB2312"/>
          <w:b/>
          <w:bCs/>
          <w:color w:val="auto"/>
          <w:sz w:val="32"/>
          <w:szCs w:val="32"/>
        </w:rPr>
      </w:pPr>
      <w:bookmarkStart w:id="61" w:name="_Toc15377210"/>
      <w:r>
        <w:rPr>
          <w:rFonts w:hint="eastAsia" w:ascii="仿宋_GB2312" w:hAnsi="仿宋_GB2312" w:eastAsia="仿宋_GB2312" w:cs="仿宋_GB2312"/>
          <w:b/>
          <w:bCs/>
          <w:color w:val="auto"/>
          <w:sz w:val="32"/>
          <w:szCs w:val="32"/>
        </w:rPr>
        <w:t>（一）一般公共预算财政拨款支出决算总体情况</w:t>
      </w:r>
      <w:bookmarkEnd w:id="61"/>
    </w:p>
    <w:p>
      <w:pPr>
        <w:spacing w:line="60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年一般公共预算财政拨款支出</w:t>
      </w:r>
      <w:r>
        <w:rPr>
          <w:rFonts w:hint="eastAsia" w:ascii="仿宋" w:hAnsi="仿宋" w:eastAsia="仿宋" w:cs="Times New Roman"/>
          <w:color w:val="auto"/>
          <w:sz w:val="32"/>
          <w:szCs w:val="32"/>
          <w:lang w:val="en-US" w:eastAsia="zh-CN"/>
        </w:rPr>
        <w:t>10427.67</w:t>
      </w:r>
      <w:r>
        <w:rPr>
          <w:rFonts w:hint="eastAsia" w:ascii="仿宋_GB2312" w:hAnsi="仿宋_GB2312" w:eastAsia="仿宋_GB2312" w:cs="仿宋_GB2312"/>
          <w:b w:val="0"/>
          <w:bCs w:val="0"/>
          <w:color w:val="auto"/>
          <w:sz w:val="32"/>
          <w:szCs w:val="32"/>
        </w:rPr>
        <w:t>万元，占本年支出合计的</w:t>
      </w:r>
      <w:r>
        <w:rPr>
          <w:rFonts w:hint="eastAsia" w:ascii="仿宋_GB2312" w:hAnsi="仿宋_GB2312" w:eastAsia="仿宋_GB2312" w:cs="仿宋_GB2312"/>
          <w:b w:val="0"/>
          <w:bCs w:val="0"/>
          <w:color w:val="auto"/>
          <w:sz w:val="32"/>
          <w:szCs w:val="32"/>
          <w:lang w:val="en-US" w:eastAsia="zh-CN"/>
        </w:rPr>
        <w:t>20.55</w:t>
      </w:r>
      <w:r>
        <w:rPr>
          <w:rFonts w:hint="eastAsia" w:ascii="仿宋_GB2312" w:hAnsi="仿宋_GB2312" w:eastAsia="仿宋_GB2312" w:cs="仿宋_GB2312"/>
          <w:b w:val="0"/>
          <w:bCs w:val="0"/>
          <w:color w:val="auto"/>
          <w:sz w:val="32"/>
          <w:szCs w:val="32"/>
        </w:rPr>
        <w:t>%。与20</w:t>
      </w:r>
      <w:r>
        <w:rPr>
          <w:rFonts w:hint="eastAsia" w:ascii="仿宋_GB2312" w:hAnsi="仿宋_GB2312" w:eastAsia="仿宋_GB2312" w:cs="仿宋_GB2312"/>
          <w:b w:val="0"/>
          <w:bCs w:val="0"/>
          <w:color w:val="auto"/>
          <w:sz w:val="32"/>
          <w:szCs w:val="32"/>
          <w:lang w:val="en-US" w:eastAsia="zh-CN"/>
        </w:rPr>
        <w:t>21</w:t>
      </w:r>
      <w:r>
        <w:rPr>
          <w:rFonts w:hint="eastAsia" w:ascii="仿宋_GB2312" w:hAnsi="仿宋_GB2312" w:eastAsia="仿宋_GB2312" w:cs="仿宋_GB2312"/>
          <w:b w:val="0"/>
          <w:bCs w:val="0"/>
          <w:color w:val="auto"/>
          <w:sz w:val="32"/>
          <w:szCs w:val="32"/>
        </w:rPr>
        <w:t>年相比，一般公共预算财政拨款</w:t>
      </w:r>
      <w:r>
        <w:rPr>
          <w:rFonts w:hint="eastAsia" w:ascii="仿宋_GB2312" w:hAnsi="仿宋_GB2312" w:eastAsia="仿宋_GB2312" w:cs="仿宋_GB2312"/>
          <w:b w:val="0"/>
          <w:bCs w:val="0"/>
          <w:color w:val="auto"/>
          <w:sz w:val="32"/>
          <w:szCs w:val="32"/>
          <w:lang w:eastAsia="zh-CN"/>
        </w:rPr>
        <w:t>减少</w:t>
      </w:r>
      <w:r>
        <w:rPr>
          <w:rFonts w:hint="eastAsia" w:ascii="仿宋_GB2312" w:hAnsi="仿宋_GB2312" w:eastAsia="仿宋_GB2312" w:cs="仿宋_GB2312"/>
          <w:b w:val="0"/>
          <w:bCs w:val="0"/>
          <w:color w:val="auto"/>
          <w:sz w:val="32"/>
          <w:szCs w:val="32"/>
          <w:lang w:val="en-US" w:eastAsia="zh-CN"/>
        </w:rPr>
        <w:t>9851.86</w:t>
      </w:r>
      <w:r>
        <w:rPr>
          <w:rFonts w:hint="eastAsia" w:ascii="仿宋_GB2312" w:hAnsi="仿宋_GB2312" w:eastAsia="仿宋_GB2312" w:cs="仿宋_GB2312"/>
          <w:b w:val="0"/>
          <w:bCs w:val="0"/>
          <w:color w:val="auto"/>
          <w:sz w:val="32"/>
          <w:szCs w:val="32"/>
        </w:rPr>
        <w:t>万元，</w:t>
      </w:r>
      <w:r>
        <w:rPr>
          <w:rFonts w:hint="eastAsia" w:ascii="仿宋_GB2312" w:hAnsi="仿宋_GB2312" w:eastAsia="仿宋_GB2312" w:cs="仿宋_GB2312"/>
          <w:b w:val="0"/>
          <w:bCs w:val="0"/>
          <w:color w:val="auto"/>
          <w:sz w:val="32"/>
          <w:szCs w:val="32"/>
          <w:lang w:eastAsia="zh-CN"/>
        </w:rPr>
        <w:t>减少</w:t>
      </w:r>
      <w:r>
        <w:rPr>
          <w:rFonts w:hint="eastAsia" w:ascii="仿宋_GB2312" w:hAnsi="仿宋_GB2312" w:eastAsia="仿宋_GB2312" w:cs="仿宋_GB2312"/>
          <w:b w:val="0"/>
          <w:bCs w:val="0"/>
          <w:color w:val="auto"/>
          <w:sz w:val="32"/>
          <w:szCs w:val="32"/>
          <w:lang w:val="en-US" w:eastAsia="zh-CN"/>
        </w:rPr>
        <w:t>48.58</w:t>
      </w:r>
      <w:r>
        <w:rPr>
          <w:rFonts w:hint="eastAsia" w:ascii="仿宋_GB2312" w:hAnsi="仿宋_GB2312" w:eastAsia="仿宋_GB2312" w:cs="仿宋_GB2312"/>
          <w:b w:val="0"/>
          <w:bCs w:val="0"/>
          <w:color w:val="auto"/>
          <w:sz w:val="32"/>
          <w:szCs w:val="32"/>
        </w:rPr>
        <w:t>%。主要变动原因是</w:t>
      </w:r>
      <w:r>
        <w:rPr>
          <w:rFonts w:hint="eastAsia" w:ascii="仿宋" w:hAnsi="仿宋" w:eastAsia="仿宋"/>
          <w:color w:val="auto"/>
          <w:sz w:val="32"/>
          <w:szCs w:val="32"/>
          <w:lang w:eastAsia="zh-CN"/>
        </w:rPr>
        <w:t>压缩公用经费及项目减少。</w:t>
      </w:r>
    </w:p>
    <w:p>
      <w:pPr>
        <w:pStyle w:val="2"/>
        <w:rPr>
          <w:rFonts w:hint="eastAsia" w:ascii="仿宋_GB2312" w:hAnsi="仿宋_GB2312" w:eastAsia="仿宋_GB2312" w:cs="仿宋_GB2312"/>
          <w:b w:val="0"/>
          <w:bCs w:val="0"/>
          <w:color w:val="auto"/>
          <w:sz w:val="28"/>
          <w:szCs w:val="28"/>
        </w:rPr>
      </w:pPr>
      <w:bookmarkStart w:id="62" w:name="_Toc22984"/>
      <w:bookmarkStart w:id="63" w:name="_Toc21860"/>
      <w:r>
        <w:drawing>
          <wp:inline distT="0" distB="0" distL="114300" distR="114300">
            <wp:extent cx="4572000" cy="2743200"/>
            <wp:effectExtent l="4445" t="4445" r="1460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600" w:lineRule="exact"/>
        <w:ind w:left="0" w:leftChars="0" w:firstLine="0" w:firstLineChars="0"/>
        <w:jc w:val="center"/>
        <w:outlineLvl w:val="1"/>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图5：一般公共预算财政拨款支出决算变动情况</w:t>
      </w:r>
      <w:bookmarkEnd w:id="62"/>
      <w:bookmarkEnd w:id="63"/>
      <w:r>
        <w:rPr>
          <w:rFonts w:hint="eastAsia" w:ascii="仿宋_GB2312" w:hAnsi="仿宋_GB2312" w:eastAsia="仿宋_GB2312" w:cs="仿宋_GB2312"/>
          <w:b w:val="0"/>
          <w:bCs w:val="0"/>
          <w:color w:val="auto"/>
          <w:sz w:val="28"/>
          <w:szCs w:val="28"/>
          <w:lang w:eastAsia="zh-CN"/>
        </w:rPr>
        <w:t>）</w:t>
      </w:r>
    </w:p>
    <w:p>
      <w:pPr>
        <w:spacing w:line="600" w:lineRule="exact"/>
        <w:ind w:firstLine="643" w:firstLineChars="200"/>
        <w:outlineLvl w:val="2"/>
        <w:rPr>
          <w:rFonts w:hint="eastAsia" w:ascii="仿宋_GB2312" w:hAnsi="仿宋_GB2312" w:eastAsia="仿宋_GB2312" w:cs="仿宋_GB2312"/>
          <w:b/>
          <w:bCs/>
          <w:color w:val="auto"/>
          <w:sz w:val="32"/>
          <w:szCs w:val="32"/>
        </w:rPr>
      </w:pPr>
      <w:bookmarkStart w:id="64" w:name="_Toc15377211"/>
      <w:r>
        <w:rPr>
          <w:rFonts w:hint="eastAsia" w:ascii="仿宋_GB2312" w:hAnsi="仿宋_GB2312" w:eastAsia="仿宋_GB2312" w:cs="仿宋_GB2312"/>
          <w:b/>
          <w:bCs/>
          <w:color w:val="auto"/>
          <w:sz w:val="32"/>
          <w:szCs w:val="32"/>
        </w:rPr>
        <w:t>（二）一般公共预算财政拨款支出决算结构情况</w:t>
      </w:r>
      <w:bookmarkEnd w:id="64"/>
    </w:p>
    <w:p>
      <w:pPr>
        <w:spacing w:line="600" w:lineRule="exact"/>
        <w:ind w:firstLine="64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年一般公共预算财政拨款支出</w:t>
      </w:r>
      <w:r>
        <w:rPr>
          <w:rFonts w:hint="eastAsia" w:ascii="仿宋" w:hAnsi="仿宋" w:eastAsia="仿宋" w:cs="Times New Roman"/>
          <w:sz w:val="32"/>
          <w:szCs w:val="32"/>
          <w:lang w:val="en-US" w:eastAsia="zh-CN"/>
        </w:rPr>
        <w:t>10427.67</w:t>
      </w:r>
      <w:r>
        <w:rPr>
          <w:rFonts w:hint="eastAsia" w:ascii="仿宋_GB2312" w:hAnsi="仿宋_GB2312" w:eastAsia="仿宋_GB2312" w:cs="仿宋_GB2312"/>
          <w:b w:val="0"/>
          <w:bCs w:val="0"/>
          <w:color w:val="auto"/>
          <w:sz w:val="32"/>
          <w:szCs w:val="32"/>
        </w:rPr>
        <w:t>万元，主要用于以下方面</w:t>
      </w:r>
      <w:r>
        <w:rPr>
          <w:rFonts w:hint="eastAsia" w:ascii="仿宋_GB2312" w:hAnsi="仿宋_GB2312" w:eastAsia="仿宋_GB2312" w:cs="仿宋_GB2312"/>
          <w:b w:val="0"/>
          <w:bCs w:val="0"/>
          <w:color w:val="auto"/>
          <w:sz w:val="32"/>
          <w:szCs w:val="32"/>
          <w:lang w:eastAsia="zh-CN"/>
        </w:rPr>
        <w:t>：城乡社区</w:t>
      </w:r>
      <w:r>
        <w:rPr>
          <w:rFonts w:hint="eastAsia" w:ascii="仿宋_GB2312" w:hAnsi="仿宋_GB2312" w:eastAsia="仿宋_GB2312" w:cs="仿宋_GB2312"/>
          <w:b w:val="0"/>
          <w:bCs w:val="0"/>
          <w:color w:val="auto"/>
          <w:sz w:val="32"/>
          <w:szCs w:val="32"/>
        </w:rPr>
        <w:t>（类）支出</w:t>
      </w:r>
      <w:r>
        <w:rPr>
          <w:rFonts w:hint="eastAsia" w:ascii="仿宋_GB2312" w:hAnsi="仿宋_GB2312" w:eastAsia="仿宋_GB2312" w:cs="仿宋_GB2312"/>
          <w:b w:val="0"/>
          <w:bCs w:val="0"/>
          <w:color w:val="auto"/>
          <w:sz w:val="32"/>
          <w:szCs w:val="32"/>
          <w:lang w:val="en-US" w:eastAsia="zh-CN"/>
        </w:rPr>
        <w:t>4088.36</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39.21</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节能环保</w:t>
      </w:r>
      <w:r>
        <w:rPr>
          <w:rFonts w:hint="eastAsia" w:ascii="仿宋_GB2312" w:hAnsi="仿宋_GB2312" w:eastAsia="仿宋_GB2312" w:cs="仿宋_GB2312"/>
          <w:b w:val="0"/>
          <w:bCs w:val="0"/>
          <w:color w:val="auto"/>
          <w:sz w:val="32"/>
          <w:szCs w:val="32"/>
        </w:rPr>
        <w:t>（类）</w:t>
      </w:r>
      <w:r>
        <w:rPr>
          <w:rFonts w:hint="eastAsia" w:ascii="仿宋_GB2312" w:hAnsi="仿宋_GB2312" w:eastAsia="仿宋_GB2312" w:cs="仿宋_GB2312"/>
          <w:b w:val="0"/>
          <w:bCs w:val="0"/>
          <w:color w:val="auto"/>
          <w:sz w:val="32"/>
          <w:szCs w:val="32"/>
          <w:lang w:eastAsia="zh-CN"/>
        </w:rPr>
        <w:t>支出</w:t>
      </w:r>
      <w:r>
        <w:rPr>
          <w:rFonts w:hint="eastAsia" w:ascii="仿宋_GB2312" w:hAnsi="仿宋_GB2312" w:eastAsia="仿宋_GB2312" w:cs="仿宋_GB2312"/>
          <w:b w:val="0"/>
          <w:bCs w:val="0"/>
          <w:color w:val="auto"/>
          <w:sz w:val="32"/>
          <w:szCs w:val="32"/>
          <w:lang w:val="en-US" w:eastAsia="zh-CN"/>
        </w:rPr>
        <w:t>896.33</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8.60</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农林水</w:t>
      </w:r>
      <w:r>
        <w:rPr>
          <w:rFonts w:hint="eastAsia" w:ascii="仿宋_GB2312" w:hAnsi="仿宋_GB2312" w:eastAsia="仿宋_GB2312" w:cs="仿宋_GB2312"/>
          <w:b w:val="0"/>
          <w:bCs w:val="0"/>
          <w:color w:val="auto"/>
          <w:sz w:val="32"/>
          <w:szCs w:val="32"/>
        </w:rPr>
        <w:t>（类）支出</w:t>
      </w:r>
      <w:r>
        <w:rPr>
          <w:rFonts w:hint="eastAsia" w:ascii="仿宋_GB2312" w:hAnsi="仿宋_GB2312" w:eastAsia="仿宋_GB2312" w:cs="仿宋_GB2312"/>
          <w:b w:val="0"/>
          <w:bCs w:val="0"/>
          <w:color w:val="auto"/>
          <w:sz w:val="32"/>
          <w:szCs w:val="32"/>
          <w:lang w:val="en-US" w:eastAsia="zh-CN"/>
        </w:rPr>
        <w:t>146.01</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1.4</w:t>
      </w:r>
      <w:r>
        <w:rPr>
          <w:rFonts w:hint="eastAsia" w:ascii="仿宋_GB2312" w:hAnsi="仿宋_GB2312" w:eastAsia="仿宋_GB2312" w:cs="仿宋_GB2312"/>
          <w:b w:val="0"/>
          <w:bCs w:val="0"/>
          <w:color w:val="auto"/>
          <w:sz w:val="32"/>
          <w:szCs w:val="32"/>
        </w:rPr>
        <w:t>%；社会保障和就业（类）支出</w:t>
      </w:r>
      <w:r>
        <w:rPr>
          <w:rFonts w:hint="eastAsia" w:ascii="仿宋_GB2312" w:hAnsi="仿宋_GB2312" w:eastAsia="仿宋_GB2312" w:cs="仿宋_GB2312"/>
          <w:b w:val="0"/>
          <w:bCs w:val="0"/>
          <w:color w:val="auto"/>
          <w:sz w:val="32"/>
          <w:szCs w:val="32"/>
          <w:lang w:val="en-US" w:eastAsia="zh-CN"/>
        </w:rPr>
        <w:t>69.53</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0.67</w:t>
      </w:r>
      <w:r>
        <w:rPr>
          <w:rFonts w:hint="eastAsia" w:ascii="仿宋_GB2312" w:hAnsi="仿宋_GB2312" w:eastAsia="仿宋_GB2312" w:cs="仿宋_GB2312"/>
          <w:b w:val="0"/>
          <w:bCs w:val="0"/>
          <w:color w:val="auto"/>
          <w:sz w:val="32"/>
          <w:szCs w:val="32"/>
        </w:rPr>
        <w:t>%；卫生健康支出</w:t>
      </w:r>
      <w:r>
        <w:rPr>
          <w:rFonts w:hint="eastAsia" w:ascii="仿宋_GB2312" w:hAnsi="仿宋_GB2312" w:eastAsia="仿宋_GB2312" w:cs="仿宋_GB2312"/>
          <w:b w:val="0"/>
          <w:bCs w:val="0"/>
          <w:color w:val="auto"/>
          <w:sz w:val="32"/>
          <w:szCs w:val="32"/>
          <w:lang w:val="en-US" w:eastAsia="zh-CN"/>
        </w:rPr>
        <w:t>34.62</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0.33</w:t>
      </w:r>
      <w:r>
        <w:rPr>
          <w:rFonts w:hint="eastAsia" w:ascii="仿宋_GB2312" w:hAnsi="仿宋_GB2312" w:eastAsia="仿宋_GB2312" w:cs="仿宋_GB2312"/>
          <w:b w:val="0"/>
          <w:bCs w:val="0"/>
          <w:color w:val="auto"/>
          <w:sz w:val="32"/>
          <w:szCs w:val="32"/>
        </w:rPr>
        <w:t>%；住房保障支出</w:t>
      </w:r>
      <w:r>
        <w:rPr>
          <w:rFonts w:hint="eastAsia" w:ascii="仿宋_GB2312" w:hAnsi="仿宋_GB2312" w:eastAsia="仿宋_GB2312" w:cs="仿宋_GB2312"/>
          <w:b w:val="0"/>
          <w:bCs w:val="0"/>
          <w:color w:val="auto"/>
          <w:sz w:val="32"/>
          <w:szCs w:val="32"/>
          <w:lang w:val="en-US" w:eastAsia="zh-CN"/>
        </w:rPr>
        <w:t>4689.81</w:t>
      </w:r>
      <w:r>
        <w:rPr>
          <w:rFonts w:hint="eastAsia" w:ascii="仿宋_GB2312" w:hAnsi="仿宋_GB2312" w:eastAsia="仿宋_GB2312" w:cs="仿宋_GB2312"/>
          <w:b w:val="0"/>
          <w:bCs w:val="0"/>
          <w:color w:val="auto"/>
          <w:sz w:val="32"/>
          <w:szCs w:val="32"/>
        </w:rPr>
        <w:t>万元，占</w:t>
      </w:r>
      <w:r>
        <w:rPr>
          <w:rFonts w:hint="eastAsia" w:ascii="仿宋_GB2312" w:hAnsi="仿宋_GB2312" w:eastAsia="仿宋_GB2312" w:cs="仿宋_GB2312"/>
          <w:b w:val="0"/>
          <w:bCs w:val="0"/>
          <w:color w:val="auto"/>
          <w:sz w:val="32"/>
          <w:szCs w:val="32"/>
          <w:lang w:val="en-US" w:eastAsia="zh-CN"/>
        </w:rPr>
        <w:t>44.97</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；灾害防治及应急管理（类）支出</w:t>
      </w:r>
      <w:r>
        <w:rPr>
          <w:rFonts w:hint="eastAsia" w:ascii="仿宋_GB2312" w:hAnsi="仿宋_GB2312" w:eastAsia="仿宋_GB2312" w:cs="仿宋_GB2312"/>
          <w:b w:val="0"/>
          <w:bCs w:val="0"/>
          <w:color w:val="auto"/>
          <w:sz w:val="32"/>
          <w:szCs w:val="32"/>
          <w:lang w:val="en-US" w:eastAsia="zh-CN"/>
        </w:rPr>
        <w:t>473万元，占4.54%；其他支出30万元，占0.29%</w:t>
      </w:r>
      <w:r>
        <w:rPr>
          <w:rFonts w:hint="eastAsia" w:ascii="仿宋_GB2312" w:hAnsi="仿宋_GB2312" w:eastAsia="仿宋_GB2312" w:cs="仿宋_GB2312"/>
          <w:b w:val="0"/>
          <w:bCs w:val="0"/>
          <w:color w:val="auto"/>
          <w:sz w:val="32"/>
          <w:szCs w:val="32"/>
        </w:rPr>
        <w:t>。</w:t>
      </w:r>
    </w:p>
    <w:p>
      <w:pPr>
        <w:spacing w:line="600" w:lineRule="exact"/>
        <w:ind w:left="0" w:leftChars="0" w:firstLine="0" w:firstLineChars="0"/>
        <w:jc w:val="center"/>
        <w:outlineLvl w:val="1"/>
        <w:rPr>
          <w:rFonts w:hint="eastAsia" w:ascii="仿宋_GB2312" w:hAnsi="仿宋_GB2312" w:eastAsia="仿宋_GB2312" w:cs="仿宋_GB2312"/>
          <w:b w:val="0"/>
          <w:bCs w:val="0"/>
          <w:color w:val="auto"/>
          <w:sz w:val="28"/>
          <w:szCs w:val="28"/>
        </w:rPr>
      </w:pPr>
      <w:bookmarkStart w:id="65" w:name="_Toc26109"/>
      <w:bookmarkStart w:id="66" w:name="_Toc24018"/>
    </w:p>
    <w:p>
      <w:pPr>
        <w:pStyle w:val="2"/>
        <w:rPr>
          <w:rFonts w:hint="eastAsia" w:ascii="仿宋_GB2312" w:hAnsi="仿宋_GB2312" w:eastAsia="仿宋_GB2312" w:cs="仿宋_GB2312"/>
          <w:b w:val="0"/>
          <w:bCs w:val="0"/>
          <w:color w:val="auto"/>
          <w:sz w:val="28"/>
          <w:szCs w:val="28"/>
        </w:rPr>
      </w:pPr>
      <w:r>
        <w:drawing>
          <wp:inline distT="0" distB="0" distL="114300" distR="114300">
            <wp:extent cx="4572000" cy="2743200"/>
            <wp:effectExtent l="4445" t="4445" r="14605" b="14605"/>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2"/>
        <w:rPr>
          <w:rFonts w:hint="eastAsia" w:ascii="仿宋_GB2312" w:hAnsi="仿宋_GB2312" w:eastAsia="仿宋_GB2312" w:cs="仿宋_GB2312"/>
          <w:b w:val="0"/>
          <w:bCs w:val="0"/>
          <w:color w:val="auto"/>
          <w:sz w:val="28"/>
          <w:szCs w:val="28"/>
        </w:rPr>
      </w:pPr>
      <w:r>
        <w:rPr>
          <w:rFonts w:hint="eastAsia" w:ascii="仿宋" w:hAnsi="仿宋" w:eastAsia="仿宋"/>
          <w:sz w:val="32"/>
          <w:szCs w:val="32"/>
        </w:rPr>
        <w:t>（图6：一般公共预算财政拨款支出决算结构）</w:t>
      </w:r>
    </w:p>
    <w:bookmarkEnd w:id="65"/>
    <w:bookmarkEnd w:id="66"/>
    <w:p>
      <w:pPr>
        <w:spacing w:line="600" w:lineRule="exact"/>
        <w:ind w:firstLine="643" w:firstLineChars="200"/>
        <w:outlineLvl w:val="2"/>
        <w:rPr>
          <w:rFonts w:hint="eastAsia" w:ascii="仿宋_GB2312" w:hAnsi="仿宋_GB2312" w:eastAsia="仿宋_GB2312" w:cs="仿宋_GB2312"/>
          <w:b/>
          <w:bCs/>
          <w:color w:val="auto"/>
          <w:sz w:val="32"/>
          <w:szCs w:val="32"/>
        </w:rPr>
      </w:pPr>
      <w:bookmarkStart w:id="67" w:name="_Toc15377212"/>
      <w:r>
        <w:rPr>
          <w:rFonts w:hint="eastAsia" w:ascii="仿宋_GB2312" w:hAnsi="仿宋_GB2312" w:eastAsia="仿宋_GB2312" w:cs="仿宋_GB2312"/>
          <w:b/>
          <w:bCs/>
          <w:color w:val="auto"/>
          <w:sz w:val="32"/>
          <w:szCs w:val="32"/>
        </w:rPr>
        <w:t>（三）一般公共预算财政拨款支出决算具体情况</w:t>
      </w:r>
      <w:bookmarkEnd w:id="67"/>
    </w:p>
    <w:p>
      <w:pPr>
        <w:spacing w:line="600" w:lineRule="exact"/>
        <w:ind w:firstLine="640" w:firstLineChars="200"/>
        <w:outlineLvl w:val="1"/>
        <w:rPr>
          <w:rFonts w:hint="eastAsia" w:ascii="仿宋_GB2312" w:hAnsi="仿宋_GB2312" w:eastAsia="仿宋_GB2312" w:cs="仿宋_GB2312"/>
          <w:b w:val="0"/>
          <w:bCs w:val="0"/>
          <w:color w:val="auto"/>
          <w:sz w:val="32"/>
          <w:szCs w:val="32"/>
        </w:rPr>
      </w:pPr>
      <w:bookmarkStart w:id="68" w:name="_Toc32075"/>
      <w:bookmarkStart w:id="69" w:name="_Toc9235"/>
      <w:bookmarkStart w:id="70" w:name="_Toc15377444"/>
      <w:bookmarkStart w:id="71" w:name="_Toc15377213"/>
      <w:bookmarkStart w:id="72" w:name="_Toc15378460"/>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年一般公共预算支出决算数为</w:t>
      </w:r>
      <w:bookmarkEnd w:id="68"/>
      <w:bookmarkEnd w:id="69"/>
      <w:r>
        <w:rPr>
          <w:rFonts w:hint="eastAsia" w:ascii="仿宋" w:hAnsi="仿宋" w:eastAsia="仿宋" w:cs="Times New Roman"/>
          <w:sz w:val="32"/>
          <w:szCs w:val="32"/>
          <w:lang w:val="en-US" w:eastAsia="zh-CN"/>
        </w:rPr>
        <w:t>10427.67</w:t>
      </w:r>
      <w:r>
        <w:rPr>
          <w:rFonts w:hint="eastAsia" w:ascii="仿宋_GB2312" w:hAnsi="仿宋_GB2312" w:eastAsia="仿宋_GB2312" w:cs="仿宋_GB2312"/>
          <w:b w:val="0"/>
          <w:bCs w:val="0"/>
          <w:color w:val="auto"/>
          <w:sz w:val="32"/>
          <w:szCs w:val="32"/>
          <w:lang w:val="en-US" w:eastAsia="zh-CN"/>
        </w:rPr>
        <w:t>万元</w:t>
      </w:r>
      <w:r>
        <w:rPr>
          <w:rFonts w:hint="eastAsia" w:ascii="仿宋_GB2312" w:hAnsi="仿宋_GB2312" w:eastAsia="仿宋_GB2312" w:cs="仿宋_GB2312"/>
          <w:b w:val="0"/>
          <w:bCs w:val="0"/>
          <w:color w:val="auto"/>
          <w:sz w:val="32"/>
          <w:szCs w:val="32"/>
        </w:rPr>
        <w:t>，</w:t>
      </w:r>
      <w:r>
        <w:rPr>
          <w:rStyle w:val="21"/>
          <w:rFonts w:hint="eastAsia" w:ascii="仿宋_GB2312" w:hAnsi="仿宋_GB2312" w:eastAsia="仿宋_GB2312" w:cs="仿宋_GB2312"/>
          <w:b w:val="0"/>
          <w:bCs w:val="0"/>
          <w:color w:val="auto"/>
          <w:sz w:val="32"/>
          <w:szCs w:val="32"/>
        </w:rPr>
        <w:t>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%。其中：</w:t>
      </w:r>
      <w:bookmarkEnd w:id="70"/>
      <w:bookmarkEnd w:id="71"/>
      <w:bookmarkEnd w:id="72"/>
    </w:p>
    <w:p>
      <w:pPr>
        <w:spacing w:line="600" w:lineRule="exact"/>
        <w:ind w:firstLine="640" w:firstLineChars="200"/>
        <w:rPr>
          <w:rFonts w:hint="eastAsia" w:ascii="仿宋_GB2312" w:hAnsi="仿宋_GB2312" w:eastAsia="仿宋_GB2312" w:cs="仿宋_GB2312"/>
          <w:b w:val="0"/>
          <w:bCs w:val="0"/>
          <w:color w:val="auto"/>
          <w:sz w:val="32"/>
          <w:szCs w:val="32"/>
        </w:rPr>
      </w:pPr>
      <w:r>
        <w:rPr>
          <w:rStyle w:val="21"/>
          <w:rFonts w:hint="eastAsia" w:ascii="仿宋_GB2312" w:hAnsi="仿宋_GB2312" w:eastAsia="仿宋_GB2312" w:cs="仿宋_GB2312"/>
          <w:b w:val="0"/>
          <w:bCs w:val="0"/>
          <w:color w:val="auto"/>
          <w:sz w:val="32"/>
          <w:szCs w:val="32"/>
        </w:rPr>
        <w:t>1.</w:t>
      </w:r>
      <w:r>
        <w:rPr>
          <w:rStyle w:val="21"/>
          <w:rFonts w:hint="eastAsia" w:ascii="仿宋_GB2312" w:hAnsi="仿宋_GB2312" w:eastAsia="仿宋_GB2312" w:cs="仿宋_GB2312"/>
          <w:b w:val="0"/>
          <w:bCs w:val="0"/>
          <w:color w:val="auto"/>
          <w:sz w:val="32"/>
          <w:szCs w:val="32"/>
          <w:lang w:val="en-US" w:eastAsia="zh-CN"/>
        </w:rPr>
        <w:t>城乡社区支出</w:t>
      </w:r>
      <w:r>
        <w:rPr>
          <w:rStyle w:val="21"/>
          <w:rFonts w:hint="eastAsia" w:ascii="仿宋_GB2312" w:hAnsi="仿宋_GB2312" w:eastAsia="仿宋_GB2312" w:cs="仿宋_GB2312"/>
          <w:b w:val="0"/>
          <w:bCs w:val="0"/>
          <w:color w:val="auto"/>
          <w:sz w:val="32"/>
          <w:szCs w:val="32"/>
        </w:rPr>
        <w:t>（类）</w:t>
      </w:r>
      <w:r>
        <w:rPr>
          <w:rStyle w:val="21"/>
          <w:rFonts w:hint="eastAsia" w:ascii="仿宋_GB2312" w:hAnsi="仿宋_GB2312" w:eastAsia="仿宋_GB2312" w:cs="仿宋_GB2312"/>
          <w:b w:val="0"/>
          <w:bCs w:val="0"/>
          <w:color w:val="auto"/>
          <w:sz w:val="32"/>
          <w:szCs w:val="32"/>
          <w:lang w:eastAsia="zh-CN"/>
        </w:rPr>
        <w:t>城乡社区管理事务</w:t>
      </w:r>
      <w:r>
        <w:rPr>
          <w:rStyle w:val="21"/>
          <w:rFonts w:hint="eastAsia" w:ascii="仿宋_GB2312" w:hAnsi="仿宋_GB2312" w:eastAsia="仿宋_GB2312" w:cs="仿宋_GB2312"/>
          <w:b w:val="0"/>
          <w:bCs w:val="0"/>
          <w:color w:val="auto"/>
          <w:sz w:val="32"/>
          <w:szCs w:val="32"/>
        </w:rPr>
        <w:t>（款）</w:t>
      </w:r>
      <w:r>
        <w:rPr>
          <w:rStyle w:val="21"/>
          <w:rFonts w:hint="eastAsia" w:ascii="仿宋_GB2312" w:hAnsi="仿宋_GB2312" w:eastAsia="仿宋_GB2312" w:cs="仿宋_GB2312"/>
          <w:b w:val="0"/>
          <w:bCs w:val="0"/>
          <w:color w:val="auto"/>
          <w:sz w:val="32"/>
          <w:szCs w:val="32"/>
          <w:lang w:eastAsia="zh-CN"/>
        </w:rPr>
        <w:t>行政运行</w:t>
      </w:r>
      <w:r>
        <w:rPr>
          <w:rStyle w:val="21"/>
          <w:rFonts w:hint="eastAsia" w:ascii="仿宋_GB2312" w:hAnsi="仿宋_GB2312" w:eastAsia="仿宋_GB2312" w:cs="仿宋_GB2312"/>
          <w:b w:val="0"/>
          <w:bCs w:val="0"/>
          <w:color w:val="auto"/>
          <w:sz w:val="32"/>
          <w:szCs w:val="32"/>
        </w:rPr>
        <w:t>（项）</w:t>
      </w:r>
      <w:r>
        <w:rPr>
          <w:rStyle w:val="21"/>
          <w:rFonts w:hint="eastAsia" w:ascii="仿宋_GB2312" w:hAnsi="仿宋_GB2312" w:eastAsia="仿宋_GB2312" w:cs="仿宋_GB2312"/>
          <w:b w:val="0"/>
          <w:bCs w:val="0"/>
          <w:color w:val="auto"/>
          <w:sz w:val="32"/>
          <w:szCs w:val="32"/>
          <w:lang w:eastAsia="zh-CN"/>
        </w:rPr>
        <w:t>：</w:t>
      </w:r>
      <w:r>
        <w:rPr>
          <w:rStyle w:val="21"/>
          <w:rFonts w:hint="eastAsia" w:ascii="仿宋_GB2312" w:hAnsi="仿宋_GB2312" w:eastAsia="仿宋_GB2312" w:cs="仿宋_GB2312"/>
          <w:b w:val="0"/>
          <w:bCs w:val="0"/>
          <w:color w:val="auto"/>
          <w:sz w:val="32"/>
          <w:szCs w:val="32"/>
        </w:rPr>
        <w:t xml:space="preserve"> 支出决算为</w:t>
      </w:r>
      <w:r>
        <w:rPr>
          <w:rFonts w:hint="eastAsia" w:ascii="仿宋_GB2312" w:hAnsi="仿宋_GB2312" w:eastAsia="仿宋_GB2312" w:cs="仿宋_GB2312"/>
          <w:b w:val="0"/>
          <w:bCs w:val="0"/>
          <w:color w:val="auto"/>
          <w:sz w:val="32"/>
          <w:szCs w:val="32"/>
          <w:lang w:val="en-US" w:eastAsia="zh-CN"/>
        </w:rPr>
        <w:t>4088.36</w:t>
      </w:r>
      <w:r>
        <w:rPr>
          <w:rStyle w:val="21"/>
          <w:rFonts w:hint="eastAsia" w:ascii="仿宋_GB2312" w:hAnsi="仿宋_GB2312" w:eastAsia="仿宋_GB2312" w:cs="仿宋_GB2312"/>
          <w:b w:val="0"/>
          <w:bCs w:val="0"/>
          <w:color w:val="auto"/>
          <w:sz w:val="32"/>
          <w:szCs w:val="32"/>
        </w:rPr>
        <w:t>万元，完成预算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%，决算数</w:t>
      </w:r>
      <w:r>
        <w:rPr>
          <w:rStyle w:val="21"/>
          <w:rFonts w:hint="eastAsia" w:ascii="仿宋_GB2312" w:hAnsi="仿宋_GB2312" w:eastAsia="仿宋_GB2312" w:cs="仿宋_GB2312"/>
          <w:b w:val="0"/>
          <w:bCs w:val="0"/>
          <w:color w:val="auto"/>
          <w:sz w:val="32"/>
          <w:szCs w:val="32"/>
          <w:lang w:eastAsia="zh-CN"/>
        </w:rPr>
        <w:t>与</w:t>
      </w:r>
      <w:r>
        <w:rPr>
          <w:rStyle w:val="21"/>
          <w:rFonts w:hint="eastAsia" w:ascii="仿宋_GB2312" w:hAnsi="仿宋_GB2312" w:eastAsia="仿宋_GB2312" w:cs="仿宋_GB2312"/>
          <w:b w:val="0"/>
          <w:bCs w:val="0"/>
          <w:color w:val="auto"/>
          <w:sz w:val="32"/>
          <w:szCs w:val="32"/>
        </w:rPr>
        <w:t>预算数</w:t>
      </w:r>
      <w:r>
        <w:rPr>
          <w:rStyle w:val="21"/>
          <w:rFonts w:hint="eastAsia" w:ascii="仿宋_GB2312" w:hAnsi="仿宋_GB2312" w:eastAsia="仿宋_GB2312" w:cs="仿宋_GB2312"/>
          <w:b w:val="0"/>
          <w:bCs w:val="0"/>
          <w:color w:val="auto"/>
          <w:sz w:val="32"/>
          <w:szCs w:val="32"/>
          <w:lang w:eastAsia="zh-CN"/>
        </w:rPr>
        <w:t>持平</w:t>
      </w:r>
      <w:r>
        <w:rPr>
          <w:rStyle w:val="21"/>
          <w:rFonts w:hint="eastAsia" w:ascii="仿宋_GB2312" w:hAnsi="仿宋_GB2312" w:eastAsia="仿宋_GB2312" w:cs="仿宋_GB2312"/>
          <w:b w:val="0"/>
          <w:bCs w:val="0"/>
          <w:color w:val="auto"/>
          <w:sz w:val="32"/>
          <w:szCs w:val="32"/>
        </w:rPr>
        <w:t>。</w:t>
      </w:r>
    </w:p>
    <w:p>
      <w:pPr>
        <w:spacing w:line="600" w:lineRule="exact"/>
        <w:ind w:firstLine="640" w:firstLineChars="200"/>
        <w:rPr>
          <w:rStyle w:val="21"/>
          <w:rFonts w:hint="eastAsia" w:ascii="仿宋_GB2312" w:hAnsi="仿宋_GB2312" w:eastAsia="仿宋_GB2312" w:cs="仿宋_GB2312"/>
          <w:b w:val="0"/>
          <w:bCs w:val="0"/>
          <w:color w:val="auto"/>
          <w:sz w:val="32"/>
          <w:szCs w:val="32"/>
        </w:rPr>
      </w:pPr>
      <w:r>
        <w:rPr>
          <w:rStyle w:val="21"/>
          <w:rFonts w:hint="eastAsia" w:ascii="仿宋_GB2312" w:hAnsi="仿宋_GB2312" w:eastAsia="仿宋_GB2312" w:cs="仿宋_GB2312"/>
          <w:b w:val="0"/>
          <w:bCs w:val="0"/>
          <w:color w:val="auto"/>
          <w:sz w:val="32"/>
          <w:szCs w:val="32"/>
        </w:rPr>
        <w:t>2.</w:t>
      </w:r>
      <w:r>
        <w:rPr>
          <w:rStyle w:val="21"/>
          <w:rFonts w:hint="eastAsia" w:ascii="仿宋_GB2312" w:hAnsi="仿宋_GB2312" w:eastAsia="仿宋_GB2312" w:cs="仿宋_GB2312"/>
          <w:b w:val="0"/>
          <w:bCs w:val="0"/>
          <w:color w:val="auto"/>
          <w:sz w:val="32"/>
          <w:szCs w:val="32"/>
          <w:lang w:eastAsia="zh-CN"/>
        </w:rPr>
        <w:t>住房保障</w:t>
      </w:r>
      <w:r>
        <w:rPr>
          <w:rStyle w:val="21"/>
          <w:rFonts w:hint="eastAsia" w:ascii="仿宋_GB2312" w:hAnsi="仿宋_GB2312" w:eastAsia="仿宋_GB2312" w:cs="仿宋_GB2312"/>
          <w:b w:val="0"/>
          <w:bCs w:val="0"/>
          <w:color w:val="auto"/>
          <w:sz w:val="32"/>
          <w:szCs w:val="32"/>
        </w:rPr>
        <w:t>（类）</w:t>
      </w:r>
      <w:r>
        <w:rPr>
          <w:rStyle w:val="21"/>
          <w:rFonts w:hint="eastAsia" w:ascii="仿宋_GB2312" w:hAnsi="仿宋_GB2312" w:eastAsia="仿宋_GB2312" w:cs="仿宋_GB2312"/>
          <w:b w:val="0"/>
          <w:bCs w:val="0"/>
          <w:color w:val="auto"/>
          <w:sz w:val="32"/>
          <w:szCs w:val="32"/>
          <w:lang w:eastAsia="zh-CN"/>
        </w:rPr>
        <w:t>住房改革支出</w:t>
      </w:r>
      <w:r>
        <w:rPr>
          <w:rStyle w:val="21"/>
          <w:rFonts w:hint="eastAsia" w:ascii="仿宋_GB2312" w:hAnsi="仿宋_GB2312" w:eastAsia="仿宋_GB2312" w:cs="仿宋_GB2312"/>
          <w:b w:val="0"/>
          <w:bCs w:val="0"/>
          <w:color w:val="auto"/>
          <w:sz w:val="32"/>
          <w:szCs w:val="32"/>
        </w:rPr>
        <w:t>（款）</w:t>
      </w:r>
      <w:r>
        <w:rPr>
          <w:rStyle w:val="21"/>
          <w:rFonts w:hint="eastAsia" w:ascii="仿宋_GB2312" w:hAnsi="仿宋_GB2312" w:eastAsia="仿宋_GB2312" w:cs="仿宋_GB2312"/>
          <w:b w:val="0"/>
          <w:bCs w:val="0"/>
          <w:color w:val="auto"/>
          <w:sz w:val="32"/>
          <w:szCs w:val="32"/>
          <w:lang w:eastAsia="zh-CN"/>
        </w:rPr>
        <w:t>住房公积金</w:t>
      </w:r>
      <w:r>
        <w:rPr>
          <w:rStyle w:val="21"/>
          <w:rFonts w:hint="eastAsia" w:ascii="仿宋_GB2312" w:hAnsi="仿宋_GB2312" w:eastAsia="仿宋_GB2312" w:cs="仿宋_GB2312"/>
          <w:b w:val="0"/>
          <w:bCs w:val="0"/>
          <w:color w:val="auto"/>
          <w:sz w:val="32"/>
          <w:szCs w:val="32"/>
        </w:rPr>
        <w:t>（项）</w:t>
      </w:r>
      <w:r>
        <w:rPr>
          <w:rStyle w:val="21"/>
          <w:rFonts w:hint="eastAsia" w:ascii="仿宋_GB2312" w:hAnsi="仿宋_GB2312" w:eastAsia="仿宋_GB2312" w:cs="仿宋_GB2312"/>
          <w:b w:val="0"/>
          <w:bCs w:val="0"/>
          <w:color w:val="auto"/>
          <w:sz w:val="32"/>
          <w:szCs w:val="32"/>
          <w:lang w:eastAsia="zh-CN"/>
        </w:rPr>
        <w:t>：</w:t>
      </w:r>
      <w:r>
        <w:rPr>
          <w:rStyle w:val="21"/>
          <w:rFonts w:hint="eastAsia" w:ascii="仿宋_GB2312" w:hAnsi="仿宋_GB2312" w:eastAsia="仿宋_GB2312" w:cs="仿宋_GB2312"/>
          <w:b w:val="0"/>
          <w:bCs w:val="0"/>
          <w:color w:val="auto"/>
          <w:sz w:val="32"/>
          <w:szCs w:val="32"/>
        </w:rPr>
        <w:t xml:space="preserve"> 支出决算为</w:t>
      </w:r>
      <w:r>
        <w:rPr>
          <w:rStyle w:val="21"/>
          <w:rFonts w:hint="eastAsia" w:ascii="仿宋_GB2312" w:hAnsi="仿宋_GB2312" w:eastAsia="仿宋_GB2312" w:cs="仿宋_GB2312"/>
          <w:b w:val="0"/>
          <w:bCs w:val="0"/>
          <w:color w:val="auto"/>
          <w:sz w:val="32"/>
          <w:szCs w:val="32"/>
          <w:lang w:val="en-US" w:eastAsia="zh-CN"/>
        </w:rPr>
        <w:t>33.57</w:t>
      </w:r>
      <w:r>
        <w:rPr>
          <w:rStyle w:val="21"/>
          <w:rFonts w:hint="eastAsia" w:ascii="仿宋_GB2312" w:hAnsi="仿宋_GB2312" w:eastAsia="仿宋_GB2312" w:cs="仿宋_GB2312"/>
          <w:b w:val="0"/>
          <w:bCs w:val="0"/>
          <w:color w:val="auto"/>
          <w:sz w:val="32"/>
          <w:szCs w:val="32"/>
        </w:rPr>
        <w:t>万元，完成预算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%，决算数</w:t>
      </w:r>
      <w:r>
        <w:rPr>
          <w:rStyle w:val="21"/>
          <w:rFonts w:hint="eastAsia" w:ascii="仿宋_GB2312" w:hAnsi="仿宋_GB2312" w:eastAsia="仿宋_GB2312" w:cs="仿宋_GB2312"/>
          <w:b w:val="0"/>
          <w:bCs w:val="0"/>
          <w:color w:val="auto"/>
          <w:sz w:val="32"/>
          <w:szCs w:val="32"/>
          <w:lang w:eastAsia="zh-CN"/>
        </w:rPr>
        <w:t>与</w:t>
      </w:r>
      <w:r>
        <w:rPr>
          <w:rStyle w:val="21"/>
          <w:rFonts w:hint="eastAsia" w:ascii="仿宋_GB2312" w:hAnsi="仿宋_GB2312" w:eastAsia="仿宋_GB2312" w:cs="仿宋_GB2312"/>
          <w:b w:val="0"/>
          <w:bCs w:val="0"/>
          <w:color w:val="auto"/>
          <w:sz w:val="32"/>
          <w:szCs w:val="32"/>
        </w:rPr>
        <w:t>预算数</w:t>
      </w:r>
      <w:r>
        <w:rPr>
          <w:rStyle w:val="21"/>
          <w:rFonts w:hint="eastAsia" w:ascii="仿宋_GB2312" w:hAnsi="仿宋_GB2312" w:eastAsia="仿宋_GB2312" w:cs="仿宋_GB2312"/>
          <w:b w:val="0"/>
          <w:bCs w:val="0"/>
          <w:color w:val="auto"/>
          <w:sz w:val="32"/>
          <w:szCs w:val="32"/>
          <w:lang w:eastAsia="zh-CN"/>
        </w:rPr>
        <w:t>持平</w:t>
      </w:r>
      <w:r>
        <w:rPr>
          <w:rStyle w:val="21"/>
          <w:rFonts w:hint="eastAsia" w:ascii="仿宋_GB2312" w:hAnsi="仿宋_GB2312" w:eastAsia="仿宋_GB2312" w:cs="仿宋_GB2312"/>
          <w:b w:val="0"/>
          <w:bCs w:val="0"/>
          <w:color w:val="auto"/>
          <w:sz w:val="32"/>
          <w:szCs w:val="32"/>
        </w:rPr>
        <w:t>。</w:t>
      </w:r>
    </w:p>
    <w:p>
      <w:pPr>
        <w:spacing w:line="600" w:lineRule="exact"/>
        <w:ind w:firstLine="640" w:firstLineChars="200"/>
        <w:rPr>
          <w:rStyle w:val="21"/>
          <w:rFonts w:hint="eastAsia" w:ascii="仿宋_GB2312" w:hAnsi="仿宋_GB2312" w:eastAsia="仿宋_GB2312" w:cs="仿宋_GB2312"/>
          <w:b w:val="0"/>
          <w:bCs w:val="0"/>
          <w:color w:val="auto"/>
          <w:sz w:val="32"/>
          <w:szCs w:val="32"/>
        </w:rPr>
      </w:pPr>
      <w:r>
        <w:rPr>
          <w:rStyle w:val="21"/>
          <w:rFonts w:hint="eastAsia" w:ascii="仿宋_GB2312" w:hAnsi="仿宋_GB2312" w:eastAsia="仿宋_GB2312" w:cs="仿宋_GB2312"/>
          <w:b w:val="0"/>
          <w:bCs w:val="0"/>
          <w:color w:val="auto"/>
          <w:sz w:val="32"/>
          <w:szCs w:val="32"/>
        </w:rPr>
        <w:t>3.</w:t>
      </w:r>
      <w:r>
        <w:rPr>
          <w:rStyle w:val="21"/>
          <w:rFonts w:hint="eastAsia" w:ascii="仿宋_GB2312" w:hAnsi="仿宋_GB2312" w:eastAsia="仿宋_GB2312" w:cs="仿宋_GB2312"/>
          <w:b w:val="0"/>
          <w:bCs w:val="0"/>
          <w:color w:val="auto"/>
          <w:sz w:val="32"/>
          <w:szCs w:val="32"/>
          <w:lang w:val="en-US" w:eastAsia="zh-CN"/>
        </w:rPr>
        <w:t>节能环保支出（类）污染防治（款）水体（项）：</w:t>
      </w:r>
      <w:r>
        <w:rPr>
          <w:rStyle w:val="21"/>
          <w:rFonts w:hint="eastAsia" w:ascii="仿宋_GB2312" w:hAnsi="仿宋_GB2312" w:eastAsia="仿宋_GB2312" w:cs="仿宋_GB2312"/>
          <w:b w:val="0"/>
          <w:bCs w:val="0"/>
          <w:color w:val="auto"/>
          <w:sz w:val="32"/>
          <w:szCs w:val="32"/>
        </w:rPr>
        <w:t xml:space="preserve"> 支出决算为</w:t>
      </w:r>
      <w:r>
        <w:rPr>
          <w:rStyle w:val="21"/>
          <w:rFonts w:hint="eastAsia" w:ascii="仿宋_GB2312" w:hAnsi="仿宋_GB2312" w:eastAsia="仿宋_GB2312" w:cs="仿宋_GB2312"/>
          <w:b w:val="0"/>
          <w:bCs w:val="0"/>
          <w:color w:val="auto"/>
          <w:sz w:val="32"/>
          <w:szCs w:val="32"/>
          <w:lang w:val="en-US" w:eastAsia="zh-CN"/>
        </w:rPr>
        <w:t>112.63</w:t>
      </w:r>
      <w:r>
        <w:rPr>
          <w:rStyle w:val="21"/>
          <w:rFonts w:hint="eastAsia" w:ascii="仿宋_GB2312" w:hAnsi="仿宋_GB2312" w:eastAsia="仿宋_GB2312" w:cs="仿宋_GB2312"/>
          <w:b w:val="0"/>
          <w:bCs w:val="0"/>
          <w:color w:val="auto"/>
          <w:sz w:val="32"/>
          <w:szCs w:val="32"/>
        </w:rPr>
        <w:t>万元，完成预算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%，决算数</w:t>
      </w:r>
      <w:r>
        <w:rPr>
          <w:rStyle w:val="21"/>
          <w:rFonts w:hint="eastAsia" w:ascii="仿宋_GB2312" w:hAnsi="仿宋_GB2312" w:eastAsia="仿宋_GB2312" w:cs="仿宋_GB2312"/>
          <w:b w:val="0"/>
          <w:bCs w:val="0"/>
          <w:color w:val="auto"/>
          <w:sz w:val="32"/>
          <w:szCs w:val="32"/>
          <w:lang w:eastAsia="zh-CN"/>
        </w:rPr>
        <w:t>与</w:t>
      </w:r>
      <w:r>
        <w:rPr>
          <w:rStyle w:val="21"/>
          <w:rFonts w:hint="eastAsia" w:ascii="仿宋_GB2312" w:hAnsi="仿宋_GB2312" w:eastAsia="仿宋_GB2312" w:cs="仿宋_GB2312"/>
          <w:b w:val="0"/>
          <w:bCs w:val="0"/>
          <w:color w:val="auto"/>
          <w:sz w:val="32"/>
          <w:szCs w:val="32"/>
        </w:rPr>
        <w:t>预算数</w:t>
      </w:r>
      <w:r>
        <w:rPr>
          <w:rStyle w:val="21"/>
          <w:rFonts w:hint="eastAsia" w:ascii="仿宋_GB2312" w:hAnsi="仿宋_GB2312" w:eastAsia="仿宋_GB2312" w:cs="仿宋_GB2312"/>
          <w:b w:val="0"/>
          <w:bCs w:val="0"/>
          <w:color w:val="auto"/>
          <w:sz w:val="32"/>
          <w:szCs w:val="32"/>
          <w:lang w:eastAsia="zh-CN"/>
        </w:rPr>
        <w:t>持平</w:t>
      </w:r>
      <w:r>
        <w:rPr>
          <w:rStyle w:val="21"/>
          <w:rFonts w:hint="eastAsia" w:ascii="仿宋_GB2312" w:hAnsi="仿宋_GB2312" w:eastAsia="仿宋_GB2312" w:cs="仿宋_GB2312"/>
          <w:b w:val="0"/>
          <w:bCs w:val="0"/>
          <w:color w:val="auto"/>
          <w:sz w:val="32"/>
          <w:szCs w:val="32"/>
        </w:rPr>
        <w:t>。</w:t>
      </w:r>
    </w:p>
    <w:p>
      <w:pPr>
        <w:spacing w:line="600" w:lineRule="exact"/>
        <w:ind w:firstLine="640" w:firstLineChars="200"/>
        <w:rPr>
          <w:rStyle w:val="21"/>
          <w:rFonts w:hint="eastAsia" w:ascii="仿宋_GB2312" w:hAnsi="仿宋_GB2312" w:eastAsia="仿宋_GB2312" w:cs="仿宋_GB2312"/>
          <w:b w:val="0"/>
          <w:bCs w:val="0"/>
          <w:color w:val="auto"/>
          <w:sz w:val="32"/>
          <w:szCs w:val="32"/>
        </w:rPr>
      </w:pPr>
      <w:r>
        <w:rPr>
          <w:rStyle w:val="21"/>
          <w:rFonts w:hint="eastAsia" w:ascii="仿宋_GB2312" w:hAnsi="仿宋_GB2312" w:eastAsia="仿宋_GB2312" w:cs="仿宋_GB2312"/>
          <w:b w:val="0"/>
          <w:bCs w:val="0"/>
          <w:color w:val="auto"/>
          <w:sz w:val="32"/>
          <w:szCs w:val="32"/>
        </w:rPr>
        <w:t>4.</w:t>
      </w:r>
      <w:r>
        <w:rPr>
          <w:rStyle w:val="21"/>
          <w:rFonts w:hint="eastAsia" w:ascii="仿宋_GB2312" w:hAnsi="仿宋_GB2312" w:eastAsia="仿宋_GB2312" w:cs="仿宋_GB2312"/>
          <w:b w:val="0"/>
          <w:bCs w:val="0"/>
          <w:color w:val="auto"/>
          <w:sz w:val="32"/>
          <w:szCs w:val="32"/>
          <w:lang w:eastAsia="zh-CN"/>
        </w:rPr>
        <w:t>农林水支出</w:t>
      </w:r>
      <w:r>
        <w:rPr>
          <w:rStyle w:val="21"/>
          <w:rFonts w:hint="eastAsia" w:ascii="仿宋_GB2312" w:hAnsi="仿宋_GB2312" w:eastAsia="仿宋_GB2312" w:cs="仿宋_GB2312"/>
          <w:b w:val="0"/>
          <w:bCs w:val="0"/>
          <w:color w:val="auto"/>
          <w:sz w:val="32"/>
          <w:szCs w:val="32"/>
        </w:rPr>
        <w:t>（类）</w:t>
      </w:r>
      <w:r>
        <w:rPr>
          <w:rStyle w:val="21"/>
          <w:rFonts w:hint="eastAsia" w:ascii="仿宋_GB2312" w:hAnsi="仿宋_GB2312" w:eastAsia="仿宋_GB2312" w:cs="仿宋_GB2312"/>
          <w:b w:val="0"/>
          <w:bCs w:val="0"/>
          <w:color w:val="auto"/>
          <w:sz w:val="32"/>
          <w:szCs w:val="32"/>
          <w:lang w:eastAsia="zh-CN"/>
        </w:rPr>
        <w:t>巩固脱贫衔接乡村振兴</w:t>
      </w:r>
      <w:r>
        <w:rPr>
          <w:rStyle w:val="21"/>
          <w:rFonts w:hint="eastAsia" w:ascii="仿宋_GB2312" w:hAnsi="仿宋_GB2312" w:eastAsia="仿宋_GB2312" w:cs="仿宋_GB2312"/>
          <w:b w:val="0"/>
          <w:bCs w:val="0"/>
          <w:color w:val="auto"/>
          <w:sz w:val="32"/>
          <w:szCs w:val="32"/>
        </w:rPr>
        <w:t>（款）其他</w:t>
      </w:r>
      <w:r>
        <w:rPr>
          <w:rStyle w:val="21"/>
          <w:rFonts w:hint="eastAsia" w:ascii="仿宋_GB2312" w:hAnsi="仿宋_GB2312" w:eastAsia="仿宋_GB2312" w:cs="仿宋_GB2312"/>
          <w:b w:val="0"/>
          <w:bCs w:val="0"/>
          <w:color w:val="auto"/>
          <w:sz w:val="32"/>
          <w:szCs w:val="32"/>
          <w:lang w:eastAsia="zh-CN"/>
        </w:rPr>
        <w:t>巩固脱贫衔接乡村振兴</w:t>
      </w:r>
      <w:r>
        <w:rPr>
          <w:rStyle w:val="21"/>
          <w:rFonts w:hint="eastAsia" w:ascii="仿宋_GB2312" w:hAnsi="仿宋_GB2312" w:eastAsia="仿宋_GB2312" w:cs="仿宋_GB2312"/>
          <w:b w:val="0"/>
          <w:bCs w:val="0"/>
          <w:color w:val="auto"/>
          <w:sz w:val="32"/>
          <w:szCs w:val="32"/>
        </w:rPr>
        <w:t>（项）</w:t>
      </w:r>
      <w:r>
        <w:rPr>
          <w:rStyle w:val="21"/>
          <w:rFonts w:hint="eastAsia" w:ascii="仿宋_GB2312" w:hAnsi="仿宋_GB2312" w:eastAsia="仿宋_GB2312" w:cs="仿宋_GB2312"/>
          <w:b w:val="0"/>
          <w:bCs w:val="0"/>
          <w:color w:val="auto"/>
          <w:sz w:val="32"/>
          <w:szCs w:val="32"/>
          <w:lang w:eastAsia="zh-CN"/>
        </w:rPr>
        <w:t>支出：</w:t>
      </w:r>
      <w:r>
        <w:rPr>
          <w:rStyle w:val="21"/>
          <w:rFonts w:hint="eastAsia" w:ascii="仿宋_GB2312" w:hAnsi="仿宋_GB2312" w:eastAsia="仿宋_GB2312" w:cs="仿宋_GB2312"/>
          <w:b w:val="0"/>
          <w:bCs w:val="0"/>
          <w:color w:val="auto"/>
          <w:sz w:val="32"/>
          <w:szCs w:val="32"/>
        </w:rPr>
        <w:t xml:space="preserve"> 支出决算为</w:t>
      </w:r>
      <w:r>
        <w:rPr>
          <w:rFonts w:hint="eastAsia" w:ascii="仿宋_GB2312" w:hAnsi="仿宋_GB2312" w:eastAsia="仿宋_GB2312" w:cs="仿宋_GB2312"/>
          <w:b w:val="0"/>
          <w:bCs w:val="0"/>
          <w:color w:val="auto"/>
          <w:sz w:val="32"/>
          <w:szCs w:val="32"/>
          <w:lang w:val="en-US" w:eastAsia="zh-CN"/>
        </w:rPr>
        <w:t>146.01</w:t>
      </w:r>
      <w:r>
        <w:rPr>
          <w:rStyle w:val="21"/>
          <w:rFonts w:hint="eastAsia" w:ascii="仿宋_GB2312" w:hAnsi="仿宋_GB2312" w:eastAsia="仿宋_GB2312" w:cs="仿宋_GB2312"/>
          <w:b w:val="0"/>
          <w:bCs w:val="0"/>
          <w:color w:val="auto"/>
          <w:sz w:val="32"/>
          <w:szCs w:val="32"/>
        </w:rPr>
        <w:t>万元，完成预算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%，决算数</w:t>
      </w:r>
      <w:r>
        <w:rPr>
          <w:rStyle w:val="21"/>
          <w:rFonts w:hint="eastAsia" w:ascii="仿宋_GB2312" w:hAnsi="仿宋_GB2312" w:eastAsia="仿宋_GB2312" w:cs="仿宋_GB2312"/>
          <w:b w:val="0"/>
          <w:bCs w:val="0"/>
          <w:color w:val="auto"/>
          <w:sz w:val="32"/>
          <w:szCs w:val="32"/>
          <w:lang w:eastAsia="zh-CN"/>
        </w:rPr>
        <w:t>与</w:t>
      </w:r>
      <w:r>
        <w:rPr>
          <w:rStyle w:val="21"/>
          <w:rFonts w:hint="eastAsia" w:ascii="仿宋_GB2312" w:hAnsi="仿宋_GB2312" w:eastAsia="仿宋_GB2312" w:cs="仿宋_GB2312"/>
          <w:b w:val="0"/>
          <w:bCs w:val="0"/>
          <w:color w:val="auto"/>
          <w:sz w:val="32"/>
          <w:szCs w:val="32"/>
        </w:rPr>
        <w:t>预算数</w:t>
      </w:r>
      <w:r>
        <w:rPr>
          <w:rStyle w:val="21"/>
          <w:rFonts w:hint="eastAsia" w:ascii="仿宋_GB2312" w:hAnsi="仿宋_GB2312" w:eastAsia="仿宋_GB2312" w:cs="仿宋_GB2312"/>
          <w:b w:val="0"/>
          <w:bCs w:val="0"/>
          <w:color w:val="auto"/>
          <w:sz w:val="32"/>
          <w:szCs w:val="32"/>
          <w:lang w:eastAsia="zh-CN"/>
        </w:rPr>
        <w:t>持平</w:t>
      </w:r>
      <w:r>
        <w:rPr>
          <w:rStyle w:val="21"/>
          <w:rFonts w:hint="eastAsia" w:ascii="仿宋_GB2312" w:hAnsi="仿宋_GB2312" w:eastAsia="仿宋_GB2312" w:cs="仿宋_GB2312"/>
          <w:b w:val="0"/>
          <w:bCs w:val="0"/>
          <w:color w:val="auto"/>
          <w:sz w:val="32"/>
          <w:szCs w:val="32"/>
        </w:rPr>
        <w:t>。</w:t>
      </w:r>
    </w:p>
    <w:p>
      <w:pPr>
        <w:spacing w:line="600" w:lineRule="exact"/>
        <w:ind w:firstLine="640" w:firstLineChars="200"/>
        <w:rPr>
          <w:rStyle w:val="21"/>
          <w:rFonts w:hint="eastAsia" w:ascii="仿宋_GB2312" w:hAnsi="仿宋_GB2312" w:eastAsia="仿宋_GB2312" w:cs="仿宋_GB2312"/>
          <w:b w:val="0"/>
          <w:bCs w:val="0"/>
          <w:color w:val="auto"/>
          <w:sz w:val="32"/>
          <w:szCs w:val="32"/>
        </w:rPr>
      </w:pPr>
      <w:r>
        <w:rPr>
          <w:rStyle w:val="21"/>
          <w:rFonts w:hint="eastAsia" w:ascii="仿宋_GB2312" w:hAnsi="仿宋_GB2312" w:eastAsia="仿宋_GB2312" w:cs="仿宋_GB2312"/>
          <w:b w:val="0"/>
          <w:bCs w:val="0"/>
          <w:color w:val="auto"/>
          <w:sz w:val="32"/>
          <w:szCs w:val="32"/>
        </w:rPr>
        <w:t>5.社会保障和就业（类）</w:t>
      </w:r>
      <w:r>
        <w:rPr>
          <w:rStyle w:val="21"/>
          <w:rFonts w:hint="eastAsia" w:ascii="仿宋_GB2312" w:hAnsi="仿宋_GB2312" w:eastAsia="仿宋_GB2312" w:cs="仿宋_GB2312"/>
          <w:b w:val="0"/>
          <w:bCs w:val="0"/>
          <w:color w:val="auto"/>
          <w:sz w:val="32"/>
          <w:szCs w:val="32"/>
          <w:lang w:eastAsia="zh-CN"/>
        </w:rPr>
        <w:t>行政事业单位养老支出</w:t>
      </w:r>
      <w:r>
        <w:rPr>
          <w:rStyle w:val="21"/>
          <w:rFonts w:hint="eastAsia" w:ascii="仿宋_GB2312" w:hAnsi="仿宋_GB2312" w:eastAsia="仿宋_GB2312" w:cs="仿宋_GB2312"/>
          <w:b w:val="0"/>
          <w:bCs w:val="0"/>
          <w:color w:val="auto"/>
          <w:sz w:val="32"/>
          <w:szCs w:val="32"/>
        </w:rPr>
        <w:t>（款）</w:t>
      </w:r>
      <w:r>
        <w:rPr>
          <w:rStyle w:val="21"/>
          <w:rFonts w:hint="eastAsia" w:ascii="仿宋_GB2312" w:hAnsi="仿宋_GB2312" w:eastAsia="仿宋_GB2312" w:cs="仿宋_GB2312"/>
          <w:b w:val="0"/>
          <w:bCs w:val="0"/>
          <w:color w:val="auto"/>
          <w:sz w:val="32"/>
          <w:szCs w:val="32"/>
          <w:lang w:eastAsia="zh-CN"/>
        </w:rPr>
        <w:t>机关事业单位基本养老保险缴费支出</w:t>
      </w:r>
      <w:r>
        <w:rPr>
          <w:rStyle w:val="21"/>
          <w:rFonts w:hint="eastAsia" w:ascii="仿宋_GB2312" w:hAnsi="仿宋_GB2312" w:eastAsia="仿宋_GB2312" w:cs="仿宋_GB2312"/>
          <w:b w:val="0"/>
          <w:bCs w:val="0"/>
          <w:color w:val="auto"/>
          <w:sz w:val="32"/>
          <w:szCs w:val="32"/>
        </w:rPr>
        <w:t>（项）</w:t>
      </w:r>
      <w:r>
        <w:rPr>
          <w:rStyle w:val="21"/>
          <w:rFonts w:hint="eastAsia" w:ascii="仿宋_GB2312" w:hAnsi="仿宋_GB2312" w:eastAsia="仿宋_GB2312" w:cs="仿宋_GB2312"/>
          <w:b w:val="0"/>
          <w:bCs w:val="0"/>
          <w:color w:val="auto"/>
          <w:sz w:val="32"/>
          <w:szCs w:val="32"/>
          <w:lang w:eastAsia="zh-CN"/>
        </w:rPr>
        <w:t>：</w:t>
      </w:r>
      <w:r>
        <w:rPr>
          <w:rStyle w:val="21"/>
          <w:rFonts w:hint="eastAsia" w:ascii="仿宋_GB2312" w:hAnsi="仿宋_GB2312" w:eastAsia="仿宋_GB2312" w:cs="仿宋_GB2312"/>
          <w:b w:val="0"/>
          <w:bCs w:val="0"/>
          <w:color w:val="auto"/>
          <w:sz w:val="32"/>
          <w:szCs w:val="32"/>
        </w:rPr>
        <w:t xml:space="preserve"> 支出决算为</w:t>
      </w:r>
      <w:r>
        <w:rPr>
          <w:rFonts w:hint="eastAsia" w:ascii="仿宋_GB2312" w:hAnsi="仿宋_GB2312" w:eastAsia="仿宋_GB2312" w:cs="仿宋_GB2312"/>
          <w:b w:val="0"/>
          <w:bCs w:val="0"/>
          <w:color w:val="auto"/>
          <w:sz w:val="32"/>
          <w:szCs w:val="32"/>
          <w:lang w:val="en-US" w:eastAsia="zh-CN"/>
        </w:rPr>
        <w:t>69.53</w:t>
      </w:r>
      <w:r>
        <w:rPr>
          <w:rStyle w:val="21"/>
          <w:rFonts w:hint="eastAsia" w:ascii="仿宋_GB2312" w:hAnsi="仿宋_GB2312" w:eastAsia="仿宋_GB2312" w:cs="仿宋_GB2312"/>
          <w:b w:val="0"/>
          <w:bCs w:val="0"/>
          <w:color w:val="auto"/>
          <w:sz w:val="32"/>
          <w:szCs w:val="32"/>
        </w:rPr>
        <w:t>万元，完成预算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%，决算数</w:t>
      </w:r>
      <w:r>
        <w:rPr>
          <w:rStyle w:val="21"/>
          <w:rFonts w:hint="eastAsia" w:ascii="仿宋_GB2312" w:hAnsi="仿宋_GB2312" w:eastAsia="仿宋_GB2312" w:cs="仿宋_GB2312"/>
          <w:b w:val="0"/>
          <w:bCs w:val="0"/>
          <w:color w:val="auto"/>
          <w:sz w:val="32"/>
          <w:szCs w:val="32"/>
          <w:lang w:eastAsia="zh-CN"/>
        </w:rPr>
        <w:t>与</w:t>
      </w:r>
      <w:r>
        <w:rPr>
          <w:rStyle w:val="21"/>
          <w:rFonts w:hint="eastAsia" w:ascii="仿宋_GB2312" w:hAnsi="仿宋_GB2312" w:eastAsia="仿宋_GB2312" w:cs="仿宋_GB2312"/>
          <w:b w:val="0"/>
          <w:bCs w:val="0"/>
          <w:color w:val="auto"/>
          <w:sz w:val="32"/>
          <w:szCs w:val="32"/>
        </w:rPr>
        <w:t>预算数</w:t>
      </w:r>
      <w:r>
        <w:rPr>
          <w:rStyle w:val="21"/>
          <w:rFonts w:hint="eastAsia" w:ascii="仿宋_GB2312" w:hAnsi="仿宋_GB2312" w:eastAsia="仿宋_GB2312" w:cs="仿宋_GB2312"/>
          <w:b w:val="0"/>
          <w:bCs w:val="0"/>
          <w:color w:val="auto"/>
          <w:sz w:val="32"/>
          <w:szCs w:val="32"/>
          <w:lang w:eastAsia="zh-CN"/>
        </w:rPr>
        <w:t>持平</w:t>
      </w:r>
      <w:r>
        <w:rPr>
          <w:rStyle w:val="21"/>
          <w:rFonts w:hint="eastAsia" w:ascii="仿宋_GB2312" w:hAnsi="仿宋_GB2312" w:eastAsia="仿宋_GB2312" w:cs="仿宋_GB2312"/>
          <w:b w:val="0"/>
          <w:bCs w:val="0"/>
          <w:color w:val="auto"/>
          <w:sz w:val="32"/>
          <w:szCs w:val="32"/>
        </w:rPr>
        <w:t>。</w:t>
      </w:r>
    </w:p>
    <w:p>
      <w:pPr>
        <w:spacing w:line="600" w:lineRule="exact"/>
        <w:ind w:firstLine="640" w:firstLineChars="200"/>
        <w:rPr>
          <w:rStyle w:val="21"/>
          <w:rFonts w:hint="eastAsia" w:ascii="仿宋_GB2312" w:hAnsi="仿宋_GB2312" w:eastAsia="仿宋_GB2312" w:cs="仿宋_GB2312"/>
          <w:b w:val="0"/>
          <w:bCs w:val="0"/>
          <w:color w:val="auto"/>
          <w:sz w:val="32"/>
          <w:szCs w:val="32"/>
        </w:rPr>
      </w:pPr>
      <w:r>
        <w:rPr>
          <w:rStyle w:val="21"/>
          <w:rFonts w:hint="eastAsia" w:ascii="仿宋_GB2312" w:hAnsi="仿宋_GB2312" w:eastAsia="仿宋_GB2312" w:cs="仿宋_GB2312"/>
          <w:b w:val="0"/>
          <w:bCs w:val="0"/>
          <w:color w:val="auto"/>
          <w:sz w:val="32"/>
          <w:szCs w:val="32"/>
        </w:rPr>
        <w:t>6.</w:t>
      </w:r>
      <w:r>
        <w:rPr>
          <w:rFonts w:hint="eastAsia" w:ascii="仿宋_GB2312" w:hAnsi="仿宋_GB2312" w:eastAsia="仿宋_GB2312" w:cs="仿宋_GB2312"/>
          <w:b w:val="0"/>
          <w:bCs w:val="0"/>
          <w:color w:val="auto"/>
          <w:sz w:val="32"/>
          <w:szCs w:val="32"/>
        </w:rPr>
        <w:t>卫生健康</w:t>
      </w:r>
      <w:r>
        <w:rPr>
          <w:rStyle w:val="21"/>
          <w:rFonts w:hint="eastAsia" w:ascii="仿宋_GB2312" w:hAnsi="仿宋_GB2312" w:eastAsia="仿宋_GB2312" w:cs="仿宋_GB2312"/>
          <w:b w:val="0"/>
          <w:bCs w:val="0"/>
          <w:color w:val="auto"/>
          <w:sz w:val="32"/>
          <w:szCs w:val="32"/>
        </w:rPr>
        <w:t>（类）行政事业单位医疗（款）行政单位医疗（项）</w:t>
      </w:r>
      <w:r>
        <w:rPr>
          <w:rStyle w:val="21"/>
          <w:rFonts w:hint="eastAsia" w:ascii="仿宋_GB2312" w:hAnsi="仿宋_GB2312" w:eastAsia="仿宋_GB2312" w:cs="仿宋_GB2312"/>
          <w:b w:val="0"/>
          <w:bCs w:val="0"/>
          <w:color w:val="auto"/>
          <w:sz w:val="32"/>
          <w:szCs w:val="32"/>
          <w:lang w:eastAsia="zh-CN"/>
        </w:rPr>
        <w:t>：</w:t>
      </w:r>
      <w:r>
        <w:rPr>
          <w:rStyle w:val="21"/>
          <w:rFonts w:hint="eastAsia" w:ascii="仿宋_GB2312" w:hAnsi="仿宋_GB2312" w:eastAsia="仿宋_GB2312" w:cs="仿宋_GB2312"/>
          <w:b w:val="0"/>
          <w:bCs w:val="0"/>
          <w:color w:val="auto"/>
          <w:sz w:val="32"/>
          <w:szCs w:val="32"/>
        </w:rPr>
        <w:t>支出决算为</w:t>
      </w:r>
      <w:r>
        <w:rPr>
          <w:rFonts w:hint="eastAsia" w:ascii="仿宋_GB2312" w:hAnsi="仿宋_GB2312" w:eastAsia="仿宋_GB2312" w:cs="仿宋_GB2312"/>
          <w:b w:val="0"/>
          <w:bCs w:val="0"/>
          <w:color w:val="auto"/>
          <w:sz w:val="32"/>
          <w:szCs w:val="32"/>
          <w:lang w:val="en-US" w:eastAsia="zh-CN"/>
        </w:rPr>
        <w:t>34.62</w:t>
      </w:r>
      <w:r>
        <w:rPr>
          <w:rStyle w:val="21"/>
          <w:rFonts w:hint="eastAsia" w:ascii="仿宋_GB2312" w:hAnsi="仿宋_GB2312" w:eastAsia="仿宋_GB2312" w:cs="仿宋_GB2312"/>
          <w:b w:val="0"/>
          <w:bCs w:val="0"/>
          <w:color w:val="auto"/>
          <w:sz w:val="32"/>
          <w:szCs w:val="32"/>
        </w:rPr>
        <w:t>万元，完成预算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%，决算数</w:t>
      </w:r>
      <w:r>
        <w:rPr>
          <w:rStyle w:val="21"/>
          <w:rFonts w:hint="eastAsia" w:ascii="仿宋_GB2312" w:hAnsi="仿宋_GB2312" w:eastAsia="仿宋_GB2312" w:cs="仿宋_GB2312"/>
          <w:b w:val="0"/>
          <w:bCs w:val="0"/>
          <w:color w:val="auto"/>
          <w:sz w:val="32"/>
          <w:szCs w:val="32"/>
          <w:lang w:eastAsia="zh-CN"/>
        </w:rPr>
        <w:t>与</w:t>
      </w:r>
      <w:r>
        <w:rPr>
          <w:rStyle w:val="21"/>
          <w:rFonts w:hint="eastAsia" w:ascii="仿宋_GB2312" w:hAnsi="仿宋_GB2312" w:eastAsia="仿宋_GB2312" w:cs="仿宋_GB2312"/>
          <w:b w:val="0"/>
          <w:bCs w:val="0"/>
          <w:color w:val="auto"/>
          <w:sz w:val="32"/>
          <w:szCs w:val="32"/>
        </w:rPr>
        <w:t>预算数</w:t>
      </w:r>
      <w:r>
        <w:rPr>
          <w:rStyle w:val="21"/>
          <w:rFonts w:hint="eastAsia" w:ascii="仿宋_GB2312" w:hAnsi="仿宋_GB2312" w:eastAsia="仿宋_GB2312" w:cs="仿宋_GB2312"/>
          <w:b w:val="0"/>
          <w:bCs w:val="0"/>
          <w:color w:val="auto"/>
          <w:sz w:val="32"/>
          <w:szCs w:val="32"/>
          <w:lang w:eastAsia="zh-CN"/>
        </w:rPr>
        <w:t>持平</w:t>
      </w:r>
      <w:r>
        <w:rPr>
          <w:rStyle w:val="21"/>
          <w:rFonts w:hint="eastAsia" w:ascii="仿宋_GB2312" w:hAnsi="仿宋_GB2312" w:eastAsia="仿宋_GB2312" w:cs="仿宋_GB2312"/>
          <w:b w:val="0"/>
          <w:bCs w:val="0"/>
          <w:color w:val="auto"/>
          <w:sz w:val="32"/>
          <w:szCs w:val="32"/>
        </w:rPr>
        <w:t>。</w:t>
      </w:r>
    </w:p>
    <w:p>
      <w:pPr>
        <w:tabs>
          <w:tab w:val="right" w:pos="8306"/>
        </w:tabs>
        <w:spacing w:line="600" w:lineRule="exact"/>
        <w:ind w:firstLine="640"/>
        <w:outlineLvl w:val="1"/>
        <w:rPr>
          <w:rStyle w:val="32"/>
          <w:rFonts w:hint="eastAsia" w:ascii="黑体" w:hAnsi="黑体" w:eastAsia="黑体" w:cs="黑体"/>
          <w:b w:val="0"/>
          <w:bCs w:val="0"/>
          <w:color w:val="auto"/>
        </w:rPr>
      </w:pPr>
      <w:bookmarkStart w:id="73" w:name="_Toc15377214"/>
      <w:bookmarkStart w:id="74" w:name="_Toc15396608"/>
      <w:bookmarkStart w:id="75" w:name="_Toc22537"/>
      <w:r>
        <w:rPr>
          <w:rFonts w:hint="eastAsia" w:ascii="黑体" w:hAnsi="黑体" w:eastAsia="黑体" w:cs="黑体"/>
          <w:b w:val="0"/>
          <w:bCs w:val="0"/>
          <w:color w:val="auto"/>
          <w:sz w:val="32"/>
          <w:szCs w:val="32"/>
        </w:rPr>
        <w:t>六、一</w:t>
      </w:r>
      <w:r>
        <w:rPr>
          <w:rStyle w:val="32"/>
          <w:rFonts w:hint="eastAsia" w:ascii="黑体" w:hAnsi="黑体" w:eastAsia="黑体" w:cs="黑体"/>
          <w:b w:val="0"/>
          <w:bCs w:val="0"/>
          <w:color w:val="auto"/>
        </w:rPr>
        <w:t>般公共预算财政拨款基本支出决算情况说明</w:t>
      </w:r>
      <w:bookmarkEnd w:id="73"/>
      <w:bookmarkEnd w:id="74"/>
      <w:bookmarkEnd w:id="75"/>
      <w:r>
        <w:rPr>
          <w:rStyle w:val="32"/>
          <w:rFonts w:hint="eastAsia" w:ascii="黑体" w:hAnsi="黑体" w:eastAsia="黑体" w:cs="黑体"/>
          <w:b w:val="0"/>
          <w:bCs w:val="0"/>
          <w:color w:val="auto"/>
        </w:rPr>
        <w:tab/>
      </w:r>
    </w:p>
    <w:p>
      <w:pPr>
        <w:spacing w:line="600" w:lineRule="exact"/>
        <w:ind w:firstLine="645"/>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年一般公共预算财政拨款基本支出</w:t>
      </w:r>
      <w:r>
        <w:rPr>
          <w:rFonts w:hint="eastAsia" w:ascii="仿宋_GB2312" w:hAnsi="仿宋_GB2312" w:eastAsia="仿宋_GB2312" w:cs="仿宋_GB2312"/>
          <w:b w:val="0"/>
          <w:bCs w:val="0"/>
          <w:color w:val="auto"/>
          <w:sz w:val="32"/>
          <w:szCs w:val="32"/>
          <w:lang w:val="en-US" w:eastAsia="zh-CN"/>
        </w:rPr>
        <w:t>667.31</w:t>
      </w:r>
      <w:r>
        <w:rPr>
          <w:rFonts w:hint="eastAsia" w:ascii="仿宋_GB2312" w:hAnsi="仿宋_GB2312" w:eastAsia="仿宋_GB2312" w:cs="仿宋_GB2312"/>
          <w:b w:val="0"/>
          <w:bCs w:val="0"/>
          <w:color w:val="auto"/>
          <w:sz w:val="32"/>
          <w:szCs w:val="32"/>
        </w:rPr>
        <w:t>万元，其中：</w:t>
      </w:r>
    </w:p>
    <w:p>
      <w:pPr>
        <w:spacing w:line="600" w:lineRule="exact"/>
        <w:ind w:firstLine="645"/>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人员经费</w:t>
      </w:r>
      <w:r>
        <w:rPr>
          <w:rFonts w:hint="eastAsia" w:ascii="仿宋_GB2312" w:hAnsi="仿宋_GB2312" w:eastAsia="仿宋_GB2312" w:cs="仿宋_GB2312"/>
          <w:b w:val="0"/>
          <w:bCs w:val="0"/>
          <w:color w:val="auto"/>
          <w:sz w:val="32"/>
          <w:szCs w:val="32"/>
          <w:lang w:val="en-US" w:eastAsia="zh-CN"/>
        </w:rPr>
        <w:t>598.22</w:t>
      </w:r>
      <w:r>
        <w:rPr>
          <w:rFonts w:hint="eastAsia" w:ascii="仿宋_GB2312" w:hAnsi="仿宋_GB2312" w:eastAsia="仿宋_GB2312" w:cs="仿宋_GB2312"/>
          <w:b w:val="0"/>
          <w:bCs w:val="0"/>
          <w:color w:val="auto"/>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pPr>
        <w:spacing w:line="600" w:lineRule="exact"/>
        <w:ind w:firstLine="645"/>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公用经费</w:t>
      </w:r>
      <w:r>
        <w:rPr>
          <w:rFonts w:hint="eastAsia" w:ascii="仿宋_GB2312" w:hAnsi="仿宋_GB2312" w:eastAsia="仿宋_GB2312" w:cs="仿宋_GB2312"/>
          <w:b w:val="0"/>
          <w:bCs w:val="0"/>
          <w:color w:val="auto"/>
          <w:sz w:val="32"/>
          <w:szCs w:val="32"/>
          <w:lang w:val="en-US" w:eastAsia="zh-CN"/>
        </w:rPr>
        <w:t>69.09</w:t>
      </w:r>
      <w:r>
        <w:rPr>
          <w:rFonts w:hint="eastAsia" w:ascii="仿宋_GB2312" w:hAnsi="仿宋_GB2312" w:eastAsia="仿宋_GB2312" w:cs="仿宋_GB2312"/>
          <w:b w:val="0"/>
          <w:bCs w:val="0"/>
          <w:color w:val="auto"/>
          <w:sz w:val="32"/>
          <w:szCs w:val="32"/>
        </w:rPr>
        <w:t>万元，主要包括：办公费、印刷费、咨询费、手续费、水费、电费、邮电费、取暖费、物业管理费、差旅费、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pacing w:line="600" w:lineRule="exact"/>
        <w:ind w:firstLine="640"/>
        <w:outlineLvl w:val="1"/>
        <w:rPr>
          <w:rStyle w:val="32"/>
          <w:rFonts w:hint="eastAsia" w:ascii="黑体" w:hAnsi="黑体" w:eastAsia="黑体" w:cs="黑体"/>
          <w:b w:val="0"/>
          <w:bCs w:val="0"/>
          <w:color w:val="auto"/>
        </w:rPr>
      </w:pPr>
      <w:bookmarkStart w:id="76" w:name="_Toc12800"/>
      <w:bookmarkStart w:id="77" w:name="_Toc15377215"/>
      <w:bookmarkStart w:id="78" w:name="_Toc15396609"/>
      <w:r>
        <w:rPr>
          <w:rFonts w:hint="eastAsia" w:ascii="黑体" w:hAnsi="黑体" w:eastAsia="黑体" w:cs="黑体"/>
          <w:b w:val="0"/>
          <w:bCs w:val="0"/>
          <w:color w:val="auto"/>
          <w:sz w:val="32"/>
          <w:szCs w:val="32"/>
        </w:rPr>
        <w:t>七、</w:t>
      </w:r>
      <w:r>
        <w:rPr>
          <w:rStyle w:val="32"/>
          <w:rFonts w:hint="eastAsia" w:ascii="黑体" w:hAnsi="黑体" w:eastAsia="黑体" w:cs="黑体"/>
          <w:b w:val="0"/>
          <w:bCs w:val="0"/>
          <w:color w:val="auto"/>
        </w:rPr>
        <w:t>“三公”经费财政拨款支出决算情况说明</w:t>
      </w:r>
      <w:bookmarkEnd w:id="76"/>
      <w:bookmarkEnd w:id="77"/>
      <w:bookmarkEnd w:id="78"/>
    </w:p>
    <w:p>
      <w:pPr>
        <w:spacing w:line="600" w:lineRule="exact"/>
        <w:ind w:firstLine="640"/>
        <w:outlineLvl w:val="2"/>
        <w:rPr>
          <w:rFonts w:hint="eastAsia" w:ascii="仿宋_GB2312" w:hAnsi="仿宋_GB2312" w:eastAsia="仿宋_GB2312" w:cs="仿宋_GB2312"/>
          <w:b/>
          <w:bCs/>
          <w:color w:val="auto"/>
          <w:sz w:val="32"/>
          <w:szCs w:val="32"/>
        </w:rPr>
      </w:pPr>
      <w:bookmarkStart w:id="79" w:name="_Toc15377216"/>
      <w:r>
        <w:rPr>
          <w:rFonts w:hint="eastAsia" w:ascii="仿宋_GB2312" w:hAnsi="仿宋_GB2312" w:eastAsia="仿宋_GB2312" w:cs="仿宋_GB2312"/>
          <w:b/>
          <w:bCs/>
          <w:color w:val="auto"/>
          <w:sz w:val="32"/>
          <w:szCs w:val="32"/>
        </w:rPr>
        <w:t>（一）“三公”经费财政拨款支出决算总体情况说明</w:t>
      </w:r>
      <w:bookmarkEnd w:id="79"/>
    </w:p>
    <w:p>
      <w:pPr>
        <w:spacing w:line="600" w:lineRule="exact"/>
        <w:ind w:firstLine="640"/>
        <w:rPr>
          <w:rFonts w:ascii="仿宋" w:hAnsi="仿宋" w:eastAsia="仿宋"/>
          <w:sz w:val="32"/>
          <w:szCs w:val="32"/>
        </w:rPr>
      </w:pPr>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年“三公”经费财政拨款支出决算为</w:t>
      </w:r>
      <w:r>
        <w:rPr>
          <w:rFonts w:hint="eastAsia" w:ascii="仿宋_GB2312" w:hAnsi="仿宋_GB2312" w:eastAsia="仿宋_GB2312" w:cs="仿宋_GB2312"/>
          <w:b w:val="0"/>
          <w:bCs w:val="0"/>
          <w:color w:val="auto"/>
          <w:sz w:val="32"/>
          <w:szCs w:val="32"/>
          <w:lang w:val="en-US" w:eastAsia="zh-CN"/>
        </w:rPr>
        <w:t>0.32</w:t>
      </w:r>
      <w:r>
        <w:rPr>
          <w:rFonts w:hint="eastAsia" w:ascii="仿宋_GB2312" w:hAnsi="仿宋_GB2312" w:eastAsia="仿宋_GB2312" w:cs="仿宋_GB2312"/>
          <w:b w:val="0"/>
          <w:bCs w:val="0"/>
          <w:color w:val="auto"/>
          <w:sz w:val="32"/>
          <w:szCs w:val="32"/>
        </w:rPr>
        <w:t>万元</w:t>
      </w:r>
      <w:r>
        <w:rPr>
          <w:rFonts w:hint="eastAsia" w:ascii="仿宋_GB2312" w:hAnsi="仿宋_GB2312" w:eastAsia="仿宋_GB2312" w:cs="仿宋_GB2312"/>
          <w:b w:val="0"/>
          <w:bCs w:val="0"/>
          <w:color w:val="auto"/>
          <w:sz w:val="32"/>
          <w:szCs w:val="32"/>
          <w:lang w:eastAsia="zh-CN"/>
        </w:rPr>
        <w:t>，</w:t>
      </w:r>
      <w:r>
        <w:rPr>
          <w:rFonts w:hint="eastAsia" w:ascii="仿宋" w:hAnsi="仿宋" w:eastAsia="仿宋"/>
          <w:sz w:val="32"/>
          <w:szCs w:val="32"/>
        </w:rPr>
        <w:t>决算数</w:t>
      </w:r>
      <w:r>
        <w:rPr>
          <w:rFonts w:hint="eastAsia" w:ascii="仿宋" w:hAnsi="仿宋" w:eastAsia="仿宋"/>
          <w:sz w:val="32"/>
          <w:szCs w:val="32"/>
          <w:lang w:eastAsia="zh-CN"/>
        </w:rPr>
        <w:t>与</w:t>
      </w:r>
      <w:r>
        <w:rPr>
          <w:rFonts w:hint="eastAsia" w:ascii="仿宋" w:hAnsi="仿宋" w:eastAsia="仿宋"/>
          <w:sz w:val="32"/>
          <w:szCs w:val="32"/>
        </w:rPr>
        <w:t>预算数持平</w:t>
      </w:r>
      <w:r>
        <w:rPr>
          <w:rFonts w:hint="eastAsia" w:ascii="微软雅黑" w:hAnsi="微软雅黑" w:eastAsia="微软雅黑" w:cs="微软雅黑"/>
          <w:i w:val="0"/>
          <w:iCs w:val="0"/>
          <w:caps w:val="0"/>
          <w:color w:val="333333"/>
          <w:spacing w:val="0"/>
          <w:sz w:val="24"/>
          <w:szCs w:val="24"/>
          <w:shd w:val="clear" w:fill="FFFFFF"/>
        </w:rPr>
        <w:t>。</w:t>
      </w:r>
    </w:p>
    <w:p>
      <w:pPr>
        <w:spacing w:line="600" w:lineRule="exact"/>
        <w:ind w:firstLine="640"/>
        <w:outlineLvl w:val="2"/>
        <w:rPr>
          <w:rFonts w:hint="eastAsia" w:ascii="仿宋_GB2312" w:hAnsi="仿宋_GB2312" w:eastAsia="仿宋_GB2312" w:cs="仿宋_GB2312"/>
          <w:b/>
          <w:bCs/>
          <w:color w:val="auto"/>
          <w:sz w:val="32"/>
          <w:szCs w:val="32"/>
        </w:rPr>
      </w:pPr>
      <w:bookmarkStart w:id="80" w:name="_Toc15377217"/>
      <w:r>
        <w:rPr>
          <w:rFonts w:hint="eastAsia" w:ascii="仿宋_GB2312" w:hAnsi="仿宋_GB2312" w:eastAsia="仿宋_GB2312" w:cs="仿宋_GB2312"/>
          <w:b/>
          <w:bCs/>
          <w:color w:val="auto"/>
          <w:sz w:val="32"/>
          <w:szCs w:val="32"/>
        </w:rPr>
        <w:t>（二）“三公”经费财政拨款支出决算具体情况说明</w:t>
      </w:r>
      <w:bookmarkEnd w:id="80"/>
    </w:p>
    <w:p>
      <w:pPr>
        <w:spacing w:line="600" w:lineRule="exact"/>
        <w:ind w:firstLine="64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年“三公”经费财政拨款支出决算中，公务接待费支出决算</w:t>
      </w:r>
      <w:r>
        <w:rPr>
          <w:rFonts w:hint="eastAsia" w:ascii="仿宋_GB2312" w:hAnsi="仿宋_GB2312" w:eastAsia="仿宋_GB2312" w:cs="仿宋_GB2312"/>
          <w:b w:val="0"/>
          <w:bCs w:val="0"/>
          <w:color w:val="auto"/>
          <w:sz w:val="32"/>
          <w:szCs w:val="32"/>
          <w:lang w:val="en-US" w:eastAsia="zh-CN"/>
        </w:rPr>
        <w:t>0.32万</w:t>
      </w:r>
      <w:r>
        <w:rPr>
          <w:rFonts w:hint="eastAsia" w:ascii="仿宋_GB2312" w:hAnsi="仿宋_GB2312" w:eastAsia="仿宋_GB2312" w:cs="仿宋_GB2312"/>
          <w:b w:val="0"/>
          <w:bCs w:val="0"/>
          <w:color w:val="auto"/>
          <w:sz w:val="32"/>
          <w:szCs w:val="32"/>
        </w:rPr>
        <w:t>元，占100%。具体情况如下：</w:t>
      </w:r>
    </w:p>
    <w:p>
      <w:pPr>
        <w:pStyle w:val="8"/>
        <w:jc w:val="center"/>
        <w:rPr>
          <w:rFonts w:hint="eastAsia" w:ascii="仿宋_GB2312" w:hAnsi="仿宋_GB2312" w:eastAsia="仿宋_GB2312" w:cs="仿宋_GB2312"/>
          <w:b w:val="0"/>
          <w:bCs w:val="0"/>
          <w:color w:val="auto"/>
          <w:sz w:val="32"/>
          <w:szCs w:val="32"/>
          <w:lang w:eastAsia="zh-CN"/>
        </w:rPr>
      </w:pPr>
    </w:p>
    <w:p>
      <w:pPr>
        <w:pStyle w:val="8"/>
        <w:jc w:val="center"/>
        <w:rPr>
          <w:rFonts w:hint="eastAsia" w:ascii="仿宋_GB2312" w:hAnsi="仿宋_GB2312" w:eastAsia="仿宋_GB2312" w:cs="仿宋_GB2312"/>
          <w:b w:val="0"/>
          <w:bCs w:val="0"/>
          <w:color w:val="auto"/>
          <w:sz w:val="32"/>
          <w:szCs w:val="32"/>
          <w:lang w:eastAsia="zh-CN"/>
        </w:rPr>
      </w:pPr>
      <w:r>
        <w:drawing>
          <wp:inline distT="0" distB="0" distL="114300" distR="114300">
            <wp:extent cx="4847590" cy="2695575"/>
            <wp:effectExtent l="4445" t="5080" r="5715" b="44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7"/>
        <w:ind w:firstLine="1280" w:firstLineChars="400"/>
        <w:rPr>
          <w:rFonts w:hint="eastAsia" w:ascii="仿宋" w:hAnsi="仿宋" w:eastAsia="仿宋"/>
          <w:sz w:val="32"/>
          <w:szCs w:val="32"/>
        </w:rPr>
      </w:pPr>
      <w:r>
        <w:rPr>
          <w:rFonts w:hint="eastAsia" w:ascii="仿宋" w:hAnsi="仿宋" w:eastAsia="仿宋"/>
          <w:sz w:val="32"/>
          <w:szCs w:val="32"/>
        </w:rPr>
        <w:t>（图7：“三公”经费财政拨款支出结构）</w:t>
      </w:r>
    </w:p>
    <w:p>
      <w:pPr>
        <w:spacing w:line="600" w:lineRule="exact"/>
        <w:ind w:firstLine="64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公务接待费支出</w:t>
      </w:r>
      <w:r>
        <w:rPr>
          <w:rFonts w:hint="eastAsia" w:ascii="仿宋_GB2312" w:hAnsi="仿宋_GB2312" w:eastAsia="仿宋_GB2312" w:cs="仿宋_GB2312"/>
          <w:b w:val="0"/>
          <w:bCs w:val="0"/>
          <w:color w:val="auto"/>
          <w:sz w:val="32"/>
          <w:szCs w:val="32"/>
          <w:lang w:val="en-US" w:eastAsia="zh-CN"/>
        </w:rPr>
        <w:t>0.32</w:t>
      </w:r>
      <w:r>
        <w:rPr>
          <w:rFonts w:hint="eastAsia" w:ascii="仿宋_GB2312" w:hAnsi="仿宋_GB2312" w:eastAsia="仿宋_GB2312" w:cs="仿宋_GB2312"/>
          <w:b w:val="0"/>
          <w:bCs w:val="0"/>
          <w:color w:val="auto"/>
          <w:sz w:val="32"/>
          <w:szCs w:val="32"/>
        </w:rPr>
        <w:t>万元，</w:t>
      </w:r>
      <w:r>
        <w:rPr>
          <w:rStyle w:val="21"/>
          <w:rFonts w:hint="eastAsia" w:ascii="仿宋_GB2312" w:hAnsi="仿宋_GB2312" w:eastAsia="仿宋_GB2312" w:cs="仿宋_GB2312"/>
          <w:b w:val="0"/>
          <w:bCs w:val="0"/>
          <w:color w:val="auto"/>
          <w:sz w:val="32"/>
          <w:szCs w:val="32"/>
        </w:rPr>
        <w:t>完成预算</w:t>
      </w:r>
      <w:r>
        <w:rPr>
          <w:rStyle w:val="21"/>
          <w:rFonts w:hint="eastAsia" w:ascii="仿宋_GB2312" w:hAnsi="仿宋_GB2312" w:eastAsia="仿宋_GB2312" w:cs="仿宋_GB2312"/>
          <w:b w:val="0"/>
          <w:bCs w:val="0"/>
          <w:color w:val="auto"/>
          <w:sz w:val="32"/>
          <w:szCs w:val="32"/>
          <w:lang w:val="en-US" w:eastAsia="zh-CN"/>
        </w:rPr>
        <w:t>100</w:t>
      </w:r>
      <w:r>
        <w:rPr>
          <w:rStyle w:val="21"/>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rPr>
        <w:t>公务接待费支出决算比202</w:t>
      </w: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年</w:t>
      </w:r>
      <w:r>
        <w:rPr>
          <w:rFonts w:hint="eastAsia" w:ascii="仿宋_GB2312" w:hAnsi="仿宋_GB2312" w:eastAsia="仿宋_GB2312" w:cs="仿宋_GB2312"/>
          <w:b w:val="0"/>
          <w:bCs w:val="0"/>
          <w:color w:val="auto"/>
          <w:sz w:val="32"/>
          <w:szCs w:val="32"/>
          <w:lang w:eastAsia="zh-CN"/>
        </w:rPr>
        <w:t>减少</w:t>
      </w:r>
      <w:r>
        <w:rPr>
          <w:rFonts w:hint="eastAsia" w:ascii="仿宋_GB2312" w:hAnsi="仿宋_GB2312" w:eastAsia="仿宋_GB2312" w:cs="仿宋_GB2312"/>
          <w:b w:val="0"/>
          <w:bCs w:val="0"/>
          <w:color w:val="auto"/>
          <w:sz w:val="32"/>
          <w:szCs w:val="32"/>
          <w:lang w:val="en-US" w:eastAsia="zh-CN"/>
        </w:rPr>
        <w:t>9.24</w:t>
      </w:r>
      <w:r>
        <w:rPr>
          <w:rFonts w:hint="eastAsia" w:ascii="仿宋_GB2312" w:hAnsi="仿宋_GB2312" w:eastAsia="仿宋_GB2312" w:cs="仿宋_GB2312"/>
          <w:b w:val="0"/>
          <w:bCs w:val="0"/>
          <w:color w:val="auto"/>
          <w:sz w:val="32"/>
          <w:szCs w:val="32"/>
        </w:rPr>
        <w:t>万元，</w:t>
      </w:r>
      <w:r>
        <w:rPr>
          <w:rFonts w:hint="eastAsia" w:ascii="仿宋_GB2312" w:hAnsi="仿宋_GB2312" w:eastAsia="仿宋_GB2312" w:cs="仿宋_GB2312"/>
          <w:b w:val="0"/>
          <w:bCs w:val="0"/>
          <w:color w:val="auto"/>
          <w:sz w:val="32"/>
          <w:szCs w:val="32"/>
          <w:lang w:eastAsia="zh-CN"/>
        </w:rPr>
        <w:t>减少</w:t>
      </w:r>
      <w:r>
        <w:rPr>
          <w:rFonts w:hint="eastAsia" w:ascii="仿宋_GB2312" w:hAnsi="仿宋_GB2312" w:eastAsia="仿宋_GB2312" w:cs="仿宋_GB2312"/>
          <w:b w:val="0"/>
          <w:bCs w:val="0"/>
          <w:color w:val="auto"/>
          <w:sz w:val="32"/>
          <w:szCs w:val="32"/>
          <w:lang w:val="en-US" w:eastAsia="zh-CN"/>
        </w:rPr>
        <w:t xml:space="preserve">96.65 </w:t>
      </w:r>
      <w:r>
        <w:rPr>
          <w:rFonts w:hint="eastAsia" w:ascii="仿宋_GB2312" w:hAnsi="仿宋_GB2312" w:eastAsia="仿宋_GB2312" w:cs="仿宋_GB2312"/>
          <w:b w:val="0"/>
          <w:bCs w:val="0"/>
          <w:color w:val="auto"/>
          <w:sz w:val="32"/>
          <w:szCs w:val="32"/>
        </w:rPr>
        <w:t>%。主要原因是</w:t>
      </w:r>
      <w:r>
        <w:rPr>
          <w:rFonts w:hint="eastAsia" w:ascii="仿宋_GB2312" w:hAnsi="仿宋_GB2312" w:eastAsia="仿宋_GB2312" w:cs="仿宋_GB2312"/>
          <w:b w:val="0"/>
          <w:bCs w:val="0"/>
          <w:color w:val="auto"/>
          <w:sz w:val="32"/>
          <w:szCs w:val="32"/>
          <w:lang w:eastAsia="zh-CN"/>
        </w:rPr>
        <w:t>加强内部管理减少公务接待费支出</w:t>
      </w:r>
      <w:r>
        <w:rPr>
          <w:rFonts w:hint="eastAsia" w:ascii="仿宋_GB2312" w:hAnsi="仿宋_GB2312" w:eastAsia="仿宋_GB2312" w:cs="仿宋_GB2312"/>
          <w:b w:val="0"/>
          <w:bCs w:val="0"/>
          <w:color w:val="auto"/>
          <w:sz w:val="32"/>
          <w:szCs w:val="32"/>
        </w:rPr>
        <w:t>。</w:t>
      </w:r>
    </w:p>
    <w:p>
      <w:pPr>
        <w:spacing w:line="600" w:lineRule="exact"/>
        <w:ind w:firstLine="64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国内公务接待支出</w:t>
      </w:r>
      <w:r>
        <w:rPr>
          <w:rFonts w:hint="eastAsia" w:ascii="仿宋_GB2312" w:hAnsi="仿宋_GB2312" w:eastAsia="仿宋_GB2312" w:cs="仿宋_GB2312"/>
          <w:b w:val="0"/>
          <w:bCs w:val="0"/>
          <w:color w:val="auto"/>
          <w:sz w:val="32"/>
          <w:szCs w:val="32"/>
          <w:lang w:val="en-US" w:eastAsia="zh-CN"/>
        </w:rPr>
        <w:t>032</w:t>
      </w:r>
      <w:r>
        <w:rPr>
          <w:rFonts w:hint="eastAsia" w:ascii="仿宋_GB2312" w:hAnsi="仿宋_GB2312" w:eastAsia="仿宋_GB2312" w:cs="仿宋_GB2312"/>
          <w:b w:val="0"/>
          <w:bCs w:val="0"/>
          <w:color w:val="auto"/>
          <w:sz w:val="32"/>
          <w:szCs w:val="32"/>
        </w:rPr>
        <w:t>万元，主要用于全县</w:t>
      </w:r>
      <w:r>
        <w:rPr>
          <w:rFonts w:hint="eastAsia" w:ascii="仿宋_GB2312" w:hAnsi="仿宋_GB2312" w:eastAsia="仿宋_GB2312" w:cs="仿宋_GB2312"/>
          <w:b w:val="0"/>
          <w:bCs w:val="0"/>
          <w:color w:val="auto"/>
          <w:sz w:val="32"/>
          <w:szCs w:val="32"/>
          <w:lang w:eastAsia="zh-CN"/>
        </w:rPr>
        <w:t>住房</w:t>
      </w:r>
      <w:r>
        <w:rPr>
          <w:rFonts w:hint="eastAsia" w:ascii="仿宋_GB2312" w:hAnsi="仿宋_GB2312" w:eastAsia="仿宋_GB2312" w:cs="仿宋_GB2312"/>
          <w:b w:val="0"/>
          <w:bCs w:val="0"/>
          <w:color w:val="auto"/>
          <w:sz w:val="32"/>
          <w:szCs w:val="32"/>
        </w:rPr>
        <w:t>和</w:t>
      </w:r>
      <w:r>
        <w:rPr>
          <w:rFonts w:hint="eastAsia" w:ascii="仿宋_GB2312" w:hAnsi="仿宋_GB2312" w:eastAsia="仿宋_GB2312" w:cs="仿宋_GB2312"/>
          <w:b w:val="0"/>
          <w:bCs w:val="0"/>
          <w:color w:val="auto"/>
          <w:sz w:val="32"/>
          <w:szCs w:val="32"/>
          <w:lang w:eastAsia="zh-CN"/>
        </w:rPr>
        <w:t>城乡建设</w:t>
      </w:r>
      <w:r>
        <w:rPr>
          <w:rFonts w:hint="eastAsia" w:ascii="仿宋_GB2312" w:hAnsi="仿宋_GB2312" w:eastAsia="仿宋_GB2312" w:cs="仿宋_GB2312"/>
          <w:b w:val="0"/>
          <w:bCs w:val="0"/>
          <w:color w:val="auto"/>
          <w:sz w:val="32"/>
          <w:szCs w:val="32"/>
        </w:rPr>
        <w:t>管理工作公务接待(执行公务、开展业务活动开支的交通费、住宿费、用餐费等)。国内公务接待</w:t>
      </w:r>
      <w:r>
        <w:rPr>
          <w:rFonts w:hint="eastAsia" w:ascii="仿宋_GB2312" w:hAnsi="仿宋_GB2312" w:eastAsia="仿宋_GB2312" w:cs="仿宋_GB2312"/>
          <w:b w:val="0"/>
          <w:bCs w:val="0"/>
          <w:color w:val="auto"/>
          <w:sz w:val="32"/>
          <w:szCs w:val="32"/>
          <w:lang w:val="en-US" w:eastAsia="zh-CN"/>
        </w:rPr>
        <w:t>10余</w:t>
      </w:r>
      <w:r>
        <w:rPr>
          <w:rFonts w:hint="eastAsia" w:ascii="仿宋_GB2312" w:hAnsi="仿宋_GB2312" w:eastAsia="仿宋_GB2312" w:cs="仿宋_GB2312"/>
          <w:b w:val="0"/>
          <w:bCs w:val="0"/>
          <w:color w:val="auto"/>
          <w:sz w:val="32"/>
          <w:szCs w:val="32"/>
        </w:rPr>
        <w:t>批次，</w:t>
      </w:r>
      <w:r>
        <w:rPr>
          <w:rFonts w:hint="eastAsia" w:ascii="仿宋_GB2312" w:hAnsi="仿宋_GB2312" w:eastAsia="仿宋_GB2312" w:cs="仿宋_GB2312"/>
          <w:b w:val="0"/>
          <w:bCs w:val="0"/>
          <w:color w:val="auto"/>
          <w:sz w:val="32"/>
          <w:szCs w:val="32"/>
          <w:lang w:val="en-US" w:eastAsia="zh-CN"/>
        </w:rPr>
        <w:t>160</w:t>
      </w:r>
      <w:r>
        <w:rPr>
          <w:rFonts w:hint="eastAsia" w:ascii="仿宋_GB2312" w:hAnsi="仿宋_GB2312" w:eastAsia="仿宋_GB2312" w:cs="仿宋_GB2312"/>
          <w:b w:val="0"/>
          <w:bCs w:val="0"/>
          <w:color w:val="auto"/>
          <w:sz w:val="32"/>
          <w:szCs w:val="32"/>
        </w:rPr>
        <w:t>人次（不包括陪同人员），共计支出</w:t>
      </w:r>
      <w:r>
        <w:rPr>
          <w:rFonts w:hint="eastAsia" w:ascii="仿宋_GB2312" w:hAnsi="仿宋_GB2312" w:eastAsia="仿宋_GB2312" w:cs="仿宋_GB2312"/>
          <w:b w:val="0"/>
          <w:bCs w:val="0"/>
          <w:color w:val="auto"/>
          <w:sz w:val="32"/>
          <w:szCs w:val="32"/>
          <w:lang w:val="en-US" w:eastAsia="zh-CN"/>
        </w:rPr>
        <w:t>0.32</w:t>
      </w:r>
      <w:r>
        <w:rPr>
          <w:rFonts w:hint="eastAsia" w:ascii="仿宋_GB2312" w:hAnsi="仿宋_GB2312" w:eastAsia="仿宋_GB2312" w:cs="仿宋_GB2312"/>
          <w:b w:val="0"/>
          <w:bCs w:val="0"/>
          <w:color w:val="auto"/>
          <w:sz w:val="32"/>
          <w:szCs w:val="32"/>
        </w:rPr>
        <w:t>万元，具体内容包括：上级督查督导、工作调研工作用餐及交通、住宿费等。</w:t>
      </w:r>
    </w:p>
    <w:p>
      <w:pPr>
        <w:spacing w:line="600" w:lineRule="exact"/>
        <w:ind w:firstLine="640"/>
        <w:outlineLvl w:val="1"/>
        <w:rPr>
          <w:rStyle w:val="32"/>
          <w:rFonts w:hint="eastAsia" w:ascii="黑体" w:hAnsi="黑体" w:eastAsia="黑体" w:cs="黑体"/>
          <w:b w:val="0"/>
          <w:bCs w:val="0"/>
          <w:color w:val="auto"/>
          <w:u w:val="none"/>
        </w:rPr>
      </w:pPr>
      <w:bookmarkStart w:id="81" w:name="_Toc15396610"/>
      <w:bookmarkStart w:id="82" w:name="_Toc15377218"/>
      <w:bookmarkStart w:id="83" w:name="_Toc25714"/>
      <w:r>
        <w:rPr>
          <w:rFonts w:hint="eastAsia" w:ascii="黑体" w:hAnsi="黑体" w:eastAsia="黑体" w:cs="黑体"/>
          <w:b w:val="0"/>
          <w:bCs w:val="0"/>
          <w:color w:val="auto"/>
          <w:sz w:val="32"/>
          <w:szCs w:val="32"/>
          <w:u w:val="none"/>
        </w:rPr>
        <w:t>八、</w:t>
      </w:r>
      <w:r>
        <w:rPr>
          <w:rStyle w:val="32"/>
          <w:rFonts w:hint="eastAsia" w:ascii="黑体" w:hAnsi="黑体" w:eastAsia="黑体" w:cs="黑体"/>
          <w:b w:val="0"/>
          <w:bCs w:val="0"/>
          <w:color w:val="auto"/>
          <w:u w:val="none"/>
        </w:rPr>
        <w:t>政府性基金预算支出决算情况说明</w:t>
      </w:r>
      <w:bookmarkEnd w:id="81"/>
      <w:bookmarkEnd w:id="82"/>
      <w:bookmarkEnd w:id="83"/>
    </w:p>
    <w:p>
      <w:pPr>
        <w:spacing w:line="600" w:lineRule="exact"/>
        <w:ind w:firstLine="64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年政府性基金预算财政拨款支出</w:t>
      </w:r>
      <w:r>
        <w:rPr>
          <w:rFonts w:hint="eastAsia" w:ascii="仿宋_GB2312" w:hAnsi="仿宋_GB2312" w:eastAsia="仿宋_GB2312" w:cs="仿宋_GB2312"/>
          <w:b w:val="0"/>
          <w:bCs w:val="0"/>
          <w:color w:val="auto"/>
          <w:sz w:val="32"/>
          <w:szCs w:val="32"/>
          <w:lang w:val="en-US" w:eastAsia="zh-CN"/>
        </w:rPr>
        <w:t>40114.36</w:t>
      </w:r>
      <w:r>
        <w:rPr>
          <w:rFonts w:hint="eastAsia" w:ascii="仿宋_GB2312" w:hAnsi="仿宋_GB2312" w:eastAsia="仿宋_GB2312" w:cs="仿宋_GB2312"/>
          <w:b w:val="0"/>
          <w:bCs w:val="0"/>
          <w:color w:val="auto"/>
          <w:sz w:val="32"/>
          <w:szCs w:val="32"/>
        </w:rPr>
        <w:t>万元。</w:t>
      </w:r>
    </w:p>
    <w:p>
      <w:pPr>
        <w:numPr>
          <w:ilvl w:val="0"/>
          <w:numId w:val="1"/>
        </w:numPr>
        <w:spacing w:line="600" w:lineRule="exact"/>
        <w:ind w:firstLine="640"/>
        <w:outlineLvl w:val="1"/>
        <w:rPr>
          <w:rStyle w:val="32"/>
          <w:rFonts w:hint="eastAsia" w:ascii="黑体" w:hAnsi="黑体" w:eastAsia="黑体" w:cs="黑体"/>
          <w:b w:val="0"/>
          <w:bCs w:val="0"/>
          <w:color w:val="auto"/>
        </w:rPr>
      </w:pPr>
      <w:bookmarkStart w:id="84" w:name="_Toc15377221"/>
      <w:bookmarkStart w:id="85" w:name="_Toc15396612"/>
      <w:bookmarkStart w:id="86" w:name="_Toc32436"/>
      <w:r>
        <w:rPr>
          <w:rStyle w:val="32"/>
          <w:rFonts w:hint="eastAsia" w:ascii="黑体" w:hAnsi="黑体" w:eastAsia="黑体" w:cs="黑体"/>
          <w:b w:val="0"/>
          <w:bCs w:val="0"/>
          <w:color w:val="auto"/>
        </w:rPr>
        <w:t>其他重要事项的情况说明</w:t>
      </w:r>
      <w:bookmarkEnd w:id="84"/>
      <w:bookmarkEnd w:id="85"/>
      <w:bookmarkEnd w:id="86"/>
    </w:p>
    <w:p>
      <w:pPr>
        <w:spacing w:line="600" w:lineRule="exact"/>
        <w:ind w:firstLine="643" w:firstLineChars="200"/>
        <w:outlineLvl w:val="2"/>
        <w:rPr>
          <w:rFonts w:hint="eastAsia" w:ascii="仿宋_GB2312" w:hAnsi="仿宋_GB2312" w:eastAsia="仿宋_GB2312" w:cs="仿宋_GB2312"/>
          <w:b/>
          <w:bCs/>
          <w:color w:val="auto"/>
          <w:sz w:val="32"/>
          <w:szCs w:val="32"/>
        </w:rPr>
      </w:pPr>
      <w:bookmarkStart w:id="87" w:name="_Toc15377222"/>
      <w:r>
        <w:rPr>
          <w:rFonts w:hint="eastAsia" w:ascii="仿宋_GB2312" w:hAnsi="仿宋_GB2312" w:eastAsia="仿宋_GB2312" w:cs="仿宋_GB2312"/>
          <w:b/>
          <w:bCs/>
          <w:color w:val="auto"/>
          <w:sz w:val="32"/>
          <w:szCs w:val="32"/>
        </w:rPr>
        <w:t>（一）机关运行经费支出情况</w:t>
      </w:r>
      <w:bookmarkEnd w:id="87"/>
    </w:p>
    <w:p>
      <w:pPr>
        <w:spacing w:line="600" w:lineRule="exact"/>
        <w:ind w:firstLine="640" w:firstLineChars="200"/>
        <w:rPr>
          <w:rFonts w:ascii="仿宋_GB2312" w:eastAsia="仿宋_GB2312"/>
          <w:sz w:val="32"/>
          <w:szCs w:val="32"/>
        </w:rPr>
      </w:pPr>
      <w:r>
        <w:rPr>
          <w:rFonts w:hint="eastAsia" w:ascii="仿宋_GB2312" w:hAnsi="仿宋_GB2312" w:eastAsia="仿宋_GB2312" w:cs="仿宋_GB2312"/>
          <w:b w:val="0"/>
          <w:bCs w:val="0"/>
          <w:color w:val="auto"/>
          <w:sz w:val="32"/>
          <w:szCs w:val="32"/>
        </w:rPr>
        <w:t>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w:t>
      </w:r>
      <w:r>
        <w:rPr>
          <w:rFonts w:hint="eastAsia" w:ascii="仿宋_GB2312" w:hAnsi="仿宋_GB2312" w:eastAsia="仿宋_GB2312" w:cs="仿宋_GB2312"/>
          <w:b w:val="0"/>
          <w:bCs w:val="0"/>
          <w:color w:val="auto"/>
          <w:sz w:val="32"/>
          <w:szCs w:val="32"/>
          <w:lang w:eastAsia="zh-CN"/>
        </w:rPr>
        <w:t>剑阁县住房和城乡建设局</w:t>
      </w:r>
      <w:r>
        <w:rPr>
          <w:rFonts w:hint="eastAsia" w:ascii="仿宋_GB2312" w:hAnsi="仿宋_GB2312" w:eastAsia="仿宋_GB2312" w:cs="仿宋_GB2312"/>
          <w:b w:val="0"/>
          <w:bCs w:val="0"/>
          <w:color w:val="auto"/>
          <w:sz w:val="32"/>
          <w:szCs w:val="32"/>
        </w:rPr>
        <w:t>机关运行经费支出</w:t>
      </w:r>
      <w:r>
        <w:rPr>
          <w:rFonts w:hint="eastAsia" w:ascii="仿宋_GB2312" w:hAnsi="仿宋_GB2312" w:eastAsia="仿宋_GB2312" w:cs="仿宋_GB2312"/>
          <w:b w:val="0"/>
          <w:bCs w:val="0"/>
          <w:color w:val="auto"/>
          <w:sz w:val="32"/>
          <w:szCs w:val="32"/>
          <w:lang w:val="en-US" w:eastAsia="zh-CN"/>
        </w:rPr>
        <w:t>69.09</w:t>
      </w:r>
      <w:r>
        <w:rPr>
          <w:rFonts w:hint="eastAsia" w:ascii="仿宋_GB2312" w:hAnsi="仿宋_GB2312" w:eastAsia="仿宋_GB2312" w:cs="仿宋_GB2312"/>
          <w:b w:val="0"/>
          <w:bCs w:val="0"/>
          <w:color w:val="auto"/>
          <w:sz w:val="32"/>
          <w:szCs w:val="32"/>
        </w:rPr>
        <w:t>万元，比202</w:t>
      </w: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年</w:t>
      </w:r>
      <w:r>
        <w:rPr>
          <w:rFonts w:hint="eastAsia" w:ascii="仿宋_GB2312" w:hAnsi="仿宋_GB2312" w:eastAsia="仿宋_GB2312" w:cs="仿宋_GB2312"/>
          <w:b w:val="0"/>
          <w:bCs w:val="0"/>
          <w:color w:val="auto"/>
          <w:sz w:val="32"/>
          <w:szCs w:val="32"/>
          <w:lang w:eastAsia="zh-CN"/>
        </w:rPr>
        <w:t>减少</w:t>
      </w:r>
      <w:r>
        <w:rPr>
          <w:rFonts w:hint="eastAsia" w:ascii="仿宋_GB2312" w:hAnsi="仿宋_GB2312" w:eastAsia="仿宋_GB2312" w:cs="仿宋_GB2312"/>
          <w:b w:val="0"/>
          <w:bCs w:val="0"/>
          <w:color w:val="auto"/>
          <w:sz w:val="32"/>
          <w:szCs w:val="32"/>
          <w:lang w:val="en-US" w:eastAsia="zh-CN"/>
        </w:rPr>
        <w:t>76.21</w:t>
      </w:r>
      <w:r>
        <w:rPr>
          <w:rFonts w:hint="eastAsia" w:ascii="仿宋_GB2312" w:hAnsi="仿宋_GB2312" w:eastAsia="仿宋_GB2312" w:cs="仿宋_GB2312"/>
          <w:b w:val="0"/>
          <w:bCs w:val="0"/>
          <w:color w:val="auto"/>
          <w:sz w:val="32"/>
          <w:szCs w:val="32"/>
        </w:rPr>
        <w:t>万元，</w:t>
      </w:r>
      <w:r>
        <w:rPr>
          <w:rFonts w:hint="eastAsia" w:ascii="仿宋_GB2312" w:hAnsi="仿宋_GB2312" w:eastAsia="仿宋_GB2312" w:cs="仿宋_GB2312"/>
          <w:b w:val="0"/>
          <w:bCs w:val="0"/>
          <w:color w:val="auto"/>
          <w:sz w:val="32"/>
          <w:szCs w:val="32"/>
          <w:lang w:eastAsia="zh-CN"/>
        </w:rPr>
        <w:t>减少</w:t>
      </w:r>
      <w:r>
        <w:rPr>
          <w:rFonts w:hint="eastAsia" w:ascii="仿宋_GB2312" w:hAnsi="仿宋_GB2312" w:eastAsia="仿宋_GB2312" w:cs="仿宋_GB2312"/>
          <w:b w:val="0"/>
          <w:bCs w:val="0"/>
          <w:color w:val="auto"/>
          <w:sz w:val="32"/>
          <w:szCs w:val="32"/>
          <w:lang w:val="en-US" w:eastAsia="zh-CN"/>
        </w:rPr>
        <w:t>52.45</w:t>
      </w:r>
      <w:r>
        <w:rPr>
          <w:rFonts w:hint="eastAsia" w:ascii="仿宋_GB2312" w:hAnsi="仿宋_GB2312" w:eastAsia="仿宋_GB2312" w:cs="仿宋_GB2312"/>
          <w:b w:val="0"/>
          <w:bCs w:val="0"/>
          <w:color w:val="auto"/>
          <w:sz w:val="32"/>
          <w:szCs w:val="32"/>
        </w:rPr>
        <w:t>%。主要原因是</w:t>
      </w:r>
      <w:r>
        <w:rPr>
          <w:rFonts w:hint="eastAsia" w:ascii="仿宋_GB2312" w:hAnsi="仿宋_GB2312" w:eastAsia="仿宋_GB2312" w:cs="仿宋_GB2312"/>
          <w:b w:val="0"/>
          <w:bCs w:val="0"/>
          <w:color w:val="auto"/>
          <w:sz w:val="32"/>
          <w:szCs w:val="32"/>
          <w:lang w:eastAsia="zh-CN"/>
        </w:rPr>
        <w:t>项目减少、人员减少，</w:t>
      </w:r>
      <w:r>
        <w:rPr>
          <w:rFonts w:hint="eastAsia" w:ascii="仿宋_GB2312" w:hAnsi="宋体" w:eastAsia="仿宋_GB2312" w:cs="仿宋_GB2312"/>
          <w:color w:val="000000"/>
          <w:kern w:val="0"/>
          <w:sz w:val="31"/>
          <w:szCs w:val="31"/>
          <w:lang w:val="en-US" w:eastAsia="zh-CN" w:bidi="ar"/>
        </w:rPr>
        <w:t>落实过“紧 日子”要求，大力压减开支</w:t>
      </w:r>
      <w:r>
        <w:rPr>
          <w:rFonts w:hint="eastAsia" w:ascii="仿宋_GB2312" w:eastAsia="仿宋_GB2312"/>
          <w:sz w:val="32"/>
          <w:szCs w:val="32"/>
        </w:rPr>
        <w:t>。</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88" w:name="_Toc15377223"/>
      <w:r>
        <w:rPr>
          <w:rFonts w:hint="eastAsia" w:ascii="仿宋" w:hAnsi="仿宋" w:eastAsia="仿宋"/>
          <w:b/>
          <w:sz w:val="32"/>
          <w:szCs w:val="32"/>
        </w:rPr>
        <w:t>（二）政府采购支出情况</w:t>
      </w:r>
      <w:bookmarkEnd w:id="88"/>
    </w:p>
    <w:p>
      <w:pPr>
        <w:spacing w:line="600" w:lineRule="exact"/>
        <w:ind w:firstLine="640" w:firstLineChars="200"/>
        <w:rPr>
          <w:rFonts w:hint="eastAsia"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w:t>
      </w:r>
      <w:r>
        <w:rPr>
          <w:rFonts w:hint="eastAsia" w:ascii="仿宋_GB2312" w:eastAsia="仿宋_GB2312"/>
          <w:sz w:val="32"/>
          <w:szCs w:val="32"/>
          <w:lang w:eastAsia="zh-CN"/>
        </w:rPr>
        <w:t>剑阁县住房和城乡建设局部门</w:t>
      </w:r>
      <w:r>
        <w:rPr>
          <w:rFonts w:hint="eastAsia" w:ascii="仿宋_GB2312" w:eastAsia="仿宋_GB2312"/>
          <w:sz w:val="32"/>
          <w:szCs w:val="32"/>
        </w:rPr>
        <w:t>政府采购支出总额</w:t>
      </w:r>
      <w:r>
        <w:rPr>
          <w:rFonts w:hint="eastAsia" w:ascii="仿宋_GB2312" w:eastAsia="仿宋_GB2312"/>
          <w:sz w:val="32"/>
          <w:szCs w:val="32"/>
          <w:lang w:val="en-US" w:eastAsia="zh-CN"/>
        </w:rPr>
        <w:t>0</w:t>
      </w:r>
      <w:r>
        <w:rPr>
          <w:rFonts w:hint="eastAsia" w:ascii="仿宋_GB2312" w:eastAsia="仿宋_GB2312"/>
          <w:sz w:val="32"/>
          <w:szCs w:val="32"/>
        </w:rPr>
        <w:t>万元。</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89" w:name="_Toc15377224"/>
      <w:r>
        <w:rPr>
          <w:rFonts w:hint="eastAsia" w:ascii="仿宋" w:hAnsi="仿宋" w:eastAsia="仿宋"/>
          <w:b/>
          <w:sz w:val="32"/>
          <w:szCs w:val="32"/>
        </w:rPr>
        <w:t>（三）国有资产占有使用情况</w:t>
      </w:r>
      <w:bookmarkEnd w:id="89"/>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ascii="仿宋_GB2312" w:eastAsia="仿宋_GB2312"/>
          <w:sz w:val="32"/>
          <w:szCs w:val="32"/>
          <w:lang w:eastAsia="zh-CN"/>
        </w:rPr>
        <w:t>剑阁县住房和城乡建设局部门</w:t>
      </w:r>
      <w:r>
        <w:rPr>
          <w:rFonts w:hint="eastAsia" w:ascii="仿宋_GB2312" w:eastAsia="仿宋_GB2312"/>
          <w:sz w:val="32"/>
          <w:szCs w:val="32"/>
        </w:rPr>
        <w:t>共有车辆</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万元以上专用设备</w:t>
      </w:r>
      <w:r>
        <w:rPr>
          <w:rFonts w:hint="eastAsia" w:ascii="仿宋_GB2312" w:eastAsia="仿宋_GB2312"/>
          <w:sz w:val="32"/>
          <w:szCs w:val="32"/>
          <w:lang w:val="en-US" w:eastAsia="zh-CN"/>
        </w:rPr>
        <w:t>0</w:t>
      </w:r>
      <w:r>
        <w:rPr>
          <w:rFonts w:hint="eastAsia" w:ascii="仿宋_GB2312" w:eastAsia="仿宋_GB2312"/>
          <w:sz w:val="32"/>
          <w:szCs w:val="32"/>
        </w:rPr>
        <w:t>台（套）。</w:t>
      </w:r>
    </w:p>
    <w:p>
      <w:pPr>
        <w:autoSpaceDE w:val="0"/>
        <w:autoSpaceDN w:val="0"/>
        <w:adjustRightInd w:val="0"/>
        <w:spacing w:line="600" w:lineRule="exact"/>
        <w:ind w:firstLine="643" w:firstLineChars="200"/>
        <w:jc w:val="left"/>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（四）预算绩效管理情况</w:t>
      </w:r>
    </w:p>
    <w:p>
      <w:pPr>
        <w:spacing w:line="58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根据预算绩效管理要求，本部门在202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年度预算编制阶段，组织对</w:t>
      </w:r>
      <w:r>
        <w:rPr>
          <w:rFonts w:hint="eastAsia" w:ascii="仿宋_GB2312" w:hAnsi="仿宋_GB2312" w:eastAsia="仿宋_GB2312" w:cs="仿宋_GB2312"/>
          <w:b w:val="0"/>
          <w:bCs w:val="0"/>
          <w:color w:val="auto"/>
          <w:sz w:val="32"/>
          <w:szCs w:val="32"/>
          <w:lang w:val="en-US" w:eastAsia="zh-CN"/>
        </w:rPr>
        <w:t>2022年中央农村危房改造补助资金</w:t>
      </w:r>
      <w:r>
        <w:rPr>
          <w:rFonts w:hint="eastAsia" w:ascii="仿宋_GB2312" w:hAnsi="仿宋_GB2312" w:eastAsia="仿宋_GB2312" w:cs="仿宋_GB2312"/>
          <w:b w:val="0"/>
          <w:bCs w:val="0"/>
          <w:color w:val="auto"/>
          <w:sz w:val="32"/>
          <w:szCs w:val="32"/>
        </w:rPr>
        <w:t>等</w:t>
      </w:r>
      <w:r>
        <w:rPr>
          <w:rFonts w:hint="eastAsia" w:ascii="仿宋_GB2312" w:hAnsi="仿宋_GB2312" w:eastAsia="仿宋_GB2312" w:cs="仿宋_GB2312"/>
          <w:b w:val="0"/>
          <w:bCs w:val="0"/>
          <w:color w:val="auto"/>
          <w:sz w:val="32"/>
          <w:szCs w:val="32"/>
          <w:lang w:val="en-US" w:eastAsia="zh-CN"/>
        </w:rPr>
        <w:t>16</w:t>
      </w:r>
      <w:r>
        <w:rPr>
          <w:rFonts w:hint="eastAsia" w:ascii="仿宋_GB2312" w:hAnsi="仿宋_GB2312" w:eastAsia="仿宋_GB2312" w:cs="仿宋_GB2312"/>
          <w:b w:val="0"/>
          <w:bCs w:val="0"/>
          <w:color w:val="auto"/>
          <w:sz w:val="32"/>
          <w:szCs w:val="32"/>
        </w:rPr>
        <w:t>个项目开展了预算事前绩效评估，对</w:t>
      </w:r>
      <w:r>
        <w:rPr>
          <w:rFonts w:hint="eastAsia" w:ascii="仿宋_GB2312" w:hAnsi="仿宋_GB2312" w:eastAsia="仿宋_GB2312" w:cs="仿宋_GB2312"/>
          <w:b w:val="0"/>
          <w:bCs w:val="0"/>
          <w:color w:val="auto"/>
          <w:sz w:val="32"/>
          <w:szCs w:val="32"/>
          <w:lang w:val="en-US" w:eastAsia="zh-CN"/>
        </w:rPr>
        <w:t>16</w:t>
      </w:r>
      <w:r>
        <w:rPr>
          <w:rFonts w:hint="eastAsia" w:ascii="仿宋_GB2312" w:hAnsi="仿宋_GB2312" w:eastAsia="仿宋_GB2312" w:cs="仿宋_GB2312"/>
          <w:b w:val="0"/>
          <w:bCs w:val="0"/>
          <w:color w:val="auto"/>
          <w:sz w:val="32"/>
          <w:szCs w:val="32"/>
        </w:rPr>
        <w:t>个项目编制了绩效目标，预算执行过程中，选取</w:t>
      </w:r>
      <w:r>
        <w:rPr>
          <w:rFonts w:hint="eastAsia" w:ascii="仿宋_GB2312" w:hAnsi="仿宋_GB2312" w:eastAsia="仿宋_GB2312" w:cs="仿宋_GB2312"/>
          <w:b w:val="0"/>
          <w:bCs w:val="0"/>
          <w:color w:val="auto"/>
          <w:sz w:val="32"/>
          <w:szCs w:val="32"/>
          <w:lang w:val="en-US" w:eastAsia="zh-CN"/>
        </w:rPr>
        <w:t>16</w:t>
      </w:r>
      <w:r>
        <w:rPr>
          <w:rFonts w:hint="eastAsia" w:ascii="仿宋_GB2312" w:hAnsi="仿宋_GB2312" w:eastAsia="仿宋_GB2312" w:cs="仿宋_GB2312"/>
          <w:b w:val="0"/>
          <w:bCs w:val="0"/>
          <w:color w:val="auto"/>
          <w:sz w:val="32"/>
          <w:szCs w:val="32"/>
        </w:rPr>
        <w:t>个项目开展绩效监控，年终执行完毕后，对</w:t>
      </w:r>
      <w:r>
        <w:rPr>
          <w:rFonts w:hint="eastAsia" w:ascii="仿宋_GB2312" w:hAnsi="仿宋_GB2312" w:eastAsia="仿宋_GB2312" w:cs="仿宋_GB2312"/>
          <w:b w:val="0"/>
          <w:bCs w:val="0"/>
          <w:color w:val="auto"/>
          <w:sz w:val="32"/>
          <w:szCs w:val="32"/>
          <w:lang w:val="en-US" w:eastAsia="zh-CN"/>
        </w:rPr>
        <w:t>16</w:t>
      </w:r>
      <w:r>
        <w:rPr>
          <w:rFonts w:hint="eastAsia" w:ascii="仿宋_GB2312" w:hAnsi="仿宋_GB2312" w:eastAsia="仿宋_GB2312" w:cs="仿宋_GB2312"/>
          <w:b w:val="0"/>
          <w:bCs w:val="0"/>
          <w:color w:val="auto"/>
          <w:sz w:val="32"/>
          <w:szCs w:val="32"/>
        </w:rPr>
        <w:t>个项目开展了绩效自评。同时，本部门对202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年部门整体开展绩效自评，《202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w:t>
      </w:r>
      <w:r>
        <w:rPr>
          <w:rFonts w:hint="eastAsia" w:ascii="仿宋_GB2312" w:hAnsi="仿宋_GB2312" w:eastAsia="仿宋_GB2312" w:cs="仿宋_GB2312"/>
          <w:b w:val="0"/>
          <w:bCs w:val="0"/>
          <w:color w:val="auto"/>
          <w:sz w:val="32"/>
          <w:szCs w:val="32"/>
          <w:lang w:eastAsia="zh-CN"/>
        </w:rPr>
        <w:t>剑阁县住房和城乡建设局</w:t>
      </w:r>
      <w:r>
        <w:rPr>
          <w:rFonts w:hint="eastAsia" w:ascii="仿宋_GB2312" w:hAnsi="仿宋_GB2312" w:eastAsia="仿宋_GB2312" w:cs="仿宋_GB2312"/>
          <w:b w:val="0"/>
          <w:bCs w:val="0"/>
          <w:color w:val="auto"/>
          <w:sz w:val="32"/>
          <w:szCs w:val="32"/>
        </w:rPr>
        <w:t>部门整体绩效评价报告》见附件（第四部分）。</w:t>
      </w:r>
    </w:p>
    <w:p>
      <w:pPr>
        <w:widowControl/>
        <w:jc w:val="left"/>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br w:type="page"/>
      </w:r>
    </w:p>
    <w:p>
      <w:pPr>
        <w:numPr>
          <w:ilvl w:val="0"/>
          <w:numId w:val="2"/>
        </w:numPr>
        <w:spacing w:line="600" w:lineRule="exact"/>
        <w:ind w:firstLine="660" w:firstLineChars="150"/>
        <w:jc w:val="center"/>
        <w:outlineLvl w:val="0"/>
        <w:rPr>
          <w:rStyle w:val="31"/>
          <w:rFonts w:hint="eastAsia" w:ascii="黑体" w:hAnsi="黑体" w:eastAsia="黑体" w:cs="黑体"/>
          <w:b w:val="0"/>
          <w:bCs w:val="0"/>
          <w:color w:val="auto"/>
        </w:rPr>
      </w:pPr>
      <w:bookmarkStart w:id="90" w:name="_Toc32082"/>
      <w:bookmarkStart w:id="91" w:name="_Toc15377225"/>
      <w:bookmarkStart w:id="92" w:name="_Toc15396613"/>
      <w:r>
        <w:rPr>
          <w:rFonts w:hint="eastAsia" w:ascii="黑体" w:hAnsi="黑体" w:eastAsia="黑体" w:cs="黑体"/>
          <w:b w:val="0"/>
          <w:bCs w:val="0"/>
          <w:color w:val="auto"/>
          <w:sz w:val="44"/>
          <w:szCs w:val="44"/>
        </w:rPr>
        <w:t>名</w:t>
      </w:r>
      <w:r>
        <w:rPr>
          <w:rStyle w:val="31"/>
          <w:rFonts w:hint="eastAsia" w:ascii="黑体" w:hAnsi="黑体" w:eastAsia="黑体" w:cs="黑体"/>
          <w:b w:val="0"/>
          <w:bCs w:val="0"/>
          <w:color w:val="auto"/>
        </w:rPr>
        <w:t>词解释</w:t>
      </w:r>
      <w:bookmarkEnd w:id="90"/>
      <w:bookmarkEnd w:id="91"/>
      <w:bookmarkEnd w:id="92"/>
    </w:p>
    <w:p>
      <w:pPr>
        <w:pStyle w:val="8"/>
        <w:rPr>
          <w:rFonts w:hint="eastAsia"/>
        </w:rPr>
      </w:pPr>
    </w:p>
    <w:p>
      <w:pPr>
        <w:pStyle w:val="29"/>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29"/>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其他收入：指单位取得的除上述收入以外的各项收入</w:t>
      </w:r>
      <w:r>
        <w:rPr>
          <w:rFonts w:hint="eastAsia" w:ascii="仿宋_GB2312" w:eastAsia="仿宋_GB2312"/>
          <w:sz w:val="32"/>
          <w:szCs w:val="32"/>
          <w:lang w:eastAsia="zh-CN"/>
        </w:rPr>
        <w:t>，</w:t>
      </w:r>
      <w:r>
        <w:rPr>
          <w:rFonts w:hint="eastAsia" w:ascii="仿宋_GB2312" w:eastAsia="仿宋_GB2312"/>
          <w:i w:val="0"/>
          <w:iCs w:val="0"/>
          <w:color w:val="auto"/>
          <w:sz w:val="32"/>
          <w:szCs w:val="32"/>
          <w:highlight w:val="none"/>
        </w:rPr>
        <w:t>主要是</w:t>
      </w:r>
      <w:r>
        <w:rPr>
          <w:rFonts w:hint="eastAsia" w:ascii="仿宋_GB2312" w:eastAsia="仿宋_GB2312"/>
          <w:i w:val="0"/>
          <w:iCs w:val="0"/>
          <w:color w:val="auto"/>
          <w:sz w:val="32"/>
          <w:szCs w:val="32"/>
          <w:highlight w:val="none"/>
          <w:lang w:eastAsia="zh-CN"/>
        </w:rPr>
        <w:t>利息收入等。</w:t>
      </w:r>
      <w:r>
        <w:rPr>
          <w:rFonts w:ascii="仿宋_GB2312" w:eastAsia="仿宋_GB2312"/>
          <w:sz w:val="32"/>
          <w:szCs w:val="32"/>
        </w:rPr>
        <w:t xml:space="preserve"> </w:t>
      </w:r>
    </w:p>
    <w:p>
      <w:pPr>
        <w:pStyle w:val="29"/>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w:t>
      </w:r>
      <w:r>
        <w:rPr>
          <w:rFonts w:ascii="仿宋_GB2312" w:eastAsia="仿宋_GB2312"/>
          <w:sz w:val="32"/>
          <w:szCs w:val="32"/>
        </w:rPr>
        <w:t>.</w:t>
      </w:r>
      <w:r>
        <w:rPr>
          <w:rFonts w:hint="eastAsia" w:ascii="仿宋_GB2312" w:eastAsia="仿宋_GB2312"/>
          <w:sz w:val="32"/>
          <w:szCs w:val="32"/>
        </w:rPr>
        <w:t>使用非财政拨款结余：指事业单位使用以前年度积累的非财政拨款结余弥补当年收支差额的金额。</w:t>
      </w:r>
      <w:r>
        <w:rPr>
          <w:rFonts w:ascii="仿宋_GB2312" w:eastAsia="仿宋_GB2312"/>
          <w:sz w:val="32"/>
          <w:szCs w:val="32"/>
        </w:rPr>
        <w:t xml:space="preserve"> </w:t>
      </w:r>
    </w:p>
    <w:p>
      <w:pPr>
        <w:pStyle w:val="29"/>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4</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29"/>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5</w:t>
      </w:r>
      <w:r>
        <w:rPr>
          <w:rFonts w:ascii="仿宋_GB2312" w:eastAsia="仿宋_GB2312"/>
          <w:sz w:val="32"/>
          <w:szCs w:val="32"/>
        </w:rPr>
        <w:t>.</w:t>
      </w:r>
      <w:r>
        <w:rPr>
          <w:rFonts w:hint="eastAsia" w:ascii="仿宋_GB2312" w:eastAsia="仿宋_GB2312"/>
          <w:sz w:val="32"/>
          <w:szCs w:val="32"/>
        </w:rPr>
        <w:t>结余分配：指事业单位按照会计制度规定缴纳的所得税、提取的专用结余以及转入非财政拨款结余的金额等。</w:t>
      </w:r>
    </w:p>
    <w:p>
      <w:pPr>
        <w:pStyle w:val="29"/>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、年末结转和结余：指单位按有关规定结转到下年或以后年度继续使用的资金。</w:t>
      </w:r>
    </w:p>
    <w:p>
      <w:pPr>
        <w:ind w:firstLine="640" w:firstLineChars="200"/>
        <w:rPr>
          <w:rFonts w:hint="eastAsia" w:ascii="仿宋_GB2312" w:hAnsi="Calibri" w:eastAsia="仿宋_GB2312" w:cs="仿宋"/>
          <w:color w:val="000000"/>
          <w:kern w:val="0"/>
          <w:sz w:val="32"/>
          <w:szCs w:val="32"/>
          <w:lang w:val="en-US" w:eastAsia="zh-CN" w:bidi="ar-SA"/>
        </w:rPr>
      </w:pPr>
      <w:r>
        <w:rPr>
          <w:rFonts w:hint="eastAsia" w:ascii="仿宋_GB2312" w:hAnsi="Calibri" w:eastAsia="仿宋_GB2312" w:cs="仿宋"/>
          <w:color w:val="000000"/>
          <w:kern w:val="0"/>
          <w:sz w:val="32"/>
          <w:szCs w:val="32"/>
          <w:lang w:val="en-US" w:eastAsia="zh-CN" w:bidi="ar-SA"/>
        </w:rPr>
        <w:t>7、城乡社区支出（类）城乡社区管理事务（款）行政运行（项）指行政单位的基本支出。</w:t>
      </w:r>
    </w:p>
    <w:p>
      <w:pPr>
        <w:ind w:firstLine="640" w:firstLineChars="200"/>
        <w:rPr>
          <w:rFonts w:hint="eastAsia" w:ascii="仿宋_GB2312" w:hAnsi="Calibri" w:eastAsia="仿宋_GB2312" w:cs="仿宋"/>
          <w:color w:val="000000"/>
          <w:kern w:val="0"/>
          <w:sz w:val="32"/>
          <w:szCs w:val="32"/>
          <w:lang w:val="en-US" w:eastAsia="zh-CN" w:bidi="ar-SA"/>
        </w:rPr>
      </w:pPr>
      <w:r>
        <w:rPr>
          <w:rFonts w:hint="eastAsia" w:ascii="仿宋_GB2312" w:hAnsi="Calibri" w:eastAsia="仿宋_GB2312" w:cs="仿宋"/>
          <w:color w:val="000000"/>
          <w:kern w:val="0"/>
          <w:sz w:val="32"/>
          <w:szCs w:val="32"/>
          <w:lang w:val="en-US" w:eastAsia="zh-CN" w:bidi="ar-SA"/>
        </w:rPr>
        <w:t>8、</w:t>
      </w:r>
      <w:r>
        <w:rPr>
          <w:rStyle w:val="21"/>
          <w:rFonts w:hint="eastAsia" w:ascii="仿宋_GB2312" w:hAnsi="仿宋_GB2312" w:eastAsia="仿宋_GB2312" w:cs="仿宋_GB2312"/>
          <w:b w:val="0"/>
          <w:bCs w:val="0"/>
          <w:color w:val="auto"/>
          <w:sz w:val="32"/>
          <w:szCs w:val="32"/>
          <w:lang w:eastAsia="zh-CN"/>
        </w:rPr>
        <w:t>农林水支出</w:t>
      </w:r>
      <w:r>
        <w:rPr>
          <w:rStyle w:val="21"/>
          <w:rFonts w:hint="eastAsia" w:ascii="仿宋_GB2312" w:hAnsi="仿宋_GB2312" w:eastAsia="仿宋_GB2312" w:cs="仿宋_GB2312"/>
          <w:b w:val="0"/>
          <w:bCs w:val="0"/>
          <w:color w:val="auto"/>
          <w:sz w:val="32"/>
          <w:szCs w:val="32"/>
        </w:rPr>
        <w:t>（类）</w:t>
      </w:r>
      <w:r>
        <w:rPr>
          <w:rStyle w:val="21"/>
          <w:rFonts w:hint="eastAsia" w:ascii="仿宋_GB2312" w:hAnsi="仿宋_GB2312" w:eastAsia="仿宋_GB2312" w:cs="仿宋_GB2312"/>
          <w:b w:val="0"/>
          <w:bCs w:val="0"/>
          <w:color w:val="auto"/>
          <w:sz w:val="32"/>
          <w:szCs w:val="32"/>
          <w:lang w:eastAsia="zh-CN"/>
        </w:rPr>
        <w:t>巩固脱贫衔接乡村振兴</w:t>
      </w:r>
      <w:r>
        <w:rPr>
          <w:rStyle w:val="21"/>
          <w:rFonts w:hint="eastAsia" w:ascii="仿宋_GB2312" w:hAnsi="仿宋_GB2312" w:eastAsia="仿宋_GB2312" w:cs="仿宋_GB2312"/>
          <w:b w:val="0"/>
          <w:bCs w:val="0"/>
          <w:color w:val="auto"/>
          <w:sz w:val="32"/>
          <w:szCs w:val="32"/>
        </w:rPr>
        <w:t>（款）其他</w:t>
      </w:r>
      <w:r>
        <w:rPr>
          <w:rStyle w:val="21"/>
          <w:rFonts w:hint="eastAsia" w:ascii="仿宋_GB2312" w:hAnsi="仿宋_GB2312" w:eastAsia="仿宋_GB2312" w:cs="仿宋_GB2312"/>
          <w:b w:val="0"/>
          <w:bCs w:val="0"/>
          <w:color w:val="auto"/>
          <w:sz w:val="32"/>
          <w:szCs w:val="32"/>
          <w:lang w:eastAsia="zh-CN"/>
        </w:rPr>
        <w:t>巩固脱贫衔接乡村振兴</w:t>
      </w:r>
      <w:r>
        <w:rPr>
          <w:rStyle w:val="21"/>
          <w:rFonts w:hint="eastAsia" w:ascii="仿宋_GB2312" w:hAnsi="仿宋_GB2312" w:eastAsia="仿宋_GB2312" w:cs="仿宋_GB2312"/>
          <w:b w:val="0"/>
          <w:bCs w:val="0"/>
          <w:color w:val="auto"/>
          <w:sz w:val="32"/>
          <w:szCs w:val="32"/>
        </w:rPr>
        <w:t>（项）</w:t>
      </w:r>
      <w:r>
        <w:rPr>
          <w:rStyle w:val="21"/>
          <w:rFonts w:hint="eastAsia" w:ascii="仿宋_GB2312" w:hAnsi="仿宋_GB2312" w:eastAsia="仿宋_GB2312" w:cs="仿宋_GB2312"/>
          <w:b w:val="0"/>
          <w:bCs w:val="0"/>
          <w:color w:val="auto"/>
          <w:sz w:val="32"/>
          <w:szCs w:val="32"/>
          <w:lang w:eastAsia="zh-CN"/>
        </w:rPr>
        <w:t>支出指巩固脱贫衔接乡村振兴支出</w:t>
      </w:r>
      <w:r>
        <w:rPr>
          <w:rFonts w:hint="eastAsia" w:ascii="仿宋_GB2312" w:hAnsi="Calibri" w:eastAsia="仿宋_GB2312" w:cs="仿宋"/>
          <w:color w:val="000000"/>
          <w:kern w:val="0"/>
          <w:sz w:val="32"/>
          <w:szCs w:val="32"/>
          <w:lang w:val="en-US" w:eastAsia="zh-CN" w:bidi="ar-SA"/>
        </w:rPr>
        <w:t>。</w:t>
      </w:r>
    </w:p>
    <w:p>
      <w:pPr>
        <w:ind w:firstLine="640" w:firstLineChars="200"/>
        <w:rPr>
          <w:rFonts w:hint="eastAsia" w:ascii="仿宋_GB2312" w:hAnsi="Calibri" w:eastAsia="仿宋_GB2312" w:cs="仿宋"/>
          <w:color w:val="000000"/>
          <w:kern w:val="0"/>
          <w:sz w:val="32"/>
          <w:szCs w:val="32"/>
          <w:lang w:val="en-US" w:eastAsia="zh-CN" w:bidi="ar-SA"/>
        </w:rPr>
      </w:pPr>
      <w:r>
        <w:rPr>
          <w:rFonts w:hint="eastAsia" w:ascii="仿宋_GB2312" w:hAnsi="Calibri" w:eastAsia="仿宋_GB2312" w:cs="仿宋"/>
          <w:color w:val="000000"/>
          <w:kern w:val="0"/>
          <w:sz w:val="32"/>
          <w:szCs w:val="32"/>
          <w:lang w:val="en-US" w:eastAsia="zh-CN" w:bidi="ar-SA"/>
        </w:rPr>
        <w:t>9、节能环保支出（类）污染防治（款）水体（项）指政府在排水、污水处理、水污染防治等方面支出</w:t>
      </w:r>
    </w:p>
    <w:p>
      <w:pPr>
        <w:ind w:firstLine="640" w:firstLineChars="200"/>
        <w:rPr>
          <w:rFonts w:hint="eastAsia" w:ascii="仿宋_GB2312" w:hAnsi="Calibri" w:eastAsia="仿宋_GB2312" w:cs="仿宋"/>
          <w:color w:val="000000"/>
          <w:kern w:val="0"/>
          <w:sz w:val="32"/>
          <w:szCs w:val="32"/>
          <w:lang w:val="en-US" w:eastAsia="zh-CN" w:bidi="ar-SA"/>
        </w:rPr>
      </w:pPr>
      <w:r>
        <w:rPr>
          <w:rFonts w:hint="eastAsia" w:ascii="仿宋_GB2312" w:hAnsi="Calibri" w:eastAsia="仿宋_GB2312" w:cs="仿宋"/>
          <w:color w:val="000000"/>
          <w:kern w:val="0"/>
          <w:sz w:val="32"/>
          <w:szCs w:val="32"/>
          <w:lang w:val="en-US" w:eastAsia="zh-CN" w:bidi="ar-SA"/>
        </w:rPr>
        <w:t>10、社会保障和就业（类）行政事业单位养老（款）机关事业单位基本养老保险缴费支出（项）：指部门实施养老保险制度由单位缴纳的养老保险费的支出。</w:t>
      </w:r>
    </w:p>
    <w:p>
      <w:pPr>
        <w:ind w:firstLine="320" w:firstLineChars="100"/>
        <w:rPr>
          <w:rFonts w:hint="eastAsia" w:ascii="仿宋_GB2312" w:hAnsi="Calibri" w:eastAsia="仿宋_GB2312" w:cs="仿宋"/>
          <w:color w:val="000000"/>
          <w:kern w:val="0"/>
          <w:sz w:val="32"/>
          <w:szCs w:val="32"/>
          <w:lang w:val="en-US" w:eastAsia="zh-CN" w:bidi="ar-SA"/>
        </w:rPr>
      </w:pPr>
      <w:r>
        <w:rPr>
          <w:rFonts w:hint="eastAsia" w:ascii="仿宋_GB2312" w:hAnsi="Calibri" w:eastAsia="仿宋_GB2312" w:cs="仿宋"/>
          <w:color w:val="000000"/>
          <w:kern w:val="0"/>
          <w:sz w:val="32"/>
          <w:szCs w:val="32"/>
          <w:lang w:val="en-US" w:eastAsia="zh-CN" w:bidi="ar-SA"/>
        </w:rPr>
        <w:t>　11、卫生健康（类）行政事业单位医疗（款）行政单位医疗（项）：指局机关及参公管理事业单位用于缴纳单位基本医疗保险支出。</w:t>
      </w:r>
    </w:p>
    <w:p>
      <w:pPr>
        <w:ind w:firstLine="640" w:firstLineChars="200"/>
        <w:rPr>
          <w:rFonts w:hint="eastAsia" w:ascii="仿宋_GB2312" w:hAnsi="Calibri" w:eastAsia="仿宋_GB2312" w:cs="仿宋"/>
          <w:color w:val="000000"/>
          <w:kern w:val="0"/>
          <w:sz w:val="32"/>
          <w:szCs w:val="32"/>
          <w:lang w:val="en-US" w:eastAsia="zh-CN" w:bidi="ar-SA"/>
        </w:rPr>
      </w:pPr>
      <w:r>
        <w:rPr>
          <w:rFonts w:hint="eastAsia" w:ascii="仿宋_GB2312" w:hAnsi="Calibri" w:eastAsia="仿宋_GB2312" w:cs="仿宋"/>
          <w:color w:val="000000"/>
          <w:kern w:val="0"/>
          <w:sz w:val="32"/>
          <w:szCs w:val="32"/>
          <w:lang w:val="en-US" w:eastAsia="zh-CN" w:bidi="ar-SA"/>
        </w:rPr>
        <w:t>12、住房保障（类）住房改革支出（款）住房公积金（项）：</w:t>
      </w:r>
      <w:r>
        <w:rPr>
          <w:rFonts w:hint="eastAsia" w:ascii="仿宋_GB2312" w:eastAsia="仿宋_GB2312"/>
          <w:i w:val="0"/>
          <w:iCs w:val="0"/>
          <w:sz w:val="32"/>
          <w:szCs w:val="32"/>
          <w:highlight w:val="none"/>
          <w:lang w:eastAsia="zh-CN"/>
        </w:rPr>
        <w:t>指行政机关人员住房公积金支出。</w:t>
      </w:r>
    </w:p>
    <w:p>
      <w:pPr>
        <w:ind w:firstLine="640" w:firstLineChars="200"/>
        <w:rPr>
          <w:rFonts w:hint="eastAsia" w:ascii="仿宋_GB2312" w:hAnsi="Calibri" w:eastAsia="仿宋_GB2312" w:cs="仿宋"/>
          <w:color w:val="000000"/>
          <w:kern w:val="0"/>
          <w:sz w:val="32"/>
          <w:szCs w:val="32"/>
          <w:lang w:val="en-US" w:eastAsia="zh-CN" w:bidi="ar-SA"/>
        </w:rPr>
      </w:pPr>
      <w:r>
        <w:rPr>
          <w:rFonts w:hint="eastAsia" w:ascii="仿宋_GB2312" w:hAnsi="Calibri" w:eastAsia="仿宋_GB2312" w:cs="仿宋"/>
          <w:color w:val="000000"/>
          <w:kern w:val="0"/>
          <w:sz w:val="32"/>
          <w:szCs w:val="32"/>
          <w:lang w:val="en-US" w:eastAsia="zh-CN" w:bidi="ar-SA"/>
        </w:rPr>
        <w:t>13、基本支出：</w:t>
      </w:r>
      <w:r>
        <w:rPr>
          <w:rFonts w:hint="eastAsia" w:ascii="仿宋_GB2312" w:eastAsia="仿宋_GB2312"/>
          <w:i w:val="0"/>
          <w:iCs w:val="0"/>
          <w:sz w:val="32"/>
          <w:szCs w:val="32"/>
          <w:highlight w:val="none"/>
        </w:rPr>
        <w:t>指为保障机构正常运转</w:t>
      </w:r>
      <w:r>
        <w:rPr>
          <w:rFonts w:hint="eastAsia" w:ascii="仿宋_GB2312" w:hAnsi="Calibri" w:eastAsia="仿宋_GB2312" w:cs="仿宋"/>
          <w:color w:val="000000"/>
          <w:kern w:val="0"/>
          <w:sz w:val="32"/>
          <w:szCs w:val="32"/>
          <w:lang w:val="en-US" w:eastAsia="zh-CN" w:bidi="ar-SA"/>
        </w:rPr>
        <w:t>，完成日常工作任务而发生的人员支出和公用支出。</w:t>
      </w:r>
    </w:p>
    <w:p>
      <w:pPr>
        <w:ind w:firstLine="640" w:firstLineChars="200"/>
        <w:rPr>
          <w:rFonts w:hint="eastAsia" w:ascii="仿宋_GB2312" w:hAnsi="Calibri" w:eastAsia="仿宋_GB2312" w:cs="仿宋"/>
          <w:color w:val="000000"/>
          <w:kern w:val="0"/>
          <w:sz w:val="32"/>
          <w:szCs w:val="32"/>
          <w:lang w:val="en-US" w:eastAsia="zh-CN" w:bidi="ar-SA"/>
        </w:rPr>
      </w:pPr>
      <w:r>
        <w:rPr>
          <w:rFonts w:hint="eastAsia" w:ascii="仿宋_GB2312" w:hAnsi="Calibri" w:eastAsia="仿宋_GB2312" w:cs="仿宋"/>
          <w:color w:val="000000"/>
          <w:kern w:val="0"/>
          <w:sz w:val="32"/>
          <w:szCs w:val="32"/>
          <w:lang w:val="en-US" w:eastAsia="zh-CN" w:bidi="ar-SA"/>
        </w:rPr>
        <w:t>14、项目支出：指在基本支出之外为完成特定行政任务和事业发展目标所发生的支出。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15、</w:t>
      </w:r>
      <w:r>
        <w:rPr>
          <w:rFonts w:hint="eastAsia" w:ascii="仿宋_GB2312" w:eastAsia="仿宋_GB2312"/>
          <w:color w:val="000000"/>
          <w:sz w:val="32"/>
          <w:szCs w:val="32"/>
        </w:rPr>
        <w:t>经营支出：指事业单位在专业业务活动及其辅助活动之外开展非独立核算经营活动发生的支出。</w:t>
      </w:r>
    </w:p>
    <w:p>
      <w:pPr>
        <w:pStyle w:val="29"/>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16、</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9"/>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17、</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pPr>
        <w:spacing w:line="600" w:lineRule="exact"/>
        <w:jc w:val="left"/>
        <w:rPr>
          <w:rFonts w:hint="eastAsia" w:ascii="仿宋_GB2312" w:hAnsi="仿宋_GB2312" w:eastAsia="仿宋_GB2312" w:cs="仿宋_GB2312"/>
          <w:b w:val="0"/>
          <w:bCs w:val="0"/>
          <w:color w:val="auto"/>
          <w:sz w:val="44"/>
          <w:szCs w:val="44"/>
        </w:rPr>
      </w:pPr>
    </w:p>
    <w:p>
      <w:pPr>
        <w:pStyle w:val="8"/>
        <w:rPr>
          <w:rFonts w:hint="eastAsia" w:ascii="仿宋_GB2312" w:hAnsi="仿宋_GB2312" w:eastAsia="仿宋_GB2312" w:cs="仿宋_GB2312"/>
          <w:b w:val="0"/>
          <w:bCs w:val="0"/>
          <w:color w:val="auto"/>
          <w:sz w:val="44"/>
          <w:szCs w:val="44"/>
        </w:rPr>
      </w:pPr>
    </w:p>
    <w:p>
      <w:pPr>
        <w:pStyle w:val="8"/>
        <w:rPr>
          <w:rFonts w:hint="eastAsia" w:ascii="仿宋_GB2312" w:hAnsi="仿宋_GB2312" w:eastAsia="仿宋_GB2312" w:cs="仿宋_GB2312"/>
          <w:b w:val="0"/>
          <w:bCs w:val="0"/>
          <w:color w:val="auto"/>
          <w:sz w:val="44"/>
          <w:szCs w:val="44"/>
        </w:rPr>
      </w:pPr>
    </w:p>
    <w:p>
      <w:pPr>
        <w:pStyle w:val="8"/>
        <w:rPr>
          <w:rFonts w:hint="eastAsia" w:ascii="仿宋_GB2312" w:hAnsi="仿宋_GB2312" w:eastAsia="仿宋_GB2312" w:cs="仿宋_GB2312"/>
          <w:b w:val="0"/>
          <w:bCs w:val="0"/>
          <w:color w:val="auto"/>
          <w:sz w:val="44"/>
          <w:szCs w:val="44"/>
        </w:rPr>
      </w:pPr>
    </w:p>
    <w:p>
      <w:pPr>
        <w:pStyle w:val="8"/>
        <w:rPr>
          <w:rFonts w:hint="eastAsia" w:ascii="仿宋_GB2312" w:hAnsi="仿宋_GB2312" w:eastAsia="仿宋_GB2312" w:cs="仿宋_GB2312"/>
          <w:b w:val="0"/>
          <w:bCs w:val="0"/>
          <w:color w:val="auto"/>
          <w:sz w:val="44"/>
          <w:szCs w:val="44"/>
        </w:rPr>
      </w:pPr>
    </w:p>
    <w:p>
      <w:pPr>
        <w:pStyle w:val="8"/>
        <w:rPr>
          <w:rFonts w:hint="eastAsia" w:ascii="仿宋_GB2312" w:hAnsi="仿宋_GB2312" w:eastAsia="仿宋_GB2312" w:cs="仿宋_GB2312"/>
          <w:b w:val="0"/>
          <w:bCs w:val="0"/>
          <w:color w:val="auto"/>
          <w:sz w:val="44"/>
          <w:szCs w:val="44"/>
        </w:rPr>
      </w:pPr>
    </w:p>
    <w:p>
      <w:pPr>
        <w:pStyle w:val="8"/>
        <w:rPr>
          <w:rFonts w:hint="eastAsia" w:ascii="仿宋_GB2312" w:hAnsi="仿宋_GB2312" w:eastAsia="仿宋_GB2312" w:cs="仿宋_GB2312"/>
          <w:b w:val="0"/>
          <w:bCs w:val="0"/>
          <w:color w:val="auto"/>
          <w:sz w:val="44"/>
          <w:szCs w:val="44"/>
        </w:rPr>
      </w:pPr>
    </w:p>
    <w:p>
      <w:pPr>
        <w:spacing w:line="600" w:lineRule="exact"/>
        <w:jc w:val="center"/>
        <w:outlineLvl w:val="0"/>
        <w:rPr>
          <w:rStyle w:val="31"/>
          <w:rFonts w:ascii="黑体" w:hAnsi="黑体" w:eastAsia="黑体"/>
          <w:b w:val="0"/>
        </w:rPr>
      </w:pPr>
      <w:bookmarkStart w:id="93" w:name="_Toc9919"/>
      <w:bookmarkStart w:id="94" w:name="_Toc15396614"/>
      <w:bookmarkStart w:id="95" w:name="_Toc15377226"/>
      <w:r>
        <w:rPr>
          <w:rFonts w:hint="eastAsia" w:ascii="黑体" w:hAnsi="黑体" w:eastAsia="黑体"/>
          <w:color w:val="000000"/>
          <w:sz w:val="44"/>
          <w:szCs w:val="44"/>
        </w:rPr>
        <w:t>第</w:t>
      </w:r>
      <w:r>
        <w:rPr>
          <w:rStyle w:val="31"/>
          <w:rFonts w:hint="eastAsia" w:ascii="黑体" w:hAnsi="黑体" w:eastAsia="黑体"/>
          <w:b w:val="0"/>
        </w:rPr>
        <w:t>四部分</w:t>
      </w:r>
      <w:r>
        <w:rPr>
          <w:rStyle w:val="31"/>
          <w:rFonts w:ascii="黑体" w:hAnsi="黑体" w:eastAsia="黑体"/>
          <w:b w:val="0"/>
        </w:rPr>
        <w:t xml:space="preserve"> </w:t>
      </w:r>
      <w:r>
        <w:rPr>
          <w:rStyle w:val="31"/>
          <w:rFonts w:hint="eastAsia" w:ascii="黑体" w:hAnsi="黑体" w:eastAsia="黑体"/>
          <w:b w:val="0"/>
        </w:rPr>
        <w:t>附件</w:t>
      </w:r>
    </w:p>
    <w:p>
      <w:pPr>
        <w:spacing w:line="572" w:lineRule="exact"/>
        <w:jc w:val="left"/>
        <w:outlineLvl w:val="0"/>
        <w:rPr>
          <w:rFonts w:ascii="方正小标宋简体" w:hAnsi="方正小标宋简体" w:eastAsia="方正小标宋简体" w:cs="方正小标宋简体"/>
          <w:sz w:val="44"/>
          <w:szCs w:val="44"/>
        </w:rPr>
      </w:pPr>
      <w:r>
        <w:rPr>
          <w:rFonts w:hint="eastAsia" w:ascii="黑体" w:hAnsi="黑体" w:eastAsia="黑体" w:cs="黑体"/>
          <w:sz w:val="32"/>
          <w:szCs w:val="32"/>
        </w:rPr>
        <w:t>附件</w:t>
      </w:r>
    </w:p>
    <w:p>
      <w:pPr>
        <w:spacing w:line="580" w:lineRule="exact"/>
        <w:jc w:val="center"/>
        <w:rPr>
          <w:rFonts w:ascii="方正小标宋简体" w:hAnsi="方正小标宋简体" w:eastAsia="方正小标宋简体" w:cs="方正小标宋简体"/>
          <w:sz w:val="44"/>
          <w:szCs w:val="44"/>
        </w:rPr>
      </w:pPr>
    </w:p>
    <w:p>
      <w:pPr>
        <w:spacing w:line="600" w:lineRule="exact"/>
        <w:ind w:firstLine="542" w:firstLineChars="150"/>
        <w:jc w:val="center"/>
        <w:outlineLvl w:val="0"/>
        <w:rPr>
          <w:rFonts w:ascii="宋体" w:hAnsi="宋体"/>
          <w:b/>
          <w:kern w:val="44"/>
          <w:sz w:val="36"/>
          <w:szCs w:val="36"/>
        </w:rPr>
      </w:pPr>
      <w:r>
        <w:rPr>
          <w:rFonts w:hint="eastAsia" w:ascii="宋体" w:hAnsi="宋体" w:cs="黑体"/>
          <w:b/>
          <w:sz w:val="36"/>
          <w:szCs w:val="36"/>
        </w:rPr>
        <w:t>202</w:t>
      </w:r>
      <w:r>
        <w:rPr>
          <w:rFonts w:hint="eastAsia" w:ascii="宋体" w:hAnsi="宋体" w:cs="黑体"/>
          <w:b/>
          <w:sz w:val="36"/>
          <w:szCs w:val="36"/>
          <w:lang w:val="en-US" w:eastAsia="zh-CN"/>
        </w:rPr>
        <w:t>2</w:t>
      </w:r>
      <w:r>
        <w:rPr>
          <w:rFonts w:hint="eastAsia" w:ascii="宋体" w:hAnsi="宋体" w:cs="黑体"/>
          <w:b/>
          <w:sz w:val="36"/>
          <w:szCs w:val="36"/>
        </w:rPr>
        <w:t>年部门整体绩效评价报告</w:t>
      </w:r>
    </w:p>
    <w:p>
      <w:pPr>
        <w:spacing w:line="580" w:lineRule="exact"/>
        <w:ind w:firstLine="720" w:firstLineChars="200"/>
        <w:rPr>
          <w:rFonts w:hint="eastAsia" w:ascii="宋体" w:hAnsi="宋体" w:cs="黑体"/>
          <w:sz w:val="36"/>
          <w:szCs w:val="36"/>
        </w:rPr>
      </w:pP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contextualSpacing/>
        <w:jc w:val="left"/>
        <w:textAlignment w:val="auto"/>
        <w:rPr>
          <w:rFonts w:hint="eastAsia" w:ascii="黑体" w:hAnsi="黑体" w:eastAsia="黑体" w:cs="黑体"/>
          <w:sz w:val="28"/>
          <w:szCs w:val="28"/>
          <w:lang w:eastAsia="zh-CN"/>
        </w:rPr>
      </w:pPr>
      <w:r>
        <w:rPr>
          <w:rFonts w:hint="eastAsia" w:ascii="黑体" w:hAnsi="黑体" w:eastAsia="黑体" w:cs="黑体"/>
          <w:sz w:val="28"/>
          <w:szCs w:val="28"/>
        </w:rPr>
        <w:t>一、部门（单位）</w:t>
      </w:r>
      <w:r>
        <w:rPr>
          <w:rFonts w:hint="eastAsia" w:ascii="黑体" w:hAnsi="黑体" w:eastAsia="黑体" w:cs="黑体"/>
          <w:sz w:val="28"/>
          <w:szCs w:val="28"/>
          <w:lang w:eastAsia="zh-CN"/>
        </w:rPr>
        <w:t>概况</w:t>
      </w:r>
    </w:p>
    <w:p>
      <w:pPr>
        <w:ind w:firstLine="560" w:firstLineChars="200"/>
        <w:rPr>
          <w:rFonts w:hint="eastAsia" w:ascii="Calibri" w:hAnsi="仿宋" w:eastAsia="仿宋" w:cs="仿宋"/>
          <w:sz w:val="28"/>
          <w:szCs w:val="28"/>
        </w:rPr>
      </w:pPr>
      <w:r>
        <w:rPr>
          <w:rFonts w:hint="eastAsia" w:ascii="Calibri" w:hAnsi="仿宋" w:eastAsia="仿宋" w:cs="仿宋"/>
          <w:sz w:val="28"/>
          <w:szCs w:val="28"/>
        </w:rPr>
        <w:t>（一）机构组成。</w:t>
      </w:r>
    </w:p>
    <w:p>
      <w:pPr>
        <w:ind w:firstLine="560" w:firstLineChars="200"/>
        <w:rPr>
          <w:rFonts w:hint="eastAsia" w:ascii="Calibri" w:hAnsi="仿宋" w:eastAsia="仿宋" w:cs="仿宋"/>
          <w:sz w:val="28"/>
          <w:szCs w:val="28"/>
        </w:rPr>
      </w:pPr>
      <w:r>
        <w:rPr>
          <w:rFonts w:hint="eastAsia" w:ascii="Calibri" w:hAnsi="仿宋" w:eastAsia="仿宋" w:cs="仿宋"/>
          <w:sz w:val="28"/>
          <w:szCs w:val="28"/>
        </w:rPr>
        <w:t>剑阁县</w:t>
      </w:r>
      <w:r>
        <w:rPr>
          <w:rFonts w:hint="eastAsia" w:ascii="Calibri" w:hAnsi="仿宋" w:eastAsia="仿宋" w:cs="仿宋"/>
          <w:sz w:val="28"/>
          <w:szCs w:val="28"/>
          <w:lang w:eastAsia="zh-CN"/>
        </w:rPr>
        <w:t>住房和城乡建设局</w:t>
      </w:r>
      <w:r>
        <w:rPr>
          <w:rFonts w:hint="eastAsia" w:ascii="Calibri" w:hAnsi="仿宋" w:eastAsia="仿宋" w:cs="仿宋"/>
          <w:sz w:val="28"/>
          <w:szCs w:val="28"/>
        </w:rPr>
        <w:t>是财政一级预算行政单位，下属二级单位</w:t>
      </w:r>
      <w:r>
        <w:rPr>
          <w:rFonts w:hint="eastAsia" w:ascii="Calibri" w:hAnsi="仿宋" w:eastAsia="仿宋" w:cs="仿宋"/>
          <w:sz w:val="28"/>
          <w:szCs w:val="28"/>
          <w:lang w:val="en-US" w:eastAsia="zh-CN"/>
        </w:rPr>
        <w:t>5个</w:t>
      </w:r>
      <w:r>
        <w:rPr>
          <w:rFonts w:hint="eastAsia" w:ascii="Calibri" w:hAnsi="仿宋" w:eastAsia="仿宋" w:cs="仿宋"/>
          <w:sz w:val="28"/>
          <w:szCs w:val="28"/>
        </w:rPr>
        <w:t>。局机关设</w:t>
      </w:r>
      <w:r>
        <w:rPr>
          <w:rFonts w:hint="eastAsia" w:ascii="Calibri" w:hAnsi="仿宋" w:eastAsia="仿宋" w:cs="仿宋"/>
          <w:sz w:val="28"/>
          <w:szCs w:val="28"/>
          <w:lang w:val="en-US" w:eastAsia="zh-CN"/>
        </w:rPr>
        <w:t>5</w:t>
      </w:r>
      <w:r>
        <w:rPr>
          <w:rFonts w:hint="eastAsia" w:ascii="Calibri" w:hAnsi="仿宋" w:eastAsia="仿宋" w:cs="仿宋"/>
          <w:sz w:val="28"/>
          <w:szCs w:val="28"/>
        </w:rPr>
        <w:t>个内设机构，</w:t>
      </w:r>
      <w:r>
        <w:rPr>
          <w:rFonts w:hint="eastAsia" w:ascii="Calibri" w:hAnsi="仿宋" w:eastAsia="仿宋" w:cs="仿宋"/>
          <w:sz w:val="28"/>
          <w:szCs w:val="28"/>
          <w:lang w:eastAsia="zh-CN"/>
        </w:rPr>
        <w:t>局</w:t>
      </w:r>
      <w:r>
        <w:rPr>
          <w:rFonts w:hint="eastAsia" w:ascii="Calibri" w:hAnsi="仿宋" w:eastAsia="仿宋" w:cs="仿宋"/>
          <w:sz w:val="28"/>
          <w:szCs w:val="28"/>
        </w:rPr>
        <w:t>办公室、</w:t>
      </w:r>
      <w:r>
        <w:rPr>
          <w:rFonts w:hint="eastAsia" w:ascii="Calibri" w:hAnsi="仿宋" w:eastAsia="仿宋" w:cs="仿宋"/>
          <w:sz w:val="28"/>
          <w:szCs w:val="28"/>
          <w:lang w:eastAsia="zh-CN"/>
        </w:rPr>
        <w:t>村建股、建管股、城建股、房地产管理股</w:t>
      </w:r>
      <w:r>
        <w:rPr>
          <w:rFonts w:hint="eastAsia" w:ascii="Calibri" w:hAnsi="仿宋" w:eastAsia="仿宋" w:cs="仿宋"/>
          <w:sz w:val="28"/>
          <w:szCs w:val="28"/>
        </w:rPr>
        <w:t>。</w:t>
      </w:r>
    </w:p>
    <w:p>
      <w:pPr>
        <w:numPr>
          <w:ilvl w:val="0"/>
          <w:numId w:val="3"/>
        </w:numPr>
        <w:ind w:firstLine="560" w:firstLineChars="200"/>
        <w:rPr>
          <w:rFonts w:hint="eastAsia" w:ascii="Calibri" w:hAnsi="仿宋" w:eastAsia="仿宋" w:cs="仿宋"/>
          <w:sz w:val="28"/>
          <w:szCs w:val="28"/>
        </w:rPr>
      </w:pPr>
      <w:r>
        <w:rPr>
          <w:rFonts w:hint="eastAsia" w:ascii="Calibri" w:hAnsi="仿宋" w:eastAsia="仿宋" w:cs="仿宋"/>
          <w:sz w:val="28"/>
          <w:szCs w:val="28"/>
        </w:rPr>
        <w:t>机构职能。</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贯彻执行国家住房和城乡建设的</w:t>
      </w:r>
      <w:r>
        <w:rPr>
          <w:rFonts w:hint="eastAsia" w:ascii="仿宋_GB2312" w:hAnsi="仿宋_GB2312" w:eastAsia="仿宋_GB2312" w:cs="仿宋_GB2312"/>
          <w:sz w:val="28"/>
          <w:szCs w:val="28"/>
          <w:lang w:eastAsia="zh-CN"/>
        </w:rPr>
        <w:t>法律法规</w:t>
      </w:r>
      <w:r>
        <w:rPr>
          <w:rFonts w:hint="eastAsia" w:ascii="仿宋_GB2312" w:hAnsi="仿宋_GB2312" w:eastAsia="仿宋_GB2312" w:cs="仿宋_GB2312"/>
          <w:sz w:val="28"/>
          <w:szCs w:val="28"/>
        </w:rPr>
        <w:t>和方针、政策。研究拟订全县住房保障、</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"http://baike.so.com/doc/6117178.html"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工程建设</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"http://baike.so.com/doc/5414331.html"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城市建设</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、村镇建设、建筑业、房屋</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"http://baike.so.com/doc/5338327.html"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装饰装修</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业、住宅与房地产业、</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"http://baike.so.com/doc/5350465.html"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勘察设计</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咨询业、市政公用事业的政策措施，负责本系统、本部门依法行政工作，落实</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"http://baike.so.com/doc/359522.html"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行政执法</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责任制。</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承担推进住房制度改革、保障城镇中低收入家庭住房的责任。拟订全</w:t>
      </w:r>
      <w:r>
        <w:rPr>
          <w:rFonts w:hint="eastAsia" w:ascii="仿宋_GB2312" w:hAnsi="仿宋_GB2312" w:eastAsia="仿宋_GB2312" w:cs="仿宋_GB2312"/>
          <w:sz w:val="28"/>
          <w:szCs w:val="28"/>
          <w:lang w:eastAsia="zh-CN"/>
        </w:rPr>
        <w:t>县</w:t>
      </w:r>
      <w:r>
        <w:rPr>
          <w:rFonts w:hint="eastAsia" w:ascii="仿宋_GB2312" w:hAnsi="仿宋_GB2312" w:eastAsia="仿宋_GB2312" w:cs="仿宋_GB2312"/>
          <w:sz w:val="28"/>
          <w:szCs w:val="28"/>
        </w:rPr>
        <w:t>住房及住房保障相关政策并指导实施，指导住房建设和住房制度改革。拟订廉租住房规划及政策，会同有关部门做好国家、省、市有关保障性安居工程资金安排并监督组织实施。编制住房保障发展规划和年度计划并监督实施。</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组织实施工程建设实施阶段国家和省标准、全国统一定额和</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"http://baike.so.com/doc/1587706.html"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行业标准</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定额。指导监督各类工程建设标准定额的实施和工程造价计价，组织发布工程造价信息。</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承担规范</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"http://baike.so.com/doc/6216633.html"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房地产市场</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秩序、监督管理房地产市场的责任。指导城镇</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"http://baike.so.com/doc/5397946.html"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土地使用权</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有偿转让和开发利用工作，拟订房地产业的行业发展规划和产业政策，制定</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"http://baike.so.com/doc/2159303.html"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房地产开发</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、房屋权属管理、</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"http://baike.so.com/doc/6224045.html"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房屋租赁</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、房屋面积管理、危房鉴定、白蚁防治、房地产估价与经纪管理、物业管理、国有土地上房屋征收与补偿的制度规定并监督执行。</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承担监督管理建筑市场、规范市场各方主体行为的责任。综合管理和指导全市建筑活动，拟订工程建设、建筑业及装饰装修业</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"http://baike.so.com/doc/5570001.html"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发展战略</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、中长期规划、改革方案、产业政策、制度规定并监督执行。组织实施房屋和市政工程项目招标投标活动的监督执法，拟订</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"http://baike.so.com/doc/6757751.html"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建设工程</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施工、监理以及规范建筑市场各方主体行为的制度规定并监督执行。负责建筑工程质量安全的监督管理工作，拟订建筑工程质量、建筑</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"http://baike.so.com/doc/4474135.html"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安全生产</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和</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"http://baike.so.com/doc/5429973.html"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竣工验收</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备案的政策、制度规定并监督执行，组织或参与工程重大质量、</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"http://baike.so.com/doc/668884.html"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安全事故</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的调查处理。</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承担监督管理勘察设计咨询市场秩序和勘察设计咨询质量的责任。拟订工程勘察设计咨询业的发展战略、中长期规划、改革方案、产业和技术政策、制度规定并组织实施。指导建设工程抗震设防工作，组织编制并实施房屋建筑和市政设施抗震技术地方规范和标准图集，组织开展城市建筑物抗震性能普查、鉴定加固和改造工作，指导村镇和农村建设抗震工作，指导和组织灾后恢复重建工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承担指导城镇建设管理的责任。拟订城镇建设的政策、规划并组织实施，指导城镇燃气和</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"http://baike.so.com/doc/3368241.html"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垃圾处理</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等市政公用设施的建设管理，指导城镇市容环境综合整治、城建监察工作，指导城镇防汛排涝工作，指导城镇建设档案管理工作。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承担规范和指导村镇建设的责任。指导村镇规划编制、农村住房建设管理和危房改造，拟订村庄和</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"http://baike.so.com/doc/5401769.html"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小城镇建设</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政策并指导实施，指导小城镇和村庄人居生态环境的改善工作，指导和组织各类村镇建设试点工作，指导受灾村镇及国家大型重点建设项目地区村镇迁建、重建的规划建设和管理工作。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组织指导城镇园林绿化工作。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承担推进</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"http://baike.so.com/doc/5406618.html"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建筑节能</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城镇减排的责任。会同有关部门拟订建筑节能政策、规划并监督实施，组织实施重大建筑节能项目，推进城镇减排。组织实施重点科技项目的研究开发及成果转化工作，承担推进墙体材料革新的责任。负责组织实施散装水泥的推广工作。</w:t>
      </w:r>
    </w:p>
    <w:p>
      <w:pPr>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承担贯彻执行县政府非经营性</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"http://baike.so.com/doc/1263493.html"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投资项目</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“代建制”的</w:t>
      </w:r>
      <w:r>
        <w:rPr>
          <w:rFonts w:hint="eastAsia" w:ascii="仿宋_GB2312" w:hAnsi="仿宋_GB2312" w:eastAsia="仿宋_GB2312" w:cs="仿宋_GB2312"/>
          <w:sz w:val="28"/>
          <w:szCs w:val="28"/>
          <w:lang w:eastAsia="zh-CN"/>
        </w:rPr>
        <w:t>责任。</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制定城乡规划建设和住房行业</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"http://baike.so.com/doc/5023917.html"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人才培养</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、教育发展规划并组织实施，指导城乡规划建设和住房行业科技人才队伍建设、</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"http://baike.so.com/doc/198893.html"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专业技术职务</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评审和执业资格管理工作。指导监督住房和城乡建设</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"http://baike.so.com/doc/6278619.html"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行业协会</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、学会工作。开展住房和城乡建设方面的国际交流与合作，制定城乡规划建设和住房行业的科技发展规划和技术经济政策。</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rPr>
        <w:t>管理城乡规划建设住房行业的对外经济技术合作，指导企事业单位开拓县内外建筑市场和房地产市场，组织协调住房和建设企业开展对外</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"http://baike.so.com/doc/1139883.html" \t "http://baike.so.com/doc/_blank"</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工程承包</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、建筑劳务合作。</w:t>
      </w:r>
    </w:p>
    <w:p>
      <w:pPr>
        <w:spacing w:line="580" w:lineRule="exact"/>
        <w:ind w:firstLine="560" w:firstLineChars="200"/>
        <w:rPr>
          <w:rFonts w:ascii="宋体" w:hAnsi="宋体" w:cs="仿宋"/>
          <w:sz w:val="28"/>
          <w:szCs w:val="28"/>
        </w:rPr>
      </w:pPr>
      <w:r>
        <w:rPr>
          <w:rFonts w:hint="eastAsia" w:ascii="宋体" w:hAnsi="宋体" w:cs="仿宋"/>
          <w:sz w:val="28"/>
          <w:szCs w:val="28"/>
        </w:rPr>
        <w:t>（三）人员概况。</w:t>
      </w:r>
    </w:p>
    <w:p>
      <w:pPr>
        <w:ind w:firstLine="840" w:firstLineChars="300"/>
        <w:rPr>
          <w:rFonts w:hint="eastAsia" w:hAnsi="仿宋" w:eastAsia="仿宋" w:cs="仿宋"/>
          <w:sz w:val="28"/>
          <w:szCs w:val="28"/>
          <w:lang w:val="en-US" w:eastAsia="zh-CN"/>
        </w:rPr>
      </w:pPr>
      <w:r>
        <w:rPr>
          <w:rFonts w:hint="eastAsia" w:hAnsi="仿宋" w:eastAsia="仿宋" w:cs="仿宋"/>
          <w:sz w:val="28"/>
          <w:szCs w:val="28"/>
          <w:lang w:val="en-US" w:eastAsia="zh-CN"/>
        </w:rPr>
        <w:t>剑阁县住房和城乡建设局总编制64名，其中行政编制14名，事业编制48名，工勤编制2名。在职人员总数64人，其中行政人员17人，事业人员45人，工勤人员2人，退休人员 16人。</w:t>
      </w:r>
    </w:p>
    <w:p>
      <w:pPr>
        <w:widowControl/>
        <w:adjustRightInd w:val="0"/>
        <w:snapToGrid w:val="0"/>
        <w:spacing w:line="560" w:lineRule="exact"/>
        <w:ind w:firstLine="640" w:firstLineChars="200"/>
        <w:contextualSpacing/>
        <w:jc w:val="left"/>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二、部门</w:t>
      </w:r>
      <w:r>
        <w:rPr>
          <w:rFonts w:hint="eastAsia" w:ascii="黑体" w:hAnsi="宋体" w:eastAsia="黑体" w:cs="宋体"/>
          <w:kern w:val="0"/>
          <w:sz w:val="32"/>
          <w:szCs w:val="32"/>
          <w:shd w:val="clear" w:color="auto" w:fill="FFFFFF"/>
          <w:lang w:eastAsia="zh-CN"/>
        </w:rPr>
        <w:t>财政</w:t>
      </w:r>
      <w:r>
        <w:rPr>
          <w:rFonts w:hint="eastAsia" w:ascii="黑体" w:hAnsi="宋体" w:eastAsia="黑体" w:cs="宋体"/>
          <w:kern w:val="0"/>
          <w:sz w:val="32"/>
          <w:szCs w:val="32"/>
          <w:shd w:val="clear" w:color="auto" w:fill="FFFFFF"/>
        </w:rPr>
        <w:t>资金收支情况</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（一）部门财政资金收入情况。</w:t>
      </w:r>
    </w:p>
    <w:p>
      <w:pPr>
        <w:spacing w:line="600" w:lineRule="exact"/>
        <w:ind w:firstLine="640" w:firstLineChars="200"/>
        <w:rPr>
          <w:rFonts w:hint="eastAsia" w:eastAsia="仿宋"/>
          <w:lang w:val="en-US" w:eastAsia="zh-CN"/>
        </w:rPr>
      </w:pPr>
      <w:r>
        <w:rPr>
          <w:rFonts w:ascii="仿宋" w:hAnsi="仿宋" w:eastAsia="仿宋"/>
          <w:sz w:val="32"/>
          <w:szCs w:val="32"/>
        </w:rPr>
        <w:t>20</w:t>
      </w:r>
      <w:r>
        <w:rPr>
          <w:rFonts w:hint="eastAsia" w:ascii="仿宋" w:hAnsi="仿宋" w:eastAsia="仿宋"/>
          <w:sz w:val="32"/>
          <w:szCs w:val="32"/>
        </w:rPr>
        <w:t>22年本年收入合计</w:t>
      </w:r>
      <w:r>
        <w:rPr>
          <w:rFonts w:hint="eastAsia" w:ascii="仿宋" w:hAnsi="仿宋" w:eastAsia="仿宋"/>
          <w:sz w:val="32"/>
          <w:szCs w:val="32"/>
          <w:lang w:val="en-US" w:eastAsia="zh-CN"/>
        </w:rPr>
        <w:t>50732.82</w:t>
      </w:r>
      <w:r>
        <w:rPr>
          <w:rFonts w:hint="eastAsia" w:ascii="仿宋" w:hAnsi="仿宋" w:eastAsia="仿宋"/>
          <w:sz w:val="32"/>
          <w:szCs w:val="32"/>
        </w:rPr>
        <w:t>万元，其中：一般公共预算财政拨款收入</w:t>
      </w:r>
      <w:r>
        <w:rPr>
          <w:rFonts w:hint="eastAsia" w:ascii="仿宋" w:hAnsi="仿宋" w:eastAsia="仿宋"/>
          <w:sz w:val="32"/>
          <w:szCs w:val="32"/>
          <w:lang w:val="en-US" w:eastAsia="zh-CN"/>
        </w:rPr>
        <w:t>4730.49</w:t>
      </w:r>
      <w:r>
        <w:rPr>
          <w:rFonts w:hint="eastAsia" w:ascii="仿宋" w:hAnsi="仿宋" w:eastAsia="仿宋"/>
          <w:sz w:val="32"/>
          <w:szCs w:val="32"/>
        </w:rPr>
        <w:t>万元，占</w:t>
      </w:r>
      <w:r>
        <w:rPr>
          <w:rFonts w:hint="eastAsia" w:ascii="仿宋" w:hAnsi="仿宋" w:eastAsia="仿宋"/>
          <w:sz w:val="32"/>
          <w:szCs w:val="32"/>
          <w:lang w:val="en-US" w:eastAsia="zh-CN"/>
        </w:rPr>
        <w:t>9.32</w:t>
      </w:r>
      <w:r>
        <w:rPr>
          <w:rFonts w:ascii="仿宋" w:hAnsi="仿宋" w:eastAsia="仿宋"/>
          <w:sz w:val="32"/>
          <w:szCs w:val="32"/>
        </w:rPr>
        <w:t>%</w:t>
      </w:r>
      <w:r>
        <w:rPr>
          <w:rFonts w:hint="eastAsia" w:ascii="仿宋" w:hAnsi="仿宋" w:eastAsia="仿宋"/>
          <w:sz w:val="32"/>
          <w:szCs w:val="32"/>
          <w:lang w:eastAsia="zh-CN"/>
        </w:rPr>
        <w:t>。</w:t>
      </w:r>
    </w:p>
    <w:p>
      <w:pPr>
        <w:widowControl/>
        <w:adjustRightInd w:val="0"/>
        <w:snapToGrid w:val="0"/>
        <w:spacing w:line="560" w:lineRule="exact"/>
        <w:ind w:firstLine="643"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en-US" w:eastAsia="zh-CN"/>
        </w:rPr>
        <w:t>（二）</w:t>
      </w:r>
      <w:r>
        <w:rPr>
          <w:rFonts w:hint="eastAsia" w:ascii="楷体_GB2312" w:hAnsi="楷体_GB2312" w:eastAsia="楷体_GB2312" w:cs="楷体_GB2312"/>
          <w:b/>
          <w:bCs/>
          <w:kern w:val="0"/>
          <w:sz w:val="32"/>
          <w:szCs w:val="32"/>
          <w:shd w:val="clear" w:color="auto" w:fill="FFFFFF"/>
          <w:lang w:val="zh-CN"/>
        </w:rPr>
        <w:t>部门</w:t>
      </w:r>
      <w:r>
        <w:rPr>
          <w:rFonts w:hint="eastAsia" w:ascii="楷体_GB2312" w:hAnsi="楷体_GB2312" w:eastAsia="楷体_GB2312" w:cs="楷体_GB2312"/>
          <w:b/>
          <w:bCs/>
          <w:kern w:val="0"/>
          <w:sz w:val="32"/>
          <w:szCs w:val="32"/>
          <w:shd w:val="clear" w:color="auto" w:fill="FFFFFF"/>
          <w:lang w:val="zh-CN" w:eastAsia="zh-CN"/>
        </w:rPr>
        <w:t>财政资金</w:t>
      </w:r>
      <w:r>
        <w:rPr>
          <w:rFonts w:hint="eastAsia" w:ascii="楷体_GB2312" w:hAnsi="楷体_GB2312" w:eastAsia="楷体_GB2312" w:cs="楷体_GB2312"/>
          <w:b/>
          <w:bCs/>
          <w:kern w:val="0"/>
          <w:sz w:val="32"/>
          <w:szCs w:val="32"/>
          <w:shd w:val="clear" w:color="auto" w:fill="FFFFFF"/>
          <w:lang w:val="zh-CN"/>
        </w:rPr>
        <w:t>支出情况</w:t>
      </w:r>
    </w:p>
    <w:p>
      <w:pPr>
        <w:spacing w:line="600" w:lineRule="exact"/>
        <w:ind w:firstLine="640" w:firstLineChars="200"/>
        <w:outlineLvl w:val="1"/>
        <w:rPr>
          <w:rFonts w:hint="eastAsia" w:eastAsia="仿宋"/>
          <w:lang w:eastAsia="zh-CN"/>
        </w:rPr>
      </w:pPr>
      <w:r>
        <w:rPr>
          <w:rFonts w:ascii="仿宋" w:hAnsi="仿宋" w:eastAsia="仿宋"/>
          <w:sz w:val="32"/>
          <w:szCs w:val="32"/>
        </w:rPr>
        <w:t>20</w:t>
      </w:r>
      <w:r>
        <w:rPr>
          <w:rFonts w:hint="eastAsia" w:ascii="仿宋" w:hAnsi="仿宋" w:eastAsia="仿宋"/>
          <w:sz w:val="32"/>
          <w:szCs w:val="32"/>
        </w:rPr>
        <w:t>22年本年支出合计</w:t>
      </w:r>
      <w:r>
        <w:rPr>
          <w:rFonts w:hint="eastAsia" w:ascii="仿宋" w:hAnsi="仿宋" w:eastAsia="仿宋"/>
          <w:sz w:val="32"/>
          <w:szCs w:val="32"/>
          <w:lang w:val="en-US" w:eastAsia="zh-CN"/>
        </w:rPr>
        <w:t>50732.82</w:t>
      </w:r>
      <w:r>
        <w:rPr>
          <w:rFonts w:hint="eastAsia" w:ascii="仿宋" w:hAnsi="仿宋" w:eastAsia="仿宋"/>
          <w:sz w:val="32"/>
          <w:szCs w:val="32"/>
        </w:rPr>
        <w:t>万元，其中：基本支出</w:t>
      </w:r>
      <w:r>
        <w:rPr>
          <w:rFonts w:hint="eastAsia" w:ascii="仿宋" w:hAnsi="仿宋" w:eastAsia="仿宋"/>
          <w:sz w:val="32"/>
          <w:szCs w:val="32"/>
          <w:lang w:val="en-US" w:eastAsia="zh-CN"/>
        </w:rPr>
        <w:t>667.31</w:t>
      </w:r>
      <w:r>
        <w:rPr>
          <w:rFonts w:hint="eastAsia" w:ascii="仿宋" w:hAnsi="仿宋" w:eastAsia="仿宋"/>
          <w:sz w:val="32"/>
          <w:szCs w:val="32"/>
        </w:rPr>
        <w:t>万元，占</w:t>
      </w:r>
      <w:r>
        <w:rPr>
          <w:rFonts w:hint="eastAsia" w:ascii="仿宋" w:hAnsi="仿宋" w:eastAsia="仿宋"/>
          <w:sz w:val="32"/>
          <w:szCs w:val="32"/>
          <w:lang w:val="en-US" w:eastAsia="zh-CN"/>
        </w:rPr>
        <w:t>1.32</w:t>
      </w:r>
      <w:r>
        <w:rPr>
          <w:rFonts w:ascii="仿宋" w:hAnsi="仿宋" w:eastAsia="仿宋"/>
          <w:sz w:val="32"/>
          <w:szCs w:val="32"/>
        </w:rPr>
        <w:t>%</w:t>
      </w:r>
      <w:r>
        <w:rPr>
          <w:rFonts w:hint="eastAsia" w:ascii="仿宋" w:hAnsi="仿宋" w:eastAsia="仿宋"/>
          <w:sz w:val="32"/>
          <w:szCs w:val="32"/>
        </w:rPr>
        <w:t>；项目支出</w:t>
      </w:r>
      <w:r>
        <w:rPr>
          <w:rFonts w:hint="eastAsia" w:ascii="仿宋" w:hAnsi="仿宋" w:eastAsia="仿宋"/>
          <w:sz w:val="32"/>
          <w:szCs w:val="32"/>
          <w:lang w:val="en-US" w:eastAsia="zh-CN"/>
        </w:rPr>
        <w:t>50065.51</w:t>
      </w:r>
      <w:r>
        <w:rPr>
          <w:rFonts w:hint="eastAsia" w:ascii="仿宋" w:hAnsi="仿宋" w:eastAsia="仿宋"/>
          <w:sz w:val="32"/>
          <w:szCs w:val="32"/>
        </w:rPr>
        <w:t>万元，占</w:t>
      </w:r>
      <w:r>
        <w:rPr>
          <w:rFonts w:hint="eastAsia" w:ascii="仿宋" w:hAnsi="仿宋" w:eastAsia="仿宋"/>
          <w:sz w:val="32"/>
          <w:szCs w:val="32"/>
          <w:lang w:val="en-US" w:eastAsia="zh-CN"/>
        </w:rPr>
        <w:t>98.68</w:t>
      </w:r>
      <w:r>
        <w:rPr>
          <w:rFonts w:ascii="仿宋" w:hAnsi="仿宋" w:eastAsia="仿宋"/>
          <w:sz w:val="32"/>
          <w:szCs w:val="32"/>
        </w:rPr>
        <w:t>%</w:t>
      </w:r>
      <w:r>
        <w:rPr>
          <w:rFonts w:hint="eastAsia" w:ascii="仿宋" w:hAnsi="仿宋" w:eastAsia="仿宋"/>
          <w:sz w:val="32"/>
          <w:szCs w:val="32"/>
          <w:lang w:eastAsia="zh-CN"/>
        </w:rPr>
        <w:t>。</w:t>
      </w:r>
    </w:p>
    <w:p>
      <w:pPr>
        <w:spacing w:line="600" w:lineRule="exact"/>
        <w:ind w:firstLine="640" w:firstLineChars="200"/>
      </w:pPr>
      <w:r>
        <w:rPr>
          <w:rFonts w:ascii="仿宋" w:hAnsi="仿宋" w:eastAsia="仿宋"/>
          <w:sz w:val="32"/>
          <w:szCs w:val="32"/>
        </w:rPr>
        <w:t>20</w:t>
      </w:r>
      <w:r>
        <w:rPr>
          <w:rFonts w:hint="eastAsia" w:ascii="仿宋" w:hAnsi="仿宋" w:eastAsia="仿宋"/>
          <w:sz w:val="32"/>
          <w:szCs w:val="32"/>
        </w:rPr>
        <w:t>22年一般公共预算财政拨款</w:t>
      </w:r>
      <w:r>
        <w:rPr>
          <w:rFonts w:hint="eastAsia" w:ascii="仿宋" w:hAnsi="仿宋" w:eastAsia="仿宋"/>
          <w:sz w:val="32"/>
          <w:szCs w:val="32"/>
          <w:lang w:eastAsia="zh-CN"/>
        </w:rPr>
        <w:t>收入</w:t>
      </w:r>
      <w:r>
        <w:rPr>
          <w:rFonts w:hint="eastAsia" w:ascii="仿宋" w:hAnsi="仿宋" w:eastAsia="仿宋"/>
          <w:sz w:val="32"/>
          <w:szCs w:val="32"/>
          <w:lang w:val="en-US" w:eastAsia="zh-CN"/>
        </w:rPr>
        <w:t>4730.49</w:t>
      </w:r>
      <w:r>
        <w:rPr>
          <w:rFonts w:hint="eastAsia" w:ascii="仿宋" w:hAnsi="仿宋" w:eastAsia="仿宋"/>
          <w:sz w:val="32"/>
          <w:szCs w:val="32"/>
        </w:rPr>
        <w:t>万元，占本年</w:t>
      </w:r>
      <w:r>
        <w:rPr>
          <w:rFonts w:hint="eastAsia" w:ascii="仿宋" w:hAnsi="仿宋" w:eastAsia="仿宋"/>
          <w:sz w:val="32"/>
          <w:szCs w:val="32"/>
          <w:lang w:eastAsia="zh-CN"/>
        </w:rPr>
        <w:t>收入</w:t>
      </w:r>
      <w:r>
        <w:rPr>
          <w:rFonts w:hint="eastAsia" w:ascii="仿宋" w:hAnsi="仿宋" w:eastAsia="仿宋"/>
          <w:sz w:val="32"/>
          <w:szCs w:val="32"/>
        </w:rPr>
        <w:t>合计的</w:t>
      </w:r>
      <w:r>
        <w:rPr>
          <w:rFonts w:hint="eastAsia" w:ascii="仿宋" w:hAnsi="仿宋" w:eastAsia="仿宋"/>
          <w:sz w:val="32"/>
          <w:szCs w:val="32"/>
          <w:lang w:val="en-US" w:eastAsia="zh-CN"/>
        </w:rPr>
        <w:t>9.32</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21年相比，一般公共预算财政拨款</w:t>
      </w:r>
      <w:r>
        <w:rPr>
          <w:rFonts w:hint="eastAsia" w:ascii="仿宋" w:hAnsi="仿宋" w:eastAsia="仿宋"/>
          <w:sz w:val="32"/>
          <w:szCs w:val="32"/>
          <w:lang w:eastAsia="zh-CN"/>
        </w:rPr>
        <w:t>收入减少</w:t>
      </w:r>
      <w:r>
        <w:rPr>
          <w:rFonts w:hint="eastAsia" w:ascii="仿宋" w:hAnsi="仿宋" w:eastAsia="仿宋"/>
          <w:sz w:val="32"/>
          <w:szCs w:val="32"/>
          <w:lang w:val="en-US" w:eastAsia="zh-CN"/>
        </w:rPr>
        <w:t>8357.24</w:t>
      </w:r>
      <w:r>
        <w:rPr>
          <w:rFonts w:hint="eastAsia" w:ascii="仿宋" w:hAnsi="仿宋" w:eastAsia="仿宋"/>
          <w:sz w:val="32"/>
          <w:szCs w:val="32"/>
        </w:rPr>
        <w:t>万元，</w:t>
      </w:r>
      <w:r>
        <w:rPr>
          <w:rFonts w:hint="eastAsia" w:ascii="仿宋" w:hAnsi="仿宋" w:eastAsia="仿宋"/>
          <w:sz w:val="32"/>
          <w:szCs w:val="32"/>
          <w:lang w:eastAsia="zh-CN"/>
        </w:rPr>
        <w:t>减少</w:t>
      </w:r>
      <w:r>
        <w:rPr>
          <w:rFonts w:hint="eastAsia" w:ascii="仿宋" w:hAnsi="仿宋" w:eastAsia="仿宋"/>
          <w:sz w:val="32"/>
          <w:szCs w:val="32"/>
          <w:lang w:val="en-US" w:eastAsia="zh-CN"/>
        </w:rPr>
        <w:t>63.86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sz w:val="32"/>
          <w:szCs w:val="32"/>
          <w:lang w:eastAsia="zh-CN"/>
        </w:rPr>
        <w:t>主要变动原因是压缩公用经费及减少项目。</w:t>
      </w:r>
    </w:p>
    <w:p>
      <w:pPr>
        <w:spacing w:line="600" w:lineRule="exact"/>
        <w:ind w:firstLine="640" w:firstLineChars="200"/>
        <w:rPr>
          <w:rFonts w:hint="eastAsia" w:ascii="仿宋" w:hAnsi="仿宋" w:eastAsia="仿宋"/>
          <w:sz w:val="32"/>
          <w:szCs w:val="32"/>
          <w:lang w:eastAsia="zh-CN"/>
        </w:rPr>
      </w:pPr>
      <w:r>
        <w:rPr>
          <w:rFonts w:ascii="仿宋" w:hAnsi="仿宋" w:eastAsia="仿宋"/>
          <w:sz w:val="32"/>
          <w:szCs w:val="32"/>
        </w:rPr>
        <w:t>20</w:t>
      </w:r>
      <w:r>
        <w:rPr>
          <w:rFonts w:hint="eastAsia" w:ascii="仿宋" w:hAnsi="仿宋" w:eastAsia="仿宋"/>
          <w:sz w:val="32"/>
          <w:szCs w:val="32"/>
        </w:rPr>
        <w:t>22年一般公共预算财政拨款</w:t>
      </w:r>
      <w:r>
        <w:rPr>
          <w:rFonts w:hint="eastAsia" w:ascii="仿宋" w:hAnsi="仿宋" w:eastAsia="仿宋"/>
          <w:sz w:val="32"/>
          <w:szCs w:val="32"/>
          <w:lang w:eastAsia="zh-CN"/>
        </w:rPr>
        <w:t>支出</w:t>
      </w:r>
      <w:r>
        <w:rPr>
          <w:rFonts w:hint="eastAsia" w:ascii="仿宋" w:hAnsi="仿宋" w:eastAsia="仿宋"/>
          <w:sz w:val="32"/>
          <w:szCs w:val="32"/>
          <w:lang w:val="en-US" w:eastAsia="zh-CN"/>
        </w:rPr>
        <w:t>10427.67</w:t>
      </w:r>
      <w:r>
        <w:rPr>
          <w:rFonts w:hint="eastAsia" w:ascii="仿宋" w:hAnsi="仿宋" w:eastAsia="仿宋"/>
          <w:sz w:val="32"/>
          <w:szCs w:val="32"/>
        </w:rPr>
        <w:t>万元，占本年支出合计的</w:t>
      </w:r>
      <w:r>
        <w:rPr>
          <w:rFonts w:hint="eastAsia" w:ascii="仿宋" w:hAnsi="仿宋" w:eastAsia="仿宋"/>
          <w:sz w:val="32"/>
          <w:szCs w:val="32"/>
          <w:lang w:val="en-US" w:eastAsia="zh-CN"/>
        </w:rPr>
        <w:t>100</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21年相比，一般公共预算财政拨款支出</w:t>
      </w:r>
      <w:r>
        <w:rPr>
          <w:rFonts w:hint="eastAsia" w:ascii="仿宋" w:hAnsi="仿宋" w:eastAsia="仿宋"/>
          <w:sz w:val="32"/>
          <w:szCs w:val="32"/>
          <w:lang w:eastAsia="zh-CN"/>
        </w:rPr>
        <w:t>减少</w:t>
      </w:r>
      <w:r>
        <w:rPr>
          <w:rFonts w:hint="eastAsia" w:ascii="仿宋" w:hAnsi="仿宋" w:eastAsia="仿宋"/>
          <w:sz w:val="32"/>
          <w:szCs w:val="32"/>
          <w:lang w:val="en-US" w:eastAsia="zh-CN"/>
        </w:rPr>
        <w:t>9851.86</w:t>
      </w:r>
      <w:r>
        <w:rPr>
          <w:rFonts w:hint="eastAsia" w:ascii="仿宋" w:hAnsi="仿宋" w:eastAsia="仿宋"/>
          <w:sz w:val="32"/>
          <w:szCs w:val="32"/>
        </w:rPr>
        <w:t>万元，</w:t>
      </w:r>
      <w:r>
        <w:rPr>
          <w:rFonts w:hint="eastAsia" w:ascii="仿宋" w:hAnsi="仿宋" w:eastAsia="仿宋"/>
          <w:sz w:val="32"/>
          <w:szCs w:val="32"/>
          <w:lang w:eastAsia="zh-CN"/>
        </w:rPr>
        <w:t>减少</w:t>
      </w:r>
      <w:r>
        <w:rPr>
          <w:rFonts w:hint="eastAsia" w:ascii="仿宋" w:hAnsi="仿宋" w:eastAsia="仿宋"/>
          <w:sz w:val="32"/>
          <w:szCs w:val="32"/>
          <w:lang w:val="en-US" w:eastAsia="zh-CN"/>
        </w:rPr>
        <w:t>48.58</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sz w:val="32"/>
          <w:szCs w:val="32"/>
          <w:lang w:eastAsia="zh-CN"/>
        </w:rPr>
        <w:t>主要变动原因是压缩公用经费及减少项目。</w:t>
      </w:r>
    </w:p>
    <w:p>
      <w:pPr>
        <w:widowControl/>
        <w:adjustRightInd w:val="0"/>
        <w:snapToGrid w:val="0"/>
        <w:spacing w:line="560" w:lineRule="exact"/>
        <w:ind w:firstLine="640" w:firstLineChars="200"/>
        <w:contextualSpacing/>
        <w:jc w:val="left"/>
        <w:rPr>
          <w:rFonts w:hint="eastAsia" w:ascii="黑体" w:hAnsi="宋体" w:eastAsia="黑体" w:cs="宋体"/>
          <w:kern w:val="0"/>
          <w:sz w:val="32"/>
          <w:szCs w:val="32"/>
          <w:shd w:val="clear" w:color="auto" w:fill="FFFFFF"/>
          <w:lang w:eastAsia="zh-CN"/>
        </w:rPr>
      </w:pPr>
      <w:r>
        <w:rPr>
          <w:rFonts w:hint="eastAsia" w:ascii="黑体" w:hAnsi="宋体" w:eastAsia="黑体" w:cs="宋体"/>
          <w:kern w:val="0"/>
          <w:sz w:val="32"/>
          <w:szCs w:val="32"/>
          <w:shd w:val="clear" w:color="auto" w:fill="FFFFFF"/>
        </w:rPr>
        <w:t>三、部门整体</w:t>
      </w:r>
      <w:r>
        <w:rPr>
          <w:rFonts w:hint="eastAsia" w:ascii="黑体" w:hAnsi="宋体" w:eastAsia="黑体" w:cs="宋体"/>
          <w:kern w:val="0"/>
          <w:sz w:val="32"/>
          <w:szCs w:val="32"/>
          <w:shd w:val="clear" w:color="auto" w:fill="FFFFFF"/>
          <w:lang w:eastAsia="zh-CN"/>
        </w:rPr>
        <w:t>预算</w:t>
      </w:r>
      <w:r>
        <w:rPr>
          <w:rFonts w:hint="eastAsia" w:ascii="黑体" w:hAnsi="宋体" w:eastAsia="黑体" w:cs="宋体"/>
          <w:kern w:val="0"/>
          <w:sz w:val="32"/>
          <w:szCs w:val="32"/>
          <w:shd w:val="clear" w:color="auto" w:fill="FFFFFF"/>
        </w:rPr>
        <w:t>绩效</w:t>
      </w:r>
      <w:r>
        <w:rPr>
          <w:rFonts w:hint="eastAsia" w:ascii="黑体" w:hAnsi="宋体" w:eastAsia="黑体" w:cs="宋体"/>
          <w:kern w:val="0"/>
          <w:sz w:val="32"/>
          <w:szCs w:val="32"/>
          <w:shd w:val="clear" w:color="auto" w:fill="FFFFFF"/>
          <w:lang w:eastAsia="zh-CN"/>
        </w:rPr>
        <w:t>管理情况</w:t>
      </w:r>
    </w:p>
    <w:p>
      <w:pPr>
        <w:widowControl/>
        <w:adjustRightInd w:val="0"/>
        <w:snapToGrid w:val="0"/>
        <w:spacing w:line="560" w:lineRule="exact"/>
        <w:ind w:firstLine="643"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（一）部门预算项目绩效管理。</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1.人员类项目绩效分析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b w:val="0"/>
          <w:bCs w:val="0"/>
          <w:i w:val="0"/>
          <w:iCs w:val="0"/>
          <w:caps w:val="0"/>
          <w:color w:val="000000"/>
          <w:spacing w:val="0"/>
          <w:kern w:val="0"/>
          <w:sz w:val="32"/>
          <w:szCs w:val="32"/>
          <w:shd w:val="clear" w:fill="FFFFFF"/>
          <w:lang w:val="en-US" w:eastAsia="zh-CN" w:bidi="ar-SA"/>
        </w:rPr>
      </w:pPr>
      <w:r>
        <w:rPr>
          <w:rFonts w:hint="eastAsia" w:ascii="仿宋" w:hAnsi="仿宋" w:eastAsia="仿宋" w:cs="仿宋"/>
          <w:b w:val="0"/>
          <w:bCs w:val="0"/>
          <w:i w:val="0"/>
          <w:iCs w:val="0"/>
          <w:caps w:val="0"/>
          <w:color w:val="000000"/>
          <w:spacing w:val="0"/>
          <w:kern w:val="0"/>
          <w:sz w:val="32"/>
          <w:szCs w:val="32"/>
          <w:shd w:val="clear" w:fill="FFFFFF"/>
          <w:lang w:val="zh-CN" w:eastAsia="zh-CN" w:bidi="ar-SA"/>
        </w:rPr>
        <w:t>人员类项目保障职工工资待遇及五险一金正常发放，促进机关职能运转。我单位</w:t>
      </w:r>
      <w:r>
        <w:rPr>
          <w:rFonts w:hint="eastAsia" w:ascii="仿宋" w:hAnsi="仿宋" w:eastAsia="仿宋" w:cs="仿宋"/>
          <w:b w:val="0"/>
          <w:bCs w:val="0"/>
          <w:i w:val="0"/>
          <w:iCs w:val="0"/>
          <w:caps w:val="0"/>
          <w:color w:val="000000"/>
          <w:spacing w:val="0"/>
          <w:kern w:val="0"/>
          <w:sz w:val="32"/>
          <w:szCs w:val="32"/>
          <w:shd w:val="clear" w:fill="FFFFFF"/>
          <w:lang w:val="en-US" w:eastAsia="zh-CN" w:bidi="ar-SA"/>
        </w:rPr>
        <w:t>2022年人员类项目预算598.22万元，实际支付598.22万元，资金执行率100%，执行情况较好。</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b w:val="0"/>
          <w:bCs w:val="0"/>
          <w:i w:val="0"/>
          <w:iCs w:val="0"/>
          <w:caps w:val="0"/>
          <w:color w:val="000000"/>
          <w:spacing w:val="0"/>
          <w:kern w:val="0"/>
          <w:sz w:val="32"/>
          <w:szCs w:val="32"/>
          <w:shd w:val="clear" w:fill="FFFFFF"/>
          <w:lang w:val="en-US" w:eastAsia="zh-CN" w:bidi="ar-SA"/>
        </w:rPr>
      </w:pPr>
      <w:r>
        <w:rPr>
          <w:rFonts w:hint="eastAsia" w:ascii="仿宋" w:hAnsi="仿宋" w:eastAsia="仿宋" w:cs="仿宋"/>
          <w:b w:val="0"/>
          <w:bCs w:val="0"/>
          <w:i w:val="0"/>
          <w:iCs w:val="0"/>
          <w:caps w:val="0"/>
          <w:color w:val="000000"/>
          <w:spacing w:val="0"/>
          <w:kern w:val="0"/>
          <w:sz w:val="32"/>
          <w:szCs w:val="32"/>
          <w:shd w:val="clear" w:fill="FFFFFF"/>
          <w:lang w:val="en-US" w:eastAsia="zh-CN" w:bidi="ar-SA"/>
        </w:rPr>
        <w:t>2.运转类项目绩效分析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b w:val="0"/>
          <w:bCs w:val="0"/>
          <w:i w:val="0"/>
          <w:iCs w:val="0"/>
          <w:caps w:val="0"/>
          <w:color w:val="000000"/>
          <w:spacing w:val="0"/>
          <w:kern w:val="0"/>
          <w:sz w:val="32"/>
          <w:szCs w:val="32"/>
          <w:shd w:val="clear" w:fill="FFFFFF"/>
          <w:lang w:val="en-US" w:eastAsia="zh-CN" w:bidi="ar-SA"/>
        </w:rPr>
      </w:pPr>
      <w:r>
        <w:rPr>
          <w:rFonts w:hint="eastAsia" w:ascii="仿宋" w:hAnsi="仿宋" w:eastAsia="仿宋" w:cs="仿宋"/>
          <w:b w:val="0"/>
          <w:bCs w:val="0"/>
          <w:i w:val="0"/>
          <w:iCs w:val="0"/>
          <w:caps w:val="0"/>
          <w:color w:val="000000"/>
          <w:spacing w:val="0"/>
          <w:kern w:val="0"/>
          <w:sz w:val="32"/>
          <w:szCs w:val="32"/>
          <w:shd w:val="clear" w:fill="FFFFFF"/>
          <w:lang w:val="zh-CN" w:eastAsia="zh-CN" w:bidi="ar-SA"/>
        </w:rPr>
        <w:t>运转类项目保障机关运转，日常水电气、办公费、差旅费等开销。我单位</w:t>
      </w:r>
      <w:r>
        <w:rPr>
          <w:rFonts w:hint="eastAsia" w:ascii="仿宋" w:hAnsi="仿宋" w:eastAsia="仿宋" w:cs="仿宋"/>
          <w:b w:val="0"/>
          <w:bCs w:val="0"/>
          <w:i w:val="0"/>
          <w:iCs w:val="0"/>
          <w:caps w:val="0"/>
          <w:color w:val="000000"/>
          <w:spacing w:val="0"/>
          <w:kern w:val="0"/>
          <w:sz w:val="32"/>
          <w:szCs w:val="32"/>
          <w:shd w:val="clear" w:fill="FFFFFF"/>
          <w:lang w:val="en-US" w:eastAsia="zh-CN" w:bidi="ar-SA"/>
        </w:rPr>
        <w:t>2022年运转类项目预算69.09万元，实际支付69.09万元，资金执行率100%，机关日常事务运转得到充分保障，预算执行情况较好。</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 w:hAnsi="仿宋" w:eastAsia="仿宋" w:cs="仿宋"/>
          <w:b w:val="0"/>
          <w:bCs w:val="0"/>
          <w:i w:val="0"/>
          <w:iCs w:val="0"/>
          <w:caps w:val="0"/>
          <w:color w:val="000000"/>
          <w:spacing w:val="0"/>
          <w:kern w:val="0"/>
          <w:sz w:val="32"/>
          <w:szCs w:val="32"/>
          <w:shd w:val="clear" w:fill="FFFFFF"/>
          <w:lang w:val="en-US" w:eastAsia="zh-CN" w:bidi="ar-SA"/>
        </w:rPr>
      </w:pPr>
      <w:r>
        <w:rPr>
          <w:rFonts w:hint="eastAsia" w:ascii="仿宋" w:hAnsi="仿宋" w:eastAsia="仿宋" w:cs="仿宋"/>
          <w:b w:val="0"/>
          <w:bCs w:val="0"/>
          <w:i w:val="0"/>
          <w:iCs w:val="0"/>
          <w:caps w:val="0"/>
          <w:color w:val="000000"/>
          <w:spacing w:val="0"/>
          <w:kern w:val="0"/>
          <w:sz w:val="32"/>
          <w:szCs w:val="32"/>
          <w:shd w:val="clear" w:fill="FFFFFF"/>
          <w:lang w:val="en-US" w:eastAsia="zh-CN" w:bidi="ar-SA"/>
        </w:rPr>
        <w:t>3.特定目标类项目绩效分析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b w:val="0"/>
          <w:bCs w:val="0"/>
          <w:i w:val="0"/>
          <w:iCs w:val="0"/>
          <w:caps w:val="0"/>
          <w:color w:val="FF0000"/>
          <w:spacing w:val="0"/>
          <w:kern w:val="0"/>
          <w:sz w:val="32"/>
          <w:szCs w:val="32"/>
          <w:shd w:val="clear" w:fill="FFFFFF"/>
          <w:lang w:val="zh-CN" w:eastAsia="zh-CN" w:bidi="ar-SA"/>
        </w:rPr>
      </w:pPr>
      <w:r>
        <w:rPr>
          <w:rFonts w:hint="eastAsia" w:ascii="仿宋" w:hAnsi="仿宋" w:eastAsia="仿宋" w:cs="仿宋"/>
          <w:b w:val="0"/>
          <w:bCs w:val="0"/>
          <w:i w:val="0"/>
          <w:iCs w:val="0"/>
          <w:caps w:val="0"/>
          <w:color w:val="auto"/>
          <w:spacing w:val="0"/>
          <w:kern w:val="0"/>
          <w:sz w:val="32"/>
          <w:szCs w:val="32"/>
          <w:shd w:val="clear" w:fill="FFFFFF"/>
          <w:lang w:val="en-US" w:eastAsia="zh-CN" w:bidi="ar-SA"/>
        </w:rPr>
        <w:t>特定目标类</w:t>
      </w:r>
      <w:r>
        <w:rPr>
          <w:rFonts w:hint="eastAsia" w:ascii="仿宋" w:hAnsi="仿宋" w:eastAsia="仿宋" w:cs="仿宋"/>
          <w:b w:val="0"/>
          <w:bCs w:val="0"/>
          <w:i w:val="0"/>
          <w:iCs w:val="0"/>
          <w:caps w:val="0"/>
          <w:color w:val="auto"/>
          <w:spacing w:val="0"/>
          <w:kern w:val="0"/>
          <w:sz w:val="32"/>
          <w:szCs w:val="32"/>
          <w:shd w:val="clear" w:fill="FFFFFF"/>
          <w:lang w:val="zh-CN" w:eastAsia="zh-CN" w:bidi="ar-SA"/>
        </w:rPr>
        <w:t>项目用于保障村级支出，及其他项目支出。我单位</w:t>
      </w:r>
      <w:r>
        <w:rPr>
          <w:rFonts w:hint="eastAsia" w:ascii="仿宋" w:hAnsi="仿宋" w:eastAsia="仿宋" w:cs="仿宋"/>
          <w:b w:val="0"/>
          <w:bCs w:val="0"/>
          <w:i w:val="0"/>
          <w:iCs w:val="0"/>
          <w:caps w:val="0"/>
          <w:color w:val="auto"/>
          <w:spacing w:val="0"/>
          <w:kern w:val="0"/>
          <w:sz w:val="32"/>
          <w:szCs w:val="32"/>
          <w:shd w:val="clear" w:fill="FFFFFF"/>
          <w:lang w:val="en-US" w:eastAsia="zh-CN" w:bidi="ar-SA"/>
        </w:rPr>
        <w:t>2022年特定目标类项目预算50065.51万元，实际支付50065.51万元，资金执行率100%，执行情况较好。</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 w:hAnsi="仿宋" w:eastAsia="仿宋" w:cs="仿宋"/>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（二）</w:t>
      </w:r>
      <w:r>
        <w:rPr>
          <w:rFonts w:hint="eastAsia" w:ascii="仿宋" w:hAnsi="仿宋" w:eastAsia="仿宋" w:cs="仿宋"/>
          <w:color w:val="000000"/>
          <w:kern w:val="0"/>
          <w:sz w:val="32"/>
          <w:szCs w:val="32"/>
          <w:shd w:val="clear" w:color="auto" w:fill="FFFFFF"/>
          <w:lang w:val="zh-CN"/>
        </w:rPr>
        <w:t>结果应用情况</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zh-CN" w:eastAsia="zh-CN"/>
        </w:rPr>
      </w:pPr>
      <w:r>
        <w:rPr>
          <w:rFonts w:hint="eastAsia" w:ascii="仿宋" w:hAnsi="仿宋" w:eastAsia="仿宋" w:cs="仿宋"/>
          <w:b w:val="0"/>
          <w:bCs w:val="0"/>
          <w:i w:val="0"/>
          <w:iCs w:val="0"/>
          <w:caps w:val="0"/>
          <w:color w:val="000000"/>
          <w:spacing w:val="0"/>
          <w:sz w:val="32"/>
          <w:szCs w:val="32"/>
          <w:shd w:val="clear" w:fill="FFFFFF"/>
          <w:lang w:val="zh-CN" w:eastAsia="zh-CN"/>
        </w:rPr>
        <w:t>建立绩效评价结果的反馈与整改、激励与问责制度，进一步完善绩效评价结果的反馈和运用机制，将绩效结果向社会逐步公布，进一步增强责任感和紧迫感。将评价结果作为安排以后年度预算的重要依据，将一些绩效评价结果不好的项目取消，切实发挥绩效评价工作的应有作用。</w:t>
      </w:r>
    </w:p>
    <w:p>
      <w:pPr>
        <w:pStyle w:val="16"/>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left="0" w:leftChars="0" w:right="0" w:firstLine="640" w:firstLineChars="200"/>
        <w:rPr>
          <w:rFonts w:hint="eastAsia" w:ascii="仿宋" w:hAnsi="仿宋" w:eastAsia="仿宋" w:cs="仿宋"/>
          <w:b w:val="0"/>
          <w:bCs w:val="0"/>
          <w:i w:val="0"/>
          <w:iCs w:val="0"/>
          <w:caps w:val="0"/>
          <w:color w:val="000000"/>
          <w:spacing w:val="0"/>
          <w:sz w:val="32"/>
          <w:szCs w:val="32"/>
          <w:shd w:val="clear" w:fill="FFFFFF"/>
          <w:lang w:val="zh-CN" w:eastAsia="zh-CN"/>
        </w:rPr>
      </w:pPr>
      <w:r>
        <w:rPr>
          <w:rFonts w:hint="eastAsia" w:ascii="仿宋" w:hAnsi="仿宋" w:eastAsia="仿宋" w:cs="仿宋"/>
          <w:b w:val="0"/>
          <w:bCs w:val="0"/>
          <w:i w:val="0"/>
          <w:iCs w:val="0"/>
          <w:caps w:val="0"/>
          <w:color w:val="000000"/>
          <w:spacing w:val="0"/>
          <w:sz w:val="32"/>
          <w:szCs w:val="32"/>
          <w:shd w:val="clear" w:fill="FFFFFF"/>
          <w:lang w:val="zh-CN" w:eastAsia="zh-CN"/>
        </w:rPr>
        <w:t>自评质量</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zh-CN" w:eastAsia="zh-CN"/>
        </w:rPr>
      </w:pPr>
      <w:r>
        <w:rPr>
          <w:rFonts w:hint="eastAsia" w:ascii="仿宋" w:hAnsi="仿宋" w:eastAsia="仿宋" w:cs="仿宋"/>
          <w:b w:val="0"/>
          <w:bCs w:val="0"/>
          <w:i w:val="0"/>
          <w:iCs w:val="0"/>
          <w:caps w:val="0"/>
          <w:color w:val="000000"/>
          <w:spacing w:val="0"/>
          <w:sz w:val="32"/>
          <w:szCs w:val="32"/>
          <w:shd w:val="clear" w:fill="FFFFFF"/>
          <w:lang w:val="zh-CN" w:eastAsia="zh-CN"/>
        </w:rPr>
        <w:t>绩效监控保障了我单位实现绩效目标、提高预算执行效率、提升资金使用效益，并能及时发现纠正绩效运行中存在的问题，确保了绩效目标全面、如期完成。</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黑体" w:hAnsi="黑体" w:eastAsia="黑体" w:cs="黑体"/>
          <w:b/>
          <w:bCs/>
          <w:color w:val="000000"/>
          <w:kern w:val="0"/>
          <w:sz w:val="32"/>
          <w:szCs w:val="32"/>
          <w:shd w:val="clear" w:color="auto" w:fill="FFFFFF"/>
        </w:rPr>
      </w:pPr>
      <w:r>
        <w:rPr>
          <w:rFonts w:hint="eastAsia" w:ascii="黑体" w:hAnsi="黑体" w:eastAsia="黑体" w:cs="黑体"/>
          <w:b/>
          <w:bCs/>
          <w:color w:val="000000"/>
          <w:kern w:val="0"/>
          <w:sz w:val="32"/>
          <w:szCs w:val="32"/>
          <w:shd w:val="clear" w:color="auto" w:fill="FFFFFF"/>
        </w:rPr>
        <w:t>四、评价结论及建议</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 w:hAnsi="仿宋" w:eastAsia="仿宋" w:cs="仿宋"/>
          <w:color w:val="000000"/>
          <w:kern w:val="0"/>
          <w:sz w:val="32"/>
          <w:szCs w:val="32"/>
          <w:shd w:val="clear" w:color="auto" w:fill="FFFFFF"/>
          <w:lang w:val="zh-CN"/>
        </w:rPr>
      </w:pPr>
      <w:r>
        <w:rPr>
          <w:rFonts w:hint="eastAsia" w:ascii="仿宋" w:hAnsi="仿宋" w:eastAsia="仿宋" w:cs="仿宋"/>
          <w:color w:val="000000"/>
          <w:kern w:val="0"/>
          <w:sz w:val="32"/>
          <w:szCs w:val="32"/>
          <w:shd w:val="clear" w:color="auto" w:fill="FFFFFF"/>
          <w:lang w:val="zh-CN"/>
        </w:rPr>
        <w:t>（一）评价结论。</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default"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根据部门整体支出绩效评价指标体系的自评结果，我局2022年度部门整体支出绩效自评得分为</w:t>
      </w:r>
      <w:r>
        <w:rPr>
          <w:rFonts w:hint="eastAsia" w:ascii="仿宋" w:hAnsi="仿宋" w:eastAsia="仿宋" w:cs="仿宋"/>
          <w:b w:val="0"/>
          <w:bCs w:val="0"/>
          <w:i w:val="0"/>
          <w:iCs w:val="0"/>
          <w:caps w:val="0"/>
          <w:color w:val="000000"/>
          <w:spacing w:val="0"/>
          <w:sz w:val="32"/>
          <w:szCs w:val="32"/>
          <w:highlight w:val="none"/>
          <w:shd w:val="clear" w:fill="FFFFFF"/>
          <w:lang w:val="en-US" w:eastAsia="zh-CN"/>
        </w:rPr>
        <w:t>98</w:t>
      </w:r>
      <w:r>
        <w:rPr>
          <w:rFonts w:hint="eastAsia" w:ascii="仿宋" w:hAnsi="仿宋" w:eastAsia="仿宋" w:cs="仿宋"/>
          <w:b w:val="0"/>
          <w:bCs w:val="0"/>
          <w:i w:val="0"/>
          <w:iCs w:val="0"/>
          <w:caps w:val="0"/>
          <w:color w:val="000000"/>
          <w:spacing w:val="0"/>
          <w:sz w:val="32"/>
          <w:szCs w:val="32"/>
          <w:shd w:val="clear" w:fill="FFFFFF"/>
          <w:lang w:val="en-US" w:eastAsia="zh-CN"/>
        </w:rPr>
        <w:t>分。</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1. 本年我局预算配置控制较好。财政供养人员控制在预算编制以内，编制内在职人员控制率小于100%。</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2. 预算执行方面。支出总额控制在预算总额以内，预算管理方面，制度执行总体较为有效，仍需进一步强化；资金使用管理需进一步加强。</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3、资产管理方面，建立了资产管理制度，指定了专人对资产进行管理，定期对资产进行盘点和清理，总体执行较好。</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效率性评价和有效性评价。我局预算安排的基本支出保障了正常的工作运转，在预算执行上是严格遵守各项财经纪律的；在资金的管理和使用上，严守法律底线、纪律底线、道德底线。</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200"/>
        <w:contextualSpacing/>
        <w:jc w:val="left"/>
        <w:textAlignment w:val="auto"/>
        <w:rPr>
          <w:rFonts w:hint="eastAsia" w:ascii="仿宋" w:hAnsi="仿宋" w:eastAsia="仿宋" w:cs="仿宋"/>
          <w:color w:val="000000"/>
          <w:kern w:val="0"/>
          <w:sz w:val="32"/>
          <w:szCs w:val="32"/>
          <w:shd w:val="clear" w:color="auto" w:fill="FFFFFF"/>
          <w:lang w:val="zh-CN"/>
        </w:rPr>
      </w:pPr>
      <w:r>
        <w:rPr>
          <w:rFonts w:hint="eastAsia" w:ascii="仿宋" w:hAnsi="仿宋" w:eastAsia="仿宋" w:cs="仿宋"/>
          <w:color w:val="000000"/>
          <w:kern w:val="0"/>
          <w:sz w:val="32"/>
          <w:szCs w:val="32"/>
          <w:shd w:val="clear" w:color="auto" w:fill="FFFFFF"/>
          <w:lang w:val="zh-CN"/>
        </w:rPr>
        <w:t>（二）存在问题。</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lang w:val="zh-CN"/>
        </w:rPr>
      </w:pPr>
      <w:r>
        <w:rPr>
          <w:rFonts w:hint="eastAsia" w:ascii="仿宋" w:hAnsi="仿宋" w:eastAsia="仿宋" w:cs="仿宋"/>
          <w:b w:val="0"/>
          <w:bCs w:val="0"/>
          <w:i w:val="0"/>
          <w:iCs w:val="0"/>
          <w:caps w:val="0"/>
          <w:color w:val="000000"/>
          <w:spacing w:val="0"/>
          <w:sz w:val="32"/>
          <w:szCs w:val="32"/>
          <w:shd w:val="clear" w:fill="FFFFFF"/>
          <w:lang w:val="en-US" w:eastAsia="zh-CN"/>
        </w:rPr>
        <w:t>通过绩效评价工作的逐步推进，我局已逐步树立了绩效理念，对预算计算评价工作的态度由“被动接受”变为“主动实施”，但了解还不够深入，对单位绩效重视程度不高，相关职责部门协同配合不够，往往只能由财务部门提供有限的财经资料或简单的工作计划、工作总结，绩效评价工作资料非常有限，内容粗浅。</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outlineLvl w:val="9"/>
        <w:rPr>
          <w:rFonts w:hint="eastAsia" w:ascii="仿宋" w:hAnsi="仿宋" w:eastAsia="仿宋" w:cs="仿宋"/>
          <w:color w:val="000000"/>
          <w:kern w:val="0"/>
          <w:sz w:val="32"/>
          <w:szCs w:val="32"/>
          <w:shd w:val="clear" w:color="auto" w:fill="FFFFFF"/>
          <w:lang w:val="zh-CN"/>
        </w:rPr>
      </w:pPr>
      <w:r>
        <w:rPr>
          <w:rFonts w:hint="eastAsia" w:ascii="仿宋" w:hAnsi="仿宋" w:eastAsia="仿宋" w:cs="仿宋"/>
          <w:color w:val="000000"/>
          <w:kern w:val="0"/>
          <w:sz w:val="32"/>
          <w:szCs w:val="32"/>
          <w:shd w:val="clear" w:color="auto" w:fill="FFFFFF"/>
          <w:lang w:val="zh-CN"/>
        </w:rPr>
        <w:t>（三）改进建议。</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1、 细化预算编制工作，认真做好预算的编制。进一步加强单位内部机构各部门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2、加强财务管理，严格财务审核。在费用报账支付时，按照预算规定的费用项目和用途进行资金使用审核、列报支付、财务核算，杜绝超支现象的发生。</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3、持续抓好“三公”经费控制管理。严格控制“三公”经费的规模和比例，把关“三公”经费支出的审核、审批，杜绝挪用和挤占其他预算资金行为；进一步细化“三公”经费的管理，合理压缩“三公”经费支出。</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r>
        <w:rPr>
          <w:rFonts w:hint="eastAsia" w:ascii="仿宋" w:hAnsi="仿宋" w:eastAsia="仿宋" w:cs="仿宋"/>
          <w:b w:val="0"/>
          <w:bCs w:val="0"/>
          <w:i w:val="0"/>
          <w:iCs w:val="0"/>
          <w:caps w:val="0"/>
          <w:color w:val="000000"/>
          <w:spacing w:val="0"/>
          <w:sz w:val="32"/>
          <w:szCs w:val="32"/>
          <w:shd w:val="clear" w:fill="FFFFFF"/>
          <w:lang w:val="en-US" w:eastAsia="zh-CN"/>
        </w:rPr>
        <w:t>4、加强项目开展进度的跟踪，开展项目绩效评价，确保项目绩效目标的完成。</w:t>
      </w:r>
    </w:p>
    <w:p>
      <w:pPr>
        <w:spacing w:line="576" w:lineRule="exact"/>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2022年度专项预算项目支出绩效自评报告</w:t>
      </w:r>
    </w:p>
    <w:p>
      <w:pPr>
        <w:spacing w:line="576"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（剑阁县城镇污水处理设施新建及改造项目）</w:t>
      </w:r>
    </w:p>
    <w:p>
      <w:pPr>
        <w:pStyle w:val="2"/>
        <w:ind w:firstLine="656"/>
        <w:rPr>
          <w:rFonts w:hint="eastAsia"/>
        </w:rPr>
      </w:pPr>
    </w:p>
    <w:p>
      <w:pPr>
        <w:spacing w:line="540" w:lineRule="exact"/>
        <w:ind w:firstLine="643" w:firstLineChars="200"/>
        <w:rPr>
          <w:rFonts w:hint="eastAsia" w:ascii="黑体" w:hAnsi="黑体" w:eastAsia="黑体" w:cs="黑体"/>
          <w:b/>
          <w:bCs/>
          <w:sz w:val="32"/>
          <w:szCs w:val="32"/>
          <w:lang w:val="zh-CN"/>
        </w:rPr>
      </w:pPr>
      <w:r>
        <w:rPr>
          <w:rFonts w:hint="eastAsia" w:ascii="黑体" w:hAnsi="黑体" w:eastAsia="黑体" w:cs="黑体"/>
          <w:b/>
          <w:bCs/>
          <w:sz w:val="32"/>
          <w:szCs w:val="32"/>
          <w:lang w:val="zh-CN"/>
        </w:rPr>
        <w:t>一、项目概况</w:t>
      </w:r>
    </w:p>
    <w:p>
      <w:pPr>
        <w:spacing w:line="540" w:lineRule="exact"/>
        <w:ind w:firstLine="643" w:firstLineChars="200"/>
        <w:jc w:val="left"/>
        <w:rPr>
          <w:rFonts w:ascii="仿宋_GB2312" w:hAnsi="仿宋_GB2312" w:eastAsia="仿宋_GB2312" w:cs="仿宋_GB2312"/>
          <w:sz w:val="32"/>
          <w:szCs w:val="32"/>
        </w:rPr>
      </w:pPr>
      <w:r>
        <w:rPr>
          <w:rFonts w:hint="eastAsia" w:ascii="楷体_GB2312" w:hAnsi="楷体_GB2312" w:eastAsia="楷体_GB2312" w:cs="楷体_GB2312"/>
          <w:b/>
          <w:bCs/>
          <w:sz w:val="32"/>
          <w:szCs w:val="32"/>
          <w:lang w:val="zh-CN"/>
        </w:rPr>
        <w:t>（一）项目资金申报及批复情况。</w:t>
      </w:r>
      <w:r>
        <w:rPr>
          <w:rFonts w:hint="eastAsia" w:ascii="仿宋_GB2312" w:hAnsi="仿宋_GB2312" w:eastAsia="仿宋_GB2312" w:cs="仿宋_GB2312"/>
          <w:sz w:val="32"/>
          <w:szCs w:val="32"/>
        </w:rPr>
        <w:t>2020年11月17日，该项目经剑阁县发展和改革局批复立项（剑</w:t>
      </w:r>
      <w:r>
        <w:rPr>
          <w:rFonts w:hint="eastAsia" w:ascii="仿宋_GB2312" w:hAnsi="仿宋_GB2312" w:eastAsia="仿宋_GB2312" w:cs="仿宋_GB2312"/>
          <w:sz w:val="32"/>
          <w:szCs w:val="32"/>
          <w:lang w:eastAsia="zh-CN"/>
        </w:rPr>
        <w:t>发改委</w:t>
      </w:r>
      <w:r>
        <w:rPr>
          <w:rFonts w:hint="eastAsia" w:ascii="仿宋_GB2312" w:hAnsi="仿宋_GB2312" w:eastAsia="仿宋_GB2312" w:cs="仿宋_GB2312"/>
          <w:sz w:val="32"/>
          <w:szCs w:val="32"/>
        </w:rPr>
        <w:t>〔2020〕336号），2021年3月，项目“两评一案”评审合格，项目纳入地方政府专项债发行库。该项目资金符合地方政府专项债券资金管理办法等相关规定。</w:t>
      </w:r>
    </w:p>
    <w:p>
      <w:pPr>
        <w:spacing w:line="540" w:lineRule="exact"/>
        <w:ind w:firstLine="643" w:firstLineChars="200"/>
        <w:rPr>
          <w:rFonts w:hint="eastAsia"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（二）项目绩效目标。</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项目主要内容。</w:t>
      </w:r>
      <w:r>
        <w:rPr>
          <w:rFonts w:hint="eastAsia" w:ascii="仿宋_GB2312" w:hAnsi="仿宋_GB2312" w:eastAsia="仿宋_GB2312" w:cs="仿宋_GB2312"/>
          <w:sz w:val="32"/>
          <w:szCs w:val="32"/>
        </w:rPr>
        <w:t>该项目分两期建设，一期在木马镇等7个建制镇新建污水处理设施7座，配套污水管网28.3km；二期对县城污水处理厂现有设备设施予以更新、改造，并对老城区（沙溪坝片区）等点位管网进行新改建。</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项目绩效目标。</w:t>
      </w:r>
      <w:r>
        <w:rPr>
          <w:rFonts w:hint="eastAsia" w:ascii="仿宋_GB2312" w:hAnsi="仿宋_GB2312" w:eastAsia="仿宋_GB2312" w:cs="仿宋_GB2312"/>
          <w:sz w:val="32"/>
          <w:szCs w:val="32"/>
        </w:rPr>
        <w:t>数量指标：新建污水处理厂7座，配套污水管网28.3km，提标升级改造污水处理厂1座，对县城区翠云大道等点位管网进行了新改建。质量指标：验收合格。时效指标：项目到期完成率100%。成本指标：项目总投资控制在1.7亿元以内。经济效益指标：助推旅游业，带动经济发展。社会效益指标：实现全县建制镇污水处理设施全覆盖，改善人居环境。生态效益指标：项目区域生态环境明显改善。受益群众满意度≥90%。</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3.项目实施进度计划。2021年5月开工建设，2022年12月完工并投入使用。</w:t>
      </w:r>
    </w:p>
    <w:p>
      <w:pPr>
        <w:spacing w:line="540" w:lineRule="exact"/>
        <w:ind w:firstLine="643" w:firstLineChars="200"/>
        <w:rPr>
          <w:rFonts w:hint="eastAsia" w:ascii="仿宋_GB2312" w:hAnsi="仿宋_GB2312" w:eastAsia="仿宋_GB2312" w:cs="仿宋_GB2312"/>
          <w:sz w:val="32"/>
          <w:szCs w:val="32"/>
          <w:lang w:val="zh-CN"/>
        </w:rPr>
      </w:pPr>
      <w:r>
        <w:rPr>
          <w:rFonts w:hint="eastAsia" w:ascii="楷体_GB2312" w:hAnsi="楷体_GB2312" w:eastAsia="楷体_GB2312" w:cs="楷体_GB2312"/>
          <w:b/>
          <w:bCs/>
          <w:sz w:val="32"/>
          <w:szCs w:val="32"/>
          <w:lang w:val="zh-CN"/>
        </w:rPr>
        <w:t>（三）项目资金申报相符性。</w:t>
      </w:r>
      <w:r>
        <w:rPr>
          <w:rFonts w:hint="eastAsia" w:ascii="仿宋_GB2312" w:hAnsi="仿宋_GB2312" w:eastAsia="仿宋_GB2312" w:cs="仿宋_GB2312"/>
          <w:sz w:val="32"/>
          <w:szCs w:val="32"/>
          <w:lang w:val="zh-CN"/>
        </w:rPr>
        <w:t>申报内容与实际相符，产出指标、效益指标和满意度指标设置合理，申报目标可行。</w:t>
      </w:r>
    </w:p>
    <w:p>
      <w:pPr>
        <w:spacing w:line="540" w:lineRule="exact"/>
        <w:ind w:firstLine="643" w:firstLineChars="200"/>
        <w:rPr>
          <w:rFonts w:hint="eastAsia" w:ascii="黑体" w:hAnsi="黑体" w:eastAsia="黑体" w:cs="黑体"/>
          <w:b/>
          <w:bCs/>
          <w:sz w:val="32"/>
          <w:szCs w:val="32"/>
          <w:lang w:val="zh-CN"/>
        </w:rPr>
      </w:pPr>
      <w:r>
        <w:rPr>
          <w:rFonts w:hint="eastAsia" w:ascii="黑体" w:hAnsi="黑体" w:eastAsia="黑体" w:cs="黑体"/>
          <w:b/>
          <w:bCs/>
          <w:sz w:val="32"/>
          <w:szCs w:val="32"/>
        </w:rPr>
        <w:t>二</w:t>
      </w:r>
      <w:r>
        <w:rPr>
          <w:rFonts w:hint="eastAsia" w:ascii="黑体" w:hAnsi="黑体" w:eastAsia="黑体" w:cs="黑体"/>
          <w:b/>
          <w:bCs/>
          <w:sz w:val="32"/>
          <w:szCs w:val="32"/>
          <w:lang w:val="zh-CN"/>
        </w:rPr>
        <w:t>、项目实施及管理情况</w:t>
      </w:r>
    </w:p>
    <w:p>
      <w:pPr>
        <w:spacing w:line="540" w:lineRule="exact"/>
        <w:ind w:firstLine="643" w:firstLineChars="200"/>
        <w:rPr>
          <w:rFonts w:hint="eastAsia"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（一）资金计划、到位及使用情况。</w:t>
      </w:r>
    </w:p>
    <w:p>
      <w:pPr>
        <w:spacing w:line="540" w:lineRule="exact"/>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资金计划及到位。项目建设计划总投资</w:t>
      </w:r>
      <w:r>
        <w:rPr>
          <w:rFonts w:hint="eastAsia" w:ascii="仿宋_GB2312" w:hAnsi="仿宋_GB2312" w:eastAsia="仿宋_GB2312" w:cs="仿宋_GB2312"/>
          <w:sz w:val="32"/>
          <w:szCs w:val="32"/>
        </w:rPr>
        <w:t>17414.23万元，</w:t>
      </w:r>
      <w:r>
        <w:rPr>
          <w:rFonts w:hint="eastAsia" w:ascii="仿宋_GB2312" w:eastAsia="仿宋_GB2312"/>
          <w:sz w:val="32"/>
          <w:szCs w:val="32"/>
        </w:rPr>
        <w:t>资金来源为争取中央和省级预算资金、发行地方政府专项债券、地方配套。项目</w:t>
      </w:r>
      <w:r>
        <w:rPr>
          <w:rFonts w:hint="eastAsia" w:ascii="仿宋_GB2312" w:hAnsi="仿宋_GB2312" w:eastAsia="仿宋_GB2312" w:cs="仿宋_GB2312"/>
          <w:sz w:val="32"/>
          <w:szCs w:val="32"/>
        </w:rPr>
        <w:t>申报了地方政府专项债券资金10000万元。</w:t>
      </w:r>
      <w:r>
        <w:rPr>
          <w:rFonts w:hint="eastAsia" w:ascii="仿宋_GB2312" w:eastAsia="仿宋_GB2312"/>
          <w:sz w:val="32"/>
          <w:szCs w:val="32"/>
        </w:rPr>
        <w:t>2021年该项目到位专项债券资金3000万元，已拨付使用3000万元；2022年到位4800万元，已拨付使用4800万元</w:t>
      </w:r>
      <w:r>
        <w:rPr>
          <w:rFonts w:hint="eastAsia" w:ascii="仿宋_GB2312" w:hAnsi="仿宋_GB2312" w:eastAsia="仿宋_GB2312" w:cs="仿宋_GB2312"/>
          <w:sz w:val="32"/>
          <w:szCs w:val="32"/>
          <w:lang w:val="zh-CN"/>
        </w:rPr>
        <w:t>。</w:t>
      </w:r>
    </w:p>
    <w:p>
      <w:pPr>
        <w:spacing w:line="540" w:lineRule="exact"/>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资金使用。截至评价时点，2022年下达的专项债券资金4800万元已拨付使用完毕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资金支付范围、支付标准、支付进度、支付依据合规合法、与预算相符。</w:t>
      </w:r>
    </w:p>
    <w:p>
      <w:pPr>
        <w:spacing w:line="54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二</w:t>
      </w:r>
      <w:r>
        <w:rPr>
          <w:rFonts w:hint="eastAsia" w:ascii="楷体_GB2312" w:hAnsi="楷体_GB2312" w:eastAsia="楷体_GB2312" w:cs="楷体_GB2312"/>
          <w:b/>
          <w:bCs/>
          <w:sz w:val="32"/>
          <w:szCs w:val="32"/>
          <w:lang w:val="zh-CN"/>
        </w:rPr>
        <w:t>）项目财务管理情况。</w:t>
      </w:r>
      <w:r>
        <w:rPr>
          <w:rFonts w:hint="eastAsia" w:ascii="仿宋_GB2312" w:hAnsi="仿宋_GB2312" w:eastAsia="仿宋_GB2312" w:cs="仿宋_GB2312"/>
          <w:sz w:val="32"/>
          <w:szCs w:val="32"/>
        </w:rPr>
        <w:t>严格执行《</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预算法》《四川省地方政府债券资金管理暂行办法》等法律法规和相关规定，本项目地方政府专项债券资金设立县财政局、县住建局、剑阁剑州国有投资有限公司和农业银行四方监管账户，实行专户储存、专款专用。县财政将资金预算给县住建局，县住建局拨付给剑阁剑州国有投资有限公司，由剑阁剑州国有投资有限公司开展资金支付、会计核算和账务处理。项目严格执行财务管理制度、财务处理及时、会计核算规范。</w:t>
      </w:r>
    </w:p>
    <w:p>
      <w:pPr>
        <w:spacing w:line="54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三</w:t>
      </w:r>
      <w:r>
        <w:rPr>
          <w:rFonts w:hint="eastAsia" w:ascii="楷体_GB2312" w:hAnsi="楷体_GB2312" w:eastAsia="楷体_GB2312" w:cs="楷体_GB2312"/>
          <w:b/>
          <w:bCs/>
          <w:sz w:val="32"/>
          <w:szCs w:val="32"/>
          <w:lang w:val="zh-CN"/>
        </w:rPr>
        <w:t>）项目组织实施情况。</w:t>
      </w:r>
      <w:r>
        <w:rPr>
          <w:rFonts w:hint="eastAsia" w:ascii="仿宋_GB2312" w:hAnsi="仿宋_GB2312" w:eastAsia="仿宋_GB2312" w:cs="仿宋_GB2312"/>
          <w:sz w:val="32"/>
          <w:szCs w:val="32"/>
          <w:lang w:val="zh-CN"/>
        </w:rPr>
        <w:t>项目业主单位是剑阁剑州国有投资有限公司，主管部门是剑阁县住建局，</w:t>
      </w:r>
      <w:r>
        <w:rPr>
          <w:rFonts w:hint="eastAsia" w:ascii="仿宋_GB2312" w:hAnsi="仿宋_GB2312" w:eastAsia="仿宋_GB2312" w:cs="仿宋_GB2312"/>
          <w:sz w:val="32"/>
          <w:szCs w:val="32"/>
        </w:rPr>
        <w:t>结合实际情况，项目由县住建局代建</w:t>
      </w:r>
      <w:r>
        <w:rPr>
          <w:rFonts w:hint="eastAsia" w:ascii="仿宋_GB2312" w:hAnsi="仿宋_GB2312" w:eastAsia="仿宋_GB2312" w:cs="仿宋_GB2312"/>
          <w:sz w:val="32"/>
          <w:szCs w:val="32"/>
          <w:lang w:val="zh-CN"/>
        </w:rPr>
        <w:t>，负责项目可研报告编制、立项审批、项目组织实施、竣工结算和全过程绩效管理工作。</w:t>
      </w:r>
      <w:r>
        <w:rPr>
          <w:rFonts w:hint="eastAsia" w:ascii="仿宋_GB2312" w:hAnsi="仿宋_GB2312" w:eastAsia="仿宋_GB2312" w:cs="仿宋_GB2312"/>
          <w:sz w:val="32"/>
          <w:szCs w:val="32"/>
        </w:rPr>
        <w:t>县委县政府专题研究项目推进工作，各相关部门及乡镇成立工作专班，统筹协调、明确责任，并委派现场代表</w:t>
      </w:r>
      <w:r>
        <w:rPr>
          <w:rFonts w:hint="eastAsia" w:ascii="仿宋_GB2312" w:hAnsi="仿宋_GB2312" w:eastAsia="仿宋_GB2312" w:cs="仿宋_GB2312"/>
          <w:sz w:val="32"/>
          <w:szCs w:val="32"/>
          <w:lang w:eastAsia="zh-CN"/>
        </w:rPr>
        <w:t>常驻</w:t>
      </w:r>
      <w:r>
        <w:rPr>
          <w:rFonts w:hint="eastAsia" w:ascii="仿宋_GB2312" w:hAnsi="仿宋_GB2312" w:eastAsia="仿宋_GB2312" w:cs="仿宋_GB2312"/>
          <w:sz w:val="32"/>
          <w:szCs w:val="32"/>
        </w:rPr>
        <w:t>施工现场，实行项目全程质量、安全、进度管控。</w:t>
      </w:r>
      <w:r>
        <w:rPr>
          <w:rFonts w:hint="eastAsia" w:ascii="仿宋_GB2312" w:hAnsi="仿宋_GB2312" w:eastAsia="仿宋_GB2312" w:cs="仿宋_GB2312"/>
          <w:sz w:val="32"/>
          <w:szCs w:val="32"/>
          <w:lang w:val="zh-CN"/>
        </w:rPr>
        <w:t>建立健全了《项目管理制度》，</w:t>
      </w:r>
      <w:r>
        <w:rPr>
          <w:rFonts w:hint="eastAsia" w:ascii="仿宋_GB2312" w:hAnsi="仿宋_GB2312" w:eastAsia="仿宋_GB2312" w:cs="仿宋_GB2312"/>
          <w:sz w:val="32"/>
          <w:szCs w:val="32"/>
        </w:rPr>
        <w:t>严格执行招投标、政府采购等法律法规和规章制度，项目基本建设程序执行严格，项目实施过程中未发生违规违纪问题。</w:t>
      </w:r>
    </w:p>
    <w:p>
      <w:pPr>
        <w:spacing w:line="540" w:lineRule="exact"/>
        <w:ind w:firstLine="643" w:firstLineChars="200"/>
        <w:rPr>
          <w:rFonts w:hint="eastAsia" w:ascii="黑体" w:hAnsi="黑体" w:eastAsia="黑体" w:cs="黑体"/>
          <w:b/>
          <w:bCs/>
          <w:sz w:val="32"/>
          <w:szCs w:val="32"/>
          <w:lang w:val="zh-CN"/>
        </w:rPr>
      </w:pPr>
      <w:r>
        <w:rPr>
          <w:rFonts w:hint="eastAsia" w:ascii="黑体" w:hAnsi="黑体" w:eastAsia="黑体" w:cs="黑体"/>
          <w:b/>
          <w:bCs/>
          <w:sz w:val="32"/>
          <w:szCs w:val="32"/>
        </w:rPr>
        <w:t>三</w:t>
      </w:r>
      <w:r>
        <w:rPr>
          <w:rFonts w:hint="eastAsia" w:ascii="黑体" w:hAnsi="黑体" w:eastAsia="黑体" w:cs="黑体"/>
          <w:b/>
          <w:bCs/>
          <w:sz w:val="32"/>
          <w:szCs w:val="32"/>
          <w:lang w:val="zh-CN"/>
        </w:rPr>
        <w:t>、项目绩效情况</w:t>
      </w:r>
      <w:r>
        <w:rPr>
          <w:rFonts w:hint="eastAsia" w:ascii="黑体" w:hAnsi="黑体" w:eastAsia="黑体" w:cs="黑体"/>
          <w:b/>
          <w:bCs/>
          <w:sz w:val="32"/>
          <w:szCs w:val="32"/>
          <w:lang w:val="zh-CN"/>
        </w:rPr>
        <w:tab/>
      </w:r>
    </w:p>
    <w:p>
      <w:pPr>
        <w:spacing w:line="540" w:lineRule="exact"/>
        <w:ind w:firstLine="643" w:firstLineChars="200"/>
        <w:rPr>
          <w:rFonts w:hint="eastAsia"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（一）项目完成情况。</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1.数量指标。</w:t>
      </w:r>
      <w:r>
        <w:rPr>
          <w:rFonts w:hint="eastAsia" w:ascii="仿宋_GB2312" w:hAnsi="仿宋_GB2312" w:eastAsia="仿宋_GB2312" w:cs="仿宋_GB2312"/>
          <w:sz w:val="32"/>
          <w:szCs w:val="32"/>
        </w:rPr>
        <w:t>数量指标：新建污水处理厂7座，配套污水管网28.3km，提标升级改造污水处理厂1座，对县城区翠云大道等点位管网进行了新改建。</w:t>
      </w:r>
    </w:p>
    <w:p>
      <w:pPr>
        <w:spacing w:line="540" w:lineRule="exact"/>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2.质量指标。</w:t>
      </w:r>
      <w:r>
        <w:rPr>
          <w:rFonts w:hint="eastAsia" w:ascii="仿宋_GB2312" w:hAnsi="仿宋_GB2312" w:eastAsia="仿宋_GB2312" w:cs="仿宋_GB2312"/>
          <w:sz w:val="32"/>
          <w:szCs w:val="32"/>
        </w:rPr>
        <w:t>项目质量</w:t>
      </w:r>
      <w:r>
        <w:rPr>
          <w:rFonts w:hint="eastAsia" w:ascii="仿宋_GB2312" w:hAnsi="仿宋_GB2312" w:eastAsia="仿宋_GB2312" w:cs="仿宋_GB2312"/>
          <w:sz w:val="32"/>
          <w:szCs w:val="32"/>
          <w:lang w:val="zh-CN"/>
        </w:rPr>
        <w:t>验收合格。</w:t>
      </w:r>
    </w:p>
    <w:p>
      <w:pPr>
        <w:spacing w:line="540" w:lineRule="exact"/>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3.时效指标。项目建设任务到期完成率100%。</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4.成本指标。项目总投资可控。</w:t>
      </w:r>
    </w:p>
    <w:p>
      <w:pPr>
        <w:spacing w:line="540" w:lineRule="exact"/>
        <w:ind w:firstLine="643" w:firstLineChars="200"/>
        <w:rPr>
          <w:rFonts w:hint="eastAsia"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（二）项目效益情况。</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1.经济效益指标：助推旅游业，带动经济发展。</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2.社会效益指标：实现全县建制镇污水处理设施全覆盖，改善人居环境。</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3.生态效益指标：项目区域生态环境明显改善。</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项目建设的社会、生态效益全面达标。受益群众满意度90%以上。</w:t>
      </w:r>
    </w:p>
    <w:p>
      <w:pPr>
        <w:spacing w:line="54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四、评价结论</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剑阁县城镇污水处理设施新建及改造项目点多面广，该项目2022年产出、效益和满意度等</w:t>
      </w:r>
      <w:r>
        <w:rPr>
          <w:rFonts w:hint="eastAsia" w:ascii="仿宋_GB2312" w:hAnsi="仿宋_GB2312" w:eastAsia="仿宋_GB2312" w:cs="仿宋_GB2312"/>
          <w:sz w:val="32"/>
          <w:szCs w:val="32"/>
          <w:lang w:val="zh-CN"/>
        </w:rPr>
        <w:t>绩效评价指标</w:t>
      </w:r>
      <w:r>
        <w:rPr>
          <w:rFonts w:hint="eastAsia" w:ascii="仿宋_GB2312" w:hAnsi="仿宋_GB2312" w:eastAsia="仿宋_GB2312" w:cs="仿宋_GB2312"/>
          <w:sz w:val="32"/>
          <w:szCs w:val="32"/>
        </w:rPr>
        <w:t>基本完成，预算执行100%，绩效自评得分98分，自评结论合格。</w:t>
      </w:r>
    </w:p>
    <w:p>
      <w:pPr>
        <w:spacing w:line="540" w:lineRule="exact"/>
        <w:ind w:firstLine="640" w:firstLineChars="200"/>
        <w:rPr>
          <w:rFonts w:hint="eastAsia" w:ascii="仿宋_GB2312" w:hAnsi="仿宋_GB2312" w:eastAsia="仿宋_GB2312" w:cs="仿宋_GB2312"/>
          <w:sz w:val="32"/>
          <w:szCs w:val="32"/>
        </w:rPr>
      </w:pPr>
    </w:p>
    <w:p>
      <w:pPr>
        <w:pStyle w:val="7"/>
        <w:rPr>
          <w:rFonts w:hint="eastAsia" w:ascii="仿宋_GB2312" w:hAnsi="仿宋_GB2312" w:eastAsia="仿宋_GB2312" w:cs="仿宋_GB2312"/>
          <w:color w:val="auto"/>
          <w:kern w:val="2"/>
          <w:sz w:val="32"/>
          <w:szCs w:val="32"/>
          <w:lang w:val="en-US" w:eastAsia="zh-CN" w:bidi="ar-SA"/>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95" w:lineRule="atLeast"/>
        <w:ind w:right="0" w:firstLine="640" w:firstLineChars="200"/>
        <w:rPr>
          <w:rFonts w:hint="eastAsia" w:ascii="仿宋" w:hAnsi="仿宋" w:eastAsia="仿宋" w:cs="仿宋"/>
          <w:b w:val="0"/>
          <w:bCs w:val="0"/>
          <w:i w:val="0"/>
          <w:iCs w:val="0"/>
          <w:caps w:val="0"/>
          <w:color w:val="000000"/>
          <w:spacing w:val="0"/>
          <w:sz w:val="32"/>
          <w:szCs w:val="32"/>
          <w:shd w:val="clear" w:fill="FFFFFF"/>
          <w:lang w:val="en-US" w:eastAsia="zh-CN"/>
        </w:rPr>
      </w:pPr>
    </w:p>
    <w:bookmarkEnd w:id="93"/>
    <w:bookmarkEnd w:id="94"/>
    <w:bookmarkEnd w:id="95"/>
    <w:p>
      <w:pPr>
        <w:spacing w:line="600" w:lineRule="exact"/>
        <w:jc w:val="center"/>
        <w:outlineLvl w:val="0"/>
        <w:rPr>
          <w:rFonts w:ascii="仿宋" w:hAnsi="仿宋" w:eastAsia="仿宋"/>
        </w:rPr>
      </w:pPr>
      <w:r>
        <w:rPr>
          <w:rFonts w:hint="eastAsia" w:ascii="黑体" w:hAnsi="黑体" w:eastAsia="黑体"/>
          <w:sz w:val="44"/>
          <w:szCs w:val="44"/>
        </w:rPr>
        <w:t>第</w:t>
      </w:r>
      <w:r>
        <w:rPr>
          <w:rStyle w:val="31"/>
          <w:rFonts w:hint="eastAsia" w:ascii="黑体" w:hAnsi="黑体" w:eastAsia="黑体"/>
          <w:b w:val="0"/>
        </w:rPr>
        <w:t>五部分 附表</w:t>
      </w:r>
    </w:p>
    <w:p>
      <w:pPr>
        <w:pStyle w:val="5"/>
        <w:rPr>
          <w:rFonts w:ascii="仿宋" w:hAnsi="仿宋" w:eastAsia="仿宋"/>
        </w:rPr>
      </w:pPr>
      <w:r>
        <w:rPr>
          <w:rFonts w:hint="eastAsia" w:ascii="仿宋" w:hAnsi="仿宋" w:eastAsia="仿宋"/>
          <w:b w:val="0"/>
        </w:rPr>
        <w:t>一、收</w:t>
      </w:r>
      <w:r>
        <w:rPr>
          <w:rStyle w:val="32"/>
          <w:rFonts w:hint="eastAsia" w:ascii="仿宋" w:hAnsi="仿宋" w:eastAsia="仿宋"/>
          <w:b w:val="0"/>
          <w:bCs w:val="0"/>
        </w:rPr>
        <w:t>入支出决算总表</w:t>
      </w:r>
    </w:p>
    <w:p>
      <w:pPr>
        <w:pStyle w:val="5"/>
        <w:rPr>
          <w:rFonts w:ascii="仿宋" w:hAnsi="仿宋" w:eastAsia="仿宋"/>
        </w:rPr>
      </w:pPr>
      <w:bookmarkStart w:id="96" w:name="_Toc15396620"/>
      <w:r>
        <w:rPr>
          <w:rFonts w:hint="eastAsia" w:ascii="仿宋" w:hAnsi="仿宋" w:eastAsia="仿宋"/>
          <w:b w:val="0"/>
        </w:rPr>
        <w:t>二、收</w:t>
      </w:r>
      <w:r>
        <w:rPr>
          <w:rStyle w:val="32"/>
          <w:rFonts w:hint="eastAsia" w:ascii="仿宋" w:hAnsi="仿宋" w:eastAsia="仿宋"/>
          <w:b w:val="0"/>
          <w:bCs w:val="0"/>
        </w:rPr>
        <w:t>入决算表</w:t>
      </w:r>
      <w:bookmarkEnd w:id="96"/>
    </w:p>
    <w:p>
      <w:pPr>
        <w:pStyle w:val="5"/>
        <w:rPr>
          <w:rFonts w:ascii="仿宋" w:hAnsi="仿宋" w:eastAsia="仿宋"/>
        </w:rPr>
      </w:pPr>
      <w:bookmarkStart w:id="97" w:name="_Toc15396621"/>
      <w:r>
        <w:rPr>
          <w:rStyle w:val="32"/>
          <w:rFonts w:hint="eastAsia" w:ascii="仿宋" w:hAnsi="仿宋" w:eastAsia="仿宋"/>
          <w:b w:val="0"/>
          <w:bCs w:val="0"/>
        </w:rPr>
        <w:t>三、</w:t>
      </w:r>
      <w:r>
        <w:rPr>
          <w:rFonts w:hint="eastAsia" w:ascii="仿宋" w:hAnsi="仿宋" w:eastAsia="仿宋"/>
          <w:b w:val="0"/>
        </w:rPr>
        <w:t>支</w:t>
      </w:r>
      <w:r>
        <w:rPr>
          <w:rStyle w:val="32"/>
          <w:rFonts w:hint="eastAsia" w:ascii="仿宋" w:hAnsi="仿宋" w:eastAsia="仿宋"/>
          <w:b w:val="0"/>
          <w:bCs w:val="0"/>
        </w:rPr>
        <w:t>出决算表</w:t>
      </w:r>
      <w:bookmarkEnd w:id="97"/>
    </w:p>
    <w:p>
      <w:pPr>
        <w:pStyle w:val="5"/>
        <w:rPr>
          <w:rFonts w:ascii="仿宋" w:hAnsi="仿宋" w:eastAsia="仿宋"/>
          <w:b w:val="0"/>
        </w:rPr>
      </w:pPr>
      <w:bookmarkStart w:id="98" w:name="_Toc15396622"/>
      <w:r>
        <w:rPr>
          <w:rStyle w:val="32"/>
          <w:rFonts w:hint="eastAsia" w:ascii="仿宋" w:hAnsi="仿宋" w:eastAsia="仿宋"/>
          <w:b w:val="0"/>
          <w:bCs w:val="0"/>
        </w:rPr>
        <w:t>四、</w:t>
      </w:r>
      <w:r>
        <w:rPr>
          <w:rFonts w:hint="eastAsia" w:ascii="仿宋" w:hAnsi="仿宋" w:eastAsia="仿宋"/>
          <w:b w:val="0"/>
        </w:rPr>
        <w:t>财</w:t>
      </w:r>
      <w:r>
        <w:rPr>
          <w:rStyle w:val="32"/>
          <w:rFonts w:hint="eastAsia" w:ascii="仿宋" w:hAnsi="仿宋" w:eastAsia="仿宋"/>
          <w:b w:val="0"/>
          <w:bCs w:val="0"/>
        </w:rPr>
        <w:t>政拨款收入支出决算总表</w:t>
      </w:r>
      <w:bookmarkEnd w:id="98"/>
    </w:p>
    <w:p>
      <w:pPr>
        <w:pStyle w:val="5"/>
        <w:rPr>
          <w:rStyle w:val="32"/>
          <w:rFonts w:ascii="仿宋" w:hAnsi="仿宋" w:eastAsia="仿宋"/>
          <w:b w:val="0"/>
          <w:bCs w:val="0"/>
        </w:rPr>
      </w:pPr>
      <w:bookmarkStart w:id="99" w:name="_Toc15396623"/>
      <w:r>
        <w:rPr>
          <w:rStyle w:val="32"/>
          <w:rFonts w:hint="eastAsia" w:ascii="仿宋" w:hAnsi="仿宋" w:eastAsia="仿宋"/>
          <w:b w:val="0"/>
          <w:bCs w:val="0"/>
        </w:rPr>
        <w:t>五、</w:t>
      </w:r>
      <w:r>
        <w:rPr>
          <w:rFonts w:hint="eastAsia" w:ascii="仿宋" w:hAnsi="仿宋" w:eastAsia="仿宋"/>
          <w:b w:val="0"/>
        </w:rPr>
        <w:t>财</w:t>
      </w:r>
      <w:r>
        <w:rPr>
          <w:rStyle w:val="32"/>
          <w:rFonts w:hint="eastAsia" w:ascii="仿宋" w:hAnsi="仿宋" w:eastAsia="仿宋"/>
          <w:b w:val="0"/>
          <w:bCs w:val="0"/>
        </w:rPr>
        <w:t>政拨款支出决算明细表</w:t>
      </w:r>
      <w:bookmarkEnd w:id="99"/>
      <w:bookmarkStart w:id="100" w:name="_Toc15396624"/>
    </w:p>
    <w:p>
      <w:pPr>
        <w:pStyle w:val="5"/>
        <w:rPr>
          <w:rFonts w:ascii="仿宋" w:hAnsi="仿宋" w:eastAsia="仿宋"/>
        </w:rPr>
      </w:pPr>
      <w:r>
        <w:rPr>
          <w:rStyle w:val="32"/>
          <w:rFonts w:hint="eastAsia" w:ascii="仿宋" w:hAnsi="仿宋" w:eastAsia="仿宋"/>
          <w:b w:val="0"/>
          <w:bCs w:val="0"/>
        </w:rPr>
        <w:t>六、</w:t>
      </w:r>
      <w:r>
        <w:rPr>
          <w:rFonts w:hint="eastAsia" w:ascii="仿宋" w:hAnsi="仿宋" w:eastAsia="仿宋"/>
          <w:b w:val="0"/>
        </w:rPr>
        <w:t>一</w:t>
      </w:r>
      <w:r>
        <w:rPr>
          <w:rStyle w:val="32"/>
          <w:rFonts w:hint="eastAsia" w:ascii="仿宋" w:hAnsi="仿宋" w:eastAsia="仿宋"/>
          <w:b w:val="0"/>
          <w:bCs w:val="0"/>
        </w:rPr>
        <w:t>般公共预算财政拨款支出决算表</w:t>
      </w:r>
      <w:bookmarkEnd w:id="100"/>
    </w:p>
    <w:p>
      <w:pPr>
        <w:pStyle w:val="5"/>
        <w:rPr>
          <w:rFonts w:ascii="仿宋" w:hAnsi="仿宋" w:eastAsia="仿宋"/>
        </w:rPr>
      </w:pPr>
      <w:bookmarkStart w:id="101" w:name="_Toc15396625"/>
      <w:r>
        <w:rPr>
          <w:rStyle w:val="32"/>
          <w:rFonts w:hint="eastAsia" w:ascii="仿宋" w:hAnsi="仿宋" w:eastAsia="仿宋"/>
          <w:b w:val="0"/>
          <w:bCs w:val="0"/>
        </w:rPr>
        <w:t>七、</w:t>
      </w:r>
      <w:r>
        <w:rPr>
          <w:rFonts w:hint="eastAsia" w:ascii="仿宋" w:hAnsi="仿宋" w:eastAsia="仿宋"/>
          <w:b w:val="0"/>
        </w:rPr>
        <w:t>一</w:t>
      </w:r>
      <w:r>
        <w:rPr>
          <w:rStyle w:val="32"/>
          <w:rFonts w:hint="eastAsia" w:ascii="仿宋" w:hAnsi="仿宋" w:eastAsia="仿宋"/>
          <w:b w:val="0"/>
          <w:bCs w:val="0"/>
        </w:rPr>
        <w:t>般公共预算财政拨款支出决算明细表</w:t>
      </w:r>
      <w:bookmarkEnd w:id="101"/>
    </w:p>
    <w:p>
      <w:pPr>
        <w:pStyle w:val="5"/>
        <w:rPr>
          <w:rFonts w:ascii="仿宋" w:hAnsi="仿宋" w:eastAsia="仿宋"/>
        </w:rPr>
      </w:pPr>
      <w:bookmarkStart w:id="102" w:name="_Toc15396626"/>
      <w:r>
        <w:rPr>
          <w:rStyle w:val="32"/>
          <w:rFonts w:hint="eastAsia" w:ascii="仿宋" w:hAnsi="仿宋" w:eastAsia="仿宋"/>
          <w:b w:val="0"/>
          <w:bCs w:val="0"/>
        </w:rPr>
        <w:t>八、</w:t>
      </w:r>
      <w:r>
        <w:rPr>
          <w:rFonts w:hint="eastAsia" w:ascii="仿宋" w:hAnsi="仿宋" w:eastAsia="仿宋"/>
          <w:b w:val="0"/>
        </w:rPr>
        <w:t>一</w:t>
      </w:r>
      <w:r>
        <w:rPr>
          <w:rStyle w:val="32"/>
          <w:rFonts w:hint="eastAsia" w:ascii="仿宋" w:hAnsi="仿宋" w:eastAsia="仿宋"/>
          <w:b w:val="0"/>
          <w:bCs w:val="0"/>
        </w:rPr>
        <w:t>般公共预算财政拨款基本支出决算表</w:t>
      </w:r>
      <w:bookmarkEnd w:id="102"/>
    </w:p>
    <w:p>
      <w:pPr>
        <w:pStyle w:val="5"/>
        <w:rPr>
          <w:rFonts w:ascii="仿宋" w:hAnsi="仿宋" w:eastAsia="仿宋"/>
        </w:rPr>
      </w:pPr>
      <w:bookmarkStart w:id="103" w:name="_Toc15396627"/>
      <w:r>
        <w:rPr>
          <w:rStyle w:val="32"/>
          <w:rFonts w:hint="eastAsia" w:ascii="仿宋" w:hAnsi="仿宋" w:eastAsia="仿宋"/>
          <w:b w:val="0"/>
          <w:bCs w:val="0"/>
        </w:rPr>
        <w:t>九、</w:t>
      </w:r>
      <w:r>
        <w:rPr>
          <w:rFonts w:hint="eastAsia" w:ascii="仿宋" w:hAnsi="仿宋" w:eastAsia="仿宋"/>
          <w:b w:val="0"/>
        </w:rPr>
        <w:t>一</w:t>
      </w:r>
      <w:r>
        <w:rPr>
          <w:rStyle w:val="32"/>
          <w:rFonts w:hint="eastAsia" w:ascii="仿宋" w:hAnsi="仿宋" w:eastAsia="仿宋"/>
          <w:b w:val="0"/>
          <w:bCs w:val="0"/>
        </w:rPr>
        <w:t>般公共预算财政拨款项目支出决算表</w:t>
      </w:r>
      <w:bookmarkEnd w:id="103"/>
    </w:p>
    <w:p>
      <w:pPr>
        <w:pStyle w:val="5"/>
        <w:rPr>
          <w:rFonts w:ascii="仿宋" w:hAnsi="仿宋" w:eastAsia="仿宋"/>
        </w:rPr>
      </w:pPr>
      <w:bookmarkStart w:id="104" w:name="_Toc15396628"/>
      <w:r>
        <w:rPr>
          <w:rStyle w:val="40"/>
          <w:rFonts w:hint="eastAsia" w:ascii="仿宋" w:hAnsi="仿宋" w:eastAsia="仿宋"/>
          <w:b w:val="0"/>
          <w:bCs w:val="0"/>
        </w:rPr>
        <w:t>十、</w:t>
      </w:r>
      <w:bookmarkEnd w:id="104"/>
      <w:r>
        <w:rPr>
          <w:rFonts w:hint="eastAsia" w:ascii="仿宋" w:hAnsi="仿宋" w:eastAsia="仿宋"/>
          <w:b w:val="0"/>
        </w:rPr>
        <w:t>政</w:t>
      </w:r>
      <w:r>
        <w:rPr>
          <w:rStyle w:val="40"/>
          <w:rFonts w:hint="eastAsia" w:ascii="仿宋" w:hAnsi="仿宋" w:eastAsia="仿宋"/>
          <w:b w:val="0"/>
          <w:bCs w:val="0"/>
        </w:rPr>
        <w:t>府性基金预算财政拨款收入支出决算表</w:t>
      </w:r>
    </w:p>
    <w:p>
      <w:pPr>
        <w:pStyle w:val="5"/>
        <w:rPr>
          <w:rFonts w:ascii="仿宋" w:hAnsi="仿宋" w:eastAsia="仿宋"/>
        </w:rPr>
      </w:pPr>
      <w:bookmarkStart w:id="105" w:name="_Toc15396629"/>
      <w:r>
        <w:rPr>
          <w:rStyle w:val="40"/>
          <w:rFonts w:hint="eastAsia" w:ascii="仿宋" w:hAnsi="仿宋" w:eastAsia="仿宋"/>
          <w:b w:val="0"/>
          <w:bCs w:val="0"/>
        </w:rPr>
        <w:t>十一、</w:t>
      </w:r>
      <w:bookmarkEnd w:id="105"/>
      <w:r>
        <w:rPr>
          <w:rFonts w:hint="eastAsia" w:ascii="仿宋" w:hAnsi="仿宋" w:eastAsia="仿宋"/>
          <w:b w:val="0"/>
        </w:rPr>
        <w:t>国</w:t>
      </w:r>
      <w:r>
        <w:rPr>
          <w:rStyle w:val="40"/>
          <w:rFonts w:hint="eastAsia" w:ascii="仿宋" w:hAnsi="仿宋" w:eastAsia="仿宋"/>
          <w:b w:val="0"/>
          <w:bCs w:val="0"/>
        </w:rPr>
        <w:t>有资本经营预算财政拨款收入支出决算表</w:t>
      </w:r>
    </w:p>
    <w:p>
      <w:pPr>
        <w:pStyle w:val="5"/>
        <w:rPr>
          <w:rFonts w:ascii="仿宋" w:hAnsi="仿宋" w:eastAsia="仿宋"/>
        </w:rPr>
      </w:pPr>
      <w:bookmarkStart w:id="106" w:name="_Toc15396630"/>
      <w:r>
        <w:rPr>
          <w:rStyle w:val="40"/>
          <w:rFonts w:hint="eastAsia" w:ascii="仿宋" w:hAnsi="仿宋" w:eastAsia="仿宋"/>
          <w:b w:val="0"/>
          <w:bCs w:val="0"/>
        </w:rPr>
        <w:t>十二、</w:t>
      </w:r>
      <w:bookmarkEnd w:id="106"/>
      <w:r>
        <w:rPr>
          <w:rStyle w:val="40"/>
          <w:rFonts w:hint="eastAsia" w:ascii="仿宋" w:hAnsi="仿宋" w:eastAsia="仿宋"/>
          <w:b w:val="0"/>
          <w:bCs w:val="0"/>
        </w:rPr>
        <w:t>国有资本经营预算财政拨款支出决算表</w:t>
      </w:r>
    </w:p>
    <w:p>
      <w:pPr>
        <w:pStyle w:val="5"/>
        <w:rPr>
          <w:rFonts w:eastAsia="仿宋"/>
        </w:rPr>
      </w:pPr>
      <w:bookmarkStart w:id="107" w:name="_Toc15396631"/>
      <w:r>
        <w:rPr>
          <w:rStyle w:val="40"/>
          <w:rFonts w:hint="eastAsia" w:ascii="仿宋" w:hAnsi="仿宋" w:eastAsia="仿宋"/>
          <w:b w:val="0"/>
          <w:bCs w:val="0"/>
        </w:rPr>
        <w:t>十三、</w:t>
      </w:r>
      <w:bookmarkEnd w:id="107"/>
      <w:r>
        <w:rPr>
          <w:rStyle w:val="40"/>
          <w:rFonts w:hint="eastAsia" w:ascii="仿宋" w:hAnsi="仿宋" w:eastAsia="仿宋"/>
          <w:b w:val="0"/>
          <w:bCs w:val="0"/>
        </w:rPr>
        <w:t>财政拨款“三公”经费支出决算表</w:t>
      </w:r>
    </w:p>
    <w:p>
      <w:pPr>
        <w:pStyle w:val="8"/>
        <w:rPr>
          <w:rFonts w:hint="eastAsia" w:ascii="仿宋_GB2312" w:hAnsi="仿宋_GB2312" w:eastAsia="仿宋_GB2312" w:cs="仿宋_GB2312"/>
          <w:b w:val="0"/>
          <w:bCs w:val="0"/>
          <w:color w:val="auto"/>
        </w:rPr>
      </w:pPr>
    </w:p>
    <w:sectPr>
      <w:footerReference r:id="rId7" w:type="first"/>
      <w:footerReference r:id="rId6"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9DE56C-08E6-4FC5-A42B-EDD812E330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9FB8B2E-2C3F-4531-A5D5-728A7DDFFAE8}"/>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8987297C-C523-4D14-B2D7-CA78CF6E0E1A}"/>
  </w:font>
  <w:font w:name="仿宋">
    <w:panose1 w:val="02010609060101010101"/>
    <w:charset w:val="86"/>
    <w:family w:val="auto"/>
    <w:pitch w:val="default"/>
    <w:sig w:usb0="800002BF" w:usb1="38CF7CFA" w:usb2="00000016" w:usb3="00000000" w:csb0="00040001" w:csb1="00000000"/>
    <w:embedRegular r:id="rId4" w:fontKey="{CD2B3D77-1F45-4EBF-B9D4-73F4D8DD600A}"/>
  </w:font>
  <w:font w:name="??">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auto"/>
    <w:pitch w:val="default"/>
    <w:sig w:usb0="00000000" w:usb1="00000000" w:usb2="00000000" w:usb3="00000000" w:csb0="00040000" w:csb1="00000000"/>
    <w:embedRegular r:id="rId5" w:fontKey="{A58F4D17-248A-4F6E-A2A6-ABFE44AF0F9C}"/>
  </w:font>
  <w:font w:name="华文中宋">
    <w:panose1 w:val="02010600040101010101"/>
    <w:charset w:val="86"/>
    <w:family w:val="auto"/>
    <w:pitch w:val="default"/>
    <w:sig w:usb0="00000287" w:usb1="080F0000" w:usb2="00000000" w:usb3="00000000" w:csb0="0004009F" w:csb1="DFD70000"/>
    <w:embedRegular r:id="rId6" w:fontKey="{4911DCC6-7188-47BB-AB86-3BE8D15743F7}"/>
  </w:font>
  <w:font w:name="Gulim">
    <w:altName w:val="Malgun Gothic"/>
    <w:panose1 w:val="020B0600000101010101"/>
    <w:charset w:val="81"/>
    <w:family w:val="auto"/>
    <w:pitch w:val="default"/>
    <w:sig w:usb0="00000000" w:usb1="00000000" w:usb2="00000030" w:usb3="00000000" w:csb0="4008009F" w:csb1="DFD70000"/>
    <w:embedRegular r:id="rId7" w:fontKey="{015D39C1-2FFF-4F38-9BA3-AC848EF8E297}"/>
  </w:font>
  <w:font w:name="楷体">
    <w:panose1 w:val="02010609060101010101"/>
    <w:charset w:val="86"/>
    <w:family w:val="auto"/>
    <w:pitch w:val="default"/>
    <w:sig w:usb0="800002BF" w:usb1="38CF7CFA" w:usb2="00000016" w:usb3="00000000" w:csb0="00040001" w:csb1="00000000"/>
    <w:embedRegular r:id="rId8" w:fontKey="{9CA583A9-11C0-43BF-9572-663A6F0F231E}"/>
  </w:font>
  <w:font w:name="新宋体">
    <w:panose1 w:val="02010609030101010101"/>
    <w:charset w:val="86"/>
    <w:family w:val="auto"/>
    <w:pitch w:val="default"/>
    <w:sig w:usb0="00000203" w:usb1="288F0000" w:usb2="00000006" w:usb3="00000000" w:csb0="00040001" w:csb1="00000000"/>
    <w:embedRegular r:id="rId9" w:fontKey="{67194268-64C6-42A6-A1E3-A7BBAD7CD363}"/>
  </w:font>
  <w:font w:name="微软雅黑">
    <w:panose1 w:val="020B0503020204020204"/>
    <w:charset w:val="86"/>
    <w:family w:val="auto"/>
    <w:pitch w:val="default"/>
    <w:sig w:usb0="80000287" w:usb1="2ACF3C50" w:usb2="00000016" w:usb3="00000000" w:csb0="0004001F" w:csb1="00000000"/>
    <w:embedRegular r:id="rId10" w:fontKey="{0C7772F5-773A-496B-B56E-556760BF2CB7}"/>
  </w:font>
  <w:font w:name="方正小标宋简体">
    <w:panose1 w:val="02000000000000000000"/>
    <w:charset w:val="86"/>
    <w:family w:val="script"/>
    <w:pitch w:val="default"/>
    <w:sig w:usb0="00000001" w:usb1="08000000" w:usb2="00000000" w:usb3="00000000" w:csb0="00040000" w:csb1="00000000"/>
    <w:embedRegular r:id="rId11" w:fontKey="{2FAA991A-49D6-4B27-B128-75C4AE0193CD}"/>
  </w:font>
  <w:font w:name="Malgun Gothic">
    <w:panose1 w:val="020B0503020000020004"/>
    <w:charset w:val="81"/>
    <w:family w:val="auto"/>
    <w:pitch w:val="default"/>
    <w:sig w:usb0="9000002F" w:usb1="29D77CFB" w:usb2="00000012" w:usb3="00000000" w:csb0="0008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994781956"/>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8"/>
                    </w:pPr>
                  </w:p>
                </w:txbxContent>
              </v:textbox>
            </v:shape>
          </w:pict>
        </mc:Fallback>
      </mc:AlternateContent>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5B6584EB"/>
    <w:multiLevelType w:val="singleLevel"/>
    <w:tmpl w:val="5B6584EB"/>
    <w:lvl w:ilvl="0" w:tentative="0">
      <w:start w:val="2"/>
      <w:numFmt w:val="chineseCounting"/>
      <w:suff w:val="nothing"/>
      <w:lvlText w:val="（%1）"/>
      <w:lvlJc w:val="left"/>
      <w:rPr>
        <w:rFonts w:hint="eastAsia"/>
      </w:rPr>
    </w:lvl>
  </w:abstractNum>
  <w:abstractNum w:abstractNumId="3">
    <w:nsid w:val="7AA2C112"/>
    <w:multiLevelType w:val="singleLevel"/>
    <w:tmpl w:val="7AA2C112"/>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2VjZDNkNmI4OWZkMThmMzE1MjhjOWI3MzQzN2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453D"/>
    <w:rsid w:val="001D7531"/>
    <w:rsid w:val="001E737D"/>
    <w:rsid w:val="001F0592"/>
    <w:rsid w:val="001F7506"/>
    <w:rsid w:val="002006CD"/>
    <w:rsid w:val="00202B36"/>
    <w:rsid w:val="00204B7A"/>
    <w:rsid w:val="00204CDE"/>
    <w:rsid w:val="0021101A"/>
    <w:rsid w:val="00220536"/>
    <w:rsid w:val="00235629"/>
    <w:rsid w:val="00246569"/>
    <w:rsid w:val="00260C38"/>
    <w:rsid w:val="002616C0"/>
    <w:rsid w:val="00265372"/>
    <w:rsid w:val="002662AA"/>
    <w:rsid w:val="00280496"/>
    <w:rsid w:val="00294DC9"/>
    <w:rsid w:val="00295495"/>
    <w:rsid w:val="002A31DE"/>
    <w:rsid w:val="002B2613"/>
    <w:rsid w:val="002D6D05"/>
    <w:rsid w:val="002E6D3D"/>
    <w:rsid w:val="002F1818"/>
    <w:rsid w:val="002F567B"/>
    <w:rsid w:val="003216A9"/>
    <w:rsid w:val="00335A74"/>
    <w:rsid w:val="00354363"/>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D5E9E"/>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5964"/>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E6BE2"/>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244C"/>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E4566E"/>
    <w:rsid w:val="01F01F8D"/>
    <w:rsid w:val="040B0B83"/>
    <w:rsid w:val="05334536"/>
    <w:rsid w:val="066E0107"/>
    <w:rsid w:val="06D95D5C"/>
    <w:rsid w:val="07996F6E"/>
    <w:rsid w:val="0A0D3AAC"/>
    <w:rsid w:val="0A2032A3"/>
    <w:rsid w:val="0A417803"/>
    <w:rsid w:val="0AC72391"/>
    <w:rsid w:val="0CF27B29"/>
    <w:rsid w:val="0D1557C7"/>
    <w:rsid w:val="0DB57B3A"/>
    <w:rsid w:val="0E890267"/>
    <w:rsid w:val="0F2D7E01"/>
    <w:rsid w:val="101657DA"/>
    <w:rsid w:val="101860EC"/>
    <w:rsid w:val="10C055FF"/>
    <w:rsid w:val="116577BB"/>
    <w:rsid w:val="118107EC"/>
    <w:rsid w:val="12724EE6"/>
    <w:rsid w:val="13D50BC4"/>
    <w:rsid w:val="14C342C9"/>
    <w:rsid w:val="153F759E"/>
    <w:rsid w:val="154A6192"/>
    <w:rsid w:val="164119B0"/>
    <w:rsid w:val="1675059D"/>
    <w:rsid w:val="16850DCF"/>
    <w:rsid w:val="16BB723D"/>
    <w:rsid w:val="190B65F7"/>
    <w:rsid w:val="192D150C"/>
    <w:rsid w:val="1A292B24"/>
    <w:rsid w:val="1A621889"/>
    <w:rsid w:val="1A73397C"/>
    <w:rsid w:val="1A9223BA"/>
    <w:rsid w:val="1B7E79D6"/>
    <w:rsid w:val="1BE8440E"/>
    <w:rsid w:val="1C3E1B36"/>
    <w:rsid w:val="1D155CEE"/>
    <w:rsid w:val="1F9C2C34"/>
    <w:rsid w:val="22137F08"/>
    <w:rsid w:val="236E4CD8"/>
    <w:rsid w:val="23860B96"/>
    <w:rsid w:val="240371BF"/>
    <w:rsid w:val="2455716A"/>
    <w:rsid w:val="2495344F"/>
    <w:rsid w:val="27304CD6"/>
    <w:rsid w:val="29CB7AAA"/>
    <w:rsid w:val="29FD04D3"/>
    <w:rsid w:val="2A4225E0"/>
    <w:rsid w:val="2A7F7D84"/>
    <w:rsid w:val="2A824904"/>
    <w:rsid w:val="2B521BA1"/>
    <w:rsid w:val="2C8A61B5"/>
    <w:rsid w:val="2DF04E50"/>
    <w:rsid w:val="2E3F45EA"/>
    <w:rsid w:val="2E5653B1"/>
    <w:rsid w:val="2F236009"/>
    <w:rsid w:val="2FDA2DB1"/>
    <w:rsid w:val="309C0000"/>
    <w:rsid w:val="319F7F4E"/>
    <w:rsid w:val="326F7E23"/>
    <w:rsid w:val="34923EBA"/>
    <w:rsid w:val="369D544E"/>
    <w:rsid w:val="36AA5135"/>
    <w:rsid w:val="37116D42"/>
    <w:rsid w:val="37E16F03"/>
    <w:rsid w:val="3ACD2D3F"/>
    <w:rsid w:val="3B4715A0"/>
    <w:rsid w:val="3C833EA4"/>
    <w:rsid w:val="3D98207C"/>
    <w:rsid w:val="3F174E7C"/>
    <w:rsid w:val="3F6A469F"/>
    <w:rsid w:val="406D1057"/>
    <w:rsid w:val="40DA3896"/>
    <w:rsid w:val="41142F51"/>
    <w:rsid w:val="435D65CE"/>
    <w:rsid w:val="44E268DA"/>
    <w:rsid w:val="45622B78"/>
    <w:rsid w:val="45ED1759"/>
    <w:rsid w:val="46BA5CE0"/>
    <w:rsid w:val="49E4068D"/>
    <w:rsid w:val="4A627F82"/>
    <w:rsid w:val="4B0B5621"/>
    <w:rsid w:val="4B4F25DA"/>
    <w:rsid w:val="4BE068DB"/>
    <w:rsid w:val="4C122366"/>
    <w:rsid w:val="4CB43AE6"/>
    <w:rsid w:val="4D577224"/>
    <w:rsid w:val="4DCA5670"/>
    <w:rsid w:val="4EAB630A"/>
    <w:rsid w:val="4ECE2238"/>
    <w:rsid w:val="4F063322"/>
    <w:rsid w:val="52181BC6"/>
    <w:rsid w:val="529739C5"/>
    <w:rsid w:val="52DE75D4"/>
    <w:rsid w:val="52F51A0E"/>
    <w:rsid w:val="53926919"/>
    <w:rsid w:val="54A330A4"/>
    <w:rsid w:val="568F354E"/>
    <w:rsid w:val="57672029"/>
    <w:rsid w:val="590F5946"/>
    <w:rsid w:val="59213252"/>
    <w:rsid w:val="59821EFA"/>
    <w:rsid w:val="5AB1123A"/>
    <w:rsid w:val="5AF92295"/>
    <w:rsid w:val="5B00701C"/>
    <w:rsid w:val="5B6F3762"/>
    <w:rsid w:val="5BAC7AC1"/>
    <w:rsid w:val="5C02728F"/>
    <w:rsid w:val="5C972B66"/>
    <w:rsid w:val="5CD71FC4"/>
    <w:rsid w:val="5D854131"/>
    <w:rsid w:val="5ECC2F4B"/>
    <w:rsid w:val="60853036"/>
    <w:rsid w:val="60924F55"/>
    <w:rsid w:val="609A41C0"/>
    <w:rsid w:val="60BD679F"/>
    <w:rsid w:val="63286425"/>
    <w:rsid w:val="65812CFE"/>
    <w:rsid w:val="673F6082"/>
    <w:rsid w:val="69E21970"/>
    <w:rsid w:val="6C4A05C8"/>
    <w:rsid w:val="6CAB4884"/>
    <w:rsid w:val="6CF51963"/>
    <w:rsid w:val="6D93632C"/>
    <w:rsid w:val="6DAD1516"/>
    <w:rsid w:val="6E2F0BDE"/>
    <w:rsid w:val="6E7E3605"/>
    <w:rsid w:val="6F86515A"/>
    <w:rsid w:val="6FF5CC65"/>
    <w:rsid w:val="715C0E4B"/>
    <w:rsid w:val="72734D90"/>
    <w:rsid w:val="72C47EC6"/>
    <w:rsid w:val="72EF7CA5"/>
    <w:rsid w:val="73AD73D5"/>
    <w:rsid w:val="73B6EB34"/>
    <w:rsid w:val="7519750B"/>
    <w:rsid w:val="76903228"/>
    <w:rsid w:val="780717A7"/>
    <w:rsid w:val="78393DA0"/>
    <w:rsid w:val="791F665F"/>
    <w:rsid w:val="79EC5571"/>
    <w:rsid w:val="79EE5BA4"/>
    <w:rsid w:val="7A894339"/>
    <w:rsid w:val="7AD14F03"/>
    <w:rsid w:val="7BFA0808"/>
    <w:rsid w:val="7CF121F1"/>
    <w:rsid w:val="7D285559"/>
    <w:rsid w:val="7D3833E1"/>
    <w:rsid w:val="7EEF11D3"/>
    <w:rsid w:val="7F0A7948"/>
    <w:rsid w:val="7F3361BC"/>
    <w:rsid w:val="7FA30C79"/>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4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5"/>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qFormat/>
    <w:uiPriority w:val="0"/>
    <w:pPr>
      <w:spacing w:after="120"/>
      <w:ind w:left="200" w:leftChars="200"/>
    </w:pPr>
    <w:rPr>
      <w:rFonts w:ascii="仿宋_GB2312"/>
      <w:szCs w:val="32"/>
    </w:rPr>
  </w:style>
  <w:style w:type="paragraph" w:styleId="7">
    <w:name w:val="Normal Indent"/>
    <w:basedOn w:val="1"/>
    <w:semiHidden/>
    <w:unhideWhenUsed/>
    <w:qFormat/>
    <w:uiPriority w:val="99"/>
    <w:pPr>
      <w:ind w:firstLine="420" w:firstLineChars="200"/>
    </w:pPr>
  </w:style>
  <w:style w:type="paragraph" w:styleId="8">
    <w:name w:val="Body Text"/>
    <w:basedOn w:val="1"/>
    <w:link w:val="28"/>
    <w:autoRedefine/>
    <w:qFormat/>
    <w:uiPriority w:val="99"/>
    <w:pPr>
      <w:spacing w:beforeLines="30"/>
    </w:pPr>
    <w:rPr>
      <w:rFonts w:ascii="仿宋_GB2312" w:eastAsia="仿宋_GB2312"/>
      <w:kern w:val="0"/>
      <w:sz w:val="30"/>
    </w:rPr>
  </w:style>
  <w:style w:type="paragraph" w:styleId="9">
    <w:name w:val="toc 3"/>
    <w:basedOn w:val="1"/>
    <w:next w:val="1"/>
    <w:autoRedefine/>
    <w:unhideWhenUsed/>
    <w:qFormat/>
    <w:uiPriority w:val="39"/>
    <w:pPr>
      <w:tabs>
        <w:tab w:val="right" w:leader="dot" w:pos="8296"/>
      </w:tabs>
      <w:ind w:left="840" w:leftChars="400"/>
    </w:pPr>
  </w:style>
  <w:style w:type="paragraph" w:styleId="10">
    <w:name w:val="Plain Text"/>
    <w:basedOn w:val="1"/>
    <w:autoRedefine/>
    <w:qFormat/>
    <w:uiPriority w:val="0"/>
    <w:rPr>
      <w:rFonts w:ascii="宋体" w:hAnsi="Courier New" w:cs="Courier New"/>
      <w:b/>
      <w:szCs w:val="21"/>
    </w:rPr>
  </w:style>
  <w:style w:type="paragraph" w:styleId="11">
    <w:name w:val="Balloon Text"/>
    <w:basedOn w:val="1"/>
    <w:link w:val="34"/>
    <w:autoRedefine/>
    <w:semiHidden/>
    <w:unhideWhenUsed/>
    <w:qFormat/>
    <w:uiPriority w:val="99"/>
    <w:rPr>
      <w:sz w:val="18"/>
      <w:szCs w:val="18"/>
    </w:rPr>
  </w:style>
  <w:style w:type="paragraph" w:styleId="12">
    <w:name w:val="footer"/>
    <w:basedOn w:val="1"/>
    <w:link w:val="26"/>
    <w:autoRedefine/>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4"/>
    <w:autoRedefine/>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autoRedefine/>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autoRedefine/>
    <w:unhideWhenUsed/>
    <w:qFormat/>
    <w:uiPriority w:val="39"/>
    <w:pPr>
      <w:tabs>
        <w:tab w:val="right" w:leader="dot" w:pos="8296"/>
      </w:tabs>
      <w:ind w:left="420" w:leftChars="200"/>
    </w:pPr>
  </w:style>
  <w:style w:type="paragraph" w:styleId="16">
    <w:name w:val="Normal (Web)"/>
    <w:basedOn w:val="1"/>
    <w:autoRedefine/>
    <w:semiHidden/>
    <w:qFormat/>
    <w:uiPriority w:val="99"/>
    <w:pPr>
      <w:widowControl/>
      <w:spacing w:before="100" w:beforeAutospacing="1" w:after="100" w:afterAutospacing="1"/>
      <w:jc w:val="left"/>
    </w:pPr>
    <w:rPr>
      <w:rFonts w:ascii="宋体" w:hAnsi="宋体" w:cs="宋体"/>
      <w:kern w:val="0"/>
      <w:sz w:val="24"/>
      <w:szCs w:val="24"/>
    </w:rPr>
  </w:style>
  <w:style w:type="paragraph" w:styleId="17">
    <w:name w:val="Body Text First Indent"/>
    <w:basedOn w:val="8"/>
    <w:autoRedefine/>
    <w:qFormat/>
    <w:uiPriority w:val="0"/>
    <w:pPr>
      <w:ind w:firstLine="420" w:firstLineChars="100"/>
    </w:pPr>
  </w:style>
  <w:style w:type="table" w:styleId="19">
    <w:name w:val="Table Grid"/>
    <w:basedOn w:val="1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99"/>
    <w:rPr>
      <w:b/>
    </w:rPr>
  </w:style>
  <w:style w:type="character" w:styleId="22">
    <w:name w:val="Hyperlink"/>
    <w:basedOn w:val="20"/>
    <w:autoRedefine/>
    <w:unhideWhenUsed/>
    <w:qFormat/>
    <w:uiPriority w:val="99"/>
    <w:rPr>
      <w:color w:val="0000FF" w:themeColor="hyperlink"/>
      <w:u w:val="single"/>
      <w14:textFill>
        <w14:solidFill>
          <w14:schemeClr w14:val="hlink"/>
        </w14:solidFill>
      </w14:textFill>
    </w:rPr>
  </w:style>
  <w:style w:type="character" w:customStyle="1" w:styleId="23">
    <w:name w:val="Header Char"/>
    <w:basedOn w:val="20"/>
    <w:autoRedefine/>
    <w:semiHidden/>
    <w:qFormat/>
    <w:uiPriority w:val="99"/>
    <w:rPr>
      <w:rFonts w:ascii="Times New Roman" w:hAnsi="Times New Roman"/>
      <w:sz w:val="18"/>
      <w:szCs w:val="18"/>
    </w:rPr>
  </w:style>
  <w:style w:type="character" w:customStyle="1" w:styleId="24">
    <w:name w:val="页眉 Char"/>
    <w:link w:val="13"/>
    <w:autoRedefine/>
    <w:semiHidden/>
    <w:qFormat/>
    <w:locked/>
    <w:uiPriority w:val="99"/>
    <w:rPr>
      <w:sz w:val="18"/>
    </w:rPr>
  </w:style>
  <w:style w:type="character" w:customStyle="1" w:styleId="25">
    <w:name w:val="Footer Char"/>
    <w:basedOn w:val="20"/>
    <w:autoRedefine/>
    <w:semiHidden/>
    <w:qFormat/>
    <w:uiPriority w:val="99"/>
    <w:rPr>
      <w:rFonts w:ascii="Times New Roman" w:hAnsi="Times New Roman"/>
      <w:sz w:val="18"/>
      <w:szCs w:val="18"/>
    </w:rPr>
  </w:style>
  <w:style w:type="character" w:customStyle="1" w:styleId="26">
    <w:name w:val="页脚 Char"/>
    <w:link w:val="12"/>
    <w:autoRedefine/>
    <w:qFormat/>
    <w:locked/>
    <w:uiPriority w:val="99"/>
    <w:rPr>
      <w:sz w:val="18"/>
    </w:rPr>
  </w:style>
  <w:style w:type="character" w:customStyle="1" w:styleId="27">
    <w:name w:val="Body Text Char"/>
    <w:basedOn w:val="20"/>
    <w:autoRedefine/>
    <w:semiHidden/>
    <w:qFormat/>
    <w:uiPriority w:val="99"/>
    <w:rPr>
      <w:rFonts w:ascii="Times New Roman" w:hAnsi="Times New Roman"/>
      <w:szCs w:val="24"/>
    </w:rPr>
  </w:style>
  <w:style w:type="character" w:customStyle="1" w:styleId="28">
    <w:name w:val="正文文本 Char"/>
    <w:link w:val="8"/>
    <w:autoRedefine/>
    <w:qFormat/>
    <w:locked/>
    <w:uiPriority w:val="99"/>
    <w:rPr>
      <w:rFonts w:ascii="仿宋_GB2312" w:hAnsi="Times New Roman" w:eastAsia="仿宋_GB2312"/>
      <w:sz w:val="24"/>
    </w:rPr>
  </w:style>
  <w:style w:type="paragraph" w:customStyle="1" w:styleId="29">
    <w:name w:val="Default"/>
    <w:autoRedefine/>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0">
    <w:name w:val="List Paragraph"/>
    <w:basedOn w:val="1"/>
    <w:autoRedefine/>
    <w:qFormat/>
    <w:uiPriority w:val="34"/>
    <w:pPr>
      <w:ind w:firstLine="420" w:firstLineChars="200"/>
    </w:pPr>
  </w:style>
  <w:style w:type="character" w:customStyle="1" w:styleId="31">
    <w:name w:val="标题 1 Char"/>
    <w:basedOn w:val="20"/>
    <w:link w:val="4"/>
    <w:autoRedefine/>
    <w:qFormat/>
    <w:uiPriority w:val="9"/>
    <w:rPr>
      <w:rFonts w:ascii="Times New Roman" w:hAnsi="Times New Roman"/>
      <w:b/>
      <w:bCs/>
      <w:kern w:val="44"/>
      <w:sz w:val="44"/>
      <w:szCs w:val="44"/>
    </w:rPr>
  </w:style>
  <w:style w:type="character" w:customStyle="1" w:styleId="32">
    <w:name w:val="标题 2 Char"/>
    <w:basedOn w:val="20"/>
    <w:link w:val="5"/>
    <w:autoRedefine/>
    <w:qFormat/>
    <w:uiPriority w:val="9"/>
    <w:rPr>
      <w:rFonts w:asciiTheme="majorHAnsi" w:hAnsiTheme="majorHAnsi" w:eastAsiaTheme="majorEastAsia" w:cstheme="majorBidi"/>
      <w:b/>
      <w:bCs/>
      <w:kern w:val="2"/>
      <w:sz w:val="32"/>
      <w:szCs w:val="32"/>
    </w:rPr>
  </w:style>
  <w:style w:type="paragraph" w:customStyle="1" w:styleId="33">
    <w:name w:val="TOC 标题1"/>
    <w:basedOn w:val="4"/>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Char"/>
    <w:basedOn w:val="20"/>
    <w:link w:val="11"/>
    <w:semiHidden/>
    <w:qFormat/>
    <w:uiPriority w:val="99"/>
    <w:rPr>
      <w:rFonts w:ascii="Times New Roman" w:hAnsi="Times New Roman"/>
      <w:kern w:val="2"/>
      <w:sz w:val="18"/>
      <w:szCs w:val="18"/>
    </w:rPr>
  </w:style>
  <w:style w:type="character" w:customStyle="1" w:styleId="35">
    <w:name w:val="标题 3 Char"/>
    <w:basedOn w:val="20"/>
    <w:link w:val="6"/>
    <w:autoRedefine/>
    <w:qFormat/>
    <w:uiPriority w:val="9"/>
    <w:rPr>
      <w:rFonts w:ascii="Times New Roman" w:hAnsi="Times New Roman"/>
      <w:b/>
      <w:bCs/>
      <w:kern w:val="2"/>
      <w:sz w:val="32"/>
      <w:szCs w:val="32"/>
    </w:rPr>
  </w:style>
  <w:style w:type="paragraph" w:customStyle="1" w:styleId="36">
    <w:name w:val="TOC 标题2"/>
    <w:basedOn w:val="4"/>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WPSOffice手动目录 1"/>
    <w:autoRedefine/>
    <w:qFormat/>
    <w:uiPriority w:val="0"/>
    <w:pPr>
      <w:ind w:leftChars="0"/>
    </w:pPr>
    <w:rPr>
      <w:rFonts w:ascii="Times New Roman" w:hAnsi="Times New Roman" w:eastAsia="宋体" w:cs="Times New Roman"/>
      <w:sz w:val="20"/>
      <w:szCs w:val="20"/>
    </w:rPr>
  </w:style>
  <w:style w:type="paragraph" w:customStyle="1" w:styleId="38">
    <w:name w:val="WPSOffice手动目录 2"/>
    <w:autoRedefine/>
    <w:qFormat/>
    <w:uiPriority w:val="0"/>
    <w:pPr>
      <w:ind w:leftChars="200"/>
    </w:pPr>
    <w:rPr>
      <w:rFonts w:ascii="Times New Roman" w:hAnsi="Times New Roman" w:eastAsia="宋体" w:cs="Times New Roman"/>
      <w:sz w:val="20"/>
      <w:szCs w:val="20"/>
    </w:rPr>
  </w:style>
  <w:style w:type="paragraph" w:customStyle="1" w:styleId="39">
    <w:name w:val="四号正文"/>
    <w:basedOn w:val="1"/>
    <w:autoRedefine/>
    <w:qFormat/>
    <w:uiPriority w:val="0"/>
    <w:pPr>
      <w:spacing w:line="360" w:lineRule="auto"/>
    </w:pPr>
    <w:rPr>
      <w:rFonts w:ascii="??" w:hAnsi="??"/>
      <w:color w:val="000000"/>
      <w:kern w:val="0"/>
      <w:szCs w:val="20"/>
    </w:rPr>
  </w:style>
  <w:style w:type="character" w:customStyle="1" w:styleId="40">
    <w:name w:val="标题 2 字符"/>
    <w:basedOn w:val="20"/>
    <w:link w:val="5"/>
    <w:autoRedefine/>
    <w:qFormat/>
    <w:uiPriority w:val="9"/>
    <w:rPr>
      <w:rFonts w:asciiTheme="majorHAnsi" w:hAnsiTheme="majorHAnsi" w:eastAsiaTheme="majorEastAsia" w:cstheme="majorBidi"/>
      <w:b/>
      <w:bCs/>
      <w:kern w:val="2"/>
      <w:sz w:val="32"/>
      <w:szCs w:val="32"/>
    </w:rPr>
  </w:style>
  <w:style w:type="character" w:customStyle="1" w:styleId="41">
    <w:name w:val="15"/>
    <w:basedOn w:val="20"/>
    <w:autoRedefine/>
    <w:qFormat/>
    <w:uiPriority w:val="0"/>
    <w:rPr>
      <w:rFonts w:hint="default" w:ascii="Times New Roman" w:hAnsi="Times New Roman" w:eastAsia="楷体_GB2312" w:cs="Times New Roman"/>
      <w:sz w:val="32"/>
      <w:szCs w:val="32"/>
    </w:rPr>
  </w:style>
  <w:style w:type="character" w:customStyle="1" w:styleId="42">
    <w:name w:val="font61"/>
    <w:basedOn w:val="20"/>
    <w:autoRedefine/>
    <w:qFormat/>
    <w:uiPriority w:val="0"/>
    <w:rPr>
      <w:rFonts w:hint="default" w:ascii="Times New Roman" w:hAnsi="Times New Roman" w:eastAsia="楷体_GB2312" w:cs="Times New Roman"/>
      <w:sz w:val="32"/>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G:\&#20915;&#31639;&#20844;&#24320;&#25554;&#22270;&#21046;&#20316;&#31034;&#2036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20915;&#31639;&#20844;&#24320;&#25554;&#22270;&#21046;&#20316;&#31034;&#2036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0915;&#31639;&#20844;&#24320;&#25554;&#22270;&#21046;&#20316;&#31034;&#203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20915;&#31639;&#20844;&#24320;&#25554;&#22270;&#21046;&#20316;&#31034;&#2036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20915;&#31639;&#20844;&#24320;&#25554;&#22270;&#21046;&#20316;&#31034;&#2036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0915;&#31639;&#20844;&#24320;&#25554;&#22270;&#21046;&#20316;&#31034;&#2036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20915;&#31639;&#20844;&#24320;&#25554;&#22270;&#21046;&#20316;&#31034;&#2036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c:spPr>
          <c:invertIfNegative val="0"/>
          <c:dPt>
            <c:idx val="1"/>
            <c:invertIfNegative val="0"/>
            <c:bubble3D val="0"/>
            <c:spPr>
              <a:solidFill>
                <a:srgbClr val="FFC00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[决算公开插图制作示例.xlsx]图一!$A$1:$B$1</c:f>
              <c:strCache>
                <c:ptCount val="2"/>
                <c:pt idx="0">
                  <c:v>2022年</c:v>
                </c:pt>
                <c:pt idx="1">
                  <c:v>2023年</c:v>
                </c:pt>
              </c:strCache>
            </c:strRef>
          </c:cat>
          <c:val>
            <c:numRef>
              <c:f>[决算公开插图制作示例.xlsx]图一!$A$2:$B$2</c:f>
              <c:numCache>
                <c:formatCode>General</c:formatCode>
                <c:ptCount val="2"/>
                <c:pt idx="0">
                  <c:v>67743.23</c:v>
                </c:pt>
                <c:pt idx="1">
                  <c:v>50732.82</c:v>
                </c:pt>
              </c:numCache>
            </c:numRef>
          </c:val>
        </c:ser>
        <c:dLbls>
          <c:showLegendKey val="0"/>
          <c:showVal val="1"/>
          <c:showCatName val="0"/>
          <c:showSerName val="0"/>
          <c:showPercent val="0"/>
          <c:showBubbleSize val="0"/>
        </c:dLbls>
        <c:gapWidth val="150"/>
        <c:axId val="132649344"/>
        <c:axId val="132650880"/>
      </c:barChart>
      <c:catAx>
        <c:axId val="1326493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2650880"/>
        <c:crosses val="autoZero"/>
        <c:auto val="1"/>
        <c:lblAlgn val="ctr"/>
        <c:lblOffset val="100"/>
        <c:noMultiLvlLbl val="0"/>
      </c:catAx>
      <c:valAx>
        <c:axId val="1326508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264934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2:</a:t>
            </a:r>
            <a:r>
              <a:rPr altLang="en-US"/>
              <a:t>收入决算结构图</a:t>
            </a:r>
            <a:endParaRPr altLang="en-US"/>
          </a:p>
        </c:rich>
      </c:tx>
      <c:layout/>
      <c:overlay val="0"/>
      <c:spPr>
        <a:noFill/>
        <a:ln>
          <a:noFill/>
        </a:ln>
        <a:effectLst/>
      </c:spPr>
    </c:title>
    <c:autoTitleDeleted val="0"/>
    <c:plotArea>
      <c:layout>
        <c:manualLayout>
          <c:layoutTarget val="inner"/>
          <c:xMode val="edge"/>
          <c:yMode val="edge"/>
          <c:x val="0.342013888888889"/>
          <c:y val="0.176388888888889"/>
          <c:w val="0.324305555555556"/>
          <c:h val="0.540509259259259"/>
        </c:manualLayout>
      </c:layout>
      <c:pieChart>
        <c:varyColors val="1"/>
        <c:ser>
          <c:idx val="0"/>
          <c:order val="0"/>
          <c:spPr/>
          <c:explosion val="0"/>
          <c:dLbls>
            <c:delete val="1"/>
          </c:dLbls>
          <c:cat>
            <c:strRef>
              <c:f>图二!$A$1:$A$6</c:f>
              <c:strCache>
                <c:ptCount val="6"/>
                <c:pt idx="0">
                  <c:v>一、一般公共预算财政拨款收入</c:v>
                </c:pt>
                <c:pt idx="1">
                  <c:v>二、政府性基金预算财政拨款收入</c:v>
                </c:pt>
                <c:pt idx="2">
                  <c:v>三、年初结转结余</c:v>
                </c:pt>
              </c:strCache>
            </c:strRef>
          </c:cat>
          <c:val>
            <c:numRef>
              <c:f>图二!$B$1:$B$6</c:f>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1"/>
              <c:layout>
                <c:manualLayout>
                  <c:x val="0.0321654287916653"/>
                  <c:y val="-0.14979027458553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图二!$A$1:$A$6</c:f>
              <c:strCache>
                <c:ptCount val="6"/>
                <c:pt idx="0">
                  <c:v>一、一般公共预算财政拨款收入</c:v>
                </c:pt>
                <c:pt idx="1">
                  <c:v>二、政府性基金预算财政拨款收入</c:v>
                </c:pt>
                <c:pt idx="2">
                  <c:v>三、年初结转结余</c:v>
                </c:pt>
              </c:strCache>
            </c:strRef>
          </c:cat>
          <c:val>
            <c:numRef>
              <c:f>图二!$C$1:$C$6</c:f>
              <c:numCache>
                <c:formatCode>0.00%</c:formatCode>
                <c:ptCount val="6"/>
                <c:pt idx="0">
                  <c:v>0.0932</c:v>
                </c:pt>
                <c:pt idx="1">
                  <c:v>0.7907</c:v>
                </c:pt>
                <c:pt idx="2">
                  <c:v>0.1161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24846894138"/>
          <c:y val="0.150462962962963"/>
          <c:w val="0.566371172353456"/>
          <c:h val="0.689814814814815"/>
        </c:manualLayout>
      </c:layout>
      <c:pieChart>
        <c:varyColors val="1"/>
        <c:ser>
          <c:idx val="0"/>
          <c:order val="0"/>
          <c:explosion val="0"/>
          <c:dPt>
            <c:idx val="0"/>
            <c:bubble3D val="0"/>
          </c:dPt>
          <c:dPt>
            <c:idx val="1"/>
            <c:bubble3D val="0"/>
          </c:dPt>
          <c:dLbls>
            <c:dLbl>
              <c:idx val="0"/>
              <c:layout>
                <c:manualLayout>
                  <c:x val="0.0848707349081365"/>
                  <c:y val="-0.17157334499854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6458880139982"/>
                  <c:y val="0.14014727325750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图三!$A$2:$B$2</c:f>
              <c:strCache>
                <c:ptCount val="2"/>
                <c:pt idx="0">
                  <c:v>基本支出</c:v>
                </c:pt>
                <c:pt idx="1">
                  <c:v>项目支出</c:v>
                </c:pt>
              </c:strCache>
            </c:strRef>
          </c:cat>
          <c:val>
            <c:numRef>
              <c:f>图三!$A$3:$B$3</c:f>
              <c:numCache>
                <c:formatCode>0.00%</c:formatCode>
                <c:ptCount val="2"/>
                <c:pt idx="0">
                  <c:v>0.0132</c:v>
                </c:pt>
                <c:pt idx="1">
                  <c:v>0.9868</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manualLayout>
          <c:xMode val="edge"/>
          <c:yMode val="edge"/>
          <c:x val="0.777043088363955"/>
          <c:y val="0.434801326917469"/>
          <c:w val="0.186845800524934"/>
          <c:h val="0.167434383202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68853893263"/>
          <c:y val="0.0514005540974045"/>
          <c:w val="0.587929790026247"/>
          <c:h val="0.824965368912219"/>
        </c:manualLayout>
      </c:layout>
      <c:barChart>
        <c:barDir val="col"/>
        <c:grouping val="clustered"/>
        <c:varyColors val="0"/>
        <c:ser>
          <c:idx val="0"/>
          <c:order val="0"/>
          <c:invertIfNegative val="0"/>
          <c:dPt>
            <c:idx val="1"/>
            <c:invertIfNegative val="0"/>
            <c:bubble3D val="0"/>
            <c:spPr>
              <a:solidFill>
                <a:srgbClr val="C0000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'[决算公开插图制作示例.xlsx]图4 '!$A$1:$B$1</c:f>
              <c:strCache>
                <c:ptCount val="2"/>
                <c:pt idx="0">
                  <c:v>2021年</c:v>
                </c:pt>
                <c:pt idx="1">
                  <c:v>2022年</c:v>
                </c:pt>
              </c:strCache>
            </c:strRef>
          </c:cat>
          <c:val>
            <c:numRef>
              <c:f>'[决算公开插图制作示例.xlsx]图4 '!$A$2:$B$2</c:f>
              <c:numCache>
                <c:formatCode>General</c:formatCode>
                <c:ptCount val="2"/>
                <c:pt idx="0">
                  <c:v>67743.23</c:v>
                </c:pt>
                <c:pt idx="1">
                  <c:v>50732.82</c:v>
                </c:pt>
              </c:numCache>
            </c:numRef>
          </c:val>
        </c:ser>
        <c:dLbls>
          <c:showLegendKey val="0"/>
          <c:showVal val="1"/>
          <c:showCatName val="0"/>
          <c:showSerName val="0"/>
          <c:showPercent val="0"/>
          <c:showBubbleSize val="0"/>
        </c:dLbls>
        <c:gapWidth val="150"/>
        <c:axId val="133066112"/>
        <c:axId val="133084288"/>
      </c:barChart>
      <c:catAx>
        <c:axId val="133066112"/>
        <c:scaling>
          <c:orientation val="minMax"/>
        </c:scaling>
        <c:delete val="0"/>
        <c:axPos val="b"/>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solidFill>
                <a:latin typeface="+mn-lt"/>
                <a:ea typeface="+mn-ea"/>
                <a:cs typeface="+mn-cs"/>
              </a:defRPr>
            </a:pPr>
          </a:p>
        </c:txPr>
        <c:crossAx val="133084288"/>
        <c:crosses val="autoZero"/>
        <c:auto val="1"/>
        <c:lblAlgn val="ctr"/>
        <c:lblOffset val="100"/>
        <c:noMultiLvlLbl val="0"/>
      </c:catAx>
      <c:valAx>
        <c:axId val="1330842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066112"/>
        <c:crosses val="autoZero"/>
        <c:crossBetween val="between"/>
      </c:valAx>
    </c:plotArea>
    <c:legend>
      <c:legendPos val="r"/>
      <c:layout>
        <c:manualLayout>
          <c:xMode val="edge"/>
          <c:yMode val="edge"/>
          <c:x val="0.763154199475066"/>
          <c:y val="0.360343394575678"/>
          <c:w val="0.220179133858268"/>
          <c:h val="0.279313210848644"/>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571741032371"/>
          <c:y val="0.168676727909011"/>
          <c:w val="0.606249125109361"/>
          <c:h val="0.679911417322835"/>
        </c:manualLayout>
      </c:layout>
      <c:barChart>
        <c:barDir val="col"/>
        <c:grouping val="clustered"/>
        <c:varyColors val="0"/>
        <c:ser>
          <c:idx val="0"/>
          <c:order val="0"/>
          <c:invertIfNegative val="0"/>
          <c:dPt>
            <c:idx val="1"/>
            <c:invertIfNegative val="0"/>
            <c:bubble3D val="0"/>
            <c:spPr>
              <a:solidFill>
                <a:srgbClr val="FF000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图5!$A$1:$B$1</c:f>
              <c:strCache>
                <c:ptCount val="2"/>
                <c:pt idx="0">
                  <c:v>2021年</c:v>
                </c:pt>
                <c:pt idx="1">
                  <c:v>2022年</c:v>
                </c:pt>
              </c:strCache>
            </c:strRef>
          </c:cat>
          <c:val>
            <c:numRef>
              <c:f>图5!$A$2:$B$2</c:f>
              <c:numCache>
                <c:formatCode>General</c:formatCode>
                <c:ptCount val="2"/>
                <c:pt idx="0">
                  <c:v>20279.53</c:v>
                </c:pt>
                <c:pt idx="1">
                  <c:v>10427.67</c:v>
                </c:pt>
              </c:numCache>
            </c:numRef>
          </c:val>
        </c:ser>
        <c:dLbls>
          <c:showLegendKey val="0"/>
          <c:showVal val="1"/>
          <c:showCatName val="0"/>
          <c:showSerName val="0"/>
          <c:showPercent val="0"/>
          <c:showBubbleSize val="0"/>
        </c:dLbls>
        <c:gapWidth val="150"/>
        <c:axId val="133142016"/>
        <c:axId val="133143552"/>
      </c:barChart>
      <c:catAx>
        <c:axId val="133142016"/>
        <c:scaling>
          <c:orientation val="minMax"/>
        </c:scaling>
        <c:delete val="0"/>
        <c:axPos val="b"/>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solidFill>
                <a:latin typeface="+mn-lt"/>
                <a:ea typeface="+mn-ea"/>
                <a:cs typeface="+mn-cs"/>
              </a:defRPr>
            </a:pPr>
          </a:p>
        </c:txPr>
        <c:crossAx val="133143552"/>
        <c:crosses val="autoZero"/>
        <c:auto val="1"/>
        <c:lblAlgn val="ctr"/>
        <c:lblOffset val="100"/>
        <c:noMultiLvlLbl val="0"/>
      </c:catAx>
      <c:valAx>
        <c:axId val="1331435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142016"/>
        <c:crosses val="autoZero"/>
        <c:crossBetween val="between"/>
      </c:valAx>
    </c:plotArea>
    <c:legend>
      <c:legendPos val="tr"/>
      <c:layout>
        <c:manualLayout>
          <c:xMode val="edge"/>
          <c:yMode val="edge"/>
          <c:x val="0.765931977252843"/>
          <c:y val="0.236111111111111"/>
          <c:w val="0.211845800524934"/>
          <c:h val="0.4552391367745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tx2">
                  <a:lumMod val="40000"/>
                  <a:lumOff val="60000"/>
                </a:schemeClr>
              </a:solidFill>
            </c:spPr>
          </c:dPt>
          <c:dPt>
            <c:idx val="1"/>
            <c:bubble3D val="0"/>
          </c:dPt>
          <c:dPt>
            <c:idx val="2"/>
            <c:bubble3D val="0"/>
          </c:dPt>
          <c:dPt>
            <c:idx val="3"/>
            <c:bubble3D val="0"/>
          </c:dPt>
          <c:dLbls>
            <c:dLbl>
              <c:idx val="0"/>
              <c:layout>
                <c:manualLayout>
                  <c:x val="0.0483216316710411"/>
                  <c:y val="0.097738043161271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46208442694663"/>
                  <c:y val="-0.035963108778069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0951443569554"/>
                  <c:y val="-0.13227836103820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66543197725284"/>
                  <c:y val="-0.10867344706911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图6!$A$2:$A$5</c:f>
              <c:strCache>
                <c:ptCount val="4"/>
                <c:pt idx="0">
                  <c:v>城乡社区支出（类）支出</c:v>
                </c:pt>
                <c:pt idx="1">
                  <c:v>社会保障和就业（类）支出</c:v>
                </c:pt>
                <c:pt idx="2">
                  <c:v>卫生健康(类)支出</c:v>
                </c:pt>
                <c:pt idx="3">
                  <c:v>住房保障（类）支出</c:v>
                </c:pt>
              </c:strCache>
            </c:strRef>
          </c:cat>
          <c:val>
            <c:numRef>
              <c:f>图6!$B$2:$B$5</c:f>
              <c:numCache>
                <c:formatCode>General</c:formatCode>
                <c:ptCount val="4"/>
                <c:pt idx="0">
                  <c:v>4088.36</c:v>
                </c:pt>
                <c:pt idx="1">
                  <c:v>69.53</c:v>
                </c:pt>
                <c:pt idx="2">
                  <c:v>34.62</c:v>
                </c:pt>
                <c:pt idx="3">
                  <c:v>4689.81</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Lbls>
            <c:dLbl>
              <c:idx val="0"/>
              <c:layout>
                <c:manualLayout>
                  <c:x val="-0.0677309711286089"/>
                  <c:y val="-0.062589676290463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2130139982502"/>
                  <c:y val="-0.049858194808982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79491251093613"/>
                  <c:y val="0.054969743365412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图7!$A$2:$A$4</c:f>
              <c:strCache>
                <c:ptCount val="3"/>
                <c:pt idx="0">
                  <c:v>因公出国（境）费支出</c:v>
                </c:pt>
                <c:pt idx="1">
                  <c:v>公务用车购置及运行维护费支出</c:v>
                </c:pt>
                <c:pt idx="2">
                  <c:v>公务接待费支出</c:v>
                </c:pt>
              </c:strCache>
            </c:strRef>
          </c:cat>
          <c:val>
            <c:numRef>
              <c:f>图7!$B$2:$B$4</c:f>
              <c:numCache>
                <c:formatCode>General</c:formatCode>
                <c:ptCount val="3"/>
                <c:pt idx="0">
                  <c:v>0</c:v>
                </c:pt>
                <c:pt idx="1">
                  <c:v>0</c:v>
                </c:pt>
                <c:pt idx="2">
                  <c:v>0.32</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manualLayout>
          <c:xMode val="edge"/>
          <c:yMode val="edge"/>
          <c:x val="0.664920094314907"/>
          <c:y val="0.34151738973956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46</Pages>
  <Words>18313</Words>
  <Characters>19650</Characters>
  <Lines>57</Lines>
  <Paragraphs>16</Paragraphs>
  <TotalTime>2</TotalTime>
  <ScaleCrop>false</ScaleCrop>
  <LinksUpToDate>false</LinksUpToDate>
  <CharactersWithSpaces>20033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罗汉</cp:lastModifiedBy>
  <cp:lastPrinted>2022-08-08T09:11:00Z</cp:lastPrinted>
  <dcterms:modified xsi:type="dcterms:W3CDTF">2023-12-27T07:37:50Z</dcterms:modified>
  <dc:title>四川省***</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59B56C0E8F1344B48C7ADFC4B2E988F0_13</vt:lpwstr>
  </property>
</Properties>
</file>