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193"/>
      <w:bookmarkStart w:id="3" w:name="_Toc5315"/>
      <w:bookmarkStart w:id="4" w:name="_Toc15377425"/>
      <w:bookmarkStart w:id="5" w:name="_Toc15396475"/>
      <w:bookmarkStart w:id="6" w:name="_Toc15378441"/>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426"/>
      <w:bookmarkStart w:id="8" w:name="_Toc15378442"/>
      <w:bookmarkStart w:id="9" w:name="_Toc15396476"/>
      <w:bookmarkStart w:id="10" w:name="_Toc15377194"/>
      <w:bookmarkStart w:id="11" w:name="_Toc7763"/>
      <w:bookmarkStart w:id="12" w:name="_Toc15396598"/>
      <w:r>
        <w:rPr>
          <w:rFonts w:hint="eastAsia" w:ascii="方正小标宋简体" w:hAnsi="方正小标宋简体" w:eastAsia="方正小标宋简体" w:cs="方正小标宋简体"/>
          <w:sz w:val="72"/>
          <w:szCs w:val="72"/>
        </w:rPr>
        <w:t>剑阁县</w:t>
      </w:r>
      <w:bookmarkEnd w:id="0"/>
      <w:bookmarkStart w:id="13" w:name="_Toc15306268"/>
      <w:r>
        <w:rPr>
          <w:rFonts w:hint="eastAsia" w:ascii="方正小标宋简体" w:hAnsi="方正小标宋简体" w:eastAsia="方正小标宋简体" w:cs="方正小标宋简体"/>
          <w:sz w:val="72"/>
          <w:szCs w:val="72"/>
          <w:lang w:eastAsia="zh-CN"/>
        </w:rPr>
        <w:t>发展和改革局</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rPr>
        <w:t>单位决算</w:t>
      </w:r>
      <w:bookmarkEnd w:id="7"/>
      <w:bookmarkEnd w:id="8"/>
      <w:bookmarkEnd w:id="9"/>
      <w:bookmarkEnd w:id="10"/>
      <w:bookmarkEnd w:id="11"/>
      <w:bookmarkEnd w:id="12"/>
      <w:bookmarkEnd w:id="13"/>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pPr>
        <w:pStyle w:val="13"/>
      </w:pPr>
      <w:r>
        <w:rPr>
          <w:rFonts w:hint="eastAsia"/>
        </w:rPr>
        <w:t>公开时间：2023年</w:t>
      </w:r>
      <w:r>
        <w:rPr>
          <w:rFonts w:hint="eastAsia"/>
          <w:lang w:val="en-US" w:eastAsia="zh-CN"/>
        </w:rPr>
        <w:t>10</w:t>
      </w:r>
      <w:r>
        <w:rPr>
          <w:rFonts w:hint="eastAsia"/>
        </w:rPr>
        <w:t>月</w:t>
      </w:r>
      <w:r>
        <w:rPr>
          <w:rFonts w:hint="eastAsia"/>
          <w:lang w:val="en-US" w:eastAsia="zh-CN"/>
        </w:rPr>
        <w:t>31</w:t>
      </w:r>
      <w:r>
        <w:rPr>
          <w:rFonts w:hint="eastAsia"/>
        </w:rPr>
        <w:t>日</w:t>
      </w:r>
    </w:p>
    <w:p/>
    <w:sdt>
      <w:sdtPr>
        <w:rPr>
          <w:rFonts w:ascii="宋体" w:hAnsi="宋体" w:eastAsia="宋体" w:cs="Times New Roman"/>
          <w:kern w:val="2"/>
          <w:sz w:val="21"/>
          <w:szCs w:val="24"/>
          <w:lang w:val="en-US" w:eastAsia="zh-CN" w:bidi="ar-SA"/>
        </w:rPr>
        <w:id w:val="147466987"/>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4" w:name="_Toc15396599"/>
          <w:bookmarkStart w:id="15" w:name="_Toc15377196"/>
        </w:p>
        <w:p>
          <w:pPr>
            <w:pStyle w:val="39"/>
            <w:tabs>
              <w:tab w:val="right" w:leader="dot" w:pos="8306"/>
            </w:tabs>
            <w:rPr>
              <w:b/>
            </w:rPr>
          </w:pPr>
          <w:r>
            <w:fldChar w:fldCharType="begin"/>
          </w:r>
          <w:r>
            <w:instrText xml:space="preserve">TOC \o "1-2" \h \u </w:instrText>
          </w:r>
          <w:r>
            <w:fldChar w:fldCharType="separate"/>
          </w:r>
        </w:p>
        <w:p>
          <w:pPr>
            <w:pStyle w:val="39"/>
            <w:tabs>
              <w:tab w:val="right" w:leader="dot" w:pos="8306"/>
            </w:tabs>
            <w:rPr>
              <w:b/>
            </w:rPr>
          </w:pPr>
          <w:r>
            <w:rPr>
              <w:b/>
            </w:rPr>
            <w:fldChar w:fldCharType="begin"/>
          </w:r>
          <w:r>
            <w:rPr>
              <w:b/>
            </w:rPr>
            <w:instrText xml:space="preserve"> HYPERLINK \l _Toc6958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_Toc6958 \h </w:instrText>
          </w:r>
          <w:r>
            <w:rPr>
              <w:b/>
            </w:rPr>
            <w:fldChar w:fldCharType="separate"/>
          </w:r>
          <w:r>
            <w:rPr>
              <w:b/>
            </w:rPr>
            <w:t>3</w:t>
          </w:r>
          <w:r>
            <w:rPr>
              <w:b/>
            </w:rPr>
            <w:fldChar w:fldCharType="end"/>
          </w:r>
          <w:r>
            <w:rPr>
              <w:b/>
            </w:rPr>
            <w:fldChar w:fldCharType="end"/>
          </w:r>
        </w:p>
        <w:p>
          <w:pPr>
            <w:pStyle w:val="40"/>
            <w:tabs>
              <w:tab w:val="right" w:leader="dot" w:pos="8306"/>
            </w:tabs>
          </w:pPr>
          <w:r>
            <w:fldChar w:fldCharType="begin"/>
          </w:r>
          <w:r>
            <w:instrText xml:space="preserve"> HYPERLINK \l _Toc20075 </w:instrText>
          </w:r>
          <w:r>
            <w:fldChar w:fldCharType="separate"/>
          </w:r>
          <w:r>
            <w:rPr>
              <w:rFonts w:hint="eastAsia" w:ascii="黑体" w:hAnsi="黑体" w:eastAsia="黑体"/>
              <w:bCs w:val="0"/>
            </w:rPr>
            <w:t>一、 主要职责</w:t>
          </w:r>
          <w:r>
            <w:tab/>
          </w:r>
          <w:r>
            <w:fldChar w:fldCharType="begin"/>
          </w:r>
          <w:r>
            <w:instrText xml:space="preserve"> PAGEREF _Toc20075 \h </w:instrText>
          </w:r>
          <w:r>
            <w:fldChar w:fldCharType="separate"/>
          </w:r>
          <w:r>
            <w:t>3</w:t>
          </w:r>
          <w:r>
            <w:fldChar w:fldCharType="end"/>
          </w:r>
          <w:r>
            <w:fldChar w:fldCharType="end"/>
          </w:r>
        </w:p>
        <w:p>
          <w:pPr>
            <w:pStyle w:val="40"/>
            <w:tabs>
              <w:tab w:val="right" w:leader="dot" w:pos="8306"/>
            </w:tabs>
          </w:pPr>
          <w:r>
            <w:fldChar w:fldCharType="begin"/>
          </w:r>
          <w:r>
            <w:instrText xml:space="preserve"> HYPERLINK \l _Toc5110 </w:instrText>
          </w:r>
          <w:r>
            <w:fldChar w:fldCharType="separate"/>
          </w:r>
          <w:r>
            <w:rPr>
              <w:rFonts w:hint="eastAsia" w:ascii="黑体" w:hAnsi="黑体" w:eastAsia="黑体"/>
            </w:rPr>
            <w:t>二、 机构设置</w:t>
          </w:r>
          <w:r>
            <w:tab/>
          </w:r>
          <w:r>
            <w:fldChar w:fldCharType="begin"/>
          </w:r>
          <w:r>
            <w:instrText xml:space="preserve"> PAGEREF _Toc5110 \h </w:instrText>
          </w:r>
          <w:r>
            <w:fldChar w:fldCharType="separate"/>
          </w:r>
          <w:r>
            <w:t>7</w:t>
          </w:r>
          <w:r>
            <w:fldChar w:fldCharType="end"/>
          </w:r>
          <w:r>
            <w:fldChar w:fldCharType="end"/>
          </w:r>
        </w:p>
        <w:p>
          <w:pPr>
            <w:pStyle w:val="39"/>
            <w:tabs>
              <w:tab w:val="right" w:leader="dot" w:pos="8306"/>
            </w:tabs>
            <w:rPr>
              <w:b/>
            </w:rPr>
          </w:pPr>
          <w:r>
            <w:rPr>
              <w:b/>
            </w:rPr>
            <w:fldChar w:fldCharType="begin"/>
          </w:r>
          <w:r>
            <w:rPr>
              <w:b/>
            </w:rPr>
            <w:instrText xml:space="preserve"> HYPERLINK \l _Toc20353 </w:instrText>
          </w:r>
          <w:r>
            <w:rPr>
              <w:b/>
            </w:rPr>
            <w:fldChar w:fldCharType="separate"/>
          </w:r>
          <w:r>
            <w:rPr>
              <w:rFonts w:hint="eastAsia" w:ascii="黑体" w:hAnsi="黑体" w:eastAsia="黑体"/>
              <w:b/>
            </w:rPr>
            <w:t>第二部分 2022年度</w:t>
          </w:r>
          <w:r>
            <w:rPr>
              <w:rFonts w:hint="eastAsia" w:ascii="黑体" w:hAnsi="黑体" w:eastAsia="黑体"/>
              <w:b/>
              <w:bCs/>
            </w:rPr>
            <w:t>单位决算情况说明</w:t>
          </w:r>
          <w:r>
            <w:rPr>
              <w:b/>
            </w:rPr>
            <w:tab/>
          </w:r>
          <w:r>
            <w:rPr>
              <w:b/>
            </w:rPr>
            <w:fldChar w:fldCharType="begin"/>
          </w:r>
          <w:r>
            <w:rPr>
              <w:b/>
            </w:rPr>
            <w:instrText xml:space="preserve"> PAGEREF _Toc20353 \h </w:instrText>
          </w:r>
          <w:r>
            <w:rPr>
              <w:b/>
            </w:rPr>
            <w:fldChar w:fldCharType="separate"/>
          </w:r>
          <w:r>
            <w:rPr>
              <w:b/>
            </w:rPr>
            <w:t>8</w:t>
          </w:r>
          <w:r>
            <w:rPr>
              <w:b/>
            </w:rPr>
            <w:fldChar w:fldCharType="end"/>
          </w:r>
          <w:r>
            <w:rPr>
              <w:b/>
            </w:rPr>
            <w:fldChar w:fldCharType="end"/>
          </w:r>
        </w:p>
        <w:p>
          <w:pPr>
            <w:pStyle w:val="40"/>
            <w:tabs>
              <w:tab w:val="right" w:leader="dot" w:pos="8306"/>
            </w:tabs>
          </w:pPr>
          <w:r>
            <w:fldChar w:fldCharType="begin"/>
          </w:r>
          <w:r>
            <w:instrText xml:space="preserve"> HYPERLINK \l _Toc14991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_Toc14991 \h </w:instrText>
          </w:r>
          <w:r>
            <w:fldChar w:fldCharType="separate"/>
          </w:r>
          <w:r>
            <w:t>8</w:t>
          </w:r>
          <w:r>
            <w:fldChar w:fldCharType="end"/>
          </w:r>
          <w:r>
            <w:fldChar w:fldCharType="end"/>
          </w:r>
        </w:p>
        <w:p>
          <w:pPr>
            <w:pStyle w:val="40"/>
            <w:tabs>
              <w:tab w:val="right" w:leader="dot" w:pos="8306"/>
            </w:tabs>
          </w:pPr>
          <w:r>
            <w:fldChar w:fldCharType="begin"/>
          </w:r>
          <w:r>
            <w:instrText xml:space="preserve"> HYPERLINK \l _Toc6597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_Toc6597 \h </w:instrText>
          </w:r>
          <w:r>
            <w:fldChar w:fldCharType="separate"/>
          </w:r>
          <w:r>
            <w:t>8</w:t>
          </w:r>
          <w:r>
            <w:fldChar w:fldCharType="end"/>
          </w:r>
          <w:r>
            <w:fldChar w:fldCharType="end"/>
          </w:r>
        </w:p>
        <w:p>
          <w:pPr>
            <w:pStyle w:val="40"/>
            <w:tabs>
              <w:tab w:val="right" w:leader="dot" w:pos="8306"/>
            </w:tabs>
          </w:pPr>
          <w:r>
            <w:fldChar w:fldCharType="begin"/>
          </w:r>
          <w:r>
            <w:instrText xml:space="preserve"> HYPERLINK \l _Toc23866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_Toc23866 \h </w:instrText>
          </w:r>
          <w:r>
            <w:fldChar w:fldCharType="separate"/>
          </w:r>
          <w:r>
            <w:t>9</w:t>
          </w:r>
          <w:r>
            <w:fldChar w:fldCharType="end"/>
          </w:r>
          <w:r>
            <w:fldChar w:fldCharType="end"/>
          </w:r>
        </w:p>
        <w:p>
          <w:pPr>
            <w:pStyle w:val="40"/>
            <w:tabs>
              <w:tab w:val="right" w:leader="dot" w:pos="8306"/>
            </w:tabs>
          </w:pPr>
          <w:r>
            <w:fldChar w:fldCharType="begin"/>
          </w:r>
          <w:r>
            <w:instrText xml:space="preserve"> HYPERLINK \l _Toc4692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_Toc4692 \h </w:instrText>
          </w:r>
          <w:r>
            <w:fldChar w:fldCharType="separate"/>
          </w:r>
          <w:r>
            <w:t>10</w:t>
          </w:r>
          <w:r>
            <w:fldChar w:fldCharType="end"/>
          </w:r>
          <w:r>
            <w:fldChar w:fldCharType="end"/>
          </w:r>
        </w:p>
        <w:p>
          <w:pPr>
            <w:pStyle w:val="40"/>
            <w:tabs>
              <w:tab w:val="right" w:leader="dot" w:pos="8306"/>
            </w:tabs>
          </w:pPr>
          <w:r>
            <w:fldChar w:fldCharType="begin"/>
          </w:r>
          <w:r>
            <w:instrText xml:space="preserve"> HYPERLINK \l _Toc13648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_Toc13648 \h </w:instrText>
          </w:r>
          <w:r>
            <w:fldChar w:fldCharType="separate"/>
          </w:r>
          <w:r>
            <w:t>10</w:t>
          </w:r>
          <w:r>
            <w:fldChar w:fldCharType="end"/>
          </w:r>
          <w:r>
            <w:fldChar w:fldCharType="end"/>
          </w:r>
        </w:p>
        <w:p>
          <w:pPr>
            <w:pStyle w:val="40"/>
            <w:tabs>
              <w:tab w:val="right" w:leader="dot" w:pos="8306"/>
            </w:tabs>
          </w:pPr>
          <w:r>
            <w:fldChar w:fldCharType="begin"/>
          </w:r>
          <w:r>
            <w:instrText xml:space="preserve"> HYPERLINK \l _Toc12726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_Toc12726 \h </w:instrText>
          </w:r>
          <w:r>
            <w:fldChar w:fldCharType="separate"/>
          </w:r>
          <w:r>
            <w:t>12</w:t>
          </w:r>
          <w:r>
            <w:fldChar w:fldCharType="end"/>
          </w:r>
          <w:r>
            <w:fldChar w:fldCharType="end"/>
          </w:r>
        </w:p>
        <w:p>
          <w:pPr>
            <w:pStyle w:val="40"/>
            <w:tabs>
              <w:tab w:val="right" w:leader="dot" w:pos="8306"/>
            </w:tabs>
          </w:pPr>
          <w:r>
            <w:fldChar w:fldCharType="begin"/>
          </w:r>
          <w:r>
            <w:instrText xml:space="preserve"> HYPERLINK \l _Toc21653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_Toc21653 \h </w:instrText>
          </w:r>
          <w:r>
            <w:fldChar w:fldCharType="separate"/>
          </w:r>
          <w:r>
            <w:t>13</w:t>
          </w:r>
          <w:r>
            <w:fldChar w:fldCharType="end"/>
          </w:r>
          <w:r>
            <w:fldChar w:fldCharType="end"/>
          </w:r>
        </w:p>
        <w:p>
          <w:pPr>
            <w:pStyle w:val="40"/>
            <w:tabs>
              <w:tab w:val="right" w:leader="dot" w:pos="8306"/>
            </w:tabs>
          </w:pPr>
          <w:r>
            <w:fldChar w:fldCharType="begin"/>
          </w:r>
          <w:r>
            <w:instrText xml:space="preserve"> HYPERLINK \l _Toc15342 </w:instrText>
          </w:r>
          <w:r>
            <w:fldChar w:fldCharType="separate"/>
          </w:r>
          <w:r>
            <w:rPr>
              <w:rFonts w:hint="eastAsia" w:ascii="黑体" w:hAnsi="黑体" w:eastAsia="黑体" w:cs="黑体"/>
              <w:bCs w:val="0"/>
              <w:kern w:val="0"/>
              <w:szCs w:val="32"/>
              <w:lang w:val="en-US" w:eastAsia="zh-CN" w:bidi="ar-SA"/>
            </w:rPr>
            <w:t>八、政府性基金预算支出决算情况说明</w:t>
          </w:r>
          <w:r>
            <w:tab/>
          </w:r>
          <w:r>
            <w:fldChar w:fldCharType="begin"/>
          </w:r>
          <w:r>
            <w:instrText xml:space="preserve"> PAGEREF _Toc15342 \h </w:instrText>
          </w:r>
          <w:r>
            <w:fldChar w:fldCharType="separate"/>
          </w:r>
          <w:r>
            <w:t>14</w:t>
          </w:r>
          <w:r>
            <w:fldChar w:fldCharType="end"/>
          </w:r>
          <w:r>
            <w:fldChar w:fldCharType="end"/>
          </w:r>
        </w:p>
        <w:p>
          <w:pPr>
            <w:pStyle w:val="40"/>
            <w:tabs>
              <w:tab w:val="right" w:leader="dot" w:pos="8306"/>
            </w:tabs>
          </w:pPr>
          <w:r>
            <w:fldChar w:fldCharType="begin"/>
          </w:r>
          <w:r>
            <w:instrText xml:space="preserve"> HYPERLINK \l _Toc24819 </w:instrText>
          </w:r>
          <w:r>
            <w:fldChar w:fldCharType="separate"/>
          </w:r>
          <w:r>
            <w:rPr>
              <w:rFonts w:hint="eastAsia" w:ascii="黑体" w:hAnsi="黑体" w:eastAsia="黑体" w:cs="黑体"/>
              <w:bCs w:val="0"/>
              <w:kern w:val="0"/>
              <w:szCs w:val="32"/>
              <w:lang w:val="en-US" w:eastAsia="zh-CN" w:bidi="ar-SA"/>
            </w:rPr>
            <w:t>九、 国有资本经营预算支出决算情况说明</w:t>
          </w:r>
          <w:r>
            <w:tab/>
          </w:r>
          <w:r>
            <w:fldChar w:fldCharType="begin"/>
          </w:r>
          <w:r>
            <w:instrText xml:space="preserve"> PAGEREF _Toc24819 \h </w:instrText>
          </w:r>
          <w:r>
            <w:fldChar w:fldCharType="separate"/>
          </w:r>
          <w:r>
            <w:t>15</w:t>
          </w:r>
          <w:r>
            <w:fldChar w:fldCharType="end"/>
          </w:r>
          <w:r>
            <w:fldChar w:fldCharType="end"/>
          </w:r>
        </w:p>
        <w:p>
          <w:pPr>
            <w:pStyle w:val="40"/>
            <w:tabs>
              <w:tab w:val="right" w:leader="dot" w:pos="8306"/>
            </w:tabs>
          </w:pPr>
          <w:r>
            <w:fldChar w:fldCharType="begin"/>
          </w:r>
          <w:r>
            <w:instrText xml:space="preserve"> HYPERLINK \l _Toc16362 </w:instrText>
          </w:r>
          <w:r>
            <w:fldChar w:fldCharType="separate"/>
          </w:r>
          <w:r>
            <w:rPr>
              <w:rFonts w:hint="eastAsia" w:ascii="黑体" w:hAnsi="黑体" w:eastAsia="黑体"/>
            </w:rPr>
            <w:t>十、 其他重要事项的情况说明</w:t>
          </w:r>
          <w:r>
            <w:tab/>
          </w:r>
          <w:r>
            <w:fldChar w:fldCharType="begin"/>
          </w:r>
          <w:r>
            <w:instrText xml:space="preserve"> PAGEREF _Toc16362 \h </w:instrText>
          </w:r>
          <w:r>
            <w:fldChar w:fldCharType="separate"/>
          </w:r>
          <w:r>
            <w:t>15</w:t>
          </w:r>
          <w:r>
            <w:fldChar w:fldCharType="end"/>
          </w:r>
          <w:r>
            <w:fldChar w:fldCharType="end"/>
          </w:r>
        </w:p>
        <w:p>
          <w:pPr>
            <w:pStyle w:val="39"/>
            <w:tabs>
              <w:tab w:val="right" w:leader="dot" w:pos="8306"/>
            </w:tabs>
          </w:pPr>
          <w:r>
            <w:rPr>
              <w:b/>
            </w:rPr>
            <w:fldChar w:fldCharType="begin"/>
          </w:r>
          <w:r>
            <w:rPr>
              <w:b/>
            </w:rPr>
            <w:instrText xml:space="preserve"> HYPERLINK \l _Toc23393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_Toc23393 \h </w:instrText>
          </w:r>
          <w:r>
            <w:rPr>
              <w:b/>
            </w:rPr>
            <w:fldChar w:fldCharType="separate"/>
          </w:r>
          <w:r>
            <w:rPr>
              <w:b/>
            </w:rPr>
            <w:t>16</w:t>
          </w:r>
          <w:r>
            <w:rPr>
              <w:b/>
            </w:rPr>
            <w:fldChar w:fldCharType="end"/>
          </w:r>
          <w:r>
            <w:rPr>
              <w:b/>
            </w:rPr>
            <w:fldChar w:fldCharType="end"/>
          </w:r>
        </w:p>
        <w:p>
          <w:pPr>
            <w:pStyle w:val="39"/>
            <w:tabs>
              <w:tab w:val="right" w:leader="dot" w:pos="8306"/>
            </w:tabs>
            <w:rPr>
              <w:b/>
            </w:rPr>
          </w:pPr>
          <w:r>
            <w:rPr>
              <w:b/>
            </w:rPr>
            <w:fldChar w:fldCharType="begin"/>
          </w:r>
          <w:r>
            <w:rPr>
              <w:b/>
            </w:rPr>
            <w:instrText xml:space="preserve"> HYPERLINK \l _Toc18484 </w:instrText>
          </w:r>
          <w:r>
            <w:rPr>
              <w:b/>
            </w:rPr>
            <w:fldChar w:fldCharType="separate"/>
          </w:r>
          <w:r>
            <w:rPr>
              <w:rFonts w:hint="eastAsia" w:ascii="黑体" w:hAnsi="黑体" w:eastAsia="黑体"/>
              <w:b/>
              <w:szCs w:val="44"/>
              <w:lang w:eastAsia="zh-CN"/>
            </w:rPr>
            <w:t>第四部分</w:t>
          </w:r>
          <w:r>
            <w:rPr>
              <w:rFonts w:hint="eastAsia" w:ascii="黑体" w:hAnsi="黑体" w:eastAsia="黑体"/>
              <w:b/>
              <w:szCs w:val="44"/>
              <w:lang w:val="en-US" w:eastAsia="zh-CN"/>
            </w:rPr>
            <w:t xml:space="preserve"> 附件</w:t>
          </w:r>
          <w:r>
            <w:rPr>
              <w:b/>
            </w:rPr>
            <w:tab/>
          </w:r>
          <w:r>
            <w:rPr>
              <w:b/>
            </w:rPr>
            <w:fldChar w:fldCharType="begin"/>
          </w:r>
          <w:r>
            <w:rPr>
              <w:b/>
            </w:rPr>
            <w:instrText xml:space="preserve"> PAGEREF _Toc18484 \h </w:instrText>
          </w:r>
          <w:r>
            <w:rPr>
              <w:b/>
            </w:rPr>
            <w:fldChar w:fldCharType="separate"/>
          </w:r>
          <w:r>
            <w:rPr>
              <w:b/>
            </w:rPr>
            <w:t>18</w:t>
          </w:r>
          <w:r>
            <w:rPr>
              <w:b/>
            </w:rPr>
            <w:fldChar w:fldCharType="end"/>
          </w:r>
          <w:r>
            <w:rPr>
              <w:b/>
            </w:rPr>
            <w:fldChar w:fldCharType="end"/>
          </w:r>
        </w:p>
        <w:p>
          <w:pPr>
            <w:pStyle w:val="39"/>
            <w:tabs>
              <w:tab w:val="right" w:leader="dot" w:pos="8306"/>
            </w:tabs>
            <w:rPr>
              <w:b/>
            </w:rPr>
          </w:pPr>
          <w:r>
            <w:rPr>
              <w:b/>
            </w:rPr>
            <w:fldChar w:fldCharType="begin"/>
          </w:r>
          <w:r>
            <w:rPr>
              <w:b/>
            </w:rPr>
            <w:instrText xml:space="preserve"> HYPERLINK \l _Toc16870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_Toc16870 \h </w:instrText>
          </w:r>
          <w:r>
            <w:rPr>
              <w:b/>
            </w:rPr>
            <w:fldChar w:fldCharType="separate"/>
          </w:r>
          <w:r>
            <w:rPr>
              <w:b/>
            </w:rPr>
            <w:t>20</w:t>
          </w:r>
          <w:r>
            <w:rPr>
              <w:b/>
            </w:rPr>
            <w:fldChar w:fldCharType="end"/>
          </w:r>
          <w:r>
            <w:rPr>
              <w:b/>
            </w:rPr>
            <w:fldChar w:fldCharType="end"/>
          </w:r>
        </w:p>
        <w:p>
          <w:pPr>
            <w:pStyle w:val="40"/>
            <w:tabs>
              <w:tab w:val="right" w:leader="dot" w:pos="8306"/>
            </w:tabs>
          </w:pPr>
          <w:r>
            <w:fldChar w:fldCharType="begin"/>
          </w:r>
          <w:r>
            <w:instrText xml:space="preserve"> HYPERLINK \l _Toc16496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_Toc16496 \h </w:instrText>
          </w:r>
          <w:r>
            <w:fldChar w:fldCharType="separate"/>
          </w:r>
          <w:r>
            <w:t>20</w:t>
          </w:r>
          <w:r>
            <w:fldChar w:fldCharType="end"/>
          </w:r>
          <w:r>
            <w:fldChar w:fldCharType="end"/>
          </w:r>
        </w:p>
        <w:p>
          <w:pPr>
            <w:pStyle w:val="40"/>
            <w:tabs>
              <w:tab w:val="right" w:leader="dot" w:pos="8306"/>
            </w:tabs>
          </w:pPr>
          <w:r>
            <w:fldChar w:fldCharType="begin"/>
          </w:r>
          <w:r>
            <w:instrText xml:space="preserve"> HYPERLINK \l _Toc4514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_Toc4514 \h </w:instrText>
          </w:r>
          <w:r>
            <w:fldChar w:fldCharType="separate"/>
          </w:r>
          <w:r>
            <w:t>20</w:t>
          </w:r>
          <w:r>
            <w:fldChar w:fldCharType="end"/>
          </w:r>
          <w:r>
            <w:fldChar w:fldCharType="end"/>
          </w:r>
        </w:p>
        <w:p>
          <w:pPr>
            <w:pStyle w:val="40"/>
            <w:tabs>
              <w:tab w:val="right" w:leader="dot" w:pos="8306"/>
            </w:tabs>
          </w:pPr>
          <w:r>
            <w:fldChar w:fldCharType="begin"/>
          </w:r>
          <w:r>
            <w:instrText xml:space="preserve"> HYPERLINK \l _Toc18572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_Toc18572 \h </w:instrText>
          </w:r>
          <w:r>
            <w:fldChar w:fldCharType="separate"/>
          </w:r>
          <w:r>
            <w:t>20</w:t>
          </w:r>
          <w:r>
            <w:fldChar w:fldCharType="end"/>
          </w:r>
          <w:r>
            <w:fldChar w:fldCharType="end"/>
          </w:r>
        </w:p>
        <w:p>
          <w:pPr>
            <w:pStyle w:val="40"/>
            <w:tabs>
              <w:tab w:val="right" w:leader="dot" w:pos="8306"/>
            </w:tabs>
          </w:pPr>
          <w:r>
            <w:fldChar w:fldCharType="begin"/>
          </w:r>
          <w:r>
            <w:instrText xml:space="preserve"> HYPERLINK \l _Toc12667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_Toc12667 \h </w:instrText>
          </w:r>
          <w:r>
            <w:fldChar w:fldCharType="separate"/>
          </w:r>
          <w:r>
            <w:t>20</w:t>
          </w:r>
          <w:r>
            <w:fldChar w:fldCharType="end"/>
          </w:r>
          <w:r>
            <w:fldChar w:fldCharType="end"/>
          </w:r>
        </w:p>
        <w:p>
          <w:pPr>
            <w:pStyle w:val="40"/>
            <w:tabs>
              <w:tab w:val="right" w:leader="dot" w:pos="8306"/>
            </w:tabs>
          </w:pPr>
          <w:r>
            <w:fldChar w:fldCharType="begin"/>
          </w:r>
          <w:r>
            <w:instrText xml:space="preserve"> HYPERLINK \l _Toc26139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_Toc26139 \h </w:instrText>
          </w:r>
          <w:r>
            <w:fldChar w:fldCharType="separate"/>
          </w:r>
          <w:r>
            <w:t>20</w:t>
          </w:r>
          <w:r>
            <w:fldChar w:fldCharType="end"/>
          </w:r>
          <w:r>
            <w:fldChar w:fldCharType="end"/>
          </w:r>
        </w:p>
        <w:p>
          <w:pPr>
            <w:pStyle w:val="40"/>
            <w:tabs>
              <w:tab w:val="right" w:leader="dot" w:pos="8306"/>
            </w:tabs>
          </w:pPr>
          <w:r>
            <w:fldChar w:fldCharType="begin"/>
          </w:r>
          <w:r>
            <w:instrText xml:space="preserve"> HYPERLINK \l _Toc28833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_Toc28833 \h </w:instrText>
          </w:r>
          <w:r>
            <w:fldChar w:fldCharType="separate"/>
          </w:r>
          <w:r>
            <w:t>20</w:t>
          </w:r>
          <w:r>
            <w:fldChar w:fldCharType="end"/>
          </w:r>
          <w:r>
            <w:fldChar w:fldCharType="end"/>
          </w:r>
        </w:p>
        <w:p>
          <w:pPr>
            <w:pStyle w:val="40"/>
            <w:tabs>
              <w:tab w:val="right" w:leader="dot" w:pos="8306"/>
            </w:tabs>
          </w:pPr>
          <w:r>
            <w:fldChar w:fldCharType="begin"/>
          </w:r>
          <w:r>
            <w:instrText xml:space="preserve"> HYPERLINK \l _Toc13260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_Toc13260 \h </w:instrText>
          </w:r>
          <w:r>
            <w:fldChar w:fldCharType="separate"/>
          </w:r>
          <w:r>
            <w:t>20</w:t>
          </w:r>
          <w:r>
            <w:fldChar w:fldCharType="end"/>
          </w:r>
          <w:r>
            <w:fldChar w:fldCharType="end"/>
          </w:r>
        </w:p>
        <w:p>
          <w:pPr>
            <w:pStyle w:val="40"/>
            <w:tabs>
              <w:tab w:val="right" w:leader="dot" w:pos="8306"/>
            </w:tabs>
          </w:pPr>
          <w:r>
            <w:fldChar w:fldCharType="begin"/>
          </w:r>
          <w:r>
            <w:instrText xml:space="preserve"> HYPERLINK \l _Toc28227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_Toc28227 \h </w:instrText>
          </w:r>
          <w:r>
            <w:fldChar w:fldCharType="separate"/>
          </w:r>
          <w:r>
            <w:t>20</w:t>
          </w:r>
          <w:r>
            <w:fldChar w:fldCharType="end"/>
          </w:r>
          <w:r>
            <w:fldChar w:fldCharType="end"/>
          </w:r>
        </w:p>
        <w:p>
          <w:pPr>
            <w:pStyle w:val="40"/>
            <w:tabs>
              <w:tab w:val="right" w:leader="dot" w:pos="8306"/>
            </w:tabs>
          </w:pPr>
          <w:r>
            <w:fldChar w:fldCharType="begin"/>
          </w:r>
          <w:r>
            <w:instrText xml:space="preserve"> HYPERLINK \l _Toc28262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_Toc28262 \h </w:instrText>
          </w:r>
          <w:r>
            <w:fldChar w:fldCharType="separate"/>
          </w:r>
          <w:r>
            <w:t>20</w:t>
          </w:r>
          <w:r>
            <w:fldChar w:fldCharType="end"/>
          </w:r>
          <w:r>
            <w:fldChar w:fldCharType="end"/>
          </w:r>
        </w:p>
        <w:p>
          <w:pPr>
            <w:pStyle w:val="40"/>
            <w:tabs>
              <w:tab w:val="right" w:leader="dot" w:pos="8306"/>
            </w:tabs>
          </w:pPr>
          <w:r>
            <w:fldChar w:fldCharType="begin"/>
          </w:r>
          <w:r>
            <w:instrText xml:space="preserve"> HYPERLINK \l _Toc27927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_Toc27927 \h </w:instrText>
          </w:r>
          <w:r>
            <w:fldChar w:fldCharType="separate"/>
          </w:r>
          <w:r>
            <w:t>20</w:t>
          </w:r>
          <w:r>
            <w:fldChar w:fldCharType="end"/>
          </w:r>
          <w:r>
            <w:fldChar w:fldCharType="end"/>
          </w:r>
        </w:p>
        <w:p>
          <w:pPr>
            <w:pStyle w:val="40"/>
            <w:tabs>
              <w:tab w:val="right" w:leader="dot" w:pos="8306"/>
            </w:tabs>
          </w:pPr>
          <w:r>
            <w:fldChar w:fldCharType="begin"/>
          </w:r>
          <w:r>
            <w:instrText xml:space="preserve"> HYPERLINK \l _Toc2729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_Toc2729 \h </w:instrText>
          </w:r>
          <w:r>
            <w:fldChar w:fldCharType="separate"/>
          </w:r>
          <w:r>
            <w:t>20</w:t>
          </w:r>
          <w:r>
            <w:fldChar w:fldCharType="end"/>
          </w:r>
          <w:r>
            <w:fldChar w:fldCharType="end"/>
          </w:r>
        </w:p>
        <w:p>
          <w:pPr>
            <w:pStyle w:val="40"/>
            <w:tabs>
              <w:tab w:val="right" w:leader="dot" w:pos="8306"/>
            </w:tabs>
          </w:pPr>
          <w:r>
            <w:fldChar w:fldCharType="begin"/>
          </w:r>
          <w:r>
            <w:instrText xml:space="preserve"> HYPERLINK \l _Toc24629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_Toc24629 \h </w:instrText>
          </w:r>
          <w:r>
            <w:fldChar w:fldCharType="separate"/>
          </w:r>
          <w:r>
            <w:t>20</w:t>
          </w:r>
          <w:r>
            <w:fldChar w:fldCharType="end"/>
          </w:r>
          <w:r>
            <w:fldChar w:fldCharType="end"/>
          </w:r>
        </w:p>
        <w:p>
          <w:pPr>
            <w:pStyle w:val="40"/>
            <w:tabs>
              <w:tab w:val="right" w:leader="dot" w:pos="8306"/>
            </w:tabs>
          </w:pPr>
          <w:r>
            <w:fldChar w:fldCharType="begin"/>
          </w:r>
          <w:r>
            <w:instrText xml:space="preserve"> HYPERLINK \l _Toc9021 </w:instrText>
          </w:r>
          <w:r>
            <w:fldChar w:fldCharType="separate"/>
          </w:r>
          <w:r>
            <w:rPr>
              <w:rFonts w:hint="eastAsia" w:ascii="仿宋" w:hAnsi="仿宋" w:eastAsia="仿宋"/>
              <w:bCs w:val="0"/>
            </w:rPr>
            <w:t>十三、财政拨款“三公”经费支出决算表</w:t>
          </w:r>
          <w:r>
            <w:tab/>
          </w:r>
          <w:r>
            <w:fldChar w:fldCharType="begin"/>
          </w:r>
          <w:r>
            <w:instrText xml:space="preserve"> PAGEREF _Toc9021 \h </w:instrText>
          </w:r>
          <w:r>
            <w:fldChar w:fldCharType="separate"/>
          </w:r>
          <w:r>
            <w:t>20</w:t>
          </w:r>
          <w:r>
            <w:fldChar w:fldCharType="end"/>
          </w:r>
          <w:r>
            <w:fldChar w:fldCharType="end"/>
          </w:r>
        </w:p>
        <w:p>
          <w:r>
            <w:rPr>
              <w:b/>
            </w:rPr>
            <w:fldChar w:fldCharType="end"/>
          </w:r>
        </w:p>
      </w:sdtContent>
    </w:sdt>
    <w:p>
      <w:pPr>
        <w:pStyle w:val="4"/>
        <w:jc w:val="center"/>
        <w:rPr>
          <w:rFonts w:ascii="黑体" w:eastAsia="黑体"/>
          <w:sz w:val="32"/>
          <w:szCs w:val="32"/>
        </w:rPr>
      </w:pPr>
      <w:bookmarkStart w:id="16" w:name="_Toc6958"/>
      <w:r>
        <w:rPr>
          <w:rFonts w:hint="eastAsia" w:ascii="黑体" w:hAnsi="黑体" w:eastAsia="黑体"/>
          <w:b w:val="0"/>
        </w:rPr>
        <w:t>第一部分 单位</w:t>
      </w:r>
      <w:r>
        <w:rPr>
          <w:rStyle w:val="28"/>
          <w:rFonts w:hint="eastAsia" w:ascii="黑体" w:hAnsi="黑体" w:eastAsia="黑体"/>
          <w:b w:val="0"/>
          <w:bCs w:val="0"/>
        </w:rPr>
        <w:t>概况</w:t>
      </w:r>
      <w:bookmarkEnd w:id="14"/>
      <w:bookmarkEnd w:id="15"/>
      <w:bookmarkEnd w:id="16"/>
    </w:p>
    <w:p>
      <w:pPr>
        <w:pStyle w:val="5"/>
        <w:numPr>
          <w:ilvl w:val="0"/>
          <w:numId w:val="1"/>
        </w:numPr>
        <w:rPr>
          <w:rStyle w:val="29"/>
          <w:rFonts w:ascii="黑体" w:hAnsi="黑体" w:eastAsia="黑体"/>
          <w:b w:val="0"/>
          <w:bCs w:val="0"/>
        </w:rPr>
      </w:pPr>
      <w:bookmarkStart w:id="17" w:name="_Toc20075"/>
      <w:bookmarkStart w:id="18" w:name="_Toc15396600"/>
      <w:bookmarkStart w:id="19" w:name="_Toc15377197"/>
      <w:r>
        <w:rPr>
          <w:rStyle w:val="29"/>
          <w:rFonts w:hint="eastAsia" w:ascii="黑体" w:hAnsi="黑体" w:eastAsia="黑体"/>
          <w:b w:val="0"/>
          <w:bCs w:val="0"/>
        </w:rPr>
        <w:t>主要职责</w:t>
      </w:r>
      <w:bookmarkEnd w:id="17"/>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t>（一）单位职责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1.贯彻实施国家有关国民经济和社会发展、经济体制改革的方针、政策和法律法规</w:t>
      </w:r>
      <w:bookmarkStart w:id="104" w:name="_GoBack"/>
      <w:bookmarkEnd w:id="104"/>
      <w:r>
        <w:rPr>
          <w:rFonts w:hint="eastAsia" w:ascii="仿宋_GB2312" w:hAnsi="仿宋_GB2312" w:eastAsia="仿宋_GB2312" w:cs="仿宋_GB2312"/>
          <w:b w:val="0"/>
          <w:bCs/>
          <w:kern w:val="2"/>
          <w:sz w:val="32"/>
          <w:szCs w:val="32"/>
          <w:lang w:val="en-US" w:eastAsia="zh-CN" w:bidi="ar-SA"/>
        </w:rPr>
        <w:t>；</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2.负责拟订组织实施全县国民经济和社会发展战略、中长期规划和年度计划，统筹协调全县经济社会发展；</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3.负责监测宏观经济和社会发展态势，承担预测预警和信息引导的责任；</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4.负责汇总和分析全县财政、金融等方面的情况；</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5.承担指导推进和综合协调全县经济体制改革的责任；</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6.贯彻实施国家、省、市价格法律法规和方针、政策；</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7.负责全县投资宏观管理和协调推进重大项目建设。拟定全社会固定资产投资总规模和投资结构的调控目标；</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8.推进经济结构战略性调整。组织拟定全县综合性产业政策，负责协调第一，二、三产业发展的重大问题；</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9.促进城乡区域协调发展。组织编制全县主体功能区规划，组织拟定区域协调发展战略、规划和重大政策；</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10.负责重要商品的总量平衡和宏观调控；</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11.负责全县社会发展与国民经济发展的政策衔接；</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12.推进可持续发展。贯彻执行国家、省、市有关低碳发展战略、方针和政策；</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13.会同有关部门拟定革命老区、贫困地区经济发展规划；</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14.指导、协调并综合管理全县招标投标工作，按照职责权限对国家、省、市重大建设项目建设过程中的工程招标投标活动实施监督检查；</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15.拟定全县能源发展战略、总体规划、行业规划和产业政策并组织实施。负责全县能源行业管理，协调全县能源建设的重大问题；</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16.承担县以工代赈办公室的具体工作；</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pPr>
      <w:r>
        <w:rPr>
          <w:rFonts w:hint="eastAsia" w:ascii="仿宋_GB2312" w:hAnsi="仿宋_GB2312" w:eastAsia="仿宋_GB2312" w:cs="仿宋_GB2312"/>
          <w:b w:val="0"/>
          <w:bCs/>
          <w:kern w:val="2"/>
          <w:sz w:val="32"/>
          <w:szCs w:val="32"/>
          <w:lang w:val="en-US" w:eastAsia="zh-CN" w:bidi="ar-SA"/>
        </w:rPr>
        <w:t>17.承办县委、县政府交办的其他事项。</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t>（二）2022年重点工作完成情况</w:t>
      </w:r>
    </w:p>
    <w:p>
      <w:pPr>
        <w:pStyle w:val="34"/>
        <w:keepNext w:val="0"/>
        <w:keepLines w:val="0"/>
        <w:pageBreakBefore w:val="0"/>
        <w:widowControl w:val="0"/>
        <w:kinsoku/>
        <w:wordWrap/>
        <w:overflowPunct/>
        <w:topLinePunct w:val="0"/>
        <w:autoSpaceDE/>
        <w:autoSpaceDN/>
        <w:bidi w:val="0"/>
        <w:snapToGrid/>
        <w:spacing w:beforeAutospacing="0" w:line="576"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1.做好宏观经济监测，着力加强研究谋划</w:t>
      </w:r>
    </w:p>
    <w:p>
      <w:pPr>
        <w:pStyle w:val="34"/>
        <w:keepNext w:val="0"/>
        <w:keepLines w:val="0"/>
        <w:pageBreakBefore w:val="0"/>
        <w:widowControl w:val="0"/>
        <w:kinsoku/>
        <w:wordWrap/>
        <w:overflowPunct/>
        <w:topLinePunct w:val="0"/>
        <w:autoSpaceDE/>
        <w:autoSpaceDN/>
        <w:bidi w:val="0"/>
        <w:snapToGrid/>
        <w:spacing w:beforeAutospacing="0" w:line="576"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 xml:space="preserve">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kern w:val="2"/>
          <w:sz w:val="32"/>
          <w:szCs w:val="32"/>
          <w:lang w:val="en-US" w:eastAsia="zh-CN" w:bidi="ar-SA"/>
        </w:rPr>
        <w:t>一是贯彻落实中、省稳增长系列决策部署。</w:t>
      </w:r>
      <w:r>
        <w:rPr>
          <w:rFonts w:hint="eastAsia" w:ascii="仿宋_GB2312" w:hAnsi="仿宋_GB2312" w:eastAsia="仿宋_GB2312" w:cs="仿宋_GB2312"/>
          <w:kern w:val="2"/>
          <w:sz w:val="32"/>
          <w:szCs w:val="32"/>
          <w:lang w:val="en-US" w:eastAsia="zh-CN" w:bidi="ar-SA"/>
        </w:rPr>
        <w:t>组织专题学习全国稳住经济大盘电视电话会议精神和黄强省长重要讲话精神，深入学习《国务院稳经济6方面33项措施》《四川省扎实稳住经济增长若干政策措施》，制定出台《剑阁县扎实稳住经济增长若干政策措施实施意见》，确保各项政策措施落实落地；</w:t>
      </w:r>
      <w:r>
        <w:rPr>
          <w:rFonts w:hint="eastAsia" w:ascii="仿宋_GB2312" w:hAnsi="仿宋_GB2312" w:eastAsia="仿宋_GB2312" w:cs="仿宋_GB2312"/>
          <w:b/>
          <w:bCs/>
          <w:kern w:val="2"/>
          <w:sz w:val="32"/>
          <w:szCs w:val="32"/>
          <w:lang w:val="en-US" w:eastAsia="zh-CN" w:bidi="ar-SA"/>
        </w:rPr>
        <w:t>二是加强经济运行分析。</w:t>
      </w:r>
      <w:r>
        <w:rPr>
          <w:rFonts w:hint="eastAsia" w:ascii="仿宋_GB2312" w:hAnsi="仿宋_GB2312" w:eastAsia="仿宋_GB2312" w:cs="仿宋_GB2312"/>
          <w:kern w:val="2"/>
          <w:sz w:val="32"/>
          <w:szCs w:val="32"/>
          <w:lang w:val="en-US" w:eastAsia="zh-CN" w:bidi="ar-SA"/>
        </w:rPr>
        <w:t>先后编制《2022年全县经济工作要点》《剑阁县2021年国民经济和社会发展计划执行情况暨2022年计划草案的报告》《关于扎实做好2022年一季度“开门红”和全年经济工作的通知》《关于印发全县四季度预期目标的通知》等文件，提出2022年经济社会发展基本思路、主要目标任务和工作重点；</w:t>
      </w:r>
      <w:r>
        <w:rPr>
          <w:rFonts w:hint="eastAsia" w:ascii="仿宋_GB2312" w:hAnsi="仿宋_GB2312" w:eastAsia="仿宋_GB2312" w:cs="仿宋_GB2312"/>
          <w:b/>
          <w:bCs/>
          <w:kern w:val="2"/>
          <w:sz w:val="32"/>
          <w:szCs w:val="32"/>
          <w:lang w:val="en-US" w:eastAsia="zh-CN" w:bidi="ar-SA"/>
        </w:rPr>
        <w:t>三是拼劲搞好经济建设</w:t>
      </w:r>
      <w:r>
        <w:rPr>
          <w:rFonts w:hint="eastAsia" w:ascii="仿宋_GB2312" w:hAnsi="仿宋_GB2312" w:eastAsia="仿宋_GB2312" w:cs="仿宋_GB2312"/>
          <w:kern w:val="2"/>
          <w:sz w:val="32"/>
          <w:szCs w:val="32"/>
          <w:lang w:val="en-US" w:eastAsia="zh-CN" w:bidi="ar-SA"/>
        </w:rPr>
        <w:t>。成立剑阁县重点产业发展领导小组及工作专班，为推动我县重点产业高质量发展，全力以赴拼经济搞建设冲在前。</w:t>
      </w:r>
    </w:p>
    <w:p>
      <w:pPr>
        <w:pStyle w:val="34"/>
        <w:keepNext w:val="0"/>
        <w:keepLines w:val="0"/>
        <w:pageBreakBefore w:val="0"/>
        <w:widowControl w:val="0"/>
        <w:kinsoku/>
        <w:wordWrap/>
        <w:overflowPunct/>
        <w:topLinePunct w:val="0"/>
        <w:autoSpaceDE/>
        <w:autoSpaceDN/>
        <w:bidi w:val="0"/>
        <w:snapToGrid/>
        <w:spacing w:beforeAutospacing="0" w:line="576" w:lineRule="exact"/>
        <w:ind w:left="0" w:leftChars="0" w:firstLine="0" w:firstLineChars="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w:t>
      </w:r>
      <w:r>
        <w:rPr>
          <w:rFonts w:hint="eastAsia" w:ascii="楷体_GB2312" w:hAnsi="楷体_GB2312" w:eastAsia="楷体_GB2312" w:cs="楷体_GB2312"/>
          <w:b/>
          <w:bCs/>
          <w:kern w:val="2"/>
          <w:sz w:val="32"/>
          <w:szCs w:val="32"/>
          <w:lang w:val="en-US" w:eastAsia="zh-CN" w:bidi="ar-SA"/>
        </w:rPr>
        <w:t>加快推进重点项目建设步伐</w:t>
      </w:r>
    </w:p>
    <w:p>
      <w:pPr>
        <w:keepNext w:val="0"/>
        <w:keepLines w:val="0"/>
        <w:pageBreakBefore w:val="0"/>
        <w:widowControl w:val="0"/>
        <w:kinsoku/>
        <w:wordWrap/>
        <w:overflowPunct/>
        <w:topLinePunct w:val="0"/>
        <w:autoSpaceDE/>
        <w:autoSpaceDN/>
        <w:bidi w:val="0"/>
        <w:snapToGrid/>
        <w:spacing w:beforeAutospacing="0" w:line="576" w:lineRule="exact"/>
        <w:textAlignment w:val="auto"/>
        <w:rPr>
          <w:rFonts w:hint="eastAsia"/>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密切跟踪对接国家、省、市“十四五”规划编制，牢牢把握中央应对疫情影响、支持项目建设、扩大有效投资的重要机遇，强化一批重大项目储备。</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储备</w:t>
      </w:r>
      <w:r>
        <w:rPr>
          <w:rFonts w:hint="eastAsia" w:ascii="仿宋_GB2312" w:hAnsi="仿宋_GB2312" w:eastAsia="仿宋_GB2312" w:cs="仿宋_GB2312"/>
          <w:sz w:val="32"/>
          <w:szCs w:val="32"/>
          <w:lang w:val="en-US" w:eastAsia="zh-CN"/>
        </w:rPr>
        <w:t>2023年政府专项债项目28个、总投资129.54亿元、总需求资金66.86亿元；</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储备2023年一般债券项目13个，总投资12.89亿元、需求资金9.26亿元；</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储备第四批中长期贷款项目13个，总投资8.75亿元、贷款总需求3.4亿元。</w:t>
      </w:r>
    </w:p>
    <w:p>
      <w:pPr>
        <w:pStyle w:val="34"/>
        <w:keepNext w:val="0"/>
        <w:keepLines w:val="0"/>
        <w:pageBreakBefore w:val="0"/>
        <w:widowControl w:val="0"/>
        <w:kinsoku/>
        <w:wordWrap/>
        <w:overflowPunct/>
        <w:topLinePunct w:val="0"/>
        <w:autoSpaceDE/>
        <w:autoSpaceDN/>
        <w:bidi w:val="0"/>
        <w:snapToGrid/>
        <w:spacing w:beforeAutospacing="0" w:line="576" w:lineRule="exact"/>
        <w:ind w:left="0" w:leftChars="0" w:firstLine="0" w:firstLineChars="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    3.持续优化营商环境和推动信用体系建设工作</w:t>
      </w:r>
    </w:p>
    <w:p>
      <w:pPr>
        <w:keepNext w:val="0"/>
        <w:keepLines w:val="0"/>
        <w:pageBreakBefore w:val="0"/>
        <w:widowControl w:val="0"/>
        <w:kinsoku/>
        <w:wordWrap/>
        <w:overflowPunct/>
        <w:topLinePunct w:val="0"/>
        <w:autoSpaceDE/>
        <w:autoSpaceDN/>
        <w:bidi w:val="0"/>
        <w:snapToGrid/>
        <w:spacing w:beforeAutospacing="0" w:line="576" w:lineRule="exact"/>
        <w:textAlignment w:val="auto"/>
        <w:rPr>
          <w:rFonts w:hint="eastAsia"/>
          <w:lang w:val="en-US" w:eastAsia="zh-CN"/>
        </w:rPr>
      </w:pPr>
      <w:r>
        <w:rPr>
          <w:rFonts w:hint="eastAsia" w:ascii="仿宋_GB2312" w:eastAsia="仿宋_GB2312" w:hAnsiTheme="minorHAnsi" w:cstheme="minorBidi"/>
          <w:kern w:val="0"/>
          <w:sz w:val="32"/>
          <w:szCs w:val="32"/>
          <w:lang w:val="en-US" w:eastAsia="zh-CN" w:bidi="ar-SA"/>
        </w:rPr>
        <w:t xml:space="preserve">    </w:t>
      </w:r>
      <w:r>
        <w:rPr>
          <w:rFonts w:hint="eastAsia" w:ascii="仿宋_GB2312" w:eastAsia="仿宋_GB2312" w:hAnsiTheme="minorHAnsi" w:cstheme="minorBidi"/>
          <w:b/>
          <w:bCs/>
          <w:kern w:val="0"/>
          <w:sz w:val="32"/>
          <w:szCs w:val="32"/>
          <w:lang w:val="en-US" w:eastAsia="zh-CN" w:bidi="ar-SA"/>
        </w:rPr>
        <w:t>一是</w:t>
      </w:r>
      <w:r>
        <w:rPr>
          <w:rFonts w:hint="eastAsia" w:ascii="仿宋_GB2312" w:eastAsia="仿宋_GB2312" w:hAnsiTheme="minorHAnsi" w:cstheme="minorBidi"/>
          <w:kern w:val="0"/>
          <w:sz w:val="32"/>
          <w:szCs w:val="32"/>
          <w:lang w:val="en-US" w:eastAsia="zh-CN" w:bidi="ar-SA"/>
        </w:rPr>
        <w:t>完成公招项目44宗，其中监理招标9宗，施工招标23宗，勘察设计招标8宗，EPC总承包招标4宗；</w:t>
      </w:r>
      <w:r>
        <w:rPr>
          <w:rFonts w:hint="eastAsia" w:ascii="仿宋_GB2312" w:eastAsia="仿宋_GB2312" w:hAnsiTheme="minorHAnsi" w:cstheme="minorBidi"/>
          <w:b/>
          <w:bCs/>
          <w:kern w:val="0"/>
          <w:sz w:val="32"/>
          <w:szCs w:val="32"/>
          <w:lang w:val="en-US" w:eastAsia="zh-CN" w:bidi="ar-SA"/>
        </w:rPr>
        <w:t>二是印发</w:t>
      </w:r>
      <w:r>
        <w:rPr>
          <w:rFonts w:hint="eastAsia" w:ascii="仿宋_GB2312" w:eastAsia="仿宋_GB2312" w:hAnsiTheme="minorHAnsi" w:cstheme="minorBidi"/>
          <w:kern w:val="0"/>
          <w:sz w:val="32"/>
          <w:szCs w:val="32"/>
          <w:lang w:val="en-US" w:eastAsia="zh-CN" w:bidi="ar-SA"/>
        </w:rPr>
        <w:t>了《2022年广元市招投标营商环境建设工作要点》《2022年广元市工程招投标领域六大提升行动工作方案的通知》等4个文件，规范了招投标活动各方主体责任，安排部署招投标领域相关工作；</w:t>
      </w:r>
      <w:r>
        <w:rPr>
          <w:rFonts w:hint="eastAsia" w:ascii="仿宋_GB2312" w:eastAsia="仿宋_GB2312" w:hAnsiTheme="minorHAnsi" w:cstheme="minorBidi"/>
          <w:b/>
          <w:bCs/>
          <w:kern w:val="0"/>
          <w:sz w:val="32"/>
          <w:szCs w:val="32"/>
          <w:lang w:val="en-US" w:eastAsia="zh-CN" w:bidi="ar-SA"/>
        </w:rPr>
        <w:t>三是</w:t>
      </w:r>
      <w:r>
        <w:rPr>
          <w:rFonts w:hint="eastAsia" w:ascii="仿宋_GB2312" w:eastAsia="仿宋_GB2312" w:hAnsiTheme="minorHAnsi" w:cstheme="minorBidi"/>
          <w:kern w:val="0"/>
          <w:sz w:val="32"/>
          <w:szCs w:val="32"/>
          <w:lang w:val="en-US" w:eastAsia="zh-CN" w:bidi="ar-SA"/>
        </w:rPr>
        <w:t>开展工程招投标领域突出问题系统治理，共清理出时段内项目46个，其中县住建局监管项目27个，县农业农村局监管项目5个</w:t>
      </w:r>
      <w:r>
        <w:rPr>
          <w:rFonts w:hint="eastAsia" w:ascii="仿宋_GB2312" w:eastAsia="仿宋_GB2312" w:cstheme="minorBidi"/>
          <w:kern w:val="0"/>
          <w:sz w:val="32"/>
          <w:szCs w:val="32"/>
          <w:lang w:val="en-US" w:eastAsia="zh-CN" w:bidi="ar-SA"/>
        </w:rPr>
        <w:t>，</w:t>
      </w:r>
      <w:r>
        <w:rPr>
          <w:rFonts w:hint="eastAsia" w:ascii="仿宋_GB2312" w:eastAsia="仿宋_GB2312" w:hAnsiTheme="minorHAnsi" w:cstheme="minorBidi"/>
          <w:kern w:val="0"/>
          <w:sz w:val="32"/>
          <w:szCs w:val="32"/>
          <w:lang w:val="en-US" w:eastAsia="zh-CN" w:bidi="ar-SA"/>
        </w:rPr>
        <w:t>县水利局监管项目7个，县交通局监管项目7个，</w:t>
      </w:r>
      <w:r>
        <w:rPr>
          <w:rFonts w:hint="eastAsia" w:ascii="仿宋_GB2312" w:eastAsia="仿宋_GB2312" w:cstheme="minorBidi"/>
          <w:kern w:val="0"/>
          <w:sz w:val="32"/>
          <w:szCs w:val="32"/>
          <w:lang w:val="en-US" w:eastAsia="zh-CN" w:bidi="ar-SA"/>
        </w:rPr>
        <w:t>发现整改问题4个</w:t>
      </w:r>
      <w:r>
        <w:rPr>
          <w:rFonts w:hint="eastAsia" w:ascii="仿宋_GB2312" w:eastAsia="仿宋_GB2312" w:hAnsiTheme="minorHAnsi" w:cstheme="minorBidi"/>
          <w:kern w:val="0"/>
          <w:sz w:val="32"/>
          <w:szCs w:val="32"/>
          <w:lang w:val="en-US" w:eastAsia="zh-CN" w:bidi="ar-SA"/>
        </w:rPr>
        <w:t>。</w:t>
      </w:r>
    </w:p>
    <w:p>
      <w:pPr>
        <w:pStyle w:val="34"/>
        <w:keepNext w:val="0"/>
        <w:keepLines w:val="0"/>
        <w:pageBreakBefore w:val="0"/>
        <w:widowControl w:val="0"/>
        <w:kinsoku/>
        <w:wordWrap/>
        <w:overflowPunct/>
        <w:topLinePunct w:val="0"/>
        <w:autoSpaceDE/>
        <w:autoSpaceDN/>
        <w:bidi w:val="0"/>
        <w:snapToGrid/>
        <w:spacing w:beforeAutospacing="0" w:line="576" w:lineRule="exact"/>
        <w:ind w:left="0" w:leftChars="0" w:firstLine="0" w:firstLineChars="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    4.加强价格（收费）综合调控和管理</w:t>
      </w:r>
    </w:p>
    <w:p>
      <w:pPr>
        <w:keepNext w:val="0"/>
        <w:keepLines w:val="0"/>
        <w:pageBreakBefore w:val="0"/>
        <w:widowControl w:val="0"/>
        <w:kinsoku/>
        <w:wordWrap/>
        <w:overflowPunct/>
        <w:topLinePunct w:val="0"/>
        <w:autoSpaceDE/>
        <w:autoSpaceDN/>
        <w:bidi w:val="0"/>
        <w:snapToGrid/>
        <w:spacing w:beforeAutospacing="0" w:line="576" w:lineRule="exact"/>
        <w:textAlignment w:val="auto"/>
        <w:rPr>
          <w:rFonts w:hint="eastAsia"/>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sz w:val="32"/>
          <w:szCs w:val="32"/>
          <w:lang w:val="en-US" w:eastAsia="zh-CN"/>
        </w:rPr>
        <w:t>持续做好疫情防控期间重要商品价格监测。</w:t>
      </w:r>
      <w:r>
        <w:rPr>
          <w:rFonts w:hint="eastAsia" w:ascii="仿宋_GB2312" w:hAnsi="仿宋_GB2312" w:eastAsia="仿宋_GB2312" w:cs="仿宋_GB2312"/>
          <w:sz w:val="32"/>
          <w:szCs w:val="32"/>
        </w:rPr>
        <w:t>准确</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居民生活相关商品价格动态，及时预警。</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color w:val="auto"/>
          <w:kern w:val="2"/>
          <w:sz w:val="32"/>
          <w:szCs w:val="32"/>
          <w:lang w:val="en-US" w:eastAsia="zh-CN" w:bidi="ar-SA"/>
        </w:rPr>
        <w:t>为进一步提高城镇停车资源利用率，有效缓解城镇交通拥堵和停车难问题，推动文明城镇创建，</w:t>
      </w:r>
      <w:r>
        <w:rPr>
          <w:rFonts w:hint="eastAsia" w:ascii="仿宋_GB2312" w:hAnsi="仿宋_GB2312" w:eastAsia="仿宋_GB2312" w:cs="仿宋_GB2312"/>
          <w:sz w:val="32"/>
          <w:szCs w:val="32"/>
          <w:lang w:eastAsia="zh-CN"/>
        </w:rPr>
        <w:t>出台《剑阁县机动车停放服务标准》</w:t>
      </w:r>
      <w:r>
        <w:rPr>
          <w:rFonts w:hint="eastAsia" w:ascii="仿宋_GB2312" w:eastAsia="仿宋_GB2312"/>
          <w:kern w:val="0"/>
          <w:sz w:val="32"/>
          <w:szCs w:val="32"/>
          <w:lang w:val="en-US" w:eastAsia="zh-CN"/>
        </w:rPr>
        <w:t>（剑发改价格〔2022〕6号）。</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sz w:val="32"/>
          <w:szCs w:val="32"/>
        </w:rPr>
        <w:t>对低收入群体发放</w:t>
      </w:r>
      <w:r>
        <w:rPr>
          <w:rFonts w:hint="eastAsia" w:ascii="仿宋_GB2312" w:hAnsi="仿宋_GB2312" w:eastAsia="仿宋_GB2312" w:cs="仿宋_GB2312"/>
          <w:sz w:val="32"/>
          <w:szCs w:val="32"/>
          <w:lang w:val="en-US" w:eastAsia="zh-CN"/>
        </w:rPr>
        <w:t>7、8、9月</w:t>
      </w:r>
      <w:r>
        <w:rPr>
          <w:rFonts w:hint="eastAsia" w:ascii="仿宋_GB2312" w:hAnsi="仿宋_GB2312" w:eastAsia="仿宋_GB2312" w:cs="仿宋_GB2312"/>
          <w:sz w:val="32"/>
          <w:szCs w:val="32"/>
        </w:rPr>
        <w:t>价格临时补贴</w:t>
      </w:r>
      <w:r>
        <w:rPr>
          <w:rFonts w:hint="eastAsia" w:ascii="仿宋_GB2312" w:hAnsi="仿宋_GB2312" w:eastAsia="仿宋_GB2312" w:cs="仿宋_GB2312"/>
          <w:sz w:val="32"/>
          <w:szCs w:val="32"/>
          <w:lang w:eastAsia="zh-CN"/>
        </w:rPr>
        <w:t>共计</w:t>
      </w:r>
      <w:r>
        <w:rPr>
          <w:rFonts w:hint="eastAsia" w:ascii="仿宋_GB2312" w:eastAsia="仿宋_GB2312"/>
          <w:kern w:val="0"/>
          <w:sz w:val="32"/>
          <w:szCs w:val="32"/>
          <w:lang w:val="en-US" w:eastAsia="zh-CN"/>
        </w:rPr>
        <w:t>163394人次，共计金额249.59万元。</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sz w:val="32"/>
          <w:szCs w:val="32"/>
        </w:rPr>
        <w:t>及时受理价格认证案件，保障司法刑事案件快侦、快诉、快判。2022年</w:t>
      </w:r>
      <w:r>
        <w:rPr>
          <w:rFonts w:hint="eastAsia" w:ascii="仿宋_GB2312" w:hAnsi="仿宋_GB2312" w:eastAsia="仿宋_GB2312" w:cs="仿宋_GB2312"/>
          <w:sz w:val="32"/>
          <w:szCs w:val="32"/>
          <w:lang w:val="en-US" w:eastAsia="zh-CN"/>
        </w:rPr>
        <w:t>共受理44件，其中行政事项2件，刑事案件42件，认定金额总计105.42万。</w:t>
      </w:r>
    </w:p>
    <w:p>
      <w:pPr>
        <w:pStyle w:val="34"/>
        <w:keepNext w:val="0"/>
        <w:keepLines w:val="0"/>
        <w:pageBreakBefore w:val="0"/>
        <w:widowControl w:val="0"/>
        <w:kinsoku/>
        <w:wordWrap/>
        <w:overflowPunct/>
        <w:topLinePunct w:val="0"/>
        <w:autoSpaceDE/>
        <w:autoSpaceDN/>
        <w:bidi w:val="0"/>
        <w:snapToGrid/>
        <w:spacing w:beforeAutospacing="0" w:line="576" w:lineRule="exact"/>
        <w:ind w:left="0" w:leftChars="0" w:firstLine="0" w:firstLineChars="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    5.加强粮食安全保障工作</w:t>
      </w:r>
    </w:p>
    <w:p>
      <w:pPr>
        <w:keepNext w:val="0"/>
        <w:keepLines w:val="0"/>
        <w:pageBreakBefore w:val="0"/>
        <w:widowControl w:val="0"/>
        <w:kinsoku/>
        <w:wordWrap/>
        <w:overflowPunct/>
        <w:topLinePunct w:val="0"/>
        <w:autoSpaceDE/>
        <w:autoSpaceDN/>
        <w:bidi w:val="0"/>
        <w:snapToGrid/>
        <w:spacing w:beforeAutospacing="0" w:line="576" w:lineRule="exact"/>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一是</w:t>
      </w:r>
      <w:r>
        <w:rPr>
          <w:rFonts w:hint="eastAsia" w:ascii="仿宋_GB2312" w:hAnsi="Verdana" w:eastAsia="仿宋_GB2312" w:cs="Times New Roman"/>
          <w:color w:val="000000"/>
          <w:spacing w:val="0"/>
          <w:kern w:val="0"/>
          <w:sz w:val="32"/>
          <w:szCs w:val="32"/>
          <w:lang w:val="en-US" w:eastAsia="zh-CN"/>
        </w:rPr>
        <w:t>根据</w:t>
      </w:r>
      <w:r>
        <w:rPr>
          <w:rFonts w:hint="eastAsia" w:ascii="仿宋_GB2312" w:hAnsi="仿宋_GB2312" w:eastAsia="仿宋_GB2312" w:cs="仿宋_GB2312"/>
          <w:spacing w:val="-4"/>
          <w:sz w:val="32"/>
          <w:szCs w:val="32"/>
          <w:lang w:val="en-US" w:eastAsia="zh-CN"/>
        </w:rPr>
        <w:t>新修订的《粮食流通管理条例》《粮食质量安全监管办法》《四川省粮食安全保障条例》《剑阁县地方粮食储备管理办法》《广元市粮食应急预案》</w:t>
      </w:r>
      <w:r>
        <w:rPr>
          <w:rFonts w:hint="eastAsia" w:ascii="仿宋_GB2312" w:hAnsi="仿宋_GB2312" w:eastAsia="仿宋_GB2312" w:cs="仿宋_GB2312"/>
          <w:sz w:val="32"/>
          <w:szCs w:val="32"/>
          <w:lang w:val="en-US" w:eastAsia="zh-CN"/>
        </w:rPr>
        <w:t>等</w:t>
      </w:r>
      <w:r>
        <w:rPr>
          <w:rFonts w:hint="eastAsia" w:ascii="仿宋_GB2312" w:hAnsi="Verdana" w:eastAsia="仿宋_GB2312" w:cs="Times New Roman"/>
          <w:color w:val="000000"/>
          <w:spacing w:val="0"/>
          <w:kern w:val="0"/>
          <w:sz w:val="32"/>
          <w:szCs w:val="32"/>
          <w:lang w:val="en-US" w:eastAsia="zh-CN"/>
        </w:rPr>
        <w:t>法律法规，</w:t>
      </w:r>
      <w:r>
        <w:rPr>
          <w:rFonts w:hint="eastAsia" w:ascii="仿宋_GB2312" w:hAnsi="仿宋_GB2312" w:eastAsia="仿宋_GB2312" w:cs="仿宋_GB2312"/>
          <w:spacing w:val="-4"/>
          <w:sz w:val="32"/>
          <w:szCs w:val="32"/>
          <w:lang w:val="en-US" w:eastAsia="zh-CN"/>
        </w:rPr>
        <w:t>相继出台《剑阁县粮食预警与应急预案》为保障地方粮食安全，增强地方粮食应急保障能力提供了指导；</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sz w:val="32"/>
          <w:szCs w:val="32"/>
          <w:lang w:val="en-US" w:eastAsia="zh-CN"/>
        </w:rPr>
        <w:t>会同</w:t>
      </w:r>
      <w:r>
        <w:rPr>
          <w:rFonts w:hint="eastAsia" w:ascii="仿宋_GB2312" w:hAnsi="仿宋_GB2312" w:eastAsia="仿宋_GB2312" w:cs="仿宋_GB2312"/>
          <w:color w:val="000000"/>
          <w:kern w:val="0"/>
          <w:sz w:val="32"/>
          <w:szCs w:val="32"/>
          <w:shd w:val="clear" w:color="auto" w:fill="FFFFFF"/>
          <w:lang w:bidi="ar"/>
        </w:rPr>
        <w:t>市粮油质监站完成产新粮食国家级和省级新收获粮食质量安全监测采样工作</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val="en-US" w:eastAsia="zh-CN" w:bidi="ar"/>
        </w:rPr>
        <w:t>全年共扦取产新油菜籽样品8个，产新小麦样品87个8，产新稻谷样品123个，玉米样品13个，大豆样品4个。</w:t>
      </w:r>
    </w:p>
    <w:p>
      <w:pPr>
        <w:pStyle w:val="34"/>
        <w:keepNext w:val="0"/>
        <w:keepLines w:val="0"/>
        <w:pageBreakBefore w:val="0"/>
        <w:widowControl w:val="0"/>
        <w:kinsoku/>
        <w:wordWrap/>
        <w:overflowPunct/>
        <w:topLinePunct w:val="0"/>
        <w:autoSpaceDE/>
        <w:autoSpaceDN/>
        <w:bidi w:val="0"/>
        <w:snapToGrid/>
        <w:spacing w:beforeAutospacing="0" w:line="576" w:lineRule="exact"/>
        <w:ind w:left="0" w:leftChars="0" w:firstLine="0" w:firstLineChars="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    6.持续推进易地扶贫搬迁后续扶持工作</w:t>
      </w:r>
    </w:p>
    <w:p>
      <w:pPr>
        <w:keepNext w:val="0"/>
        <w:keepLines w:val="0"/>
        <w:pageBreakBefore w:val="0"/>
        <w:widowControl w:val="0"/>
        <w:kinsoku/>
        <w:wordWrap/>
        <w:overflowPunct/>
        <w:topLinePunct w:val="0"/>
        <w:autoSpaceDE/>
        <w:autoSpaceDN/>
        <w:bidi w:val="0"/>
        <w:snapToGrid/>
        <w:spacing w:beforeAutospacing="0" w:line="576" w:lineRule="exact"/>
        <w:textAlignment w:val="auto"/>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 w:eastAsia="仿宋_GB2312" w:cs="仿宋"/>
          <w:color w:val="000000"/>
          <w:kern w:val="0"/>
          <w:sz w:val="32"/>
          <w:szCs w:val="32"/>
          <w:lang w:val="en-US" w:eastAsia="zh-CN" w:bidi="ar-SA"/>
        </w:rPr>
        <w:t>全县易地扶贫搬迁有劳动能力脱贫人口实现转移和就近就业19052人，其中集中安置点4636人。结合县域产业发展和劳动者个人培训意愿，全年共开展80个班次3664人，其中易地扶贫搬迁脱贫人口参加职业技能培训914人。发放交通补贴51人3.04万元，一次性求职创业补贴85人1.7万元，开通农民工返岗专车198班次，收集发布推送岗位信息11584个，在29个乡镇召开招聘会34场。</w:t>
      </w:r>
    </w:p>
    <w:p>
      <w:pPr>
        <w:pStyle w:val="5"/>
        <w:numPr>
          <w:ilvl w:val="0"/>
          <w:numId w:val="1"/>
        </w:numPr>
        <w:ind w:left="0" w:leftChars="0" w:firstLine="0" w:firstLineChars="0"/>
        <w:rPr>
          <w:rFonts w:hint="eastAsia" w:ascii="黑体" w:hAnsi="黑体" w:eastAsia="黑体"/>
          <w:b w:val="0"/>
        </w:rPr>
      </w:pPr>
      <w:bookmarkStart w:id="20" w:name="_Toc5110"/>
      <w:r>
        <w:rPr>
          <w:rFonts w:hint="eastAsia" w:ascii="黑体" w:hAnsi="黑体" w:eastAsia="黑体"/>
          <w:b w:val="0"/>
        </w:rPr>
        <w:t>机构设置</w:t>
      </w:r>
      <w:bookmarkEnd w:id="20"/>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kern w:val="2"/>
          <w:sz w:val="32"/>
          <w:szCs w:val="32"/>
          <w:lang w:val="en-US" w:eastAsia="zh-CN" w:bidi="ar-SA"/>
        </w:rPr>
        <w:t>剑阁县发展和改革局下属二级预算单位2个，纳入2022年度部门决算编制范围的二级预算单位分别是剑阁县粮食事务中心和剑阁县以工代赈办公室。</w:t>
      </w:r>
    </w:p>
    <w:p>
      <w:pPr>
        <w:numPr>
          <w:ilvl w:val="0"/>
          <w:numId w:val="0"/>
        </w:numPr>
        <w:ind w:leftChars="0"/>
      </w:pPr>
    </w:p>
    <w:bookmarkEnd w:id="18"/>
    <w:bookmarkEnd w:id="19"/>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Style w:val="28"/>
          <w:rFonts w:ascii="黑体" w:hAnsi="黑体" w:eastAsia="黑体"/>
          <w:b w:val="0"/>
          <w:bCs/>
        </w:rPr>
      </w:pPr>
      <w:bookmarkStart w:id="21" w:name="_Toc20353"/>
      <w:bookmarkStart w:id="22" w:name="_Toc15396602"/>
      <w:bookmarkStart w:id="23" w:name="_Toc15377204"/>
      <w:r>
        <w:rPr>
          <w:rFonts w:hint="eastAsia" w:ascii="黑体" w:hAnsi="黑体" w:eastAsia="黑体"/>
          <w:b w:val="0"/>
        </w:rPr>
        <w:t>第二部分 2022年度</w:t>
      </w:r>
      <w:r>
        <w:rPr>
          <w:rStyle w:val="28"/>
          <w:rFonts w:hint="eastAsia" w:ascii="黑体" w:hAnsi="黑体" w:eastAsia="黑体"/>
          <w:b w:val="0"/>
          <w:bCs/>
        </w:rPr>
        <w:t>单位决算情况说明</w:t>
      </w:r>
      <w:bookmarkEnd w:id="21"/>
      <w:bookmarkEnd w:id="22"/>
      <w:bookmarkEnd w:id="23"/>
    </w:p>
    <w:p/>
    <w:p>
      <w:pPr>
        <w:pStyle w:val="27"/>
        <w:numPr>
          <w:ilvl w:val="0"/>
          <w:numId w:val="2"/>
        </w:numPr>
        <w:spacing w:line="600" w:lineRule="exact"/>
        <w:ind w:firstLineChars="0"/>
        <w:outlineLvl w:val="1"/>
        <w:rPr>
          <w:rStyle w:val="29"/>
          <w:rFonts w:ascii="黑体" w:hAnsi="黑体" w:eastAsia="黑体"/>
          <w:b w:val="0"/>
        </w:rPr>
      </w:pPr>
      <w:bookmarkStart w:id="24" w:name="_Toc15396603"/>
      <w:bookmarkStart w:id="25" w:name="_Toc15377205"/>
      <w:bookmarkStart w:id="26" w:name="_Toc14991"/>
      <w:r>
        <w:rPr>
          <w:rFonts w:hint="eastAsia" w:ascii="黑体" w:hAnsi="黑体" w:eastAsia="黑体"/>
          <w:sz w:val="32"/>
          <w:szCs w:val="32"/>
        </w:rPr>
        <w:t>收</w:t>
      </w:r>
      <w:r>
        <w:rPr>
          <w:rStyle w:val="29"/>
          <w:rFonts w:hint="eastAsia" w:ascii="黑体" w:hAnsi="黑体" w:eastAsia="黑体"/>
          <w:b w:val="0"/>
        </w:rPr>
        <w:t>入支出决算总体情况说明</w:t>
      </w:r>
      <w:bookmarkEnd w:id="24"/>
      <w:bookmarkEnd w:id="25"/>
      <w:bookmarkEnd w:id="26"/>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2022年度收、支总计521.03万元。与2021年相比，收、支总计各减少</w:t>
      </w:r>
      <w:r>
        <w:rPr>
          <w:rFonts w:hint="eastAsia" w:ascii="仿宋" w:hAnsi="仿宋" w:eastAsia="仿宋"/>
          <w:sz w:val="32"/>
          <w:szCs w:val="32"/>
          <w:lang w:val="en-US" w:eastAsia="zh-CN"/>
        </w:rPr>
        <w:t>170.14</w:t>
      </w:r>
      <w:r>
        <w:rPr>
          <w:rFonts w:hint="eastAsia" w:ascii="仿宋" w:hAnsi="仿宋" w:eastAsia="仿宋"/>
          <w:sz w:val="32"/>
          <w:szCs w:val="32"/>
        </w:rPr>
        <w:t>万元，下降</w:t>
      </w:r>
      <w:r>
        <w:rPr>
          <w:rFonts w:hint="eastAsia" w:ascii="仿宋" w:hAnsi="仿宋" w:eastAsia="仿宋"/>
          <w:sz w:val="32"/>
          <w:szCs w:val="32"/>
          <w:lang w:val="en-US" w:eastAsia="zh-CN"/>
        </w:rPr>
        <w:t>24.62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r>
        <w:rPr>
          <w:rFonts w:hint="eastAsia" w:ascii="仿宋" w:hAnsi="仿宋" w:eastAsia="仿宋"/>
          <w:sz w:val="32"/>
          <w:szCs w:val="32"/>
        </w:rPr>
        <w:t>。</w:t>
      </w:r>
    </w:p>
    <w:p>
      <w:pPr>
        <w:pStyle w:val="2"/>
      </w:pPr>
    </w:p>
    <w:p>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27" w:name="_Toc6597"/>
      <w:bookmarkStart w:id="28" w:name="_Toc15396604"/>
      <w:bookmarkStart w:id="29" w:name="_Toc15377206"/>
      <w:r>
        <w:rPr>
          <w:rFonts w:hint="eastAsia" w:ascii="黑体" w:hAnsi="黑体" w:eastAsia="黑体"/>
          <w:sz w:val="32"/>
          <w:szCs w:val="32"/>
        </w:rPr>
        <w:t>收</w:t>
      </w:r>
      <w:r>
        <w:rPr>
          <w:rStyle w:val="29"/>
          <w:rFonts w:hint="eastAsia" w:ascii="黑体" w:hAnsi="黑体" w:eastAsia="黑体"/>
          <w:b w:val="0"/>
        </w:rPr>
        <w:t>入决算情况说明</w:t>
      </w:r>
      <w:bookmarkEnd w:id="27"/>
      <w:bookmarkEnd w:id="28"/>
      <w:bookmarkEnd w:id="29"/>
    </w:p>
    <w:p>
      <w:pPr>
        <w:spacing w:line="600" w:lineRule="exact"/>
        <w:ind w:firstLine="640" w:firstLineChars="200"/>
        <w:outlineLvl w:val="1"/>
        <w:rPr>
          <w:rFonts w:hint="eastAsia" w:ascii="仿宋" w:hAnsi="仿宋" w:eastAsia="仿宋"/>
          <w:sz w:val="32"/>
          <w:szCs w:val="32"/>
          <w:lang w:eastAsia="zh-CN"/>
        </w:rPr>
      </w:pPr>
      <w:bookmarkStart w:id="30" w:name="_Toc28336"/>
      <w:r>
        <w:rPr>
          <w:rFonts w:ascii="仿宋" w:hAnsi="仿宋" w:eastAsia="仿宋"/>
          <w:sz w:val="32"/>
          <w:szCs w:val="32"/>
        </w:rPr>
        <w:t>20</w:t>
      </w:r>
      <w:r>
        <w:rPr>
          <w:rFonts w:hint="eastAsia" w:ascii="仿宋" w:hAnsi="仿宋" w:eastAsia="仿宋"/>
          <w:sz w:val="32"/>
          <w:szCs w:val="32"/>
        </w:rPr>
        <w:t>22年本年收入合计515.59万元，</w:t>
      </w:r>
      <w:r>
        <w:rPr>
          <w:rFonts w:hint="eastAsia" w:ascii="仿宋_GB2312" w:hAnsi="仿宋_GB2312" w:eastAsia="仿宋_GB2312" w:cs="仿宋_GB2312"/>
          <w:b w:val="0"/>
          <w:bCs/>
          <w:kern w:val="2"/>
          <w:sz w:val="32"/>
          <w:szCs w:val="32"/>
          <w:lang w:val="en-US" w:eastAsia="zh-CN" w:bidi="ar-SA"/>
        </w:rPr>
        <w:t>上年结转5.44万元。</w:t>
      </w:r>
      <w:r>
        <w:rPr>
          <w:rFonts w:hint="eastAsia" w:ascii="仿宋" w:hAnsi="仿宋" w:eastAsia="仿宋"/>
          <w:sz w:val="32"/>
          <w:szCs w:val="32"/>
        </w:rPr>
        <w:t>其中：一般公共预算财政拨款收入515.59万元，占</w:t>
      </w:r>
      <w:r>
        <w:rPr>
          <w:rFonts w:hint="eastAsia" w:ascii="仿宋" w:hAnsi="仿宋" w:eastAsia="仿宋"/>
          <w:sz w:val="32"/>
          <w:szCs w:val="32"/>
          <w:lang w:val="en-US" w:eastAsia="zh-CN"/>
        </w:rPr>
        <w:t>100</w:t>
      </w:r>
      <w:r>
        <w:rPr>
          <w:rFonts w:ascii="仿宋" w:hAnsi="仿宋" w:eastAsia="仿宋"/>
          <w:sz w:val="32"/>
          <w:szCs w:val="32"/>
        </w:rPr>
        <w:t>%</w:t>
      </w:r>
      <w:bookmarkEnd w:id="30"/>
      <w:r>
        <w:rPr>
          <w:rFonts w:hint="eastAsia" w:ascii="仿宋" w:hAnsi="仿宋" w:eastAsia="仿宋"/>
          <w:sz w:val="32"/>
          <w:szCs w:val="32"/>
          <w:lang w:eastAsia="zh-CN"/>
        </w:rPr>
        <w:t>。</w:t>
      </w:r>
    </w:p>
    <w:p>
      <w:pPr>
        <w:spacing w:line="600" w:lineRule="exact"/>
        <w:ind w:firstLine="640" w:firstLineChars="200"/>
        <w:outlineLvl w:val="9"/>
        <w:rPr>
          <w:rFonts w:ascii="仿宋" w:hAnsi="仿宋" w:eastAsia="仿宋"/>
          <w:sz w:val="32"/>
          <w:szCs w:val="32"/>
        </w:rPr>
      </w:pPr>
    </w:p>
    <w:p>
      <w:pPr>
        <w:pStyle w:val="2"/>
        <w:rPr>
          <w:rFonts w:ascii="仿宋" w:hAnsi="仿宋" w:eastAsia="仿宋"/>
          <w:sz w:val="32"/>
          <w:szCs w:val="32"/>
        </w:rPr>
      </w:pPr>
    </w:p>
    <w:p>
      <w:pPr>
        <w:rPr>
          <w:rFonts w:ascii="仿宋" w:hAnsi="仿宋" w:eastAsia="仿宋"/>
          <w:sz w:val="32"/>
          <w:szCs w:val="32"/>
        </w:rPr>
      </w:pPr>
    </w:p>
    <w:p>
      <w:pPr>
        <w:pStyle w:val="2"/>
        <w:ind w:left="0" w:leftChars="0" w:firstLine="0" w:firstLineChars="0"/>
      </w:pPr>
    </w:p>
    <w:p>
      <w:r>
        <w:drawing>
          <wp:anchor distT="0" distB="0" distL="114300" distR="114300" simplePos="0" relativeHeight="251659264" behindDoc="0" locked="0" layoutInCell="1" allowOverlap="1">
            <wp:simplePos x="0" y="0"/>
            <wp:positionH relativeFrom="column">
              <wp:posOffset>278765</wp:posOffset>
            </wp:positionH>
            <wp:positionV relativeFrom="paragraph">
              <wp:posOffset>40005</wp:posOffset>
            </wp:positionV>
            <wp:extent cx="4572000" cy="2743200"/>
            <wp:effectExtent l="4445" t="4445" r="1460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pPr>
    </w:p>
    <w:p/>
    <w:p>
      <w:pPr>
        <w:pStyle w:val="2"/>
      </w:pPr>
    </w:p>
    <w:p/>
    <w:p>
      <w:pPr>
        <w:pStyle w:val="2"/>
      </w:pPr>
    </w:p>
    <w:p/>
    <w:p>
      <w:pPr>
        <w:pStyle w:val="2"/>
      </w:pPr>
    </w:p>
    <w:p>
      <w:pPr>
        <w:pStyle w:val="2"/>
        <w:ind w:left="0" w:leftChars="0" w:firstLine="0" w:firstLineChars="0"/>
        <w:rPr>
          <w:rFonts w:ascii="仿宋" w:hAnsi="仿宋" w:eastAsia="仿宋"/>
          <w:sz w:val="32"/>
          <w:szCs w:val="32"/>
        </w:rPr>
      </w:pPr>
    </w:p>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31" w:name="_Toc23866"/>
      <w:bookmarkStart w:id="32" w:name="_Toc15377207"/>
      <w:bookmarkStart w:id="33" w:name="_Toc15396605"/>
      <w:r>
        <w:rPr>
          <w:rFonts w:hint="eastAsia" w:ascii="黑体" w:hAnsi="黑体" w:eastAsia="黑体"/>
          <w:sz w:val="32"/>
          <w:szCs w:val="32"/>
        </w:rPr>
        <w:t>支</w:t>
      </w:r>
      <w:r>
        <w:rPr>
          <w:rStyle w:val="29"/>
          <w:rFonts w:hint="eastAsia" w:ascii="黑体" w:hAnsi="黑体" w:eastAsia="黑体"/>
          <w:b w:val="0"/>
        </w:rPr>
        <w:t>出决算情况说明</w:t>
      </w:r>
      <w:bookmarkEnd w:id="31"/>
      <w:bookmarkEnd w:id="32"/>
      <w:bookmarkEnd w:id="33"/>
    </w:p>
    <w:p>
      <w:pPr>
        <w:spacing w:line="600" w:lineRule="exact"/>
        <w:ind w:firstLine="640" w:firstLineChars="200"/>
        <w:outlineLvl w:val="1"/>
        <w:rPr>
          <w:rFonts w:hint="eastAsia" w:ascii="仿宋" w:hAnsi="仿宋" w:eastAsia="仿宋"/>
          <w:sz w:val="32"/>
          <w:szCs w:val="32"/>
          <w:lang w:eastAsia="zh-CN"/>
        </w:rPr>
      </w:pPr>
      <w:bookmarkStart w:id="34" w:name="_Toc15084"/>
      <w:r>
        <w:rPr>
          <w:rFonts w:ascii="仿宋" w:hAnsi="仿宋" w:eastAsia="仿宋"/>
          <w:sz w:val="32"/>
          <w:szCs w:val="32"/>
        </w:rPr>
        <w:t>20</w:t>
      </w:r>
      <w:r>
        <w:rPr>
          <w:rFonts w:hint="eastAsia" w:ascii="仿宋" w:hAnsi="仿宋" w:eastAsia="仿宋"/>
          <w:sz w:val="32"/>
          <w:szCs w:val="32"/>
        </w:rPr>
        <w:t>22年本年支出合计521.03万元，其中：基本支出520.19万元，占</w:t>
      </w:r>
      <w:r>
        <w:rPr>
          <w:rFonts w:hint="eastAsia" w:ascii="仿宋" w:hAnsi="仿宋" w:eastAsia="仿宋"/>
          <w:sz w:val="32"/>
          <w:szCs w:val="32"/>
          <w:lang w:val="en-US" w:eastAsia="zh-CN"/>
        </w:rPr>
        <w:t>99.84</w:t>
      </w:r>
      <w:r>
        <w:rPr>
          <w:rFonts w:ascii="仿宋" w:hAnsi="仿宋" w:eastAsia="仿宋"/>
          <w:sz w:val="32"/>
          <w:szCs w:val="32"/>
        </w:rPr>
        <w:t>%</w:t>
      </w:r>
      <w:r>
        <w:rPr>
          <w:rFonts w:hint="eastAsia" w:ascii="仿宋" w:hAnsi="仿宋" w:eastAsia="仿宋"/>
          <w:sz w:val="32"/>
          <w:szCs w:val="32"/>
        </w:rPr>
        <w:t>；项目支出0.84万元，占</w:t>
      </w:r>
      <w:r>
        <w:rPr>
          <w:rFonts w:hint="eastAsia" w:ascii="仿宋" w:hAnsi="仿宋" w:eastAsia="仿宋"/>
          <w:sz w:val="32"/>
          <w:szCs w:val="32"/>
          <w:lang w:val="en-US" w:eastAsia="zh-CN"/>
        </w:rPr>
        <w:t>0.16</w:t>
      </w:r>
      <w:r>
        <w:rPr>
          <w:rFonts w:ascii="仿宋" w:hAnsi="仿宋" w:eastAsia="仿宋"/>
          <w:sz w:val="32"/>
          <w:szCs w:val="32"/>
        </w:rPr>
        <w:t>%</w:t>
      </w:r>
      <w:r>
        <w:rPr>
          <w:rFonts w:hint="eastAsia" w:ascii="仿宋" w:hAnsi="仿宋" w:eastAsia="仿宋"/>
          <w:sz w:val="32"/>
          <w:szCs w:val="32"/>
          <w:lang w:eastAsia="zh-CN"/>
        </w:rPr>
        <w:t>。</w:t>
      </w:r>
      <w:bookmarkEnd w:id="34"/>
    </w:p>
    <w:p>
      <w:pPr>
        <w:spacing w:line="600" w:lineRule="exact"/>
        <w:ind w:firstLine="640"/>
        <w:rPr>
          <w:rFonts w:ascii="仿宋" w:hAnsi="仿宋" w:eastAsia="仿宋"/>
          <w:sz w:val="32"/>
          <w:szCs w:val="32"/>
          <w:shd w:val="pct10" w:color="auto" w:fill="FFFFFF"/>
        </w:rPr>
      </w:pPr>
      <w:r>
        <w:drawing>
          <wp:anchor distT="0" distB="0" distL="114300" distR="114300" simplePos="0" relativeHeight="251660288" behindDoc="0" locked="0" layoutInCell="1" allowOverlap="1">
            <wp:simplePos x="0" y="0"/>
            <wp:positionH relativeFrom="column">
              <wp:posOffset>326390</wp:posOffset>
            </wp:positionH>
            <wp:positionV relativeFrom="paragraph">
              <wp:posOffset>314960</wp:posOffset>
            </wp:positionV>
            <wp:extent cx="4572000" cy="2743200"/>
            <wp:effectExtent l="4445" t="4445" r="1460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rPr>
          <w:rFonts w:ascii="仿宋" w:hAnsi="仿宋" w:eastAsia="仿宋"/>
          <w:sz w:val="32"/>
          <w:szCs w:val="32"/>
          <w:shd w:val="pct10" w:color="auto" w:fill="FFFFFF"/>
        </w:rPr>
      </w:pPr>
    </w:p>
    <w:p>
      <w:pPr>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p>
    <w:p>
      <w:pPr>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p>
    <w:p>
      <w:pPr>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p>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9"/>
          <w:rFonts w:ascii="黑体" w:hAnsi="黑体" w:eastAsia="黑体"/>
          <w:b w:val="0"/>
        </w:rPr>
      </w:pPr>
      <w:bookmarkStart w:id="35" w:name="_Toc15377208"/>
      <w:bookmarkStart w:id="36" w:name="_Toc4692"/>
      <w:bookmarkStart w:id="37"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5"/>
      <w:bookmarkEnd w:id="36"/>
      <w:bookmarkEnd w:id="37"/>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22年财政拨款收、支总计521.03万元。与2021年相比，收、支总计各减少</w:t>
      </w:r>
      <w:r>
        <w:rPr>
          <w:rFonts w:hint="eastAsia" w:ascii="仿宋" w:hAnsi="仿宋" w:eastAsia="仿宋"/>
          <w:sz w:val="32"/>
          <w:szCs w:val="32"/>
          <w:lang w:val="en-US" w:eastAsia="zh-CN"/>
        </w:rPr>
        <w:t>170.14</w:t>
      </w:r>
      <w:r>
        <w:rPr>
          <w:rFonts w:hint="eastAsia" w:ascii="仿宋" w:hAnsi="仿宋" w:eastAsia="仿宋"/>
          <w:sz w:val="32"/>
          <w:szCs w:val="32"/>
        </w:rPr>
        <w:t>万元，下降</w:t>
      </w:r>
      <w:r>
        <w:rPr>
          <w:rFonts w:hint="eastAsia" w:ascii="仿宋" w:hAnsi="仿宋" w:eastAsia="仿宋"/>
          <w:sz w:val="32"/>
          <w:szCs w:val="32"/>
          <w:lang w:val="en-US" w:eastAsia="zh-CN"/>
        </w:rPr>
        <w:t>24.62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r>
        <w:rPr>
          <w:rFonts w:hint="eastAsia" w:ascii="仿宋" w:hAnsi="仿宋" w:eastAsia="仿宋"/>
          <w:sz w:val="32"/>
          <w:szCs w:val="32"/>
        </w:rPr>
        <w:t>。</w:t>
      </w:r>
    </w:p>
    <w:p>
      <w:pPr>
        <w:spacing w:line="600" w:lineRule="exact"/>
        <w:ind w:firstLine="640"/>
        <w:rPr>
          <w:rFonts w:ascii="仿宋" w:hAnsi="仿宋" w:eastAsia="仿宋"/>
          <w:b/>
          <w:sz w:val="32"/>
          <w:szCs w:val="32"/>
        </w:rPr>
      </w:pPr>
      <w:r>
        <w:drawing>
          <wp:anchor distT="0" distB="0" distL="114300" distR="114300" simplePos="0" relativeHeight="251661312" behindDoc="0" locked="0" layoutInCell="1" allowOverlap="1">
            <wp:simplePos x="0" y="0"/>
            <wp:positionH relativeFrom="column">
              <wp:posOffset>502920</wp:posOffset>
            </wp:positionH>
            <wp:positionV relativeFrom="paragraph">
              <wp:posOffset>321945</wp:posOffset>
            </wp:positionV>
            <wp:extent cx="4572000" cy="2743200"/>
            <wp:effectExtent l="4445" t="4445" r="14605" b="14605"/>
            <wp:wrapNone/>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rPr>
          <w:rFonts w:ascii="仿宋" w:hAnsi="仿宋" w:eastAsia="仿宋"/>
          <w:b/>
          <w:sz w:val="32"/>
          <w:szCs w:val="32"/>
        </w:rPr>
      </w:pPr>
    </w:p>
    <w:p>
      <w:pPr>
        <w:rPr>
          <w:rFonts w:ascii="仿宋" w:hAnsi="仿宋" w:eastAsia="仿宋"/>
          <w:b/>
          <w:sz w:val="32"/>
          <w:szCs w:val="32"/>
        </w:rPr>
      </w:pPr>
    </w:p>
    <w:p>
      <w:pPr>
        <w:pStyle w:val="2"/>
        <w:rPr>
          <w:rFonts w:ascii="仿宋" w:hAnsi="仿宋" w:eastAsia="仿宋"/>
          <w:b/>
          <w:sz w:val="32"/>
          <w:szCs w:val="32"/>
        </w:rPr>
      </w:pPr>
    </w:p>
    <w:p>
      <w:pPr>
        <w:rPr>
          <w:rFonts w:ascii="仿宋" w:hAnsi="仿宋" w:eastAsia="仿宋"/>
          <w:b/>
          <w:sz w:val="32"/>
          <w:szCs w:val="32"/>
        </w:rPr>
      </w:pPr>
    </w:p>
    <w:p>
      <w:pPr>
        <w:pStyle w:val="2"/>
        <w:rPr>
          <w:rFonts w:ascii="仿宋" w:hAnsi="仿宋" w:eastAsia="仿宋"/>
          <w:b/>
          <w:sz w:val="32"/>
          <w:szCs w:val="32"/>
        </w:rPr>
      </w:pPr>
    </w:p>
    <w:p>
      <w:pPr>
        <w:rPr>
          <w:rFonts w:ascii="仿宋" w:hAnsi="仿宋" w:eastAsia="仿宋"/>
          <w:b/>
          <w:sz w:val="32"/>
          <w:szCs w:val="32"/>
        </w:rPr>
      </w:pPr>
    </w:p>
    <w:p>
      <w:pPr>
        <w:pStyle w:val="2"/>
        <w:rPr>
          <w:rFonts w:ascii="仿宋" w:hAnsi="仿宋" w:eastAsia="仿宋"/>
          <w:b/>
          <w:sz w:val="32"/>
          <w:szCs w:val="32"/>
        </w:rPr>
      </w:pPr>
    </w:p>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38" w:name="_Toc15396607"/>
      <w:bookmarkStart w:id="39" w:name="_Toc15377209"/>
      <w:bookmarkStart w:id="40" w:name="_Toc13648"/>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22年一般公共预算财政拨款支出521.03万元，占本年支出合计的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170.14</w:t>
      </w:r>
      <w:r>
        <w:rPr>
          <w:rFonts w:hint="eastAsia" w:ascii="仿宋" w:hAnsi="仿宋" w:eastAsia="仿宋"/>
          <w:sz w:val="32"/>
          <w:szCs w:val="32"/>
        </w:rPr>
        <w:t>万元，下降</w:t>
      </w:r>
      <w:r>
        <w:rPr>
          <w:rFonts w:hint="eastAsia" w:ascii="仿宋" w:hAnsi="仿宋" w:eastAsia="仿宋"/>
          <w:sz w:val="32"/>
          <w:szCs w:val="32"/>
          <w:lang w:val="en-US" w:eastAsia="zh-CN"/>
        </w:rPr>
        <w:t>24.62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r>
        <w:rPr>
          <w:rFonts w:hint="eastAsia" w:ascii="仿宋" w:hAnsi="仿宋" w:eastAsia="仿宋"/>
          <w:sz w:val="32"/>
          <w:szCs w:val="32"/>
        </w:rPr>
        <w:t>。</w:t>
      </w:r>
    </w:p>
    <w:p>
      <w:pPr>
        <w:spacing w:line="600" w:lineRule="exact"/>
        <w:ind w:firstLine="420" w:firstLineChars="200"/>
        <w:rPr>
          <w:rFonts w:ascii="仿宋" w:hAnsi="仿宋" w:eastAsia="仿宋"/>
          <w:sz w:val="32"/>
          <w:szCs w:val="32"/>
        </w:rPr>
      </w:pPr>
      <w:r>
        <w:drawing>
          <wp:anchor distT="0" distB="0" distL="114300" distR="114300" simplePos="0" relativeHeight="251662336" behindDoc="0" locked="0" layoutInCell="1" allowOverlap="1">
            <wp:simplePos x="0" y="0"/>
            <wp:positionH relativeFrom="column">
              <wp:posOffset>443865</wp:posOffset>
            </wp:positionH>
            <wp:positionV relativeFrom="paragraph">
              <wp:posOffset>-73660</wp:posOffset>
            </wp:positionV>
            <wp:extent cx="4572000" cy="2743200"/>
            <wp:effectExtent l="4445" t="4445" r="14605" b="14605"/>
            <wp:wrapNone/>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rPr>
          <w:rFonts w:ascii="仿宋" w:hAnsi="仿宋" w:eastAsia="仿宋"/>
          <w:sz w:val="32"/>
          <w:szCs w:val="32"/>
        </w:rPr>
      </w:pPr>
    </w:p>
    <w:p>
      <w:pPr>
        <w:rPr>
          <w:rFonts w:ascii="仿宋" w:hAnsi="仿宋" w:eastAsia="仿宋"/>
          <w:sz w:val="32"/>
          <w:szCs w:val="32"/>
        </w:rPr>
      </w:pPr>
    </w:p>
    <w:p>
      <w:pPr>
        <w:pStyle w:val="2"/>
        <w:rPr>
          <w:rFonts w:ascii="仿宋" w:hAnsi="仿宋" w:eastAsia="仿宋"/>
          <w:sz w:val="32"/>
          <w:szCs w:val="32"/>
        </w:rPr>
      </w:pPr>
    </w:p>
    <w:p>
      <w:pPr>
        <w:rPr>
          <w:rFonts w:ascii="仿宋" w:hAnsi="仿宋" w:eastAsia="仿宋"/>
          <w:sz w:val="32"/>
          <w:szCs w:val="32"/>
        </w:rPr>
      </w:pPr>
    </w:p>
    <w:p>
      <w:pPr>
        <w:pStyle w:val="2"/>
        <w:rPr>
          <w:rFonts w:ascii="仿宋" w:hAnsi="仿宋" w:eastAsia="仿宋"/>
          <w:sz w:val="32"/>
          <w:szCs w:val="32"/>
        </w:rPr>
      </w:pPr>
    </w:p>
    <w:p>
      <w:pPr>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pPr>
        <w:spacing w:line="600" w:lineRule="exact"/>
        <w:ind w:firstLine="640"/>
        <w:rPr>
          <w:rFonts w:hint="eastAsia" w:ascii="仿宋_GB2312" w:hAnsi="仿宋_GB2312" w:eastAsia="仿宋_GB2312" w:cs="仿宋_GB2312"/>
          <w:b w:val="0"/>
          <w:bCs/>
          <w:kern w:val="2"/>
          <w:sz w:val="32"/>
          <w:szCs w:val="32"/>
          <w:lang w:val="en-US" w:eastAsia="zh-CN" w:bidi="ar-SA"/>
        </w:rPr>
      </w:pPr>
      <w:r>
        <w:rPr>
          <w:rFonts w:ascii="仿宋" w:hAnsi="仿宋" w:eastAsia="仿宋"/>
          <w:sz w:val="32"/>
          <w:szCs w:val="32"/>
        </w:rPr>
        <w:t>20</w:t>
      </w:r>
      <w:r>
        <w:rPr>
          <w:rFonts w:hint="eastAsia" w:ascii="仿宋" w:hAnsi="仿宋" w:eastAsia="仿宋"/>
          <w:sz w:val="32"/>
          <w:szCs w:val="32"/>
        </w:rPr>
        <w:t>22年一般公共预算财政拨款支出521.03万元，主要用于以下方面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433.04万元，占</w:t>
      </w:r>
      <w:r>
        <w:rPr>
          <w:rFonts w:hint="eastAsia" w:ascii="仿宋" w:hAnsi="仿宋" w:eastAsia="仿宋"/>
          <w:sz w:val="32"/>
          <w:szCs w:val="32"/>
          <w:lang w:val="en-US" w:eastAsia="zh-CN"/>
        </w:rPr>
        <w:t>83.11</w:t>
      </w:r>
      <w:r>
        <w:rPr>
          <w:rFonts w:ascii="仿宋" w:hAnsi="仿宋" w:eastAsia="仿宋"/>
          <w:sz w:val="32"/>
          <w:szCs w:val="32"/>
        </w:rPr>
        <w:t>%</w:t>
      </w:r>
      <w:r>
        <w:rPr>
          <w:rFonts w:hint="eastAsia" w:ascii="仿宋_GB2312" w:hAnsi="仿宋_GB2312" w:eastAsia="仿宋_GB2312" w:cs="仿宋_GB2312"/>
          <w:b w:val="0"/>
          <w:bCs/>
          <w:kern w:val="2"/>
          <w:sz w:val="32"/>
          <w:szCs w:val="32"/>
          <w:lang w:val="en-US" w:eastAsia="zh-CN" w:bidi="ar-SA"/>
        </w:rPr>
        <w:t>；</w:t>
      </w:r>
      <w:r>
        <w:rPr>
          <w:rFonts w:hint="eastAsia" w:ascii="仿宋" w:hAnsi="仿宋" w:eastAsia="仿宋" w:cs="Times New Roman"/>
          <w:b/>
          <w:sz w:val="32"/>
          <w:szCs w:val="32"/>
          <w:lang w:val="en-US" w:eastAsia="zh-CN"/>
        </w:rPr>
        <w:t>社会保障和就业（类）支出</w:t>
      </w:r>
      <w:r>
        <w:rPr>
          <w:rFonts w:hint="eastAsia" w:ascii="仿宋_GB2312" w:hAnsi="仿宋_GB2312" w:eastAsia="仿宋_GB2312" w:cs="仿宋_GB2312"/>
          <w:b w:val="0"/>
          <w:bCs/>
          <w:kern w:val="2"/>
          <w:sz w:val="32"/>
          <w:szCs w:val="32"/>
          <w:lang w:val="en-US" w:eastAsia="zh-CN" w:bidi="ar-SA"/>
        </w:rPr>
        <w:t>38.29万元，占7.35%；</w:t>
      </w:r>
      <w:r>
        <w:rPr>
          <w:rFonts w:hint="eastAsia" w:ascii="仿宋" w:hAnsi="仿宋" w:eastAsia="仿宋" w:cs="Times New Roman"/>
          <w:b/>
          <w:sz w:val="32"/>
          <w:szCs w:val="32"/>
          <w:lang w:val="en-US" w:eastAsia="zh-CN"/>
        </w:rPr>
        <w:t>卫生健康(类）支出</w:t>
      </w:r>
      <w:r>
        <w:rPr>
          <w:rFonts w:hint="eastAsia" w:ascii="仿宋_GB2312" w:hAnsi="仿宋_GB2312" w:eastAsia="仿宋_GB2312" w:cs="仿宋_GB2312"/>
          <w:b w:val="0"/>
          <w:bCs/>
          <w:kern w:val="2"/>
          <w:sz w:val="32"/>
          <w:szCs w:val="32"/>
          <w:lang w:val="en-US" w:eastAsia="zh-CN" w:bidi="ar-SA"/>
        </w:rPr>
        <w:t>20.99万元，占4.03%；</w:t>
      </w:r>
      <w:r>
        <w:rPr>
          <w:rFonts w:hint="eastAsia" w:ascii="仿宋" w:hAnsi="仿宋" w:eastAsia="仿宋" w:cs="Times New Roman"/>
          <w:b/>
          <w:sz w:val="32"/>
          <w:szCs w:val="32"/>
          <w:lang w:val="en-US" w:eastAsia="zh-CN"/>
        </w:rPr>
        <w:t>住房保障支出（类）</w:t>
      </w:r>
      <w:r>
        <w:rPr>
          <w:rFonts w:hint="eastAsia" w:ascii="仿宋_GB2312" w:hAnsi="仿宋_GB2312" w:eastAsia="仿宋_GB2312" w:cs="仿宋_GB2312"/>
          <w:b w:val="0"/>
          <w:bCs/>
          <w:kern w:val="2"/>
          <w:sz w:val="32"/>
          <w:szCs w:val="32"/>
          <w:lang w:val="en-US" w:eastAsia="zh-CN" w:bidi="ar-SA"/>
        </w:rPr>
        <w:t>28.72万元，占5.51%。</w:t>
      </w:r>
    </w:p>
    <w:p>
      <w:pPr>
        <w:pStyle w:val="2"/>
        <w:rPr>
          <w:rFonts w:hint="eastAsia" w:ascii="仿宋_GB2312" w:hAnsi="仿宋_GB2312" w:eastAsia="仿宋_GB2312" w:cs="仿宋_GB2312"/>
          <w:b w:val="0"/>
          <w:bCs/>
          <w:kern w:val="2"/>
          <w:sz w:val="32"/>
          <w:szCs w:val="32"/>
          <w:lang w:val="en-US" w:eastAsia="zh-CN" w:bidi="ar-SA"/>
        </w:rPr>
      </w:pPr>
      <w:r>
        <w:drawing>
          <wp:anchor distT="0" distB="0" distL="114300" distR="114300" simplePos="0" relativeHeight="251663360" behindDoc="0" locked="0" layoutInCell="1" allowOverlap="1">
            <wp:simplePos x="0" y="0"/>
            <wp:positionH relativeFrom="column">
              <wp:posOffset>297815</wp:posOffset>
            </wp:positionH>
            <wp:positionV relativeFrom="paragraph">
              <wp:posOffset>160655</wp:posOffset>
            </wp:positionV>
            <wp:extent cx="4572000" cy="2743200"/>
            <wp:effectExtent l="4445" t="4445" r="14605" b="14605"/>
            <wp:wrapNone/>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rPr>
          <w:rFonts w:hint="eastAsia" w:ascii="仿宋_GB2312" w:hAnsi="仿宋_GB2312" w:eastAsia="仿宋_GB2312" w:cs="仿宋_GB2312"/>
          <w:b w:val="0"/>
          <w:bCs/>
          <w:kern w:val="2"/>
          <w:sz w:val="32"/>
          <w:szCs w:val="32"/>
          <w:lang w:val="en-US" w:eastAsia="zh-CN" w:bidi="ar-SA"/>
        </w:rPr>
      </w:pPr>
    </w:p>
    <w:p>
      <w:pPr>
        <w:pStyle w:val="2"/>
        <w:rPr>
          <w:rFonts w:hint="eastAsia" w:ascii="仿宋_GB2312" w:hAnsi="仿宋_GB2312" w:eastAsia="仿宋_GB2312" w:cs="仿宋_GB2312"/>
          <w:b w:val="0"/>
          <w:bCs/>
          <w:kern w:val="2"/>
          <w:sz w:val="32"/>
          <w:szCs w:val="32"/>
          <w:lang w:val="en-US" w:eastAsia="zh-CN" w:bidi="ar-SA"/>
        </w:rPr>
      </w:pPr>
    </w:p>
    <w:p>
      <w:pPr>
        <w:rPr>
          <w:rFonts w:hint="eastAsia" w:ascii="仿宋_GB2312" w:hAnsi="仿宋_GB2312" w:eastAsia="仿宋_GB2312" w:cs="仿宋_GB2312"/>
          <w:b w:val="0"/>
          <w:bCs/>
          <w:kern w:val="2"/>
          <w:sz w:val="32"/>
          <w:szCs w:val="32"/>
          <w:lang w:val="en-US" w:eastAsia="zh-CN" w:bidi="ar-SA"/>
        </w:rPr>
      </w:pPr>
    </w:p>
    <w:p>
      <w:pPr>
        <w:pStyle w:val="2"/>
        <w:rPr>
          <w:rFonts w:hint="eastAsia" w:ascii="仿宋_GB2312" w:hAnsi="仿宋_GB2312" w:eastAsia="仿宋_GB2312" w:cs="仿宋_GB2312"/>
          <w:b w:val="0"/>
          <w:bCs/>
          <w:kern w:val="2"/>
          <w:sz w:val="32"/>
          <w:szCs w:val="32"/>
          <w:lang w:val="en-US" w:eastAsia="zh-CN" w:bidi="ar-SA"/>
        </w:rPr>
      </w:pPr>
    </w:p>
    <w:p>
      <w:pPr>
        <w:rPr>
          <w:rFonts w:hint="eastAsia" w:ascii="仿宋_GB2312" w:hAnsi="仿宋_GB2312" w:eastAsia="仿宋_GB2312" w:cs="仿宋_GB2312"/>
          <w:b w:val="0"/>
          <w:bCs/>
          <w:kern w:val="2"/>
          <w:sz w:val="32"/>
          <w:szCs w:val="32"/>
          <w:lang w:val="en-US" w:eastAsia="zh-CN" w:bidi="ar-SA"/>
        </w:rPr>
      </w:pPr>
    </w:p>
    <w:p>
      <w:pPr>
        <w:pStyle w:val="2"/>
        <w:rPr>
          <w:rFonts w:hint="eastAsia" w:ascii="仿宋_GB2312" w:hAnsi="仿宋_GB2312" w:eastAsia="仿宋_GB2312" w:cs="仿宋_GB2312"/>
          <w:b w:val="0"/>
          <w:bCs/>
          <w:kern w:val="2"/>
          <w:sz w:val="32"/>
          <w:szCs w:val="32"/>
          <w:lang w:val="en-US" w:eastAsia="zh-CN" w:bidi="ar-SA"/>
        </w:rPr>
      </w:pPr>
    </w:p>
    <w:p>
      <w:pPr>
        <w:spacing w:line="600" w:lineRule="exact"/>
        <w:rPr>
          <w:rFonts w:ascii="仿宋" w:hAnsi="仿宋" w:eastAsia="仿宋"/>
          <w:b/>
          <w:sz w:val="32"/>
          <w:szCs w:val="32"/>
        </w:rPr>
      </w:pPr>
    </w:p>
    <w:p>
      <w:pPr>
        <w:spacing w:line="600" w:lineRule="exact"/>
        <w:ind w:firstLine="64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pPr>
        <w:spacing w:line="600" w:lineRule="exact"/>
        <w:ind w:firstLine="643" w:firstLineChars="200"/>
        <w:outlineLvl w:val="1"/>
        <w:rPr>
          <w:rFonts w:ascii="仿宋" w:hAnsi="仿宋" w:eastAsia="仿宋"/>
          <w:sz w:val="32"/>
          <w:szCs w:val="32"/>
        </w:rPr>
      </w:pPr>
      <w:bookmarkStart w:id="44" w:name="_Toc15377444"/>
      <w:bookmarkStart w:id="45" w:name="_Toc8371"/>
      <w:bookmarkStart w:id="46" w:name="_Toc15378460"/>
      <w:bookmarkStart w:id="47" w:name="_Toc15377213"/>
      <w:r>
        <w:rPr>
          <w:rFonts w:hint="eastAsia" w:ascii="仿宋" w:hAnsi="仿宋" w:eastAsia="仿宋"/>
          <w:b/>
          <w:sz w:val="32"/>
          <w:szCs w:val="32"/>
        </w:rPr>
        <w:t>2022年一般公共预算支出决算数为521.03</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44"/>
      <w:bookmarkEnd w:id="45"/>
      <w:bookmarkEnd w:id="46"/>
      <w:bookmarkEnd w:id="47"/>
    </w:p>
    <w:p>
      <w:p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8"/>
          <w:rFonts w:ascii="仿宋" w:hAnsi="仿宋" w:eastAsia="仿宋"/>
          <w:bCs/>
          <w:sz w:val="32"/>
          <w:szCs w:val="32"/>
        </w:rPr>
        <w:t>1.</w:t>
      </w: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发展与改革事务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行政运行</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Fonts w:hint="eastAsia" w:ascii="仿宋_GB2312" w:hAnsi="仿宋_GB2312" w:eastAsia="仿宋_GB2312" w:cs="仿宋_GB2312"/>
          <w:b w:val="0"/>
          <w:bCs/>
          <w:kern w:val="2"/>
          <w:sz w:val="32"/>
          <w:szCs w:val="32"/>
          <w:lang w:val="en-US" w:eastAsia="zh-CN" w:bidi="ar-SA"/>
        </w:rPr>
        <w:t>支出决算为245.06万元，完成预算100%。</w:t>
      </w:r>
    </w:p>
    <w:p>
      <w:p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8"/>
          <w:rFonts w:ascii="仿宋" w:hAnsi="仿宋" w:eastAsia="仿宋"/>
          <w:bCs/>
          <w:sz w:val="32"/>
          <w:szCs w:val="32"/>
        </w:rPr>
        <w:t>2.</w:t>
      </w: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发展与改革事务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事业运行</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Fonts w:hint="eastAsia" w:ascii="仿宋_GB2312" w:hAnsi="仿宋_GB2312" w:eastAsia="仿宋_GB2312" w:cs="仿宋_GB2312"/>
          <w:b w:val="0"/>
          <w:bCs/>
          <w:kern w:val="2"/>
          <w:sz w:val="32"/>
          <w:szCs w:val="32"/>
          <w:lang w:val="en-US" w:eastAsia="zh-CN" w:bidi="ar-SA"/>
        </w:rPr>
        <w:t>支出决算为187.14万元，完成预算100%。</w:t>
      </w:r>
    </w:p>
    <w:p>
      <w:p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8"/>
          <w:rFonts w:ascii="仿宋" w:hAnsi="仿宋" w:eastAsia="仿宋"/>
          <w:bCs/>
          <w:sz w:val="32"/>
          <w:szCs w:val="32"/>
        </w:rPr>
        <w:t>3.</w:t>
      </w: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发展与改革事务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其他发展和改革事务支出</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Fonts w:hint="eastAsia" w:ascii="仿宋_GB2312" w:hAnsi="仿宋_GB2312" w:eastAsia="仿宋_GB2312" w:cs="仿宋_GB2312"/>
          <w:b w:val="0"/>
          <w:bCs/>
          <w:kern w:val="2"/>
          <w:sz w:val="32"/>
          <w:szCs w:val="32"/>
          <w:lang w:val="en-US" w:eastAsia="zh-CN" w:bidi="ar-SA"/>
        </w:rPr>
        <w:t>支出决算为0.84万元，完成预算100%。</w:t>
      </w:r>
    </w:p>
    <w:p>
      <w:p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Style w:val="18"/>
          <w:rFonts w:hint="eastAsia" w:ascii="仿宋" w:hAnsi="仿宋" w:eastAsia="仿宋"/>
          <w:bCs/>
          <w:sz w:val="32"/>
          <w:szCs w:val="32"/>
        </w:rPr>
        <w:t>社会保障和就业（类）</w:t>
      </w:r>
      <w:r>
        <w:rPr>
          <w:rStyle w:val="18"/>
          <w:rFonts w:hint="eastAsia" w:ascii="仿宋" w:hAnsi="仿宋" w:eastAsia="仿宋"/>
          <w:bCs/>
          <w:sz w:val="32"/>
          <w:szCs w:val="32"/>
          <w:lang w:eastAsia="zh-CN"/>
        </w:rPr>
        <w:t>行政事业单位养老支出</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机关事业单位基本养老保险缴费支出</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Fonts w:hint="eastAsia" w:ascii="仿宋_GB2312" w:hAnsi="仿宋_GB2312" w:eastAsia="仿宋_GB2312" w:cs="仿宋_GB2312"/>
          <w:b w:val="0"/>
          <w:bCs/>
          <w:kern w:val="2"/>
          <w:sz w:val="32"/>
          <w:szCs w:val="32"/>
          <w:lang w:val="en-US" w:eastAsia="zh-CN" w:bidi="ar-SA"/>
        </w:rPr>
        <w:t>支出决算为38.29万元，完成预算100%。</w:t>
      </w:r>
    </w:p>
    <w:p>
      <w:p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8"/>
          <w:rFonts w:hint="eastAsia" w:ascii="仿宋" w:hAnsi="仿宋" w:eastAsia="仿宋"/>
          <w:bCs/>
          <w:sz w:val="32"/>
          <w:szCs w:val="32"/>
          <w:lang w:val="en-US" w:eastAsia="zh-CN"/>
        </w:rPr>
        <w:t>5</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行政事业单位医疗</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行政单位医疗</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Fonts w:hint="eastAsia" w:ascii="仿宋_GB2312" w:hAnsi="仿宋_GB2312" w:eastAsia="仿宋_GB2312" w:cs="仿宋_GB2312"/>
          <w:b w:val="0"/>
          <w:bCs/>
          <w:kern w:val="2"/>
          <w:sz w:val="32"/>
          <w:szCs w:val="32"/>
          <w:lang w:val="en-US" w:eastAsia="zh-CN" w:bidi="ar-SA"/>
        </w:rPr>
        <w:t>支出决算为19.14万元，完成预算100%。</w:t>
      </w:r>
    </w:p>
    <w:p>
      <w:pPr>
        <w:spacing w:line="600" w:lineRule="exact"/>
        <w:ind w:firstLine="643" w:firstLineChars="200"/>
        <w:rPr>
          <w:rFonts w:hint="eastAsia" w:ascii="仿宋" w:hAnsi="仿宋" w:eastAsia="仿宋"/>
          <w:b/>
          <w:sz w:val="32"/>
          <w:szCs w:val="32"/>
          <w:lang w:val="en-US" w:eastAsia="zh-CN"/>
        </w:rPr>
      </w:pPr>
      <w:r>
        <w:rPr>
          <w:rStyle w:val="18"/>
          <w:rFonts w:hint="eastAsia" w:ascii="仿宋" w:hAnsi="仿宋" w:eastAsia="仿宋"/>
          <w:bCs/>
          <w:sz w:val="32"/>
          <w:szCs w:val="32"/>
          <w:lang w:val="en-US" w:eastAsia="zh-CN"/>
        </w:rPr>
        <w:t>6</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行政事业单位医疗</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其他行政事业单位医疗</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Fonts w:hint="eastAsia" w:ascii="仿宋_GB2312" w:hAnsi="仿宋_GB2312" w:eastAsia="仿宋_GB2312" w:cs="仿宋_GB2312"/>
          <w:b w:val="0"/>
          <w:bCs/>
          <w:kern w:val="2"/>
          <w:sz w:val="32"/>
          <w:szCs w:val="32"/>
          <w:lang w:val="en-US" w:eastAsia="zh-CN" w:bidi="ar-SA"/>
        </w:rPr>
        <w:t>支出决算为1.84万元，完成预算100%。</w:t>
      </w:r>
    </w:p>
    <w:p>
      <w:pPr>
        <w:pStyle w:val="9"/>
        <w:ind w:firstLine="642"/>
        <w:rPr>
          <w:rFonts w:hint="eastAsia"/>
          <w:lang w:val="en-US" w:eastAsia="zh-CN"/>
        </w:rPr>
      </w:pPr>
      <w:r>
        <w:rPr>
          <w:rFonts w:hint="eastAsia" w:ascii="仿宋" w:hAnsi="仿宋" w:eastAsia="仿宋"/>
          <w:b/>
          <w:sz w:val="32"/>
          <w:szCs w:val="32"/>
          <w:lang w:val="en-US" w:eastAsia="zh-CN"/>
        </w:rPr>
        <w:t>7.住房保障支出（类）住房改革支出（款）住房公积金（项）：</w:t>
      </w:r>
      <w:r>
        <w:rPr>
          <w:rFonts w:hint="eastAsia" w:ascii="仿宋_GB2312" w:hAnsi="仿宋_GB2312" w:eastAsia="仿宋_GB2312" w:cs="仿宋_GB2312"/>
          <w:b w:val="0"/>
          <w:bCs/>
          <w:kern w:val="2"/>
          <w:sz w:val="32"/>
          <w:szCs w:val="32"/>
          <w:lang w:val="en-US" w:eastAsia="zh-CN" w:bidi="ar-SA"/>
        </w:rPr>
        <w:t>支出决算为28.72万元，完成预算100%。</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9"/>
        </w:rPr>
      </w:pPr>
      <w:bookmarkStart w:id="48" w:name="_Toc12726"/>
      <w:bookmarkStart w:id="49" w:name="_Toc15396608"/>
      <w:bookmarkStart w:id="50"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48"/>
      <w:bookmarkEnd w:id="49"/>
      <w:bookmarkEnd w:id="50"/>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22年一般公共预算财政拨款基本支出520.19万元，其中：</w:t>
      </w:r>
    </w:p>
    <w:p>
      <w:pPr>
        <w:spacing w:line="600" w:lineRule="exact"/>
        <w:ind w:firstLine="645"/>
        <w:rPr>
          <w:rFonts w:hint="eastAsia" w:ascii="仿宋_GB2312" w:hAnsi="仿宋_GB2312" w:eastAsia="仿宋_GB2312" w:cs="仿宋_GB2312"/>
          <w:b w:val="0"/>
          <w:bCs/>
          <w:kern w:val="2"/>
          <w:sz w:val="32"/>
          <w:szCs w:val="32"/>
          <w:lang w:val="en-US" w:eastAsia="zh-CN" w:bidi="ar-SA"/>
        </w:rPr>
      </w:pPr>
      <w:r>
        <w:rPr>
          <w:rFonts w:hint="eastAsia" w:ascii="仿宋" w:hAnsi="仿宋" w:eastAsia="仿宋"/>
          <w:sz w:val="32"/>
          <w:szCs w:val="32"/>
        </w:rPr>
        <w:t>人员经费467.55万元，</w:t>
      </w:r>
      <w:r>
        <w:rPr>
          <w:rFonts w:hint="eastAsia" w:ascii="仿宋_GB2312" w:hAnsi="仿宋_GB2312" w:eastAsia="仿宋_GB2312" w:cs="仿宋_GB2312"/>
          <w:b w:val="0"/>
          <w:bCs/>
          <w:kern w:val="2"/>
          <w:sz w:val="32"/>
          <w:szCs w:val="32"/>
          <w:lang w:val="en-US" w:eastAsia="zh-CN" w:bidi="ar-SA"/>
        </w:rPr>
        <w:t>主要包括：基本工资、津贴补贴、绩效工资、机关事业单位基本养老保险缴费、职工基本医疗保险缴费、其他社会保障缴费、住房公积金、其他工资福利支出、生活补助等。</w:t>
      </w:r>
    </w:p>
    <w:p>
      <w:pPr>
        <w:keepNext w:val="0"/>
        <w:keepLines w:val="0"/>
        <w:pageBreakBefore w:val="0"/>
        <w:widowControl w:val="0"/>
        <w:kinsoku/>
        <w:wordWrap/>
        <w:overflowPunct/>
        <w:topLinePunct w:val="0"/>
        <w:autoSpaceDE/>
        <w:autoSpaceDN/>
        <w:bidi w:val="0"/>
        <w:spacing w:line="576" w:lineRule="exact"/>
        <w:ind w:firstLine="645"/>
        <w:textAlignment w:val="auto"/>
        <w:rPr>
          <w:rFonts w:ascii="仿宋" w:hAnsi="仿宋" w:eastAsia="仿宋"/>
          <w:b/>
          <w:sz w:val="32"/>
          <w:szCs w:val="32"/>
        </w:rPr>
      </w:pPr>
      <w:r>
        <w:rPr>
          <w:rFonts w:hint="eastAsia" w:ascii="仿宋" w:hAnsi="仿宋" w:eastAsia="仿宋"/>
          <w:sz w:val="32"/>
          <w:szCs w:val="32"/>
        </w:rPr>
        <w:t>公用经费52.64万元，</w:t>
      </w:r>
      <w:r>
        <w:rPr>
          <w:rFonts w:hint="eastAsia" w:ascii="仿宋_GB2312" w:hAnsi="仿宋_GB2312" w:eastAsia="仿宋_GB2312" w:cs="仿宋_GB2312"/>
          <w:b w:val="0"/>
          <w:bCs/>
          <w:kern w:val="2"/>
          <w:sz w:val="32"/>
          <w:szCs w:val="32"/>
          <w:lang w:val="en-US" w:eastAsia="zh-CN" w:bidi="ar-SA"/>
        </w:rPr>
        <w:t>主要包括：办公费、印刷费、水费、电费、邮电费、物业管理费、差旅费、维修（护）费、会议费、培训费、公务接待费、劳务费、工会经费、福利费、其他交通费、其他商品和服务支出等。</w:t>
      </w:r>
    </w:p>
    <w:p>
      <w:pPr>
        <w:spacing w:line="600" w:lineRule="exact"/>
        <w:ind w:firstLine="640"/>
        <w:outlineLvl w:val="1"/>
        <w:rPr>
          <w:rStyle w:val="29"/>
          <w:rFonts w:ascii="黑体" w:hAnsi="黑体" w:eastAsia="黑体"/>
          <w:b w:val="0"/>
        </w:rPr>
      </w:pPr>
      <w:bookmarkStart w:id="51" w:name="_Toc15377215"/>
      <w:bookmarkStart w:id="52" w:name="_Toc21653"/>
      <w:bookmarkStart w:id="53"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51"/>
      <w:bookmarkEnd w:id="52"/>
      <w:bookmarkEnd w:id="53"/>
    </w:p>
    <w:p>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7.33</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3.26</w:t>
      </w:r>
      <w:r>
        <w:rPr>
          <w:rFonts w:hint="eastAsia" w:ascii="仿宋" w:hAnsi="仿宋" w:eastAsia="仿宋"/>
          <w:sz w:val="32"/>
          <w:szCs w:val="32"/>
        </w:rPr>
        <w:t>万元，下降</w:t>
      </w:r>
      <w:r>
        <w:rPr>
          <w:rFonts w:hint="eastAsia" w:ascii="仿宋" w:hAnsi="仿宋" w:eastAsia="仿宋"/>
          <w:sz w:val="32"/>
          <w:szCs w:val="32"/>
          <w:lang w:val="en-US" w:eastAsia="zh-CN"/>
        </w:rPr>
        <w:t>30.78</w:t>
      </w:r>
      <w:r>
        <w:rPr>
          <w:rFonts w:hint="eastAsia" w:ascii="仿宋" w:hAnsi="仿宋" w:eastAsia="仿宋"/>
          <w:sz w:val="32"/>
          <w:szCs w:val="32"/>
        </w:rPr>
        <w:t>%。决算数与预算数持平</w:t>
      </w:r>
      <w:r>
        <w:rPr>
          <w:rFonts w:hint="eastAsia" w:ascii="仿宋" w:hAnsi="仿宋" w:eastAsia="仿宋"/>
          <w:sz w:val="32"/>
          <w:szCs w:val="32"/>
          <w:lang w:eastAsia="zh-CN"/>
        </w:rPr>
        <w:t>。</w:t>
      </w:r>
    </w:p>
    <w:p>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7.33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4384" behindDoc="0" locked="0" layoutInCell="1" allowOverlap="1">
            <wp:simplePos x="0" y="0"/>
            <wp:positionH relativeFrom="column">
              <wp:posOffset>271145</wp:posOffset>
            </wp:positionH>
            <wp:positionV relativeFrom="paragraph">
              <wp:posOffset>-313055</wp:posOffset>
            </wp:positionV>
            <wp:extent cx="4638675" cy="2962275"/>
            <wp:effectExtent l="4445" t="4445" r="5080" b="508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w:t>
      </w:r>
    </w:p>
    <w:p>
      <w:pPr>
        <w:numPr>
          <w:ilvl w:val="0"/>
          <w:numId w:val="0"/>
        </w:num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bookmarkStart w:id="56" w:name="_Toc15377218"/>
      <w:bookmarkStart w:id="57" w:name="_Toc15396610"/>
      <w:r>
        <w:rPr>
          <w:rFonts w:hint="eastAsia" w:ascii="仿宋_GB2312" w:eastAsia="仿宋_GB2312"/>
          <w:b/>
          <w:sz w:val="32"/>
          <w:szCs w:val="32"/>
          <w:lang w:val="en-US" w:eastAsia="zh-CN"/>
        </w:rPr>
        <w:t>1.</w:t>
      </w:r>
      <w:r>
        <w:rPr>
          <w:rFonts w:hint="eastAsia" w:ascii="仿宋_GB2312" w:eastAsia="仿宋_GB2312"/>
          <w:b/>
          <w:sz w:val="32"/>
          <w:szCs w:val="32"/>
        </w:rPr>
        <w:t>因公出国（境）经费支出</w:t>
      </w:r>
      <w:r>
        <w:rPr>
          <w:rFonts w:hint="eastAsia" w:ascii="仿宋_GB2312" w:hAnsi="仿宋_GB2312" w:eastAsia="仿宋_GB2312" w:cs="仿宋_GB2312"/>
          <w:b w:val="0"/>
          <w:bCs/>
          <w:kern w:val="2"/>
          <w:sz w:val="32"/>
          <w:szCs w:val="32"/>
          <w:lang w:val="en-US" w:eastAsia="zh-CN" w:bidi="ar-SA"/>
        </w:rPr>
        <w:t>0万元，未安排预算，无相应支出，较上年无变化。</w:t>
      </w:r>
    </w:p>
    <w:p>
      <w:pPr>
        <w:numPr>
          <w:ilvl w:val="0"/>
          <w:numId w:val="0"/>
        </w:num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hAnsi="仿宋_GB2312" w:eastAsia="仿宋_GB2312" w:cs="仿宋_GB2312"/>
          <w:b w:val="0"/>
          <w:bCs/>
          <w:kern w:val="2"/>
          <w:sz w:val="32"/>
          <w:szCs w:val="32"/>
          <w:lang w:val="en-US" w:eastAsia="zh-CN" w:bidi="ar-SA"/>
        </w:rPr>
        <w:t>0万元，未安排预算，无相应支出，较上年无变化。</w:t>
      </w:r>
    </w:p>
    <w:p>
      <w:pPr>
        <w:spacing w:line="600" w:lineRule="exact"/>
        <w:ind w:firstLine="640"/>
        <w:rPr>
          <w:rFonts w:hint="eastAsia" w:ascii="仿宋_GB2312" w:hAnsi="仿宋_GB2312" w:eastAsia="仿宋_GB2312" w:cs="仿宋_GB2312"/>
          <w:b w:val="0"/>
          <w:bCs/>
          <w:kern w:val="2"/>
          <w:sz w:val="32"/>
          <w:szCs w:val="32"/>
          <w:lang w:val="en-US" w:eastAsia="zh-CN" w:bidi="ar-SA"/>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hAnsi="仿宋_GB2312" w:eastAsia="仿宋_GB2312" w:cs="仿宋_GB2312"/>
          <w:b w:val="0"/>
          <w:bCs/>
          <w:kern w:val="2"/>
          <w:sz w:val="32"/>
          <w:szCs w:val="32"/>
          <w:lang w:val="en-US" w:eastAsia="zh-CN" w:bidi="ar-SA"/>
        </w:rPr>
        <w:t>7.33万元，完成预算100%。公务接待费支出决算比2021年下降3.26万元，下降30.78%。主要原因是今年预算9万元，中途财政追减1.67万元。其中：</w:t>
      </w:r>
    </w:p>
    <w:p>
      <w:pPr>
        <w:numPr>
          <w:ilvl w:val="0"/>
          <w:numId w:val="0"/>
        </w:num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Fonts w:hint="eastAsia" w:ascii="仿宋" w:hAnsi="仿宋" w:eastAsia="仿宋"/>
          <w:b/>
          <w:sz w:val="32"/>
          <w:szCs w:val="32"/>
        </w:rPr>
        <w:t>国内公务接待支出</w:t>
      </w:r>
      <w:r>
        <w:rPr>
          <w:rFonts w:hint="eastAsia" w:ascii="仿宋" w:hAnsi="仿宋" w:eastAsia="仿宋"/>
          <w:b w:val="0"/>
          <w:bCs/>
          <w:sz w:val="32"/>
          <w:szCs w:val="32"/>
          <w:lang w:val="en-US" w:eastAsia="zh-CN"/>
        </w:rPr>
        <w:t>7.33</w:t>
      </w:r>
      <w:r>
        <w:rPr>
          <w:rFonts w:hint="eastAsia" w:ascii="仿宋_GB2312" w:hAnsi="仿宋_GB2312" w:eastAsia="仿宋_GB2312" w:cs="仿宋_GB2312"/>
          <w:b w:val="0"/>
          <w:bCs/>
          <w:kern w:val="2"/>
          <w:sz w:val="32"/>
          <w:szCs w:val="32"/>
          <w:lang w:val="en-US" w:eastAsia="zh-CN" w:bidi="ar-SA"/>
        </w:rPr>
        <w:t>万元，主要用于执行公务、开展业务活动开支的用餐费等。国内公务接待135批次，1,286人次，共计支出7.33万元，具体内容包括：执行公务、开展业务活动开支的用餐费等。</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_GB2312" w:hAnsi="仿宋_GB2312" w:eastAsia="仿宋_GB2312" w:cs="仿宋_GB2312"/>
          <w:b w:val="0"/>
          <w:bCs/>
          <w:kern w:val="2"/>
          <w:sz w:val="32"/>
          <w:szCs w:val="32"/>
          <w:lang w:val="en-US" w:eastAsia="zh-CN" w:bidi="ar-SA"/>
        </w:rPr>
        <w:t>0万元，较上年无变化。</w:t>
      </w:r>
    </w:p>
    <w:bookmarkEnd w:id="56"/>
    <w:bookmarkEnd w:id="57"/>
    <w:p>
      <w:pPr>
        <w:spacing w:line="600" w:lineRule="exact"/>
        <w:ind w:firstLine="640"/>
        <w:outlineLvl w:val="1"/>
        <w:rPr>
          <w:rFonts w:hint="eastAsia" w:ascii="黑体" w:hAnsi="黑体" w:eastAsia="黑体" w:cs="黑体"/>
          <w:b w:val="0"/>
          <w:bCs w:val="0"/>
          <w:kern w:val="0"/>
          <w:sz w:val="32"/>
          <w:szCs w:val="32"/>
          <w:lang w:val="en-US" w:eastAsia="zh-CN" w:bidi="ar-SA"/>
        </w:rPr>
      </w:pPr>
      <w:bookmarkStart w:id="58" w:name="_Toc15342"/>
      <w:bookmarkStart w:id="59" w:name="_Toc15753"/>
      <w:r>
        <w:rPr>
          <w:rFonts w:hint="eastAsia" w:ascii="黑体" w:hAnsi="黑体" w:eastAsia="黑体" w:cs="黑体"/>
          <w:b w:val="0"/>
          <w:bCs w:val="0"/>
          <w:kern w:val="0"/>
          <w:sz w:val="32"/>
          <w:szCs w:val="32"/>
          <w:lang w:val="en-US" w:eastAsia="zh-CN" w:bidi="ar-SA"/>
        </w:rPr>
        <w:t>八、政府性基金预算支出决算情况说明</w:t>
      </w:r>
      <w:bookmarkEnd w:id="58"/>
      <w:bookmarkEnd w:id="59"/>
    </w:p>
    <w:p>
      <w:pPr>
        <w:spacing w:line="600" w:lineRule="exact"/>
        <w:ind w:firstLine="64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发改局无2022年政府性基金预算财政拨款支出。</w:t>
      </w:r>
    </w:p>
    <w:p>
      <w:pPr>
        <w:numPr>
          <w:ilvl w:val="0"/>
          <w:numId w:val="3"/>
        </w:numPr>
        <w:spacing w:line="600" w:lineRule="exact"/>
        <w:ind w:firstLine="640"/>
        <w:outlineLvl w:val="1"/>
        <w:rPr>
          <w:rFonts w:hint="eastAsia" w:ascii="黑体" w:hAnsi="黑体" w:eastAsia="黑体" w:cs="黑体"/>
          <w:b w:val="0"/>
          <w:bCs w:val="0"/>
          <w:kern w:val="0"/>
          <w:sz w:val="32"/>
          <w:szCs w:val="32"/>
          <w:lang w:val="en-US" w:eastAsia="zh-CN" w:bidi="ar-SA"/>
        </w:rPr>
      </w:pPr>
      <w:bookmarkStart w:id="60" w:name="_Toc24819"/>
      <w:bookmarkStart w:id="61" w:name="_Toc2917"/>
      <w:r>
        <w:rPr>
          <w:rFonts w:hint="eastAsia" w:ascii="黑体" w:hAnsi="黑体" w:eastAsia="黑体" w:cs="黑体"/>
          <w:b w:val="0"/>
          <w:bCs w:val="0"/>
          <w:kern w:val="0"/>
          <w:sz w:val="32"/>
          <w:szCs w:val="32"/>
          <w:lang w:val="en-US" w:eastAsia="zh-CN" w:bidi="ar-SA"/>
        </w:rPr>
        <w:t>国有资本经营预算支出决算情况说明</w:t>
      </w:r>
      <w:bookmarkEnd w:id="60"/>
      <w:bookmarkEnd w:id="61"/>
    </w:p>
    <w:p>
      <w:pPr>
        <w:spacing w:line="600" w:lineRule="exact"/>
        <w:ind w:firstLine="640"/>
        <w:rPr>
          <w:rFonts w:ascii="方正小标宋简体" w:hAnsi="方正小标宋简体" w:eastAsia="方正小标宋简体" w:cs="方正小标宋简体"/>
          <w:sz w:val="44"/>
          <w:szCs w:val="44"/>
        </w:rPr>
      </w:pPr>
      <w:r>
        <w:rPr>
          <w:rFonts w:hint="eastAsia" w:ascii="仿宋_GB2312" w:hAnsi="仿宋_GB2312" w:eastAsia="仿宋_GB2312" w:cs="仿宋_GB2312"/>
          <w:b w:val="0"/>
          <w:bCs/>
          <w:kern w:val="2"/>
          <w:sz w:val="32"/>
          <w:szCs w:val="32"/>
          <w:lang w:val="en-US" w:eastAsia="zh-CN" w:bidi="ar-SA"/>
        </w:rPr>
        <w:t>发改局无2022年国有资本经营预算财政拨款支出。</w:t>
      </w:r>
    </w:p>
    <w:p>
      <w:pPr>
        <w:numPr>
          <w:ilvl w:val="0"/>
          <w:numId w:val="3"/>
        </w:numPr>
        <w:spacing w:line="600" w:lineRule="exact"/>
        <w:ind w:firstLine="640"/>
        <w:outlineLvl w:val="1"/>
        <w:rPr>
          <w:rStyle w:val="29"/>
          <w:rFonts w:ascii="黑体" w:hAnsi="黑体" w:eastAsia="黑体"/>
          <w:b w:val="0"/>
        </w:rPr>
      </w:pPr>
      <w:bookmarkStart w:id="62" w:name="_Toc15396612"/>
      <w:bookmarkStart w:id="63" w:name="_Toc15377221"/>
      <w:bookmarkStart w:id="64" w:name="_Toc16362"/>
      <w:r>
        <w:rPr>
          <w:rStyle w:val="29"/>
          <w:rFonts w:hint="eastAsia" w:ascii="黑体" w:hAnsi="黑体" w:eastAsia="黑体"/>
          <w:b w:val="0"/>
        </w:rPr>
        <w:t>其他重要事项的情况说明</w:t>
      </w:r>
      <w:bookmarkEnd w:id="62"/>
      <w:bookmarkEnd w:id="63"/>
      <w:bookmarkEnd w:id="64"/>
    </w:p>
    <w:p>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pPr>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ascii="仿宋_GB2312" w:eastAsia="仿宋_GB2312"/>
          <w:sz w:val="32"/>
          <w:szCs w:val="32"/>
        </w:rPr>
        <w:t>2</w:t>
      </w:r>
      <w:r>
        <w:rPr>
          <w:rFonts w:hint="eastAsia" w:ascii="仿宋_GB2312" w:hAnsi="仿宋_GB2312" w:eastAsia="仿宋_GB2312" w:cs="仿宋_GB2312"/>
          <w:b w:val="0"/>
          <w:bCs/>
          <w:kern w:val="2"/>
          <w:sz w:val="32"/>
          <w:szCs w:val="32"/>
          <w:lang w:val="en-US" w:eastAsia="zh-CN" w:bidi="ar-SA"/>
        </w:rPr>
        <w:t>2022年，发改局机关运行经费支出52.64万元，比2021年减少10.64万元，增长16.81%。主要原因是人员减少等。</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pPr>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2022年，发改局无政府采购支出。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pPr>
        <w:autoSpaceDE w:val="0"/>
        <w:autoSpaceDN w:val="0"/>
        <w:adjustRightInd w:val="0"/>
        <w:spacing w:line="600" w:lineRule="exact"/>
        <w:ind w:firstLine="640" w:firstLineChars="200"/>
        <w:jc w:val="lef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截至2022年12月31日，发改局无公车，较上年无变化。</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hint="eastAsia" w:ascii="仿宋" w:hAnsi="仿宋" w:eastAsia="仿宋" w:cs="仿宋"/>
          <w:sz w:val="32"/>
          <w:szCs w:val="32"/>
          <w:lang w:val="zh-CN"/>
        </w:rPr>
      </w:pPr>
      <w:r>
        <w:rPr>
          <w:rFonts w:hint="eastAsia" w:ascii="仿宋_GB2312" w:hAnsi="仿宋_GB2312" w:eastAsia="仿宋_GB2312" w:cs="仿宋_GB2312"/>
          <w:b w:val="0"/>
          <w:bCs/>
          <w:kern w:val="2"/>
          <w:sz w:val="32"/>
          <w:szCs w:val="32"/>
          <w:lang w:val="en-US" w:eastAsia="zh-CN" w:bidi="ar-SA"/>
        </w:rPr>
        <w:t>根据预算绩效管理要求，本部门在2022年度预算编制阶段，组织对</w:t>
      </w:r>
      <w:r>
        <w:rPr>
          <w:rFonts w:hint="eastAsia" w:ascii="仿宋" w:hAnsi="仿宋" w:eastAsia="仿宋" w:cs="仿宋"/>
          <w:sz w:val="32"/>
          <w:szCs w:val="32"/>
          <w:lang w:val="zh-CN"/>
        </w:rPr>
        <w:t>农产品成本调查</w:t>
      </w:r>
      <w:r>
        <w:rPr>
          <w:rFonts w:hint="eastAsia" w:ascii="仿宋" w:hAnsi="仿宋" w:eastAsia="仿宋" w:cs="仿宋"/>
          <w:sz w:val="32"/>
          <w:szCs w:val="32"/>
          <w:lang w:val="en-US" w:eastAsia="zh-CN"/>
        </w:rPr>
        <w:t>1</w:t>
      </w:r>
      <w:r>
        <w:rPr>
          <w:rFonts w:hint="eastAsia" w:ascii="仿宋_GB2312" w:hAnsi="仿宋_GB2312" w:eastAsia="仿宋_GB2312" w:cs="仿宋_GB2312"/>
          <w:b w:val="0"/>
          <w:bCs/>
          <w:kern w:val="2"/>
          <w:sz w:val="32"/>
          <w:szCs w:val="32"/>
          <w:lang w:val="en-US" w:eastAsia="zh-CN" w:bidi="ar-SA"/>
        </w:rPr>
        <w:t>个项目开展了预算事前绩效评估，对1个项目编制了绩效目标，预算执行过程中，选取1个项目开展绩效监控，年终执行完毕后，对1个项目开展了绩效自</w:t>
      </w:r>
      <w:r>
        <w:rPr>
          <w:rFonts w:hint="eastAsia" w:ascii="仿宋" w:hAnsi="仿宋" w:eastAsia="仿宋" w:cs="仿宋"/>
          <w:sz w:val="32"/>
          <w:szCs w:val="32"/>
          <w:lang w:val="en-US" w:eastAsia="zh-CN"/>
        </w:rPr>
        <w:t>评，</w:t>
      </w:r>
      <w:r>
        <w:rPr>
          <w:rFonts w:hint="eastAsia" w:ascii="仿宋" w:hAnsi="仿宋" w:eastAsia="仿宋" w:cs="仿宋"/>
          <w:sz w:val="32"/>
          <w:szCs w:val="32"/>
          <w:lang w:val="zh-CN"/>
        </w:rPr>
        <w:t>绩效自评表详见第四部分附件。</w:t>
      </w:r>
    </w:p>
    <w:p>
      <w:pPr>
        <w:pStyle w:val="2"/>
        <w:rPr>
          <w:rFonts w:hint="eastAsia"/>
          <w:lang w:val="en-US" w:eastAsia="zh-CN"/>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68" w:name="_Toc15396613"/>
      <w:bookmarkStart w:id="69" w:name="_Toc23393"/>
      <w:bookmarkStart w:id="70" w:name="_Toc15377225"/>
      <w:r>
        <w:rPr>
          <w:rFonts w:hint="eastAsia" w:ascii="黑体" w:hAnsi="黑体" w:eastAsia="黑体"/>
          <w:sz w:val="44"/>
          <w:szCs w:val="44"/>
        </w:rPr>
        <w:t>名</w:t>
      </w:r>
      <w:r>
        <w:rPr>
          <w:rStyle w:val="28"/>
          <w:rFonts w:hint="eastAsia" w:ascii="黑体" w:hAnsi="黑体" w:eastAsia="黑体"/>
          <w:b w:val="0"/>
        </w:rPr>
        <w:t>词解释</w:t>
      </w:r>
      <w:bookmarkEnd w:id="68"/>
      <w:bookmarkEnd w:id="69"/>
      <w:bookmarkEnd w:id="70"/>
    </w:p>
    <w:p>
      <w:pPr>
        <w:spacing w:line="600" w:lineRule="exact"/>
        <w:jc w:val="left"/>
        <w:rPr>
          <w:rFonts w:ascii="宋体"/>
          <w:b/>
          <w:sz w:val="44"/>
          <w:szCs w:val="44"/>
        </w:rPr>
      </w:pPr>
    </w:p>
    <w:p>
      <w:pPr>
        <w:pStyle w:val="26"/>
        <w:spacing w:line="560" w:lineRule="exact"/>
        <w:ind w:firstLine="640" w:firstLineChars="200"/>
        <w:outlineLvl w:val="1"/>
        <w:rPr>
          <w:rFonts w:hint="eastAsia" w:ascii="仿宋_GB2312" w:hAnsi="仿宋_GB2312" w:eastAsia="仿宋_GB2312" w:cs="仿宋_GB2312"/>
          <w:b w:val="0"/>
          <w:bCs/>
          <w:color w:val="auto"/>
          <w:kern w:val="2"/>
          <w:sz w:val="32"/>
          <w:szCs w:val="32"/>
          <w:lang w:val="en-US" w:eastAsia="zh-CN" w:bidi="ar-SA"/>
        </w:rPr>
      </w:pPr>
      <w:bookmarkStart w:id="71" w:name="_Toc14481"/>
      <w:bookmarkStart w:id="72" w:name="_Toc19258"/>
      <w:r>
        <w:rPr>
          <w:rFonts w:hint="eastAsia" w:ascii="仿宋_GB2312" w:hAnsi="仿宋_GB2312" w:eastAsia="仿宋_GB2312" w:cs="仿宋_GB2312"/>
          <w:b w:val="0"/>
          <w:bCs/>
          <w:color w:val="auto"/>
          <w:kern w:val="2"/>
          <w:sz w:val="32"/>
          <w:szCs w:val="32"/>
          <w:lang w:val="en-US" w:eastAsia="zh-CN" w:bidi="ar-SA"/>
        </w:rPr>
        <w:t>1.财政拨款收入：指单位从同级财政部门取得的财政预算资金。</w:t>
      </w:r>
      <w:bookmarkEnd w:id="71"/>
      <w:bookmarkEnd w:id="72"/>
    </w:p>
    <w:p>
      <w:pPr>
        <w:pStyle w:val="26"/>
        <w:spacing w:line="560" w:lineRule="exact"/>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 xml:space="preserve">2.年初结转和结余：指以前年度尚未完成、结转到本年按有关规定继续使用的资金。 </w:t>
      </w:r>
    </w:p>
    <w:p>
      <w:pPr>
        <w:pStyle w:val="26"/>
        <w:spacing w:line="560" w:lineRule="exact"/>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3.结余分配：指事业单位按照会计制度规定缴纳的所得税、提取的专用结余以及转入非财政拨款结余的金额等。</w:t>
      </w:r>
    </w:p>
    <w:p>
      <w:pPr>
        <w:pStyle w:val="26"/>
        <w:spacing w:line="560" w:lineRule="exact"/>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4、年末结转和结余：指单位按有关规定结转到下年或以后年度继续使用的资金。</w:t>
      </w:r>
    </w:p>
    <w:p>
      <w:pPr>
        <w:spacing w:line="600" w:lineRule="exact"/>
        <w:ind w:firstLine="64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5.一般公共服务（类）发展与改革事务（款）行政运行（项）：指行政单位的基本支出。</w:t>
      </w:r>
    </w:p>
    <w:p>
      <w:pPr>
        <w:pStyle w:val="9"/>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6.一般公共服务（类）发展与改革事务（款）事业运行（项）：反映事业单位的基本支出，不包括行政单位（包括实行公务员管理的事业单位）后勤服务中心、医务室等附属事业单位。</w:t>
      </w:r>
    </w:p>
    <w:p>
      <w:pPr>
        <w:spacing w:line="600" w:lineRule="exact"/>
        <w:ind w:firstLine="64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7一般公共服务（类）发展与改革事务（款）其他发展和改革事务（项）：指行政单位未单独设置项级科目的其他项目支出。</w:t>
      </w:r>
    </w:p>
    <w:p>
      <w:pPr>
        <w:spacing w:line="600" w:lineRule="exact"/>
        <w:ind w:firstLine="64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8.社会保障和就业（类）行政事业单位养老支出（款）机关事业单位养老保险缴费支出（项）：指机关事业单位实施养老保险制度由单位缴纳的基本养老保险费支出。</w:t>
      </w:r>
    </w:p>
    <w:p>
      <w:pPr>
        <w:spacing w:line="600" w:lineRule="exact"/>
        <w:ind w:firstLine="64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9.卫生健康支出（类）行政事业单位医疗（款）行政单位医疗（项）：指财政部门集中安排的行政单位基本医疗保险缴费经费，未参加医疗保险的行政单位的公费医疗经费，按国家规定享受离休人员、红军老战士待遇人员的医疗经费。</w:t>
      </w:r>
    </w:p>
    <w:p>
      <w:pPr>
        <w:spacing w:line="600" w:lineRule="exact"/>
        <w:ind w:firstLine="64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10.住房保障支出（类）住房改革支出（款）住房公积金（项）：指行政事业单位按人力资源和社会保障部、财政部规定的基本工资和津贴补贴以及规定比例为职工缴纳的住房公积金。</w:t>
      </w:r>
    </w:p>
    <w:p>
      <w:pPr>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11.基本支出：指为保障机构正常运转、完成日常工作任务而发生的人员支出和公用支出。</w:t>
      </w:r>
    </w:p>
    <w:p>
      <w:pPr>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 xml:space="preserve">12.项目支出：指在基本支出之外为完成特定行政任务和事业发展目标所发生的支出。 </w:t>
      </w:r>
    </w:p>
    <w:p>
      <w:pPr>
        <w:pStyle w:val="26"/>
        <w:spacing w:line="560" w:lineRule="exact"/>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13.“三公”经费：指部门用财政拨款安排的因公接待费。公务接待费反映单位按规定开支的各类公务接待（含外宾接待）支出。</w:t>
      </w:r>
    </w:p>
    <w:p>
      <w:pPr>
        <w:pStyle w:val="26"/>
        <w:spacing w:line="560" w:lineRule="exact"/>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14.机关运行经费：为保障单位运行用于购买货物和服务的各项资金，包括办公及印刷费、邮电费、差旅费、会议费、福利费、日常维修费、办公用房水电费、办公用房物业管理费以及其他费用。</w:t>
      </w:r>
    </w:p>
    <w:p>
      <w:pPr>
        <w:spacing w:line="600" w:lineRule="exact"/>
        <w:jc w:val="center"/>
        <w:outlineLvl w:val="9"/>
        <w:rPr>
          <w:rFonts w:hint="eastAsia" w:ascii="黑体" w:hAnsi="黑体" w:eastAsia="黑体"/>
          <w:sz w:val="44"/>
          <w:szCs w:val="44"/>
        </w:rPr>
      </w:pPr>
      <w:bookmarkStart w:id="73" w:name="_Toc15396614"/>
      <w:bookmarkStart w:id="74" w:name="_Toc15377226"/>
    </w:p>
    <w:p>
      <w:pPr>
        <w:pStyle w:val="2"/>
        <w:rPr>
          <w:rFonts w:hint="eastAsia" w:ascii="黑体" w:hAnsi="黑体" w:eastAsia="黑体"/>
          <w:sz w:val="44"/>
          <w:szCs w:val="44"/>
        </w:rPr>
      </w:pPr>
    </w:p>
    <w:p>
      <w:pPr>
        <w:rPr>
          <w:rFonts w:hint="eastAsia" w:ascii="黑体" w:hAnsi="黑体" w:eastAsia="黑体"/>
          <w:sz w:val="44"/>
          <w:szCs w:val="44"/>
        </w:rPr>
      </w:pPr>
    </w:p>
    <w:p>
      <w:pPr>
        <w:pStyle w:val="2"/>
        <w:rPr>
          <w:rFonts w:hint="eastAsia"/>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0"/>
        <w:rPr>
          <w:rFonts w:hint="default" w:ascii="黑体" w:hAnsi="黑体" w:eastAsia="黑体"/>
          <w:sz w:val="44"/>
          <w:szCs w:val="44"/>
          <w:lang w:val="en-US" w:eastAsia="zh-CN"/>
        </w:rPr>
      </w:pPr>
      <w:bookmarkStart w:id="75" w:name="_Toc18484"/>
      <w:r>
        <w:rPr>
          <w:rFonts w:hint="eastAsia" w:ascii="黑体" w:hAnsi="黑体" w:eastAsia="黑体"/>
          <w:sz w:val="44"/>
          <w:szCs w:val="44"/>
          <w:lang w:eastAsia="zh-CN"/>
        </w:rPr>
        <w:t>第四部分</w:t>
      </w:r>
      <w:r>
        <w:rPr>
          <w:rFonts w:hint="eastAsia" w:ascii="黑体" w:hAnsi="黑体" w:eastAsia="黑体"/>
          <w:sz w:val="44"/>
          <w:szCs w:val="44"/>
          <w:lang w:val="en-US" w:eastAsia="zh-CN"/>
        </w:rPr>
        <w:t xml:space="preserve"> 附件</w:t>
      </w:r>
      <w:bookmarkEnd w:id="75"/>
    </w:p>
    <w:p>
      <w:pPr>
        <w:spacing w:line="600" w:lineRule="exact"/>
        <w:jc w:val="both"/>
        <w:outlineLvl w:val="9"/>
        <w:rPr>
          <w:rFonts w:hint="eastAsia" w:ascii="黑体" w:hAnsi="黑体" w:eastAsia="黑体"/>
          <w:sz w:val="44"/>
          <w:szCs w:val="44"/>
        </w:rPr>
      </w:pPr>
    </w:p>
    <w:bookmarkEnd w:id="73"/>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2"/>
        <w:gridCol w:w="792"/>
        <w:gridCol w:w="939"/>
        <w:gridCol w:w="1176"/>
        <w:gridCol w:w="573"/>
        <w:gridCol w:w="871"/>
        <w:gridCol w:w="572"/>
        <w:gridCol w:w="1108"/>
        <w:gridCol w:w="542"/>
        <w:gridCol w:w="542"/>
        <w:gridCol w:w="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gridSpan w:val="11"/>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76"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0" w:type="auto"/>
            <w:gridSpan w:val="9"/>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51082322T000005509562-农产品成本调查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主管部门</w:t>
            </w:r>
          </w:p>
        </w:tc>
        <w:tc>
          <w:tcPr>
            <w:tcW w:w="0" w:type="auto"/>
            <w:gridSpan w:val="5"/>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剑阁县发展和改革局部门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实施单位 （盖章）</w:t>
            </w:r>
          </w:p>
        </w:tc>
        <w:tc>
          <w:tcPr>
            <w:tcW w:w="0" w:type="auto"/>
            <w:gridSpan w:val="3"/>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剑阁县发展和改革局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项目基本情况</w:t>
            </w:r>
          </w:p>
        </w:tc>
        <w:tc>
          <w:tcPr>
            <w:tcW w:w="0" w:type="auto"/>
            <w:vMerge w:val="restart"/>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0" w:type="auto"/>
            <w:gridSpan w:val="5"/>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项目年度目标</w:t>
            </w:r>
          </w:p>
        </w:tc>
        <w:tc>
          <w:tcPr>
            <w:tcW w:w="0" w:type="auto"/>
            <w:gridSpan w:val="4"/>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vMerge w:val="continue"/>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gridSpan w:val="5"/>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完成农产品成本调查及价格监测工作</w:t>
            </w:r>
          </w:p>
        </w:tc>
        <w:tc>
          <w:tcPr>
            <w:tcW w:w="0" w:type="auto"/>
            <w:gridSpan w:val="4"/>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完成农产品成本调查及价格监测工作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0" w:type="auto"/>
            <w:gridSpan w:val="9"/>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年度目标，完成大豆调查和价格监测，相关数据收集、统计、上报。设立普安镇、白龙镇、武连镇3个价格监测点，完成数据收集工作。设置剑门关镇、汉阳镇2个烤烟成本调查点。设置木马镇为大豆成本调查点。相关点位人员的费用补助，以及单位相关工作产生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预算执行情况（10分）</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年度预算数（万元）</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年初预算</w:t>
            </w:r>
          </w:p>
        </w:tc>
        <w:tc>
          <w:tcPr>
            <w:tcW w:w="0" w:type="auto"/>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调整后预算数</w:t>
            </w:r>
          </w:p>
        </w:tc>
        <w:tc>
          <w:tcPr>
            <w:tcW w:w="0" w:type="auto"/>
            <w:gridSpan w:val="3"/>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预算执行数</w:t>
            </w:r>
          </w:p>
        </w:tc>
        <w:tc>
          <w:tcPr>
            <w:tcW w:w="0" w:type="auto"/>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预算执行率</w:t>
            </w:r>
          </w:p>
        </w:tc>
        <w:tc>
          <w:tcPr>
            <w:tcW w:w="0" w:type="auto"/>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权重</w:t>
            </w:r>
          </w:p>
        </w:tc>
        <w:tc>
          <w:tcPr>
            <w:tcW w:w="0" w:type="auto"/>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0" w:type="auto"/>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总额</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0.84</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0.84</w:t>
            </w:r>
          </w:p>
        </w:tc>
        <w:tc>
          <w:tcPr>
            <w:tcW w:w="0" w:type="auto"/>
            <w:gridSpan w:val="3"/>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0.84</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vMerge w:val="restart"/>
            <w:tcBorders>
              <w:top w:val="nil"/>
              <w:left w:val="nil"/>
              <w:bottom w:val="single" w:color="000000" w:sz="8" w:space="0"/>
              <w:right w:val="single" w:color="000000" w:sz="8" w:space="0"/>
            </w:tcBorders>
            <w:shd w:val="clear" w:color="auto" w:fill="auto"/>
            <w:vAlign w:val="top"/>
          </w:tcPr>
          <w:p>
            <w:pPr>
              <w:jc w:val="center"/>
              <w:rPr>
                <w:rFonts w:hint="eastAsia" w:ascii="黑体" w:hAnsi="宋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其中：财政资金</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0.84</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0.84</w:t>
            </w:r>
          </w:p>
        </w:tc>
        <w:tc>
          <w:tcPr>
            <w:tcW w:w="0" w:type="auto"/>
            <w:gridSpan w:val="3"/>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0.84</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vAlign w:val="top"/>
          </w:tcPr>
          <w:p>
            <w:pPr>
              <w:jc w:val="center"/>
              <w:rPr>
                <w:rFonts w:hint="eastAsia" w:ascii="黑体" w:hAnsi="宋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财政专户管理资金</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0" w:type="auto"/>
            <w:gridSpan w:val="3"/>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vAlign w:val="top"/>
          </w:tcPr>
          <w:p>
            <w:pPr>
              <w:jc w:val="center"/>
              <w:rPr>
                <w:rFonts w:hint="eastAsia" w:ascii="黑体" w:hAnsi="宋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单位资金</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0" w:type="auto"/>
            <w:gridSpan w:val="3"/>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vAlign w:val="top"/>
          </w:tcPr>
          <w:p>
            <w:pPr>
              <w:jc w:val="center"/>
              <w:rPr>
                <w:rFonts w:hint="eastAsia" w:ascii="黑体" w:hAnsi="宋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其他资金</w:t>
            </w:r>
          </w:p>
        </w:tc>
        <w:tc>
          <w:tcPr>
            <w:tcW w:w="0" w:type="auto"/>
            <w:tcBorders>
              <w:top w:val="nil"/>
              <w:left w:val="nil"/>
              <w:bottom w:val="single" w:color="000000" w:sz="8" w:space="0"/>
              <w:right w:val="single" w:color="000000" w:sz="8" w:space="0"/>
            </w:tcBorders>
            <w:shd w:val="clear" w:color="auto" w:fill="auto"/>
            <w:vAlign w:val="top"/>
          </w:tcPr>
          <w:p>
            <w:pPr>
              <w:jc w:val="center"/>
              <w:rPr>
                <w:rFonts w:hint="eastAsia" w:ascii="微软雅黑" w:hAnsi="微软雅黑" w:eastAsia="微软雅黑" w:cs="微软雅黑"/>
                <w:i/>
                <w:iCs/>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jc w:val="center"/>
              <w:rPr>
                <w:rFonts w:hint="eastAsia" w:ascii="微软雅黑" w:hAnsi="微软雅黑" w:eastAsia="微软雅黑" w:cs="微软雅黑"/>
                <w:i/>
                <w:iCs/>
                <w:color w:val="000000"/>
                <w:sz w:val="15"/>
                <w:szCs w:val="15"/>
                <w:u w:val="none"/>
              </w:rPr>
            </w:pPr>
          </w:p>
        </w:tc>
        <w:tc>
          <w:tcPr>
            <w:tcW w:w="0" w:type="auto"/>
            <w:gridSpan w:val="3"/>
            <w:tcBorders>
              <w:top w:val="nil"/>
              <w:left w:val="nil"/>
              <w:bottom w:val="single" w:color="000000" w:sz="8" w:space="0"/>
              <w:right w:val="single" w:color="000000" w:sz="8" w:space="0"/>
            </w:tcBorders>
            <w:shd w:val="clear" w:color="auto" w:fill="auto"/>
            <w:vAlign w:val="top"/>
          </w:tcPr>
          <w:p>
            <w:pPr>
              <w:jc w:val="center"/>
              <w:rPr>
                <w:rFonts w:hint="eastAsia" w:ascii="微软雅黑" w:hAnsi="微软雅黑" w:eastAsia="微软雅黑" w:cs="微软雅黑"/>
                <w:i/>
                <w:iCs/>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jc w:val="center"/>
              <w:rPr>
                <w:rFonts w:hint="eastAsia" w:ascii="微软雅黑" w:hAnsi="微软雅黑" w:eastAsia="微软雅黑" w:cs="微软雅黑"/>
                <w:i/>
                <w:iCs/>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vAlign w:val="top"/>
          </w:tcPr>
          <w:p>
            <w:pPr>
              <w:jc w:val="center"/>
              <w:rPr>
                <w:rFonts w:hint="eastAsia" w:ascii="黑体" w:hAnsi="宋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restart"/>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绩效指标（90分）</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指标性质</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度量单位</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完成值</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权重</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0" w:type="auto"/>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continue"/>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年度内完成</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2022.12</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2022.12</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top"/>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continue"/>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完成数据收集、汇总、上报工作</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top"/>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continue"/>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大豆调查和价格监测</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次</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top"/>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continue"/>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烤烟调查</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次</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top"/>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continue"/>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有利于稳定物价</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w:t>
            </w:r>
          </w:p>
        </w:tc>
        <w:tc>
          <w:tcPr>
            <w:tcW w:w="0" w:type="auto"/>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0" w:type="auto"/>
            <w:tcBorders>
              <w:top w:val="nil"/>
              <w:left w:val="nil"/>
              <w:bottom w:val="single" w:color="000000" w:sz="8" w:space="0"/>
              <w:right w:val="single" w:color="000000" w:sz="8" w:space="0"/>
            </w:tcBorders>
            <w:shd w:val="clear" w:color="auto" w:fill="auto"/>
            <w:vAlign w:val="top"/>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continue"/>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服务对象满意度</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0.95</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top"/>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continue"/>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大豆补助标准</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元/人年</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400元/人年</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0" w:type="auto"/>
            <w:tcBorders>
              <w:top w:val="nil"/>
              <w:left w:val="nil"/>
              <w:bottom w:val="single" w:color="000000" w:sz="8" w:space="0"/>
              <w:right w:val="single" w:color="000000" w:sz="8" w:space="0"/>
            </w:tcBorders>
            <w:shd w:val="clear" w:color="auto" w:fill="auto"/>
            <w:vAlign w:val="top"/>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continue"/>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烤烟补助标准</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元/人年</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500元/人年</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0" w:type="auto"/>
            <w:tcBorders>
              <w:top w:val="nil"/>
              <w:left w:val="nil"/>
              <w:bottom w:val="single" w:color="000000" w:sz="8" w:space="0"/>
              <w:right w:val="single" w:color="000000" w:sz="8" w:space="0"/>
            </w:tcBorders>
            <w:shd w:val="clear" w:color="auto" w:fill="auto"/>
            <w:vAlign w:val="top"/>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vMerge w:val="continue"/>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价格监测补助标准</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元/人年</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1200元/人年</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0" w:type="auto"/>
            <w:tcBorders>
              <w:top w:val="nil"/>
              <w:left w:val="nil"/>
              <w:bottom w:val="single" w:color="000000" w:sz="8" w:space="0"/>
              <w:right w:val="single" w:color="000000" w:sz="8" w:space="0"/>
            </w:tcBorders>
            <w:shd w:val="clear" w:color="auto" w:fill="auto"/>
            <w:vAlign w:val="top"/>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0" w:type="auto"/>
            <w:gridSpan w:val="8"/>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0" w:type="auto"/>
            <w:gridSpan w:val="10"/>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项目总体实施良好，按时完成价格监测，有利于物价稳定。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0" w:type="auto"/>
            <w:gridSpan w:val="10"/>
            <w:vMerge w:val="restart"/>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绩效目标编制有待进一步完善。编制的绩效目标缺乏部分指标，完善绩效目标的编制，在编制绩效目标时对绩效指标进行量化，设立清晰、具体可以衡量的绩效指标，以便于进行绩效考核。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0" w:type="auto"/>
            <w:gridSpan w:val="10"/>
            <w:vMerge w:val="continue"/>
            <w:tcBorders>
              <w:top w:val="nil"/>
              <w:left w:val="nil"/>
              <w:bottom w:val="single" w:color="000000" w:sz="8" w:space="0"/>
              <w:right w:val="single" w:color="000000" w:sz="8"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0" w:type="auto"/>
            <w:gridSpan w:val="10"/>
            <w:vMerge w:val="restart"/>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进一步健全和完善财务管理制度及内部控制制度，创新管理手段，用新思路、新方法，改进完善财务管理方法。二是按照财政支出绩效管理的要求，建立科学的财政资金效益考评制度体系，不断提高财政资金使用管理的水平和效率。三是加强部门预算整体绩效管理的指导和培训，增强提高绩效管理业务人员绩效管理能力、专业素质和思想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0" w:type="auto"/>
            <w:gridSpan w:val="10"/>
            <w:vMerge w:val="continue"/>
            <w:tcBorders>
              <w:top w:val="nil"/>
              <w:left w:val="nil"/>
              <w:bottom w:val="single" w:color="000000" w:sz="8" w:space="0"/>
              <w:right w:val="single" w:color="000000" w:sz="8" w:space="0"/>
            </w:tcBorders>
            <w:shd w:val="clear" w:color="auto" w:fill="auto"/>
            <w:vAlign w:val="top"/>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gridSpan w:val="5"/>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项目负责人：王冠琳</w:t>
            </w:r>
          </w:p>
        </w:tc>
        <w:tc>
          <w:tcPr>
            <w:tcW w:w="0" w:type="auto"/>
            <w:gridSpan w:val="6"/>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财务负责人：张晓</w:t>
            </w:r>
          </w:p>
        </w:tc>
      </w:tr>
    </w:tbl>
    <w:p>
      <w:pPr>
        <w:spacing w:line="600" w:lineRule="exact"/>
        <w:jc w:val="left"/>
        <w:outlineLvl w:val="9"/>
        <w:rPr>
          <w:rFonts w:ascii="仿宋_GB2312" w:hAnsi="Calibri" w:eastAsia="仿宋_GB2312" w:cs="仿宋"/>
          <w:kern w:val="0"/>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spacing w:line="600" w:lineRule="exact"/>
        <w:jc w:val="center"/>
        <w:outlineLvl w:val="0"/>
        <w:rPr>
          <w:rFonts w:ascii="仿宋" w:hAnsi="仿宋" w:eastAsia="仿宋"/>
        </w:rPr>
      </w:pPr>
      <w:bookmarkStart w:id="77" w:name="_Toc16870"/>
      <w:r>
        <w:rPr>
          <w:rFonts w:hint="eastAsia" w:ascii="黑体" w:hAnsi="黑体" w:eastAsia="黑体"/>
          <w:sz w:val="44"/>
          <w:szCs w:val="44"/>
        </w:rPr>
        <w:t>第</w:t>
      </w:r>
      <w:r>
        <w:rPr>
          <w:rStyle w:val="28"/>
          <w:rFonts w:hint="eastAsia" w:ascii="黑体" w:hAnsi="黑体" w:eastAsia="黑体"/>
          <w:b w:val="0"/>
        </w:rPr>
        <w:t>五部分 附表</w:t>
      </w:r>
      <w:bookmarkEnd w:id="74"/>
      <w:bookmarkEnd w:id="76"/>
      <w:bookmarkEnd w:id="77"/>
      <w:bookmarkStart w:id="78" w:name="_Toc15396619"/>
    </w:p>
    <w:p>
      <w:pPr>
        <w:pStyle w:val="5"/>
        <w:rPr>
          <w:rFonts w:ascii="仿宋" w:hAnsi="仿宋" w:eastAsia="仿宋"/>
        </w:rPr>
      </w:pPr>
      <w:bookmarkStart w:id="79" w:name="_Toc16496"/>
      <w:r>
        <w:rPr>
          <w:rFonts w:hint="eastAsia" w:ascii="仿宋" w:hAnsi="仿宋" w:eastAsia="仿宋"/>
          <w:b w:val="0"/>
        </w:rPr>
        <w:t>一、收</w:t>
      </w:r>
      <w:r>
        <w:rPr>
          <w:rStyle w:val="29"/>
          <w:rFonts w:hint="eastAsia" w:ascii="仿宋" w:hAnsi="仿宋" w:eastAsia="仿宋"/>
          <w:b w:val="0"/>
          <w:bCs w:val="0"/>
        </w:rPr>
        <w:t>入支出决算总表</w:t>
      </w:r>
      <w:bookmarkEnd w:id="78"/>
      <w:bookmarkEnd w:id="79"/>
    </w:p>
    <w:p>
      <w:pPr>
        <w:pStyle w:val="5"/>
        <w:rPr>
          <w:rFonts w:ascii="仿宋" w:hAnsi="仿宋" w:eastAsia="仿宋"/>
        </w:rPr>
      </w:pPr>
      <w:bookmarkStart w:id="80" w:name="_Toc15396620"/>
      <w:bookmarkStart w:id="81" w:name="_Toc4514"/>
      <w:r>
        <w:rPr>
          <w:rFonts w:hint="eastAsia" w:ascii="仿宋" w:hAnsi="仿宋" w:eastAsia="仿宋"/>
          <w:b w:val="0"/>
        </w:rPr>
        <w:t>二、收</w:t>
      </w:r>
      <w:r>
        <w:rPr>
          <w:rStyle w:val="29"/>
          <w:rFonts w:hint="eastAsia" w:ascii="仿宋" w:hAnsi="仿宋" w:eastAsia="仿宋"/>
          <w:b w:val="0"/>
          <w:bCs w:val="0"/>
        </w:rPr>
        <w:t>入决算表</w:t>
      </w:r>
      <w:bookmarkEnd w:id="80"/>
      <w:bookmarkEnd w:id="81"/>
    </w:p>
    <w:p>
      <w:pPr>
        <w:pStyle w:val="5"/>
        <w:rPr>
          <w:rFonts w:ascii="仿宋" w:hAnsi="仿宋" w:eastAsia="仿宋"/>
        </w:rPr>
      </w:pPr>
      <w:bookmarkStart w:id="82" w:name="_Toc18572"/>
      <w:bookmarkStart w:id="83"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82"/>
      <w:bookmarkEnd w:id="83"/>
    </w:p>
    <w:p>
      <w:pPr>
        <w:pStyle w:val="5"/>
        <w:rPr>
          <w:rFonts w:ascii="仿宋" w:hAnsi="仿宋" w:eastAsia="仿宋"/>
          <w:b w:val="0"/>
        </w:rPr>
      </w:pPr>
      <w:bookmarkStart w:id="84" w:name="_Toc15396622"/>
      <w:bookmarkStart w:id="85" w:name="_Toc12667"/>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84"/>
      <w:bookmarkEnd w:id="85"/>
    </w:p>
    <w:p>
      <w:pPr>
        <w:pStyle w:val="5"/>
        <w:rPr>
          <w:rStyle w:val="29"/>
          <w:rFonts w:ascii="仿宋" w:hAnsi="仿宋" w:eastAsia="仿宋"/>
          <w:b w:val="0"/>
          <w:bCs w:val="0"/>
        </w:rPr>
      </w:pPr>
      <w:bookmarkStart w:id="86" w:name="_Toc26139"/>
      <w:bookmarkStart w:id="87"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86"/>
      <w:bookmarkEnd w:id="87"/>
      <w:bookmarkStart w:id="88" w:name="_Toc15396624"/>
    </w:p>
    <w:p>
      <w:pPr>
        <w:pStyle w:val="5"/>
        <w:rPr>
          <w:rFonts w:ascii="仿宋" w:hAnsi="仿宋" w:eastAsia="仿宋"/>
        </w:rPr>
      </w:pPr>
      <w:bookmarkStart w:id="89" w:name="_Toc28833"/>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88"/>
      <w:bookmarkEnd w:id="89"/>
    </w:p>
    <w:p>
      <w:pPr>
        <w:pStyle w:val="5"/>
        <w:rPr>
          <w:rFonts w:ascii="仿宋" w:hAnsi="仿宋" w:eastAsia="仿宋"/>
        </w:rPr>
      </w:pPr>
      <w:bookmarkStart w:id="90" w:name="_Toc13260"/>
      <w:bookmarkStart w:id="91"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90"/>
      <w:bookmarkEnd w:id="91"/>
    </w:p>
    <w:p>
      <w:pPr>
        <w:pStyle w:val="5"/>
        <w:rPr>
          <w:rFonts w:ascii="仿宋" w:hAnsi="仿宋" w:eastAsia="仿宋"/>
        </w:rPr>
      </w:pPr>
      <w:bookmarkStart w:id="92" w:name="_Toc28227"/>
      <w:bookmarkStart w:id="93"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92"/>
      <w:bookmarkEnd w:id="93"/>
    </w:p>
    <w:p>
      <w:pPr>
        <w:pStyle w:val="5"/>
        <w:rPr>
          <w:rFonts w:ascii="仿宋" w:hAnsi="仿宋" w:eastAsia="仿宋"/>
        </w:rPr>
      </w:pPr>
      <w:bookmarkStart w:id="94" w:name="_Toc15396627"/>
      <w:bookmarkStart w:id="95" w:name="_Toc28262"/>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94"/>
      <w:bookmarkEnd w:id="95"/>
    </w:p>
    <w:p>
      <w:pPr>
        <w:pStyle w:val="5"/>
        <w:rPr>
          <w:rFonts w:ascii="仿宋" w:hAnsi="仿宋" w:eastAsia="仿宋"/>
        </w:rPr>
      </w:pPr>
      <w:bookmarkStart w:id="96" w:name="_Toc15396628"/>
      <w:bookmarkStart w:id="97" w:name="_Toc27927"/>
      <w:r>
        <w:rPr>
          <w:rStyle w:val="29"/>
          <w:rFonts w:hint="eastAsia" w:ascii="仿宋" w:hAnsi="仿宋" w:eastAsia="仿宋"/>
          <w:b w:val="0"/>
          <w:bCs w:val="0"/>
        </w:rPr>
        <w:t>十、</w:t>
      </w:r>
      <w:bookmarkEnd w:id="96"/>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97"/>
    </w:p>
    <w:p>
      <w:pPr>
        <w:pStyle w:val="5"/>
        <w:rPr>
          <w:rFonts w:ascii="仿宋" w:hAnsi="仿宋" w:eastAsia="仿宋"/>
        </w:rPr>
      </w:pPr>
      <w:bookmarkStart w:id="98" w:name="_Toc15396629"/>
      <w:bookmarkStart w:id="99" w:name="_Toc2729"/>
      <w:r>
        <w:rPr>
          <w:rStyle w:val="29"/>
          <w:rFonts w:hint="eastAsia" w:ascii="仿宋" w:hAnsi="仿宋" w:eastAsia="仿宋"/>
          <w:b w:val="0"/>
          <w:bCs w:val="0"/>
        </w:rPr>
        <w:t>十一、</w:t>
      </w:r>
      <w:bookmarkEnd w:id="98"/>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99"/>
    </w:p>
    <w:p>
      <w:pPr>
        <w:pStyle w:val="5"/>
        <w:rPr>
          <w:rFonts w:ascii="仿宋" w:hAnsi="仿宋" w:eastAsia="仿宋"/>
        </w:rPr>
      </w:pPr>
      <w:bookmarkStart w:id="100" w:name="_Toc15396630"/>
      <w:bookmarkStart w:id="101" w:name="_Toc24629"/>
      <w:r>
        <w:rPr>
          <w:rStyle w:val="29"/>
          <w:rFonts w:hint="eastAsia" w:ascii="仿宋" w:hAnsi="仿宋" w:eastAsia="仿宋"/>
          <w:b w:val="0"/>
          <w:bCs w:val="0"/>
        </w:rPr>
        <w:t>十二、</w:t>
      </w:r>
      <w:bookmarkEnd w:id="100"/>
      <w:r>
        <w:rPr>
          <w:rStyle w:val="29"/>
          <w:rFonts w:hint="eastAsia" w:ascii="仿宋" w:hAnsi="仿宋" w:eastAsia="仿宋"/>
          <w:b w:val="0"/>
          <w:bCs w:val="0"/>
        </w:rPr>
        <w:t>国有资本经营预算财政拨款支出决算表</w:t>
      </w:r>
      <w:bookmarkEnd w:id="101"/>
    </w:p>
    <w:p>
      <w:pPr>
        <w:pStyle w:val="5"/>
        <w:rPr>
          <w:rFonts w:eastAsia="仿宋"/>
        </w:rPr>
      </w:pPr>
      <w:bookmarkStart w:id="102" w:name="_Toc15396631"/>
      <w:bookmarkStart w:id="103" w:name="_Toc9021"/>
      <w:r>
        <w:rPr>
          <w:rStyle w:val="29"/>
          <w:rFonts w:hint="eastAsia" w:ascii="仿宋" w:hAnsi="仿宋" w:eastAsia="仿宋"/>
          <w:b w:val="0"/>
          <w:bCs w:val="0"/>
        </w:rPr>
        <w:t>十三、</w:t>
      </w:r>
      <w:bookmarkEnd w:id="102"/>
      <w:r>
        <w:rPr>
          <w:rStyle w:val="29"/>
          <w:rFonts w:hint="eastAsia" w:ascii="仿宋" w:hAnsi="仿宋" w:eastAsia="仿宋"/>
          <w:b w:val="0"/>
          <w:bCs w:val="0"/>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E477AD-B4D5-4537-9054-33F941B732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9106F9A-1547-4BF1-B277-7E7CBD428A4C}"/>
  </w:font>
  <w:font w:name="Cambria">
    <w:panose1 w:val="02040503050406030204"/>
    <w:charset w:val="00"/>
    <w:family w:val="roman"/>
    <w:pitch w:val="default"/>
    <w:sig w:usb0="E00006FF" w:usb1="420024FF" w:usb2="02000000" w:usb3="00000000" w:csb0="2000019F" w:csb1="00000000"/>
    <w:embedRegular r:id="rId3" w:fontKey="{D2E0A7FF-4661-488D-8702-21BFF0F14DF0}"/>
  </w:font>
  <w:font w:name="仿宋_GB2312">
    <w:altName w:val="仿宋"/>
    <w:panose1 w:val="00000000000000000000"/>
    <w:charset w:val="86"/>
    <w:family w:val="modern"/>
    <w:pitch w:val="default"/>
    <w:sig w:usb0="00000000" w:usb1="00000000" w:usb2="00000000" w:usb3="00000000" w:csb0="00040000" w:csb1="00000000"/>
    <w:embedRegular r:id="rId4" w:fontKey="{0930D5DD-D5CB-49A0-8614-B783EF11F599}"/>
  </w:font>
  <w:font w:name="仿宋">
    <w:panose1 w:val="02010609060101010101"/>
    <w:charset w:val="86"/>
    <w:family w:val="modern"/>
    <w:pitch w:val="default"/>
    <w:sig w:usb0="800002BF" w:usb1="38CF7CFA" w:usb2="00000016" w:usb3="00000000" w:csb0="00040001" w:csb1="00000000"/>
    <w:embedRegular r:id="rId5" w:fontKey="{1F0711C3-4D13-404B-8AEF-423E8A151BA2}"/>
  </w:font>
  <w:font w:name="微软雅黑">
    <w:panose1 w:val="020B0503020204020204"/>
    <w:charset w:val="86"/>
    <w:family w:val="auto"/>
    <w:pitch w:val="default"/>
    <w:sig w:usb0="80000287" w:usb1="2ACF3C50" w:usb2="00000016" w:usb3="00000000" w:csb0="0004001F" w:csb1="00000000"/>
    <w:embedRegular r:id="rId6" w:fontKey="{33002738-388F-4084-A0C5-DC4ED4F4936A}"/>
  </w:font>
  <w:font w:name="方正小标宋简体">
    <w:panose1 w:val="02000000000000000000"/>
    <w:charset w:val="86"/>
    <w:family w:val="script"/>
    <w:pitch w:val="default"/>
    <w:sig w:usb0="00000001" w:usb1="08000000" w:usb2="00000000" w:usb3="00000000" w:csb0="00040000" w:csb1="00000000"/>
    <w:embedRegular r:id="rId7" w:fontKey="{CD755D54-364D-4D30-A610-FADA73C2F5BF}"/>
  </w:font>
  <w:font w:name="楷体_GB2312">
    <w:altName w:val="楷体"/>
    <w:panose1 w:val="02010609030101010101"/>
    <w:charset w:val="86"/>
    <w:family w:val="auto"/>
    <w:pitch w:val="default"/>
    <w:sig w:usb0="00000000" w:usb1="00000000" w:usb2="00000000" w:usb3="00000000" w:csb0="00040000" w:csb1="00000000"/>
    <w:embedRegular r:id="rId8" w:fontKey="{0BF40ACD-4C04-4BB5-8BE7-55205A41552B}"/>
  </w:font>
  <w:font w:name="Verdana">
    <w:panose1 w:val="020B0604030504040204"/>
    <w:charset w:val="00"/>
    <w:family w:val="swiss"/>
    <w:pitch w:val="default"/>
    <w:sig w:usb0="A00006FF" w:usb1="4000205B" w:usb2="00000010" w:usb3="00000000" w:csb0="2000019F" w:csb1="00000000"/>
    <w:embedRegular r:id="rId9" w:fontKey="{2F8F3E18-8A3C-401C-8A95-1C7D707AB61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10C055FF"/>
    <w:rsid w:val="10C52256"/>
    <w:rsid w:val="118107EC"/>
    <w:rsid w:val="11DD6519"/>
    <w:rsid w:val="16BB723D"/>
    <w:rsid w:val="18015F3F"/>
    <w:rsid w:val="182D5F7E"/>
    <w:rsid w:val="1BE8440E"/>
    <w:rsid w:val="1D155CEE"/>
    <w:rsid w:val="20F57F95"/>
    <w:rsid w:val="240371BF"/>
    <w:rsid w:val="25711CC6"/>
    <w:rsid w:val="25C741E6"/>
    <w:rsid w:val="27842671"/>
    <w:rsid w:val="29FD04D3"/>
    <w:rsid w:val="2ABE7A3E"/>
    <w:rsid w:val="2CA234A8"/>
    <w:rsid w:val="2EFA178C"/>
    <w:rsid w:val="30B46D73"/>
    <w:rsid w:val="3101048B"/>
    <w:rsid w:val="319F7F4E"/>
    <w:rsid w:val="383D272C"/>
    <w:rsid w:val="39AE70AB"/>
    <w:rsid w:val="3C0C0783"/>
    <w:rsid w:val="3F9F3A96"/>
    <w:rsid w:val="46DE3850"/>
    <w:rsid w:val="48BF60AB"/>
    <w:rsid w:val="493C27E9"/>
    <w:rsid w:val="496F39ED"/>
    <w:rsid w:val="49FF41D3"/>
    <w:rsid w:val="4BE068DB"/>
    <w:rsid w:val="4BF6002B"/>
    <w:rsid w:val="4ECE2238"/>
    <w:rsid w:val="51DB4B86"/>
    <w:rsid w:val="55333C3E"/>
    <w:rsid w:val="5DA24AA9"/>
    <w:rsid w:val="64CA39A1"/>
    <w:rsid w:val="69630ADE"/>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line="560" w:lineRule="exact"/>
      <w:ind w:firstLine="640" w:firstLineChars="200"/>
      <w:jc w:val="left"/>
    </w:pPr>
    <w:rPr>
      <w:rFonts w:ascii="仿宋_GB2312" w:eastAsia="仿宋_GB2312"/>
      <w:sz w:val="32"/>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autoRedefine/>
    <w:unhideWhenUsed/>
    <w:qFormat/>
    <w:uiPriority w:val="39"/>
    <w:pPr>
      <w:tabs>
        <w:tab w:val="right" w:leader="dot" w:pos="8296"/>
      </w:tabs>
      <w:ind w:left="840" w:leftChars="400"/>
    </w:pPr>
  </w:style>
  <w:style w:type="paragraph" w:styleId="9">
    <w:name w:val="Plain Text"/>
    <w:basedOn w:val="1"/>
    <w:autoRedefine/>
    <w:qFormat/>
    <w:uiPriority w:val="99"/>
    <w:rPr>
      <w:rFonts w:ascii="宋体" w:hAnsi="Courier New" w:eastAsia="仿宋_GB2312" w:cs="Courier New"/>
      <w:b/>
      <w:sz w:val="32"/>
      <w:szCs w:val="21"/>
    </w:rPr>
  </w:style>
  <w:style w:type="paragraph" w:styleId="10">
    <w:name w:val="Balloon Text"/>
    <w:basedOn w:val="1"/>
    <w:link w:val="31"/>
    <w:autoRedefine/>
    <w:semiHidden/>
    <w:unhideWhenUsed/>
    <w:qFormat/>
    <w:uiPriority w:val="99"/>
    <w:rPr>
      <w:sz w:val="18"/>
      <w:szCs w:val="18"/>
    </w:rPr>
  </w:style>
  <w:style w:type="paragraph" w:styleId="11">
    <w:name w:val="footer"/>
    <w:basedOn w:val="1"/>
    <w:link w:val="23"/>
    <w:autoRedefine/>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autoRedefine/>
    <w:unhideWhenUsed/>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2"/>
    <w:autoRedefine/>
    <w:semiHidden/>
    <w:qFormat/>
    <w:locked/>
    <w:uiPriority w:val="99"/>
    <w:rPr>
      <w:sz w:val="18"/>
    </w:rPr>
  </w:style>
  <w:style w:type="character" w:customStyle="1" w:styleId="22">
    <w:name w:val="Footer Char"/>
    <w:basedOn w:val="17"/>
    <w:autoRedefine/>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7"/>
    <w:autoRedefine/>
    <w:qFormat/>
    <w:locked/>
    <w:uiPriority w:val="99"/>
    <w:rPr>
      <w:rFonts w:ascii="仿宋_GB2312" w:hAnsi="Times New Roman" w:eastAsia="仿宋_GB2312"/>
      <w:sz w:val="24"/>
    </w:rPr>
  </w:style>
  <w:style w:type="paragraph" w:customStyle="1" w:styleId="26">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autoRedefine/>
    <w:qFormat/>
    <w:uiPriority w:val="34"/>
    <w:pPr>
      <w:ind w:firstLine="420" w:firstLineChars="200"/>
    </w:pPr>
  </w:style>
  <w:style w:type="character" w:customStyle="1" w:styleId="28">
    <w:name w:val="标题 1 字符"/>
    <w:basedOn w:val="17"/>
    <w:link w:val="4"/>
    <w:qFormat/>
    <w:uiPriority w:val="9"/>
    <w:rPr>
      <w:rFonts w:ascii="Times New Roman" w:hAnsi="Times New Roman"/>
      <w:b/>
      <w:bCs/>
      <w:kern w:val="44"/>
      <w:sz w:val="44"/>
      <w:szCs w:val="44"/>
    </w:rPr>
  </w:style>
  <w:style w:type="character" w:customStyle="1" w:styleId="29">
    <w:name w:val="标题 2 字符"/>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10"/>
    <w:semiHidden/>
    <w:qFormat/>
    <w:uiPriority w:val="99"/>
    <w:rPr>
      <w:rFonts w:ascii="Times New Roman" w:hAnsi="Times New Roman"/>
      <w:kern w:val="2"/>
      <w:sz w:val="18"/>
      <w:szCs w:val="18"/>
    </w:rPr>
  </w:style>
  <w:style w:type="character" w:customStyle="1" w:styleId="32">
    <w:name w:val="标题 3 字符"/>
    <w:basedOn w:val="17"/>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图表目录1"/>
    <w:basedOn w:val="1"/>
    <w:next w:val="1"/>
    <w:qFormat/>
    <w:uiPriority w:val="0"/>
    <w:pPr>
      <w:ind w:left="200" w:leftChars="200" w:hanging="200" w:hangingChars="200"/>
    </w:pPr>
  </w:style>
  <w:style w:type="character" w:customStyle="1" w:styleId="35">
    <w:name w:val="font11"/>
    <w:basedOn w:val="17"/>
    <w:qFormat/>
    <w:uiPriority w:val="0"/>
    <w:rPr>
      <w:rFonts w:hint="eastAsia" w:ascii="黑体" w:hAnsi="宋体" w:eastAsia="黑体" w:cs="黑体"/>
      <w:b/>
      <w:bCs/>
      <w:color w:val="000000"/>
      <w:sz w:val="30"/>
      <w:szCs w:val="30"/>
      <w:u w:val="none"/>
    </w:rPr>
  </w:style>
  <w:style w:type="character" w:customStyle="1" w:styleId="36">
    <w:name w:val="font21"/>
    <w:basedOn w:val="17"/>
    <w:qFormat/>
    <w:uiPriority w:val="0"/>
    <w:rPr>
      <w:rFonts w:hint="eastAsia" w:ascii="宋体" w:hAnsi="宋体" w:eastAsia="宋体" w:cs="宋体"/>
      <w:color w:val="000000"/>
      <w:sz w:val="18"/>
      <w:szCs w:val="18"/>
      <w:u w:val="none"/>
    </w:rPr>
  </w:style>
  <w:style w:type="character" w:customStyle="1" w:styleId="37">
    <w:name w:val="font31"/>
    <w:basedOn w:val="17"/>
    <w:qFormat/>
    <w:uiPriority w:val="0"/>
    <w:rPr>
      <w:rFonts w:hint="eastAsia" w:ascii="黑体" w:hAnsi="宋体" w:eastAsia="黑体" w:cs="黑体"/>
      <w:color w:val="000000"/>
      <w:sz w:val="18"/>
      <w:szCs w:val="18"/>
      <w:u w:val="none"/>
    </w:rPr>
  </w:style>
  <w:style w:type="character" w:customStyle="1" w:styleId="38">
    <w:name w:val="font41"/>
    <w:basedOn w:val="17"/>
    <w:qFormat/>
    <w:uiPriority w:val="0"/>
    <w:rPr>
      <w:rFonts w:hint="eastAsia" w:ascii="微软雅黑" w:hAnsi="微软雅黑" w:eastAsia="微软雅黑" w:cs="微软雅黑"/>
      <w:i/>
      <w:iCs/>
      <w:color w:val="000000"/>
      <w:sz w:val="16"/>
      <w:szCs w:val="16"/>
      <w:u w:val="none"/>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USER-20181219WX\AppData\Local\Temp\360zip$Temp\360$1\&#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USER-20181219WX\Desktop\&#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图一!$A$1:$B$1</c:f>
              <c:strCache>
                <c:ptCount val="2"/>
                <c:pt idx="0">
                  <c:v>2021年</c:v>
                </c:pt>
                <c:pt idx="1">
                  <c:v>2022年</c:v>
                </c:pt>
              </c:strCache>
            </c:strRef>
          </c:cat>
          <c:val>
            <c:numRef>
              <c:f>图一!$A$2:$B$2</c:f>
              <c:numCache>
                <c:formatCode>General</c:formatCode>
                <c:ptCount val="2"/>
                <c:pt idx="0">
                  <c:v>691.17</c:v>
                </c:pt>
                <c:pt idx="1">
                  <c:v>521.03</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图2:收入决算结构图</a:t>
            </a:r>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图二!$A$1</c:f>
              <c:strCache>
                <c:ptCount val="1"/>
                <c:pt idx="0">
                  <c:v>一、一般公共预算财政拨款收入</c:v>
                </c:pt>
              </c:strCache>
            </c:strRef>
          </c:cat>
          <c:val>
            <c:numRef>
              <c:f>图二!$B$1</c:f>
              <c:numCache>
                <c:formatCode>General</c:formatCode>
                <c:ptCount val="1"/>
                <c:pt idx="0">
                  <c:v>515.59</c:v>
                </c:pt>
              </c:numCache>
            </c:numRef>
          </c:val>
        </c:ser>
        <c:ser>
          <c:idx val="1"/>
          <c:order val="1"/>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图二!$A$1</c:f>
              <c:strCache>
                <c:ptCount val="1"/>
                <c:pt idx="0">
                  <c:v>一、一般公共预算财政拨款收入</c:v>
                </c:pt>
              </c:strCache>
            </c:strRef>
          </c:cat>
          <c:val>
            <c:numRef>
              <c:f>图二!$C$1</c:f>
              <c:numCache>
                <c:formatCode>0.00%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3125"/>
          <c:y val="0.81458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0.9984</c:v>
                </c:pt>
                <c:pt idx="1">
                  <c:v>0.0016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691.17</c:v>
                </c:pt>
                <c:pt idx="1">
                  <c:v>521.03</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691.17</c:v>
                </c:pt>
                <c:pt idx="1">
                  <c:v>521.03</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433.04</c:v>
                </c:pt>
                <c:pt idx="1">
                  <c:v>38.29</c:v>
                </c:pt>
                <c:pt idx="2">
                  <c:v>20.99</c:v>
                </c:pt>
                <c:pt idx="3">
                  <c:v>28.72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9"/>
          <c:y val="0.00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20975"/>
                  <c:y val="-0.0023333333333333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95876149834639"/>
                  <c:y val="0.035961666668707"/>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b" anchorCtr="0"/>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7.33</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17</Pages>
  <Words>880</Words>
  <Characters>5021</Characters>
  <Lines>41</Lines>
  <Paragraphs>11</Paragraphs>
  <TotalTime>4</TotalTime>
  <ScaleCrop>false</ScaleCrop>
  <LinksUpToDate>false</LinksUpToDate>
  <CharactersWithSpaces>5890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2023-12-21T07:06:23Z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D0B46EF258384F148BA86C896EC42CAB_13</vt:lpwstr>
  </property>
</Properties>
</file>