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pStyle w:val="5"/>
      </w:pPr>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val="en-US" w:eastAsia="zh-CN"/>
        </w:rPr>
      </w:pPr>
      <w:bookmarkStart w:id="1" w:name="_Toc15378441"/>
      <w:bookmarkStart w:id="2" w:name="_Toc15396475"/>
      <w:bookmarkStart w:id="3" w:name="_Toc15377193"/>
      <w:bookmarkStart w:id="4" w:name="_Toc15377425"/>
      <w:bookmarkStart w:id="5" w:name="_Toc15396597"/>
      <w:r>
        <w:rPr>
          <w:rFonts w:hint="eastAsia" w:ascii="方正小标宋简体" w:hAnsi="方正小标宋简体" w:eastAsia="方正小标宋简体" w:cs="方正小标宋简体"/>
          <w:sz w:val="56"/>
          <w:szCs w:val="56"/>
          <w:lang w:val="en-US" w:eastAsia="zh-CN"/>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476"/>
      <w:bookmarkStart w:id="9" w:name="_Toc15377194"/>
      <w:bookmarkStart w:id="10" w:name="_Toc15396598"/>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龙源育才学校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3"/>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pStyle w:val="5"/>
        <w:adjustRightInd w:val="0"/>
        <w:snapToGrid w:val="0"/>
        <w:spacing w:before="93" w:line="600" w:lineRule="exact"/>
        <w:ind w:firstLine="672" w:firstLineChars="210"/>
        <w:outlineLvl w:val="2"/>
        <w:rPr>
          <w:rFonts w:ascii="仿宋" w:hAnsi="仿宋" w:eastAsia="仿宋" w:cs="仿宋"/>
          <w:color w:val="000000"/>
          <w:sz w:val="32"/>
          <w:szCs w:val="32"/>
        </w:rPr>
      </w:pPr>
      <w:r>
        <w:rPr>
          <w:rFonts w:hint="eastAsia" w:ascii="仿宋" w:hAnsi="仿宋" w:eastAsia="仿宋" w:cs="仿宋"/>
          <w:color w:val="000000"/>
          <w:sz w:val="32"/>
          <w:szCs w:val="32"/>
        </w:rPr>
        <w:t>（一）主要职能。</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ascii="仿宋" w:hAnsi="仿宋" w:eastAsia="仿宋" w:cs="宋体"/>
          <w:color w:val="000000" w:themeColor="text1"/>
          <w:sz w:val="32"/>
          <w:szCs w:val="32"/>
          <w14:textFill>
            <w14:solidFill>
              <w14:schemeClr w14:val="tx1"/>
            </w14:solidFill>
          </w14:textFill>
        </w:rPr>
        <w:t>我单位是一所</w:t>
      </w:r>
      <w:r>
        <w:rPr>
          <w:rFonts w:hint="eastAsia" w:ascii="仿宋" w:hAnsi="仿宋" w:eastAsia="仿宋" w:cs="宋体"/>
          <w:color w:val="000000" w:themeColor="text1"/>
          <w:sz w:val="32"/>
          <w:szCs w:val="32"/>
          <w14:textFill>
            <w14:solidFill>
              <w14:schemeClr w14:val="tx1"/>
            </w14:solidFill>
          </w14:textFill>
        </w:rPr>
        <w:t>农村</w:t>
      </w:r>
      <w:r>
        <w:rPr>
          <w:rFonts w:hint="eastAsia" w:ascii="仿宋" w:hAnsi="仿宋" w:eastAsia="仿宋" w:cs="宋体"/>
          <w:color w:val="000000" w:themeColor="text1"/>
          <w:sz w:val="32"/>
          <w:szCs w:val="32"/>
          <w:lang w:val="en-US" w:eastAsia="zh-CN"/>
          <w14:textFill>
            <w14:solidFill>
              <w14:schemeClr w14:val="tx1"/>
            </w14:solidFill>
          </w14:textFill>
        </w:rPr>
        <w:t>九年一贯制学校</w:t>
      </w:r>
      <w:r>
        <w:rPr>
          <w:rFonts w:ascii="仿宋" w:hAnsi="仿宋" w:eastAsia="仿宋" w:cs="宋体"/>
          <w:color w:val="000000" w:themeColor="text1"/>
          <w:sz w:val="32"/>
          <w:szCs w:val="32"/>
          <w14:textFill>
            <w14:solidFill>
              <w14:schemeClr w14:val="tx1"/>
            </w14:solidFill>
          </w14:textFill>
        </w:rPr>
        <w:t>。有教学班</w:t>
      </w:r>
      <w:r>
        <w:rPr>
          <w:rFonts w:hint="eastAsia" w:ascii="仿宋" w:hAnsi="仿宋" w:eastAsia="仿宋" w:cs="宋体"/>
          <w:color w:val="000000" w:themeColor="text1"/>
          <w:sz w:val="32"/>
          <w:szCs w:val="32"/>
          <w:lang w:val="en-US" w:eastAsia="zh-CN"/>
          <w14:textFill>
            <w14:solidFill>
              <w14:schemeClr w14:val="tx1"/>
            </w14:solidFill>
          </w14:textFill>
        </w:rPr>
        <w:t>29</w:t>
      </w:r>
      <w:r>
        <w:rPr>
          <w:rFonts w:ascii="仿宋" w:hAnsi="仿宋" w:eastAsia="仿宋" w:cs="宋体"/>
          <w:color w:val="000000" w:themeColor="text1"/>
          <w:sz w:val="32"/>
          <w:szCs w:val="32"/>
          <w14:textFill>
            <w14:solidFill>
              <w14:schemeClr w14:val="tx1"/>
            </w14:solidFill>
          </w14:textFill>
        </w:rPr>
        <w:t>个，</w:t>
      </w:r>
      <w:r>
        <w:rPr>
          <w:rFonts w:hint="eastAsia" w:ascii="仿宋" w:hAnsi="仿宋" w:eastAsia="仿宋" w:cs="宋体"/>
          <w:color w:val="000000" w:themeColor="text1"/>
          <w:sz w:val="32"/>
          <w:szCs w:val="32"/>
          <w:lang w:val="en-US" w:eastAsia="zh-CN"/>
          <w14:textFill>
            <w14:solidFill>
              <w14:schemeClr w14:val="tx1"/>
            </w14:solidFill>
          </w14:textFill>
        </w:rPr>
        <w:t>幼儿91人，小</w:t>
      </w:r>
      <w:r>
        <w:rPr>
          <w:rFonts w:ascii="仿宋" w:hAnsi="仿宋" w:eastAsia="仿宋" w:cs="宋体"/>
          <w:color w:val="000000" w:themeColor="text1"/>
          <w:sz w:val="32"/>
          <w:szCs w:val="32"/>
          <w14:textFill>
            <w14:solidFill>
              <w14:schemeClr w14:val="tx1"/>
            </w14:solidFill>
          </w14:textFill>
        </w:rPr>
        <w:t>学生</w:t>
      </w:r>
      <w:r>
        <w:rPr>
          <w:rFonts w:hint="eastAsia" w:ascii="仿宋" w:hAnsi="仿宋" w:eastAsia="仿宋" w:cs="宋体"/>
          <w:color w:val="000000" w:themeColor="text1"/>
          <w:sz w:val="32"/>
          <w:szCs w:val="32"/>
          <w:lang w:val="en-US" w:eastAsia="zh-CN"/>
          <w14:textFill>
            <w14:solidFill>
              <w14:schemeClr w14:val="tx1"/>
            </w14:solidFill>
          </w14:textFill>
        </w:rPr>
        <w:t>531</w:t>
      </w:r>
      <w:r>
        <w:rPr>
          <w:rFonts w:ascii="仿宋" w:hAnsi="仿宋" w:eastAsia="仿宋" w:cs="宋体"/>
          <w:color w:val="000000" w:themeColor="text1"/>
          <w:sz w:val="32"/>
          <w:szCs w:val="32"/>
          <w14:textFill>
            <w14:solidFill>
              <w14:schemeClr w14:val="tx1"/>
            </w14:solidFill>
          </w14:textFill>
        </w:rPr>
        <w:t>人</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初中生549人</w:t>
      </w:r>
      <w:r>
        <w:rPr>
          <w:rFonts w:ascii="仿宋" w:hAnsi="仿宋" w:eastAsia="仿宋" w:cs="宋体"/>
          <w:color w:val="000000" w:themeColor="text1"/>
          <w:sz w:val="32"/>
          <w:szCs w:val="32"/>
          <w14:textFill>
            <w14:solidFill>
              <w14:schemeClr w14:val="tx1"/>
            </w14:solidFill>
          </w14:textFill>
        </w:rPr>
        <w:t>。教职工</w:t>
      </w:r>
      <w:r>
        <w:rPr>
          <w:rFonts w:hint="eastAsia" w:ascii="仿宋" w:hAnsi="仿宋" w:eastAsia="仿宋" w:cs="宋体"/>
          <w:color w:val="000000" w:themeColor="text1"/>
          <w:sz w:val="32"/>
          <w:szCs w:val="32"/>
          <w:lang w:val="en-US" w:eastAsia="zh-CN"/>
          <w14:textFill>
            <w14:solidFill>
              <w14:schemeClr w14:val="tx1"/>
            </w14:solidFill>
          </w14:textFill>
        </w:rPr>
        <w:t>116</w:t>
      </w:r>
      <w:r>
        <w:rPr>
          <w:rFonts w:ascii="仿宋" w:hAnsi="仿宋" w:eastAsia="仿宋" w:cs="宋体"/>
          <w:color w:val="000000" w:themeColor="text1"/>
          <w:sz w:val="32"/>
          <w:szCs w:val="32"/>
          <w14:textFill>
            <w14:solidFill>
              <w14:schemeClr w14:val="tx1"/>
            </w14:solidFill>
          </w14:textFill>
        </w:rPr>
        <w:t>人</w:t>
      </w:r>
      <w:r>
        <w:rPr>
          <w:rFonts w:hint="eastAsia" w:ascii="仿宋" w:hAnsi="仿宋" w:eastAsia="仿宋" w:cs="宋体"/>
          <w:color w:val="000000" w:themeColor="text1"/>
          <w:sz w:val="32"/>
          <w:szCs w:val="32"/>
          <w:lang w:val="en-US" w:eastAsia="zh-CN"/>
          <w14:textFill>
            <w14:solidFill>
              <w14:schemeClr w14:val="tx1"/>
            </w14:solidFill>
          </w14:textFill>
        </w:rPr>
        <w:t>左右</w:t>
      </w:r>
      <w:r>
        <w:rPr>
          <w:rFonts w:ascii="仿宋" w:hAnsi="仿宋" w:eastAsia="仿宋" w:cs="宋体"/>
          <w:color w:val="000000" w:themeColor="text1"/>
          <w:sz w:val="32"/>
          <w:szCs w:val="32"/>
          <w14:textFill>
            <w14:solidFill>
              <w14:schemeClr w14:val="tx1"/>
            </w14:solidFill>
          </w14:textFill>
        </w:rPr>
        <w:t>。</w:t>
      </w:r>
      <w:r>
        <w:rPr>
          <w:rFonts w:hint="eastAsia" w:ascii="仿宋" w:hAnsi="仿宋" w:eastAsia="仿宋"/>
          <w:bCs/>
          <w:color w:val="000000"/>
          <w:sz w:val="32"/>
          <w:szCs w:val="32"/>
        </w:rPr>
        <w:t>主要职能职责是：实施</w:t>
      </w:r>
      <w:r>
        <w:rPr>
          <w:rFonts w:hint="eastAsia" w:ascii="仿宋" w:hAnsi="仿宋" w:eastAsia="仿宋"/>
          <w:bCs/>
          <w:color w:val="000000"/>
          <w:sz w:val="32"/>
          <w:szCs w:val="32"/>
          <w:lang w:val="en-US" w:eastAsia="zh-CN"/>
        </w:rPr>
        <w:t>中</w:t>
      </w:r>
      <w:r>
        <w:rPr>
          <w:rFonts w:hint="eastAsia" w:ascii="仿宋" w:hAnsi="仿宋" w:eastAsia="仿宋"/>
          <w:bCs/>
          <w:color w:val="000000"/>
          <w:sz w:val="32"/>
          <w:szCs w:val="32"/>
        </w:rPr>
        <w:t>小学义务教育，促进基础教育均衡发展</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30"/>
        <w:outlineLvl w:val="2"/>
        <w:rPr>
          <w:rFonts w:ascii="仿宋" w:hAnsi="仿宋" w:eastAsia="仿宋" w:cs="仿宋"/>
          <w:color w:val="000000"/>
          <w:sz w:val="32"/>
          <w:szCs w:val="32"/>
        </w:rPr>
      </w:pPr>
      <w:r>
        <w:rPr>
          <w:rFonts w:hint="eastAsia" w:ascii="仿宋" w:hAnsi="仿宋" w:eastAsia="仿宋" w:cs="仿宋"/>
          <w:color w:val="000000"/>
          <w:sz w:val="32"/>
          <w:szCs w:val="32"/>
        </w:rPr>
        <w:t>（二）</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年重点工作完成情况。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坚持教书育人，服务育人，环境育人方针，加强对学生的思想品德教育，使学生的德智体美全面发展。</w:t>
      </w:r>
    </w:p>
    <w:p>
      <w:pPr>
        <w:pStyle w:val="5"/>
        <w:adjustRightInd w:val="0"/>
        <w:snapToGrid w:val="0"/>
        <w:spacing w:before="93" w:line="600" w:lineRule="exact"/>
        <w:ind w:firstLine="672" w:firstLineChars="210"/>
        <w:outlineLvl w:val="2"/>
      </w:pPr>
      <w:r>
        <w:rPr>
          <w:rFonts w:hint="eastAsia" w:ascii="仿宋" w:hAnsi="仿宋" w:eastAsia="仿宋" w:cs="宋体"/>
          <w:color w:val="333333"/>
          <w:sz w:val="32"/>
          <w:szCs w:val="32"/>
        </w:rPr>
        <w:t>完善制度建立，规范后勤管理工作，大幅提升教学质量</w:t>
      </w:r>
      <w:r>
        <w:rPr>
          <w:rFonts w:hint="eastAsia" w:ascii="仿宋" w:hAnsi="仿宋" w:eastAsia="仿宋" w:cs="宋体"/>
          <w:color w:val="333333"/>
          <w:sz w:val="32"/>
          <w:szCs w:val="32"/>
          <w:lang w:eastAsia="zh-CN"/>
        </w:rPr>
        <w:t>，</w:t>
      </w:r>
      <w:r>
        <w:rPr>
          <w:rFonts w:hint="eastAsia" w:ascii="仿宋" w:hAnsi="仿宋" w:eastAsia="仿宋" w:cs="宋体"/>
          <w:color w:val="333333"/>
          <w:sz w:val="32"/>
          <w:szCs w:val="32"/>
        </w:rPr>
        <w:t xml:space="preserve"> 顺利完成了20</w:t>
      </w:r>
      <w:r>
        <w:rPr>
          <w:rFonts w:hint="eastAsia" w:ascii="仿宋" w:hAnsi="仿宋" w:eastAsia="仿宋" w:cs="宋体"/>
          <w:color w:val="333333"/>
          <w:sz w:val="32"/>
          <w:szCs w:val="32"/>
          <w:lang w:val="en-US" w:eastAsia="zh-CN"/>
        </w:rPr>
        <w:t>22</w:t>
      </w:r>
      <w:r>
        <w:rPr>
          <w:rFonts w:hint="eastAsia" w:ascii="仿宋" w:hAnsi="仿宋" w:eastAsia="仿宋" w:cs="宋体"/>
          <w:color w:val="333333"/>
          <w:sz w:val="32"/>
          <w:szCs w:val="32"/>
        </w:rPr>
        <w:t>年学校各项教学目标任务，同时配合政府完成了本年度</w:t>
      </w:r>
      <w:r>
        <w:rPr>
          <w:rFonts w:hint="eastAsia" w:ascii="仿宋" w:hAnsi="仿宋" w:eastAsia="仿宋" w:cs="宋体"/>
          <w:color w:val="333333"/>
          <w:sz w:val="32"/>
          <w:szCs w:val="32"/>
          <w:lang w:val="en-US" w:eastAsia="zh-CN"/>
        </w:rPr>
        <w:t>乡村振兴工作</w:t>
      </w:r>
      <w:r>
        <w:rPr>
          <w:rFonts w:hint="eastAsia" w:ascii="仿宋" w:hAnsi="仿宋" w:eastAsia="仿宋" w:cs="宋体"/>
          <w:color w:val="333333"/>
          <w:sz w:val="32"/>
          <w:szCs w:val="32"/>
        </w:rPr>
        <w:t>任务。</w:t>
      </w:r>
    </w:p>
    <w:p>
      <w:pPr>
        <w:pStyle w:val="3"/>
        <w:rPr>
          <w:rFonts w:ascii="黑体" w:hAnsi="黑体" w:eastAsia="黑体"/>
          <w:b w:val="0"/>
        </w:rPr>
      </w:pPr>
      <w:r>
        <w:rPr>
          <w:rFonts w:hint="eastAsia" w:ascii="黑体" w:hAnsi="黑体" w:eastAsia="黑体"/>
          <w:b w:val="0"/>
        </w:rPr>
        <w:t>二、机构设置</w:t>
      </w:r>
    </w:p>
    <w:bookmarkEnd w:id="14"/>
    <w:bookmarkEnd w:id="15"/>
    <w:p>
      <w:pPr>
        <w:spacing w:line="576" w:lineRule="exact"/>
        <w:ind w:left="475" w:leftChars="150" w:hanging="160" w:hangingChars="50"/>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本单位无下属二级决算单位</w:t>
      </w:r>
      <w:r>
        <w:rPr>
          <w:rFonts w:hint="eastAsia" w:ascii="仿宋" w:hAnsi="仿宋" w:eastAsia="仿宋" w:cs="宋体"/>
          <w:color w:val="000000" w:themeColor="text1"/>
          <w:kern w:val="0"/>
          <w:sz w:val="32"/>
          <w:szCs w:val="32"/>
          <w:lang w:eastAsia="zh-CN"/>
          <w14:textFill>
            <w14:solidFill>
              <w14:schemeClr w14:val="tx1"/>
            </w14:solidFill>
          </w14:textFill>
        </w:rPr>
        <w:t>。</w:t>
      </w:r>
    </w:p>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4"/>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val="en-US" w:eastAsia="zh-CN"/>
        </w:rPr>
        <w:t>入</w:t>
      </w:r>
      <w:r>
        <w:rPr>
          <w:rFonts w:hint="eastAsia" w:ascii="仿宋" w:hAnsi="仿宋" w:eastAsia="仿宋"/>
          <w:sz w:val="32"/>
          <w:szCs w:val="32"/>
        </w:rPr>
        <w:t>总计</w:t>
      </w:r>
      <w:r>
        <w:rPr>
          <w:rFonts w:hint="eastAsia" w:ascii="仿宋" w:hAnsi="仿宋" w:eastAsia="仿宋"/>
          <w:sz w:val="32"/>
          <w:szCs w:val="32"/>
          <w:lang w:val="en-US" w:eastAsia="zh-CN"/>
        </w:rPr>
        <w:t>1477.78</w:t>
      </w:r>
      <w:r>
        <w:rPr>
          <w:rFonts w:hint="eastAsia" w:ascii="仿宋" w:hAnsi="仿宋" w:eastAsia="仿宋"/>
          <w:sz w:val="32"/>
          <w:szCs w:val="32"/>
        </w:rPr>
        <w:t>万元。与2021年相比，收</w:t>
      </w:r>
      <w:r>
        <w:rPr>
          <w:rFonts w:hint="eastAsia" w:ascii="仿宋" w:hAnsi="仿宋" w:eastAsia="仿宋"/>
          <w:sz w:val="32"/>
          <w:szCs w:val="32"/>
          <w:lang w:val="en-US"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143.19</w:t>
      </w:r>
      <w:r>
        <w:rPr>
          <w:rFonts w:hint="eastAsia" w:ascii="仿宋" w:hAnsi="仿宋" w:eastAsia="仿宋"/>
          <w:sz w:val="32"/>
          <w:szCs w:val="32"/>
        </w:rPr>
        <w:t>万元，增长</w:t>
      </w:r>
      <w:r>
        <w:rPr>
          <w:rFonts w:hint="eastAsia" w:ascii="仿宋" w:hAnsi="仿宋" w:eastAsia="仿宋"/>
          <w:sz w:val="32"/>
          <w:szCs w:val="32"/>
          <w:lang w:val="en-US" w:eastAsia="zh-CN"/>
        </w:rPr>
        <w:t>10.73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人员经费增加；2022年度支出总计1477.78万元。与2021年相比，支出总计减少了189.72万元，降低11.38%，主要变动原因是人数增加</w:t>
      </w:r>
      <w:r>
        <w:rPr>
          <w:rFonts w:hint="eastAsia" w:ascii="仿宋" w:hAnsi="仿宋" w:eastAsia="仿宋"/>
          <w:sz w:val="32"/>
          <w:szCs w:val="32"/>
        </w:rPr>
        <w:t>。</w:t>
      </w:r>
    </w:p>
    <w:p>
      <w:pPr>
        <w:pStyle w:val="5"/>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1477.78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1476.58</w:t>
      </w:r>
      <w:r>
        <w:rPr>
          <w:rFonts w:hint="eastAsia" w:ascii="仿宋" w:hAnsi="仿宋" w:eastAsia="仿宋"/>
          <w:sz w:val="32"/>
          <w:szCs w:val="32"/>
        </w:rPr>
        <w:t>万元，占</w:t>
      </w:r>
      <w:r>
        <w:rPr>
          <w:rFonts w:hint="eastAsia" w:ascii="仿宋" w:hAnsi="仿宋" w:eastAsia="仿宋"/>
          <w:sz w:val="32"/>
          <w:szCs w:val="32"/>
          <w:lang w:val="en-US" w:eastAsia="zh-CN"/>
        </w:rPr>
        <w:t>99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1.2</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p>
    <w:p>
      <w:pPr>
        <w:pStyle w:val="5"/>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6350" t="6350" r="13970" b="15240"/>
            <wp:docPr id="3" name="图表 3" descr="7b0a202020202263686172745265734964223a202232303436393732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23"/>
        <w:numPr>
          <w:ilvl w:val="0"/>
          <w:numId w:val="2"/>
        </w:numPr>
        <w:spacing w:line="600" w:lineRule="exact"/>
        <w:ind w:firstLineChars="0"/>
        <w:outlineLvl w:val="1"/>
        <w:rPr>
          <w:rStyle w:val="25"/>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1477.78</w:t>
      </w:r>
      <w:r>
        <w:rPr>
          <w:rFonts w:hint="eastAsia" w:ascii="仿宋" w:hAnsi="仿宋" w:eastAsia="仿宋"/>
          <w:sz w:val="32"/>
          <w:szCs w:val="32"/>
        </w:rPr>
        <w:t>万元，其中：基本支出</w:t>
      </w:r>
      <w:r>
        <w:rPr>
          <w:rFonts w:hint="eastAsia" w:ascii="仿宋" w:hAnsi="仿宋" w:eastAsia="仿宋"/>
          <w:sz w:val="32"/>
          <w:szCs w:val="32"/>
          <w:lang w:val="en-US" w:eastAsia="zh-CN"/>
        </w:rPr>
        <w:t>1431.28</w:t>
      </w:r>
      <w:r>
        <w:rPr>
          <w:rFonts w:hint="eastAsia" w:ascii="仿宋" w:hAnsi="仿宋" w:eastAsia="仿宋"/>
          <w:sz w:val="32"/>
          <w:szCs w:val="32"/>
        </w:rPr>
        <w:t>万元，占</w:t>
      </w:r>
      <w:r>
        <w:rPr>
          <w:rFonts w:hint="eastAsia" w:ascii="仿宋" w:hAnsi="仿宋" w:eastAsia="仿宋"/>
          <w:sz w:val="32"/>
          <w:szCs w:val="32"/>
          <w:lang w:val="en-US" w:eastAsia="zh-CN"/>
        </w:rPr>
        <w:t>96.8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46.5</w:t>
      </w:r>
      <w:r>
        <w:rPr>
          <w:rFonts w:hint="eastAsia" w:ascii="仿宋" w:hAnsi="仿宋" w:eastAsia="仿宋"/>
          <w:sz w:val="32"/>
          <w:szCs w:val="32"/>
        </w:rPr>
        <w:t>万元，占</w:t>
      </w:r>
      <w:r>
        <w:rPr>
          <w:rFonts w:hint="eastAsia" w:ascii="仿宋" w:hAnsi="仿宋" w:eastAsia="仿宋"/>
          <w:sz w:val="32"/>
          <w:szCs w:val="32"/>
          <w:lang w:val="en-US" w:eastAsia="zh-CN"/>
        </w:rPr>
        <w:t>3.2</w:t>
      </w:r>
      <w:r>
        <w:rPr>
          <w:rFonts w:ascii="仿宋" w:hAnsi="仿宋" w:eastAsia="仿宋"/>
          <w:sz w:val="32"/>
          <w:szCs w:val="32"/>
        </w:rPr>
        <w:t>%</w:t>
      </w:r>
      <w:r>
        <w:rPr>
          <w:rFonts w:hint="eastAsia" w:ascii="仿宋" w:hAnsi="仿宋" w:eastAsia="仿宋"/>
          <w:sz w:val="32"/>
          <w:szCs w:val="32"/>
        </w:rPr>
        <w:t>。</w:t>
      </w:r>
    </w:p>
    <w:p>
      <w:pPr>
        <w:pStyle w:val="5"/>
        <w:rPr>
          <w:rFonts w:ascii="仿宋" w:hAnsi="仿宋" w:eastAsia="仿宋"/>
          <w:sz w:val="32"/>
          <w:szCs w:val="32"/>
          <w:shd w:val="pct10" w:color="auto" w:fill="FFFFFF"/>
        </w:rPr>
      </w:pPr>
      <w:r>
        <w:rPr>
          <w:rFonts w:hint="eastAsia" w:ascii="仿宋" w:hAnsi="仿宋" w:eastAsia="仿宋"/>
          <w:sz w:val="32"/>
          <w:szCs w:val="32"/>
          <w:shd w:val="pct10" w:color="auto" w:fill="FFFFFF"/>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val="en-US" w:eastAsia="zh-CN"/>
        </w:rPr>
        <w:t>入</w:t>
      </w:r>
      <w:r>
        <w:rPr>
          <w:rFonts w:hint="eastAsia" w:ascii="仿宋" w:hAnsi="仿宋" w:eastAsia="仿宋"/>
          <w:sz w:val="32"/>
          <w:szCs w:val="32"/>
        </w:rPr>
        <w:t>总计</w:t>
      </w:r>
      <w:r>
        <w:rPr>
          <w:rFonts w:hint="eastAsia" w:ascii="仿宋" w:hAnsi="仿宋" w:eastAsia="仿宋"/>
          <w:sz w:val="32"/>
          <w:szCs w:val="32"/>
          <w:lang w:val="en-US" w:eastAsia="zh-CN"/>
        </w:rPr>
        <w:t>1477.78</w:t>
      </w:r>
      <w:r>
        <w:rPr>
          <w:rFonts w:hint="eastAsia" w:ascii="仿宋" w:hAnsi="仿宋" w:eastAsia="仿宋"/>
          <w:sz w:val="32"/>
          <w:szCs w:val="32"/>
        </w:rPr>
        <w:t>万元。与2021年相比，收</w:t>
      </w:r>
      <w:r>
        <w:rPr>
          <w:rFonts w:hint="eastAsia" w:ascii="仿宋" w:hAnsi="仿宋" w:eastAsia="仿宋"/>
          <w:sz w:val="32"/>
          <w:szCs w:val="32"/>
          <w:lang w:val="en-US"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143.19</w:t>
      </w:r>
      <w:r>
        <w:rPr>
          <w:rFonts w:hint="eastAsia" w:ascii="仿宋" w:hAnsi="仿宋" w:eastAsia="仿宋"/>
          <w:sz w:val="32"/>
          <w:szCs w:val="32"/>
        </w:rPr>
        <w:t>万元，增长</w:t>
      </w:r>
      <w:r>
        <w:rPr>
          <w:rFonts w:hint="eastAsia" w:ascii="仿宋" w:hAnsi="仿宋" w:eastAsia="仿宋"/>
          <w:sz w:val="32"/>
          <w:szCs w:val="32"/>
          <w:lang w:val="en-US" w:eastAsia="zh-CN"/>
        </w:rPr>
        <w:t>10.73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人员经费增加；2022年度支出总计1477.78万元。与2021年相比，支出总计减少了189.72万元，降低</w:t>
      </w:r>
      <w:bookmarkStart w:id="67" w:name="_GoBack"/>
      <w:bookmarkEnd w:id="67"/>
      <w:r>
        <w:rPr>
          <w:rFonts w:hint="eastAsia" w:ascii="仿宋" w:hAnsi="仿宋" w:eastAsia="仿宋"/>
          <w:sz w:val="32"/>
          <w:szCs w:val="32"/>
          <w:lang w:val="en-US" w:eastAsia="zh-CN"/>
        </w:rPr>
        <w:t>11.38%。主要变动原因是人数增加</w:t>
      </w:r>
      <w:r>
        <w:rPr>
          <w:rFonts w:hint="eastAsia" w:ascii="仿宋" w:hAnsi="仿宋" w:eastAsia="仿宋"/>
          <w:sz w:val="32"/>
          <w:szCs w:val="32"/>
        </w:rPr>
        <w:t>。</w:t>
      </w:r>
    </w:p>
    <w:p>
      <w:pPr>
        <w:pStyle w:val="5"/>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1476.58</w:t>
      </w:r>
      <w:r>
        <w:rPr>
          <w:rFonts w:hint="eastAsia" w:ascii="仿宋" w:hAnsi="仿宋" w:eastAsia="仿宋"/>
          <w:sz w:val="32"/>
          <w:szCs w:val="32"/>
        </w:rPr>
        <w:t>万元，占本年支出合计的</w:t>
      </w:r>
      <w:r>
        <w:rPr>
          <w:rFonts w:hint="eastAsia" w:ascii="仿宋" w:hAnsi="仿宋" w:eastAsia="仿宋"/>
          <w:sz w:val="32"/>
          <w:szCs w:val="32"/>
          <w:lang w:val="en-US" w:eastAsia="zh-CN"/>
        </w:rPr>
        <w:t>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156.99</w:t>
      </w:r>
      <w:r>
        <w:rPr>
          <w:rFonts w:hint="eastAsia" w:ascii="仿宋" w:hAnsi="仿宋" w:eastAsia="仿宋"/>
          <w:sz w:val="32"/>
          <w:szCs w:val="32"/>
        </w:rPr>
        <w:t>万元，增长</w:t>
      </w:r>
      <w:r>
        <w:rPr>
          <w:rFonts w:hint="eastAsia" w:ascii="仿宋" w:hAnsi="仿宋" w:eastAsia="仿宋"/>
          <w:sz w:val="32"/>
          <w:szCs w:val="32"/>
          <w:lang w:val="en-US" w:eastAsia="zh-CN"/>
        </w:rPr>
        <w:t>11.9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人员的变动，其他运转类经费增加。</w:t>
      </w:r>
    </w:p>
    <w:p>
      <w:pPr>
        <w:pStyle w:val="5"/>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1476.58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1250.14</w:t>
      </w:r>
      <w:r>
        <w:rPr>
          <w:rFonts w:hint="eastAsia" w:ascii="仿宋" w:hAnsi="仿宋" w:eastAsia="仿宋"/>
          <w:sz w:val="32"/>
          <w:szCs w:val="32"/>
        </w:rPr>
        <w:t>万元，占</w:t>
      </w:r>
      <w:r>
        <w:rPr>
          <w:rFonts w:hint="eastAsia" w:ascii="仿宋" w:hAnsi="仿宋" w:eastAsia="仿宋"/>
          <w:sz w:val="32"/>
          <w:szCs w:val="32"/>
          <w:lang w:val="en-US" w:eastAsia="zh-CN"/>
        </w:rPr>
        <w:t>84.66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104.37</w:t>
      </w:r>
      <w:r>
        <w:rPr>
          <w:rFonts w:hint="eastAsia" w:ascii="仿宋" w:hAnsi="仿宋" w:eastAsia="仿宋"/>
          <w:sz w:val="32"/>
          <w:szCs w:val="32"/>
        </w:rPr>
        <w:t>万元，占</w:t>
      </w:r>
      <w:r>
        <w:rPr>
          <w:rFonts w:hint="eastAsia" w:ascii="仿宋" w:hAnsi="仿宋" w:eastAsia="仿宋"/>
          <w:sz w:val="32"/>
          <w:szCs w:val="32"/>
          <w:lang w:val="en-US" w:eastAsia="zh-CN"/>
        </w:rPr>
        <w:t>7.07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48.83</w:t>
      </w:r>
      <w:r>
        <w:rPr>
          <w:rFonts w:hint="eastAsia" w:ascii="仿宋" w:hAnsi="仿宋" w:eastAsia="仿宋"/>
          <w:sz w:val="32"/>
          <w:szCs w:val="32"/>
        </w:rPr>
        <w:t>万元，占</w:t>
      </w:r>
      <w:r>
        <w:rPr>
          <w:rFonts w:hint="eastAsia" w:ascii="仿宋" w:hAnsi="仿宋" w:eastAsia="仿宋"/>
          <w:sz w:val="32"/>
          <w:szCs w:val="32"/>
          <w:lang w:val="en-US" w:eastAsia="zh-CN"/>
        </w:rPr>
        <w:t>3.31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73.24</w:t>
      </w:r>
      <w:r>
        <w:rPr>
          <w:rFonts w:hint="eastAsia" w:ascii="仿宋" w:hAnsi="仿宋" w:eastAsia="仿宋"/>
          <w:sz w:val="32"/>
          <w:szCs w:val="32"/>
        </w:rPr>
        <w:t>万元，占</w:t>
      </w:r>
      <w:r>
        <w:rPr>
          <w:rFonts w:hint="eastAsia" w:ascii="仿宋" w:hAnsi="仿宋" w:eastAsia="仿宋"/>
          <w:sz w:val="32"/>
          <w:szCs w:val="32"/>
          <w:lang w:val="en-US" w:eastAsia="zh-CN"/>
        </w:rPr>
        <w:t>4.96</w:t>
      </w:r>
      <w:r>
        <w:rPr>
          <w:rFonts w:ascii="仿宋" w:hAnsi="仿宋" w:eastAsia="仿宋"/>
          <w:sz w:val="32"/>
          <w:szCs w:val="32"/>
        </w:rPr>
        <w:t>%</w:t>
      </w:r>
      <w:r>
        <w:rPr>
          <w:rFonts w:hint="eastAsia" w:ascii="仿宋" w:hAnsi="仿宋" w:eastAsia="仿宋"/>
          <w:sz w:val="32"/>
          <w:szCs w:val="32"/>
        </w:rPr>
        <w:t>。</w:t>
      </w:r>
    </w:p>
    <w:p>
      <w:pPr>
        <w:pStyle w:val="5"/>
        <w:rPr>
          <w:rFonts w:ascii="仿宋" w:hAnsi="仿宋" w:eastAsia="仿宋"/>
          <w:sz w:val="32"/>
          <w:szCs w:val="32"/>
        </w:rPr>
      </w:pPr>
      <w:r>
        <w:rPr>
          <w:rFonts w:hint="eastAsia" w:ascii="仿宋" w:hAnsi="仿宋" w:eastAsia="仿宋"/>
          <w:b/>
          <w:sz w:val="32"/>
          <w:szCs w:val="32"/>
          <w:lang w:eastAsia="zh-CN"/>
        </w:rPr>
        <w:drawing>
          <wp:inline distT="0" distB="0" distL="114300" distR="114300">
            <wp:extent cx="4980305" cy="2712085"/>
            <wp:effectExtent l="4445" t="4445" r="6350"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1476.58</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学前教育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25.94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ind w:firstLine="643" w:firstLineChars="200"/>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出决算为</w:t>
      </w:r>
      <w:r>
        <w:rPr>
          <w:rStyle w:val="14"/>
          <w:rFonts w:hint="eastAsia" w:ascii="仿宋" w:hAnsi="仿宋" w:eastAsia="仿宋"/>
          <w:b w:val="0"/>
          <w:bCs/>
          <w:sz w:val="32"/>
          <w:szCs w:val="32"/>
          <w:lang w:val="en-US" w:eastAsia="zh-CN"/>
        </w:rPr>
        <w:t>1224.2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hint="eastAsia" w:ascii="仿宋" w:hAnsi="仿宋" w:eastAsia="仿宋"/>
          <w:b w:val="0"/>
          <w:bCs/>
          <w:sz w:val="32"/>
          <w:szCs w:val="32"/>
          <w:lang w:val="en-US" w:eastAsia="zh-CN"/>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行政事业单位养老</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机关事业单位基本养老保险缴费</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97.66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其他社会保障和就业</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其他社会保障和就业</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6.71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事业单位医疗</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48.83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6</w:t>
      </w:r>
      <w:r>
        <w:rPr>
          <w:rStyle w:val="14"/>
          <w:rFonts w:ascii="仿宋" w:hAnsi="仿宋" w:eastAsia="仿宋"/>
          <w:bCs/>
          <w:sz w:val="32"/>
          <w:szCs w:val="32"/>
        </w:rPr>
        <w:t>.</w:t>
      </w:r>
      <w:r>
        <w:rPr>
          <w:rFonts w:hint="eastAsia" w:ascii="仿宋" w:hAnsi="仿宋" w:eastAsia="仿宋"/>
          <w:b/>
          <w:bCs/>
          <w:sz w:val="32"/>
          <w:szCs w:val="32"/>
          <w:lang w:val="en-US" w:eastAsia="zh-CN"/>
        </w:rPr>
        <w:t>住房保障</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住房改革支出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住房公积金</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73.24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1431.28</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1291.68</w:t>
      </w:r>
      <w:r>
        <w:rPr>
          <w:rFonts w:hint="eastAsia" w:ascii="仿宋" w:hAnsi="仿宋" w:eastAsia="仿宋"/>
          <w:sz w:val="32"/>
          <w:szCs w:val="32"/>
        </w:rPr>
        <w:t>万元，主要包括：基本工资、津贴补贴、奖金、绩效工资、机关事业单位基本养老保险缴费、其他社会保障缴费、其他工资福利支出、生活补助、住房公积金、其他对个人和家庭的补助支出等。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139.60</w:t>
      </w:r>
      <w:r>
        <w:rPr>
          <w:rFonts w:hint="eastAsia" w:ascii="仿宋" w:hAnsi="仿宋" w:eastAsia="仿宋"/>
          <w:sz w:val="32"/>
          <w:szCs w:val="32"/>
        </w:rPr>
        <w:t>万元，主要包括：办公费、印刷费、水费、电费、邮电费、物业管理费、差旅费、维修（护）费、培训费、公务接待费、劳务费、福利费等。</w:t>
      </w: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0.095</w:t>
      </w:r>
      <w:r>
        <w:rPr>
          <w:rFonts w:hint="eastAsia" w:ascii="仿宋" w:hAnsi="仿宋" w:eastAsia="仿宋"/>
          <w:sz w:val="32"/>
          <w:szCs w:val="32"/>
        </w:rPr>
        <w:t>万元，下降</w:t>
      </w:r>
      <w:r>
        <w:rPr>
          <w:rFonts w:hint="eastAsia" w:ascii="仿宋" w:hAnsi="仿宋" w:eastAsia="仿宋"/>
          <w:sz w:val="32"/>
          <w:szCs w:val="32"/>
          <w:lang w:val="en-US" w:eastAsia="zh-CN"/>
        </w:rPr>
        <w:t>20</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5"/>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drawing>
          <wp:inline distT="0" distB="0" distL="114300" distR="114300">
            <wp:extent cx="4610735" cy="1999615"/>
            <wp:effectExtent l="4445" t="4445" r="13970" b="1524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剑阁县龙源育才学校无因公出国（境）经费支出预算</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剑阁县龙源育才学校无公务用车购置及运行维护费支出预算</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0.095</w:t>
      </w:r>
      <w:r>
        <w:rPr>
          <w:rFonts w:hint="eastAsia" w:ascii="仿宋_GB2312" w:eastAsia="仿宋_GB2312"/>
          <w:sz w:val="32"/>
          <w:szCs w:val="32"/>
        </w:rPr>
        <w:t>万元，下降</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受疫情影响，公务接待费预算减少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万元，主要用于执行公务、开展业务活动开支的交通费、住宿费、用餐费等。</w:t>
      </w:r>
    </w:p>
    <w:p>
      <w:pPr>
        <w:spacing w:line="600" w:lineRule="exact"/>
        <w:ind w:firstLine="643" w:firstLineChars="200"/>
        <w:rPr>
          <w:rFonts w:hint="eastAsia" w:ascii="仿宋_GB2312" w:eastAsia="仿宋_GB2312"/>
          <w:sz w:val="32"/>
          <w:szCs w:val="32"/>
          <w:lang w:val="en-US"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剑阁县龙源育才学校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剑阁县龙源育才学校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剑阁县龙源育才学校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人员类</w:t>
      </w:r>
      <w:r>
        <w:rPr>
          <w:rFonts w:hint="eastAsia" w:hAnsi="仿宋_GB2312" w:cs="仿宋_GB2312"/>
          <w:sz w:val="32"/>
          <w:szCs w:val="32"/>
        </w:rPr>
        <w:t>项目</w:t>
      </w:r>
      <w:r>
        <w:rPr>
          <w:rFonts w:hint="eastAsia" w:hAnsi="仿宋_GB2312" w:cs="仿宋_GB2312"/>
          <w:sz w:val="32"/>
          <w:szCs w:val="32"/>
          <w:lang w:val="en-US" w:eastAsia="zh-CN"/>
        </w:rPr>
        <w:t>和运转类项目</w:t>
      </w:r>
      <w:r>
        <w:rPr>
          <w:rFonts w:hint="eastAsia" w:hAnsi="仿宋_GB2312" w:cs="仿宋_GB2312"/>
          <w:sz w:val="32"/>
          <w:szCs w:val="32"/>
        </w:rPr>
        <w:t>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ind w:firstLine="640" w:firstLineChars="200"/>
        <w:rPr>
          <w:rFonts w:hint="eastAsia"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教育（类）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学前教育</w:t>
      </w:r>
      <w:r>
        <w:rPr>
          <w:rFonts w:hint="eastAsia" w:ascii="仿宋_GB2312" w:eastAsia="仿宋_GB2312"/>
          <w:sz w:val="32"/>
          <w:szCs w:val="32"/>
        </w:rPr>
        <w:t>（项）：指</w:t>
      </w:r>
      <w:r>
        <w:rPr>
          <w:rFonts w:hint="eastAsia" w:ascii="仿宋_GB2312" w:eastAsia="仿宋_GB2312"/>
          <w:sz w:val="32"/>
          <w:szCs w:val="32"/>
          <w:lang w:val="en-US" w:eastAsia="zh-CN"/>
        </w:rPr>
        <w:t>单位从同级财政部门取得的学前教育资金。</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教育（类）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小学教育</w:t>
      </w:r>
      <w:r>
        <w:rPr>
          <w:rFonts w:hint="eastAsia" w:ascii="仿宋_GB2312" w:eastAsia="仿宋_GB2312"/>
          <w:sz w:val="32"/>
          <w:szCs w:val="32"/>
        </w:rPr>
        <w:t>（项）：指</w:t>
      </w:r>
      <w:r>
        <w:rPr>
          <w:rFonts w:hint="eastAsia" w:ascii="仿宋_GB2312" w:eastAsia="仿宋_GB2312"/>
          <w:sz w:val="32"/>
          <w:szCs w:val="32"/>
          <w:lang w:val="en-US" w:eastAsia="zh-CN"/>
        </w:rPr>
        <w:t>单位从同级财政部门取得的小学教育资金。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w:t>
      </w:r>
      <w:r>
        <w:rPr>
          <w:rFonts w:hint="eastAsia" w:ascii="仿宋_GB2312" w:eastAsia="仿宋_GB2312"/>
          <w:sz w:val="32"/>
          <w:szCs w:val="32"/>
        </w:rPr>
        <w:t>（款）</w:t>
      </w:r>
      <w:r>
        <w:rPr>
          <w:rFonts w:hint="eastAsia" w:ascii="仿宋_GB2312" w:eastAsia="仿宋_GB2312"/>
          <w:sz w:val="32"/>
          <w:szCs w:val="32"/>
          <w:lang w:val="en-US" w:eastAsia="zh-CN"/>
        </w:rPr>
        <w:t>机关事业单位养老保险缴费</w:t>
      </w:r>
      <w:r>
        <w:rPr>
          <w:rFonts w:hint="eastAsia" w:ascii="仿宋_GB2312" w:eastAsia="仿宋_GB2312"/>
          <w:sz w:val="32"/>
          <w:szCs w:val="32"/>
        </w:rPr>
        <w:t>（项）：指机关事业单位实施养老保险制度由单位缴纳的基本养老保险费。</w:t>
      </w:r>
    </w:p>
    <w:p>
      <w:pPr>
        <w:ind w:firstLine="640" w:firstLineChars="200"/>
        <w:rPr>
          <w:rFonts w:hint="eastAsia" w:ascii="仿宋_GB2312" w:eastAsia="仿宋_GB2312"/>
          <w:sz w:val="32"/>
          <w:szCs w:val="32"/>
          <w:lang w:val="en-US" w:eastAsia="zh-CN"/>
        </w:rPr>
      </w:pPr>
      <w:r>
        <w:rPr>
          <w:rFonts w:ascii="仿宋_GB2312" w:eastAsia="仿宋_GB2312"/>
          <w:sz w:val="32"/>
          <w:szCs w:val="32"/>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w:t>
      </w:r>
      <w:r>
        <w:rPr>
          <w:rFonts w:hint="eastAsia" w:ascii="仿宋_GB2312" w:eastAsia="仿宋_GB2312"/>
          <w:sz w:val="32"/>
          <w:szCs w:val="32"/>
        </w:rPr>
        <w:t>（款）</w:t>
      </w:r>
      <w:r>
        <w:rPr>
          <w:rFonts w:hint="eastAsia" w:ascii="仿宋_GB2312" w:eastAsia="仿宋_GB2312"/>
          <w:sz w:val="32"/>
          <w:szCs w:val="32"/>
          <w:lang w:val="en-US" w:eastAsia="zh-CN"/>
        </w:rPr>
        <w:t>其他社会保障和就业</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lang w:val="en-US" w:eastAsia="zh-CN"/>
        </w:rPr>
        <w:t>除上述项目外，其他用于行政事业单位离退休方面的支出。</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卫生健康（类）</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局机关及参公管理事业单位用于缴纳单位基本医疗保险支出。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val="en-US" w:eastAsia="zh-CN"/>
        </w:rPr>
        <w:t>住房改革</w:t>
      </w:r>
      <w:r>
        <w:rPr>
          <w:rFonts w:hint="eastAsia" w:ascii="仿宋_GB2312" w:eastAsia="仿宋_GB2312"/>
          <w:sz w:val="32"/>
          <w:szCs w:val="32"/>
        </w:rPr>
        <w:t>（款）</w:t>
      </w:r>
      <w:r>
        <w:rPr>
          <w:rFonts w:hint="eastAsia" w:ascii="仿宋_GB2312" w:eastAsia="仿宋_GB2312"/>
          <w:sz w:val="32"/>
          <w:szCs w:val="32"/>
          <w:lang w:val="en-US" w:eastAsia="zh-CN"/>
        </w:rPr>
        <w:t>住房公积金</w:t>
      </w:r>
      <w:r>
        <w:rPr>
          <w:rFonts w:hint="eastAsia" w:ascii="仿宋_GB2312" w:eastAsia="仿宋_GB2312"/>
          <w:sz w:val="32"/>
          <w:szCs w:val="32"/>
        </w:rPr>
        <w:t>（项）：指按照《住房公积金管理条例》的规定，由单位及其在职职工缴存的长期住房储金。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p>
    <w:p>
      <w:pPr>
        <w:pStyle w:val="22"/>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p>
    <w:p>
      <w:pPr>
        <w:spacing w:line="600" w:lineRule="exact"/>
        <w:jc w:val="center"/>
        <w:outlineLvl w:val="0"/>
        <w:rPr>
          <w:rStyle w:val="24"/>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4"/>
          <w:rFonts w:hint="eastAsia" w:ascii="黑体" w:hAnsi="黑体" w:eastAsia="黑体"/>
          <w:b w:val="0"/>
        </w:rPr>
        <w:t>四部分 附件</w:t>
      </w:r>
      <w:bookmarkEnd w:id="52"/>
    </w:p>
    <w:tbl>
      <w:tblPr>
        <w:tblStyle w:val="12"/>
        <w:tblpPr w:leftFromText="180" w:rightFromText="180" w:vertAnchor="text" w:horzAnchor="page" w:tblpX="1485" w:tblpY="1203"/>
        <w:tblOverlap w:val="never"/>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04"/>
        <w:gridCol w:w="982"/>
        <w:gridCol w:w="1364"/>
        <w:gridCol w:w="396"/>
        <w:gridCol w:w="868"/>
        <w:gridCol w:w="756"/>
        <w:gridCol w:w="846"/>
        <w:gridCol w:w="576"/>
        <w:gridCol w:w="396"/>
        <w:gridCol w:w="1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按照相关政策，保障了工资及时足额发放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按照预算，严格执行，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免除义务教育作业费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160.90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160.90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为学龄前儿童提供保育和保教服务。</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为学龄前儿童提供保育和保教服务。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为学龄前儿童提供保育和保教服务。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27.47</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27.47</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幼儿教育</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保育教育效果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保障单位日常运转，</w:t>
            </w:r>
            <w:r>
              <w:rPr>
                <w:rFonts w:hint="eastAsia" w:ascii="宋体" w:hAnsi="宋体" w:cs="宋体"/>
                <w:i w:val="0"/>
                <w:iCs w:val="0"/>
                <w:color w:val="000000"/>
                <w:kern w:val="0"/>
                <w:sz w:val="18"/>
                <w:szCs w:val="18"/>
                <w:u w:val="none"/>
                <w:lang w:val="en-US" w:eastAsia="zh-CN" w:bidi="ar"/>
              </w:rPr>
              <w:t>保障了学校食堂的正常运转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w:t>
            </w:r>
            <w:r>
              <w:rPr>
                <w:rFonts w:hint="eastAsia" w:ascii="宋体" w:hAnsi="宋体" w:cs="宋体"/>
                <w:i w:val="0"/>
                <w:iCs w:val="0"/>
                <w:color w:val="000000"/>
                <w:kern w:val="0"/>
                <w:sz w:val="18"/>
                <w:szCs w:val="18"/>
                <w:u w:val="none"/>
                <w:lang w:val="en-US" w:eastAsia="zh-CN" w:bidi="ar"/>
              </w:rPr>
              <w:t>保障了学校食堂的正常运转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899.89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839.75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899.89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839.75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严格执行相关政策，保障</w:t>
            </w:r>
            <w:r>
              <w:rPr>
                <w:rFonts w:hint="eastAsia" w:ascii="宋体" w:hAnsi="宋体" w:cs="宋体"/>
                <w:i w:val="0"/>
                <w:iCs w:val="0"/>
                <w:color w:val="000000"/>
                <w:kern w:val="0"/>
                <w:sz w:val="18"/>
                <w:szCs w:val="18"/>
                <w:u w:val="none"/>
                <w:lang w:val="en-US" w:eastAsia="zh-CN" w:bidi="ar"/>
              </w:rPr>
              <w:t>学生营养餐达标，营养餐得以改善</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w:t>
            </w:r>
            <w:r>
              <w:rPr>
                <w:rFonts w:hint="eastAsia" w:ascii="宋体" w:hAnsi="宋体" w:cs="宋体"/>
                <w:i w:val="0"/>
                <w:iCs w:val="0"/>
                <w:color w:val="000000"/>
                <w:kern w:val="0"/>
                <w:sz w:val="18"/>
                <w:szCs w:val="18"/>
                <w:u w:val="none"/>
                <w:lang w:val="en-US" w:eastAsia="zh-CN" w:bidi="ar"/>
              </w:rPr>
              <w:t>学生营养餐达标，营养餐得以改善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w:t>
            </w:r>
            <w:r>
              <w:rPr>
                <w:rFonts w:hint="eastAsia" w:ascii="宋体" w:hAnsi="宋体" w:cs="宋体"/>
                <w:i w:val="0"/>
                <w:iCs w:val="0"/>
                <w:color w:val="000000"/>
                <w:kern w:val="0"/>
                <w:sz w:val="18"/>
                <w:szCs w:val="18"/>
                <w:u w:val="none"/>
                <w:lang w:val="en-US" w:eastAsia="zh-CN" w:bidi="ar"/>
              </w:rPr>
              <w:t>学生营养餐达标，营养餐得以改善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160.39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160.39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51082322T000005305313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薄弱环节改善与能力提升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改善学校办学条件，提升学校办学条件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保障了学生上学困难问题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保障了学生上学困难问题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保障了学生上学困难问题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保障了学生上学困难问题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保障学生上学困难问题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51082322T000005311002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银铃讲学计划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保障学校正常办学</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保障了学校正常办学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保障学校正常办学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51082322T000005313478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新建项目补助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少年宫的设施设备购置维护和设备设施修缮等</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少年宫的设施设备购置维护和设备设施修缮等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少年宫的设施设备购置维护和设备设施修缮等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少年宫的设施设备购置维护、劳务支出、支付聘用辅导教师的劳动报酬等</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少年宫的设施设备购置维护、劳务支出、支付聘用辅导教师的劳动报酬等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少年宫的设施设备购置维护、劳务支出、支付聘用辅导教师的劳动报酬等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少年宫的设施设备购置维护、劳务支出、支付聘用辅导教师的劳动报酬等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4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51082322T000005559217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剑阁县龙源育才学校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有效解决农村教师住房问题，改善农村教师生活条件，支持边远地区新建和改建教师周转宿舍44套</w:t>
            </w:r>
          </w:p>
        </w:tc>
        <w:tc>
          <w:tcPr>
            <w:tcW w:w="3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解决农村教师住房问题，改善</w:t>
            </w:r>
            <w:r>
              <w:rPr>
                <w:rFonts w:hint="eastAsia" w:ascii="宋体" w:hAnsi="宋体" w:cs="宋体"/>
                <w:i w:val="0"/>
                <w:iCs w:val="0"/>
                <w:color w:val="000000"/>
                <w:kern w:val="0"/>
                <w:sz w:val="18"/>
                <w:szCs w:val="18"/>
                <w:u w:val="none"/>
                <w:lang w:val="en-US" w:eastAsia="zh-CN" w:bidi="ar"/>
              </w:rPr>
              <w:t>了</w:t>
            </w:r>
            <w:r>
              <w:rPr>
                <w:rFonts w:ascii="宋体" w:hAnsi="宋体" w:eastAsia="宋体" w:cs="宋体"/>
                <w:i w:val="0"/>
                <w:iCs w:val="0"/>
                <w:color w:val="000000"/>
                <w:kern w:val="0"/>
                <w:sz w:val="18"/>
                <w:szCs w:val="18"/>
                <w:u w:val="none"/>
                <w:lang w:val="en-US" w:eastAsia="zh-CN" w:bidi="ar"/>
              </w:rPr>
              <w:t>农村教师生活条件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有效解决农村教师住房问题，改善农村教师生活条件，支持边远地区新建和改建教师周转宿舍44套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达标率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目标在时间内完成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支持城乡义务教育健康发展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有效</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解决农村教师住房问题，改善</w:t>
            </w:r>
            <w:r>
              <w:rPr>
                <w:rFonts w:hint="eastAsia" w:ascii="宋体" w:hAnsi="宋体" w:cs="宋体"/>
                <w:i w:val="0"/>
                <w:iCs w:val="0"/>
                <w:color w:val="000000"/>
                <w:kern w:val="0"/>
                <w:sz w:val="18"/>
                <w:szCs w:val="18"/>
                <w:u w:val="none"/>
                <w:lang w:val="en-US" w:eastAsia="zh-CN" w:bidi="ar"/>
              </w:rPr>
              <w:t>了</w:t>
            </w:r>
            <w:r>
              <w:rPr>
                <w:rFonts w:ascii="宋体" w:hAnsi="宋体" w:eastAsia="宋体" w:cs="宋体"/>
                <w:i w:val="0"/>
                <w:iCs w:val="0"/>
                <w:color w:val="000000"/>
                <w:kern w:val="0"/>
                <w:sz w:val="18"/>
                <w:szCs w:val="18"/>
                <w:u w:val="none"/>
                <w:lang w:val="en-US" w:eastAsia="zh-CN" w:bidi="ar"/>
              </w:rPr>
              <w:t>农村教师生活条件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4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4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4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47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spacing w:line="600" w:lineRule="exact"/>
        <w:jc w:val="center"/>
        <w:outlineLvl w:val="0"/>
        <w:rPr>
          <w:rFonts w:ascii="宋体" w:hAnsi="宋体" w:cs="宋体"/>
          <w:kern w:val="0"/>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3"/>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3"/>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3"/>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5DF"/>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F227E3"/>
    <w:rsid w:val="07845167"/>
    <w:rsid w:val="07BB095C"/>
    <w:rsid w:val="087F4471"/>
    <w:rsid w:val="0A0961BB"/>
    <w:rsid w:val="0A2032A3"/>
    <w:rsid w:val="0B8A37D8"/>
    <w:rsid w:val="1077597D"/>
    <w:rsid w:val="10C055FF"/>
    <w:rsid w:val="118107EC"/>
    <w:rsid w:val="11DD6519"/>
    <w:rsid w:val="16BB723D"/>
    <w:rsid w:val="18015F3F"/>
    <w:rsid w:val="1A740639"/>
    <w:rsid w:val="1BA939AC"/>
    <w:rsid w:val="1BE8440E"/>
    <w:rsid w:val="1D155CEE"/>
    <w:rsid w:val="20F57F95"/>
    <w:rsid w:val="240371BF"/>
    <w:rsid w:val="25711CC6"/>
    <w:rsid w:val="25C741E6"/>
    <w:rsid w:val="27842671"/>
    <w:rsid w:val="29FD04D3"/>
    <w:rsid w:val="2ABE7A3E"/>
    <w:rsid w:val="2CA234A8"/>
    <w:rsid w:val="2EFA178C"/>
    <w:rsid w:val="30B46D73"/>
    <w:rsid w:val="319F7F4E"/>
    <w:rsid w:val="36ED792A"/>
    <w:rsid w:val="383D272C"/>
    <w:rsid w:val="39AE70AB"/>
    <w:rsid w:val="3B6B1911"/>
    <w:rsid w:val="3BC35686"/>
    <w:rsid w:val="3C0C0783"/>
    <w:rsid w:val="3F9F3A96"/>
    <w:rsid w:val="48BF60AB"/>
    <w:rsid w:val="493C27E9"/>
    <w:rsid w:val="496F39ED"/>
    <w:rsid w:val="49FF41D3"/>
    <w:rsid w:val="4BE068DB"/>
    <w:rsid w:val="4BF6002B"/>
    <w:rsid w:val="4D7F33D7"/>
    <w:rsid w:val="4ECE2238"/>
    <w:rsid w:val="51DB4B86"/>
    <w:rsid w:val="54762C66"/>
    <w:rsid w:val="55333C3E"/>
    <w:rsid w:val="64CA39A1"/>
    <w:rsid w:val="68CA33B7"/>
    <w:rsid w:val="68D02C86"/>
    <w:rsid w:val="69630ADE"/>
    <w:rsid w:val="6A393FFA"/>
    <w:rsid w:val="6C4A05C8"/>
    <w:rsid w:val="6C987997"/>
    <w:rsid w:val="6D3B1A89"/>
    <w:rsid w:val="71BF4EC2"/>
    <w:rsid w:val="72734D90"/>
    <w:rsid w:val="7412278C"/>
    <w:rsid w:val="787608D8"/>
    <w:rsid w:val="79E7B28D"/>
    <w:rsid w:val="7AED1BD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3"/>
                <c:pt idx="0">
                  <c:v>2021</c:v>
                </c:pt>
                <c:pt idx="1">
                  <c:v>2022</c:v>
                </c:pt>
              </c:numCache>
            </c:numRef>
          </c:cat>
          <c:val>
            <c:numRef>
              <c:f>Sheet1!$B$2:$B$5</c:f>
              <c:numCache>
                <c:formatCode>General</c:formatCode>
                <c:ptCount val="3"/>
                <c:pt idx="0">
                  <c:v>1334.59</c:v>
                </c:pt>
                <c:pt idx="1">
                  <c:v>1477.78</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1667.5</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289925102681807"/>
                  <c:y val="-0.009562260943476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3"/>
                <c:pt idx="0">
                  <c:v>2021</c:v>
                </c:pt>
                <c:pt idx="1">
                  <c:v>2022</c:v>
                </c:pt>
              </c:numCache>
            </c:numRef>
          </c:cat>
          <c:val>
            <c:numRef>
              <c:f>Sheet1!$C$2:$C$5</c:f>
              <c:numCache>
                <c:formatCode>General</c:formatCode>
                <c:ptCount val="3"/>
                <c:pt idx="0">
                  <c:v>1667.5</c:v>
                </c:pt>
                <c:pt idx="1">
                  <c:v>1477.78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3"/>
                <c:pt idx="0">
                  <c:v>2021</c:v>
                </c:pt>
                <c:pt idx="1">
                  <c:v>2022</c:v>
                </c:pt>
              </c:numCache>
            </c:numRef>
          </c:cat>
          <c:val>
            <c:numRef>
              <c:f>Sheet1!$D$2:$D$5</c:f>
            </c:numRef>
          </c:val>
        </c:ser>
        <c:dLbls>
          <c:showLegendKey val="0"/>
          <c:showVal val="1"/>
          <c:showCatName val="0"/>
          <c:showSerName val="0"/>
          <c:showPercent val="0"/>
          <c:showBubbleSize val="0"/>
        </c:dLbls>
        <c:gapWidth val="246"/>
        <c:overlap val="-28"/>
        <c:axId val="503322698"/>
        <c:axId val="975198544"/>
      </c:barChart>
      <c:catAx>
        <c:axId val="5033226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198544"/>
        <c:crosses val="autoZero"/>
        <c:auto val="1"/>
        <c:lblAlgn val="ctr"/>
        <c:lblOffset val="100"/>
        <c:noMultiLvlLbl val="0"/>
      </c:catAx>
      <c:valAx>
        <c:axId val="97519854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3226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收入决算结构表</a:t>
            </a:r>
          </a:p>
        </c:rich>
      </c:tx>
      <c:layout/>
      <c:overlay val="0"/>
      <c:spPr>
        <a:noFill/>
        <a:ln>
          <a:noFill/>
        </a:ln>
        <a:effectLst/>
      </c:spPr>
    </c:title>
    <c:autoTitleDeleted val="0"/>
    <c:plotArea>
      <c:layout>
        <c:manualLayout>
          <c:layoutTarget val="inner"/>
          <c:xMode val="edge"/>
          <c:yMode val="edge"/>
          <c:x val="0.26465889612255"/>
          <c:y val="0.211675094816688"/>
          <c:w val="0.400959024181846"/>
          <c:h val="0.669068338249754"/>
        </c:manualLayout>
      </c:layout>
      <c:pieChart>
        <c:varyColors val="1"/>
        <c:ser>
          <c:idx val="0"/>
          <c:order val="0"/>
          <c:tx>
            <c:strRef>
              <c:f>Sheet1!$B$1</c:f>
              <c:strCache>
                <c:ptCount val="1"/>
                <c:pt idx="0">
                  <c:v>收入决算结构表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1476.58, </a:t>
                    </a:r>
                    <a:r>
                      <a:rPr lang="en-US" altLang="zh-CN"/>
                      <a:t>99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1.2, </a:t>
                    </a:r>
                    <a:r>
                      <a:rPr lang="en-US" altLang="zh-CN"/>
                      <a:t>1</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1476.58</c:v>
                </c:pt>
                <c:pt idx="1">
                  <c:v>1.2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t"/>
      <c:layout>
        <c:manualLayout>
          <c:xMode val="edge"/>
          <c:yMode val="edge"/>
          <c:x val="0.755375694612225"/>
          <c:y val="0.300042498937527"/>
          <c:w val="0.217443827011355"/>
          <c:h val="0.451551211219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1270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支出决算结构图</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1431.28, 9</a:t>
                    </a:r>
                    <a:r>
                      <a:rPr lang="en-US" altLang="zh-CN"/>
                      <a:t>6.8</a:t>
                    </a:r>
                    <a:r>
                      <a:t>%</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46.5, 3</a:t>
                    </a:r>
                    <a:r>
                      <a:rPr lang="en-US" altLang="zh-CN"/>
                      <a:t>.2</a:t>
                    </a:r>
                    <a:r>
                      <a:t>%</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1431.28</c:v>
                </c:pt>
                <c:pt idx="1">
                  <c:v>46.5</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796086011113796"/>
          <c:y val="0.414789630259244"/>
          <c:w val="0.173109446726262"/>
          <c:h val="0.17679558011049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1334.59</c:v>
                </c:pt>
                <c:pt idx="1">
                  <c:v>1477.78</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1667.5</c:v>
                </c:pt>
                <c:pt idx="1">
                  <c:v>1477.78</c:v>
                </c:pt>
              </c:numCache>
            </c:numRef>
          </c:val>
        </c:ser>
        <c:dLbls>
          <c:showLegendKey val="0"/>
          <c:showVal val="1"/>
          <c:showCatName val="0"/>
          <c:showSerName val="0"/>
          <c:showPercent val="0"/>
          <c:showBubbleSize val="0"/>
        </c:dLbls>
        <c:gapWidth val="246"/>
        <c:overlap val="-28"/>
        <c:axId val="947868365"/>
        <c:axId val="802593266"/>
      </c:barChart>
      <c:catAx>
        <c:axId val="9478683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2593266"/>
        <c:crosses val="autoZero"/>
        <c:auto val="1"/>
        <c:lblAlgn val="ctr"/>
        <c:lblOffset val="100"/>
        <c:noMultiLvlLbl val="0"/>
      </c:catAx>
      <c:valAx>
        <c:axId val="80259326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8683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1319.59</c:v>
                </c:pt>
                <c:pt idx="1">
                  <c:v>1476.58</c:v>
                </c:pt>
              </c:numCache>
            </c:numRef>
          </c:val>
        </c:ser>
        <c:dLbls>
          <c:showLegendKey val="0"/>
          <c:showVal val="1"/>
          <c:showCatName val="0"/>
          <c:showSerName val="0"/>
          <c:showPercent val="0"/>
          <c:showBubbleSize val="0"/>
        </c:dLbls>
        <c:gapWidth val="246"/>
        <c:overlap val="-28"/>
        <c:axId val="41781508"/>
        <c:axId val="367360366"/>
      </c:barChart>
      <c:catAx>
        <c:axId val="417815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360366"/>
        <c:crosses val="autoZero"/>
        <c:auto val="1"/>
        <c:lblAlgn val="ctr"/>
        <c:lblOffset val="100"/>
        <c:noMultiLvlLbl val="0"/>
      </c:catAx>
      <c:valAx>
        <c:axId val="36736036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815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0504908835905"/>
          <c:y val="0.198080074923905"/>
          <c:w val="0.966339410939691"/>
          <c:h val="0.613439475532662"/>
        </c:manualLayout>
      </c:layout>
      <c:pie3DChart>
        <c:varyColors val="1"/>
        <c:ser>
          <c:idx val="0"/>
          <c:order val="0"/>
          <c:tx>
            <c:strRef>
              <c:f>Sheet1!$B$1</c:f>
              <c:strCache>
                <c:ptCount val="1"/>
                <c:pt idx="0">
                  <c:v>一般公共预算财政拨款支出结构决算结构图</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dLbl>
              <c:idx val="1"/>
              <c:layout>
                <c:manualLayout>
                  <c:x val="0.01338773428535"/>
                  <c:y val="-0.007024116132053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338773428535"/>
                  <c:y val="-0.007024116132053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10378681626928"/>
                  <c:y val="-0.010536174198080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1250.14</c:v>
                </c:pt>
                <c:pt idx="1">
                  <c:v>104.37</c:v>
                </c:pt>
                <c:pt idx="2">
                  <c:v>48.83</c:v>
                </c:pt>
                <c:pt idx="3">
                  <c:v>73.24</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755323218156318"/>
          <c:y val="0.256848513228752"/>
          <c:w val="0.233329083258957"/>
          <c:h val="0.5656754858346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87811565304088"/>
          <c:y val="0.326586706646677"/>
          <c:w val="0.293494516450648"/>
          <c:h val="0.5227386306846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14692</Words>
  <Characters>17419</Characters>
  <Lines>5</Lines>
  <Paragraphs>11</Paragraphs>
  <TotalTime>25</TotalTime>
  <ScaleCrop>false</ScaleCrop>
  <LinksUpToDate>false</LinksUpToDate>
  <CharactersWithSpaces>17462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2023-12-22T07:39:00Z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25BEF59E7E854ECD87E4ACB505EA492A_13</vt:lpwstr>
  </property>
</Properties>
</file>