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9"/>
        <w:rPr>
          <w:rFonts w:ascii="方正小标宋简体" w:hAnsi="宋体" w:eastAsia="方正小标宋简体"/>
          <w:szCs w:val="21"/>
        </w:rPr>
      </w:pPr>
      <w:bookmarkStart w:id="0" w:name="_Toc15306267"/>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425"/>
      <w:bookmarkStart w:id="2" w:name="_Toc15377193"/>
      <w:bookmarkStart w:id="3" w:name="_Toc15378441"/>
      <w:bookmarkStart w:id="4" w:name="_Toc5315"/>
      <w:bookmarkStart w:id="5" w:name="_Toc15396597"/>
      <w:bookmarkStart w:id="6" w:name="_Toc15396475"/>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bookmarkEnd w:id="6"/>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5378442"/>
      <w:bookmarkStart w:id="8" w:name="_Toc15377426"/>
      <w:bookmarkStart w:id="9" w:name="_Toc15377194"/>
      <w:bookmarkStart w:id="10" w:name="_Toc7763"/>
      <w:bookmarkStart w:id="11" w:name="_Toc15396598"/>
      <w:bookmarkStart w:id="12" w:name="_Toc15396476"/>
      <w:r>
        <w:rPr>
          <w:rFonts w:hint="eastAsia" w:ascii="方正小标宋简体" w:hAnsi="方正小标宋简体" w:eastAsia="方正小标宋简体" w:cs="方正小标宋简体"/>
          <w:sz w:val="72"/>
          <w:szCs w:val="72"/>
        </w:rPr>
        <w:t>剑阁县</w:t>
      </w:r>
      <w:bookmarkEnd w:id="0"/>
      <w:bookmarkStart w:id="13" w:name="_Toc15306268"/>
      <w:r>
        <w:rPr>
          <w:rFonts w:hint="eastAsia" w:ascii="方正小标宋简体" w:hAnsi="方正小标宋简体" w:eastAsia="方正小标宋简体" w:cs="方正小标宋简体"/>
          <w:sz w:val="72"/>
          <w:szCs w:val="72"/>
          <w:lang w:eastAsia="zh-CN"/>
        </w:rPr>
        <w:t>以工代赈办公室</w:t>
      </w:r>
      <w:r>
        <w:rPr>
          <w:rFonts w:hint="eastAsia" w:ascii="方正小标宋简体" w:hAnsi="方正小标宋简体" w:eastAsia="方正小标宋简体" w:cs="方正小标宋简体"/>
          <w:sz w:val="72"/>
          <w:szCs w:val="72"/>
          <w:lang w:val="en-US" w:eastAsia="zh-CN"/>
        </w:rPr>
        <w:t xml:space="preserve">    </w:t>
      </w:r>
      <w:r>
        <w:rPr>
          <w:rFonts w:hint="eastAsia" w:ascii="方正小标宋简体" w:hAnsi="方正小标宋简体" w:eastAsia="方正小标宋简体" w:cs="方正小标宋简体"/>
          <w:sz w:val="72"/>
          <w:szCs w:val="72"/>
        </w:rPr>
        <w:t>单位决算</w:t>
      </w:r>
      <w:bookmarkEnd w:id="7"/>
      <w:bookmarkEnd w:id="8"/>
      <w:bookmarkEnd w:id="9"/>
      <w:bookmarkEnd w:id="10"/>
      <w:bookmarkEnd w:id="11"/>
      <w:bookmarkEnd w:id="12"/>
      <w:bookmarkEnd w:id="13"/>
    </w:p>
    <w:p>
      <w:pPr>
        <w:widowControl/>
        <w:jc w:val="center"/>
        <w:rPr>
          <w:rFonts w:ascii="黑体" w:hAnsi="黑体" w:eastAsia="黑体" w:cstheme="minorBidi"/>
          <w:sz w:val="28"/>
          <w:szCs w:val="28"/>
        </w:rPr>
      </w:pPr>
      <w:r>
        <w:rPr>
          <w:rFonts w:ascii="方正小标宋简体" w:hAnsi="宋体" w:eastAsia="方正小标宋简体"/>
          <w:sz w:val="36"/>
          <w:szCs w:val="36"/>
        </w:rPr>
        <w:br w:type="page"/>
      </w:r>
      <w:r>
        <w:rPr>
          <w:rFonts w:hint="eastAsia" w:ascii="黑体" w:hAnsi="黑体" w:eastAsia="黑体"/>
          <w:sz w:val="48"/>
          <w:szCs w:val="48"/>
        </w:rPr>
        <w:t>目</w:t>
      </w:r>
      <w:r>
        <w:rPr>
          <w:rFonts w:hint="eastAsia" w:ascii="黑体" w:hAnsi="黑体" w:eastAsia="黑体"/>
          <w:sz w:val="48"/>
          <w:szCs w:val="48"/>
          <w:lang w:val="en-US" w:eastAsia="zh-CN"/>
        </w:rPr>
        <w:t xml:space="preserve"> </w:t>
      </w:r>
      <w:r>
        <w:rPr>
          <w:rFonts w:hint="eastAsia" w:ascii="黑体" w:hAnsi="黑体" w:eastAsia="黑体"/>
          <w:sz w:val="48"/>
          <w:szCs w:val="48"/>
        </w:rPr>
        <w:t>录</w:t>
      </w:r>
    </w:p>
    <w:p>
      <w:pPr>
        <w:pStyle w:val="12"/>
      </w:pPr>
      <w:r>
        <w:rPr>
          <w:rFonts w:hint="eastAsia"/>
        </w:rPr>
        <w:t>公开时间：2023年</w:t>
      </w:r>
      <w:r>
        <w:rPr>
          <w:rFonts w:hint="eastAsia"/>
          <w:lang w:val="en-US" w:eastAsia="zh-CN"/>
        </w:rPr>
        <w:t>10</w:t>
      </w:r>
      <w:r>
        <w:rPr>
          <w:rFonts w:hint="eastAsia"/>
        </w:rPr>
        <w:t>月</w:t>
      </w:r>
      <w:r>
        <w:rPr>
          <w:rFonts w:hint="eastAsia"/>
          <w:lang w:val="en-US" w:eastAsia="zh-CN"/>
        </w:rPr>
        <w:t>31</w:t>
      </w:r>
      <w:r>
        <w:rPr>
          <w:rFonts w:hint="eastAsia"/>
        </w:rPr>
        <w:t>日</w:t>
      </w:r>
    </w:p>
    <w:p/>
    <w:sdt>
      <w:sdtPr>
        <w:rPr>
          <w:rFonts w:ascii="宋体" w:hAnsi="宋体" w:eastAsia="宋体" w:cs="Times New Roman"/>
          <w:kern w:val="2"/>
          <w:sz w:val="21"/>
          <w:szCs w:val="24"/>
          <w:lang w:val="en-US" w:eastAsia="zh-CN" w:bidi="ar-SA"/>
        </w:rPr>
        <w:id w:val="147466987"/>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14" w:name="_Toc15377196"/>
          <w:bookmarkStart w:id="15" w:name="_Toc15396599"/>
        </w:p>
        <w:p>
          <w:pPr>
            <w:pStyle w:val="40"/>
            <w:tabs>
              <w:tab w:val="right" w:leader="dot" w:pos="8306"/>
            </w:tabs>
            <w:rPr>
              <w:b/>
            </w:rPr>
          </w:pPr>
          <w:r>
            <w:fldChar w:fldCharType="begin"/>
          </w:r>
          <w:r>
            <w:instrText xml:space="preserve">TOC \o "1-2" \h \u </w:instrText>
          </w:r>
          <w:r>
            <w:fldChar w:fldCharType="separate"/>
          </w:r>
        </w:p>
        <w:p>
          <w:pPr>
            <w:pStyle w:val="40"/>
            <w:tabs>
              <w:tab w:val="right" w:leader="dot" w:pos="8306"/>
            </w:tabs>
            <w:rPr>
              <w:b/>
            </w:rPr>
          </w:pPr>
          <w:r>
            <w:rPr>
              <w:b/>
            </w:rPr>
            <w:fldChar w:fldCharType="begin"/>
          </w:r>
          <w:r>
            <w:rPr>
              <w:b/>
            </w:rPr>
            <w:instrText xml:space="preserve"> HYPERLINK \l _Toc6958 </w:instrText>
          </w:r>
          <w:r>
            <w:rPr>
              <w:b/>
            </w:rPr>
            <w:fldChar w:fldCharType="separate"/>
          </w:r>
          <w:r>
            <w:rPr>
              <w:rFonts w:hint="eastAsia" w:ascii="黑体" w:hAnsi="黑体" w:eastAsia="黑体"/>
              <w:b/>
            </w:rPr>
            <w:t>第一部分 单位</w:t>
          </w:r>
          <w:r>
            <w:rPr>
              <w:rFonts w:hint="eastAsia" w:ascii="黑体" w:hAnsi="黑体" w:eastAsia="黑体"/>
              <w:b/>
              <w:bCs w:val="0"/>
            </w:rPr>
            <w:t>概况</w:t>
          </w:r>
          <w:r>
            <w:rPr>
              <w:b/>
            </w:rPr>
            <w:tab/>
          </w:r>
          <w:r>
            <w:rPr>
              <w:b/>
            </w:rPr>
            <w:fldChar w:fldCharType="begin"/>
          </w:r>
          <w:r>
            <w:rPr>
              <w:b/>
            </w:rPr>
            <w:instrText xml:space="preserve"> PAGEREF _Toc6958 \h </w:instrText>
          </w:r>
          <w:r>
            <w:rPr>
              <w:b/>
            </w:rPr>
            <w:fldChar w:fldCharType="separate"/>
          </w:r>
          <w:r>
            <w:rPr>
              <w:b/>
            </w:rPr>
            <w:t>3</w:t>
          </w:r>
          <w:r>
            <w:rPr>
              <w:b/>
            </w:rPr>
            <w:fldChar w:fldCharType="end"/>
          </w:r>
          <w:r>
            <w:rPr>
              <w:b/>
            </w:rPr>
            <w:fldChar w:fldCharType="end"/>
          </w:r>
        </w:p>
        <w:p>
          <w:pPr>
            <w:pStyle w:val="41"/>
            <w:tabs>
              <w:tab w:val="right" w:leader="dot" w:pos="8306"/>
            </w:tabs>
          </w:pPr>
          <w:r>
            <w:fldChar w:fldCharType="begin"/>
          </w:r>
          <w:r>
            <w:instrText xml:space="preserve"> HYPERLINK \l _Toc20075 </w:instrText>
          </w:r>
          <w:r>
            <w:fldChar w:fldCharType="separate"/>
          </w:r>
          <w:r>
            <w:rPr>
              <w:rFonts w:hint="eastAsia" w:ascii="黑体" w:hAnsi="黑体" w:eastAsia="黑体"/>
              <w:bCs w:val="0"/>
            </w:rPr>
            <w:t>一、 主要职责</w:t>
          </w:r>
          <w:r>
            <w:tab/>
          </w:r>
          <w:r>
            <w:fldChar w:fldCharType="begin"/>
          </w:r>
          <w:r>
            <w:instrText xml:space="preserve"> PAGEREF _Toc20075 \h </w:instrText>
          </w:r>
          <w:r>
            <w:fldChar w:fldCharType="separate"/>
          </w:r>
          <w:r>
            <w:t>3</w:t>
          </w:r>
          <w:r>
            <w:fldChar w:fldCharType="end"/>
          </w:r>
          <w:r>
            <w:fldChar w:fldCharType="end"/>
          </w:r>
        </w:p>
        <w:p>
          <w:pPr>
            <w:pStyle w:val="41"/>
            <w:tabs>
              <w:tab w:val="right" w:leader="dot" w:pos="8306"/>
            </w:tabs>
          </w:pPr>
          <w:r>
            <w:fldChar w:fldCharType="begin"/>
          </w:r>
          <w:r>
            <w:instrText xml:space="preserve"> HYPERLINK \l _Toc5110 </w:instrText>
          </w:r>
          <w:r>
            <w:fldChar w:fldCharType="separate"/>
          </w:r>
          <w:r>
            <w:rPr>
              <w:rFonts w:hint="eastAsia" w:ascii="黑体" w:hAnsi="黑体" w:eastAsia="黑体"/>
            </w:rPr>
            <w:t>二、 机构设置</w:t>
          </w:r>
          <w:r>
            <w:tab/>
          </w:r>
          <w:r>
            <w:fldChar w:fldCharType="begin"/>
          </w:r>
          <w:r>
            <w:instrText xml:space="preserve"> PAGEREF _Toc5110 \h </w:instrText>
          </w:r>
          <w:r>
            <w:fldChar w:fldCharType="separate"/>
          </w:r>
          <w:r>
            <w:t>3</w:t>
          </w:r>
          <w:r>
            <w:fldChar w:fldCharType="end"/>
          </w:r>
          <w:r>
            <w:fldChar w:fldCharType="end"/>
          </w:r>
        </w:p>
        <w:p>
          <w:pPr>
            <w:pStyle w:val="40"/>
            <w:tabs>
              <w:tab w:val="right" w:leader="dot" w:pos="8306"/>
            </w:tabs>
            <w:rPr>
              <w:b/>
            </w:rPr>
          </w:pPr>
          <w:r>
            <w:rPr>
              <w:b/>
            </w:rPr>
            <w:fldChar w:fldCharType="begin"/>
          </w:r>
          <w:r>
            <w:rPr>
              <w:b/>
            </w:rPr>
            <w:instrText xml:space="preserve"> HYPERLINK \l _Toc20353 </w:instrText>
          </w:r>
          <w:r>
            <w:rPr>
              <w:b/>
            </w:rPr>
            <w:fldChar w:fldCharType="separate"/>
          </w:r>
          <w:r>
            <w:rPr>
              <w:rFonts w:hint="eastAsia" w:ascii="黑体" w:hAnsi="黑体" w:eastAsia="黑体"/>
              <w:b/>
            </w:rPr>
            <w:t>第二部分 2022年度</w:t>
          </w:r>
          <w:r>
            <w:rPr>
              <w:rFonts w:hint="eastAsia" w:ascii="黑体" w:hAnsi="黑体" w:eastAsia="黑体"/>
              <w:b/>
              <w:bCs/>
            </w:rPr>
            <w:t>单位决算情况说明</w:t>
          </w:r>
          <w:r>
            <w:rPr>
              <w:b/>
            </w:rPr>
            <w:tab/>
          </w:r>
          <w:r>
            <w:rPr>
              <w:b/>
            </w:rPr>
            <w:fldChar w:fldCharType="begin"/>
          </w:r>
          <w:r>
            <w:rPr>
              <w:b/>
            </w:rPr>
            <w:instrText xml:space="preserve"> PAGEREF _Toc20353 \h </w:instrText>
          </w:r>
          <w:r>
            <w:rPr>
              <w:b/>
            </w:rPr>
            <w:fldChar w:fldCharType="separate"/>
          </w:r>
          <w:r>
            <w:rPr>
              <w:b/>
            </w:rPr>
            <w:t>6</w:t>
          </w:r>
          <w:r>
            <w:rPr>
              <w:b/>
            </w:rPr>
            <w:fldChar w:fldCharType="end"/>
          </w:r>
          <w:r>
            <w:rPr>
              <w:b/>
            </w:rPr>
            <w:fldChar w:fldCharType="end"/>
          </w:r>
        </w:p>
        <w:p>
          <w:pPr>
            <w:pStyle w:val="41"/>
            <w:tabs>
              <w:tab w:val="right" w:leader="dot" w:pos="8306"/>
            </w:tabs>
          </w:pPr>
          <w:r>
            <w:fldChar w:fldCharType="begin"/>
          </w:r>
          <w:r>
            <w:instrText xml:space="preserve"> HYPERLINK \l _Toc14991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_Toc14991 \h </w:instrText>
          </w:r>
          <w:r>
            <w:fldChar w:fldCharType="separate"/>
          </w:r>
          <w:r>
            <w:t>6</w:t>
          </w:r>
          <w:r>
            <w:fldChar w:fldCharType="end"/>
          </w:r>
          <w:r>
            <w:fldChar w:fldCharType="end"/>
          </w:r>
        </w:p>
        <w:p>
          <w:pPr>
            <w:pStyle w:val="41"/>
            <w:tabs>
              <w:tab w:val="right" w:leader="dot" w:pos="8306"/>
            </w:tabs>
          </w:pPr>
          <w:r>
            <w:fldChar w:fldCharType="begin"/>
          </w:r>
          <w:r>
            <w:instrText xml:space="preserve"> HYPERLINK \l _Toc6597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_Toc6597 \h </w:instrText>
          </w:r>
          <w:r>
            <w:fldChar w:fldCharType="separate"/>
          </w:r>
          <w:r>
            <w:t>6</w:t>
          </w:r>
          <w:r>
            <w:fldChar w:fldCharType="end"/>
          </w:r>
          <w:r>
            <w:fldChar w:fldCharType="end"/>
          </w:r>
        </w:p>
        <w:p>
          <w:pPr>
            <w:pStyle w:val="41"/>
            <w:tabs>
              <w:tab w:val="right" w:leader="dot" w:pos="8306"/>
            </w:tabs>
          </w:pPr>
          <w:r>
            <w:fldChar w:fldCharType="begin"/>
          </w:r>
          <w:r>
            <w:instrText xml:space="preserve"> HYPERLINK \l _Toc23866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_Toc23866 \h </w:instrText>
          </w:r>
          <w:r>
            <w:fldChar w:fldCharType="separate"/>
          </w:r>
          <w:r>
            <w:t>7</w:t>
          </w:r>
          <w:r>
            <w:fldChar w:fldCharType="end"/>
          </w:r>
          <w:r>
            <w:fldChar w:fldCharType="end"/>
          </w:r>
        </w:p>
        <w:p>
          <w:pPr>
            <w:pStyle w:val="41"/>
            <w:tabs>
              <w:tab w:val="right" w:leader="dot" w:pos="8306"/>
            </w:tabs>
          </w:pPr>
          <w:r>
            <w:fldChar w:fldCharType="begin"/>
          </w:r>
          <w:r>
            <w:instrText xml:space="preserve"> HYPERLINK \l _Toc4692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_Toc4692 \h </w:instrText>
          </w:r>
          <w:r>
            <w:fldChar w:fldCharType="separate"/>
          </w:r>
          <w:r>
            <w:t>7</w:t>
          </w:r>
          <w:r>
            <w:fldChar w:fldCharType="end"/>
          </w:r>
          <w:r>
            <w:fldChar w:fldCharType="end"/>
          </w:r>
        </w:p>
        <w:p>
          <w:pPr>
            <w:pStyle w:val="41"/>
            <w:tabs>
              <w:tab w:val="right" w:leader="dot" w:pos="8306"/>
            </w:tabs>
          </w:pPr>
          <w:r>
            <w:fldChar w:fldCharType="begin"/>
          </w:r>
          <w:r>
            <w:instrText xml:space="preserve"> HYPERLINK \l _Toc13648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_Toc13648 \h </w:instrText>
          </w:r>
          <w:r>
            <w:fldChar w:fldCharType="separate"/>
          </w:r>
          <w:r>
            <w:t>8</w:t>
          </w:r>
          <w:r>
            <w:fldChar w:fldCharType="end"/>
          </w:r>
          <w:r>
            <w:fldChar w:fldCharType="end"/>
          </w:r>
        </w:p>
        <w:p>
          <w:pPr>
            <w:pStyle w:val="41"/>
            <w:tabs>
              <w:tab w:val="right" w:leader="dot" w:pos="8306"/>
            </w:tabs>
          </w:pPr>
          <w:r>
            <w:fldChar w:fldCharType="begin"/>
          </w:r>
          <w:r>
            <w:instrText xml:space="preserve"> HYPERLINK \l _Toc12726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_Toc12726 \h </w:instrText>
          </w:r>
          <w:r>
            <w:fldChar w:fldCharType="separate"/>
          </w:r>
          <w:r>
            <w:t>10</w:t>
          </w:r>
          <w:r>
            <w:fldChar w:fldCharType="end"/>
          </w:r>
          <w:r>
            <w:fldChar w:fldCharType="end"/>
          </w:r>
        </w:p>
        <w:p>
          <w:pPr>
            <w:pStyle w:val="41"/>
            <w:tabs>
              <w:tab w:val="right" w:leader="dot" w:pos="8306"/>
            </w:tabs>
          </w:pPr>
          <w:r>
            <w:fldChar w:fldCharType="begin"/>
          </w:r>
          <w:r>
            <w:instrText xml:space="preserve"> HYPERLINK \l _Toc21653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_Toc21653 \h </w:instrText>
          </w:r>
          <w:r>
            <w:fldChar w:fldCharType="separate"/>
          </w:r>
          <w:r>
            <w:t>11</w:t>
          </w:r>
          <w:r>
            <w:fldChar w:fldCharType="end"/>
          </w:r>
          <w:r>
            <w:fldChar w:fldCharType="end"/>
          </w:r>
        </w:p>
        <w:p>
          <w:pPr>
            <w:pStyle w:val="41"/>
            <w:tabs>
              <w:tab w:val="right" w:leader="dot" w:pos="8306"/>
            </w:tabs>
          </w:pPr>
          <w:r>
            <w:fldChar w:fldCharType="begin"/>
          </w:r>
          <w:r>
            <w:instrText xml:space="preserve"> HYPERLINK \l _Toc15342 </w:instrText>
          </w:r>
          <w:r>
            <w:fldChar w:fldCharType="separate"/>
          </w:r>
          <w:r>
            <w:rPr>
              <w:rFonts w:hint="eastAsia" w:ascii="黑体" w:hAnsi="黑体" w:eastAsia="黑体" w:cs="黑体"/>
              <w:bCs w:val="0"/>
              <w:kern w:val="0"/>
              <w:szCs w:val="32"/>
              <w:lang w:val="en-US" w:eastAsia="zh-CN" w:bidi="ar-SA"/>
            </w:rPr>
            <w:t>八、政府性基金预算支出决算情况说明</w:t>
          </w:r>
          <w:r>
            <w:tab/>
          </w:r>
          <w:r>
            <w:fldChar w:fldCharType="begin"/>
          </w:r>
          <w:r>
            <w:instrText xml:space="preserve"> PAGEREF _Toc15342 \h </w:instrText>
          </w:r>
          <w:r>
            <w:fldChar w:fldCharType="separate"/>
          </w:r>
          <w:r>
            <w:t>12</w:t>
          </w:r>
          <w:r>
            <w:fldChar w:fldCharType="end"/>
          </w:r>
          <w:r>
            <w:fldChar w:fldCharType="end"/>
          </w:r>
        </w:p>
        <w:p>
          <w:pPr>
            <w:pStyle w:val="41"/>
            <w:tabs>
              <w:tab w:val="right" w:leader="dot" w:pos="8306"/>
            </w:tabs>
          </w:pPr>
          <w:r>
            <w:fldChar w:fldCharType="begin"/>
          </w:r>
          <w:r>
            <w:instrText xml:space="preserve"> HYPERLINK \l _Toc24819 </w:instrText>
          </w:r>
          <w:r>
            <w:fldChar w:fldCharType="separate"/>
          </w:r>
          <w:r>
            <w:rPr>
              <w:rFonts w:hint="eastAsia" w:ascii="黑体" w:hAnsi="黑体" w:eastAsia="黑体" w:cs="黑体"/>
              <w:bCs w:val="0"/>
              <w:kern w:val="0"/>
              <w:szCs w:val="32"/>
              <w:lang w:val="en-US" w:eastAsia="zh-CN" w:bidi="ar-SA"/>
            </w:rPr>
            <w:t>九、 国有资本经营预算支出决算情况说明</w:t>
          </w:r>
          <w:r>
            <w:tab/>
          </w:r>
          <w:r>
            <w:fldChar w:fldCharType="begin"/>
          </w:r>
          <w:r>
            <w:instrText xml:space="preserve"> PAGEREF _Toc24819 \h </w:instrText>
          </w:r>
          <w:r>
            <w:fldChar w:fldCharType="separate"/>
          </w:r>
          <w:r>
            <w:t>13</w:t>
          </w:r>
          <w:r>
            <w:fldChar w:fldCharType="end"/>
          </w:r>
          <w:r>
            <w:fldChar w:fldCharType="end"/>
          </w:r>
        </w:p>
        <w:p>
          <w:pPr>
            <w:pStyle w:val="41"/>
            <w:tabs>
              <w:tab w:val="right" w:leader="dot" w:pos="8306"/>
            </w:tabs>
          </w:pPr>
          <w:r>
            <w:fldChar w:fldCharType="begin"/>
          </w:r>
          <w:r>
            <w:instrText xml:space="preserve"> HYPERLINK \l _Toc16362 </w:instrText>
          </w:r>
          <w:r>
            <w:fldChar w:fldCharType="separate"/>
          </w:r>
          <w:r>
            <w:rPr>
              <w:rFonts w:hint="eastAsia" w:ascii="黑体" w:hAnsi="黑体" w:eastAsia="黑体"/>
            </w:rPr>
            <w:t>十、 其他重要事项的情况说明</w:t>
          </w:r>
          <w:r>
            <w:tab/>
          </w:r>
          <w:r>
            <w:fldChar w:fldCharType="begin"/>
          </w:r>
          <w:r>
            <w:instrText xml:space="preserve"> PAGEREF _Toc16362 \h </w:instrText>
          </w:r>
          <w:r>
            <w:fldChar w:fldCharType="separate"/>
          </w:r>
          <w:r>
            <w:t>13</w:t>
          </w:r>
          <w:r>
            <w:fldChar w:fldCharType="end"/>
          </w:r>
          <w:r>
            <w:fldChar w:fldCharType="end"/>
          </w:r>
        </w:p>
        <w:p>
          <w:pPr>
            <w:pStyle w:val="40"/>
            <w:tabs>
              <w:tab w:val="right" w:leader="dot" w:pos="8306"/>
            </w:tabs>
          </w:pPr>
          <w:r>
            <w:rPr>
              <w:b/>
            </w:rPr>
            <w:fldChar w:fldCharType="begin"/>
          </w:r>
          <w:r>
            <w:rPr>
              <w:b/>
            </w:rPr>
            <w:instrText xml:space="preserve"> HYPERLINK \l _Toc23393 </w:instrText>
          </w:r>
          <w:r>
            <w:rPr>
              <w:b/>
            </w:rPr>
            <w:fldChar w:fldCharType="separate"/>
          </w:r>
          <w:r>
            <w:rPr>
              <w:rFonts w:hint="eastAsia" w:ascii="黑体" w:hAnsi="黑体" w:eastAsia="黑体" w:cs="黑体"/>
              <w:b/>
              <w:szCs w:val="44"/>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_Toc23393 \h </w:instrText>
          </w:r>
          <w:r>
            <w:rPr>
              <w:b/>
            </w:rPr>
            <w:fldChar w:fldCharType="separate"/>
          </w:r>
          <w:r>
            <w:rPr>
              <w:b/>
            </w:rPr>
            <w:t>14</w:t>
          </w:r>
          <w:r>
            <w:rPr>
              <w:b/>
            </w:rPr>
            <w:fldChar w:fldCharType="end"/>
          </w:r>
          <w:r>
            <w:rPr>
              <w:b/>
            </w:rPr>
            <w:fldChar w:fldCharType="end"/>
          </w:r>
        </w:p>
        <w:p>
          <w:pPr>
            <w:pStyle w:val="40"/>
            <w:tabs>
              <w:tab w:val="right" w:leader="dot" w:pos="8306"/>
            </w:tabs>
            <w:rPr>
              <w:b/>
            </w:rPr>
          </w:pPr>
          <w:r>
            <w:rPr>
              <w:b/>
            </w:rPr>
            <w:fldChar w:fldCharType="begin"/>
          </w:r>
          <w:r>
            <w:rPr>
              <w:b/>
            </w:rPr>
            <w:instrText xml:space="preserve"> HYPERLINK \l _Toc18484 </w:instrText>
          </w:r>
          <w:r>
            <w:rPr>
              <w:b/>
            </w:rPr>
            <w:fldChar w:fldCharType="separate"/>
          </w:r>
          <w:r>
            <w:rPr>
              <w:rFonts w:hint="eastAsia" w:ascii="黑体" w:hAnsi="黑体" w:eastAsia="黑体"/>
              <w:b/>
              <w:szCs w:val="44"/>
              <w:lang w:eastAsia="zh-CN"/>
            </w:rPr>
            <w:t>第四部分</w:t>
          </w:r>
          <w:r>
            <w:rPr>
              <w:rFonts w:hint="eastAsia" w:ascii="黑体" w:hAnsi="黑体" w:eastAsia="黑体"/>
              <w:b/>
              <w:szCs w:val="44"/>
              <w:lang w:val="en-US" w:eastAsia="zh-CN"/>
            </w:rPr>
            <w:t xml:space="preserve"> 附件</w:t>
          </w:r>
          <w:r>
            <w:rPr>
              <w:b/>
            </w:rPr>
            <w:tab/>
          </w:r>
          <w:r>
            <w:rPr>
              <w:b/>
            </w:rPr>
            <w:fldChar w:fldCharType="begin"/>
          </w:r>
          <w:r>
            <w:rPr>
              <w:b/>
            </w:rPr>
            <w:instrText xml:space="preserve"> PAGEREF _Toc18484 \h </w:instrText>
          </w:r>
          <w:r>
            <w:rPr>
              <w:b/>
            </w:rPr>
            <w:fldChar w:fldCharType="separate"/>
          </w:r>
          <w:r>
            <w:rPr>
              <w:b/>
            </w:rPr>
            <w:t>16</w:t>
          </w:r>
          <w:r>
            <w:rPr>
              <w:b/>
            </w:rPr>
            <w:fldChar w:fldCharType="end"/>
          </w:r>
          <w:r>
            <w:rPr>
              <w:b/>
            </w:rPr>
            <w:fldChar w:fldCharType="end"/>
          </w:r>
        </w:p>
        <w:p>
          <w:pPr>
            <w:pStyle w:val="40"/>
            <w:tabs>
              <w:tab w:val="right" w:leader="dot" w:pos="8306"/>
            </w:tabs>
            <w:rPr>
              <w:b/>
            </w:rPr>
          </w:pPr>
          <w:r>
            <w:rPr>
              <w:b/>
            </w:rPr>
            <w:fldChar w:fldCharType="begin"/>
          </w:r>
          <w:r>
            <w:rPr>
              <w:b/>
            </w:rPr>
            <w:instrText xml:space="preserve"> HYPERLINK \l _Toc16870 </w:instrText>
          </w:r>
          <w:r>
            <w:rPr>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begin"/>
          </w:r>
          <w:r>
            <w:rPr>
              <w:b/>
            </w:rPr>
            <w:instrText xml:space="preserve"> PAGEREF _Toc16870 \h </w:instrText>
          </w:r>
          <w:r>
            <w:rPr>
              <w:b/>
            </w:rPr>
            <w:fldChar w:fldCharType="separate"/>
          </w:r>
          <w:r>
            <w:rPr>
              <w:b/>
            </w:rPr>
            <w:t>22</w:t>
          </w:r>
          <w:r>
            <w:rPr>
              <w:b/>
            </w:rPr>
            <w:fldChar w:fldCharType="end"/>
          </w:r>
          <w:r>
            <w:rPr>
              <w:b/>
            </w:rPr>
            <w:fldChar w:fldCharType="end"/>
          </w:r>
        </w:p>
        <w:p>
          <w:pPr>
            <w:pStyle w:val="41"/>
            <w:tabs>
              <w:tab w:val="right" w:leader="dot" w:pos="8306"/>
            </w:tabs>
          </w:pPr>
          <w:r>
            <w:fldChar w:fldCharType="begin"/>
          </w:r>
          <w:r>
            <w:instrText xml:space="preserve"> HYPERLINK \l _Toc16496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_Toc16496 \h </w:instrText>
          </w:r>
          <w:r>
            <w:fldChar w:fldCharType="separate"/>
          </w:r>
          <w:r>
            <w:t>22</w:t>
          </w:r>
          <w:r>
            <w:fldChar w:fldCharType="end"/>
          </w:r>
          <w:r>
            <w:fldChar w:fldCharType="end"/>
          </w:r>
        </w:p>
        <w:p>
          <w:pPr>
            <w:pStyle w:val="41"/>
            <w:tabs>
              <w:tab w:val="right" w:leader="dot" w:pos="8306"/>
            </w:tabs>
          </w:pPr>
          <w:r>
            <w:fldChar w:fldCharType="begin"/>
          </w:r>
          <w:r>
            <w:instrText xml:space="preserve"> HYPERLINK \l _Toc4514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_Toc4514 \h </w:instrText>
          </w:r>
          <w:r>
            <w:fldChar w:fldCharType="separate"/>
          </w:r>
          <w:r>
            <w:t>22</w:t>
          </w:r>
          <w:r>
            <w:fldChar w:fldCharType="end"/>
          </w:r>
          <w:r>
            <w:fldChar w:fldCharType="end"/>
          </w:r>
        </w:p>
        <w:p>
          <w:pPr>
            <w:pStyle w:val="41"/>
            <w:tabs>
              <w:tab w:val="right" w:leader="dot" w:pos="8306"/>
            </w:tabs>
          </w:pPr>
          <w:r>
            <w:fldChar w:fldCharType="begin"/>
          </w:r>
          <w:r>
            <w:instrText xml:space="preserve"> HYPERLINK \l _Toc18572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_Toc18572 \h </w:instrText>
          </w:r>
          <w:r>
            <w:fldChar w:fldCharType="separate"/>
          </w:r>
          <w:r>
            <w:t>22</w:t>
          </w:r>
          <w:r>
            <w:fldChar w:fldCharType="end"/>
          </w:r>
          <w:r>
            <w:fldChar w:fldCharType="end"/>
          </w:r>
        </w:p>
        <w:p>
          <w:pPr>
            <w:pStyle w:val="41"/>
            <w:tabs>
              <w:tab w:val="right" w:leader="dot" w:pos="8306"/>
            </w:tabs>
          </w:pPr>
          <w:r>
            <w:fldChar w:fldCharType="begin"/>
          </w:r>
          <w:r>
            <w:instrText xml:space="preserve"> HYPERLINK \l _Toc12667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_Toc12667 \h </w:instrText>
          </w:r>
          <w:r>
            <w:fldChar w:fldCharType="separate"/>
          </w:r>
          <w:r>
            <w:t>22</w:t>
          </w:r>
          <w:r>
            <w:fldChar w:fldCharType="end"/>
          </w:r>
          <w:r>
            <w:fldChar w:fldCharType="end"/>
          </w:r>
        </w:p>
        <w:p>
          <w:pPr>
            <w:pStyle w:val="41"/>
            <w:tabs>
              <w:tab w:val="right" w:leader="dot" w:pos="8306"/>
            </w:tabs>
          </w:pPr>
          <w:r>
            <w:fldChar w:fldCharType="begin"/>
          </w:r>
          <w:r>
            <w:instrText xml:space="preserve"> HYPERLINK \l _Toc26139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_Toc26139 \h </w:instrText>
          </w:r>
          <w:r>
            <w:fldChar w:fldCharType="separate"/>
          </w:r>
          <w:r>
            <w:t>22</w:t>
          </w:r>
          <w:r>
            <w:fldChar w:fldCharType="end"/>
          </w:r>
          <w:r>
            <w:fldChar w:fldCharType="end"/>
          </w:r>
        </w:p>
        <w:p>
          <w:pPr>
            <w:pStyle w:val="41"/>
            <w:tabs>
              <w:tab w:val="right" w:leader="dot" w:pos="8306"/>
            </w:tabs>
          </w:pPr>
          <w:r>
            <w:fldChar w:fldCharType="begin"/>
          </w:r>
          <w:r>
            <w:instrText xml:space="preserve"> HYPERLINK \l _Toc28833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_Toc28833 \h </w:instrText>
          </w:r>
          <w:r>
            <w:fldChar w:fldCharType="separate"/>
          </w:r>
          <w:r>
            <w:t>22</w:t>
          </w:r>
          <w:r>
            <w:fldChar w:fldCharType="end"/>
          </w:r>
          <w:r>
            <w:fldChar w:fldCharType="end"/>
          </w:r>
        </w:p>
        <w:p>
          <w:pPr>
            <w:pStyle w:val="41"/>
            <w:tabs>
              <w:tab w:val="right" w:leader="dot" w:pos="8306"/>
            </w:tabs>
          </w:pPr>
          <w:r>
            <w:fldChar w:fldCharType="begin"/>
          </w:r>
          <w:r>
            <w:instrText xml:space="preserve"> HYPERLINK \l _Toc13260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_Toc13260 \h </w:instrText>
          </w:r>
          <w:r>
            <w:fldChar w:fldCharType="separate"/>
          </w:r>
          <w:r>
            <w:t>22</w:t>
          </w:r>
          <w:r>
            <w:fldChar w:fldCharType="end"/>
          </w:r>
          <w:r>
            <w:fldChar w:fldCharType="end"/>
          </w:r>
        </w:p>
        <w:p>
          <w:pPr>
            <w:pStyle w:val="41"/>
            <w:tabs>
              <w:tab w:val="right" w:leader="dot" w:pos="8306"/>
            </w:tabs>
          </w:pPr>
          <w:r>
            <w:fldChar w:fldCharType="begin"/>
          </w:r>
          <w:r>
            <w:instrText xml:space="preserve"> HYPERLINK \l _Toc28227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_Toc28227 \h </w:instrText>
          </w:r>
          <w:r>
            <w:fldChar w:fldCharType="separate"/>
          </w:r>
          <w:r>
            <w:t>22</w:t>
          </w:r>
          <w:r>
            <w:fldChar w:fldCharType="end"/>
          </w:r>
          <w:r>
            <w:fldChar w:fldCharType="end"/>
          </w:r>
        </w:p>
        <w:p>
          <w:pPr>
            <w:pStyle w:val="41"/>
            <w:tabs>
              <w:tab w:val="right" w:leader="dot" w:pos="8306"/>
            </w:tabs>
          </w:pPr>
          <w:r>
            <w:fldChar w:fldCharType="begin"/>
          </w:r>
          <w:r>
            <w:instrText xml:space="preserve"> HYPERLINK \l _Toc28262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_Toc28262 \h </w:instrText>
          </w:r>
          <w:r>
            <w:fldChar w:fldCharType="separate"/>
          </w:r>
          <w:r>
            <w:t>22</w:t>
          </w:r>
          <w:r>
            <w:fldChar w:fldCharType="end"/>
          </w:r>
          <w:r>
            <w:fldChar w:fldCharType="end"/>
          </w:r>
        </w:p>
        <w:p>
          <w:pPr>
            <w:pStyle w:val="41"/>
            <w:tabs>
              <w:tab w:val="right" w:leader="dot" w:pos="8306"/>
            </w:tabs>
          </w:pPr>
          <w:r>
            <w:fldChar w:fldCharType="begin"/>
          </w:r>
          <w:r>
            <w:instrText xml:space="preserve"> HYPERLINK \l _Toc27927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_Toc27927 \h </w:instrText>
          </w:r>
          <w:r>
            <w:fldChar w:fldCharType="separate"/>
          </w:r>
          <w:r>
            <w:t>22</w:t>
          </w:r>
          <w:r>
            <w:fldChar w:fldCharType="end"/>
          </w:r>
          <w:r>
            <w:fldChar w:fldCharType="end"/>
          </w:r>
        </w:p>
        <w:p>
          <w:pPr>
            <w:pStyle w:val="41"/>
            <w:tabs>
              <w:tab w:val="right" w:leader="dot" w:pos="8306"/>
            </w:tabs>
          </w:pPr>
          <w:r>
            <w:fldChar w:fldCharType="begin"/>
          </w:r>
          <w:r>
            <w:instrText xml:space="preserve"> HYPERLINK \l _Toc2729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_Toc2729 \h </w:instrText>
          </w:r>
          <w:r>
            <w:fldChar w:fldCharType="separate"/>
          </w:r>
          <w:r>
            <w:t>22</w:t>
          </w:r>
          <w:r>
            <w:fldChar w:fldCharType="end"/>
          </w:r>
          <w:r>
            <w:fldChar w:fldCharType="end"/>
          </w:r>
        </w:p>
        <w:p>
          <w:pPr>
            <w:pStyle w:val="41"/>
            <w:tabs>
              <w:tab w:val="right" w:leader="dot" w:pos="8306"/>
            </w:tabs>
          </w:pPr>
          <w:r>
            <w:fldChar w:fldCharType="begin"/>
          </w:r>
          <w:r>
            <w:instrText xml:space="preserve"> HYPERLINK \l _Toc24629 </w:instrText>
          </w:r>
          <w:r>
            <w:fldChar w:fldCharType="separate"/>
          </w:r>
          <w:r>
            <w:rPr>
              <w:rFonts w:hint="eastAsia" w:ascii="仿宋" w:hAnsi="仿宋" w:eastAsia="仿宋"/>
              <w:bCs w:val="0"/>
            </w:rPr>
            <w:t>十二、国有资本经营预算财政拨款支出决算表</w:t>
          </w:r>
          <w:r>
            <w:tab/>
          </w:r>
          <w:r>
            <w:fldChar w:fldCharType="begin"/>
          </w:r>
          <w:r>
            <w:instrText xml:space="preserve"> PAGEREF _Toc24629 \h </w:instrText>
          </w:r>
          <w:r>
            <w:fldChar w:fldCharType="separate"/>
          </w:r>
          <w:r>
            <w:t>22</w:t>
          </w:r>
          <w:r>
            <w:fldChar w:fldCharType="end"/>
          </w:r>
          <w:r>
            <w:fldChar w:fldCharType="end"/>
          </w:r>
        </w:p>
        <w:p>
          <w:pPr>
            <w:pStyle w:val="41"/>
            <w:tabs>
              <w:tab w:val="right" w:leader="dot" w:pos="8306"/>
            </w:tabs>
          </w:pPr>
          <w:r>
            <w:fldChar w:fldCharType="begin"/>
          </w:r>
          <w:r>
            <w:instrText xml:space="preserve"> HYPERLINK \l _Toc9021 </w:instrText>
          </w:r>
          <w:r>
            <w:fldChar w:fldCharType="separate"/>
          </w:r>
          <w:r>
            <w:rPr>
              <w:rFonts w:hint="eastAsia" w:ascii="仿宋" w:hAnsi="仿宋" w:eastAsia="仿宋"/>
              <w:bCs w:val="0"/>
            </w:rPr>
            <w:t>十三、财政拨款“三公”经费支出决算表</w:t>
          </w:r>
          <w:r>
            <w:tab/>
          </w:r>
          <w:r>
            <w:fldChar w:fldCharType="begin"/>
          </w:r>
          <w:r>
            <w:instrText xml:space="preserve"> PAGEREF _Toc9021 \h </w:instrText>
          </w:r>
          <w:r>
            <w:fldChar w:fldCharType="separate"/>
          </w:r>
          <w:r>
            <w:t>22</w:t>
          </w:r>
          <w:r>
            <w:fldChar w:fldCharType="end"/>
          </w:r>
          <w:r>
            <w:fldChar w:fldCharType="end"/>
          </w:r>
        </w:p>
        <w:p>
          <w:r>
            <w:rPr>
              <w:b/>
            </w:rPr>
            <w:fldChar w:fldCharType="end"/>
          </w:r>
        </w:p>
      </w:sdtContent>
    </w:sdt>
    <w:p>
      <w:pPr>
        <w:pStyle w:val="3"/>
        <w:jc w:val="center"/>
        <w:rPr>
          <w:rFonts w:ascii="黑体" w:eastAsia="黑体"/>
          <w:sz w:val="32"/>
          <w:szCs w:val="32"/>
        </w:rPr>
      </w:pPr>
      <w:bookmarkStart w:id="16" w:name="_Toc6958"/>
      <w:r>
        <w:rPr>
          <w:rFonts w:hint="eastAsia" w:ascii="黑体" w:hAnsi="黑体" w:eastAsia="黑体"/>
          <w:b w:val="0"/>
        </w:rPr>
        <w:t>第一部分 单位</w:t>
      </w:r>
      <w:r>
        <w:rPr>
          <w:rStyle w:val="29"/>
          <w:rFonts w:hint="eastAsia" w:ascii="黑体" w:hAnsi="黑体" w:eastAsia="黑体"/>
          <w:b w:val="0"/>
          <w:bCs w:val="0"/>
        </w:rPr>
        <w:t>概况</w:t>
      </w:r>
      <w:bookmarkEnd w:id="14"/>
      <w:bookmarkEnd w:id="15"/>
      <w:bookmarkEnd w:id="16"/>
    </w:p>
    <w:p>
      <w:pPr>
        <w:pStyle w:val="4"/>
        <w:numPr>
          <w:ilvl w:val="0"/>
          <w:numId w:val="1"/>
        </w:numPr>
        <w:rPr>
          <w:rStyle w:val="30"/>
          <w:rFonts w:ascii="黑体" w:hAnsi="黑体" w:eastAsia="黑体"/>
          <w:b w:val="0"/>
          <w:bCs w:val="0"/>
        </w:rPr>
      </w:pPr>
      <w:bookmarkStart w:id="17" w:name="_Toc20075"/>
      <w:bookmarkStart w:id="18" w:name="_Toc15377197"/>
      <w:bookmarkStart w:id="19" w:name="_Toc15396600"/>
      <w:r>
        <w:rPr>
          <w:rStyle w:val="30"/>
          <w:rFonts w:hint="eastAsia" w:ascii="黑体" w:hAnsi="黑体" w:eastAsia="黑体"/>
          <w:b w:val="0"/>
          <w:bCs w:val="0"/>
        </w:rPr>
        <w:t>主要职责</w:t>
      </w:r>
      <w:bookmarkEnd w:id="17"/>
    </w:p>
    <w:p>
      <w:pPr>
        <w:pStyle w:val="13"/>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SA"/>
        </w:rPr>
      </w:pPr>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SA"/>
        </w:rPr>
        <w:t>（一）单位职责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sz w:val="32"/>
          <w:szCs w:val="32"/>
          <w:lang w:eastAsia="zh-CN"/>
        </w:rPr>
      </w:pPr>
      <w:bookmarkStart w:id="20" w:name="_Toc15378445"/>
      <w:bookmarkStart w:id="21" w:name="_Toc15377198"/>
      <w:r>
        <w:rPr>
          <w:rFonts w:hint="eastAsia" w:ascii="仿宋_GB2312" w:hAnsi="宋体" w:eastAsia="仿宋_GB2312" w:cs="仿宋_GB2312"/>
          <w:sz w:val="32"/>
          <w:szCs w:val="32"/>
          <w:lang w:eastAsia="zh-CN"/>
        </w:rPr>
        <w:t>（一）主要职能。</w:t>
      </w:r>
      <w:bookmarkEnd w:id="20"/>
      <w:bookmarkEnd w:id="21"/>
      <w:r>
        <w:rPr>
          <w:rFonts w:hint="eastAsia" w:ascii="仿宋_GB2312" w:hAnsi="宋体" w:eastAsia="仿宋_GB2312" w:cs="仿宋_GB2312"/>
          <w:sz w:val="32"/>
          <w:szCs w:val="32"/>
          <w:lang w:eastAsia="zh-CN"/>
        </w:rPr>
        <w:t>一是贯彻执行国家、省以工代赈的方针、政策，制定全县以工代赈的实施意见和管理办法；二是负责争取国家、省的以工代赈资金，做好省、市以工代赈办的项目计划衔接工作；三是综合协调全县以工代赈工作，负责管理全县以工代赈建设；四是编制全县以工代赈中长期规划及年度计划，负责计划的上报及下达工作；五是会同财政部门做好以工代赈资金的报账及地方配套资金计划的安排工作；六是会同财政、审计、监察等部门做好全县以工代赈资金使用的监督管理工作；七是组织有关部门搞好以工代赈项目的规划、论证、可行性研究，负责建立项目库；八是组织工程主管部门对以工代赈项目工程进行检查、验收，搞好工作管理；九是承办县委、县政府交办的其他事项。</w:t>
      </w:r>
    </w:p>
    <w:p>
      <w:pPr>
        <w:pStyle w:val="13"/>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SA"/>
        </w:rPr>
      </w:pPr>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SA"/>
        </w:rPr>
        <w:t>（二）2022年重点工作完成情况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 w:eastAsia="仿宋_GB2312" w:cs="仿宋"/>
          <w:color w:val="000000"/>
          <w:kern w:val="0"/>
          <w:sz w:val="32"/>
          <w:szCs w:val="32"/>
          <w:lang w:val="en-US" w:eastAsia="zh-CN" w:bidi="ar-SA"/>
        </w:rPr>
      </w:pPr>
      <w:bookmarkStart w:id="22" w:name="_Toc5110"/>
      <w:r>
        <w:rPr>
          <w:rFonts w:hint="eastAsia" w:ascii="楷体_GB2312" w:hAnsi="楷体_GB2312" w:eastAsia="楷体_GB2312" w:cs="楷体_GB2312"/>
          <w:b/>
          <w:bCs/>
          <w:color w:val="000000"/>
          <w:sz w:val="32"/>
          <w:szCs w:val="32"/>
          <w:lang w:val="en-US" w:eastAsia="zh-CN" w:bidi="ar-SA"/>
        </w:rPr>
        <w:t>（一）拓展渠道促进就业增收。</w:t>
      </w:r>
      <w:r>
        <w:rPr>
          <w:rFonts w:hint="eastAsia" w:ascii="仿宋_GB2312" w:hAnsi="仿宋" w:eastAsia="仿宋_GB2312" w:cs="仿宋"/>
          <w:color w:val="000000"/>
          <w:kern w:val="0"/>
          <w:sz w:val="32"/>
          <w:szCs w:val="32"/>
          <w:lang w:val="en-US" w:eastAsia="zh-CN" w:bidi="ar-SA"/>
        </w:rPr>
        <w:t>我县高度重视易地扶贫搬迁后续扶持就业增收工作，大力实施就业帮扶六大行动，就业创业扶持政策做到“应享尽享”，有就业能力且有就业意愿的搬迁劳动力就业创业比例达到100%。</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bCs/>
          <w:sz w:val="32"/>
          <w:szCs w:val="32"/>
          <w:lang w:eastAsia="zh-CN"/>
        </w:rPr>
        <w:t>狠抓</w:t>
      </w:r>
      <w:r>
        <w:rPr>
          <w:rFonts w:hint="eastAsia" w:ascii="仿宋_GB2312" w:hAnsi="仿宋_GB2312" w:eastAsia="仿宋_GB2312" w:cs="仿宋_GB2312"/>
          <w:b/>
          <w:bCs/>
          <w:sz w:val="32"/>
          <w:szCs w:val="32"/>
        </w:rPr>
        <w:t>就业信息监测。</w:t>
      </w:r>
      <w:r>
        <w:rPr>
          <w:rFonts w:hint="eastAsia" w:ascii="仿宋_GB2312" w:hAnsi="仿宋" w:eastAsia="仿宋_GB2312" w:cs="仿宋"/>
          <w:color w:val="000000"/>
          <w:kern w:val="0"/>
          <w:sz w:val="32"/>
          <w:szCs w:val="32"/>
          <w:lang w:val="en-US" w:eastAsia="zh-CN" w:bidi="ar-SA"/>
        </w:rPr>
        <w:t>建立搬迁劳动力基础信息、就业培训、自主创业、转移就业、公益性岗位安置等信息台账，定期跟踪监测搬迁群众就业质量和就业需求，对就业困难群体制定“一对一”帮扶措施，有针对性开展就业援助。全县易地扶贫搬迁有劳动能力脱贫人口实现转移和就近就业19052人，其中集中安置点4636人。</w:t>
      </w:r>
      <w:r>
        <w:rPr>
          <w:rFonts w:hint="eastAsia" w:ascii="仿宋_GB2312" w:hAnsi="仿宋_GB2312" w:eastAsia="仿宋_GB2312" w:cs="仿宋_GB2312"/>
          <w:b/>
          <w:bCs/>
          <w:color w:val="auto"/>
          <w:sz w:val="32"/>
          <w:szCs w:val="32"/>
          <w:lang w:val="en-US" w:eastAsia="zh-CN"/>
        </w:rPr>
        <w:t>二是狠抓就业创业技能提升。</w:t>
      </w:r>
      <w:r>
        <w:rPr>
          <w:rFonts w:hint="eastAsia" w:ascii="仿宋_GB2312" w:hAnsi="仿宋" w:eastAsia="仿宋_GB2312" w:cs="仿宋"/>
          <w:color w:val="000000"/>
          <w:kern w:val="0"/>
          <w:sz w:val="32"/>
          <w:szCs w:val="32"/>
          <w:lang w:val="en-US" w:eastAsia="zh-CN" w:bidi="ar-SA"/>
        </w:rPr>
        <w:t>结合县域产业发展和劳动者个人培训意愿，采用“精准参训对象、精准培训内容、精准培训方式、精准绩效评估、精准监督检查”五精准纵深推进全县职业技能培训，提升技能促就业，全年开展中式烹饪、起重挖掘机、种植养殖培训等80个班次3664人，其中易地扶贫搬迁脱贫人口参加职业技能培训914人。</w:t>
      </w:r>
      <w:r>
        <w:rPr>
          <w:rFonts w:hint="eastAsia" w:ascii="仿宋_GB2312" w:hAnsi="仿宋_GB2312" w:eastAsia="仿宋_GB2312" w:cs="仿宋_GB2312"/>
          <w:b/>
          <w:bCs/>
          <w:color w:val="auto"/>
          <w:sz w:val="32"/>
          <w:szCs w:val="32"/>
          <w:lang w:val="en-US" w:eastAsia="zh-CN"/>
        </w:rPr>
        <w:t>三是狠抓有组织性转移就业。</w:t>
      </w:r>
      <w:r>
        <w:rPr>
          <w:rFonts w:hint="eastAsia" w:ascii="仿宋_GB2312" w:hAnsi="仿宋" w:eastAsia="仿宋_GB2312" w:cs="仿宋"/>
          <w:color w:val="000000"/>
          <w:kern w:val="0"/>
          <w:sz w:val="32"/>
          <w:szCs w:val="32"/>
          <w:lang w:val="en-US" w:eastAsia="zh-CN" w:bidi="ar-SA"/>
        </w:rPr>
        <w:t>通过报销交通费、求职创业补贴、线上线下招聘活动、春风行动专车送岗等激励措施，有序组织易地扶贫搬迁人口转移就业，确保出得去、有岗位、能就业。今年来，发放交通补贴51人3.04万元，一次性求职创业补贴85人1.7万元，开通农民工返岗专车198班次，收集发布推送岗位信息11584个，在29个乡镇召开招聘会34场（其中杨村龙鞍、开封迎水、木马共同村等5个集中安置点召开5场专场招聘会）。</w:t>
      </w:r>
      <w:r>
        <w:rPr>
          <w:rFonts w:hint="eastAsia" w:ascii="仿宋_GB2312" w:hAnsi="仿宋_GB2312" w:eastAsia="仿宋_GB2312" w:cs="仿宋_GB2312"/>
          <w:b/>
          <w:bCs/>
          <w:color w:val="auto"/>
          <w:sz w:val="32"/>
          <w:szCs w:val="32"/>
          <w:lang w:val="en-US" w:eastAsia="zh-CN"/>
        </w:rPr>
        <w:t>四是狠抓就地就近就业。</w:t>
      </w:r>
      <w:r>
        <w:rPr>
          <w:rFonts w:hint="eastAsia" w:ascii="仿宋_GB2312" w:hAnsi="仿宋" w:eastAsia="仿宋_GB2312" w:cs="仿宋"/>
          <w:color w:val="000000"/>
          <w:kern w:val="0"/>
          <w:sz w:val="32"/>
          <w:szCs w:val="32"/>
          <w:lang w:val="en-US" w:eastAsia="zh-CN" w:bidi="ar-SA"/>
        </w:rPr>
        <w:t>建立健全三级劳务体系，提档升级4个集中安置点就业帮扶车间，吸纳易地扶贫搬迁人员就业57人，积极兑现企业稳岗返还补贴、留工培训补助以及专合社、家庭农场等各类生产经营主体吸纳就业奖补。鼓励以工代赈项目优先吸纳脱贫劳动者就业，全年各类政府投资建设项目提供就业岗位5000余个。</w:t>
      </w:r>
      <w:r>
        <w:rPr>
          <w:rFonts w:hint="eastAsia" w:ascii="仿宋_GB2312" w:hAnsi="仿宋_GB2312" w:eastAsia="仿宋_GB2312" w:cs="仿宋_GB2312"/>
          <w:b/>
          <w:bCs/>
          <w:color w:val="auto"/>
          <w:sz w:val="32"/>
          <w:szCs w:val="32"/>
          <w:lang w:val="en-US" w:eastAsia="zh-CN"/>
        </w:rPr>
        <w:t>五是狠抓创业扶持带动就业。</w:t>
      </w:r>
      <w:r>
        <w:rPr>
          <w:rFonts w:hint="eastAsia" w:ascii="仿宋_GB2312" w:hAnsi="仿宋" w:eastAsia="仿宋_GB2312" w:cs="仿宋"/>
          <w:color w:val="000000"/>
          <w:kern w:val="0"/>
          <w:sz w:val="32"/>
          <w:szCs w:val="32"/>
          <w:lang w:val="en-US" w:eastAsia="zh-CN" w:bidi="ar-SA"/>
        </w:rPr>
        <w:t>延续执行创业补贴、创业担保贴息贷款等政策，鼓励易地扶贫搬迁人口自主创业，今年来，发放创业担保贷款6人105万元，扶持易地搬迁群众自主创业56人兑现补贴56万元，实现创业带动就业150余人。六是狠抓公岗托底安置就业。加大公益性岗位开发力度，优先安置有一定劳动能力且有就业意愿无法外出的易地扶贫搬迁人口就业，主要从事保洁、绿化、安全巡逻等工作，今年共开发公益性岗位安置易地搬迁脱贫人口就业1973人。</w:t>
      </w:r>
    </w:p>
    <w:p>
      <w:pPr>
        <w:pStyle w:val="4"/>
        <w:numPr>
          <w:ilvl w:val="0"/>
          <w:numId w:val="1"/>
        </w:numPr>
        <w:ind w:left="0" w:leftChars="0" w:firstLine="0" w:firstLineChars="0"/>
        <w:rPr>
          <w:rFonts w:hint="eastAsia" w:ascii="黑体" w:hAnsi="黑体" w:eastAsia="黑体"/>
          <w:b w:val="0"/>
        </w:rPr>
      </w:pPr>
      <w:r>
        <w:rPr>
          <w:rFonts w:hint="eastAsia" w:ascii="黑体" w:hAnsi="黑体" w:eastAsia="黑体"/>
          <w:b w:val="0"/>
        </w:rPr>
        <w:t>机构设置</w:t>
      </w:r>
      <w:bookmarkEnd w:id="22"/>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剑阁县以工代赈办公室下属二级单位</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lang w:eastAsia="zh-CN"/>
        </w:rPr>
        <w:t>个，其中行政单位</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lang w:eastAsia="zh-CN"/>
        </w:rPr>
        <w:t>个，参照公务员法管理的事业单位</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lang w:eastAsia="zh-CN"/>
        </w:rPr>
        <w:t>个，其他事业单位</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lang w:eastAsia="zh-CN"/>
        </w:rPr>
        <w:t>个。</w:t>
      </w:r>
    </w:p>
    <w:p>
      <w:pPr>
        <w:numPr>
          <w:ilvl w:val="0"/>
          <w:numId w:val="0"/>
        </w:numPr>
        <w:ind w:leftChars="0"/>
      </w:pPr>
    </w:p>
    <w:bookmarkEnd w:id="18"/>
    <w:bookmarkEnd w:id="19"/>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9"/>
          <w:rFonts w:ascii="黑体" w:hAnsi="黑体" w:eastAsia="黑体"/>
          <w:b w:val="0"/>
          <w:bCs/>
        </w:rPr>
      </w:pPr>
      <w:bookmarkStart w:id="23" w:name="_Toc15396602"/>
      <w:bookmarkStart w:id="24" w:name="_Toc20353"/>
      <w:bookmarkStart w:id="25" w:name="_Toc15377204"/>
      <w:r>
        <w:rPr>
          <w:rFonts w:hint="eastAsia" w:ascii="黑体" w:hAnsi="黑体" w:eastAsia="黑体"/>
          <w:b w:val="0"/>
        </w:rPr>
        <w:t>第二部分 2022年度</w:t>
      </w:r>
      <w:r>
        <w:rPr>
          <w:rStyle w:val="29"/>
          <w:rFonts w:hint="eastAsia" w:ascii="黑体" w:hAnsi="黑体" w:eastAsia="黑体"/>
          <w:b w:val="0"/>
          <w:bCs/>
        </w:rPr>
        <w:t>单位决算情况说明</w:t>
      </w:r>
      <w:bookmarkEnd w:id="23"/>
      <w:bookmarkEnd w:id="24"/>
      <w:bookmarkEnd w:id="25"/>
    </w:p>
    <w:p/>
    <w:p>
      <w:pPr>
        <w:pStyle w:val="28"/>
        <w:numPr>
          <w:ilvl w:val="0"/>
          <w:numId w:val="2"/>
        </w:numPr>
        <w:spacing w:line="600" w:lineRule="exact"/>
        <w:ind w:firstLineChars="0"/>
        <w:outlineLvl w:val="1"/>
        <w:rPr>
          <w:rStyle w:val="30"/>
          <w:rFonts w:ascii="黑体" w:hAnsi="黑体" w:eastAsia="黑体"/>
          <w:b w:val="0"/>
        </w:rPr>
      </w:pPr>
      <w:bookmarkStart w:id="26" w:name="_Toc15396603"/>
      <w:bookmarkStart w:id="27" w:name="_Toc14991"/>
      <w:bookmarkStart w:id="28" w:name="_Toc15377205"/>
      <w:r>
        <w:rPr>
          <w:rFonts w:hint="eastAsia" w:ascii="黑体" w:hAnsi="黑体" w:eastAsia="黑体"/>
          <w:sz w:val="32"/>
          <w:szCs w:val="32"/>
        </w:rPr>
        <w:t>收</w:t>
      </w:r>
      <w:r>
        <w:rPr>
          <w:rStyle w:val="30"/>
          <w:rFonts w:hint="eastAsia" w:ascii="黑体" w:hAnsi="黑体" w:eastAsia="黑体"/>
          <w:b w:val="0"/>
        </w:rPr>
        <w:t>入支出决算总体情况说明</w:t>
      </w:r>
      <w:bookmarkEnd w:id="26"/>
      <w:bookmarkEnd w:id="27"/>
      <w:bookmarkEnd w:id="28"/>
    </w:p>
    <w:p>
      <w:pPr>
        <w:spacing w:line="600" w:lineRule="exact"/>
        <w:ind w:firstLine="640" w:firstLineChars="200"/>
      </w:pPr>
      <w:r>
        <w:rPr>
          <w:rFonts w:hint="eastAsia" w:ascii="仿宋" w:hAnsi="仿宋" w:eastAsia="仿宋"/>
          <w:sz w:val="32"/>
          <w:szCs w:val="32"/>
        </w:rPr>
        <w:t>2022年度收、支总计1,795.00万元。与2021年相比，收、支总计各</w:t>
      </w:r>
      <w:r>
        <w:rPr>
          <w:rFonts w:hint="eastAsia" w:ascii="仿宋" w:hAnsi="仿宋" w:eastAsia="仿宋"/>
          <w:sz w:val="32"/>
          <w:szCs w:val="32"/>
          <w:lang w:eastAsia="zh-CN"/>
        </w:rPr>
        <w:t>增加</w:t>
      </w:r>
      <w:r>
        <w:rPr>
          <w:rFonts w:hint="eastAsia" w:ascii="仿宋" w:hAnsi="仿宋" w:eastAsia="仿宋"/>
          <w:sz w:val="32"/>
          <w:szCs w:val="32"/>
          <w:lang w:val="en-US" w:eastAsia="zh-CN"/>
        </w:rPr>
        <w:t>698.92</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63.77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项目支出增加</w:t>
      </w:r>
      <w:r>
        <w:rPr>
          <w:rFonts w:hint="eastAsia" w:ascii="仿宋" w:hAnsi="仿宋" w:eastAsia="仿宋"/>
          <w:sz w:val="32"/>
          <w:szCs w:val="32"/>
        </w:rPr>
        <w:t>。</w:t>
      </w:r>
    </w:p>
    <w:p/>
    <w:p>
      <w:pPr>
        <w:pStyle w:val="15"/>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spacing w:line="600" w:lineRule="exact"/>
        <w:ind w:firstLine="640" w:firstLineChars="200"/>
        <w:jc w:val="left"/>
        <w:rPr>
          <w:rFonts w:ascii="仿宋_GB2312" w:eastAsia="仿宋_GB2312"/>
          <w:sz w:val="32"/>
          <w:szCs w:val="32"/>
        </w:rPr>
      </w:pPr>
    </w:p>
    <w:p>
      <w:pPr>
        <w:pStyle w:val="28"/>
        <w:numPr>
          <w:ilvl w:val="0"/>
          <w:numId w:val="2"/>
        </w:numPr>
        <w:spacing w:line="600" w:lineRule="exact"/>
        <w:ind w:firstLineChars="0"/>
        <w:outlineLvl w:val="1"/>
        <w:rPr>
          <w:rStyle w:val="30"/>
          <w:rFonts w:ascii="黑体" w:hAnsi="黑体" w:eastAsia="黑体"/>
          <w:b w:val="0"/>
        </w:rPr>
      </w:pPr>
      <w:bookmarkStart w:id="29" w:name="_Toc15377206"/>
      <w:bookmarkStart w:id="30" w:name="_Toc15396604"/>
      <w:bookmarkStart w:id="31" w:name="_Toc6597"/>
      <w:r>
        <w:rPr>
          <w:rFonts w:hint="eastAsia" w:ascii="黑体" w:hAnsi="黑体" w:eastAsia="黑体"/>
          <w:sz w:val="32"/>
          <w:szCs w:val="32"/>
        </w:rPr>
        <w:t>收</w:t>
      </w:r>
      <w:r>
        <w:rPr>
          <w:rStyle w:val="30"/>
          <w:rFonts w:hint="eastAsia" w:ascii="黑体" w:hAnsi="黑体" w:eastAsia="黑体"/>
          <w:b w:val="0"/>
        </w:rPr>
        <w:t>入决算情况说明</w:t>
      </w:r>
      <w:bookmarkEnd w:id="29"/>
      <w:bookmarkEnd w:id="30"/>
      <w:bookmarkEnd w:id="31"/>
    </w:p>
    <w:p>
      <w:pPr>
        <w:spacing w:line="600" w:lineRule="exact"/>
        <w:ind w:firstLine="640" w:firstLineChars="200"/>
        <w:outlineLvl w:val="1"/>
        <w:rPr>
          <w:rFonts w:ascii="仿宋" w:hAnsi="仿宋" w:eastAsia="仿宋"/>
          <w:sz w:val="32"/>
          <w:szCs w:val="32"/>
        </w:rPr>
      </w:pPr>
      <w:bookmarkStart w:id="32" w:name="_Toc28336"/>
      <w:r>
        <w:rPr>
          <w:rFonts w:ascii="仿宋" w:hAnsi="仿宋" w:eastAsia="仿宋"/>
          <w:sz w:val="32"/>
          <w:szCs w:val="32"/>
        </w:rPr>
        <w:t>20</w:t>
      </w:r>
      <w:r>
        <w:rPr>
          <w:rFonts w:hint="eastAsia" w:ascii="仿宋" w:hAnsi="仿宋" w:eastAsia="仿宋"/>
          <w:sz w:val="32"/>
          <w:szCs w:val="32"/>
        </w:rPr>
        <w:t>22年本年收入合计1,776.45万元，</w:t>
      </w:r>
      <w:r>
        <w:rPr>
          <w:rFonts w:hint="eastAsia" w:ascii="仿宋_GB2312" w:hAnsi="仿宋_GB2312" w:eastAsia="仿宋_GB2312" w:cs="仿宋_GB2312"/>
          <w:b w:val="0"/>
          <w:bCs/>
          <w:kern w:val="2"/>
          <w:sz w:val="32"/>
          <w:szCs w:val="32"/>
          <w:lang w:val="en-US" w:eastAsia="zh-CN" w:bidi="ar-SA"/>
        </w:rPr>
        <w:t>上年结转18.54万元。</w:t>
      </w:r>
      <w:r>
        <w:rPr>
          <w:rFonts w:hint="eastAsia" w:ascii="仿宋" w:hAnsi="仿宋" w:eastAsia="仿宋"/>
          <w:sz w:val="32"/>
          <w:szCs w:val="32"/>
        </w:rPr>
        <w:t>其中：一般公共预算财政拨款收入1,776.45万元，占</w:t>
      </w:r>
      <w:r>
        <w:rPr>
          <w:rFonts w:hint="eastAsia" w:ascii="仿宋" w:hAnsi="仿宋" w:eastAsia="仿宋"/>
          <w:sz w:val="32"/>
          <w:szCs w:val="32"/>
          <w:lang w:val="en-US" w:eastAsia="zh-CN"/>
        </w:rPr>
        <w:t>100</w:t>
      </w:r>
      <w:r>
        <w:rPr>
          <w:rFonts w:ascii="仿宋" w:hAnsi="仿宋" w:eastAsia="仿宋"/>
          <w:sz w:val="32"/>
          <w:szCs w:val="32"/>
        </w:rPr>
        <w:t>%</w:t>
      </w:r>
      <w:bookmarkEnd w:id="32"/>
    </w:p>
    <w:p>
      <w:pPr>
        <w:spacing w:line="600" w:lineRule="exact"/>
        <w:ind w:firstLine="640" w:firstLineChars="200"/>
        <w:outlineLvl w:val="9"/>
        <w:rPr>
          <w:rFonts w:ascii="仿宋" w:hAnsi="仿宋" w:eastAsia="仿宋"/>
          <w:sz w:val="32"/>
          <w:szCs w:val="32"/>
        </w:rPr>
      </w:pPr>
    </w:p>
    <w:p>
      <w:pPr>
        <w:pStyle w:val="16"/>
        <w:rPr>
          <w:rFonts w:ascii="仿宋" w:hAnsi="仿宋" w:eastAsia="仿宋"/>
          <w:sz w:val="32"/>
          <w:szCs w:val="32"/>
        </w:rPr>
      </w:pPr>
    </w:p>
    <w:p>
      <w:pPr>
        <w:rPr>
          <w:rFonts w:ascii="仿宋" w:hAnsi="仿宋" w:eastAsia="仿宋"/>
          <w:sz w:val="32"/>
          <w:szCs w:val="32"/>
        </w:rPr>
      </w:pPr>
    </w:p>
    <w:p>
      <w:pPr>
        <w:pStyle w:val="16"/>
        <w:ind w:left="0" w:leftChars="0" w:firstLine="0" w:firstLineChars="0"/>
      </w:pPr>
      <w:r>
        <w:drawing>
          <wp:anchor distT="0" distB="0" distL="114300" distR="114300" simplePos="0" relativeHeight="251662336" behindDoc="0" locked="0" layoutInCell="1" allowOverlap="1">
            <wp:simplePos x="0" y="0"/>
            <wp:positionH relativeFrom="column">
              <wp:posOffset>297815</wp:posOffset>
            </wp:positionH>
            <wp:positionV relativeFrom="paragraph">
              <wp:posOffset>-46990</wp:posOffset>
            </wp:positionV>
            <wp:extent cx="4572000" cy="2743200"/>
            <wp:effectExtent l="4445" t="4445" r="14605" b="14605"/>
            <wp:wrapNone/>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
      <w:pPr>
        <w:pStyle w:val="15"/>
      </w:pPr>
    </w:p>
    <w:p>
      <w:pPr>
        <w:spacing w:line="600" w:lineRule="exact"/>
        <w:ind w:firstLine="640" w:firstLineChars="200"/>
        <w:jc w:val="center"/>
        <w:rPr>
          <w:rFonts w:hint="eastAsia" w:ascii="仿宋" w:hAnsi="仿宋" w:eastAsia="仿宋"/>
          <w:sz w:val="32"/>
          <w:szCs w:val="32"/>
        </w:rPr>
      </w:pPr>
      <w:r>
        <w:rPr>
          <w:rFonts w:hint="eastAsia" w:ascii="仿宋" w:hAnsi="仿宋" w:eastAsia="仿宋"/>
          <w:sz w:val="32"/>
          <w:szCs w:val="32"/>
        </w:rPr>
        <w:t>（图2：收入决算结构图）</w:t>
      </w:r>
    </w:p>
    <w:p>
      <w:pPr>
        <w:pStyle w:val="15"/>
      </w:pPr>
    </w:p>
    <w:p>
      <w:pPr>
        <w:pStyle w:val="15"/>
      </w:pPr>
    </w:p>
    <w:p>
      <w:pPr>
        <w:pStyle w:val="15"/>
      </w:pPr>
    </w:p>
    <w:p>
      <w:pPr>
        <w:pStyle w:val="28"/>
        <w:numPr>
          <w:ilvl w:val="0"/>
          <w:numId w:val="2"/>
        </w:numPr>
        <w:spacing w:line="600" w:lineRule="exact"/>
        <w:ind w:firstLineChars="0"/>
        <w:outlineLvl w:val="1"/>
        <w:rPr>
          <w:rStyle w:val="30"/>
          <w:rFonts w:ascii="黑体" w:hAnsi="黑体" w:eastAsia="黑体"/>
          <w:b w:val="0"/>
        </w:rPr>
      </w:pPr>
      <w:bookmarkStart w:id="33" w:name="_Toc23866"/>
      <w:bookmarkStart w:id="34" w:name="_Toc15396605"/>
      <w:bookmarkStart w:id="35" w:name="_Toc15377207"/>
      <w:r>
        <w:rPr>
          <w:rFonts w:hint="eastAsia" w:ascii="黑体" w:hAnsi="黑体" w:eastAsia="黑体"/>
          <w:sz w:val="32"/>
          <w:szCs w:val="32"/>
        </w:rPr>
        <w:t>支</w:t>
      </w:r>
      <w:r>
        <w:rPr>
          <w:rStyle w:val="30"/>
          <w:rFonts w:hint="eastAsia" w:ascii="黑体" w:hAnsi="黑体" w:eastAsia="黑体"/>
          <w:b w:val="0"/>
        </w:rPr>
        <w:t>出决算情况说明</w:t>
      </w:r>
      <w:bookmarkEnd w:id="33"/>
      <w:bookmarkEnd w:id="34"/>
      <w:bookmarkEnd w:id="35"/>
    </w:p>
    <w:p>
      <w:pPr>
        <w:spacing w:line="600" w:lineRule="exact"/>
        <w:ind w:firstLine="640" w:firstLineChars="200"/>
        <w:outlineLvl w:val="1"/>
        <w:rPr>
          <w:rFonts w:hint="eastAsia" w:ascii="仿宋" w:hAnsi="仿宋" w:eastAsia="仿宋"/>
          <w:sz w:val="32"/>
          <w:szCs w:val="32"/>
          <w:lang w:eastAsia="zh-CN"/>
        </w:rPr>
      </w:pPr>
      <w:bookmarkStart w:id="36" w:name="_Toc15084"/>
      <w:r>
        <w:rPr>
          <w:rFonts w:ascii="仿宋" w:hAnsi="仿宋" w:eastAsia="仿宋"/>
          <w:sz w:val="32"/>
          <w:szCs w:val="32"/>
        </w:rPr>
        <w:t>20</w:t>
      </w:r>
      <w:r>
        <w:rPr>
          <w:rFonts w:hint="eastAsia" w:ascii="仿宋" w:hAnsi="仿宋" w:eastAsia="仿宋"/>
          <w:sz w:val="32"/>
          <w:szCs w:val="32"/>
        </w:rPr>
        <w:t>22年本年支出合计1,795.00万元，其中：基本支出110.18万元，占</w:t>
      </w:r>
      <w:r>
        <w:rPr>
          <w:rFonts w:hint="eastAsia" w:ascii="仿宋" w:hAnsi="仿宋" w:eastAsia="仿宋"/>
          <w:sz w:val="32"/>
          <w:szCs w:val="32"/>
          <w:lang w:val="en-US" w:eastAsia="zh-CN"/>
        </w:rPr>
        <w:t>6.14</w:t>
      </w:r>
      <w:r>
        <w:rPr>
          <w:rFonts w:ascii="仿宋" w:hAnsi="仿宋" w:eastAsia="仿宋"/>
          <w:sz w:val="32"/>
          <w:szCs w:val="32"/>
        </w:rPr>
        <w:t>%</w:t>
      </w:r>
      <w:r>
        <w:rPr>
          <w:rFonts w:hint="eastAsia" w:ascii="仿宋" w:hAnsi="仿宋" w:eastAsia="仿宋"/>
          <w:sz w:val="32"/>
          <w:szCs w:val="32"/>
        </w:rPr>
        <w:t>；项目支出1,684.81万元，占</w:t>
      </w:r>
      <w:r>
        <w:rPr>
          <w:rFonts w:hint="eastAsia" w:ascii="仿宋" w:hAnsi="仿宋" w:eastAsia="仿宋"/>
          <w:sz w:val="32"/>
          <w:szCs w:val="32"/>
          <w:lang w:val="en-US" w:eastAsia="zh-CN"/>
        </w:rPr>
        <w:t>93.86</w:t>
      </w:r>
      <w:r>
        <w:rPr>
          <w:rFonts w:ascii="仿宋" w:hAnsi="仿宋" w:eastAsia="仿宋"/>
          <w:sz w:val="32"/>
          <w:szCs w:val="32"/>
        </w:rPr>
        <w:t>%</w:t>
      </w:r>
      <w:r>
        <w:rPr>
          <w:rFonts w:hint="eastAsia" w:ascii="仿宋" w:hAnsi="仿宋" w:eastAsia="仿宋"/>
          <w:sz w:val="32"/>
          <w:szCs w:val="32"/>
          <w:lang w:eastAsia="zh-CN"/>
        </w:rPr>
        <w:t>。</w:t>
      </w:r>
      <w:bookmarkEnd w:id="36"/>
    </w:p>
    <w:p>
      <w:pPr>
        <w:spacing w:line="600" w:lineRule="exact"/>
        <w:ind w:firstLine="640"/>
        <w:rPr>
          <w:rFonts w:ascii="仿宋" w:hAnsi="仿宋" w:eastAsia="仿宋"/>
          <w:sz w:val="32"/>
          <w:szCs w:val="32"/>
          <w:shd w:val="pct10" w:color="auto" w:fill="FFFFFF"/>
        </w:rPr>
      </w:pPr>
      <w:r>
        <w:drawing>
          <wp:anchor distT="0" distB="0" distL="114300" distR="114300" simplePos="0" relativeHeight="251663360" behindDoc="0" locked="0" layoutInCell="1" allowOverlap="1">
            <wp:simplePos x="0" y="0"/>
            <wp:positionH relativeFrom="column">
              <wp:posOffset>315595</wp:posOffset>
            </wp:positionH>
            <wp:positionV relativeFrom="paragraph">
              <wp:posOffset>292735</wp:posOffset>
            </wp:positionV>
            <wp:extent cx="4572000" cy="2743200"/>
            <wp:effectExtent l="4445" t="4445" r="14605" b="14605"/>
            <wp:wrapNone/>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16"/>
        <w:rPr>
          <w:rFonts w:ascii="仿宋" w:hAnsi="仿宋" w:eastAsia="仿宋"/>
          <w:sz w:val="32"/>
          <w:szCs w:val="32"/>
          <w:shd w:val="pct10" w:color="auto" w:fill="FFFFFF"/>
        </w:rPr>
      </w:pPr>
    </w:p>
    <w:p>
      <w:pPr>
        <w:rPr>
          <w:rFonts w:ascii="仿宋" w:hAnsi="仿宋" w:eastAsia="仿宋"/>
          <w:sz w:val="32"/>
          <w:szCs w:val="32"/>
          <w:shd w:val="pct10" w:color="auto" w:fill="FFFFFF"/>
        </w:rPr>
      </w:pPr>
    </w:p>
    <w:p>
      <w:pPr>
        <w:pStyle w:val="16"/>
        <w:rPr>
          <w:rFonts w:ascii="仿宋" w:hAnsi="仿宋" w:eastAsia="仿宋"/>
          <w:sz w:val="32"/>
          <w:szCs w:val="32"/>
          <w:shd w:val="pct10" w:color="auto" w:fill="FFFFFF"/>
        </w:rPr>
      </w:pPr>
    </w:p>
    <w:p>
      <w:pPr>
        <w:rPr>
          <w:rFonts w:ascii="仿宋" w:hAnsi="仿宋" w:eastAsia="仿宋"/>
          <w:sz w:val="32"/>
          <w:szCs w:val="32"/>
          <w:shd w:val="pct10" w:color="auto" w:fill="FFFFFF"/>
        </w:rPr>
      </w:pPr>
    </w:p>
    <w:p>
      <w:pPr>
        <w:pStyle w:val="16"/>
        <w:rPr>
          <w:rFonts w:ascii="仿宋" w:hAnsi="仿宋" w:eastAsia="仿宋"/>
          <w:sz w:val="32"/>
          <w:szCs w:val="32"/>
          <w:shd w:val="pct10" w:color="auto" w:fill="FFFFFF"/>
        </w:rPr>
      </w:pPr>
    </w:p>
    <w:p>
      <w:pPr>
        <w:rPr>
          <w:rFonts w:ascii="仿宋" w:hAnsi="仿宋" w:eastAsia="仿宋"/>
          <w:sz w:val="32"/>
          <w:szCs w:val="32"/>
          <w:shd w:val="pct10" w:color="auto" w:fill="FFFFFF"/>
        </w:rPr>
      </w:pPr>
    </w:p>
    <w:p>
      <w:pPr>
        <w:pStyle w:val="16"/>
        <w:rPr>
          <w:rFonts w:ascii="仿宋" w:hAnsi="仿宋" w:eastAsia="仿宋"/>
          <w:sz w:val="32"/>
          <w:szCs w:val="32"/>
          <w:shd w:val="pct10" w:color="auto" w:fill="FFFFFF"/>
        </w:rPr>
      </w:pPr>
    </w:p>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（图3：支出决算结构图）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30"/>
          <w:rFonts w:ascii="黑体" w:hAnsi="黑体" w:eastAsia="黑体"/>
          <w:b w:val="0"/>
        </w:rPr>
      </w:pPr>
      <w:bookmarkStart w:id="37" w:name="_Toc15396606"/>
      <w:bookmarkStart w:id="38" w:name="_Toc15377208"/>
      <w:bookmarkStart w:id="39" w:name="_Toc4692"/>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37"/>
      <w:bookmarkEnd w:id="38"/>
      <w:bookmarkEnd w:id="39"/>
    </w:p>
    <w:p>
      <w:pPr>
        <w:spacing w:line="600" w:lineRule="exact"/>
        <w:ind w:firstLine="640" w:firstLineChars="200"/>
      </w:pPr>
      <w:r>
        <w:rPr>
          <w:rFonts w:ascii="仿宋" w:hAnsi="仿宋" w:eastAsia="仿宋"/>
          <w:sz w:val="32"/>
          <w:szCs w:val="32"/>
        </w:rPr>
        <w:t>20</w:t>
      </w:r>
      <w:r>
        <w:rPr>
          <w:rFonts w:hint="eastAsia" w:ascii="仿宋" w:hAnsi="仿宋" w:eastAsia="仿宋"/>
          <w:sz w:val="32"/>
          <w:szCs w:val="32"/>
        </w:rPr>
        <w:t>22年财政拨款收、支总计1,795.00万元。与2021年相比，收、支总计各</w:t>
      </w:r>
      <w:r>
        <w:rPr>
          <w:rFonts w:hint="eastAsia" w:ascii="仿宋" w:hAnsi="仿宋" w:eastAsia="仿宋"/>
          <w:sz w:val="32"/>
          <w:szCs w:val="32"/>
          <w:lang w:eastAsia="zh-CN"/>
        </w:rPr>
        <w:t>增加</w:t>
      </w:r>
      <w:r>
        <w:rPr>
          <w:rFonts w:hint="eastAsia" w:ascii="仿宋" w:hAnsi="仿宋" w:eastAsia="仿宋"/>
          <w:sz w:val="32"/>
          <w:szCs w:val="32"/>
          <w:lang w:val="en-US" w:eastAsia="zh-CN"/>
        </w:rPr>
        <w:t>698.92</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63.77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项目支出增加</w:t>
      </w:r>
      <w:r>
        <w:rPr>
          <w:rFonts w:hint="eastAsia" w:ascii="仿宋" w:hAnsi="仿宋" w:eastAsia="仿宋"/>
          <w:sz w:val="32"/>
          <w:szCs w:val="32"/>
        </w:rPr>
        <w:t>。</w:t>
      </w:r>
    </w:p>
    <w:p>
      <w:pPr>
        <w:spacing w:line="600" w:lineRule="exact"/>
        <w:ind w:firstLine="420" w:firstLineChars="200"/>
        <w:rPr>
          <w:rFonts w:hint="eastAsia" w:ascii="仿宋" w:hAnsi="仿宋" w:eastAsia="仿宋"/>
          <w:sz w:val="32"/>
          <w:szCs w:val="32"/>
        </w:rPr>
      </w:pPr>
      <w:r>
        <w:drawing>
          <wp:anchor distT="0" distB="0" distL="114300" distR="114300" simplePos="0" relativeHeight="251664384" behindDoc="0" locked="0" layoutInCell="1" allowOverlap="1">
            <wp:simplePos x="0" y="0"/>
            <wp:positionH relativeFrom="column">
              <wp:posOffset>163195</wp:posOffset>
            </wp:positionH>
            <wp:positionV relativeFrom="paragraph">
              <wp:posOffset>186690</wp:posOffset>
            </wp:positionV>
            <wp:extent cx="4572000" cy="2743200"/>
            <wp:effectExtent l="4445" t="4445" r="14605" b="14605"/>
            <wp:wrapNone/>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rPr>
          <w:rFonts w:ascii="仿宋" w:hAnsi="仿宋" w:eastAsia="仿宋"/>
          <w:b/>
          <w:sz w:val="32"/>
          <w:szCs w:val="32"/>
        </w:rPr>
      </w:pPr>
    </w:p>
    <w:p>
      <w:pPr>
        <w:pStyle w:val="16"/>
        <w:rPr>
          <w:rFonts w:ascii="仿宋" w:hAnsi="仿宋" w:eastAsia="仿宋"/>
          <w:b/>
          <w:sz w:val="32"/>
          <w:szCs w:val="32"/>
        </w:rPr>
      </w:pPr>
    </w:p>
    <w:p>
      <w:pPr>
        <w:rPr>
          <w:rFonts w:ascii="仿宋" w:hAnsi="仿宋" w:eastAsia="仿宋"/>
          <w:b/>
          <w:sz w:val="32"/>
          <w:szCs w:val="32"/>
        </w:rPr>
      </w:pPr>
    </w:p>
    <w:p>
      <w:pPr>
        <w:pStyle w:val="16"/>
        <w:rPr>
          <w:rFonts w:ascii="仿宋" w:hAnsi="仿宋" w:eastAsia="仿宋"/>
          <w:b/>
          <w:sz w:val="32"/>
          <w:szCs w:val="32"/>
        </w:rPr>
      </w:pPr>
    </w:p>
    <w:p>
      <w:pPr>
        <w:rPr>
          <w:rFonts w:ascii="仿宋" w:hAnsi="仿宋" w:eastAsia="仿宋"/>
          <w:b/>
          <w:sz w:val="32"/>
          <w:szCs w:val="32"/>
        </w:rPr>
      </w:pPr>
    </w:p>
    <w:p>
      <w:pPr>
        <w:pStyle w:val="16"/>
        <w:rPr>
          <w:rFonts w:ascii="仿宋" w:hAnsi="仿宋" w:eastAsia="仿宋"/>
          <w:b/>
          <w:sz w:val="32"/>
          <w:szCs w:val="32"/>
        </w:rPr>
      </w:pPr>
    </w:p>
    <w:p>
      <w:pPr>
        <w:rPr>
          <w:rFonts w:ascii="仿宋" w:hAnsi="仿宋" w:eastAsia="仿宋"/>
          <w:b/>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w:t>
      </w:r>
    </w:p>
    <w:p>
      <w:pPr>
        <w:spacing w:line="600" w:lineRule="exact"/>
        <w:ind w:firstLine="640"/>
        <w:rPr>
          <w:rFonts w:ascii="仿宋" w:hAnsi="仿宋" w:eastAsia="仿宋"/>
          <w:b/>
          <w:sz w:val="32"/>
          <w:szCs w:val="32"/>
        </w:rPr>
      </w:pPr>
    </w:p>
    <w:p>
      <w:pPr>
        <w:spacing w:line="600" w:lineRule="exact"/>
        <w:ind w:firstLine="640" w:firstLineChars="200"/>
        <w:outlineLvl w:val="1"/>
        <w:rPr>
          <w:rStyle w:val="30"/>
          <w:rFonts w:ascii="黑体" w:hAnsi="黑体" w:eastAsia="黑体"/>
          <w:b w:val="0"/>
        </w:rPr>
      </w:pPr>
      <w:bookmarkStart w:id="40" w:name="_Toc15396607"/>
      <w:bookmarkStart w:id="41" w:name="_Toc15377209"/>
      <w:bookmarkStart w:id="42" w:name="_Toc13648"/>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40"/>
      <w:bookmarkEnd w:id="41"/>
      <w:bookmarkEnd w:id="42"/>
    </w:p>
    <w:p>
      <w:pPr>
        <w:spacing w:line="600" w:lineRule="exact"/>
        <w:ind w:firstLine="643" w:firstLineChars="200"/>
        <w:outlineLvl w:val="2"/>
        <w:rPr>
          <w:rFonts w:ascii="仿宋" w:hAnsi="仿宋" w:eastAsia="仿宋"/>
          <w:b/>
          <w:sz w:val="32"/>
          <w:szCs w:val="32"/>
        </w:rPr>
      </w:pPr>
      <w:bookmarkStart w:id="43" w:name="_Toc15377210"/>
      <w:r>
        <w:rPr>
          <w:rFonts w:hint="eastAsia" w:ascii="仿宋" w:hAnsi="仿宋" w:eastAsia="仿宋"/>
          <w:b/>
          <w:sz w:val="32"/>
          <w:szCs w:val="32"/>
        </w:rPr>
        <w:t>（一）一般公共预算财政拨款支出决算总体情况</w:t>
      </w:r>
      <w:bookmarkEnd w:id="43"/>
    </w:p>
    <w:p>
      <w:pPr>
        <w:spacing w:line="600" w:lineRule="exact"/>
        <w:ind w:firstLine="640" w:firstLineChars="200"/>
      </w:pPr>
      <w:r>
        <w:rPr>
          <w:rFonts w:ascii="仿宋" w:hAnsi="仿宋" w:eastAsia="仿宋"/>
          <w:sz w:val="32"/>
          <w:szCs w:val="32"/>
        </w:rPr>
        <w:t>20</w:t>
      </w:r>
      <w:r>
        <w:rPr>
          <w:rFonts w:hint="eastAsia" w:ascii="仿宋" w:hAnsi="仿宋" w:eastAsia="仿宋"/>
          <w:sz w:val="32"/>
          <w:szCs w:val="32"/>
        </w:rPr>
        <w:t>22年一般公共预算财政拨款支出1,795.00万元，占本年支出合计的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w:t>
      </w:r>
      <w:r>
        <w:rPr>
          <w:rFonts w:hint="eastAsia" w:ascii="仿宋" w:hAnsi="仿宋" w:eastAsia="仿宋"/>
          <w:sz w:val="32"/>
          <w:szCs w:val="32"/>
          <w:lang w:eastAsia="zh-CN"/>
        </w:rPr>
        <w:t>增加</w:t>
      </w:r>
      <w:r>
        <w:rPr>
          <w:rFonts w:hint="eastAsia" w:ascii="仿宋" w:hAnsi="仿宋" w:eastAsia="仿宋"/>
          <w:sz w:val="32"/>
          <w:szCs w:val="32"/>
          <w:lang w:val="en-US" w:eastAsia="zh-CN"/>
        </w:rPr>
        <w:t>698.92</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63.77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项目支出增加</w:t>
      </w:r>
      <w:r>
        <w:rPr>
          <w:rFonts w:hint="eastAsia" w:ascii="仿宋" w:hAnsi="仿宋" w:eastAsia="仿宋"/>
          <w:sz w:val="32"/>
          <w:szCs w:val="32"/>
        </w:rPr>
        <w:t>。</w:t>
      </w:r>
    </w:p>
    <w:p>
      <w:pPr>
        <w:spacing w:line="600" w:lineRule="exact"/>
        <w:ind w:firstLine="420" w:firstLineChars="200"/>
        <w:rPr>
          <w:rFonts w:hint="eastAsia" w:ascii="仿宋" w:hAnsi="仿宋" w:eastAsia="仿宋"/>
          <w:sz w:val="32"/>
          <w:szCs w:val="32"/>
        </w:rPr>
      </w:pPr>
      <w:r>
        <w:drawing>
          <wp:anchor distT="0" distB="0" distL="114300" distR="114300" simplePos="0" relativeHeight="251660288" behindDoc="0" locked="0" layoutInCell="1" allowOverlap="1">
            <wp:simplePos x="0" y="0"/>
            <wp:positionH relativeFrom="column">
              <wp:posOffset>367030</wp:posOffset>
            </wp:positionH>
            <wp:positionV relativeFrom="paragraph">
              <wp:posOffset>51435</wp:posOffset>
            </wp:positionV>
            <wp:extent cx="4572000" cy="2743200"/>
            <wp:effectExtent l="4445" t="4445" r="14605" b="14605"/>
            <wp:wrapNone/>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ascii="仿宋" w:hAnsi="仿宋" w:eastAsia="仿宋"/>
          <w:sz w:val="32"/>
          <w:szCs w:val="32"/>
        </w:rPr>
      </w:pPr>
    </w:p>
    <w:p>
      <w:pPr>
        <w:pStyle w:val="16"/>
        <w:rPr>
          <w:rFonts w:ascii="仿宋" w:hAnsi="仿宋" w:eastAsia="仿宋"/>
          <w:sz w:val="32"/>
          <w:szCs w:val="32"/>
        </w:rPr>
      </w:pPr>
    </w:p>
    <w:p>
      <w:pPr>
        <w:rPr>
          <w:rFonts w:ascii="仿宋" w:hAnsi="仿宋" w:eastAsia="仿宋"/>
          <w:sz w:val="32"/>
          <w:szCs w:val="32"/>
        </w:rPr>
      </w:pPr>
    </w:p>
    <w:p>
      <w:pPr>
        <w:pStyle w:val="16"/>
        <w:rPr>
          <w:rFonts w:ascii="仿宋" w:hAnsi="仿宋" w:eastAsia="仿宋"/>
          <w:sz w:val="32"/>
          <w:szCs w:val="32"/>
        </w:rPr>
      </w:pPr>
    </w:p>
    <w:p>
      <w:pPr>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600" w:lineRule="exact"/>
        <w:ind w:firstLine="643" w:firstLineChars="200"/>
        <w:outlineLvl w:val="2"/>
        <w:rPr>
          <w:rFonts w:ascii="仿宋" w:hAnsi="仿宋" w:eastAsia="仿宋"/>
          <w:b/>
          <w:sz w:val="32"/>
          <w:szCs w:val="32"/>
        </w:rPr>
      </w:pPr>
      <w:bookmarkStart w:id="44" w:name="_Toc15377211"/>
      <w:r>
        <w:rPr>
          <w:rFonts w:hint="eastAsia" w:ascii="仿宋" w:hAnsi="仿宋" w:eastAsia="仿宋"/>
          <w:b/>
          <w:sz w:val="32"/>
          <w:szCs w:val="32"/>
        </w:rPr>
        <w:t>（二）一般公共预算财政拨款支出决算结构情况</w:t>
      </w:r>
      <w:bookmarkEnd w:id="44"/>
    </w:p>
    <w:p>
      <w:pPr>
        <w:spacing w:line="600" w:lineRule="exact"/>
        <w:ind w:firstLine="640"/>
        <w:rPr>
          <w:rFonts w:hint="eastAsia" w:ascii="仿宋_GB2312" w:hAnsi="仿宋_GB2312" w:eastAsia="仿宋_GB2312" w:cs="仿宋_GB2312"/>
          <w:b w:val="0"/>
          <w:bCs/>
          <w:kern w:val="2"/>
          <w:sz w:val="32"/>
          <w:szCs w:val="32"/>
          <w:lang w:val="en-US" w:eastAsia="zh-CN" w:bidi="ar-SA"/>
        </w:rPr>
      </w:pPr>
      <w:r>
        <w:rPr>
          <w:rFonts w:ascii="仿宋" w:hAnsi="仿宋" w:eastAsia="仿宋"/>
          <w:sz w:val="32"/>
          <w:szCs w:val="32"/>
        </w:rPr>
        <w:t>20</w:t>
      </w:r>
      <w:r>
        <w:rPr>
          <w:rFonts w:hint="eastAsia" w:ascii="仿宋" w:hAnsi="仿宋" w:eastAsia="仿宋"/>
          <w:sz w:val="32"/>
          <w:szCs w:val="32"/>
        </w:rPr>
        <w:t>22年一般公共预算财政拨款支出1,795.00万元，主要用于以下方面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108.34</w:t>
      </w:r>
      <w:r>
        <w:rPr>
          <w:rFonts w:hint="eastAsia" w:ascii="仿宋" w:hAnsi="仿宋" w:eastAsia="仿宋"/>
          <w:sz w:val="32"/>
          <w:szCs w:val="32"/>
        </w:rPr>
        <w:t>万元，占</w:t>
      </w:r>
      <w:r>
        <w:rPr>
          <w:rFonts w:hint="eastAsia" w:ascii="仿宋" w:hAnsi="仿宋" w:eastAsia="仿宋"/>
          <w:sz w:val="32"/>
          <w:szCs w:val="32"/>
          <w:lang w:val="en-US" w:eastAsia="zh-CN"/>
        </w:rPr>
        <w:t>6.04</w:t>
      </w:r>
      <w:r>
        <w:rPr>
          <w:rFonts w:ascii="仿宋" w:hAnsi="仿宋" w:eastAsia="仿宋"/>
          <w:sz w:val="32"/>
          <w:szCs w:val="32"/>
        </w:rPr>
        <w:t>%</w:t>
      </w:r>
      <w:r>
        <w:rPr>
          <w:rFonts w:hint="eastAsia" w:ascii="仿宋_GB2312" w:hAnsi="仿宋_GB2312" w:eastAsia="仿宋_GB2312" w:cs="仿宋_GB2312"/>
          <w:b w:val="0"/>
          <w:bCs/>
          <w:kern w:val="2"/>
          <w:sz w:val="32"/>
          <w:szCs w:val="32"/>
          <w:lang w:val="en-US" w:eastAsia="zh-CN" w:bidi="ar-SA"/>
        </w:rPr>
        <w:t>；</w:t>
      </w:r>
      <w:r>
        <w:rPr>
          <w:rFonts w:hint="eastAsia" w:ascii="仿宋" w:hAnsi="仿宋" w:eastAsia="仿宋" w:cs="Times New Roman"/>
          <w:b/>
          <w:sz w:val="32"/>
          <w:szCs w:val="32"/>
          <w:lang w:val="en-US" w:eastAsia="zh-CN"/>
        </w:rPr>
        <w:t>社会保障和就业（类）支出</w:t>
      </w:r>
      <w:r>
        <w:rPr>
          <w:rFonts w:hint="eastAsia" w:ascii="仿宋_GB2312" w:hAnsi="仿宋_GB2312" w:eastAsia="仿宋_GB2312" w:cs="仿宋_GB2312"/>
          <w:b w:val="0"/>
          <w:bCs/>
          <w:kern w:val="2"/>
          <w:sz w:val="32"/>
          <w:szCs w:val="32"/>
          <w:lang w:val="en-US" w:eastAsia="zh-CN" w:bidi="ar-SA"/>
        </w:rPr>
        <w:t>7.71万元，占0.43%；</w:t>
      </w:r>
      <w:r>
        <w:rPr>
          <w:rFonts w:hint="eastAsia" w:ascii="仿宋" w:hAnsi="仿宋" w:eastAsia="仿宋" w:cs="Times New Roman"/>
          <w:b/>
          <w:sz w:val="32"/>
          <w:szCs w:val="32"/>
          <w:lang w:val="en-US" w:eastAsia="zh-CN"/>
        </w:rPr>
        <w:t>卫生健康(类）支出</w:t>
      </w:r>
      <w:r>
        <w:rPr>
          <w:rFonts w:hint="eastAsia" w:ascii="仿宋_GB2312" w:hAnsi="仿宋_GB2312" w:eastAsia="仿宋_GB2312" w:cs="仿宋_GB2312"/>
          <w:b w:val="0"/>
          <w:bCs/>
          <w:kern w:val="2"/>
          <w:sz w:val="32"/>
          <w:szCs w:val="32"/>
          <w:lang w:val="en-US" w:eastAsia="zh-CN" w:bidi="ar-SA"/>
        </w:rPr>
        <w:t>4.17万元，占0.23%；</w:t>
      </w:r>
      <w:r>
        <w:rPr>
          <w:rFonts w:hint="eastAsia" w:ascii="仿宋_GB2312" w:hAnsi="仿宋_GB2312" w:eastAsia="仿宋_GB2312" w:cs="仿宋_GB2312"/>
          <w:b/>
          <w:bCs w:val="0"/>
          <w:kern w:val="2"/>
          <w:sz w:val="32"/>
          <w:szCs w:val="32"/>
          <w:lang w:val="en-US" w:eastAsia="zh-CN" w:bidi="ar-SA"/>
        </w:rPr>
        <w:t>农林水支出</w:t>
      </w:r>
      <w:r>
        <w:rPr>
          <w:rFonts w:hint="eastAsia" w:ascii="仿宋_GB2312" w:hAnsi="仿宋_GB2312" w:eastAsia="仿宋_GB2312" w:cs="仿宋_GB2312"/>
          <w:b w:val="0"/>
          <w:bCs/>
          <w:kern w:val="2"/>
          <w:sz w:val="32"/>
          <w:szCs w:val="32"/>
          <w:lang w:val="en-US" w:eastAsia="zh-CN" w:bidi="ar-SA"/>
        </w:rPr>
        <w:t>1669万元，占92.98%；</w:t>
      </w:r>
      <w:r>
        <w:rPr>
          <w:rFonts w:hint="eastAsia" w:ascii="仿宋" w:hAnsi="仿宋" w:eastAsia="仿宋" w:cs="Times New Roman"/>
          <w:b/>
          <w:sz w:val="32"/>
          <w:szCs w:val="32"/>
          <w:lang w:val="en-US" w:eastAsia="zh-CN"/>
        </w:rPr>
        <w:t>住房保障支出（类）</w:t>
      </w:r>
      <w:r>
        <w:rPr>
          <w:rFonts w:hint="eastAsia" w:ascii="仿宋_GB2312" w:hAnsi="仿宋_GB2312" w:eastAsia="仿宋_GB2312" w:cs="仿宋_GB2312"/>
          <w:b w:val="0"/>
          <w:bCs/>
          <w:kern w:val="2"/>
          <w:sz w:val="32"/>
          <w:szCs w:val="32"/>
          <w:lang w:val="en-US" w:eastAsia="zh-CN" w:bidi="ar-SA"/>
        </w:rPr>
        <w:t>5.78万元，占0.32%。</w:t>
      </w:r>
    </w:p>
    <w:p>
      <w:pPr>
        <w:pStyle w:val="16"/>
        <w:rPr>
          <w:rFonts w:hint="eastAsia" w:ascii="仿宋_GB2312" w:hAnsi="仿宋_GB2312" w:eastAsia="仿宋_GB2312" w:cs="仿宋_GB2312"/>
          <w:b w:val="0"/>
          <w:bCs/>
          <w:kern w:val="2"/>
          <w:sz w:val="32"/>
          <w:szCs w:val="32"/>
          <w:lang w:val="en-US" w:eastAsia="zh-CN" w:bidi="ar-SA"/>
        </w:rPr>
      </w:pPr>
    </w:p>
    <w:p>
      <w:pPr>
        <w:rPr>
          <w:rFonts w:hint="eastAsia" w:ascii="仿宋_GB2312" w:hAnsi="仿宋_GB2312" w:eastAsia="仿宋_GB2312" w:cs="仿宋_GB2312"/>
          <w:b w:val="0"/>
          <w:bCs/>
          <w:kern w:val="2"/>
          <w:sz w:val="32"/>
          <w:szCs w:val="32"/>
          <w:lang w:val="en-US" w:eastAsia="zh-CN" w:bidi="ar-SA"/>
        </w:rPr>
      </w:pPr>
      <w:r>
        <w:drawing>
          <wp:anchor distT="0" distB="0" distL="114300" distR="114300" simplePos="0" relativeHeight="251659264" behindDoc="0" locked="0" layoutInCell="1" allowOverlap="1">
            <wp:simplePos x="0" y="0"/>
            <wp:positionH relativeFrom="column">
              <wp:posOffset>447675</wp:posOffset>
            </wp:positionH>
            <wp:positionV relativeFrom="paragraph">
              <wp:posOffset>12700</wp:posOffset>
            </wp:positionV>
            <wp:extent cx="4572000" cy="2743200"/>
            <wp:effectExtent l="4445" t="4445" r="14605" b="14605"/>
            <wp:wrapNone/>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16"/>
        <w:rPr>
          <w:rFonts w:hint="eastAsia" w:ascii="仿宋_GB2312" w:hAnsi="仿宋_GB2312" w:eastAsia="仿宋_GB2312" w:cs="仿宋_GB2312"/>
          <w:b w:val="0"/>
          <w:bCs/>
          <w:kern w:val="2"/>
          <w:sz w:val="32"/>
          <w:szCs w:val="32"/>
          <w:lang w:val="en-US" w:eastAsia="zh-CN" w:bidi="ar-SA"/>
        </w:rPr>
      </w:pPr>
    </w:p>
    <w:p>
      <w:pPr>
        <w:rPr>
          <w:rFonts w:hint="eastAsia" w:ascii="仿宋_GB2312" w:hAnsi="仿宋_GB2312" w:eastAsia="仿宋_GB2312" w:cs="仿宋_GB2312"/>
          <w:b w:val="0"/>
          <w:bCs/>
          <w:kern w:val="2"/>
          <w:sz w:val="32"/>
          <w:szCs w:val="32"/>
          <w:lang w:val="en-US" w:eastAsia="zh-CN" w:bidi="ar-SA"/>
        </w:rPr>
      </w:pPr>
    </w:p>
    <w:p>
      <w:pPr>
        <w:pStyle w:val="16"/>
        <w:rPr>
          <w:rFonts w:hint="eastAsia" w:ascii="仿宋_GB2312" w:hAnsi="仿宋_GB2312" w:eastAsia="仿宋_GB2312" w:cs="仿宋_GB2312"/>
          <w:b w:val="0"/>
          <w:bCs/>
          <w:kern w:val="2"/>
          <w:sz w:val="32"/>
          <w:szCs w:val="32"/>
          <w:lang w:val="en-US" w:eastAsia="zh-CN" w:bidi="ar-SA"/>
        </w:rPr>
      </w:pPr>
    </w:p>
    <w:p>
      <w:pPr>
        <w:rPr>
          <w:rFonts w:hint="eastAsia" w:ascii="仿宋_GB2312" w:hAnsi="仿宋_GB2312" w:eastAsia="仿宋_GB2312" w:cs="仿宋_GB2312"/>
          <w:b w:val="0"/>
          <w:bCs/>
          <w:kern w:val="2"/>
          <w:sz w:val="32"/>
          <w:szCs w:val="32"/>
          <w:lang w:val="en-US" w:eastAsia="zh-CN" w:bidi="ar-SA"/>
        </w:rPr>
      </w:pPr>
    </w:p>
    <w:p>
      <w:pPr>
        <w:pStyle w:val="16"/>
        <w:rPr>
          <w:rFonts w:hint="eastAsia" w:ascii="仿宋_GB2312" w:hAnsi="仿宋_GB2312" w:eastAsia="仿宋_GB2312" w:cs="仿宋_GB2312"/>
          <w:b w:val="0"/>
          <w:bCs/>
          <w:kern w:val="2"/>
          <w:sz w:val="32"/>
          <w:szCs w:val="32"/>
          <w:lang w:val="en-US" w:eastAsia="zh-CN" w:bidi="ar-SA"/>
        </w:rPr>
      </w:pPr>
    </w:p>
    <w:p>
      <w:pPr>
        <w:spacing w:line="600" w:lineRule="exact"/>
        <w:rPr>
          <w:rFonts w:ascii="仿宋" w:hAnsi="仿宋" w:eastAsia="仿宋"/>
          <w:b/>
          <w:sz w:val="32"/>
          <w:szCs w:val="32"/>
        </w:rPr>
      </w:pPr>
    </w:p>
    <w:p>
      <w:pPr>
        <w:spacing w:line="600" w:lineRule="exact"/>
        <w:ind w:firstLine="640"/>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w:t>
      </w:r>
    </w:p>
    <w:p>
      <w:pPr>
        <w:spacing w:line="600" w:lineRule="exact"/>
        <w:ind w:firstLine="643" w:firstLineChars="200"/>
        <w:outlineLvl w:val="2"/>
        <w:rPr>
          <w:rFonts w:ascii="仿宋" w:hAnsi="仿宋" w:eastAsia="仿宋"/>
          <w:b/>
          <w:sz w:val="32"/>
          <w:szCs w:val="32"/>
        </w:rPr>
      </w:pPr>
      <w:bookmarkStart w:id="45" w:name="_Toc15377212"/>
      <w:r>
        <w:rPr>
          <w:rFonts w:hint="eastAsia" w:ascii="仿宋" w:hAnsi="仿宋" w:eastAsia="仿宋"/>
          <w:b/>
          <w:sz w:val="32"/>
          <w:szCs w:val="32"/>
        </w:rPr>
        <w:t>（三）一般公共预算财政拨款支出决算具体情况</w:t>
      </w:r>
      <w:bookmarkEnd w:id="45"/>
    </w:p>
    <w:p>
      <w:pPr>
        <w:spacing w:line="600" w:lineRule="exact"/>
        <w:ind w:firstLine="643" w:firstLineChars="200"/>
        <w:outlineLvl w:val="1"/>
        <w:rPr>
          <w:rFonts w:ascii="仿宋" w:hAnsi="仿宋" w:eastAsia="仿宋"/>
          <w:sz w:val="32"/>
          <w:szCs w:val="32"/>
        </w:rPr>
      </w:pPr>
      <w:bookmarkStart w:id="46" w:name="_Toc15378460"/>
      <w:bookmarkStart w:id="47" w:name="_Toc15377444"/>
      <w:bookmarkStart w:id="48" w:name="_Toc8371"/>
      <w:bookmarkStart w:id="49" w:name="_Toc15377213"/>
      <w:r>
        <w:rPr>
          <w:rFonts w:hint="eastAsia" w:ascii="仿宋" w:hAnsi="仿宋" w:eastAsia="仿宋"/>
          <w:b/>
          <w:sz w:val="32"/>
          <w:szCs w:val="32"/>
        </w:rPr>
        <w:t>2022年一般公共预算支出决算数为1,795.00</w:t>
      </w:r>
      <w:r>
        <w:rPr>
          <w:rFonts w:hint="eastAsia" w:ascii="仿宋" w:hAnsi="仿宋" w:eastAsia="仿宋"/>
          <w:sz w:val="32"/>
          <w:szCs w:val="32"/>
        </w:rPr>
        <w:t>，</w:t>
      </w:r>
      <w:r>
        <w:rPr>
          <w:rStyle w:val="19"/>
          <w:rFonts w:hint="eastAsia" w:ascii="仿宋" w:hAnsi="仿宋" w:eastAsia="仿宋"/>
          <w:bCs/>
          <w:sz w:val="32"/>
          <w:szCs w:val="32"/>
        </w:rPr>
        <w:t>完成预算</w:t>
      </w:r>
      <w:r>
        <w:rPr>
          <w:rStyle w:val="19"/>
          <w:rFonts w:hint="eastAsia" w:ascii="仿宋" w:hAnsi="仿宋" w:eastAsia="仿宋"/>
          <w:bCs/>
          <w:sz w:val="32"/>
          <w:szCs w:val="32"/>
          <w:lang w:val="en-US" w:eastAsia="zh-CN"/>
        </w:rPr>
        <w:t>100</w:t>
      </w:r>
      <w:r>
        <w:rPr>
          <w:rStyle w:val="19"/>
          <w:rFonts w:ascii="仿宋" w:hAnsi="仿宋" w:eastAsia="仿宋"/>
          <w:bCs/>
          <w:sz w:val="32"/>
          <w:szCs w:val="32"/>
        </w:rPr>
        <w:t>%</w:t>
      </w:r>
      <w:r>
        <w:rPr>
          <w:rStyle w:val="19"/>
          <w:rFonts w:hint="eastAsia" w:ascii="仿宋" w:hAnsi="仿宋" w:eastAsia="仿宋"/>
          <w:bCs/>
          <w:sz w:val="32"/>
          <w:szCs w:val="32"/>
        </w:rPr>
        <w:t>。其中：</w:t>
      </w:r>
      <w:bookmarkEnd w:id="46"/>
      <w:bookmarkEnd w:id="47"/>
      <w:bookmarkEnd w:id="48"/>
      <w:bookmarkEnd w:id="49"/>
    </w:p>
    <w:p>
      <w:pPr>
        <w:numPr>
          <w:ilvl w:val="0"/>
          <w:numId w:val="0"/>
        </w:numPr>
        <w:spacing w:line="600" w:lineRule="exact"/>
        <w:ind w:firstLine="643" w:firstLineChars="200"/>
        <w:rPr>
          <w:rFonts w:hint="eastAsia" w:ascii="仿宋_GB2312" w:hAnsi="仿宋_GB2312" w:eastAsia="仿宋_GB2312" w:cs="仿宋_GB2312"/>
          <w:b w:val="0"/>
          <w:bCs/>
          <w:kern w:val="2"/>
          <w:sz w:val="32"/>
          <w:szCs w:val="32"/>
          <w:lang w:val="en-US" w:eastAsia="zh-CN" w:bidi="ar-SA"/>
        </w:rPr>
      </w:pPr>
      <w:r>
        <w:rPr>
          <w:rStyle w:val="19"/>
          <w:rFonts w:hint="eastAsia" w:ascii="仿宋" w:hAnsi="仿宋" w:eastAsia="仿宋"/>
          <w:bCs/>
          <w:sz w:val="32"/>
          <w:szCs w:val="32"/>
          <w:lang w:val="en-US" w:eastAsia="zh-CN"/>
        </w:rPr>
        <w:t>1.</w:t>
      </w:r>
      <w:r>
        <w:rPr>
          <w:rStyle w:val="19"/>
          <w:rFonts w:hint="eastAsia" w:ascii="仿宋" w:hAnsi="仿宋" w:eastAsia="仿宋"/>
          <w:bCs/>
          <w:sz w:val="32"/>
          <w:szCs w:val="32"/>
        </w:rPr>
        <w:t>一般公共服务（类）</w:t>
      </w:r>
      <w:r>
        <w:rPr>
          <w:rStyle w:val="19"/>
          <w:rFonts w:hint="eastAsia" w:ascii="仿宋" w:hAnsi="仿宋" w:eastAsia="仿宋"/>
          <w:bCs/>
          <w:sz w:val="32"/>
          <w:szCs w:val="32"/>
          <w:lang w:eastAsia="zh-CN"/>
        </w:rPr>
        <w:t>发展与改革事务</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行政运行</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Fonts w:hint="eastAsia" w:ascii="仿宋_GB2312" w:hAnsi="仿宋_GB2312" w:eastAsia="仿宋_GB2312" w:cs="仿宋_GB2312"/>
          <w:b w:val="0"/>
          <w:bCs/>
          <w:kern w:val="2"/>
          <w:sz w:val="32"/>
          <w:szCs w:val="32"/>
          <w:lang w:val="en-US" w:eastAsia="zh-CN" w:bidi="ar-SA"/>
        </w:rPr>
        <w:t>支出决算为74.60万元，完成预算100%。</w:t>
      </w:r>
    </w:p>
    <w:p>
      <w:pPr>
        <w:numPr>
          <w:ilvl w:val="0"/>
          <w:numId w:val="0"/>
        </w:numPr>
        <w:spacing w:line="600" w:lineRule="exact"/>
        <w:ind w:firstLine="643" w:firstLineChars="200"/>
        <w:rPr>
          <w:rFonts w:hint="eastAsia"/>
          <w:lang w:val="en-US" w:eastAsia="zh-CN"/>
        </w:rPr>
      </w:pPr>
      <w:r>
        <w:rPr>
          <w:rStyle w:val="19"/>
          <w:rFonts w:hint="eastAsia" w:ascii="仿宋" w:hAnsi="仿宋" w:eastAsia="仿宋"/>
          <w:bCs/>
          <w:sz w:val="32"/>
          <w:szCs w:val="32"/>
          <w:lang w:val="en-US" w:eastAsia="zh-CN"/>
        </w:rPr>
        <w:t>2.</w:t>
      </w:r>
      <w:r>
        <w:rPr>
          <w:rStyle w:val="19"/>
          <w:rFonts w:hint="eastAsia" w:ascii="仿宋" w:hAnsi="仿宋" w:eastAsia="仿宋"/>
          <w:bCs/>
          <w:sz w:val="32"/>
          <w:szCs w:val="32"/>
        </w:rPr>
        <w:t>一般公共服务（类）</w:t>
      </w:r>
      <w:r>
        <w:rPr>
          <w:rStyle w:val="19"/>
          <w:rFonts w:hint="eastAsia" w:ascii="仿宋" w:hAnsi="仿宋" w:eastAsia="仿宋"/>
          <w:bCs/>
          <w:sz w:val="32"/>
          <w:szCs w:val="32"/>
          <w:lang w:eastAsia="zh-CN"/>
        </w:rPr>
        <w:t>发展与改革事务</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一般行政管理事务</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Fonts w:hint="eastAsia" w:ascii="仿宋_GB2312" w:hAnsi="仿宋_GB2312" w:eastAsia="仿宋_GB2312" w:cs="仿宋_GB2312"/>
          <w:b w:val="0"/>
          <w:bCs/>
          <w:kern w:val="2"/>
          <w:sz w:val="32"/>
          <w:szCs w:val="32"/>
          <w:lang w:val="en-US" w:eastAsia="zh-CN" w:bidi="ar-SA"/>
        </w:rPr>
        <w:t>支出决算为5.81万元，完成预算100%。</w:t>
      </w:r>
    </w:p>
    <w:p>
      <w:pPr>
        <w:spacing w:line="600" w:lineRule="exact"/>
        <w:ind w:firstLine="643" w:firstLineChars="200"/>
        <w:rPr>
          <w:rFonts w:hint="eastAsia" w:ascii="仿宋_GB2312" w:hAnsi="仿宋_GB2312" w:eastAsia="仿宋_GB2312" w:cs="仿宋_GB2312"/>
          <w:b w:val="0"/>
          <w:bCs/>
          <w:kern w:val="2"/>
          <w:sz w:val="32"/>
          <w:szCs w:val="32"/>
          <w:lang w:val="en-US" w:eastAsia="zh-CN" w:bidi="ar-SA"/>
        </w:rPr>
      </w:pPr>
      <w:r>
        <w:rPr>
          <w:rStyle w:val="19"/>
          <w:rFonts w:hint="eastAsia" w:ascii="仿宋" w:hAnsi="仿宋" w:eastAsia="仿宋"/>
          <w:bCs/>
          <w:sz w:val="32"/>
          <w:szCs w:val="32"/>
          <w:lang w:val="en-US" w:eastAsia="zh-CN"/>
        </w:rPr>
        <w:t>3</w:t>
      </w:r>
      <w:r>
        <w:rPr>
          <w:rStyle w:val="19"/>
          <w:rFonts w:ascii="仿宋" w:hAnsi="仿宋" w:eastAsia="仿宋"/>
          <w:bCs/>
          <w:sz w:val="32"/>
          <w:szCs w:val="32"/>
        </w:rPr>
        <w:t>.</w:t>
      </w:r>
      <w:r>
        <w:rPr>
          <w:rStyle w:val="19"/>
          <w:rFonts w:hint="eastAsia" w:ascii="仿宋" w:hAnsi="仿宋" w:eastAsia="仿宋"/>
          <w:bCs/>
          <w:sz w:val="32"/>
          <w:szCs w:val="32"/>
        </w:rPr>
        <w:t>一般公共服务（类）</w:t>
      </w:r>
      <w:r>
        <w:rPr>
          <w:rStyle w:val="19"/>
          <w:rFonts w:hint="eastAsia" w:ascii="仿宋" w:hAnsi="仿宋" w:eastAsia="仿宋"/>
          <w:bCs/>
          <w:sz w:val="32"/>
          <w:szCs w:val="32"/>
          <w:lang w:eastAsia="zh-CN"/>
        </w:rPr>
        <w:t>发展与改革事务</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事业运行</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Fonts w:hint="eastAsia" w:ascii="仿宋_GB2312" w:hAnsi="仿宋_GB2312" w:eastAsia="仿宋_GB2312" w:cs="仿宋_GB2312"/>
          <w:b w:val="0"/>
          <w:bCs/>
          <w:kern w:val="2"/>
          <w:sz w:val="32"/>
          <w:szCs w:val="32"/>
          <w:lang w:val="en-US" w:eastAsia="zh-CN" w:bidi="ar-SA"/>
        </w:rPr>
        <w:t>支出决算为17.93万元，完成预算100%。</w:t>
      </w:r>
    </w:p>
    <w:p>
      <w:pPr>
        <w:spacing w:line="600" w:lineRule="exact"/>
        <w:ind w:firstLine="643" w:firstLineChars="200"/>
        <w:rPr>
          <w:rFonts w:hint="eastAsia" w:ascii="仿宋_GB2312" w:hAnsi="仿宋_GB2312" w:eastAsia="仿宋_GB2312" w:cs="仿宋_GB2312"/>
          <w:b w:val="0"/>
          <w:bCs/>
          <w:kern w:val="2"/>
          <w:sz w:val="32"/>
          <w:szCs w:val="32"/>
          <w:lang w:val="en-US" w:eastAsia="zh-CN" w:bidi="ar-SA"/>
        </w:rPr>
      </w:pPr>
      <w:r>
        <w:rPr>
          <w:rStyle w:val="19"/>
          <w:rFonts w:hint="eastAsia" w:ascii="仿宋" w:hAnsi="仿宋" w:eastAsia="仿宋"/>
          <w:bCs/>
          <w:sz w:val="32"/>
          <w:szCs w:val="32"/>
          <w:lang w:val="en-US" w:eastAsia="zh-CN"/>
        </w:rPr>
        <w:t>4</w:t>
      </w:r>
      <w:r>
        <w:rPr>
          <w:rStyle w:val="19"/>
          <w:rFonts w:ascii="仿宋" w:hAnsi="仿宋" w:eastAsia="仿宋"/>
          <w:bCs/>
          <w:sz w:val="32"/>
          <w:szCs w:val="32"/>
        </w:rPr>
        <w:t>.</w:t>
      </w:r>
      <w:r>
        <w:rPr>
          <w:rStyle w:val="19"/>
          <w:rFonts w:hint="eastAsia" w:ascii="仿宋" w:hAnsi="仿宋" w:eastAsia="仿宋"/>
          <w:bCs/>
          <w:sz w:val="32"/>
          <w:szCs w:val="32"/>
        </w:rPr>
        <w:t>一般公共服务（类）</w:t>
      </w:r>
      <w:r>
        <w:rPr>
          <w:rStyle w:val="19"/>
          <w:rFonts w:hint="eastAsia" w:ascii="仿宋" w:hAnsi="仿宋" w:eastAsia="仿宋"/>
          <w:bCs/>
          <w:sz w:val="32"/>
          <w:szCs w:val="32"/>
          <w:lang w:eastAsia="zh-CN"/>
        </w:rPr>
        <w:t>发展与改革事务</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其他发展和改革事务支出</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Fonts w:hint="eastAsia" w:ascii="仿宋_GB2312" w:hAnsi="仿宋_GB2312" w:eastAsia="仿宋_GB2312" w:cs="仿宋_GB2312"/>
          <w:b w:val="0"/>
          <w:bCs/>
          <w:kern w:val="2"/>
          <w:sz w:val="32"/>
          <w:szCs w:val="32"/>
          <w:lang w:val="en-US" w:eastAsia="zh-CN" w:bidi="ar-SA"/>
        </w:rPr>
        <w:t>支出决算为10万元，完成预算100%。</w:t>
      </w:r>
    </w:p>
    <w:p>
      <w:pPr>
        <w:spacing w:line="600" w:lineRule="exact"/>
        <w:ind w:firstLine="643" w:firstLineChars="200"/>
        <w:rPr>
          <w:rFonts w:hint="eastAsia" w:ascii="仿宋_GB2312" w:hAnsi="仿宋_GB2312" w:eastAsia="仿宋_GB2312" w:cs="仿宋_GB2312"/>
          <w:b w:val="0"/>
          <w:bCs/>
          <w:kern w:val="2"/>
          <w:sz w:val="32"/>
          <w:szCs w:val="32"/>
          <w:lang w:val="en-US" w:eastAsia="zh-CN" w:bidi="ar-SA"/>
        </w:rPr>
      </w:pPr>
      <w:r>
        <w:rPr>
          <w:rStyle w:val="19"/>
          <w:rFonts w:hint="eastAsia" w:ascii="仿宋" w:hAnsi="仿宋" w:eastAsia="仿宋"/>
          <w:bCs/>
          <w:sz w:val="32"/>
          <w:szCs w:val="32"/>
          <w:lang w:val="en-US" w:eastAsia="zh-CN"/>
        </w:rPr>
        <w:t>5</w:t>
      </w:r>
      <w:r>
        <w:rPr>
          <w:rStyle w:val="19"/>
          <w:rFonts w:ascii="仿宋" w:hAnsi="仿宋" w:eastAsia="仿宋"/>
          <w:bCs/>
          <w:sz w:val="32"/>
          <w:szCs w:val="32"/>
        </w:rPr>
        <w:t>.</w:t>
      </w:r>
      <w:r>
        <w:rPr>
          <w:rStyle w:val="19"/>
          <w:rFonts w:hint="eastAsia" w:ascii="仿宋" w:hAnsi="仿宋" w:eastAsia="仿宋"/>
          <w:bCs/>
          <w:sz w:val="32"/>
          <w:szCs w:val="32"/>
        </w:rPr>
        <w:t>社会保障和就业（类）</w:t>
      </w:r>
      <w:r>
        <w:rPr>
          <w:rStyle w:val="19"/>
          <w:rFonts w:hint="eastAsia" w:ascii="仿宋" w:hAnsi="仿宋" w:eastAsia="仿宋"/>
          <w:bCs/>
          <w:sz w:val="32"/>
          <w:szCs w:val="32"/>
          <w:lang w:eastAsia="zh-CN"/>
        </w:rPr>
        <w:t>行政事业单位养老支出</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机关事业单位基本养老保险缴费支出</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Fonts w:hint="eastAsia" w:ascii="仿宋_GB2312" w:hAnsi="仿宋_GB2312" w:eastAsia="仿宋_GB2312" w:cs="仿宋_GB2312"/>
          <w:b w:val="0"/>
          <w:bCs/>
          <w:kern w:val="2"/>
          <w:sz w:val="32"/>
          <w:szCs w:val="32"/>
          <w:lang w:val="en-US" w:eastAsia="zh-CN" w:bidi="ar-SA"/>
        </w:rPr>
        <w:t>支出决算为7.71万元，完成预算100%。</w:t>
      </w:r>
    </w:p>
    <w:p>
      <w:pPr>
        <w:spacing w:line="600" w:lineRule="exact"/>
        <w:ind w:firstLine="643" w:firstLineChars="200"/>
        <w:rPr>
          <w:rFonts w:hint="eastAsia" w:ascii="仿宋_GB2312" w:hAnsi="仿宋_GB2312" w:eastAsia="仿宋_GB2312" w:cs="仿宋_GB2312"/>
          <w:b w:val="0"/>
          <w:bCs/>
          <w:kern w:val="2"/>
          <w:sz w:val="32"/>
          <w:szCs w:val="32"/>
          <w:lang w:val="en-US" w:eastAsia="zh-CN" w:bidi="ar-SA"/>
        </w:rPr>
      </w:pPr>
      <w:r>
        <w:rPr>
          <w:rStyle w:val="19"/>
          <w:rFonts w:hint="eastAsia" w:ascii="仿宋" w:hAnsi="仿宋" w:eastAsia="仿宋"/>
          <w:bCs/>
          <w:sz w:val="32"/>
          <w:szCs w:val="32"/>
          <w:lang w:val="en-US" w:eastAsia="zh-CN"/>
        </w:rPr>
        <w:t>6</w:t>
      </w:r>
      <w:r>
        <w:rPr>
          <w:rStyle w:val="19"/>
          <w:rFonts w:ascii="仿宋" w:hAnsi="仿宋" w:eastAsia="仿宋"/>
          <w:bCs/>
          <w:sz w:val="32"/>
          <w:szCs w:val="32"/>
        </w:rPr>
        <w:t>.</w:t>
      </w:r>
      <w:r>
        <w:rPr>
          <w:rFonts w:hint="eastAsia" w:ascii="仿宋" w:hAnsi="仿宋" w:eastAsia="仿宋"/>
          <w:b/>
          <w:bCs/>
          <w:sz w:val="32"/>
          <w:szCs w:val="32"/>
        </w:rPr>
        <w:t>卫生健康</w:t>
      </w:r>
      <w:r>
        <w:rPr>
          <w:rStyle w:val="19"/>
          <w:rFonts w:hint="eastAsia" w:ascii="仿宋" w:hAnsi="仿宋" w:eastAsia="仿宋"/>
          <w:bCs/>
          <w:sz w:val="32"/>
          <w:szCs w:val="32"/>
        </w:rPr>
        <w:t>（类）</w:t>
      </w:r>
      <w:r>
        <w:rPr>
          <w:rStyle w:val="19"/>
          <w:rFonts w:hint="eastAsia" w:ascii="仿宋" w:hAnsi="仿宋" w:eastAsia="仿宋"/>
          <w:bCs/>
          <w:sz w:val="32"/>
          <w:szCs w:val="32"/>
          <w:lang w:eastAsia="zh-CN"/>
        </w:rPr>
        <w:t>行政事业单位医疗</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行政单位医疗</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Fonts w:hint="eastAsia" w:ascii="仿宋_GB2312" w:hAnsi="仿宋_GB2312" w:eastAsia="仿宋_GB2312" w:cs="仿宋_GB2312"/>
          <w:b w:val="0"/>
          <w:bCs/>
          <w:kern w:val="2"/>
          <w:sz w:val="32"/>
          <w:szCs w:val="32"/>
          <w:lang w:val="en-US" w:eastAsia="zh-CN" w:bidi="ar-SA"/>
        </w:rPr>
        <w:t>支出决算为3.86万元，完成预算100%。</w:t>
      </w:r>
    </w:p>
    <w:p>
      <w:pPr>
        <w:spacing w:line="600" w:lineRule="exact"/>
        <w:ind w:firstLine="643" w:firstLineChars="200"/>
        <w:rPr>
          <w:rFonts w:hint="eastAsia" w:ascii="仿宋_GB2312" w:hAnsi="仿宋_GB2312" w:eastAsia="仿宋_GB2312" w:cs="仿宋_GB2312"/>
          <w:b w:val="0"/>
          <w:bCs/>
          <w:kern w:val="2"/>
          <w:sz w:val="32"/>
          <w:szCs w:val="32"/>
          <w:lang w:val="en-US" w:eastAsia="zh-CN" w:bidi="ar-SA"/>
        </w:rPr>
      </w:pPr>
      <w:r>
        <w:rPr>
          <w:rStyle w:val="19"/>
          <w:rFonts w:hint="eastAsia" w:ascii="仿宋" w:hAnsi="仿宋" w:eastAsia="仿宋"/>
          <w:bCs/>
          <w:sz w:val="32"/>
          <w:szCs w:val="32"/>
          <w:lang w:val="en-US" w:eastAsia="zh-CN"/>
        </w:rPr>
        <w:t>7</w:t>
      </w:r>
      <w:r>
        <w:rPr>
          <w:rStyle w:val="19"/>
          <w:rFonts w:ascii="仿宋" w:hAnsi="仿宋" w:eastAsia="仿宋"/>
          <w:bCs/>
          <w:sz w:val="32"/>
          <w:szCs w:val="32"/>
        </w:rPr>
        <w:t>.</w:t>
      </w:r>
      <w:r>
        <w:rPr>
          <w:rFonts w:hint="eastAsia" w:ascii="仿宋" w:hAnsi="仿宋" w:eastAsia="仿宋"/>
          <w:b/>
          <w:bCs/>
          <w:sz w:val="32"/>
          <w:szCs w:val="32"/>
        </w:rPr>
        <w:t>卫生健康</w:t>
      </w:r>
      <w:r>
        <w:rPr>
          <w:rStyle w:val="19"/>
          <w:rFonts w:hint="eastAsia" w:ascii="仿宋" w:hAnsi="仿宋" w:eastAsia="仿宋"/>
          <w:bCs/>
          <w:sz w:val="32"/>
          <w:szCs w:val="32"/>
        </w:rPr>
        <w:t>（类）</w:t>
      </w:r>
      <w:r>
        <w:rPr>
          <w:rStyle w:val="19"/>
          <w:rFonts w:hint="eastAsia" w:ascii="仿宋" w:hAnsi="仿宋" w:eastAsia="仿宋"/>
          <w:bCs/>
          <w:sz w:val="32"/>
          <w:szCs w:val="32"/>
          <w:lang w:eastAsia="zh-CN"/>
        </w:rPr>
        <w:t>行政事业单位医疗</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其他行政事业单位医疗</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Fonts w:hint="eastAsia" w:ascii="仿宋_GB2312" w:hAnsi="仿宋_GB2312" w:eastAsia="仿宋_GB2312" w:cs="仿宋_GB2312"/>
          <w:b w:val="0"/>
          <w:bCs/>
          <w:kern w:val="2"/>
          <w:sz w:val="32"/>
          <w:szCs w:val="32"/>
          <w:lang w:val="en-US" w:eastAsia="zh-CN" w:bidi="ar-SA"/>
        </w:rPr>
        <w:t>支出决算为0.31万元，完成预算100%。</w:t>
      </w:r>
    </w:p>
    <w:p>
      <w:pPr>
        <w:pStyle w:val="15"/>
        <w:ind w:firstLine="643" w:firstLineChars="200"/>
        <w:rPr>
          <w:rFonts w:hint="eastAsia" w:ascii="仿宋_GB2312" w:hAnsi="仿宋_GB2312" w:eastAsia="仿宋_GB2312" w:cs="仿宋_GB2312"/>
          <w:b w:val="0"/>
          <w:bCs/>
          <w:kern w:val="2"/>
          <w:sz w:val="32"/>
          <w:szCs w:val="32"/>
          <w:lang w:val="en-US" w:eastAsia="zh-CN" w:bidi="ar-SA"/>
        </w:rPr>
      </w:pPr>
      <w:r>
        <w:rPr>
          <w:rFonts w:hint="eastAsia" w:hAnsi="仿宋_GB2312" w:cs="仿宋_GB2312"/>
          <w:b/>
          <w:bCs w:val="0"/>
          <w:kern w:val="2"/>
          <w:sz w:val="32"/>
          <w:szCs w:val="32"/>
          <w:lang w:val="en-US" w:eastAsia="zh-CN" w:bidi="ar-SA"/>
        </w:rPr>
        <w:t>8.农林水支出（类）巩固脱贫衔接乡村振兴（款）农村基础设施建设（项）</w:t>
      </w:r>
      <w:r>
        <w:rPr>
          <w:rFonts w:hint="eastAsia" w:hAnsi="仿宋_GB2312" w:cs="仿宋_GB2312"/>
          <w:b w:val="0"/>
          <w:bCs/>
          <w:kern w:val="2"/>
          <w:sz w:val="32"/>
          <w:szCs w:val="32"/>
          <w:lang w:val="en-US" w:eastAsia="zh-CN" w:bidi="ar-SA"/>
        </w:rPr>
        <w:t>：</w:t>
      </w:r>
      <w:r>
        <w:rPr>
          <w:rFonts w:hint="eastAsia" w:ascii="仿宋_GB2312" w:hAnsi="仿宋_GB2312" w:eastAsia="仿宋_GB2312" w:cs="仿宋_GB2312"/>
          <w:b w:val="0"/>
          <w:bCs/>
          <w:kern w:val="2"/>
          <w:sz w:val="32"/>
          <w:szCs w:val="32"/>
          <w:lang w:val="en-US" w:eastAsia="zh-CN" w:bidi="ar-SA"/>
        </w:rPr>
        <w:t>支出决算为1,311.00万元，完成预算100%。</w:t>
      </w:r>
    </w:p>
    <w:p>
      <w:pPr>
        <w:pStyle w:val="15"/>
        <w:ind w:firstLine="643" w:firstLineChars="200"/>
        <w:rPr>
          <w:rFonts w:hint="eastAsia" w:ascii="仿宋_GB2312" w:hAnsi="仿宋_GB2312" w:eastAsia="仿宋_GB2312" w:cs="仿宋_GB2312"/>
          <w:b w:val="0"/>
          <w:bCs/>
          <w:kern w:val="2"/>
          <w:sz w:val="32"/>
          <w:szCs w:val="32"/>
          <w:lang w:val="en-US" w:eastAsia="zh-CN" w:bidi="ar-SA"/>
        </w:rPr>
      </w:pPr>
      <w:r>
        <w:rPr>
          <w:rFonts w:hint="eastAsia" w:hAnsi="仿宋_GB2312" w:cs="仿宋_GB2312"/>
          <w:b/>
          <w:bCs w:val="0"/>
          <w:kern w:val="2"/>
          <w:sz w:val="32"/>
          <w:szCs w:val="32"/>
          <w:lang w:val="en-US" w:eastAsia="zh-CN" w:bidi="ar-SA"/>
        </w:rPr>
        <w:t>9.农林水支出（类）巩固脱贫衔接乡村振兴（款）生产发展（项）：</w:t>
      </w:r>
      <w:r>
        <w:rPr>
          <w:rFonts w:hint="eastAsia" w:ascii="仿宋_GB2312" w:hAnsi="仿宋_GB2312" w:eastAsia="仿宋_GB2312" w:cs="仿宋_GB2312"/>
          <w:b w:val="0"/>
          <w:bCs/>
          <w:kern w:val="2"/>
          <w:sz w:val="32"/>
          <w:szCs w:val="32"/>
          <w:lang w:val="en-US" w:eastAsia="zh-CN" w:bidi="ar-SA"/>
        </w:rPr>
        <w:t>支出决算为358.00万元，完成预算100%。</w:t>
      </w:r>
    </w:p>
    <w:p>
      <w:pPr>
        <w:pStyle w:val="8"/>
        <w:ind w:firstLine="642"/>
        <w:rPr>
          <w:rFonts w:ascii="仿宋" w:hAnsi="仿宋" w:eastAsia="仿宋"/>
          <w:b/>
          <w:sz w:val="32"/>
          <w:szCs w:val="32"/>
        </w:rPr>
      </w:pPr>
      <w:r>
        <w:rPr>
          <w:rFonts w:hint="eastAsia" w:ascii="仿宋" w:hAnsi="仿宋" w:eastAsia="仿宋"/>
          <w:b/>
          <w:sz w:val="32"/>
          <w:szCs w:val="32"/>
          <w:lang w:val="en-US" w:eastAsia="zh-CN"/>
        </w:rPr>
        <w:t>10.住房保障支出（类）住房改革支出（款）住房公积金（项）：</w:t>
      </w:r>
      <w:r>
        <w:rPr>
          <w:rFonts w:hint="eastAsia" w:ascii="仿宋_GB2312" w:hAnsi="仿宋_GB2312" w:eastAsia="仿宋_GB2312" w:cs="仿宋_GB2312"/>
          <w:b w:val="0"/>
          <w:bCs/>
          <w:kern w:val="2"/>
          <w:sz w:val="32"/>
          <w:szCs w:val="32"/>
          <w:lang w:val="en-US" w:eastAsia="zh-CN" w:bidi="ar-SA"/>
        </w:rPr>
        <w:t>支出决算为5.78万元，完成预算100%。</w:t>
      </w:r>
    </w:p>
    <w:p>
      <w:pPr>
        <w:tabs>
          <w:tab w:val="right" w:pos="8306"/>
        </w:tabs>
        <w:spacing w:line="600" w:lineRule="exact"/>
        <w:ind w:firstLine="640"/>
        <w:outlineLvl w:val="1"/>
        <w:rPr>
          <w:rStyle w:val="30"/>
        </w:rPr>
      </w:pPr>
      <w:bookmarkStart w:id="50" w:name="_Toc15377214"/>
      <w:bookmarkStart w:id="51" w:name="_Toc12726"/>
      <w:bookmarkStart w:id="52"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50"/>
      <w:bookmarkEnd w:id="51"/>
      <w:bookmarkEnd w:id="52"/>
      <w:r>
        <w:rPr>
          <w:rStyle w:val="30"/>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22年一般公共预算财政拨款基本支出110.18万元，其中：</w:t>
      </w:r>
    </w:p>
    <w:p>
      <w:pPr>
        <w:spacing w:line="600" w:lineRule="exact"/>
        <w:ind w:firstLine="645"/>
        <w:rPr>
          <w:rFonts w:hint="eastAsia" w:ascii="仿宋_GB2312" w:hAnsi="仿宋_GB2312" w:eastAsia="仿宋_GB2312" w:cs="仿宋_GB2312"/>
          <w:b w:val="0"/>
          <w:bCs/>
          <w:kern w:val="2"/>
          <w:sz w:val="32"/>
          <w:szCs w:val="32"/>
          <w:lang w:val="en-US" w:eastAsia="zh-CN" w:bidi="ar-SA"/>
        </w:rPr>
      </w:pPr>
      <w:r>
        <w:rPr>
          <w:rFonts w:hint="eastAsia" w:ascii="仿宋" w:hAnsi="仿宋" w:eastAsia="仿宋"/>
          <w:sz w:val="32"/>
          <w:szCs w:val="32"/>
        </w:rPr>
        <w:t>人员经费92.64万元，</w:t>
      </w:r>
      <w:r>
        <w:rPr>
          <w:rFonts w:hint="eastAsia" w:ascii="仿宋_GB2312" w:hAnsi="仿宋_GB2312" w:eastAsia="仿宋_GB2312" w:cs="仿宋_GB2312"/>
          <w:b w:val="0"/>
          <w:bCs/>
          <w:kern w:val="2"/>
          <w:sz w:val="32"/>
          <w:szCs w:val="32"/>
          <w:lang w:val="en-US" w:eastAsia="zh-CN" w:bidi="ar-SA"/>
        </w:rPr>
        <w:t>主要包括：基本工资、津贴补贴、绩效工资、机关事业单位基本养老保险缴费、职工基本医疗保险缴费、其他社会保障缴费、住房公积金、其他工资福利支出、生活补助等。</w:t>
      </w:r>
    </w:p>
    <w:p>
      <w:pPr>
        <w:keepNext w:val="0"/>
        <w:keepLines w:val="0"/>
        <w:pageBreakBefore w:val="0"/>
        <w:widowControl w:val="0"/>
        <w:kinsoku/>
        <w:wordWrap/>
        <w:overflowPunct/>
        <w:topLinePunct w:val="0"/>
        <w:autoSpaceDE/>
        <w:autoSpaceDN/>
        <w:bidi w:val="0"/>
        <w:spacing w:line="576" w:lineRule="exact"/>
        <w:ind w:firstLine="645"/>
        <w:textAlignment w:val="auto"/>
        <w:rPr>
          <w:rFonts w:ascii="仿宋" w:hAnsi="仿宋" w:eastAsia="仿宋"/>
          <w:b/>
          <w:sz w:val="32"/>
          <w:szCs w:val="32"/>
        </w:rPr>
      </w:pPr>
      <w:r>
        <w:rPr>
          <w:rFonts w:hint="eastAsia" w:ascii="仿宋" w:hAnsi="仿宋" w:eastAsia="仿宋"/>
          <w:sz w:val="32"/>
          <w:szCs w:val="32"/>
        </w:rPr>
        <w:t>公用经费17.55万元，</w:t>
      </w:r>
      <w:r>
        <w:rPr>
          <w:rFonts w:hint="eastAsia" w:ascii="仿宋_GB2312" w:hAnsi="仿宋_GB2312" w:eastAsia="仿宋_GB2312" w:cs="仿宋_GB2312"/>
          <w:b w:val="0"/>
          <w:bCs/>
          <w:kern w:val="2"/>
          <w:sz w:val="32"/>
          <w:szCs w:val="32"/>
          <w:lang w:val="en-US" w:eastAsia="zh-CN" w:bidi="ar-SA"/>
        </w:rPr>
        <w:t>主要包括：办公费、印刷费、水费、电费、邮电费、物业管理费、差旅费、维修（护）费、会议费、培训费、公务接待费、劳务费、工会经费、福利费、其他交通费、其他商品和服务支出等。</w:t>
      </w:r>
    </w:p>
    <w:p>
      <w:pPr>
        <w:spacing w:line="600" w:lineRule="exact"/>
        <w:ind w:firstLine="640"/>
        <w:outlineLvl w:val="1"/>
        <w:rPr>
          <w:rStyle w:val="30"/>
          <w:rFonts w:ascii="黑体" w:hAnsi="黑体" w:eastAsia="黑体"/>
          <w:b w:val="0"/>
        </w:rPr>
      </w:pPr>
      <w:bookmarkStart w:id="53" w:name="_Toc15396609"/>
      <w:bookmarkStart w:id="54" w:name="_Toc21653"/>
      <w:bookmarkStart w:id="55" w:name="_Toc15377215"/>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53"/>
      <w:bookmarkEnd w:id="54"/>
      <w:bookmarkEnd w:id="55"/>
    </w:p>
    <w:p>
      <w:pPr>
        <w:spacing w:line="600" w:lineRule="exact"/>
        <w:ind w:firstLine="640"/>
        <w:outlineLvl w:val="2"/>
        <w:rPr>
          <w:rFonts w:ascii="仿宋" w:hAnsi="仿宋" w:eastAsia="仿宋"/>
          <w:b/>
          <w:sz w:val="32"/>
          <w:szCs w:val="32"/>
        </w:rPr>
      </w:pPr>
      <w:bookmarkStart w:id="56" w:name="_Toc15377216"/>
      <w:r>
        <w:rPr>
          <w:rFonts w:hint="eastAsia" w:ascii="仿宋" w:hAnsi="仿宋" w:eastAsia="仿宋"/>
          <w:b/>
          <w:sz w:val="32"/>
          <w:szCs w:val="32"/>
        </w:rPr>
        <w:t>（一）“三公”经费财政拨款支出决算总体情况说明</w:t>
      </w:r>
      <w:bookmarkEnd w:id="56"/>
    </w:p>
    <w:p>
      <w:pPr>
        <w:spacing w:line="600" w:lineRule="exact"/>
        <w:ind w:firstLine="640"/>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1.30</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0.88</w:t>
      </w:r>
      <w:r>
        <w:rPr>
          <w:rFonts w:hint="eastAsia" w:ascii="仿宋" w:hAnsi="仿宋" w:eastAsia="仿宋"/>
          <w:sz w:val="32"/>
          <w:szCs w:val="32"/>
        </w:rPr>
        <w:t>万元，下降</w:t>
      </w:r>
      <w:r>
        <w:rPr>
          <w:rFonts w:hint="eastAsia" w:ascii="仿宋" w:hAnsi="仿宋" w:eastAsia="仿宋"/>
          <w:sz w:val="32"/>
          <w:szCs w:val="32"/>
          <w:lang w:val="en-US" w:eastAsia="zh-CN"/>
        </w:rPr>
        <w:t>40.37</w:t>
      </w:r>
      <w:r>
        <w:rPr>
          <w:rFonts w:hint="eastAsia" w:ascii="仿宋" w:hAnsi="仿宋" w:eastAsia="仿宋"/>
          <w:sz w:val="32"/>
          <w:szCs w:val="32"/>
        </w:rPr>
        <w:t>%。决算数与预算数持平</w:t>
      </w:r>
      <w:r>
        <w:rPr>
          <w:rFonts w:hint="eastAsia" w:ascii="仿宋" w:hAnsi="仿宋" w:eastAsia="仿宋"/>
          <w:sz w:val="32"/>
          <w:szCs w:val="32"/>
          <w:lang w:eastAsia="zh-CN"/>
        </w:rPr>
        <w:t>。</w:t>
      </w:r>
    </w:p>
    <w:p>
      <w:pPr>
        <w:spacing w:line="600" w:lineRule="exact"/>
        <w:ind w:firstLine="640"/>
        <w:outlineLvl w:val="2"/>
        <w:rPr>
          <w:rFonts w:ascii="仿宋" w:hAnsi="仿宋" w:eastAsia="仿宋"/>
          <w:b/>
          <w:sz w:val="32"/>
          <w:szCs w:val="32"/>
        </w:rPr>
      </w:pPr>
      <w:bookmarkStart w:id="57" w:name="_Toc15377217"/>
      <w:r>
        <w:rPr>
          <w:rFonts w:hint="eastAsia" w:ascii="仿宋" w:hAnsi="仿宋" w:eastAsia="仿宋"/>
          <w:b/>
          <w:sz w:val="32"/>
          <w:szCs w:val="32"/>
        </w:rPr>
        <w:t>（二）“三公”经费财政拨款支出决算具体情况说明</w:t>
      </w:r>
      <w:bookmarkEnd w:id="57"/>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1.30</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pStyle w:val="16"/>
        <w:rPr>
          <w:rFonts w:hint="eastAsia" w:ascii="仿宋" w:hAnsi="仿宋" w:eastAsia="仿宋"/>
          <w:sz w:val="32"/>
          <w:szCs w:val="32"/>
        </w:rPr>
      </w:pPr>
    </w:p>
    <w:p>
      <w:pPr>
        <w:rPr>
          <w:rFonts w:hint="eastAsia" w:ascii="仿宋" w:hAnsi="仿宋" w:eastAsia="仿宋"/>
          <w:sz w:val="32"/>
          <w:szCs w:val="32"/>
        </w:rPr>
      </w:pPr>
    </w:p>
    <w:p>
      <w:pPr>
        <w:pStyle w:val="16"/>
        <w:rPr>
          <w:rFonts w:hint="eastAsia" w:ascii="仿宋" w:hAnsi="仿宋" w:eastAsia="仿宋"/>
          <w:sz w:val="32"/>
          <w:szCs w:val="32"/>
        </w:rPr>
      </w:pPr>
    </w:p>
    <w:p>
      <w:pPr>
        <w:rPr>
          <w:rFonts w:hint="eastAsia" w:ascii="仿宋" w:hAnsi="仿宋" w:eastAsia="仿宋"/>
          <w:sz w:val="32"/>
          <w:szCs w:val="32"/>
        </w:rPr>
      </w:pPr>
    </w:p>
    <w:p>
      <w:pPr>
        <w:pStyle w:val="16"/>
        <w:rPr>
          <w:rFonts w:hint="eastAsia" w:ascii="仿宋" w:hAnsi="仿宋" w:eastAsia="仿宋"/>
          <w:sz w:val="32"/>
          <w:szCs w:val="32"/>
        </w:rPr>
      </w:pPr>
      <w:r>
        <w:drawing>
          <wp:anchor distT="0" distB="0" distL="114300" distR="114300" simplePos="0" relativeHeight="251661312" behindDoc="0" locked="0" layoutInCell="1" allowOverlap="1">
            <wp:simplePos x="0" y="0"/>
            <wp:positionH relativeFrom="column">
              <wp:posOffset>226695</wp:posOffset>
            </wp:positionH>
            <wp:positionV relativeFrom="paragraph">
              <wp:posOffset>22225</wp:posOffset>
            </wp:positionV>
            <wp:extent cx="4847590" cy="2695575"/>
            <wp:effectExtent l="4445" t="5080" r="5715" b="4445"/>
            <wp:wrapNone/>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rPr>
          <w:rFonts w:hint="eastAsia" w:ascii="仿宋" w:hAnsi="仿宋" w:eastAsia="仿宋"/>
          <w:sz w:val="32"/>
          <w:szCs w:val="32"/>
        </w:rPr>
      </w:pPr>
    </w:p>
    <w:p>
      <w:pPr>
        <w:pStyle w:val="16"/>
        <w:rPr>
          <w:rFonts w:hint="eastAsia" w:ascii="仿宋" w:hAnsi="仿宋" w:eastAsia="仿宋"/>
          <w:sz w:val="32"/>
          <w:szCs w:val="32"/>
        </w:rPr>
      </w:pPr>
    </w:p>
    <w:p>
      <w:pPr>
        <w:rPr>
          <w:rFonts w:hint="eastAsia" w:ascii="仿宋" w:hAnsi="仿宋" w:eastAsia="仿宋"/>
          <w:sz w:val="32"/>
          <w:szCs w:val="32"/>
        </w:rPr>
      </w:pPr>
    </w:p>
    <w:p>
      <w:pPr>
        <w:pStyle w:val="16"/>
        <w:rPr>
          <w:rFonts w:hint="eastAsia" w:ascii="仿宋" w:hAnsi="仿宋" w:eastAsia="仿宋"/>
          <w:sz w:val="32"/>
          <w:szCs w:val="32"/>
        </w:rPr>
      </w:pPr>
    </w:p>
    <w:p>
      <w:pPr>
        <w:rPr>
          <w:rFonts w:hint="eastAsia" w:ascii="仿宋" w:hAnsi="仿宋" w:eastAsia="仿宋"/>
          <w:sz w:val="32"/>
          <w:szCs w:val="32"/>
        </w:rPr>
      </w:pPr>
    </w:p>
    <w:p>
      <w:pPr>
        <w:pStyle w:val="16"/>
        <w:rPr>
          <w:rFonts w:hint="eastAsia" w:ascii="仿宋" w:hAnsi="仿宋" w:eastAsia="仿宋"/>
          <w:sz w:val="32"/>
          <w:szCs w:val="32"/>
        </w:rPr>
      </w:pPr>
    </w:p>
    <w:p>
      <w:pPr>
        <w:rPr>
          <w:rFonts w:hint="eastAsia" w:ascii="仿宋" w:hAnsi="仿宋" w:eastAsia="仿宋"/>
          <w:sz w:val="32"/>
          <w:szCs w:val="32"/>
        </w:rPr>
      </w:pPr>
    </w:p>
    <w:p>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w:t>
      </w:r>
    </w:p>
    <w:p>
      <w:pPr>
        <w:numPr>
          <w:ilvl w:val="0"/>
          <w:numId w:val="0"/>
        </w:numPr>
        <w:spacing w:line="600" w:lineRule="exact"/>
        <w:ind w:firstLine="643" w:firstLineChars="200"/>
        <w:rPr>
          <w:rFonts w:hint="eastAsia" w:ascii="仿宋_GB2312" w:hAnsi="仿宋_GB2312" w:eastAsia="仿宋_GB2312" w:cs="仿宋_GB2312"/>
          <w:b w:val="0"/>
          <w:bCs/>
          <w:kern w:val="2"/>
          <w:sz w:val="32"/>
          <w:szCs w:val="32"/>
          <w:lang w:val="en-US" w:eastAsia="zh-CN" w:bidi="ar-SA"/>
        </w:rPr>
      </w:pPr>
      <w:bookmarkStart w:id="58" w:name="_Toc15377218"/>
      <w:bookmarkStart w:id="59" w:name="_Toc15396610"/>
      <w:r>
        <w:rPr>
          <w:rFonts w:hint="eastAsia" w:ascii="仿宋_GB2312" w:eastAsia="仿宋_GB2312"/>
          <w:b/>
          <w:sz w:val="32"/>
          <w:szCs w:val="32"/>
          <w:lang w:val="en-US" w:eastAsia="zh-CN"/>
        </w:rPr>
        <w:t>1.</w:t>
      </w:r>
      <w:r>
        <w:rPr>
          <w:rFonts w:hint="eastAsia" w:ascii="仿宋_GB2312" w:eastAsia="仿宋_GB2312"/>
          <w:b/>
          <w:sz w:val="32"/>
          <w:szCs w:val="32"/>
        </w:rPr>
        <w:t>因公出国（境）经费支出</w:t>
      </w:r>
      <w:r>
        <w:rPr>
          <w:rFonts w:hint="eastAsia" w:ascii="仿宋_GB2312" w:hAnsi="仿宋_GB2312" w:eastAsia="仿宋_GB2312" w:cs="仿宋_GB2312"/>
          <w:b w:val="0"/>
          <w:bCs/>
          <w:kern w:val="2"/>
          <w:sz w:val="32"/>
          <w:szCs w:val="32"/>
          <w:lang w:val="en-US" w:eastAsia="zh-CN" w:bidi="ar-SA"/>
        </w:rPr>
        <w:t>0万元，未安排预算，无相应支出，较上年无变化。</w:t>
      </w:r>
    </w:p>
    <w:p>
      <w:pPr>
        <w:numPr>
          <w:ilvl w:val="0"/>
          <w:numId w:val="0"/>
        </w:numPr>
        <w:spacing w:line="600" w:lineRule="exact"/>
        <w:ind w:firstLine="643" w:firstLineChars="200"/>
        <w:rPr>
          <w:rFonts w:hint="eastAsia" w:ascii="仿宋_GB2312" w:hAnsi="仿宋_GB2312" w:eastAsia="仿宋_GB2312" w:cs="仿宋_GB2312"/>
          <w:b w:val="0"/>
          <w:bCs/>
          <w:kern w:val="2"/>
          <w:sz w:val="32"/>
          <w:szCs w:val="32"/>
          <w:lang w:val="en-US" w:eastAsia="zh-CN" w:bidi="ar-SA"/>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hAnsi="仿宋_GB2312" w:eastAsia="仿宋_GB2312" w:cs="仿宋_GB2312"/>
          <w:b w:val="0"/>
          <w:bCs/>
          <w:kern w:val="2"/>
          <w:sz w:val="32"/>
          <w:szCs w:val="32"/>
          <w:lang w:val="en-US" w:eastAsia="zh-CN" w:bidi="ar-SA"/>
        </w:rPr>
        <w:t>0万元，未安排预算，无相应支出，较上年无变化。</w:t>
      </w:r>
    </w:p>
    <w:p>
      <w:pPr>
        <w:spacing w:line="600" w:lineRule="exact"/>
        <w:ind w:firstLine="640"/>
        <w:rPr>
          <w:rFonts w:hint="eastAsia" w:ascii="仿宋_GB2312" w:hAnsi="仿宋_GB2312" w:eastAsia="仿宋_GB2312" w:cs="仿宋_GB2312"/>
          <w:b w:val="0"/>
          <w:bCs/>
          <w:kern w:val="2"/>
          <w:sz w:val="32"/>
          <w:szCs w:val="32"/>
          <w:lang w:val="en-US" w:eastAsia="zh-CN" w:bidi="ar-SA"/>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 w:hAnsi="仿宋" w:eastAsia="仿宋"/>
          <w:sz w:val="32"/>
          <w:szCs w:val="32"/>
          <w:lang w:val="en-US" w:eastAsia="zh-CN"/>
        </w:rPr>
        <w:t>1.30</w:t>
      </w:r>
      <w:r>
        <w:rPr>
          <w:rFonts w:hint="eastAsia" w:ascii="仿宋_GB2312" w:hAnsi="仿宋_GB2312" w:eastAsia="仿宋_GB2312" w:cs="仿宋_GB2312"/>
          <w:b w:val="0"/>
          <w:bCs/>
          <w:kern w:val="2"/>
          <w:sz w:val="32"/>
          <w:szCs w:val="32"/>
          <w:lang w:val="en-US" w:eastAsia="zh-CN" w:bidi="ar-SA"/>
        </w:rPr>
        <w:t>万元，完成预算100%。公务接待费支出决算比2021年下降</w:t>
      </w:r>
      <w:r>
        <w:rPr>
          <w:rFonts w:hint="eastAsia" w:ascii="仿宋" w:hAnsi="仿宋" w:eastAsia="仿宋"/>
          <w:sz w:val="32"/>
          <w:szCs w:val="32"/>
          <w:lang w:val="en-US" w:eastAsia="zh-CN"/>
        </w:rPr>
        <w:t>0.88</w:t>
      </w:r>
      <w:r>
        <w:rPr>
          <w:rFonts w:hint="eastAsia" w:ascii="仿宋" w:hAnsi="仿宋" w:eastAsia="仿宋"/>
          <w:sz w:val="32"/>
          <w:szCs w:val="32"/>
        </w:rPr>
        <w:t>万元，下降</w:t>
      </w:r>
      <w:r>
        <w:rPr>
          <w:rFonts w:hint="eastAsia" w:ascii="仿宋" w:hAnsi="仿宋" w:eastAsia="仿宋"/>
          <w:sz w:val="32"/>
          <w:szCs w:val="32"/>
          <w:lang w:val="en-US" w:eastAsia="zh-CN"/>
        </w:rPr>
        <w:t>40.37</w:t>
      </w:r>
      <w:r>
        <w:rPr>
          <w:rFonts w:hint="eastAsia" w:ascii="仿宋" w:hAnsi="仿宋" w:eastAsia="仿宋"/>
          <w:sz w:val="32"/>
          <w:szCs w:val="32"/>
        </w:rPr>
        <w:t>%</w:t>
      </w:r>
      <w:r>
        <w:rPr>
          <w:rFonts w:hint="eastAsia" w:ascii="仿宋_GB2312" w:hAnsi="仿宋_GB2312" w:eastAsia="仿宋_GB2312" w:cs="仿宋_GB2312"/>
          <w:b w:val="0"/>
          <w:bCs/>
          <w:kern w:val="2"/>
          <w:sz w:val="32"/>
          <w:szCs w:val="32"/>
          <w:lang w:val="en-US" w:eastAsia="zh-CN" w:bidi="ar-SA"/>
        </w:rPr>
        <w:t>。主要原因是今年预算1.9万元，中途财政追减。其中：</w:t>
      </w:r>
    </w:p>
    <w:p>
      <w:pPr>
        <w:numPr>
          <w:ilvl w:val="0"/>
          <w:numId w:val="0"/>
        </w:numPr>
        <w:spacing w:line="600" w:lineRule="exact"/>
        <w:ind w:firstLine="643" w:firstLineChars="200"/>
        <w:rPr>
          <w:rFonts w:hint="eastAsia" w:ascii="仿宋_GB2312" w:hAnsi="仿宋_GB2312" w:eastAsia="仿宋_GB2312" w:cs="仿宋_GB2312"/>
          <w:b w:val="0"/>
          <w:bCs/>
          <w:kern w:val="2"/>
          <w:sz w:val="32"/>
          <w:szCs w:val="32"/>
          <w:lang w:val="en-US" w:eastAsia="zh-CN" w:bidi="ar-SA"/>
        </w:rPr>
      </w:pPr>
      <w:r>
        <w:rPr>
          <w:rFonts w:hint="eastAsia" w:ascii="仿宋" w:hAnsi="仿宋" w:eastAsia="仿宋"/>
          <w:b/>
          <w:sz w:val="32"/>
          <w:szCs w:val="32"/>
        </w:rPr>
        <w:t>国内公务接待支出</w:t>
      </w:r>
      <w:r>
        <w:rPr>
          <w:rFonts w:hint="eastAsia" w:ascii="仿宋" w:hAnsi="仿宋" w:eastAsia="仿宋"/>
          <w:b w:val="0"/>
          <w:bCs/>
          <w:sz w:val="32"/>
          <w:szCs w:val="32"/>
          <w:lang w:val="en-US" w:eastAsia="zh-CN"/>
        </w:rPr>
        <w:t>1.30</w:t>
      </w:r>
      <w:r>
        <w:rPr>
          <w:rFonts w:hint="eastAsia" w:ascii="仿宋_GB2312" w:hAnsi="仿宋_GB2312" w:eastAsia="仿宋_GB2312" w:cs="仿宋_GB2312"/>
          <w:b w:val="0"/>
          <w:bCs/>
          <w:kern w:val="2"/>
          <w:sz w:val="32"/>
          <w:szCs w:val="32"/>
          <w:lang w:val="en-US" w:eastAsia="zh-CN" w:bidi="ar-SA"/>
        </w:rPr>
        <w:t>万元，主要用于执行公务、开展业务活动开支的用餐费等。国内公务接待28批次，225人次，共计支出</w:t>
      </w:r>
      <w:r>
        <w:rPr>
          <w:rFonts w:hint="eastAsia" w:ascii="仿宋" w:hAnsi="仿宋" w:eastAsia="仿宋"/>
          <w:sz w:val="32"/>
          <w:szCs w:val="32"/>
          <w:lang w:val="en-US" w:eastAsia="zh-CN"/>
        </w:rPr>
        <w:t>1.30</w:t>
      </w:r>
      <w:r>
        <w:rPr>
          <w:rFonts w:hint="eastAsia" w:ascii="仿宋_GB2312" w:hAnsi="仿宋_GB2312" w:eastAsia="仿宋_GB2312" w:cs="仿宋_GB2312"/>
          <w:b w:val="0"/>
          <w:bCs/>
          <w:kern w:val="2"/>
          <w:sz w:val="32"/>
          <w:szCs w:val="32"/>
          <w:lang w:val="en-US" w:eastAsia="zh-CN" w:bidi="ar-SA"/>
        </w:rPr>
        <w:t>万元，具体内容包括：执行公务、开展业务活动开支的用餐费等。</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_GB2312" w:hAnsi="仿宋_GB2312" w:eastAsia="仿宋_GB2312" w:cs="仿宋_GB2312"/>
          <w:b w:val="0"/>
          <w:bCs/>
          <w:kern w:val="2"/>
          <w:sz w:val="32"/>
          <w:szCs w:val="32"/>
          <w:lang w:val="en-US" w:eastAsia="zh-CN" w:bidi="ar-SA"/>
        </w:rPr>
        <w:t>0万元，较上年无变化。</w:t>
      </w:r>
    </w:p>
    <w:bookmarkEnd w:id="58"/>
    <w:bookmarkEnd w:id="59"/>
    <w:p>
      <w:pPr>
        <w:spacing w:line="600" w:lineRule="exact"/>
        <w:ind w:firstLine="640"/>
        <w:outlineLvl w:val="1"/>
        <w:rPr>
          <w:rFonts w:hint="eastAsia" w:ascii="黑体" w:hAnsi="黑体" w:eastAsia="黑体" w:cs="黑体"/>
          <w:b w:val="0"/>
          <w:bCs w:val="0"/>
          <w:kern w:val="0"/>
          <w:sz w:val="32"/>
          <w:szCs w:val="32"/>
          <w:lang w:val="en-US" w:eastAsia="zh-CN" w:bidi="ar-SA"/>
        </w:rPr>
      </w:pPr>
      <w:bookmarkStart w:id="60" w:name="_Toc15753"/>
      <w:bookmarkStart w:id="61" w:name="_Toc15342"/>
      <w:r>
        <w:rPr>
          <w:rFonts w:hint="eastAsia" w:ascii="黑体" w:hAnsi="黑体" w:eastAsia="黑体" w:cs="黑体"/>
          <w:b w:val="0"/>
          <w:bCs w:val="0"/>
          <w:kern w:val="0"/>
          <w:sz w:val="32"/>
          <w:szCs w:val="32"/>
          <w:lang w:val="en-US" w:eastAsia="zh-CN" w:bidi="ar-SA"/>
        </w:rPr>
        <w:t>八、政府性基金预算支出决算情况说明</w:t>
      </w:r>
      <w:bookmarkEnd w:id="60"/>
      <w:bookmarkEnd w:id="61"/>
    </w:p>
    <w:p>
      <w:pPr>
        <w:spacing w:line="600" w:lineRule="exact"/>
        <w:ind w:firstLine="640"/>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以工代赈办无2022年政府性基金预算财政拨款支出。</w:t>
      </w:r>
    </w:p>
    <w:p>
      <w:pPr>
        <w:numPr>
          <w:ilvl w:val="0"/>
          <w:numId w:val="3"/>
        </w:numPr>
        <w:spacing w:line="600" w:lineRule="exact"/>
        <w:ind w:firstLine="640"/>
        <w:outlineLvl w:val="1"/>
        <w:rPr>
          <w:rFonts w:hint="eastAsia" w:ascii="黑体" w:hAnsi="黑体" w:eastAsia="黑体" w:cs="黑体"/>
          <w:b w:val="0"/>
          <w:bCs w:val="0"/>
          <w:kern w:val="0"/>
          <w:sz w:val="32"/>
          <w:szCs w:val="32"/>
          <w:lang w:val="en-US" w:eastAsia="zh-CN" w:bidi="ar-SA"/>
        </w:rPr>
      </w:pPr>
      <w:bookmarkStart w:id="62" w:name="_Toc24819"/>
      <w:bookmarkStart w:id="63" w:name="_Toc2917"/>
      <w:r>
        <w:rPr>
          <w:rFonts w:hint="eastAsia" w:ascii="黑体" w:hAnsi="黑体" w:eastAsia="黑体" w:cs="黑体"/>
          <w:b w:val="0"/>
          <w:bCs w:val="0"/>
          <w:kern w:val="0"/>
          <w:sz w:val="32"/>
          <w:szCs w:val="32"/>
          <w:lang w:val="en-US" w:eastAsia="zh-CN" w:bidi="ar-SA"/>
        </w:rPr>
        <w:t>国有资本经营预算支出决算情况说明</w:t>
      </w:r>
      <w:bookmarkEnd w:id="62"/>
      <w:bookmarkEnd w:id="63"/>
    </w:p>
    <w:p>
      <w:pPr>
        <w:spacing w:line="600" w:lineRule="exact"/>
        <w:ind w:firstLine="640"/>
        <w:rPr>
          <w:rFonts w:ascii="方正小标宋简体" w:hAnsi="方正小标宋简体" w:eastAsia="方正小标宋简体" w:cs="方正小标宋简体"/>
          <w:sz w:val="44"/>
          <w:szCs w:val="44"/>
        </w:rPr>
      </w:pPr>
      <w:r>
        <w:rPr>
          <w:rFonts w:hint="eastAsia" w:ascii="仿宋_GB2312" w:hAnsi="仿宋_GB2312" w:eastAsia="仿宋_GB2312" w:cs="仿宋_GB2312"/>
          <w:b w:val="0"/>
          <w:bCs/>
          <w:kern w:val="2"/>
          <w:sz w:val="32"/>
          <w:szCs w:val="32"/>
          <w:lang w:val="en-US" w:eastAsia="zh-CN" w:bidi="ar-SA"/>
        </w:rPr>
        <w:t>以工代赈办无2022年国有资本经营预算财政拨款支出。</w:t>
      </w:r>
    </w:p>
    <w:p>
      <w:pPr>
        <w:numPr>
          <w:ilvl w:val="0"/>
          <w:numId w:val="3"/>
        </w:numPr>
        <w:spacing w:line="600" w:lineRule="exact"/>
        <w:ind w:firstLine="640"/>
        <w:outlineLvl w:val="1"/>
        <w:rPr>
          <w:rStyle w:val="30"/>
          <w:rFonts w:ascii="黑体" w:hAnsi="黑体" w:eastAsia="黑体"/>
          <w:b w:val="0"/>
        </w:rPr>
      </w:pPr>
      <w:bookmarkStart w:id="64" w:name="_Toc16362"/>
      <w:bookmarkStart w:id="65" w:name="_Toc15396612"/>
      <w:bookmarkStart w:id="66" w:name="_Toc15377221"/>
      <w:r>
        <w:rPr>
          <w:rStyle w:val="30"/>
          <w:rFonts w:hint="eastAsia" w:ascii="黑体" w:hAnsi="黑体" w:eastAsia="黑体"/>
          <w:b w:val="0"/>
        </w:rPr>
        <w:t>其他重要事项的情况说明</w:t>
      </w:r>
      <w:bookmarkEnd w:id="64"/>
      <w:bookmarkEnd w:id="65"/>
      <w:bookmarkEnd w:id="66"/>
    </w:p>
    <w:p>
      <w:pPr>
        <w:spacing w:line="600" w:lineRule="exact"/>
        <w:ind w:firstLine="643" w:firstLineChars="200"/>
        <w:outlineLvl w:val="2"/>
        <w:rPr>
          <w:rFonts w:ascii="仿宋" w:hAnsi="仿宋" w:eastAsia="仿宋"/>
          <w:sz w:val="32"/>
          <w:szCs w:val="32"/>
        </w:rPr>
      </w:pPr>
      <w:bookmarkStart w:id="67" w:name="_Toc15377222"/>
      <w:r>
        <w:rPr>
          <w:rFonts w:hint="eastAsia" w:ascii="仿宋" w:hAnsi="仿宋" w:eastAsia="仿宋"/>
          <w:b/>
          <w:sz w:val="32"/>
          <w:szCs w:val="32"/>
        </w:rPr>
        <w:t>（一）机关运行经费支出情况</w:t>
      </w:r>
      <w:bookmarkEnd w:id="67"/>
    </w:p>
    <w:p>
      <w:pPr>
        <w:spacing w:line="600" w:lineRule="exact"/>
        <w:ind w:firstLine="640" w:firstLineChars="200"/>
        <w:rPr>
          <w:rFonts w:hint="eastAsia" w:ascii="仿宋_GB2312" w:hAnsi="仿宋_GB2312" w:eastAsia="仿宋_GB2312" w:cs="仿宋_GB2312"/>
          <w:b w:val="0"/>
          <w:bCs/>
          <w:kern w:val="2"/>
          <w:sz w:val="32"/>
          <w:szCs w:val="32"/>
          <w:lang w:val="en-US" w:eastAsia="zh-CN" w:bidi="ar-SA"/>
        </w:rPr>
      </w:pPr>
      <w:r>
        <w:rPr>
          <w:rFonts w:ascii="仿宋_GB2312" w:eastAsia="仿宋_GB2312"/>
          <w:sz w:val="32"/>
          <w:szCs w:val="32"/>
        </w:rPr>
        <w:t>2</w:t>
      </w:r>
      <w:r>
        <w:rPr>
          <w:rFonts w:hint="eastAsia" w:ascii="仿宋_GB2312" w:hAnsi="仿宋_GB2312" w:eastAsia="仿宋_GB2312" w:cs="仿宋_GB2312"/>
          <w:b w:val="0"/>
          <w:bCs/>
          <w:kern w:val="2"/>
          <w:sz w:val="32"/>
          <w:szCs w:val="32"/>
          <w:lang w:val="en-US" w:eastAsia="zh-CN" w:bidi="ar-SA"/>
        </w:rPr>
        <w:t>2022年，以工代赈办机关运行经费支出17.55万元，比2021年增加9.45万元，增长103.85%。主要原因是公务交通补贴纳入公用经费。</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68" w:name="_Toc15377223"/>
      <w:r>
        <w:rPr>
          <w:rFonts w:hint="eastAsia" w:ascii="仿宋" w:hAnsi="仿宋" w:eastAsia="仿宋"/>
          <w:b/>
          <w:sz w:val="32"/>
          <w:szCs w:val="32"/>
        </w:rPr>
        <w:t>（二）政府采购支出情况</w:t>
      </w:r>
      <w:bookmarkEnd w:id="68"/>
    </w:p>
    <w:p>
      <w:pPr>
        <w:spacing w:line="600" w:lineRule="exact"/>
        <w:ind w:firstLine="640" w:firstLineChars="200"/>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2022年，以工代赈办无政府采购支出。</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69" w:name="_Toc15377224"/>
      <w:r>
        <w:rPr>
          <w:rFonts w:hint="eastAsia" w:ascii="仿宋" w:hAnsi="仿宋" w:eastAsia="仿宋"/>
          <w:b/>
          <w:sz w:val="32"/>
          <w:szCs w:val="32"/>
        </w:rPr>
        <w:t>（三）国有资产占有使用情况</w:t>
      </w:r>
      <w:bookmarkEnd w:id="69"/>
    </w:p>
    <w:p>
      <w:pPr>
        <w:autoSpaceDE w:val="0"/>
        <w:autoSpaceDN w:val="0"/>
        <w:adjustRightInd w:val="0"/>
        <w:spacing w:line="600" w:lineRule="exact"/>
        <w:ind w:firstLine="640" w:firstLineChars="200"/>
        <w:jc w:val="left"/>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截至2022年12月31日，以工代赈办无公车，较上年无变化。</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hint="eastAsia" w:ascii="仿宋" w:hAnsi="仿宋" w:eastAsia="仿宋" w:cs="仿宋"/>
          <w:sz w:val="32"/>
          <w:szCs w:val="32"/>
          <w:lang w:val="zh-CN"/>
        </w:rPr>
      </w:pPr>
      <w:r>
        <w:rPr>
          <w:rFonts w:hint="eastAsia" w:ascii="仿宋_GB2312" w:hAnsi="仿宋_GB2312" w:eastAsia="仿宋_GB2312" w:cs="仿宋_GB2312"/>
          <w:b w:val="0"/>
          <w:bCs/>
          <w:kern w:val="2"/>
          <w:sz w:val="32"/>
          <w:szCs w:val="32"/>
          <w:lang w:val="en-US" w:eastAsia="zh-CN" w:bidi="ar-SA"/>
        </w:rPr>
        <w:t>根据预算绩效管理要求，本部门在2022年度预算编制阶段，组织对</w:t>
      </w:r>
      <w:r>
        <w:rPr>
          <w:rFonts w:hint="eastAsia" w:ascii="仿宋" w:hAnsi="仿宋" w:eastAsia="仿宋" w:cs="仿宋"/>
          <w:sz w:val="32"/>
          <w:szCs w:val="32"/>
          <w:lang w:val="en-US" w:eastAsia="zh-CN"/>
        </w:rPr>
        <w:t>2022年以工代赈项目等4</w:t>
      </w:r>
      <w:r>
        <w:rPr>
          <w:rFonts w:hint="eastAsia" w:ascii="仿宋_GB2312" w:hAnsi="仿宋_GB2312" w:eastAsia="仿宋_GB2312" w:cs="仿宋_GB2312"/>
          <w:b w:val="0"/>
          <w:bCs/>
          <w:kern w:val="2"/>
          <w:sz w:val="32"/>
          <w:szCs w:val="32"/>
          <w:lang w:val="en-US" w:eastAsia="zh-CN" w:bidi="ar-SA"/>
        </w:rPr>
        <w:t>个项目开展了预算事前绩效评估，对4个项目编制了绩效目标，预算执行过程中，选取4个项目开展绩效监控，年终执行完毕后，对4个项目开展了绩效自</w:t>
      </w:r>
      <w:r>
        <w:rPr>
          <w:rFonts w:hint="eastAsia" w:ascii="仿宋" w:hAnsi="仿宋" w:eastAsia="仿宋" w:cs="仿宋"/>
          <w:sz w:val="32"/>
          <w:szCs w:val="32"/>
          <w:lang w:val="en-US" w:eastAsia="zh-CN"/>
        </w:rPr>
        <w:t>评，</w:t>
      </w:r>
      <w:r>
        <w:rPr>
          <w:rFonts w:hint="eastAsia" w:ascii="仿宋" w:hAnsi="仿宋" w:eastAsia="仿宋" w:cs="仿宋"/>
          <w:sz w:val="32"/>
          <w:szCs w:val="32"/>
          <w:lang w:val="zh-CN"/>
        </w:rPr>
        <w:t>绩效自评表详见第四部分附件。</w:t>
      </w:r>
    </w:p>
    <w:p>
      <w:pPr>
        <w:pStyle w:val="16"/>
        <w:rPr>
          <w:rFonts w:hint="eastAsia"/>
          <w:lang w:val="en-US" w:eastAsia="zh-CN"/>
        </w:rPr>
      </w:pP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9"/>
          <w:rFonts w:ascii="黑体" w:hAnsi="黑体" w:eastAsia="黑体"/>
          <w:b w:val="0"/>
        </w:rPr>
      </w:pPr>
      <w:bookmarkStart w:id="70" w:name="_Toc15377225"/>
      <w:bookmarkStart w:id="71" w:name="_Toc15396613"/>
      <w:bookmarkStart w:id="72" w:name="_Toc23393"/>
      <w:r>
        <w:rPr>
          <w:rFonts w:hint="eastAsia" w:ascii="黑体" w:hAnsi="黑体" w:eastAsia="黑体"/>
          <w:sz w:val="44"/>
          <w:szCs w:val="44"/>
        </w:rPr>
        <w:t>名</w:t>
      </w:r>
      <w:r>
        <w:rPr>
          <w:rStyle w:val="29"/>
          <w:rFonts w:hint="eastAsia" w:ascii="黑体" w:hAnsi="黑体" w:eastAsia="黑体"/>
          <w:b w:val="0"/>
        </w:rPr>
        <w:t>词解释</w:t>
      </w:r>
      <w:bookmarkEnd w:id="70"/>
      <w:bookmarkEnd w:id="71"/>
      <w:bookmarkEnd w:id="72"/>
    </w:p>
    <w:p>
      <w:pPr>
        <w:spacing w:line="600" w:lineRule="exact"/>
        <w:jc w:val="left"/>
        <w:rPr>
          <w:rFonts w:ascii="宋体"/>
          <w:b/>
          <w:sz w:val="44"/>
          <w:szCs w:val="44"/>
        </w:rPr>
      </w:pPr>
    </w:p>
    <w:p>
      <w:pPr>
        <w:pStyle w:val="27"/>
        <w:spacing w:line="560" w:lineRule="exact"/>
        <w:ind w:firstLine="640" w:firstLineChars="200"/>
        <w:outlineLvl w:val="1"/>
        <w:rPr>
          <w:rFonts w:hint="eastAsia" w:ascii="仿宋_GB2312" w:hAnsi="仿宋_GB2312" w:eastAsia="仿宋_GB2312" w:cs="仿宋_GB2312"/>
          <w:b w:val="0"/>
          <w:bCs/>
          <w:color w:val="auto"/>
          <w:kern w:val="2"/>
          <w:sz w:val="32"/>
          <w:szCs w:val="32"/>
          <w:lang w:val="en-US" w:eastAsia="zh-CN" w:bidi="ar-SA"/>
        </w:rPr>
      </w:pPr>
      <w:bookmarkStart w:id="73" w:name="_Toc19258"/>
      <w:bookmarkStart w:id="74" w:name="_Toc14481"/>
      <w:r>
        <w:rPr>
          <w:rFonts w:hint="eastAsia" w:ascii="仿宋_GB2312" w:hAnsi="仿宋_GB2312" w:eastAsia="仿宋_GB2312" w:cs="仿宋_GB2312"/>
          <w:b w:val="0"/>
          <w:bCs/>
          <w:color w:val="auto"/>
          <w:kern w:val="2"/>
          <w:sz w:val="32"/>
          <w:szCs w:val="32"/>
          <w:lang w:val="en-US" w:eastAsia="zh-CN" w:bidi="ar-SA"/>
        </w:rPr>
        <w:t>1.财政拨款收入：指单位从同级财政部门取得的财政预算资金。</w:t>
      </w:r>
      <w:bookmarkEnd w:id="73"/>
      <w:bookmarkEnd w:id="74"/>
    </w:p>
    <w:p>
      <w:pPr>
        <w:pStyle w:val="27"/>
        <w:spacing w:line="560" w:lineRule="exact"/>
        <w:ind w:firstLine="640" w:firstLineChars="200"/>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 xml:space="preserve">2.年初结转和结余：指以前年度尚未完成、结转到本年按有关规定继续使用的资金。 </w:t>
      </w:r>
    </w:p>
    <w:p>
      <w:pPr>
        <w:pStyle w:val="27"/>
        <w:spacing w:line="560" w:lineRule="exact"/>
        <w:ind w:firstLine="640" w:firstLineChars="200"/>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3.结余分配：指事业单位按照会计制度规定缴纳的所得税、提取的专用结余以及转入非财政拨款结余的金额等。</w:t>
      </w:r>
    </w:p>
    <w:p>
      <w:pPr>
        <w:pStyle w:val="27"/>
        <w:spacing w:line="560" w:lineRule="exact"/>
        <w:ind w:firstLine="640" w:firstLineChars="200"/>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4、年末结转和结余：指单位按有关规定结转到下年或以后年度继续使用的资金。</w:t>
      </w:r>
    </w:p>
    <w:p>
      <w:pPr>
        <w:spacing w:line="600" w:lineRule="exact"/>
        <w:ind w:firstLine="640"/>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5.一般公共服务（类）发展与改革事务（款）行政运行（项）：指行政单位的基本支出。</w:t>
      </w:r>
    </w:p>
    <w:p>
      <w:pPr>
        <w:pStyle w:val="8"/>
        <w:ind w:firstLine="640" w:firstLineChars="200"/>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6.一般公共服务（类）发展与改革事务（款）事业运行（项）：反映事业单位的基本支出，不包括行政单位（包括实行公务员管理的事业单位）后勤服务中心、医务室等附属事业单位。</w:t>
      </w:r>
    </w:p>
    <w:p>
      <w:pPr>
        <w:spacing w:line="600" w:lineRule="exact"/>
        <w:ind w:firstLine="640"/>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7一般公共服务（类）发展与改革事务（款）其他发展和改革事务（项）：指行政单位未单独设置项级科目的其他项目支出。</w:t>
      </w:r>
    </w:p>
    <w:p>
      <w:pPr>
        <w:spacing w:line="600" w:lineRule="exact"/>
        <w:ind w:firstLine="640"/>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8.社会保障和就业（类）行政事业单位养老支出（款）机关事业单位养老保险缴费支出（项）：指机关事业单位实施养老保险制度由单位缴纳的基本养老保险费支出。</w:t>
      </w:r>
    </w:p>
    <w:p>
      <w:pPr>
        <w:spacing w:line="600" w:lineRule="exact"/>
        <w:ind w:firstLine="640"/>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9.卫生健康支出（类）行政事业单位医疗（款）行政单位医疗（项）：指财政部门集中安排的行政单位基本医疗保险缴费经费，未参加医疗保险的行政单位的公费医疗经费，按国家规定享受离休人员、红军老战士待遇人员的医疗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lang w:val="en-US" w:eastAsia="zh-CN"/>
        </w:rPr>
      </w:pPr>
      <w:r>
        <w:rPr>
          <w:rFonts w:hint="eastAsia" w:ascii="仿宋_GB2312" w:hAnsi="宋体" w:eastAsia="仿宋_GB2312" w:cs="仿宋_GB2312"/>
          <w:sz w:val="32"/>
          <w:szCs w:val="32"/>
          <w:lang w:val="en-US" w:eastAsia="zh-CN"/>
        </w:rPr>
        <w:t>10</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农林水支出(类）巩固脱贫衔接乡村振兴（款）其他巩固脱贫衔接乡村振兴支出（项）</w:t>
      </w:r>
      <w:r>
        <w:rPr>
          <w:rFonts w:hint="eastAsia" w:ascii="仿宋_GB2312" w:hAnsi="宋体" w:eastAsia="仿宋_GB2312" w:cs="仿宋_GB2312"/>
          <w:sz w:val="32"/>
          <w:szCs w:val="32"/>
          <w:lang w:eastAsia="zh-CN"/>
        </w:rPr>
        <w:t>：指项目资金支出。</w:t>
      </w:r>
    </w:p>
    <w:p>
      <w:pPr>
        <w:spacing w:line="600" w:lineRule="exact"/>
        <w:ind w:firstLine="640"/>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11.住房保障支出（类）住房改革支出（款）住房公积金（项）：指行政事业单位按人力资源和社会保障部、财政部规定的基本工资和津贴补贴以及规定比例为职工缴纳的住房公积金。</w:t>
      </w:r>
    </w:p>
    <w:p>
      <w:pPr>
        <w:ind w:firstLine="640" w:firstLineChars="200"/>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12.基本支出：指为保障机构正常运转、完成日常工作任务而发生的人员支出和公用支出。</w:t>
      </w:r>
    </w:p>
    <w:p>
      <w:pPr>
        <w:ind w:firstLine="640" w:firstLineChars="200"/>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 xml:space="preserve">13.项目支出：指在基本支出之外为完成特定行政任务和事业发展目标所发生的支出。 </w:t>
      </w:r>
    </w:p>
    <w:p>
      <w:pPr>
        <w:pStyle w:val="27"/>
        <w:spacing w:line="560" w:lineRule="exact"/>
        <w:ind w:firstLine="640" w:firstLineChars="200"/>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14.“三公”经费：指部门用财政拨款安排的因公接待费。公务接待费反映单位按规定开支的各类公务接待（含外宾接待）支出。</w:t>
      </w:r>
    </w:p>
    <w:p>
      <w:pPr>
        <w:pStyle w:val="27"/>
        <w:spacing w:line="560" w:lineRule="exact"/>
        <w:ind w:firstLine="640" w:firstLineChars="200"/>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15.机关运行经费：为保障单位运行用于购买货物和服务的各项资金，包括办公及印刷费、邮电费、差旅费、会议费、福利费、日常维修费、办公用房水电费、办公用房物业管理费以及其他费用。</w:t>
      </w:r>
    </w:p>
    <w:p>
      <w:pPr>
        <w:spacing w:line="600" w:lineRule="exact"/>
        <w:jc w:val="center"/>
        <w:outlineLvl w:val="9"/>
        <w:rPr>
          <w:rFonts w:hint="eastAsia" w:ascii="黑体" w:hAnsi="黑体" w:eastAsia="黑体"/>
          <w:sz w:val="44"/>
          <w:szCs w:val="44"/>
        </w:rPr>
      </w:pPr>
      <w:bookmarkStart w:id="75" w:name="_Toc15396614"/>
      <w:bookmarkStart w:id="76" w:name="_Toc15377226"/>
    </w:p>
    <w:p>
      <w:pPr>
        <w:pStyle w:val="2"/>
        <w:rPr>
          <w:rFonts w:hint="eastAsia"/>
        </w:rPr>
      </w:pPr>
    </w:p>
    <w:p>
      <w:pPr>
        <w:pStyle w:val="16"/>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r>
        <w:rPr>
          <w:rFonts w:hint="eastAsia" w:ascii="黑体" w:hAnsi="黑体" w:eastAsia="黑体"/>
          <w:sz w:val="44"/>
          <w:szCs w:val="44"/>
          <w:lang w:eastAsia="zh-CN"/>
        </w:rPr>
        <w:t>第四部分</w:t>
      </w:r>
      <w:r>
        <w:rPr>
          <w:rFonts w:hint="eastAsia" w:ascii="黑体" w:hAnsi="黑体" w:eastAsia="黑体"/>
          <w:sz w:val="44"/>
          <w:szCs w:val="44"/>
          <w:lang w:val="en-US" w:eastAsia="zh-CN"/>
        </w:rPr>
        <w:t xml:space="preserve"> 附件</w:t>
      </w:r>
    </w:p>
    <w:tbl>
      <w:tblPr>
        <w:tblStyle w:val="17"/>
        <w:tblpPr w:leftFromText="180" w:rightFromText="180" w:vertAnchor="text" w:horzAnchor="page" w:tblpX="919" w:tblpY="518"/>
        <w:tblOverlap w:val="never"/>
        <w:tblW w:w="104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4"/>
        <w:gridCol w:w="765"/>
        <w:gridCol w:w="1035"/>
        <w:gridCol w:w="2505"/>
        <w:gridCol w:w="615"/>
        <w:gridCol w:w="600"/>
        <w:gridCol w:w="1200"/>
        <w:gridCol w:w="945"/>
        <w:gridCol w:w="690"/>
        <w:gridCol w:w="916"/>
        <w:gridCol w:w="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470"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bookmarkStart w:id="77" w:name="_Toc18484"/>
            <w:r>
              <w:rPr>
                <w:rStyle w:val="45"/>
                <w:lang w:val="en-US" w:eastAsia="zh-CN" w:bidi="ar"/>
              </w:rPr>
              <w:t>绩效目标自评表</w:t>
            </w:r>
            <w:r>
              <w:rPr>
                <w:rFonts w:hint="eastAsia" w:ascii="宋体" w:hAnsi="宋体" w:eastAsia="宋体" w:cs="宋体"/>
                <w:i w:val="0"/>
                <w:iCs w:val="0"/>
                <w:color w:val="000000"/>
                <w:kern w:val="0"/>
                <w:sz w:val="32"/>
                <w:szCs w:val="3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470" w:type="dxa"/>
            <w:gridSpan w:val="11"/>
            <w:tcBorders>
              <w:top w:val="nil"/>
              <w:left w:val="nil"/>
              <w:bottom w:val="single" w:color="000000" w:sz="4" w:space="0"/>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3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剑阁县开封镇2022年省级财政衔接资金以工代赈项目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31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何友志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剑阁县以工代赈办公室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1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开封镇人民政府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23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23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23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46"/>
                <w:lang w:val="en-US" w:eastAsia="zh-CN" w:bidi="ar"/>
              </w:rPr>
              <w:t>其中：本年财政拨款</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23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46"/>
                <w:lang w:val="en-US" w:eastAsia="zh-CN" w:bidi="ar"/>
              </w:rPr>
              <w:t xml:space="preserve">      其他资金</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55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43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完成新建安置点连接道路4.9公里，规格：3.5米宽、18CM厚、砼C30。新建排水渠系1.37公里。</w:t>
            </w:r>
          </w:p>
        </w:tc>
        <w:tc>
          <w:tcPr>
            <w:tcW w:w="43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完成新建安置点连接道路4.9公里，规格：3.5米宽、18CM厚、砼C30。新建排水渠系1.37公里。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全年实际值</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(50分)</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安置点连接道路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4.9公里</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新建排水渠系</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1.37公里</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项目验收合格率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项目开工率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投资计划分解（转发）用时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20个工作日</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村道路投资</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52.78万元/公里</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水利设施投资</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32.41万元/公里</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劳务报酬占省级投资比例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受益贫困人口数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≥255人</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参与工程建设的贫困群众满意度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54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总分</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1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bookmarkEnd w:id="77"/>
    </w:tbl>
    <w:tbl>
      <w:tblPr>
        <w:tblStyle w:val="17"/>
        <w:tblpPr w:leftFromText="180" w:rightFromText="180" w:vertAnchor="text" w:horzAnchor="page" w:tblpX="1106" w:tblpY="150"/>
        <w:tblOverlap w:val="never"/>
        <w:tblW w:w="104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4"/>
        <w:gridCol w:w="765"/>
        <w:gridCol w:w="1035"/>
        <w:gridCol w:w="2505"/>
        <w:gridCol w:w="615"/>
        <w:gridCol w:w="600"/>
        <w:gridCol w:w="1200"/>
        <w:gridCol w:w="945"/>
        <w:gridCol w:w="690"/>
        <w:gridCol w:w="916"/>
        <w:gridCol w:w="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470"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Style w:val="48"/>
                <w:lang w:val="en-US" w:eastAsia="zh-CN" w:bidi="ar"/>
              </w:rPr>
              <w:t>绩效目标自评表</w:t>
            </w:r>
            <w:r>
              <w:rPr>
                <w:rFonts w:hint="eastAsia" w:ascii="宋体" w:hAnsi="宋体" w:eastAsia="宋体" w:cs="宋体"/>
                <w:i w:val="0"/>
                <w:iCs w:val="0"/>
                <w:color w:val="000000"/>
                <w:kern w:val="0"/>
                <w:sz w:val="32"/>
                <w:szCs w:val="3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470" w:type="dxa"/>
            <w:gridSpan w:val="11"/>
            <w:tcBorders>
              <w:top w:val="nil"/>
              <w:left w:val="nil"/>
              <w:bottom w:val="single" w:color="000000" w:sz="4" w:space="0"/>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3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剑阁县开封镇2022年中央财政衔接资金以工代赈项目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31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何友志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剑阁县以工代赈办公室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1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开封镇人民政府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23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23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23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其中：本年财政拨款</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23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55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43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完成新建园区产业道路3.9公里，新建排洪渠303米，新建道路路边沟1.6公里，整治山坪塘7口，新建蓄水池1口，新建灌溉渠2公里。</w:t>
            </w:r>
          </w:p>
        </w:tc>
        <w:tc>
          <w:tcPr>
            <w:tcW w:w="43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完成新建园区产业道路3.9公里，新建排洪渠303米，新建道路路边沟1.6公里，整治山坪塘7口，新建蓄水池1口，新建灌溉渠2公里。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全年实际值</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(50分)</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产业园区配套设施建设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1处</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产业园区道路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3.9千米</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项目验收合格率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项目投资成本</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378万元/村</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项目区农村基础设施条件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劳务报酬占中央投资比例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参与工程建设的贫困群众满意度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54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总分</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1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spacing w:line="600" w:lineRule="exact"/>
        <w:jc w:val="both"/>
        <w:outlineLvl w:val="9"/>
        <w:rPr>
          <w:rFonts w:hint="eastAsia" w:ascii="黑体" w:hAnsi="黑体" w:eastAsia="黑体"/>
          <w:sz w:val="44"/>
          <w:szCs w:val="44"/>
        </w:rPr>
      </w:pPr>
    </w:p>
    <w:p>
      <w:pPr>
        <w:pStyle w:val="2"/>
        <w:rPr>
          <w:rFonts w:hint="eastAsia"/>
        </w:rPr>
      </w:pPr>
    </w:p>
    <w:bookmarkEnd w:id="75"/>
    <w:p>
      <w:pPr>
        <w:spacing w:line="600" w:lineRule="exact"/>
        <w:jc w:val="left"/>
        <w:outlineLvl w:val="9"/>
        <w:rPr>
          <w:rFonts w:ascii="仿宋_GB2312" w:hAnsi="Calibri" w:eastAsia="仿宋_GB2312" w:cs="仿宋"/>
          <w:kern w:val="0"/>
          <w:sz w:val="32"/>
          <w:szCs w:val="32"/>
        </w:rPr>
      </w:pPr>
      <w:bookmarkStart w:id="78" w:name="_Toc15396618"/>
    </w:p>
    <w:tbl>
      <w:tblPr>
        <w:tblStyle w:val="1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1"/>
        <w:gridCol w:w="700"/>
        <w:gridCol w:w="626"/>
        <w:gridCol w:w="1278"/>
        <w:gridCol w:w="997"/>
        <w:gridCol w:w="989"/>
        <w:gridCol w:w="812"/>
        <w:gridCol w:w="564"/>
        <w:gridCol w:w="1177"/>
        <w:gridCol w:w="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绩效目标自评表</w:t>
            </w:r>
            <w:r>
              <w:rPr>
                <w:rFonts w:hint="eastAsia" w:ascii="宋体" w:hAnsi="宋体" w:eastAsia="宋体" w:cs="宋体"/>
                <w:i w:val="0"/>
                <w:iCs w:val="0"/>
                <w:color w:val="000000"/>
                <w:kern w:val="0"/>
                <w:sz w:val="32"/>
                <w:szCs w:val="3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gridSpan w:val="10"/>
            <w:tcBorders>
              <w:top w:val="nil"/>
              <w:left w:val="nil"/>
              <w:bottom w:val="single" w:color="000000" w:sz="4" w:space="0"/>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剑阁县王河镇2022年中央财政衔接资金以工代赈项目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何友志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剑阁县以工代赈办公室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王河镇人民政府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其中：本年财政拨款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完成新（改）建乡村公路7.2公里，规格：4米宽，18厘米厚，砼C30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完成新（改）建乡村公路7.2公里，规格：4米宽，18厘米厚，砼C30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贫困村新建改建公路里程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7.2公里</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项目（工程）验收合格率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开工率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单位投资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50万元/公里</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项目区农村基础设施条件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劳务报酬占中央投资比例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参与工程建设的贫困群众满意度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pStyle w:val="2"/>
        <w:spacing w:before="93"/>
        <w:rPr>
          <w:rFonts w:hAnsi="Calibri" w:cs="仿宋"/>
          <w:sz w:val="32"/>
          <w:szCs w:val="32"/>
        </w:rPr>
      </w:pPr>
    </w:p>
    <w:p>
      <w:pPr>
        <w:rPr>
          <w:rFonts w:hAnsi="Calibri" w:cs="仿宋"/>
          <w:sz w:val="32"/>
          <w:szCs w:val="32"/>
        </w:rPr>
      </w:pPr>
    </w:p>
    <w:p>
      <w:pPr>
        <w:pStyle w:val="2"/>
        <w:rPr>
          <w:rFonts w:hAnsi="Calibri" w:cs="仿宋"/>
          <w:sz w:val="32"/>
          <w:szCs w:val="32"/>
        </w:rPr>
      </w:pPr>
    </w:p>
    <w:p>
      <w:pPr>
        <w:rPr>
          <w:rFonts w:hAnsi="Calibri" w:cs="仿宋"/>
          <w:sz w:val="32"/>
          <w:szCs w:val="32"/>
        </w:rPr>
      </w:pPr>
    </w:p>
    <w:p>
      <w:pPr>
        <w:pStyle w:val="2"/>
        <w:rPr>
          <w:rFonts w:hAnsi="Calibri" w:cs="仿宋"/>
          <w:sz w:val="32"/>
          <w:szCs w:val="32"/>
        </w:rPr>
      </w:pPr>
    </w:p>
    <w:p>
      <w:pPr>
        <w:rPr>
          <w:rFonts w:hAnsi="Calibri" w:cs="仿宋"/>
          <w:sz w:val="32"/>
          <w:szCs w:val="32"/>
        </w:rPr>
      </w:pPr>
    </w:p>
    <w:p>
      <w:pPr>
        <w:pStyle w:val="2"/>
        <w:rPr>
          <w:rFonts w:hAnsi="Calibri" w:cs="仿宋"/>
          <w:sz w:val="32"/>
          <w:szCs w:val="32"/>
        </w:rPr>
      </w:pPr>
    </w:p>
    <w:p>
      <w:pPr>
        <w:rPr>
          <w:rFonts w:hAnsi="Calibri" w:cs="仿宋"/>
          <w:sz w:val="32"/>
          <w:szCs w:val="32"/>
        </w:rPr>
      </w:pPr>
    </w:p>
    <w:p>
      <w:pPr>
        <w:pStyle w:val="2"/>
        <w:rPr>
          <w:rFonts w:hAnsi="Calibri" w:cs="仿宋"/>
          <w:sz w:val="32"/>
          <w:szCs w:val="32"/>
        </w:rPr>
      </w:pPr>
    </w:p>
    <w:p>
      <w:pPr>
        <w:rPr>
          <w:rFonts w:hAnsi="Calibri" w:cs="仿宋"/>
          <w:sz w:val="32"/>
          <w:szCs w:val="32"/>
        </w:rPr>
      </w:pPr>
    </w:p>
    <w:p>
      <w:pPr>
        <w:pStyle w:val="2"/>
        <w:rPr>
          <w:rFonts w:hAnsi="Calibri" w:cs="仿宋"/>
          <w:sz w:val="32"/>
          <w:szCs w:val="32"/>
        </w:rPr>
      </w:pPr>
    </w:p>
    <w:p/>
    <w:p>
      <w:pPr>
        <w:rPr>
          <w:rFonts w:hAnsi="Calibri" w:cs="仿宋"/>
          <w:sz w:val="32"/>
          <w:szCs w:val="32"/>
        </w:rPr>
      </w:pPr>
    </w:p>
    <w:p>
      <w:pPr>
        <w:pStyle w:val="2"/>
        <w:rPr>
          <w:rFonts w:hAnsi="Calibri" w:cs="仿宋"/>
          <w:sz w:val="32"/>
          <w:szCs w:val="32"/>
        </w:rPr>
      </w:pPr>
    </w:p>
    <w:p>
      <w:pPr>
        <w:rPr>
          <w:rFonts w:hAnsi="Calibri" w:cs="仿宋"/>
          <w:sz w:val="32"/>
          <w:szCs w:val="32"/>
        </w:rPr>
      </w:pPr>
    </w:p>
    <w:p>
      <w:pPr>
        <w:pStyle w:val="2"/>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tbl>
      <w:tblPr>
        <w:tblStyle w:val="17"/>
        <w:tblpPr w:leftFromText="180" w:rightFromText="180" w:vertAnchor="text" w:horzAnchor="page" w:tblpX="819" w:tblpY="-398"/>
        <w:tblOverlap w:val="never"/>
        <w:tblW w:w="103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3"/>
        <w:gridCol w:w="753"/>
        <w:gridCol w:w="1008"/>
        <w:gridCol w:w="2034"/>
        <w:gridCol w:w="507"/>
        <w:gridCol w:w="748"/>
        <w:gridCol w:w="1317"/>
        <w:gridCol w:w="1317"/>
        <w:gridCol w:w="687"/>
        <w:gridCol w:w="916"/>
        <w:gridCol w:w="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365"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绩效目标自评表</w:t>
            </w:r>
            <w:r>
              <w:rPr>
                <w:rFonts w:hint="eastAsia" w:ascii="宋体" w:hAnsi="宋体" w:eastAsia="宋体" w:cs="宋体"/>
                <w:i w:val="0"/>
                <w:iCs w:val="0"/>
                <w:color w:val="000000"/>
                <w:kern w:val="0"/>
                <w:sz w:val="32"/>
                <w:szCs w:val="3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365" w:type="dxa"/>
            <w:gridSpan w:val="11"/>
            <w:tcBorders>
              <w:top w:val="nil"/>
              <w:left w:val="nil"/>
              <w:bottom w:val="single" w:color="000000" w:sz="4" w:space="0"/>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3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2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剑阁县2022年以工代赈示范工程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3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何友志</w:t>
            </w:r>
            <w:bookmarkStart w:id="106" w:name="_GoBack"/>
            <w:bookmarkEnd w:id="10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2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剑阁县以工代赈办公室</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元山镇人民政府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231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2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23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600.98</w:t>
            </w:r>
          </w:p>
        </w:tc>
        <w:tc>
          <w:tcPr>
            <w:tcW w:w="2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585.68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23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其中：本年财政拨款</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2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534.7</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23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50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4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新建园区产业作业道9.4公里</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其中</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5.2公里</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规格</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3.5 米宽</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18cm厚、砼C30(粮丰村2.6公里</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广爱村2.6公里);  4.2公里</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规格</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3米宽</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18cm厚、砼C30(粮丰村2.2公里</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广爱村2公里)。新建排洪渠550米</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蓄水池(200 立方)9口(粮丰村5口</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广爱村4口)，</w:t>
            </w:r>
            <w:r>
              <w:rPr>
                <w:rFonts w:hint="eastAsia" w:ascii="宋体" w:hAnsi="宋体" w:cs="宋体"/>
                <w:i w:val="0"/>
                <w:iCs w:val="0"/>
                <w:color w:val="000000"/>
                <w:kern w:val="0"/>
                <w:sz w:val="20"/>
                <w:szCs w:val="20"/>
                <w:u w:val="none"/>
                <w:lang w:val="en-US" w:eastAsia="zh-CN" w:bidi="ar"/>
              </w:rPr>
              <w:t>建档</w:t>
            </w:r>
            <w:r>
              <w:rPr>
                <w:rFonts w:hint="eastAsia" w:ascii="宋体" w:hAnsi="宋体" w:eastAsia="宋体" w:cs="宋体"/>
                <w:i w:val="0"/>
                <w:iCs w:val="0"/>
                <w:color w:val="000000"/>
                <w:kern w:val="0"/>
                <w:sz w:val="20"/>
                <w:szCs w:val="20"/>
                <w:u w:val="none"/>
                <w:lang w:val="en-US" w:eastAsia="zh-CN" w:bidi="ar"/>
              </w:rPr>
              <w:t>水堰2处、加高1处，新增建设道路挡土墙2处，新增加宽作业道（长220米、宽1.5米、厚0.18米、砼C30）。</w:t>
            </w:r>
          </w:p>
        </w:tc>
        <w:tc>
          <w:tcPr>
            <w:tcW w:w="4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新建园区产业作业道9.4公里</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其中</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5.2公里</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规格</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3.5 米宽</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18cm厚、砼C30(粮丰村2.6公里</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广爱村2.6公里);  4.2公里</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规格</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3米宽</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18cm厚、砼C30(粮丰村2.2公里</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广爱村2公里)。新建排洪渠550米</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蓄水池(200 立方)9口(粮丰村5口</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广爱村4口)，</w:t>
            </w:r>
            <w:r>
              <w:rPr>
                <w:rFonts w:hint="eastAsia" w:ascii="宋体" w:hAnsi="宋体" w:cs="宋体"/>
                <w:i w:val="0"/>
                <w:iCs w:val="0"/>
                <w:color w:val="000000"/>
                <w:kern w:val="0"/>
                <w:sz w:val="20"/>
                <w:szCs w:val="20"/>
                <w:u w:val="none"/>
                <w:lang w:val="en-US" w:eastAsia="zh-CN" w:bidi="ar"/>
              </w:rPr>
              <w:t>建档</w:t>
            </w:r>
            <w:r>
              <w:rPr>
                <w:rFonts w:hint="eastAsia" w:ascii="宋体" w:hAnsi="宋体" w:eastAsia="宋体" w:cs="宋体"/>
                <w:i w:val="0"/>
                <w:iCs w:val="0"/>
                <w:color w:val="000000"/>
                <w:kern w:val="0"/>
                <w:sz w:val="20"/>
                <w:szCs w:val="20"/>
                <w:u w:val="none"/>
                <w:lang w:val="en-US" w:eastAsia="zh-CN" w:bidi="ar"/>
              </w:rPr>
              <w:t>水堰2处、加高1处，新增建设道路挡土墙2处，新增加宽作业道（长220米、宽1.5米、厚0.18米、砼C30）。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全年实际值</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(50分)</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新建园区产业作业道</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9.4公里</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9.4公里</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建排水渠</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550米</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550米</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蓄水池</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9口</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9口</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挡水堰</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2处</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2处</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道路挡土墙</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2处</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2处</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加宽作业道</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220米</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220米</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项目开工率</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≥95﹪</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超规模、超标准、超概算项目比例</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项目验收合格率</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≥95﹪</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时效指标</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投资计划分解（转发）用时</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 个工作日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≤11个工作日</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“两个责任”按项目落实到位率</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项目投资成本</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550万元</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550万元</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(30分)</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项目区农村基础设施条件</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劳务报酬占中央投资比例</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(10分)</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参与工程建设的贫困群众满意度</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4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总分</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2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99.7</w:t>
            </w: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pStyle w:val="2"/>
        <w:spacing w:before="93"/>
        <w:rPr>
          <w:rFonts w:hAnsi="Calibri" w:cs="仿宋"/>
          <w:sz w:val="32"/>
          <w:szCs w:val="32"/>
        </w:rPr>
      </w:pPr>
    </w:p>
    <w:p>
      <w:pPr>
        <w:pStyle w:val="2"/>
        <w:spacing w:before="93"/>
        <w:rPr>
          <w:rFonts w:hAnsi="Calibri" w:cs="仿宋"/>
          <w:sz w:val="32"/>
          <w:szCs w:val="32"/>
        </w:rPr>
      </w:pPr>
    </w:p>
    <w:p>
      <w:pPr>
        <w:rPr>
          <w:rFonts w:hAnsi="Calibri" w:cs="仿宋"/>
          <w:sz w:val="32"/>
          <w:szCs w:val="32"/>
        </w:rPr>
      </w:pPr>
    </w:p>
    <w:p>
      <w:pPr>
        <w:pStyle w:val="2"/>
        <w:rPr>
          <w:rFonts w:hAnsi="Calibri" w:cs="仿宋"/>
          <w:sz w:val="32"/>
          <w:szCs w:val="32"/>
        </w:rPr>
      </w:pPr>
    </w:p>
    <w:p>
      <w:pPr>
        <w:rPr>
          <w:rFonts w:hAnsi="Calibri" w:cs="仿宋"/>
          <w:sz w:val="32"/>
          <w:szCs w:val="32"/>
        </w:rPr>
      </w:pPr>
    </w:p>
    <w:p>
      <w:pPr>
        <w:pStyle w:val="2"/>
        <w:rPr>
          <w:rFonts w:hAnsi="Calibri" w:cs="仿宋"/>
          <w:sz w:val="32"/>
          <w:szCs w:val="32"/>
        </w:rPr>
      </w:pPr>
    </w:p>
    <w:p>
      <w:pPr>
        <w:rPr>
          <w:rFonts w:hAnsi="Calibri" w:cs="仿宋"/>
          <w:sz w:val="32"/>
          <w:szCs w:val="32"/>
        </w:rPr>
      </w:pPr>
    </w:p>
    <w:p>
      <w:pPr>
        <w:pStyle w:val="2"/>
        <w:rPr>
          <w:rFonts w:hAnsi="Calibri" w:cs="仿宋"/>
          <w:sz w:val="32"/>
          <w:szCs w:val="32"/>
        </w:rPr>
      </w:pPr>
    </w:p>
    <w:p>
      <w:pPr>
        <w:rPr>
          <w:rFonts w:hAnsi="Calibri" w:cs="仿宋"/>
          <w:sz w:val="32"/>
          <w:szCs w:val="32"/>
        </w:rPr>
      </w:pPr>
    </w:p>
    <w:p>
      <w:pPr>
        <w:pStyle w:val="2"/>
        <w:rPr>
          <w:rFonts w:hAnsi="Calibri" w:cs="仿宋"/>
          <w:sz w:val="32"/>
          <w:szCs w:val="32"/>
        </w:rPr>
      </w:pPr>
    </w:p>
    <w:p>
      <w:pPr>
        <w:rPr>
          <w:rFonts w:hAnsi="Calibri" w:cs="仿宋"/>
          <w:sz w:val="32"/>
          <w:szCs w:val="32"/>
        </w:rPr>
      </w:pPr>
    </w:p>
    <w:p>
      <w:pPr>
        <w:pStyle w:val="2"/>
        <w:rPr>
          <w:rFonts w:hAnsi="Calibri" w:cs="仿宋"/>
          <w:sz w:val="32"/>
          <w:szCs w:val="32"/>
        </w:rPr>
      </w:pPr>
    </w:p>
    <w:p/>
    <w:p>
      <w:pPr>
        <w:rPr>
          <w:rFonts w:hAnsi="Calibri" w:cs="仿宋"/>
          <w:sz w:val="32"/>
          <w:szCs w:val="32"/>
        </w:rPr>
      </w:pPr>
    </w:p>
    <w:p>
      <w:pPr>
        <w:pStyle w:val="2"/>
        <w:rPr>
          <w:rFonts w:hAnsi="Calibri" w:cs="仿宋"/>
          <w:sz w:val="32"/>
          <w:szCs w:val="32"/>
        </w:rPr>
      </w:pPr>
    </w:p>
    <w:p/>
    <w:p>
      <w:pPr>
        <w:pStyle w:val="2"/>
        <w:spacing w:before="93"/>
        <w:rPr>
          <w:rFonts w:hAnsi="Calibri" w:cs="仿宋"/>
          <w:sz w:val="32"/>
          <w:szCs w:val="32"/>
        </w:rPr>
      </w:pPr>
    </w:p>
    <w:p>
      <w:pPr>
        <w:spacing w:line="600" w:lineRule="exact"/>
        <w:jc w:val="center"/>
        <w:outlineLvl w:val="0"/>
        <w:rPr>
          <w:rFonts w:ascii="仿宋" w:hAnsi="仿宋" w:eastAsia="仿宋"/>
        </w:rPr>
      </w:pPr>
      <w:bookmarkStart w:id="79" w:name="_Toc16870"/>
      <w:r>
        <w:rPr>
          <w:rFonts w:hint="eastAsia" w:ascii="黑体" w:hAnsi="黑体" w:eastAsia="黑体"/>
          <w:sz w:val="44"/>
          <w:szCs w:val="44"/>
        </w:rPr>
        <w:t>第</w:t>
      </w:r>
      <w:r>
        <w:rPr>
          <w:rStyle w:val="29"/>
          <w:rFonts w:hint="eastAsia" w:ascii="黑体" w:hAnsi="黑体" w:eastAsia="黑体"/>
          <w:b w:val="0"/>
        </w:rPr>
        <w:t>五部分 附表</w:t>
      </w:r>
      <w:bookmarkEnd w:id="76"/>
      <w:bookmarkEnd w:id="78"/>
      <w:bookmarkEnd w:id="79"/>
      <w:bookmarkStart w:id="80" w:name="_Toc15396619"/>
    </w:p>
    <w:p>
      <w:pPr>
        <w:pStyle w:val="4"/>
        <w:rPr>
          <w:rFonts w:ascii="仿宋" w:hAnsi="仿宋" w:eastAsia="仿宋"/>
        </w:rPr>
      </w:pPr>
      <w:bookmarkStart w:id="81" w:name="_Toc16496"/>
      <w:r>
        <w:rPr>
          <w:rFonts w:hint="eastAsia" w:ascii="仿宋" w:hAnsi="仿宋" w:eastAsia="仿宋"/>
          <w:b w:val="0"/>
        </w:rPr>
        <w:t>一、收</w:t>
      </w:r>
      <w:r>
        <w:rPr>
          <w:rStyle w:val="30"/>
          <w:rFonts w:hint="eastAsia" w:ascii="仿宋" w:hAnsi="仿宋" w:eastAsia="仿宋"/>
          <w:b w:val="0"/>
          <w:bCs w:val="0"/>
        </w:rPr>
        <w:t>入支出决算总表</w:t>
      </w:r>
      <w:bookmarkEnd w:id="80"/>
      <w:bookmarkEnd w:id="81"/>
    </w:p>
    <w:p>
      <w:pPr>
        <w:pStyle w:val="4"/>
        <w:rPr>
          <w:rFonts w:ascii="仿宋" w:hAnsi="仿宋" w:eastAsia="仿宋"/>
        </w:rPr>
      </w:pPr>
      <w:bookmarkStart w:id="82" w:name="_Toc4514"/>
      <w:bookmarkStart w:id="83" w:name="_Toc15396620"/>
      <w:r>
        <w:rPr>
          <w:rFonts w:hint="eastAsia" w:ascii="仿宋" w:hAnsi="仿宋" w:eastAsia="仿宋"/>
          <w:b w:val="0"/>
        </w:rPr>
        <w:t>二、收</w:t>
      </w:r>
      <w:r>
        <w:rPr>
          <w:rStyle w:val="30"/>
          <w:rFonts w:hint="eastAsia" w:ascii="仿宋" w:hAnsi="仿宋" w:eastAsia="仿宋"/>
          <w:b w:val="0"/>
          <w:bCs w:val="0"/>
        </w:rPr>
        <w:t>入决算表</w:t>
      </w:r>
      <w:bookmarkEnd w:id="82"/>
      <w:bookmarkEnd w:id="83"/>
    </w:p>
    <w:p>
      <w:pPr>
        <w:pStyle w:val="4"/>
        <w:rPr>
          <w:rFonts w:ascii="仿宋" w:hAnsi="仿宋" w:eastAsia="仿宋"/>
        </w:rPr>
      </w:pPr>
      <w:bookmarkStart w:id="84" w:name="_Toc15396621"/>
      <w:bookmarkStart w:id="85" w:name="_Toc18572"/>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84"/>
      <w:bookmarkEnd w:id="85"/>
    </w:p>
    <w:p>
      <w:pPr>
        <w:pStyle w:val="4"/>
        <w:rPr>
          <w:rFonts w:ascii="仿宋" w:hAnsi="仿宋" w:eastAsia="仿宋"/>
          <w:b w:val="0"/>
        </w:rPr>
      </w:pPr>
      <w:bookmarkStart w:id="86" w:name="_Toc15396622"/>
      <w:bookmarkStart w:id="87" w:name="_Toc12667"/>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86"/>
      <w:bookmarkEnd w:id="87"/>
    </w:p>
    <w:p>
      <w:pPr>
        <w:pStyle w:val="4"/>
        <w:rPr>
          <w:rStyle w:val="30"/>
          <w:rFonts w:ascii="仿宋" w:hAnsi="仿宋" w:eastAsia="仿宋"/>
          <w:b w:val="0"/>
          <w:bCs w:val="0"/>
        </w:rPr>
      </w:pPr>
      <w:bookmarkStart w:id="88" w:name="_Toc26139"/>
      <w:bookmarkStart w:id="89" w:name="_Toc15396623"/>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88"/>
      <w:bookmarkEnd w:id="89"/>
      <w:bookmarkStart w:id="90" w:name="_Toc15396624"/>
    </w:p>
    <w:p>
      <w:pPr>
        <w:pStyle w:val="4"/>
        <w:rPr>
          <w:rFonts w:ascii="仿宋" w:hAnsi="仿宋" w:eastAsia="仿宋"/>
        </w:rPr>
      </w:pPr>
      <w:bookmarkStart w:id="91" w:name="_Toc28833"/>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90"/>
      <w:bookmarkEnd w:id="91"/>
    </w:p>
    <w:p>
      <w:pPr>
        <w:pStyle w:val="4"/>
        <w:rPr>
          <w:rFonts w:ascii="仿宋" w:hAnsi="仿宋" w:eastAsia="仿宋"/>
        </w:rPr>
      </w:pPr>
      <w:bookmarkStart w:id="92" w:name="_Toc13260"/>
      <w:bookmarkStart w:id="93" w:name="_Toc15396625"/>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92"/>
      <w:bookmarkEnd w:id="93"/>
    </w:p>
    <w:p>
      <w:pPr>
        <w:pStyle w:val="4"/>
        <w:rPr>
          <w:rFonts w:ascii="仿宋" w:hAnsi="仿宋" w:eastAsia="仿宋"/>
        </w:rPr>
      </w:pPr>
      <w:bookmarkStart w:id="94" w:name="_Toc15396626"/>
      <w:bookmarkStart w:id="95" w:name="_Toc28227"/>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bookmarkEnd w:id="94"/>
      <w:bookmarkEnd w:id="95"/>
    </w:p>
    <w:p>
      <w:pPr>
        <w:pStyle w:val="4"/>
        <w:rPr>
          <w:rFonts w:ascii="仿宋" w:hAnsi="仿宋" w:eastAsia="仿宋"/>
        </w:rPr>
      </w:pPr>
      <w:bookmarkStart w:id="96" w:name="_Toc15396627"/>
      <w:bookmarkStart w:id="97" w:name="_Toc28262"/>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96"/>
      <w:bookmarkEnd w:id="97"/>
    </w:p>
    <w:p>
      <w:pPr>
        <w:pStyle w:val="4"/>
        <w:rPr>
          <w:rFonts w:ascii="仿宋" w:hAnsi="仿宋" w:eastAsia="仿宋"/>
        </w:rPr>
      </w:pPr>
      <w:bookmarkStart w:id="98" w:name="_Toc15396628"/>
      <w:bookmarkStart w:id="99" w:name="_Toc27927"/>
      <w:r>
        <w:rPr>
          <w:rStyle w:val="30"/>
          <w:rFonts w:hint="eastAsia" w:ascii="仿宋" w:hAnsi="仿宋" w:eastAsia="仿宋"/>
          <w:b w:val="0"/>
          <w:bCs w:val="0"/>
        </w:rPr>
        <w:t>十、</w:t>
      </w:r>
      <w:bookmarkEnd w:id="98"/>
      <w:r>
        <w:rPr>
          <w:rFonts w:hint="eastAsia" w:ascii="仿宋" w:hAnsi="仿宋" w:eastAsia="仿宋"/>
          <w:b w:val="0"/>
        </w:rPr>
        <w:t>政</w:t>
      </w:r>
      <w:r>
        <w:rPr>
          <w:rStyle w:val="30"/>
          <w:rFonts w:hint="eastAsia" w:ascii="仿宋" w:hAnsi="仿宋" w:eastAsia="仿宋"/>
          <w:b w:val="0"/>
          <w:bCs w:val="0"/>
        </w:rPr>
        <w:t>府性基金预算财政拨款收入支出决算表</w:t>
      </w:r>
      <w:bookmarkEnd w:id="99"/>
    </w:p>
    <w:p>
      <w:pPr>
        <w:pStyle w:val="4"/>
        <w:rPr>
          <w:rFonts w:ascii="仿宋" w:hAnsi="仿宋" w:eastAsia="仿宋"/>
        </w:rPr>
      </w:pPr>
      <w:bookmarkStart w:id="100" w:name="_Toc15396629"/>
      <w:bookmarkStart w:id="101" w:name="_Toc2729"/>
      <w:r>
        <w:rPr>
          <w:rStyle w:val="30"/>
          <w:rFonts w:hint="eastAsia" w:ascii="仿宋" w:hAnsi="仿宋" w:eastAsia="仿宋"/>
          <w:b w:val="0"/>
          <w:bCs w:val="0"/>
        </w:rPr>
        <w:t>十一、</w:t>
      </w:r>
      <w:bookmarkEnd w:id="100"/>
      <w:r>
        <w:rPr>
          <w:rFonts w:hint="eastAsia" w:ascii="仿宋" w:hAnsi="仿宋" w:eastAsia="仿宋"/>
          <w:b w:val="0"/>
        </w:rPr>
        <w:t>国</w:t>
      </w:r>
      <w:r>
        <w:rPr>
          <w:rStyle w:val="30"/>
          <w:rFonts w:hint="eastAsia" w:ascii="仿宋" w:hAnsi="仿宋" w:eastAsia="仿宋"/>
          <w:b w:val="0"/>
          <w:bCs w:val="0"/>
        </w:rPr>
        <w:t>有资本经营预算财政拨款收入支出决算表</w:t>
      </w:r>
      <w:bookmarkEnd w:id="101"/>
    </w:p>
    <w:p>
      <w:pPr>
        <w:pStyle w:val="4"/>
        <w:rPr>
          <w:rFonts w:ascii="仿宋" w:hAnsi="仿宋" w:eastAsia="仿宋"/>
        </w:rPr>
      </w:pPr>
      <w:bookmarkStart w:id="102" w:name="_Toc15396630"/>
      <w:bookmarkStart w:id="103" w:name="_Toc24629"/>
      <w:r>
        <w:rPr>
          <w:rStyle w:val="30"/>
          <w:rFonts w:hint="eastAsia" w:ascii="仿宋" w:hAnsi="仿宋" w:eastAsia="仿宋"/>
          <w:b w:val="0"/>
          <w:bCs w:val="0"/>
        </w:rPr>
        <w:t>十二、</w:t>
      </w:r>
      <w:bookmarkEnd w:id="102"/>
      <w:r>
        <w:rPr>
          <w:rStyle w:val="30"/>
          <w:rFonts w:hint="eastAsia" w:ascii="仿宋" w:hAnsi="仿宋" w:eastAsia="仿宋"/>
          <w:b w:val="0"/>
          <w:bCs w:val="0"/>
        </w:rPr>
        <w:t>国有资本经营预算财政拨款支出决算表</w:t>
      </w:r>
      <w:bookmarkEnd w:id="103"/>
    </w:p>
    <w:p>
      <w:pPr>
        <w:pStyle w:val="4"/>
        <w:rPr>
          <w:rFonts w:eastAsia="仿宋"/>
        </w:rPr>
      </w:pPr>
      <w:bookmarkStart w:id="104" w:name="_Toc15396631"/>
      <w:bookmarkStart w:id="105" w:name="_Toc9021"/>
      <w:r>
        <w:rPr>
          <w:rStyle w:val="30"/>
          <w:rFonts w:hint="eastAsia" w:ascii="仿宋" w:hAnsi="仿宋" w:eastAsia="仿宋"/>
          <w:b w:val="0"/>
          <w:bCs w:val="0"/>
        </w:rPr>
        <w:t>十三、</w:t>
      </w:r>
      <w:bookmarkEnd w:id="104"/>
      <w:r>
        <w:rPr>
          <w:rStyle w:val="30"/>
          <w:rFonts w:hint="eastAsia" w:ascii="仿宋" w:hAnsi="仿宋" w:eastAsia="仿宋"/>
          <w:b w:val="0"/>
          <w:bCs w:val="0"/>
        </w:rPr>
        <w:t>财政拨款“三公”经费支出决算表</w:t>
      </w:r>
      <w:bookmarkEnd w:id="105"/>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NTY2MDcyODQ2N2FkODM5ZTkwNDc3NmI1NDljNj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3A62B5"/>
    <w:rsid w:val="0A1E07C3"/>
    <w:rsid w:val="0A2032A3"/>
    <w:rsid w:val="0B8A37D8"/>
    <w:rsid w:val="10C055FF"/>
    <w:rsid w:val="118107EC"/>
    <w:rsid w:val="11DD6519"/>
    <w:rsid w:val="16BB723D"/>
    <w:rsid w:val="18015F3F"/>
    <w:rsid w:val="182D5F7E"/>
    <w:rsid w:val="1BE8440E"/>
    <w:rsid w:val="1D155CEE"/>
    <w:rsid w:val="20F57F95"/>
    <w:rsid w:val="240371BF"/>
    <w:rsid w:val="25711CC6"/>
    <w:rsid w:val="25C741E6"/>
    <w:rsid w:val="27842671"/>
    <w:rsid w:val="29FD04D3"/>
    <w:rsid w:val="2ABE7A3E"/>
    <w:rsid w:val="2CA234A8"/>
    <w:rsid w:val="2EFA178C"/>
    <w:rsid w:val="30B46D73"/>
    <w:rsid w:val="319F7F4E"/>
    <w:rsid w:val="383D272C"/>
    <w:rsid w:val="39AE70AB"/>
    <w:rsid w:val="3C0C0783"/>
    <w:rsid w:val="3DE86C41"/>
    <w:rsid w:val="3F9F3A96"/>
    <w:rsid w:val="41FD31DE"/>
    <w:rsid w:val="46DE3850"/>
    <w:rsid w:val="48BF60AB"/>
    <w:rsid w:val="493C27E9"/>
    <w:rsid w:val="496F39ED"/>
    <w:rsid w:val="49FF41D3"/>
    <w:rsid w:val="4B983B59"/>
    <w:rsid w:val="4BE068DB"/>
    <w:rsid w:val="4BF6002B"/>
    <w:rsid w:val="4ECE2238"/>
    <w:rsid w:val="51DB4B86"/>
    <w:rsid w:val="55333C3E"/>
    <w:rsid w:val="5BB51980"/>
    <w:rsid w:val="5DA24AA9"/>
    <w:rsid w:val="64CA39A1"/>
    <w:rsid w:val="69630ADE"/>
    <w:rsid w:val="6B224192"/>
    <w:rsid w:val="6C4A05C8"/>
    <w:rsid w:val="6D3B1A89"/>
    <w:rsid w:val="71BF4EC2"/>
    <w:rsid w:val="72734D90"/>
    <w:rsid w:val="7412278C"/>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6"/>
    <w:qFormat/>
    <w:uiPriority w:val="99"/>
    <w:pPr>
      <w:spacing w:beforeLines="30"/>
    </w:pPr>
    <w:rPr>
      <w:rFonts w:ascii="仿宋_GB2312" w:eastAsia="仿宋_GB2312"/>
      <w:kern w:val="0"/>
      <w:sz w:val="30"/>
    </w:rPr>
  </w:style>
  <w:style w:type="paragraph" w:styleId="6">
    <w:name w:val="Body Text Indent"/>
    <w:basedOn w:val="1"/>
    <w:qFormat/>
    <w:uiPriority w:val="0"/>
    <w:pPr>
      <w:spacing w:line="560" w:lineRule="exact"/>
      <w:ind w:firstLine="640" w:firstLineChars="200"/>
      <w:jc w:val="left"/>
    </w:pPr>
    <w:rPr>
      <w:rFonts w:ascii="仿宋_GB2312" w:eastAsia="仿宋_GB2312"/>
      <w:sz w:val="32"/>
    </w:rPr>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qFormat/>
    <w:uiPriority w:val="99"/>
    <w:rPr>
      <w:rFonts w:ascii="宋体" w:hAnsi="Courier New" w:eastAsia="仿宋_GB2312" w:cs="Courier New"/>
      <w:b/>
      <w:sz w:val="32"/>
      <w:szCs w:val="21"/>
    </w:r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2"/>
    <w:qFormat/>
    <w:uiPriority w:val="0"/>
    <w:pPr>
      <w:ind w:firstLine="420" w:firstLineChars="100"/>
    </w:pPr>
  </w:style>
  <w:style w:type="paragraph" w:styleId="16">
    <w:name w:val="Body Text First Indent 2"/>
    <w:basedOn w:val="6"/>
    <w:next w:val="1"/>
    <w:qFormat/>
    <w:uiPriority w:val="0"/>
    <w:pPr>
      <w:ind w:firstLine="420" w:firstLineChars="200"/>
    </w:pPr>
    <w:rPr>
      <w:rFonts w:ascii="Times New Roman" w:hAnsi="Times New Roman" w:eastAsia="宋体" w:cs="Times New Roman"/>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Header Char"/>
    <w:basedOn w:val="18"/>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8"/>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8"/>
    <w:semiHidden/>
    <w:qFormat/>
    <w:uiPriority w:val="99"/>
    <w:rPr>
      <w:rFonts w:ascii="Times New Roman" w:hAnsi="Times New Roman"/>
      <w:szCs w:val="24"/>
    </w:rPr>
  </w:style>
  <w:style w:type="character" w:customStyle="1" w:styleId="26">
    <w:name w:val="正文文本 字符"/>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8"/>
    <w:link w:val="3"/>
    <w:qFormat/>
    <w:uiPriority w:val="9"/>
    <w:rPr>
      <w:rFonts w:ascii="Times New Roman" w:hAnsi="Times New Roman"/>
      <w:b/>
      <w:bCs/>
      <w:kern w:val="44"/>
      <w:sz w:val="44"/>
      <w:szCs w:val="44"/>
    </w:rPr>
  </w:style>
  <w:style w:type="character" w:customStyle="1" w:styleId="30">
    <w:name w:val="标题 2 字符"/>
    <w:basedOn w:val="18"/>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8"/>
    <w:link w:val="9"/>
    <w:semiHidden/>
    <w:qFormat/>
    <w:uiPriority w:val="99"/>
    <w:rPr>
      <w:rFonts w:ascii="Times New Roman" w:hAnsi="Times New Roman"/>
      <w:kern w:val="2"/>
      <w:sz w:val="18"/>
      <w:szCs w:val="18"/>
    </w:rPr>
  </w:style>
  <w:style w:type="character" w:customStyle="1" w:styleId="33">
    <w:name w:val="标题 3 字符"/>
    <w:basedOn w:val="18"/>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图表目录1"/>
    <w:basedOn w:val="1"/>
    <w:next w:val="1"/>
    <w:qFormat/>
    <w:uiPriority w:val="0"/>
    <w:pPr>
      <w:ind w:left="200" w:leftChars="200" w:hanging="200" w:hangingChars="200"/>
    </w:pPr>
  </w:style>
  <w:style w:type="character" w:customStyle="1" w:styleId="36">
    <w:name w:val="font11"/>
    <w:basedOn w:val="18"/>
    <w:qFormat/>
    <w:uiPriority w:val="0"/>
    <w:rPr>
      <w:rFonts w:hint="eastAsia" w:ascii="黑体" w:hAnsi="宋体" w:eastAsia="黑体" w:cs="黑体"/>
      <w:b/>
      <w:bCs/>
      <w:color w:val="000000"/>
      <w:sz w:val="30"/>
      <w:szCs w:val="30"/>
      <w:u w:val="none"/>
    </w:rPr>
  </w:style>
  <w:style w:type="character" w:customStyle="1" w:styleId="37">
    <w:name w:val="font21"/>
    <w:basedOn w:val="18"/>
    <w:qFormat/>
    <w:uiPriority w:val="0"/>
    <w:rPr>
      <w:rFonts w:hint="eastAsia" w:ascii="宋体" w:hAnsi="宋体" w:eastAsia="宋体" w:cs="宋体"/>
      <w:color w:val="000000"/>
      <w:sz w:val="18"/>
      <w:szCs w:val="18"/>
      <w:u w:val="none"/>
    </w:rPr>
  </w:style>
  <w:style w:type="character" w:customStyle="1" w:styleId="38">
    <w:name w:val="font31"/>
    <w:basedOn w:val="18"/>
    <w:qFormat/>
    <w:uiPriority w:val="0"/>
    <w:rPr>
      <w:rFonts w:hint="eastAsia" w:ascii="黑体" w:hAnsi="宋体" w:eastAsia="黑体" w:cs="黑体"/>
      <w:color w:val="000000"/>
      <w:sz w:val="18"/>
      <w:szCs w:val="18"/>
      <w:u w:val="none"/>
    </w:rPr>
  </w:style>
  <w:style w:type="character" w:customStyle="1" w:styleId="39">
    <w:name w:val="font41"/>
    <w:basedOn w:val="18"/>
    <w:qFormat/>
    <w:uiPriority w:val="0"/>
    <w:rPr>
      <w:rFonts w:hint="eastAsia" w:ascii="微软雅黑" w:hAnsi="微软雅黑" w:eastAsia="微软雅黑" w:cs="微软雅黑"/>
      <w:i/>
      <w:iCs/>
      <w:color w:val="000000"/>
      <w:sz w:val="16"/>
      <w:szCs w:val="16"/>
      <w:u w:val="none"/>
    </w:rPr>
  </w:style>
  <w:style w:type="paragraph" w:customStyle="1" w:styleId="40">
    <w:name w:val="WPSOffice手动目录 1"/>
    <w:qFormat/>
    <w:uiPriority w:val="0"/>
    <w:pPr>
      <w:ind w:leftChars="0"/>
    </w:pPr>
    <w:rPr>
      <w:rFonts w:ascii="Times New Roman" w:hAnsi="Times New Roman" w:eastAsia="宋体" w:cs="Times New Roman"/>
      <w:sz w:val="20"/>
      <w:szCs w:val="20"/>
    </w:rPr>
  </w:style>
  <w:style w:type="paragraph" w:customStyle="1" w:styleId="41">
    <w:name w:val="WPSOffice手动目录 2"/>
    <w:qFormat/>
    <w:uiPriority w:val="0"/>
    <w:pPr>
      <w:ind w:leftChars="200"/>
    </w:pPr>
    <w:rPr>
      <w:rFonts w:ascii="Times New Roman" w:hAnsi="Times New Roman" w:eastAsia="宋体" w:cs="Times New Roman"/>
      <w:sz w:val="20"/>
      <w:szCs w:val="20"/>
    </w:rPr>
  </w:style>
  <w:style w:type="character" w:customStyle="1" w:styleId="42">
    <w:name w:val="font111"/>
    <w:basedOn w:val="18"/>
    <w:qFormat/>
    <w:uiPriority w:val="0"/>
    <w:rPr>
      <w:rFonts w:hint="eastAsia" w:ascii="宋体" w:hAnsi="宋体" w:eastAsia="宋体" w:cs="宋体"/>
      <w:b/>
      <w:bCs/>
      <w:color w:val="000000"/>
      <w:sz w:val="32"/>
      <w:szCs w:val="32"/>
      <w:u w:val="none"/>
    </w:rPr>
  </w:style>
  <w:style w:type="character" w:customStyle="1" w:styleId="43">
    <w:name w:val="font12"/>
    <w:basedOn w:val="18"/>
    <w:qFormat/>
    <w:uiPriority w:val="0"/>
    <w:rPr>
      <w:rFonts w:hint="eastAsia" w:ascii="宋体" w:hAnsi="宋体" w:eastAsia="宋体" w:cs="宋体"/>
      <w:color w:val="000000"/>
      <w:sz w:val="20"/>
      <w:szCs w:val="20"/>
      <w:u w:val="none"/>
    </w:rPr>
  </w:style>
  <w:style w:type="character" w:customStyle="1" w:styleId="44">
    <w:name w:val="font122"/>
    <w:basedOn w:val="18"/>
    <w:qFormat/>
    <w:uiPriority w:val="0"/>
    <w:rPr>
      <w:rFonts w:hint="eastAsia" w:ascii="宋体" w:hAnsi="宋体" w:eastAsia="宋体" w:cs="宋体"/>
      <w:color w:val="000000"/>
      <w:sz w:val="20"/>
      <w:szCs w:val="20"/>
      <w:u w:val="none"/>
    </w:rPr>
  </w:style>
  <w:style w:type="character" w:customStyle="1" w:styleId="45">
    <w:name w:val="font101"/>
    <w:basedOn w:val="18"/>
    <w:qFormat/>
    <w:uiPriority w:val="0"/>
    <w:rPr>
      <w:rFonts w:hint="eastAsia" w:ascii="宋体" w:hAnsi="宋体" w:eastAsia="宋体" w:cs="宋体"/>
      <w:b/>
      <w:bCs/>
      <w:color w:val="000000"/>
      <w:sz w:val="32"/>
      <w:szCs w:val="32"/>
      <w:u w:val="none"/>
    </w:rPr>
  </w:style>
  <w:style w:type="character" w:customStyle="1" w:styleId="46">
    <w:name w:val="font112"/>
    <w:basedOn w:val="18"/>
    <w:qFormat/>
    <w:uiPriority w:val="0"/>
    <w:rPr>
      <w:rFonts w:hint="eastAsia" w:ascii="宋体" w:hAnsi="宋体" w:eastAsia="宋体" w:cs="宋体"/>
      <w:color w:val="000000"/>
      <w:sz w:val="20"/>
      <w:szCs w:val="20"/>
      <w:u w:val="none"/>
    </w:rPr>
  </w:style>
  <w:style w:type="character" w:customStyle="1" w:styleId="47">
    <w:name w:val="font71"/>
    <w:basedOn w:val="18"/>
    <w:uiPriority w:val="0"/>
    <w:rPr>
      <w:rFonts w:hint="eastAsia" w:ascii="宋体" w:hAnsi="宋体" w:eastAsia="宋体" w:cs="宋体"/>
      <w:color w:val="000000"/>
      <w:sz w:val="20"/>
      <w:szCs w:val="20"/>
      <w:u w:val="none"/>
    </w:rPr>
  </w:style>
  <w:style w:type="character" w:customStyle="1" w:styleId="48">
    <w:name w:val="font91"/>
    <w:basedOn w:val="18"/>
    <w:qFormat/>
    <w:uiPriority w:val="0"/>
    <w:rPr>
      <w:rFonts w:hint="eastAsia" w:ascii="宋体" w:hAnsi="宋体" w:eastAsia="宋体" w:cs="宋体"/>
      <w:b/>
      <w:bCs/>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USER-20181219WX\Desktop\&#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USER-20181219WX\Desktop\&#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USER-20181219WX\Desktop\&#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USER-20181219WX\Desktop\&#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USER-20181219WX\Desktop\&#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USER-20181219WX\Desktop\&#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USER-20181219WX\Desktop\&#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c:spPr>
          <c:invertIfNegative val="0"/>
          <c:dPt>
            <c:idx val="1"/>
            <c:invertIfNegative val="0"/>
            <c:bubble3D val="0"/>
            <c:spPr>
              <a:solidFill>
                <a:srgbClr val="FFC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1096.08</c:v>
                </c:pt>
                <c:pt idx="1" c:formatCode="#,##0.00">
                  <c:v>1795</c:v>
                </c:pt>
              </c:numCache>
            </c:numRef>
          </c:val>
        </c:ser>
        <c:dLbls>
          <c:showLegendKey val="0"/>
          <c:showVal val="1"/>
          <c:showCatName val="0"/>
          <c:showSerName val="0"/>
          <c:showPercent val="0"/>
          <c:showBubbleSize val="0"/>
        </c:dLbls>
        <c:gapWidth val="150"/>
        <c:axId val="132649344"/>
        <c:axId val="132650880"/>
      </c:barChart>
      <c:catAx>
        <c:axId val="1326493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50880"/>
        <c:crosses val="autoZero"/>
        <c:auto val="1"/>
        <c:lblAlgn val="ctr"/>
        <c:lblOffset val="100"/>
        <c:noMultiLvlLbl val="0"/>
      </c:catAx>
      <c:valAx>
        <c:axId val="1326508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收入决算结构图</a:t>
            </a:r>
            <a:endParaRPr altLang="en-US"/>
          </a:p>
        </c:rich>
      </c:tx>
      <c:layout/>
      <c:overlay val="0"/>
      <c:spPr>
        <a:noFill/>
        <a:ln>
          <a:noFill/>
        </a:ln>
        <a:effectLst/>
      </c:spPr>
    </c:title>
    <c:autoTitleDeleted val="0"/>
    <c:plotArea>
      <c:layout>
        <c:manualLayout>
          <c:layoutTarget val="inner"/>
          <c:xMode val="edge"/>
          <c:yMode val="edge"/>
          <c:x val="0.342013888888889"/>
          <c:y val="0.176388888888889"/>
          <c:w val="0.324305555555556"/>
          <c:h val="0.540509259259259"/>
        </c:manualLayout>
      </c:layout>
      <c:pieChart>
        <c:varyColors val="1"/>
        <c:ser>
          <c:idx val="0"/>
          <c:order val="0"/>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[决算公开插图制作示例.xlsx]图二!$A$1</c:f>
              <c:strCache>
                <c:ptCount val="1"/>
                <c:pt idx="0">
                  <c:v>一、一般公共预算财政拨款收入</c:v>
                </c:pt>
              </c:strCache>
            </c:strRef>
          </c:cat>
          <c:val>
            <c:numRef>
              <c:f>[决算公开插图制作示例.xlsx]图二!$B$1</c:f>
              <c:numCache>
                <c:formatCode>#,##0.00</c:formatCode>
                <c:ptCount val="1"/>
                <c:pt idx="0">
                  <c:v>1776.45</c:v>
                </c:pt>
              </c:numCache>
            </c:numRef>
          </c:val>
        </c:ser>
        <c:ser>
          <c:idx val="1"/>
          <c:order val="1"/>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[决算公开插图制作示例.xlsx]图二!$A$1</c:f>
              <c:strCache>
                <c:ptCount val="1"/>
                <c:pt idx="0">
                  <c:v>一、一般公共预算财政拨款收入</c:v>
                </c:pt>
              </c:strCache>
            </c:strRef>
          </c:cat>
          <c:val>
            <c:numRef>
              <c:f>[决算公开插图制作示例.xlsx]图二!$C$1</c:f>
              <c:numCache>
                <c:formatCode>0.00%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0.0614</c:v>
                </c:pt>
                <c:pt idx="1">
                  <c:v>0.9386</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41132983377074"/>
          <c:y val="0.0349537037037037"/>
          <c:w val="0.587929790026247"/>
          <c:h val="0.824965368912219"/>
        </c:manualLayout>
      </c:layout>
      <c:barChart>
        <c:barDir val="col"/>
        <c:grouping val="clustered"/>
        <c:varyColors val="0"/>
        <c:ser>
          <c:idx val="0"/>
          <c:order val="0"/>
          <c:invertIfNegative val="0"/>
          <c:dPt>
            <c:idx val="1"/>
            <c:invertIfNegative val="0"/>
            <c:bubble3D val="0"/>
            <c:spPr>
              <a:solidFill>
                <a:srgbClr val="C0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1096.08</c:v>
                </c:pt>
                <c:pt idx="1" c:formatCode="#,##0.00">
                  <c:v>1795</c:v>
                </c:pt>
              </c:numCache>
            </c:numRef>
          </c:val>
        </c:ser>
        <c:dLbls>
          <c:showLegendKey val="0"/>
          <c:showVal val="1"/>
          <c:showCatName val="0"/>
          <c:showSerName val="0"/>
          <c:showPercent val="0"/>
          <c:showBubbleSize val="0"/>
        </c:dLbls>
        <c:gapWidth val="150"/>
        <c:axId val="133066112"/>
        <c:axId val="133084288"/>
      </c:barChart>
      <c:catAx>
        <c:axId val="133066112"/>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084288"/>
        <c:crosses val="autoZero"/>
        <c:auto val="1"/>
        <c:lblAlgn val="ctr"/>
        <c:lblOffset val="100"/>
        <c:noMultiLvlLbl val="0"/>
      </c:catAx>
      <c:valAx>
        <c:axId val="1330842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571741032371"/>
          <c:y val="0.168676727909011"/>
          <c:w val="0.606249125109361"/>
          <c:h val="0.679911417322835"/>
        </c:manualLayout>
      </c:layout>
      <c:barChart>
        <c:barDir val="col"/>
        <c:grouping val="clustered"/>
        <c:varyColors val="0"/>
        <c:ser>
          <c:idx val="0"/>
          <c:order val="0"/>
          <c:invertIfNegative val="0"/>
          <c:dPt>
            <c:idx val="1"/>
            <c:invertIfNegative val="0"/>
            <c:bubble3D val="0"/>
            <c:spPr>
              <a:solidFill>
                <a:srgbClr val="FF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1096.08</c:v>
                </c:pt>
                <c:pt idx="1" c:formatCode="#,##0.00">
                  <c:v>1795</c:v>
                </c:pt>
              </c:numCache>
            </c:numRef>
          </c:val>
        </c:ser>
        <c:dLbls>
          <c:showLegendKey val="0"/>
          <c:showVal val="1"/>
          <c:showCatName val="0"/>
          <c:showSerName val="0"/>
          <c:showPercent val="0"/>
          <c:showBubbleSize val="0"/>
        </c:dLbls>
        <c:gapWidth val="150"/>
        <c:axId val="133142016"/>
        <c:axId val="133143552"/>
      </c:barChart>
      <c:catAx>
        <c:axId val="133142016"/>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143552"/>
        <c:crosses val="autoZero"/>
        <c:auto val="1"/>
        <c:lblAlgn val="ctr"/>
        <c:lblOffset val="100"/>
        <c:noMultiLvlLbl val="0"/>
      </c:catAx>
      <c:valAx>
        <c:axId val="1331435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Pt>
            <c:idx val="4"/>
            <c:bubble3D val="0"/>
          </c:dPt>
          <c:dLbls>
            <c:dLbl>
              <c:idx val="0"/>
              <c:layout>
                <c:manualLayout>
                  <c:x val="0.0483216316710411"/>
                  <c:y val="0.09773804316127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46208442694663"/>
                  <c:y val="-0.03596310877806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0951443569554"/>
                  <c:y val="-0.1322783610382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6543197725284"/>
                  <c:y val="-0.1086734470691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[决算公开插图制作示例.xlsx]图6!$A$2:$A$6</c:f>
              <c:strCache>
                <c:ptCount val="5"/>
                <c:pt idx="0">
                  <c:v>一般公共服务（类）支出</c:v>
                </c:pt>
                <c:pt idx="1">
                  <c:v>社会保障和就业（类）支出</c:v>
                </c:pt>
                <c:pt idx="2">
                  <c:v>卫生健康(类)支出</c:v>
                </c:pt>
                <c:pt idx="3">
                  <c:v>农林水支出</c:v>
                </c:pt>
                <c:pt idx="4">
                  <c:v>住房保障（类）支出</c:v>
                </c:pt>
              </c:strCache>
            </c:strRef>
          </c:cat>
          <c:val>
            <c:numRef>
              <c:f>[决算公开插图制作示例.xlsx]图6!$B$2:$B$6</c:f>
              <c:numCache>
                <c:formatCode>General</c:formatCode>
                <c:ptCount val="5"/>
                <c:pt idx="0">
                  <c:v>108.34</c:v>
                </c:pt>
                <c:pt idx="1">
                  <c:v>7.71</c:v>
                </c:pt>
                <c:pt idx="2">
                  <c:v>4.17</c:v>
                </c:pt>
                <c:pt idx="3">
                  <c:v>1669</c:v>
                </c:pt>
                <c:pt idx="4">
                  <c:v>5.78</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0</c:v>
                </c:pt>
                <c:pt idx="2">
                  <c:v>1.3</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40686402934242"/>
          <c:y val="0.48574793875147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22</Pages>
  <Words>7178</Words>
  <Characters>8208</Characters>
  <Lines>41</Lines>
  <Paragraphs>11</Paragraphs>
  <TotalTime>4</TotalTime>
  <ScaleCrop>false</ScaleCrop>
  <LinksUpToDate>false</LinksUpToDate>
  <CharactersWithSpaces>8382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2023-07-31T02:35:00Z</cp:lastPrinted>
  <dcterms:modified xsi:type="dcterms:W3CDTF">2023-12-25T07:07:53Z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D7E0D4197494466C9C2F4D7F81721671_13</vt:lpwstr>
  </property>
</Properties>
</file>