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9"/>
        <w:rPr>
          <w:rFonts w:ascii="方正小标宋简体" w:hAnsi="宋体" w:eastAsia="方正小标宋简体"/>
          <w:color w:val="000000"/>
          <w:sz w:val="72"/>
          <w:szCs w:val="72"/>
        </w:rPr>
      </w:pPr>
      <w:bookmarkStart w:id="1" w:name="_Toc15377193"/>
      <w:bookmarkStart w:id="2" w:name="_Toc15396475"/>
      <w:bookmarkStart w:id="3" w:name="_Toc15378441"/>
      <w:bookmarkStart w:id="4" w:name="_Toc15377425"/>
      <w:bookmarkStart w:id="5" w:name="_Toc15396597"/>
      <w:r>
        <w:rPr>
          <w:rFonts w:hint="eastAsia" w:ascii="方正小标宋简体" w:hAnsi="方正小标宋简体" w:eastAsia="方正小标宋简体" w:cs="方正小标宋简体"/>
          <w:color w:val="000000"/>
          <w:sz w:val="72"/>
          <w:szCs w:val="72"/>
        </w:rPr>
        <w:t>20</w:t>
      </w:r>
      <w:r>
        <w:rPr>
          <w:rFonts w:hint="eastAsia" w:ascii="方正小标宋简体" w:hAnsi="方正小标宋简体" w:eastAsia="方正小标宋简体" w:cs="方正小标宋简体"/>
          <w:color w:val="000000"/>
          <w:sz w:val="72"/>
          <w:szCs w:val="72"/>
          <w:lang w:val="en-US" w:eastAsia="zh-CN"/>
        </w:rPr>
        <w:t>22</w:t>
      </w:r>
      <w:r>
        <w:rPr>
          <w:rFonts w:hint="eastAsia" w:ascii="方正小标宋简体" w:hAnsi="方正小标宋简体" w:eastAsia="方正小标宋简体" w:cs="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9"/>
        <w:rPr>
          <w:rFonts w:hint="eastAsia" w:ascii="方正小标宋简体" w:hAnsi="方正小标宋简体" w:eastAsia="方正小标宋简体" w:cs="方正小标宋简体"/>
          <w:color w:val="000000"/>
          <w:sz w:val="72"/>
          <w:szCs w:val="72"/>
        </w:rPr>
      </w:pPr>
      <w:bookmarkStart w:id="6" w:name="_Toc15377426"/>
      <w:bookmarkStart w:id="7" w:name="_Toc15378442"/>
      <w:bookmarkStart w:id="8" w:name="_Toc15396476"/>
      <w:bookmarkStart w:id="9" w:name="_Toc15396598"/>
      <w:bookmarkStart w:id="10" w:name="_Toc15377194"/>
      <w:r>
        <w:rPr>
          <w:rFonts w:hint="eastAsia" w:ascii="方正小标宋简体" w:hAnsi="方正小标宋简体" w:eastAsia="方正小标宋简体" w:cs="方正小标宋简体"/>
          <w:color w:val="000000"/>
          <w:sz w:val="72"/>
          <w:szCs w:val="72"/>
        </w:rPr>
        <w:t>四川省</w:t>
      </w:r>
      <w:bookmarkEnd w:id="0"/>
      <w:bookmarkStart w:id="11" w:name="_Toc15306268"/>
      <w:r>
        <w:rPr>
          <w:rFonts w:hint="eastAsia" w:ascii="方正小标宋简体" w:hAnsi="方正小标宋简体" w:eastAsia="方正小标宋简体" w:cs="方正小标宋简体"/>
          <w:color w:val="000000"/>
          <w:sz w:val="72"/>
          <w:szCs w:val="72"/>
          <w:lang w:eastAsia="zh-CN"/>
        </w:rPr>
        <w:t>剑阁县应急管理局</w:t>
      </w:r>
      <w:r>
        <w:rPr>
          <w:rFonts w:hint="eastAsia" w:ascii="方正小标宋简体" w:hAnsi="方正小标宋简体" w:eastAsia="方正小标宋简体" w:cs="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hint="eastAsia" w:ascii="黑体" w:hAnsi="黑体" w:eastAsia="黑体"/>
          <w:color w:val="000000"/>
          <w:sz w:val="48"/>
          <w:szCs w:val="4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widowControl/>
        <w:jc w:val="center"/>
        <w:rPr>
          <w:rFonts w:ascii="黑体" w:hAnsi="黑体" w:eastAsia="黑体"/>
          <w:color w:val="000000"/>
          <w:sz w:val="48"/>
          <w:szCs w:val="48"/>
        </w:rPr>
      </w:pPr>
      <w:r>
        <w:rPr>
          <w:rFonts w:hint="eastAsia" w:ascii="黑体" w:hAnsi="黑体" w:eastAsia="黑体"/>
          <w:color w:val="000000"/>
          <w:sz w:val="48"/>
          <w:szCs w:val="48"/>
        </w:rPr>
        <w:t>目录</w:t>
      </w:r>
    </w:p>
    <w:p>
      <w:pPr>
        <w:pStyle w:val="11"/>
        <w:tabs>
          <w:tab w:val="right" w:leader="dot" w:pos="8306"/>
          <w:tab w:val="clear" w:pos="8296"/>
        </w:tabs>
        <w:rPr>
          <w:sz w:val="28"/>
          <w:szCs w:val="28"/>
        </w:rPr>
      </w:pPr>
      <w:r>
        <w:rPr>
          <w:rFonts w:ascii="黑体" w:hAnsi="黑体" w:eastAsia="黑体"/>
          <w:color w:val="000000"/>
          <w:sz w:val="28"/>
          <w:szCs w:val="28"/>
        </w:rPr>
        <w:fldChar w:fldCharType="begin"/>
      </w:r>
      <w:r>
        <w:rPr>
          <w:rFonts w:ascii="黑体" w:hAnsi="黑体" w:eastAsia="黑体"/>
          <w:color w:val="000000"/>
          <w:sz w:val="28"/>
          <w:szCs w:val="28"/>
        </w:rPr>
        <w:instrText xml:space="preserve"> TOC \o "1-2" \h \z \u </w:instrText>
      </w:r>
      <w:r>
        <w:rPr>
          <w:rFonts w:ascii="黑体" w:hAnsi="黑体" w:eastAsia="黑体"/>
          <w:color w:val="000000"/>
          <w:sz w:val="28"/>
          <w:szCs w:val="28"/>
        </w:rPr>
        <w:fldChar w:fldCharType="separate"/>
      </w:r>
      <w:r>
        <w:rPr>
          <w:rFonts w:ascii="黑体" w:hAnsi="黑体" w:eastAsia="黑体"/>
          <w:color w:val="000000"/>
          <w:sz w:val="28"/>
          <w:szCs w:val="28"/>
        </w:rPr>
        <w:fldChar w:fldCharType="begin"/>
      </w:r>
      <w:r>
        <w:rPr>
          <w:rFonts w:ascii="黑体" w:hAnsi="黑体" w:eastAsia="黑体"/>
          <w:sz w:val="28"/>
          <w:szCs w:val="28"/>
        </w:rPr>
        <w:instrText xml:space="preserve"> HYPERLINK \l _Toc18977 </w:instrText>
      </w:r>
      <w:r>
        <w:rPr>
          <w:rFonts w:ascii="黑体" w:hAnsi="黑体" w:eastAsia="黑体"/>
          <w:sz w:val="28"/>
          <w:szCs w:val="28"/>
        </w:rPr>
        <w:fldChar w:fldCharType="separate"/>
      </w:r>
      <w:r>
        <w:rPr>
          <w:rFonts w:hint="eastAsia" w:ascii="黑体" w:hAnsi="黑体" w:eastAsia="黑体"/>
          <w:sz w:val="28"/>
          <w:szCs w:val="28"/>
        </w:rPr>
        <w:t xml:space="preserve">第一部分 </w:t>
      </w:r>
      <w:r>
        <w:rPr>
          <w:rFonts w:hint="eastAsia" w:ascii="黑体" w:hAnsi="黑体" w:eastAsia="黑体"/>
          <w:bCs w:val="0"/>
          <w:sz w:val="28"/>
          <w:szCs w:val="28"/>
        </w:rPr>
        <w:t>部门概况</w:t>
      </w:r>
      <w:r>
        <w:rPr>
          <w:sz w:val="28"/>
          <w:szCs w:val="28"/>
        </w:rPr>
        <w:tab/>
      </w:r>
      <w:r>
        <w:rPr>
          <w:sz w:val="28"/>
          <w:szCs w:val="28"/>
        </w:rPr>
        <w:fldChar w:fldCharType="begin"/>
      </w:r>
      <w:r>
        <w:rPr>
          <w:sz w:val="28"/>
          <w:szCs w:val="28"/>
        </w:rPr>
        <w:instrText xml:space="preserve"> PAGEREF _Toc18977 \h </w:instrText>
      </w:r>
      <w:r>
        <w:rPr>
          <w:sz w:val="28"/>
          <w:szCs w:val="28"/>
        </w:rPr>
        <w:fldChar w:fldCharType="separate"/>
      </w:r>
      <w:r>
        <w:rPr>
          <w:sz w:val="28"/>
          <w:szCs w:val="28"/>
        </w:rPr>
        <w:t>1</w:t>
      </w:r>
      <w:r>
        <w:rPr>
          <w:sz w:val="28"/>
          <w:szCs w:val="28"/>
        </w:rPr>
        <w:fldChar w:fldCharType="end"/>
      </w:r>
      <w:r>
        <w:rPr>
          <w:rFonts w:ascii="黑体" w:hAnsi="黑体" w:eastAsia="黑体"/>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_Toc29972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一、基</w:t>
      </w:r>
      <w:r>
        <w:rPr>
          <w:rFonts w:hint="eastAsia" w:ascii="仿宋_GB2312" w:hAnsi="仿宋_GB2312" w:eastAsia="仿宋_GB2312" w:cs="仿宋_GB2312"/>
          <w:bCs w:val="0"/>
          <w:sz w:val="28"/>
          <w:szCs w:val="28"/>
        </w:rPr>
        <w:t>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_Toc29972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_Toc24839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二、机</w:t>
      </w:r>
      <w:r>
        <w:rPr>
          <w:rFonts w:hint="eastAsia" w:ascii="仿宋_GB2312" w:hAnsi="仿宋_GB2312" w:eastAsia="仿宋_GB2312" w:cs="仿宋_GB2312"/>
          <w:bCs w:val="0"/>
          <w:sz w:val="28"/>
          <w:szCs w:val="28"/>
        </w:rPr>
        <w:t>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_Toc24839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1"/>
        <w:tabs>
          <w:tab w:val="right" w:leader="dot" w:pos="8306"/>
          <w:tab w:val="clear" w:pos="8296"/>
        </w:tabs>
        <w:rPr>
          <w:sz w:val="28"/>
          <w:szCs w:val="28"/>
        </w:rPr>
      </w:pPr>
      <w:r>
        <w:rPr>
          <w:rFonts w:ascii="仿宋" w:hAnsi="仿宋" w:eastAsia="仿宋"/>
          <w:color w:val="000000"/>
          <w:sz w:val="28"/>
          <w:szCs w:val="28"/>
        </w:rPr>
        <w:fldChar w:fldCharType="begin"/>
      </w:r>
      <w:r>
        <w:rPr>
          <w:rFonts w:ascii="仿宋" w:hAnsi="仿宋" w:eastAsia="仿宋"/>
          <w:sz w:val="28"/>
          <w:szCs w:val="28"/>
        </w:rPr>
        <w:instrText xml:space="preserve"> HYPERLINK \l _Toc21115 </w:instrText>
      </w:r>
      <w:r>
        <w:rPr>
          <w:rFonts w:ascii="仿宋" w:hAnsi="仿宋" w:eastAsia="仿宋"/>
          <w:sz w:val="28"/>
          <w:szCs w:val="28"/>
        </w:rPr>
        <w:fldChar w:fldCharType="separate"/>
      </w:r>
      <w:r>
        <w:rPr>
          <w:rFonts w:hint="eastAsia" w:ascii="黑体" w:hAnsi="黑体" w:eastAsia="黑体"/>
          <w:bCs w:val="0"/>
          <w:sz w:val="28"/>
          <w:szCs w:val="28"/>
        </w:rPr>
        <w:t>第二部分 20</w:t>
      </w:r>
      <w:r>
        <w:rPr>
          <w:rFonts w:hint="eastAsia" w:ascii="黑体" w:hAnsi="黑体" w:eastAsia="黑体"/>
          <w:bCs w:val="0"/>
          <w:sz w:val="28"/>
          <w:szCs w:val="28"/>
          <w:lang w:val="en-US" w:eastAsia="zh-CN"/>
        </w:rPr>
        <w:t>22</w:t>
      </w:r>
      <w:r>
        <w:rPr>
          <w:rFonts w:hint="eastAsia" w:ascii="黑体" w:hAnsi="黑体" w:eastAsia="黑体"/>
          <w:bCs w:val="0"/>
          <w:sz w:val="28"/>
          <w:szCs w:val="28"/>
        </w:rPr>
        <w:t>年度部门决算情况说明</w:t>
      </w:r>
      <w:r>
        <w:rPr>
          <w:sz w:val="28"/>
          <w:szCs w:val="28"/>
        </w:rPr>
        <w:tab/>
      </w:r>
      <w:r>
        <w:rPr>
          <w:sz w:val="28"/>
          <w:szCs w:val="28"/>
        </w:rPr>
        <w:fldChar w:fldCharType="begin"/>
      </w:r>
      <w:r>
        <w:rPr>
          <w:sz w:val="28"/>
          <w:szCs w:val="28"/>
        </w:rPr>
        <w:instrText xml:space="preserve"> PAGEREF _Toc21115 \h </w:instrText>
      </w:r>
      <w:r>
        <w:rPr>
          <w:sz w:val="28"/>
          <w:szCs w:val="28"/>
        </w:rPr>
        <w:fldChar w:fldCharType="separate"/>
      </w:r>
      <w:r>
        <w:rPr>
          <w:sz w:val="28"/>
          <w:szCs w:val="28"/>
        </w:rPr>
        <w:t>8</w:t>
      </w:r>
      <w:r>
        <w:rPr>
          <w:sz w:val="28"/>
          <w:szCs w:val="28"/>
        </w:rPr>
        <w:fldChar w:fldCharType="end"/>
      </w:r>
      <w:r>
        <w:rPr>
          <w:rFonts w:ascii="仿宋" w:hAnsi="仿宋" w:eastAsia="仿宋"/>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_Toc11045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一、 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_Toc11045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_Toc29513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二、 收入决算情况说明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_Toc29513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_Toc22757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三、 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_Toc22757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_Toc4262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四、财政拨款收入支出决算总体情况说明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_Toc4262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_Toc1941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五、一般公共预算财政拨款支出决算情况说明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_Toc1941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_Toc102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六、一般公共预算财政拨款基本支出决算情况说明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_Toc5253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七、“三公”经费财政拨款支出决算情况说明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_Toc5253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_Toc22049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八、政府性基金预算支出决算情况说明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_Toc22049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_Toc27222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lang w:eastAsia="zh-CN"/>
        </w:rPr>
        <w:t>九、</w:t>
      </w:r>
      <w:r>
        <w:rPr>
          <w:rFonts w:hint="eastAsia" w:ascii="仿宋_GB2312" w:hAnsi="仿宋_GB2312" w:eastAsia="仿宋_GB2312" w:cs="仿宋_GB2312"/>
          <w:sz w:val="28"/>
          <w:szCs w:val="28"/>
        </w:rPr>
        <w:t>国有资本经营预算支出决算情况说明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_Toc27222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_Toc27086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w:t>
      </w:r>
      <w:r>
        <w:rPr>
          <w:rFonts w:hint="eastAsia" w:ascii="仿宋_GB2312" w:hAnsi="仿宋_GB2312" w:eastAsia="仿宋_GB2312" w:cs="仿宋_GB2312"/>
          <w:bCs w:val="0"/>
          <w:sz w:val="28"/>
          <w:szCs w:val="28"/>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_Toc27086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_Toc8589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十一、其他重要事项的情况说明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_Toc8589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1"/>
        <w:tabs>
          <w:tab w:val="right" w:leader="dot" w:pos="8306"/>
          <w:tab w:val="clear" w:pos="8296"/>
        </w:tabs>
        <w:rPr>
          <w:sz w:val="28"/>
          <w:szCs w:val="28"/>
        </w:rPr>
      </w:pPr>
      <w:r>
        <w:rPr>
          <w:rFonts w:ascii="仿宋" w:hAnsi="仿宋" w:eastAsia="仿宋"/>
          <w:color w:val="000000"/>
          <w:sz w:val="28"/>
          <w:szCs w:val="28"/>
        </w:rPr>
        <w:fldChar w:fldCharType="begin"/>
      </w:r>
      <w:r>
        <w:rPr>
          <w:rFonts w:ascii="仿宋" w:hAnsi="仿宋" w:eastAsia="仿宋"/>
          <w:sz w:val="28"/>
          <w:szCs w:val="28"/>
        </w:rPr>
        <w:instrText xml:space="preserve"> HYPERLINK \l _Toc22665 </w:instrText>
      </w:r>
      <w:r>
        <w:rPr>
          <w:rFonts w:ascii="仿宋" w:hAnsi="仿宋" w:eastAsia="仿宋"/>
          <w:sz w:val="28"/>
          <w:szCs w:val="28"/>
        </w:rPr>
        <w:fldChar w:fldCharType="separate"/>
      </w:r>
      <w:r>
        <w:rPr>
          <w:rFonts w:hint="eastAsia" w:ascii="黑体" w:hAnsi="黑体" w:eastAsia="黑体"/>
          <w:sz w:val="28"/>
          <w:szCs w:val="28"/>
        </w:rPr>
        <w:t>第三部分 名词解释</w:t>
      </w:r>
      <w:r>
        <w:rPr>
          <w:sz w:val="28"/>
          <w:szCs w:val="28"/>
        </w:rPr>
        <w:tab/>
      </w:r>
      <w:r>
        <w:rPr>
          <w:sz w:val="28"/>
          <w:szCs w:val="28"/>
        </w:rPr>
        <w:fldChar w:fldCharType="begin"/>
      </w:r>
      <w:r>
        <w:rPr>
          <w:sz w:val="28"/>
          <w:szCs w:val="28"/>
        </w:rPr>
        <w:instrText xml:space="preserve"> PAGEREF _Toc22665 \h </w:instrText>
      </w:r>
      <w:r>
        <w:rPr>
          <w:sz w:val="28"/>
          <w:szCs w:val="28"/>
        </w:rPr>
        <w:fldChar w:fldCharType="separate"/>
      </w:r>
      <w:r>
        <w:rPr>
          <w:sz w:val="28"/>
          <w:szCs w:val="28"/>
        </w:rPr>
        <w:t>18</w:t>
      </w:r>
      <w:r>
        <w:rPr>
          <w:sz w:val="28"/>
          <w:szCs w:val="28"/>
        </w:rPr>
        <w:fldChar w:fldCharType="end"/>
      </w:r>
      <w:r>
        <w:rPr>
          <w:rFonts w:ascii="仿宋" w:hAnsi="仿宋" w:eastAsia="仿宋"/>
          <w:color w:val="000000"/>
          <w:sz w:val="28"/>
          <w:szCs w:val="28"/>
        </w:rPr>
        <w:fldChar w:fldCharType="end"/>
      </w:r>
    </w:p>
    <w:p>
      <w:pPr>
        <w:pStyle w:val="11"/>
        <w:tabs>
          <w:tab w:val="right" w:leader="dot" w:pos="8306"/>
          <w:tab w:val="clear" w:pos="8296"/>
        </w:tabs>
        <w:rPr>
          <w:sz w:val="28"/>
          <w:szCs w:val="28"/>
        </w:rPr>
      </w:pPr>
      <w:r>
        <w:rPr>
          <w:rFonts w:ascii="仿宋" w:hAnsi="仿宋" w:eastAsia="仿宋"/>
          <w:color w:val="000000"/>
          <w:sz w:val="28"/>
          <w:szCs w:val="28"/>
        </w:rPr>
        <w:fldChar w:fldCharType="begin"/>
      </w:r>
      <w:r>
        <w:rPr>
          <w:rFonts w:ascii="仿宋" w:hAnsi="仿宋" w:eastAsia="仿宋"/>
          <w:sz w:val="28"/>
          <w:szCs w:val="28"/>
        </w:rPr>
        <w:instrText xml:space="preserve"> HYPERLINK \l _Toc22241 </w:instrText>
      </w:r>
      <w:r>
        <w:rPr>
          <w:rFonts w:ascii="仿宋" w:hAnsi="仿宋" w:eastAsia="仿宋"/>
          <w:sz w:val="28"/>
          <w:szCs w:val="28"/>
        </w:rPr>
        <w:fldChar w:fldCharType="separate"/>
      </w:r>
      <w:r>
        <w:rPr>
          <w:rFonts w:hint="eastAsia" w:ascii="黑体" w:hAnsi="黑体" w:eastAsia="黑体"/>
          <w:sz w:val="28"/>
          <w:szCs w:val="28"/>
        </w:rPr>
        <w:t>第四部分 附件</w:t>
      </w:r>
      <w:r>
        <w:rPr>
          <w:sz w:val="28"/>
          <w:szCs w:val="28"/>
        </w:rPr>
        <w:tab/>
      </w:r>
      <w:r>
        <w:rPr>
          <w:sz w:val="28"/>
          <w:szCs w:val="28"/>
        </w:rPr>
        <w:fldChar w:fldCharType="begin"/>
      </w:r>
      <w:r>
        <w:rPr>
          <w:sz w:val="28"/>
          <w:szCs w:val="28"/>
        </w:rPr>
        <w:instrText xml:space="preserve"> PAGEREF _Toc22241 \h </w:instrText>
      </w:r>
      <w:r>
        <w:rPr>
          <w:sz w:val="28"/>
          <w:szCs w:val="28"/>
        </w:rPr>
        <w:fldChar w:fldCharType="separate"/>
      </w:r>
      <w:r>
        <w:rPr>
          <w:sz w:val="28"/>
          <w:szCs w:val="28"/>
        </w:rPr>
        <w:t>21</w:t>
      </w:r>
      <w:r>
        <w:rPr>
          <w:sz w:val="28"/>
          <w:szCs w:val="28"/>
        </w:rPr>
        <w:fldChar w:fldCharType="end"/>
      </w:r>
      <w:r>
        <w:rPr>
          <w:rFonts w:ascii="仿宋" w:hAnsi="仿宋" w:eastAsia="仿宋"/>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fldChar w:fldCharType="begin"/>
      </w:r>
      <w:r>
        <w:rPr>
          <w:rFonts w:hint="eastAsia" w:ascii="仿宋_GB2312" w:hAnsi="仿宋_GB2312" w:eastAsia="仿宋_GB2312" w:cs="仿宋_GB2312"/>
          <w:b w:val="0"/>
          <w:bCs w:val="0"/>
          <w:sz w:val="28"/>
          <w:szCs w:val="28"/>
        </w:rPr>
        <w:instrText xml:space="preserve"> HYPERLINK \l _Toc30757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附件1</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_Toc30757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21</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sz w:val="28"/>
          <w:szCs w:val="28"/>
        </w:rPr>
        <w:fldChar w:fldCharType="begin"/>
      </w:r>
      <w:r>
        <w:rPr>
          <w:rFonts w:hint="eastAsia" w:ascii="仿宋_GB2312" w:hAnsi="仿宋_GB2312" w:eastAsia="仿宋_GB2312" w:cs="仿宋_GB2312"/>
          <w:b w:val="0"/>
          <w:bCs w:val="0"/>
          <w:sz w:val="28"/>
          <w:szCs w:val="28"/>
        </w:rPr>
        <w:instrText xml:space="preserve"> HYPERLINK \l _Toc27874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附件2</w:t>
      </w:r>
      <w:r>
        <w:rPr>
          <w:rFonts w:hint="eastAsia" w:ascii="仿宋_GB2312" w:hAnsi="仿宋_GB2312" w:eastAsia="仿宋_GB2312" w:cs="仿宋_GB2312"/>
          <w:b w:val="0"/>
          <w:bCs w:val="0"/>
          <w:sz w:val="28"/>
          <w:szCs w:val="28"/>
        </w:rPr>
        <w:tab/>
      </w:r>
      <w:r>
        <w:rPr>
          <w:rFonts w:hint="eastAsia" w:ascii="仿宋_GB2312" w:hAnsi="仿宋_GB2312" w:eastAsia="仿宋_GB2312" w:cs="仿宋_GB2312"/>
          <w:b w:val="0"/>
          <w:bCs w:val="0"/>
          <w:sz w:val="28"/>
          <w:szCs w:val="28"/>
        </w:rPr>
        <w:fldChar w:fldCharType="begin"/>
      </w:r>
      <w:r>
        <w:rPr>
          <w:rFonts w:hint="eastAsia" w:ascii="仿宋_GB2312" w:hAnsi="仿宋_GB2312" w:eastAsia="仿宋_GB2312" w:cs="仿宋_GB2312"/>
          <w:b w:val="0"/>
          <w:bCs w:val="0"/>
          <w:sz w:val="28"/>
          <w:szCs w:val="28"/>
        </w:rPr>
        <w:instrText xml:space="preserve"> PAGEREF _Toc27874 \h </w:instrText>
      </w:r>
      <w:r>
        <w:rPr>
          <w:rFonts w:hint="eastAsia" w:ascii="仿宋_GB2312" w:hAnsi="仿宋_GB2312" w:eastAsia="仿宋_GB2312" w:cs="仿宋_GB2312"/>
          <w:b w:val="0"/>
          <w:bCs w:val="0"/>
          <w:sz w:val="28"/>
          <w:szCs w:val="28"/>
        </w:rPr>
        <w:fldChar w:fldCharType="separate"/>
      </w:r>
      <w:r>
        <w:rPr>
          <w:rFonts w:hint="eastAsia" w:ascii="仿宋_GB2312" w:hAnsi="仿宋_GB2312" w:eastAsia="仿宋_GB2312" w:cs="仿宋_GB2312"/>
          <w:b w:val="0"/>
          <w:bCs w:val="0"/>
          <w:sz w:val="28"/>
          <w:szCs w:val="28"/>
        </w:rPr>
        <w:t>28</w:t>
      </w:r>
      <w:r>
        <w:rPr>
          <w:rFonts w:hint="eastAsia" w:ascii="仿宋_GB2312" w:hAnsi="仿宋_GB2312" w:eastAsia="仿宋_GB2312" w:cs="仿宋_GB2312"/>
          <w:b w:val="0"/>
          <w:bCs w:val="0"/>
          <w:sz w:val="28"/>
          <w:szCs w:val="28"/>
        </w:rPr>
        <w:fldChar w:fldCharType="end"/>
      </w:r>
      <w:r>
        <w:rPr>
          <w:rFonts w:hint="eastAsia" w:ascii="仿宋_GB2312" w:hAnsi="仿宋_GB2312" w:eastAsia="仿宋_GB2312" w:cs="仿宋_GB2312"/>
          <w:b w:val="0"/>
          <w:bCs w:val="0"/>
          <w:color w:val="000000"/>
          <w:sz w:val="28"/>
          <w:szCs w:val="28"/>
        </w:rPr>
        <w:fldChar w:fldCharType="end"/>
      </w:r>
    </w:p>
    <w:p>
      <w:pPr>
        <w:pStyle w:val="11"/>
        <w:tabs>
          <w:tab w:val="right" w:leader="dot" w:pos="8306"/>
          <w:tab w:val="clear" w:pos="8296"/>
        </w:tabs>
        <w:rPr>
          <w:sz w:val="28"/>
          <w:szCs w:val="28"/>
        </w:rPr>
      </w:pPr>
      <w:r>
        <w:rPr>
          <w:rFonts w:ascii="仿宋" w:hAnsi="仿宋" w:eastAsia="仿宋"/>
          <w:color w:val="000000"/>
          <w:sz w:val="28"/>
          <w:szCs w:val="28"/>
        </w:rPr>
        <w:fldChar w:fldCharType="begin"/>
      </w:r>
      <w:r>
        <w:rPr>
          <w:rFonts w:ascii="仿宋" w:hAnsi="仿宋" w:eastAsia="仿宋"/>
          <w:sz w:val="28"/>
          <w:szCs w:val="28"/>
        </w:rPr>
        <w:instrText xml:space="preserve"> HYPERLINK \l _Toc15549 </w:instrText>
      </w:r>
      <w:r>
        <w:rPr>
          <w:rFonts w:ascii="仿宋" w:hAnsi="仿宋" w:eastAsia="仿宋"/>
          <w:sz w:val="28"/>
          <w:szCs w:val="28"/>
        </w:rPr>
        <w:fldChar w:fldCharType="separate"/>
      </w:r>
      <w:r>
        <w:rPr>
          <w:rFonts w:hint="eastAsia" w:ascii="黑体" w:hAnsi="黑体" w:eastAsia="黑体"/>
          <w:sz w:val="28"/>
          <w:szCs w:val="28"/>
        </w:rPr>
        <w:t>第</w:t>
      </w:r>
      <w:r>
        <w:rPr>
          <w:rFonts w:hint="eastAsia" w:ascii="黑体" w:hAnsi="黑体" w:eastAsia="黑体"/>
          <w:bCs/>
          <w:sz w:val="28"/>
          <w:szCs w:val="28"/>
        </w:rPr>
        <w:t>五部分 附表</w:t>
      </w:r>
      <w:r>
        <w:rPr>
          <w:sz w:val="28"/>
          <w:szCs w:val="28"/>
        </w:rPr>
        <w:tab/>
      </w:r>
      <w:r>
        <w:rPr>
          <w:sz w:val="28"/>
          <w:szCs w:val="28"/>
        </w:rPr>
        <w:fldChar w:fldCharType="begin"/>
      </w:r>
      <w:r>
        <w:rPr>
          <w:sz w:val="28"/>
          <w:szCs w:val="28"/>
        </w:rPr>
        <w:instrText xml:space="preserve"> PAGEREF _Toc15549 \h </w:instrText>
      </w:r>
      <w:r>
        <w:rPr>
          <w:sz w:val="28"/>
          <w:szCs w:val="28"/>
        </w:rPr>
        <w:fldChar w:fldCharType="separate"/>
      </w:r>
      <w:r>
        <w:rPr>
          <w:sz w:val="28"/>
          <w:szCs w:val="28"/>
        </w:rPr>
        <w:t>34</w:t>
      </w:r>
      <w:r>
        <w:rPr>
          <w:sz w:val="28"/>
          <w:szCs w:val="28"/>
        </w:rPr>
        <w:fldChar w:fldCharType="end"/>
      </w:r>
      <w:r>
        <w:rPr>
          <w:rFonts w:ascii="仿宋" w:hAnsi="仿宋" w:eastAsia="仿宋"/>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_Toc23529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一、收入支出决算总表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_Toc23529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_Toc18274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二、收入决算表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_Toc18274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_Toc2670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三、支出决算表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_Toc2670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_Toc20370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四、财政拨款收入支出决算总表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_Toc20370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_Toc14654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五、财政拨款支出决算明细表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_Toc14654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_Toc25893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六、一般公共预算财政拨款支出决算表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_Toc25893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_Toc10785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七、一般公共预算财政拨款支出决算明细表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_Toc10785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_Toc14024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八、一般公共预算财政拨款基本支出决算表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_Toc14024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_Toc7409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九、一般公共预算财政拨款项目支出决算表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_Toc7409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_Toc10570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十、一般公共预算财政拨款“三公”经费支出决算表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_Toc10570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_Toc24117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十一、政府性基金预算财政拨款收入支出决算表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_Toc24117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_Toc11837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十二、政府性基金预算财政拨款“三公”经费支出决算表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_Toc11837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_Toc15289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十三、国有资本经营预算财政拨款收入支出决算表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_Toc15289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pStyle w:val="12"/>
        <w:tabs>
          <w:tab w:val="right" w:leader="dot" w:pos="8306"/>
          <w:tab w:val="clear" w:pos="8296"/>
        </w:tabs>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fldChar w:fldCharType="begin"/>
      </w:r>
      <w:r>
        <w:rPr>
          <w:rFonts w:hint="eastAsia" w:ascii="仿宋_GB2312" w:hAnsi="仿宋_GB2312" w:eastAsia="仿宋_GB2312" w:cs="仿宋_GB2312"/>
          <w:sz w:val="28"/>
          <w:szCs w:val="28"/>
        </w:rPr>
        <w:instrText xml:space="preserve"> HYPERLINK \l _Toc31934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kern w:val="2"/>
          <w:sz w:val="28"/>
          <w:szCs w:val="28"/>
          <w:lang w:val="en-US" w:eastAsia="zh-CN" w:bidi="ar"/>
        </w:rPr>
        <w:t>十四、国有资本经营预算财政拨款支出决算表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_Toc31934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color w:val="000000"/>
          <w:sz w:val="28"/>
          <w:szCs w:val="28"/>
        </w:rPr>
        <w:fldChar w:fldCharType="end"/>
      </w:r>
    </w:p>
    <w:p>
      <w:pPr>
        <w:widowControl/>
        <w:jc w:val="left"/>
        <w:rPr>
          <w:rFonts w:ascii="仿宋" w:hAnsi="仿宋" w:eastAsia="仿宋"/>
          <w:color w:val="000000"/>
          <w:sz w:val="28"/>
          <w:szCs w:val="28"/>
        </w:rPr>
      </w:pPr>
      <w:r>
        <w:rPr>
          <w:rFonts w:ascii="仿宋" w:hAnsi="仿宋" w:eastAsia="仿宋"/>
          <w:color w:val="000000"/>
          <w:sz w:val="28"/>
          <w:szCs w:val="28"/>
        </w:rPr>
        <w:fldChar w:fldCharType="end"/>
      </w:r>
    </w:p>
    <w:p>
      <w:pPr>
        <w:pStyle w:val="3"/>
        <w:jc w:val="center"/>
        <w:rPr>
          <w:rFonts w:hint="eastAsia" w:ascii="黑体" w:hAnsi="黑体" w:eastAsia="黑体"/>
          <w:b w:val="0"/>
          <w:sz w:val="28"/>
          <w:szCs w:val="28"/>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12" w:name="_Toc15377196"/>
    </w:p>
    <w:p>
      <w:pPr>
        <w:pStyle w:val="3"/>
        <w:jc w:val="center"/>
        <w:outlineLvl w:val="0"/>
        <w:rPr>
          <w:rStyle w:val="25"/>
          <w:rFonts w:hint="eastAsia" w:ascii="方正小标宋简体" w:hAnsi="方正小标宋简体" w:eastAsia="方正小标宋简体" w:cs="方正小标宋简体"/>
          <w:b/>
          <w:bCs w:val="0"/>
        </w:rPr>
      </w:pPr>
      <w:bookmarkStart w:id="13" w:name="_Toc18977"/>
      <w:r>
        <w:rPr>
          <w:rFonts w:hint="eastAsia" w:ascii="方正小标宋简体" w:hAnsi="方正小标宋简体" w:eastAsia="方正小标宋简体" w:cs="方正小标宋简体"/>
          <w:b/>
          <w:bCs w:val="0"/>
        </w:rPr>
        <w:t xml:space="preserve">第一部分 </w:t>
      </w:r>
      <w:r>
        <w:rPr>
          <w:rStyle w:val="25"/>
          <w:rFonts w:hint="eastAsia" w:ascii="方正小标宋简体" w:hAnsi="方正小标宋简体" w:eastAsia="方正小标宋简体" w:cs="方正小标宋简体"/>
          <w:b/>
          <w:bCs w:val="0"/>
        </w:rPr>
        <w:t>部门概况</w:t>
      </w:r>
      <w:bookmarkEnd w:id="12"/>
      <w:bookmarkEnd w:id="13"/>
    </w:p>
    <w:p>
      <w:pPr>
        <w:pStyle w:val="4"/>
        <w:outlineLvl w:val="1"/>
        <w:rPr>
          <w:rStyle w:val="26"/>
          <w:rFonts w:ascii="仿宋" w:hAnsi="仿宋" w:eastAsia="仿宋"/>
          <w:b/>
          <w:bCs w:val="0"/>
        </w:rPr>
      </w:pPr>
      <w:bookmarkStart w:id="14" w:name="_Toc29972"/>
      <w:bookmarkStart w:id="15" w:name="_Toc15377197"/>
      <w:r>
        <w:rPr>
          <w:rFonts w:hint="eastAsia" w:ascii="黑体" w:hAnsi="黑体" w:eastAsia="黑体"/>
          <w:b/>
          <w:bCs w:val="0"/>
          <w:color w:val="000000"/>
        </w:rPr>
        <w:t>一、基</w:t>
      </w:r>
      <w:r>
        <w:rPr>
          <w:rStyle w:val="26"/>
          <w:rFonts w:hint="eastAsia" w:ascii="黑体" w:hAnsi="黑体" w:eastAsia="黑体"/>
          <w:b/>
          <w:bCs w:val="0"/>
        </w:rPr>
        <w:t>本职能及主要工作</w:t>
      </w:r>
      <w:bookmarkEnd w:id="14"/>
      <w:bookmarkEnd w:id="15"/>
    </w:p>
    <w:p>
      <w:pPr>
        <w:numPr>
          <w:ilvl w:val="0"/>
          <w:numId w:val="0"/>
        </w:numPr>
        <w:spacing w:line="576" w:lineRule="exact"/>
        <w:ind w:firstLine="643" w:firstLineChars="200"/>
        <w:rPr>
          <w:rFonts w:hint="eastAsia" w:ascii="楷体_GB2312" w:hAnsi="楷体_GB2312" w:eastAsia="楷体_GB2312" w:cs="楷体_GB2312"/>
          <w:b/>
          <w:bCs/>
          <w:sz w:val="32"/>
          <w:szCs w:val="32"/>
          <w:lang w:eastAsia="zh-CN"/>
        </w:rPr>
      </w:pPr>
      <w:bookmarkStart w:id="16" w:name="_Toc15377204"/>
      <w:r>
        <w:rPr>
          <w:rFonts w:hint="eastAsia" w:ascii="楷体_GB2312" w:hAnsi="楷体_GB2312" w:eastAsia="楷体_GB2312" w:cs="楷体_GB2312"/>
          <w:b/>
          <w:bCs/>
          <w:sz w:val="32"/>
          <w:szCs w:val="32"/>
          <w:lang w:eastAsia="zh-CN"/>
        </w:rPr>
        <w:t>（一）基本职能</w:t>
      </w:r>
    </w:p>
    <w:p>
      <w:pPr>
        <w:numPr>
          <w:ilvl w:val="0"/>
          <w:numId w:val="0"/>
        </w:num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rPr>
        <w:t>负责应急管理工作，组织和指导剑阁县境内各乡镇、县级各部门应对安全生产类、自然灾害类等突发事件和综合防灾减灾救灾工作。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拟订全县应急管理、安全生产等政策措施，组织编制应急体系建设、安全生产和综合防灾减灾规划，起草全县安全生产规范性文件。</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负责组织、指导全县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牵头建立统一的应急管理信息系统，负责信息传输渠道的规划和布局，建立监测预警和灾情报告制度，健全自然灾害信息资源获取和共享机制，依法统一发布灾情。</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负责组织、指导、协调安全生产类、自然灾害类等突发事件应急救援，承担全县应对一般及以上灾害指挥部工作，综合研判突发事件发展态势并提出应对建议，负责组织一般及以上灾害应急处置工作。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统一协调指挥各类应急专业队伍，建立应急协调联动机制，推进指挥平台对接，提请衔接解放军和武警部队参与应急救援工作。</w:t>
      </w:r>
    </w:p>
    <w:p>
      <w:pPr>
        <w:spacing w:line="600" w:lineRule="exact"/>
        <w:ind w:firstLine="640" w:firstLineChars="200"/>
        <w:rPr>
          <w:rFonts w:hint="eastAsia" w:ascii="仿宋" w:hAnsi="仿宋" w:eastAsia="仿宋"/>
          <w:color w:val="000000"/>
          <w:sz w:val="32"/>
          <w:szCs w:val="32"/>
        </w:rPr>
      </w:pPr>
      <w:r>
        <w:rPr>
          <w:rFonts w:hint="eastAsia" w:ascii="仿宋_GB2312" w:eastAsia="仿宋_GB2312"/>
          <w:sz w:val="32"/>
          <w:szCs w:val="32"/>
          <w:lang w:val="en-US" w:eastAsia="zh-CN"/>
        </w:rPr>
        <w:t>7.</w:t>
      </w:r>
      <w:r>
        <w:rPr>
          <w:rFonts w:hint="eastAsia" w:ascii="仿宋" w:hAnsi="仿宋" w:eastAsia="仿宋"/>
          <w:color w:val="000000"/>
          <w:sz w:val="32"/>
          <w:szCs w:val="32"/>
        </w:rPr>
        <w:t>按照国家、省、市相关政策和规定负责消防、森林火灾扑救、抗洪抢险、地震和地质灾害救援、生产安全事故救援等专业应急救援力量建设，依法依规统筹指导各乡镇和县级有关部门及社会应急救援力量和保障能力建设。</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8.</w:t>
      </w:r>
      <w:r>
        <w:rPr>
          <w:rFonts w:hint="eastAsia" w:ascii="仿宋" w:hAnsi="仿宋" w:eastAsia="仿宋"/>
          <w:color w:val="000000"/>
          <w:sz w:val="32"/>
          <w:szCs w:val="32"/>
        </w:rPr>
        <w:t>按照国家相关政策和省、市、县相关规定负责消防工作，组织和指导消防监督、火灾预防、火灾扑救等工作。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9.</w:t>
      </w:r>
      <w:r>
        <w:rPr>
          <w:rFonts w:hint="eastAsia" w:ascii="仿宋" w:hAnsi="仿宋" w:eastAsia="仿宋"/>
          <w:color w:val="000000"/>
          <w:sz w:val="32"/>
          <w:szCs w:val="32"/>
        </w:rPr>
        <w:t>负责自然灾害综合监测预警工作，承担自然灾害综合风险评估工作。指导协调森林火灾、水旱灾害、地质灾害等防治工作。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10.</w:t>
      </w:r>
      <w:r>
        <w:rPr>
          <w:rFonts w:hint="eastAsia" w:ascii="仿宋" w:hAnsi="仿宋" w:eastAsia="仿宋"/>
          <w:color w:val="000000"/>
          <w:sz w:val="32"/>
          <w:szCs w:val="32"/>
        </w:rPr>
        <w:t>负责组织、协调灾害救助工作，组织和指导灾情核查、损失评估、救灾捐赠工作，管理、分配中央、省级、市级下拨及县级救灾款物并监督使用。</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11.</w:t>
      </w:r>
      <w:r>
        <w:rPr>
          <w:rFonts w:hint="eastAsia" w:ascii="仿宋" w:hAnsi="仿宋" w:eastAsia="仿宋"/>
          <w:color w:val="000000"/>
          <w:sz w:val="32"/>
          <w:szCs w:val="32"/>
        </w:rPr>
        <w:t>依法承担县政府安全生产综合监督管理责任，指导协调、监督检查各乡镇政府和县级有关部门安全生产工作，组织开展安全生产巡查、考核工作。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12.</w:t>
      </w:r>
      <w:r>
        <w:rPr>
          <w:rFonts w:hint="eastAsia" w:ascii="仿宋" w:hAnsi="仿宋" w:eastAsia="仿宋"/>
          <w:color w:val="000000"/>
          <w:sz w:val="32"/>
          <w:szCs w:val="32"/>
        </w:rPr>
        <w:t>按照分级、属地原则，依法监督检查工矿商贸生产经营单位贯彻执行安全生产法律法规情况及其安全生产条件和有关设备（特种设备除外）、材料、劳动防护用品的安全生产管理工作。协助省、市应急局做好中央在县、省属、市属重点工矿商贸企业安全生产监督管理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13.</w:t>
      </w:r>
      <w:r>
        <w:rPr>
          <w:rFonts w:hint="eastAsia" w:ascii="仿宋" w:hAnsi="仿宋" w:eastAsia="仿宋"/>
          <w:color w:val="000000"/>
          <w:sz w:val="32"/>
          <w:szCs w:val="32"/>
        </w:rPr>
        <w:t>承担煤矿、非煤矿山、危险化学品、非药品类易制毒化学品和烟花爆竹等生产经营单位安全生产准入和安全生产监督管理工作。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提出煤炭产业发展计划的建议并依法依规组织实施，按权限审核、上报煤炭建设项目并负责监督管理。负责煤炭生产协调和监督管理，煤炭行业结构调整和产业升级，煤矿瓦斯治理和利用。推进煤炭体制改革。</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16.</w:t>
      </w:r>
      <w:r>
        <w:rPr>
          <w:rFonts w:hint="eastAsia" w:ascii="仿宋" w:hAnsi="仿宋" w:eastAsia="仿宋"/>
          <w:color w:val="000000"/>
          <w:sz w:val="32"/>
          <w:szCs w:val="32"/>
        </w:rPr>
        <w:t>承担防震减灾工作职责。负责地震监测设施和观测环境保护工作，负责全县工程建设场地地震安全性评价的监督管理工作，承担全县重大工程的抗震设防监督工作。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17.</w:t>
      </w:r>
      <w:r>
        <w:rPr>
          <w:rFonts w:hint="eastAsia" w:ascii="仿宋" w:hAnsi="仿宋" w:eastAsia="仿宋"/>
          <w:color w:val="000000"/>
          <w:sz w:val="32"/>
          <w:szCs w:val="32"/>
        </w:rPr>
        <w:t>依法组织、指导生产安全事故调查处理，监督事故查处和责任追究落实情况。组织开展自然灾害类突发事件的调查评估工作。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18.</w:t>
      </w:r>
      <w:r>
        <w:rPr>
          <w:rFonts w:hint="eastAsia" w:ascii="仿宋" w:hAnsi="仿宋" w:eastAsia="仿宋"/>
          <w:color w:val="000000"/>
          <w:sz w:val="32"/>
          <w:szCs w:val="32"/>
        </w:rPr>
        <w:t>开展应急管理和安全生产方面的交流与合作，参与安全生产类、自然灾害类等突发事件的跨区域救援工作。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19.</w:t>
      </w:r>
      <w:r>
        <w:rPr>
          <w:rFonts w:hint="eastAsia" w:ascii="仿宋" w:hAnsi="仿宋" w:eastAsia="仿宋"/>
          <w:color w:val="000000"/>
          <w:sz w:val="32"/>
          <w:szCs w:val="32"/>
        </w:rPr>
        <w:t>制定应急物资储备和应急救援装备规划并组织实施，会同县发展和改革局和其他物资储备相关的部门建立健全应急物资信息平台和调拨制度，在救灾时统一调度。</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负责应急管理、安全生产、地震灾害防御宣传教育和培训工作，组织和指导应急管理、安全生产、地震灾害防御的科学技术推广应用和信息化建设工作。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负责职责范围内的职业健康、生态环境保护、审批服务便民化等工作。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承担剑阁县安全生产委员会的具体工作。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23.</w:t>
      </w:r>
      <w:r>
        <w:rPr>
          <w:rFonts w:hint="eastAsia" w:ascii="仿宋" w:hAnsi="仿宋" w:eastAsia="仿宋"/>
          <w:color w:val="000000"/>
          <w:sz w:val="32"/>
          <w:szCs w:val="32"/>
        </w:rPr>
        <w:t>完成县委和县政府交办的其他任务。</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24.</w:t>
      </w:r>
      <w:r>
        <w:rPr>
          <w:rFonts w:hint="eastAsia" w:ascii="仿宋" w:hAnsi="仿宋" w:eastAsia="仿宋"/>
          <w:color w:val="000000"/>
          <w:sz w:val="32"/>
          <w:szCs w:val="32"/>
        </w:rPr>
        <w:t>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县应急管理水平和防灾减灾救灾能力，防范化解重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lang w:val="en-US" w:eastAsia="zh-CN"/>
        </w:rPr>
        <w:t>25.</w:t>
      </w:r>
      <w:r>
        <w:rPr>
          <w:rFonts w:hint="eastAsia" w:ascii="仿宋" w:hAnsi="仿宋" w:eastAsia="仿宋"/>
          <w:color w:val="000000"/>
          <w:sz w:val="32"/>
          <w:szCs w:val="32"/>
        </w:rPr>
        <w:t>有关职责分工</w:t>
      </w:r>
    </w:p>
    <w:p>
      <w:pPr>
        <w:spacing w:line="600" w:lineRule="exact"/>
        <w:ind w:firstLine="643" w:firstLineChars="200"/>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w:t>
      </w:r>
      <w:r>
        <w:rPr>
          <w:rFonts w:hint="eastAsia" w:ascii="楷体_GB2312" w:hAnsi="楷体_GB2312" w:eastAsia="楷体_GB2312" w:cs="楷体_GB2312"/>
          <w:b/>
          <w:bCs/>
          <w:color w:val="000000"/>
          <w:sz w:val="32"/>
          <w:szCs w:val="32"/>
          <w:lang w:val="en-US" w:eastAsia="zh-CN"/>
        </w:rPr>
        <w:t>应急管理局</w:t>
      </w:r>
      <w:r>
        <w:rPr>
          <w:rFonts w:hint="eastAsia" w:ascii="楷体_GB2312" w:hAnsi="楷体_GB2312" w:eastAsia="楷体_GB2312" w:cs="楷体_GB2312"/>
          <w:b/>
          <w:bCs/>
          <w:color w:val="000000"/>
          <w:sz w:val="32"/>
          <w:szCs w:val="32"/>
        </w:rPr>
        <w:t>20</w:t>
      </w:r>
      <w:r>
        <w:rPr>
          <w:rFonts w:hint="eastAsia" w:ascii="楷体_GB2312" w:hAnsi="楷体_GB2312" w:eastAsia="楷体_GB2312" w:cs="楷体_GB2312"/>
          <w:b/>
          <w:bCs/>
          <w:color w:val="000000"/>
          <w:sz w:val="32"/>
          <w:szCs w:val="32"/>
          <w:lang w:val="en-US" w:eastAsia="zh-CN"/>
        </w:rPr>
        <w:t>22</w:t>
      </w:r>
      <w:r>
        <w:rPr>
          <w:rFonts w:hint="eastAsia" w:ascii="楷体_GB2312" w:hAnsi="楷体_GB2312" w:eastAsia="楷体_GB2312" w:cs="楷体_GB2312"/>
          <w:b/>
          <w:bCs/>
          <w:color w:val="000000"/>
          <w:sz w:val="32"/>
          <w:szCs w:val="32"/>
        </w:rPr>
        <w:t>年重点工作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在安全生产监督管理方面的职责分工。按照“管行业必须管安全、管业务必须管安全、管生产经营必须管安全”的原则，县应急局承担安全生产综合监督管理职责，县应急局和其他负有安全生产监督管理职责的县级有关部门，依法依规承担相关行业领域安全生产监督管理职责。</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在自然灾害防救方面的职责分工。县应急局与县自然资源局、县水利局、县林业局等部门要做到各司其职、无缝对接。县应急局负责统一组织、统一指挥、统一协调自然灾害类突发事件应急救援工作。县自然资源局、县水利局、县林业局依法依规承担相关行业领域的灾害监测、预警、防治工作及抢险救援的技术保障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县应急局负责牵头组织编制全县综合应急防灾减灾预案和安全生产类、自然灾害类专项预案，承担应急预案衔接工作，组织开展预案演练并落实。按照分级负责的原则，组织、指导自然灾害类应急救援救灾；组织、协调一般灾害应急救援工作，并按权限作出决定；承担全县应对一般及以上灾害指挥部工作，负责组织灾害应急处置工作。组织编制全县综合防灾减灾规划，指导、协调有关部门森林火灾、水旱灾害、地质灾害等防治工作；会同县自然资源局、县水利局、县林业局、县气象局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2）县自然资源局负责落实综合防灾减灾规划相关要求，组织编制并实施地质灾害防治规划和防护标准；组织、指导、协调和监督地质灾害调查评价及隐患的普查、详查、排查；组织、指导开展群测群防、专业监测和预报预警等工作，组织、指导开展地质灾害工程治理工作；承担地质灾害应急救援的技术保障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县水利局负责落实综合防灾减灾规划相关要求，组织编制并实施洪水干旱灾害防治规划和防护标准；承担水情旱情监测预警工作；组织编制县内重要江河湖泊和重要水工程的防御洪水、抗御旱灾调度和应急水量调度方案，按程序报批并组织实施；承担防御洪水应急抢险的技术保障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县林业局负责落实综合防灾减灾规划相关要求，组织编制并实施森林火灾防治规划和防护标准；组织、指导开展防火巡护、火源管理、防火设施建设等工作；负责森林火情监测预警、火灾预防工作，发送森林火险信息；组织、指导国有林场林区开展防火宣传教育、监测预警、督促检查等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（5）必要时，县自然资源局、县水利局、县林业局等部门可以提请县应急局，以县应急指挥机构名义部署相关防治工作。</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3.在救灾物资储备方面的职责分工。</w:t>
      </w:r>
    </w:p>
    <w:p>
      <w:pPr>
        <w:spacing w:line="60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县应急局负责提出县级救灾物资的储备需求和动用决策，组织编制县级救灾物资储备规划、品种目录和标准，会同县发展和改革局等与物资储备相关的部门和单位，确定年度购置计划，根据需要下达动用指令。</w:t>
      </w:r>
    </w:p>
    <w:p>
      <w:pPr>
        <w:outlineLvl w:val="9"/>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val="0"/>
          <w:bCs w:val="0"/>
          <w:color w:val="000000"/>
          <w:kern w:val="2"/>
          <w:sz w:val="32"/>
          <w:szCs w:val="32"/>
          <w:lang w:val="en-US" w:eastAsia="zh-CN" w:bidi="ar-SA"/>
        </w:rPr>
        <w:t>（2）县发展和改革局根据县级救灾物资储备规划、品种目录和标准、年度购置计划，负责县级救灾物资的收储、轮换和日常管理，根据县应急局的动用指令按程序组织调拨。</w:t>
      </w:r>
      <w:bookmarkStart w:id="17" w:name="_Toc15377200"/>
    </w:p>
    <w:p>
      <w:pPr>
        <w:pStyle w:val="4"/>
        <w:ind w:firstLine="643" w:firstLineChars="200"/>
        <w:rPr>
          <w:rStyle w:val="26"/>
          <w:b/>
          <w:bCs w:val="0"/>
        </w:rPr>
      </w:pPr>
      <w:bookmarkStart w:id="18" w:name="_Toc24839"/>
      <w:r>
        <w:rPr>
          <w:rFonts w:hint="eastAsia" w:ascii="黑体" w:eastAsia="黑体"/>
          <w:b/>
          <w:bCs w:val="0"/>
          <w:color w:val="000000"/>
        </w:rPr>
        <w:t>二、</w:t>
      </w:r>
      <w:r>
        <w:rPr>
          <w:rFonts w:hint="eastAsia" w:ascii="黑体" w:hAnsi="黑体" w:eastAsia="黑体"/>
          <w:b/>
          <w:bCs w:val="0"/>
          <w:color w:val="000000"/>
        </w:rPr>
        <w:t>机</w:t>
      </w:r>
      <w:r>
        <w:rPr>
          <w:rStyle w:val="26"/>
          <w:rFonts w:hint="eastAsia" w:ascii="黑体" w:hAnsi="黑体" w:eastAsia="黑体"/>
          <w:b/>
          <w:bCs w:val="0"/>
        </w:rPr>
        <w:t>构设置</w:t>
      </w:r>
      <w:bookmarkEnd w:id="17"/>
      <w:bookmarkEnd w:id="18"/>
    </w:p>
    <w:p>
      <w:pPr>
        <w:widowControl/>
        <w:shd w:val="clear" w:color="auto" w:fill="FFFFFF"/>
        <w:spacing w:line="600" w:lineRule="exact"/>
        <w:ind w:firstLine="480"/>
        <w:jc w:val="left"/>
        <w:rPr>
          <w:rFonts w:hint="eastAsia" w:ascii="楷体_GB2312" w:hAnsi="楷体_GB2312" w:eastAsia="楷体_GB2312" w:cs="楷体_GB2312"/>
          <w:b/>
          <w:bCs w:val="0"/>
          <w:kern w:val="0"/>
          <w:sz w:val="32"/>
          <w:szCs w:val="32"/>
          <w:lang w:eastAsia="zh-CN"/>
        </w:rPr>
      </w:pPr>
      <w:r>
        <w:rPr>
          <w:rStyle w:val="15"/>
          <w:rFonts w:hint="eastAsia" w:ascii="楷体_GB2312" w:hAnsi="楷体_GB2312" w:eastAsia="楷体_GB2312" w:cs="楷体_GB2312"/>
          <w:b/>
          <w:bCs w:val="0"/>
          <w:color w:val="333333"/>
          <w:sz w:val="32"/>
          <w:szCs w:val="32"/>
        </w:rPr>
        <w:t>（一）</w:t>
      </w:r>
      <w:r>
        <w:rPr>
          <w:rStyle w:val="15"/>
          <w:rFonts w:hint="eastAsia" w:ascii="楷体_GB2312" w:hAnsi="楷体_GB2312" w:eastAsia="楷体_GB2312" w:cs="楷体_GB2312"/>
          <w:b/>
          <w:bCs w:val="0"/>
          <w:color w:val="333333"/>
          <w:sz w:val="32"/>
          <w:szCs w:val="32"/>
          <w:lang w:eastAsia="zh-CN"/>
        </w:rPr>
        <w:t>人员情况</w:t>
      </w:r>
    </w:p>
    <w:p>
      <w:pPr>
        <w:widowControl/>
        <w:shd w:val="clear" w:color="auto" w:fill="FFFFFF"/>
        <w:spacing w:line="600" w:lineRule="exact"/>
        <w:ind w:firstLine="640" w:firstLineChars="200"/>
        <w:jc w:val="left"/>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应急管理局总编制58名，其中行政编制16名，事业编制41名，工勤编制1名。在职人员总数44人，其中行政人员13人，参公人员9人，非参公事业人员22人，退休人员9人。</w:t>
      </w:r>
    </w:p>
    <w:p>
      <w:pPr>
        <w:widowControl/>
        <w:shd w:val="clear" w:color="auto" w:fill="FFFFFF"/>
        <w:spacing w:line="600" w:lineRule="exact"/>
        <w:ind w:firstLine="480"/>
        <w:jc w:val="left"/>
        <w:rPr>
          <w:rFonts w:hint="eastAsia" w:ascii="楷体_GB2312" w:hAnsi="楷体_GB2312" w:eastAsia="楷体_GB2312" w:cs="楷体_GB2312"/>
          <w:b/>
          <w:bCs/>
          <w:color w:val="333333"/>
          <w:sz w:val="32"/>
          <w:szCs w:val="32"/>
          <w:lang w:eastAsia="zh-CN"/>
        </w:rPr>
      </w:pPr>
      <w:r>
        <w:rPr>
          <w:rFonts w:hint="eastAsia" w:ascii="楷体_GB2312" w:hAnsi="楷体_GB2312" w:eastAsia="楷体_GB2312" w:cs="楷体_GB2312"/>
          <w:b/>
          <w:bCs/>
          <w:color w:val="333333"/>
          <w:sz w:val="32"/>
          <w:szCs w:val="32"/>
          <w:lang w:eastAsia="zh-CN"/>
        </w:rPr>
        <w:t>（二）</w:t>
      </w:r>
      <w:r>
        <w:rPr>
          <w:rFonts w:hint="eastAsia" w:ascii="楷体_GB2312" w:hAnsi="楷体_GB2312" w:eastAsia="楷体_GB2312" w:cs="楷体_GB2312"/>
          <w:b/>
          <w:bCs/>
          <w:color w:val="333333"/>
          <w:sz w:val="32"/>
          <w:szCs w:val="32"/>
        </w:rPr>
        <w:t>部门预算单位构成</w:t>
      </w:r>
      <w:r>
        <w:rPr>
          <w:rFonts w:hint="eastAsia" w:ascii="楷体_GB2312" w:hAnsi="楷体_GB2312" w:eastAsia="楷体_GB2312" w:cs="楷体_GB2312"/>
          <w:b/>
          <w:bCs/>
          <w:color w:val="333333"/>
          <w:sz w:val="32"/>
          <w:szCs w:val="32"/>
          <w:lang w:eastAsia="zh-CN"/>
        </w:rPr>
        <w:t>情况</w:t>
      </w:r>
    </w:p>
    <w:p>
      <w:pPr>
        <w:widowControl/>
        <w:shd w:val="clear" w:color="auto" w:fill="FFFFFF"/>
        <w:spacing w:line="600" w:lineRule="exact"/>
        <w:ind w:firstLine="480"/>
        <w:jc w:val="left"/>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val="0"/>
          <w:bCs w:val="0"/>
          <w:color w:val="000000"/>
          <w:kern w:val="2"/>
          <w:sz w:val="32"/>
          <w:szCs w:val="32"/>
          <w:lang w:val="en-US" w:eastAsia="zh-CN" w:bidi="ar-SA"/>
        </w:rPr>
        <w:t>县应急管理局下属单位3个，参照公务员法管理的事业单位1个，全额事业单位2个。主要包括：安全生产监察执法大队、安全生产应急和信息中心、应急指挥中心。</w:t>
      </w:r>
    </w:p>
    <w:p>
      <w:pPr>
        <w:spacing w:line="600" w:lineRule="exact"/>
        <w:ind w:firstLine="880" w:firstLineChars="200"/>
        <w:rPr>
          <w:rStyle w:val="25"/>
          <w:rFonts w:hint="eastAsia" w:ascii="黑体" w:hAnsi="黑体" w:eastAsia="黑体"/>
          <w:b w:val="0"/>
          <w:bCs w:val="0"/>
        </w:rPr>
      </w:pPr>
    </w:p>
    <w:p>
      <w:pPr>
        <w:pStyle w:val="2"/>
        <w:rPr>
          <w:rStyle w:val="25"/>
          <w:rFonts w:hint="eastAsia" w:ascii="黑体" w:hAnsi="黑体" w:eastAsia="黑体"/>
          <w:b w:val="0"/>
          <w:bCs w:val="0"/>
        </w:rPr>
      </w:pPr>
    </w:p>
    <w:p>
      <w:pPr>
        <w:pStyle w:val="2"/>
        <w:rPr>
          <w:rStyle w:val="25"/>
          <w:rFonts w:hint="eastAsia" w:ascii="黑体" w:hAnsi="黑体" w:eastAsia="黑体"/>
          <w:b w:val="0"/>
          <w:bCs w:val="0"/>
        </w:rPr>
      </w:pPr>
    </w:p>
    <w:p>
      <w:pPr>
        <w:pStyle w:val="2"/>
        <w:rPr>
          <w:rStyle w:val="25"/>
          <w:rFonts w:hint="eastAsia" w:ascii="黑体" w:hAnsi="黑体" w:eastAsia="黑体"/>
          <w:b w:val="0"/>
          <w:bCs w:val="0"/>
        </w:rPr>
      </w:pPr>
    </w:p>
    <w:p>
      <w:pPr>
        <w:pStyle w:val="2"/>
        <w:rPr>
          <w:rStyle w:val="25"/>
          <w:rFonts w:hint="eastAsia" w:ascii="黑体" w:hAnsi="黑体" w:eastAsia="黑体"/>
          <w:b w:val="0"/>
          <w:bCs w:val="0"/>
        </w:rPr>
      </w:pPr>
    </w:p>
    <w:p>
      <w:pPr>
        <w:pStyle w:val="2"/>
        <w:rPr>
          <w:rStyle w:val="25"/>
          <w:rFonts w:hint="eastAsia" w:ascii="黑体" w:hAnsi="黑体" w:eastAsia="黑体"/>
          <w:b w:val="0"/>
          <w:bCs w:val="0"/>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spacing w:line="600" w:lineRule="exact"/>
        <w:jc w:val="center"/>
        <w:rPr>
          <w:rStyle w:val="25"/>
          <w:rFonts w:hint="eastAsia" w:ascii="方正小标宋简体" w:hAnsi="方正小标宋简体" w:eastAsia="方正小标宋简体" w:cs="方正小标宋简体"/>
          <w:b w:val="0"/>
          <w:bCs w:val="0"/>
        </w:rPr>
      </w:pPr>
      <w:bookmarkStart w:id="19" w:name="_Toc21115"/>
      <w:r>
        <w:rPr>
          <w:rStyle w:val="25"/>
          <w:rFonts w:hint="eastAsia" w:ascii="方正小标宋简体" w:hAnsi="方正小标宋简体" w:eastAsia="方正小标宋简体" w:cs="方正小标宋简体"/>
          <w:b w:val="0"/>
          <w:bCs w:val="0"/>
        </w:rPr>
        <w:t>第二部分 20</w:t>
      </w:r>
      <w:r>
        <w:rPr>
          <w:rStyle w:val="25"/>
          <w:rFonts w:hint="eastAsia" w:ascii="方正小标宋简体" w:hAnsi="方正小标宋简体" w:eastAsia="方正小标宋简体" w:cs="方正小标宋简体"/>
          <w:b w:val="0"/>
          <w:bCs w:val="0"/>
          <w:lang w:val="en-US" w:eastAsia="zh-CN"/>
        </w:rPr>
        <w:t>22</w:t>
      </w:r>
      <w:r>
        <w:rPr>
          <w:rStyle w:val="25"/>
          <w:rFonts w:hint="eastAsia" w:ascii="方正小标宋简体" w:hAnsi="方正小标宋简体" w:eastAsia="方正小标宋简体" w:cs="方正小标宋简体"/>
          <w:b w:val="0"/>
          <w:bCs w:val="0"/>
        </w:rPr>
        <w:t>年度部门决算情况说明</w:t>
      </w:r>
      <w:bookmarkEnd w:id="16"/>
    </w:p>
    <w:bookmarkEnd w:id="19"/>
    <w:p/>
    <w:p>
      <w:pPr>
        <w:pStyle w:val="24"/>
        <w:numPr>
          <w:ilvl w:val="0"/>
          <w:numId w:val="1"/>
        </w:numPr>
        <w:spacing w:line="600" w:lineRule="exact"/>
        <w:ind w:firstLineChars="0"/>
        <w:outlineLvl w:val="1"/>
        <w:rPr>
          <w:rStyle w:val="26"/>
          <w:rFonts w:ascii="黑体" w:hAnsi="黑体" w:eastAsia="黑体"/>
          <w:b/>
          <w:bCs/>
        </w:rPr>
      </w:pPr>
      <w:bookmarkStart w:id="20" w:name="_Toc15377205"/>
      <w:bookmarkStart w:id="21" w:name="_Toc11045"/>
      <w:r>
        <w:rPr>
          <w:rFonts w:hint="eastAsia" w:ascii="黑体" w:hAnsi="黑体" w:eastAsia="黑体"/>
          <w:b/>
          <w:bCs/>
          <w:color w:val="000000"/>
          <w:sz w:val="32"/>
          <w:szCs w:val="32"/>
        </w:rPr>
        <w:t>收</w:t>
      </w:r>
      <w:r>
        <w:rPr>
          <w:rStyle w:val="26"/>
          <w:rFonts w:hint="eastAsia" w:ascii="黑体" w:hAnsi="黑体" w:eastAsia="黑体"/>
          <w:b/>
          <w:bCs/>
        </w:rPr>
        <w:t>入支出决算总体情况说明</w:t>
      </w:r>
      <w:bookmarkEnd w:id="20"/>
      <w:bookmarkEnd w:id="21"/>
    </w:p>
    <w:p>
      <w:pPr>
        <w:spacing w:line="600" w:lineRule="exact"/>
        <w:ind w:firstLine="640" w:firstLineChars="200"/>
        <w:rPr>
          <w:rFonts w:ascii="仿宋_GB2312" w:eastAsia="仿宋_GB2312"/>
          <w:color w:val="000000"/>
          <w:sz w:val="32"/>
          <w:szCs w:val="32"/>
        </w:rPr>
      </w:pPr>
      <w:r>
        <w:rPr>
          <w:rFonts w:hint="eastAsia"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1011.75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项目资金增加。</w:t>
      </w:r>
    </w:p>
    <w:p>
      <w:pPr>
        <w:pStyle w:val="24"/>
        <w:numPr>
          <w:ilvl w:val="0"/>
          <w:numId w:val="1"/>
        </w:numPr>
        <w:spacing w:line="600" w:lineRule="exact"/>
        <w:ind w:firstLineChars="0"/>
        <w:outlineLvl w:val="1"/>
        <w:rPr>
          <w:rStyle w:val="26"/>
          <w:rFonts w:ascii="黑体" w:hAnsi="黑体" w:eastAsia="黑体"/>
          <w:b/>
          <w:bCs/>
        </w:rPr>
      </w:pPr>
      <w:bookmarkStart w:id="22" w:name="_Toc15377206"/>
      <w:bookmarkStart w:id="23" w:name="_Toc29513"/>
      <w:r>
        <w:rPr>
          <w:rFonts w:hint="eastAsia" w:ascii="黑体" w:hAnsi="黑体" w:eastAsia="黑体"/>
          <w:b/>
          <w:bCs/>
          <w:color w:val="000000"/>
          <w:sz w:val="32"/>
          <w:szCs w:val="32"/>
        </w:rPr>
        <w:t>收</w:t>
      </w:r>
      <w:r>
        <w:rPr>
          <w:rStyle w:val="26"/>
          <w:rFonts w:hint="eastAsia" w:ascii="黑体" w:hAnsi="黑体" w:eastAsia="黑体"/>
          <w:b/>
          <w:bCs/>
        </w:rPr>
        <w:t>入决算情况说明</w:t>
      </w:r>
      <w:bookmarkEnd w:id="22"/>
      <w:bookmarkEnd w:id="23"/>
    </w:p>
    <w:p>
      <w:pPr>
        <w:spacing w:line="600" w:lineRule="exact"/>
        <w:ind w:firstLine="640" w:firstLineChars="200"/>
        <w:outlineLvl w:val="9"/>
        <w:rPr>
          <w:rFonts w:ascii="仿宋_GB2312" w:eastAsia="仿宋_GB2312"/>
          <w:color w:val="FF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w:t>
      </w:r>
      <w:r>
        <w:rPr>
          <w:rFonts w:hint="eastAsia" w:ascii="仿宋" w:hAnsi="仿宋" w:eastAsia="仿宋"/>
          <w:color w:val="000000"/>
          <w:sz w:val="32"/>
          <w:szCs w:val="32"/>
          <w:lang w:val="en-US" w:eastAsia="zh-CN"/>
        </w:rPr>
        <w:t>收入</w:t>
      </w:r>
      <w:r>
        <w:rPr>
          <w:rFonts w:hint="eastAsia" w:ascii="仿宋" w:hAnsi="仿宋" w:eastAsia="仿宋"/>
          <w:color w:val="000000"/>
          <w:sz w:val="32"/>
          <w:szCs w:val="32"/>
          <w:lang w:eastAsia="zh-CN"/>
        </w:rPr>
        <w:t>无</w:t>
      </w:r>
      <w:r>
        <w:rPr>
          <w:rFonts w:hint="eastAsia" w:ascii="仿宋" w:hAnsi="仿宋" w:eastAsia="仿宋"/>
          <w:color w:val="000000"/>
          <w:sz w:val="32"/>
          <w:szCs w:val="32"/>
        </w:rPr>
        <w:t>；国有资本经营预算财政拨款收入</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；附属单位上缴</w:t>
      </w:r>
      <w:r>
        <w:rPr>
          <w:rFonts w:hint="eastAsia" w:ascii="仿宋" w:hAnsi="仿宋" w:eastAsia="仿宋"/>
          <w:color w:val="000000"/>
          <w:sz w:val="32"/>
          <w:szCs w:val="32"/>
          <w:lang w:eastAsia="zh-CN"/>
        </w:rPr>
        <w:t>无</w:t>
      </w:r>
      <w:r>
        <w:rPr>
          <w:rFonts w:hint="eastAsia" w:ascii="仿宋" w:hAnsi="仿宋" w:eastAsia="仿宋"/>
          <w:color w:val="000000"/>
          <w:sz w:val="32"/>
          <w:szCs w:val="32"/>
        </w:rPr>
        <w:t>。</w:t>
      </w:r>
    </w:p>
    <w:p>
      <w:pPr>
        <w:pStyle w:val="24"/>
        <w:numPr>
          <w:ilvl w:val="0"/>
          <w:numId w:val="1"/>
        </w:numPr>
        <w:spacing w:line="600" w:lineRule="exact"/>
        <w:ind w:firstLineChars="0"/>
        <w:outlineLvl w:val="1"/>
        <w:rPr>
          <w:rStyle w:val="26"/>
          <w:rFonts w:ascii="黑体" w:hAnsi="黑体" w:eastAsia="黑体"/>
          <w:b/>
          <w:bCs/>
        </w:rPr>
      </w:pPr>
      <w:bookmarkStart w:id="24" w:name="_Toc22757"/>
      <w:bookmarkStart w:id="25" w:name="_Toc15377207"/>
      <w:r>
        <w:rPr>
          <w:rFonts w:hint="eastAsia" w:ascii="黑体" w:hAnsi="黑体" w:eastAsia="黑体"/>
          <w:b/>
          <w:bCs/>
          <w:color w:val="000000"/>
          <w:sz w:val="32"/>
          <w:szCs w:val="32"/>
        </w:rPr>
        <w:t>支</w:t>
      </w:r>
      <w:r>
        <w:rPr>
          <w:rStyle w:val="26"/>
          <w:rFonts w:hint="eastAsia" w:ascii="黑体" w:hAnsi="黑体" w:eastAsia="黑体"/>
          <w:b/>
          <w:bCs/>
        </w:rPr>
        <w:t>出决算情况说明</w:t>
      </w:r>
      <w:bookmarkEnd w:id="24"/>
      <w:bookmarkEnd w:id="25"/>
    </w:p>
    <w:p>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万元，其中：基本支出</w:t>
      </w:r>
      <w:r>
        <w:rPr>
          <w:rFonts w:hint="eastAsia" w:ascii="仿宋" w:hAnsi="仿宋" w:eastAsia="仿宋"/>
          <w:color w:val="auto"/>
          <w:sz w:val="32"/>
          <w:szCs w:val="32"/>
          <w:lang w:val="en-US" w:eastAsia="zh-CN"/>
        </w:rPr>
        <w:t>568.89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20</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2218.59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80</w:t>
      </w:r>
      <w:r>
        <w:rPr>
          <w:rFonts w:ascii="仿宋" w:hAnsi="仿宋" w:eastAsia="仿宋"/>
          <w:color w:val="000000"/>
          <w:sz w:val="32"/>
          <w:szCs w:val="32"/>
        </w:rPr>
        <w:t>%</w:t>
      </w:r>
      <w:r>
        <w:rPr>
          <w:rFonts w:hint="eastAsia" w:ascii="仿宋" w:hAnsi="仿宋" w:eastAsia="仿宋"/>
          <w:color w:val="000000"/>
          <w:sz w:val="32"/>
          <w:szCs w:val="32"/>
        </w:rPr>
        <w:t>；上缴上级</w:t>
      </w:r>
      <w:r>
        <w:rPr>
          <w:rFonts w:hint="eastAsia" w:ascii="仿宋" w:hAnsi="仿宋" w:eastAsia="仿宋"/>
          <w:color w:val="000000"/>
          <w:sz w:val="32"/>
          <w:szCs w:val="32"/>
          <w:lang w:eastAsia="zh-CN"/>
        </w:rPr>
        <w:t>无；</w:t>
      </w:r>
      <w:r>
        <w:rPr>
          <w:rFonts w:hint="eastAsia" w:ascii="仿宋" w:hAnsi="仿宋" w:eastAsia="仿宋"/>
          <w:color w:val="000000"/>
          <w:sz w:val="32"/>
          <w:szCs w:val="32"/>
        </w:rPr>
        <w:t>经营支出</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；对附属单位补助支出</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w:t>
      </w:r>
    </w:p>
    <w:p>
      <w:pPr>
        <w:spacing w:line="600" w:lineRule="exact"/>
        <w:ind w:firstLine="640" w:firstLineChars="200"/>
        <w:outlineLvl w:val="1"/>
        <w:rPr>
          <w:rStyle w:val="26"/>
          <w:rFonts w:ascii="黑体" w:hAnsi="黑体" w:eastAsia="黑体"/>
          <w:b/>
          <w:bCs/>
        </w:rPr>
      </w:pPr>
      <w:bookmarkStart w:id="26" w:name="_Toc4262"/>
      <w:bookmarkStart w:id="27" w:name="_Toc15377208"/>
      <w:r>
        <w:rPr>
          <w:rFonts w:hint="eastAsia" w:ascii="黑体" w:hAnsi="黑体" w:eastAsia="黑体"/>
          <w:color w:val="000000"/>
          <w:sz w:val="32"/>
          <w:szCs w:val="32"/>
        </w:rPr>
        <w:t>四、</w:t>
      </w:r>
      <w:r>
        <w:rPr>
          <w:rFonts w:hint="eastAsia" w:ascii="黑体" w:hAnsi="黑体" w:eastAsia="黑体"/>
          <w:b/>
          <w:bCs/>
          <w:color w:val="000000"/>
          <w:sz w:val="32"/>
          <w:szCs w:val="32"/>
        </w:rPr>
        <w:t>财</w:t>
      </w:r>
      <w:r>
        <w:rPr>
          <w:rStyle w:val="26"/>
          <w:rFonts w:hint="eastAsia" w:ascii="黑体" w:hAnsi="黑体" w:eastAsia="黑体"/>
          <w:b/>
          <w:bCs/>
        </w:rPr>
        <w:t>政拨款收入支出决算总体情况说明</w:t>
      </w:r>
      <w:bookmarkEnd w:id="26"/>
      <w:bookmarkEnd w:id="27"/>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年财政拨款收、支总计</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年相比，财政拨款收、支总计各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1011.75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是项目资金增加。</w:t>
      </w:r>
    </w:p>
    <w:p>
      <w:pPr>
        <w:spacing w:line="600" w:lineRule="exact"/>
        <w:ind w:firstLine="640" w:firstLineChars="200"/>
        <w:outlineLvl w:val="1"/>
        <w:rPr>
          <w:rStyle w:val="26"/>
          <w:rFonts w:ascii="黑体" w:hAnsi="黑体" w:eastAsia="黑体"/>
          <w:b w:val="0"/>
          <w:bCs/>
        </w:rPr>
      </w:pPr>
      <w:bookmarkStart w:id="28" w:name="_Toc1941"/>
      <w:bookmarkStart w:id="29" w:name="_Toc15377209"/>
      <w:r>
        <w:rPr>
          <w:rFonts w:hint="eastAsia" w:ascii="黑体" w:hAnsi="黑体" w:eastAsia="黑体"/>
          <w:color w:val="000000"/>
          <w:sz w:val="32"/>
          <w:szCs w:val="32"/>
        </w:rPr>
        <w:t>五、</w:t>
      </w:r>
      <w:r>
        <w:rPr>
          <w:rFonts w:hint="eastAsia" w:ascii="黑体" w:hAnsi="黑体" w:eastAsia="黑体"/>
          <w:b w:val="0"/>
          <w:bCs/>
          <w:color w:val="000000"/>
          <w:sz w:val="32"/>
          <w:szCs w:val="32"/>
        </w:rPr>
        <w:t>一</w:t>
      </w:r>
      <w:r>
        <w:rPr>
          <w:rStyle w:val="26"/>
          <w:rFonts w:hint="eastAsia" w:ascii="黑体" w:hAnsi="黑体" w:eastAsia="黑体"/>
          <w:b w:val="0"/>
          <w:bCs/>
        </w:rPr>
        <w:t>般公共预算财政拨款支出决算情况说明</w:t>
      </w:r>
      <w:bookmarkEnd w:id="28"/>
      <w:bookmarkEnd w:id="29"/>
    </w:p>
    <w:p>
      <w:pPr>
        <w:spacing w:line="600" w:lineRule="exact"/>
        <w:ind w:firstLine="643" w:firstLineChars="200"/>
        <w:outlineLvl w:val="2"/>
        <w:rPr>
          <w:rFonts w:hint="eastAsia" w:ascii="楷体_GB2312" w:hAnsi="楷体_GB2312" w:eastAsia="楷体_GB2312" w:cs="楷体_GB2312"/>
          <w:b/>
          <w:color w:val="000000"/>
          <w:sz w:val="32"/>
          <w:szCs w:val="32"/>
        </w:rPr>
      </w:pPr>
      <w:bookmarkStart w:id="30" w:name="_Toc15377210"/>
      <w:r>
        <w:rPr>
          <w:rFonts w:hint="eastAsia" w:ascii="楷体_GB2312" w:hAnsi="楷体_GB2312" w:eastAsia="楷体_GB2312" w:cs="楷体_GB2312"/>
          <w:b/>
          <w:color w:val="000000"/>
          <w:sz w:val="32"/>
          <w:szCs w:val="32"/>
        </w:rPr>
        <w:t>（一）一般公共预算财政拨款支出决算总体情况</w:t>
      </w:r>
      <w:bookmarkEnd w:id="30"/>
    </w:p>
    <w:p>
      <w:pPr>
        <w:spacing w:line="600" w:lineRule="exact"/>
        <w:ind w:firstLine="640" w:firstLineChars="200"/>
        <w:rPr>
          <w:rFonts w:ascii="仿宋_GB2312" w:eastAsia="仿宋_GB2312"/>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2787.48</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年相比，一般公共预算财政拨款</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1011.75</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36</w:t>
      </w:r>
      <w:r>
        <w:rPr>
          <w:rFonts w:ascii="仿宋" w:hAnsi="仿宋" w:eastAsia="仿宋"/>
          <w:color w:val="000000"/>
          <w:sz w:val="32"/>
          <w:szCs w:val="32"/>
        </w:rPr>
        <w:t>%</w:t>
      </w:r>
      <w:r>
        <w:rPr>
          <w:rFonts w:hint="eastAsia" w:ascii="仿宋" w:hAnsi="仿宋" w:eastAsia="仿宋"/>
          <w:color w:val="000000"/>
          <w:sz w:val="32"/>
          <w:szCs w:val="32"/>
        </w:rPr>
        <w:t>。主要变动原因是</w:t>
      </w:r>
      <w:r>
        <w:rPr>
          <w:rFonts w:hint="eastAsia" w:ascii="仿宋" w:hAnsi="仿宋" w:eastAsia="仿宋"/>
          <w:color w:val="000000"/>
          <w:sz w:val="32"/>
          <w:szCs w:val="32"/>
          <w:lang w:val="en-US" w:eastAsia="zh-CN"/>
        </w:rPr>
        <w:t>2021年末</w:t>
      </w:r>
      <w:r>
        <w:rPr>
          <w:rFonts w:hint="eastAsia" w:ascii="仿宋" w:hAnsi="仿宋" w:eastAsia="仿宋"/>
          <w:color w:val="000000"/>
          <w:sz w:val="32"/>
          <w:szCs w:val="32"/>
          <w:lang w:eastAsia="zh-CN"/>
        </w:rPr>
        <w:t>项目资金增加。</w:t>
      </w:r>
    </w:p>
    <w:p>
      <w:pPr>
        <w:spacing w:line="600" w:lineRule="exact"/>
        <w:ind w:firstLine="643" w:firstLineChars="200"/>
        <w:outlineLvl w:val="2"/>
        <w:rPr>
          <w:rFonts w:hint="eastAsia" w:ascii="楷体_GB2312" w:hAnsi="楷体_GB2312" w:eastAsia="楷体_GB2312" w:cs="楷体_GB2312"/>
          <w:b/>
          <w:color w:val="000000"/>
          <w:sz w:val="32"/>
          <w:szCs w:val="32"/>
        </w:rPr>
      </w:pPr>
      <w:bookmarkStart w:id="31" w:name="_Toc15377211"/>
      <w:r>
        <w:rPr>
          <w:rFonts w:hint="eastAsia" w:ascii="楷体_GB2312" w:hAnsi="楷体_GB2312" w:eastAsia="楷体_GB2312" w:cs="楷体_GB2312"/>
          <w:b/>
          <w:color w:val="000000"/>
          <w:sz w:val="32"/>
          <w:szCs w:val="32"/>
        </w:rPr>
        <w:t>（二）一般公共预算财政拨款支出决算结构情况</w:t>
      </w:r>
      <w:bookmarkEnd w:id="31"/>
    </w:p>
    <w:p>
      <w:p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ascii="仿宋" w:hAnsi="仿宋" w:eastAsia="仿宋"/>
          <w:color w:val="auto"/>
          <w:sz w:val="32"/>
          <w:szCs w:val="32"/>
        </w:rPr>
        <w:t>2</w:t>
      </w:r>
      <w:r>
        <w:rPr>
          <w:rFonts w:ascii="仿宋" w:hAnsi="仿宋" w:eastAsia="仿宋"/>
          <w:color w:val="000000" w:themeColor="text1"/>
          <w:sz w:val="32"/>
          <w:szCs w:val="32"/>
          <w14:textFill>
            <w14:solidFill>
              <w14:schemeClr w14:val="tx1"/>
            </w14:solidFill>
          </w14:textFill>
        </w:rPr>
        <w:t>0</w:t>
      </w:r>
      <w:r>
        <w:rPr>
          <w:rFonts w:hint="eastAsia" w:ascii="仿宋" w:hAnsi="仿宋" w:eastAsia="仿宋"/>
          <w:color w:val="000000" w:themeColor="text1"/>
          <w:sz w:val="32"/>
          <w:szCs w:val="32"/>
          <w:lang w:val="en-US" w:eastAsia="zh-CN"/>
          <w14:textFill>
            <w14:solidFill>
              <w14:schemeClr w14:val="tx1"/>
            </w14:solidFill>
          </w14:textFill>
        </w:rPr>
        <w:t>22</w:t>
      </w:r>
      <w:r>
        <w:rPr>
          <w:rFonts w:hint="eastAsia" w:ascii="仿宋" w:hAnsi="仿宋" w:eastAsia="仿宋"/>
          <w:color w:val="000000" w:themeColor="text1"/>
          <w:sz w:val="32"/>
          <w:szCs w:val="32"/>
          <w14:textFill>
            <w14:solidFill>
              <w14:schemeClr w14:val="tx1"/>
            </w14:solidFill>
          </w14:textFill>
        </w:rPr>
        <w:t>年一般公共预算财政拨款支出</w:t>
      </w:r>
      <w:r>
        <w:rPr>
          <w:rFonts w:hint="eastAsia" w:ascii="仿宋" w:hAnsi="仿宋" w:eastAsia="仿宋"/>
          <w:color w:val="000000" w:themeColor="text1"/>
          <w:sz w:val="32"/>
          <w:szCs w:val="32"/>
          <w:lang w:val="en-US" w:eastAsia="zh-CN"/>
          <w14:textFill>
            <w14:solidFill>
              <w14:schemeClr w14:val="tx1"/>
            </w14:solidFill>
          </w14:textFill>
        </w:rPr>
        <w:t>2787.48</w:t>
      </w:r>
      <w:r>
        <w:rPr>
          <w:rFonts w:hint="eastAsia" w:ascii="仿宋" w:hAnsi="仿宋" w:eastAsia="仿宋"/>
          <w:color w:val="000000" w:themeColor="text1"/>
          <w:sz w:val="32"/>
          <w:szCs w:val="32"/>
          <w14:textFill>
            <w14:solidFill>
              <w14:schemeClr w14:val="tx1"/>
            </w14:solidFill>
          </w14:textFill>
        </w:rPr>
        <w:t>万元，主要用于以下方面</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42.3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0.02</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卫生健康</w:t>
      </w:r>
      <w:r>
        <w:rPr>
          <w:rFonts w:hint="eastAsia" w:ascii="仿宋" w:hAnsi="仿宋" w:eastAsia="仿宋"/>
          <w:b/>
          <w:color w:val="000000" w:themeColor="text1"/>
          <w:sz w:val="32"/>
          <w:szCs w:val="32"/>
          <w14:textFill>
            <w14:solidFill>
              <w14:schemeClr w14:val="tx1"/>
            </w14:solidFill>
          </w14:textFill>
        </w:rPr>
        <w:t>（类）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22.47</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lang w:eastAsia="zh-CN"/>
          <w14:textFill>
            <w14:solidFill>
              <w14:schemeClr w14:val="tx1"/>
            </w14:solidFill>
          </w14:textFill>
        </w:rPr>
        <w:t>住房保障（类）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31.73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0.01</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eastAsia="zh-CN"/>
          <w14:textFill>
            <w14:solidFill>
              <w14:schemeClr w14:val="tx1"/>
            </w14:solidFill>
          </w14:textFill>
        </w:rPr>
        <w:t>灾害防治</w:t>
      </w:r>
      <w:r>
        <w:rPr>
          <w:rFonts w:hint="eastAsia" w:ascii="仿宋" w:hAnsi="仿宋" w:eastAsia="仿宋"/>
          <w:b/>
          <w:color w:val="000000" w:themeColor="text1"/>
          <w:sz w:val="32"/>
          <w:szCs w:val="32"/>
          <w:lang w:val="en-US" w:eastAsia="zh-CN"/>
          <w14:textFill>
            <w14:solidFill>
              <w14:schemeClr w14:val="tx1"/>
            </w14:solidFill>
          </w14:textFill>
        </w:rPr>
        <w:t>及应急管理（类）</w:t>
      </w:r>
      <w:r>
        <w:rPr>
          <w:rFonts w:hint="eastAsia" w:ascii="仿宋" w:hAnsi="仿宋" w:eastAsia="仿宋"/>
          <w:color w:val="000000" w:themeColor="text1"/>
          <w:sz w:val="32"/>
          <w:szCs w:val="32"/>
          <w:lang w:eastAsia="zh-CN"/>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2690.98万元</w:t>
      </w:r>
      <w:r>
        <w:rPr>
          <w:rFonts w:hint="eastAsia" w:ascii="仿宋" w:hAnsi="仿宋" w:eastAsia="仿宋"/>
          <w:color w:val="000000" w:themeColor="text1"/>
          <w:sz w:val="32"/>
          <w:szCs w:val="32"/>
          <w14:textFill>
            <w14:solidFill>
              <w14:schemeClr w14:val="tx1"/>
            </w14:solidFill>
          </w14:textFill>
        </w:rPr>
        <w:t>占</w:t>
      </w:r>
      <w:r>
        <w:rPr>
          <w:rFonts w:hint="eastAsia" w:ascii="仿宋" w:hAnsi="仿宋" w:eastAsia="仿宋"/>
          <w:color w:val="000000" w:themeColor="text1"/>
          <w:sz w:val="32"/>
          <w:szCs w:val="32"/>
          <w:lang w:eastAsia="zh-CN"/>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99.96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lang w:val="en-US" w:eastAsia="zh-CN"/>
          <w14:textFill>
            <w14:solidFill>
              <w14:schemeClr w14:val="tx1"/>
            </w14:solidFill>
          </w14:textFill>
        </w:rPr>
        <w:t>。</w:t>
      </w:r>
      <w:bookmarkStart w:id="32" w:name="_Toc15377212"/>
    </w:p>
    <w:p>
      <w:pPr>
        <w:spacing w:line="600" w:lineRule="exact"/>
        <w:ind w:firstLine="640"/>
        <w:rPr>
          <w:rFonts w:hint="eastAsia" w:ascii="楷体_GB2312" w:hAnsi="楷体_GB2312" w:eastAsia="楷体_GB2312" w:cs="楷体_GB2312"/>
          <w:b/>
          <w:color w:val="000000"/>
          <w:sz w:val="32"/>
          <w:szCs w:val="32"/>
        </w:rPr>
      </w:pPr>
      <w:r>
        <w:rPr>
          <w:rFonts w:hint="eastAsia" w:ascii="楷体_GB2312" w:hAnsi="楷体_GB2312" w:eastAsia="楷体_GB2312" w:cs="楷体_GB2312"/>
          <w:b/>
          <w:color w:val="000000"/>
          <w:sz w:val="32"/>
          <w:szCs w:val="32"/>
        </w:rPr>
        <w:t>（三）一般公共预算财政拨款支出决算具体情况</w:t>
      </w:r>
      <w:bookmarkEnd w:id="32"/>
    </w:p>
    <w:p>
      <w:pPr>
        <w:spacing w:line="600" w:lineRule="exact"/>
        <w:ind w:firstLine="643" w:firstLineChars="200"/>
        <w:outlineLvl w:val="2"/>
        <w:rPr>
          <w:rFonts w:ascii="仿宋" w:hAnsi="仿宋" w:eastAsia="仿宋"/>
          <w:color w:val="FF0000"/>
          <w:sz w:val="32"/>
          <w:szCs w:val="32"/>
        </w:rPr>
      </w:pPr>
      <w:bookmarkStart w:id="33" w:name="_Toc15377444"/>
      <w:bookmarkStart w:id="34" w:name="_Toc15377213"/>
      <w:bookmarkStart w:id="35" w:name="_Toc15378460"/>
      <w:r>
        <w:rPr>
          <w:rFonts w:hint="eastAsia" w:ascii="仿宋" w:hAnsi="仿宋" w:eastAsia="仿宋"/>
          <w:b/>
          <w:color w:val="000000" w:themeColor="text1"/>
          <w:sz w:val="32"/>
          <w:szCs w:val="32"/>
          <w14:textFill>
            <w14:solidFill>
              <w14:schemeClr w14:val="tx1"/>
            </w14:solidFill>
          </w14:textFill>
        </w:rPr>
        <w:t>20</w:t>
      </w:r>
      <w:r>
        <w:rPr>
          <w:rFonts w:hint="eastAsia" w:ascii="仿宋" w:hAnsi="仿宋" w:eastAsia="仿宋"/>
          <w:b/>
          <w:color w:val="000000" w:themeColor="text1"/>
          <w:sz w:val="32"/>
          <w:szCs w:val="32"/>
          <w:lang w:val="en-US" w:eastAsia="zh-CN"/>
          <w14:textFill>
            <w14:solidFill>
              <w14:schemeClr w14:val="tx1"/>
            </w14:solidFill>
          </w14:textFill>
        </w:rPr>
        <w:t>22</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sz w:val="32"/>
          <w:szCs w:val="32"/>
          <w:lang w:val="en-US" w:eastAsia="zh-CN"/>
        </w:rPr>
        <w:t>2787.48</w:t>
      </w:r>
      <w:r>
        <w:rPr>
          <w:rStyle w:val="15"/>
          <w:rFonts w:hint="eastAsia" w:ascii="仿宋" w:hAnsi="仿宋" w:eastAsia="仿宋"/>
          <w:bCs/>
          <w:color w:val="000000" w:themeColor="text1"/>
          <w:sz w:val="32"/>
          <w:szCs w:val="32"/>
          <w14:textFill>
            <w14:solidFill>
              <w14:schemeClr w14:val="tx1"/>
            </w14:solidFill>
          </w14:textFill>
        </w:rPr>
        <w:t>完成</w:t>
      </w:r>
      <w:r>
        <w:rPr>
          <w:rStyle w:val="15"/>
          <w:rFonts w:hint="eastAsia" w:ascii="仿宋" w:hAnsi="仿宋" w:eastAsia="仿宋"/>
          <w:bCs/>
          <w:color w:val="000000"/>
          <w:sz w:val="32"/>
          <w:szCs w:val="32"/>
        </w:rPr>
        <w:t>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3"/>
      <w:bookmarkEnd w:id="34"/>
      <w:bookmarkEnd w:id="35"/>
    </w:p>
    <w:p>
      <w:pPr>
        <w:spacing w:line="600" w:lineRule="exact"/>
        <w:ind w:firstLine="643" w:firstLineChars="200"/>
        <w:rPr>
          <w:rFonts w:hint="default" w:ascii="仿宋" w:hAnsi="仿宋" w:eastAsia="仿宋"/>
          <w:b/>
          <w:color w:val="auto"/>
          <w:sz w:val="32"/>
          <w:szCs w:val="32"/>
          <w:lang w:val="en-US" w:eastAsia="zh-CN"/>
        </w:rPr>
      </w:pPr>
      <w:r>
        <w:rPr>
          <w:rStyle w:val="15"/>
          <w:rFonts w:hint="eastAsia" w:ascii="仿宋" w:hAnsi="仿宋" w:eastAsia="仿宋"/>
          <w:bCs/>
          <w:color w:val="auto"/>
          <w:sz w:val="32"/>
          <w:szCs w:val="32"/>
          <w:lang w:val="en-US" w:eastAsia="zh-CN"/>
        </w:rPr>
        <w:t>1</w:t>
      </w:r>
      <w:r>
        <w:rPr>
          <w:rStyle w:val="15"/>
          <w:rFonts w:ascii="仿宋" w:hAnsi="仿宋" w:eastAsia="仿宋"/>
          <w:bCs/>
          <w:color w:val="auto"/>
          <w:sz w:val="32"/>
          <w:szCs w:val="32"/>
        </w:rPr>
        <w:t>.</w:t>
      </w:r>
      <w:r>
        <w:rPr>
          <w:rStyle w:val="15"/>
          <w:rFonts w:hint="eastAsia" w:ascii="仿宋" w:hAnsi="仿宋" w:eastAsia="仿宋"/>
          <w:bCs/>
          <w:color w:val="auto"/>
          <w:sz w:val="32"/>
          <w:szCs w:val="32"/>
        </w:rPr>
        <w:t>社会保障和就业</w:t>
      </w:r>
      <w:r>
        <w:rPr>
          <w:rStyle w:val="15"/>
          <w:rFonts w:hint="eastAsia" w:ascii="仿宋" w:hAnsi="仿宋" w:eastAsia="仿宋"/>
          <w:bCs/>
          <w:color w:val="auto"/>
          <w:sz w:val="32"/>
          <w:szCs w:val="32"/>
          <w:lang w:eastAsia="zh-CN"/>
        </w:rPr>
        <w:t>（类）行政事业单位养老</w:t>
      </w:r>
      <w:r>
        <w:rPr>
          <w:rStyle w:val="15"/>
          <w:rFonts w:hint="eastAsia" w:ascii="仿宋" w:hAnsi="仿宋" w:eastAsia="仿宋"/>
          <w:bCs/>
          <w:color w:val="auto"/>
          <w:sz w:val="32"/>
          <w:szCs w:val="32"/>
          <w:lang w:val="en-US" w:eastAsia="zh-CN"/>
        </w:rPr>
        <w:t>(款）  机关事业单位基本养老保险缴费（项）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支出决算数为42.3万元，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rPr>
          <w:rFonts w:hint="default" w:ascii="仿宋" w:hAnsi="仿宋" w:eastAsia="仿宋"/>
          <w:b/>
          <w:color w:val="auto"/>
          <w:sz w:val="32"/>
          <w:szCs w:val="32"/>
          <w:lang w:val="en-US" w:eastAsia="zh-CN"/>
        </w:rPr>
      </w:pPr>
      <w:r>
        <w:rPr>
          <w:rStyle w:val="15"/>
          <w:rFonts w:hint="eastAsia" w:ascii="仿宋" w:hAnsi="仿宋" w:eastAsia="仿宋"/>
          <w:bCs/>
          <w:color w:val="auto"/>
          <w:sz w:val="32"/>
          <w:szCs w:val="32"/>
          <w:lang w:val="en-US" w:eastAsia="zh-CN"/>
        </w:rPr>
        <w:t xml:space="preserve">    2.</w:t>
      </w:r>
      <w:r>
        <w:rPr>
          <w:rStyle w:val="15"/>
          <w:rFonts w:hint="eastAsia" w:ascii="仿宋" w:hAnsi="仿宋" w:eastAsia="仿宋"/>
          <w:bCs/>
          <w:color w:val="auto"/>
          <w:sz w:val="32"/>
          <w:szCs w:val="32"/>
        </w:rPr>
        <w:t>卫生健康支出</w:t>
      </w:r>
      <w:r>
        <w:rPr>
          <w:rStyle w:val="15"/>
          <w:rFonts w:hint="eastAsia" w:ascii="仿宋" w:hAnsi="仿宋" w:eastAsia="仿宋"/>
          <w:bCs/>
          <w:color w:val="auto"/>
          <w:sz w:val="32"/>
          <w:szCs w:val="32"/>
          <w:lang w:eastAsia="zh-CN"/>
        </w:rPr>
        <w:t>（类）行政事业单位医疗</w:t>
      </w:r>
      <w:r>
        <w:rPr>
          <w:rStyle w:val="15"/>
          <w:rFonts w:hint="eastAsia" w:ascii="仿宋" w:hAnsi="仿宋" w:eastAsia="仿宋"/>
          <w:bCs/>
          <w:color w:val="auto"/>
          <w:sz w:val="32"/>
          <w:szCs w:val="32"/>
          <w:lang w:val="en-US" w:eastAsia="zh-CN"/>
        </w:rPr>
        <w:t>(款）行政单位医疗（项）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支出决算数为22.47万元，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rPr>
          <w:rFonts w:hint="default" w:ascii="仿宋" w:hAnsi="仿宋" w:eastAsia="仿宋"/>
          <w:b/>
          <w:color w:val="auto"/>
          <w:sz w:val="32"/>
          <w:szCs w:val="32"/>
          <w:lang w:val="en-US" w:eastAsia="zh-CN"/>
        </w:rPr>
      </w:pPr>
      <w:r>
        <w:rPr>
          <w:rStyle w:val="15"/>
          <w:rFonts w:hint="eastAsia" w:ascii="仿宋" w:hAnsi="仿宋" w:eastAsia="仿宋"/>
          <w:bCs/>
          <w:color w:val="auto"/>
          <w:sz w:val="32"/>
          <w:szCs w:val="32"/>
          <w:lang w:val="en-US" w:eastAsia="zh-CN"/>
        </w:rPr>
        <w:t xml:space="preserve">    3.</w:t>
      </w:r>
      <w:r>
        <w:rPr>
          <w:rStyle w:val="15"/>
          <w:rFonts w:hint="eastAsia" w:ascii="仿宋" w:hAnsi="仿宋" w:eastAsia="仿宋"/>
          <w:bCs/>
          <w:color w:val="auto"/>
          <w:sz w:val="32"/>
          <w:szCs w:val="32"/>
        </w:rPr>
        <w:t>住房公积金</w:t>
      </w:r>
      <w:r>
        <w:rPr>
          <w:rStyle w:val="15"/>
          <w:rFonts w:hint="eastAsia" w:ascii="仿宋" w:hAnsi="仿宋" w:eastAsia="仿宋"/>
          <w:bCs/>
          <w:color w:val="auto"/>
          <w:sz w:val="32"/>
          <w:szCs w:val="32"/>
          <w:lang w:eastAsia="zh-CN"/>
        </w:rPr>
        <w:t>（类）住房改革支出</w:t>
      </w:r>
      <w:r>
        <w:rPr>
          <w:rStyle w:val="15"/>
          <w:rFonts w:hint="eastAsia" w:ascii="仿宋" w:hAnsi="仿宋" w:eastAsia="仿宋"/>
          <w:bCs/>
          <w:color w:val="auto"/>
          <w:sz w:val="32"/>
          <w:szCs w:val="32"/>
          <w:lang w:val="en-US" w:eastAsia="zh-CN"/>
        </w:rPr>
        <w:t>(款）住房公积金（项）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支出决算数为31.73万元，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r>
        <w:rPr>
          <w:rStyle w:val="15"/>
          <w:rFonts w:hint="eastAsia" w:ascii="仿宋" w:hAnsi="仿宋" w:eastAsia="仿宋"/>
          <w:bCs/>
          <w:color w:val="auto"/>
          <w:sz w:val="32"/>
          <w:szCs w:val="32"/>
          <w:lang w:val="en-US" w:eastAsia="zh-CN"/>
        </w:rPr>
        <w:t>4.</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  行政运行（项）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支出决算数为304.92万元，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bookmarkStart w:id="36" w:name="_Toc15377214"/>
      <w:r>
        <w:rPr>
          <w:rStyle w:val="15"/>
          <w:rFonts w:hint="eastAsia" w:ascii="仿宋" w:hAnsi="仿宋" w:eastAsia="仿宋"/>
          <w:bCs/>
          <w:color w:val="auto"/>
          <w:sz w:val="32"/>
          <w:szCs w:val="32"/>
          <w:lang w:val="en-US" w:eastAsia="zh-CN"/>
        </w:rPr>
        <w:t>5.</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    安全监管（项）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支出决算数为101万元，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r>
        <w:rPr>
          <w:rStyle w:val="15"/>
          <w:rFonts w:hint="eastAsia" w:ascii="仿宋" w:hAnsi="仿宋" w:eastAsia="仿宋"/>
          <w:bCs/>
          <w:color w:val="auto"/>
          <w:sz w:val="32"/>
          <w:szCs w:val="32"/>
          <w:lang w:val="en-US" w:eastAsia="zh-CN"/>
        </w:rPr>
        <w:t>6.</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(款）一般行政管理事务（项）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支出决算数为48.35万元，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r>
        <w:rPr>
          <w:rStyle w:val="15"/>
          <w:rFonts w:hint="eastAsia" w:ascii="仿宋" w:hAnsi="仿宋" w:eastAsia="仿宋"/>
          <w:bCs/>
          <w:color w:val="auto"/>
          <w:sz w:val="32"/>
          <w:szCs w:val="32"/>
          <w:lang w:val="en-US" w:eastAsia="zh-CN"/>
        </w:rPr>
        <w:t>7.</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    应急救援（项）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支出决算数为140万元，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Style w:val="15"/>
          <w:rFonts w:hint="eastAsia" w:ascii="仿宋" w:hAnsi="仿宋" w:eastAsia="仿宋"/>
          <w:b w:val="0"/>
          <w:bCs/>
          <w:color w:val="auto"/>
          <w:sz w:val="32"/>
          <w:szCs w:val="32"/>
          <w:lang w:eastAsia="zh-CN"/>
        </w:rPr>
      </w:pPr>
      <w:r>
        <w:rPr>
          <w:rStyle w:val="15"/>
          <w:rFonts w:hint="eastAsia" w:ascii="仿宋" w:hAnsi="仿宋" w:eastAsia="仿宋"/>
          <w:bCs/>
          <w:color w:val="auto"/>
          <w:sz w:val="32"/>
          <w:szCs w:val="32"/>
          <w:lang w:val="en-US" w:eastAsia="zh-CN"/>
        </w:rPr>
        <w:t>8.</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(款）事业运行（项）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支出决算数为167.47万元，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r>
        <w:rPr>
          <w:rStyle w:val="15"/>
          <w:rFonts w:hint="eastAsia" w:ascii="仿宋" w:hAnsi="仿宋" w:eastAsia="仿宋"/>
          <w:bCs/>
          <w:color w:val="auto"/>
          <w:sz w:val="32"/>
          <w:szCs w:val="32"/>
          <w:lang w:val="en-US" w:eastAsia="zh-CN"/>
        </w:rPr>
        <w:t>9.</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（类）应急管理事务</w:t>
      </w:r>
      <w:r>
        <w:rPr>
          <w:rStyle w:val="15"/>
          <w:rFonts w:hint="eastAsia" w:ascii="仿宋" w:hAnsi="仿宋" w:eastAsia="仿宋"/>
          <w:bCs/>
          <w:color w:val="auto"/>
          <w:sz w:val="32"/>
          <w:szCs w:val="32"/>
          <w:lang w:val="en-US" w:eastAsia="zh-CN"/>
        </w:rPr>
        <w:t>(款） 其他应急管理支出（项）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支出决算数为46万元，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3" w:firstLineChars="200"/>
        <w:rPr>
          <w:rFonts w:hint="default" w:ascii="仿宋" w:hAnsi="仿宋" w:eastAsia="仿宋"/>
          <w:b/>
          <w:color w:val="auto"/>
          <w:sz w:val="32"/>
          <w:szCs w:val="32"/>
          <w:lang w:val="en-US"/>
        </w:rPr>
      </w:pPr>
      <w:r>
        <w:rPr>
          <w:rStyle w:val="15"/>
          <w:rFonts w:hint="eastAsia" w:ascii="仿宋" w:hAnsi="仿宋" w:eastAsia="仿宋"/>
          <w:bCs/>
          <w:color w:val="auto"/>
          <w:sz w:val="32"/>
          <w:szCs w:val="32"/>
          <w:lang w:val="en-US" w:eastAsia="zh-CN"/>
        </w:rPr>
        <w:t>10.</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（类）地震事务</w:t>
      </w:r>
      <w:r>
        <w:rPr>
          <w:rStyle w:val="15"/>
          <w:rFonts w:hint="eastAsia" w:ascii="仿宋" w:hAnsi="仿宋" w:eastAsia="仿宋"/>
          <w:bCs/>
          <w:color w:val="auto"/>
          <w:sz w:val="32"/>
          <w:szCs w:val="32"/>
          <w:lang w:val="en-US" w:eastAsia="zh-CN"/>
        </w:rPr>
        <w:t>(款） 其他地震事务支出（项）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支出决算数为3.24万元，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r>
        <w:rPr>
          <w:rStyle w:val="15"/>
          <w:rFonts w:hint="eastAsia" w:ascii="仿宋" w:hAnsi="仿宋" w:eastAsia="仿宋"/>
          <w:b w:val="0"/>
          <w:bCs/>
          <w:color w:val="auto"/>
          <w:sz w:val="32"/>
          <w:szCs w:val="32"/>
          <w:lang w:eastAsia="zh-CN"/>
        </w:rPr>
        <w:t>。</w:t>
      </w:r>
    </w:p>
    <w:p>
      <w:pPr>
        <w:spacing w:line="600" w:lineRule="exact"/>
        <w:ind w:firstLine="640" w:firstLineChars="200"/>
        <w:rPr>
          <w:rStyle w:val="15"/>
          <w:rFonts w:ascii="仿宋" w:hAnsi="仿宋" w:eastAsia="仿宋"/>
          <w:b w:val="0"/>
          <w:bCs/>
          <w:color w:val="auto"/>
          <w:sz w:val="32"/>
          <w:szCs w:val="32"/>
        </w:rPr>
      </w:pPr>
      <w:r>
        <w:rPr>
          <w:rStyle w:val="15"/>
          <w:rFonts w:hint="eastAsia" w:ascii="仿宋" w:hAnsi="仿宋" w:eastAsia="仿宋"/>
          <w:b w:val="0"/>
          <w:bCs/>
          <w:color w:val="auto"/>
          <w:sz w:val="32"/>
          <w:szCs w:val="32"/>
          <w:lang w:val="en-US" w:eastAsia="zh-CN"/>
        </w:rPr>
        <w:t>11.</w:t>
      </w:r>
      <w:r>
        <w:rPr>
          <w:rStyle w:val="15"/>
          <w:rFonts w:hint="eastAsia" w:ascii="仿宋" w:hAnsi="仿宋" w:eastAsia="仿宋"/>
          <w:bCs/>
          <w:color w:val="auto"/>
          <w:sz w:val="32"/>
          <w:szCs w:val="32"/>
          <w:lang w:val="en-US" w:eastAsia="zh-CN"/>
        </w:rPr>
        <w:t>灾害防治及应急管理支出（类）自然灾害防治(款）森林草原防灾减灾（项）：</w:t>
      </w:r>
      <w:r>
        <w:rPr>
          <w:rStyle w:val="15"/>
          <w:rFonts w:hint="eastAsia" w:ascii="仿宋" w:hAnsi="仿宋" w:eastAsia="仿宋"/>
          <w:b w:val="0"/>
          <w:bCs/>
          <w:color w:val="auto"/>
          <w:sz w:val="32"/>
          <w:szCs w:val="32"/>
          <w:lang w:val="en-US" w:eastAsia="zh-CN"/>
        </w:rPr>
        <w:t>支出决算数为3万元，完成预算100%。</w:t>
      </w:r>
      <w:r>
        <w:rPr>
          <w:rStyle w:val="15"/>
          <w:rFonts w:hint="eastAsia" w:ascii="仿宋" w:hAnsi="仿宋" w:eastAsia="仿宋"/>
          <w:bCs/>
          <w:color w:val="auto"/>
          <w:sz w:val="32"/>
          <w:szCs w:val="32"/>
          <w:lang w:val="en-US" w:eastAsia="zh-CN"/>
        </w:rPr>
        <w:t xml:space="preserve"> </w:t>
      </w:r>
      <w:r>
        <w:rPr>
          <w:rStyle w:val="15"/>
          <w:rFonts w:hint="eastAsia" w:ascii="仿宋" w:hAnsi="仿宋" w:eastAsia="仿宋"/>
          <w:b w:val="0"/>
          <w:bCs/>
          <w:color w:val="auto"/>
          <w:sz w:val="32"/>
          <w:szCs w:val="32"/>
          <w:lang w:val="en-US" w:eastAsia="zh-CN"/>
        </w:rPr>
        <w:t xml:space="preserve">                          </w:t>
      </w:r>
      <w:r>
        <w:rPr>
          <w:rStyle w:val="15"/>
          <w:rFonts w:hint="eastAsia" w:ascii="仿宋" w:hAnsi="仿宋" w:eastAsia="仿宋"/>
          <w:bCs/>
          <w:color w:val="auto"/>
          <w:sz w:val="32"/>
          <w:szCs w:val="32"/>
          <w:lang w:val="en-US" w:eastAsia="zh-CN"/>
        </w:rPr>
        <w:t xml:space="preserve">                     </w:t>
      </w:r>
    </w:p>
    <w:p>
      <w:pPr>
        <w:spacing w:line="600" w:lineRule="exact"/>
        <w:ind w:firstLine="643" w:firstLineChars="200"/>
        <w:rPr>
          <w:rStyle w:val="15"/>
          <w:rFonts w:ascii="仿宋" w:hAnsi="仿宋" w:eastAsia="仿宋"/>
          <w:b w:val="0"/>
          <w:bCs/>
          <w:color w:val="auto"/>
          <w:sz w:val="32"/>
          <w:szCs w:val="32"/>
        </w:rPr>
      </w:pPr>
      <w:r>
        <w:rPr>
          <w:rStyle w:val="15"/>
          <w:rFonts w:hint="eastAsia" w:ascii="仿宋" w:hAnsi="仿宋" w:eastAsia="仿宋"/>
          <w:bCs/>
          <w:color w:val="auto"/>
          <w:sz w:val="32"/>
          <w:szCs w:val="32"/>
          <w:lang w:val="en-US" w:eastAsia="zh-CN"/>
        </w:rPr>
        <w:t>12.</w:t>
      </w:r>
      <w:r>
        <w:rPr>
          <w:rStyle w:val="15"/>
          <w:rFonts w:hint="eastAsia" w:ascii="仿宋" w:hAnsi="仿宋" w:eastAsia="仿宋"/>
          <w:bCs/>
          <w:color w:val="auto"/>
          <w:sz w:val="32"/>
          <w:szCs w:val="32"/>
        </w:rPr>
        <w:t>灾害防治及应急管理支出</w:t>
      </w:r>
      <w:r>
        <w:rPr>
          <w:rStyle w:val="15"/>
          <w:rFonts w:hint="eastAsia" w:ascii="仿宋" w:hAnsi="仿宋" w:eastAsia="仿宋"/>
          <w:bCs/>
          <w:color w:val="auto"/>
          <w:sz w:val="32"/>
          <w:szCs w:val="32"/>
          <w:lang w:eastAsia="zh-CN"/>
        </w:rPr>
        <w:t>（类）自然灾害救灾及恢复重建支出</w:t>
      </w:r>
      <w:r>
        <w:rPr>
          <w:rStyle w:val="15"/>
          <w:rFonts w:hint="eastAsia" w:ascii="仿宋" w:hAnsi="仿宋" w:eastAsia="仿宋"/>
          <w:bCs/>
          <w:color w:val="auto"/>
          <w:sz w:val="32"/>
          <w:szCs w:val="32"/>
          <w:lang w:val="en-US" w:eastAsia="zh-CN"/>
        </w:rPr>
        <w:t>(款）自然灾害救灾补助（项）</w:t>
      </w:r>
      <w:r>
        <w:rPr>
          <w:rStyle w:val="15"/>
          <w:rFonts w:hint="eastAsia" w:ascii="仿宋" w:hAnsi="仿宋" w:eastAsia="仿宋"/>
          <w:bCs/>
          <w:color w:val="auto"/>
          <w:sz w:val="32"/>
          <w:szCs w:val="32"/>
          <w:lang w:eastAsia="zh-CN"/>
        </w:rPr>
        <w:t>：</w:t>
      </w:r>
      <w:r>
        <w:rPr>
          <w:rStyle w:val="15"/>
          <w:rFonts w:hint="eastAsia" w:ascii="仿宋" w:hAnsi="仿宋" w:eastAsia="仿宋"/>
          <w:b w:val="0"/>
          <w:bCs/>
          <w:color w:val="auto"/>
          <w:sz w:val="32"/>
          <w:szCs w:val="32"/>
          <w:lang w:val="en-US" w:eastAsia="zh-CN"/>
        </w:rPr>
        <w:t>支出决算数为1877万元，</w:t>
      </w:r>
      <w:r>
        <w:rPr>
          <w:rStyle w:val="15"/>
          <w:rFonts w:hint="eastAsia" w:ascii="仿宋" w:hAnsi="仿宋" w:eastAsia="仿宋"/>
          <w:b w:val="0"/>
          <w:bCs/>
          <w:color w:val="auto"/>
          <w:sz w:val="32"/>
          <w:szCs w:val="32"/>
        </w:rPr>
        <w:t>完成预算</w:t>
      </w:r>
      <w:r>
        <w:rPr>
          <w:rStyle w:val="15"/>
          <w:rFonts w:hint="eastAsia" w:ascii="仿宋" w:hAnsi="仿宋" w:eastAsia="仿宋"/>
          <w:b w:val="0"/>
          <w:bCs/>
          <w:color w:val="auto"/>
          <w:sz w:val="32"/>
          <w:szCs w:val="32"/>
          <w:lang w:val="en-US" w:eastAsia="zh-CN"/>
        </w:rPr>
        <w:t>100</w:t>
      </w:r>
      <w:r>
        <w:rPr>
          <w:rStyle w:val="15"/>
          <w:rFonts w:ascii="仿宋" w:hAnsi="仿宋" w:eastAsia="仿宋"/>
          <w:b w:val="0"/>
          <w:bCs/>
          <w:color w:val="auto"/>
          <w:sz w:val="32"/>
          <w:szCs w:val="32"/>
        </w:rPr>
        <w:t>%</w:t>
      </w:r>
    </w:p>
    <w:p>
      <w:pPr>
        <w:tabs>
          <w:tab w:val="right" w:pos="8306"/>
        </w:tabs>
        <w:spacing w:line="600" w:lineRule="exact"/>
        <w:outlineLvl w:val="1"/>
        <w:rPr>
          <w:rStyle w:val="26"/>
        </w:rPr>
      </w:pPr>
      <w:bookmarkStart w:id="37" w:name="_Toc102"/>
      <w:r>
        <w:rPr>
          <w:rFonts w:hint="eastAsia" w:ascii="黑体" w:eastAsia="黑体"/>
          <w:b/>
          <w:bCs/>
          <w:color w:val="000000" w:themeColor="text1"/>
          <w:sz w:val="32"/>
          <w:szCs w:val="32"/>
          <w14:textFill>
            <w14:solidFill>
              <w14:schemeClr w14:val="tx1"/>
            </w14:solidFill>
          </w14:textFill>
        </w:rPr>
        <w:t>六、</w:t>
      </w:r>
      <w:r>
        <w:rPr>
          <w:rFonts w:hint="eastAsia" w:ascii="黑体" w:hAnsi="黑体" w:eastAsia="黑体"/>
          <w:b/>
          <w:bCs/>
          <w:color w:val="000000" w:themeColor="text1"/>
          <w:sz w:val="32"/>
          <w:szCs w:val="32"/>
          <w14:textFill>
            <w14:solidFill>
              <w14:schemeClr w14:val="tx1"/>
            </w14:solidFill>
          </w14:textFill>
        </w:rPr>
        <w:t>一</w:t>
      </w:r>
      <w:r>
        <w:rPr>
          <w:rStyle w:val="26"/>
          <w:rFonts w:hint="eastAsia" w:ascii="黑体" w:hAnsi="黑体" w:eastAsia="黑体"/>
          <w:b/>
          <w:bCs/>
          <w:color w:val="000000" w:themeColor="text1"/>
          <w14:textFill>
            <w14:solidFill>
              <w14:schemeClr w14:val="tx1"/>
            </w14:solidFill>
          </w14:textFill>
        </w:rPr>
        <w:t>般公共预算</w:t>
      </w:r>
      <w:r>
        <w:rPr>
          <w:rStyle w:val="26"/>
          <w:rFonts w:hint="eastAsia" w:ascii="黑体" w:hAnsi="黑体" w:eastAsia="黑体"/>
          <w:b/>
          <w:bCs/>
        </w:rPr>
        <w:t>财政拨款基本支出决算情况说明</w:t>
      </w:r>
      <w:bookmarkEnd w:id="36"/>
      <w:bookmarkEnd w:id="37"/>
      <w:r>
        <w:rPr>
          <w:rStyle w:val="26"/>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hint="eastAsia" w:ascii="仿宋" w:hAnsi="仿宋" w:eastAsia="仿宋"/>
          <w:color w:val="000000"/>
          <w:sz w:val="32"/>
          <w:szCs w:val="32"/>
        </w:rPr>
        <w:t>年一般公共预算财政拨款基本支出</w:t>
      </w:r>
      <w:r>
        <w:rPr>
          <w:rFonts w:hint="eastAsia" w:ascii="仿宋" w:hAnsi="仿宋" w:eastAsia="仿宋"/>
          <w:color w:val="auto"/>
          <w:sz w:val="32"/>
          <w:szCs w:val="32"/>
          <w:lang w:val="en-US" w:eastAsia="zh-CN"/>
        </w:rPr>
        <w:t>567.94</w:t>
      </w:r>
      <w:r>
        <w:rPr>
          <w:rFonts w:hint="eastAsia" w:ascii="仿宋" w:hAnsi="仿宋" w:eastAsia="仿宋"/>
          <w:color w:val="000000"/>
          <w:sz w:val="32"/>
          <w:szCs w:val="32"/>
        </w:rPr>
        <w:t>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545.19</w:t>
      </w:r>
      <w:r>
        <w:rPr>
          <w:rFonts w:hint="eastAsia" w:ascii="仿宋" w:hAnsi="仿宋" w:eastAsia="仿宋"/>
          <w:color w:val="000000"/>
          <w:sz w:val="32"/>
          <w:szCs w:val="32"/>
        </w:rPr>
        <w:t>万元，主要包括：基本工资、津贴补贴、奖金、绩效工资、机关事业单位基本养老保险缴费、职业年金缴费、其他社会保障缴费、其他工资福利支出、退休费、住房公积金、其他对个人和家庭的补助支出等。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lang w:val="en-US" w:eastAsia="zh-CN"/>
        </w:rPr>
        <w:t xml:space="preserve">    </w:t>
      </w:r>
      <w:r>
        <w:rPr>
          <w:rFonts w:hint="eastAsia" w:ascii="仿宋" w:hAnsi="仿宋" w:eastAsia="仿宋"/>
          <w:color w:val="000000"/>
          <w:sz w:val="32"/>
          <w:szCs w:val="32"/>
        </w:rPr>
        <w:t>公用经费</w:t>
      </w:r>
      <w:r>
        <w:rPr>
          <w:rFonts w:hint="eastAsia" w:ascii="仿宋" w:hAnsi="仿宋" w:eastAsia="仿宋"/>
          <w:color w:val="000000"/>
          <w:sz w:val="32"/>
          <w:szCs w:val="32"/>
          <w:lang w:val="en-US" w:eastAsia="zh-CN"/>
        </w:rPr>
        <w:t>22.75</w:t>
      </w:r>
      <w:r>
        <w:rPr>
          <w:rFonts w:hint="eastAsia" w:ascii="仿宋" w:hAnsi="仿宋" w:eastAsia="仿宋"/>
          <w:color w:val="000000"/>
          <w:sz w:val="32"/>
          <w:szCs w:val="32"/>
        </w:rPr>
        <w:t>万元，主要包括：办公费、印刷费、咨询费、手续费、水费、电费、邮电费、物业管理费、差旅费、因公出国（境）费用、维修（护）费、租赁费、会议费、培训费、公务接待费、工会经费、福利费、公务用车运行维护费、其他交通费、其他商品和服务支出等。</w:t>
      </w:r>
    </w:p>
    <w:p>
      <w:pPr>
        <w:spacing w:line="600" w:lineRule="exact"/>
        <w:ind w:firstLine="640"/>
        <w:outlineLvl w:val="1"/>
        <w:rPr>
          <w:rStyle w:val="26"/>
          <w:rFonts w:ascii="黑体" w:hAnsi="黑体" w:eastAsia="黑体"/>
          <w:b/>
          <w:bCs/>
        </w:rPr>
      </w:pPr>
      <w:bookmarkStart w:id="38" w:name="_Toc15377215"/>
      <w:bookmarkStart w:id="39" w:name="_Toc5253"/>
      <w:r>
        <w:rPr>
          <w:rFonts w:hint="eastAsia" w:ascii="黑体" w:eastAsia="黑体"/>
          <w:b/>
          <w:bCs/>
          <w:color w:val="000000"/>
          <w:sz w:val="32"/>
          <w:szCs w:val="32"/>
        </w:rPr>
        <w:t>七、</w:t>
      </w:r>
      <w:r>
        <w:rPr>
          <w:rStyle w:val="26"/>
          <w:rFonts w:hint="eastAsia" w:ascii="黑体" w:hAnsi="黑体" w:eastAsia="黑体"/>
          <w:b/>
          <w:bCs/>
        </w:rPr>
        <w:t>“三公”经费财政拨款支出决算情况说明</w:t>
      </w:r>
      <w:bookmarkEnd w:id="38"/>
      <w:bookmarkEnd w:id="39"/>
    </w:p>
    <w:p>
      <w:pPr>
        <w:spacing w:line="600" w:lineRule="exact"/>
        <w:ind w:firstLine="640"/>
        <w:outlineLvl w:val="2"/>
        <w:rPr>
          <w:rFonts w:hint="eastAsia" w:ascii="楷体_GB2312" w:hAnsi="楷体_GB2312" w:eastAsia="楷体_GB2312" w:cs="楷体_GB2312"/>
          <w:b/>
          <w:color w:val="000000"/>
          <w:sz w:val="32"/>
          <w:szCs w:val="32"/>
        </w:rPr>
      </w:pPr>
      <w:bookmarkStart w:id="40" w:name="_Toc15377216"/>
      <w:r>
        <w:rPr>
          <w:rFonts w:hint="eastAsia" w:ascii="楷体_GB2312" w:hAnsi="楷体_GB2312" w:eastAsia="楷体_GB2312" w:cs="楷体_GB2312"/>
          <w:b/>
          <w:color w:val="000000"/>
          <w:sz w:val="32"/>
          <w:szCs w:val="32"/>
        </w:rPr>
        <w:t>（一）“三公”经费财政拨款支出决算总体情况说明</w:t>
      </w:r>
      <w:bookmarkEnd w:id="40"/>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12.98</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，决算数预算数持平。</w:t>
      </w:r>
    </w:p>
    <w:p>
      <w:pPr>
        <w:spacing w:line="600" w:lineRule="exact"/>
        <w:ind w:firstLine="640"/>
        <w:outlineLvl w:val="2"/>
        <w:rPr>
          <w:rFonts w:hint="eastAsia" w:ascii="楷体_GB2312" w:hAnsi="楷体_GB2312" w:eastAsia="楷体_GB2312" w:cs="楷体_GB2312"/>
          <w:b/>
          <w:color w:val="000000"/>
          <w:sz w:val="32"/>
          <w:szCs w:val="32"/>
        </w:rPr>
      </w:pPr>
      <w:bookmarkStart w:id="41" w:name="_Toc15377217"/>
      <w:r>
        <w:rPr>
          <w:rFonts w:hint="eastAsia" w:ascii="楷体_GB2312" w:hAnsi="楷体_GB2312" w:eastAsia="楷体_GB2312" w:cs="楷体_GB2312"/>
          <w:b/>
          <w:color w:val="000000"/>
          <w:sz w:val="32"/>
          <w:szCs w:val="32"/>
        </w:rPr>
        <w:t>（二）“三公”经费财政拨款支出决算具体情况说明</w:t>
      </w:r>
      <w:bookmarkEnd w:id="4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无</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8.98</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69</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31</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lang w:val="en-US" w:eastAsia="zh-CN"/>
        </w:rPr>
        <w:t>1</w:t>
      </w:r>
      <w:r>
        <w:rPr>
          <w:rFonts w:ascii="仿宋_GB2312" w:eastAsia="仿宋_GB2312"/>
          <w:b/>
          <w:color w:val="000000"/>
          <w:sz w:val="32"/>
          <w:szCs w:val="32"/>
        </w:rPr>
        <w:t>.</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8.98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99.8</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8.98</w:t>
      </w:r>
      <w:r>
        <w:rPr>
          <w:rFonts w:hint="eastAsia" w:ascii="仿宋_GB2312" w:eastAsia="仿宋_GB2312"/>
          <w:color w:val="000000"/>
          <w:sz w:val="32"/>
          <w:szCs w:val="32"/>
        </w:rPr>
        <w:t>万元。主要</w:t>
      </w:r>
      <w:r>
        <w:rPr>
          <w:rFonts w:hint="eastAsia" w:ascii="仿宋_GB2312" w:eastAsia="仿宋_GB2312"/>
          <w:color w:val="000000"/>
          <w:sz w:val="32"/>
          <w:szCs w:val="32"/>
          <w:lang w:eastAsia="zh-CN"/>
        </w:rPr>
        <w:t>其他车辆</w:t>
      </w:r>
      <w:r>
        <w:rPr>
          <w:rFonts w:hint="eastAsia" w:ascii="仿宋_GB2312" w:eastAsia="仿宋_GB2312"/>
          <w:color w:val="000000"/>
          <w:sz w:val="32"/>
          <w:szCs w:val="32"/>
        </w:rPr>
        <w:t>等所需的公务用车燃料费、维修费、过路过桥费、保险费等支出。</w:t>
      </w:r>
    </w:p>
    <w:p>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lang w:val="en-US" w:eastAsia="zh-CN"/>
        </w:rPr>
        <w:t>2</w:t>
      </w:r>
      <w:r>
        <w:rPr>
          <w:rFonts w:ascii="仿宋_GB2312" w:eastAsia="仿宋_GB2312"/>
          <w:b/>
          <w:color w:val="000000"/>
          <w:sz w:val="32"/>
          <w:szCs w:val="32"/>
        </w:rPr>
        <w:t>.</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w:t>
      </w:r>
      <w:r>
        <w:rPr>
          <w:rStyle w:val="15"/>
          <w:rFonts w:hint="eastAsia" w:ascii="仿宋" w:hAnsi="仿宋" w:eastAsia="仿宋"/>
          <w:b w:val="0"/>
          <w:bCs/>
          <w:color w:val="000000"/>
          <w:sz w:val="32"/>
          <w:szCs w:val="32"/>
        </w:rPr>
        <w:t>完成预算</w:t>
      </w:r>
      <w:r>
        <w:rPr>
          <w:rStyle w:val="15"/>
          <w:rFonts w:hint="eastAsia" w:ascii="仿宋" w:hAnsi="仿宋" w:eastAsia="仿宋"/>
          <w:b w:val="0"/>
          <w:bCs/>
          <w:color w:val="000000"/>
          <w:sz w:val="32"/>
          <w:szCs w:val="32"/>
          <w:lang w:val="en-US" w:eastAsia="zh-CN"/>
        </w:rPr>
        <w:t>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w:t>
      </w:r>
      <w:r>
        <w:rPr>
          <w:rFonts w:hint="eastAsia" w:ascii="仿宋_GB2312" w:eastAsia="仿宋_GB2312"/>
          <w:color w:val="000000"/>
          <w:sz w:val="32"/>
          <w:szCs w:val="32"/>
          <w:lang w:val="en-US" w:eastAsia="zh-CN"/>
        </w:rPr>
        <w:t>021</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相对减少。</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rPr>
        <w:t>主要用于执行公务、开展业务活动开支的交通费、住宿费、用餐费等。国内公务接待</w:t>
      </w:r>
      <w:r>
        <w:rPr>
          <w:rFonts w:hint="eastAsia" w:ascii="仿宋_GB2312" w:eastAsia="仿宋_GB2312"/>
          <w:color w:val="000000"/>
          <w:sz w:val="32"/>
          <w:szCs w:val="32"/>
          <w:lang w:val="en-US" w:eastAsia="zh-CN"/>
        </w:rPr>
        <w:t>33</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500</w:t>
      </w:r>
      <w:r>
        <w:rPr>
          <w:rFonts w:hint="eastAsia" w:ascii="仿宋_GB2312" w:eastAsia="仿宋_GB2312"/>
          <w:color w:val="000000"/>
          <w:sz w:val="32"/>
          <w:szCs w:val="32"/>
        </w:rPr>
        <w:t>人次（不包括陪同人员），共计支出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万元。其中：</w:t>
      </w:r>
      <w:r>
        <w:rPr>
          <w:rFonts w:hint="eastAsia" w:ascii="仿宋_GB2312" w:eastAsia="仿宋_GB2312"/>
          <w:color w:val="000000"/>
          <w:sz w:val="32"/>
          <w:szCs w:val="32"/>
          <w:lang w:val="en-US" w:eastAsia="zh-CN"/>
        </w:rPr>
        <w:t>餐费4万元。</w:t>
      </w:r>
    </w:p>
    <w:p>
      <w:pPr>
        <w:spacing w:line="600" w:lineRule="exact"/>
        <w:ind w:firstLine="643" w:firstLineChars="200"/>
        <w:rPr>
          <w:rFonts w:hint="eastAsia" w:ascii="仿宋_GB2312" w:eastAsia="仿宋_GB2312"/>
          <w:color w:val="000000"/>
          <w:sz w:val="32"/>
          <w:szCs w:val="32"/>
        </w:rPr>
      </w:pPr>
      <w:r>
        <w:rPr>
          <w:rFonts w:hint="eastAsia" w:ascii="仿宋" w:hAnsi="仿宋" w:eastAsia="仿宋"/>
          <w:b/>
          <w:color w:val="000000"/>
          <w:sz w:val="32"/>
          <w:szCs w:val="32"/>
        </w:rPr>
        <w:t>外事接待</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lang w:eastAsia="zh-CN"/>
        </w:rPr>
        <w:t>较上年无变化。</w:t>
      </w:r>
    </w:p>
    <w:p>
      <w:pPr>
        <w:spacing w:line="600" w:lineRule="exact"/>
        <w:ind w:firstLine="643" w:firstLineChars="200"/>
        <w:outlineLvl w:val="1"/>
        <w:rPr>
          <w:rStyle w:val="26"/>
          <w:rFonts w:ascii="黑体" w:hAnsi="黑体" w:eastAsia="黑体"/>
          <w:b/>
          <w:bCs/>
        </w:rPr>
      </w:pPr>
      <w:bookmarkStart w:id="42" w:name="_Toc22049"/>
      <w:bookmarkStart w:id="43" w:name="_Toc15377218"/>
      <w:r>
        <w:rPr>
          <w:rFonts w:hint="eastAsia" w:ascii="黑体" w:eastAsia="黑体"/>
          <w:b/>
          <w:bCs/>
          <w:color w:val="000000"/>
          <w:sz w:val="32"/>
          <w:szCs w:val="32"/>
        </w:rPr>
        <w:t>八、</w:t>
      </w:r>
      <w:r>
        <w:rPr>
          <w:rStyle w:val="26"/>
          <w:rFonts w:hint="eastAsia" w:ascii="黑体" w:hAnsi="黑体" w:eastAsia="黑体"/>
          <w:b/>
          <w:bCs/>
        </w:rPr>
        <w:t>政府性基金预算支出决算情况说明</w:t>
      </w:r>
      <w:bookmarkEnd w:id="42"/>
      <w:bookmarkEnd w:id="43"/>
    </w:p>
    <w:p>
      <w:pPr>
        <w:spacing w:line="600" w:lineRule="exact"/>
        <w:ind w:firstLine="640"/>
        <w:rPr>
          <w:rFonts w:hint="eastAsia" w:ascii="仿宋_GB2312" w:eastAsia="仿宋_GB2312"/>
          <w:color w:val="000000"/>
          <w:sz w:val="32"/>
          <w:szCs w:val="32"/>
          <w:lang w:eastAsia="zh-CN"/>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应急管理局无</w:t>
      </w:r>
      <w:r>
        <w:rPr>
          <w:rFonts w:hint="eastAsia" w:ascii="仿宋_GB2312" w:eastAsia="仿宋_GB2312"/>
          <w:color w:val="000000"/>
          <w:sz w:val="32"/>
          <w:szCs w:val="32"/>
        </w:rPr>
        <w:t>政府性基金预算拨款支出。</w:t>
      </w:r>
    </w:p>
    <w:p>
      <w:pPr>
        <w:numPr>
          <w:ilvl w:val="0"/>
          <w:numId w:val="0"/>
        </w:numPr>
        <w:spacing w:line="600" w:lineRule="exact"/>
        <w:ind w:firstLine="643" w:firstLineChars="200"/>
        <w:outlineLvl w:val="1"/>
        <w:rPr>
          <w:rStyle w:val="26"/>
          <w:rFonts w:ascii="黑体" w:hAnsi="黑体" w:eastAsia="黑体"/>
          <w:b/>
          <w:bCs w:val="0"/>
        </w:rPr>
      </w:pPr>
      <w:bookmarkStart w:id="44" w:name="_Toc27222"/>
      <w:bookmarkStart w:id="45" w:name="_Toc15377219"/>
      <w:r>
        <w:rPr>
          <w:rStyle w:val="26"/>
          <w:rFonts w:hint="eastAsia" w:ascii="黑体" w:hAnsi="黑体" w:eastAsia="黑体"/>
          <w:b/>
          <w:bCs w:val="0"/>
          <w:lang w:eastAsia="zh-CN"/>
        </w:rPr>
        <w:t>九、</w:t>
      </w:r>
      <w:r>
        <w:rPr>
          <w:rStyle w:val="26"/>
          <w:rFonts w:hint="eastAsia" w:ascii="黑体" w:hAnsi="黑体" w:eastAsia="黑体"/>
          <w:b/>
          <w:bCs w:val="0"/>
        </w:rPr>
        <w:t>国有资本经营预算支出决算情况说明</w:t>
      </w:r>
      <w:bookmarkEnd w:id="44"/>
      <w:bookmarkEnd w:id="45"/>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lang w:val="en-US" w:eastAsia="zh-CN"/>
        </w:rPr>
        <w:t>22</w:t>
      </w:r>
      <w:r>
        <w:rPr>
          <w:rFonts w:hint="eastAsia" w:ascii="仿宋_GB2312" w:eastAsia="仿宋_GB2312"/>
          <w:color w:val="000000"/>
          <w:sz w:val="32"/>
          <w:szCs w:val="32"/>
        </w:rPr>
        <w:t>年</w:t>
      </w:r>
      <w:r>
        <w:rPr>
          <w:rFonts w:hint="eastAsia" w:ascii="仿宋_GB2312" w:eastAsia="仿宋_GB2312"/>
          <w:color w:val="000000"/>
          <w:sz w:val="32"/>
          <w:szCs w:val="32"/>
          <w:lang w:eastAsia="zh-CN"/>
        </w:rPr>
        <w:t>应急管理局无</w:t>
      </w:r>
      <w:r>
        <w:rPr>
          <w:rFonts w:hint="eastAsia" w:ascii="仿宋_GB2312" w:eastAsia="仿宋_GB2312"/>
          <w:color w:val="000000"/>
          <w:sz w:val="32"/>
          <w:szCs w:val="32"/>
        </w:rPr>
        <w:t>国有资本经营预算拨款支出。</w:t>
      </w:r>
    </w:p>
    <w:p>
      <w:pPr>
        <w:spacing w:line="600" w:lineRule="exact"/>
        <w:ind w:firstLine="643" w:firstLineChars="200"/>
        <w:outlineLvl w:val="1"/>
        <w:rPr>
          <w:rStyle w:val="26"/>
          <w:rFonts w:ascii="黑体" w:hAnsi="黑体" w:eastAsia="黑体" w:cs="Times New Roman"/>
          <w:b/>
          <w:bCs/>
        </w:rPr>
      </w:pPr>
      <w:bookmarkStart w:id="46" w:name="_Toc27086"/>
      <w:r>
        <w:rPr>
          <w:rFonts w:hint="eastAsia" w:ascii="黑体" w:hAnsi="黑体" w:eastAsia="黑体" w:cs="黑体"/>
          <w:b/>
          <w:bCs/>
          <w:color w:val="000000"/>
          <w:sz w:val="32"/>
          <w:szCs w:val="32"/>
        </w:rPr>
        <w:t>十</w:t>
      </w:r>
      <w:r>
        <w:rPr>
          <w:rStyle w:val="26"/>
          <w:rFonts w:hint="eastAsia" w:ascii="黑体" w:hAnsi="黑体" w:eastAsia="黑体" w:cs="黑体"/>
          <w:b/>
          <w:bCs/>
        </w:rPr>
        <w:t>、其他重要事项的情况说明</w:t>
      </w:r>
      <w:bookmarkEnd w:id="46"/>
    </w:p>
    <w:p>
      <w:pPr>
        <w:spacing w:line="600" w:lineRule="exact"/>
        <w:ind w:firstLine="643" w:firstLineChars="200"/>
        <w:outlineLvl w:val="2"/>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bCs/>
          <w:color w:val="000000"/>
          <w:sz w:val="32"/>
          <w:szCs w:val="32"/>
        </w:rPr>
        <w:t>（一）机关运行经费支出情况</w:t>
      </w:r>
    </w:p>
    <w:p>
      <w:pPr>
        <w:spacing w:line="600" w:lineRule="exact"/>
        <w:ind w:firstLine="640" w:firstLineChars="200"/>
        <w:rPr>
          <w:rFonts w:ascii="仿宋_GB2312" w:eastAsia="仿宋_GB2312"/>
          <w:color w:val="000000"/>
          <w:sz w:val="32"/>
          <w:szCs w:val="32"/>
        </w:rPr>
      </w:pP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应急管理局</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22.75</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52.4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34</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主要原因</w:t>
      </w:r>
      <w:r>
        <w:rPr>
          <w:rFonts w:hint="eastAsia" w:ascii="仿宋_GB2312" w:eastAsia="仿宋_GB2312" w:cs="仿宋_GB2312"/>
          <w:color w:val="000000"/>
          <w:sz w:val="32"/>
          <w:szCs w:val="32"/>
          <w:lang w:eastAsia="zh-CN"/>
        </w:rPr>
        <w:t>年末存量资金增加</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（二）政府采购支出情况</w:t>
      </w:r>
    </w:p>
    <w:p>
      <w:pPr>
        <w:spacing w:line="60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lang w:val="en-US" w:eastAsia="zh-CN"/>
        </w:rPr>
        <w:t xml:space="preserve">  </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应急管理局无</w:t>
      </w:r>
      <w:r>
        <w:rPr>
          <w:rFonts w:hint="eastAsia" w:ascii="仿宋_GB2312" w:eastAsia="仿宋_GB2312" w:cs="仿宋_GB2312"/>
          <w:color w:val="000000"/>
          <w:sz w:val="32"/>
          <w:szCs w:val="32"/>
        </w:rPr>
        <w:t>政府采购支出总额</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（三）国有资产占有使用情况</w:t>
      </w:r>
    </w:p>
    <w:p>
      <w:pPr>
        <w:autoSpaceDE w:val="0"/>
        <w:autoSpaceDN w:val="0"/>
        <w:adjustRightInd w:val="0"/>
        <w:spacing w:line="600" w:lineRule="exact"/>
        <w:ind w:firstLine="640" w:firstLineChars="200"/>
        <w:jc w:val="left"/>
        <w:rPr>
          <w:rFonts w:ascii="仿宋" w:hAnsi="仿宋" w:eastAsia="仿宋"/>
          <w:b/>
          <w:bCs/>
          <w:color w:val="FF0000"/>
          <w:sz w:val="32"/>
          <w:szCs w:val="32"/>
        </w:rPr>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color w:val="000000"/>
          <w:sz w:val="32"/>
          <w:szCs w:val="32"/>
        </w:rPr>
        <w:t>截至</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22</w:t>
      </w:r>
      <w:r>
        <w:rPr>
          <w:rFonts w:hint="eastAsia" w:ascii="仿宋_GB2312" w:eastAsia="仿宋_GB2312" w:cs="仿宋_GB2312"/>
          <w:color w:val="000000"/>
          <w:sz w:val="32"/>
          <w:szCs w:val="32"/>
        </w:rPr>
        <w:t>年</w:t>
      </w:r>
      <w:r>
        <w:rPr>
          <w:rFonts w:ascii="仿宋_GB2312" w:eastAsia="仿宋_GB2312" w:cs="仿宋_GB2312"/>
          <w:color w:val="000000"/>
          <w:sz w:val="32"/>
          <w:szCs w:val="32"/>
        </w:rPr>
        <w:t>12</w:t>
      </w:r>
      <w:r>
        <w:rPr>
          <w:rFonts w:hint="eastAsia" w:ascii="仿宋_GB2312" w:eastAsia="仿宋_GB2312" w:cs="仿宋_GB2312"/>
          <w:color w:val="000000"/>
          <w:sz w:val="32"/>
          <w:szCs w:val="32"/>
        </w:rPr>
        <w:t>月</w:t>
      </w:r>
      <w:r>
        <w:rPr>
          <w:rFonts w:ascii="仿宋_GB2312" w:eastAsia="仿宋_GB2312" w:cs="仿宋_GB2312"/>
          <w:color w:val="000000"/>
          <w:sz w:val="32"/>
          <w:szCs w:val="32"/>
        </w:rPr>
        <w:t>31</w:t>
      </w:r>
      <w:r>
        <w:rPr>
          <w:rFonts w:hint="eastAsia" w:ascii="仿宋_GB2312" w:eastAsia="仿宋_GB2312" w:cs="仿宋_GB2312"/>
          <w:color w:val="000000"/>
          <w:sz w:val="32"/>
          <w:szCs w:val="32"/>
        </w:rPr>
        <w:t>日，</w:t>
      </w:r>
      <w:r>
        <w:rPr>
          <w:rFonts w:hint="eastAsia" w:ascii="仿宋_GB2312" w:eastAsia="仿宋_GB2312" w:cs="仿宋_GB2312"/>
          <w:color w:val="000000"/>
          <w:sz w:val="32"/>
          <w:szCs w:val="32"/>
          <w:lang w:eastAsia="zh-CN"/>
        </w:rPr>
        <w:t>我局</w:t>
      </w:r>
      <w:r>
        <w:rPr>
          <w:rFonts w:hint="eastAsia" w:ascii="仿宋_GB2312" w:eastAsia="仿宋_GB2312" w:cs="仿宋_GB2312"/>
          <w:color w:val="000000"/>
          <w:sz w:val="32"/>
          <w:szCs w:val="32"/>
        </w:rPr>
        <w:t>共有车辆</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辆，其他用车</w:t>
      </w:r>
      <w:r>
        <w:rPr>
          <w:rFonts w:hint="eastAsia" w:ascii="仿宋_GB2312" w:eastAsia="仿宋_GB2312" w:cs="仿宋_GB2312"/>
          <w:color w:val="000000"/>
          <w:sz w:val="32"/>
          <w:szCs w:val="32"/>
          <w:lang w:val="en-US" w:eastAsia="zh-CN"/>
        </w:rPr>
        <w:t>3</w:t>
      </w:r>
      <w:r>
        <w:rPr>
          <w:rFonts w:hint="eastAsia" w:ascii="仿宋_GB2312" w:eastAsia="仿宋_GB2312" w:cs="仿宋_GB2312"/>
          <w:color w:val="000000"/>
          <w:sz w:val="32"/>
          <w:szCs w:val="32"/>
        </w:rPr>
        <w:t>辆</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其他用车主要是用于</w:t>
      </w:r>
      <w:r>
        <w:rPr>
          <w:rFonts w:hint="eastAsia" w:ascii="仿宋_GB2312" w:eastAsia="仿宋_GB2312" w:cs="仿宋_GB2312"/>
          <w:color w:val="000000"/>
          <w:sz w:val="32"/>
          <w:szCs w:val="32"/>
          <w:lang w:eastAsia="zh-CN"/>
        </w:rPr>
        <w:t>应急处置。</w:t>
      </w:r>
    </w:p>
    <w:p>
      <w:pPr>
        <w:autoSpaceDE w:val="0"/>
        <w:autoSpaceDN w:val="0"/>
        <w:adjustRightInd w:val="0"/>
        <w:spacing w:line="600" w:lineRule="exact"/>
        <w:ind w:firstLine="643" w:firstLineChars="200"/>
        <w:jc w:val="left"/>
        <w:outlineLvl w:val="2"/>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（四）预算绩效管理情况。</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000000"/>
          <w:sz w:val="32"/>
          <w:szCs w:val="32"/>
        </w:rPr>
        <w:t>根</w:t>
      </w:r>
      <w:r>
        <w:rPr>
          <w:rFonts w:hint="eastAsia" w:ascii="仿宋_GB2312" w:hAnsi="仿宋_GB2312" w:eastAsia="仿宋_GB2312" w:cs="仿宋_GB2312"/>
          <w:b w:val="0"/>
          <w:bCs w:val="0"/>
          <w:color w:val="auto"/>
          <w:sz w:val="32"/>
          <w:szCs w:val="32"/>
        </w:rPr>
        <w:t>据预算绩效管理要求，本部门在年初预算编制阶段，组织对</w:t>
      </w:r>
      <w:r>
        <w:rPr>
          <w:rFonts w:hint="eastAsia" w:ascii="仿宋_GB2312" w:hAnsi="仿宋_GB2312" w:eastAsia="仿宋_GB2312" w:cs="仿宋_GB2312"/>
          <w:b w:val="0"/>
          <w:bCs w:val="0"/>
          <w:color w:val="auto"/>
          <w:sz w:val="32"/>
          <w:szCs w:val="32"/>
          <w:lang w:val="en-US" w:eastAsia="zh-CN"/>
        </w:rPr>
        <w:t>森林草原防灾减灾</w:t>
      </w:r>
      <w:r>
        <w:rPr>
          <w:rFonts w:hint="eastAsia" w:ascii="仿宋_GB2312" w:hAnsi="仿宋_GB2312" w:eastAsia="仿宋_GB2312" w:cs="仿宋_GB2312"/>
          <w:b w:val="0"/>
          <w:bCs w:val="0"/>
          <w:color w:val="auto"/>
          <w:sz w:val="32"/>
          <w:szCs w:val="32"/>
        </w:rPr>
        <w:t>经费项目及</w:t>
      </w:r>
      <w:r>
        <w:rPr>
          <w:rFonts w:hint="eastAsia" w:ascii="仿宋_GB2312" w:hAnsi="仿宋_GB2312" w:eastAsia="仿宋_GB2312" w:cs="仿宋_GB2312"/>
          <w:b w:val="0"/>
          <w:bCs w:val="0"/>
          <w:color w:val="auto"/>
          <w:sz w:val="32"/>
          <w:szCs w:val="32"/>
          <w:lang w:val="en-US" w:eastAsia="zh-CN"/>
        </w:rPr>
        <w:t>其他地震事务</w:t>
      </w:r>
      <w:r>
        <w:rPr>
          <w:rFonts w:hint="eastAsia" w:ascii="仿宋_GB2312" w:hAnsi="仿宋_GB2312" w:eastAsia="仿宋_GB2312" w:cs="仿宋_GB2312"/>
          <w:b w:val="0"/>
          <w:bCs w:val="0"/>
          <w:color w:val="auto"/>
          <w:sz w:val="32"/>
          <w:szCs w:val="32"/>
        </w:rPr>
        <w:t>资金开展了预算事前绩效评估，</w:t>
      </w:r>
      <w:r>
        <w:rPr>
          <w:rFonts w:hint="eastAsia" w:ascii="仿宋_GB2312" w:hAnsi="仿宋_GB2312" w:eastAsia="仿宋_GB2312" w:cs="仿宋_GB2312"/>
          <w:b w:val="0"/>
          <w:bCs w:val="0"/>
          <w:color w:val="auto"/>
          <w:sz w:val="32"/>
          <w:szCs w:val="32"/>
          <w:lang w:val="en-US" w:eastAsia="zh-CN"/>
        </w:rPr>
        <w:t>森林草原防灾减灾</w:t>
      </w:r>
      <w:r>
        <w:rPr>
          <w:rFonts w:hint="eastAsia" w:ascii="仿宋_GB2312" w:hAnsi="仿宋_GB2312" w:eastAsia="仿宋_GB2312" w:cs="仿宋_GB2312"/>
          <w:b w:val="0"/>
          <w:bCs w:val="0"/>
          <w:color w:val="auto"/>
          <w:sz w:val="32"/>
          <w:szCs w:val="32"/>
        </w:rPr>
        <w:t>经费项目及</w:t>
      </w:r>
      <w:r>
        <w:rPr>
          <w:rFonts w:hint="eastAsia" w:ascii="仿宋_GB2312" w:hAnsi="仿宋_GB2312" w:eastAsia="仿宋_GB2312" w:cs="仿宋_GB2312"/>
          <w:b w:val="0"/>
          <w:bCs w:val="0"/>
          <w:color w:val="auto"/>
          <w:sz w:val="32"/>
          <w:szCs w:val="32"/>
          <w:lang w:val="en-US" w:eastAsia="zh-CN"/>
        </w:rPr>
        <w:t>其他地震事务支出</w:t>
      </w:r>
      <w:r>
        <w:rPr>
          <w:rFonts w:hint="eastAsia" w:ascii="仿宋_GB2312" w:hAnsi="仿宋_GB2312" w:eastAsia="仿宋_GB2312" w:cs="仿宋_GB2312"/>
          <w:b w:val="0"/>
          <w:bCs w:val="0"/>
          <w:color w:val="auto"/>
          <w:sz w:val="32"/>
          <w:szCs w:val="32"/>
        </w:rPr>
        <w:t>2个项目编制了绩效目标，预算执行过程中，</w:t>
      </w:r>
      <w:r>
        <w:rPr>
          <w:rFonts w:hint="eastAsia" w:ascii="仿宋_GB2312" w:hAnsi="仿宋_GB2312" w:eastAsia="仿宋_GB2312" w:cs="仿宋_GB2312"/>
          <w:b w:val="0"/>
          <w:bCs w:val="0"/>
          <w:color w:val="auto"/>
          <w:sz w:val="32"/>
          <w:szCs w:val="32"/>
          <w:lang w:val="en-US" w:eastAsia="zh-CN"/>
        </w:rPr>
        <w:t>森林草原防灾减灾</w:t>
      </w:r>
      <w:r>
        <w:rPr>
          <w:rFonts w:hint="eastAsia" w:ascii="仿宋_GB2312" w:hAnsi="仿宋_GB2312" w:eastAsia="仿宋_GB2312" w:cs="仿宋_GB2312"/>
          <w:b w:val="0"/>
          <w:bCs w:val="0"/>
          <w:color w:val="auto"/>
          <w:sz w:val="32"/>
          <w:szCs w:val="32"/>
        </w:rPr>
        <w:t>经费项目及</w:t>
      </w:r>
      <w:r>
        <w:rPr>
          <w:rFonts w:hint="eastAsia" w:ascii="仿宋_GB2312" w:hAnsi="仿宋_GB2312" w:eastAsia="仿宋_GB2312" w:cs="仿宋_GB2312"/>
          <w:b w:val="0"/>
          <w:bCs w:val="0"/>
          <w:color w:val="auto"/>
          <w:sz w:val="32"/>
          <w:szCs w:val="32"/>
          <w:lang w:val="en-US" w:eastAsia="zh-CN"/>
        </w:rPr>
        <w:t>其他地震事务支出</w:t>
      </w:r>
      <w:r>
        <w:rPr>
          <w:rFonts w:hint="eastAsia" w:ascii="仿宋_GB2312" w:hAnsi="仿宋_GB2312" w:eastAsia="仿宋_GB2312" w:cs="仿宋_GB2312"/>
          <w:b w:val="0"/>
          <w:bCs w:val="0"/>
          <w:color w:val="auto"/>
          <w:sz w:val="32"/>
          <w:szCs w:val="32"/>
        </w:rPr>
        <w:t>2个项目开展绩效监控，年终执行完毕后，对</w:t>
      </w:r>
      <w:r>
        <w:rPr>
          <w:rFonts w:hint="eastAsia" w:ascii="仿宋_GB2312" w:hAnsi="仿宋_GB2312" w:eastAsia="仿宋_GB2312" w:cs="仿宋_GB2312"/>
          <w:b w:val="0"/>
          <w:bCs w:val="0"/>
          <w:color w:val="auto"/>
          <w:sz w:val="32"/>
          <w:szCs w:val="32"/>
          <w:lang w:val="en-US" w:eastAsia="zh-CN"/>
        </w:rPr>
        <w:t>森林草原防灾减灾</w:t>
      </w:r>
      <w:r>
        <w:rPr>
          <w:rFonts w:hint="eastAsia" w:ascii="仿宋_GB2312" w:hAnsi="仿宋_GB2312" w:eastAsia="仿宋_GB2312" w:cs="仿宋_GB2312"/>
          <w:b w:val="0"/>
          <w:bCs w:val="0"/>
          <w:color w:val="auto"/>
          <w:sz w:val="32"/>
          <w:szCs w:val="32"/>
        </w:rPr>
        <w:t>经费项目及</w:t>
      </w:r>
      <w:r>
        <w:rPr>
          <w:rFonts w:hint="eastAsia" w:ascii="仿宋_GB2312" w:hAnsi="仿宋_GB2312" w:eastAsia="仿宋_GB2312" w:cs="仿宋_GB2312"/>
          <w:b w:val="0"/>
          <w:bCs w:val="0"/>
          <w:color w:val="auto"/>
          <w:sz w:val="32"/>
          <w:szCs w:val="32"/>
          <w:lang w:val="en-US" w:eastAsia="zh-CN"/>
        </w:rPr>
        <w:t>其他地震事务支出</w:t>
      </w:r>
      <w:r>
        <w:rPr>
          <w:rFonts w:hint="eastAsia" w:ascii="仿宋_GB2312" w:hAnsi="仿宋_GB2312" w:eastAsia="仿宋_GB2312" w:cs="仿宋_GB2312"/>
          <w:b w:val="0"/>
          <w:bCs w:val="0"/>
          <w:color w:val="auto"/>
          <w:sz w:val="32"/>
          <w:szCs w:val="32"/>
        </w:rPr>
        <w:t>开展了绩效目标完成情况自评。</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auto"/>
          <w:sz w:val="32"/>
          <w:szCs w:val="32"/>
        </w:rPr>
        <w:t>1.本部门按要求对202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年部门整体支出开展绩效自评，从评价情况来看202</w:t>
      </w: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rPr>
        <w:t>年一般公共预算财政拨款支出</w:t>
      </w:r>
      <w:r>
        <w:rPr>
          <w:rFonts w:hint="eastAsia" w:ascii="仿宋_GB2312" w:hAnsi="仿宋_GB2312" w:eastAsia="仿宋_GB2312" w:cs="仿宋_GB2312"/>
          <w:b w:val="0"/>
          <w:bCs w:val="0"/>
          <w:color w:val="auto"/>
          <w:sz w:val="32"/>
          <w:szCs w:val="32"/>
          <w:lang w:val="en-US" w:eastAsia="zh-CN"/>
        </w:rPr>
        <w:t>4306.62</w:t>
      </w:r>
      <w:r>
        <w:rPr>
          <w:rFonts w:hint="eastAsia" w:ascii="仿宋_GB2312" w:hAnsi="仿宋_GB2312" w:eastAsia="仿宋_GB2312" w:cs="仿宋_GB2312"/>
          <w:b w:val="0"/>
          <w:bCs w:val="0"/>
          <w:color w:val="auto"/>
          <w:sz w:val="32"/>
          <w:szCs w:val="32"/>
        </w:rPr>
        <w:t>万元，完成预算的100%。本部门还自行组织了2个项目支出绩效评价，从评价情况来看</w:t>
      </w:r>
      <w:r>
        <w:rPr>
          <w:rFonts w:hint="eastAsia" w:ascii="仿宋_GB2312" w:hAnsi="仿宋_GB2312" w:eastAsia="仿宋_GB2312" w:cs="仿宋_GB2312"/>
          <w:b w:val="0"/>
          <w:bCs w:val="0"/>
          <w:color w:val="auto"/>
          <w:sz w:val="32"/>
          <w:szCs w:val="32"/>
          <w:lang w:val="en-US" w:eastAsia="zh-CN"/>
        </w:rPr>
        <w:t>森林草原防灾减灾</w:t>
      </w:r>
      <w:r>
        <w:rPr>
          <w:rFonts w:hint="eastAsia" w:ascii="仿宋_GB2312" w:hAnsi="仿宋_GB2312" w:eastAsia="仿宋_GB2312" w:cs="仿宋_GB2312"/>
          <w:b w:val="0"/>
          <w:bCs w:val="0"/>
          <w:color w:val="auto"/>
          <w:sz w:val="32"/>
          <w:szCs w:val="32"/>
        </w:rPr>
        <w:t>项目全年预算数</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万元，执行数为</w:t>
      </w: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rPr>
        <w:t>万元，完成预算的100%。通过项目实施，保障了森林防火指挥部正常运转；</w:t>
      </w:r>
      <w:r>
        <w:rPr>
          <w:rFonts w:hint="eastAsia" w:ascii="仿宋_GB2312" w:hAnsi="仿宋_GB2312" w:eastAsia="仿宋_GB2312" w:cs="仿宋_GB2312"/>
          <w:b w:val="0"/>
          <w:bCs w:val="0"/>
          <w:color w:val="auto"/>
          <w:sz w:val="32"/>
          <w:szCs w:val="32"/>
          <w:lang w:val="en-US" w:eastAsia="zh-CN"/>
        </w:rPr>
        <w:t>其他地震事务支出</w:t>
      </w:r>
      <w:r>
        <w:rPr>
          <w:rFonts w:hint="eastAsia" w:ascii="仿宋_GB2312" w:hAnsi="仿宋_GB2312" w:eastAsia="仿宋_GB2312" w:cs="仿宋_GB2312"/>
          <w:b w:val="0"/>
          <w:bCs w:val="0"/>
          <w:color w:val="auto"/>
          <w:sz w:val="32"/>
          <w:szCs w:val="32"/>
        </w:rPr>
        <w:t>项目全年预算数</w:t>
      </w:r>
      <w:r>
        <w:rPr>
          <w:rFonts w:hint="eastAsia" w:ascii="仿宋_GB2312" w:hAnsi="仿宋_GB2312" w:eastAsia="仿宋_GB2312" w:cs="仿宋_GB2312"/>
          <w:b w:val="0"/>
          <w:bCs w:val="0"/>
          <w:color w:val="auto"/>
          <w:sz w:val="32"/>
          <w:szCs w:val="32"/>
          <w:lang w:val="en-US" w:eastAsia="zh-CN"/>
        </w:rPr>
        <w:t>3.24</w:t>
      </w:r>
      <w:r>
        <w:rPr>
          <w:rFonts w:hint="eastAsia" w:ascii="仿宋_GB2312" w:hAnsi="仿宋_GB2312" w:eastAsia="仿宋_GB2312" w:cs="仿宋_GB2312"/>
          <w:b w:val="0"/>
          <w:bCs w:val="0"/>
          <w:color w:val="auto"/>
          <w:sz w:val="32"/>
          <w:szCs w:val="32"/>
        </w:rPr>
        <w:t>万元，执行数为</w:t>
      </w:r>
      <w:r>
        <w:rPr>
          <w:rFonts w:hint="eastAsia" w:ascii="仿宋_GB2312" w:hAnsi="仿宋_GB2312" w:eastAsia="仿宋_GB2312" w:cs="仿宋_GB2312"/>
          <w:b w:val="0"/>
          <w:bCs w:val="0"/>
          <w:color w:val="auto"/>
          <w:sz w:val="32"/>
          <w:szCs w:val="32"/>
          <w:lang w:val="en-US" w:eastAsia="zh-CN"/>
        </w:rPr>
        <w:t>3.24</w:t>
      </w:r>
      <w:r>
        <w:rPr>
          <w:rFonts w:hint="eastAsia" w:ascii="仿宋_GB2312" w:hAnsi="仿宋_GB2312" w:eastAsia="仿宋_GB2312" w:cs="仿宋_GB2312"/>
          <w:b w:val="0"/>
          <w:bCs w:val="0"/>
          <w:color w:val="auto"/>
          <w:sz w:val="32"/>
          <w:szCs w:val="32"/>
        </w:rPr>
        <w:t>万元，完成预算的100%，通过项目实施，</w:t>
      </w:r>
      <w:r>
        <w:rPr>
          <w:rFonts w:hint="eastAsia" w:ascii="仿宋_GB2312" w:hAnsi="仿宋_GB2312" w:eastAsia="仿宋_GB2312" w:cs="仿宋_GB2312"/>
          <w:b w:val="0"/>
          <w:bCs w:val="0"/>
          <w:color w:val="auto"/>
          <w:sz w:val="32"/>
          <w:szCs w:val="32"/>
          <w:lang w:eastAsia="zh-CN"/>
        </w:rPr>
        <w:t>推动防震减灾工作顺利进行，保障地震监测</w:t>
      </w:r>
      <w:r>
        <w:rPr>
          <w:rFonts w:hint="eastAsia" w:ascii="仿宋_GB2312" w:hAnsi="仿宋_GB2312" w:eastAsia="仿宋_GB2312" w:cs="仿宋_GB2312"/>
          <w:b w:val="0"/>
          <w:bCs w:val="0"/>
          <w:color w:val="000000"/>
          <w:sz w:val="32"/>
          <w:szCs w:val="32"/>
          <w:lang w:eastAsia="zh-CN"/>
        </w:rPr>
        <w:t>站正常运转</w:t>
      </w:r>
      <w:r>
        <w:rPr>
          <w:rFonts w:hint="eastAsia" w:ascii="仿宋_GB2312" w:hAnsi="仿宋_GB2312" w:eastAsia="仿宋_GB2312" w:cs="仿宋_GB2312"/>
          <w:b w:val="0"/>
          <w:bCs w:val="0"/>
          <w:color w:val="000000"/>
          <w:sz w:val="32"/>
          <w:szCs w:val="32"/>
        </w:rPr>
        <w:t>。</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2.项目绩效目标完成情况。</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本部门在202</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rPr>
        <w:t>年度部门决算中</w:t>
      </w:r>
      <w:r>
        <w:rPr>
          <w:rFonts w:hint="eastAsia" w:ascii="仿宋_GB2312" w:hAnsi="仿宋_GB2312" w:eastAsia="仿宋_GB2312" w:cs="仿宋_GB2312"/>
          <w:b w:val="0"/>
          <w:bCs w:val="0"/>
          <w:color w:val="000000"/>
          <w:sz w:val="32"/>
          <w:szCs w:val="32"/>
          <w:lang w:val="en-US" w:eastAsia="zh-CN"/>
        </w:rPr>
        <w:t>森林草原防灾减灾</w:t>
      </w:r>
      <w:r>
        <w:rPr>
          <w:rFonts w:hint="eastAsia" w:ascii="仿宋_GB2312" w:hAnsi="仿宋_GB2312" w:eastAsia="仿宋_GB2312" w:cs="仿宋_GB2312"/>
          <w:b w:val="0"/>
          <w:bCs w:val="0"/>
          <w:color w:val="000000"/>
          <w:sz w:val="32"/>
          <w:szCs w:val="32"/>
        </w:rPr>
        <w:t>经费、</w:t>
      </w:r>
      <w:r>
        <w:rPr>
          <w:rFonts w:hint="eastAsia" w:ascii="仿宋_GB2312" w:hAnsi="仿宋_GB2312" w:eastAsia="仿宋_GB2312" w:cs="仿宋_GB2312"/>
          <w:b w:val="0"/>
          <w:bCs w:val="0"/>
          <w:color w:val="000000"/>
          <w:sz w:val="32"/>
          <w:szCs w:val="32"/>
          <w:lang w:val="en-US" w:eastAsia="zh-CN"/>
        </w:rPr>
        <w:t>其他地震事务</w:t>
      </w:r>
      <w:r>
        <w:rPr>
          <w:rFonts w:hint="eastAsia" w:ascii="仿宋_GB2312" w:hAnsi="仿宋_GB2312" w:eastAsia="仿宋_GB2312" w:cs="仿宋_GB2312"/>
          <w:b w:val="0"/>
          <w:bCs w:val="0"/>
          <w:color w:val="000000"/>
          <w:sz w:val="32"/>
          <w:szCs w:val="32"/>
        </w:rPr>
        <w:t>资金等2个项目绩效目标实际完成情况。</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w:t>
      </w:r>
      <w:r>
        <w:rPr>
          <w:rFonts w:hint="eastAsia" w:ascii="仿宋_GB2312" w:hAnsi="仿宋_GB2312" w:eastAsia="仿宋_GB2312" w:cs="仿宋_GB2312"/>
          <w:b w:val="0"/>
          <w:bCs w:val="0"/>
          <w:color w:val="000000"/>
          <w:sz w:val="32"/>
          <w:szCs w:val="32"/>
          <w:lang w:val="en-US" w:eastAsia="zh-CN"/>
        </w:rPr>
        <w:t>森林草原防灾减灾</w:t>
      </w:r>
      <w:r>
        <w:rPr>
          <w:rFonts w:hint="eastAsia" w:ascii="仿宋_GB2312" w:hAnsi="仿宋_GB2312" w:eastAsia="仿宋_GB2312" w:cs="仿宋_GB2312"/>
          <w:b w:val="0"/>
          <w:bCs w:val="0"/>
          <w:color w:val="000000"/>
          <w:sz w:val="32"/>
          <w:szCs w:val="32"/>
        </w:rPr>
        <w:t>经费项目绩效目标完成情况综述。项目全年预算数</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万元，执行数为</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rPr>
        <w:t>万元，完成预算的100%。通过项目实施，保障了森林防火指挥部正常运转。</w:t>
      </w:r>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w:t>
      </w:r>
      <w:r>
        <w:rPr>
          <w:rFonts w:hint="eastAsia" w:ascii="仿宋_GB2312" w:hAnsi="仿宋_GB2312" w:eastAsia="仿宋_GB2312" w:cs="仿宋_GB2312"/>
          <w:b w:val="0"/>
          <w:bCs w:val="0"/>
          <w:color w:val="000000"/>
          <w:sz w:val="32"/>
          <w:szCs w:val="32"/>
          <w:lang w:val="en-US" w:eastAsia="zh-CN"/>
        </w:rPr>
        <w:t>其他地震事务</w:t>
      </w:r>
      <w:r>
        <w:rPr>
          <w:rFonts w:hint="eastAsia" w:ascii="仿宋_GB2312" w:hAnsi="仿宋_GB2312" w:eastAsia="仿宋_GB2312" w:cs="仿宋_GB2312"/>
          <w:b w:val="0"/>
          <w:bCs w:val="0"/>
          <w:color w:val="000000"/>
          <w:sz w:val="32"/>
          <w:szCs w:val="32"/>
        </w:rPr>
        <w:t>资金项目绩效目标完成情况综述。项目全年预算数</w:t>
      </w:r>
      <w:r>
        <w:rPr>
          <w:rFonts w:hint="eastAsia" w:ascii="仿宋_GB2312" w:hAnsi="仿宋_GB2312" w:eastAsia="仿宋_GB2312" w:cs="仿宋_GB2312"/>
          <w:b w:val="0"/>
          <w:bCs w:val="0"/>
          <w:color w:val="000000"/>
          <w:sz w:val="32"/>
          <w:szCs w:val="32"/>
          <w:lang w:val="en-US" w:eastAsia="zh-CN"/>
        </w:rPr>
        <w:t>3.24</w:t>
      </w:r>
      <w:r>
        <w:rPr>
          <w:rFonts w:hint="eastAsia" w:ascii="仿宋_GB2312" w:hAnsi="仿宋_GB2312" w:eastAsia="仿宋_GB2312" w:cs="仿宋_GB2312"/>
          <w:b w:val="0"/>
          <w:bCs w:val="0"/>
          <w:color w:val="000000"/>
          <w:sz w:val="32"/>
          <w:szCs w:val="32"/>
        </w:rPr>
        <w:t>万元，执行数为</w:t>
      </w:r>
      <w:r>
        <w:rPr>
          <w:rFonts w:hint="eastAsia" w:ascii="仿宋_GB2312" w:hAnsi="仿宋_GB2312" w:eastAsia="仿宋_GB2312" w:cs="仿宋_GB2312"/>
          <w:b w:val="0"/>
          <w:bCs w:val="0"/>
          <w:color w:val="000000"/>
          <w:sz w:val="32"/>
          <w:szCs w:val="32"/>
          <w:lang w:val="en-US" w:eastAsia="zh-CN"/>
        </w:rPr>
        <w:t>3.24</w:t>
      </w:r>
      <w:r>
        <w:rPr>
          <w:rFonts w:hint="eastAsia" w:ascii="仿宋_GB2312" w:hAnsi="仿宋_GB2312" w:eastAsia="仿宋_GB2312" w:cs="仿宋_GB2312"/>
          <w:b w:val="0"/>
          <w:bCs w:val="0"/>
          <w:color w:val="000000"/>
          <w:sz w:val="32"/>
          <w:szCs w:val="32"/>
        </w:rPr>
        <w:t>万元，完成预算的100%。通过项目实施，</w:t>
      </w:r>
      <w:r>
        <w:rPr>
          <w:rFonts w:hint="eastAsia" w:ascii="仿宋_GB2312" w:hAnsi="仿宋_GB2312" w:eastAsia="仿宋_GB2312" w:cs="仿宋_GB2312"/>
          <w:b w:val="0"/>
          <w:bCs w:val="0"/>
          <w:color w:val="000000"/>
          <w:sz w:val="32"/>
          <w:szCs w:val="32"/>
          <w:lang w:eastAsia="zh-CN"/>
        </w:rPr>
        <w:t>推动防震减灾工作顺利进行，保障地震监测站正常运转</w:t>
      </w:r>
      <w:r>
        <w:rPr>
          <w:rFonts w:hint="eastAsia" w:ascii="仿宋_GB2312" w:hAnsi="仿宋_GB2312" w:eastAsia="仿宋_GB2312" w:cs="仿宋_GB2312"/>
          <w:b w:val="0"/>
          <w:bCs w:val="0"/>
          <w:color w:val="000000"/>
          <w:sz w:val="32"/>
          <w:szCs w:val="32"/>
          <w:lang w:val="en-US" w:eastAsia="zh-CN"/>
        </w:rPr>
        <w:t>.</w:t>
      </w:r>
    </w:p>
    <w:p>
      <w:pPr>
        <w:numPr>
          <w:ilvl w:val="0"/>
          <w:numId w:val="0"/>
        </w:num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（五）</w:t>
      </w:r>
      <w:r>
        <w:rPr>
          <w:rFonts w:hint="eastAsia" w:ascii="楷体_GB2312" w:hAnsi="楷体_GB2312" w:eastAsia="楷体_GB2312" w:cs="楷体_GB2312"/>
          <w:b/>
          <w:bCs/>
          <w:color w:val="auto"/>
          <w:sz w:val="32"/>
          <w:szCs w:val="32"/>
        </w:rPr>
        <w:t>部门开展绩效评价结果。</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本部门按要求对20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年部门整体支出绩效评价情况开展自评，《</w:t>
      </w:r>
      <w:r>
        <w:rPr>
          <w:rFonts w:hint="eastAsia" w:ascii="仿宋_GB2312" w:hAnsi="仿宋_GB2312" w:eastAsia="仿宋_GB2312" w:cs="仿宋_GB2312"/>
          <w:color w:val="auto"/>
          <w:sz w:val="32"/>
          <w:szCs w:val="32"/>
          <w:lang w:eastAsia="zh-CN"/>
        </w:rPr>
        <w:t>应急管理局</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年部门整体支出绩效评价报告》见附件。</w:t>
      </w:r>
    </w:p>
    <w:p>
      <w:pPr>
        <w:spacing w:line="58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本部门自行组织对</w:t>
      </w:r>
      <w:r>
        <w:rPr>
          <w:rFonts w:hint="eastAsia" w:ascii="仿宋_GB2312" w:hAnsi="仿宋_GB2312" w:eastAsia="仿宋_GB2312" w:cs="仿宋_GB2312"/>
          <w:color w:val="auto"/>
          <w:sz w:val="32"/>
          <w:szCs w:val="32"/>
          <w:lang w:eastAsia="zh-CN"/>
        </w:rPr>
        <w:t>自然灾害资金</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安全监管资金</w:t>
      </w:r>
      <w:r>
        <w:rPr>
          <w:rFonts w:hint="eastAsia" w:ascii="仿宋_GB2312" w:hAnsi="仿宋_GB2312" w:eastAsia="仿宋_GB2312" w:cs="仿宋_GB2312"/>
          <w:color w:val="auto"/>
          <w:sz w:val="32"/>
          <w:szCs w:val="32"/>
        </w:rPr>
        <w:t>项目开展了绩效评价，《</w:t>
      </w:r>
      <w:r>
        <w:rPr>
          <w:rFonts w:hint="eastAsia" w:ascii="仿宋_GB2312" w:hAnsi="仿宋_GB2312" w:eastAsia="仿宋_GB2312" w:cs="仿宋_GB2312"/>
          <w:color w:val="auto"/>
          <w:sz w:val="32"/>
          <w:szCs w:val="32"/>
          <w:lang w:eastAsia="zh-CN"/>
        </w:rPr>
        <w:t>自然灾害资金</w:t>
      </w:r>
      <w:r>
        <w:rPr>
          <w:rFonts w:hint="eastAsia" w:ascii="仿宋_GB2312" w:hAnsi="仿宋_GB2312" w:eastAsia="仿宋_GB2312" w:cs="仿宋_GB2312"/>
          <w:color w:val="auto"/>
          <w:sz w:val="32"/>
          <w:szCs w:val="32"/>
        </w:rPr>
        <w:t>项目20</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年绩效评价报告》见附件。</w:t>
      </w:r>
    </w:p>
    <w:p>
      <w:pPr>
        <w:pStyle w:val="2"/>
        <w:rPr>
          <w:rFonts w:hint="eastAsia"/>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175"/>
        <w:gridCol w:w="1025"/>
        <w:gridCol w:w="2535"/>
        <w:gridCol w:w="2251"/>
        <w:gridCol w:w="2392"/>
      </w:tblGrid>
      <w:tr>
        <w:tblPrEx>
          <w:tblCellMar>
            <w:top w:w="0" w:type="dxa"/>
            <w:left w:w="0" w:type="dxa"/>
            <w:bottom w:w="0" w:type="dxa"/>
            <w:right w:w="0" w:type="dxa"/>
          </w:tblCellMar>
        </w:tblPrEx>
        <w:trPr>
          <w:trHeight w:val="1034" w:hRule="atLeast"/>
          <w:jc w:val="center"/>
        </w:trPr>
        <w:tc>
          <w:tcPr>
            <w:tcW w:w="9960" w:type="dxa"/>
            <w:gridSpan w:val="6"/>
            <w:tcMar>
              <w:top w:w="15" w:type="dxa"/>
              <w:left w:w="15" w:type="dxa"/>
              <w:bottom w:w="0" w:type="dxa"/>
              <w:right w:w="15" w:type="dxa"/>
            </w:tcMar>
            <w:vAlign w:val="center"/>
          </w:tcPr>
          <w:p>
            <w:pPr>
              <w:spacing w:line="580" w:lineRule="exact"/>
              <w:ind w:firstLine="640" w:firstLineChars="200"/>
              <w:rPr>
                <w:rFonts w:hint="eastAsia" w:ascii="仿宋_GB2312" w:hAnsi="仿宋_GB2312" w:eastAsia="仿宋_GB2312" w:cs="仿宋_GB2312"/>
                <w:color w:val="auto"/>
                <w:sz w:val="32"/>
                <w:szCs w:val="32"/>
                <w:lang w:eastAsia="zh-CN"/>
              </w:rPr>
            </w:pPr>
          </w:p>
          <w:p>
            <w:pPr>
              <w:pStyle w:val="24"/>
              <w:widowControl/>
              <w:ind w:left="0" w:leftChars="0" w:firstLine="1800" w:firstLineChars="500"/>
              <w:textAlignment w:val="center"/>
              <w:rPr>
                <w:rFonts w:hint="eastAsia" w:ascii="黑体" w:hAnsi="黑体" w:eastAsia="黑体" w:cs="宋体"/>
                <w:bCs/>
                <w:color w:val="auto"/>
                <w:kern w:val="0"/>
                <w:sz w:val="36"/>
                <w:szCs w:val="36"/>
                <w:lang w:bidi="ar"/>
              </w:rPr>
            </w:pPr>
          </w:p>
          <w:p>
            <w:pPr>
              <w:pStyle w:val="24"/>
              <w:widowControl/>
              <w:ind w:left="0" w:leftChars="0" w:firstLine="1800" w:firstLineChars="500"/>
              <w:textAlignment w:val="center"/>
              <w:rPr>
                <w:rFonts w:hint="eastAsia" w:ascii="黑体" w:hAnsi="黑体" w:eastAsia="黑体" w:cs="宋体"/>
                <w:bCs/>
                <w:color w:val="auto"/>
                <w:kern w:val="0"/>
                <w:sz w:val="36"/>
                <w:szCs w:val="36"/>
                <w:lang w:bidi="ar"/>
              </w:rPr>
            </w:pPr>
          </w:p>
          <w:p>
            <w:pPr>
              <w:pStyle w:val="24"/>
              <w:widowControl/>
              <w:ind w:left="0" w:leftChars="0" w:firstLine="1800" w:firstLineChars="500"/>
              <w:textAlignment w:val="center"/>
              <w:rPr>
                <w:rFonts w:hint="eastAsia" w:ascii="黑体" w:hAnsi="黑体" w:eastAsia="黑体" w:cs="宋体"/>
                <w:bCs/>
                <w:color w:val="auto"/>
                <w:kern w:val="0"/>
                <w:sz w:val="36"/>
                <w:szCs w:val="36"/>
                <w:lang w:bidi="ar"/>
              </w:rPr>
            </w:pPr>
          </w:p>
          <w:p>
            <w:pPr>
              <w:pStyle w:val="24"/>
              <w:widowControl/>
              <w:ind w:left="0" w:leftChars="0" w:firstLine="0" w:firstLineChars="0"/>
              <w:jc w:val="center"/>
              <w:textAlignment w:val="center"/>
              <w:rPr>
                <w:rFonts w:ascii="宋体" w:hAnsi="宋体" w:cs="宋体"/>
                <w:color w:val="auto"/>
                <w:sz w:val="36"/>
                <w:szCs w:val="36"/>
              </w:rPr>
            </w:pPr>
            <w:r>
              <w:rPr>
                <w:rFonts w:hint="eastAsia" w:ascii="黑体" w:hAnsi="黑体" w:eastAsia="黑体" w:cs="宋体"/>
                <w:bCs/>
                <w:color w:val="auto"/>
                <w:kern w:val="0"/>
                <w:sz w:val="36"/>
                <w:szCs w:val="36"/>
                <w:lang w:bidi="ar"/>
              </w:rPr>
              <w:t>项目支出绩效目标完成情况表</w:t>
            </w:r>
            <w:r>
              <w:rPr>
                <w:rFonts w:hint="eastAsia" w:ascii="宋体" w:hAnsi="宋体" w:cs="宋体"/>
                <w:b/>
                <w:bCs/>
                <w:color w:val="auto"/>
                <w:kern w:val="0"/>
                <w:sz w:val="36"/>
                <w:szCs w:val="36"/>
                <w:lang w:bidi="ar"/>
              </w:rPr>
              <w:br w:type="textWrapping"/>
            </w:r>
            <w:r>
              <w:rPr>
                <w:rFonts w:hint="eastAsia" w:ascii="楷体_GB2312" w:hAnsi="楷体_GB2312" w:eastAsia="楷体_GB2312" w:cs="楷体_GB2312"/>
                <w:color w:val="auto"/>
                <w:kern w:val="0"/>
                <w:sz w:val="32"/>
                <w:szCs w:val="32"/>
                <w:lang w:bidi="ar"/>
              </w:rPr>
              <w:t>(20</w:t>
            </w:r>
            <w:r>
              <w:rPr>
                <w:rFonts w:hint="eastAsia" w:ascii="楷体_GB2312" w:hAnsi="楷体_GB2312" w:eastAsia="楷体_GB2312" w:cs="楷体_GB2312"/>
                <w:color w:val="auto"/>
                <w:kern w:val="0"/>
                <w:sz w:val="32"/>
                <w:szCs w:val="32"/>
                <w:lang w:val="en-US" w:eastAsia="zh-CN" w:bidi="ar"/>
              </w:rPr>
              <w:t>22</w:t>
            </w:r>
            <w:r>
              <w:rPr>
                <w:rFonts w:hint="eastAsia" w:ascii="楷体_GB2312" w:hAnsi="楷体_GB2312" w:eastAsia="楷体_GB2312" w:cs="楷体_GB2312"/>
                <w:color w:val="auto"/>
                <w:kern w:val="0"/>
                <w:sz w:val="32"/>
                <w:szCs w:val="32"/>
                <w:lang w:bidi="ar"/>
              </w:rPr>
              <w:t>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463"/>
              </w:tabs>
              <w:jc w:val="left"/>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ab/>
            </w:r>
            <w:r>
              <w:rPr>
                <w:rFonts w:hint="eastAsia" w:ascii="宋体" w:hAnsi="宋体" w:cs="宋体"/>
                <w:color w:val="auto"/>
                <w:sz w:val="24"/>
                <w:lang w:val="en-US" w:eastAsia="zh-CN"/>
              </w:rPr>
              <w:t>森林草原防灾减灾经费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剑阁县应急管理局</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r>
      <w:tr>
        <w:tblPrEx>
          <w:tblCellMar>
            <w:top w:w="0" w:type="dxa"/>
            <w:left w:w="0" w:type="dxa"/>
            <w:bottom w:w="0" w:type="dxa"/>
            <w:right w:w="0" w:type="dxa"/>
          </w:tblCellMar>
        </w:tblPrEx>
        <w:trPr>
          <w:trHeight w:val="94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98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保障了</w:t>
            </w:r>
            <w:r>
              <w:rPr>
                <w:rFonts w:hint="eastAsia" w:ascii="宋体" w:hAnsi="宋体" w:cs="宋体"/>
                <w:color w:val="auto"/>
                <w:kern w:val="0"/>
                <w:sz w:val="24"/>
                <w:lang w:eastAsia="zh-CN" w:bidi="ar"/>
              </w:rPr>
              <w:t>森林防火指挥部正常运转</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已完成</w:t>
            </w:r>
          </w:p>
        </w:tc>
      </w:tr>
      <w:tr>
        <w:tblPrEx>
          <w:tblCellMar>
            <w:top w:w="0" w:type="dxa"/>
            <w:left w:w="0" w:type="dxa"/>
            <w:bottom w:w="0" w:type="dxa"/>
            <w:right w:w="0" w:type="dxa"/>
          </w:tblCellMar>
        </w:tblPrEx>
        <w:trPr>
          <w:trHeight w:val="6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保障1个</w:t>
            </w:r>
            <w:r>
              <w:rPr>
                <w:rFonts w:hint="eastAsia" w:ascii="宋体" w:hAnsi="宋体" w:cs="宋体"/>
                <w:color w:val="auto"/>
                <w:sz w:val="24"/>
                <w:lang w:eastAsia="zh-CN"/>
              </w:rPr>
              <w:t>森林防火指挥部办公室正常运转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1个</w:t>
            </w:r>
          </w:p>
        </w:tc>
      </w:tr>
      <w:tr>
        <w:tblPrEx>
          <w:tblCellMar>
            <w:top w:w="0" w:type="dxa"/>
            <w:left w:w="0" w:type="dxa"/>
            <w:bottom w:w="0" w:type="dxa"/>
            <w:right w:w="0" w:type="dxa"/>
          </w:tblCellMar>
        </w:tblPrEx>
        <w:trPr>
          <w:trHeight w:val="61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森林防火演练一次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1次</w:t>
            </w:r>
          </w:p>
        </w:tc>
      </w:tr>
      <w:tr>
        <w:tblPrEx>
          <w:tblCellMar>
            <w:top w:w="0" w:type="dxa"/>
            <w:left w:w="0" w:type="dxa"/>
            <w:bottom w:w="0" w:type="dxa"/>
            <w:right w:w="0" w:type="dxa"/>
          </w:tblCellMar>
        </w:tblPrEx>
        <w:trPr>
          <w:trHeight w:val="47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48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82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完成时间</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tc>
      </w:tr>
      <w:tr>
        <w:tblPrEx>
          <w:tblCellMar>
            <w:top w:w="0" w:type="dxa"/>
            <w:left w:w="0" w:type="dxa"/>
            <w:bottom w:w="0" w:type="dxa"/>
            <w:right w:w="0" w:type="dxa"/>
          </w:tblCellMar>
        </w:tblPrEx>
        <w:trPr>
          <w:trHeight w:val="40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4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eastAsia="zh-CN" w:bidi="ar"/>
              </w:rPr>
              <w:t>社会</w:t>
            </w:r>
            <w:r>
              <w:rPr>
                <w:rFonts w:hint="eastAsia" w:ascii="宋体" w:hAnsi="宋体" w:cs="宋体"/>
                <w:color w:val="auto"/>
                <w:kern w:val="0"/>
                <w:sz w:val="24"/>
                <w:lang w:bidi="ar"/>
              </w:rPr>
              <w:t>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确保不发生森林火灾，维护森林资源，保护人民群众生命财产安全</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确保不发生森林火灾，维护森林资源，保护人民群众生命财产安全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Arial" w:hAnsi="Arial" w:cs="Arial"/>
                <w:color w:val="auto"/>
                <w:sz w:val="24"/>
                <w:lang w:val="en-US" w:eastAsia="zh-CN"/>
              </w:rPr>
              <w:t>90</w:t>
            </w:r>
          </w:p>
        </w:tc>
      </w:tr>
      <w:tr>
        <w:tblPrEx>
          <w:tblCellMar>
            <w:top w:w="0" w:type="dxa"/>
            <w:left w:w="0" w:type="dxa"/>
            <w:bottom w:w="0" w:type="dxa"/>
            <w:right w:w="0" w:type="dxa"/>
          </w:tblCellMar>
        </w:tblPrEx>
        <w:trPr>
          <w:trHeight w:val="41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45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服务对象满意度指标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受灾群众满意度</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nil"/>
              <w:bottom w:val="single" w:color="000000" w:sz="4" w:space="0"/>
              <w:right w:val="nil"/>
            </w:tcBorders>
            <w:tcMar>
              <w:top w:w="15" w:type="dxa"/>
              <w:left w:w="15" w:type="dxa"/>
              <w:bottom w:w="0" w:type="dxa"/>
              <w:right w:w="15" w:type="dxa"/>
            </w:tcMar>
            <w:vAlign w:val="center"/>
          </w:tcPr>
          <w:p>
            <w:pPr>
              <w:widowControl/>
              <w:jc w:val="both"/>
              <w:textAlignment w:val="center"/>
              <w:rPr>
                <w:rFonts w:hint="eastAsia"/>
              </w:rPr>
            </w:pPr>
          </w:p>
          <w:p>
            <w:pPr>
              <w:pStyle w:val="7"/>
              <w:rPr>
                <w:rFonts w:hint="eastAsia"/>
              </w:rPr>
            </w:pPr>
          </w:p>
        </w:tc>
        <w:tc>
          <w:tcPr>
            <w:tcW w:w="7178" w:type="dxa"/>
            <w:gridSpan w:val="3"/>
            <w:tcBorders>
              <w:top w:val="single" w:color="000000" w:sz="4" w:space="0"/>
              <w:left w:val="nil"/>
              <w:bottom w:val="single" w:color="000000" w:sz="4" w:space="0"/>
              <w:right w:val="nil"/>
            </w:tcBorders>
            <w:tcMar>
              <w:top w:w="15" w:type="dxa"/>
              <w:left w:w="15" w:type="dxa"/>
              <w:bottom w:w="0" w:type="dxa"/>
              <w:right w:w="15" w:type="dxa"/>
            </w:tcMar>
            <w:vAlign w:val="center"/>
          </w:tcPr>
          <w:p>
            <w:pPr>
              <w:widowControl/>
              <w:tabs>
                <w:tab w:val="left" w:pos="463"/>
              </w:tabs>
              <w:jc w:val="left"/>
              <w:textAlignment w:val="center"/>
              <w:rPr>
                <w:rFonts w:hint="eastAsia"/>
                <w:lang w:eastAsia="zh-CN"/>
              </w:rPr>
            </w:pPr>
          </w:p>
          <w:p>
            <w:pPr>
              <w:pStyle w:val="7"/>
              <w:spacing w:line="240" w:lineRule="auto"/>
              <w:rPr>
                <w:rFonts w:hint="eastAsia" w:ascii="宋体" w:hAnsi="宋体" w:cs="宋体"/>
                <w:color w:val="auto"/>
                <w:sz w:val="24"/>
                <w:lang w:eastAsia="zh-CN"/>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463"/>
              </w:tabs>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其他地震事务资金项目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剑阁县应急管理局</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w:t>
            </w:r>
            <w:r>
              <w:rPr>
                <w:rFonts w:hint="eastAsia" w:ascii="宋体" w:hAnsi="宋体" w:cs="宋体"/>
                <w:color w:val="auto"/>
                <w:kern w:val="0"/>
                <w:sz w:val="24"/>
                <w:lang w:bidi="ar"/>
              </w:rPr>
              <w:t>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w:t>
            </w:r>
            <w:r>
              <w:rPr>
                <w:rFonts w:hint="eastAsia" w:ascii="宋体" w:hAnsi="宋体" w:cs="宋体"/>
                <w:color w:val="auto"/>
                <w:kern w:val="0"/>
                <w:sz w:val="24"/>
                <w:lang w:bidi="ar"/>
              </w:rPr>
              <w:t>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3.24万元</w:t>
            </w:r>
          </w:p>
        </w:tc>
      </w:tr>
      <w:tr>
        <w:tblPrEx>
          <w:tblCellMar>
            <w:top w:w="0" w:type="dxa"/>
            <w:left w:w="0" w:type="dxa"/>
            <w:bottom w:w="0" w:type="dxa"/>
            <w:right w:w="0" w:type="dxa"/>
          </w:tblCellMar>
        </w:tblPrEx>
        <w:trPr>
          <w:trHeight w:val="103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0</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7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推动防震减灾工作顺利进行，保障地震监测站正常运转</w:t>
            </w:r>
            <w:r>
              <w:rPr>
                <w:rFonts w:hint="eastAsia" w:ascii="宋体" w:hAnsi="宋体" w:cs="宋体"/>
                <w:color w:val="auto"/>
                <w:kern w:val="0"/>
                <w:sz w:val="24"/>
                <w:lang w:val="en-US" w:eastAsia="zh-CN" w:bidi="ar"/>
              </w:rPr>
              <w:t>.</w:t>
            </w:r>
          </w:p>
          <w:p>
            <w:pPr>
              <w:widowControl/>
              <w:jc w:val="center"/>
              <w:textAlignment w:val="center"/>
              <w:rPr>
                <w:rFonts w:hint="eastAsia" w:ascii="宋体" w:hAnsi="宋体" w:cs="宋体"/>
                <w:color w:val="auto"/>
                <w:kern w:val="0"/>
                <w:sz w:val="24"/>
                <w:lang w:bidi="ar"/>
              </w:rPr>
            </w:pP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推动防震减灾工作顺利进行，保障地震监测站正常运转</w:t>
            </w:r>
            <w:r>
              <w:rPr>
                <w:rFonts w:hint="eastAsia" w:ascii="宋体" w:hAnsi="宋体" w:cs="宋体"/>
                <w:color w:val="auto"/>
                <w:kern w:val="0"/>
                <w:sz w:val="24"/>
                <w:lang w:val="en-US" w:eastAsia="zh-CN" w:bidi="ar"/>
              </w:rPr>
              <w:t>.</w:t>
            </w:r>
          </w:p>
          <w:p>
            <w:pPr>
              <w:widowControl/>
              <w:jc w:val="center"/>
              <w:textAlignment w:val="center"/>
              <w:rPr>
                <w:rFonts w:hint="eastAsia" w:ascii="宋体" w:hAnsi="宋体" w:cs="宋体"/>
                <w:color w:val="auto"/>
                <w:kern w:val="0"/>
                <w:sz w:val="24"/>
                <w:lang w:bidi="ar"/>
              </w:rPr>
            </w:pPr>
          </w:p>
        </w:tc>
      </w:tr>
      <w:tr>
        <w:tblPrEx>
          <w:tblCellMar>
            <w:top w:w="0" w:type="dxa"/>
            <w:left w:w="0" w:type="dxa"/>
            <w:bottom w:w="0" w:type="dxa"/>
            <w:right w:w="0" w:type="dxa"/>
          </w:tblCellMar>
        </w:tblPrEx>
        <w:trPr>
          <w:trHeight w:val="897"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eastAsia="zh-CN" w:bidi="ar"/>
              </w:rPr>
              <w:t>保障地震预测平台正常运转练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default" w:ascii="Arial" w:hAnsi="Arial" w:cs="Arial"/>
                <w:color w:val="auto"/>
                <w:sz w:val="24"/>
                <w:lang w:eastAsia="zh-CN"/>
              </w:rPr>
              <w:t>≥</w:t>
            </w:r>
            <w:r>
              <w:rPr>
                <w:rFonts w:hint="eastAsia" w:ascii="Arial" w:hAnsi="Arial" w:cs="Arial"/>
                <w:color w:val="auto"/>
                <w:sz w:val="24"/>
                <w:lang w:val="en-US" w:eastAsia="zh-CN"/>
              </w:rPr>
              <w:t>4</w:t>
            </w:r>
          </w:p>
        </w:tc>
      </w:tr>
      <w:tr>
        <w:tblPrEx>
          <w:tblCellMar>
            <w:top w:w="0" w:type="dxa"/>
            <w:left w:w="0" w:type="dxa"/>
            <w:bottom w:w="0" w:type="dxa"/>
            <w:right w:w="0" w:type="dxa"/>
          </w:tblCellMar>
        </w:tblPrEx>
        <w:trPr>
          <w:trHeight w:val="58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eastAsia="zh-CN"/>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5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6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7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2022年12月30日</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tc>
      </w:tr>
      <w:tr>
        <w:tblPrEx>
          <w:tblCellMar>
            <w:top w:w="0" w:type="dxa"/>
            <w:left w:w="0" w:type="dxa"/>
            <w:bottom w:w="0" w:type="dxa"/>
            <w:right w:w="0" w:type="dxa"/>
          </w:tblCellMar>
        </w:tblPrEx>
        <w:trPr>
          <w:trHeight w:val="53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7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eastAsia="zh-CN" w:bidi="ar"/>
              </w:rPr>
              <w:t>社会</w:t>
            </w:r>
            <w:r>
              <w:rPr>
                <w:rFonts w:hint="eastAsia" w:ascii="宋体" w:hAnsi="宋体" w:cs="宋体"/>
                <w:color w:val="auto"/>
                <w:kern w:val="0"/>
                <w:sz w:val="24"/>
                <w:lang w:bidi="ar"/>
              </w:rPr>
              <w:t>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保障了全县安全形势稳定，提升了防震减灾能力。</w:t>
            </w:r>
          </w:p>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达到</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57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8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服务对象满意度指标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群众满意度</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bl>
    <w:p>
      <w:pPr>
        <w:spacing w:line="580" w:lineRule="exact"/>
        <w:jc w:val="center"/>
        <w:rPr>
          <w:rFonts w:ascii="方正小标宋简体" w:hAnsi="方正小标宋简体" w:eastAsia="方正小标宋简体" w:cs="方正小标宋简体"/>
          <w:color w:val="auto"/>
          <w:sz w:val="44"/>
          <w:szCs w:val="44"/>
        </w:rPr>
      </w:pPr>
    </w:p>
    <w:p>
      <w:pPr>
        <w:spacing w:line="600" w:lineRule="exact"/>
        <w:ind w:firstLine="803" w:firstLineChars="250"/>
        <w:outlineLvl w:val="1"/>
        <w:rPr>
          <w:rStyle w:val="26"/>
          <w:rFonts w:ascii="黑体" w:hAnsi="黑体" w:eastAsia="黑体"/>
          <w:b/>
          <w:bCs/>
          <w:color w:val="auto"/>
        </w:rPr>
      </w:pPr>
      <w:bookmarkStart w:id="47" w:name="_Toc15377221"/>
      <w:bookmarkStart w:id="48" w:name="_Toc8589"/>
      <w:r>
        <w:rPr>
          <w:rFonts w:hint="eastAsia" w:ascii="黑体" w:hAnsi="黑体" w:eastAsia="黑体"/>
          <w:b/>
          <w:bCs/>
          <w:color w:val="auto"/>
          <w:sz w:val="32"/>
          <w:szCs w:val="32"/>
        </w:rPr>
        <w:t>十</w:t>
      </w:r>
      <w:r>
        <w:rPr>
          <w:rStyle w:val="26"/>
          <w:rFonts w:hint="eastAsia" w:ascii="黑体" w:hAnsi="黑体" w:eastAsia="黑体"/>
          <w:b/>
          <w:bCs/>
          <w:color w:val="auto"/>
        </w:rPr>
        <w:t>一、其他重要事项的情况说明</w:t>
      </w:r>
      <w:bookmarkEnd w:id="47"/>
      <w:bookmarkEnd w:id="48"/>
    </w:p>
    <w:p>
      <w:pPr>
        <w:spacing w:line="600" w:lineRule="exact"/>
        <w:ind w:firstLine="643" w:firstLineChars="200"/>
        <w:outlineLvl w:val="2"/>
        <w:rPr>
          <w:rFonts w:hint="eastAsia" w:ascii="楷体_GB2312" w:hAnsi="楷体_GB2312" w:eastAsia="楷体_GB2312" w:cs="楷体_GB2312"/>
          <w:b/>
          <w:bCs w:val="0"/>
          <w:color w:val="auto"/>
          <w:sz w:val="32"/>
          <w:szCs w:val="32"/>
        </w:rPr>
      </w:pPr>
      <w:bookmarkStart w:id="49" w:name="_Toc15377222"/>
      <w:r>
        <w:rPr>
          <w:rFonts w:hint="eastAsia" w:ascii="楷体_GB2312" w:hAnsi="楷体_GB2312" w:eastAsia="楷体_GB2312" w:cs="楷体_GB2312"/>
          <w:b/>
          <w:bCs w:val="0"/>
          <w:color w:val="auto"/>
          <w:sz w:val="32"/>
          <w:szCs w:val="32"/>
        </w:rPr>
        <w:t>（一）机关运行经费支出情况</w:t>
      </w:r>
      <w:bookmarkEnd w:id="49"/>
    </w:p>
    <w:p>
      <w:pPr>
        <w:spacing w:line="600" w:lineRule="exact"/>
        <w:ind w:firstLine="640" w:firstLineChars="200"/>
        <w:rPr>
          <w:rFonts w:ascii="仿宋_GB2312" w:eastAsia="仿宋_GB2312"/>
          <w:color w:val="000000"/>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hint="eastAsia" w:ascii="仿宋_GB2312" w:eastAsia="仿宋_GB2312" w:cs="仿宋_GB2312"/>
          <w:color w:val="000000"/>
          <w:sz w:val="32"/>
          <w:szCs w:val="32"/>
          <w:lang w:eastAsia="zh-CN"/>
        </w:rPr>
        <w:t>应急管理局</w:t>
      </w:r>
      <w:r>
        <w:rPr>
          <w:rFonts w:hint="eastAsia" w:ascii="仿宋_GB2312" w:eastAsia="仿宋_GB2312" w:cs="仿宋_GB2312"/>
          <w:color w:val="000000"/>
          <w:sz w:val="32"/>
          <w:szCs w:val="32"/>
        </w:rPr>
        <w:t>机关运行经费支出</w:t>
      </w:r>
      <w:r>
        <w:rPr>
          <w:rFonts w:hint="eastAsia" w:ascii="仿宋_GB2312" w:eastAsia="仿宋_GB2312" w:cs="仿宋_GB2312"/>
          <w:color w:val="000000"/>
          <w:sz w:val="32"/>
          <w:szCs w:val="32"/>
          <w:lang w:val="en-US" w:eastAsia="zh-CN"/>
        </w:rPr>
        <w:t>22.75</w:t>
      </w:r>
      <w:r>
        <w:rPr>
          <w:rFonts w:hint="eastAsia" w:ascii="仿宋_GB2312" w:eastAsia="仿宋_GB2312" w:cs="仿宋_GB2312"/>
          <w:color w:val="000000"/>
          <w:sz w:val="32"/>
          <w:szCs w:val="32"/>
        </w:rPr>
        <w:t>万元，比</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21</w:t>
      </w:r>
      <w:r>
        <w:rPr>
          <w:rFonts w:hint="eastAsia" w:ascii="仿宋_GB2312" w:eastAsia="仿宋_GB2312" w:cs="仿宋_GB2312"/>
          <w:color w:val="000000"/>
          <w:sz w:val="32"/>
          <w:szCs w:val="32"/>
        </w:rPr>
        <w:t>年</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52.4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34</w:t>
      </w:r>
      <w:r>
        <w:rPr>
          <w:rFonts w:ascii="仿宋_GB2312" w:eastAsia="仿宋_GB2312" w:cs="仿宋_GB2312"/>
          <w:color w:val="000000"/>
          <w:sz w:val="32"/>
          <w:szCs w:val="32"/>
        </w:rPr>
        <w:t>%</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主要原因</w:t>
      </w:r>
      <w:r>
        <w:rPr>
          <w:rFonts w:hint="eastAsia" w:ascii="仿宋_GB2312" w:eastAsia="仿宋_GB2312" w:cs="仿宋_GB2312"/>
          <w:color w:val="000000"/>
          <w:sz w:val="32"/>
          <w:szCs w:val="32"/>
          <w:lang w:eastAsia="zh-CN"/>
        </w:rPr>
        <w:t>年末结转结余资金增加</w:t>
      </w:r>
    </w:p>
    <w:p>
      <w:pPr>
        <w:spacing w:line="600" w:lineRule="exact"/>
        <w:outlineLvl w:val="2"/>
        <w:rPr>
          <w:rFonts w:hint="eastAsia" w:ascii="楷体_GB2312" w:hAnsi="楷体_GB2312" w:eastAsia="楷体_GB2312" w:cs="楷体_GB2312"/>
          <w:b/>
          <w:bCs w:val="0"/>
          <w:color w:val="auto"/>
          <w:sz w:val="32"/>
          <w:szCs w:val="32"/>
        </w:rPr>
      </w:pPr>
      <w:bookmarkStart w:id="50" w:name="_Toc15377223"/>
      <w:r>
        <w:rPr>
          <w:rFonts w:hint="eastAsia" w:ascii="楷体_GB2312" w:hAnsi="楷体_GB2312" w:eastAsia="楷体_GB2312" w:cs="楷体_GB2312"/>
          <w:b/>
          <w:bCs w:val="0"/>
          <w:color w:val="auto"/>
          <w:sz w:val="32"/>
          <w:szCs w:val="32"/>
          <w:lang w:val="en-US" w:eastAsia="zh-CN"/>
        </w:rPr>
        <w:t xml:space="preserve">    </w:t>
      </w:r>
      <w:r>
        <w:rPr>
          <w:rFonts w:hint="eastAsia" w:ascii="楷体_GB2312" w:hAnsi="楷体_GB2312" w:eastAsia="楷体_GB2312" w:cs="楷体_GB2312"/>
          <w:b/>
          <w:bCs w:val="0"/>
          <w:color w:val="auto"/>
          <w:sz w:val="32"/>
          <w:szCs w:val="32"/>
        </w:rPr>
        <w:t>（二）政府采购支出情况</w:t>
      </w:r>
      <w:bookmarkEnd w:id="50"/>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hint="eastAsia" w:ascii="仿宋_GB2312" w:eastAsia="仿宋_GB2312"/>
          <w:color w:val="auto"/>
          <w:sz w:val="32"/>
          <w:szCs w:val="32"/>
          <w:lang w:eastAsia="zh-CN"/>
        </w:rPr>
        <w:t>应急管理局无</w:t>
      </w:r>
      <w:r>
        <w:rPr>
          <w:rFonts w:hint="eastAsia" w:ascii="仿宋_GB2312" w:eastAsia="仿宋_GB2312"/>
          <w:color w:val="auto"/>
          <w:sz w:val="32"/>
          <w:szCs w:val="32"/>
        </w:rPr>
        <w:t>政府采购支出</w:t>
      </w:r>
      <w:r>
        <w:rPr>
          <w:rFonts w:hint="eastAsia" w:ascii="仿宋_GB2312" w:eastAsia="仿宋_GB2312"/>
          <w:color w:val="auto"/>
          <w:sz w:val="32"/>
          <w:szCs w:val="32"/>
          <w:lang w:eastAsia="zh-CN"/>
        </w:rPr>
        <w:t>。</w:t>
      </w:r>
    </w:p>
    <w:p>
      <w:pPr>
        <w:spacing w:line="600" w:lineRule="exact"/>
        <w:ind w:firstLine="643" w:firstLineChars="200"/>
        <w:outlineLvl w:val="2"/>
        <w:rPr>
          <w:rFonts w:hint="eastAsia" w:ascii="楷体_GB2312" w:hAnsi="楷体_GB2312" w:eastAsia="楷体_GB2312" w:cs="楷体_GB2312"/>
          <w:b/>
          <w:bCs w:val="0"/>
          <w:color w:val="auto"/>
          <w:sz w:val="32"/>
          <w:szCs w:val="32"/>
        </w:rPr>
      </w:pPr>
      <w:bookmarkStart w:id="51" w:name="_Toc15377224"/>
      <w:r>
        <w:rPr>
          <w:rFonts w:hint="eastAsia" w:ascii="楷体_GB2312" w:hAnsi="楷体_GB2312" w:eastAsia="楷体_GB2312" w:cs="楷体_GB2312"/>
          <w:b/>
          <w:bCs w:val="0"/>
          <w:color w:val="auto"/>
          <w:sz w:val="32"/>
          <w:szCs w:val="32"/>
        </w:rPr>
        <w:t>（三）国有资产占有使用情况</w:t>
      </w:r>
      <w:bookmarkEnd w:id="51"/>
    </w:p>
    <w:p>
      <w:pPr>
        <w:autoSpaceDE w:val="0"/>
        <w:autoSpaceDN w:val="0"/>
        <w:adjustRightInd w:val="0"/>
        <w:spacing w:line="600" w:lineRule="exact"/>
        <w:ind w:firstLine="640" w:firstLineChars="200"/>
        <w:jc w:val="left"/>
        <w:rPr>
          <w:rFonts w:ascii="仿宋_GB2312" w:eastAsia="仿宋_GB2312"/>
          <w:color w:val="auto"/>
          <w:sz w:val="32"/>
          <w:szCs w:val="32"/>
        </w:rPr>
      </w:pPr>
      <w:r>
        <w:rPr>
          <w:rFonts w:hint="eastAsia" w:ascii="仿宋_GB2312" w:eastAsia="仿宋_GB2312"/>
          <w:color w:val="auto"/>
          <w:sz w:val="32"/>
          <w:szCs w:val="32"/>
        </w:rPr>
        <w:t>截至</w:t>
      </w:r>
      <w:r>
        <w:rPr>
          <w:rFonts w:ascii="仿宋_GB2312" w:eastAsia="仿宋_GB2312"/>
          <w:color w:val="auto"/>
          <w:sz w:val="32"/>
          <w:szCs w:val="32"/>
        </w:rPr>
        <w:t>20</w:t>
      </w: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年</w:t>
      </w:r>
      <w:r>
        <w:rPr>
          <w:rFonts w:ascii="仿宋_GB2312" w:eastAsia="仿宋_GB2312"/>
          <w:color w:val="auto"/>
          <w:sz w:val="32"/>
          <w:szCs w:val="32"/>
        </w:rPr>
        <w:t>12</w:t>
      </w:r>
      <w:r>
        <w:rPr>
          <w:rFonts w:hint="eastAsia" w:ascii="仿宋_GB2312" w:eastAsia="仿宋_GB2312"/>
          <w:color w:val="auto"/>
          <w:sz w:val="32"/>
          <w:szCs w:val="32"/>
        </w:rPr>
        <w:t>月</w:t>
      </w:r>
      <w:r>
        <w:rPr>
          <w:rFonts w:ascii="仿宋_GB2312" w:eastAsia="仿宋_GB2312"/>
          <w:color w:val="auto"/>
          <w:sz w:val="32"/>
          <w:szCs w:val="32"/>
        </w:rPr>
        <w:t>31</w:t>
      </w:r>
      <w:r>
        <w:rPr>
          <w:rFonts w:hint="eastAsia" w:ascii="仿宋_GB2312" w:eastAsia="仿宋_GB2312"/>
          <w:color w:val="auto"/>
          <w:sz w:val="32"/>
          <w:szCs w:val="32"/>
        </w:rPr>
        <w:t>日，</w:t>
      </w:r>
      <w:r>
        <w:rPr>
          <w:rFonts w:hint="eastAsia" w:ascii="仿宋_GB2312" w:eastAsia="仿宋_GB2312"/>
          <w:color w:val="auto"/>
          <w:sz w:val="32"/>
          <w:szCs w:val="32"/>
          <w:lang w:eastAsia="zh-CN"/>
        </w:rPr>
        <w:t>我局</w:t>
      </w:r>
      <w:r>
        <w:rPr>
          <w:rFonts w:hint="eastAsia" w:ascii="仿宋_GB2312" w:eastAsia="仿宋_GB2312"/>
          <w:color w:val="auto"/>
          <w:sz w:val="32"/>
          <w:szCs w:val="32"/>
        </w:rPr>
        <w:t>共有车辆</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辆，其中：部级领导干部用车</w:t>
      </w:r>
      <w:r>
        <w:rPr>
          <w:rFonts w:hint="eastAsia" w:ascii="仿宋_GB2312" w:eastAsia="仿宋_GB2312"/>
          <w:color w:val="auto"/>
          <w:sz w:val="32"/>
          <w:szCs w:val="32"/>
          <w:lang w:eastAsia="zh-CN"/>
        </w:rPr>
        <w:t>无</w:t>
      </w:r>
      <w:r>
        <w:rPr>
          <w:rFonts w:hint="eastAsia" w:ascii="仿宋_GB2312" w:eastAsia="仿宋_GB2312"/>
          <w:color w:val="auto"/>
          <w:sz w:val="32"/>
          <w:szCs w:val="32"/>
        </w:rPr>
        <w:t>、一般公务用车</w:t>
      </w:r>
      <w:r>
        <w:rPr>
          <w:rFonts w:hint="eastAsia" w:ascii="仿宋_GB2312" w:eastAsia="仿宋_GB2312"/>
          <w:color w:val="auto"/>
          <w:sz w:val="32"/>
          <w:szCs w:val="32"/>
          <w:lang w:eastAsia="zh-CN"/>
        </w:rPr>
        <w:t>无</w:t>
      </w:r>
      <w:r>
        <w:rPr>
          <w:rFonts w:hint="eastAsia" w:ascii="仿宋_GB2312" w:eastAsia="仿宋_GB2312"/>
          <w:color w:val="auto"/>
          <w:sz w:val="32"/>
          <w:szCs w:val="32"/>
        </w:rPr>
        <w:t>、一般执法执勤用车</w:t>
      </w:r>
      <w:r>
        <w:rPr>
          <w:rFonts w:hint="eastAsia" w:ascii="仿宋_GB2312" w:eastAsia="仿宋_GB2312"/>
          <w:color w:val="auto"/>
          <w:sz w:val="32"/>
          <w:szCs w:val="32"/>
          <w:lang w:eastAsia="zh-CN"/>
        </w:rPr>
        <w:t>无</w:t>
      </w:r>
      <w:r>
        <w:rPr>
          <w:rFonts w:hint="eastAsia" w:ascii="仿宋_GB2312" w:eastAsia="仿宋_GB2312"/>
          <w:color w:val="auto"/>
          <w:sz w:val="32"/>
          <w:szCs w:val="32"/>
        </w:rPr>
        <w:t>、特种专业技术用车</w:t>
      </w:r>
      <w:r>
        <w:rPr>
          <w:rFonts w:hint="eastAsia" w:ascii="仿宋_GB2312" w:eastAsia="仿宋_GB2312"/>
          <w:color w:val="auto"/>
          <w:sz w:val="32"/>
          <w:szCs w:val="32"/>
          <w:lang w:eastAsia="zh-CN"/>
        </w:rPr>
        <w:t>无</w:t>
      </w:r>
      <w:r>
        <w:rPr>
          <w:rFonts w:hint="eastAsia" w:ascii="仿宋_GB2312" w:eastAsia="仿宋_GB2312"/>
          <w:color w:val="auto"/>
          <w:sz w:val="32"/>
          <w:szCs w:val="32"/>
        </w:rPr>
        <w:t>、其他用车</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辆，其他用车主要是用于</w:t>
      </w:r>
      <w:r>
        <w:rPr>
          <w:rFonts w:hint="eastAsia" w:ascii="仿宋_GB2312" w:eastAsia="仿宋_GB2312"/>
          <w:color w:val="auto"/>
          <w:sz w:val="32"/>
          <w:szCs w:val="32"/>
          <w:lang w:eastAsia="zh-CN"/>
        </w:rPr>
        <w:t>应急处置，</w:t>
      </w:r>
      <w:r>
        <w:rPr>
          <w:rFonts w:hint="eastAsia" w:ascii="仿宋_GB2312" w:eastAsia="仿宋_GB2312"/>
          <w:color w:val="auto"/>
          <w:sz w:val="32"/>
          <w:szCs w:val="32"/>
        </w:rPr>
        <w:t>单价</w:t>
      </w:r>
      <w:r>
        <w:rPr>
          <w:rFonts w:ascii="仿宋_GB2312" w:eastAsia="仿宋_GB2312"/>
          <w:color w:val="auto"/>
          <w:sz w:val="32"/>
          <w:szCs w:val="32"/>
        </w:rPr>
        <w:t>50</w:t>
      </w:r>
      <w:r>
        <w:rPr>
          <w:rFonts w:hint="eastAsia" w:ascii="仿宋_GB2312" w:eastAsia="仿宋_GB2312"/>
          <w:color w:val="auto"/>
          <w:sz w:val="32"/>
          <w:szCs w:val="32"/>
        </w:rPr>
        <w:t>万元以上通用设备</w:t>
      </w:r>
      <w:r>
        <w:rPr>
          <w:rFonts w:hint="eastAsia" w:ascii="仿宋_GB2312" w:eastAsia="仿宋_GB2312"/>
          <w:color w:val="auto"/>
          <w:sz w:val="32"/>
          <w:szCs w:val="32"/>
          <w:lang w:eastAsia="zh-CN"/>
        </w:rPr>
        <w:t>无</w:t>
      </w:r>
      <w:r>
        <w:rPr>
          <w:rFonts w:hint="eastAsia" w:ascii="仿宋_GB2312" w:eastAsia="仿宋_GB2312"/>
          <w:color w:val="auto"/>
          <w:sz w:val="32"/>
          <w:szCs w:val="32"/>
        </w:rPr>
        <w:t>，单价</w:t>
      </w:r>
      <w:r>
        <w:rPr>
          <w:rFonts w:ascii="仿宋_GB2312" w:eastAsia="仿宋_GB2312"/>
          <w:color w:val="auto"/>
          <w:sz w:val="32"/>
          <w:szCs w:val="32"/>
        </w:rPr>
        <w:t>100</w:t>
      </w:r>
      <w:r>
        <w:rPr>
          <w:rFonts w:hint="eastAsia" w:ascii="仿宋_GB2312" w:eastAsia="仿宋_GB2312"/>
          <w:color w:val="auto"/>
          <w:sz w:val="32"/>
          <w:szCs w:val="32"/>
        </w:rPr>
        <w:t>万元以上专用设备</w:t>
      </w:r>
      <w:r>
        <w:rPr>
          <w:rFonts w:hint="eastAsia" w:ascii="仿宋_GB2312" w:eastAsia="仿宋_GB2312"/>
          <w:color w:val="auto"/>
          <w:sz w:val="32"/>
          <w:szCs w:val="32"/>
          <w:lang w:eastAsia="zh-CN"/>
        </w:rPr>
        <w:t>无</w:t>
      </w:r>
      <w:r>
        <w:rPr>
          <w:rFonts w:hint="eastAsia" w:ascii="仿宋_GB2312" w:eastAsia="仿宋_GB2312"/>
          <w:color w:val="auto"/>
          <w:sz w:val="32"/>
          <w:szCs w:val="32"/>
        </w:rPr>
        <w:t>。</w:t>
      </w:r>
    </w:p>
    <w:p>
      <w:pPr>
        <w:widowControl/>
        <w:jc w:val="left"/>
        <w:rPr>
          <w:rFonts w:ascii="仿宋_GB2312" w:eastAsia="仿宋_GB2312"/>
          <w:b/>
          <w:color w:val="auto"/>
          <w:sz w:val="32"/>
          <w:szCs w:val="32"/>
        </w:rPr>
      </w:pPr>
      <w:r>
        <w:rPr>
          <w:rFonts w:ascii="仿宋_GB2312" w:eastAsia="仿宋_GB2312"/>
          <w:b/>
          <w:color w:val="auto"/>
          <w:sz w:val="32"/>
          <w:szCs w:val="32"/>
        </w:rPr>
        <w:br w:type="page"/>
      </w:r>
    </w:p>
    <w:p>
      <w:pPr>
        <w:numPr>
          <w:ilvl w:val="0"/>
          <w:numId w:val="0"/>
        </w:numPr>
        <w:spacing w:line="600" w:lineRule="exact"/>
        <w:jc w:val="center"/>
        <w:outlineLvl w:val="0"/>
        <w:rPr>
          <w:rStyle w:val="25"/>
          <w:rFonts w:hint="eastAsia" w:ascii="方正小标宋简体" w:hAnsi="方正小标宋简体" w:eastAsia="方正小标宋简体" w:cs="方正小标宋简体"/>
          <w:b w:val="0"/>
          <w:color w:val="auto"/>
        </w:rPr>
      </w:pPr>
      <w:bookmarkStart w:id="52" w:name="_Toc15377225"/>
      <w:bookmarkStart w:id="53" w:name="_Toc22665"/>
      <w:r>
        <w:rPr>
          <w:rFonts w:hint="eastAsia" w:ascii="方正小标宋简体" w:hAnsi="方正小标宋简体" w:eastAsia="方正小标宋简体" w:cs="方正小标宋简体"/>
          <w:b/>
          <w:color w:val="auto"/>
          <w:sz w:val="44"/>
          <w:szCs w:val="44"/>
          <w:lang w:eastAsia="zh-CN"/>
        </w:rPr>
        <w:t>第三部分</w:t>
      </w:r>
      <w:r>
        <w:rPr>
          <w:rFonts w:hint="eastAsia" w:ascii="方正小标宋简体" w:hAnsi="方正小标宋简体" w:eastAsia="方正小标宋简体" w:cs="方正小标宋简体"/>
          <w:b/>
          <w:color w:val="auto"/>
          <w:sz w:val="44"/>
          <w:szCs w:val="44"/>
          <w:lang w:val="en-US" w:eastAsia="zh-CN"/>
        </w:rPr>
        <w:t xml:space="preserve">  </w:t>
      </w:r>
      <w:r>
        <w:rPr>
          <w:rFonts w:hint="eastAsia" w:ascii="方正小标宋简体" w:hAnsi="方正小标宋简体" w:eastAsia="方正小标宋简体" w:cs="方正小标宋简体"/>
          <w:b/>
          <w:color w:val="auto"/>
          <w:sz w:val="44"/>
          <w:szCs w:val="44"/>
        </w:rPr>
        <w:t>名</w:t>
      </w:r>
      <w:r>
        <w:rPr>
          <w:rStyle w:val="25"/>
          <w:rFonts w:hint="eastAsia" w:ascii="方正小标宋简体" w:hAnsi="方正小标宋简体" w:eastAsia="方正小标宋简体" w:cs="方正小标宋简体"/>
          <w:b w:val="0"/>
          <w:color w:val="auto"/>
        </w:rPr>
        <w:t>词解释</w:t>
      </w:r>
      <w:bookmarkEnd w:id="52"/>
      <w:bookmarkEnd w:id="53"/>
    </w:p>
    <w:p>
      <w:pPr>
        <w:spacing w:line="600" w:lineRule="exact"/>
        <w:jc w:val="left"/>
        <w:rPr>
          <w:rFonts w:ascii="宋体"/>
          <w:b/>
          <w:color w:val="auto"/>
          <w:sz w:val="44"/>
          <w:szCs w:val="44"/>
        </w:rPr>
      </w:pPr>
    </w:p>
    <w:p>
      <w:pPr>
        <w:pStyle w:val="23"/>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结余分配：指事业单位按照事业单位会计制度的规定从非财政补助结余中分配的事业基金和职工福利基金等。</w:t>
      </w:r>
    </w:p>
    <w:p>
      <w:pPr>
        <w:pStyle w:val="23"/>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、年末结转和结余：指单位按有关规定结转到下年或以后年度继续使用的资金。</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5.社会保障和就业（类）行政事业单位养老(款）  机关事业单位基本养老保险缴费（项）：反映机关事业单位实施养老保险制度由单位缴纳的基本养老保险费支出。</w:t>
      </w:r>
    </w:p>
    <w:p>
      <w:pPr>
        <w:pStyle w:val="23"/>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6.社会保障和就业（类）其他社会保障和就业支出(款）    其他社会保障和就业支出（项）：其他用于社会保障和就业方面的支出。</w:t>
      </w:r>
    </w:p>
    <w:p>
      <w:pPr>
        <w:pStyle w:val="23"/>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7.卫生健康支出（类）行政事业单位医疗(款）行政单位医疗（项）：反映财政部门安排的行政单位（包括实行公务员管理的事业单位）基本医疗保险缴费经费，为参加医疗保险的行政单位的公费医疗经费，按国家规定享受离休人员、红军老战士待遇人员的医疗经费。</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8.城乡社区支出（类）其他城乡社区支出(款）其他城乡社区支出（项）：反映除上述项目以外其他用于城乡社区方面的支出。  </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9.住房公积金（类）住房改革支出(款）住房公积金（项）：反映行政事业单位按人力资源和社会保障部、财政部规定的基本工资和津贴补贴以及规定比例为职工缴纳的住房公积金。</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 xml:space="preserve"> 10.灾害防治及应急管理支出（类）应急管理事务(款）  行政运行（项）：反映行政单位（包括实行公务员管理的事业单位）的基本支出。</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11.灾害防治及应急管理支出（类）应急管理事务(款）    安全监管（项）：反映安全生产监管方面的支出。</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12.灾害防治及应急管理支出（类）消防事务(款）一般行政管理事务（项）：反映行政单位（包括实行公务员管理的事业单位）对单独设置项级科目的其他项目支出。</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13.灾害防治及应急管理支出（类）森林消防事务(款）    一般行政管理事务（项）：反映行政单位（包括实行公务员管理的事业单位）对单独设置项级科目的其他项目支出。</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14.灾害防治及应急管理支出（类）自然灾害救灾及恢复重建支出(款）自然灾害救灾补助（项）：反映用于应对重大自然灾害应急救援和受灾群众救助的支出。</w:t>
      </w:r>
    </w:p>
    <w:p>
      <w:pPr>
        <w:pStyle w:val="23"/>
        <w:spacing w:line="560" w:lineRule="exact"/>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15.灾害防治及应急管理支出（类）自然灾害救灾及恢复重建支出(款）自然灾害后重建补助（项）：反映政府预算安排用于自然灾害恢复重建的补助支出。</w:t>
      </w:r>
    </w:p>
    <w:p>
      <w:pPr>
        <w:pStyle w:val="23"/>
        <w:spacing w:line="560" w:lineRule="exact"/>
        <w:ind w:firstLine="640" w:firstLineChars="200"/>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16.灾害防治及应急管理支出（类）自然灾害救灾及恢复重建支出(款）其他自然灾害救灾及恢复重建支出（项）：反映除上述项目以外其他用于自然灾害救灾、灾后恢复重建等方面的支出。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17.灾害防治及应急管理支出（类）其他灾害防治及应急管理支出(款）其他灾害防治及应急管理支出（项）：反映除上述项目以外其他用于灾害防治及应急管理的支出。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22</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pStyle w:val="23"/>
        <w:spacing w:line="560" w:lineRule="exact"/>
        <w:ind w:firstLine="2640" w:firstLineChars="600"/>
        <w:rPr>
          <w:rFonts w:hint="eastAsia" w:ascii="黑体" w:hAnsi="黑体" w:eastAsia="黑体"/>
          <w:color w:val="auto"/>
          <w:sz w:val="44"/>
          <w:szCs w:val="44"/>
        </w:rPr>
      </w:pPr>
    </w:p>
    <w:p>
      <w:pPr>
        <w:pStyle w:val="23"/>
        <w:spacing w:line="560" w:lineRule="exact"/>
        <w:ind w:firstLine="2650" w:firstLineChars="600"/>
        <w:outlineLvl w:val="0"/>
        <w:rPr>
          <w:rStyle w:val="25"/>
          <w:rFonts w:hint="eastAsia" w:ascii="方正小标宋简体" w:hAnsi="方正小标宋简体" w:eastAsia="方正小标宋简体" w:cs="方正小标宋简体"/>
          <w:b/>
          <w:bCs/>
          <w:color w:val="auto"/>
        </w:rPr>
      </w:pPr>
      <w:bookmarkStart w:id="54" w:name="_Toc22241"/>
      <w:r>
        <w:rPr>
          <w:rFonts w:hint="eastAsia" w:ascii="方正小标宋简体" w:hAnsi="方正小标宋简体" w:eastAsia="方正小标宋简体" w:cs="方正小标宋简体"/>
          <w:b/>
          <w:bCs/>
          <w:color w:val="auto"/>
          <w:sz w:val="44"/>
          <w:szCs w:val="44"/>
        </w:rPr>
        <w:t>第</w:t>
      </w:r>
      <w:r>
        <w:rPr>
          <w:rStyle w:val="25"/>
          <w:rFonts w:hint="eastAsia" w:ascii="方正小标宋简体" w:hAnsi="方正小标宋简体" w:eastAsia="方正小标宋简体" w:cs="方正小标宋简体"/>
          <w:b/>
          <w:bCs/>
          <w:color w:val="auto"/>
        </w:rPr>
        <w:t xml:space="preserve">四部分 </w:t>
      </w:r>
      <w:r>
        <w:rPr>
          <w:rStyle w:val="25"/>
          <w:rFonts w:hint="eastAsia" w:ascii="方正小标宋简体" w:hAnsi="方正小标宋简体" w:eastAsia="方正小标宋简体" w:cs="方正小标宋简体"/>
          <w:b/>
          <w:bCs/>
          <w:color w:val="auto"/>
          <w:lang w:val="en-US" w:eastAsia="zh-CN"/>
        </w:rPr>
        <w:t xml:space="preserve"> </w:t>
      </w:r>
      <w:r>
        <w:rPr>
          <w:rStyle w:val="25"/>
          <w:rFonts w:hint="eastAsia" w:ascii="方正小标宋简体" w:hAnsi="方正小标宋简体" w:eastAsia="方正小标宋简体" w:cs="方正小标宋简体"/>
          <w:b/>
          <w:bCs/>
          <w:color w:val="auto"/>
        </w:rPr>
        <w:t>附件</w:t>
      </w:r>
      <w:bookmarkEnd w:id="54"/>
    </w:p>
    <w:p>
      <w:pPr>
        <w:pStyle w:val="4"/>
        <w:outlineLvl w:val="1"/>
        <w:rPr>
          <w:rStyle w:val="25"/>
          <w:rFonts w:hint="eastAsia" w:ascii="黑体" w:hAnsi="黑体" w:eastAsia="黑体" w:cs="黑体"/>
          <w:b w:val="0"/>
          <w:bCs w:val="0"/>
          <w:color w:val="auto"/>
          <w:sz w:val="32"/>
          <w:szCs w:val="32"/>
        </w:rPr>
      </w:pPr>
      <w:bookmarkStart w:id="55" w:name="_Toc30757"/>
      <w:r>
        <w:rPr>
          <w:rStyle w:val="25"/>
          <w:rFonts w:hint="eastAsia" w:ascii="黑体" w:hAnsi="黑体" w:eastAsia="黑体" w:cs="黑体"/>
          <w:b w:val="0"/>
          <w:bCs w:val="0"/>
          <w:color w:val="auto"/>
          <w:sz w:val="32"/>
          <w:szCs w:val="32"/>
        </w:rPr>
        <w:t>附件1</w:t>
      </w:r>
      <w:bookmarkEnd w:id="55"/>
    </w:p>
    <w:p>
      <w:pPr>
        <w:spacing w:line="600" w:lineRule="exact"/>
        <w:jc w:val="center"/>
        <w:outlineLvl w:val="9"/>
        <w:rPr>
          <w:rFonts w:hint="eastAsia" w:ascii="方正小标宋简体" w:hAnsi="方正小标宋简体" w:eastAsia="方正小标宋简体" w:cs="方正小标宋简体"/>
          <w:b/>
          <w:bCs/>
          <w:color w:val="auto"/>
          <w:sz w:val="36"/>
          <w:szCs w:val="36"/>
          <w:lang w:eastAsia="zh-CN"/>
        </w:rPr>
      </w:pPr>
      <w:bookmarkStart w:id="56" w:name="_Toc15396616"/>
      <w:r>
        <w:rPr>
          <w:rFonts w:hint="eastAsia" w:ascii="方正小标宋简体" w:hAnsi="方正小标宋简体" w:eastAsia="方正小标宋简体" w:cs="方正小标宋简体"/>
          <w:b/>
          <w:bCs/>
          <w:color w:val="auto"/>
          <w:sz w:val="36"/>
          <w:szCs w:val="36"/>
          <w:lang w:eastAsia="zh-CN"/>
        </w:rPr>
        <w:t>剑阁县应急管理局</w:t>
      </w:r>
    </w:p>
    <w:p>
      <w:pPr>
        <w:spacing w:line="600" w:lineRule="exact"/>
        <w:jc w:val="center"/>
        <w:outlineLvl w:val="9"/>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20</w:t>
      </w:r>
      <w:r>
        <w:rPr>
          <w:rFonts w:hint="eastAsia" w:ascii="方正小标宋简体" w:hAnsi="方正小标宋简体" w:eastAsia="方正小标宋简体" w:cs="方正小标宋简体"/>
          <w:b/>
          <w:bCs/>
          <w:color w:val="auto"/>
          <w:sz w:val="36"/>
          <w:szCs w:val="36"/>
          <w:lang w:val="en-US" w:eastAsia="zh-CN"/>
        </w:rPr>
        <w:t>22</w:t>
      </w:r>
      <w:r>
        <w:rPr>
          <w:rFonts w:hint="eastAsia" w:ascii="方正小标宋简体" w:hAnsi="方正小标宋简体" w:eastAsia="方正小标宋简体" w:cs="方正小标宋简体"/>
          <w:b/>
          <w:bCs/>
          <w:color w:val="auto"/>
          <w:sz w:val="36"/>
          <w:szCs w:val="36"/>
        </w:rPr>
        <w:t>年部门整体支出绩效评价报告</w:t>
      </w:r>
      <w:bookmarkEnd w:id="56"/>
    </w:p>
    <w:p>
      <w:pPr>
        <w:spacing w:line="580" w:lineRule="exact"/>
        <w:ind w:firstLine="640" w:firstLineChars="200"/>
        <w:rPr>
          <w:rFonts w:ascii="黑体" w:hAnsi="黑体" w:eastAsia="黑体" w:cs="黑体"/>
          <w:color w:val="auto"/>
          <w:sz w:val="32"/>
          <w:szCs w:val="32"/>
        </w:rPr>
      </w:pPr>
    </w:p>
    <w:p>
      <w:pPr>
        <w:spacing w:line="580" w:lineRule="exact"/>
        <w:ind w:firstLine="643" w:firstLineChars="200"/>
        <w:rPr>
          <w:rFonts w:ascii="黑体" w:hAnsi="黑体" w:eastAsia="黑体" w:cs="黑体"/>
          <w:b/>
          <w:bCs/>
          <w:color w:val="auto"/>
          <w:sz w:val="32"/>
          <w:szCs w:val="32"/>
        </w:rPr>
      </w:pPr>
      <w:r>
        <w:rPr>
          <w:rFonts w:hint="eastAsia" w:ascii="黑体" w:hAnsi="黑体" w:eastAsia="黑体" w:cs="黑体"/>
          <w:b/>
          <w:bCs/>
          <w:color w:val="auto"/>
          <w:sz w:val="32"/>
          <w:szCs w:val="32"/>
        </w:rPr>
        <w:t>一、部门（单位）概况</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right="0" w:rightChars="0" w:firstLine="643" w:firstLineChars="200"/>
        <w:jc w:val="both"/>
        <w:textAlignment w:val="auto"/>
        <w:rPr>
          <w:rFonts w:hint="eastAsia" w:ascii="楷体" w:hAnsi="楷体" w:eastAsia="楷体" w:cs="楷体"/>
          <w:b/>
          <w:bCs/>
          <w:color w:val="auto"/>
          <w:kern w:val="2"/>
          <w:sz w:val="32"/>
          <w:szCs w:val="32"/>
          <w:lang w:val="en-US" w:eastAsia="zh-CN" w:bidi="ar"/>
        </w:rPr>
      </w:pPr>
      <w:r>
        <w:rPr>
          <w:rFonts w:hint="eastAsia" w:ascii="楷体" w:hAnsi="楷体" w:eastAsia="楷体" w:cs="楷体"/>
          <w:b/>
          <w:bCs/>
          <w:color w:val="auto"/>
          <w:kern w:val="2"/>
          <w:sz w:val="32"/>
          <w:szCs w:val="32"/>
          <w:lang w:val="en-US" w:eastAsia="zh-CN" w:bidi="ar"/>
        </w:rPr>
        <w:t>（一）机构组成</w:t>
      </w:r>
    </w:p>
    <w:p>
      <w:pPr>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firstLine="640" w:firstLineChars="200"/>
        <w:jc w:val="both"/>
        <w:textAlignment w:val="auto"/>
        <w:rPr>
          <w:rFonts w:hint="eastAsia" w:ascii="仿宋_GB2312" w:hAnsi="仿宋_GB2312" w:eastAsia="仿宋_GB2312" w:cs="仿宋_GB2312"/>
          <w:b w:val="0"/>
          <w:bCs w:val="0"/>
          <w:color w:val="auto"/>
          <w:sz w:val="32"/>
          <w:szCs w:val="32"/>
          <w:lang w:val="en-US" w:eastAsia="zh-CN" w:bidi="ar-SA"/>
        </w:rPr>
      </w:pPr>
      <w:r>
        <w:rPr>
          <w:rFonts w:hint="eastAsia" w:ascii="仿宋_GB2312" w:hAnsi="仿宋_GB2312" w:eastAsia="仿宋_GB2312" w:cs="仿宋_GB2312"/>
          <w:b w:val="0"/>
          <w:bCs w:val="0"/>
          <w:color w:val="auto"/>
          <w:sz w:val="32"/>
          <w:szCs w:val="32"/>
          <w:lang w:val="en-US" w:eastAsia="zh-CN" w:bidi="ar-SA"/>
        </w:rPr>
        <w:t>县应急管理局下设9个股室，分别为办公室、应急指挥中心、安全生产综合监管股、防灾（震）减灾股、物资保障与财务股、危险化学品安全监管股、矿山安全监管股、火灾防治股、政策法规股。</w:t>
      </w:r>
    </w:p>
    <w:p>
      <w:pPr>
        <w:pStyle w:val="7"/>
        <w:keepNext w:val="0"/>
        <w:keepLines w:val="0"/>
        <w:pageBreakBefore w:val="0"/>
        <w:widowControl w:val="0"/>
        <w:kinsoku/>
        <w:wordWrap/>
        <w:overflowPunct/>
        <w:topLinePunct w:val="0"/>
        <w:autoSpaceDE/>
        <w:autoSpaceDN/>
        <w:bidi w:val="0"/>
        <w:adjustRightInd/>
        <w:snapToGrid/>
        <w:spacing w:after="0" w:line="540" w:lineRule="exact"/>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我局下设剑阁县安全生产监察执法大队和剑阁县安全生产应急和信息中心，均为公益一类股级事业单位。</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right="0" w:rightChars="0" w:firstLine="643" w:firstLineChars="200"/>
        <w:jc w:val="both"/>
        <w:textAlignment w:val="auto"/>
        <w:rPr>
          <w:rFonts w:hint="eastAsia" w:ascii="楷体" w:hAnsi="楷体" w:eastAsia="楷体" w:cs="楷体"/>
          <w:b/>
          <w:bCs/>
          <w:color w:val="auto"/>
          <w:kern w:val="2"/>
          <w:sz w:val="32"/>
          <w:szCs w:val="32"/>
          <w:lang w:val="en-US" w:eastAsia="zh-CN" w:bidi="ar"/>
        </w:rPr>
      </w:pPr>
      <w:r>
        <w:rPr>
          <w:rFonts w:hint="eastAsia" w:ascii="楷体" w:hAnsi="楷体" w:eastAsia="楷体" w:cs="楷体"/>
          <w:b/>
          <w:bCs/>
          <w:color w:val="auto"/>
          <w:kern w:val="2"/>
          <w:sz w:val="32"/>
          <w:szCs w:val="32"/>
          <w:lang w:val="en-US" w:eastAsia="zh-CN" w:bidi="ar"/>
        </w:rPr>
        <w:t>（二）机构职能</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b w:val="0"/>
          <w:bCs w:val="0"/>
          <w:color w:val="auto"/>
          <w:sz w:val="32"/>
          <w:szCs w:val="32"/>
          <w:lang w:val="en-US" w:eastAsia="zh-CN"/>
        </w:rPr>
        <w:t>.</w:t>
      </w:r>
      <w:r>
        <w:rPr>
          <w:rFonts w:hint="eastAsia" w:ascii="仿宋_GB2312" w:eastAsia="仿宋_GB2312"/>
          <w:color w:val="auto"/>
          <w:sz w:val="32"/>
          <w:szCs w:val="32"/>
        </w:rPr>
        <w:t>负责应急管理工作，组织和指导剑阁县境内各乡镇、县级各部门应对安全生产类、自然灾害类等突发事件和综合防灾减灾救灾工作。负责安全生产综合监督管理和工矿商贸、煤炭行业安全生产监督管理工作。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rPr>
        <w:t>拟订全县应急管理、安全生产等政策措施，组织编制应急体系建设、安全生产和综合防灾减灾规划，起草全县安全生产规范性文件。</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负责组织、指导全县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rPr>
        <w:t>牵头建立统一的应急管理信息系统，负责信息传输渠道的规划和布局，建立监测预警和灾情报告制度，健全自然灾害信息资源获取和共享机制，依法统一发布灾情。</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rPr>
        <w:t>负责组织、指导、协调安全生产类、自然灾害类等突发事件应急救援，承担全县应对灾害指挥部工作，综合研判突发事件发展态势并提出应对建议，负责组织灾害应急处置工作。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rPr>
        <w:t>统一协调指挥各类应急专业队伍，建立应急协调联动机制，推进指挥平台对接，提请衔接解放军和武警部队参与应急救援工作。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rPr>
        <w:t>按照国家、省、市相关政策和规定负责消防、森林火灾扑救、抗洪抢险、地震和地质灾害救援、生产安全事故救援等专业应急救援力量建设，依法依规统筹指导各乡镇和县级有关部门及社会应急救援力量和保障能力建设。</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8.</w:t>
      </w:r>
      <w:r>
        <w:rPr>
          <w:rFonts w:hint="eastAsia" w:ascii="仿宋_GB2312" w:eastAsia="仿宋_GB2312"/>
          <w:color w:val="auto"/>
          <w:sz w:val="32"/>
          <w:szCs w:val="32"/>
        </w:rPr>
        <w:t>按照国家相关政策和省、市、县相关规定负责消防工作，组织和指导消防监督、火灾预防、火灾扑救等工作。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9.</w:t>
      </w:r>
      <w:r>
        <w:rPr>
          <w:rFonts w:hint="eastAsia" w:ascii="仿宋_GB2312" w:eastAsia="仿宋_GB2312"/>
          <w:color w:val="auto"/>
          <w:sz w:val="32"/>
          <w:szCs w:val="32"/>
        </w:rPr>
        <w:t>负责自然灾害综合监测预警工作，承担自然灾害综合风险评估工作。指导协调森林火灾、水旱灾害、地质灾害等防治工作。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hint="eastAsia" w:ascii="仿宋_GB2312" w:eastAsia="仿宋_GB2312"/>
          <w:color w:val="auto"/>
          <w:sz w:val="32"/>
          <w:szCs w:val="32"/>
        </w:rPr>
        <w:t>负责组织、协调灾害救助工作，组织和指导灾情核查、损失评估、救灾捐赠工作，管理、分配中央、省级、市级下拨及县级救灾款物并监督使用。</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11.</w:t>
      </w:r>
      <w:r>
        <w:rPr>
          <w:rFonts w:hint="eastAsia" w:ascii="仿宋_GB2312" w:eastAsia="仿宋_GB2312"/>
          <w:color w:val="auto"/>
          <w:sz w:val="32"/>
          <w:szCs w:val="32"/>
        </w:rPr>
        <w:t>依法承担县政府安全生产综合监督管理责任，指导协调、监督检查各乡镇政府和县级有关部门安全生产工作，组织开展安全生产巡查、考核工作。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12.</w:t>
      </w:r>
      <w:r>
        <w:rPr>
          <w:rFonts w:hint="eastAsia" w:ascii="仿宋_GB2312" w:eastAsia="仿宋_GB2312"/>
          <w:color w:val="auto"/>
          <w:sz w:val="32"/>
          <w:szCs w:val="32"/>
        </w:rPr>
        <w:t>按照分级、属地原则，依法监督检查工矿商贸生产经营单位贯彻执行安全生产法律法规情况及其安全生产条件和有关设备（特种设备除外）、材料、劳动防护用品的安全生产管理工作。协助省、市应急局做好中央在县、省属、市属重点工矿商贸企业安全生产监督管理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13.</w:t>
      </w:r>
      <w:r>
        <w:rPr>
          <w:rFonts w:hint="eastAsia" w:ascii="仿宋_GB2312" w:eastAsia="仿宋_GB2312"/>
          <w:color w:val="auto"/>
          <w:sz w:val="32"/>
          <w:szCs w:val="32"/>
        </w:rPr>
        <w:t>承担煤矿、非煤矿山、危险化学品、非药品类易制毒化学品和烟花爆竹等生产经营单位安全生产准入和安全生产监督管理工作。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14.</w:t>
      </w:r>
      <w:r>
        <w:rPr>
          <w:rFonts w:hint="eastAsia" w:ascii="仿宋_GB2312" w:eastAsia="仿宋_GB2312"/>
          <w:color w:val="auto"/>
          <w:sz w:val="32"/>
          <w:szCs w:val="32"/>
        </w:rPr>
        <w:t>提出煤炭产业发展计划的建议并依法依规组织实施，按权限审核、上报煤炭建设项目并负责监督管理。负责煤炭生产协调和监督管理，煤炭行业结构调整和产业升级，煤矿瓦斯治理和利用。推进煤炭体制改革。</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15.</w:t>
      </w:r>
      <w:r>
        <w:rPr>
          <w:rFonts w:hint="eastAsia" w:ascii="仿宋_GB2312" w:eastAsia="仿宋_GB2312"/>
          <w:color w:val="auto"/>
          <w:sz w:val="32"/>
          <w:szCs w:val="32"/>
        </w:rPr>
        <w:t>承担煤矿安全生产监督管理责任，依法监督检查煤矿企业贯彻执行安全生产法律法规情况及其安全生产条件和有关设备（特种设备除外）、材料、劳动防护用品的安全生产管理工作。负责组织、指导煤矿企业安全专项整治、安全标准化、瓦斯和水害防治及相关安全科技发展工作。参与煤矿事故调查处理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16.</w:t>
      </w:r>
      <w:r>
        <w:rPr>
          <w:rFonts w:hint="eastAsia" w:ascii="仿宋_GB2312" w:eastAsia="仿宋_GB2312"/>
          <w:color w:val="auto"/>
          <w:sz w:val="32"/>
          <w:szCs w:val="32"/>
        </w:rPr>
        <w:t>承担防震减灾工作职责。负责地震监测设施和观测环境保护工作，负责全县工程建设场地地震安全性评价的监督管理工作，承担全县重大工程的抗震设防监督工作。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17.</w:t>
      </w:r>
      <w:r>
        <w:rPr>
          <w:rFonts w:hint="eastAsia" w:ascii="仿宋_GB2312" w:eastAsia="仿宋_GB2312"/>
          <w:color w:val="auto"/>
          <w:sz w:val="32"/>
          <w:szCs w:val="32"/>
        </w:rPr>
        <w:t>依法组织、指导生产安全事故调查处理，监督事故查处和责任追究落实情况。组织开展自然灾害类突发事件的调查评估工作。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18.</w:t>
      </w:r>
      <w:r>
        <w:rPr>
          <w:rFonts w:hint="eastAsia" w:ascii="仿宋_GB2312" w:eastAsia="仿宋_GB2312"/>
          <w:color w:val="auto"/>
          <w:sz w:val="32"/>
          <w:szCs w:val="32"/>
        </w:rPr>
        <w:t>开展应急管理和安全生产方面的交流与合作，参与安全生产类、自然灾害类等突发事件的跨区域救援工作。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hint="eastAsia" w:ascii="仿宋_GB2312" w:eastAsia="仿宋_GB2312"/>
          <w:color w:val="auto"/>
          <w:sz w:val="32"/>
          <w:szCs w:val="32"/>
        </w:rPr>
        <w:t>制定应急物资储备和应急救援装备规划并组织实施，会同县发展和改革局和其他物资储备相关的部门建立健全应急物资信息平台和调拨制度，在救灾时统一调度。</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hint="eastAsia" w:ascii="仿宋_GB2312" w:eastAsia="仿宋_GB2312"/>
          <w:color w:val="auto"/>
          <w:sz w:val="32"/>
          <w:szCs w:val="32"/>
        </w:rPr>
        <w:t>负责应急管理、安全生产、地震灾害防御宣传教育和培训工作，组织和指导应急管理、安全生产、地震灾害防御的科学技术研究、推广应用和信息化建设工作。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21.</w:t>
      </w:r>
      <w:r>
        <w:rPr>
          <w:rFonts w:hint="eastAsia" w:ascii="仿宋_GB2312" w:eastAsia="仿宋_GB2312"/>
          <w:color w:val="auto"/>
          <w:sz w:val="32"/>
          <w:szCs w:val="32"/>
        </w:rPr>
        <w:t>负责职责范围内的职业健康、生态环境保护、审批服务便民化等工作。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承担剑阁县安全生产委员会的具体工作。</w:t>
      </w:r>
    </w:p>
    <w:p>
      <w:pPr>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hint="eastAsia" w:ascii="仿宋_GB2312" w:eastAsia="仿宋_GB2312"/>
          <w:color w:val="auto"/>
          <w:sz w:val="32"/>
          <w:szCs w:val="32"/>
        </w:rPr>
        <w:t>完成县委和县政府交办的其他任务。</w:t>
      </w:r>
    </w:p>
    <w:p>
      <w:pPr>
        <w:pStyle w:val="7"/>
        <w:keepNext w:val="0"/>
        <w:keepLines w:val="0"/>
        <w:pageBreakBefore w:val="0"/>
        <w:widowControl w:val="0"/>
        <w:kinsoku/>
        <w:wordWrap/>
        <w:overflowPunct/>
        <w:autoSpaceDE/>
        <w:autoSpaceDN/>
        <w:bidi w:val="0"/>
        <w:adjustRightInd/>
        <w:snapToGrid/>
        <w:spacing w:line="540" w:lineRule="exact"/>
        <w:ind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24.</w:t>
      </w:r>
      <w:r>
        <w:rPr>
          <w:rFonts w:hint="eastAsia" w:ascii="仿宋_GB2312" w:eastAsia="仿宋_GB2312"/>
          <w:color w:val="auto"/>
          <w:sz w:val="32"/>
          <w:szCs w:val="32"/>
        </w:rPr>
        <w:t>职能转变。</w:t>
      </w:r>
    </w:p>
    <w:p>
      <w:pPr>
        <w:pStyle w:val="7"/>
        <w:keepNext w:val="0"/>
        <w:keepLines w:val="0"/>
        <w:pageBreakBefore w:val="0"/>
        <w:widowControl w:val="0"/>
        <w:kinsoku/>
        <w:wordWrap/>
        <w:overflowPunct/>
        <w:autoSpaceDE/>
        <w:autoSpaceDN/>
        <w:bidi w:val="0"/>
        <w:adjustRightInd/>
        <w:snapToGrid/>
        <w:spacing w:line="540" w:lineRule="exact"/>
        <w:ind w:firstLine="643" w:firstLineChars="200"/>
        <w:textAlignment w:val="auto"/>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(三）人员概况</w:t>
      </w:r>
    </w:p>
    <w:p>
      <w:pPr>
        <w:widowControl/>
        <w:shd w:val="clear" w:color="auto" w:fill="FFFFFF"/>
        <w:spacing w:line="600" w:lineRule="exact"/>
        <w:ind w:firstLine="640" w:firstLineChars="200"/>
        <w:jc w:val="left"/>
        <w:rPr>
          <w:rFonts w:hint="eastAsia" w:ascii="仿宋" w:hAnsi="仿宋" w:eastAsia="仿宋" w:cs="Times New Roman"/>
          <w:b w:val="0"/>
          <w:bCs w:val="0"/>
          <w:color w:val="auto"/>
          <w:kern w:val="2"/>
          <w:sz w:val="32"/>
          <w:szCs w:val="32"/>
          <w:lang w:val="en-US" w:eastAsia="zh-CN" w:bidi="ar-SA"/>
        </w:rPr>
      </w:pPr>
      <w:r>
        <w:rPr>
          <w:rFonts w:hint="eastAsia" w:ascii="仿宋" w:hAnsi="仿宋" w:eastAsia="仿宋" w:cs="Times New Roman"/>
          <w:b w:val="0"/>
          <w:bCs w:val="0"/>
          <w:color w:val="auto"/>
          <w:kern w:val="2"/>
          <w:sz w:val="32"/>
          <w:szCs w:val="32"/>
          <w:lang w:val="en-US" w:eastAsia="zh-CN" w:bidi="ar-SA"/>
        </w:rPr>
        <w:t>应急管理局总编制58名，其中行政编制16名，事业编制41名，工勤编制1名。在职人员总数44人，其中行政人员13人，参公人员9人，非参公事业人员22人，退休人员9人。</w:t>
      </w:r>
    </w:p>
    <w:p>
      <w:pPr>
        <w:spacing w:line="580" w:lineRule="exact"/>
        <w:ind w:firstLine="643" w:firstLineChars="200"/>
        <w:rPr>
          <w:rFonts w:ascii="黑体" w:hAnsi="黑体" w:eastAsia="黑体" w:cs="黑体"/>
          <w:b/>
          <w:bCs/>
          <w:color w:val="auto"/>
          <w:sz w:val="32"/>
          <w:szCs w:val="32"/>
        </w:rPr>
      </w:pPr>
      <w:r>
        <w:rPr>
          <w:rFonts w:ascii="黑体" w:hAnsi="黑体" w:eastAsia="黑体" w:cs="黑体"/>
          <w:b/>
          <w:bCs/>
          <w:color w:val="auto"/>
          <w:sz w:val="32"/>
          <w:szCs w:val="32"/>
        </w:rPr>
        <w:t>二、部门财政资金收支情况</w:t>
      </w:r>
    </w:p>
    <w:p>
      <w:pPr>
        <w:pStyle w:val="7"/>
        <w:keepNext w:val="0"/>
        <w:keepLines w:val="0"/>
        <w:pageBreakBefore w:val="0"/>
        <w:widowControl w:val="0"/>
        <w:numPr>
          <w:ilvl w:val="0"/>
          <w:numId w:val="0"/>
        </w:numPr>
        <w:kinsoku/>
        <w:wordWrap/>
        <w:overflowPunct/>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（一）部门财政资金收入情况。</w:t>
      </w:r>
    </w:p>
    <w:p>
      <w:pPr>
        <w:pStyle w:val="7"/>
        <w:keepNext w:val="0"/>
        <w:keepLines w:val="0"/>
        <w:pageBreakBefore w:val="0"/>
        <w:widowControl w:val="0"/>
        <w:numPr>
          <w:ilvl w:val="0"/>
          <w:numId w:val="0"/>
        </w:numPr>
        <w:kinsoku/>
        <w:wordWrap/>
        <w:overflowPunct/>
        <w:autoSpaceDE/>
        <w:autoSpaceDN/>
        <w:bidi w:val="0"/>
        <w:adjustRightInd/>
        <w:snapToGrid/>
        <w:spacing w:line="540" w:lineRule="exact"/>
        <w:ind w:firstLine="960" w:firstLineChars="300"/>
        <w:textAlignment w:val="auto"/>
        <w:rPr>
          <w:rFonts w:hint="eastAsia" w:ascii="仿宋_GB2312" w:hAnsi="仿宋" w:eastAsia="仿宋_GB2312" w:cs="Times New Roman"/>
          <w:color w:val="auto"/>
          <w:kern w:val="2"/>
          <w:sz w:val="32"/>
          <w:szCs w:val="32"/>
          <w:lang w:val="en-US" w:eastAsia="zh-CN" w:bidi="ar"/>
        </w:rPr>
      </w:pPr>
      <w:r>
        <w:rPr>
          <w:rFonts w:hint="eastAsia" w:ascii="仿宋_GB2312" w:hAnsi="仿宋" w:eastAsia="仿宋_GB2312" w:cs="仿宋_GB2312"/>
          <w:color w:val="auto"/>
          <w:kern w:val="2"/>
          <w:sz w:val="32"/>
          <w:szCs w:val="32"/>
          <w:lang w:val="en-US" w:eastAsia="zh-CN" w:bidi="ar"/>
        </w:rPr>
        <w:t>2022</w:t>
      </w:r>
      <w:r>
        <w:rPr>
          <w:rFonts w:hint="eastAsia" w:ascii="仿宋_GB2312" w:hAnsi="仿宋" w:eastAsia="仿宋_GB2312" w:cs="Times New Roman"/>
          <w:color w:val="auto"/>
          <w:kern w:val="2"/>
          <w:sz w:val="32"/>
          <w:szCs w:val="32"/>
          <w:lang w:val="en-US" w:eastAsia="zh-CN" w:bidi="ar"/>
        </w:rPr>
        <w:t>年财政预算总收入2787.48万元。</w:t>
      </w:r>
    </w:p>
    <w:p>
      <w:pPr>
        <w:pStyle w:val="7"/>
        <w:keepNext w:val="0"/>
        <w:keepLines w:val="0"/>
        <w:pageBreakBefore w:val="0"/>
        <w:widowControl w:val="0"/>
        <w:numPr>
          <w:ilvl w:val="0"/>
          <w:numId w:val="0"/>
        </w:numPr>
        <w:kinsoku/>
        <w:wordWrap/>
        <w:overflowPunct/>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部门财政资金支出情况。</w:t>
      </w:r>
    </w:p>
    <w:p>
      <w:pPr>
        <w:pStyle w:val="7"/>
        <w:keepNext w:val="0"/>
        <w:keepLines w:val="0"/>
        <w:pageBreakBefore w:val="0"/>
        <w:widowControl w:val="0"/>
        <w:numPr>
          <w:ilvl w:val="0"/>
          <w:numId w:val="0"/>
        </w:numPr>
        <w:kinsoku/>
        <w:wordWrap/>
        <w:overflowPunct/>
        <w:autoSpaceDE/>
        <w:autoSpaceDN/>
        <w:bidi w:val="0"/>
        <w:adjustRightInd/>
        <w:snapToGrid/>
        <w:spacing w:line="540" w:lineRule="exact"/>
        <w:ind w:leftChars="200" w:firstLine="640" w:firstLineChars="200"/>
        <w:textAlignment w:val="auto"/>
        <w:rPr>
          <w:rFonts w:hint="eastAsia" w:ascii="仿宋_GB2312" w:hAnsi="仿宋" w:eastAsia="仿宋_GB2312" w:cs="Times New Roman"/>
          <w:color w:val="auto"/>
          <w:kern w:val="2"/>
          <w:sz w:val="32"/>
          <w:szCs w:val="32"/>
          <w:lang w:val="en-US" w:eastAsia="zh-CN" w:bidi="ar"/>
        </w:rPr>
      </w:pPr>
      <w:r>
        <w:rPr>
          <w:rFonts w:hint="eastAsia" w:ascii="仿宋_GB2312" w:hAnsi="仿宋" w:eastAsia="仿宋_GB2312" w:cs="仿宋_GB2312"/>
          <w:color w:val="auto"/>
          <w:kern w:val="2"/>
          <w:sz w:val="32"/>
          <w:szCs w:val="32"/>
          <w:lang w:val="en-US" w:eastAsia="zh-CN" w:bidi="ar"/>
        </w:rPr>
        <w:t>2022</w:t>
      </w:r>
      <w:r>
        <w:rPr>
          <w:rFonts w:hint="eastAsia" w:ascii="仿宋_GB2312" w:hAnsi="仿宋" w:eastAsia="仿宋_GB2312" w:cs="Times New Roman"/>
          <w:color w:val="auto"/>
          <w:kern w:val="2"/>
          <w:sz w:val="32"/>
          <w:szCs w:val="32"/>
          <w:lang w:val="en-US" w:eastAsia="zh-CN" w:bidi="ar"/>
        </w:rPr>
        <w:t>年财政预算总支出</w:t>
      </w:r>
      <w:r>
        <w:rPr>
          <w:rFonts w:hint="eastAsia" w:ascii="仿宋" w:hAnsi="仿宋" w:eastAsia="仿宋"/>
          <w:color w:val="auto"/>
          <w:sz w:val="32"/>
          <w:szCs w:val="32"/>
          <w:lang w:val="en-US" w:eastAsia="zh-CN"/>
        </w:rPr>
        <w:t>4306.62万</w:t>
      </w:r>
      <w:r>
        <w:rPr>
          <w:rFonts w:hint="eastAsia" w:ascii="仿宋_GB2312" w:hAnsi="仿宋" w:eastAsia="仿宋_GB2312" w:cs="Times New Roman"/>
          <w:color w:val="auto"/>
          <w:kern w:val="2"/>
          <w:sz w:val="32"/>
          <w:szCs w:val="32"/>
          <w:lang w:val="en-US" w:eastAsia="zh-CN" w:bidi="ar"/>
        </w:rPr>
        <w:t>元。</w:t>
      </w:r>
    </w:p>
    <w:p>
      <w:pPr>
        <w:spacing w:line="580" w:lineRule="exact"/>
        <w:ind w:firstLine="643" w:firstLineChars="200"/>
        <w:rPr>
          <w:rFonts w:ascii="黑体" w:hAnsi="黑体" w:eastAsia="黑体" w:cs="黑体"/>
          <w:b/>
          <w:bCs/>
          <w:color w:val="auto"/>
          <w:sz w:val="32"/>
          <w:szCs w:val="32"/>
        </w:rPr>
      </w:pPr>
      <w:r>
        <w:rPr>
          <w:rFonts w:ascii="黑体" w:hAnsi="黑体" w:eastAsia="黑体" w:cs="黑体"/>
          <w:b/>
          <w:bCs/>
          <w:color w:val="auto"/>
          <w:sz w:val="32"/>
          <w:szCs w:val="32"/>
        </w:rPr>
        <w:t>三、部门整体预算绩效管理情况（根据适用指标体系进行调整）</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（一）部门预算管理。</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3" w:firstLineChars="200"/>
        <w:jc w:val="left"/>
        <w:textAlignment w:val="auto"/>
        <w:rPr>
          <w:color w:val="auto"/>
        </w:rPr>
      </w:pPr>
      <w:r>
        <w:rPr>
          <w:rFonts w:hint="eastAsia" w:ascii="仿宋_GB2312" w:hAnsi="Times New Roman" w:eastAsia="仿宋_GB2312" w:cs="Times New Roman"/>
          <w:b/>
          <w:color w:val="auto"/>
          <w:kern w:val="2"/>
          <w:sz w:val="32"/>
          <w:szCs w:val="32"/>
          <w:lang w:val="en-US" w:eastAsia="zh-CN" w:bidi="ar"/>
        </w:rPr>
        <w:t>1.</w:t>
      </w:r>
      <w:r>
        <w:rPr>
          <w:rFonts w:hint="default" w:ascii="仿宋_GB2312" w:hAnsi="Times New Roman" w:eastAsia="仿宋_GB2312" w:cs="Times New Roman"/>
          <w:b/>
          <w:color w:val="auto"/>
          <w:kern w:val="2"/>
          <w:sz w:val="32"/>
          <w:szCs w:val="32"/>
          <w:lang w:val="en-US" w:eastAsia="zh-CN" w:bidi="ar"/>
        </w:rPr>
        <w:t>个性指标。</w:t>
      </w:r>
      <w:r>
        <w:rPr>
          <w:rFonts w:hint="eastAsia" w:ascii="仿宋_GB2312" w:hAnsi="Times New Roman" w:eastAsia="仿宋_GB2312" w:cs="Times New Roman"/>
          <w:b w:val="0"/>
          <w:color w:val="auto"/>
          <w:kern w:val="2"/>
          <w:sz w:val="32"/>
          <w:szCs w:val="32"/>
          <w:lang w:val="en-US" w:eastAsia="zh-CN" w:bidi="ar"/>
        </w:rPr>
        <w:t>202</w:t>
      </w:r>
      <w:r>
        <w:rPr>
          <w:rFonts w:hint="eastAsia" w:ascii="仿宋_GB2312" w:eastAsia="仿宋_GB2312" w:cs="Times New Roman"/>
          <w:b w:val="0"/>
          <w:color w:val="auto"/>
          <w:kern w:val="2"/>
          <w:sz w:val="32"/>
          <w:szCs w:val="32"/>
          <w:lang w:val="en-US" w:eastAsia="zh-CN" w:bidi="ar"/>
        </w:rPr>
        <w:t>2</w:t>
      </w:r>
      <w:r>
        <w:rPr>
          <w:rFonts w:hint="default" w:ascii="仿宋_GB2312" w:hAnsi="Times New Roman" w:eastAsia="仿宋_GB2312" w:cs="Times New Roman"/>
          <w:b w:val="0"/>
          <w:color w:val="auto"/>
          <w:kern w:val="2"/>
          <w:sz w:val="32"/>
          <w:szCs w:val="32"/>
          <w:lang w:val="en-US" w:eastAsia="zh-CN" w:bidi="ar"/>
        </w:rPr>
        <w:t>年，我</w:t>
      </w:r>
      <w:r>
        <w:rPr>
          <w:rFonts w:hint="eastAsia" w:ascii="仿宋_GB2312" w:hAnsi="Times New Roman" w:eastAsia="仿宋_GB2312" w:cs="Times New Roman"/>
          <w:b w:val="0"/>
          <w:color w:val="auto"/>
          <w:kern w:val="2"/>
          <w:sz w:val="32"/>
          <w:szCs w:val="32"/>
          <w:lang w:val="en-US" w:eastAsia="zh-CN" w:bidi="ar"/>
        </w:rPr>
        <w:t>局</w:t>
      </w:r>
      <w:r>
        <w:rPr>
          <w:rFonts w:hint="default" w:ascii="仿宋_GB2312" w:hAnsi="微软雅黑" w:eastAsia="仿宋_GB2312" w:cs="仿宋_GB2312"/>
          <w:b w:val="0"/>
          <w:color w:val="auto"/>
          <w:kern w:val="2"/>
          <w:sz w:val="32"/>
          <w:szCs w:val="32"/>
          <w:lang w:val="en-US" w:eastAsia="zh-CN" w:bidi="ar"/>
        </w:rPr>
        <w:t>以</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不忘初心、牢记使命</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为主题，扎实开展安全生产</w:t>
      </w:r>
      <w:r>
        <w:rPr>
          <w:rFonts w:hint="eastAsia" w:ascii="仿宋_GB2312" w:hAnsi="微软雅黑" w:eastAsia="仿宋_GB2312" w:cs="仿宋_GB2312"/>
          <w:color w:val="auto"/>
          <w:kern w:val="2"/>
          <w:sz w:val="32"/>
          <w:szCs w:val="32"/>
          <w:lang w:val="en-US" w:eastAsia="zh-CN" w:bidi="ar"/>
        </w:rPr>
        <w:t>“排险除患”集中整治行动</w:t>
      </w:r>
      <w:r>
        <w:rPr>
          <w:rFonts w:hint="default" w:ascii="仿宋_GB2312" w:hAnsi="微软雅黑" w:eastAsia="仿宋_GB2312" w:cs="仿宋_GB2312"/>
          <w:color w:val="auto"/>
          <w:kern w:val="2"/>
          <w:sz w:val="32"/>
          <w:szCs w:val="32"/>
          <w:lang w:val="en-US" w:eastAsia="zh-CN" w:bidi="ar"/>
        </w:rPr>
        <w:t>、</w:t>
      </w:r>
      <w:r>
        <w:rPr>
          <w:rFonts w:hint="eastAsia" w:ascii="仿宋_GB2312" w:hAnsi="微软雅黑" w:eastAsia="仿宋_GB2312" w:cs="仿宋_GB2312"/>
          <w:color w:val="auto"/>
          <w:kern w:val="2"/>
          <w:sz w:val="32"/>
          <w:szCs w:val="32"/>
          <w:lang w:val="en-US" w:eastAsia="zh-CN" w:bidi="ar"/>
        </w:rPr>
        <w:t>“森林防灭火</w:t>
      </w:r>
      <w:r>
        <w:rPr>
          <w:rFonts w:hint="default" w:ascii="仿宋_GB2312" w:hAnsi="微软雅黑" w:eastAsia="仿宋_GB2312" w:cs="仿宋_GB2312"/>
          <w:color w:val="auto"/>
          <w:kern w:val="2"/>
          <w:sz w:val="32"/>
          <w:szCs w:val="32"/>
          <w:lang w:val="en-US" w:eastAsia="zh-CN" w:bidi="ar"/>
        </w:rPr>
        <w:t>专项整治</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行动和</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铸安202</w:t>
      </w:r>
      <w:r>
        <w:rPr>
          <w:rFonts w:hint="eastAsia" w:ascii="仿宋_GB2312" w:hAnsi="微软雅黑" w:eastAsia="仿宋_GB2312" w:cs="仿宋_GB2312"/>
          <w:color w:val="auto"/>
          <w:kern w:val="2"/>
          <w:sz w:val="32"/>
          <w:szCs w:val="32"/>
          <w:lang w:val="en-US" w:eastAsia="zh-CN" w:bidi="ar"/>
        </w:rPr>
        <w:t>2</w:t>
      </w:r>
      <w:r>
        <w:rPr>
          <w:rFonts w:hint="default" w:ascii="仿宋_GB2312" w:hAnsi="微软雅黑" w:eastAsia="仿宋_GB2312" w:cs="仿宋_GB2312"/>
          <w:color w:val="auto"/>
          <w:kern w:val="2"/>
          <w:sz w:val="32"/>
          <w:szCs w:val="32"/>
          <w:lang w:val="en-US" w:eastAsia="zh-CN" w:bidi="ar"/>
        </w:rPr>
        <w:t>监管执法</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专项行动，确保了全</w:t>
      </w:r>
      <w:r>
        <w:rPr>
          <w:rFonts w:hint="eastAsia" w:ascii="仿宋_GB2312" w:hAnsi="微软雅黑" w:eastAsia="仿宋_GB2312" w:cs="仿宋_GB2312"/>
          <w:color w:val="auto"/>
          <w:kern w:val="2"/>
          <w:sz w:val="32"/>
          <w:szCs w:val="32"/>
          <w:lang w:val="en-US" w:eastAsia="zh-CN" w:bidi="ar"/>
        </w:rPr>
        <w:t>县</w:t>
      </w:r>
      <w:r>
        <w:rPr>
          <w:rFonts w:hint="default" w:ascii="仿宋_GB2312" w:hAnsi="微软雅黑" w:eastAsia="仿宋_GB2312" w:cs="仿宋_GB2312"/>
          <w:color w:val="auto"/>
          <w:kern w:val="2"/>
          <w:sz w:val="32"/>
          <w:szCs w:val="32"/>
          <w:lang w:val="en-US" w:eastAsia="zh-CN" w:bidi="ar"/>
        </w:rPr>
        <w:t>安全生产形势总体平稳。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3" w:firstLineChars="200"/>
        <w:jc w:val="left"/>
        <w:textAlignment w:val="auto"/>
        <w:rPr>
          <w:color w:val="auto"/>
        </w:rPr>
      </w:pPr>
      <w:r>
        <w:rPr>
          <w:rFonts w:hint="eastAsia" w:ascii="仿宋_GB2312" w:hAnsi="Times New Roman" w:eastAsia="仿宋_GB2312" w:cs="Times New Roman"/>
          <w:b/>
          <w:color w:val="auto"/>
          <w:kern w:val="2"/>
          <w:sz w:val="32"/>
          <w:szCs w:val="32"/>
          <w:lang w:val="en-US" w:eastAsia="zh-CN" w:bidi="ar"/>
        </w:rPr>
        <w:t>2.</w:t>
      </w:r>
      <w:r>
        <w:rPr>
          <w:rFonts w:hint="default" w:ascii="仿宋_GB2312" w:hAnsi="Times New Roman" w:eastAsia="仿宋_GB2312" w:cs="仿宋_GB2312"/>
          <w:b/>
          <w:color w:val="auto"/>
          <w:kern w:val="2"/>
          <w:sz w:val="32"/>
          <w:szCs w:val="32"/>
          <w:lang w:val="en-US" w:eastAsia="zh-CN" w:bidi="ar"/>
        </w:rPr>
        <w:t>预算公开。</w:t>
      </w:r>
      <w:r>
        <w:rPr>
          <w:rFonts w:hint="default" w:ascii="仿宋_GB2312" w:hAnsi="微软雅黑" w:eastAsia="仿宋_GB2312" w:cs="仿宋_GB2312"/>
          <w:color w:val="auto"/>
          <w:kern w:val="2"/>
          <w:sz w:val="32"/>
          <w:szCs w:val="32"/>
          <w:lang w:val="en-US" w:eastAsia="zh-CN" w:bidi="ar"/>
        </w:rPr>
        <w:t>2</w:t>
      </w:r>
      <w:r>
        <w:rPr>
          <w:rFonts w:hint="eastAsia" w:ascii="仿宋_GB2312" w:hAnsi="微软雅黑" w:eastAsia="仿宋_GB2312" w:cs="仿宋_GB2312"/>
          <w:color w:val="auto"/>
          <w:kern w:val="2"/>
          <w:sz w:val="32"/>
          <w:szCs w:val="32"/>
          <w:lang w:val="en-US" w:eastAsia="zh-CN" w:bidi="ar"/>
        </w:rPr>
        <w:t>022</w:t>
      </w:r>
      <w:r>
        <w:rPr>
          <w:rFonts w:hint="default" w:ascii="仿宋_GB2312" w:hAnsi="微软雅黑" w:eastAsia="仿宋_GB2312" w:cs="仿宋_GB2312"/>
          <w:color w:val="auto"/>
          <w:kern w:val="2"/>
          <w:sz w:val="32"/>
          <w:szCs w:val="32"/>
          <w:lang w:val="en-US" w:eastAsia="zh-CN" w:bidi="ar"/>
        </w:rPr>
        <w:t>年，严格按时间、按要求、按内容在</w:t>
      </w:r>
      <w:r>
        <w:rPr>
          <w:rFonts w:hint="eastAsia" w:ascii="仿宋_GB2312" w:hAnsi="微软雅黑" w:eastAsia="仿宋_GB2312" w:cs="仿宋_GB2312"/>
          <w:color w:val="auto"/>
          <w:kern w:val="2"/>
          <w:sz w:val="32"/>
          <w:szCs w:val="32"/>
          <w:lang w:val="en-US" w:eastAsia="zh-CN" w:bidi="ar"/>
        </w:rPr>
        <w:t>剑阁县人民政府网站</w:t>
      </w:r>
      <w:r>
        <w:rPr>
          <w:rFonts w:hint="default" w:ascii="仿宋_GB2312" w:hAnsi="微软雅黑" w:eastAsia="仿宋_GB2312" w:cs="仿宋_GB2312"/>
          <w:color w:val="auto"/>
          <w:kern w:val="2"/>
          <w:sz w:val="32"/>
          <w:szCs w:val="32"/>
          <w:lang w:val="en-US" w:eastAsia="zh-CN" w:bidi="ar"/>
        </w:rPr>
        <w:t>进行了预决算公开，做到了公开及时、格式规范、内容完整。</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3" w:firstLineChars="200"/>
        <w:jc w:val="left"/>
        <w:textAlignment w:val="auto"/>
        <w:rPr>
          <w:color w:val="auto"/>
        </w:rPr>
      </w:pPr>
      <w:r>
        <w:rPr>
          <w:rFonts w:hint="eastAsia" w:ascii="仿宋_GB2312" w:hAnsi="Times New Roman" w:eastAsia="仿宋_GB2312" w:cs="Times New Roman"/>
          <w:b/>
          <w:color w:val="auto"/>
          <w:kern w:val="2"/>
          <w:sz w:val="32"/>
          <w:szCs w:val="32"/>
          <w:lang w:val="en-US" w:eastAsia="zh-CN" w:bidi="ar"/>
        </w:rPr>
        <w:t>3.</w:t>
      </w:r>
      <w:r>
        <w:rPr>
          <w:rFonts w:hint="default" w:ascii="仿宋_GB2312" w:hAnsi="Times New Roman" w:eastAsia="仿宋_GB2312" w:cs="仿宋_GB2312"/>
          <w:b/>
          <w:color w:val="auto"/>
          <w:kern w:val="2"/>
          <w:sz w:val="32"/>
          <w:szCs w:val="32"/>
          <w:lang w:val="en-US" w:eastAsia="zh-CN" w:bidi="ar"/>
        </w:rPr>
        <w:t>存量资金管理。</w:t>
      </w:r>
      <w:r>
        <w:rPr>
          <w:rFonts w:hint="default" w:ascii="仿宋_GB2312" w:hAnsi="微软雅黑" w:eastAsia="仿宋_GB2312" w:cs="仿宋_GB2312"/>
          <w:color w:val="auto"/>
          <w:kern w:val="2"/>
          <w:sz w:val="32"/>
          <w:szCs w:val="32"/>
          <w:lang w:val="en-US" w:eastAsia="zh-CN" w:bidi="ar"/>
        </w:rPr>
        <w:t>我</w:t>
      </w:r>
      <w:r>
        <w:rPr>
          <w:rFonts w:hint="eastAsia" w:ascii="仿宋_GB2312" w:hAnsi="微软雅黑" w:eastAsia="仿宋_GB2312" w:cs="仿宋_GB2312"/>
          <w:color w:val="auto"/>
          <w:kern w:val="2"/>
          <w:sz w:val="32"/>
          <w:szCs w:val="32"/>
          <w:lang w:val="en-US" w:eastAsia="zh-CN" w:bidi="ar"/>
        </w:rPr>
        <w:t>局</w:t>
      </w:r>
      <w:r>
        <w:rPr>
          <w:rFonts w:hint="default" w:ascii="仿宋_GB2312" w:hAnsi="微软雅黑" w:eastAsia="仿宋_GB2312" w:cs="仿宋_GB2312"/>
          <w:color w:val="auto"/>
          <w:kern w:val="2"/>
          <w:sz w:val="32"/>
          <w:szCs w:val="32"/>
          <w:lang w:val="en-US" w:eastAsia="zh-CN" w:bidi="ar"/>
        </w:rPr>
        <w:t>存量资金大部分为专项资金，一方面摸清底数，严格专款专用；另一方面搞好统筹规划，积极推进，盘活资金，提高存量资金的使用效率。</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3" w:firstLineChars="200"/>
        <w:jc w:val="left"/>
        <w:textAlignment w:val="auto"/>
        <w:rPr>
          <w:color w:val="auto"/>
        </w:rPr>
      </w:pPr>
      <w:r>
        <w:rPr>
          <w:rFonts w:hint="eastAsia" w:ascii="仿宋_GB2312" w:hAnsi="Times New Roman" w:eastAsia="仿宋_GB2312" w:cs="Times New Roman"/>
          <w:b/>
          <w:color w:val="auto"/>
          <w:kern w:val="2"/>
          <w:sz w:val="32"/>
          <w:szCs w:val="32"/>
          <w:lang w:val="en-US" w:eastAsia="zh-CN" w:bidi="ar"/>
        </w:rPr>
        <w:t>4.</w:t>
      </w:r>
      <w:r>
        <w:rPr>
          <w:rFonts w:hint="default" w:ascii="仿宋_GB2312" w:hAnsi="Times New Roman" w:eastAsia="仿宋_GB2312" w:cs="仿宋_GB2312"/>
          <w:b/>
          <w:color w:val="auto"/>
          <w:kern w:val="2"/>
          <w:sz w:val="32"/>
          <w:szCs w:val="32"/>
          <w:lang w:val="en-US" w:eastAsia="zh-CN" w:bidi="ar"/>
        </w:rPr>
        <w:t>内部管理制度。</w:t>
      </w:r>
      <w:r>
        <w:rPr>
          <w:rFonts w:hint="default" w:ascii="仿宋_GB2312" w:hAnsi="Times New Roman" w:eastAsia="仿宋_GB2312" w:cs="仿宋_GB2312"/>
          <w:b w:val="0"/>
          <w:color w:val="auto"/>
          <w:kern w:val="2"/>
          <w:sz w:val="32"/>
          <w:szCs w:val="32"/>
          <w:lang w:val="en-US" w:eastAsia="zh-CN" w:bidi="ar"/>
        </w:rPr>
        <w:t>以党纪法规为依据，以内控制度为准绳，</w:t>
      </w:r>
      <w:r>
        <w:rPr>
          <w:rFonts w:hint="default" w:ascii="仿宋_GB2312" w:hAnsi="微软雅黑" w:eastAsia="仿宋_GB2312" w:cs="仿宋_GB2312"/>
          <w:color w:val="auto"/>
          <w:kern w:val="2"/>
          <w:sz w:val="32"/>
          <w:szCs w:val="32"/>
          <w:lang w:val="en-US" w:eastAsia="zh-CN" w:bidi="ar"/>
        </w:rPr>
        <w:t>依法、依规、依程序开展各项经济活动，充分保证公开公平公正；进一步落实厉行节约的各项规定，严控“三公经费”，压减一般性支出，持续发挥内控制度相互制约、相互监督的管理效果。</w:t>
      </w:r>
    </w:p>
    <w:p>
      <w:pPr>
        <w:spacing w:line="580" w:lineRule="exact"/>
        <w:ind w:firstLine="640" w:firstLineChars="200"/>
        <w:rPr>
          <w:rFonts w:ascii="仿宋" w:hAnsi="仿宋" w:eastAsia="仿宋" w:cs="仿宋_GB2312"/>
          <w:color w:val="auto"/>
          <w:sz w:val="32"/>
          <w:szCs w:val="32"/>
        </w:rPr>
      </w:pPr>
      <w:r>
        <w:rPr>
          <w:rFonts w:hint="eastAsia" w:ascii="楷体_GB2312" w:hAnsi="楷体_GB2312" w:eastAsia="楷体_GB2312" w:cs="楷体_GB2312"/>
          <w:color w:val="auto"/>
          <w:sz w:val="32"/>
          <w:szCs w:val="32"/>
        </w:rPr>
        <w:t>（二）专项预算管理。</w:t>
      </w:r>
    </w:p>
    <w:p>
      <w:pPr>
        <w:spacing w:line="580" w:lineRule="exact"/>
        <w:ind w:firstLine="640" w:firstLineChars="200"/>
        <w:rPr>
          <w:rFonts w:hint="default" w:ascii="仿宋_GB2312" w:hAnsi="微软雅黑" w:eastAsia="仿宋_GB2312" w:cs="仿宋_GB2312"/>
          <w:color w:val="auto"/>
          <w:kern w:val="2"/>
          <w:sz w:val="32"/>
          <w:szCs w:val="32"/>
          <w:lang w:val="en-US" w:eastAsia="zh-CN" w:bidi="ar"/>
        </w:rPr>
      </w:pPr>
      <w:r>
        <w:rPr>
          <w:rFonts w:hint="default" w:ascii="仿宋_GB2312" w:hAnsi="微软雅黑" w:eastAsia="仿宋_GB2312" w:cs="仿宋_GB2312"/>
          <w:color w:val="auto"/>
          <w:kern w:val="2"/>
          <w:sz w:val="32"/>
          <w:szCs w:val="32"/>
          <w:lang w:val="en-US" w:eastAsia="zh-CN" w:bidi="ar"/>
        </w:rPr>
        <w:t>我</w:t>
      </w:r>
      <w:r>
        <w:rPr>
          <w:rFonts w:hint="eastAsia" w:ascii="仿宋_GB2312" w:hAnsi="微软雅黑" w:eastAsia="仿宋_GB2312" w:cs="仿宋_GB2312"/>
          <w:color w:val="auto"/>
          <w:kern w:val="2"/>
          <w:sz w:val="32"/>
          <w:szCs w:val="32"/>
          <w:lang w:val="en-US" w:eastAsia="zh-CN" w:bidi="ar"/>
        </w:rPr>
        <w:t>局</w:t>
      </w:r>
      <w:r>
        <w:rPr>
          <w:rFonts w:hint="default" w:ascii="仿宋_GB2312" w:hAnsi="微软雅黑" w:eastAsia="仿宋_GB2312" w:cs="仿宋_GB2312"/>
          <w:color w:val="auto"/>
          <w:kern w:val="2"/>
          <w:sz w:val="32"/>
          <w:szCs w:val="32"/>
          <w:lang w:val="en-US" w:eastAsia="zh-CN" w:bidi="ar"/>
        </w:rPr>
        <w:t>存量资金大部分为专项资金，一方面摸清底数，严格专款专用；另一方面搞好统筹规划，积极推进，盘活资金，提高存量资金的使用效率。</w:t>
      </w:r>
    </w:p>
    <w:p>
      <w:pPr>
        <w:spacing w:line="580" w:lineRule="exact"/>
        <w:ind w:firstLine="640" w:firstLineChars="200"/>
        <w:rPr>
          <w:rFonts w:ascii="仿宋" w:hAnsi="仿宋" w:eastAsia="仿宋" w:cs="仿宋_GB2312"/>
          <w:color w:val="auto"/>
          <w:sz w:val="32"/>
          <w:szCs w:val="32"/>
        </w:rPr>
      </w:pPr>
      <w:r>
        <w:rPr>
          <w:rFonts w:hint="eastAsia" w:ascii="楷体_GB2312" w:hAnsi="楷体_GB2312" w:eastAsia="楷体_GB2312" w:cs="楷体_GB2312"/>
          <w:color w:val="auto"/>
          <w:sz w:val="32"/>
          <w:szCs w:val="32"/>
        </w:rPr>
        <w:t>（三）结果应用情况。</w:t>
      </w:r>
    </w:p>
    <w:p>
      <w:pPr>
        <w:spacing w:line="580" w:lineRule="exact"/>
        <w:ind w:firstLine="640" w:firstLineChars="200"/>
        <w:rPr>
          <w:rFonts w:hint="default" w:ascii="仿宋_GB2312" w:hAnsi="微软雅黑" w:eastAsia="仿宋_GB2312" w:cs="仿宋_GB2312"/>
          <w:color w:val="auto"/>
          <w:kern w:val="2"/>
          <w:sz w:val="32"/>
          <w:szCs w:val="32"/>
          <w:lang w:val="en-US" w:eastAsia="zh-CN" w:bidi="ar"/>
        </w:rPr>
      </w:pPr>
      <w:r>
        <w:rPr>
          <w:rFonts w:hint="default" w:ascii="仿宋_GB2312" w:hAnsi="微软雅黑" w:eastAsia="仿宋_GB2312" w:cs="仿宋_GB2312"/>
          <w:color w:val="auto"/>
          <w:kern w:val="2"/>
          <w:sz w:val="32"/>
          <w:szCs w:val="32"/>
          <w:lang w:val="en-US" w:eastAsia="zh-CN" w:bidi="ar"/>
        </w:rPr>
        <w:t>从整体情况来看，</w:t>
      </w:r>
      <w:r>
        <w:rPr>
          <w:rFonts w:hint="eastAsia" w:ascii="仿宋_GB2312" w:hAnsi="微软雅黑" w:eastAsia="仿宋_GB2312" w:cs="仿宋_GB2312"/>
          <w:color w:val="auto"/>
          <w:kern w:val="2"/>
          <w:sz w:val="32"/>
          <w:szCs w:val="32"/>
          <w:lang w:val="en-US" w:eastAsia="zh-CN" w:bidi="ar"/>
        </w:rPr>
        <w:t>我局</w:t>
      </w:r>
      <w:r>
        <w:rPr>
          <w:rFonts w:hint="default" w:ascii="仿宋_GB2312" w:hAnsi="微软雅黑" w:eastAsia="仿宋_GB2312" w:cs="仿宋_GB2312"/>
          <w:color w:val="auto"/>
          <w:kern w:val="2"/>
          <w:sz w:val="32"/>
          <w:szCs w:val="32"/>
          <w:lang w:val="en-US" w:eastAsia="zh-CN" w:bidi="ar"/>
        </w:rPr>
        <w:t>严格落实《</w:t>
      </w:r>
      <w:r>
        <w:rPr>
          <w:rFonts w:hint="eastAsia" w:ascii="仿宋_GB2312" w:hAnsi="微软雅黑" w:eastAsia="仿宋_GB2312" w:cs="仿宋_GB2312"/>
          <w:color w:val="auto"/>
          <w:kern w:val="2"/>
          <w:sz w:val="32"/>
          <w:szCs w:val="32"/>
          <w:lang w:val="en-US" w:eastAsia="zh-CN" w:bidi="ar"/>
        </w:rPr>
        <w:t>中华人民共和国</w:t>
      </w:r>
      <w:bookmarkStart w:id="73" w:name="_GoBack"/>
      <w:bookmarkEnd w:id="73"/>
      <w:r>
        <w:rPr>
          <w:rFonts w:hint="default" w:ascii="仿宋_GB2312" w:hAnsi="微软雅黑" w:eastAsia="仿宋_GB2312" w:cs="仿宋_GB2312"/>
          <w:color w:val="auto"/>
          <w:kern w:val="2"/>
          <w:sz w:val="32"/>
          <w:szCs w:val="32"/>
          <w:lang w:val="en-US" w:eastAsia="zh-CN" w:bidi="ar"/>
        </w:rPr>
        <w:t>预算法》及省、市</w:t>
      </w:r>
      <w:r>
        <w:rPr>
          <w:rFonts w:hint="eastAsia" w:ascii="仿宋_GB2312" w:hAnsi="微软雅黑" w:eastAsia="仿宋_GB2312" w:cs="仿宋_GB2312"/>
          <w:color w:val="auto"/>
          <w:kern w:val="2"/>
          <w:sz w:val="32"/>
          <w:szCs w:val="32"/>
          <w:lang w:val="en-US" w:eastAsia="zh-CN" w:bidi="ar"/>
        </w:rPr>
        <w:t>、县</w:t>
      </w:r>
      <w:r>
        <w:rPr>
          <w:rFonts w:hint="default" w:ascii="仿宋_GB2312" w:hAnsi="微软雅黑" w:eastAsia="仿宋_GB2312" w:cs="仿宋_GB2312"/>
          <w:color w:val="auto"/>
          <w:kern w:val="2"/>
          <w:sz w:val="32"/>
          <w:szCs w:val="32"/>
          <w:lang w:val="en-US" w:eastAsia="zh-CN" w:bidi="ar"/>
        </w:rPr>
        <w:t>绩效管理工作的有关规定，进一步规范财政资金的管理，强化财政支出绩效理念，提升部门责任意识，提高资金使用效益，促进应急管理工作的发展。我局严格按照年初部门预算安排和预算调整进行部门整体支出。在支出过程中，能严格遵守各项规章制度，“三公经费”持续下降。特别是在专项经费支出上，确保专款专用，按项目实施进度进行资金拨付，无截留、无挪用等现象</w:t>
      </w:r>
    </w:p>
    <w:p>
      <w:pPr>
        <w:spacing w:line="580" w:lineRule="exact"/>
        <w:ind w:firstLine="643" w:firstLineChars="200"/>
        <w:rPr>
          <w:rFonts w:ascii="黑体" w:hAnsi="黑体" w:eastAsia="黑体" w:cs="黑体"/>
          <w:b/>
          <w:bCs/>
          <w:color w:val="auto"/>
          <w:sz w:val="32"/>
          <w:szCs w:val="32"/>
        </w:rPr>
      </w:pPr>
      <w:r>
        <w:rPr>
          <w:rFonts w:ascii="黑体" w:hAnsi="黑体" w:eastAsia="黑体" w:cs="黑体"/>
          <w:b/>
          <w:bCs/>
          <w:color w:val="auto"/>
          <w:sz w:val="32"/>
          <w:szCs w:val="32"/>
        </w:rPr>
        <w:t>四、评价结论及建议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（一）评价结论。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eastAsia" w:ascii="仿宋_GB2312" w:hAnsi="微软雅黑" w:eastAsia="仿宋_GB2312" w:cs="仿宋_GB2312"/>
          <w:color w:val="auto"/>
          <w:kern w:val="2"/>
          <w:sz w:val="32"/>
          <w:szCs w:val="32"/>
          <w:lang w:val="en-US" w:eastAsia="zh-CN" w:bidi="ar"/>
        </w:rPr>
        <w:t>2022</w:t>
      </w:r>
      <w:r>
        <w:rPr>
          <w:rFonts w:hint="default" w:ascii="仿宋_GB2312" w:hAnsi="微软雅黑" w:eastAsia="仿宋_GB2312" w:cs="仿宋_GB2312"/>
          <w:color w:val="auto"/>
          <w:kern w:val="2"/>
          <w:sz w:val="32"/>
          <w:szCs w:val="32"/>
          <w:lang w:val="en-US" w:eastAsia="zh-CN" w:bidi="ar"/>
        </w:rPr>
        <w:t>年</w:t>
      </w:r>
      <w:r>
        <w:rPr>
          <w:rFonts w:hint="eastAsia" w:ascii="仿宋_GB2312" w:hAnsi="微软雅黑" w:eastAsia="仿宋_GB2312" w:cs="仿宋_GB2312"/>
          <w:color w:val="auto"/>
          <w:kern w:val="2"/>
          <w:sz w:val="32"/>
          <w:szCs w:val="32"/>
          <w:lang w:val="en-US" w:eastAsia="zh-CN" w:bidi="ar"/>
        </w:rPr>
        <w:t>县</w:t>
      </w:r>
      <w:r>
        <w:rPr>
          <w:rFonts w:hint="default" w:ascii="仿宋_GB2312" w:hAnsi="微软雅黑" w:eastAsia="仿宋_GB2312" w:cs="仿宋_GB2312"/>
          <w:color w:val="auto"/>
          <w:kern w:val="2"/>
          <w:sz w:val="32"/>
          <w:szCs w:val="32"/>
          <w:lang w:val="en-US" w:eastAsia="zh-CN" w:bidi="ar"/>
        </w:rPr>
        <w:t>应急管理工作在改革中摸索、在摸索中前进。对照《20</w:t>
      </w:r>
      <w:r>
        <w:rPr>
          <w:rFonts w:hint="eastAsia" w:ascii="仿宋_GB2312" w:hAnsi="微软雅黑" w:eastAsia="仿宋_GB2312" w:cs="仿宋_GB2312"/>
          <w:color w:val="auto"/>
          <w:kern w:val="2"/>
          <w:sz w:val="32"/>
          <w:szCs w:val="32"/>
          <w:lang w:val="en-US" w:eastAsia="zh-CN" w:bidi="ar"/>
        </w:rPr>
        <w:t>22</w:t>
      </w:r>
      <w:r>
        <w:rPr>
          <w:rFonts w:hint="default" w:ascii="仿宋_GB2312" w:hAnsi="微软雅黑" w:eastAsia="仿宋_GB2312" w:cs="仿宋_GB2312"/>
          <w:color w:val="auto"/>
          <w:kern w:val="2"/>
          <w:sz w:val="32"/>
          <w:szCs w:val="32"/>
          <w:lang w:val="en-US" w:eastAsia="zh-CN" w:bidi="ar"/>
        </w:rPr>
        <w:t>年</w:t>
      </w:r>
      <w:r>
        <w:rPr>
          <w:rFonts w:hint="eastAsia" w:ascii="仿宋_GB2312" w:hAnsi="微软雅黑" w:eastAsia="仿宋_GB2312" w:cs="仿宋_GB2312"/>
          <w:color w:val="auto"/>
          <w:kern w:val="2"/>
          <w:sz w:val="32"/>
          <w:szCs w:val="32"/>
          <w:lang w:val="en-US" w:eastAsia="zh-CN" w:bidi="ar"/>
        </w:rPr>
        <w:t>剑阁县</w:t>
      </w:r>
      <w:r>
        <w:rPr>
          <w:rFonts w:hint="default" w:ascii="仿宋_GB2312" w:hAnsi="微软雅黑" w:eastAsia="仿宋_GB2312" w:cs="仿宋_GB2312"/>
          <w:color w:val="auto"/>
          <w:kern w:val="2"/>
          <w:sz w:val="32"/>
          <w:szCs w:val="32"/>
          <w:lang w:val="en-US" w:eastAsia="zh-CN" w:bidi="ar"/>
        </w:rPr>
        <w:t>部门整体支出绩效</w:t>
      </w:r>
      <w:r>
        <w:rPr>
          <w:rFonts w:hint="eastAsia" w:ascii="仿宋_GB2312" w:hAnsi="微软雅黑" w:eastAsia="仿宋_GB2312" w:cs="仿宋_GB2312"/>
          <w:color w:val="auto"/>
          <w:kern w:val="2"/>
          <w:sz w:val="32"/>
          <w:szCs w:val="32"/>
          <w:lang w:val="en-US" w:eastAsia="zh-CN" w:bidi="ar"/>
        </w:rPr>
        <w:t>评价指标体系</w:t>
      </w:r>
      <w:r>
        <w:rPr>
          <w:rFonts w:hint="default" w:ascii="仿宋_GB2312" w:hAnsi="微软雅黑" w:eastAsia="仿宋_GB2312" w:cs="仿宋_GB2312"/>
          <w:color w:val="auto"/>
          <w:kern w:val="2"/>
          <w:sz w:val="32"/>
          <w:szCs w:val="32"/>
          <w:lang w:val="en-US" w:eastAsia="zh-CN" w:bidi="ar"/>
        </w:rPr>
        <w:t>》</w:t>
      </w:r>
      <w:r>
        <w:rPr>
          <w:rFonts w:hint="eastAsia" w:ascii="仿宋_GB2312" w:hAnsi="微软雅黑" w:eastAsia="仿宋_GB2312" w:cs="仿宋_GB2312"/>
          <w:color w:val="auto"/>
          <w:kern w:val="2"/>
          <w:sz w:val="32"/>
          <w:szCs w:val="32"/>
          <w:lang w:val="en-US" w:eastAsia="zh-CN" w:bidi="ar"/>
        </w:rPr>
        <w:t>进行了评价</w:t>
      </w:r>
      <w:r>
        <w:rPr>
          <w:rFonts w:hint="default" w:ascii="仿宋_GB2312" w:hAnsi="微软雅黑" w:eastAsia="仿宋_GB2312" w:cs="仿宋_GB2312"/>
          <w:color w:val="auto"/>
          <w:kern w:val="2"/>
          <w:sz w:val="32"/>
          <w:szCs w:val="32"/>
          <w:lang w:val="en-US" w:eastAsia="zh-CN" w:bidi="ar"/>
        </w:rPr>
        <w:t>，结论为“优”。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right="0" w:rightChars="0" w:firstLine="643" w:firstLineChars="200"/>
        <w:jc w:val="left"/>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rPr>
        <w:t>存在问题。</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right="0" w:rightChars="0" w:firstLine="640" w:firstLineChars="200"/>
        <w:jc w:val="left"/>
        <w:textAlignment w:val="auto"/>
        <w:rPr>
          <w:color w:val="auto"/>
        </w:rPr>
      </w:pPr>
      <w:r>
        <w:rPr>
          <w:rFonts w:hint="default" w:ascii="仿宋_GB2312" w:hAnsi="微软雅黑" w:eastAsia="仿宋_GB2312" w:cs="仿宋_GB2312"/>
          <w:b w:val="0"/>
          <w:color w:val="auto"/>
          <w:kern w:val="2"/>
          <w:sz w:val="32"/>
          <w:szCs w:val="32"/>
          <w:lang w:val="en-US" w:eastAsia="zh-CN" w:bidi="ar"/>
        </w:rPr>
        <w:t>从</w:t>
      </w:r>
      <w:r>
        <w:rPr>
          <w:rFonts w:hint="eastAsia" w:ascii="仿宋_GB2312" w:hAnsi="微软雅黑" w:eastAsia="仿宋_GB2312" w:cs="仿宋_GB2312"/>
          <w:b w:val="0"/>
          <w:color w:val="auto"/>
          <w:kern w:val="2"/>
          <w:sz w:val="32"/>
          <w:szCs w:val="32"/>
          <w:lang w:val="en-US" w:eastAsia="zh-CN" w:bidi="ar"/>
        </w:rPr>
        <w:t>2022</w:t>
      </w:r>
      <w:r>
        <w:rPr>
          <w:rFonts w:hint="default" w:ascii="仿宋_GB2312" w:hAnsi="微软雅黑" w:eastAsia="仿宋_GB2312" w:cs="仿宋_GB2312"/>
          <w:b w:val="0"/>
          <w:color w:val="auto"/>
          <w:kern w:val="2"/>
          <w:sz w:val="32"/>
          <w:szCs w:val="32"/>
          <w:lang w:val="en-US" w:eastAsia="zh-CN" w:bidi="ar"/>
        </w:rPr>
        <w:t>年度部门整体支出绩效自评指标完成情况看，部门整体预算的编制、执行和管理过程以及职能发挥和履职效益总体较好，但也还存在以下问题：</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40" w:lineRule="exact"/>
        <w:ind w:left="0" w:right="0" w:firstLine="640" w:firstLineChars="200"/>
        <w:jc w:val="left"/>
        <w:textAlignment w:val="auto"/>
        <w:rPr>
          <w:color w:val="auto"/>
        </w:rPr>
      </w:pPr>
      <w:r>
        <w:rPr>
          <w:rFonts w:hint="default" w:ascii="仿宋_GB2312" w:hAnsi="微软雅黑" w:eastAsia="仿宋_GB2312" w:cs="仿宋_GB2312"/>
          <w:b w:val="0"/>
          <w:color w:val="auto"/>
          <w:kern w:val="2"/>
          <w:sz w:val="32"/>
          <w:szCs w:val="32"/>
          <w:lang w:val="en-US" w:eastAsia="zh-CN" w:bidi="ar"/>
        </w:rPr>
        <w:t>预算完成率结构不优</w:t>
      </w:r>
      <w:r>
        <w:rPr>
          <w:rFonts w:hint="eastAsia" w:ascii="仿宋_GB2312" w:hAnsi="微软雅黑" w:eastAsia="仿宋_GB2312" w:cs="仿宋_GB2312"/>
          <w:b w:val="0"/>
          <w:color w:val="auto"/>
          <w:kern w:val="2"/>
          <w:sz w:val="32"/>
          <w:szCs w:val="32"/>
          <w:lang w:val="en-US" w:eastAsia="zh-CN" w:bidi="ar"/>
        </w:rPr>
        <w:t>，</w:t>
      </w:r>
      <w:r>
        <w:rPr>
          <w:rFonts w:hint="default" w:ascii="仿宋_GB2312" w:hAnsi="微软雅黑" w:eastAsia="仿宋_GB2312" w:cs="仿宋_GB2312"/>
          <w:b w:val="0"/>
          <w:color w:val="auto"/>
          <w:kern w:val="2"/>
          <w:sz w:val="32"/>
          <w:szCs w:val="32"/>
          <w:lang w:val="en-US" w:eastAsia="zh-CN" w:bidi="ar"/>
        </w:rPr>
        <w:t>具体而言，</w:t>
      </w:r>
      <w:r>
        <w:rPr>
          <w:rFonts w:hint="default" w:ascii="仿宋_GB2312" w:hAnsi="微软雅黑" w:eastAsia="仿宋_GB2312" w:cs="仿宋_GB2312"/>
          <w:color w:val="auto"/>
          <w:kern w:val="2"/>
          <w:sz w:val="32"/>
          <w:szCs w:val="32"/>
          <w:lang w:val="en-US" w:eastAsia="zh-CN" w:bidi="ar"/>
        </w:rPr>
        <w:t>基本支出经费预算完成率和预算控制率均较好，但项目收支中部分项目因受机构改革等因素影响，造成指标下达时间较晚</w:t>
      </w:r>
      <w:r>
        <w:rPr>
          <w:rFonts w:hint="default" w:ascii="仿宋_GB2312" w:hAnsi="微软雅黑" w:eastAsia="仿宋_GB2312" w:cs="仿宋_GB2312"/>
          <w:i w:val="0"/>
          <w:caps w:val="0"/>
          <w:color w:val="auto"/>
          <w:spacing w:val="0"/>
          <w:kern w:val="2"/>
          <w:sz w:val="32"/>
          <w:szCs w:val="32"/>
          <w:shd w:val="clear" w:fill="FFFFFF"/>
          <w:lang w:val="en-US" w:eastAsia="zh-CN" w:bidi="ar"/>
        </w:rPr>
        <w:t>，</w:t>
      </w:r>
      <w:r>
        <w:rPr>
          <w:rFonts w:hint="default" w:ascii="仿宋_GB2312" w:hAnsi="微软雅黑" w:eastAsia="仿宋_GB2312" w:cs="仿宋_GB2312"/>
          <w:color w:val="auto"/>
          <w:kern w:val="2"/>
          <w:sz w:val="32"/>
          <w:szCs w:val="32"/>
          <w:lang w:val="en-US" w:eastAsia="zh-CN" w:bidi="ar"/>
        </w:rPr>
        <w:t>导致资金未能及时使用</w:t>
      </w:r>
      <w:r>
        <w:rPr>
          <w:rFonts w:hint="default" w:ascii="仿宋_GB2312" w:hAnsi="微软雅黑" w:eastAsia="仿宋_GB2312" w:cs="仿宋_GB2312"/>
          <w:i w:val="0"/>
          <w:caps w:val="0"/>
          <w:color w:val="auto"/>
          <w:spacing w:val="0"/>
          <w:kern w:val="2"/>
          <w:sz w:val="32"/>
          <w:szCs w:val="32"/>
          <w:shd w:val="clear" w:fill="FFFFFF"/>
          <w:lang w:val="en-US" w:eastAsia="zh-CN" w:bidi="ar"/>
        </w:rPr>
        <w:t>。</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right="0" w:rightChars="0" w:firstLine="643" w:firstLineChars="200"/>
        <w:jc w:val="both"/>
        <w:textAlignment w:val="auto"/>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rPr>
        <w:t>改进建议。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Chars="200" w:right="0" w:rightChars="0" w:firstLine="320" w:firstLineChars="100"/>
        <w:jc w:val="both"/>
        <w:textAlignment w:val="auto"/>
        <w:rPr>
          <w:b/>
          <w:bCs/>
          <w:color w:val="auto"/>
        </w:rPr>
      </w:pPr>
      <w:r>
        <w:rPr>
          <w:rFonts w:hint="eastAsia" w:ascii="仿宋" w:hAnsi="仿宋" w:eastAsia="仿宋" w:cs="仿宋_GB2312"/>
          <w:color w:val="auto"/>
          <w:sz w:val="32"/>
          <w:szCs w:val="32"/>
          <w:lang w:val="en-US" w:eastAsia="zh-CN"/>
        </w:rPr>
        <w:t>1、</w:t>
      </w:r>
      <w:r>
        <w:rPr>
          <w:rFonts w:hint="eastAsia" w:ascii="楷体" w:hAnsi="楷体" w:eastAsia="楷体" w:cs="楷体"/>
          <w:b/>
          <w:bCs/>
          <w:color w:val="auto"/>
          <w:kern w:val="2"/>
          <w:sz w:val="32"/>
          <w:szCs w:val="32"/>
          <w:lang w:val="en-US" w:eastAsia="zh-CN" w:bidi="ar"/>
        </w:rPr>
        <w:t>持续推进预算编制“科学化”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default" w:ascii="仿宋_GB2312" w:hAnsi="微软雅黑" w:eastAsia="仿宋_GB2312" w:cs="仿宋_GB2312"/>
          <w:color w:val="auto"/>
          <w:kern w:val="2"/>
          <w:sz w:val="32"/>
          <w:szCs w:val="32"/>
          <w:lang w:val="en-US" w:eastAsia="zh-CN" w:bidi="ar"/>
        </w:rPr>
      </w:pPr>
      <w:r>
        <w:rPr>
          <w:rFonts w:hint="default" w:ascii="仿宋_GB2312" w:hAnsi="微软雅黑" w:eastAsia="仿宋_GB2312" w:cs="仿宋_GB2312"/>
          <w:color w:val="auto"/>
          <w:kern w:val="2"/>
          <w:sz w:val="32"/>
          <w:szCs w:val="32"/>
          <w:lang w:val="en-US" w:eastAsia="zh-CN" w:bidi="ar"/>
        </w:rPr>
        <w:t>本着“实事求是、勤俭节约、量入为出、收支平衡”的原则进行预算编制，严格预算编制的相关制度和要求</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规范预算编制程序。</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0" w:leftChars="0" w:right="0" w:rightChars="0" w:firstLine="643" w:firstLineChars="200"/>
        <w:jc w:val="both"/>
        <w:textAlignment w:val="auto"/>
        <w:rPr>
          <w:b/>
          <w:bCs/>
          <w:color w:val="auto"/>
        </w:rPr>
      </w:pPr>
      <w:r>
        <w:rPr>
          <w:rFonts w:hint="eastAsia" w:ascii="楷体" w:hAnsi="楷体" w:eastAsia="楷体" w:cs="楷体"/>
          <w:b/>
          <w:bCs/>
          <w:color w:val="auto"/>
          <w:kern w:val="2"/>
          <w:sz w:val="32"/>
          <w:szCs w:val="32"/>
          <w:lang w:val="en-US" w:eastAsia="zh-CN" w:bidi="ar"/>
        </w:rPr>
        <w:t>2、持续加强预算执行“规范化”</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autoSpaceDE/>
        <w:autoSpaceDN/>
        <w:bidi w:val="0"/>
        <w:adjustRightInd/>
        <w:snapToGrid/>
        <w:spacing w:before="0" w:beforeAutospacing="0" w:after="0" w:afterAutospacing="0" w:line="540" w:lineRule="exact"/>
        <w:ind w:left="0" w:leftChars="0" w:right="0" w:rightChars="0" w:firstLine="640" w:firstLineChars="200"/>
        <w:jc w:val="both"/>
        <w:textAlignment w:val="auto"/>
        <w:rPr>
          <w:color w:val="auto"/>
        </w:rPr>
      </w:pPr>
      <w:r>
        <w:rPr>
          <w:rFonts w:hint="default" w:ascii="仿宋_GB2312" w:hAnsi="微软雅黑" w:eastAsia="仿宋_GB2312" w:cs="仿宋_GB2312"/>
          <w:b w:val="0"/>
          <w:color w:val="auto"/>
          <w:kern w:val="2"/>
          <w:sz w:val="32"/>
          <w:szCs w:val="32"/>
          <w:lang w:val="en-US" w:eastAsia="zh-CN" w:bidi="ar"/>
        </w:rPr>
        <w:t>进一步强化预算执行和预算约束，严把预算追加关，做到“无预算不开支”；坚持目标导向，积极开展预算支出</w:t>
      </w:r>
      <w:r>
        <w:rPr>
          <w:rFonts w:hint="default" w:ascii="仿宋_GB2312" w:hAnsi="微软雅黑" w:eastAsia="仿宋_GB2312" w:cs="仿宋_GB2312"/>
          <w:color w:val="auto"/>
          <w:kern w:val="2"/>
          <w:sz w:val="32"/>
          <w:szCs w:val="32"/>
          <w:lang w:val="en-US" w:eastAsia="zh-CN" w:bidi="ar"/>
        </w:rPr>
        <w:t>绩效评价，确保完成既定绩效目标</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做到“花钱必问效”；充分发挥资金的使用效益</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积极压减年末结转结余资金规模</w:t>
      </w:r>
      <w:r>
        <w:rPr>
          <w:rFonts w:hint="eastAsia" w:ascii="仿宋_GB2312" w:hAnsi="微软雅黑" w:eastAsia="仿宋_GB2312" w:cs="仿宋_GB2312"/>
          <w:color w:val="auto"/>
          <w:kern w:val="2"/>
          <w:sz w:val="32"/>
          <w:szCs w:val="32"/>
          <w:lang w:val="en-US" w:eastAsia="zh-CN" w:bidi="ar"/>
        </w:rPr>
        <w:t>，</w:t>
      </w:r>
      <w:r>
        <w:rPr>
          <w:rFonts w:hint="default" w:ascii="仿宋_GB2312" w:hAnsi="微软雅黑" w:eastAsia="仿宋_GB2312" w:cs="仿宋_GB2312"/>
          <w:color w:val="auto"/>
          <w:kern w:val="2"/>
          <w:sz w:val="32"/>
          <w:szCs w:val="32"/>
          <w:lang w:val="en-US" w:eastAsia="zh-CN" w:bidi="ar"/>
        </w:rPr>
        <w:t>减存量遏增量，有效提高预算执行率和结转结余控制率。</w:t>
      </w:r>
    </w:p>
    <w:p>
      <w:pPr>
        <w:spacing w:line="580" w:lineRule="exact"/>
        <w:ind w:firstLine="640" w:firstLineChars="200"/>
        <w:rPr>
          <w:rFonts w:ascii="仿宋" w:hAnsi="仿宋" w:eastAsia="仿宋" w:cs="仿宋_GB2312"/>
          <w:color w:val="auto"/>
          <w:sz w:val="32"/>
          <w:szCs w:val="32"/>
        </w:rPr>
      </w:pPr>
    </w:p>
    <w:p>
      <w:pPr>
        <w:spacing w:line="580" w:lineRule="exact"/>
        <w:ind w:firstLine="640" w:firstLineChars="200"/>
        <w:rPr>
          <w:rFonts w:ascii="仿宋_GB2312" w:hAnsi="仿宋_GB2312" w:eastAsia="仿宋_GB2312" w:cs="仿宋_GB2312"/>
          <w:color w:val="auto"/>
          <w:sz w:val="32"/>
          <w:szCs w:val="32"/>
        </w:rPr>
      </w:pPr>
    </w:p>
    <w:p>
      <w:pPr>
        <w:widowControl/>
        <w:jc w:val="left"/>
        <w:rPr>
          <w:rFonts w:ascii="仿宋_GB2312" w:hAnsi="仿宋_GB2312" w:eastAsia="仿宋_GB2312" w:cs="仿宋_GB2312"/>
          <w:color w:val="auto"/>
          <w:sz w:val="32"/>
          <w:szCs w:val="32"/>
        </w:rPr>
      </w:pPr>
      <w:r>
        <w:rPr>
          <w:rFonts w:ascii="仿宋_GB2312" w:hAnsi="仿宋_GB2312" w:eastAsia="仿宋_GB2312" w:cs="仿宋_GB2312"/>
          <w:color w:val="auto"/>
          <w:sz w:val="32"/>
          <w:szCs w:val="32"/>
        </w:rPr>
        <w:br w:type="page"/>
      </w:r>
    </w:p>
    <w:p>
      <w:pPr>
        <w:pStyle w:val="4"/>
        <w:outlineLvl w:val="1"/>
        <w:rPr>
          <w:rStyle w:val="25"/>
          <w:rFonts w:hint="eastAsia" w:ascii="黑体" w:hAnsi="黑体" w:eastAsia="黑体" w:cs="黑体"/>
          <w:b w:val="0"/>
          <w:bCs w:val="0"/>
          <w:color w:val="auto"/>
          <w:sz w:val="32"/>
          <w:szCs w:val="32"/>
        </w:rPr>
      </w:pPr>
      <w:bookmarkStart w:id="57" w:name="_Toc27874"/>
      <w:r>
        <w:rPr>
          <w:rStyle w:val="25"/>
          <w:rFonts w:hint="eastAsia" w:ascii="黑体" w:hAnsi="黑体" w:eastAsia="黑体" w:cs="黑体"/>
          <w:b w:val="0"/>
          <w:bCs w:val="0"/>
          <w:color w:val="auto"/>
          <w:sz w:val="32"/>
          <w:szCs w:val="32"/>
        </w:rPr>
        <w:t>附件2</w:t>
      </w:r>
      <w:bookmarkEnd w:id="57"/>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w:t>
      </w: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森林草原防灾减灾经费</w:t>
      </w:r>
      <w:r>
        <w:rPr>
          <w:rFonts w:hint="eastAsia" w:ascii="方正小标宋简体" w:hAnsi="方正小标宋简体" w:eastAsia="方正小标宋简体" w:cs="方正小标宋简体"/>
          <w:color w:val="auto"/>
          <w:sz w:val="44"/>
          <w:szCs w:val="44"/>
        </w:rPr>
        <w:t>项目</w:t>
      </w: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支出绩效评价报告</w:t>
      </w:r>
    </w:p>
    <w:p>
      <w:pPr>
        <w:spacing w:line="580" w:lineRule="exact"/>
        <w:ind w:firstLine="640" w:firstLineChars="200"/>
        <w:rPr>
          <w:rFonts w:ascii="仿宋_GB2312" w:hAnsi="仿宋_GB2312" w:eastAsia="仿宋_GB2312" w:cs="仿宋_GB2312"/>
          <w:color w:val="auto"/>
          <w:sz w:val="32"/>
          <w:szCs w:val="32"/>
        </w:rPr>
      </w:pPr>
    </w:p>
    <w:p>
      <w:pPr>
        <w:spacing w:line="58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一、评价工作开展及项目情况</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根据剑阁县财政局《关于下达2022年部门预算的通知》（剑财预〔2022〕1号）文件，下达森林草原防灾减灾经费项目。</w:t>
      </w:r>
    </w:p>
    <w:p>
      <w:pPr>
        <w:spacing w:line="58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二、评价结论及绩效分析</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（一）评价结论</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通过预算森林防灭火指挥部运转资金，确保不发生森林火灾，维护森林资源，保护人民群众生命财产安全。</w:t>
      </w:r>
    </w:p>
    <w:p>
      <w:pPr>
        <w:spacing w:line="580" w:lineRule="exact"/>
        <w:ind w:firstLine="643" w:firstLineChars="200"/>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（二）绩效分析</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、项目决策</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、项目管理</w:t>
      </w:r>
    </w:p>
    <w:p>
      <w:pPr>
        <w:spacing w:line="58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在资金管理上强化责任意识，建立健全管理制度，落实配套资金，定期调度资金拨付情况，提高预算执行效率和资金使用效益，确保财政资金使用安全。</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、项目绩效</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（1）数量指标</w:t>
      </w:r>
    </w:p>
    <w:p>
      <w:pPr>
        <w:spacing w:line="580" w:lineRule="exact"/>
        <w:ind w:firstLine="1280" w:firstLineChars="4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保障了1个森林防灭火指挥部办公室正常运转，举行森林防火演练一次。</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质量指标</w:t>
      </w:r>
    </w:p>
    <w:p>
      <w:pPr>
        <w:spacing w:line="580" w:lineRule="exact"/>
        <w:ind w:firstLine="1280" w:firstLineChars="4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确保不发生森林火灾，维护森林资源，保护人民群众生命财产安全。</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时效指标</w:t>
      </w:r>
    </w:p>
    <w:p>
      <w:pPr>
        <w:spacing w:line="580" w:lineRule="exact"/>
        <w:ind w:firstLine="1280" w:firstLineChars="4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森林防灭火指挥部运转已经于12月1日前使用。</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成本指标</w:t>
      </w:r>
    </w:p>
    <w:p>
      <w:pPr>
        <w:spacing w:line="580" w:lineRule="exact"/>
        <w:ind w:firstLine="1280" w:firstLineChars="4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有效降低项目实施成本，取得效益最大化。</w:t>
      </w:r>
    </w:p>
    <w:p>
      <w:pPr>
        <w:spacing w:line="58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（2）经济效益</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确保不发生森林火灾，维护森林资源，保护人民群众生命财产安全。</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（3）社会效益</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确保不发生森林火灾，维护森林资源，保护人民群众生命财产安全。</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（4）可持续影响</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确保不发生森林火灾，维护森林资源，保护人民群众生命财产安全。</w:t>
      </w:r>
    </w:p>
    <w:p>
      <w:pPr>
        <w:spacing w:line="580" w:lineRule="exact"/>
        <w:ind w:firstLine="640" w:firstLineChars="200"/>
        <w:rPr>
          <w:rFonts w:hint="eastAsia" w:ascii="黑体" w:hAnsi="黑体" w:eastAsia="黑体" w:cs="黑体"/>
          <w:b/>
          <w:bCs/>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b/>
          <w:bCs/>
          <w:color w:val="auto"/>
          <w:sz w:val="32"/>
          <w:szCs w:val="32"/>
        </w:rPr>
        <w:t>存在主要问题</w:t>
      </w:r>
    </w:p>
    <w:p>
      <w:pPr>
        <w:numPr>
          <w:ilvl w:val="0"/>
          <w:numId w:val="0"/>
        </w:numPr>
        <w:spacing w:line="580" w:lineRule="exact"/>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 xml:space="preserve">    </w:t>
      </w:r>
      <w:r>
        <w:rPr>
          <w:rFonts w:hint="eastAsia" w:ascii="仿宋" w:hAnsi="仿宋" w:eastAsia="仿宋" w:cs="仿宋_GB2312"/>
          <w:color w:val="auto"/>
          <w:sz w:val="32"/>
          <w:szCs w:val="32"/>
          <w:lang w:eastAsia="zh-CN"/>
        </w:rPr>
        <w:t>无。</w:t>
      </w:r>
    </w:p>
    <w:p>
      <w:pPr>
        <w:numPr>
          <w:ilvl w:val="0"/>
          <w:numId w:val="1"/>
        </w:numPr>
        <w:spacing w:line="580" w:lineRule="exact"/>
        <w:ind w:left="1360" w:leftChars="0" w:hanging="720" w:firstLineChars="0"/>
        <w:rPr>
          <w:rFonts w:hint="eastAsia" w:ascii="黑体" w:hAnsi="黑体" w:eastAsia="黑体" w:cs="黑体"/>
          <w:b/>
          <w:bCs/>
          <w:color w:val="auto"/>
          <w:sz w:val="32"/>
          <w:szCs w:val="32"/>
        </w:rPr>
      </w:pPr>
      <w:r>
        <w:rPr>
          <w:rFonts w:hint="eastAsia" w:ascii="黑体" w:hAnsi="黑体" w:eastAsia="黑体" w:cs="黑体"/>
          <w:b/>
          <w:bCs/>
          <w:color w:val="auto"/>
          <w:sz w:val="32"/>
          <w:szCs w:val="32"/>
        </w:rPr>
        <w:t>相关措施建议</w:t>
      </w: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r>
        <w:rPr>
          <w:rFonts w:hint="eastAsia"/>
          <w:color w:val="auto"/>
          <w:lang w:val="en-US" w:eastAsia="zh-CN"/>
        </w:rPr>
        <w:t xml:space="preserve"> </w:t>
      </w:r>
      <w:r>
        <w:rPr>
          <w:rFonts w:hint="eastAsia" w:ascii="仿宋" w:hAnsi="仿宋" w:eastAsia="仿宋" w:cs="仿宋_GB2312"/>
          <w:color w:val="auto"/>
          <w:kern w:val="2"/>
          <w:sz w:val="32"/>
          <w:szCs w:val="32"/>
          <w:lang w:val="en-US" w:eastAsia="zh-CN" w:bidi="ar-SA"/>
        </w:rPr>
        <w:t>无。</w:t>
      </w: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spacing w:line="580" w:lineRule="exact"/>
        <w:ind w:firstLine="640" w:firstLineChars="200"/>
        <w:rPr>
          <w:rFonts w:hint="eastAsia" w:ascii="仿宋" w:hAnsi="仿宋" w:eastAsia="仿宋" w:cs="仿宋_GB2312"/>
          <w:color w:val="auto"/>
          <w:sz w:val="32"/>
          <w:szCs w:val="32"/>
          <w:lang w:eastAsia="zh-CN"/>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175"/>
        <w:gridCol w:w="1025"/>
        <w:gridCol w:w="2535"/>
        <w:gridCol w:w="2251"/>
        <w:gridCol w:w="2392"/>
      </w:tblGrid>
      <w:tr>
        <w:tblPrEx>
          <w:tblCellMar>
            <w:top w:w="0" w:type="dxa"/>
            <w:left w:w="0" w:type="dxa"/>
            <w:bottom w:w="0" w:type="dxa"/>
            <w:right w:w="0" w:type="dxa"/>
          </w:tblCellMar>
        </w:tblPrEx>
        <w:trPr>
          <w:trHeight w:val="1034" w:hRule="atLeast"/>
          <w:jc w:val="center"/>
        </w:trPr>
        <w:tc>
          <w:tcPr>
            <w:tcW w:w="9960" w:type="dxa"/>
            <w:gridSpan w:val="6"/>
            <w:tcMar>
              <w:top w:w="15" w:type="dxa"/>
              <w:left w:w="15" w:type="dxa"/>
              <w:bottom w:w="0" w:type="dxa"/>
              <w:right w:w="15" w:type="dxa"/>
            </w:tcMar>
            <w:vAlign w:val="center"/>
          </w:tcPr>
          <w:p>
            <w:pPr>
              <w:pStyle w:val="24"/>
              <w:widowControl/>
              <w:ind w:left="0" w:leftChars="0" w:firstLine="0" w:firstLineChars="0"/>
              <w:jc w:val="both"/>
              <w:textAlignment w:val="center"/>
              <w:rPr>
                <w:rFonts w:ascii="宋体" w:hAnsi="宋体" w:cs="宋体"/>
                <w:color w:val="auto"/>
                <w:sz w:val="36"/>
                <w:szCs w:val="36"/>
              </w:rPr>
            </w:pP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463"/>
              </w:tabs>
              <w:jc w:val="left"/>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ab/>
            </w:r>
            <w:r>
              <w:rPr>
                <w:rFonts w:hint="eastAsia" w:ascii="宋体" w:hAnsi="宋体" w:cs="宋体"/>
                <w:color w:val="auto"/>
                <w:sz w:val="24"/>
                <w:lang w:val="en-US" w:eastAsia="zh-CN"/>
              </w:rPr>
              <w:t>森林草原防灾减灾经费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剑阁县应急管理局</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3万元</w:t>
            </w:r>
          </w:p>
        </w:tc>
      </w:tr>
      <w:tr>
        <w:tblPrEx>
          <w:tblCellMar>
            <w:top w:w="0" w:type="dxa"/>
            <w:left w:w="0" w:type="dxa"/>
            <w:bottom w:w="0" w:type="dxa"/>
            <w:right w:w="0" w:type="dxa"/>
          </w:tblCellMar>
        </w:tblPrEx>
        <w:trPr>
          <w:trHeight w:val="83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auto"/>
                <w:sz w:val="24"/>
              </w:rPr>
            </w:pP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98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保障了</w:t>
            </w:r>
            <w:r>
              <w:rPr>
                <w:rFonts w:hint="eastAsia" w:ascii="宋体" w:hAnsi="宋体" w:cs="宋体"/>
                <w:color w:val="auto"/>
                <w:kern w:val="0"/>
                <w:sz w:val="24"/>
                <w:lang w:eastAsia="zh-CN" w:bidi="ar"/>
              </w:rPr>
              <w:t>森林防火指挥部正常运转</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已完成</w:t>
            </w:r>
          </w:p>
        </w:tc>
      </w:tr>
      <w:tr>
        <w:tblPrEx>
          <w:tblCellMar>
            <w:top w:w="0" w:type="dxa"/>
            <w:left w:w="0" w:type="dxa"/>
            <w:bottom w:w="0" w:type="dxa"/>
            <w:right w:w="0" w:type="dxa"/>
          </w:tblCellMar>
        </w:tblPrEx>
        <w:trPr>
          <w:trHeight w:val="6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保障1个</w:t>
            </w:r>
            <w:r>
              <w:rPr>
                <w:rFonts w:hint="eastAsia" w:ascii="宋体" w:hAnsi="宋体" w:cs="宋体"/>
                <w:color w:val="auto"/>
                <w:sz w:val="24"/>
                <w:lang w:eastAsia="zh-CN"/>
              </w:rPr>
              <w:t>森林防火指挥部办公室正常运转</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1个</w:t>
            </w:r>
          </w:p>
        </w:tc>
      </w:tr>
      <w:tr>
        <w:tblPrEx>
          <w:tblCellMar>
            <w:top w:w="0" w:type="dxa"/>
            <w:left w:w="0" w:type="dxa"/>
            <w:bottom w:w="0" w:type="dxa"/>
            <w:right w:w="0" w:type="dxa"/>
          </w:tblCellMar>
        </w:tblPrEx>
        <w:trPr>
          <w:trHeight w:val="611"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森林防火演练一次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1次</w:t>
            </w:r>
          </w:p>
        </w:tc>
      </w:tr>
      <w:tr>
        <w:tblPrEx>
          <w:tblCellMar>
            <w:top w:w="0" w:type="dxa"/>
            <w:left w:w="0" w:type="dxa"/>
            <w:bottom w:w="0" w:type="dxa"/>
            <w:right w:w="0" w:type="dxa"/>
          </w:tblCellMar>
        </w:tblPrEx>
        <w:trPr>
          <w:trHeight w:val="47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48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82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完成时间</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1</w:t>
            </w:r>
            <w:r>
              <w:rPr>
                <w:rFonts w:hint="eastAsia" w:ascii="宋体" w:hAnsi="宋体" w:cs="宋体"/>
                <w:color w:val="auto"/>
                <w:sz w:val="24"/>
              </w:rPr>
              <w:t>日</w:t>
            </w:r>
          </w:p>
        </w:tc>
      </w:tr>
      <w:tr>
        <w:tblPrEx>
          <w:tblCellMar>
            <w:top w:w="0" w:type="dxa"/>
            <w:left w:w="0" w:type="dxa"/>
            <w:bottom w:w="0" w:type="dxa"/>
            <w:right w:w="0" w:type="dxa"/>
          </w:tblCellMar>
        </w:tblPrEx>
        <w:trPr>
          <w:trHeight w:val="40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4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eastAsia="zh-CN" w:bidi="ar"/>
              </w:rPr>
              <w:t>社会</w:t>
            </w:r>
            <w:r>
              <w:rPr>
                <w:rFonts w:hint="eastAsia" w:ascii="宋体" w:hAnsi="宋体" w:cs="宋体"/>
                <w:color w:val="auto"/>
                <w:kern w:val="0"/>
                <w:sz w:val="24"/>
                <w:lang w:bidi="ar"/>
              </w:rPr>
              <w:t>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确保不发生森林火灾，维护森林资源，保护人民群众生命财产安全</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确保不发生森林火灾，维护森林资源，保护人民群众生命财产安全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Arial" w:hAnsi="Arial" w:cs="Arial"/>
                <w:color w:val="auto"/>
                <w:sz w:val="24"/>
                <w:lang w:val="en-US" w:eastAsia="zh-CN"/>
              </w:rPr>
              <w:t>90</w:t>
            </w:r>
          </w:p>
        </w:tc>
      </w:tr>
      <w:tr>
        <w:tblPrEx>
          <w:tblCellMar>
            <w:top w:w="0" w:type="dxa"/>
            <w:left w:w="0" w:type="dxa"/>
            <w:bottom w:w="0" w:type="dxa"/>
            <w:right w:w="0" w:type="dxa"/>
          </w:tblCellMar>
        </w:tblPrEx>
        <w:trPr>
          <w:trHeight w:val="41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45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服务对象满意度指标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受灾群众满意度</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bl>
    <w:p>
      <w:pPr>
        <w:spacing w:line="580" w:lineRule="exact"/>
        <w:ind w:firstLine="640" w:firstLineChars="200"/>
        <w:rPr>
          <w:rFonts w:hint="eastAsia" w:ascii="仿宋" w:hAnsi="仿宋" w:eastAsia="仿宋" w:cs="仿宋_GB2312"/>
          <w:color w:val="auto"/>
          <w:sz w:val="32"/>
          <w:szCs w:val="32"/>
          <w:lang w:eastAsia="zh-CN"/>
        </w:rPr>
      </w:pP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2022</w:t>
      </w:r>
      <w:r>
        <w:rPr>
          <w:rFonts w:hint="eastAsia" w:ascii="方正小标宋简体" w:hAnsi="方正小标宋简体" w:eastAsia="方正小标宋简体" w:cs="方正小标宋简体"/>
          <w:color w:val="auto"/>
          <w:sz w:val="44"/>
          <w:szCs w:val="44"/>
        </w:rPr>
        <w:t>年</w:t>
      </w:r>
      <w:r>
        <w:rPr>
          <w:rFonts w:hint="eastAsia" w:ascii="方正小标宋简体" w:hAnsi="方正小标宋简体" w:eastAsia="方正小标宋简体" w:cs="方正小标宋简体"/>
          <w:color w:val="auto"/>
          <w:sz w:val="44"/>
          <w:szCs w:val="44"/>
          <w:lang w:val="en-US" w:eastAsia="zh-CN"/>
        </w:rPr>
        <w:t>其他地震事务资金</w:t>
      </w:r>
      <w:r>
        <w:rPr>
          <w:rFonts w:hint="eastAsia" w:ascii="方正小标宋简体" w:hAnsi="方正小标宋简体" w:eastAsia="方正小标宋简体" w:cs="方正小标宋简体"/>
          <w:color w:val="auto"/>
          <w:sz w:val="44"/>
          <w:szCs w:val="44"/>
        </w:rPr>
        <w:t>项目</w:t>
      </w:r>
    </w:p>
    <w:p>
      <w:pPr>
        <w:spacing w:line="58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支出绩效评价报告</w:t>
      </w:r>
    </w:p>
    <w:p>
      <w:pPr>
        <w:spacing w:line="580" w:lineRule="exact"/>
        <w:jc w:val="center"/>
        <w:rPr>
          <w:rFonts w:hint="eastAsia" w:ascii="黑体" w:hAnsi="黑体" w:eastAsia="黑体" w:cs="方正小标宋简体"/>
          <w:color w:val="auto"/>
          <w:sz w:val="44"/>
          <w:szCs w:val="44"/>
        </w:rPr>
      </w:pPr>
    </w:p>
    <w:p>
      <w:pPr>
        <w:spacing w:line="580" w:lineRule="exact"/>
        <w:ind w:firstLine="643" w:firstLineChars="200"/>
        <w:rPr>
          <w:rFonts w:hint="eastAsia" w:ascii="黑体" w:hAnsi="黑体" w:eastAsia="黑体" w:cs="黑体"/>
          <w:b/>
          <w:bCs/>
          <w:color w:val="auto"/>
          <w:sz w:val="32"/>
          <w:szCs w:val="32"/>
        </w:rPr>
      </w:pPr>
      <w:r>
        <w:rPr>
          <w:rFonts w:hint="eastAsia" w:ascii="黑体" w:hAnsi="黑体" w:eastAsia="黑体" w:cs="黑体"/>
          <w:b/>
          <w:bCs/>
          <w:color w:val="auto"/>
          <w:sz w:val="32"/>
          <w:szCs w:val="32"/>
        </w:rPr>
        <w:t>一、评价工作开展及项目情况</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根据剑阁县财政局《关于下达2022年部门预算的通知》（剑财预〔2022〕1号）文件，下达了其他地震事务资金。</w:t>
      </w:r>
    </w:p>
    <w:p>
      <w:pPr>
        <w:spacing w:line="580" w:lineRule="exact"/>
        <w:ind w:firstLine="643" w:firstLineChars="200"/>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二、评价结论及绩效分析</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（一）评价结论</w:t>
      </w:r>
    </w:p>
    <w:p>
      <w:pPr>
        <w:widowControl/>
        <w:ind w:firstLine="640" w:firstLineChars="200"/>
        <w:jc w:val="left"/>
        <w:textAlignment w:val="center"/>
        <w:rPr>
          <w:rFonts w:hint="eastAsia" w:ascii="宋体" w:hAnsi="宋体" w:cs="宋体"/>
          <w:color w:val="auto"/>
          <w:kern w:val="0"/>
          <w:sz w:val="24"/>
          <w:lang w:bidi="ar"/>
        </w:rPr>
      </w:pPr>
      <w:r>
        <w:rPr>
          <w:rFonts w:hint="eastAsia" w:ascii="仿宋" w:hAnsi="仿宋" w:eastAsia="仿宋" w:cs="仿宋_GB2312"/>
          <w:color w:val="auto"/>
          <w:sz w:val="32"/>
          <w:szCs w:val="32"/>
          <w:lang w:val="en-US" w:eastAsia="zh-CN"/>
        </w:rPr>
        <w:t>通过预算其他地震事务资金，推进防震减灾工作顺利进行，保障了全县地震监测站正常运转，高质量预测防震减灾信息，保障全县安全形势稳定</w:t>
      </w:r>
      <w:r>
        <w:rPr>
          <w:rFonts w:hint="eastAsia" w:ascii="宋体" w:hAnsi="宋体" w:cs="宋体"/>
          <w:color w:val="auto"/>
          <w:kern w:val="0"/>
          <w:sz w:val="24"/>
          <w:lang w:eastAsia="zh-CN" w:bidi="ar"/>
        </w:rPr>
        <w:t>。</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（二）绩效分析</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1</w:t>
      </w:r>
      <w:r>
        <w:rPr>
          <w:rFonts w:hint="eastAsia" w:ascii="仿宋" w:hAnsi="仿宋" w:eastAsia="仿宋" w:cs="仿宋_GB2312"/>
          <w:color w:val="auto"/>
          <w:sz w:val="32"/>
          <w:szCs w:val="32"/>
        </w:rPr>
        <w:t>、项目决策</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2</w:t>
      </w:r>
      <w:r>
        <w:rPr>
          <w:rFonts w:hint="eastAsia" w:ascii="仿宋" w:hAnsi="仿宋" w:eastAsia="仿宋" w:cs="仿宋_GB2312"/>
          <w:color w:val="auto"/>
          <w:sz w:val="32"/>
          <w:szCs w:val="32"/>
        </w:rPr>
        <w:t>、项目管理</w:t>
      </w:r>
    </w:p>
    <w:p>
      <w:pPr>
        <w:spacing w:line="58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在资金管理上强化责任意识，建立健全管理制度，落实配套资金，定期调度资金拨付情况，提高预算执行效率和资金使用效益，确保财政资金使用安全。</w:t>
      </w:r>
    </w:p>
    <w:p>
      <w:pPr>
        <w:spacing w:line="58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3</w:t>
      </w:r>
      <w:r>
        <w:rPr>
          <w:rFonts w:hint="eastAsia" w:ascii="仿宋" w:hAnsi="仿宋" w:eastAsia="仿宋" w:cs="仿宋_GB2312"/>
          <w:color w:val="auto"/>
          <w:sz w:val="32"/>
          <w:szCs w:val="32"/>
        </w:rPr>
        <w:t>、项目绩效</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（1）数量指标</w:t>
      </w:r>
    </w:p>
    <w:p>
      <w:pPr>
        <w:spacing w:line="580" w:lineRule="exact"/>
        <w:ind w:firstLine="1280" w:firstLineChars="4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保障全县5个地震监测站正常运转。</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质量指标</w:t>
      </w:r>
    </w:p>
    <w:p>
      <w:pPr>
        <w:widowControl/>
        <w:ind w:firstLine="1280" w:firstLineChars="400"/>
        <w:jc w:val="left"/>
        <w:textAlignment w:val="center"/>
        <w:rPr>
          <w:rFonts w:hint="eastAsia" w:ascii="宋体" w:hAnsi="宋体" w:cs="宋体"/>
          <w:color w:val="auto"/>
          <w:kern w:val="0"/>
          <w:sz w:val="24"/>
          <w:lang w:bidi="ar"/>
        </w:rPr>
      </w:pPr>
      <w:r>
        <w:rPr>
          <w:rFonts w:hint="eastAsia" w:ascii="仿宋" w:hAnsi="仿宋" w:eastAsia="仿宋" w:cs="仿宋_GB2312"/>
          <w:color w:val="auto"/>
          <w:sz w:val="32"/>
          <w:szCs w:val="32"/>
          <w:lang w:val="en-US" w:eastAsia="zh-CN"/>
        </w:rPr>
        <w:t>保障了全县高质量预测防震减灾信息</w:t>
      </w:r>
      <w:r>
        <w:rPr>
          <w:rFonts w:hint="eastAsia" w:ascii="宋体" w:hAnsi="宋体" w:cs="宋体"/>
          <w:color w:val="auto"/>
          <w:kern w:val="0"/>
          <w:sz w:val="24"/>
          <w:lang w:eastAsia="zh-CN" w:bidi="ar"/>
        </w:rPr>
        <w:t>。</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时效指标</w:t>
      </w:r>
    </w:p>
    <w:p>
      <w:pPr>
        <w:spacing w:line="580" w:lineRule="exact"/>
        <w:ind w:firstLine="1280" w:firstLineChars="4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其他地震事务资金已于2021月12日前使用。</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成本指标</w:t>
      </w:r>
    </w:p>
    <w:p>
      <w:pPr>
        <w:spacing w:line="580" w:lineRule="exact"/>
        <w:ind w:firstLine="1280" w:firstLineChars="4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有效降低项目实施成本，取得效益最大化。</w:t>
      </w:r>
    </w:p>
    <w:p>
      <w:pPr>
        <w:spacing w:line="58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（2）经济效益</w:t>
      </w:r>
    </w:p>
    <w:p>
      <w:pPr>
        <w:spacing w:line="580" w:lineRule="exact"/>
        <w:ind w:firstLine="640" w:firstLineChars="200"/>
        <w:rPr>
          <w:rFonts w:hint="eastAsia" w:ascii="宋体" w:hAnsi="宋体" w:cs="宋体"/>
          <w:color w:val="auto"/>
          <w:kern w:val="0"/>
          <w:sz w:val="24"/>
          <w:lang w:eastAsia="zh-CN" w:bidi="ar"/>
        </w:rPr>
      </w:pPr>
      <w:r>
        <w:rPr>
          <w:rFonts w:hint="eastAsia" w:ascii="仿宋" w:hAnsi="仿宋" w:eastAsia="仿宋" w:cs="仿宋_GB2312"/>
          <w:color w:val="auto"/>
          <w:sz w:val="32"/>
          <w:szCs w:val="32"/>
          <w:lang w:val="en-US" w:eastAsia="zh-CN"/>
        </w:rPr>
        <w:t>保障了全县安全形势稳定，提升了应急救援能</w:t>
      </w:r>
      <w:r>
        <w:rPr>
          <w:rFonts w:hint="eastAsia" w:ascii="宋体" w:hAnsi="宋体" w:cs="宋体"/>
          <w:color w:val="auto"/>
          <w:kern w:val="0"/>
          <w:sz w:val="24"/>
          <w:lang w:eastAsia="zh-CN" w:bidi="ar"/>
        </w:rPr>
        <w:t>力</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（3）社会效益</w:t>
      </w:r>
    </w:p>
    <w:p>
      <w:pPr>
        <w:spacing w:line="580" w:lineRule="exact"/>
        <w:ind w:firstLine="640" w:firstLineChars="200"/>
        <w:rPr>
          <w:rFonts w:hint="eastAsia" w:ascii="宋体" w:hAnsi="宋体" w:cs="宋体"/>
          <w:color w:val="auto"/>
          <w:kern w:val="0"/>
          <w:sz w:val="24"/>
          <w:lang w:eastAsia="zh-CN" w:bidi="ar"/>
        </w:rPr>
      </w:pPr>
      <w:r>
        <w:rPr>
          <w:rFonts w:hint="eastAsia" w:ascii="仿宋" w:hAnsi="仿宋" w:eastAsia="仿宋" w:cs="仿宋_GB2312"/>
          <w:color w:val="auto"/>
          <w:sz w:val="32"/>
          <w:szCs w:val="32"/>
          <w:lang w:val="en-US" w:eastAsia="zh-CN"/>
        </w:rPr>
        <w:t>保障了全县安全形势稳定，提升了应急救援能</w:t>
      </w:r>
      <w:r>
        <w:rPr>
          <w:rFonts w:hint="eastAsia" w:ascii="宋体" w:hAnsi="宋体" w:cs="宋体"/>
          <w:color w:val="auto"/>
          <w:kern w:val="0"/>
          <w:sz w:val="24"/>
          <w:lang w:eastAsia="zh-CN" w:bidi="ar"/>
        </w:rPr>
        <w:t>力。</w:t>
      </w:r>
    </w:p>
    <w:p>
      <w:pPr>
        <w:spacing w:line="580" w:lineRule="exact"/>
        <w:ind w:firstLine="640" w:firstLineChars="200"/>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（4）可持续影响</w:t>
      </w:r>
    </w:p>
    <w:p>
      <w:pPr>
        <w:spacing w:line="580" w:lineRule="exact"/>
        <w:ind w:firstLine="640" w:firstLineChars="200"/>
        <w:rPr>
          <w:rFonts w:hint="eastAsia" w:ascii="宋体" w:hAnsi="宋体" w:cs="宋体"/>
          <w:color w:val="auto"/>
          <w:kern w:val="0"/>
          <w:sz w:val="24"/>
          <w:lang w:val="en-US" w:eastAsia="zh-CN" w:bidi="ar"/>
        </w:rPr>
      </w:pPr>
      <w:r>
        <w:rPr>
          <w:rFonts w:hint="eastAsia" w:ascii="仿宋" w:hAnsi="仿宋" w:eastAsia="仿宋" w:cs="仿宋_GB2312"/>
          <w:color w:val="auto"/>
          <w:sz w:val="32"/>
          <w:szCs w:val="32"/>
          <w:lang w:val="en-US" w:eastAsia="zh-CN"/>
        </w:rPr>
        <w:t>保障了全县安全形势稳定，提升了应急救援能</w:t>
      </w:r>
      <w:r>
        <w:rPr>
          <w:rFonts w:hint="eastAsia" w:ascii="宋体" w:hAnsi="宋体" w:cs="宋体"/>
          <w:color w:val="auto"/>
          <w:kern w:val="0"/>
          <w:sz w:val="24"/>
          <w:lang w:eastAsia="zh-CN" w:bidi="ar"/>
        </w:rPr>
        <w:t>力。</w:t>
      </w:r>
      <w:r>
        <w:rPr>
          <w:rFonts w:hint="eastAsia" w:ascii="宋体" w:hAnsi="宋体" w:cs="宋体"/>
          <w:color w:val="auto"/>
          <w:kern w:val="0"/>
          <w:sz w:val="24"/>
          <w:lang w:val="en-US" w:eastAsia="zh-CN" w:bidi="ar"/>
        </w:rPr>
        <w:t xml:space="preserve">                                                                                            </w:t>
      </w:r>
    </w:p>
    <w:p>
      <w:pPr>
        <w:spacing w:line="580" w:lineRule="exact"/>
        <w:ind w:firstLine="643" w:firstLineChars="200"/>
        <w:rPr>
          <w:rFonts w:hint="eastAsia" w:ascii="黑体" w:hAnsi="黑体" w:eastAsia="黑体" w:cs="黑体"/>
          <w:b/>
          <w:bCs/>
          <w:color w:val="auto"/>
          <w:sz w:val="32"/>
          <w:szCs w:val="32"/>
          <w:lang w:eastAsia="zh-CN"/>
        </w:rPr>
      </w:pPr>
      <w:r>
        <w:rPr>
          <w:rFonts w:hint="eastAsia" w:ascii="黑体" w:hAnsi="黑体" w:eastAsia="黑体" w:cs="黑体"/>
          <w:b/>
          <w:bCs/>
          <w:color w:val="auto"/>
          <w:sz w:val="32"/>
          <w:szCs w:val="32"/>
          <w:lang w:val="en-US" w:eastAsia="zh-CN"/>
        </w:rPr>
        <w:t>三、</w:t>
      </w:r>
      <w:r>
        <w:rPr>
          <w:rFonts w:hint="eastAsia" w:ascii="黑体" w:hAnsi="黑体" w:eastAsia="黑体" w:cs="黑体"/>
          <w:b/>
          <w:bCs/>
          <w:color w:val="auto"/>
          <w:sz w:val="32"/>
          <w:szCs w:val="32"/>
          <w:lang w:eastAsia="zh-CN"/>
        </w:rPr>
        <w:t>存在主要问题</w:t>
      </w:r>
    </w:p>
    <w:p>
      <w:pPr>
        <w:spacing w:line="580" w:lineRule="exact"/>
        <w:ind w:firstLine="640" w:firstLineChars="200"/>
        <w:rPr>
          <w:rFonts w:hint="eastAsia" w:ascii="仿宋" w:hAnsi="仿宋" w:eastAsia="仿宋" w:cs="仿宋_GB2312"/>
          <w:color w:val="auto"/>
          <w:sz w:val="32"/>
          <w:szCs w:val="32"/>
          <w:lang w:eastAsia="zh-CN"/>
        </w:rPr>
      </w:pPr>
      <w:r>
        <w:rPr>
          <w:rFonts w:hint="eastAsia" w:ascii="仿宋" w:hAnsi="仿宋" w:eastAsia="仿宋" w:cs="仿宋_GB2312"/>
          <w:color w:val="auto"/>
          <w:sz w:val="32"/>
          <w:szCs w:val="32"/>
          <w:lang w:eastAsia="zh-CN"/>
        </w:rPr>
        <w:t>无。</w:t>
      </w:r>
    </w:p>
    <w:p>
      <w:pPr>
        <w:numPr>
          <w:ilvl w:val="0"/>
          <w:numId w:val="0"/>
        </w:numPr>
        <w:spacing w:line="580" w:lineRule="exact"/>
        <w:ind w:firstLine="643" w:firstLineChars="200"/>
        <w:rPr>
          <w:rFonts w:ascii="仿宋" w:hAnsi="仿宋" w:eastAsia="仿宋" w:cs="仿宋_GB2312"/>
          <w:b/>
          <w:bCs/>
          <w:color w:val="auto"/>
          <w:sz w:val="32"/>
          <w:szCs w:val="32"/>
        </w:rPr>
      </w:pPr>
      <w:r>
        <w:rPr>
          <w:rFonts w:hint="eastAsia" w:ascii="黑体" w:hAnsi="黑体" w:eastAsia="黑体" w:cs="黑体"/>
          <w:b/>
          <w:bCs/>
          <w:color w:val="auto"/>
          <w:sz w:val="32"/>
          <w:szCs w:val="32"/>
          <w:lang w:eastAsia="zh-CN"/>
        </w:rPr>
        <w:t>四、</w:t>
      </w:r>
      <w:r>
        <w:rPr>
          <w:rFonts w:hint="eastAsia" w:ascii="黑体" w:hAnsi="黑体" w:eastAsia="黑体" w:cs="黑体"/>
          <w:b/>
          <w:bCs/>
          <w:color w:val="auto"/>
          <w:sz w:val="32"/>
          <w:szCs w:val="32"/>
        </w:rPr>
        <w:t>相关措施建议</w:t>
      </w: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r>
        <w:rPr>
          <w:rFonts w:hint="eastAsia" w:ascii="仿宋" w:hAnsi="仿宋" w:eastAsia="仿宋" w:cs="仿宋_GB2312"/>
          <w:color w:val="auto"/>
          <w:kern w:val="2"/>
          <w:sz w:val="32"/>
          <w:szCs w:val="32"/>
          <w:lang w:val="en-US" w:eastAsia="zh-CN" w:bidi="ar-SA"/>
        </w:rPr>
        <w:t>无。</w:t>
      </w: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p>
      <w:pPr>
        <w:pStyle w:val="7"/>
        <w:numPr>
          <w:ilvl w:val="0"/>
          <w:numId w:val="0"/>
        </w:numPr>
        <w:ind w:left="640" w:leftChars="0"/>
        <w:rPr>
          <w:rFonts w:hint="eastAsia" w:ascii="仿宋" w:hAnsi="仿宋" w:eastAsia="仿宋" w:cs="仿宋_GB2312"/>
          <w:color w:val="auto"/>
          <w:kern w:val="2"/>
          <w:sz w:val="32"/>
          <w:szCs w:val="32"/>
          <w:lang w:val="en-US" w:eastAsia="zh-CN" w:bidi="ar-SA"/>
        </w:rPr>
      </w:pPr>
    </w:p>
    <w:tbl>
      <w:tblPr>
        <w:tblStyle w:val="13"/>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582"/>
        <w:gridCol w:w="1175"/>
        <w:gridCol w:w="1025"/>
        <w:gridCol w:w="2535"/>
        <w:gridCol w:w="2251"/>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tabs>
                <w:tab w:val="left" w:pos="463"/>
              </w:tabs>
              <w:jc w:val="center"/>
              <w:textAlignment w:val="center"/>
              <w:rPr>
                <w:rFonts w:hint="eastAsia" w:ascii="宋体" w:hAnsi="宋体" w:eastAsia="宋体" w:cs="宋体"/>
                <w:color w:val="auto"/>
                <w:sz w:val="24"/>
                <w:lang w:eastAsia="zh-CN"/>
              </w:rPr>
            </w:pPr>
            <w:r>
              <w:rPr>
                <w:rFonts w:hint="eastAsia" w:ascii="宋体" w:hAnsi="宋体" w:cs="宋体"/>
                <w:color w:val="auto"/>
                <w:sz w:val="24"/>
                <w:lang w:val="en-US" w:eastAsia="zh-CN"/>
              </w:rPr>
              <w:t>其他地震事务资金项目</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剑阁县应急管理局</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预算执行情况(万元)</w:t>
            </w: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预算数</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w:t>
            </w:r>
            <w:r>
              <w:rPr>
                <w:rFonts w:hint="eastAsia" w:ascii="宋体" w:hAnsi="宋体" w:cs="宋体"/>
                <w:color w:val="auto"/>
                <w:kern w:val="0"/>
                <w:sz w:val="24"/>
                <w:lang w:bidi="ar"/>
              </w:rPr>
              <w:t>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执行数</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3.24万元</w:t>
            </w:r>
          </w:p>
        </w:tc>
      </w:tr>
      <w:tr>
        <w:tblPrEx>
          <w:tblCellMar>
            <w:top w:w="0" w:type="dxa"/>
            <w:left w:w="0" w:type="dxa"/>
            <w:bottom w:w="0" w:type="dxa"/>
            <w:right w:w="0" w:type="dxa"/>
          </w:tblCellMar>
        </w:tblPrEx>
        <w:trPr>
          <w:trHeight w:val="27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w:t>
            </w:r>
            <w:r>
              <w:rPr>
                <w:rFonts w:hint="eastAsia" w:ascii="宋体" w:hAnsi="宋体" w:cs="宋体"/>
                <w:color w:val="auto"/>
                <w:kern w:val="0"/>
                <w:sz w:val="24"/>
                <w:lang w:bidi="ar"/>
              </w:rPr>
              <w:t>万元</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其中</w:t>
            </w:r>
            <w:r>
              <w:rPr>
                <w:rFonts w:hint="eastAsia" w:ascii="宋体" w:hAnsi="宋体" w:cs="宋体"/>
                <w:color w:val="auto"/>
                <w:kern w:val="0"/>
                <w:sz w:val="24"/>
                <w:lang w:eastAsia="zh-CN" w:bidi="ar"/>
              </w:rPr>
              <w:t>－</w:t>
            </w:r>
            <w:r>
              <w:rPr>
                <w:rFonts w:hint="eastAsia" w:ascii="宋体" w:hAnsi="宋体" w:cs="宋体"/>
                <w:color w:val="auto"/>
                <w:kern w:val="0"/>
                <w:sz w:val="24"/>
                <w:lang w:bidi="ar"/>
              </w:rPr>
              <w:t>财政拨款</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cs="宋体"/>
                <w:color w:val="auto"/>
                <w:kern w:val="0"/>
                <w:sz w:val="24"/>
                <w:lang w:val="en-US" w:eastAsia="zh-CN" w:bidi="ar"/>
              </w:rPr>
            </w:pPr>
            <w:r>
              <w:rPr>
                <w:rFonts w:hint="eastAsia" w:ascii="宋体" w:hAnsi="宋体" w:cs="宋体"/>
                <w:color w:val="auto"/>
                <w:kern w:val="0"/>
                <w:sz w:val="24"/>
                <w:lang w:val="en-US" w:eastAsia="zh-CN" w:bidi="ar"/>
              </w:rPr>
              <w:t>3.24万元</w:t>
            </w:r>
          </w:p>
        </w:tc>
      </w:tr>
      <w:tr>
        <w:tblPrEx>
          <w:tblCellMar>
            <w:top w:w="0" w:type="dxa"/>
            <w:left w:w="0" w:type="dxa"/>
            <w:bottom w:w="0" w:type="dxa"/>
            <w:right w:w="0" w:type="dxa"/>
          </w:tblCellMar>
        </w:tblPrEx>
        <w:trPr>
          <w:trHeight w:val="103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220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0</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其它资金</w:t>
            </w:r>
            <w:r>
              <w:rPr>
                <w:rFonts w:hint="eastAsia" w:ascii="宋体" w:hAnsi="宋体" w:cs="宋体"/>
                <w:color w:val="auto"/>
                <w:kern w:val="0"/>
                <w:sz w:val="24"/>
                <w:lang w:eastAsia="zh-CN" w:bidi="ar"/>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tblPrEx>
          <w:tblCellMar>
            <w:top w:w="0" w:type="dxa"/>
            <w:left w:w="0" w:type="dxa"/>
            <w:bottom w:w="0" w:type="dxa"/>
            <w:right w:w="0" w:type="dxa"/>
          </w:tblCellMar>
        </w:tblPrEx>
        <w:trPr>
          <w:trHeight w:val="276"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年度目标完成情况</w:t>
            </w: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预期目标</w:t>
            </w: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实际完成目标</w:t>
            </w:r>
          </w:p>
        </w:tc>
      </w:tr>
      <w:tr>
        <w:tblPrEx>
          <w:tblCellMar>
            <w:top w:w="0" w:type="dxa"/>
            <w:left w:w="0" w:type="dxa"/>
            <w:bottom w:w="0" w:type="dxa"/>
            <w:right w:w="0" w:type="dxa"/>
          </w:tblCellMar>
        </w:tblPrEx>
        <w:trPr>
          <w:trHeight w:val="746"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4735"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推动防震减灾工作顺利进行，保障地震监测站正常运转</w:t>
            </w:r>
            <w:r>
              <w:rPr>
                <w:rFonts w:hint="eastAsia" w:ascii="宋体" w:hAnsi="宋体" w:cs="宋体"/>
                <w:color w:val="auto"/>
                <w:kern w:val="0"/>
                <w:sz w:val="24"/>
                <w:lang w:val="en-US" w:eastAsia="zh-CN" w:bidi="ar"/>
              </w:rPr>
              <w:t>.</w:t>
            </w:r>
          </w:p>
          <w:p>
            <w:pPr>
              <w:widowControl/>
              <w:jc w:val="center"/>
              <w:textAlignment w:val="center"/>
              <w:rPr>
                <w:rFonts w:hint="eastAsia" w:ascii="宋体" w:hAnsi="宋体" w:cs="宋体"/>
                <w:color w:val="auto"/>
                <w:kern w:val="0"/>
                <w:sz w:val="24"/>
                <w:lang w:bidi="ar"/>
              </w:rPr>
            </w:pPr>
          </w:p>
        </w:tc>
        <w:tc>
          <w:tcPr>
            <w:tcW w:w="4643"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推动防震减灾工作顺利进行，保障地震监测站正常运转</w:t>
            </w:r>
            <w:r>
              <w:rPr>
                <w:rFonts w:hint="eastAsia" w:ascii="宋体" w:hAnsi="宋体" w:cs="宋体"/>
                <w:color w:val="auto"/>
                <w:kern w:val="0"/>
                <w:sz w:val="24"/>
                <w:lang w:val="en-US" w:eastAsia="zh-CN" w:bidi="ar"/>
              </w:rPr>
              <w:t>.</w:t>
            </w:r>
          </w:p>
          <w:p>
            <w:pPr>
              <w:widowControl/>
              <w:jc w:val="center"/>
              <w:textAlignment w:val="center"/>
              <w:rPr>
                <w:rFonts w:hint="eastAsia" w:ascii="宋体" w:hAnsi="宋体" w:cs="宋体"/>
                <w:color w:val="auto"/>
                <w:kern w:val="0"/>
                <w:sz w:val="24"/>
                <w:lang w:bidi="ar"/>
              </w:rPr>
            </w:pPr>
          </w:p>
        </w:tc>
      </w:tr>
      <w:tr>
        <w:tblPrEx>
          <w:tblCellMar>
            <w:top w:w="0" w:type="dxa"/>
            <w:left w:w="0" w:type="dxa"/>
            <w:bottom w:w="0" w:type="dxa"/>
            <w:right w:w="0" w:type="dxa"/>
          </w:tblCellMar>
        </w:tblPrEx>
        <w:trPr>
          <w:trHeight w:val="897" w:hRule="atLeast"/>
          <w:jc w:val="center"/>
        </w:trPr>
        <w:tc>
          <w:tcPr>
            <w:tcW w:w="582"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绩效指标完成情况</w:t>
            </w: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二级指标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三级指标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实际完成指标值(包含数字及文字描述)</w:t>
            </w:r>
          </w:p>
        </w:tc>
      </w:tr>
      <w:tr>
        <w:tblPrEx>
          <w:tblCellMar>
            <w:top w:w="0" w:type="dxa"/>
            <w:left w:w="0" w:type="dxa"/>
            <w:bottom w:w="0" w:type="dxa"/>
            <w:right w:w="0" w:type="dxa"/>
          </w:tblCellMar>
        </w:tblPrEx>
        <w:trPr>
          <w:trHeight w:val="953"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产出指标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数量指标</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kern w:val="0"/>
                <w:sz w:val="24"/>
                <w:lang w:eastAsia="zh-CN" w:bidi="ar"/>
              </w:rPr>
              <w:t>保障地震预测平台正常运转练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default" w:ascii="Arial" w:hAnsi="Arial" w:cs="Arial"/>
                <w:color w:val="auto"/>
                <w:sz w:val="24"/>
                <w:lang w:eastAsia="zh-CN"/>
              </w:rPr>
              <w:t>≥</w:t>
            </w:r>
            <w:r>
              <w:rPr>
                <w:rFonts w:hint="eastAsia" w:ascii="Arial" w:hAnsi="Arial" w:cs="Arial"/>
                <w:color w:val="auto"/>
                <w:sz w:val="24"/>
                <w:lang w:val="en-US" w:eastAsia="zh-CN"/>
              </w:rPr>
              <w:t>3个</w:t>
            </w:r>
          </w:p>
        </w:tc>
      </w:tr>
      <w:tr>
        <w:tblPrEx>
          <w:tblCellMar>
            <w:top w:w="0" w:type="dxa"/>
            <w:left w:w="0" w:type="dxa"/>
            <w:bottom w:w="0" w:type="dxa"/>
            <w:right w:w="0" w:type="dxa"/>
          </w:tblCellMar>
        </w:tblPrEx>
        <w:trPr>
          <w:trHeight w:val="58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eastAsia="zh-CN"/>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both"/>
              <w:textAlignment w:val="center"/>
              <w:rPr>
                <w:rFonts w:hint="eastAsia" w:ascii="宋体" w:hAnsi="宋体" w:eastAsia="宋体" w:cs="宋体"/>
                <w:color w:val="auto"/>
                <w:sz w:val="24"/>
                <w:lang w:val="en-US" w:eastAsia="zh-CN"/>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5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65"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7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宋体" w:hAnsi="宋体" w:eastAsia="宋体" w:cs="宋体"/>
                <w:color w:val="auto"/>
                <w:sz w:val="24"/>
                <w:lang w:eastAsia="zh-CN"/>
              </w:rPr>
            </w:pPr>
            <w:r>
              <w:rPr>
                <w:rFonts w:hint="eastAsia" w:ascii="宋体" w:hAnsi="宋体" w:cs="宋体"/>
                <w:color w:val="auto"/>
                <w:sz w:val="24"/>
                <w:lang w:eastAsia="zh-CN"/>
              </w:rPr>
              <w:t>时效指标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2022年12月30日</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lang w:val="en-US" w:eastAsia="zh-CN"/>
              </w:rPr>
              <w:t>2022年12</w:t>
            </w:r>
            <w:r>
              <w:rPr>
                <w:rFonts w:hint="eastAsia" w:ascii="宋体" w:hAnsi="宋体" w:cs="宋体"/>
                <w:color w:val="auto"/>
                <w:sz w:val="24"/>
              </w:rPr>
              <w:t>月</w:t>
            </w:r>
            <w:r>
              <w:rPr>
                <w:rFonts w:hint="eastAsia" w:ascii="宋体" w:hAnsi="宋体" w:cs="宋体"/>
                <w:color w:val="auto"/>
                <w:sz w:val="24"/>
                <w:lang w:val="en-US" w:eastAsia="zh-CN"/>
              </w:rPr>
              <w:t>30</w:t>
            </w:r>
            <w:r>
              <w:rPr>
                <w:rFonts w:hint="eastAsia" w:ascii="宋体" w:hAnsi="宋体" w:cs="宋体"/>
                <w:color w:val="auto"/>
                <w:sz w:val="24"/>
              </w:rPr>
              <w:t>日</w:t>
            </w:r>
          </w:p>
        </w:tc>
      </w:tr>
      <w:tr>
        <w:tblPrEx>
          <w:tblCellMar>
            <w:top w:w="0" w:type="dxa"/>
            <w:left w:w="0" w:type="dxa"/>
            <w:bottom w:w="0" w:type="dxa"/>
            <w:right w:w="0" w:type="dxa"/>
          </w:tblCellMar>
        </w:tblPrEx>
        <w:trPr>
          <w:trHeight w:val="532"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77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eastAsia="zh-CN" w:bidi="ar"/>
              </w:rPr>
              <w:t>社会</w:t>
            </w:r>
            <w:r>
              <w:rPr>
                <w:rFonts w:hint="eastAsia" w:ascii="宋体" w:hAnsi="宋体" w:cs="宋体"/>
                <w:color w:val="auto"/>
                <w:kern w:val="0"/>
                <w:sz w:val="24"/>
                <w:lang w:bidi="ar"/>
              </w:rPr>
              <w:t>效益指标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left"/>
              <w:textAlignment w:val="center"/>
              <w:rPr>
                <w:rFonts w:hint="eastAsia" w:ascii="宋体" w:hAnsi="宋体" w:cs="宋体"/>
                <w:color w:val="auto"/>
                <w:kern w:val="0"/>
                <w:sz w:val="24"/>
                <w:lang w:bidi="ar"/>
              </w:rPr>
            </w:pPr>
            <w:r>
              <w:rPr>
                <w:rFonts w:hint="eastAsia" w:ascii="宋体" w:hAnsi="宋体" w:cs="宋体"/>
                <w:color w:val="auto"/>
                <w:kern w:val="0"/>
                <w:sz w:val="24"/>
                <w:lang w:eastAsia="zh-CN" w:bidi="ar"/>
              </w:rPr>
              <w:t>保障了全县安全形势稳定，提升了防震减灾能力。</w:t>
            </w:r>
          </w:p>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eastAsia="zh-CN"/>
              </w:rPr>
              <w:t>达到</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r>
        <w:tblPrEx>
          <w:tblCellMar>
            <w:top w:w="0" w:type="dxa"/>
            <w:left w:w="0" w:type="dxa"/>
            <w:bottom w:w="0" w:type="dxa"/>
            <w:right w:w="0" w:type="dxa"/>
          </w:tblCellMar>
        </w:tblPrEx>
        <w:trPr>
          <w:trHeight w:val="574"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589"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kern w:val="0"/>
                <w:sz w:val="24"/>
                <w:lang w:bidi="ar"/>
              </w:rPr>
            </w:pPr>
            <w:r>
              <w:rPr>
                <w:rFonts w:hint="eastAsia" w:ascii="宋体" w:hAnsi="宋体" w:cs="宋体"/>
                <w:color w:val="auto"/>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p>
        </w:tc>
      </w:tr>
      <w:tr>
        <w:tblPrEx>
          <w:tblCellMar>
            <w:top w:w="0" w:type="dxa"/>
            <w:left w:w="0" w:type="dxa"/>
            <w:bottom w:w="0" w:type="dxa"/>
            <w:right w:w="0" w:type="dxa"/>
          </w:tblCellMar>
        </w:tblPrEx>
        <w:trPr>
          <w:trHeight w:val="1050" w:hRule="atLeast"/>
          <w:jc w:val="center"/>
        </w:trPr>
        <w:tc>
          <w:tcPr>
            <w:tcW w:w="582"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auto"/>
                <w:sz w:val="24"/>
              </w:rPr>
            </w:pPr>
          </w:p>
        </w:tc>
        <w:tc>
          <w:tcPr>
            <w:tcW w:w="117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服务对象满意度指标</w:t>
            </w:r>
          </w:p>
        </w:tc>
        <w:tc>
          <w:tcPr>
            <w:tcW w:w="253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auto"/>
                <w:sz w:val="24"/>
              </w:rPr>
            </w:pPr>
            <w:r>
              <w:rPr>
                <w:rFonts w:hint="eastAsia" w:ascii="宋体" w:hAnsi="宋体" w:cs="宋体"/>
                <w:color w:val="auto"/>
                <w:sz w:val="24"/>
              </w:rPr>
              <w:t>群众满意度</w:t>
            </w:r>
          </w:p>
        </w:tc>
        <w:tc>
          <w:tcPr>
            <w:tcW w:w="22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default" w:ascii="宋体" w:hAnsi="宋体" w:eastAsia="宋体" w:cs="宋体"/>
                <w:color w:val="auto"/>
                <w:sz w:val="24"/>
                <w:lang w:val="en-US" w:eastAsia="zh-CN"/>
              </w:rPr>
            </w:pPr>
            <w:r>
              <w:rPr>
                <w:rFonts w:hint="default" w:ascii="Arial" w:hAnsi="Arial" w:cs="Arial"/>
                <w:color w:val="auto"/>
                <w:sz w:val="24"/>
                <w:lang w:eastAsia="zh-CN"/>
              </w:rPr>
              <w:t>≥</w:t>
            </w:r>
            <w:r>
              <w:rPr>
                <w:rFonts w:hint="eastAsia" w:ascii="宋体" w:hAnsi="宋体" w:cs="宋体"/>
                <w:color w:val="auto"/>
                <w:sz w:val="24"/>
                <w:lang w:val="en-US" w:eastAsia="zh-CN"/>
              </w:rPr>
              <w:t>100%</w:t>
            </w:r>
          </w:p>
        </w:tc>
      </w:tr>
    </w:tbl>
    <w:p>
      <w:pPr>
        <w:pStyle w:val="3"/>
        <w:outlineLvl w:val="0"/>
        <w:rPr>
          <w:rStyle w:val="25"/>
          <w:rFonts w:hint="eastAsia" w:ascii="方正小标宋简体" w:hAnsi="方正小标宋简体" w:eastAsia="方正小标宋简体" w:cs="方正小标宋简体"/>
          <w:b w:val="0"/>
          <w:bCs/>
          <w:color w:val="auto"/>
        </w:rPr>
      </w:pPr>
      <w:bookmarkStart w:id="58" w:name="_Toc15549"/>
      <w:r>
        <w:rPr>
          <w:rFonts w:hint="eastAsia" w:ascii="方正小标宋简体" w:hAnsi="方正小标宋简体" w:eastAsia="方正小标宋简体" w:cs="方正小标宋简体"/>
          <w:color w:val="auto"/>
          <w:sz w:val="44"/>
          <w:szCs w:val="44"/>
        </w:rPr>
        <w:t>第</w:t>
      </w:r>
      <w:r>
        <w:rPr>
          <w:rStyle w:val="25"/>
          <w:rFonts w:hint="eastAsia" w:ascii="方正小标宋简体" w:hAnsi="方正小标宋简体" w:eastAsia="方正小标宋简体" w:cs="方正小标宋简体"/>
          <w:b w:val="0"/>
          <w:bCs/>
          <w:color w:val="auto"/>
        </w:rPr>
        <w:t>五部分 附表</w:t>
      </w:r>
      <w:bookmarkEnd w:id="58"/>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59" w:name="_Toc23529"/>
      <w:r>
        <w:rPr>
          <w:rFonts w:hint="eastAsia" w:ascii="黑体" w:hAnsi="黑体" w:eastAsia="黑体" w:cs="黑体"/>
          <w:b w:val="0"/>
          <w:color w:val="auto"/>
          <w:kern w:val="2"/>
          <w:sz w:val="32"/>
          <w:szCs w:val="32"/>
          <w:lang w:val="en-US" w:eastAsia="zh-CN" w:bidi="ar"/>
        </w:rPr>
        <w:t>一、收入支出决算总表</w:t>
      </w:r>
      <w:bookmarkEnd w:id="59"/>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0" w:name="_Toc18274"/>
      <w:r>
        <w:rPr>
          <w:rFonts w:hint="eastAsia" w:ascii="黑体" w:hAnsi="黑体" w:eastAsia="黑体" w:cs="黑体"/>
          <w:b w:val="0"/>
          <w:color w:val="auto"/>
          <w:kern w:val="2"/>
          <w:sz w:val="32"/>
          <w:szCs w:val="32"/>
          <w:lang w:val="en-US" w:eastAsia="zh-CN" w:bidi="ar"/>
        </w:rPr>
        <w:t>二、收入决算表</w:t>
      </w:r>
      <w:bookmarkEnd w:id="60"/>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1" w:name="_Toc2670"/>
      <w:r>
        <w:rPr>
          <w:rFonts w:hint="eastAsia" w:ascii="黑体" w:hAnsi="黑体" w:eastAsia="黑体" w:cs="黑体"/>
          <w:b w:val="0"/>
          <w:color w:val="auto"/>
          <w:kern w:val="2"/>
          <w:sz w:val="32"/>
          <w:szCs w:val="32"/>
          <w:lang w:val="en-US" w:eastAsia="zh-CN" w:bidi="ar"/>
        </w:rPr>
        <w:t>三、支出决算表</w:t>
      </w:r>
      <w:bookmarkEnd w:id="61"/>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2" w:name="_Toc20370"/>
      <w:r>
        <w:rPr>
          <w:rFonts w:hint="eastAsia" w:ascii="黑体" w:hAnsi="黑体" w:eastAsia="黑体" w:cs="黑体"/>
          <w:b w:val="0"/>
          <w:color w:val="auto"/>
          <w:kern w:val="2"/>
          <w:sz w:val="32"/>
          <w:szCs w:val="32"/>
          <w:lang w:val="en-US" w:eastAsia="zh-CN" w:bidi="ar"/>
        </w:rPr>
        <w:t>四、财政拨款收入支出决算总表</w:t>
      </w:r>
      <w:bookmarkEnd w:id="62"/>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3" w:name="_Toc14654"/>
      <w:r>
        <w:rPr>
          <w:rFonts w:hint="eastAsia" w:ascii="黑体" w:hAnsi="黑体" w:eastAsia="黑体" w:cs="黑体"/>
          <w:b w:val="0"/>
          <w:color w:val="auto"/>
          <w:kern w:val="2"/>
          <w:sz w:val="32"/>
          <w:szCs w:val="32"/>
          <w:lang w:val="en-US" w:eastAsia="zh-CN" w:bidi="ar"/>
        </w:rPr>
        <w:t>五、财政拨款支出决算明细表</w:t>
      </w:r>
      <w:bookmarkEnd w:id="63"/>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4" w:name="_Toc25893"/>
      <w:r>
        <w:rPr>
          <w:rFonts w:hint="eastAsia" w:ascii="黑体" w:hAnsi="黑体" w:eastAsia="黑体" w:cs="黑体"/>
          <w:b w:val="0"/>
          <w:color w:val="auto"/>
          <w:kern w:val="2"/>
          <w:sz w:val="32"/>
          <w:szCs w:val="32"/>
          <w:lang w:val="en-US" w:eastAsia="zh-CN" w:bidi="ar"/>
        </w:rPr>
        <w:t>六、一般公共预算财政拨款支出决算表</w:t>
      </w:r>
      <w:bookmarkEnd w:id="64"/>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5" w:name="_Toc10785"/>
      <w:r>
        <w:rPr>
          <w:rFonts w:hint="eastAsia" w:ascii="黑体" w:hAnsi="黑体" w:eastAsia="黑体" w:cs="黑体"/>
          <w:b w:val="0"/>
          <w:color w:val="auto"/>
          <w:kern w:val="2"/>
          <w:sz w:val="32"/>
          <w:szCs w:val="32"/>
          <w:lang w:val="en-US" w:eastAsia="zh-CN" w:bidi="ar"/>
        </w:rPr>
        <w:t>七、一般公共预算财政拨款支出决算明细表</w:t>
      </w:r>
      <w:bookmarkEnd w:id="65"/>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6" w:name="_Toc14024"/>
      <w:r>
        <w:rPr>
          <w:rFonts w:hint="eastAsia" w:ascii="黑体" w:hAnsi="黑体" w:eastAsia="黑体" w:cs="黑体"/>
          <w:b w:val="0"/>
          <w:color w:val="auto"/>
          <w:kern w:val="2"/>
          <w:sz w:val="32"/>
          <w:szCs w:val="32"/>
          <w:lang w:val="en-US" w:eastAsia="zh-CN" w:bidi="ar"/>
        </w:rPr>
        <w:t>八、一般公共预算财政拨款基本支出决算表</w:t>
      </w:r>
      <w:bookmarkEnd w:id="66"/>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7" w:name="_Toc7409"/>
      <w:r>
        <w:rPr>
          <w:rFonts w:hint="eastAsia" w:ascii="黑体" w:hAnsi="黑体" w:eastAsia="黑体" w:cs="黑体"/>
          <w:b w:val="0"/>
          <w:color w:val="auto"/>
          <w:kern w:val="2"/>
          <w:sz w:val="32"/>
          <w:szCs w:val="32"/>
          <w:lang w:val="en-US" w:eastAsia="zh-CN" w:bidi="ar"/>
        </w:rPr>
        <w:t>九、一般公共预算财政拨款项目支出决算表</w:t>
      </w:r>
      <w:bookmarkEnd w:id="67"/>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8" w:name="_Toc10570"/>
      <w:r>
        <w:rPr>
          <w:rFonts w:hint="eastAsia" w:ascii="黑体" w:hAnsi="黑体" w:eastAsia="黑体" w:cs="黑体"/>
          <w:b w:val="0"/>
          <w:color w:val="auto"/>
          <w:kern w:val="2"/>
          <w:sz w:val="32"/>
          <w:szCs w:val="32"/>
          <w:lang w:val="en-US" w:eastAsia="zh-CN" w:bidi="ar"/>
        </w:rPr>
        <w:t>十、一般公共预算财政拨款“三公”经费支出决算表</w:t>
      </w:r>
      <w:bookmarkEnd w:id="68"/>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69" w:name="_Toc24117"/>
      <w:r>
        <w:rPr>
          <w:rFonts w:hint="eastAsia" w:ascii="黑体" w:hAnsi="黑体" w:eastAsia="黑体" w:cs="黑体"/>
          <w:b w:val="0"/>
          <w:color w:val="auto"/>
          <w:kern w:val="2"/>
          <w:sz w:val="32"/>
          <w:szCs w:val="32"/>
          <w:lang w:val="en-US" w:eastAsia="zh-CN" w:bidi="ar"/>
        </w:rPr>
        <w:t>十一、政府性基金预算财政拨款收入支出决算表</w:t>
      </w:r>
      <w:bookmarkEnd w:id="69"/>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70" w:name="_Toc11837"/>
      <w:r>
        <w:rPr>
          <w:rFonts w:hint="eastAsia" w:ascii="黑体" w:hAnsi="黑体" w:eastAsia="黑体" w:cs="黑体"/>
          <w:b w:val="0"/>
          <w:color w:val="auto"/>
          <w:kern w:val="2"/>
          <w:sz w:val="32"/>
          <w:szCs w:val="32"/>
          <w:lang w:val="en-US" w:eastAsia="zh-CN" w:bidi="ar"/>
        </w:rPr>
        <w:t>十二、政府性基金预算财政拨款“三公”经费支出决算表</w:t>
      </w:r>
      <w:bookmarkEnd w:id="70"/>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bookmarkStart w:id="71" w:name="_Toc15289"/>
      <w:r>
        <w:rPr>
          <w:rFonts w:hint="eastAsia" w:ascii="黑体" w:hAnsi="黑体" w:eastAsia="黑体" w:cs="黑体"/>
          <w:b w:val="0"/>
          <w:color w:val="auto"/>
          <w:kern w:val="2"/>
          <w:sz w:val="32"/>
          <w:szCs w:val="32"/>
          <w:lang w:val="en-US" w:eastAsia="zh-CN" w:bidi="ar"/>
        </w:rPr>
        <w:t>十三、国有资本经营预算财政拨款收入支出决算表</w:t>
      </w:r>
      <w:bookmarkEnd w:id="71"/>
      <w:bookmarkStart w:id="72" w:name="_Toc31934"/>
    </w:p>
    <w:p>
      <w:pPr>
        <w:pStyle w:val="12"/>
        <w:keepNext w:val="0"/>
        <w:keepLines w:val="0"/>
        <w:pageBreakBefore w:val="0"/>
        <w:widowControl w:val="0"/>
        <w:kinsoku/>
        <w:wordWrap/>
        <w:overflowPunct/>
        <w:topLinePunct w:val="0"/>
        <w:autoSpaceDE/>
        <w:autoSpaceDN/>
        <w:bidi w:val="0"/>
        <w:adjustRightInd w:val="0"/>
        <w:snapToGrid w:val="0"/>
        <w:spacing w:line="576" w:lineRule="exact"/>
        <w:ind w:firstLine="0" w:firstLineChars="0"/>
        <w:jc w:val="left"/>
        <w:textAlignment w:val="auto"/>
        <w:outlineLvl w:val="1"/>
        <w:rPr>
          <w:rFonts w:hint="eastAsia" w:ascii="黑体" w:hAnsi="黑体" w:eastAsia="黑体" w:cs="黑体"/>
          <w:b w:val="0"/>
          <w:color w:val="auto"/>
          <w:kern w:val="2"/>
          <w:sz w:val="32"/>
          <w:szCs w:val="32"/>
          <w:lang w:val="en-US" w:eastAsia="zh-CN" w:bidi="ar"/>
        </w:rPr>
      </w:pPr>
      <w:r>
        <w:rPr>
          <w:rFonts w:hint="eastAsia" w:ascii="黑体" w:hAnsi="黑体" w:eastAsia="黑体" w:cs="黑体"/>
          <w:b w:val="0"/>
          <w:color w:val="auto"/>
          <w:kern w:val="2"/>
          <w:sz w:val="32"/>
          <w:szCs w:val="32"/>
          <w:lang w:val="en-US" w:eastAsia="zh-CN" w:bidi="ar"/>
        </w:rPr>
        <w:t>十四、国有资本经营预算财政拨款支出决算表</w:t>
      </w:r>
      <w:bookmarkEnd w:id="72"/>
    </w:p>
    <w:p>
      <w:pPr>
        <w:keepNext w:val="0"/>
        <w:keepLines w:val="0"/>
        <w:pageBreakBefore w:val="0"/>
        <w:widowControl w:val="0"/>
        <w:kinsoku/>
        <w:wordWrap/>
        <w:overflowPunct/>
        <w:topLinePunct w:val="0"/>
        <w:autoSpaceDE/>
        <w:autoSpaceDN/>
        <w:bidi w:val="0"/>
        <w:spacing w:line="600" w:lineRule="exact"/>
        <w:ind w:firstLine="0" w:firstLineChars="0"/>
        <w:jc w:val="center"/>
        <w:textAlignment w:val="auto"/>
        <w:outlineLvl w:val="0"/>
        <w:rPr>
          <w:rFonts w:hint="eastAsia" w:ascii="黑体" w:hAnsi="黑体" w:eastAsia="黑体"/>
          <w:color w:val="auto"/>
          <w:sz w:val="44"/>
          <w:szCs w:val="44"/>
        </w:rPr>
      </w:pPr>
      <w:r>
        <w:rPr>
          <w:rFonts w:hint="eastAsia" w:ascii="仿宋_GB2312" w:hAnsi="微软雅黑" w:eastAsia="仿宋_GB2312" w:cs="仿宋_GB2312"/>
          <w:b w:val="0"/>
          <w:color w:val="auto"/>
          <w:kern w:val="2"/>
          <w:sz w:val="32"/>
          <w:szCs w:val="32"/>
          <w:lang w:val="en-US" w:eastAsia="zh-CN" w:bidi="ar"/>
        </w:rPr>
        <w:t xml:space="preserve">                      </w:t>
      </w:r>
      <w:r>
        <w:rPr>
          <w:rFonts w:hint="eastAsia"/>
          <w:color w:val="auto"/>
          <w:lang w:val="en-US" w:eastAsia="zh-CN"/>
        </w:rPr>
        <w:t xml:space="preserve">                                                      </w:t>
      </w: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94781956"/>
                          </w:sdtPr>
                          <w:sdtContent>
                            <w:p>
                              <w:pPr>
                                <w:pStyle w:val="9"/>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id w:val="-1994781956"/>
                    </w:sdtPr>
                    <w:sdtContent>
                      <w:p>
                        <w:pPr>
                          <w:pStyle w:val="9"/>
                          <w:jc w:val="cente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10</w:t>
                        </w:r>
                        <w:r>
                          <w:rPr>
                            <w:sz w:val="28"/>
                            <w:szCs w:val="28"/>
                          </w:rPr>
                          <w:fldChar w:fldCharType="end"/>
                        </w:r>
                      </w:p>
                    </w:sdtContent>
                  </w:sdt>
                  <w:p>
                    <w:pPr>
                      <w:pStyle w:val="2"/>
                    </w:pPr>
                  </w:p>
                </w:txbxContent>
              </v:textbox>
            </v:shape>
          </w:pict>
        </mc:Fallback>
      </mc:AlternateContent>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0NTY2MDcyODQ2N2FkODM5ZTkwNDc3NmI1NDljNjAifQ=="/>
  </w:docVars>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75A1F"/>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3F14D09"/>
    <w:rsid w:val="081B1CD9"/>
    <w:rsid w:val="08EE176F"/>
    <w:rsid w:val="094C4980"/>
    <w:rsid w:val="0AAA6682"/>
    <w:rsid w:val="10AE30B3"/>
    <w:rsid w:val="10C055FF"/>
    <w:rsid w:val="120C7C36"/>
    <w:rsid w:val="122B62D1"/>
    <w:rsid w:val="1557260E"/>
    <w:rsid w:val="16BB723D"/>
    <w:rsid w:val="1AAF5686"/>
    <w:rsid w:val="1C146BAF"/>
    <w:rsid w:val="1DDE692B"/>
    <w:rsid w:val="1EBF38C6"/>
    <w:rsid w:val="1F055BC3"/>
    <w:rsid w:val="23CA60B4"/>
    <w:rsid w:val="240371BF"/>
    <w:rsid w:val="244B40E6"/>
    <w:rsid w:val="29FD04D3"/>
    <w:rsid w:val="2EC76F67"/>
    <w:rsid w:val="319F7F4E"/>
    <w:rsid w:val="34963ED3"/>
    <w:rsid w:val="34E41A54"/>
    <w:rsid w:val="35EF585C"/>
    <w:rsid w:val="3AF769C0"/>
    <w:rsid w:val="3B4A33FA"/>
    <w:rsid w:val="40DF0F67"/>
    <w:rsid w:val="422D1651"/>
    <w:rsid w:val="44333A61"/>
    <w:rsid w:val="48B679AB"/>
    <w:rsid w:val="4A6022F2"/>
    <w:rsid w:val="4AFF5453"/>
    <w:rsid w:val="4F6E3703"/>
    <w:rsid w:val="52B87C7E"/>
    <w:rsid w:val="53515075"/>
    <w:rsid w:val="55E62946"/>
    <w:rsid w:val="56A61D8A"/>
    <w:rsid w:val="57BB14B0"/>
    <w:rsid w:val="58AD704A"/>
    <w:rsid w:val="58C44394"/>
    <w:rsid w:val="5CA60306"/>
    <w:rsid w:val="5E122838"/>
    <w:rsid w:val="5EA62019"/>
    <w:rsid w:val="602013BD"/>
    <w:rsid w:val="62AA45FB"/>
    <w:rsid w:val="62D222DD"/>
    <w:rsid w:val="65CE4F64"/>
    <w:rsid w:val="663E572A"/>
    <w:rsid w:val="6A5F188C"/>
    <w:rsid w:val="709F32C5"/>
    <w:rsid w:val="73347935"/>
    <w:rsid w:val="74C50DAD"/>
    <w:rsid w:val="75E901CB"/>
    <w:rsid w:val="78CB188B"/>
    <w:rsid w:val="7D26556B"/>
    <w:rsid w:val="7D2A2168"/>
    <w:rsid w:val="7D91231C"/>
    <w:rsid w:val="7E5D0F7F"/>
    <w:rsid w:val="7E6E4FDD"/>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Plain Text"/>
    <w:basedOn w:val="1"/>
    <w:unhideWhenUsed/>
    <w:qFormat/>
    <w:uiPriority w:val="99"/>
    <w:pPr>
      <w:spacing w:line="620" w:lineRule="exact"/>
    </w:pPr>
    <w:rPr>
      <w:rFonts w:ascii="宋体" w:hAnsi="Courier New" w:cs="Courier New"/>
      <w:szCs w:val="21"/>
    </w:rPr>
  </w:style>
  <w:style w:type="paragraph" w:styleId="8">
    <w:name w:val="Balloon Text"/>
    <w:basedOn w:val="1"/>
    <w:link w:val="28"/>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37</Pages>
  <Words>14200</Words>
  <Characters>14976</Characters>
  <Lines>68</Lines>
  <Paragraphs>19</Paragraphs>
  <TotalTime>48</TotalTime>
  <ScaleCrop>false</ScaleCrop>
  <LinksUpToDate>false</LinksUpToDate>
  <CharactersWithSpaces>15311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2023-12-25T07:17:57Z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C54B98F3651C430D9A28841B2BBB6FFB</vt:lpwstr>
  </property>
</Properties>
</file>