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ascii="方正小标宋简体" w:hAnsi="宋体" w:eastAsia="方正小标宋简体"/>
          <w:szCs w:val="21"/>
        </w:rPr>
      </w:pPr>
      <w:bookmarkStart w:id="0"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32345"/>
      <w:bookmarkStart w:id="2" w:name="_Toc15396597"/>
      <w:bookmarkStart w:id="3" w:name="_Toc15377425"/>
      <w:bookmarkStart w:id="4" w:name="_Toc11829"/>
      <w:bookmarkStart w:id="5" w:name="_Toc15377193"/>
      <w:bookmarkStart w:id="6" w:name="_Toc15378441"/>
      <w:bookmarkStart w:id="7" w:name="_Toc1539647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bookmarkEnd w:id="6"/>
      <w:bookmarkEnd w:id="7"/>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8" w:name="_Toc27095"/>
      <w:bookmarkStart w:id="9" w:name="_Toc24012"/>
      <w:bookmarkStart w:id="10" w:name="_Toc15396476"/>
      <w:bookmarkStart w:id="11" w:name="_Toc15396598"/>
      <w:bookmarkStart w:id="12" w:name="_Toc15378442"/>
      <w:bookmarkStart w:id="13" w:name="_Toc15377426"/>
      <w:bookmarkStart w:id="14" w:name="_Toc15377194"/>
      <w:r>
        <w:rPr>
          <w:rFonts w:hint="eastAsia" w:ascii="方正小标宋简体" w:hAnsi="方正小标宋简体" w:eastAsia="方正小标宋简体" w:cs="方正小标宋简体"/>
          <w:sz w:val="72"/>
          <w:szCs w:val="72"/>
        </w:rPr>
        <w:t>剑阁县</w:t>
      </w:r>
      <w:bookmarkEnd w:id="0"/>
      <w:bookmarkStart w:id="15" w:name="_Toc15306268"/>
      <w:r>
        <w:rPr>
          <w:rFonts w:hint="eastAsia" w:ascii="方正小标宋简体" w:hAnsi="方正小标宋简体" w:eastAsia="方正小标宋简体" w:cs="方正小标宋简体"/>
          <w:sz w:val="72"/>
          <w:szCs w:val="72"/>
          <w:lang w:eastAsia="zh-CN"/>
        </w:rPr>
        <w:t>交通运输局</w:t>
      </w:r>
      <w:bookmarkEnd w:id="8"/>
      <w:bookmarkEnd w:id="9"/>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6" w:name="_Toc13616"/>
      <w:bookmarkStart w:id="17" w:name="_Toc19710"/>
      <w:r>
        <w:rPr>
          <w:rFonts w:hint="eastAsia" w:ascii="方正小标宋简体" w:hAnsi="方正小标宋简体" w:eastAsia="方正小标宋简体" w:cs="方正小标宋简体"/>
          <w:sz w:val="72"/>
          <w:szCs w:val="72"/>
        </w:rPr>
        <w:t>单位决算</w:t>
      </w:r>
      <w:bookmarkEnd w:id="10"/>
      <w:bookmarkEnd w:id="11"/>
      <w:bookmarkEnd w:id="12"/>
      <w:bookmarkEnd w:id="13"/>
      <w:bookmarkEnd w:id="14"/>
      <w:bookmarkEnd w:id="15"/>
      <w:bookmarkEnd w:id="16"/>
      <w:bookmarkEnd w:id="17"/>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公开时间：2023年</w:t>
      </w:r>
      <w:r>
        <w:rPr>
          <w:rFonts w:hint="eastAsia"/>
          <w:lang w:val="en-US" w:eastAsia="zh-CN"/>
        </w:rPr>
        <w:t>10</w:t>
      </w:r>
      <w:r>
        <w:rPr>
          <w:rFonts w:hint="eastAsia"/>
        </w:rPr>
        <w:t xml:space="preserve"> 月</w:t>
      </w:r>
      <w:r>
        <w:rPr>
          <w:rFonts w:hint="eastAsia"/>
          <w:lang w:val="en-US" w:eastAsia="zh-CN"/>
        </w:rPr>
        <w:t>16</w:t>
      </w:r>
      <w:r>
        <w:rPr>
          <w:rFonts w:hint="eastAsia"/>
        </w:rPr>
        <w:t xml:space="preserve"> 日</w:t>
      </w:r>
    </w:p>
    <w:sdt>
      <w:sdtPr>
        <w:rPr>
          <w:rFonts w:ascii="宋体" w:hAnsi="宋体" w:eastAsia="宋体" w:cs="Times New Roman"/>
          <w:kern w:val="2"/>
          <w:sz w:val="21"/>
          <w:szCs w:val="24"/>
          <w:lang w:val="en-US" w:eastAsia="zh-CN" w:bidi="ar-SA"/>
        </w:rPr>
        <w:id w:val="147451406"/>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18" w:name="_Toc15396599"/>
          <w:bookmarkStart w:id="19" w:name="_Toc15377196"/>
          <w:r>
            <w:fldChar w:fldCharType="begin"/>
          </w:r>
          <w:r>
            <w:instrText xml:space="preserve">TOC \o "1-3" \h \u </w:instrText>
          </w:r>
          <w:r>
            <w:fldChar w:fldCharType="separate"/>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_Toc19097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第一部分 单位</w:t>
          </w:r>
          <w:r>
            <w:rPr>
              <w:rFonts w:hint="eastAsia" w:ascii="仿宋_GB2312" w:hAnsi="仿宋_GB2312" w:eastAsia="仿宋_GB2312" w:cs="仿宋_GB2312"/>
              <w:bCs w:val="0"/>
              <w:sz w:val="32"/>
              <w:szCs w:val="32"/>
            </w:rPr>
            <w:t>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_Toc19097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一、 主要职责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_Toc8565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（一）单位职责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_Toc8565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_Toc15175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（二）2022年重点工作完成情况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_Toc15175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_Toc27072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_Toc27072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_Toc26290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第二部分 2022年度</w:t>
          </w:r>
          <w:r>
            <w:rPr>
              <w:rFonts w:hint="eastAsia" w:ascii="仿宋_GB2312" w:hAnsi="仿宋_GB2312" w:eastAsia="仿宋_GB2312" w:cs="仿宋_GB2312"/>
              <w:bCs/>
              <w:sz w:val="32"/>
              <w:szCs w:val="32"/>
            </w:rPr>
            <w:t>单位决算情况说明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_Toc26290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_Toc8761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 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_Toc8761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_Toc13890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 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_Toc13890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_Toc19776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 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_Toc19776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_Toc23082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_Toc23082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_Toc7212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_Toc7212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_Toc16530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（一）一般公共预算财政拨款支出决算总体情况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_Toc16530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_Toc26124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（二）一般公共预算财政拨款支出决算结构情况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_Toc26124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_Toc1992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（三）一般公共预算财政拨款支出决算具体情况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_Toc1992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_Toc19848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_Toc19848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_Toc5920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七、财政拨款“三公”经费支出决算情况说明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_Toc5920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_Toc22212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（一）“三公”经费财政拨款支出决算总体情况说明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_Toc22212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_Toc15298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（二）“三公”经费财政拨款支出决算具体情况说明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_Toc15298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_Toc30071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_Toc30071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_Toc20726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九、 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_Toc20726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_Toc7313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 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_Toc7313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_Toc30632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（一）机关运行经费支出情况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_Toc30632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_Toc25630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（二）政府采购支出情况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_Toc25630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_Toc16188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（三）国有资产占有使用情况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_Toc16188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_Toc16209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（四）预算绩效管理情况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_Toc16209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_Toc29172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 xml:space="preserve">第三部分 </w:t>
          </w:r>
          <w:r>
            <w:rPr>
              <w:rFonts w:hint="eastAsia" w:ascii="仿宋_GB2312" w:hAnsi="仿宋_GB2312" w:eastAsia="仿宋_GB2312" w:cs="仿宋_GB2312"/>
              <w:sz w:val="32"/>
              <w:szCs w:val="32"/>
            </w:rPr>
            <w:t>名词解释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_Toc29172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_Toc19418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第四部分 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_Toc19418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_Toc2407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第五部分 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_Toc19700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一、收</w:t>
          </w:r>
          <w:r>
            <w:rPr>
              <w:rFonts w:hint="eastAsia" w:ascii="仿宋_GB2312" w:hAnsi="仿宋_GB2312" w:eastAsia="仿宋_GB2312" w:cs="仿宋_GB2312"/>
              <w:bCs w:val="0"/>
              <w:sz w:val="32"/>
              <w:szCs w:val="32"/>
            </w:rPr>
            <w:t>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_Toc19700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_Toc13282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二、收</w:t>
          </w:r>
          <w:r>
            <w:rPr>
              <w:rFonts w:hint="eastAsia" w:ascii="仿宋_GB2312" w:hAnsi="仿宋_GB2312" w:eastAsia="仿宋_GB2312" w:cs="仿宋_GB2312"/>
              <w:bCs w:val="0"/>
              <w:sz w:val="32"/>
              <w:szCs w:val="32"/>
            </w:rPr>
            <w:t>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_Toc13282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_Toc14281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三、</w:t>
          </w:r>
          <w:r>
            <w:rPr>
              <w:rFonts w:hint="eastAsia" w:ascii="仿宋_GB2312" w:hAnsi="仿宋_GB2312" w:eastAsia="仿宋_GB2312" w:cs="仿宋_GB2312"/>
              <w:sz w:val="32"/>
              <w:szCs w:val="32"/>
            </w:rPr>
            <w:t>支</w:t>
          </w:r>
          <w:r>
            <w:rPr>
              <w:rFonts w:hint="eastAsia" w:ascii="仿宋_GB2312" w:hAnsi="仿宋_GB2312" w:eastAsia="仿宋_GB2312" w:cs="仿宋_GB2312"/>
              <w:bCs w:val="0"/>
              <w:sz w:val="32"/>
              <w:szCs w:val="32"/>
            </w:rPr>
            <w:t>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_Toc14281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_Toc22957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四、</w:t>
          </w:r>
          <w:r>
            <w:rPr>
              <w:rFonts w:hint="eastAsia" w:ascii="仿宋_GB2312" w:hAnsi="仿宋_GB2312" w:eastAsia="仿宋_GB2312" w:cs="仿宋_GB2312"/>
              <w:sz w:val="32"/>
              <w:szCs w:val="32"/>
            </w:rPr>
            <w:t>财</w:t>
          </w:r>
          <w:r>
            <w:rPr>
              <w:rFonts w:hint="eastAsia" w:ascii="仿宋_GB2312" w:hAnsi="仿宋_GB2312" w:eastAsia="仿宋_GB2312" w:cs="仿宋_GB2312"/>
              <w:bCs w:val="0"/>
              <w:sz w:val="32"/>
              <w:szCs w:val="32"/>
            </w:rPr>
            <w:t>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_Toc22957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_Toc9253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五、</w:t>
          </w:r>
          <w:r>
            <w:rPr>
              <w:rFonts w:hint="eastAsia" w:ascii="仿宋_GB2312" w:hAnsi="仿宋_GB2312" w:eastAsia="仿宋_GB2312" w:cs="仿宋_GB2312"/>
              <w:sz w:val="32"/>
              <w:szCs w:val="32"/>
            </w:rPr>
            <w:t>财</w:t>
          </w:r>
          <w:r>
            <w:rPr>
              <w:rFonts w:hint="eastAsia" w:ascii="仿宋_GB2312" w:hAnsi="仿宋_GB2312" w:eastAsia="仿宋_GB2312" w:cs="仿宋_GB2312"/>
              <w:bCs w:val="0"/>
              <w:sz w:val="32"/>
              <w:szCs w:val="32"/>
            </w:rPr>
            <w:t>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_Toc9253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_Toc18818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六、</w:t>
          </w:r>
          <w:r>
            <w:rPr>
              <w:rFonts w:hint="eastAsia" w:ascii="仿宋_GB2312" w:hAnsi="仿宋_GB2312" w:eastAsia="仿宋_GB2312" w:cs="仿宋_GB2312"/>
              <w:sz w:val="32"/>
              <w:szCs w:val="32"/>
            </w:rPr>
            <w:t>一</w:t>
          </w:r>
          <w:r>
            <w:rPr>
              <w:rFonts w:hint="eastAsia" w:ascii="仿宋_GB2312" w:hAnsi="仿宋_GB2312" w:eastAsia="仿宋_GB2312" w:cs="仿宋_GB2312"/>
              <w:bCs w:val="0"/>
              <w:sz w:val="32"/>
              <w:szCs w:val="32"/>
            </w:rPr>
            <w:t>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_Toc18818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_Toc19341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七、</w:t>
          </w:r>
          <w:r>
            <w:rPr>
              <w:rFonts w:hint="eastAsia" w:ascii="仿宋_GB2312" w:hAnsi="仿宋_GB2312" w:eastAsia="仿宋_GB2312" w:cs="仿宋_GB2312"/>
              <w:sz w:val="32"/>
              <w:szCs w:val="32"/>
            </w:rPr>
            <w:t>一</w:t>
          </w:r>
          <w:r>
            <w:rPr>
              <w:rFonts w:hint="eastAsia" w:ascii="仿宋_GB2312" w:hAnsi="仿宋_GB2312" w:eastAsia="仿宋_GB2312" w:cs="仿宋_GB2312"/>
              <w:bCs w:val="0"/>
              <w:sz w:val="32"/>
              <w:szCs w:val="32"/>
            </w:rPr>
            <w:t>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_Toc19341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_Toc11708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八、</w:t>
          </w:r>
          <w:r>
            <w:rPr>
              <w:rFonts w:hint="eastAsia" w:ascii="仿宋_GB2312" w:hAnsi="仿宋_GB2312" w:eastAsia="仿宋_GB2312" w:cs="仿宋_GB2312"/>
              <w:sz w:val="32"/>
              <w:szCs w:val="32"/>
            </w:rPr>
            <w:t>一</w:t>
          </w:r>
          <w:r>
            <w:rPr>
              <w:rFonts w:hint="eastAsia" w:ascii="仿宋_GB2312" w:hAnsi="仿宋_GB2312" w:eastAsia="仿宋_GB2312" w:cs="仿宋_GB2312"/>
              <w:bCs w:val="0"/>
              <w:sz w:val="32"/>
              <w:szCs w:val="32"/>
            </w:rPr>
            <w:t>般公共预算财政拨款基本支出决算表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_Toc11708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_Toc21037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九、</w:t>
          </w:r>
          <w:r>
            <w:rPr>
              <w:rFonts w:hint="eastAsia" w:ascii="仿宋_GB2312" w:hAnsi="仿宋_GB2312" w:eastAsia="仿宋_GB2312" w:cs="仿宋_GB2312"/>
              <w:sz w:val="32"/>
              <w:szCs w:val="32"/>
            </w:rPr>
            <w:t>一</w:t>
          </w:r>
          <w:r>
            <w:rPr>
              <w:rFonts w:hint="eastAsia" w:ascii="仿宋_GB2312" w:hAnsi="仿宋_GB2312" w:eastAsia="仿宋_GB2312" w:cs="仿宋_GB2312"/>
              <w:bCs w:val="0"/>
              <w:sz w:val="32"/>
              <w:szCs w:val="32"/>
            </w:rPr>
            <w:t>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_Toc21037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_Toc14347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十、</w:t>
          </w:r>
          <w:r>
            <w:rPr>
              <w:rFonts w:hint="eastAsia" w:ascii="仿宋_GB2312" w:hAnsi="仿宋_GB2312" w:eastAsia="仿宋_GB2312" w:cs="仿宋_GB2312"/>
              <w:sz w:val="32"/>
              <w:szCs w:val="32"/>
            </w:rPr>
            <w:t>政</w:t>
          </w:r>
          <w:r>
            <w:rPr>
              <w:rFonts w:hint="eastAsia" w:ascii="仿宋_GB2312" w:hAnsi="仿宋_GB2312" w:eastAsia="仿宋_GB2312" w:cs="仿宋_GB2312"/>
              <w:bCs w:val="0"/>
              <w:sz w:val="32"/>
              <w:szCs w:val="32"/>
            </w:rPr>
            <w:t>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_Toc14347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_Toc12364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十一、</w:t>
          </w:r>
          <w:r>
            <w:rPr>
              <w:rFonts w:hint="eastAsia" w:ascii="仿宋_GB2312" w:hAnsi="仿宋_GB2312" w:eastAsia="仿宋_GB2312" w:cs="仿宋_GB2312"/>
              <w:sz w:val="32"/>
              <w:szCs w:val="32"/>
            </w:rPr>
            <w:t>国</w:t>
          </w:r>
          <w:r>
            <w:rPr>
              <w:rFonts w:hint="eastAsia" w:ascii="仿宋_GB2312" w:hAnsi="仿宋_GB2312" w:eastAsia="仿宋_GB2312" w:cs="仿宋_GB2312"/>
              <w:bCs w:val="0"/>
              <w:sz w:val="32"/>
              <w:szCs w:val="32"/>
            </w:rPr>
            <w:t>有资本经营预算财政拨款收入支出决算表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_Toc12364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_Toc8107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十二、国有资本经营预算财政拨款支出决算表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_Toc8107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_Toc2069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十三、财政拨款“三公”经费支出决算表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_Toc2069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r>
            <w:fldChar w:fldCharType="end"/>
          </w:r>
        </w:p>
      </w:sdtContent>
    </w:sdt>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4"/>
        <w:jc w:val="center"/>
        <w:rPr>
          <w:rFonts w:ascii="黑体" w:eastAsia="黑体"/>
          <w:sz w:val="32"/>
          <w:szCs w:val="32"/>
        </w:rPr>
      </w:pPr>
      <w:bookmarkStart w:id="20" w:name="_Toc19097"/>
      <w:r>
        <w:rPr>
          <w:rFonts w:hint="eastAsia" w:ascii="黑体" w:hAnsi="黑体" w:eastAsia="黑体"/>
          <w:b w:val="0"/>
        </w:rPr>
        <w:t>第一部分 单位</w:t>
      </w:r>
      <w:r>
        <w:rPr>
          <w:rStyle w:val="26"/>
          <w:rFonts w:hint="eastAsia" w:ascii="黑体" w:hAnsi="黑体" w:eastAsia="黑体"/>
          <w:b w:val="0"/>
          <w:bCs w:val="0"/>
        </w:rPr>
        <w:t>概况</w:t>
      </w:r>
      <w:bookmarkEnd w:id="18"/>
      <w:bookmarkEnd w:id="19"/>
      <w:bookmarkEnd w:id="20"/>
    </w:p>
    <w:p>
      <w:pPr>
        <w:pStyle w:val="5"/>
        <w:numPr>
          <w:ilvl w:val="0"/>
          <w:numId w:val="1"/>
        </w:numPr>
        <w:rPr>
          <w:rStyle w:val="27"/>
          <w:rFonts w:ascii="黑体" w:hAnsi="黑体" w:eastAsia="黑体"/>
          <w:b w:val="0"/>
          <w:bCs w:val="0"/>
        </w:rPr>
      </w:pPr>
      <w:bookmarkStart w:id="21" w:name="_Toc301"/>
      <w:bookmarkStart w:id="22" w:name="_Toc15396600"/>
      <w:bookmarkStart w:id="23" w:name="_Toc15377197"/>
      <w:r>
        <w:rPr>
          <w:rStyle w:val="27"/>
          <w:rFonts w:hint="eastAsia" w:ascii="黑体" w:hAnsi="黑体" w:eastAsia="黑体"/>
          <w:b w:val="0"/>
          <w:bCs w:val="0"/>
        </w:rPr>
        <w:t>主要职责</w:t>
      </w:r>
      <w:bookmarkEnd w:id="21"/>
    </w:p>
    <w:p>
      <w:pPr>
        <w:spacing w:line="600" w:lineRule="exact"/>
        <w:ind w:firstLine="643" w:firstLineChars="200"/>
        <w:outlineLvl w:val="2"/>
        <w:rPr>
          <w:rFonts w:hint="eastAsia" w:ascii="仿宋" w:hAnsi="仿宋" w:eastAsia="仿宋"/>
          <w:b/>
          <w:sz w:val="32"/>
          <w:szCs w:val="32"/>
          <w:lang w:eastAsia="zh-CN"/>
        </w:rPr>
      </w:pPr>
      <w:bookmarkStart w:id="24" w:name="_Toc8565"/>
      <w:r>
        <w:rPr>
          <w:rFonts w:hint="eastAsia" w:ascii="仿宋" w:hAnsi="仿宋" w:eastAsia="仿宋"/>
          <w:b/>
          <w:sz w:val="32"/>
          <w:szCs w:val="32"/>
          <w:lang w:val="en-US" w:eastAsia="zh-CN"/>
        </w:rPr>
        <w:t>（一）单位职责</w:t>
      </w:r>
      <w:bookmarkEnd w:id="24"/>
    </w:p>
    <w:p>
      <w:pPr>
        <w:snapToGrid w:val="0"/>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（1）贯彻执行国家和省有关交通行业的方针、政策和法</w:t>
      </w:r>
      <w:r>
        <w:rPr>
          <w:rFonts w:hint="eastAsia" w:ascii="仿宋_GB2312" w:hAnsi="仿宋" w:eastAsia="仿宋_GB2312"/>
          <w:sz w:val="32"/>
          <w:szCs w:val="32"/>
          <w:lang w:eastAsia="zh-CN"/>
        </w:rPr>
        <w:t>法律法规</w:t>
      </w:r>
      <w:r>
        <w:rPr>
          <w:rFonts w:hint="eastAsia" w:ascii="仿宋_GB2312" w:hAnsi="仿宋" w:eastAsia="仿宋_GB2312"/>
          <w:sz w:val="32"/>
          <w:szCs w:val="32"/>
        </w:rPr>
        <w:t>组织拟订并监督实施公路、水路等行业规划和标准，会同有关部门组织编制综合运输体系规划，参与拟订物流业发展战略和规划。</w:t>
      </w:r>
    </w:p>
    <w:p>
      <w:pPr>
        <w:snapToGrid w:val="0"/>
        <w:spacing w:line="576"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（2）拟订全县交通运输管理规定，负责本系统、本部门依法行政工作，落实行政执法责任制。指导公路、水路行业有关体制改革工作。</w:t>
      </w:r>
    </w:p>
    <w:p>
      <w:pPr>
        <w:snapToGrid w:val="0"/>
        <w:spacing w:line="576"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（3）承担道路、水路交通运输市场监管责任，组织制定道路、水路运输有</w:t>
      </w:r>
      <w:r>
        <w:rPr>
          <w:rFonts w:hint="eastAsia" w:ascii="仿宋_GB2312" w:hAnsi="仿宋" w:eastAsia="仿宋_GB2312"/>
          <w:sz w:val="32"/>
          <w:szCs w:val="32"/>
          <w:lang w:eastAsia="zh-CN"/>
        </w:rPr>
        <w:t>有关</w:t>
      </w:r>
      <w:r>
        <w:rPr>
          <w:rFonts w:hint="eastAsia" w:ascii="仿宋_GB2312" w:hAnsi="仿宋" w:eastAsia="仿宋_GB2312"/>
          <w:sz w:val="32"/>
          <w:szCs w:val="32"/>
        </w:rPr>
        <w:t>理办法并监督实施，指导城乡客运管理工作，指导出租汽车行业管理工作，会同有关部门制定运输价格。</w:t>
      </w:r>
    </w:p>
    <w:p>
      <w:pPr>
        <w:snapToGrid w:val="0"/>
        <w:spacing w:line="576"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承担水上交通安全监管责任。负责水上交通管制、运输船舶及相关水上设施检验、登记和防止污染、救助打捞、通讯导航、危险品运输的监督管理工作，负责船员管理相关工作。指导水上交通安全事故、船舶及相关水上设施污染事故的应急处置，依法组织或参与事故调查处理工作。</w:t>
      </w:r>
    </w:p>
    <w:p>
      <w:pPr>
        <w:snapToGrid w:val="0"/>
        <w:spacing w:line="576"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负责提出公路、水路固定资产投资规模和方向、县财政性资金安排建议，按照规定权限审批、核准国家、省、市、县规划内和年度计划规模内固定资产投资项目。会同有关部门拟订公路、水路有关规费征收办法并监督实施，提出有关财政、土地、价格等政策建议；指导交通运输行业审计工作。</w:t>
      </w:r>
    </w:p>
    <w:p>
      <w:pPr>
        <w:snapToGrid w:val="0"/>
        <w:spacing w:line="576"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承担公路、水路建设市场监管责任。拟订公路、水路工程建设相关制度、技术标准并监督实施，组织协调公路、水路有关重点工程建设和工程质量、安全生产监督管理工作。负责对交通行业和产业项目的招标投标活动的监督执法。指导交通运输基础设施管理和维护，承担有关重要设施的管理和维护，按规定负责港口规划和港口岸线使用管理工作，指导交通运输行业特许经营管理，会同有关部门组织实施交通运输行业职业资格管理工作。</w:t>
      </w:r>
    </w:p>
    <w:p>
      <w:pPr>
        <w:snapToGrid w:val="0"/>
        <w:spacing w:line="576"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（7）指导公路、水路行业安全生产和应急管理工作。按规定组织协调国家、省、市、县重点物资和紧急客货运输，负责重点干线路网运行监测和协调；组织协调地方交通战备工作，承担国防动员有关工作。</w:t>
      </w:r>
    </w:p>
    <w:p>
      <w:pPr>
        <w:snapToGrid w:val="0"/>
        <w:spacing w:line="576"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（8）贯彻实施交通运输科技政策，组织重大科技开发。指导全县交通运输信息化建设，监测分析运行情况，开展相关统计工作，发布有关信息。指导公路、水路行业环境保护和节能减排工作。</w:t>
      </w:r>
    </w:p>
    <w:p>
      <w:pPr>
        <w:snapToGrid w:val="0"/>
        <w:spacing w:line="576"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（9）负责公路、水路有关涉外工作，开展对外经济技术交流与合作，指导全县交通运输行业招商引资和利用外资工作。</w:t>
      </w:r>
    </w:p>
    <w:p>
      <w:pPr>
        <w:snapToGrid w:val="0"/>
        <w:spacing w:line="576"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（10）承担县政府公布的有关行政审批事项。</w:t>
      </w:r>
    </w:p>
    <w:p>
      <w:pPr>
        <w:snapToGrid w:val="0"/>
        <w:spacing w:line="576"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（11）承办县政府交办的其他事项。</w:t>
      </w:r>
    </w:p>
    <w:p>
      <w:pPr>
        <w:spacing w:line="600" w:lineRule="exact"/>
        <w:ind w:firstLine="643" w:firstLineChars="200"/>
        <w:outlineLvl w:val="2"/>
        <w:rPr>
          <w:rFonts w:hint="default" w:ascii="仿宋" w:hAnsi="仿宋" w:eastAsia="仿宋"/>
          <w:b/>
          <w:sz w:val="32"/>
          <w:szCs w:val="32"/>
          <w:lang w:val="en-US" w:eastAsia="zh-CN"/>
        </w:rPr>
      </w:pPr>
      <w:bookmarkStart w:id="25" w:name="_Toc15175"/>
      <w:r>
        <w:rPr>
          <w:rFonts w:hint="eastAsia" w:ascii="仿宋" w:hAnsi="仿宋" w:eastAsia="仿宋"/>
          <w:b/>
          <w:sz w:val="32"/>
          <w:szCs w:val="32"/>
          <w:lang w:val="en-US" w:eastAsia="zh-CN"/>
        </w:rPr>
        <w:t>（二）2022年重点工作完成情况</w:t>
      </w:r>
      <w:bookmarkEnd w:id="25"/>
    </w:p>
    <w:p>
      <w:pPr>
        <w:snapToGrid w:val="0"/>
        <w:spacing w:line="576"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2022年完成交通固定资产投资44.9亿元，占目标任务116.6%。招商引资到位资金11.4亿元，占目标任务253%。向上争取到位资金5.66亿元，占目标任务106%。</w:t>
      </w:r>
    </w:p>
    <w:p>
      <w:pPr>
        <w:spacing w:line="576" w:lineRule="exact"/>
        <w:ind w:firstLine="643" w:firstLineChars="200"/>
        <w:rPr>
          <w:rFonts w:hint="eastAsia" w:ascii="仿宋_GB2312" w:hAnsi="仿宋" w:eastAsia="仿宋_GB2312"/>
          <w:sz w:val="32"/>
          <w:szCs w:val="32"/>
        </w:rPr>
      </w:pPr>
      <w:r>
        <w:rPr>
          <w:rFonts w:hint="eastAsia" w:ascii="楷体_GB2312" w:hAnsi="黑体" w:eastAsia="楷体_GB2312"/>
          <w:b/>
          <w:color w:val="000000" w:themeColor="text1"/>
          <w:sz w:val="32"/>
          <w:szCs w:val="32"/>
          <w:lang w:val="en-US" w:eastAsia="zh-CN"/>
          <w14:textFill>
            <w14:solidFill>
              <w14:schemeClr w14:val="tx1"/>
            </w14:solidFill>
          </w14:textFill>
        </w:rPr>
        <w:t>1.</w:t>
      </w:r>
      <w:r>
        <w:rPr>
          <w:rFonts w:hint="eastAsia" w:ascii="楷体_GB2312" w:hAnsi="华文中宋" w:eastAsia="楷体_GB2312"/>
          <w:b/>
          <w:color w:val="000000" w:themeColor="text1"/>
          <w:sz w:val="32"/>
          <w:szCs w:val="32"/>
          <w14:textFill>
            <w14:solidFill>
              <w14:schemeClr w14:val="tx1"/>
            </w14:solidFill>
          </w14:textFill>
        </w:rPr>
        <w:t>交通重点项目建设。</w:t>
      </w:r>
      <w:r>
        <w:rPr>
          <w:rFonts w:hint="eastAsia" w:ascii="仿宋_GB2312" w:hAnsi="仿宋" w:eastAsia="仿宋_GB2312"/>
          <w:sz w:val="32"/>
          <w:szCs w:val="32"/>
        </w:rPr>
        <w:t>绵苍高速公路剑阁段建设加快推进，全面完成土地征收、房屋拆迁和坟墓搬迁工作；客人垭等13座隧道和西河大桥等24座桥梁完工。京昆高速广元至绵阳段扩容项目剑阁段有序建设推进。建成广元山区公路专项改善工程（二期）。国道347线剑阁境内厚子铺至印盒嘴公路改建工程、剑南物流中心、剑门关三国文化旅游大道、京昆高速剑门关收费站匝道拓宽工程和剑阁县X123 线国光至元山公路改建工程等项目开工建设。</w:t>
      </w:r>
    </w:p>
    <w:p>
      <w:pPr>
        <w:spacing w:line="520" w:lineRule="exact"/>
        <w:ind w:firstLine="643"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黑体" w:eastAsia="楷体_GB2312"/>
          <w:b/>
          <w:color w:val="000000" w:themeColor="text1"/>
          <w:sz w:val="32"/>
          <w:szCs w:val="32"/>
          <w:lang w:val="en-US" w:eastAsia="zh-CN"/>
          <w14:textFill>
            <w14:solidFill>
              <w14:schemeClr w14:val="tx1"/>
            </w14:solidFill>
          </w14:textFill>
        </w:rPr>
        <w:t>2.</w:t>
      </w:r>
      <w:r>
        <w:rPr>
          <w:rFonts w:hint="eastAsia" w:ascii="楷体_GB2312" w:hAnsi="黑体" w:eastAsia="楷体_GB2312"/>
          <w:b/>
          <w:color w:val="000000" w:themeColor="text1"/>
          <w:sz w:val="32"/>
          <w:szCs w:val="32"/>
          <w14:textFill>
            <w14:solidFill>
              <w14:schemeClr w14:val="tx1"/>
            </w14:solidFill>
          </w14:textFill>
        </w:rPr>
        <w:t>交通民生工程建设。一是</w:t>
      </w:r>
      <w:r>
        <w:rPr>
          <w:rFonts w:hint="eastAsia" w:ascii="仿宋_GB2312" w:eastAsia="仿宋_GB2312"/>
          <w:color w:val="000000" w:themeColor="text1"/>
          <w:sz w:val="32"/>
          <w:szCs w:val="32"/>
          <w14:textFill>
            <w14:solidFill>
              <w14:schemeClr w14:val="tx1"/>
            </w14:solidFill>
          </w14:textFill>
        </w:rPr>
        <w:t>完成新改建农村公路297公里</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黑体" w:eastAsia="仿宋_GB2312"/>
          <w:color w:val="000000" w:themeColor="text1"/>
          <w:sz w:val="32"/>
          <w:szCs w:val="32"/>
          <w14:textFill>
            <w14:solidFill>
              <w14:schemeClr w14:val="tx1"/>
            </w14:solidFill>
          </w14:textFill>
        </w:rPr>
        <w:t>农村公路生命防护工程302公里。</w:t>
      </w:r>
      <w:r>
        <w:rPr>
          <w:rFonts w:hint="eastAsia" w:ascii="楷体_GB2312" w:hAnsi="黑体" w:eastAsia="楷体_GB2312"/>
          <w:b/>
          <w:color w:val="000000" w:themeColor="text1"/>
          <w:sz w:val="32"/>
          <w:szCs w:val="32"/>
          <w14:textFill>
            <w14:solidFill>
              <w14:schemeClr w14:val="tx1"/>
            </w14:solidFill>
          </w14:textFill>
        </w:rPr>
        <w:t>二是</w:t>
      </w:r>
      <w:r>
        <w:rPr>
          <w:rFonts w:hint="eastAsia" w:ascii="仿宋_GB2312" w:eastAsia="仿宋_GB2312"/>
          <w:color w:val="000000" w:themeColor="text1"/>
          <w:sz w:val="32"/>
          <w:szCs w:val="32"/>
          <w14:textFill>
            <w14:solidFill>
              <w14:schemeClr w14:val="tx1"/>
            </w14:solidFill>
          </w14:textFill>
        </w:rPr>
        <w:t>扎实开展乡村客运“金通工程”省级样板县创建工作，建成乡镇综合服务站10个和“金通·邮快驿站”20个。</w:t>
      </w:r>
      <w:r>
        <w:rPr>
          <w:rFonts w:hint="eastAsia" w:ascii="楷体_GB2312" w:hAnsi="黑体" w:eastAsia="楷体_GB2312"/>
          <w:b/>
          <w:color w:val="000000" w:themeColor="text1"/>
          <w:sz w:val="32"/>
          <w:szCs w:val="32"/>
          <w14:textFill>
            <w14:solidFill>
              <w14:schemeClr w14:val="tx1"/>
            </w14:solidFill>
          </w14:textFill>
        </w:rPr>
        <w:t>三是</w:t>
      </w:r>
      <w:r>
        <w:rPr>
          <w:rFonts w:hint="eastAsia" w:ascii="仿宋_GB2312" w:eastAsia="仿宋_GB2312"/>
          <w:color w:val="000000" w:themeColor="text1"/>
          <w:sz w:val="32"/>
          <w:szCs w:val="32"/>
          <w14:textFill>
            <w14:solidFill>
              <w14:schemeClr w14:val="tx1"/>
            </w14:solidFill>
          </w14:textFill>
        </w:rPr>
        <w:t>建成张王庙、江口镇黄家沟2个船舶集中停泊区和陵江渡、陈家堰、小垭子、鹅项颈等</w:t>
      </w:r>
      <w:r>
        <w:rPr>
          <w:rFonts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处渡口改造。</w:t>
      </w:r>
      <w:r>
        <w:rPr>
          <w:rFonts w:hint="eastAsia" w:ascii="楷体" w:hAnsi="楷体" w:eastAsia="楷体"/>
          <w:b/>
          <w:color w:val="000000" w:themeColor="text1"/>
          <w:sz w:val="32"/>
          <w:szCs w:val="32"/>
          <w14:textFill>
            <w14:solidFill>
              <w14:schemeClr w14:val="tx1"/>
            </w14:solidFill>
          </w14:textFill>
        </w:rPr>
        <w:t>四是</w:t>
      </w:r>
      <w:r>
        <w:rPr>
          <w:rFonts w:hint="eastAsia" w:ascii="仿宋_GB2312" w:eastAsia="仿宋_GB2312"/>
          <w:color w:val="000000" w:themeColor="text1"/>
          <w:sz w:val="32"/>
          <w:szCs w:val="32"/>
          <w14:textFill>
            <w14:solidFill>
              <w14:schemeClr w14:val="tx1"/>
            </w14:solidFill>
          </w14:textFill>
        </w:rPr>
        <w:t>双河大桥、状元桥、龙滩河桥、下寺镇窑沟村社区桥新建工程等5座农村桥梁。</w:t>
      </w:r>
    </w:p>
    <w:p>
      <w:pPr>
        <w:spacing w:line="520" w:lineRule="exact"/>
        <w:ind w:firstLine="643" w:firstLineChars="200"/>
        <w:rPr>
          <w:rFonts w:ascii="仿宋_GB2312" w:hAnsi="仿宋" w:eastAsia="仿宋_GB2312" w:cs="仿宋"/>
          <w:color w:val="000000" w:themeColor="text1"/>
          <w:sz w:val="32"/>
          <w:szCs w:val="32"/>
          <w14:textFill>
            <w14:solidFill>
              <w14:schemeClr w14:val="tx1"/>
            </w14:solidFill>
          </w14:textFill>
        </w:rPr>
      </w:pPr>
      <w:r>
        <w:rPr>
          <w:rFonts w:hint="eastAsia" w:ascii="楷体_GB2312" w:hAnsi="黑体" w:eastAsia="楷体_GB2312"/>
          <w:b/>
          <w:color w:val="000000" w:themeColor="text1"/>
          <w:sz w:val="32"/>
          <w:szCs w:val="32"/>
          <w:lang w:val="en-US" w:eastAsia="zh-CN"/>
          <w14:textFill>
            <w14:solidFill>
              <w14:schemeClr w14:val="tx1"/>
            </w14:solidFill>
          </w14:textFill>
        </w:rPr>
        <w:t>3.</w:t>
      </w:r>
      <w:r>
        <w:rPr>
          <w:rFonts w:hint="eastAsia" w:ascii="楷体_GB2312" w:hAnsi="黑体" w:eastAsia="楷体_GB2312"/>
          <w:b/>
          <w:color w:val="000000" w:themeColor="text1"/>
          <w:sz w:val="32"/>
          <w:szCs w:val="32"/>
          <w14:textFill>
            <w14:solidFill>
              <w14:schemeClr w14:val="tx1"/>
            </w14:solidFill>
          </w14:textFill>
        </w:rPr>
        <w:t>强化公路管理养护。一是</w:t>
      </w:r>
      <w:r>
        <w:rPr>
          <w:rFonts w:hint="eastAsia" w:ascii="仿宋_GB2312" w:hAnsi="仿宋_GB2312" w:eastAsia="仿宋_GB2312" w:cs="仿宋_GB2312"/>
          <w:bCs/>
          <w:color w:val="000000" w:themeColor="text1"/>
          <w:sz w:val="32"/>
          <w:szCs w:val="32"/>
          <w14:textFill>
            <w14:solidFill>
              <w14:schemeClr w14:val="tx1"/>
            </w14:solidFill>
          </w14:textFill>
        </w:rPr>
        <w:t>强化全县公路桥梁的日常养护管</w:t>
      </w:r>
      <w:r>
        <w:rPr>
          <w:rFonts w:hint="eastAsia" w:ascii="仿宋_GB2312" w:eastAsia="仿宋_GB2312"/>
          <w:color w:val="000000" w:themeColor="text1"/>
          <w:sz w:val="32"/>
          <w:szCs w:val="32"/>
          <w14:textFill>
            <w14:solidFill>
              <w14:schemeClr w14:val="tx1"/>
            </w14:solidFill>
          </w14:textFill>
        </w:rPr>
        <w:t>理和城乡交通环境综合治理，及时维修路面病害、整修路肩边坡、清理路肩杂草、疏通边沟、清理垮方等，保通保畅保洁。</w:t>
      </w:r>
      <w:r>
        <w:rPr>
          <w:rFonts w:hint="eastAsia" w:ascii="楷体_GB2312" w:hAnsi="黑体" w:eastAsia="楷体_GB2312"/>
          <w:b/>
          <w:color w:val="000000" w:themeColor="text1"/>
          <w:sz w:val="32"/>
          <w:szCs w:val="32"/>
          <w14:textFill>
            <w14:solidFill>
              <w14:schemeClr w14:val="tx1"/>
            </w14:solidFill>
          </w14:textFill>
        </w:rPr>
        <w:t>二是</w:t>
      </w:r>
      <w:r>
        <w:rPr>
          <w:rFonts w:hint="eastAsia" w:ascii="仿宋_GB2312" w:eastAsia="仿宋_GB2312"/>
          <w:color w:val="000000" w:themeColor="text1"/>
          <w:sz w:val="32"/>
          <w:szCs w:val="32"/>
          <w14:textFill>
            <w14:solidFill>
              <w14:schemeClr w14:val="tx1"/>
            </w14:solidFill>
          </w14:textFill>
        </w:rPr>
        <w:t>完成国道108线大中修及</w:t>
      </w:r>
      <w:r>
        <w:rPr>
          <w:rFonts w:hint="eastAsia" w:ascii="仿宋_GB2312" w:hAnsi="仿宋" w:eastAsia="仿宋_GB2312" w:cs="仿宋"/>
          <w:color w:val="000000" w:themeColor="text1"/>
          <w:sz w:val="32"/>
          <w:szCs w:val="32"/>
          <w14:textFill>
            <w14:solidFill>
              <w14:schemeClr w14:val="tx1"/>
            </w14:solidFill>
          </w14:textFill>
        </w:rPr>
        <w:t>严重破损道路维修整治工作。</w:t>
      </w:r>
      <w:r>
        <w:rPr>
          <w:rFonts w:hint="eastAsia" w:ascii="楷体" w:hAnsi="楷体" w:eastAsia="楷体" w:cs="仿宋"/>
          <w:b/>
          <w:color w:val="000000" w:themeColor="text1"/>
          <w:sz w:val="32"/>
          <w:szCs w:val="32"/>
          <w14:textFill>
            <w14:solidFill>
              <w14:schemeClr w14:val="tx1"/>
            </w14:solidFill>
          </w14:textFill>
        </w:rPr>
        <w:t>三</w:t>
      </w:r>
      <w:r>
        <w:rPr>
          <w:rFonts w:hint="eastAsia" w:ascii="楷体" w:hAnsi="楷体" w:eastAsia="楷体"/>
          <w:b/>
          <w:color w:val="000000" w:themeColor="text1"/>
          <w:sz w:val="32"/>
          <w:szCs w:val="32"/>
          <w14:textFill>
            <w14:solidFill>
              <w14:schemeClr w14:val="tx1"/>
            </w14:solidFill>
          </w14:textFill>
        </w:rPr>
        <w:t>是</w:t>
      </w:r>
      <w:r>
        <w:rPr>
          <w:rFonts w:hint="eastAsia" w:ascii="仿宋_GB2312" w:eastAsia="仿宋_GB2312"/>
          <w:color w:val="000000" w:themeColor="text1"/>
          <w:sz w:val="32"/>
          <w:szCs w:val="32"/>
          <w14:textFill>
            <w14:solidFill>
              <w14:schemeClr w14:val="tx1"/>
            </w14:solidFill>
          </w14:textFill>
        </w:rPr>
        <w:t>加大日常巡查和治理力度，维护路产路权，</w:t>
      </w:r>
      <w:r>
        <w:rPr>
          <w:rFonts w:hint="eastAsia" w:ascii="仿宋_GB2312" w:hAnsi="宋体" w:eastAsia="仿宋_GB2312"/>
          <w:color w:val="000000" w:themeColor="text1"/>
          <w:sz w:val="32"/>
          <w:szCs w:val="32"/>
          <w14:textFill>
            <w14:solidFill>
              <w14:schemeClr w14:val="tx1"/>
            </w14:solidFill>
          </w14:textFill>
        </w:rPr>
        <w:t>现场制止和纠正摆摊设点、打场晒粮、乱堆乱占、乱修乱建等违法行为173起，发送《责令改正通知书》159份；责令改正未经许可擅自占道施工作业、挖掘公路及擅自跨（穿）越公路修建桥梁、渡槽或者架设、埋设管线、乱接道口9起，拆除非法设置非交通标志20余处。</w:t>
      </w:r>
    </w:p>
    <w:p>
      <w:pPr>
        <w:spacing w:line="520" w:lineRule="exact"/>
        <w:ind w:firstLine="643" w:firstLineChars="200"/>
        <w:rPr>
          <w:rFonts w:ascii="仿宋_GB2312" w:hAnsi="宋体"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楷体_GB2312" w:eastAsia="楷体_GB2312"/>
          <w:b/>
          <w:color w:val="000000" w:themeColor="text1"/>
          <w:sz w:val="32"/>
          <w:szCs w:val="32"/>
          <w:lang w:val="en-US" w:eastAsia="zh-CN"/>
          <w14:textFill>
            <w14:solidFill>
              <w14:schemeClr w14:val="tx1"/>
            </w14:solidFill>
          </w14:textFill>
        </w:rPr>
        <w:t>4.</w:t>
      </w:r>
      <w:r>
        <w:rPr>
          <w:rFonts w:hint="eastAsia" w:ascii="楷体_GB2312" w:eastAsia="楷体_GB2312"/>
          <w:b/>
          <w:color w:val="000000" w:themeColor="text1"/>
          <w:sz w:val="32"/>
          <w:szCs w:val="32"/>
          <w14:textFill>
            <w14:solidFill>
              <w14:schemeClr w14:val="tx1"/>
            </w14:solidFill>
          </w14:textFill>
        </w:rPr>
        <w:t>交通运输市场规范管理。一是</w:t>
      </w:r>
      <w:r>
        <w:rPr>
          <w:rFonts w:hint="eastAsia" w:ascii="仿宋_GB2312" w:hAnsi="仿宋" w:eastAsia="仿宋_GB2312"/>
          <w:color w:val="000000" w:themeColor="text1"/>
          <w:sz w:val="32"/>
          <w:szCs w:val="32"/>
          <w14:textFill>
            <w14:solidFill>
              <w14:schemeClr w14:val="tx1"/>
            </w14:solidFill>
          </w14:textFill>
        </w:rPr>
        <w:t>加强运输源头管理和运输市场监管，统筹运力储备和调度，强化从业人员教育管理，提升服务质量和保障能力</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楷体" w:hAnsi="楷体" w:eastAsia="楷体" w:cs="仿宋_GB2312"/>
          <w:b/>
          <w:color w:val="000000" w:themeColor="text1"/>
          <w:kern w:val="0"/>
          <w:sz w:val="32"/>
          <w:szCs w:val="32"/>
          <w:shd w:val="clear" w:color="auto" w:fill="FFFFFF"/>
          <w:lang w:bidi="ar"/>
          <w14:textFill>
            <w14:solidFill>
              <w14:schemeClr w14:val="tx1"/>
            </w14:solidFill>
          </w14:textFill>
        </w:rPr>
        <w:t>二</w:t>
      </w:r>
      <w:r>
        <w:rPr>
          <w:rFonts w:hint="eastAsia" w:ascii="楷体" w:hAnsi="楷体" w:eastAsia="楷体" w:cs="宋体"/>
          <w:b/>
          <w:color w:val="000000" w:themeColor="text1"/>
          <w:kern w:val="0"/>
          <w:sz w:val="32"/>
          <w:szCs w:val="32"/>
          <w14:textFill>
            <w14:solidFill>
              <w14:schemeClr w14:val="tx1"/>
            </w14:solidFill>
          </w14:textFill>
        </w:rPr>
        <w:t>是</w:t>
      </w:r>
      <w:r>
        <w:rPr>
          <w:rFonts w:hint="eastAsia" w:ascii="仿宋_GB2312" w:hAnsi="楷体" w:eastAsia="仿宋_GB2312" w:cs="宋体"/>
          <w:color w:val="000000" w:themeColor="text1"/>
          <w:kern w:val="0"/>
          <w:sz w:val="32"/>
          <w:szCs w:val="32"/>
          <w14:textFill>
            <w14:solidFill>
              <w14:schemeClr w14:val="tx1"/>
            </w14:solidFill>
          </w14:textFill>
        </w:rPr>
        <w:t>常态化</w:t>
      </w:r>
      <w:r>
        <w:rPr>
          <w:rFonts w:hint="eastAsia" w:ascii="仿宋_GB2312" w:hAnsi="宋体" w:eastAsia="仿宋_GB2312" w:cs="宋体"/>
          <w:color w:val="000000" w:themeColor="text1"/>
          <w:kern w:val="0"/>
          <w:sz w:val="32"/>
          <w:szCs w:val="32"/>
          <w14:textFill>
            <w14:solidFill>
              <w14:schemeClr w14:val="tx1"/>
            </w14:solidFill>
          </w14:textFill>
        </w:rPr>
        <w:t>开展交通运输领域扫黑除恶工作。</w:t>
      </w:r>
      <w:r>
        <w:rPr>
          <w:rFonts w:hint="eastAsia" w:ascii="仿宋_GB2312" w:hAnsi="仿宋_GB2312" w:eastAsia="仿宋_GB2312" w:cs="仿宋_GB2312"/>
          <w:bCs/>
          <w:color w:val="000000" w:themeColor="text1"/>
          <w:sz w:val="32"/>
          <w:szCs w:val="32"/>
          <w14:textFill>
            <w14:solidFill>
              <w14:schemeClr w14:val="tx1"/>
            </w14:solidFill>
          </w14:textFill>
        </w:rPr>
        <w:t>开展非法营运乱象专项整治行动，</w:t>
      </w:r>
      <w:r>
        <w:rPr>
          <w:rFonts w:hint="eastAsia" w:ascii="仿宋_GB2312" w:hAnsi="仿宋_GB2312" w:eastAsia="仿宋_GB2312" w:cs="仿宋_GB2312"/>
          <w:color w:val="000000" w:themeColor="text1"/>
          <w:sz w:val="32"/>
          <w:szCs w:val="32"/>
          <w14:textFill>
            <w14:solidFill>
              <w14:schemeClr w14:val="tx1"/>
            </w14:solidFill>
          </w14:textFill>
        </w:rPr>
        <w:t>处罚非法营运车辆96台；开展</w:t>
      </w:r>
      <w:r>
        <w:rPr>
          <w:rFonts w:hint="eastAsia" w:ascii="仿宋_GB2312" w:hAnsi="仿宋_GB2312" w:eastAsia="仿宋_GB2312" w:cs="仿宋_GB2312"/>
          <w:bCs/>
          <w:color w:val="000000" w:themeColor="text1"/>
          <w:sz w:val="32"/>
          <w:szCs w:val="32"/>
          <w14:textFill>
            <w14:solidFill>
              <w14:schemeClr w14:val="tx1"/>
            </w14:solidFill>
          </w14:textFill>
        </w:rPr>
        <w:t>超限超载治理，</w:t>
      </w:r>
      <w:r>
        <w:rPr>
          <w:rFonts w:hint="eastAsia" w:ascii="仿宋_GB2312" w:hAnsi="宋体" w:eastAsia="仿宋_GB2312" w:cs="宋体"/>
          <w:color w:val="000000" w:themeColor="text1"/>
          <w:kern w:val="0"/>
          <w:sz w:val="32"/>
          <w:szCs w:val="32"/>
          <w14:textFill>
            <w14:solidFill>
              <w14:schemeClr w14:val="tx1"/>
            </w14:solidFill>
          </w14:textFill>
        </w:rPr>
        <w:t>检查各类车辆</w:t>
      </w:r>
      <w:r>
        <w:rPr>
          <w:rFonts w:hint="eastAsia" w:ascii="仿宋_GB2312" w:hAnsi="仿宋_GB2312" w:eastAsia="仿宋_GB2312" w:cs="仿宋_GB2312"/>
          <w:color w:val="000000" w:themeColor="text1"/>
          <w:sz w:val="32"/>
          <w:szCs w:val="32"/>
          <w14:textFill>
            <w14:solidFill>
              <w14:schemeClr w14:val="tx1"/>
            </w14:solidFill>
          </w14:textFill>
        </w:rPr>
        <w:t>117093</w:t>
      </w:r>
      <w:r>
        <w:rPr>
          <w:rFonts w:hint="eastAsia" w:ascii="仿宋_GB2312" w:hAnsi="宋体" w:eastAsia="仿宋_GB2312" w:cs="宋体"/>
          <w:color w:val="000000" w:themeColor="text1"/>
          <w:kern w:val="0"/>
          <w:sz w:val="32"/>
          <w:szCs w:val="32"/>
          <w14:textFill>
            <w14:solidFill>
              <w14:schemeClr w14:val="tx1"/>
            </w14:solidFill>
          </w14:textFill>
        </w:rPr>
        <w:t>台次，</w:t>
      </w:r>
      <w:r>
        <w:rPr>
          <w:rFonts w:hint="eastAsia" w:ascii="仿宋_GB2312" w:hAnsi="仿宋_GB2312" w:eastAsia="仿宋_GB2312" w:cs="仿宋_GB2312"/>
          <w:color w:val="000000" w:themeColor="text1"/>
          <w:sz w:val="32"/>
          <w:szCs w:val="32"/>
          <w14:textFill>
            <w14:solidFill>
              <w14:schemeClr w14:val="tx1"/>
            </w14:solidFill>
          </w14:textFill>
        </w:rPr>
        <w:t>查处超限运输车辆293台次，卸载车辆293台次，卸载货物11028.78吨，</w:t>
      </w:r>
      <w:r>
        <w:rPr>
          <w:rFonts w:hint="eastAsia" w:ascii="仿宋_GB2312" w:hAnsi="宋体" w:eastAsia="仿宋_GB2312" w:cs="宋体"/>
          <w:color w:val="000000" w:themeColor="text1"/>
          <w:kern w:val="0"/>
          <w:sz w:val="32"/>
          <w:szCs w:val="32"/>
          <w14:textFill>
            <w14:solidFill>
              <w14:schemeClr w14:val="tx1"/>
            </w14:solidFill>
          </w14:textFill>
        </w:rPr>
        <w:t>货运车辆</w:t>
      </w:r>
      <w:r>
        <w:rPr>
          <w:rFonts w:hint="eastAsia" w:ascii="仿宋_GB2312" w:hAnsi="宋体" w:eastAsia="仿宋_GB2312" w:cs="宋体"/>
          <w:color w:val="000000" w:themeColor="text1"/>
          <w:kern w:val="0"/>
          <w:sz w:val="32"/>
          <w:szCs w:val="32"/>
          <w:lang w:eastAsia="zh-CN"/>
          <w14:textFill>
            <w14:solidFill>
              <w14:schemeClr w14:val="tx1"/>
            </w14:solidFill>
          </w14:textFill>
        </w:rPr>
        <w:t>超载</w:t>
      </w:r>
      <w:r>
        <w:rPr>
          <w:rFonts w:hint="eastAsia" w:ascii="仿宋_GB2312" w:hAnsi="宋体" w:eastAsia="仿宋_GB2312" w:cs="宋体"/>
          <w:color w:val="000000" w:themeColor="text1"/>
          <w:kern w:val="0"/>
          <w:sz w:val="32"/>
          <w:szCs w:val="32"/>
          <w14:textFill>
            <w14:solidFill>
              <w14:schemeClr w14:val="tx1"/>
            </w14:solidFill>
          </w14:textFill>
        </w:rPr>
        <w:t>控制在</w:t>
      </w:r>
      <w:r>
        <w:rPr>
          <w:rFonts w:ascii="仿宋_GB2312" w:hAnsi="宋体" w:eastAsia="仿宋_GB2312" w:cs="宋体"/>
          <w:color w:val="000000" w:themeColor="text1"/>
          <w:kern w:val="0"/>
          <w:sz w:val="32"/>
          <w:szCs w:val="32"/>
          <w14:textFill>
            <w14:solidFill>
              <w14:schemeClr w14:val="tx1"/>
            </w14:solidFill>
          </w14:textFill>
        </w:rPr>
        <w:t>2%</w:t>
      </w:r>
      <w:r>
        <w:rPr>
          <w:rFonts w:hint="eastAsia" w:ascii="仿宋_GB2312" w:hAnsi="宋体" w:eastAsia="仿宋_GB2312" w:cs="宋体"/>
          <w:color w:val="000000" w:themeColor="text1"/>
          <w:kern w:val="0"/>
          <w:sz w:val="32"/>
          <w:szCs w:val="32"/>
          <w14:textFill>
            <w14:solidFill>
              <w14:schemeClr w14:val="tx1"/>
            </w14:solidFill>
          </w14:textFill>
        </w:rPr>
        <w:t>以下。</w:t>
      </w:r>
      <w:r>
        <w:rPr>
          <w:rFonts w:hint="eastAsia" w:ascii="楷体" w:hAnsi="楷体" w:eastAsia="楷体" w:cs="仿宋_GB2312"/>
          <w:b/>
          <w:color w:val="000000" w:themeColor="text1"/>
          <w:sz w:val="32"/>
          <w:szCs w:val="40"/>
          <w:lang w:val="zh-CN"/>
          <w14:textFill>
            <w14:solidFill>
              <w14:schemeClr w14:val="tx1"/>
            </w14:solidFill>
          </w14:textFill>
        </w:rPr>
        <w:t>三是</w:t>
      </w:r>
      <w:r>
        <w:rPr>
          <w:rFonts w:hint="eastAsia" w:ascii="仿宋_GB2312" w:hAnsi="仿宋" w:eastAsia="仿宋_GB2312" w:cs="仿宋"/>
          <w:color w:val="000000" w:themeColor="text1"/>
          <w:sz w:val="32"/>
          <w:szCs w:val="32"/>
          <w14:textFill>
            <w14:solidFill>
              <w14:schemeClr w14:val="tx1"/>
            </w14:solidFill>
          </w14:textFill>
        </w:rPr>
        <w:t>严格依法行政，规范客货运输企业、机动车检测站、驾培学校发展审批和运营管理，维护和谐稳定。</w:t>
      </w:r>
    </w:p>
    <w:p>
      <w:pPr>
        <w:keepNext w:val="0"/>
        <w:keepLines w:val="0"/>
        <w:widowControl/>
        <w:suppressLineNumbers w:val="0"/>
        <w:ind w:firstLine="643" w:firstLineChars="200"/>
        <w:jc w:val="left"/>
      </w:pPr>
      <w:r>
        <w:rPr>
          <w:rFonts w:hint="eastAsia" w:ascii="楷体_GB2312" w:hAnsi="宋体" w:eastAsia="楷体_GB2312" w:cs="宋体"/>
          <w:b/>
          <w:color w:val="000000" w:themeColor="text1"/>
          <w:kern w:val="0"/>
          <w:sz w:val="32"/>
          <w:szCs w:val="32"/>
          <w:lang w:val="en-US" w:eastAsia="zh-CN"/>
          <w14:textFill>
            <w14:solidFill>
              <w14:schemeClr w14:val="tx1"/>
            </w14:solidFill>
          </w14:textFill>
        </w:rPr>
        <w:t>5.</w:t>
      </w:r>
      <w:r>
        <w:rPr>
          <w:rFonts w:hint="eastAsia" w:ascii="楷体_GB2312" w:hAnsi="宋体" w:eastAsia="楷体_GB2312" w:cs="宋体"/>
          <w:b/>
          <w:color w:val="000000" w:themeColor="text1"/>
          <w:kern w:val="0"/>
          <w:sz w:val="32"/>
          <w:szCs w:val="32"/>
          <w14:textFill>
            <w14:solidFill>
              <w14:schemeClr w14:val="tx1"/>
            </w14:solidFill>
          </w14:textFill>
        </w:rPr>
        <w:t>安全生产形势持续平稳。</w:t>
      </w:r>
      <w:r>
        <w:rPr>
          <w:rFonts w:hint="eastAsia" w:ascii="仿宋_GB2312" w:eastAsia="仿宋_GB2312"/>
          <w:color w:val="000000" w:themeColor="text1"/>
          <w:sz w:val="32"/>
          <w:szCs w:val="32"/>
          <w14:textFill>
            <w14:solidFill>
              <w14:schemeClr w14:val="tx1"/>
            </w14:solidFill>
          </w14:textFill>
        </w:rPr>
        <w:t>认真学习贯彻习近平总书记关于安全生产重要论述，全力防范化解重大风险，坚决杜绝重特大事故，遏制较大事故，减少一般事故，推动全县交通运输行业安全生产形势持续稳定向好。</w:t>
      </w:r>
      <w:r>
        <w:rPr>
          <w:rFonts w:hint="eastAsia" w:ascii="楷体" w:hAnsi="楷体" w:eastAsia="楷体"/>
          <w:b/>
          <w:color w:val="000000" w:themeColor="text1"/>
          <w:sz w:val="32"/>
          <w:szCs w:val="32"/>
          <w14:textFill>
            <w14:solidFill>
              <w14:schemeClr w14:val="tx1"/>
            </w14:solidFill>
          </w14:textFill>
        </w:rPr>
        <w:t>一是</w:t>
      </w:r>
      <w:r>
        <w:rPr>
          <w:rFonts w:hint="eastAsia" w:ascii="仿宋_GB2312" w:eastAsia="仿宋_GB2312"/>
          <w:color w:val="000000" w:themeColor="text1"/>
          <w:sz w:val="32"/>
          <w:szCs w:val="32"/>
          <w14:textFill>
            <w14:solidFill>
              <w14:schemeClr w14:val="tx1"/>
            </w14:solidFill>
          </w14:textFill>
        </w:rPr>
        <w:t>建立健全安全责任清单，充分发挥行业监管单位督促督办和检查指导作用，组织开展安全集中督查6次，督促整改问题隐患32个。</w:t>
      </w:r>
      <w:r>
        <w:rPr>
          <w:rFonts w:hint="eastAsia" w:ascii="楷体" w:hAnsi="楷体" w:eastAsia="楷体"/>
          <w:b/>
          <w:color w:val="000000" w:themeColor="text1"/>
          <w:sz w:val="32"/>
          <w:szCs w:val="32"/>
          <w14:textFill>
            <w14:solidFill>
              <w14:schemeClr w14:val="tx1"/>
            </w14:solidFill>
          </w14:textFill>
        </w:rPr>
        <w:t>二是</w:t>
      </w:r>
      <w:r>
        <w:rPr>
          <w:rFonts w:hint="eastAsia" w:ascii="仿宋_GB2312" w:eastAsia="仿宋_GB2312"/>
          <w:color w:val="000000" w:themeColor="text1"/>
          <w:sz w:val="32"/>
          <w:szCs w:val="32"/>
          <w14:textFill>
            <w14:solidFill>
              <w14:schemeClr w14:val="tx1"/>
            </w14:solidFill>
          </w14:textFill>
        </w:rPr>
        <w:t>紧盯春运、全国两会、党的二十大等重要时段以及汛期、冬季重点时节交通运输安全保障工作，每月、每季度定期召开安全例会，统筹抓好防灾减灾、行业消防、反恐防范和打击涉</w:t>
      </w:r>
      <w:r>
        <w:rPr>
          <w:rFonts w:hint="eastAsia" w:ascii="仿宋_GB2312" w:eastAsia="仿宋_GB2312"/>
          <w:color w:val="000000" w:themeColor="text1"/>
          <w:sz w:val="32"/>
          <w:szCs w:val="32"/>
          <w:lang w:eastAsia="zh-CN"/>
          <w14:textFill>
            <w14:solidFill>
              <w14:schemeClr w14:val="tx1"/>
            </w14:solidFill>
          </w14:textFill>
        </w:rPr>
        <w:t>涉恐涉暴等</w:t>
      </w:r>
      <w:r>
        <w:rPr>
          <w:rFonts w:hint="eastAsia" w:ascii="仿宋_GB2312" w:eastAsia="仿宋_GB2312"/>
          <w:color w:val="000000" w:themeColor="text1"/>
          <w:sz w:val="32"/>
          <w:szCs w:val="32"/>
          <w14:textFill>
            <w14:solidFill>
              <w14:schemeClr w14:val="tx1"/>
            </w14:solidFill>
          </w14:textFill>
        </w:rPr>
        <w:t>作。</w:t>
      </w:r>
      <w:r>
        <w:rPr>
          <w:rFonts w:hint="eastAsia" w:ascii="楷体" w:hAnsi="楷体" w:eastAsia="楷体"/>
          <w:b/>
          <w:color w:val="000000" w:themeColor="text1"/>
          <w:sz w:val="32"/>
          <w:szCs w:val="32"/>
          <w14:textFill>
            <w14:solidFill>
              <w14:schemeClr w14:val="tx1"/>
            </w14:solidFill>
          </w14:textFill>
        </w:rPr>
        <w:t>三是</w:t>
      </w:r>
      <w:r>
        <w:rPr>
          <w:rFonts w:hint="eastAsia" w:ascii="仿宋_GB2312" w:eastAsia="仿宋_GB2312"/>
          <w:color w:val="000000" w:themeColor="text1"/>
          <w:sz w:val="32"/>
          <w:szCs w:val="32"/>
          <w14:textFill>
            <w14:solidFill>
              <w14:schemeClr w14:val="tx1"/>
            </w14:solidFill>
          </w14:textFill>
        </w:rPr>
        <w:t>扎实推进11处普通公路交通安全事故易发多发路段整治，完成省、市挂牌督办道路安全隐患整治项目2个。</w:t>
      </w:r>
      <w:r>
        <w:rPr>
          <w:rFonts w:hint="eastAsia" w:ascii="楷体" w:hAnsi="楷体" w:eastAsia="楷体"/>
          <w:b/>
          <w:color w:val="000000" w:themeColor="text1"/>
          <w:sz w:val="32"/>
          <w:szCs w:val="32"/>
          <w14:textFill>
            <w14:solidFill>
              <w14:schemeClr w14:val="tx1"/>
            </w14:solidFill>
          </w14:textFill>
        </w:rPr>
        <w:t>四是</w:t>
      </w:r>
      <w:r>
        <w:rPr>
          <w:rFonts w:hint="eastAsia" w:ascii="仿宋_GB2312" w:eastAsia="仿宋_GB2312"/>
          <w:color w:val="000000" w:themeColor="text1"/>
          <w:sz w:val="32"/>
          <w:szCs w:val="32"/>
          <w14:textFill>
            <w14:solidFill>
              <w14:schemeClr w14:val="tx1"/>
            </w14:solidFill>
          </w14:textFill>
        </w:rPr>
        <w:t>构建“1+N”预案体系，组建应急抢险队伍，健全预警信息传递接收机制，及时传递预警信息、发布风险提示，确保雨情、水情、灾情层层知晓，各个最小工作单元既能被“叫醒”又有“回应”。</w:t>
      </w:r>
      <w:r>
        <w:rPr>
          <w:rFonts w:hint="eastAsia" w:ascii="楷体" w:hAnsi="楷体" w:eastAsia="楷体"/>
          <w:b/>
          <w:color w:val="000000" w:themeColor="text1"/>
          <w:sz w:val="32"/>
          <w:szCs w:val="32"/>
          <w14:textFill>
            <w14:solidFill>
              <w14:schemeClr w14:val="tx1"/>
            </w14:solidFill>
          </w14:textFill>
        </w:rPr>
        <w:t>五是</w:t>
      </w:r>
      <w:r>
        <w:rPr>
          <w:rFonts w:hint="eastAsia" w:ascii="仿宋_GB2312" w:eastAsia="仿宋_GB2312"/>
          <w:color w:val="000000" w:themeColor="text1"/>
          <w:sz w:val="32"/>
          <w:szCs w:val="32"/>
          <w14:textFill>
            <w14:solidFill>
              <w14:schemeClr w14:val="tx1"/>
            </w14:solidFill>
          </w14:textFill>
        </w:rPr>
        <w:t>组织开展“护安2022”监管执法行动，紧盯道路运输、公路管养、水上交通、工程建设等重点领域，加大安全生产监管执法力度，专项行动期间，立案查处违法违规案件718个，罚款70.44万元。</w:t>
      </w:r>
    </w:p>
    <w:p>
      <w:pPr>
        <w:pStyle w:val="5"/>
        <w:rPr>
          <w:rFonts w:ascii="黑体" w:hAnsi="黑体" w:eastAsia="黑体"/>
          <w:b w:val="0"/>
          <w:color w:val="auto"/>
        </w:rPr>
      </w:pPr>
      <w:bookmarkStart w:id="26" w:name="_Toc27072"/>
      <w:r>
        <w:rPr>
          <w:rFonts w:hint="eastAsia" w:ascii="黑体" w:hAnsi="黑体" w:eastAsia="黑体"/>
          <w:b w:val="0"/>
          <w:color w:val="auto"/>
        </w:rPr>
        <w:t>二、机构设置</w:t>
      </w:r>
      <w:bookmarkEnd w:id="26"/>
    </w:p>
    <w:bookmarkEnd w:id="22"/>
    <w:bookmarkEnd w:id="23"/>
    <w:p>
      <w:pPr>
        <w:snapToGrid w:val="0"/>
        <w:spacing w:line="576"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剑阁县交通运输局下属二级单位 5 个，其中参照公务员</w:t>
      </w:r>
      <w:r>
        <w:rPr>
          <w:rFonts w:hint="default" w:ascii="仿宋_GB2312" w:hAnsi="仿宋" w:eastAsia="仿宋_GB2312"/>
          <w:sz w:val="32"/>
          <w:szCs w:val="32"/>
          <w:lang w:val="en-US" w:eastAsia="zh-CN"/>
        </w:rPr>
        <w:t xml:space="preserve">法管理的事业单位 1 个，其他事业单位 4 个。 </w:t>
      </w:r>
    </w:p>
    <w:p>
      <w:pPr>
        <w:snapToGrid w:val="0"/>
        <w:spacing w:line="576" w:lineRule="exact"/>
        <w:ind w:firstLine="640" w:firstLineChars="200"/>
        <w:rPr>
          <w:rFonts w:hint="eastAsia" w:ascii="仿宋_GB2312" w:hAnsi="仿宋" w:eastAsia="仿宋_GB2312"/>
          <w:sz w:val="32"/>
          <w:szCs w:val="32"/>
        </w:rPr>
      </w:pPr>
      <w:r>
        <w:rPr>
          <w:rFonts w:hint="default" w:ascii="仿宋_GB2312" w:hAnsi="仿宋" w:eastAsia="仿宋_GB2312"/>
          <w:sz w:val="32"/>
          <w:szCs w:val="32"/>
          <w:lang w:val="en-US" w:eastAsia="zh-CN"/>
        </w:rPr>
        <w:t>纳入剑阁县交通运输局 2021 年度决算编制范围的预算单位包括：农村公路建设事务中心。</w:t>
      </w:r>
    </w:p>
    <w:p>
      <w:pPr>
        <w:widowControl/>
        <w:jc w:val="left"/>
        <w:rPr>
          <w:rFonts w:ascii="仿宋" w:hAnsi="仿宋" w:eastAsia="仿宋"/>
          <w:kern w:val="0"/>
          <w:sz w:val="32"/>
          <w:szCs w:val="32"/>
        </w:rPr>
      </w:pPr>
      <w:r>
        <w:rPr>
          <w:rFonts w:ascii="仿宋" w:hAnsi="仿宋" w:eastAsia="仿宋"/>
          <w:sz w:val="32"/>
          <w:szCs w:val="32"/>
        </w:rPr>
        <w:br w:type="page"/>
      </w:r>
    </w:p>
    <w:p>
      <w:pPr>
        <w:pStyle w:val="4"/>
        <w:ind w:right="440"/>
        <w:jc w:val="center"/>
      </w:pPr>
      <w:bookmarkStart w:id="27" w:name="_Toc26290"/>
      <w:bookmarkStart w:id="28" w:name="_Toc15396602"/>
      <w:bookmarkStart w:id="29" w:name="_Toc15377204"/>
      <w:r>
        <w:rPr>
          <w:rFonts w:hint="eastAsia" w:ascii="黑体" w:hAnsi="黑体" w:eastAsia="黑体"/>
          <w:b w:val="0"/>
        </w:rPr>
        <w:t>第二部分 2022年度</w:t>
      </w:r>
      <w:r>
        <w:rPr>
          <w:rStyle w:val="26"/>
          <w:rFonts w:hint="eastAsia" w:ascii="黑体" w:hAnsi="黑体" w:eastAsia="黑体"/>
          <w:b w:val="0"/>
          <w:bCs/>
        </w:rPr>
        <w:t>单位决算情况说明</w:t>
      </w:r>
      <w:bookmarkEnd w:id="27"/>
      <w:bookmarkEnd w:id="28"/>
      <w:bookmarkEnd w:id="29"/>
    </w:p>
    <w:p>
      <w:pPr>
        <w:pStyle w:val="25"/>
        <w:numPr>
          <w:ilvl w:val="0"/>
          <w:numId w:val="2"/>
        </w:numPr>
        <w:spacing w:line="600" w:lineRule="exact"/>
        <w:ind w:firstLineChars="0"/>
        <w:outlineLvl w:val="1"/>
        <w:rPr>
          <w:rStyle w:val="27"/>
          <w:rFonts w:ascii="黑体" w:hAnsi="黑体" w:eastAsia="黑体"/>
          <w:b w:val="0"/>
        </w:rPr>
      </w:pPr>
      <w:bookmarkStart w:id="30" w:name="_Toc15396603"/>
      <w:bookmarkStart w:id="31" w:name="_Toc8761"/>
      <w:bookmarkStart w:id="32" w:name="_Toc15377205"/>
      <w:r>
        <w:rPr>
          <w:rFonts w:hint="eastAsia" w:ascii="黑体" w:hAnsi="黑体" w:eastAsia="黑体"/>
          <w:sz w:val="32"/>
          <w:szCs w:val="32"/>
        </w:rPr>
        <w:t>收</w:t>
      </w:r>
      <w:r>
        <w:rPr>
          <w:rStyle w:val="27"/>
          <w:rFonts w:hint="eastAsia" w:ascii="黑体" w:hAnsi="黑体" w:eastAsia="黑体"/>
          <w:b w:val="0"/>
        </w:rPr>
        <w:t>入支出决算总体情况说明</w:t>
      </w:r>
      <w:bookmarkEnd w:id="30"/>
      <w:bookmarkEnd w:id="31"/>
      <w:bookmarkEnd w:id="32"/>
    </w:p>
    <w:p>
      <w:pPr>
        <w:snapToGrid w:val="0"/>
        <w:spacing w:line="576"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2022年度收、支总计29917.45万元。与2021年相比，收、支总计各增加2064.86万元，增长7.41</w:t>
      </w: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。主要变动原因是2022年项目资金预算增加。</w:t>
      </w:r>
    </w:p>
    <w:p>
      <w:pPr>
        <w:snapToGrid w:val="0"/>
        <w:spacing w:line="576"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（图</w:t>
      </w:r>
      <w:r>
        <w:rPr>
          <w:rFonts w:hint="default" w:ascii="仿宋_GB2312" w:hAnsi="仿宋" w:eastAsia="仿宋_GB2312"/>
          <w:sz w:val="32"/>
          <w:szCs w:val="32"/>
          <w:lang w:val="en-US" w:eastAsia="zh-CN"/>
        </w:rPr>
        <w:t>1</w:t>
      </w:r>
      <w:r>
        <w:rPr>
          <w:rFonts w:hint="eastAsia" w:ascii="仿宋_GB2312" w:hAnsi="仿宋" w:eastAsia="仿宋_GB2312"/>
          <w:sz w:val="32"/>
          <w:szCs w:val="32"/>
          <w:lang w:val="en-US" w:eastAsia="zh-CN"/>
        </w:rPr>
        <w:t>：收、支决算总计变动情况图）（柱状图）</w:t>
      </w:r>
    </w:p>
    <w:p>
      <w:pPr>
        <w:pStyle w:val="7"/>
        <w:jc w:val="center"/>
        <w:rPr>
          <w:rFonts w:ascii="仿宋_GB2312" w:eastAsia="仿宋_GB2312"/>
          <w:sz w:val="32"/>
          <w:szCs w:val="32"/>
        </w:rPr>
      </w:pPr>
      <w:r>
        <w:drawing>
          <wp:inline distT="0" distB="0" distL="114300" distR="114300">
            <wp:extent cx="3959225" cy="1390650"/>
            <wp:effectExtent l="4445" t="4445" r="17780"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5"/>
        <w:numPr>
          <w:ilvl w:val="0"/>
          <w:numId w:val="2"/>
        </w:numPr>
        <w:spacing w:line="600" w:lineRule="exact"/>
        <w:ind w:firstLineChars="0"/>
        <w:outlineLvl w:val="1"/>
        <w:rPr>
          <w:rStyle w:val="27"/>
          <w:rFonts w:ascii="黑体" w:hAnsi="黑体" w:eastAsia="黑体"/>
          <w:b w:val="0"/>
        </w:rPr>
      </w:pPr>
      <w:bookmarkStart w:id="33" w:name="_Toc15377206"/>
      <w:bookmarkStart w:id="34" w:name="_Toc13890"/>
      <w:bookmarkStart w:id="35" w:name="_Toc15396604"/>
      <w:r>
        <w:rPr>
          <w:rFonts w:hint="eastAsia" w:ascii="黑体" w:hAnsi="黑体" w:eastAsia="黑体"/>
          <w:sz w:val="32"/>
          <w:szCs w:val="32"/>
        </w:rPr>
        <w:t>收</w:t>
      </w:r>
      <w:r>
        <w:rPr>
          <w:rStyle w:val="27"/>
          <w:rFonts w:hint="eastAsia" w:ascii="黑体" w:hAnsi="黑体" w:eastAsia="黑体"/>
          <w:b w:val="0"/>
        </w:rPr>
        <w:t>入决算情况说明</w:t>
      </w:r>
      <w:bookmarkEnd w:id="33"/>
      <w:bookmarkEnd w:id="34"/>
      <w:bookmarkEnd w:id="35"/>
    </w:p>
    <w:p>
      <w:pPr>
        <w:snapToGrid w:val="0"/>
        <w:spacing w:line="576"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2022年本年收入合计24581.93万元，其中：一般公共预算财政拨款收入15138.32万元，占61.58%；政府性基金预算财政拨款收入7089.54万元，占28.84%；其他收入2354.06万元，占9.58%。</w:t>
      </w:r>
    </w:p>
    <w:p>
      <w:pPr>
        <w:snapToGrid w:val="0"/>
        <w:spacing w:line="576"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（图2：收入决算结构图）（饼状图）</w:t>
      </w:r>
    </w:p>
    <w:p>
      <w:pPr>
        <w:pStyle w:val="7"/>
        <w:jc w:val="center"/>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4240530" cy="1845945"/>
            <wp:effectExtent l="4445" t="4445" r="22225" b="1651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5"/>
        <w:numPr>
          <w:ilvl w:val="0"/>
          <w:numId w:val="2"/>
        </w:numPr>
        <w:spacing w:line="600" w:lineRule="exact"/>
        <w:ind w:firstLineChars="0"/>
        <w:outlineLvl w:val="1"/>
        <w:rPr>
          <w:rStyle w:val="27"/>
          <w:rFonts w:ascii="黑体" w:hAnsi="黑体" w:eastAsia="黑体"/>
          <w:b w:val="0"/>
        </w:rPr>
      </w:pPr>
      <w:bookmarkStart w:id="36" w:name="_Toc15377207"/>
      <w:bookmarkStart w:id="37" w:name="_Toc15396605"/>
      <w:bookmarkStart w:id="38" w:name="_Toc19776"/>
      <w:r>
        <w:rPr>
          <w:rFonts w:hint="eastAsia" w:ascii="黑体" w:hAnsi="黑体" w:eastAsia="黑体"/>
          <w:sz w:val="32"/>
          <w:szCs w:val="32"/>
        </w:rPr>
        <w:t>支</w:t>
      </w:r>
      <w:r>
        <w:rPr>
          <w:rStyle w:val="27"/>
          <w:rFonts w:hint="eastAsia" w:ascii="黑体" w:hAnsi="黑体" w:eastAsia="黑体"/>
          <w:b w:val="0"/>
        </w:rPr>
        <w:t>出决算情况说明</w:t>
      </w:r>
      <w:bookmarkEnd w:id="36"/>
      <w:bookmarkEnd w:id="37"/>
      <w:bookmarkEnd w:id="38"/>
    </w:p>
    <w:p>
      <w:pPr>
        <w:snapToGrid w:val="0"/>
        <w:spacing w:line="576"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2022年本年支出合计29917.45万元，其中：基本支出661.95万元，占2.21%；项目支出29255.5万元，占97.79%。</w:t>
      </w:r>
    </w:p>
    <w:p>
      <w:pPr>
        <w:snapToGrid w:val="0"/>
        <w:spacing w:line="576"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（图3：支出决算结构图）（饼状图）</w:t>
      </w:r>
    </w:p>
    <w:p>
      <w:pPr>
        <w:pStyle w:val="7"/>
        <w:jc w:val="center"/>
        <w:rPr>
          <w:rFonts w:ascii="仿宋_GB2312" w:eastAsia="仿宋_GB2312"/>
          <w:sz w:val="32"/>
          <w:szCs w:val="32"/>
        </w:rPr>
      </w:pPr>
      <w:r>
        <w:drawing>
          <wp:inline distT="0" distB="0" distL="114300" distR="114300">
            <wp:extent cx="3692525" cy="1466850"/>
            <wp:effectExtent l="5080" t="5080" r="17145" b="1397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7"/>
          <w:rFonts w:ascii="黑体" w:hAnsi="黑体" w:eastAsia="黑体"/>
          <w:b w:val="0"/>
        </w:rPr>
      </w:pPr>
      <w:bookmarkStart w:id="39" w:name="_Toc15377208"/>
      <w:bookmarkStart w:id="40" w:name="_Toc23082"/>
      <w:bookmarkStart w:id="41" w:name="_Toc15396606"/>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39"/>
      <w:bookmarkEnd w:id="40"/>
      <w:bookmarkEnd w:id="41"/>
    </w:p>
    <w:p>
      <w:pPr>
        <w:snapToGrid w:val="0"/>
        <w:spacing w:line="576" w:lineRule="exact"/>
        <w:ind w:firstLine="640" w:firstLineChars="200"/>
        <w:rPr>
          <w:rFonts w:hint="eastAsia" w:ascii="仿宋_GB2312" w:hAnsi="仿宋" w:eastAsia="仿宋_GB2312"/>
          <w:sz w:val="32"/>
          <w:szCs w:val="32"/>
          <w:lang w:val="en-US" w:eastAsia="zh-CN"/>
        </w:rPr>
      </w:pPr>
      <w:r>
        <w:rPr>
          <w:rFonts w:hint="default" w:ascii="仿宋_GB2312" w:hAnsi="仿宋" w:eastAsia="仿宋_GB2312"/>
          <w:sz w:val="32"/>
          <w:szCs w:val="32"/>
          <w:lang w:val="en-US" w:eastAsia="zh-CN"/>
        </w:rPr>
        <w:t>20</w:t>
      </w:r>
      <w:r>
        <w:rPr>
          <w:rFonts w:hint="eastAsia" w:ascii="仿宋_GB2312" w:hAnsi="仿宋" w:eastAsia="仿宋_GB2312"/>
          <w:sz w:val="32"/>
          <w:szCs w:val="32"/>
          <w:lang w:val="en-US" w:eastAsia="zh-CN"/>
        </w:rPr>
        <w:t>22年财政拨款收、支总计25273.55万元。与</w:t>
      </w:r>
      <w:r>
        <w:rPr>
          <w:rFonts w:hint="default" w:ascii="仿宋_GB2312" w:hAnsi="仿宋" w:eastAsia="仿宋_GB2312"/>
          <w:sz w:val="32"/>
          <w:szCs w:val="32"/>
          <w:lang w:val="en-US" w:eastAsia="zh-CN"/>
        </w:rPr>
        <w:t>20</w:t>
      </w:r>
      <w:r>
        <w:rPr>
          <w:rFonts w:hint="eastAsia" w:ascii="仿宋_GB2312" w:hAnsi="仿宋" w:eastAsia="仿宋_GB2312"/>
          <w:sz w:val="32"/>
          <w:szCs w:val="32"/>
          <w:lang w:val="en-US" w:eastAsia="zh-CN"/>
        </w:rPr>
        <w:t>21年相比，财政拨款收、支总计各减少247.28万元，下降0.97</w:t>
      </w: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。主要变动原因是上年结转数减少。</w:t>
      </w:r>
    </w:p>
    <w:p>
      <w:pPr>
        <w:snapToGrid w:val="0"/>
        <w:spacing w:line="576"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（图4：财政拨款收、支决算总计变动情况）（柱状图）</w:t>
      </w:r>
    </w:p>
    <w:p>
      <w:pPr>
        <w:pStyle w:val="7"/>
        <w:jc w:val="center"/>
      </w:pPr>
      <w:r>
        <w:drawing>
          <wp:inline distT="0" distB="0" distL="114300" distR="114300">
            <wp:extent cx="3481070" cy="1472565"/>
            <wp:effectExtent l="4445" t="4445" r="19685" b="889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7"/>
          <w:rFonts w:ascii="黑体" w:hAnsi="黑体" w:eastAsia="黑体"/>
          <w:b w:val="0"/>
        </w:rPr>
      </w:pPr>
      <w:bookmarkStart w:id="42" w:name="_Toc7212"/>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42"/>
    </w:p>
    <w:p>
      <w:pPr>
        <w:spacing w:line="600" w:lineRule="exact"/>
        <w:ind w:firstLine="643" w:firstLineChars="200"/>
        <w:outlineLvl w:val="2"/>
        <w:rPr>
          <w:rFonts w:ascii="仿宋" w:hAnsi="仿宋" w:eastAsia="仿宋"/>
          <w:b/>
          <w:sz w:val="32"/>
          <w:szCs w:val="32"/>
        </w:rPr>
      </w:pPr>
      <w:bookmarkStart w:id="43" w:name="_Toc16530"/>
      <w:r>
        <w:rPr>
          <w:rFonts w:hint="eastAsia" w:ascii="仿宋" w:hAnsi="仿宋" w:eastAsia="仿宋"/>
          <w:b/>
          <w:sz w:val="32"/>
          <w:szCs w:val="32"/>
        </w:rPr>
        <w:t>（一）一般公共预算财政拨款支出决算总体情况</w:t>
      </w:r>
      <w:bookmarkEnd w:id="43"/>
    </w:p>
    <w:p>
      <w:pPr>
        <w:snapToGrid w:val="0"/>
        <w:spacing w:line="576"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20</w:t>
      </w:r>
      <w:r>
        <w:rPr>
          <w:rFonts w:hint="eastAsia" w:ascii="仿宋_GB2312" w:hAnsi="仿宋" w:eastAsia="仿宋_GB2312"/>
          <w:sz w:val="32"/>
          <w:szCs w:val="32"/>
          <w:lang w:val="en-US" w:eastAsia="zh-CN"/>
        </w:rPr>
        <w:t>22年一般公共预算财政拨款支出18184.01万元，占本年支出合计的60.78</w:t>
      </w: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。与</w:t>
      </w:r>
      <w:r>
        <w:rPr>
          <w:rFonts w:hint="default" w:ascii="仿宋_GB2312" w:hAnsi="仿宋" w:eastAsia="仿宋_GB2312"/>
          <w:sz w:val="32"/>
          <w:szCs w:val="32"/>
          <w:lang w:val="en-US" w:eastAsia="zh-CN"/>
        </w:rPr>
        <w:t>20</w:t>
      </w:r>
      <w:r>
        <w:rPr>
          <w:rFonts w:hint="eastAsia" w:ascii="仿宋_GB2312" w:hAnsi="仿宋" w:eastAsia="仿宋_GB2312"/>
          <w:sz w:val="32"/>
          <w:szCs w:val="32"/>
          <w:lang w:val="en-US" w:eastAsia="zh-CN"/>
        </w:rPr>
        <w:t>21年相比，一般公共预算财政拨款支出减少4291.13万元，下降19.09</w:t>
      </w: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。主要变动原因是2022年项目支出减少。</w:t>
      </w:r>
    </w:p>
    <w:p>
      <w:pPr>
        <w:snapToGrid w:val="0"/>
        <w:spacing w:line="576"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（图5：一般公共预算财政拨款支出决算变动情况）（柱状图）</w:t>
      </w:r>
    </w:p>
    <w:p>
      <w:pPr>
        <w:pStyle w:val="7"/>
        <w:jc w:val="center"/>
      </w:pPr>
      <w:r>
        <w:drawing>
          <wp:inline distT="0" distB="0" distL="114300" distR="114300">
            <wp:extent cx="4055110" cy="1226820"/>
            <wp:effectExtent l="4445" t="4445" r="17145" b="6985"/>
            <wp:docPr id="2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sz w:val="32"/>
          <w:szCs w:val="32"/>
        </w:rPr>
      </w:pPr>
      <w:bookmarkStart w:id="44" w:name="_Toc26124"/>
      <w:r>
        <w:rPr>
          <w:rFonts w:hint="eastAsia" w:ascii="仿宋" w:hAnsi="仿宋" w:eastAsia="仿宋"/>
          <w:b/>
          <w:sz w:val="32"/>
          <w:szCs w:val="32"/>
        </w:rPr>
        <w:t>（二）一般公共预算财政拨款支出决算结构情况</w:t>
      </w:r>
      <w:bookmarkEnd w:id="44"/>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2022年一般公共预算财政拨款支出</w:t>
      </w:r>
      <w:r>
        <w:rPr>
          <w:rFonts w:hint="eastAsia" w:ascii="仿宋_GB2312" w:hAnsi="仿宋_GB2312" w:eastAsia="仿宋_GB2312" w:cs="仿宋_GB2312"/>
          <w:sz w:val="32"/>
          <w:szCs w:val="32"/>
          <w:lang w:val="en-US" w:eastAsia="zh-CN"/>
        </w:rPr>
        <w:t>18184.01</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sz w:val="32"/>
          <w:szCs w:val="32"/>
        </w:rPr>
        <w:t>社会保障和就业</w:t>
      </w:r>
      <w:r>
        <w:rPr>
          <w:rFonts w:hint="eastAsia" w:ascii="仿宋_GB2312" w:hAnsi="仿宋_GB2312" w:eastAsia="仿宋_GB2312" w:cs="仿宋_GB2312"/>
          <w:b/>
          <w:bCs/>
          <w:sz w:val="32"/>
          <w:szCs w:val="32"/>
        </w:rPr>
        <w:t>支出</w:t>
      </w:r>
      <w:r>
        <w:rPr>
          <w:rFonts w:hint="eastAsia" w:ascii="仿宋_GB2312" w:hAnsi="仿宋_GB2312" w:eastAsia="仿宋_GB2312" w:cs="仿宋_GB2312"/>
          <w:b/>
          <w:bCs/>
          <w:sz w:val="32"/>
          <w:szCs w:val="32"/>
          <w:lang w:val="en-US" w:eastAsia="zh-CN"/>
        </w:rPr>
        <w:t>208（类）</w:t>
      </w:r>
      <w:r>
        <w:rPr>
          <w:rFonts w:hint="eastAsia" w:ascii="仿宋_GB2312" w:hAnsi="仿宋_GB2312" w:eastAsia="仿宋_GB2312" w:cs="仿宋_GB2312"/>
          <w:sz w:val="32"/>
          <w:szCs w:val="32"/>
          <w:lang w:val="en-US" w:eastAsia="zh-CN"/>
        </w:rPr>
        <w:t>47.14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0.26</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卫生健康支出</w:t>
      </w:r>
      <w:r>
        <w:rPr>
          <w:rFonts w:hint="eastAsia" w:ascii="仿宋_GB2312" w:hAnsi="仿宋_GB2312" w:eastAsia="仿宋_GB2312" w:cs="仿宋_GB2312"/>
          <w:b/>
          <w:bCs/>
          <w:sz w:val="32"/>
          <w:szCs w:val="32"/>
          <w:lang w:val="en-US" w:eastAsia="zh-CN"/>
        </w:rPr>
        <w:t>210（类）</w:t>
      </w:r>
      <w:r>
        <w:rPr>
          <w:rFonts w:hint="eastAsia" w:ascii="仿宋_GB2312" w:hAnsi="仿宋_GB2312" w:eastAsia="仿宋_GB2312" w:cs="仿宋_GB2312"/>
          <w:sz w:val="32"/>
          <w:szCs w:val="32"/>
          <w:lang w:val="en-US" w:eastAsia="zh-CN"/>
        </w:rPr>
        <w:t>224.84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1.24</w:t>
      </w:r>
      <w:r>
        <w:rPr>
          <w:rFonts w:hint="eastAsia" w:ascii="仿宋_GB2312" w:hAnsi="仿宋_GB2312" w:eastAsia="仿宋_GB2312" w:cs="仿宋_GB2312"/>
          <w:sz w:val="32"/>
          <w:szCs w:val="32"/>
        </w:rPr>
        <w:t>%；</w:t>
      </w:r>
      <w:r>
        <w:rPr>
          <w:rFonts w:hint="eastAsia" w:ascii="仿宋_GB2312" w:hAnsi="仿宋_GB2312" w:eastAsia="仿宋_GB2312" w:cs="仿宋_GB2312"/>
          <w:b/>
          <w:bCs/>
          <w:color w:val="000000"/>
          <w:kern w:val="0"/>
          <w:sz w:val="32"/>
          <w:szCs w:val="32"/>
          <w:lang w:val="en-US" w:eastAsia="zh-CN" w:bidi="ar"/>
        </w:rPr>
        <w:t>农林水支出 213（类）</w:t>
      </w:r>
      <w:r>
        <w:rPr>
          <w:rFonts w:hint="eastAsia" w:ascii="仿宋_GB2312" w:hAnsi="仿宋_GB2312" w:eastAsia="仿宋_GB2312" w:cs="仿宋_GB2312"/>
          <w:color w:val="000000"/>
          <w:kern w:val="0"/>
          <w:sz w:val="32"/>
          <w:szCs w:val="32"/>
          <w:lang w:val="en-US" w:eastAsia="zh-CN" w:bidi="ar"/>
        </w:rPr>
        <w:t>5038.22万元，占 27.71%；</w:t>
      </w:r>
      <w:r>
        <w:rPr>
          <w:rFonts w:hint="eastAsia" w:ascii="仿宋_GB2312" w:hAnsi="仿宋_GB2312" w:eastAsia="仿宋_GB2312" w:cs="仿宋_GB2312"/>
          <w:b/>
          <w:bCs/>
          <w:sz w:val="32"/>
          <w:szCs w:val="32"/>
          <w:lang w:val="en-US" w:eastAsia="zh-CN"/>
        </w:rPr>
        <w:t>交通运输支出 214（类）</w:t>
      </w:r>
      <w:r>
        <w:rPr>
          <w:rFonts w:hint="eastAsia" w:ascii="仿宋_GB2312" w:hAnsi="仿宋_GB2312" w:eastAsia="仿宋_GB2312" w:cs="仿宋_GB2312"/>
          <w:color w:val="000000"/>
          <w:kern w:val="0"/>
          <w:sz w:val="32"/>
          <w:szCs w:val="32"/>
          <w:lang w:val="en-US" w:eastAsia="zh-CN" w:bidi="ar"/>
        </w:rPr>
        <w:t>12367.74万元，占 68.01%；</w:t>
      </w:r>
      <w:r>
        <w:rPr>
          <w:rFonts w:hint="eastAsia" w:ascii="仿宋_GB2312" w:hAnsi="仿宋_GB2312" w:eastAsia="仿宋_GB2312" w:cs="仿宋_GB2312"/>
          <w:b/>
          <w:bCs/>
          <w:sz w:val="32"/>
          <w:szCs w:val="32"/>
        </w:rPr>
        <w:t>住房保障支出</w:t>
      </w:r>
      <w:r>
        <w:rPr>
          <w:rFonts w:hint="eastAsia" w:ascii="仿宋_GB2312" w:hAnsi="仿宋_GB2312" w:eastAsia="仿宋_GB2312" w:cs="仿宋_GB2312"/>
          <w:b/>
          <w:bCs/>
          <w:sz w:val="32"/>
          <w:szCs w:val="32"/>
          <w:lang w:val="en-US" w:eastAsia="zh-CN"/>
        </w:rPr>
        <w:t>221（类）</w:t>
      </w:r>
      <w:r>
        <w:rPr>
          <w:rFonts w:hint="eastAsia" w:ascii="仿宋_GB2312" w:hAnsi="仿宋_GB2312" w:eastAsia="仿宋_GB2312" w:cs="仿宋_GB2312"/>
          <w:b w:val="0"/>
          <w:bCs w:val="0"/>
          <w:sz w:val="32"/>
          <w:szCs w:val="32"/>
          <w:lang w:val="en-US" w:eastAsia="zh-CN"/>
        </w:rPr>
        <w:t>35.35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color w:val="000000"/>
          <w:kern w:val="0"/>
          <w:sz w:val="32"/>
          <w:szCs w:val="32"/>
          <w:lang w:val="en-US" w:eastAsia="zh-CN" w:bidi="ar"/>
        </w:rPr>
        <w:t>灾害防治及应急管理支出 224（类）</w:t>
      </w:r>
      <w:r>
        <w:rPr>
          <w:rFonts w:hint="eastAsia" w:ascii="仿宋_GB2312" w:hAnsi="仿宋_GB2312" w:eastAsia="仿宋_GB2312" w:cs="仿宋_GB2312"/>
          <w:color w:val="000000"/>
          <w:kern w:val="0"/>
          <w:sz w:val="32"/>
          <w:szCs w:val="32"/>
          <w:lang w:val="en-US" w:eastAsia="zh-CN" w:bidi="ar"/>
        </w:rPr>
        <w:t>470.71 万元，占 2.59%。</w:t>
      </w:r>
      <w:r>
        <w:rPr>
          <w:rFonts w:hint="eastAsia" w:ascii="仿宋_GB2312" w:hAnsi="仿宋_GB2312" w:eastAsia="仿宋_GB2312" w:cs="仿宋_GB2312"/>
          <w:b/>
          <w:bCs/>
          <w:color w:val="000000"/>
          <w:kern w:val="0"/>
          <w:sz w:val="32"/>
          <w:szCs w:val="32"/>
          <w:lang w:val="en-US" w:eastAsia="zh-CN" w:bidi="ar"/>
        </w:rPr>
        <w:t xml:space="preserve">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（图6：一般公共预算财政拨款支出决算结构）（饼状图）</w:t>
      </w:r>
    </w:p>
    <w:p>
      <w:pPr>
        <w:pStyle w:val="7"/>
        <w:jc w:val="center"/>
      </w:pPr>
      <w:r>
        <w:drawing>
          <wp:inline distT="0" distB="0" distL="114300" distR="114300">
            <wp:extent cx="4847590" cy="1818640"/>
            <wp:effectExtent l="4445" t="5080" r="5715" b="5080"/>
            <wp:docPr id="3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sz w:val="32"/>
          <w:szCs w:val="32"/>
        </w:rPr>
      </w:pPr>
      <w:bookmarkStart w:id="45" w:name="_Toc15377212"/>
      <w:bookmarkStart w:id="46" w:name="_Toc1992"/>
      <w:r>
        <w:rPr>
          <w:rFonts w:hint="eastAsia" w:ascii="仿宋" w:hAnsi="仿宋" w:eastAsia="仿宋"/>
          <w:b/>
          <w:sz w:val="32"/>
          <w:szCs w:val="32"/>
        </w:rPr>
        <w:t>（三）一般公共预算财政拨款支出决算具体情况</w:t>
      </w:r>
      <w:bookmarkEnd w:id="45"/>
      <w:bookmarkEnd w:id="46"/>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Style w:val="16"/>
          <w:rFonts w:hint="eastAsia" w:ascii="仿宋_GB2312" w:hAnsi="仿宋_GB2312" w:eastAsia="仿宋_GB2312" w:cs="仿宋_GB2312"/>
          <w:bCs/>
          <w:sz w:val="32"/>
          <w:szCs w:val="32"/>
        </w:rPr>
      </w:pPr>
      <w:bookmarkStart w:id="47" w:name="_Toc15378460"/>
      <w:bookmarkStart w:id="48" w:name="_Toc15377444"/>
      <w:bookmarkStart w:id="49" w:name="_Toc15377213"/>
      <w:r>
        <w:rPr>
          <w:rStyle w:val="16"/>
          <w:rFonts w:hint="eastAsia" w:ascii="仿宋_GB2312" w:hAnsi="仿宋_GB2312" w:eastAsia="仿宋_GB2312" w:cs="仿宋_GB2312"/>
          <w:bCs/>
          <w:sz w:val="32"/>
          <w:szCs w:val="32"/>
        </w:rPr>
        <w:t>2022年一般公共预算支出决算数为</w:t>
      </w:r>
      <w:r>
        <w:rPr>
          <w:rStyle w:val="16"/>
          <w:rFonts w:hint="eastAsia" w:ascii="仿宋_GB2312" w:hAnsi="仿宋_GB2312" w:eastAsia="仿宋_GB2312" w:cs="仿宋_GB2312"/>
          <w:bCs/>
          <w:sz w:val="32"/>
          <w:szCs w:val="32"/>
          <w:lang w:val="en-US" w:eastAsia="zh-CN"/>
        </w:rPr>
        <w:t>18184.01</w:t>
      </w:r>
      <w:r>
        <w:rPr>
          <w:rStyle w:val="16"/>
          <w:rFonts w:hint="eastAsia" w:ascii="仿宋_GB2312" w:hAnsi="仿宋_GB2312" w:eastAsia="仿宋_GB2312" w:cs="仿宋_GB2312"/>
          <w:bCs/>
          <w:sz w:val="32"/>
          <w:szCs w:val="32"/>
        </w:rPr>
        <w:t>，完成预算</w:t>
      </w:r>
      <w:r>
        <w:rPr>
          <w:rStyle w:val="16"/>
          <w:rFonts w:hint="eastAsia" w:ascii="仿宋_GB2312" w:hAnsi="仿宋_GB2312" w:eastAsia="仿宋_GB2312" w:cs="仿宋_GB2312"/>
          <w:bCs/>
          <w:sz w:val="32"/>
          <w:szCs w:val="32"/>
          <w:lang w:val="en-US" w:eastAsia="zh-CN"/>
        </w:rPr>
        <w:t>71.95</w:t>
      </w:r>
      <w:r>
        <w:rPr>
          <w:rStyle w:val="16"/>
          <w:rFonts w:hint="eastAsia" w:ascii="仿宋_GB2312" w:hAnsi="仿宋_GB2312" w:eastAsia="仿宋_GB2312" w:cs="仿宋_GB2312"/>
          <w:bCs/>
          <w:sz w:val="32"/>
          <w:szCs w:val="32"/>
        </w:rPr>
        <w:t>%。其中：</w:t>
      </w:r>
      <w:bookmarkEnd w:id="47"/>
      <w:bookmarkEnd w:id="48"/>
      <w:bookmarkEnd w:id="49"/>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sz w:val="32"/>
          <w:szCs w:val="32"/>
        </w:rPr>
      </w:pPr>
      <w:r>
        <w:rPr>
          <w:rStyle w:val="16"/>
          <w:rFonts w:hint="eastAsia" w:ascii="仿宋_GB2312" w:hAnsi="仿宋_GB2312" w:eastAsia="仿宋_GB2312" w:cs="仿宋_GB2312"/>
          <w:bCs/>
          <w:sz w:val="32"/>
          <w:szCs w:val="32"/>
        </w:rPr>
        <w:t>1.</w:t>
      </w:r>
      <w:r>
        <w:rPr>
          <w:rStyle w:val="16"/>
          <w:rFonts w:hint="eastAsia" w:ascii="仿宋_GB2312" w:hAnsi="仿宋_GB2312" w:eastAsia="仿宋_GB2312" w:cs="仿宋_GB2312"/>
          <w:bCs/>
          <w:sz w:val="32"/>
          <w:szCs w:val="32"/>
          <w:lang w:eastAsia="zh-CN"/>
        </w:rPr>
        <w:t>社会保障和就业支出</w:t>
      </w:r>
      <w:r>
        <w:rPr>
          <w:rStyle w:val="16"/>
          <w:rFonts w:hint="eastAsia" w:ascii="仿宋_GB2312" w:hAnsi="仿宋_GB2312" w:eastAsia="仿宋_GB2312" w:cs="仿宋_GB2312"/>
          <w:bCs/>
          <w:sz w:val="32"/>
          <w:szCs w:val="32"/>
          <w:lang w:val="en-US" w:eastAsia="zh-CN"/>
        </w:rPr>
        <w:t>208</w:t>
      </w:r>
      <w:r>
        <w:rPr>
          <w:rStyle w:val="16"/>
          <w:rFonts w:hint="eastAsia" w:ascii="仿宋_GB2312" w:hAnsi="仿宋_GB2312" w:eastAsia="仿宋_GB2312" w:cs="仿宋_GB2312"/>
          <w:bCs/>
          <w:sz w:val="32"/>
          <w:szCs w:val="32"/>
        </w:rPr>
        <w:t>（类）</w:t>
      </w:r>
      <w:r>
        <w:rPr>
          <w:rStyle w:val="16"/>
          <w:rFonts w:hint="eastAsia" w:ascii="仿宋_GB2312" w:hAnsi="仿宋_GB2312" w:eastAsia="仿宋_GB2312" w:cs="仿宋_GB2312"/>
          <w:bCs/>
          <w:sz w:val="32"/>
          <w:szCs w:val="32"/>
          <w:lang w:eastAsia="zh-CN"/>
        </w:rPr>
        <w:t>行政事业单位养老支出</w:t>
      </w:r>
      <w:r>
        <w:rPr>
          <w:rStyle w:val="16"/>
          <w:rFonts w:hint="eastAsia" w:ascii="仿宋_GB2312" w:hAnsi="仿宋_GB2312" w:eastAsia="仿宋_GB2312" w:cs="仿宋_GB2312"/>
          <w:bCs/>
          <w:sz w:val="32"/>
          <w:szCs w:val="32"/>
          <w:lang w:val="en-US" w:eastAsia="zh-CN"/>
        </w:rPr>
        <w:t>20805</w:t>
      </w:r>
      <w:r>
        <w:rPr>
          <w:rStyle w:val="16"/>
          <w:rFonts w:hint="eastAsia" w:ascii="仿宋_GB2312" w:hAnsi="仿宋_GB2312" w:eastAsia="仿宋_GB2312" w:cs="仿宋_GB2312"/>
          <w:bCs/>
          <w:sz w:val="32"/>
          <w:szCs w:val="32"/>
        </w:rPr>
        <w:t>（款）</w:t>
      </w:r>
      <w:r>
        <w:rPr>
          <w:rStyle w:val="16"/>
          <w:rFonts w:hint="eastAsia" w:ascii="仿宋_GB2312" w:hAnsi="仿宋_GB2312" w:eastAsia="仿宋_GB2312" w:cs="仿宋_GB2312"/>
          <w:bCs/>
          <w:sz w:val="32"/>
          <w:szCs w:val="32"/>
          <w:lang w:eastAsia="zh-CN"/>
        </w:rPr>
        <w:t>机关事业单位基本养老保险缴费支出</w:t>
      </w:r>
      <w:r>
        <w:rPr>
          <w:rStyle w:val="16"/>
          <w:rFonts w:hint="eastAsia" w:ascii="仿宋_GB2312" w:hAnsi="仿宋_GB2312" w:eastAsia="仿宋_GB2312" w:cs="仿宋_GB2312"/>
          <w:bCs/>
          <w:sz w:val="32"/>
          <w:szCs w:val="32"/>
          <w:lang w:val="en-US" w:eastAsia="zh-CN"/>
        </w:rPr>
        <w:t>2080505</w:t>
      </w:r>
      <w:r>
        <w:rPr>
          <w:rStyle w:val="16"/>
          <w:rFonts w:hint="eastAsia" w:ascii="仿宋_GB2312" w:hAnsi="仿宋_GB2312" w:eastAsia="仿宋_GB2312" w:cs="仿宋_GB2312"/>
          <w:bCs/>
          <w:sz w:val="32"/>
          <w:szCs w:val="32"/>
        </w:rPr>
        <w:t>（项）</w:t>
      </w:r>
      <w:r>
        <w:rPr>
          <w:rStyle w:val="16"/>
          <w:rFonts w:hint="eastAsia" w:ascii="仿宋_GB2312" w:hAnsi="仿宋_GB2312" w:eastAsia="仿宋_GB2312" w:cs="仿宋_GB2312"/>
          <w:bCs/>
          <w:sz w:val="32"/>
          <w:szCs w:val="32"/>
          <w:lang w:eastAsia="zh-CN"/>
        </w:rPr>
        <w:t>：</w:t>
      </w:r>
      <w:r>
        <w:rPr>
          <w:rStyle w:val="16"/>
          <w:rFonts w:hint="eastAsia" w:ascii="仿宋_GB2312" w:hAnsi="仿宋_GB2312" w:eastAsia="仿宋_GB2312" w:cs="仿宋_GB2312"/>
          <w:b w:val="0"/>
          <w:bCs/>
          <w:sz w:val="32"/>
          <w:szCs w:val="32"/>
        </w:rPr>
        <w:t xml:space="preserve"> 支出决算为</w:t>
      </w:r>
      <w:r>
        <w:rPr>
          <w:rStyle w:val="16"/>
          <w:rFonts w:hint="eastAsia" w:ascii="仿宋_GB2312" w:hAnsi="仿宋_GB2312" w:eastAsia="仿宋_GB2312" w:cs="仿宋_GB2312"/>
          <w:b w:val="0"/>
          <w:bCs/>
          <w:sz w:val="32"/>
          <w:szCs w:val="32"/>
          <w:lang w:val="en-US" w:eastAsia="zh-CN"/>
        </w:rPr>
        <w:t>47.14</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sz w:val="32"/>
          <w:szCs w:val="32"/>
        </w:rPr>
      </w:pPr>
      <w:r>
        <w:rPr>
          <w:rStyle w:val="16"/>
          <w:rFonts w:hint="eastAsia" w:ascii="仿宋_GB2312" w:hAnsi="仿宋_GB2312" w:eastAsia="仿宋_GB2312" w:cs="仿宋_GB2312"/>
          <w:bCs/>
          <w:sz w:val="32"/>
          <w:szCs w:val="32"/>
        </w:rPr>
        <w:t>2.</w:t>
      </w:r>
      <w:r>
        <w:rPr>
          <w:rStyle w:val="16"/>
          <w:rFonts w:hint="eastAsia" w:ascii="仿宋_GB2312" w:hAnsi="仿宋_GB2312" w:eastAsia="仿宋_GB2312" w:cs="仿宋_GB2312"/>
          <w:bCs/>
          <w:sz w:val="32"/>
          <w:szCs w:val="32"/>
          <w:lang w:eastAsia="zh-CN"/>
        </w:rPr>
        <w:t>卫生健康支出</w:t>
      </w:r>
      <w:r>
        <w:rPr>
          <w:rStyle w:val="16"/>
          <w:rFonts w:hint="eastAsia" w:ascii="仿宋_GB2312" w:hAnsi="仿宋_GB2312" w:eastAsia="仿宋_GB2312" w:cs="仿宋_GB2312"/>
          <w:bCs/>
          <w:sz w:val="32"/>
          <w:szCs w:val="32"/>
          <w:lang w:val="en-US" w:eastAsia="zh-CN"/>
        </w:rPr>
        <w:t>210</w:t>
      </w:r>
      <w:r>
        <w:rPr>
          <w:rStyle w:val="16"/>
          <w:rFonts w:hint="eastAsia" w:ascii="仿宋_GB2312" w:hAnsi="仿宋_GB2312" w:eastAsia="仿宋_GB2312" w:cs="仿宋_GB2312"/>
          <w:bCs/>
          <w:sz w:val="32"/>
          <w:szCs w:val="32"/>
        </w:rPr>
        <w:t>（类）</w:t>
      </w:r>
      <w:r>
        <w:rPr>
          <w:rStyle w:val="16"/>
          <w:rFonts w:hint="eastAsia" w:ascii="仿宋_GB2312" w:hAnsi="仿宋_GB2312" w:eastAsia="仿宋_GB2312" w:cs="仿宋_GB2312"/>
          <w:bCs/>
          <w:sz w:val="32"/>
          <w:szCs w:val="32"/>
          <w:lang w:eastAsia="zh-CN"/>
        </w:rPr>
        <w:t>公共卫生</w:t>
      </w:r>
      <w:r>
        <w:rPr>
          <w:rStyle w:val="16"/>
          <w:rFonts w:hint="eastAsia" w:ascii="仿宋_GB2312" w:hAnsi="仿宋_GB2312" w:eastAsia="仿宋_GB2312" w:cs="仿宋_GB2312"/>
          <w:bCs/>
          <w:sz w:val="32"/>
          <w:szCs w:val="32"/>
          <w:lang w:val="en-US" w:eastAsia="zh-CN"/>
        </w:rPr>
        <w:t>21004</w:t>
      </w:r>
      <w:r>
        <w:rPr>
          <w:rStyle w:val="16"/>
          <w:rFonts w:hint="eastAsia" w:ascii="仿宋_GB2312" w:hAnsi="仿宋_GB2312" w:eastAsia="仿宋_GB2312" w:cs="仿宋_GB2312"/>
          <w:bCs/>
          <w:sz w:val="32"/>
          <w:szCs w:val="32"/>
        </w:rPr>
        <w:t>（款）</w:t>
      </w:r>
      <w:r>
        <w:rPr>
          <w:rStyle w:val="16"/>
          <w:rFonts w:hint="eastAsia" w:ascii="仿宋_GB2312" w:hAnsi="仿宋_GB2312" w:eastAsia="仿宋_GB2312" w:cs="仿宋_GB2312"/>
          <w:bCs/>
          <w:sz w:val="32"/>
          <w:szCs w:val="32"/>
          <w:lang w:eastAsia="zh-CN"/>
        </w:rPr>
        <w:t>重大公共卫生服务</w:t>
      </w:r>
      <w:r>
        <w:rPr>
          <w:rStyle w:val="16"/>
          <w:rFonts w:hint="eastAsia" w:ascii="仿宋_GB2312" w:hAnsi="仿宋_GB2312" w:eastAsia="仿宋_GB2312" w:cs="仿宋_GB2312"/>
          <w:bCs/>
          <w:sz w:val="32"/>
          <w:szCs w:val="32"/>
          <w:lang w:val="en-US" w:eastAsia="zh-CN"/>
        </w:rPr>
        <w:t>2100409</w:t>
      </w:r>
      <w:r>
        <w:rPr>
          <w:rStyle w:val="16"/>
          <w:rFonts w:hint="eastAsia" w:ascii="仿宋_GB2312" w:hAnsi="仿宋_GB2312" w:eastAsia="仿宋_GB2312" w:cs="仿宋_GB2312"/>
          <w:bCs/>
          <w:sz w:val="32"/>
          <w:szCs w:val="32"/>
        </w:rPr>
        <w:t>（项）</w:t>
      </w:r>
      <w:r>
        <w:rPr>
          <w:rStyle w:val="16"/>
          <w:rFonts w:hint="eastAsia" w:ascii="仿宋_GB2312" w:hAnsi="仿宋_GB2312" w:eastAsia="仿宋_GB2312" w:cs="仿宋_GB2312"/>
          <w:bCs/>
          <w:sz w:val="32"/>
          <w:szCs w:val="32"/>
          <w:lang w:eastAsia="zh-CN"/>
        </w:rPr>
        <w:t>：</w:t>
      </w:r>
      <w:r>
        <w:rPr>
          <w:rStyle w:val="16"/>
          <w:rFonts w:hint="eastAsia" w:ascii="仿宋_GB2312" w:hAnsi="仿宋_GB2312" w:eastAsia="仿宋_GB2312" w:cs="仿宋_GB2312"/>
          <w:b w:val="0"/>
          <w:bCs/>
          <w:sz w:val="32"/>
          <w:szCs w:val="32"/>
        </w:rPr>
        <w:t xml:space="preserve"> 支出决算为</w:t>
      </w:r>
      <w:r>
        <w:rPr>
          <w:rStyle w:val="16"/>
          <w:rFonts w:hint="eastAsia" w:ascii="仿宋_GB2312" w:hAnsi="仿宋_GB2312" w:eastAsia="仿宋_GB2312" w:cs="仿宋_GB2312"/>
          <w:b w:val="0"/>
          <w:bCs/>
          <w:sz w:val="32"/>
          <w:szCs w:val="32"/>
          <w:lang w:val="en-US" w:eastAsia="zh-CN"/>
        </w:rPr>
        <w:t>201.27</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sz w:val="32"/>
          <w:szCs w:val="32"/>
        </w:rPr>
      </w:pPr>
      <w:r>
        <w:rPr>
          <w:rStyle w:val="16"/>
          <w:rFonts w:hint="eastAsia" w:ascii="仿宋_GB2312" w:hAnsi="仿宋_GB2312" w:eastAsia="仿宋_GB2312" w:cs="仿宋_GB2312"/>
          <w:bCs/>
          <w:sz w:val="32"/>
          <w:szCs w:val="32"/>
        </w:rPr>
        <w:t>3.</w:t>
      </w:r>
      <w:r>
        <w:rPr>
          <w:rStyle w:val="16"/>
          <w:rFonts w:hint="eastAsia" w:ascii="仿宋_GB2312" w:hAnsi="仿宋_GB2312" w:eastAsia="仿宋_GB2312" w:cs="仿宋_GB2312"/>
          <w:bCs/>
          <w:sz w:val="32"/>
          <w:szCs w:val="32"/>
          <w:lang w:eastAsia="zh-CN"/>
        </w:rPr>
        <w:t>卫生健康支出</w:t>
      </w:r>
      <w:r>
        <w:rPr>
          <w:rStyle w:val="16"/>
          <w:rFonts w:hint="eastAsia" w:ascii="仿宋_GB2312" w:hAnsi="仿宋_GB2312" w:eastAsia="仿宋_GB2312" w:cs="仿宋_GB2312"/>
          <w:bCs/>
          <w:sz w:val="32"/>
          <w:szCs w:val="32"/>
          <w:lang w:val="en-US" w:eastAsia="zh-CN"/>
        </w:rPr>
        <w:t>210</w:t>
      </w:r>
      <w:r>
        <w:rPr>
          <w:rStyle w:val="16"/>
          <w:rFonts w:hint="eastAsia" w:ascii="仿宋_GB2312" w:hAnsi="仿宋_GB2312" w:eastAsia="仿宋_GB2312" w:cs="仿宋_GB2312"/>
          <w:bCs/>
          <w:sz w:val="32"/>
          <w:szCs w:val="32"/>
        </w:rPr>
        <w:t>（类）</w:t>
      </w:r>
      <w:r>
        <w:rPr>
          <w:rStyle w:val="16"/>
          <w:rFonts w:hint="eastAsia" w:ascii="仿宋_GB2312" w:hAnsi="仿宋_GB2312" w:eastAsia="仿宋_GB2312" w:cs="仿宋_GB2312"/>
          <w:bCs/>
          <w:sz w:val="32"/>
          <w:szCs w:val="32"/>
          <w:lang w:eastAsia="zh-CN"/>
        </w:rPr>
        <w:t>行政事业单位医疗</w:t>
      </w:r>
      <w:r>
        <w:rPr>
          <w:rStyle w:val="16"/>
          <w:rFonts w:hint="eastAsia" w:ascii="仿宋_GB2312" w:hAnsi="仿宋_GB2312" w:eastAsia="仿宋_GB2312" w:cs="仿宋_GB2312"/>
          <w:bCs/>
          <w:sz w:val="32"/>
          <w:szCs w:val="32"/>
          <w:lang w:val="en-US" w:eastAsia="zh-CN"/>
        </w:rPr>
        <w:t>21011</w:t>
      </w:r>
      <w:r>
        <w:rPr>
          <w:rStyle w:val="16"/>
          <w:rFonts w:hint="eastAsia" w:ascii="仿宋_GB2312" w:hAnsi="仿宋_GB2312" w:eastAsia="仿宋_GB2312" w:cs="仿宋_GB2312"/>
          <w:bCs/>
          <w:sz w:val="32"/>
          <w:szCs w:val="32"/>
        </w:rPr>
        <w:t>（款）</w:t>
      </w:r>
      <w:r>
        <w:rPr>
          <w:rStyle w:val="16"/>
          <w:rFonts w:hint="eastAsia" w:ascii="仿宋_GB2312" w:hAnsi="仿宋_GB2312" w:eastAsia="仿宋_GB2312" w:cs="仿宋_GB2312"/>
          <w:bCs/>
          <w:sz w:val="32"/>
          <w:szCs w:val="32"/>
          <w:lang w:eastAsia="zh-CN"/>
        </w:rPr>
        <w:t>行政单位医疗</w:t>
      </w:r>
      <w:r>
        <w:rPr>
          <w:rStyle w:val="16"/>
          <w:rFonts w:hint="eastAsia" w:ascii="仿宋_GB2312" w:hAnsi="仿宋_GB2312" w:eastAsia="仿宋_GB2312" w:cs="仿宋_GB2312"/>
          <w:bCs/>
          <w:sz w:val="32"/>
          <w:szCs w:val="32"/>
          <w:lang w:val="en-US" w:eastAsia="zh-CN"/>
        </w:rPr>
        <w:t>2101101</w:t>
      </w:r>
      <w:r>
        <w:rPr>
          <w:rStyle w:val="16"/>
          <w:rFonts w:hint="eastAsia" w:ascii="仿宋_GB2312" w:hAnsi="仿宋_GB2312" w:eastAsia="仿宋_GB2312" w:cs="仿宋_GB2312"/>
          <w:bCs/>
          <w:sz w:val="32"/>
          <w:szCs w:val="32"/>
        </w:rPr>
        <w:t>（项）</w:t>
      </w:r>
      <w:r>
        <w:rPr>
          <w:rStyle w:val="16"/>
          <w:rFonts w:hint="eastAsia" w:ascii="仿宋_GB2312" w:hAnsi="仿宋_GB2312" w:eastAsia="仿宋_GB2312" w:cs="仿宋_GB2312"/>
          <w:bCs/>
          <w:sz w:val="32"/>
          <w:szCs w:val="32"/>
          <w:lang w:eastAsia="zh-CN"/>
        </w:rPr>
        <w:t>：</w:t>
      </w:r>
      <w:r>
        <w:rPr>
          <w:rStyle w:val="16"/>
          <w:rFonts w:hint="eastAsia" w:ascii="仿宋_GB2312" w:hAnsi="仿宋_GB2312" w:eastAsia="仿宋_GB2312" w:cs="仿宋_GB2312"/>
          <w:b w:val="0"/>
          <w:bCs/>
          <w:sz w:val="32"/>
          <w:szCs w:val="32"/>
        </w:rPr>
        <w:t xml:space="preserve"> 支出决算为</w:t>
      </w:r>
      <w:r>
        <w:rPr>
          <w:rStyle w:val="16"/>
          <w:rFonts w:hint="eastAsia" w:ascii="仿宋_GB2312" w:hAnsi="仿宋_GB2312" w:eastAsia="仿宋_GB2312" w:cs="仿宋_GB2312"/>
          <w:b w:val="0"/>
          <w:bCs/>
          <w:sz w:val="32"/>
          <w:szCs w:val="32"/>
          <w:lang w:val="en-US" w:eastAsia="zh-CN"/>
        </w:rPr>
        <w:t>23.57</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sz w:val="32"/>
          <w:szCs w:val="32"/>
        </w:rPr>
      </w:pPr>
      <w:r>
        <w:rPr>
          <w:rStyle w:val="16"/>
          <w:rFonts w:hint="eastAsia" w:ascii="仿宋_GB2312" w:hAnsi="仿宋_GB2312" w:eastAsia="仿宋_GB2312" w:cs="仿宋_GB2312"/>
          <w:bCs/>
          <w:sz w:val="32"/>
          <w:szCs w:val="32"/>
        </w:rPr>
        <w:t>4.</w:t>
      </w:r>
      <w:r>
        <w:rPr>
          <w:rStyle w:val="16"/>
          <w:rFonts w:hint="eastAsia" w:ascii="仿宋_GB2312" w:hAnsi="仿宋_GB2312" w:eastAsia="仿宋_GB2312" w:cs="仿宋_GB2312"/>
          <w:bCs/>
          <w:sz w:val="32"/>
          <w:szCs w:val="32"/>
          <w:lang w:eastAsia="zh-CN"/>
        </w:rPr>
        <w:t>农林水支出</w:t>
      </w:r>
      <w:r>
        <w:rPr>
          <w:rStyle w:val="16"/>
          <w:rFonts w:hint="eastAsia" w:ascii="仿宋_GB2312" w:hAnsi="仿宋_GB2312" w:eastAsia="仿宋_GB2312" w:cs="仿宋_GB2312"/>
          <w:bCs/>
          <w:sz w:val="32"/>
          <w:szCs w:val="32"/>
          <w:lang w:val="en-US" w:eastAsia="zh-CN"/>
        </w:rPr>
        <w:t>213</w:t>
      </w:r>
      <w:r>
        <w:rPr>
          <w:rStyle w:val="16"/>
          <w:rFonts w:hint="eastAsia" w:ascii="仿宋_GB2312" w:hAnsi="仿宋_GB2312" w:eastAsia="仿宋_GB2312" w:cs="仿宋_GB2312"/>
          <w:bCs/>
          <w:sz w:val="32"/>
          <w:szCs w:val="32"/>
        </w:rPr>
        <w:t>（类）</w:t>
      </w:r>
      <w:r>
        <w:rPr>
          <w:rStyle w:val="16"/>
          <w:rFonts w:hint="eastAsia" w:ascii="仿宋_GB2312" w:hAnsi="仿宋_GB2312" w:eastAsia="仿宋_GB2312" w:cs="仿宋_GB2312"/>
          <w:bCs/>
          <w:sz w:val="32"/>
          <w:szCs w:val="32"/>
          <w:lang w:eastAsia="zh-CN"/>
        </w:rPr>
        <w:t>巩固脱贫衔接乡村振兴</w:t>
      </w:r>
      <w:r>
        <w:rPr>
          <w:rStyle w:val="16"/>
          <w:rFonts w:hint="eastAsia" w:ascii="仿宋_GB2312" w:hAnsi="仿宋_GB2312" w:eastAsia="仿宋_GB2312" w:cs="仿宋_GB2312"/>
          <w:bCs/>
          <w:sz w:val="32"/>
          <w:szCs w:val="32"/>
          <w:lang w:val="en-US" w:eastAsia="zh-CN"/>
        </w:rPr>
        <w:t>21305</w:t>
      </w:r>
      <w:r>
        <w:rPr>
          <w:rStyle w:val="16"/>
          <w:rFonts w:hint="eastAsia" w:ascii="仿宋_GB2312" w:hAnsi="仿宋_GB2312" w:eastAsia="仿宋_GB2312" w:cs="仿宋_GB2312"/>
          <w:bCs/>
          <w:sz w:val="32"/>
          <w:szCs w:val="32"/>
        </w:rPr>
        <w:t>（款）</w:t>
      </w:r>
      <w:r>
        <w:rPr>
          <w:rStyle w:val="16"/>
          <w:rFonts w:hint="eastAsia" w:ascii="仿宋_GB2312" w:hAnsi="仿宋_GB2312" w:eastAsia="仿宋_GB2312" w:cs="仿宋_GB2312"/>
          <w:bCs/>
          <w:sz w:val="32"/>
          <w:szCs w:val="32"/>
          <w:lang w:eastAsia="zh-CN"/>
        </w:rPr>
        <w:t>农村基础设施建设</w:t>
      </w:r>
      <w:r>
        <w:rPr>
          <w:rStyle w:val="16"/>
          <w:rFonts w:hint="eastAsia" w:ascii="仿宋_GB2312" w:hAnsi="仿宋_GB2312" w:eastAsia="仿宋_GB2312" w:cs="仿宋_GB2312"/>
          <w:bCs/>
          <w:sz w:val="32"/>
          <w:szCs w:val="32"/>
          <w:lang w:val="en-US" w:eastAsia="zh-CN"/>
        </w:rPr>
        <w:t>2130504</w:t>
      </w:r>
      <w:r>
        <w:rPr>
          <w:rStyle w:val="16"/>
          <w:rFonts w:hint="eastAsia" w:ascii="仿宋_GB2312" w:hAnsi="仿宋_GB2312" w:eastAsia="仿宋_GB2312" w:cs="仿宋_GB2312"/>
          <w:bCs/>
          <w:sz w:val="32"/>
          <w:szCs w:val="32"/>
        </w:rPr>
        <w:t>（项）</w:t>
      </w:r>
      <w:r>
        <w:rPr>
          <w:rStyle w:val="16"/>
          <w:rFonts w:hint="eastAsia" w:ascii="仿宋_GB2312" w:hAnsi="仿宋_GB2312" w:eastAsia="仿宋_GB2312" w:cs="仿宋_GB2312"/>
          <w:bCs/>
          <w:sz w:val="32"/>
          <w:szCs w:val="32"/>
          <w:lang w:eastAsia="zh-CN"/>
        </w:rPr>
        <w:t>：</w:t>
      </w:r>
      <w:r>
        <w:rPr>
          <w:rStyle w:val="16"/>
          <w:rFonts w:hint="eastAsia" w:ascii="仿宋_GB2312" w:hAnsi="仿宋_GB2312" w:eastAsia="仿宋_GB2312" w:cs="仿宋_GB2312"/>
          <w:b w:val="0"/>
          <w:bCs/>
          <w:sz w:val="32"/>
          <w:szCs w:val="32"/>
        </w:rPr>
        <w:t xml:space="preserve"> 支出决算为</w:t>
      </w:r>
      <w:r>
        <w:rPr>
          <w:rStyle w:val="16"/>
          <w:rFonts w:hint="eastAsia" w:ascii="仿宋_GB2312" w:hAnsi="仿宋_GB2312" w:eastAsia="仿宋_GB2312" w:cs="仿宋_GB2312"/>
          <w:b w:val="0"/>
          <w:bCs/>
          <w:sz w:val="32"/>
          <w:szCs w:val="32"/>
          <w:lang w:val="en-US" w:eastAsia="zh-CN"/>
        </w:rPr>
        <w:t>4742.21</w:t>
      </w:r>
      <w:r>
        <w:rPr>
          <w:rStyle w:val="16"/>
          <w:rFonts w:hint="eastAsia" w:ascii="仿宋_GB2312" w:hAnsi="仿宋_GB2312" w:eastAsia="仿宋_GB2312" w:cs="仿宋_GB2312"/>
          <w:b w:val="0"/>
          <w:bCs/>
          <w:sz w:val="32"/>
          <w:szCs w:val="32"/>
        </w:rPr>
        <w:t>万元</w:t>
      </w:r>
      <w:r>
        <w:rPr>
          <w:rStyle w:val="16"/>
          <w:rFonts w:hint="eastAsia" w:ascii="仿宋_GB2312" w:hAnsi="仿宋_GB2312" w:eastAsia="仿宋_GB2312" w:cs="仿宋_GB2312"/>
          <w:b w:val="0"/>
          <w:bCs/>
          <w:sz w:val="32"/>
          <w:szCs w:val="32"/>
          <w:lang w:eastAsia="zh-CN"/>
        </w:rPr>
        <w:t>，</w:t>
      </w:r>
      <w:r>
        <w:rPr>
          <w:rStyle w:val="16"/>
          <w:rFonts w:hint="eastAsia" w:ascii="仿宋_GB2312" w:hAnsi="仿宋_GB2312" w:eastAsia="仿宋_GB2312" w:cs="仿宋_GB2312"/>
          <w:b w:val="0"/>
          <w:bCs/>
          <w:sz w:val="32"/>
          <w:szCs w:val="32"/>
        </w:rPr>
        <w:t>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sz w:val="32"/>
          <w:szCs w:val="32"/>
        </w:rPr>
      </w:pPr>
      <w:r>
        <w:rPr>
          <w:rStyle w:val="16"/>
          <w:rFonts w:hint="eastAsia" w:ascii="仿宋_GB2312" w:hAnsi="仿宋_GB2312" w:eastAsia="仿宋_GB2312" w:cs="仿宋_GB2312"/>
          <w:bCs/>
          <w:sz w:val="32"/>
          <w:szCs w:val="32"/>
        </w:rPr>
        <w:t>5.</w:t>
      </w:r>
      <w:r>
        <w:rPr>
          <w:rStyle w:val="16"/>
          <w:rFonts w:hint="eastAsia" w:ascii="仿宋_GB2312" w:hAnsi="仿宋_GB2312" w:eastAsia="仿宋_GB2312" w:cs="仿宋_GB2312"/>
          <w:bCs/>
          <w:sz w:val="32"/>
          <w:szCs w:val="32"/>
          <w:lang w:eastAsia="zh-CN"/>
        </w:rPr>
        <w:t>农林水支出</w:t>
      </w:r>
      <w:r>
        <w:rPr>
          <w:rStyle w:val="16"/>
          <w:rFonts w:hint="eastAsia" w:ascii="仿宋_GB2312" w:hAnsi="仿宋_GB2312" w:eastAsia="仿宋_GB2312" w:cs="仿宋_GB2312"/>
          <w:bCs/>
          <w:sz w:val="32"/>
          <w:szCs w:val="32"/>
          <w:lang w:val="en-US" w:eastAsia="zh-CN"/>
        </w:rPr>
        <w:t>213</w:t>
      </w:r>
      <w:r>
        <w:rPr>
          <w:rStyle w:val="16"/>
          <w:rFonts w:hint="eastAsia" w:ascii="仿宋_GB2312" w:hAnsi="仿宋_GB2312" w:eastAsia="仿宋_GB2312" w:cs="仿宋_GB2312"/>
          <w:bCs/>
          <w:sz w:val="32"/>
          <w:szCs w:val="32"/>
        </w:rPr>
        <w:t>（类）</w:t>
      </w:r>
      <w:r>
        <w:rPr>
          <w:rStyle w:val="16"/>
          <w:rFonts w:hint="eastAsia" w:ascii="仿宋_GB2312" w:hAnsi="仿宋_GB2312" w:eastAsia="仿宋_GB2312" w:cs="仿宋_GB2312"/>
          <w:bCs/>
          <w:sz w:val="32"/>
          <w:szCs w:val="32"/>
          <w:lang w:eastAsia="zh-CN"/>
        </w:rPr>
        <w:t>巩固脱贫衔接乡村振兴</w:t>
      </w:r>
      <w:r>
        <w:rPr>
          <w:rStyle w:val="16"/>
          <w:rFonts w:hint="eastAsia" w:ascii="仿宋_GB2312" w:hAnsi="仿宋_GB2312" w:eastAsia="仿宋_GB2312" w:cs="仿宋_GB2312"/>
          <w:bCs/>
          <w:sz w:val="32"/>
          <w:szCs w:val="32"/>
          <w:lang w:val="en-US" w:eastAsia="zh-CN"/>
        </w:rPr>
        <w:t>21305</w:t>
      </w:r>
      <w:r>
        <w:rPr>
          <w:rStyle w:val="16"/>
          <w:rFonts w:hint="eastAsia" w:ascii="仿宋_GB2312" w:hAnsi="仿宋_GB2312" w:eastAsia="仿宋_GB2312" w:cs="仿宋_GB2312"/>
          <w:bCs/>
          <w:sz w:val="32"/>
          <w:szCs w:val="32"/>
        </w:rPr>
        <w:t>（款）</w:t>
      </w:r>
      <w:r>
        <w:rPr>
          <w:rStyle w:val="16"/>
          <w:rFonts w:hint="eastAsia" w:ascii="仿宋_GB2312" w:hAnsi="仿宋_GB2312" w:eastAsia="仿宋_GB2312" w:cs="仿宋_GB2312"/>
          <w:bCs/>
          <w:sz w:val="32"/>
          <w:szCs w:val="32"/>
          <w:lang w:eastAsia="zh-CN"/>
        </w:rPr>
        <w:t>生产发展</w:t>
      </w:r>
      <w:r>
        <w:rPr>
          <w:rStyle w:val="16"/>
          <w:rFonts w:hint="eastAsia" w:ascii="仿宋_GB2312" w:hAnsi="仿宋_GB2312" w:eastAsia="仿宋_GB2312" w:cs="仿宋_GB2312"/>
          <w:bCs/>
          <w:sz w:val="32"/>
          <w:szCs w:val="32"/>
          <w:lang w:val="en-US" w:eastAsia="zh-CN"/>
        </w:rPr>
        <w:t>2130505</w:t>
      </w:r>
      <w:r>
        <w:rPr>
          <w:rStyle w:val="16"/>
          <w:rFonts w:hint="eastAsia" w:ascii="仿宋_GB2312" w:hAnsi="仿宋_GB2312" w:eastAsia="仿宋_GB2312" w:cs="仿宋_GB2312"/>
          <w:bCs/>
          <w:sz w:val="32"/>
          <w:szCs w:val="32"/>
        </w:rPr>
        <w:t>（项）</w:t>
      </w:r>
      <w:r>
        <w:rPr>
          <w:rStyle w:val="16"/>
          <w:rFonts w:hint="eastAsia" w:ascii="仿宋_GB2312" w:hAnsi="仿宋_GB2312" w:eastAsia="仿宋_GB2312" w:cs="仿宋_GB2312"/>
          <w:bCs/>
          <w:sz w:val="32"/>
          <w:szCs w:val="32"/>
          <w:lang w:eastAsia="zh-CN"/>
        </w:rPr>
        <w:t>：</w:t>
      </w:r>
      <w:r>
        <w:rPr>
          <w:rStyle w:val="16"/>
          <w:rFonts w:hint="eastAsia" w:ascii="仿宋_GB2312" w:hAnsi="仿宋_GB2312" w:eastAsia="仿宋_GB2312" w:cs="仿宋_GB2312"/>
          <w:b w:val="0"/>
          <w:bCs/>
          <w:sz w:val="32"/>
          <w:szCs w:val="32"/>
        </w:rPr>
        <w:t xml:space="preserve"> 支出决算为</w:t>
      </w:r>
      <w:r>
        <w:rPr>
          <w:rStyle w:val="16"/>
          <w:rFonts w:hint="eastAsia" w:ascii="仿宋_GB2312" w:hAnsi="仿宋_GB2312" w:eastAsia="仿宋_GB2312" w:cs="仿宋_GB2312"/>
          <w:b w:val="0"/>
          <w:bCs/>
          <w:sz w:val="32"/>
          <w:szCs w:val="32"/>
          <w:lang w:val="en-US" w:eastAsia="zh-CN"/>
        </w:rPr>
        <w:t>295.2</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rStyle w:val="16"/>
          <w:rFonts w:hint="eastAsia" w:ascii="仿宋_GB2312" w:hAnsi="仿宋_GB2312" w:eastAsia="仿宋_GB2312" w:cs="仿宋_GB2312"/>
          <w:b w:val="0"/>
          <w:bCs/>
          <w:sz w:val="32"/>
          <w:szCs w:val="32"/>
          <w:lang w:val="en-US" w:eastAsia="zh-CN"/>
        </w:rPr>
      </w:pPr>
      <w:r>
        <w:rPr>
          <w:rStyle w:val="16"/>
          <w:rFonts w:hint="eastAsia" w:ascii="仿宋_GB2312" w:hAnsi="仿宋_GB2312" w:eastAsia="仿宋_GB2312" w:cs="仿宋_GB2312"/>
          <w:bCs/>
          <w:sz w:val="32"/>
          <w:szCs w:val="32"/>
        </w:rPr>
        <w:t>6.</w:t>
      </w:r>
      <w:r>
        <w:rPr>
          <w:rStyle w:val="16"/>
          <w:rFonts w:hint="eastAsia" w:ascii="仿宋_GB2312" w:hAnsi="仿宋_GB2312" w:eastAsia="仿宋_GB2312" w:cs="仿宋_GB2312"/>
          <w:bCs/>
          <w:sz w:val="32"/>
          <w:szCs w:val="32"/>
          <w:lang w:eastAsia="zh-CN"/>
        </w:rPr>
        <w:t>农林水支出</w:t>
      </w:r>
      <w:r>
        <w:rPr>
          <w:rStyle w:val="16"/>
          <w:rFonts w:hint="eastAsia" w:ascii="仿宋_GB2312" w:hAnsi="仿宋_GB2312" w:eastAsia="仿宋_GB2312" w:cs="仿宋_GB2312"/>
          <w:bCs/>
          <w:sz w:val="32"/>
          <w:szCs w:val="32"/>
          <w:lang w:val="en-US" w:eastAsia="zh-CN"/>
        </w:rPr>
        <w:t>213</w:t>
      </w:r>
      <w:r>
        <w:rPr>
          <w:rStyle w:val="16"/>
          <w:rFonts w:hint="eastAsia" w:ascii="仿宋_GB2312" w:hAnsi="仿宋_GB2312" w:eastAsia="仿宋_GB2312" w:cs="仿宋_GB2312"/>
          <w:bCs/>
          <w:sz w:val="32"/>
          <w:szCs w:val="32"/>
        </w:rPr>
        <w:t>（类）</w:t>
      </w:r>
      <w:r>
        <w:rPr>
          <w:rStyle w:val="16"/>
          <w:rFonts w:hint="eastAsia" w:ascii="仿宋_GB2312" w:hAnsi="仿宋_GB2312" w:eastAsia="仿宋_GB2312" w:cs="仿宋_GB2312"/>
          <w:bCs/>
          <w:sz w:val="32"/>
          <w:szCs w:val="32"/>
          <w:lang w:eastAsia="zh-CN"/>
        </w:rPr>
        <w:t>巩固脱贫衔接乡村振兴</w:t>
      </w:r>
      <w:r>
        <w:rPr>
          <w:rStyle w:val="16"/>
          <w:rFonts w:hint="eastAsia" w:ascii="仿宋_GB2312" w:hAnsi="仿宋_GB2312" w:eastAsia="仿宋_GB2312" w:cs="仿宋_GB2312"/>
          <w:bCs/>
          <w:sz w:val="32"/>
          <w:szCs w:val="32"/>
          <w:lang w:val="en-US" w:eastAsia="zh-CN"/>
        </w:rPr>
        <w:t>21305</w:t>
      </w:r>
      <w:r>
        <w:rPr>
          <w:rStyle w:val="16"/>
          <w:rFonts w:hint="eastAsia" w:ascii="仿宋_GB2312" w:hAnsi="仿宋_GB2312" w:eastAsia="仿宋_GB2312" w:cs="仿宋_GB2312"/>
          <w:bCs/>
          <w:sz w:val="32"/>
          <w:szCs w:val="32"/>
        </w:rPr>
        <w:t>（款）</w:t>
      </w:r>
      <w:r>
        <w:rPr>
          <w:rStyle w:val="16"/>
          <w:rFonts w:hint="eastAsia" w:ascii="仿宋_GB2312" w:hAnsi="仿宋_GB2312" w:eastAsia="仿宋_GB2312" w:cs="仿宋_GB2312"/>
          <w:bCs/>
          <w:sz w:val="32"/>
          <w:szCs w:val="32"/>
          <w:lang w:eastAsia="zh-CN"/>
        </w:rPr>
        <w:t>其他巩固脱贫衔接乡村振兴支出</w:t>
      </w:r>
      <w:r>
        <w:rPr>
          <w:rStyle w:val="16"/>
          <w:rFonts w:hint="eastAsia" w:ascii="仿宋_GB2312" w:hAnsi="仿宋_GB2312" w:eastAsia="仿宋_GB2312" w:cs="仿宋_GB2312"/>
          <w:bCs/>
          <w:sz w:val="32"/>
          <w:szCs w:val="32"/>
          <w:lang w:val="en-US" w:eastAsia="zh-CN"/>
        </w:rPr>
        <w:t>2130599</w:t>
      </w:r>
      <w:r>
        <w:rPr>
          <w:rStyle w:val="16"/>
          <w:rFonts w:hint="eastAsia" w:ascii="仿宋_GB2312" w:hAnsi="仿宋_GB2312" w:eastAsia="仿宋_GB2312" w:cs="仿宋_GB2312"/>
          <w:bCs/>
          <w:sz w:val="32"/>
          <w:szCs w:val="32"/>
        </w:rPr>
        <w:t>（项）</w:t>
      </w:r>
      <w:r>
        <w:rPr>
          <w:rStyle w:val="16"/>
          <w:rFonts w:hint="eastAsia" w:ascii="仿宋_GB2312" w:hAnsi="仿宋_GB2312" w:eastAsia="仿宋_GB2312" w:cs="仿宋_GB2312"/>
          <w:bCs/>
          <w:sz w:val="32"/>
          <w:szCs w:val="32"/>
          <w:lang w:eastAsia="zh-CN"/>
        </w:rPr>
        <w:t>：</w:t>
      </w:r>
      <w:r>
        <w:rPr>
          <w:rStyle w:val="16"/>
          <w:rFonts w:hint="eastAsia" w:ascii="仿宋_GB2312" w:hAnsi="仿宋_GB2312" w:eastAsia="仿宋_GB2312" w:cs="仿宋_GB2312"/>
          <w:b w:val="0"/>
          <w:bCs/>
          <w:sz w:val="32"/>
          <w:szCs w:val="32"/>
        </w:rPr>
        <w:t>支出决算为</w:t>
      </w:r>
      <w:r>
        <w:rPr>
          <w:rStyle w:val="16"/>
          <w:rFonts w:hint="eastAsia" w:ascii="仿宋_GB2312" w:hAnsi="仿宋_GB2312" w:eastAsia="仿宋_GB2312" w:cs="仿宋_GB2312"/>
          <w:b w:val="0"/>
          <w:bCs/>
          <w:sz w:val="32"/>
          <w:szCs w:val="32"/>
          <w:lang w:val="en-US" w:eastAsia="zh-CN"/>
        </w:rPr>
        <w:t>0.81</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r>
        <w:rPr>
          <w:rStyle w:val="16"/>
          <w:rFonts w:hint="eastAsia" w:ascii="仿宋_GB2312" w:hAnsi="仿宋_GB2312" w:eastAsia="仿宋_GB2312" w:cs="仿宋_GB2312"/>
          <w:b w:val="0"/>
          <w:bCs/>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7.交通运输支出214（类）公路水路运输21401（款）行政运行2140101（项</w:t>
      </w:r>
      <w:r>
        <w:rPr>
          <w:rStyle w:val="16"/>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color w:val="000000"/>
          <w:kern w:val="0"/>
          <w:sz w:val="32"/>
          <w:szCs w:val="32"/>
          <w:lang w:val="en-US" w:eastAsia="zh-CN" w:bidi="ar"/>
        </w:rPr>
        <w:t>支出决算为434.22万元，完成预算100%。</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8.交通运输支出214（类）公路水路运输 21401（款）公路建设2140104（项）：</w:t>
      </w:r>
      <w:r>
        <w:rPr>
          <w:rFonts w:hint="eastAsia" w:ascii="仿宋_GB2312" w:hAnsi="仿宋_GB2312" w:eastAsia="仿宋_GB2312" w:cs="仿宋_GB2312"/>
          <w:color w:val="000000"/>
          <w:kern w:val="0"/>
          <w:sz w:val="32"/>
          <w:szCs w:val="32"/>
          <w:lang w:val="en-US" w:eastAsia="zh-CN" w:bidi="ar"/>
        </w:rPr>
        <w:t>支出决算为200万元，完成预算100%。</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9.交通运输支出214（类）公路水路运输 21401（款）公路养护2140106（项）：</w:t>
      </w:r>
      <w:r>
        <w:rPr>
          <w:rFonts w:hint="eastAsia" w:ascii="仿宋_GB2312" w:hAnsi="仿宋_GB2312" w:eastAsia="仿宋_GB2312" w:cs="仿宋_GB2312"/>
          <w:color w:val="000000"/>
          <w:kern w:val="0"/>
          <w:sz w:val="32"/>
          <w:szCs w:val="32"/>
          <w:lang w:val="en-US" w:eastAsia="zh-CN" w:bidi="ar"/>
        </w:rPr>
        <w:t>支出决算为4624.67万元，完成预算100%。</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color w:val="000000"/>
          <w:kern w:val="0"/>
          <w:sz w:val="32"/>
          <w:szCs w:val="32"/>
          <w:lang w:val="en-US" w:eastAsia="zh-CN" w:bidi="ar"/>
        </w:rPr>
        <w:t>10.交通运输支出214（类）公路水路运输 21401（款）公路和运输安全2140110（项）：</w:t>
      </w:r>
      <w:r>
        <w:rPr>
          <w:rFonts w:hint="eastAsia" w:ascii="仿宋_GB2312" w:hAnsi="仿宋_GB2312" w:eastAsia="仿宋_GB2312" w:cs="仿宋_GB2312"/>
          <w:color w:val="000000"/>
          <w:kern w:val="0"/>
          <w:sz w:val="32"/>
          <w:szCs w:val="32"/>
          <w:lang w:val="en-US" w:eastAsia="zh-CN" w:bidi="ar"/>
        </w:rPr>
        <w:t>支出决算为1054万元，完成预算100%。</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color w:val="000000"/>
          <w:kern w:val="0"/>
          <w:sz w:val="32"/>
          <w:szCs w:val="32"/>
          <w:lang w:val="en-US" w:eastAsia="zh-CN" w:bidi="ar"/>
        </w:rPr>
        <w:t>11.交通运输支出214（类）公路水路运输 21401（款）公路运输管理2140112（项）：</w:t>
      </w:r>
      <w:r>
        <w:rPr>
          <w:rFonts w:hint="eastAsia" w:ascii="仿宋_GB2312" w:hAnsi="仿宋_GB2312" w:eastAsia="仿宋_GB2312" w:cs="仿宋_GB2312"/>
          <w:color w:val="000000"/>
          <w:kern w:val="0"/>
          <w:sz w:val="32"/>
          <w:szCs w:val="32"/>
          <w:lang w:val="en-US" w:eastAsia="zh-CN" w:bidi="ar"/>
        </w:rPr>
        <w:t>支出决算为176万元，完成预算100%。</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color w:val="000000"/>
          <w:kern w:val="0"/>
          <w:sz w:val="32"/>
          <w:szCs w:val="32"/>
          <w:lang w:val="en-US" w:eastAsia="zh-CN" w:bidi="ar"/>
        </w:rPr>
        <w:t>12.交通运输支出214（类）公路水路运输 21401（款）其他公路水路运输支出2140199（项）：</w:t>
      </w:r>
      <w:r>
        <w:rPr>
          <w:rFonts w:hint="eastAsia" w:ascii="仿宋_GB2312" w:hAnsi="仿宋_GB2312" w:eastAsia="仿宋_GB2312" w:cs="仿宋_GB2312"/>
          <w:color w:val="000000"/>
          <w:kern w:val="0"/>
          <w:sz w:val="32"/>
          <w:szCs w:val="32"/>
          <w:lang w:val="en-US" w:eastAsia="zh-CN" w:bidi="ar"/>
        </w:rPr>
        <w:t>支出决算为4715.22万元，完成预算100%。</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color w:val="000000"/>
          <w:kern w:val="0"/>
          <w:sz w:val="32"/>
          <w:szCs w:val="32"/>
          <w:lang w:val="en-US" w:eastAsia="zh-CN" w:bidi="ar"/>
        </w:rPr>
        <w:t>13.交通运输支出214（类）车辆购置税支出21406（款）车辆购置税用于公路等基础设施建设支出2140601（项）：</w:t>
      </w:r>
      <w:r>
        <w:rPr>
          <w:rFonts w:hint="eastAsia" w:ascii="仿宋_GB2312" w:hAnsi="仿宋_GB2312" w:eastAsia="仿宋_GB2312" w:cs="仿宋_GB2312"/>
          <w:color w:val="000000"/>
          <w:kern w:val="0"/>
          <w:sz w:val="32"/>
          <w:szCs w:val="32"/>
          <w:lang w:val="en-US" w:eastAsia="zh-CN" w:bidi="ar"/>
        </w:rPr>
        <w:t>支出决算为810.25万元，完成预算100%。</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14.交通运输支出214（类）其他交通运输支出21499（款）公共交通运营补助2149901（项）：</w:t>
      </w:r>
      <w:r>
        <w:rPr>
          <w:rFonts w:hint="eastAsia" w:ascii="仿宋_GB2312" w:hAnsi="仿宋_GB2312" w:eastAsia="仿宋_GB2312" w:cs="仿宋_GB2312"/>
          <w:color w:val="000000"/>
          <w:kern w:val="0"/>
          <w:sz w:val="32"/>
          <w:szCs w:val="32"/>
          <w:lang w:val="en-US" w:eastAsia="zh-CN" w:bidi="ar"/>
        </w:rPr>
        <w:t>支出决算为21.38万元，完成预算100%。</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15.交通运输支出214（类）其他交通运输支出21499（款）其他交通运输支出2149999（项）：</w:t>
      </w:r>
      <w:r>
        <w:rPr>
          <w:rFonts w:hint="eastAsia" w:ascii="仿宋_GB2312" w:hAnsi="仿宋_GB2312" w:eastAsia="仿宋_GB2312" w:cs="仿宋_GB2312"/>
          <w:color w:val="000000"/>
          <w:kern w:val="0"/>
          <w:sz w:val="32"/>
          <w:szCs w:val="32"/>
          <w:lang w:val="en-US" w:eastAsia="zh-CN" w:bidi="ar"/>
        </w:rPr>
        <w:t>支出决算为332万元，完成预算100%。</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 xml:space="preserve">16.住房保障支出 221（类）住房改革支出 22102（款） </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住房公积金 2210201（项）：</w:t>
      </w:r>
      <w:r>
        <w:rPr>
          <w:rFonts w:hint="eastAsia" w:ascii="仿宋_GB2312" w:hAnsi="仿宋_GB2312" w:eastAsia="仿宋_GB2312" w:cs="仿宋_GB2312"/>
          <w:color w:val="000000"/>
          <w:kern w:val="0"/>
          <w:sz w:val="32"/>
          <w:szCs w:val="32"/>
          <w:lang w:val="en-US" w:eastAsia="zh-CN" w:bidi="ar"/>
        </w:rPr>
        <w:t>支出决算为 35.35 万元，完成预算100%。</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color w:val="000000"/>
          <w:kern w:val="0"/>
          <w:sz w:val="32"/>
          <w:szCs w:val="32"/>
          <w:lang w:val="en-US" w:eastAsia="zh-CN" w:bidi="ar"/>
        </w:rPr>
        <w:t>17</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b/>
          <w:bCs/>
          <w:color w:val="000000"/>
          <w:kern w:val="0"/>
          <w:sz w:val="32"/>
          <w:szCs w:val="32"/>
          <w:lang w:val="en-US" w:eastAsia="zh-CN" w:bidi="ar"/>
        </w:rPr>
        <w:t>灾害防治及应急管理支出 224（类）自然灾害救灾及恢复重建支出 22407（款）自然灾害</w:t>
      </w:r>
      <w:bookmarkStart w:id="110" w:name="_GoBack"/>
      <w:bookmarkEnd w:id="110"/>
      <w:r>
        <w:rPr>
          <w:rFonts w:hint="eastAsia" w:ascii="仿宋_GB2312" w:hAnsi="仿宋_GB2312" w:eastAsia="仿宋_GB2312" w:cs="仿宋_GB2312"/>
          <w:b/>
          <w:bCs/>
          <w:color w:val="000000"/>
          <w:kern w:val="0"/>
          <w:sz w:val="32"/>
          <w:szCs w:val="32"/>
          <w:lang w:val="en-US" w:eastAsia="zh-CN" w:bidi="ar"/>
        </w:rPr>
        <w:t>后重建补助 2240704（项）：</w:t>
      </w:r>
      <w:r>
        <w:rPr>
          <w:rFonts w:hint="eastAsia" w:ascii="仿宋_GB2312" w:hAnsi="仿宋_GB2312" w:eastAsia="仿宋_GB2312" w:cs="仿宋_GB2312"/>
          <w:color w:val="000000"/>
          <w:kern w:val="0"/>
          <w:sz w:val="32"/>
          <w:szCs w:val="32"/>
          <w:lang w:val="en-US" w:eastAsia="zh-CN" w:bidi="ar"/>
        </w:rPr>
        <w:t>支出决算为470.71万元，完成预算100%。</w:t>
      </w:r>
    </w:p>
    <w:p>
      <w:pPr>
        <w:tabs>
          <w:tab w:val="right" w:pos="8306"/>
        </w:tabs>
        <w:spacing w:line="600" w:lineRule="exact"/>
        <w:ind w:firstLine="640"/>
        <w:outlineLvl w:val="1"/>
        <w:rPr>
          <w:rStyle w:val="27"/>
        </w:rPr>
      </w:pPr>
      <w:bookmarkStart w:id="50" w:name="_Toc19848"/>
      <w:bookmarkStart w:id="51" w:name="_Toc15396608"/>
      <w:bookmarkStart w:id="52"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50"/>
      <w:bookmarkEnd w:id="51"/>
      <w:bookmarkEnd w:id="52"/>
      <w:r>
        <w:rPr>
          <w:rStyle w:val="27"/>
          <w:rFonts w:ascii="黑体" w:hAnsi="黑体" w:eastAsia="黑体"/>
          <w:b w:val="0"/>
        </w:rPr>
        <w:tab/>
      </w:r>
    </w:p>
    <w:p>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2022年一般公共预算财政拨款基本支出661.95万元，其中：</w:t>
      </w:r>
    </w:p>
    <w:p>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人员经费591.49万元，主要包括：基本工资、津贴补贴、奖金、绩效工资、机关事业单位基本养老保险缴费、职工基本医疗保险缴费、其他社会保障缴费、住房公积金、生活补助、其他对个人和家庭的补助支出等。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公用经费70.46万元，主要包括：办公费、电费、差旅费、公务接待费、福利费、公务用车运行维护费、其他交通费、其他商品和服务支出等。</w:t>
      </w:r>
    </w:p>
    <w:p>
      <w:pPr>
        <w:spacing w:line="600" w:lineRule="exact"/>
        <w:ind w:firstLine="640"/>
        <w:outlineLvl w:val="1"/>
        <w:rPr>
          <w:rStyle w:val="27"/>
          <w:rFonts w:ascii="黑体" w:hAnsi="黑体" w:eastAsia="黑体"/>
          <w:b w:val="0"/>
        </w:rPr>
      </w:pPr>
      <w:bookmarkStart w:id="53" w:name="_Toc15396609"/>
      <w:bookmarkStart w:id="54" w:name="_Toc5920"/>
      <w:bookmarkStart w:id="55" w:name="_Toc15377215"/>
      <w:r>
        <w:rPr>
          <w:rFonts w:hint="eastAsia" w:ascii="黑体" w:eastAsia="黑体"/>
          <w:sz w:val="32"/>
          <w:szCs w:val="32"/>
        </w:rPr>
        <w:t>七、</w:t>
      </w:r>
      <w:r>
        <w:rPr>
          <w:rStyle w:val="27"/>
          <w:rFonts w:hint="eastAsia" w:ascii="黑体" w:hAnsi="黑体" w:eastAsia="黑体"/>
          <w:b w:val="0"/>
        </w:rPr>
        <w:t>财政拨款</w:t>
      </w:r>
      <w:r>
        <w:rPr>
          <w:rStyle w:val="27"/>
          <w:rFonts w:hint="eastAsia" w:ascii="黑体" w:hAnsi="黑体" w:eastAsia="黑体"/>
        </w:rPr>
        <w:t>“</w:t>
      </w:r>
      <w:r>
        <w:rPr>
          <w:rStyle w:val="27"/>
          <w:rFonts w:hint="eastAsia" w:ascii="黑体" w:hAnsi="黑体" w:eastAsia="黑体"/>
          <w:b w:val="0"/>
        </w:rPr>
        <w:t>三公”经费支出决算情况说明</w:t>
      </w:r>
      <w:bookmarkEnd w:id="53"/>
      <w:bookmarkEnd w:id="54"/>
      <w:bookmarkEnd w:id="55"/>
    </w:p>
    <w:p>
      <w:pPr>
        <w:spacing w:line="600" w:lineRule="exact"/>
        <w:ind w:firstLine="640"/>
        <w:outlineLvl w:val="2"/>
        <w:rPr>
          <w:rFonts w:ascii="仿宋" w:hAnsi="仿宋" w:eastAsia="仿宋"/>
          <w:b/>
          <w:sz w:val="32"/>
          <w:szCs w:val="32"/>
        </w:rPr>
      </w:pPr>
      <w:bookmarkStart w:id="56" w:name="_Toc15377216"/>
      <w:bookmarkStart w:id="57" w:name="_Toc22212"/>
      <w:r>
        <w:rPr>
          <w:rFonts w:hint="eastAsia" w:ascii="仿宋" w:hAnsi="仿宋" w:eastAsia="仿宋"/>
          <w:b/>
          <w:sz w:val="32"/>
          <w:szCs w:val="32"/>
        </w:rPr>
        <w:t>（一）“三公”经费财政拨款支出决算总体情况说明</w:t>
      </w:r>
      <w:bookmarkEnd w:id="56"/>
      <w:bookmarkEnd w:id="57"/>
    </w:p>
    <w:p>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2022年“三公”经费财政拨款支出决算为</w:t>
      </w:r>
      <w:r>
        <w:rPr>
          <w:rFonts w:hint="eastAsia" w:ascii="仿宋_GB2312" w:hAnsi="仿宋_GB2312" w:eastAsia="仿宋_GB2312" w:cs="仿宋_GB2312"/>
          <w:sz w:val="32"/>
          <w:szCs w:val="32"/>
          <w:lang w:val="en-US" w:eastAsia="zh-CN"/>
        </w:rPr>
        <w:t>5.58</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%，较上年减少</w:t>
      </w:r>
      <w:r>
        <w:rPr>
          <w:rFonts w:hint="eastAsia" w:ascii="仿宋_GB2312" w:hAnsi="仿宋_GB2312" w:eastAsia="仿宋_GB2312" w:cs="仿宋_GB2312"/>
          <w:sz w:val="32"/>
          <w:szCs w:val="32"/>
          <w:lang w:val="en-US" w:eastAsia="zh-CN"/>
        </w:rPr>
        <w:t>2.24</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30.25</w:t>
      </w:r>
      <w:r>
        <w:rPr>
          <w:rFonts w:hint="eastAsia" w:ascii="仿宋_GB2312" w:hAnsi="仿宋_GB2312" w:eastAsia="仿宋_GB2312" w:cs="仿宋_GB2312"/>
          <w:sz w:val="32"/>
          <w:szCs w:val="32"/>
        </w:rPr>
        <w:t>%。决算数小于预算数的主要原因</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lang w:val="en-US" w:eastAsia="zh-CN"/>
        </w:rPr>
        <w:t>2022年过紧日子压减</w:t>
      </w:r>
      <w:r>
        <w:rPr>
          <w:rFonts w:hint="eastAsia" w:ascii="仿宋_GB2312" w:hAnsi="仿宋_GB2312" w:eastAsia="仿宋_GB2312" w:cs="仿宋_GB2312"/>
          <w:sz w:val="32"/>
          <w:szCs w:val="32"/>
        </w:rPr>
        <w:t>“三公”经费</w:t>
      </w:r>
      <w:r>
        <w:rPr>
          <w:rFonts w:hint="eastAsia" w:ascii="仿宋_GB2312" w:hAnsi="仿宋_GB2312" w:eastAsia="仿宋_GB2312" w:cs="仿宋_GB2312"/>
          <w:sz w:val="32"/>
          <w:szCs w:val="32"/>
          <w:lang w:val="en-US" w:eastAsia="zh-CN"/>
        </w:rPr>
        <w:t>。</w:t>
      </w:r>
    </w:p>
    <w:p>
      <w:pPr>
        <w:spacing w:line="600" w:lineRule="exact"/>
        <w:ind w:firstLine="640"/>
        <w:outlineLvl w:val="2"/>
        <w:rPr>
          <w:rFonts w:ascii="仿宋" w:hAnsi="仿宋" w:eastAsia="仿宋"/>
          <w:b/>
          <w:sz w:val="32"/>
          <w:szCs w:val="32"/>
        </w:rPr>
      </w:pPr>
      <w:bookmarkStart w:id="58" w:name="_Toc15377217"/>
      <w:bookmarkStart w:id="59" w:name="_Toc15298"/>
      <w:r>
        <w:rPr>
          <w:rFonts w:hint="eastAsia" w:ascii="仿宋" w:hAnsi="仿宋" w:eastAsia="仿宋"/>
          <w:b/>
          <w:sz w:val="32"/>
          <w:szCs w:val="32"/>
        </w:rPr>
        <w:t>（二）“三公”经费财政拨款支出决算具体情况说明</w:t>
      </w:r>
      <w:bookmarkEnd w:id="58"/>
      <w:bookmarkEnd w:id="59"/>
    </w:p>
    <w:p>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2022年“三公”经费财政拨款支出决算中，公务用车购置及运行维护费支出决算</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53.76</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2.58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46.24</w:t>
      </w:r>
      <w:r>
        <w:rPr>
          <w:rFonts w:hint="eastAsia" w:ascii="仿宋_GB2312" w:hAnsi="仿宋_GB2312" w:eastAsia="仿宋_GB2312" w:cs="仿宋_GB2312"/>
          <w:sz w:val="32"/>
          <w:szCs w:val="32"/>
        </w:rPr>
        <w:t>%。具体情况如下：</w:t>
      </w:r>
    </w:p>
    <w:p>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（图7：“三公”经费财政拨款支出结构）（饼状图）</w:t>
      </w:r>
    </w:p>
    <w:p>
      <w:pPr>
        <w:pStyle w:val="7"/>
        <w:jc w:val="center"/>
      </w:pPr>
      <w:r>
        <w:drawing>
          <wp:inline distT="0" distB="0" distL="114300" distR="114300">
            <wp:extent cx="4583430" cy="1563370"/>
            <wp:effectExtent l="4445" t="4445" r="22225" b="13335"/>
            <wp:docPr id="4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val="en-US" w:eastAsia="zh-CN"/>
        </w:rPr>
        <w:t>2022年无</w:t>
      </w:r>
      <w:r>
        <w:rPr>
          <w:rFonts w:hint="eastAsia" w:ascii="仿宋_GB2312" w:hAnsi="仿宋_GB2312" w:eastAsia="仿宋_GB2312" w:cs="仿宋_GB2312"/>
          <w:b/>
          <w:sz w:val="32"/>
          <w:szCs w:val="32"/>
        </w:rPr>
        <w:t>因公出国（境）经费支出</w:t>
      </w:r>
      <w:r>
        <w:rPr>
          <w:rFonts w:hint="eastAsia" w:ascii="仿宋_GB2312" w:hAnsi="仿宋_GB2312" w:eastAsia="仿宋_GB2312" w:cs="仿宋_GB2312"/>
          <w:b/>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2.公务用车购置及运行维护费支出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Style w:val="16"/>
          <w:rFonts w:hint="eastAsia" w:ascii="仿宋_GB2312" w:hAnsi="仿宋_GB2312" w:eastAsia="仿宋_GB2312" w:cs="仿宋_GB2312"/>
          <w:b w:val="0"/>
          <w:bCs/>
          <w:sz w:val="32"/>
          <w:szCs w:val="32"/>
        </w:rPr>
        <w:t>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2021年持平。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其中：</w:t>
      </w:r>
      <w:r>
        <w:rPr>
          <w:rFonts w:hint="eastAsia" w:ascii="仿宋_GB2312" w:hAnsi="仿宋_GB2312" w:eastAsia="仿宋_GB2312" w:cs="仿宋_GB2312"/>
          <w:b/>
          <w:sz w:val="32"/>
          <w:szCs w:val="32"/>
        </w:rPr>
        <w:t>公务用车购置支出</w:t>
      </w:r>
      <w:r>
        <w:rPr>
          <w:rFonts w:hint="eastAsia" w:ascii="仿宋_GB2312" w:hAnsi="仿宋_GB2312" w:eastAsia="仿宋_GB2312" w:cs="仿宋_GB2312"/>
          <w:b/>
          <w:sz w:val="32"/>
          <w:szCs w:val="32"/>
          <w:lang w:val="en-US" w:eastAsia="zh-CN"/>
        </w:rPr>
        <w:t>0</w:t>
      </w:r>
      <w:r>
        <w:rPr>
          <w:rFonts w:hint="eastAsia" w:ascii="仿宋_GB2312" w:hAnsi="仿宋_GB2312" w:eastAsia="仿宋_GB2312" w:cs="仿宋_GB2312"/>
          <w:sz w:val="32"/>
          <w:szCs w:val="32"/>
        </w:rPr>
        <w:t>万元。全年按规定更新购置公务用车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截至2022年12月底，单位共有公务用车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辆，其中：越野车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w:t>
      </w:r>
      <w:r>
        <w:rPr>
          <w:rFonts w:hint="eastAsia" w:ascii="仿宋_GB2312" w:hAnsi="仿宋_GB2312" w:eastAsia="仿宋_GB2312" w:cs="仿宋_GB2312"/>
          <w:b/>
          <w:sz w:val="32"/>
          <w:szCs w:val="32"/>
        </w:rPr>
        <w:t>公务用车运行维护费支出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主要用于交通建设项目及日常办公所需的公务用车燃料费、维修费、过路过桥费、保险费等支出。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公务接待费支出</w:t>
      </w:r>
      <w:r>
        <w:rPr>
          <w:rFonts w:hint="eastAsia" w:ascii="仿宋_GB2312" w:hAnsi="仿宋_GB2312" w:eastAsia="仿宋_GB2312" w:cs="仿宋_GB2312"/>
          <w:sz w:val="32"/>
          <w:szCs w:val="32"/>
          <w:lang w:val="en-US" w:eastAsia="zh-CN"/>
        </w:rPr>
        <w:t>2.58</w:t>
      </w:r>
      <w:r>
        <w:rPr>
          <w:rFonts w:hint="eastAsia" w:ascii="仿宋_GB2312" w:hAnsi="仿宋_GB2312" w:eastAsia="仿宋_GB2312" w:cs="仿宋_GB2312"/>
          <w:sz w:val="32"/>
          <w:szCs w:val="32"/>
        </w:rPr>
        <w:t>万元，</w:t>
      </w:r>
      <w:r>
        <w:rPr>
          <w:rStyle w:val="16"/>
          <w:rFonts w:hint="eastAsia" w:ascii="仿宋_GB2312" w:hAnsi="仿宋_GB2312" w:eastAsia="仿宋_GB2312" w:cs="仿宋_GB2312"/>
          <w:b w:val="0"/>
          <w:bCs/>
          <w:color w:val="auto"/>
          <w:sz w:val="32"/>
          <w:szCs w:val="32"/>
        </w:rPr>
        <w:t>完成预算</w:t>
      </w:r>
      <w:r>
        <w:rPr>
          <w:rStyle w:val="16"/>
          <w:rFonts w:hint="eastAsia" w:ascii="仿宋_GB2312" w:hAnsi="仿宋_GB2312" w:eastAsia="仿宋_GB2312" w:cs="仿宋_GB2312"/>
          <w:b w:val="0"/>
          <w:bCs/>
          <w:color w:val="auto"/>
          <w:sz w:val="32"/>
          <w:szCs w:val="32"/>
          <w:lang w:val="en-US" w:eastAsia="zh-CN"/>
        </w:rPr>
        <w:t>100</w:t>
      </w:r>
      <w:r>
        <w:rPr>
          <w:rStyle w:val="16"/>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color w:val="auto"/>
          <w:sz w:val="32"/>
          <w:szCs w:val="32"/>
        </w:rPr>
        <w:t>公务接待费支出决算比2021年减少</w:t>
      </w:r>
      <w:r>
        <w:rPr>
          <w:rFonts w:hint="eastAsia" w:ascii="仿宋_GB2312" w:hAnsi="仿宋_GB2312" w:eastAsia="仿宋_GB2312" w:cs="仿宋_GB2312"/>
          <w:color w:val="auto"/>
          <w:sz w:val="32"/>
          <w:szCs w:val="32"/>
          <w:lang w:val="en-US" w:eastAsia="zh-CN"/>
        </w:rPr>
        <w:t>2.42</w:t>
      </w:r>
      <w:r>
        <w:rPr>
          <w:rFonts w:hint="eastAsia" w:ascii="仿宋_GB2312" w:hAnsi="仿宋_GB2312" w:eastAsia="仿宋_GB2312" w:cs="仿宋_GB2312"/>
          <w:color w:val="auto"/>
          <w:sz w:val="32"/>
          <w:szCs w:val="32"/>
        </w:rPr>
        <w:t>万元，下降</w:t>
      </w:r>
      <w:r>
        <w:rPr>
          <w:rFonts w:hint="eastAsia" w:ascii="仿宋_GB2312" w:hAnsi="仿宋_GB2312" w:eastAsia="仿宋_GB2312" w:cs="仿宋_GB2312"/>
          <w:color w:val="auto"/>
          <w:sz w:val="32"/>
          <w:szCs w:val="32"/>
          <w:lang w:val="en-US" w:eastAsia="zh-CN"/>
        </w:rPr>
        <w:t>48.4</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2022年</w:t>
      </w:r>
      <w:r>
        <w:rPr>
          <w:rFonts w:hint="eastAsia" w:ascii="仿宋_GB2312" w:hAnsi="仿宋_GB2312" w:eastAsia="仿宋_GB2312" w:cs="仿宋_GB2312"/>
          <w:color w:val="auto"/>
          <w:sz w:val="32"/>
          <w:szCs w:val="32"/>
          <w:lang w:eastAsia="zh-CN"/>
        </w:rPr>
        <w:t>公务接待费</w:t>
      </w:r>
      <w:r>
        <w:rPr>
          <w:rFonts w:hint="eastAsia" w:ascii="仿宋_GB2312" w:hAnsi="仿宋_GB2312" w:eastAsia="仿宋_GB2312" w:cs="仿宋_GB2312"/>
          <w:color w:val="auto"/>
          <w:sz w:val="32"/>
          <w:szCs w:val="32"/>
          <w:lang w:val="en-US" w:eastAsia="zh-CN"/>
        </w:rPr>
        <w:t>预算</w:t>
      </w:r>
      <w:r>
        <w:rPr>
          <w:rFonts w:hint="eastAsia" w:ascii="仿宋_GB2312" w:hAnsi="仿宋_GB2312" w:eastAsia="仿宋_GB2312" w:cs="仿宋_GB2312"/>
          <w:color w:val="auto"/>
          <w:sz w:val="32"/>
          <w:szCs w:val="32"/>
          <w:lang w:eastAsia="zh-CN"/>
        </w:rPr>
        <w:t>减少</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其中：</w:t>
      </w:r>
      <w:r>
        <w:rPr>
          <w:rFonts w:hint="eastAsia" w:ascii="仿宋_GB2312" w:hAnsi="仿宋_GB2312" w:eastAsia="仿宋_GB2312" w:cs="仿宋_GB2312"/>
          <w:b/>
          <w:sz w:val="32"/>
          <w:szCs w:val="32"/>
        </w:rPr>
        <w:t>国内公务接待支出</w:t>
      </w:r>
      <w:r>
        <w:rPr>
          <w:rFonts w:hint="eastAsia" w:ascii="仿宋_GB2312" w:hAnsi="仿宋_GB2312" w:eastAsia="仿宋_GB2312" w:cs="仿宋_GB2312"/>
          <w:sz w:val="32"/>
          <w:szCs w:val="32"/>
          <w:lang w:val="en-US" w:eastAsia="zh-CN"/>
        </w:rPr>
        <w:t>2.58</w:t>
      </w:r>
      <w:r>
        <w:rPr>
          <w:rFonts w:hint="eastAsia" w:ascii="仿宋_GB2312" w:hAnsi="仿宋_GB2312" w:eastAsia="仿宋_GB2312" w:cs="仿宋_GB2312"/>
          <w:sz w:val="32"/>
          <w:szCs w:val="32"/>
        </w:rPr>
        <w:t>万元，主要用于执行公务、开展业务活动开支的交通费、住宿费、用餐费等。国内公务接待</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400</w:t>
      </w:r>
      <w:r>
        <w:rPr>
          <w:rFonts w:hint="eastAsia" w:ascii="仿宋_GB2312" w:hAnsi="仿宋_GB2312" w:eastAsia="仿宋_GB2312" w:cs="仿宋_GB2312"/>
          <w:sz w:val="32"/>
          <w:szCs w:val="32"/>
        </w:rPr>
        <w:t>人次（不包括陪同人员），共计支出</w:t>
      </w:r>
      <w:r>
        <w:rPr>
          <w:rFonts w:hint="eastAsia" w:ascii="仿宋_GB2312" w:hAnsi="仿宋_GB2312" w:eastAsia="仿宋_GB2312" w:cs="仿宋_GB2312"/>
          <w:sz w:val="32"/>
          <w:szCs w:val="32"/>
          <w:lang w:val="en-US" w:eastAsia="zh-CN"/>
        </w:rPr>
        <w:t>2.58</w:t>
      </w:r>
      <w:r>
        <w:rPr>
          <w:rFonts w:hint="eastAsia" w:ascii="仿宋_GB2312" w:hAnsi="仿宋_GB2312" w:eastAsia="仿宋_GB2312" w:cs="仿宋_GB2312"/>
          <w:sz w:val="32"/>
          <w:szCs w:val="32"/>
        </w:rPr>
        <w:t>万元，具体内容包括：上级部门检查、考核、督查、调研、交通重点项目洽谈等工作。</w:t>
      </w:r>
      <w:r>
        <w:rPr>
          <w:rFonts w:hint="eastAsia" w:ascii="仿宋_GB2312" w:hAnsi="仿宋_GB2312" w:eastAsia="仿宋_GB2312" w:cs="仿宋_GB2312"/>
          <w:b/>
          <w:sz w:val="32"/>
          <w:szCs w:val="32"/>
        </w:rPr>
        <w:t>外事接待支出</w:t>
      </w:r>
      <w:r>
        <w:rPr>
          <w:rFonts w:hint="eastAsia" w:ascii="仿宋_GB2312" w:hAnsi="仿宋_GB2312" w:eastAsia="仿宋_GB2312" w:cs="仿宋_GB2312"/>
          <w:sz w:val="32"/>
          <w:szCs w:val="32"/>
          <w:lang w:val="en-US" w:eastAsia="zh-CN"/>
        </w:rPr>
        <w:t>0万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bookmarkStart w:id="60" w:name="_Toc15377218"/>
      <w:bookmarkStart w:id="61" w:name="_Toc15396610"/>
    </w:p>
    <w:p>
      <w:pPr>
        <w:spacing w:line="600" w:lineRule="exact"/>
        <w:ind w:firstLine="640"/>
        <w:outlineLvl w:val="1"/>
        <w:rPr>
          <w:rStyle w:val="27"/>
          <w:rFonts w:ascii="黑体" w:hAnsi="黑体" w:eastAsia="黑体"/>
        </w:rPr>
      </w:pPr>
      <w:bookmarkStart w:id="62" w:name="_Toc30071"/>
      <w:r>
        <w:rPr>
          <w:rFonts w:hint="eastAsia" w:ascii="黑体" w:eastAsia="黑体"/>
          <w:sz w:val="32"/>
          <w:szCs w:val="32"/>
        </w:rPr>
        <w:t>八、</w:t>
      </w:r>
      <w:r>
        <w:rPr>
          <w:rStyle w:val="27"/>
          <w:rFonts w:hint="eastAsia" w:ascii="黑体" w:hAnsi="黑体" w:eastAsia="黑体"/>
          <w:b w:val="0"/>
        </w:rPr>
        <w:t>政府性基金预算支出决算情况说明</w:t>
      </w:r>
      <w:bookmarkEnd w:id="60"/>
      <w:bookmarkEnd w:id="61"/>
      <w:bookmarkEnd w:id="62"/>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2022年政府性基金预算财政拨款支出7089.54万元。</w:t>
      </w:r>
    </w:p>
    <w:p>
      <w:pPr>
        <w:numPr>
          <w:ilvl w:val="0"/>
          <w:numId w:val="3"/>
        </w:numPr>
        <w:spacing w:line="600" w:lineRule="exact"/>
        <w:ind w:firstLine="640"/>
        <w:outlineLvl w:val="1"/>
        <w:rPr>
          <w:rStyle w:val="27"/>
          <w:rFonts w:ascii="黑体" w:hAnsi="黑体" w:eastAsia="黑体"/>
          <w:b w:val="0"/>
        </w:rPr>
      </w:pPr>
      <w:bookmarkStart w:id="63" w:name="_Toc15396611"/>
      <w:bookmarkStart w:id="64" w:name="_Toc20726"/>
      <w:bookmarkStart w:id="65" w:name="_Toc15377219"/>
      <w:r>
        <w:rPr>
          <w:rStyle w:val="27"/>
          <w:rFonts w:hint="eastAsia" w:ascii="黑体" w:hAnsi="黑体" w:eastAsia="黑体"/>
          <w:b w:val="0"/>
        </w:rPr>
        <w:t>国有资本经营预算支出决算情况说明</w:t>
      </w:r>
      <w:bookmarkEnd w:id="63"/>
      <w:bookmarkEnd w:id="64"/>
      <w:bookmarkEnd w:id="65"/>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2022年国有资本经营预算财政拨款支出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p>
    <w:p>
      <w:pPr>
        <w:numPr>
          <w:ilvl w:val="0"/>
          <w:numId w:val="3"/>
        </w:numPr>
        <w:spacing w:line="600" w:lineRule="exact"/>
        <w:ind w:firstLine="640"/>
        <w:outlineLvl w:val="1"/>
        <w:rPr>
          <w:rStyle w:val="27"/>
          <w:rFonts w:ascii="黑体" w:hAnsi="黑体" w:eastAsia="黑体"/>
          <w:b w:val="0"/>
        </w:rPr>
      </w:pPr>
      <w:bookmarkStart w:id="66" w:name="_Toc15377221"/>
      <w:bookmarkStart w:id="67" w:name="_Toc7313"/>
      <w:bookmarkStart w:id="68" w:name="_Toc15396612"/>
      <w:r>
        <w:rPr>
          <w:rStyle w:val="27"/>
          <w:rFonts w:hint="eastAsia" w:ascii="黑体" w:hAnsi="黑体" w:eastAsia="黑体"/>
          <w:b w:val="0"/>
        </w:rPr>
        <w:t>其他重要事项的情况说明</w:t>
      </w:r>
      <w:bookmarkEnd w:id="66"/>
      <w:bookmarkEnd w:id="67"/>
      <w:bookmarkEnd w:id="68"/>
    </w:p>
    <w:p>
      <w:pPr>
        <w:spacing w:line="600" w:lineRule="exact"/>
        <w:ind w:firstLine="643" w:firstLineChars="200"/>
        <w:outlineLvl w:val="2"/>
        <w:rPr>
          <w:rFonts w:ascii="仿宋" w:hAnsi="仿宋" w:eastAsia="仿宋"/>
          <w:sz w:val="32"/>
          <w:szCs w:val="32"/>
        </w:rPr>
      </w:pPr>
      <w:bookmarkStart w:id="69" w:name="_Toc30632"/>
      <w:bookmarkStart w:id="70" w:name="_Toc15377222"/>
      <w:r>
        <w:rPr>
          <w:rFonts w:hint="eastAsia" w:ascii="仿宋" w:hAnsi="仿宋" w:eastAsia="仿宋"/>
          <w:b/>
          <w:sz w:val="32"/>
          <w:szCs w:val="32"/>
        </w:rPr>
        <w:t>（一）机关运行经费支出情况</w:t>
      </w:r>
      <w:bookmarkEnd w:id="69"/>
      <w:bookmarkEnd w:id="70"/>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2022年，</w:t>
      </w:r>
      <w:r>
        <w:rPr>
          <w:rFonts w:hint="eastAsia" w:ascii="仿宋_GB2312" w:hAnsi="仿宋_GB2312" w:eastAsia="仿宋_GB2312" w:cs="仿宋_GB2312"/>
          <w:color w:val="auto"/>
          <w:sz w:val="32"/>
          <w:szCs w:val="32"/>
          <w:lang w:eastAsia="zh-CN"/>
        </w:rPr>
        <w:t>剑阁县交通运输局</w:t>
      </w:r>
      <w:r>
        <w:rPr>
          <w:rFonts w:hint="eastAsia" w:ascii="仿宋_GB2312" w:hAnsi="仿宋_GB2312" w:eastAsia="仿宋_GB2312" w:cs="仿宋_GB2312"/>
          <w:color w:val="auto"/>
          <w:sz w:val="32"/>
          <w:szCs w:val="32"/>
        </w:rPr>
        <w:t>机关运行经费支出70.46万元，比2021年减少</w:t>
      </w:r>
      <w:r>
        <w:rPr>
          <w:rFonts w:hint="eastAsia" w:ascii="仿宋_GB2312" w:hAnsi="仿宋_GB2312" w:eastAsia="仿宋_GB2312" w:cs="仿宋_GB2312"/>
          <w:color w:val="auto"/>
          <w:sz w:val="32"/>
          <w:szCs w:val="32"/>
          <w:lang w:val="en-US" w:eastAsia="zh-CN"/>
        </w:rPr>
        <w:t>16.06</w:t>
      </w:r>
      <w:r>
        <w:rPr>
          <w:rFonts w:hint="eastAsia" w:ascii="仿宋_GB2312" w:hAnsi="仿宋_GB2312" w:eastAsia="仿宋_GB2312" w:cs="仿宋_GB2312"/>
          <w:color w:val="auto"/>
          <w:sz w:val="32"/>
          <w:szCs w:val="32"/>
        </w:rPr>
        <w:t>万元，下降</w:t>
      </w:r>
      <w:r>
        <w:rPr>
          <w:rFonts w:hint="eastAsia" w:ascii="仿宋_GB2312" w:hAnsi="仿宋_GB2312" w:eastAsia="仿宋_GB2312" w:cs="仿宋_GB2312"/>
          <w:color w:val="auto"/>
          <w:sz w:val="32"/>
          <w:szCs w:val="32"/>
          <w:lang w:val="en-US" w:eastAsia="zh-CN"/>
        </w:rPr>
        <w:t>18.56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2022年在编在职人员减少，公用经费</w:t>
      </w:r>
      <w:r>
        <w:rPr>
          <w:rFonts w:hint="eastAsia" w:ascii="仿宋_GB2312" w:hAnsi="仿宋_GB2312" w:eastAsia="仿宋_GB2312" w:cs="仿宋_GB2312"/>
          <w:color w:val="auto"/>
          <w:sz w:val="32"/>
          <w:szCs w:val="32"/>
          <w:lang w:eastAsia="zh-CN"/>
        </w:rPr>
        <w:t>减少。</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1" w:name="_Toc15377223"/>
      <w:bookmarkStart w:id="72" w:name="_Toc25630"/>
      <w:r>
        <w:rPr>
          <w:rFonts w:hint="eastAsia" w:ascii="仿宋" w:hAnsi="仿宋" w:eastAsia="仿宋"/>
          <w:b/>
          <w:sz w:val="32"/>
          <w:szCs w:val="32"/>
        </w:rPr>
        <w:t>（二）政府采购支出情况</w:t>
      </w:r>
      <w:bookmarkEnd w:id="71"/>
      <w:bookmarkEnd w:id="72"/>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2022年，</w:t>
      </w:r>
      <w:r>
        <w:rPr>
          <w:rFonts w:hint="eastAsia" w:ascii="仿宋_GB2312" w:hAnsi="仿宋_GB2312" w:eastAsia="仿宋_GB2312" w:cs="仿宋_GB2312"/>
          <w:color w:val="auto"/>
          <w:sz w:val="32"/>
          <w:szCs w:val="32"/>
          <w:lang w:eastAsia="zh-CN"/>
        </w:rPr>
        <w:t>剑阁县交通运输局</w:t>
      </w:r>
      <w:r>
        <w:rPr>
          <w:rFonts w:hint="eastAsia" w:ascii="仿宋_GB2312" w:hAnsi="仿宋_GB2312" w:eastAsia="仿宋_GB2312" w:cs="仿宋_GB2312"/>
          <w:color w:val="auto"/>
          <w:sz w:val="32"/>
          <w:szCs w:val="32"/>
        </w:rPr>
        <w:t>政府采购支出总额</w:t>
      </w:r>
      <w:r>
        <w:rPr>
          <w:rFonts w:hint="eastAsia" w:ascii="仿宋_GB2312" w:hAnsi="仿宋_GB2312" w:eastAsia="仿宋_GB2312" w:cs="仿宋_GB2312"/>
          <w:color w:val="auto"/>
          <w:sz w:val="32"/>
          <w:szCs w:val="32"/>
          <w:lang w:val="en-US" w:eastAsia="zh-CN"/>
        </w:rPr>
        <w:t>378.2</w:t>
      </w:r>
      <w:r>
        <w:rPr>
          <w:rFonts w:hint="eastAsia" w:ascii="仿宋_GB2312" w:hAnsi="仿宋_GB2312" w:eastAsia="仿宋_GB2312" w:cs="仿宋_GB2312"/>
          <w:color w:val="auto"/>
          <w:sz w:val="32"/>
          <w:szCs w:val="32"/>
        </w:rPr>
        <w:t>万元，其中：政府采购服务支出</w:t>
      </w:r>
      <w:r>
        <w:rPr>
          <w:rFonts w:hint="eastAsia" w:ascii="仿宋_GB2312" w:hAnsi="仿宋_GB2312" w:eastAsia="仿宋_GB2312" w:cs="仿宋_GB2312"/>
          <w:color w:val="auto"/>
          <w:sz w:val="32"/>
          <w:szCs w:val="32"/>
          <w:lang w:val="en-US" w:eastAsia="zh-CN"/>
        </w:rPr>
        <w:t>378.2</w:t>
      </w:r>
      <w:r>
        <w:rPr>
          <w:rFonts w:hint="eastAsia" w:ascii="仿宋_GB2312" w:hAnsi="仿宋_GB2312" w:eastAsia="仿宋_GB2312" w:cs="仿宋_GB2312"/>
          <w:color w:val="auto"/>
          <w:sz w:val="32"/>
          <w:szCs w:val="32"/>
        </w:rPr>
        <w:t>万元。授予中小企业合同金额</w:t>
      </w:r>
      <w:r>
        <w:rPr>
          <w:rFonts w:hint="eastAsia" w:ascii="仿宋_GB2312" w:hAnsi="仿宋_GB2312" w:eastAsia="仿宋_GB2312" w:cs="仿宋_GB2312"/>
          <w:color w:val="auto"/>
          <w:sz w:val="32"/>
          <w:szCs w:val="32"/>
          <w:lang w:val="en-US" w:eastAsia="zh-CN"/>
        </w:rPr>
        <w:t>378.2</w:t>
      </w:r>
      <w:r>
        <w:rPr>
          <w:rFonts w:hint="eastAsia" w:ascii="仿宋_GB2312" w:hAnsi="仿宋_GB2312" w:eastAsia="仿宋_GB2312" w:cs="仿宋_GB2312"/>
          <w:color w:val="auto"/>
          <w:sz w:val="32"/>
          <w:szCs w:val="32"/>
        </w:rPr>
        <w:t>万元，占政府采购支出总额的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%，其中：授予小微企业合同金额</w:t>
      </w:r>
      <w:r>
        <w:rPr>
          <w:rFonts w:hint="eastAsia" w:ascii="仿宋_GB2312" w:hAnsi="仿宋_GB2312" w:eastAsia="仿宋_GB2312" w:cs="仿宋_GB2312"/>
          <w:color w:val="auto"/>
          <w:sz w:val="32"/>
          <w:szCs w:val="32"/>
          <w:lang w:val="en-US" w:eastAsia="zh-CN"/>
        </w:rPr>
        <w:t>378.2</w:t>
      </w:r>
      <w:r>
        <w:rPr>
          <w:rFonts w:hint="eastAsia" w:ascii="仿宋_GB2312" w:hAnsi="仿宋_GB2312" w:eastAsia="仿宋_GB2312" w:cs="仿宋_GB2312"/>
          <w:color w:val="auto"/>
          <w:sz w:val="32"/>
          <w:szCs w:val="32"/>
        </w:rPr>
        <w:t>万元，占政府采购支出总额的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3" w:name="_Toc16188"/>
      <w:bookmarkStart w:id="74" w:name="_Toc15377224"/>
      <w:r>
        <w:rPr>
          <w:rFonts w:hint="eastAsia" w:ascii="仿宋" w:hAnsi="仿宋" w:eastAsia="仿宋"/>
          <w:b/>
          <w:sz w:val="32"/>
          <w:szCs w:val="32"/>
        </w:rPr>
        <w:t>（三）国有资产占有使用情况</w:t>
      </w:r>
      <w:bookmarkEnd w:id="73"/>
      <w:bookmarkEnd w:id="74"/>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截至2022年12月31日，</w:t>
      </w:r>
      <w:r>
        <w:rPr>
          <w:rFonts w:hint="eastAsia" w:ascii="仿宋_GB2312" w:hAnsi="仿宋_GB2312" w:eastAsia="仿宋_GB2312" w:cs="仿宋_GB2312"/>
          <w:color w:val="auto"/>
          <w:sz w:val="32"/>
          <w:szCs w:val="32"/>
          <w:lang w:eastAsia="zh-CN"/>
        </w:rPr>
        <w:t>剑阁县交通运输局</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辆，其中：应急保障用车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5" w:name="_Toc16209"/>
      <w:r>
        <w:rPr>
          <w:rFonts w:hint="eastAsia" w:ascii="仿宋" w:hAnsi="仿宋" w:eastAsia="仿宋"/>
          <w:b/>
          <w:sz w:val="32"/>
          <w:szCs w:val="32"/>
        </w:rPr>
        <w:t>（四）预算绩效管理情况</w:t>
      </w:r>
      <w:bookmarkEnd w:id="75"/>
    </w:p>
    <w:p>
      <w:pPr>
        <w:pStyle w:val="7"/>
        <w:spacing w:before="93"/>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根据预算绩效管理要求，本单位在2022年度预算编制阶段，组织对“剑南物流中心建设项目</w:t>
      </w:r>
      <w:r>
        <w:rPr>
          <w:rFonts w:hint="eastAsia"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2022年撤并建制村畅通工程”项目等开展了预算事前绩效评估，对2个项目编制了绩效目标，预算执行过程中，选取2个项目开展绩效监控，组织对2个项目开展绩效自评，绩效自评表详见第四部分附件。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spacing w:line="600" w:lineRule="exact"/>
        <w:jc w:val="center"/>
        <w:outlineLvl w:val="0"/>
        <w:rPr>
          <w:rFonts w:hint="eastAsia" w:ascii="黑体" w:hAnsi="黑体" w:eastAsia="黑体"/>
          <w:sz w:val="44"/>
          <w:szCs w:val="44"/>
        </w:rPr>
      </w:pPr>
      <w:bookmarkStart w:id="76" w:name="_Toc29172"/>
      <w:bookmarkStart w:id="77" w:name="_Toc15396613"/>
      <w:bookmarkStart w:id="78" w:name="_Toc15377225"/>
      <w:r>
        <w:rPr>
          <w:rFonts w:hint="eastAsia" w:ascii="黑体" w:hAnsi="黑体" w:eastAsia="黑体"/>
          <w:sz w:val="44"/>
          <w:szCs w:val="44"/>
          <w:lang w:val="en-US" w:eastAsia="zh-CN"/>
        </w:rPr>
        <w:t xml:space="preserve">第三部分 </w:t>
      </w:r>
      <w:r>
        <w:rPr>
          <w:rFonts w:hint="eastAsia" w:ascii="黑体" w:hAnsi="黑体" w:eastAsia="黑体"/>
          <w:sz w:val="44"/>
          <w:szCs w:val="44"/>
        </w:rPr>
        <w:t>名词解释</w:t>
      </w:r>
      <w:bookmarkEnd w:id="76"/>
      <w:bookmarkEnd w:id="77"/>
      <w:bookmarkEnd w:id="78"/>
    </w:p>
    <w:p>
      <w:pPr>
        <w:spacing w:line="600" w:lineRule="exact"/>
        <w:jc w:val="left"/>
        <w:rPr>
          <w:rFonts w:ascii="宋体"/>
          <w:b/>
          <w:sz w:val="44"/>
          <w:szCs w:val="44"/>
        </w:rPr>
      </w:pPr>
    </w:p>
    <w:p>
      <w:pPr>
        <w:pStyle w:val="24"/>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1.财政拨款收入：指单位从同级财政部门取得的财政预算资金。</w:t>
      </w:r>
    </w:p>
    <w:p>
      <w:pPr>
        <w:pStyle w:val="24"/>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2.一般公共预算财政拨款收入：指县级财政当年拨付的资金。</w:t>
      </w:r>
    </w:p>
    <w:p>
      <w:pPr>
        <w:pStyle w:val="24"/>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3.政府性基金预算财政拨款收入：指对依照法律、行政法规的规定在一定期限内向特定对象征收、收取或者以其他方式筹集的资金，专项用于特定公共事业发展的收支预算。</w:t>
      </w:r>
    </w:p>
    <w:p>
      <w:pPr>
        <w:pStyle w:val="24"/>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4.其他收入：指单位取得的除上述收入以外的各项收入。</w:t>
      </w:r>
    </w:p>
    <w:p>
      <w:pPr>
        <w:pStyle w:val="24"/>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5.年初结转和结余：指以前年度尚未完成、结转到本年按有关规定继续使用的资金。 </w:t>
      </w:r>
    </w:p>
    <w:p>
      <w:pPr>
        <w:pStyle w:val="24"/>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6.社会保障和就业支出208（类）行政事业单位养老支出20805（款）机关事业单位基本养老保险缴费支出2080505（项）：指机关事业单位实施养老保险制度由单位缴纳的基本养老保险费支出。</w:t>
      </w:r>
      <w:r>
        <w:rPr>
          <w:rFonts w:hint="default" w:ascii="仿宋_GB2312" w:hAnsi="仿宋_GB2312" w:eastAsia="仿宋_GB2312" w:cs="仿宋_GB2312"/>
          <w:color w:val="auto"/>
          <w:kern w:val="2"/>
          <w:sz w:val="32"/>
          <w:szCs w:val="32"/>
          <w:lang w:val="en-US" w:eastAsia="zh-CN" w:bidi="ar-SA"/>
        </w:rPr>
        <w:t xml:space="preserve"> </w:t>
      </w:r>
    </w:p>
    <w:p>
      <w:pPr>
        <w:pStyle w:val="24"/>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7.卫生健康支出210（类）公共卫生21004（款）重大公共卫生服务2100409（项）：</w:t>
      </w:r>
      <w:r>
        <w:rPr>
          <w:rFonts w:hint="default" w:ascii="仿宋_GB2312" w:hAnsi="仿宋_GB2312" w:eastAsia="仿宋_GB2312" w:cs="仿宋_GB2312"/>
          <w:color w:val="auto"/>
          <w:kern w:val="2"/>
          <w:sz w:val="32"/>
          <w:szCs w:val="32"/>
          <w:lang w:val="en-US" w:eastAsia="zh-CN" w:bidi="ar-SA"/>
        </w:rPr>
        <w:t xml:space="preserve"> </w:t>
      </w:r>
      <w:r>
        <w:rPr>
          <w:rFonts w:hint="eastAsia" w:ascii="仿宋_GB2312" w:hAnsi="仿宋_GB2312" w:eastAsia="仿宋_GB2312" w:cs="仿宋_GB2312"/>
          <w:color w:val="auto"/>
          <w:kern w:val="2"/>
          <w:sz w:val="32"/>
          <w:szCs w:val="32"/>
          <w:lang w:val="en-US" w:eastAsia="zh-CN" w:bidi="ar-SA"/>
        </w:rPr>
        <w:t>指重大疾病、重大传染病预防控制等重大公共卫生服务项目支出。</w:t>
      </w:r>
    </w:p>
    <w:p>
      <w:pPr>
        <w:pStyle w:val="24"/>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8.卫生健康支出210（类）行政事业单位医疗21011（款）行政单位医疗2101101（项）： 指财政部门集中安排的行政单位基本医疗保险缴费经费。</w:t>
      </w:r>
    </w:p>
    <w:p>
      <w:pPr>
        <w:pStyle w:val="24"/>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9.农林水支出213（类）巩固脱贫衔接乡村振兴21305（款）农村基础设施建设2130504（项）： 指用于农村欠发达地区乡村道路、住房、基本农田、水利实施、人畜饮水、生态环境保护等生产生活条件改善方面的支出。</w:t>
      </w:r>
    </w:p>
    <w:p>
      <w:pPr>
        <w:pStyle w:val="24"/>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10.农林水支出213（类）巩固脱贫衔接乡村振兴21305（款）生产发展2130505（项）： 指用于农村欠发达地区发展种植业、养殖业、畜牧业、农副产品加工、林果的建设等生产发展项目以及相关技术推广等方面的项目支出。</w:t>
      </w:r>
      <w:r>
        <w:rPr>
          <w:rFonts w:hint="default" w:ascii="仿宋_GB2312" w:hAnsi="仿宋_GB2312" w:eastAsia="仿宋_GB2312" w:cs="仿宋_GB2312"/>
          <w:color w:val="auto"/>
          <w:kern w:val="2"/>
          <w:sz w:val="32"/>
          <w:szCs w:val="32"/>
          <w:lang w:val="en-US" w:eastAsia="zh-CN" w:bidi="ar-SA"/>
        </w:rPr>
        <w:t xml:space="preserve"> </w:t>
      </w:r>
    </w:p>
    <w:p>
      <w:pPr>
        <w:pStyle w:val="24"/>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11.农林水支出213（类）巩固脱贫衔接乡村振兴21305（款）其他巩固脱贫衔接乡村振兴支出2130599（项）：</w:t>
      </w:r>
      <w:r>
        <w:rPr>
          <w:rFonts w:hint="default" w:ascii="仿宋_GB2312" w:hAnsi="仿宋_GB2312" w:eastAsia="仿宋_GB2312" w:cs="仿宋_GB2312"/>
          <w:color w:val="auto"/>
          <w:kern w:val="2"/>
          <w:sz w:val="32"/>
          <w:szCs w:val="32"/>
          <w:lang w:val="en-US" w:eastAsia="zh-CN" w:bidi="ar-SA"/>
        </w:rPr>
        <w:t>指用于其他巩固拓展脱贫攻坚成果同乡村振兴有效衔接方面的</w:t>
      </w:r>
      <w:r>
        <w:rPr>
          <w:rFonts w:hint="eastAsia" w:ascii="仿宋_GB2312" w:hAnsi="仿宋_GB2312" w:eastAsia="仿宋_GB2312" w:cs="仿宋_GB2312"/>
          <w:color w:val="auto"/>
          <w:kern w:val="2"/>
          <w:sz w:val="32"/>
          <w:szCs w:val="32"/>
          <w:lang w:val="en-US" w:eastAsia="zh-CN" w:bidi="ar-SA"/>
        </w:rPr>
        <w:t>支</w:t>
      </w:r>
      <w:r>
        <w:rPr>
          <w:rFonts w:hint="default" w:ascii="仿宋_GB2312" w:hAnsi="仿宋_GB2312" w:eastAsia="仿宋_GB2312" w:cs="仿宋_GB2312"/>
          <w:color w:val="auto"/>
          <w:kern w:val="2"/>
          <w:sz w:val="32"/>
          <w:szCs w:val="32"/>
          <w:lang w:val="en-US" w:eastAsia="zh-CN" w:bidi="ar-SA"/>
        </w:rPr>
        <w:t xml:space="preserve">出。 </w:t>
      </w:r>
    </w:p>
    <w:p>
      <w:pPr>
        <w:pStyle w:val="24"/>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12.交通运输支出 214（类）公路水路运输 21401（款） </w:t>
      </w:r>
    </w:p>
    <w:p>
      <w:pPr>
        <w:pStyle w:val="24"/>
        <w:keepNext w:val="0"/>
        <w:keepLines w:val="0"/>
        <w:pageBreakBefore w:val="0"/>
        <w:widowControl w:val="0"/>
        <w:kinsoku/>
        <w:wordWrap/>
        <w:overflowPunct/>
        <w:topLinePunct w:val="0"/>
        <w:autoSpaceDE w:val="0"/>
        <w:autoSpaceDN w:val="0"/>
        <w:bidi w:val="0"/>
        <w:adjustRightInd w:val="0"/>
        <w:snapToGrid/>
        <w:spacing w:line="576" w:lineRule="exact"/>
        <w:textAlignment w:val="auto"/>
        <w:rPr>
          <w:rFonts w:hint="eastAsia"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行政运行 2140101（项）：指行政单位（包括实行公务员管理的事业单位）的基本支出。</w:t>
      </w:r>
    </w:p>
    <w:p>
      <w:pPr>
        <w:pStyle w:val="24"/>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13.交通运输支出 214（类）公路水路运输 21401（款） </w:t>
      </w:r>
    </w:p>
    <w:p>
      <w:pPr>
        <w:pStyle w:val="24"/>
        <w:keepNext w:val="0"/>
        <w:keepLines w:val="0"/>
        <w:pageBreakBefore w:val="0"/>
        <w:widowControl w:val="0"/>
        <w:kinsoku/>
        <w:wordWrap/>
        <w:overflowPunct/>
        <w:topLinePunct w:val="0"/>
        <w:autoSpaceDE w:val="0"/>
        <w:autoSpaceDN w:val="0"/>
        <w:bidi w:val="0"/>
        <w:adjustRightInd w:val="0"/>
        <w:snapToGrid/>
        <w:spacing w:line="576" w:lineRule="exact"/>
        <w:textAlignment w:val="auto"/>
        <w:rPr>
          <w:rFonts w:hint="eastAsia"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公路建设 2140104（项）：指新建公路支出，公路改建支出， 特大型桥梁建设支出，公路客货运站（场）建设支出。</w:t>
      </w:r>
    </w:p>
    <w:p>
      <w:pPr>
        <w:pStyle w:val="24"/>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14.交通运输支出214（类）公路水路运输 21401（款）公路养护</w:t>
      </w:r>
      <w:r>
        <w:rPr>
          <w:rFonts w:hint="default" w:ascii="仿宋_GB2312" w:hAnsi="仿宋_GB2312" w:eastAsia="仿宋_GB2312" w:cs="仿宋_GB2312"/>
          <w:color w:val="auto"/>
          <w:kern w:val="2"/>
          <w:sz w:val="32"/>
          <w:szCs w:val="32"/>
          <w:lang w:val="en-US" w:eastAsia="zh-CN" w:bidi="ar-SA"/>
        </w:rPr>
        <w:t>214010</w:t>
      </w:r>
      <w:r>
        <w:rPr>
          <w:rFonts w:hint="eastAsia" w:ascii="仿宋_GB2312" w:hAnsi="仿宋_GB2312" w:eastAsia="仿宋_GB2312" w:cs="仿宋_GB2312"/>
          <w:color w:val="auto"/>
          <w:kern w:val="2"/>
          <w:sz w:val="32"/>
          <w:szCs w:val="32"/>
          <w:lang w:val="en-US" w:eastAsia="zh-CN" w:bidi="ar-SA"/>
        </w:rPr>
        <w:t>6</w:t>
      </w:r>
      <w:r>
        <w:rPr>
          <w:rFonts w:hint="default" w:ascii="仿宋_GB2312" w:hAnsi="仿宋_GB2312" w:eastAsia="仿宋_GB2312" w:cs="仿宋_GB2312"/>
          <w:color w:val="auto"/>
          <w:kern w:val="2"/>
          <w:sz w:val="32"/>
          <w:szCs w:val="32"/>
          <w:lang w:val="en-US" w:eastAsia="zh-CN" w:bidi="ar-SA"/>
        </w:rPr>
        <w:t>（项）</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指公路养护支出</w:t>
      </w:r>
      <w:r>
        <w:rPr>
          <w:rFonts w:hint="eastAsia" w:ascii="仿宋_GB2312" w:hAnsi="仿宋_GB2312" w:eastAsia="仿宋_GB2312" w:cs="仿宋_GB2312"/>
          <w:color w:val="auto"/>
          <w:kern w:val="2"/>
          <w:sz w:val="32"/>
          <w:szCs w:val="32"/>
          <w:lang w:val="en-US" w:eastAsia="zh-CN" w:bidi="ar-SA"/>
        </w:rPr>
        <w:t>。</w:t>
      </w:r>
    </w:p>
    <w:p>
      <w:pPr>
        <w:pStyle w:val="24"/>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15.交通运输支出214（类）公路水路运输 21401（款）公路和运输安全</w:t>
      </w:r>
      <w:r>
        <w:rPr>
          <w:rFonts w:hint="default" w:ascii="仿宋_GB2312" w:hAnsi="仿宋_GB2312" w:eastAsia="仿宋_GB2312" w:cs="仿宋_GB2312"/>
          <w:color w:val="auto"/>
          <w:kern w:val="2"/>
          <w:sz w:val="32"/>
          <w:szCs w:val="32"/>
          <w:lang w:val="en-US" w:eastAsia="zh-CN" w:bidi="ar-SA"/>
        </w:rPr>
        <w:t>21401</w:t>
      </w:r>
      <w:r>
        <w:rPr>
          <w:rFonts w:hint="eastAsia" w:ascii="仿宋_GB2312" w:hAnsi="仿宋_GB2312" w:eastAsia="仿宋_GB2312" w:cs="仿宋_GB2312"/>
          <w:color w:val="auto"/>
          <w:kern w:val="2"/>
          <w:sz w:val="32"/>
          <w:szCs w:val="32"/>
          <w:lang w:val="en-US" w:eastAsia="zh-CN" w:bidi="ar-SA"/>
        </w:rPr>
        <w:t>10</w:t>
      </w:r>
      <w:r>
        <w:rPr>
          <w:rFonts w:hint="default" w:ascii="仿宋_GB2312" w:hAnsi="仿宋_GB2312" w:eastAsia="仿宋_GB2312" w:cs="仿宋_GB2312"/>
          <w:color w:val="auto"/>
          <w:kern w:val="2"/>
          <w:sz w:val="32"/>
          <w:szCs w:val="32"/>
          <w:lang w:val="en-US" w:eastAsia="zh-CN" w:bidi="ar-SA"/>
        </w:rPr>
        <w:t>（项）</w:t>
      </w:r>
      <w:r>
        <w:rPr>
          <w:rFonts w:hint="eastAsia" w:ascii="仿宋_GB2312" w:hAnsi="仿宋_GB2312" w:eastAsia="仿宋_GB2312" w:cs="仿宋_GB2312"/>
          <w:color w:val="auto"/>
          <w:kern w:val="2"/>
          <w:sz w:val="32"/>
          <w:szCs w:val="32"/>
          <w:lang w:val="en-US" w:eastAsia="zh-CN" w:bidi="ar-SA"/>
        </w:rPr>
        <w:t>：指公路和运输安全支出。</w:t>
      </w:r>
    </w:p>
    <w:p>
      <w:pPr>
        <w:pStyle w:val="24"/>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16.交通运输支出214（类）公路水路运输 21401（款）公路运输管理</w:t>
      </w:r>
      <w:r>
        <w:rPr>
          <w:rFonts w:hint="default" w:ascii="仿宋_GB2312" w:hAnsi="仿宋_GB2312" w:eastAsia="仿宋_GB2312" w:cs="仿宋_GB2312"/>
          <w:color w:val="auto"/>
          <w:kern w:val="2"/>
          <w:sz w:val="32"/>
          <w:szCs w:val="32"/>
          <w:lang w:val="en-US" w:eastAsia="zh-CN" w:bidi="ar-SA"/>
        </w:rPr>
        <w:t>21401</w:t>
      </w:r>
      <w:r>
        <w:rPr>
          <w:rFonts w:hint="eastAsia" w:ascii="仿宋_GB2312" w:hAnsi="仿宋_GB2312" w:eastAsia="仿宋_GB2312" w:cs="仿宋_GB2312"/>
          <w:color w:val="auto"/>
          <w:kern w:val="2"/>
          <w:sz w:val="32"/>
          <w:szCs w:val="32"/>
          <w:lang w:val="en-US" w:eastAsia="zh-CN" w:bidi="ar-SA"/>
        </w:rPr>
        <w:t>12</w:t>
      </w:r>
      <w:r>
        <w:rPr>
          <w:rFonts w:hint="default" w:ascii="仿宋_GB2312" w:hAnsi="仿宋_GB2312" w:eastAsia="仿宋_GB2312" w:cs="仿宋_GB2312"/>
          <w:color w:val="auto"/>
          <w:kern w:val="2"/>
          <w:sz w:val="32"/>
          <w:szCs w:val="32"/>
          <w:lang w:val="en-US" w:eastAsia="zh-CN" w:bidi="ar-SA"/>
        </w:rPr>
        <w:t>（项）</w:t>
      </w:r>
      <w:r>
        <w:rPr>
          <w:rFonts w:hint="eastAsia" w:ascii="仿宋_GB2312" w:hAnsi="仿宋_GB2312" w:eastAsia="仿宋_GB2312" w:cs="仿宋_GB2312"/>
          <w:color w:val="auto"/>
          <w:kern w:val="2"/>
          <w:sz w:val="32"/>
          <w:szCs w:val="32"/>
          <w:lang w:val="en-US" w:eastAsia="zh-CN" w:bidi="ar-SA"/>
        </w:rPr>
        <w:t>：指公路运输管理支出和公路路政管理支出。</w:t>
      </w:r>
    </w:p>
    <w:p>
      <w:pPr>
        <w:pStyle w:val="24"/>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17.交通运输支出214（类）公路水路运输 21401（款）其他公路水路运输支出</w:t>
      </w:r>
      <w:r>
        <w:rPr>
          <w:rFonts w:hint="default" w:ascii="仿宋_GB2312" w:hAnsi="仿宋_GB2312" w:eastAsia="仿宋_GB2312" w:cs="仿宋_GB2312"/>
          <w:color w:val="auto"/>
          <w:kern w:val="2"/>
          <w:sz w:val="32"/>
          <w:szCs w:val="32"/>
          <w:lang w:val="en-US" w:eastAsia="zh-CN" w:bidi="ar-SA"/>
        </w:rPr>
        <w:t>21401</w:t>
      </w:r>
      <w:r>
        <w:rPr>
          <w:rFonts w:hint="eastAsia" w:ascii="仿宋_GB2312" w:hAnsi="仿宋_GB2312" w:eastAsia="仿宋_GB2312" w:cs="仿宋_GB2312"/>
          <w:color w:val="auto"/>
          <w:kern w:val="2"/>
          <w:sz w:val="32"/>
          <w:szCs w:val="32"/>
          <w:lang w:val="en-US" w:eastAsia="zh-CN" w:bidi="ar-SA"/>
        </w:rPr>
        <w:t>99</w:t>
      </w:r>
      <w:r>
        <w:rPr>
          <w:rFonts w:hint="default" w:ascii="仿宋_GB2312" w:hAnsi="仿宋_GB2312" w:eastAsia="仿宋_GB2312" w:cs="仿宋_GB2312"/>
          <w:color w:val="auto"/>
          <w:kern w:val="2"/>
          <w:sz w:val="32"/>
          <w:szCs w:val="32"/>
          <w:lang w:val="en-US" w:eastAsia="zh-CN" w:bidi="ar-SA"/>
        </w:rPr>
        <w:t>（项）</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指除上述项目以外其他用于公路水路运输方面的支出</w:t>
      </w:r>
      <w:r>
        <w:rPr>
          <w:rFonts w:hint="eastAsia" w:ascii="仿宋_GB2312" w:hAnsi="仿宋_GB2312" w:eastAsia="仿宋_GB2312" w:cs="仿宋_GB2312"/>
          <w:color w:val="auto"/>
          <w:kern w:val="2"/>
          <w:sz w:val="32"/>
          <w:szCs w:val="32"/>
          <w:lang w:val="en-US" w:eastAsia="zh-CN" w:bidi="ar-SA"/>
        </w:rPr>
        <w:t>。</w:t>
      </w:r>
    </w:p>
    <w:p>
      <w:pPr>
        <w:pStyle w:val="24"/>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18.交通运输支出214（类）车辆购置税支出21406（款）车辆购置税用于公路等基础设施建设支出</w:t>
      </w:r>
      <w:r>
        <w:rPr>
          <w:rFonts w:hint="default" w:ascii="仿宋_GB2312" w:hAnsi="仿宋_GB2312" w:eastAsia="仿宋_GB2312" w:cs="仿宋_GB2312"/>
          <w:color w:val="auto"/>
          <w:kern w:val="2"/>
          <w:sz w:val="32"/>
          <w:szCs w:val="32"/>
          <w:lang w:val="en-US" w:eastAsia="zh-CN" w:bidi="ar-SA"/>
        </w:rPr>
        <w:t>2140</w:t>
      </w:r>
      <w:r>
        <w:rPr>
          <w:rFonts w:hint="eastAsia" w:ascii="仿宋_GB2312" w:hAnsi="仿宋_GB2312" w:eastAsia="仿宋_GB2312" w:cs="仿宋_GB2312"/>
          <w:color w:val="auto"/>
          <w:kern w:val="2"/>
          <w:sz w:val="32"/>
          <w:szCs w:val="32"/>
          <w:lang w:val="en-US" w:eastAsia="zh-CN" w:bidi="ar-SA"/>
        </w:rPr>
        <w:t>6</w:t>
      </w:r>
      <w:r>
        <w:rPr>
          <w:rFonts w:hint="default" w:ascii="仿宋_GB2312" w:hAnsi="仿宋_GB2312" w:eastAsia="仿宋_GB2312" w:cs="仿宋_GB2312"/>
          <w:color w:val="auto"/>
          <w:kern w:val="2"/>
          <w:sz w:val="32"/>
          <w:szCs w:val="32"/>
          <w:lang w:val="en-US" w:eastAsia="zh-CN" w:bidi="ar-SA"/>
        </w:rPr>
        <w:t>0</w:t>
      </w:r>
      <w:r>
        <w:rPr>
          <w:rFonts w:hint="eastAsia" w:ascii="仿宋_GB2312" w:hAnsi="仿宋_GB2312" w:eastAsia="仿宋_GB2312" w:cs="仿宋_GB2312"/>
          <w:color w:val="auto"/>
          <w:kern w:val="2"/>
          <w:sz w:val="32"/>
          <w:szCs w:val="32"/>
          <w:lang w:val="en-US" w:eastAsia="zh-CN" w:bidi="ar-SA"/>
        </w:rPr>
        <w:t>1</w:t>
      </w:r>
      <w:r>
        <w:rPr>
          <w:rFonts w:hint="default" w:ascii="仿宋_GB2312" w:hAnsi="仿宋_GB2312" w:eastAsia="仿宋_GB2312" w:cs="仿宋_GB2312"/>
          <w:color w:val="auto"/>
          <w:kern w:val="2"/>
          <w:sz w:val="32"/>
          <w:szCs w:val="32"/>
          <w:lang w:val="en-US" w:eastAsia="zh-CN" w:bidi="ar-SA"/>
        </w:rPr>
        <w:t>（项）</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指车辆购置税收入安排用于公路等基础设施建设的支出</w:t>
      </w:r>
      <w:r>
        <w:rPr>
          <w:rFonts w:hint="eastAsia" w:ascii="仿宋_GB2312" w:hAnsi="仿宋_GB2312" w:eastAsia="仿宋_GB2312" w:cs="仿宋_GB2312"/>
          <w:color w:val="auto"/>
          <w:kern w:val="2"/>
          <w:sz w:val="32"/>
          <w:szCs w:val="32"/>
          <w:lang w:val="en-US" w:eastAsia="zh-CN" w:bidi="ar-SA"/>
        </w:rPr>
        <w:t>。</w:t>
      </w:r>
    </w:p>
    <w:p>
      <w:pPr>
        <w:pStyle w:val="24"/>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19.交通运输支出214（类）其他交通运输支出21499（款）公共交通运营补助</w:t>
      </w:r>
      <w:r>
        <w:rPr>
          <w:rFonts w:hint="default" w:ascii="仿宋_GB2312" w:hAnsi="仿宋_GB2312" w:eastAsia="仿宋_GB2312" w:cs="仿宋_GB2312"/>
          <w:color w:val="auto"/>
          <w:kern w:val="2"/>
          <w:sz w:val="32"/>
          <w:szCs w:val="32"/>
          <w:lang w:val="en-US" w:eastAsia="zh-CN" w:bidi="ar-SA"/>
        </w:rPr>
        <w:t>214</w:t>
      </w:r>
      <w:r>
        <w:rPr>
          <w:rFonts w:hint="eastAsia" w:ascii="仿宋_GB2312" w:hAnsi="仿宋_GB2312" w:eastAsia="仿宋_GB2312" w:cs="仿宋_GB2312"/>
          <w:color w:val="auto"/>
          <w:kern w:val="2"/>
          <w:sz w:val="32"/>
          <w:szCs w:val="32"/>
          <w:lang w:val="en-US" w:eastAsia="zh-CN" w:bidi="ar-SA"/>
        </w:rPr>
        <w:t>9901</w:t>
      </w:r>
      <w:r>
        <w:rPr>
          <w:rFonts w:hint="default" w:ascii="仿宋_GB2312" w:hAnsi="仿宋_GB2312" w:eastAsia="仿宋_GB2312" w:cs="仿宋_GB2312"/>
          <w:color w:val="auto"/>
          <w:kern w:val="2"/>
          <w:sz w:val="32"/>
          <w:szCs w:val="32"/>
          <w:lang w:val="en-US" w:eastAsia="zh-CN" w:bidi="ar-SA"/>
        </w:rPr>
        <w:t>（项）</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指</w:t>
      </w:r>
      <w:r>
        <w:rPr>
          <w:rFonts w:hint="eastAsia" w:ascii="仿宋_GB2312" w:hAnsi="仿宋_GB2312" w:eastAsia="仿宋_GB2312" w:cs="仿宋_GB2312"/>
          <w:color w:val="auto"/>
          <w:kern w:val="2"/>
          <w:sz w:val="32"/>
          <w:szCs w:val="32"/>
          <w:lang w:val="en-US" w:eastAsia="zh-CN" w:bidi="ar-SA"/>
        </w:rPr>
        <w:t>对公共交通运输企业的补助支出。</w:t>
      </w:r>
    </w:p>
    <w:p>
      <w:pPr>
        <w:pStyle w:val="24"/>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20.交通运输支出214（类）其他交通运输支出21499（款）其他交通运输支出</w:t>
      </w:r>
      <w:r>
        <w:rPr>
          <w:rFonts w:hint="default" w:ascii="仿宋_GB2312" w:hAnsi="仿宋_GB2312" w:eastAsia="仿宋_GB2312" w:cs="仿宋_GB2312"/>
          <w:color w:val="auto"/>
          <w:kern w:val="2"/>
          <w:sz w:val="32"/>
          <w:szCs w:val="32"/>
          <w:lang w:val="en-US" w:eastAsia="zh-CN" w:bidi="ar-SA"/>
        </w:rPr>
        <w:t>214</w:t>
      </w:r>
      <w:r>
        <w:rPr>
          <w:rFonts w:hint="eastAsia" w:ascii="仿宋_GB2312" w:hAnsi="仿宋_GB2312" w:eastAsia="仿宋_GB2312" w:cs="仿宋_GB2312"/>
          <w:color w:val="auto"/>
          <w:kern w:val="2"/>
          <w:sz w:val="32"/>
          <w:szCs w:val="32"/>
          <w:lang w:val="en-US" w:eastAsia="zh-CN" w:bidi="ar-SA"/>
        </w:rPr>
        <w:t>9999</w:t>
      </w:r>
      <w:r>
        <w:rPr>
          <w:rFonts w:hint="default" w:ascii="仿宋_GB2312" w:hAnsi="仿宋_GB2312" w:eastAsia="仿宋_GB2312" w:cs="仿宋_GB2312"/>
          <w:color w:val="auto"/>
          <w:kern w:val="2"/>
          <w:sz w:val="32"/>
          <w:szCs w:val="32"/>
          <w:lang w:val="en-US" w:eastAsia="zh-CN" w:bidi="ar-SA"/>
        </w:rPr>
        <w:t>（项）</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指</w:t>
      </w:r>
      <w:r>
        <w:rPr>
          <w:rFonts w:hint="eastAsia" w:ascii="仿宋_GB2312" w:hAnsi="仿宋_GB2312" w:eastAsia="仿宋_GB2312" w:cs="仿宋_GB2312"/>
          <w:color w:val="auto"/>
          <w:kern w:val="2"/>
          <w:sz w:val="32"/>
          <w:szCs w:val="32"/>
          <w:lang w:val="en-US" w:eastAsia="zh-CN" w:bidi="ar-SA"/>
        </w:rPr>
        <w:t>其他交通运输支出中除对公共交通运营补助以外的其他支出。</w:t>
      </w:r>
    </w:p>
    <w:p>
      <w:pPr>
        <w:pStyle w:val="24"/>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21.住房保障支出 221（类）住房改革支出 22102（款）</w:t>
      </w:r>
      <w:r>
        <w:rPr>
          <w:rFonts w:hint="default" w:ascii="仿宋_GB2312" w:hAnsi="仿宋_GB2312" w:eastAsia="仿宋_GB2312" w:cs="仿宋_GB2312"/>
          <w:color w:val="auto"/>
          <w:kern w:val="2"/>
          <w:sz w:val="32"/>
          <w:szCs w:val="32"/>
          <w:lang w:val="en-US" w:eastAsia="zh-CN" w:bidi="ar-SA"/>
        </w:rPr>
        <w:t>住房公积金 2210201（项）</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指行政事业单位按人力资源和社会保障部、财政部规定的基本工资和津贴补贴以及规定比例为职工缴纳的住房公积金</w:t>
      </w:r>
      <w:r>
        <w:rPr>
          <w:rFonts w:hint="eastAsia" w:ascii="仿宋_GB2312" w:hAnsi="仿宋_GB2312" w:eastAsia="仿宋_GB2312" w:cs="仿宋_GB2312"/>
          <w:color w:val="auto"/>
          <w:kern w:val="2"/>
          <w:sz w:val="32"/>
          <w:szCs w:val="32"/>
          <w:lang w:val="en-US" w:eastAsia="zh-CN" w:bidi="ar-SA"/>
        </w:rPr>
        <w:t>。</w:t>
      </w:r>
    </w:p>
    <w:p>
      <w:pPr>
        <w:pStyle w:val="24"/>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22</w:t>
      </w:r>
      <w:r>
        <w:rPr>
          <w:rFonts w:hint="default" w:ascii="仿宋_GB2312" w:hAnsi="仿宋_GB2312" w:eastAsia="仿宋_GB2312" w:cs="仿宋_GB2312"/>
          <w:color w:val="auto"/>
          <w:kern w:val="2"/>
          <w:sz w:val="32"/>
          <w:szCs w:val="32"/>
          <w:lang w:val="en-US" w:eastAsia="zh-CN" w:bidi="ar-SA"/>
        </w:rPr>
        <w:t>.灾害防治及应急管理支出 224（类）自然灾害救灾及恢复重建支出 22407（款）</w:t>
      </w:r>
      <w:r>
        <w:rPr>
          <w:rFonts w:hint="eastAsia" w:ascii="仿宋_GB2312" w:hAnsi="仿宋_GB2312" w:eastAsia="仿宋_GB2312" w:cs="仿宋_GB2312"/>
          <w:color w:val="auto"/>
          <w:kern w:val="2"/>
          <w:sz w:val="32"/>
          <w:szCs w:val="32"/>
          <w:lang w:val="en-US" w:eastAsia="zh-CN" w:bidi="ar-SA"/>
        </w:rPr>
        <w:t>自然灾害</w:t>
      </w:r>
      <w:r>
        <w:rPr>
          <w:rFonts w:hint="default" w:ascii="仿宋_GB2312" w:hAnsi="仿宋_GB2312" w:eastAsia="仿宋_GB2312" w:cs="仿宋_GB2312"/>
          <w:color w:val="auto"/>
          <w:kern w:val="2"/>
          <w:sz w:val="32"/>
          <w:szCs w:val="32"/>
          <w:lang w:val="en-US" w:eastAsia="zh-CN" w:bidi="ar-SA"/>
        </w:rPr>
        <w:t>后重建补助 2240704 （项）</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指政府预算安排用于自然灾害恢复重建的补助支出</w:t>
      </w:r>
      <w:r>
        <w:rPr>
          <w:rFonts w:hint="eastAsia" w:ascii="仿宋_GB2312" w:hAnsi="仿宋_GB2312" w:eastAsia="仿宋_GB2312" w:cs="仿宋_GB2312"/>
          <w:color w:val="auto"/>
          <w:kern w:val="2"/>
          <w:sz w:val="32"/>
          <w:szCs w:val="32"/>
          <w:lang w:val="en-US" w:eastAsia="zh-CN" w:bidi="ar-SA"/>
        </w:rPr>
        <w:t>。</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23.基本支出：指为保障机构正常运转、完成日常工作任务而发生的人员支出和公用支出。</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24.项目支出：指在基本支出之外为完成特定行政任务和事业发展目标所发生的支出。 </w:t>
      </w:r>
    </w:p>
    <w:p>
      <w:pPr>
        <w:pStyle w:val="24"/>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25.“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4"/>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p>
    <w:p>
      <w:pPr>
        <w:ind w:firstLine="640" w:firstLineChars="200"/>
        <w:rPr>
          <w:rFonts w:hint="eastAsia" w:ascii="仿宋_GB2312" w:hAnsi="仿宋_GB2312" w:eastAsia="仿宋_GB2312" w:cs="仿宋_GB2312"/>
          <w:color w:val="auto"/>
          <w:kern w:val="2"/>
          <w:sz w:val="32"/>
          <w:szCs w:val="32"/>
          <w:lang w:val="en-US" w:eastAsia="zh-CN" w:bidi="ar-SA"/>
        </w:rPr>
      </w:pPr>
    </w:p>
    <w:p>
      <w:pPr>
        <w:spacing w:line="600" w:lineRule="exact"/>
        <w:jc w:val="center"/>
        <w:outlineLvl w:val="0"/>
        <w:rPr>
          <w:rStyle w:val="26"/>
          <w:rFonts w:ascii="黑体" w:hAnsi="黑体" w:eastAsia="黑体"/>
          <w:b w:val="0"/>
        </w:rPr>
      </w:pPr>
      <w:bookmarkStart w:id="79" w:name="_Toc15377226"/>
      <w:r>
        <w:rPr>
          <w:rFonts w:ascii="宋体"/>
          <w:b/>
          <w:sz w:val="44"/>
          <w:szCs w:val="44"/>
        </w:rPr>
        <w:br w:type="page"/>
      </w:r>
      <w:bookmarkStart w:id="80" w:name="_Toc19418"/>
      <w:bookmarkStart w:id="81" w:name="_Toc15396614"/>
      <w:r>
        <w:rPr>
          <w:rFonts w:hint="eastAsia" w:ascii="黑体" w:hAnsi="黑体" w:eastAsia="黑体"/>
          <w:sz w:val="44"/>
          <w:szCs w:val="44"/>
        </w:rPr>
        <w:t>第</w:t>
      </w:r>
      <w:r>
        <w:rPr>
          <w:rStyle w:val="26"/>
          <w:rFonts w:hint="eastAsia" w:ascii="黑体" w:hAnsi="黑体" w:eastAsia="黑体"/>
          <w:b w:val="0"/>
        </w:rPr>
        <w:t>四部分 附件</w:t>
      </w:r>
      <w:bookmarkEnd w:id="80"/>
      <w:bookmarkEnd w:id="81"/>
    </w:p>
    <w:tbl>
      <w:tblPr>
        <w:tblStyle w:val="14"/>
        <w:tblpPr w:leftFromText="180" w:rightFromText="180" w:vertAnchor="text" w:horzAnchor="page" w:tblpX="1766" w:tblpY="551"/>
        <w:tblOverlap w:val="never"/>
        <w:tblW w:w="94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9"/>
        <w:gridCol w:w="661"/>
        <w:gridCol w:w="955"/>
        <w:gridCol w:w="1550"/>
        <w:gridCol w:w="657"/>
        <w:gridCol w:w="1251"/>
        <w:gridCol w:w="724"/>
        <w:gridCol w:w="1222"/>
        <w:gridCol w:w="512"/>
        <w:gridCol w:w="616"/>
        <w:gridCol w:w="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94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82" w:name="_Toc15396618"/>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shd w:val="clear" w:color="auto" w:fill="auto"/>
          <w:tblCellMar>
            <w:top w:w="0" w:type="dxa"/>
            <w:left w:w="108" w:type="dxa"/>
            <w:bottom w:w="0" w:type="dxa"/>
            <w:right w:w="108" w:type="dxa"/>
          </w:tblCellMar>
        </w:tblPrEx>
        <w:trPr>
          <w:trHeight w:val="286" w:hRule="atLeast"/>
        </w:trPr>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1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51082322T000007035042</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剑南物流中心建设项目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剑阁县交通运输局部门</w:t>
            </w:r>
          </w:p>
        </w:tc>
        <w:tc>
          <w:tcPr>
            <w:tcW w:w="122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1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29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51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完成停车场9000</w:t>
            </w:r>
            <w:r>
              <w:rPr>
                <w:rFonts w:hint="eastAsia" w:ascii="宋体" w:hAnsi="宋体" w:cs="宋体"/>
                <w:i w:val="0"/>
                <w:iCs w:val="0"/>
                <w:color w:val="000000"/>
                <w:sz w:val="18"/>
                <w:szCs w:val="18"/>
                <w:u w:val="none"/>
                <w:lang w:eastAsia="zh-CN"/>
              </w:rPr>
              <w:t>平方米</w:t>
            </w:r>
            <w:r>
              <w:rPr>
                <w:rFonts w:hint="eastAsia" w:ascii="宋体" w:hAnsi="宋体" w:eastAsia="宋体" w:cs="宋体"/>
                <w:i w:val="0"/>
                <w:iCs w:val="0"/>
                <w:color w:val="000000"/>
                <w:sz w:val="18"/>
                <w:szCs w:val="18"/>
                <w:u w:val="none"/>
              </w:rPr>
              <w:t>（总计450个停车位、其中配建电动汽车充 电桩80根）、完成交通服务中心8000平方米</w:t>
            </w:r>
          </w:p>
        </w:tc>
        <w:tc>
          <w:tcPr>
            <w:tcW w:w="29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完成停车场9000</w:t>
            </w:r>
            <w:r>
              <w:rPr>
                <w:rFonts w:hint="eastAsia" w:ascii="宋体" w:hAnsi="宋体" w:cs="宋体"/>
                <w:i w:val="0"/>
                <w:iCs w:val="0"/>
                <w:color w:val="000000"/>
                <w:kern w:val="0"/>
                <w:sz w:val="18"/>
                <w:szCs w:val="18"/>
                <w:u w:val="none"/>
                <w:lang w:val="en-US" w:eastAsia="zh-CN" w:bidi="ar"/>
              </w:rPr>
              <w:t>平方米</w:t>
            </w:r>
            <w:r>
              <w:rPr>
                <w:rFonts w:hint="eastAsia" w:ascii="宋体" w:hAnsi="宋体" w:eastAsia="宋体" w:cs="宋体"/>
                <w:i w:val="0"/>
                <w:iCs w:val="0"/>
                <w:color w:val="000000"/>
                <w:kern w:val="0"/>
                <w:sz w:val="18"/>
                <w:szCs w:val="18"/>
                <w:u w:val="none"/>
                <w:lang w:val="en-US" w:eastAsia="zh-CN" w:bidi="ar"/>
              </w:rPr>
              <w:t>（总计450个停车位、其中配建电动汽车充 电桩80根）、完成交通服务中心8000平方米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81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360" w:firstLineChars="200"/>
              <w:textAlignment w:val="auto"/>
              <w:rPr>
                <w:rFonts w:hint="eastAsia" w:ascii="宋体" w:hAnsi="宋体" w:eastAsia="宋体" w:cs="宋体"/>
                <w:i w:val="0"/>
                <w:iCs w:val="0"/>
                <w:color w:val="000000"/>
                <w:sz w:val="18"/>
                <w:szCs w:val="18"/>
                <w:u w:val="none"/>
              </w:rPr>
            </w:pPr>
            <w:r>
              <w:rPr>
                <w:rFonts w:hint="eastAsia" w:ascii="宋体" w:hAnsi="宋体" w:eastAsia="宋体" w:cs="宋体"/>
                <w:sz w:val="18"/>
                <w:szCs w:val="18"/>
                <w:lang w:val="en-US" w:eastAsia="zh-CN"/>
              </w:rPr>
              <w:t>本次设计总面积为8907.04平方米，包括物流综合楼建筑面积6493.35平方米、物流仓储用房建筑面积2361.64平方米、门卫室A建筑面积13.94平方米和门卫室B建筑面积38.11平方米。项目道路桥梁篇包含1条道路，全长280.102米，路基宽度12.0米，桥梁长度128米。采用城市支路设计标准，设计速度30km/h，沥青混凝土路面，道路宽度12米：2.5米人行道+3.5米车行道+3.5米车行道+2.5米人行道。主路基工程：砂砾石填方9134立方米、清表后砂砾石回填3834立方米、桥头路基回填砂砾石1183立方米、植物防护1160平方米、实体护坡288.6立方米、排水沟127.6立方米。路面工程：4cm SBS改性沥青混凝土上面层 2100.765㎡、5cm沥青混凝土下面层 2100.765㎡、25cm 5%水泥稳定碎石上基层 1140.765㎡、25cm 4%水泥稳定碎石下基础 1197.8㎡、15cm级配碎石垫层 1257.6㎡、仿大理石面砖 1260㎡。改路路线长度587米，路基计价砂砾石填方5347立方米、改造沥青混凝土路面3899平方米、C25混凝土加固土路肩 418立方米、波形护栏1094米。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w:t>
            </w:r>
          </w:p>
        </w:tc>
        <w:tc>
          <w:tcPr>
            <w:tcW w:w="2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iCs/>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年中预算追加专项债券资金7000万元。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w:t>
            </w:r>
          </w:p>
        </w:tc>
        <w:tc>
          <w:tcPr>
            <w:tcW w:w="2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c>
          <w:tcPr>
            <w:tcW w:w="2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9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绩效指标（90分）</w:t>
            </w:r>
          </w:p>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产出指标（50分）</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交通服务中心8000平方米、停车场9000</w:t>
            </w:r>
            <w:r>
              <w:rPr>
                <w:rFonts w:hint="eastAsia" w:ascii="宋体" w:hAnsi="宋体" w:cs="宋体"/>
                <w:i w:val="0"/>
                <w:iCs w:val="0"/>
                <w:color w:val="000000"/>
                <w:kern w:val="0"/>
                <w:sz w:val="18"/>
                <w:szCs w:val="18"/>
                <w:u w:val="none"/>
                <w:lang w:val="en-US" w:eastAsia="zh-CN" w:bidi="ar"/>
              </w:rPr>
              <w:t>平方米</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kern w:val="0"/>
                <w:sz w:val="18"/>
                <w:szCs w:val="18"/>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17000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平方米</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17000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100%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项目计划完成时间</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2022年12月</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r>
              <w:rPr>
                <w:rFonts w:hint="eastAsia" w:ascii="宋体" w:hAnsi="宋体" w:eastAsia="宋体" w:cs="宋体"/>
                <w:i w:val="0"/>
                <w:iCs w:val="0"/>
                <w:color w:val="000000"/>
                <w:sz w:val="18"/>
                <w:szCs w:val="18"/>
                <w:u w:val="none"/>
                <w:lang w:val="en-US" w:eastAsia="zh-CN"/>
              </w:rPr>
              <w:t>2022年12月</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剑南服务中心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房屋2500元/平方，仓储1000元/平方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r>
              <w:rPr>
                <w:rFonts w:hint="eastAsia" w:ascii="宋体" w:hAnsi="宋体" w:eastAsia="宋体" w:cs="宋体"/>
                <w:i w:val="0"/>
                <w:iCs w:val="0"/>
                <w:color w:val="000000"/>
                <w:sz w:val="18"/>
                <w:szCs w:val="18"/>
                <w:u w:val="none"/>
              </w:rPr>
              <w:t>房屋2500元/平方，仓储1000元/平方</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效绩指标（30分）</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增强地方商贸及社会经济活力。</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增强地方商贸及社会经济活力。</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iCs/>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增强地方商贸及社会经济活力。</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打造区域物流产业，带动区域内居民增收，实现物 流业更快更好发展，促进剑阁县社会经济全面发展，改善当地群众的 生活质量，增加就业机会，增强了地区的“造血功能”。</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打造区域物流产业，带动区域内居民增收，实现物 流业更快更好发展，促进剑阁县社会经济全面发展，改善当地群众的 生活质量，增加就业机会，增强了地区的“造血功能”。</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iCs/>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打造区域物流产业，带动区域内居民增收，实现物 流业更快更好发展，促进剑阁县社会经济全面发展，改善当地群众的 生活质量，增加就业机会，增强了地区的“造血功能”。</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项目建成后，有效控制水土流失，具有保护生态环境的良好效益。</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项目建成后，有效控制水土流失，具有保护生态环境的良好效益。</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iCs/>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项目建成后，有效控制水土流失，具有保护生态环境的良好效益。</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对物流行业有持续发展作用</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对物流行业有持续发展作用</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iCs/>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对物流行业有持续发展作用</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满意度指标（(10分)）</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行业管理满意度</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kern w:val="0"/>
                <w:sz w:val="18"/>
                <w:szCs w:val="18"/>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sz w:val="18"/>
                <w:szCs w:val="18"/>
              </w:rPr>
              <w:t>95%</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r>
              <w:rPr>
                <w:rFonts w:hint="eastAsia" w:ascii="宋体" w:hAnsi="宋体" w:eastAsia="宋体" w:cs="宋体"/>
                <w:sz w:val="18"/>
                <w:szCs w:val="18"/>
              </w:rPr>
              <w:t>95%</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6"/>
                <w:szCs w:val="16"/>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6"/>
                <w:szCs w:val="16"/>
                <w:u w:val="none"/>
                <w:lang w:val="en-US" w:eastAsia="zh-CN" w:bidi="ar"/>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9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kern w:val="0"/>
                <w:sz w:val="18"/>
                <w:szCs w:val="18"/>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sz w:val="18"/>
                <w:szCs w:val="18"/>
              </w:rPr>
              <w:t>95%</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r>
              <w:rPr>
                <w:rFonts w:hint="eastAsia" w:ascii="宋体" w:hAnsi="宋体" w:eastAsia="宋体" w:cs="宋体"/>
                <w:sz w:val="18"/>
                <w:szCs w:val="18"/>
              </w:rPr>
              <w:t>95%</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6"/>
                <w:szCs w:val="16"/>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6"/>
                <w:szCs w:val="16"/>
                <w:u w:val="none"/>
                <w:lang w:val="en-US" w:eastAsia="zh-CN" w:bidi="ar"/>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7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i/>
                <w:iCs/>
                <w:color w:val="000000"/>
                <w:sz w:val="18"/>
                <w:szCs w:val="18"/>
                <w:u w:val="none"/>
              </w:rPr>
            </w:pPr>
            <w:r>
              <w:rPr>
                <w:rFonts w:hint="eastAsia" w:ascii="宋体" w:hAnsi="宋体" w:eastAsia="宋体" w:cs="宋体"/>
                <w:color w:val="000000"/>
                <w:kern w:val="0"/>
                <w:sz w:val="18"/>
                <w:szCs w:val="18"/>
                <w:lang w:val="en-US" w:eastAsia="zh-CN"/>
              </w:rPr>
              <w:t>剑南物流中心建成投入使用后，将提供车管业务办理、旅客运输、货运物流、车辆检测等服务，切实解决我县中南部地区群众办理车驾管业务、出行不便和消费外流等问题，预计每年增加财政税收100万至150万元，</w:t>
            </w:r>
            <w:r>
              <w:rPr>
                <w:rFonts w:hint="eastAsia" w:ascii="宋体" w:hAnsi="宋体" w:cs="宋体"/>
                <w:color w:val="000000"/>
                <w:kern w:val="0"/>
                <w:sz w:val="18"/>
                <w:szCs w:val="18"/>
                <w:lang w:val="en-US" w:eastAsia="zh-CN"/>
              </w:rPr>
              <w:t>将</w:t>
            </w:r>
            <w:r>
              <w:rPr>
                <w:rFonts w:hint="eastAsia" w:ascii="宋体" w:hAnsi="宋体" w:eastAsia="宋体" w:cs="宋体"/>
                <w:color w:val="000000"/>
                <w:kern w:val="0"/>
                <w:sz w:val="18"/>
                <w:szCs w:val="18"/>
                <w:lang w:val="en-US" w:eastAsia="zh-CN"/>
              </w:rPr>
              <w:t>有效带动周边经济的发展</w:t>
            </w:r>
            <w:r>
              <w:rPr>
                <w:rFonts w:hint="eastAsia" w:ascii="宋体" w:hAnsi="宋体" w:eastAsia="宋体" w:cs="宋体"/>
                <w:color w:val="000000"/>
                <w:kern w:val="0"/>
                <w:sz w:val="18"/>
                <w:szCs w:val="18"/>
              </w:rPr>
              <w:t>。</w:t>
            </w:r>
            <w:r>
              <w:rPr>
                <w:rFonts w:hint="eastAsia" w:ascii="Courier New" w:hAnsi="Courier New" w:cs="Courier New"/>
                <w:color w:val="000000"/>
                <w:kern w:val="0"/>
                <w:sz w:val="18"/>
                <w:szCs w:val="18"/>
              </w:rPr>
              <w:t>2022年12月31日</w:t>
            </w:r>
            <w:r>
              <w:rPr>
                <w:rFonts w:hint="eastAsia" w:ascii="Courier New" w:hAnsi="Courier New" w:cs="Courier New"/>
                <w:color w:val="000000"/>
                <w:kern w:val="0"/>
                <w:sz w:val="18"/>
                <w:szCs w:val="18"/>
                <w:lang w:val="en-US" w:eastAsia="zh-CN"/>
              </w:rPr>
              <w:t>预算执行率100%</w:t>
            </w:r>
            <w:r>
              <w:rPr>
                <w:rFonts w:hint="eastAsia" w:ascii="Courier New" w:hAnsi="Courier New" w:cs="Courier New"/>
                <w:color w:val="000000"/>
                <w:kern w:val="0"/>
                <w:sz w:val="18"/>
                <w:szCs w:val="18"/>
              </w:rPr>
              <w:t>，达到年初绩效目标。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iCs/>
                <w:color w:val="000000"/>
                <w:sz w:val="18"/>
                <w:szCs w:val="18"/>
                <w:u w:val="none"/>
              </w:rPr>
            </w:pPr>
            <w:r>
              <w:rPr>
                <w:rFonts w:hint="eastAsia" w:ascii="Courier New" w:hAnsi="Courier New" w:cs="Courier New"/>
                <w:color w:val="000000"/>
                <w:kern w:val="0"/>
                <w:sz w:val="18"/>
                <w:szCs w:val="18"/>
              </w:rPr>
              <w:t>1、</w:t>
            </w:r>
            <w:r>
              <w:rPr>
                <w:rFonts w:hint="eastAsia" w:ascii="Courier New" w:hAnsi="Courier New" w:cs="Courier New"/>
                <w:color w:val="000000"/>
                <w:kern w:val="0"/>
                <w:sz w:val="18"/>
                <w:szCs w:val="18"/>
                <w:lang w:val="en-US" w:eastAsia="zh-CN"/>
              </w:rPr>
              <w:t>该</w:t>
            </w:r>
            <w:r>
              <w:rPr>
                <w:rFonts w:hint="eastAsia" w:ascii="Courier New" w:hAnsi="Courier New" w:cs="Courier New"/>
                <w:color w:val="000000"/>
                <w:kern w:val="0"/>
                <w:sz w:val="18"/>
                <w:szCs w:val="18"/>
              </w:rPr>
              <w:t>项目</w:t>
            </w:r>
            <w:r>
              <w:rPr>
                <w:rFonts w:hint="eastAsia" w:ascii="Courier New" w:hAnsi="Courier New" w:cs="Courier New"/>
                <w:color w:val="000000"/>
                <w:kern w:val="0"/>
                <w:sz w:val="18"/>
                <w:szCs w:val="18"/>
                <w:lang w:val="en-US" w:eastAsia="zh-CN"/>
              </w:rPr>
              <w:t>存在</w:t>
            </w:r>
            <w:r>
              <w:rPr>
                <w:rFonts w:hint="eastAsia" w:ascii="Courier New" w:hAnsi="Courier New" w:cs="Courier New"/>
                <w:color w:val="000000"/>
                <w:kern w:val="0"/>
                <w:sz w:val="18"/>
                <w:szCs w:val="18"/>
              </w:rPr>
              <w:t>资金</w:t>
            </w:r>
            <w:r>
              <w:rPr>
                <w:rFonts w:hint="eastAsia" w:ascii="Courier New" w:hAnsi="Courier New" w:cs="Courier New"/>
                <w:color w:val="000000"/>
                <w:kern w:val="0"/>
                <w:sz w:val="18"/>
                <w:szCs w:val="18"/>
                <w:lang w:val="en-US" w:eastAsia="zh-CN"/>
              </w:rPr>
              <w:t>缺口</w:t>
            </w:r>
            <w:r>
              <w:rPr>
                <w:rFonts w:hint="eastAsia" w:ascii="Courier New" w:hAnsi="Courier New" w:cs="Courier New"/>
                <w:color w:val="000000"/>
                <w:kern w:val="0"/>
                <w:sz w:val="18"/>
                <w:szCs w:val="18"/>
              </w:rPr>
              <w:t>。</w:t>
            </w:r>
            <w:r>
              <w:rPr>
                <w:rFonts w:hint="eastAsia" w:ascii="Courier New" w:hAnsi="Courier New" w:cs="Courier New"/>
                <w:color w:val="000000"/>
                <w:kern w:val="0"/>
                <w:sz w:val="18"/>
                <w:szCs w:val="18"/>
              </w:rPr>
              <w:br w:type="textWrapping"/>
            </w:r>
            <w:r>
              <w:rPr>
                <w:rFonts w:hint="eastAsia" w:ascii="Courier New" w:hAnsi="Courier New" w:cs="Courier New"/>
                <w:color w:val="000000"/>
                <w:kern w:val="0"/>
                <w:sz w:val="18"/>
                <w:szCs w:val="18"/>
              </w:rPr>
              <w:t>2、</w:t>
            </w:r>
            <w:r>
              <w:rPr>
                <w:rFonts w:hint="eastAsia" w:ascii="Courier New" w:hAnsi="Courier New" w:cs="Courier New"/>
                <w:color w:val="000000"/>
                <w:kern w:val="0"/>
                <w:sz w:val="18"/>
                <w:szCs w:val="18"/>
                <w:lang w:val="en-US" w:eastAsia="zh-CN"/>
              </w:rPr>
              <w:t>该</w:t>
            </w:r>
            <w:r>
              <w:rPr>
                <w:rFonts w:hint="eastAsia" w:ascii="Courier New" w:hAnsi="Courier New" w:cs="Courier New"/>
                <w:color w:val="000000"/>
                <w:kern w:val="0"/>
                <w:sz w:val="18"/>
                <w:szCs w:val="18"/>
              </w:rPr>
              <w:t>项目整体绩效有待进一步提高。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iCs/>
                <w:color w:val="000000"/>
                <w:sz w:val="18"/>
                <w:szCs w:val="18"/>
                <w:u w:val="none"/>
              </w:rPr>
            </w:pPr>
            <w:r>
              <w:rPr>
                <w:rFonts w:hint="eastAsia" w:ascii="Courier New" w:hAnsi="Courier New" w:cs="Courier New"/>
                <w:color w:val="000000"/>
                <w:kern w:val="0"/>
                <w:sz w:val="18"/>
                <w:szCs w:val="18"/>
              </w:rPr>
              <w:t>1、</w:t>
            </w:r>
            <w:r>
              <w:rPr>
                <w:rFonts w:hint="eastAsia" w:ascii="Courier New" w:hAnsi="Courier New" w:cs="Courier New"/>
                <w:color w:val="000000"/>
                <w:kern w:val="0"/>
                <w:sz w:val="18"/>
                <w:szCs w:val="18"/>
                <w:lang w:val="en-US" w:eastAsia="zh-CN"/>
              </w:rPr>
              <w:t>积极申请银行贷款，争取纳入剑阁县银行中长期贷款资金中解决</w:t>
            </w:r>
            <w:r>
              <w:rPr>
                <w:rFonts w:hint="eastAsia" w:ascii="Courier New" w:hAnsi="Courier New" w:cs="Courier New"/>
                <w:color w:val="000000"/>
                <w:kern w:val="0"/>
                <w:sz w:val="18"/>
                <w:szCs w:val="18"/>
              </w:rPr>
              <w:t>。</w:t>
            </w:r>
            <w:r>
              <w:rPr>
                <w:rFonts w:hint="eastAsia" w:ascii="Courier New" w:hAnsi="Courier New" w:cs="Courier New"/>
                <w:color w:val="000000"/>
                <w:kern w:val="0"/>
                <w:sz w:val="18"/>
                <w:szCs w:val="18"/>
              </w:rPr>
              <w:br w:type="textWrapping"/>
            </w:r>
            <w:r>
              <w:rPr>
                <w:rFonts w:hint="eastAsia" w:ascii="Courier New" w:hAnsi="Courier New" w:cs="Courier New"/>
                <w:color w:val="000000"/>
                <w:kern w:val="0"/>
                <w:sz w:val="18"/>
                <w:szCs w:val="18"/>
              </w:rPr>
              <w:t>2、加强</w:t>
            </w:r>
            <w:r>
              <w:rPr>
                <w:rFonts w:hint="eastAsia" w:ascii="Courier New" w:hAnsi="Courier New" w:cs="Courier New"/>
                <w:color w:val="000000"/>
                <w:kern w:val="0"/>
                <w:sz w:val="18"/>
                <w:szCs w:val="18"/>
                <w:lang w:val="en-US" w:eastAsia="zh-CN"/>
              </w:rPr>
              <w:t>项目绩效管理</w:t>
            </w:r>
            <w:r>
              <w:rPr>
                <w:rFonts w:hint="eastAsia" w:ascii="Courier New" w:hAnsi="Courier New" w:cs="Courier New"/>
                <w:color w:val="000000"/>
                <w:kern w:val="0"/>
                <w:sz w:val="18"/>
                <w:szCs w:val="18"/>
              </w:rPr>
              <w:t>，</w:t>
            </w:r>
            <w:r>
              <w:rPr>
                <w:rFonts w:hint="eastAsia" w:ascii="Courier New" w:hAnsi="Courier New" w:cs="Courier New"/>
                <w:color w:val="000000"/>
                <w:kern w:val="0"/>
                <w:sz w:val="18"/>
                <w:szCs w:val="18"/>
                <w:lang w:val="en-US" w:eastAsia="zh-CN"/>
              </w:rPr>
              <w:t>充分发挥投资效益</w:t>
            </w:r>
            <w:r>
              <w:rPr>
                <w:rFonts w:hint="eastAsia" w:ascii="Courier New" w:hAnsi="Courier New" w:cs="Courier New"/>
                <w:color w:val="000000"/>
                <w:kern w:val="0"/>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项目负责人：蹇禄德</w:t>
            </w:r>
          </w:p>
        </w:tc>
        <w:tc>
          <w:tcPr>
            <w:tcW w:w="4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财务负责人：</w:t>
            </w:r>
            <w:r>
              <w:rPr>
                <w:rFonts w:hint="eastAsia" w:ascii="宋体" w:hAnsi="宋体" w:cs="宋体"/>
                <w:i w:val="0"/>
                <w:iCs w:val="0"/>
                <w:color w:val="000000"/>
                <w:kern w:val="0"/>
                <w:sz w:val="18"/>
                <w:szCs w:val="18"/>
                <w:u w:val="none"/>
                <w:lang w:val="en-US" w:eastAsia="zh-CN" w:bidi="ar"/>
              </w:rPr>
              <w:t>贯玉波</w:t>
            </w:r>
          </w:p>
        </w:tc>
      </w:tr>
    </w:tbl>
    <w:p>
      <w:pPr>
        <w:pStyle w:val="2"/>
        <w:ind w:left="0" w:leftChars="0" w:firstLine="0" w:firstLineChars="0"/>
        <w:rPr>
          <w:rFonts w:hint="eastAsia" w:ascii="宋体" w:hAnsi="宋体" w:cs="宋体"/>
          <w:kern w:val="0"/>
          <w:sz w:val="32"/>
          <w:szCs w:val="32"/>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tbl>
      <w:tblPr>
        <w:tblStyle w:val="14"/>
        <w:tblpPr w:leftFromText="180" w:rightFromText="180" w:vertAnchor="text" w:horzAnchor="page" w:tblpX="1766" w:tblpY="551"/>
        <w:tblOverlap w:val="never"/>
        <w:tblW w:w="94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9"/>
        <w:gridCol w:w="837"/>
        <w:gridCol w:w="779"/>
        <w:gridCol w:w="1550"/>
        <w:gridCol w:w="657"/>
        <w:gridCol w:w="1251"/>
        <w:gridCol w:w="724"/>
        <w:gridCol w:w="1222"/>
        <w:gridCol w:w="512"/>
        <w:gridCol w:w="616"/>
        <w:gridCol w:w="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94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9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51082322T000007214914</w:t>
            </w:r>
            <w:r>
              <w:rPr>
                <w:rFonts w:hint="eastAsia" w:ascii="宋体" w:hAnsi="宋体" w:cs="宋体"/>
                <w:i w:val="0"/>
                <w:iCs w:val="0"/>
                <w:color w:val="000000"/>
                <w:kern w:val="0"/>
                <w:sz w:val="18"/>
                <w:szCs w:val="18"/>
                <w:u w:val="none"/>
                <w:lang w:val="en-US" w:eastAsia="zh-CN" w:bidi="ar"/>
              </w:rPr>
              <w:t>—2022年</w:t>
            </w:r>
            <w:r>
              <w:rPr>
                <w:rFonts w:hint="eastAsia" w:ascii="宋体" w:hAnsi="宋体" w:eastAsia="宋体" w:cs="宋体"/>
                <w:i w:val="0"/>
                <w:iCs w:val="0"/>
                <w:color w:val="000000"/>
                <w:kern w:val="0"/>
                <w:sz w:val="18"/>
                <w:szCs w:val="18"/>
                <w:u w:val="none"/>
                <w:lang w:val="en-US" w:eastAsia="zh-CN" w:bidi="ar"/>
              </w:rPr>
              <w:t>撤并建制村畅通工程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9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剑阁县交通运输局部门</w:t>
            </w:r>
          </w:p>
        </w:tc>
        <w:tc>
          <w:tcPr>
            <w:tcW w:w="122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9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29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49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 xml:space="preserve">完成两项改革后半篇文章撤并建制村畅通工程建设139.9公里。   </w:t>
            </w:r>
          </w:p>
        </w:tc>
        <w:tc>
          <w:tcPr>
            <w:tcW w:w="29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 xml:space="preserve">完成两项改革后半篇文章撤并建制村畅通工程建设139.9公里。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9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根据省厅年初下达2022年撤并建制村畅通工程任务，剑阁县农村公路建设事务中心分组对下达任务再次核实，通过党组会研究审定项目后，由交通运输局打捆立项，县发展和改革局批复</w:t>
            </w:r>
            <w:r>
              <w:rPr>
                <w:rFonts w:hint="eastAsia" w:ascii="宋体" w:hAnsi="宋体" w:cs="宋体"/>
                <w:i w:val="0"/>
                <w:iCs w:val="0"/>
                <w:color w:val="000000"/>
                <w:sz w:val="18"/>
                <w:szCs w:val="18"/>
                <w:u w:val="none"/>
                <w:lang w:val="en-US" w:eastAsia="zh-CN"/>
              </w:rPr>
              <w:t>，各乡镇</w:t>
            </w:r>
            <w:r>
              <w:rPr>
                <w:rFonts w:hint="eastAsia" w:ascii="宋体" w:hAnsi="宋体" w:eastAsia="宋体" w:cs="宋体"/>
                <w:i w:val="0"/>
                <w:iCs w:val="0"/>
                <w:color w:val="000000"/>
                <w:sz w:val="18"/>
                <w:szCs w:val="18"/>
                <w:u w:val="none"/>
              </w:rPr>
              <w:t>完成两项改革后半篇文章撤并建制村畅通工程建设139.9公里</w:t>
            </w:r>
            <w:r>
              <w:rPr>
                <w:rFonts w:hint="eastAsia" w:ascii="宋体" w:hAnsi="宋体" w:eastAsia="宋体" w:cs="宋体"/>
                <w:i w:val="0"/>
                <w:iCs w:val="0"/>
                <w:color w:val="000000"/>
                <w:sz w:val="18"/>
                <w:szCs w:val="18"/>
                <w:u w:val="none"/>
                <w:lang w:val="en-US" w:eastAsia="zh-CN"/>
              </w:rPr>
              <w:t>。</w:t>
            </w:r>
          </w:p>
          <w:p>
            <w:pPr>
              <w:keepNext w:val="0"/>
              <w:keepLines w:val="0"/>
              <w:pageBreakBefore w:val="0"/>
              <w:widowControl/>
              <w:kinsoku/>
              <w:wordWrap/>
              <w:overflowPunct/>
              <w:topLinePunct w:val="0"/>
              <w:autoSpaceDE/>
              <w:autoSpaceDN/>
              <w:bidi w:val="0"/>
              <w:adjustRightInd/>
              <w:snapToGrid/>
              <w:spacing w:line="220" w:lineRule="exact"/>
              <w:ind w:firstLine="360" w:firstLineChars="200"/>
              <w:textAlignment w:val="auto"/>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2,919.00</w:t>
            </w:r>
          </w:p>
        </w:tc>
        <w:tc>
          <w:tcPr>
            <w:tcW w:w="2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2,919.00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iCs/>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年中预算追加</w:t>
            </w:r>
            <w:r>
              <w:rPr>
                <w:rFonts w:hint="eastAsia" w:ascii="宋体" w:hAnsi="宋体" w:cs="宋体"/>
                <w:i w:val="0"/>
                <w:iCs w:val="0"/>
                <w:color w:val="000000"/>
                <w:kern w:val="0"/>
                <w:sz w:val="18"/>
                <w:szCs w:val="18"/>
                <w:u w:val="none"/>
                <w:lang w:val="en-US" w:eastAsia="zh-CN" w:bidi="ar"/>
              </w:rPr>
              <w:t>2919</w:t>
            </w:r>
            <w:r>
              <w:rPr>
                <w:rFonts w:hint="eastAsia" w:ascii="宋体" w:hAnsi="宋体" w:eastAsia="宋体" w:cs="宋体"/>
                <w:i w:val="0"/>
                <w:iCs w:val="0"/>
                <w:color w:val="000000"/>
                <w:kern w:val="0"/>
                <w:sz w:val="18"/>
                <w:szCs w:val="18"/>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2,919.00</w:t>
            </w:r>
          </w:p>
        </w:tc>
        <w:tc>
          <w:tcPr>
            <w:tcW w:w="2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2,919.00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c>
          <w:tcPr>
            <w:tcW w:w="2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9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绩效指标（90分）</w:t>
            </w:r>
          </w:p>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产出指标（50分）</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数量指标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两项改革后半篇文章撤并建制村畅通工程</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139.9</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val="en-US" w:eastAsia="zh-CN"/>
              </w:rPr>
              <w:t>公里</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139.9</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质量指标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项目（工程）验收合格率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时效指标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项目（工程）完成及时率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95%</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成本指标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村道路加宽</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16万元／公里</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16万元／公里</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效绩指标（30分）</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经济效益指标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改善农村公路环境、提升通行能力，提高生产能力，发展机遇增多，促使群众收入增加，生活改善</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明显提高</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明显提高</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7</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7</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社会效益指标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解决出行难问题受益贫困人口数</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≥19236人</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≥19236人</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8</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8</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生态效益指标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有效改善道路环境，减少空气污染，行业技术水平明显提高</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明显提高</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明显提高</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7</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7</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可持续影响指标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工程设计使用年限</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10年</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10年</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8</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8</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满意度指标（(10分)）</w:t>
            </w:r>
          </w:p>
        </w:tc>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服务对象满意度指标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解决出行难问题受益贫困人口满意度</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95%</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95%</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9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行业对工作的满意度</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95%</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95%</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7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评价结论</w:t>
            </w:r>
          </w:p>
        </w:tc>
        <w:tc>
          <w:tcPr>
            <w:tcW w:w="8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项目建成后有效改善农村公路环境、提升通行能力，提高生产能力，发展机遇增多，促使群众收入增加，生活改善；提升公共服务水平；提升道路安全水平；改善道路环境，减少空气污染，行业技术水平明显提高。2022年12月31日预算执行率100%，达到年初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存在问题</w:t>
            </w:r>
          </w:p>
        </w:tc>
        <w:tc>
          <w:tcPr>
            <w:tcW w:w="8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该</w:t>
            </w:r>
            <w:r>
              <w:rPr>
                <w:rFonts w:hint="eastAsia" w:ascii="宋体" w:hAnsi="宋体" w:eastAsia="宋体" w:cs="宋体"/>
                <w:i w:val="0"/>
                <w:iCs w:val="0"/>
                <w:color w:val="000000"/>
                <w:sz w:val="18"/>
                <w:szCs w:val="18"/>
                <w:u w:val="none"/>
              </w:rPr>
              <w:t>项目</w:t>
            </w:r>
            <w:r>
              <w:rPr>
                <w:rFonts w:hint="eastAsia" w:ascii="宋体" w:hAnsi="宋体" w:eastAsia="宋体" w:cs="宋体"/>
                <w:i w:val="0"/>
                <w:iCs w:val="0"/>
                <w:color w:val="000000"/>
                <w:sz w:val="18"/>
                <w:szCs w:val="18"/>
                <w:u w:val="none"/>
                <w:lang w:val="en-US" w:eastAsia="zh-CN"/>
              </w:rPr>
              <w:t>上级下达补助资金3819万元，2022年财政年底平盘追减900万元，造成项目存在</w:t>
            </w:r>
            <w:r>
              <w:rPr>
                <w:rFonts w:hint="eastAsia" w:ascii="宋体" w:hAnsi="宋体" w:eastAsia="宋体" w:cs="宋体"/>
                <w:i w:val="0"/>
                <w:iCs w:val="0"/>
                <w:color w:val="000000"/>
                <w:sz w:val="18"/>
                <w:szCs w:val="18"/>
                <w:u w:val="none"/>
              </w:rPr>
              <w:t>资金</w:t>
            </w:r>
            <w:r>
              <w:rPr>
                <w:rFonts w:hint="eastAsia" w:ascii="宋体" w:hAnsi="宋体" w:eastAsia="宋体" w:cs="宋体"/>
                <w:i w:val="0"/>
                <w:iCs w:val="0"/>
                <w:color w:val="000000"/>
                <w:sz w:val="18"/>
                <w:szCs w:val="18"/>
                <w:u w:val="none"/>
                <w:lang w:val="en-US" w:eastAsia="zh-CN"/>
              </w:rPr>
              <w:t>缺口</w:t>
            </w:r>
            <w:r>
              <w:rPr>
                <w:rFonts w:hint="eastAsia" w:ascii="宋体" w:hAnsi="宋体" w:eastAsia="宋体" w:cs="宋体"/>
                <w:i w:val="0"/>
                <w:iCs w:val="0"/>
                <w:color w:val="000000"/>
                <w:sz w:val="18"/>
                <w:szCs w:val="18"/>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改进措施</w:t>
            </w:r>
          </w:p>
        </w:tc>
        <w:tc>
          <w:tcPr>
            <w:tcW w:w="8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积极和财政对接，争取项目资金到位。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5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项目负责人：杨清龙</w:t>
            </w:r>
          </w:p>
        </w:tc>
        <w:tc>
          <w:tcPr>
            <w:tcW w:w="4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sz w:val="18"/>
                <w:szCs w:val="18"/>
                <w:u w:val="none"/>
                <w:lang w:val="en-US" w:eastAsia="zh-CN"/>
              </w:rPr>
              <w:t>财务负责人：贯玉波</w:t>
            </w:r>
          </w:p>
        </w:tc>
      </w:tr>
    </w:tbl>
    <w:p>
      <w:pPr>
        <w:rPr>
          <w:rFonts w:hint="eastAsia"/>
        </w:rPr>
      </w:pPr>
    </w:p>
    <w:p>
      <w:pPr>
        <w:rPr>
          <w:rFonts w:hint="eastAsia"/>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spacing w:line="600" w:lineRule="exact"/>
        <w:jc w:val="center"/>
        <w:outlineLvl w:val="0"/>
        <w:rPr>
          <w:rFonts w:ascii="仿宋" w:hAnsi="仿宋" w:eastAsia="仿宋"/>
        </w:rPr>
      </w:pPr>
      <w:bookmarkStart w:id="83" w:name="_Toc2407"/>
      <w:r>
        <w:rPr>
          <w:rFonts w:hint="eastAsia" w:ascii="黑体" w:hAnsi="黑体" w:eastAsia="黑体"/>
          <w:sz w:val="44"/>
          <w:szCs w:val="44"/>
        </w:rPr>
        <w:t>第</w:t>
      </w:r>
      <w:r>
        <w:rPr>
          <w:rStyle w:val="26"/>
          <w:rFonts w:hint="eastAsia" w:ascii="黑体" w:hAnsi="黑体" w:eastAsia="黑体"/>
          <w:b w:val="0"/>
        </w:rPr>
        <w:t>五部分 附表</w:t>
      </w:r>
      <w:bookmarkEnd w:id="79"/>
      <w:bookmarkEnd w:id="82"/>
      <w:bookmarkEnd w:id="83"/>
      <w:bookmarkStart w:id="84" w:name="_Toc15396619"/>
    </w:p>
    <w:p>
      <w:pPr>
        <w:pStyle w:val="5"/>
        <w:rPr>
          <w:rFonts w:ascii="仿宋" w:hAnsi="仿宋" w:eastAsia="仿宋"/>
        </w:rPr>
      </w:pPr>
      <w:bookmarkStart w:id="85" w:name="_Toc19700"/>
      <w:r>
        <w:rPr>
          <w:rFonts w:hint="eastAsia" w:ascii="仿宋" w:hAnsi="仿宋" w:eastAsia="仿宋"/>
          <w:b w:val="0"/>
        </w:rPr>
        <w:t>一、收</w:t>
      </w:r>
      <w:r>
        <w:rPr>
          <w:rStyle w:val="27"/>
          <w:rFonts w:hint="eastAsia" w:ascii="仿宋" w:hAnsi="仿宋" w:eastAsia="仿宋"/>
          <w:b w:val="0"/>
          <w:bCs w:val="0"/>
        </w:rPr>
        <w:t>入支出决算总表</w:t>
      </w:r>
      <w:bookmarkEnd w:id="84"/>
      <w:bookmarkEnd w:id="85"/>
    </w:p>
    <w:p>
      <w:pPr>
        <w:pStyle w:val="5"/>
        <w:rPr>
          <w:rFonts w:ascii="仿宋" w:hAnsi="仿宋" w:eastAsia="仿宋"/>
        </w:rPr>
      </w:pPr>
      <w:bookmarkStart w:id="86" w:name="_Toc15396620"/>
      <w:bookmarkStart w:id="87" w:name="_Toc13282"/>
      <w:r>
        <w:rPr>
          <w:rFonts w:hint="eastAsia" w:ascii="仿宋" w:hAnsi="仿宋" w:eastAsia="仿宋"/>
          <w:b w:val="0"/>
        </w:rPr>
        <w:t>二、收</w:t>
      </w:r>
      <w:r>
        <w:rPr>
          <w:rStyle w:val="27"/>
          <w:rFonts w:hint="eastAsia" w:ascii="仿宋" w:hAnsi="仿宋" w:eastAsia="仿宋"/>
          <w:b w:val="0"/>
          <w:bCs w:val="0"/>
        </w:rPr>
        <w:t>入决算表</w:t>
      </w:r>
      <w:bookmarkEnd w:id="86"/>
      <w:bookmarkEnd w:id="87"/>
    </w:p>
    <w:p>
      <w:pPr>
        <w:pStyle w:val="5"/>
        <w:rPr>
          <w:rFonts w:ascii="仿宋" w:hAnsi="仿宋" w:eastAsia="仿宋"/>
        </w:rPr>
      </w:pPr>
      <w:bookmarkStart w:id="88" w:name="_Toc14281"/>
      <w:bookmarkStart w:id="89" w:name="_Toc15396621"/>
      <w:r>
        <w:rPr>
          <w:rStyle w:val="27"/>
          <w:rFonts w:hint="eastAsia" w:ascii="仿宋" w:hAnsi="仿宋" w:eastAsia="仿宋"/>
          <w:b w:val="0"/>
          <w:bCs w:val="0"/>
        </w:rPr>
        <w:t>三、</w:t>
      </w:r>
      <w:r>
        <w:rPr>
          <w:rFonts w:hint="eastAsia" w:ascii="仿宋" w:hAnsi="仿宋" w:eastAsia="仿宋"/>
          <w:b w:val="0"/>
        </w:rPr>
        <w:t>支</w:t>
      </w:r>
      <w:r>
        <w:rPr>
          <w:rStyle w:val="27"/>
          <w:rFonts w:hint="eastAsia" w:ascii="仿宋" w:hAnsi="仿宋" w:eastAsia="仿宋"/>
          <w:b w:val="0"/>
          <w:bCs w:val="0"/>
        </w:rPr>
        <w:t>出决算表</w:t>
      </w:r>
      <w:bookmarkEnd w:id="88"/>
      <w:bookmarkEnd w:id="89"/>
    </w:p>
    <w:p>
      <w:pPr>
        <w:pStyle w:val="5"/>
        <w:rPr>
          <w:rFonts w:ascii="仿宋" w:hAnsi="仿宋" w:eastAsia="仿宋"/>
          <w:b w:val="0"/>
        </w:rPr>
      </w:pPr>
      <w:bookmarkStart w:id="90" w:name="_Toc22957"/>
      <w:bookmarkStart w:id="91" w:name="_Toc15396622"/>
      <w:r>
        <w:rPr>
          <w:rStyle w:val="27"/>
          <w:rFonts w:hint="eastAsia" w:ascii="仿宋" w:hAnsi="仿宋" w:eastAsia="仿宋"/>
          <w:b w:val="0"/>
          <w:bCs w:val="0"/>
        </w:rPr>
        <w:t>四、</w:t>
      </w:r>
      <w:r>
        <w:rPr>
          <w:rFonts w:hint="eastAsia" w:ascii="仿宋" w:hAnsi="仿宋" w:eastAsia="仿宋"/>
          <w:b w:val="0"/>
        </w:rPr>
        <w:t>财</w:t>
      </w:r>
      <w:r>
        <w:rPr>
          <w:rStyle w:val="27"/>
          <w:rFonts w:hint="eastAsia" w:ascii="仿宋" w:hAnsi="仿宋" w:eastAsia="仿宋"/>
          <w:b w:val="0"/>
          <w:bCs w:val="0"/>
        </w:rPr>
        <w:t>政拨款收入支出决算总表</w:t>
      </w:r>
      <w:bookmarkEnd w:id="90"/>
      <w:bookmarkEnd w:id="91"/>
    </w:p>
    <w:p>
      <w:pPr>
        <w:pStyle w:val="5"/>
        <w:rPr>
          <w:rStyle w:val="27"/>
          <w:rFonts w:ascii="仿宋" w:hAnsi="仿宋" w:eastAsia="仿宋"/>
          <w:b w:val="0"/>
          <w:bCs w:val="0"/>
        </w:rPr>
      </w:pPr>
      <w:bookmarkStart w:id="92" w:name="_Toc9253"/>
      <w:bookmarkStart w:id="93" w:name="_Toc15396623"/>
      <w:r>
        <w:rPr>
          <w:rStyle w:val="27"/>
          <w:rFonts w:hint="eastAsia" w:ascii="仿宋" w:hAnsi="仿宋" w:eastAsia="仿宋"/>
          <w:b w:val="0"/>
          <w:bCs w:val="0"/>
        </w:rPr>
        <w:t>五、</w:t>
      </w:r>
      <w:r>
        <w:rPr>
          <w:rFonts w:hint="eastAsia" w:ascii="仿宋" w:hAnsi="仿宋" w:eastAsia="仿宋"/>
          <w:b w:val="0"/>
        </w:rPr>
        <w:t>财</w:t>
      </w:r>
      <w:r>
        <w:rPr>
          <w:rStyle w:val="27"/>
          <w:rFonts w:hint="eastAsia" w:ascii="仿宋" w:hAnsi="仿宋" w:eastAsia="仿宋"/>
          <w:b w:val="0"/>
          <w:bCs w:val="0"/>
        </w:rPr>
        <w:t>政拨款支出决算明细表</w:t>
      </w:r>
      <w:bookmarkEnd w:id="92"/>
      <w:bookmarkEnd w:id="93"/>
      <w:bookmarkStart w:id="94" w:name="_Toc15396624"/>
    </w:p>
    <w:p>
      <w:pPr>
        <w:pStyle w:val="5"/>
        <w:rPr>
          <w:rFonts w:ascii="仿宋" w:hAnsi="仿宋" w:eastAsia="仿宋"/>
        </w:rPr>
      </w:pPr>
      <w:bookmarkStart w:id="95" w:name="_Toc18818"/>
      <w:r>
        <w:rPr>
          <w:rStyle w:val="27"/>
          <w:rFonts w:hint="eastAsia" w:ascii="仿宋" w:hAnsi="仿宋" w:eastAsia="仿宋"/>
          <w:b w:val="0"/>
          <w:bCs w:val="0"/>
        </w:rPr>
        <w:t>六、</w:t>
      </w:r>
      <w:r>
        <w:rPr>
          <w:rFonts w:hint="eastAsia" w:ascii="仿宋" w:hAnsi="仿宋" w:eastAsia="仿宋"/>
          <w:b w:val="0"/>
        </w:rPr>
        <w:t>一</w:t>
      </w:r>
      <w:r>
        <w:rPr>
          <w:rStyle w:val="27"/>
          <w:rFonts w:hint="eastAsia" w:ascii="仿宋" w:hAnsi="仿宋" w:eastAsia="仿宋"/>
          <w:b w:val="0"/>
          <w:bCs w:val="0"/>
        </w:rPr>
        <w:t>般公共预算财政拨款支出决算表</w:t>
      </w:r>
      <w:bookmarkEnd w:id="94"/>
      <w:bookmarkEnd w:id="95"/>
    </w:p>
    <w:p>
      <w:pPr>
        <w:pStyle w:val="5"/>
        <w:rPr>
          <w:rFonts w:ascii="仿宋" w:hAnsi="仿宋" w:eastAsia="仿宋"/>
        </w:rPr>
      </w:pPr>
      <w:bookmarkStart w:id="96" w:name="_Toc19341"/>
      <w:bookmarkStart w:id="97" w:name="_Toc15396625"/>
      <w:r>
        <w:rPr>
          <w:rStyle w:val="27"/>
          <w:rFonts w:hint="eastAsia" w:ascii="仿宋" w:hAnsi="仿宋" w:eastAsia="仿宋"/>
          <w:b w:val="0"/>
          <w:bCs w:val="0"/>
        </w:rPr>
        <w:t>七、</w:t>
      </w:r>
      <w:r>
        <w:rPr>
          <w:rFonts w:hint="eastAsia" w:ascii="仿宋" w:hAnsi="仿宋" w:eastAsia="仿宋"/>
          <w:b w:val="0"/>
        </w:rPr>
        <w:t>一</w:t>
      </w:r>
      <w:r>
        <w:rPr>
          <w:rStyle w:val="27"/>
          <w:rFonts w:hint="eastAsia" w:ascii="仿宋" w:hAnsi="仿宋" w:eastAsia="仿宋"/>
          <w:b w:val="0"/>
          <w:bCs w:val="0"/>
        </w:rPr>
        <w:t>般公共预算财政拨款支出决算明细表</w:t>
      </w:r>
      <w:bookmarkEnd w:id="96"/>
      <w:bookmarkEnd w:id="97"/>
    </w:p>
    <w:p>
      <w:pPr>
        <w:pStyle w:val="5"/>
        <w:rPr>
          <w:rFonts w:ascii="仿宋" w:hAnsi="仿宋" w:eastAsia="仿宋"/>
        </w:rPr>
      </w:pPr>
      <w:bookmarkStart w:id="98" w:name="_Toc15396626"/>
      <w:bookmarkStart w:id="99" w:name="_Toc11708"/>
      <w:r>
        <w:rPr>
          <w:rStyle w:val="27"/>
          <w:rFonts w:hint="eastAsia" w:ascii="仿宋" w:hAnsi="仿宋" w:eastAsia="仿宋"/>
          <w:b w:val="0"/>
          <w:bCs w:val="0"/>
        </w:rPr>
        <w:t>八、</w:t>
      </w:r>
      <w:r>
        <w:rPr>
          <w:rFonts w:hint="eastAsia" w:ascii="仿宋" w:hAnsi="仿宋" w:eastAsia="仿宋"/>
          <w:b w:val="0"/>
        </w:rPr>
        <w:t>一</w:t>
      </w:r>
      <w:r>
        <w:rPr>
          <w:rStyle w:val="27"/>
          <w:rFonts w:hint="eastAsia" w:ascii="仿宋" w:hAnsi="仿宋" w:eastAsia="仿宋"/>
          <w:b w:val="0"/>
          <w:bCs w:val="0"/>
        </w:rPr>
        <w:t>般公共预算财政拨款基本支出决算表</w:t>
      </w:r>
      <w:bookmarkEnd w:id="98"/>
      <w:bookmarkEnd w:id="99"/>
    </w:p>
    <w:p>
      <w:pPr>
        <w:pStyle w:val="5"/>
        <w:rPr>
          <w:rFonts w:ascii="仿宋" w:hAnsi="仿宋" w:eastAsia="仿宋"/>
        </w:rPr>
      </w:pPr>
      <w:bookmarkStart w:id="100" w:name="_Toc21037"/>
      <w:bookmarkStart w:id="101" w:name="_Toc15396627"/>
      <w:r>
        <w:rPr>
          <w:rStyle w:val="27"/>
          <w:rFonts w:hint="eastAsia" w:ascii="仿宋" w:hAnsi="仿宋" w:eastAsia="仿宋"/>
          <w:b w:val="0"/>
          <w:bCs w:val="0"/>
        </w:rPr>
        <w:t>九、</w:t>
      </w:r>
      <w:r>
        <w:rPr>
          <w:rFonts w:hint="eastAsia" w:ascii="仿宋" w:hAnsi="仿宋" w:eastAsia="仿宋"/>
          <w:b w:val="0"/>
        </w:rPr>
        <w:t>一</w:t>
      </w:r>
      <w:r>
        <w:rPr>
          <w:rStyle w:val="27"/>
          <w:rFonts w:hint="eastAsia" w:ascii="仿宋" w:hAnsi="仿宋" w:eastAsia="仿宋"/>
          <w:b w:val="0"/>
          <w:bCs w:val="0"/>
        </w:rPr>
        <w:t>般公共预算财政拨款项目支出决算表</w:t>
      </w:r>
      <w:bookmarkEnd w:id="100"/>
      <w:bookmarkEnd w:id="101"/>
    </w:p>
    <w:p>
      <w:pPr>
        <w:pStyle w:val="5"/>
        <w:rPr>
          <w:rFonts w:ascii="仿宋" w:hAnsi="仿宋" w:eastAsia="仿宋"/>
        </w:rPr>
      </w:pPr>
      <w:bookmarkStart w:id="102" w:name="_Toc15396628"/>
      <w:bookmarkStart w:id="103" w:name="_Toc14347"/>
      <w:r>
        <w:rPr>
          <w:rStyle w:val="27"/>
          <w:rFonts w:hint="eastAsia" w:ascii="仿宋" w:hAnsi="仿宋" w:eastAsia="仿宋"/>
          <w:b w:val="0"/>
          <w:bCs w:val="0"/>
        </w:rPr>
        <w:t>十、</w:t>
      </w:r>
      <w:bookmarkEnd w:id="102"/>
      <w:r>
        <w:rPr>
          <w:rFonts w:hint="eastAsia" w:ascii="仿宋" w:hAnsi="仿宋" w:eastAsia="仿宋"/>
          <w:b w:val="0"/>
        </w:rPr>
        <w:t>政</w:t>
      </w:r>
      <w:r>
        <w:rPr>
          <w:rStyle w:val="27"/>
          <w:rFonts w:hint="eastAsia" w:ascii="仿宋" w:hAnsi="仿宋" w:eastAsia="仿宋"/>
          <w:b w:val="0"/>
          <w:bCs w:val="0"/>
        </w:rPr>
        <w:t>府性基金预算财政拨款收入支出决算表</w:t>
      </w:r>
      <w:bookmarkEnd w:id="103"/>
    </w:p>
    <w:p>
      <w:pPr>
        <w:pStyle w:val="5"/>
        <w:rPr>
          <w:rFonts w:ascii="仿宋" w:hAnsi="仿宋" w:eastAsia="仿宋"/>
        </w:rPr>
      </w:pPr>
      <w:bookmarkStart w:id="104" w:name="_Toc15396629"/>
      <w:bookmarkStart w:id="105" w:name="_Toc12364"/>
      <w:r>
        <w:rPr>
          <w:rStyle w:val="27"/>
          <w:rFonts w:hint="eastAsia" w:ascii="仿宋" w:hAnsi="仿宋" w:eastAsia="仿宋"/>
          <w:b w:val="0"/>
          <w:bCs w:val="0"/>
        </w:rPr>
        <w:t>十一、</w:t>
      </w:r>
      <w:bookmarkEnd w:id="104"/>
      <w:r>
        <w:rPr>
          <w:rFonts w:hint="eastAsia" w:ascii="仿宋" w:hAnsi="仿宋" w:eastAsia="仿宋"/>
          <w:b w:val="0"/>
        </w:rPr>
        <w:t>国</w:t>
      </w:r>
      <w:r>
        <w:rPr>
          <w:rStyle w:val="27"/>
          <w:rFonts w:hint="eastAsia" w:ascii="仿宋" w:hAnsi="仿宋" w:eastAsia="仿宋"/>
          <w:b w:val="0"/>
          <w:bCs w:val="0"/>
        </w:rPr>
        <w:t>有资本经营预算财政拨款收入支出决算表</w:t>
      </w:r>
      <w:bookmarkEnd w:id="105"/>
    </w:p>
    <w:p>
      <w:pPr>
        <w:pStyle w:val="5"/>
        <w:rPr>
          <w:rFonts w:ascii="仿宋" w:hAnsi="仿宋" w:eastAsia="仿宋"/>
        </w:rPr>
      </w:pPr>
      <w:bookmarkStart w:id="106" w:name="_Toc15396630"/>
      <w:bookmarkStart w:id="107" w:name="_Toc8107"/>
      <w:r>
        <w:rPr>
          <w:rStyle w:val="27"/>
          <w:rFonts w:hint="eastAsia" w:ascii="仿宋" w:hAnsi="仿宋" w:eastAsia="仿宋"/>
          <w:b w:val="0"/>
          <w:bCs w:val="0"/>
        </w:rPr>
        <w:t>十二、</w:t>
      </w:r>
      <w:bookmarkEnd w:id="106"/>
      <w:r>
        <w:rPr>
          <w:rStyle w:val="27"/>
          <w:rFonts w:hint="eastAsia" w:ascii="仿宋" w:hAnsi="仿宋" w:eastAsia="仿宋"/>
          <w:b w:val="0"/>
          <w:bCs w:val="0"/>
        </w:rPr>
        <w:t>国有资本经营预算财政拨款支出决算表</w:t>
      </w:r>
      <w:bookmarkEnd w:id="107"/>
    </w:p>
    <w:p>
      <w:pPr>
        <w:pStyle w:val="5"/>
        <w:rPr>
          <w:rFonts w:eastAsia="仿宋"/>
        </w:rPr>
      </w:pPr>
      <w:bookmarkStart w:id="108" w:name="_Toc15396631"/>
      <w:bookmarkStart w:id="109" w:name="_Toc2069"/>
      <w:r>
        <w:rPr>
          <w:rStyle w:val="27"/>
          <w:rFonts w:hint="eastAsia" w:ascii="仿宋" w:hAnsi="仿宋" w:eastAsia="仿宋"/>
          <w:b w:val="0"/>
          <w:bCs w:val="0"/>
        </w:rPr>
        <w:t>十三、</w:t>
      </w:r>
      <w:bookmarkEnd w:id="108"/>
      <w:r>
        <w:rPr>
          <w:rStyle w:val="27"/>
          <w:rFonts w:hint="eastAsia" w:ascii="仿宋" w:hAnsi="仿宋" w:eastAsia="仿宋"/>
          <w:b w:val="0"/>
          <w:bCs w:val="0"/>
        </w:rPr>
        <w:t>财政拨款“三公”经费支出决算表</w:t>
      </w:r>
      <w:bookmarkEnd w:id="109"/>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EEC4D9-3443-4505-B03E-3F56681647AC}"/>
  </w:font>
  <w:font w:name="Courier New">
    <w:panose1 w:val="02070309020205020404"/>
    <w:charset w:val="01"/>
    <w:family w:val="modern"/>
    <w:pitch w:val="default"/>
    <w:sig w:usb0="E0002EFF" w:usb1="C0007843" w:usb2="00000009" w:usb3="00000000" w:csb0="400001FF" w:csb1="FFFF0000"/>
    <w:embedRegular r:id="rId2" w:fontKey="{BB7FB47B-9A0F-463A-B718-DECACF0C154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157AA43-EB6E-47FC-A79F-18C43F33CF1D}"/>
  </w:font>
  <w:font w:name="Cambria">
    <w:panose1 w:val="02040503050406030204"/>
    <w:charset w:val="00"/>
    <w:family w:val="roman"/>
    <w:pitch w:val="default"/>
    <w:sig w:usb0="E00006FF" w:usb1="420024FF" w:usb2="02000000" w:usb3="00000000" w:csb0="2000019F" w:csb1="00000000"/>
    <w:embedRegular r:id="rId4" w:fontKey="{460698DA-0D99-4994-A7DF-DB6D126E9C4B}"/>
  </w:font>
  <w:font w:name="仿宋_GB2312">
    <w:altName w:val="仿宋"/>
    <w:panose1 w:val="02010609030101010101"/>
    <w:charset w:val="86"/>
    <w:family w:val="modern"/>
    <w:pitch w:val="default"/>
    <w:sig w:usb0="00000000" w:usb1="00000000" w:usb2="00000000" w:usb3="00000000" w:csb0="00040000" w:csb1="00000000"/>
    <w:embedRegular r:id="rId5" w:fontKey="{2D9631E4-9D4E-428A-A424-7CCCD1F51D55}"/>
  </w:font>
  <w:font w:name="仿宋">
    <w:panose1 w:val="02010609060101010101"/>
    <w:charset w:val="86"/>
    <w:family w:val="modern"/>
    <w:pitch w:val="default"/>
    <w:sig w:usb0="800002BF" w:usb1="38CF7CFA" w:usb2="00000016" w:usb3="00000000" w:csb0="00040001" w:csb1="00000000"/>
    <w:embedRegular r:id="rId6" w:fontKey="{877DB247-6067-4BA9-AA4D-684DFC9A4C5F}"/>
  </w:font>
  <w:font w:name="方正小标宋简体">
    <w:panose1 w:val="02000000000000000000"/>
    <w:charset w:val="86"/>
    <w:family w:val="script"/>
    <w:pitch w:val="default"/>
    <w:sig w:usb0="00000001" w:usb1="08000000" w:usb2="00000000" w:usb3="00000000" w:csb0="00040000" w:csb1="00000000"/>
    <w:embedRegular r:id="rId7" w:fontKey="{53A9ABDB-0D09-474A-9E33-E958595743B3}"/>
  </w:font>
  <w:font w:name="楷体_GB2312">
    <w:altName w:val="楷体"/>
    <w:panose1 w:val="00000000000000000000"/>
    <w:charset w:val="86"/>
    <w:family w:val="auto"/>
    <w:pitch w:val="default"/>
    <w:sig w:usb0="00000000" w:usb1="00000000" w:usb2="00000000" w:usb3="00000000" w:csb0="00040000" w:csb1="00000000"/>
    <w:embedRegular r:id="rId8" w:fontKey="{89B6CDDD-3F22-4910-B7CB-DFDFDA577A4A}"/>
  </w:font>
  <w:font w:name="华文中宋">
    <w:panose1 w:val="02010600040101010101"/>
    <w:charset w:val="86"/>
    <w:family w:val="auto"/>
    <w:pitch w:val="default"/>
    <w:sig w:usb0="00000287" w:usb1="080F0000" w:usb2="00000000" w:usb3="00000000" w:csb0="0004009F" w:csb1="DFD70000"/>
    <w:embedRegular r:id="rId9" w:fontKey="{3503347A-F039-46CF-8E43-66F15FA61694}"/>
  </w:font>
  <w:font w:name="楷体">
    <w:panose1 w:val="02010609060101010101"/>
    <w:charset w:val="86"/>
    <w:family w:val="modern"/>
    <w:pitch w:val="default"/>
    <w:sig w:usb0="800002BF" w:usb1="38CF7CFA" w:usb2="00000016" w:usb3="00000000" w:csb0="00040001" w:csb1="00000000"/>
    <w:embedRegular r:id="rId10" w:fontKey="{91F14AD8-5755-4A0C-9FAC-E8C8233D3A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818A09A"/>
    <w:multiLevelType w:val="singleLevel"/>
    <w:tmpl w:val="3818A09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117A"/>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3D3"/>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265C"/>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777C6"/>
    <w:rsid w:val="01D90AEF"/>
    <w:rsid w:val="02151639"/>
    <w:rsid w:val="02AD7AC3"/>
    <w:rsid w:val="03836070"/>
    <w:rsid w:val="03A7083E"/>
    <w:rsid w:val="03F84768"/>
    <w:rsid w:val="04194CE4"/>
    <w:rsid w:val="046C12B8"/>
    <w:rsid w:val="04EF7957"/>
    <w:rsid w:val="04F574FF"/>
    <w:rsid w:val="05212A41"/>
    <w:rsid w:val="053A62B5"/>
    <w:rsid w:val="05563609"/>
    <w:rsid w:val="05C869C2"/>
    <w:rsid w:val="05DF0CAC"/>
    <w:rsid w:val="06176313"/>
    <w:rsid w:val="061F2A86"/>
    <w:rsid w:val="066849C1"/>
    <w:rsid w:val="06C45A27"/>
    <w:rsid w:val="06D33870"/>
    <w:rsid w:val="071874D5"/>
    <w:rsid w:val="092E2FE0"/>
    <w:rsid w:val="09727863"/>
    <w:rsid w:val="09AE36AD"/>
    <w:rsid w:val="09BB56F9"/>
    <w:rsid w:val="0A075BF1"/>
    <w:rsid w:val="0A0E209C"/>
    <w:rsid w:val="0A2032A3"/>
    <w:rsid w:val="0ABA2D7D"/>
    <w:rsid w:val="0AD007F3"/>
    <w:rsid w:val="0B3A5C6C"/>
    <w:rsid w:val="0B3D39AE"/>
    <w:rsid w:val="0B552AA6"/>
    <w:rsid w:val="0B6E1DBA"/>
    <w:rsid w:val="0B7879AD"/>
    <w:rsid w:val="0B8A37D8"/>
    <w:rsid w:val="0BB33FF8"/>
    <w:rsid w:val="0BD764EC"/>
    <w:rsid w:val="0C14470F"/>
    <w:rsid w:val="0D002AC0"/>
    <w:rsid w:val="0E1F4751"/>
    <w:rsid w:val="0E344BF5"/>
    <w:rsid w:val="0E4806A0"/>
    <w:rsid w:val="0E574F58"/>
    <w:rsid w:val="0EAC0C2F"/>
    <w:rsid w:val="0F5A68DD"/>
    <w:rsid w:val="0F5F5CA1"/>
    <w:rsid w:val="0F7756E1"/>
    <w:rsid w:val="0FB64800"/>
    <w:rsid w:val="0FD5019F"/>
    <w:rsid w:val="0FED59A3"/>
    <w:rsid w:val="102F1E22"/>
    <w:rsid w:val="1041184B"/>
    <w:rsid w:val="109E0A4B"/>
    <w:rsid w:val="109F0A31"/>
    <w:rsid w:val="10C055FF"/>
    <w:rsid w:val="10F04381"/>
    <w:rsid w:val="10F1501F"/>
    <w:rsid w:val="10FB1AA8"/>
    <w:rsid w:val="118107EC"/>
    <w:rsid w:val="11965BC6"/>
    <w:rsid w:val="11DD6519"/>
    <w:rsid w:val="12135D6D"/>
    <w:rsid w:val="12413D84"/>
    <w:rsid w:val="127C300E"/>
    <w:rsid w:val="128F4AEF"/>
    <w:rsid w:val="12984F2A"/>
    <w:rsid w:val="129E1E8E"/>
    <w:rsid w:val="12EF7943"/>
    <w:rsid w:val="12FB03D7"/>
    <w:rsid w:val="12FE7EC7"/>
    <w:rsid w:val="13A0194D"/>
    <w:rsid w:val="13D80718"/>
    <w:rsid w:val="140B289C"/>
    <w:rsid w:val="14327806"/>
    <w:rsid w:val="14C22C10"/>
    <w:rsid w:val="14F267F7"/>
    <w:rsid w:val="15406575"/>
    <w:rsid w:val="15445CB2"/>
    <w:rsid w:val="15543365"/>
    <w:rsid w:val="15BA57A8"/>
    <w:rsid w:val="16467BBB"/>
    <w:rsid w:val="165A18B8"/>
    <w:rsid w:val="167F27E2"/>
    <w:rsid w:val="169F376F"/>
    <w:rsid w:val="16A10D7E"/>
    <w:rsid w:val="16BB723D"/>
    <w:rsid w:val="16D514FB"/>
    <w:rsid w:val="16E318AE"/>
    <w:rsid w:val="18015F3F"/>
    <w:rsid w:val="1804047F"/>
    <w:rsid w:val="18756535"/>
    <w:rsid w:val="18C262FB"/>
    <w:rsid w:val="18CE5ABA"/>
    <w:rsid w:val="19364639"/>
    <w:rsid w:val="19483C4A"/>
    <w:rsid w:val="19EA07B6"/>
    <w:rsid w:val="19FA13E8"/>
    <w:rsid w:val="1A332204"/>
    <w:rsid w:val="1A93357D"/>
    <w:rsid w:val="1B3A26BB"/>
    <w:rsid w:val="1B756417"/>
    <w:rsid w:val="1BAA5D37"/>
    <w:rsid w:val="1BE8440E"/>
    <w:rsid w:val="1C071B9A"/>
    <w:rsid w:val="1C6F4800"/>
    <w:rsid w:val="1C8F7BAD"/>
    <w:rsid w:val="1D0B7468"/>
    <w:rsid w:val="1D155CEE"/>
    <w:rsid w:val="1D2A7F45"/>
    <w:rsid w:val="1DBA4B77"/>
    <w:rsid w:val="1DDD6F1D"/>
    <w:rsid w:val="1E034F1F"/>
    <w:rsid w:val="1EF34658"/>
    <w:rsid w:val="1F751C7C"/>
    <w:rsid w:val="1FAF4A23"/>
    <w:rsid w:val="203C4E63"/>
    <w:rsid w:val="204F3608"/>
    <w:rsid w:val="20F57F95"/>
    <w:rsid w:val="20FF1092"/>
    <w:rsid w:val="21152AF1"/>
    <w:rsid w:val="212B00D9"/>
    <w:rsid w:val="213D605E"/>
    <w:rsid w:val="219F0AC7"/>
    <w:rsid w:val="21B61B0C"/>
    <w:rsid w:val="22325497"/>
    <w:rsid w:val="22596EC8"/>
    <w:rsid w:val="2270457F"/>
    <w:rsid w:val="22D6371D"/>
    <w:rsid w:val="23CE6069"/>
    <w:rsid w:val="23EB1DB1"/>
    <w:rsid w:val="240371BF"/>
    <w:rsid w:val="245072D4"/>
    <w:rsid w:val="24DB5972"/>
    <w:rsid w:val="25196DF7"/>
    <w:rsid w:val="252437BD"/>
    <w:rsid w:val="25711CC6"/>
    <w:rsid w:val="257D4C7B"/>
    <w:rsid w:val="25A807D4"/>
    <w:rsid w:val="25C741E6"/>
    <w:rsid w:val="25DD2581"/>
    <w:rsid w:val="25F07BA6"/>
    <w:rsid w:val="262E5F76"/>
    <w:rsid w:val="26382A95"/>
    <w:rsid w:val="26920EB8"/>
    <w:rsid w:val="2702368A"/>
    <w:rsid w:val="271471FD"/>
    <w:rsid w:val="27541A82"/>
    <w:rsid w:val="27842671"/>
    <w:rsid w:val="27CC1EEA"/>
    <w:rsid w:val="284A1FB6"/>
    <w:rsid w:val="284B2F4F"/>
    <w:rsid w:val="2870270A"/>
    <w:rsid w:val="28730390"/>
    <w:rsid w:val="288650F5"/>
    <w:rsid w:val="289447B6"/>
    <w:rsid w:val="289C674A"/>
    <w:rsid w:val="28C464D2"/>
    <w:rsid w:val="28CB0887"/>
    <w:rsid w:val="29430470"/>
    <w:rsid w:val="29515B33"/>
    <w:rsid w:val="29531237"/>
    <w:rsid w:val="29FD04D3"/>
    <w:rsid w:val="2A0C65CE"/>
    <w:rsid w:val="2A355B25"/>
    <w:rsid w:val="2AAD02BB"/>
    <w:rsid w:val="2ABD4763"/>
    <w:rsid w:val="2ABE7A3E"/>
    <w:rsid w:val="2AEA62BD"/>
    <w:rsid w:val="2BC01D66"/>
    <w:rsid w:val="2C7A1F15"/>
    <w:rsid w:val="2CA234A8"/>
    <w:rsid w:val="2CD52468"/>
    <w:rsid w:val="2D02355D"/>
    <w:rsid w:val="2D0634AE"/>
    <w:rsid w:val="2D281971"/>
    <w:rsid w:val="2D776454"/>
    <w:rsid w:val="2D8F19F0"/>
    <w:rsid w:val="2E026666"/>
    <w:rsid w:val="2E920B22"/>
    <w:rsid w:val="2E9D638E"/>
    <w:rsid w:val="2EE6563F"/>
    <w:rsid w:val="2EFA178C"/>
    <w:rsid w:val="2F4D4F7E"/>
    <w:rsid w:val="2F7E1D1C"/>
    <w:rsid w:val="2F8310E0"/>
    <w:rsid w:val="303B7C0D"/>
    <w:rsid w:val="30405CA0"/>
    <w:rsid w:val="306C42DC"/>
    <w:rsid w:val="30B46D73"/>
    <w:rsid w:val="30CC4D09"/>
    <w:rsid w:val="30E738F1"/>
    <w:rsid w:val="30F84EF4"/>
    <w:rsid w:val="319F7F4E"/>
    <w:rsid w:val="31D64091"/>
    <w:rsid w:val="32140715"/>
    <w:rsid w:val="327E77B2"/>
    <w:rsid w:val="34A02734"/>
    <w:rsid w:val="350031D3"/>
    <w:rsid w:val="350E1BDA"/>
    <w:rsid w:val="352769B2"/>
    <w:rsid w:val="357A4D33"/>
    <w:rsid w:val="35B73253"/>
    <w:rsid w:val="362E7AD6"/>
    <w:rsid w:val="36966786"/>
    <w:rsid w:val="37623183"/>
    <w:rsid w:val="37D83318"/>
    <w:rsid w:val="382611A3"/>
    <w:rsid w:val="383D272C"/>
    <w:rsid w:val="384E2F0E"/>
    <w:rsid w:val="386A1004"/>
    <w:rsid w:val="38750BAC"/>
    <w:rsid w:val="38C05153"/>
    <w:rsid w:val="38C37BD6"/>
    <w:rsid w:val="38C70CD4"/>
    <w:rsid w:val="390F27AA"/>
    <w:rsid w:val="391D112B"/>
    <w:rsid w:val="392E59B4"/>
    <w:rsid w:val="39400042"/>
    <w:rsid w:val="39AE70AB"/>
    <w:rsid w:val="3A173499"/>
    <w:rsid w:val="3A291355"/>
    <w:rsid w:val="3A762A81"/>
    <w:rsid w:val="3B3C6DA2"/>
    <w:rsid w:val="3B47283E"/>
    <w:rsid w:val="3B654F2B"/>
    <w:rsid w:val="3BB058DF"/>
    <w:rsid w:val="3C0C0783"/>
    <w:rsid w:val="3C2546CB"/>
    <w:rsid w:val="3C3814A4"/>
    <w:rsid w:val="3C395948"/>
    <w:rsid w:val="3C45267C"/>
    <w:rsid w:val="3D4B3A44"/>
    <w:rsid w:val="3D944E21"/>
    <w:rsid w:val="3DA01067"/>
    <w:rsid w:val="3DA70662"/>
    <w:rsid w:val="3E7C60F7"/>
    <w:rsid w:val="3EC87D88"/>
    <w:rsid w:val="3ED951C1"/>
    <w:rsid w:val="3EFD0BDA"/>
    <w:rsid w:val="3F253F62"/>
    <w:rsid w:val="3F40390F"/>
    <w:rsid w:val="3F7D3D9E"/>
    <w:rsid w:val="3F8C5D8F"/>
    <w:rsid w:val="3F9F3A96"/>
    <w:rsid w:val="3FA4757D"/>
    <w:rsid w:val="3FF07335"/>
    <w:rsid w:val="406B009A"/>
    <w:rsid w:val="406F3C61"/>
    <w:rsid w:val="409969B6"/>
    <w:rsid w:val="40A1479E"/>
    <w:rsid w:val="40BA5BEE"/>
    <w:rsid w:val="40F276D3"/>
    <w:rsid w:val="413B46F3"/>
    <w:rsid w:val="418807D8"/>
    <w:rsid w:val="41C37A62"/>
    <w:rsid w:val="41DF3C2C"/>
    <w:rsid w:val="42194ECA"/>
    <w:rsid w:val="426923B8"/>
    <w:rsid w:val="43C57AC2"/>
    <w:rsid w:val="43D23F8D"/>
    <w:rsid w:val="449F0313"/>
    <w:rsid w:val="44C9538F"/>
    <w:rsid w:val="45035271"/>
    <w:rsid w:val="450D212B"/>
    <w:rsid w:val="45645168"/>
    <w:rsid w:val="465810C1"/>
    <w:rsid w:val="46CF4B12"/>
    <w:rsid w:val="4706567F"/>
    <w:rsid w:val="47B50DCD"/>
    <w:rsid w:val="47C00CCC"/>
    <w:rsid w:val="482A25E9"/>
    <w:rsid w:val="48BF60AB"/>
    <w:rsid w:val="48D167E0"/>
    <w:rsid w:val="49010C8B"/>
    <w:rsid w:val="493C27E9"/>
    <w:rsid w:val="496F39ED"/>
    <w:rsid w:val="49891591"/>
    <w:rsid w:val="49A315E5"/>
    <w:rsid w:val="49FB248F"/>
    <w:rsid w:val="49FF41D3"/>
    <w:rsid w:val="4AC20E61"/>
    <w:rsid w:val="4AC81EE0"/>
    <w:rsid w:val="4B094738"/>
    <w:rsid w:val="4B38326F"/>
    <w:rsid w:val="4B3D40BA"/>
    <w:rsid w:val="4B873AFB"/>
    <w:rsid w:val="4B8A03B5"/>
    <w:rsid w:val="4BE068DB"/>
    <w:rsid w:val="4BE97437"/>
    <w:rsid w:val="4BEA27BB"/>
    <w:rsid w:val="4BF6002B"/>
    <w:rsid w:val="4C1C049B"/>
    <w:rsid w:val="4C261585"/>
    <w:rsid w:val="4CE56DAC"/>
    <w:rsid w:val="4D083ED2"/>
    <w:rsid w:val="4D3F6B37"/>
    <w:rsid w:val="4D5F4F1C"/>
    <w:rsid w:val="4D8602C2"/>
    <w:rsid w:val="4DA70238"/>
    <w:rsid w:val="4DD57383"/>
    <w:rsid w:val="4DF14CD4"/>
    <w:rsid w:val="4E215FDD"/>
    <w:rsid w:val="4E553374"/>
    <w:rsid w:val="4E9E50FD"/>
    <w:rsid w:val="4EB96475"/>
    <w:rsid w:val="4ECC7F56"/>
    <w:rsid w:val="4ECD494D"/>
    <w:rsid w:val="4ECE2238"/>
    <w:rsid w:val="4EDD6607"/>
    <w:rsid w:val="4EF13E61"/>
    <w:rsid w:val="4F066B8D"/>
    <w:rsid w:val="4F6E03F4"/>
    <w:rsid w:val="4FBA3A1E"/>
    <w:rsid w:val="4FED4759"/>
    <w:rsid w:val="50772F8D"/>
    <w:rsid w:val="5134495E"/>
    <w:rsid w:val="51711289"/>
    <w:rsid w:val="5184720E"/>
    <w:rsid w:val="51956D25"/>
    <w:rsid w:val="51DB4B86"/>
    <w:rsid w:val="51DD691E"/>
    <w:rsid w:val="51FF22AE"/>
    <w:rsid w:val="526B5049"/>
    <w:rsid w:val="529F291F"/>
    <w:rsid w:val="52B77D2C"/>
    <w:rsid w:val="52BC29D7"/>
    <w:rsid w:val="536B0C3C"/>
    <w:rsid w:val="537D3F15"/>
    <w:rsid w:val="543315F7"/>
    <w:rsid w:val="549C7180"/>
    <w:rsid w:val="54A13C33"/>
    <w:rsid w:val="54D47B64"/>
    <w:rsid w:val="54F00317"/>
    <w:rsid w:val="55333C3E"/>
    <w:rsid w:val="555571D9"/>
    <w:rsid w:val="55653E24"/>
    <w:rsid w:val="5615047B"/>
    <w:rsid w:val="563B5A15"/>
    <w:rsid w:val="567426CC"/>
    <w:rsid w:val="567D5FDA"/>
    <w:rsid w:val="56F724BB"/>
    <w:rsid w:val="573A1A5D"/>
    <w:rsid w:val="57765F0B"/>
    <w:rsid w:val="589C308F"/>
    <w:rsid w:val="58A43CF2"/>
    <w:rsid w:val="58A817F1"/>
    <w:rsid w:val="58F702C5"/>
    <w:rsid w:val="59101273"/>
    <w:rsid w:val="59484FC5"/>
    <w:rsid w:val="598B2C1F"/>
    <w:rsid w:val="598C3104"/>
    <w:rsid w:val="59F91E1B"/>
    <w:rsid w:val="5A20384C"/>
    <w:rsid w:val="5A673229"/>
    <w:rsid w:val="5B015B19"/>
    <w:rsid w:val="5B5639C9"/>
    <w:rsid w:val="5BB701E0"/>
    <w:rsid w:val="5BF94355"/>
    <w:rsid w:val="5C311D40"/>
    <w:rsid w:val="5C953BEF"/>
    <w:rsid w:val="5CCC1228"/>
    <w:rsid w:val="5CFA3B11"/>
    <w:rsid w:val="5D353719"/>
    <w:rsid w:val="5D3D1EAB"/>
    <w:rsid w:val="5D9E6F62"/>
    <w:rsid w:val="5DB5346D"/>
    <w:rsid w:val="5E08087F"/>
    <w:rsid w:val="5E135BA1"/>
    <w:rsid w:val="5E39312E"/>
    <w:rsid w:val="5E7732BC"/>
    <w:rsid w:val="5EB10F16"/>
    <w:rsid w:val="5EBB7F2F"/>
    <w:rsid w:val="5F131BD1"/>
    <w:rsid w:val="5F6E6E08"/>
    <w:rsid w:val="5FDF447A"/>
    <w:rsid w:val="5FE65A32"/>
    <w:rsid w:val="600C0AFA"/>
    <w:rsid w:val="605F2818"/>
    <w:rsid w:val="607565D9"/>
    <w:rsid w:val="60952414"/>
    <w:rsid w:val="6119480C"/>
    <w:rsid w:val="61722BDF"/>
    <w:rsid w:val="619B50E9"/>
    <w:rsid w:val="62092041"/>
    <w:rsid w:val="62162F66"/>
    <w:rsid w:val="622540F5"/>
    <w:rsid w:val="6239194F"/>
    <w:rsid w:val="625508A1"/>
    <w:rsid w:val="62BD60DC"/>
    <w:rsid w:val="636336E6"/>
    <w:rsid w:val="63785FF3"/>
    <w:rsid w:val="63AB687C"/>
    <w:rsid w:val="63ED29F1"/>
    <w:rsid w:val="64104931"/>
    <w:rsid w:val="64CA39A1"/>
    <w:rsid w:val="651352A3"/>
    <w:rsid w:val="65AD68DC"/>
    <w:rsid w:val="65B35574"/>
    <w:rsid w:val="660E6C4E"/>
    <w:rsid w:val="66CC2D91"/>
    <w:rsid w:val="672C7CD4"/>
    <w:rsid w:val="67544A5E"/>
    <w:rsid w:val="67A847D3"/>
    <w:rsid w:val="67CE48E7"/>
    <w:rsid w:val="68002F36"/>
    <w:rsid w:val="68362014"/>
    <w:rsid w:val="683D585C"/>
    <w:rsid w:val="684605D4"/>
    <w:rsid w:val="68B914D8"/>
    <w:rsid w:val="68E36170"/>
    <w:rsid w:val="68E63EB3"/>
    <w:rsid w:val="68F13C0B"/>
    <w:rsid w:val="69344C1E"/>
    <w:rsid w:val="69630ADE"/>
    <w:rsid w:val="698C1452"/>
    <w:rsid w:val="6A0A7FC8"/>
    <w:rsid w:val="6AF02DC7"/>
    <w:rsid w:val="6AFF68D3"/>
    <w:rsid w:val="6B56437F"/>
    <w:rsid w:val="6C4A05C8"/>
    <w:rsid w:val="6C78429E"/>
    <w:rsid w:val="6CA2560A"/>
    <w:rsid w:val="6CB95B66"/>
    <w:rsid w:val="6CD02EB0"/>
    <w:rsid w:val="6CEC6E1B"/>
    <w:rsid w:val="6D3B1A89"/>
    <w:rsid w:val="6DA5303E"/>
    <w:rsid w:val="6E82642B"/>
    <w:rsid w:val="6E917B8B"/>
    <w:rsid w:val="6EFD5AB2"/>
    <w:rsid w:val="6F2B6AC3"/>
    <w:rsid w:val="6F55769C"/>
    <w:rsid w:val="6F5B51AF"/>
    <w:rsid w:val="6F681AEC"/>
    <w:rsid w:val="6FE95CEE"/>
    <w:rsid w:val="70052546"/>
    <w:rsid w:val="70545BA6"/>
    <w:rsid w:val="70D311C0"/>
    <w:rsid w:val="71752277"/>
    <w:rsid w:val="717C0BB4"/>
    <w:rsid w:val="719A3A8C"/>
    <w:rsid w:val="71BF4EC2"/>
    <w:rsid w:val="71C77F15"/>
    <w:rsid w:val="72734D90"/>
    <w:rsid w:val="72C60FDD"/>
    <w:rsid w:val="72FF4A25"/>
    <w:rsid w:val="7309711B"/>
    <w:rsid w:val="730F17A8"/>
    <w:rsid w:val="735364BC"/>
    <w:rsid w:val="7379604F"/>
    <w:rsid w:val="738B0ADC"/>
    <w:rsid w:val="7412278C"/>
    <w:rsid w:val="75080F54"/>
    <w:rsid w:val="75275871"/>
    <w:rsid w:val="7601057E"/>
    <w:rsid w:val="76045978"/>
    <w:rsid w:val="76780840"/>
    <w:rsid w:val="76853303"/>
    <w:rsid w:val="76A45695"/>
    <w:rsid w:val="76EE465E"/>
    <w:rsid w:val="76F25A9D"/>
    <w:rsid w:val="772B3258"/>
    <w:rsid w:val="77385F6C"/>
    <w:rsid w:val="775B5A6C"/>
    <w:rsid w:val="77674410"/>
    <w:rsid w:val="77B5517C"/>
    <w:rsid w:val="77EA0066"/>
    <w:rsid w:val="781F4CEB"/>
    <w:rsid w:val="7832224D"/>
    <w:rsid w:val="78A20480"/>
    <w:rsid w:val="78CC4E73"/>
    <w:rsid w:val="79B778D1"/>
    <w:rsid w:val="79D044EF"/>
    <w:rsid w:val="79DD09BA"/>
    <w:rsid w:val="79E7B28D"/>
    <w:rsid w:val="7A6A66F1"/>
    <w:rsid w:val="7A8157E9"/>
    <w:rsid w:val="7AAB2866"/>
    <w:rsid w:val="7B0F7299"/>
    <w:rsid w:val="7B704A38"/>
    <w:rsid w:val="7BBC11CF"/>
    <w:rsid w:val="7BBE72A5"/>
    <w:rsid w:val="7BD631AC"/>
    <w:rsid w:val="7CFC50FE"/>
    <w:rsid w:val="7DC66335"/>
    <w:rsid w:val="7E7F4735"/>
    <w:rsid w:val="7F0268FE"/>
    <w:rsid w:val="7F2F1CB8"/>
    <w:rsid w:val="7F896EA6"/>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0"/>
    <w:autoRedefine/>
    <w:unhideWhenUsed/>
    <w:qFormat/>
    <w:uiPriority w:val="9"/>
    <w:pPr>
      <w:keepNext/>
      <w:keepLines/>
      <w:spacing w:before="260" w:after="260" w:line="416" w:lineRule="auto"/>
      <w:outlineLvl w:val="2"/>
    </w:pPr>
    <w:rPr>
      <w:b/>
      <w:bCs/>
      <w:sz w:val="32"/>
      <w:szCs w:val="32"/>
    </w:rPr>
  </w:style>
  <w:style w:type="character" w:default="1" w:styleId="15">
    <w:name w:val="Default Paragraph Font"/>
    <w:autoRedefine/>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firstLineChars="200"/>
    </w:pPr>
    <w:rPr>
      <w:rFonts w:ascii="Times New Roman" w:hAnsi="Times New Roman" w:eastAsia="宋体" w:cs="Times New Roman"/>
    </w:rPr>
  </w:style>
  <w:style w:type="paragraph" w:styleId="3">
    <w:name w:val="Body Text Indent"/>
    <w:basedOn w:val="1"/>
    <w:autoRedefine/>
    <w:qFormat/>
    <w:uiPriority w:val="0"/>
    <w:pPr>
      <w:spacing w:line="560" w:lineRule="exact"/>
      <w:ind w:firstLine="640" w:firstLineChars="200"/>
      <w:jc w:val="left"/>
    </w:pPr>
    <w:rPr>
      <w:rFonts w:ascii="仿宋_GB2312" w:eastAsia="仿宋_GB2312"/>
      <w:sz w:val="32"/>
    </w:rPr>
  </w:style>
  <w:style w:type="paragraph" w:styleId="7">
    <w:name w:val="Body Text"/>
    <w:basedOn w:val="1"/>
    <w:link w:val="23"/>
    <w:autoRedefine/>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9"/>
    <w:autoRedefine/>
    <w:semiHidden/>
    <w:unhideWhenUsed/>
    <w:qFormat/>
    <w:uiPriority w:val="99"/>
    <w:rPr>
      <w:sz w:val="18"/>
      <w:szCs w:val="18"/>
    </w:rPr>
  </w:style>
  <w:style w:type="paragraph" w:styleId="10">
    <w:name w:val="footer"/>
    <w:basedOn w:val="1"/>
    <w:link w:val="21"/>
    <w:autoRedefine/>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autoRedefine/>
    <w:unhideWhenUsed/>
    <w:qFormat/>
    <w:uiPriority w:val="39"/>
    <w:pPr>
      <w:tabs>
        <w:tab w:val="right" w:leader="dot" w:pos="8296"/>
      </w:tabs>
      <w:ind w:left="420" w:leftChars="200"/>
    </w:pPr>
  </w:style>
  <w:style w:type="character" w:styleId="16">
    <w:name w:val="Strong"/>
    <w:basedOn w:val="15"/>
    <w:autoRedefine/>
    <w:qFormat/>
    <w:uiPriority w:val="99"/>
    <w:rPr>
      <w:b/>
    </w:rPr>
  </w:style>
  <w:style w:type="character" w:styleId="17">
    <w:name w:val="Hyperlink"/>
    <w:basedOn w:val="15"/>
    <w:autoRedefine/>
    <w:unhideWhenUsed/>
    <w:qFormat/>
    <w:uiPriority w:val="99"/>
    <w:rPr>
      <w:color w:val="0000FF" w:themeColor="hyperlink"/>
      <w:u w:val="single"/>
      <w14:textFill>
        <w14:solidFill>
          <w14:schemeClr w14:val="hlink"/>
        </w14:solidFill>
      </w14:textFill>
    </w:rPr>
  </w:style>
  <w:style w:type="character" w:customStyle="1" w:styleId="18">
    <w:name w:val="Header Char"/>
    <w:basedOn w:val="15"/>
    <w:autoRedefine/>
    <w:semiHidden/>
    <w:qFormat/>
    <w:uiPriority w:val="99"/>
    <w:rPr>
      <w:rFonts w:ascii="Times New Roman" w:hAnsi="Times New Roman"/>
      <w:sz w:val="18"/>
      <w:szCs w:val="18"/>
    </w:rPr>
  </w:style>
  <w:style w:type="character" w:customStyle="1" w:styleId="19">
    <w:name w:val="页眉 字符"/>
    <w:link w:val="11"/>
    <w:autoRedefine/>
    <w:semiHidden/>
    <w:qFormat/>
    <w:locked/>
    <w:uiPriority w:val="99"/>
    <w:rPr>
      <w:sz w:val="18"/>
    </w:rPr>
  </w:style>
  <w:style w:type="character" w:customStyle="1" w:styleId="20">
    <w:name w:val="Footer Char"/>
    <w:basedOn w:val="15"/>
    <w:autoRedefine/>
    <w:semiHidden/>
    <w:qFormat/>
    <w:uiPriority w:val="99"/>
    <w:rPr>
      <w:rFonts w:ascii="Times New Roman" w:hAnsi="Times New Roman"/>
      <w:sz w:val="18"/>
      <w:szCs w:val="18"/>
    </w:rPr>
  </w:style>
  <w:style w:type="character" w:customStyle="1" w:styleId="21">
    <w:name w:val="页脚 字符"/>
    <w:link w:val="10"/>
    <w:autoRedefine/>
    <w:qFormat/>
    <w:locked/>
    <w:uiPriority w:val="99"/>
    <w:rPr>
      <w:sz w:val="18"/>
    </w:rPr>
  </w:style>
  <w:style w:type="character" w:customStyle="1" w:styleId="22">
    <w:name w:val="Body Text Char"/>
    <w:basedOn w:val="15"/>
    <w:autoRedefine/>
    <w:semiHidden/>
    <w:qFormat/>
    <w:uiPriority w:val="99"/>
    <w:rPr>
      <w:rFonts w:ascii="Times New Roman" w:hAnsi="Times New Roman"/>
      <w:szCs w:val="24"/>
    </w:rPr>
  </w:style>
  <w:style w:type="character" w:customStyle="1" w:styleId="23">
    <w:name w:val="正文文本 字符"/>
    <w:link w:val="7"/>
    <w:autoRedefine/>
    <w:qFormat/>
    <w:locked/>
    <w:uiPriority w:val="99"/>
    <w:rPr>
      <w:rFonts w:ascii="仿宋_GB2312" w:hAnsi="Times New Roman" w:eastAsia="仿宋_GB2312"/>
      <w:sz w:val="24"/>
    </w:rPr>
  </w:style>
  <w:style w:type="paragraph" w:customStyle="1" w:styleId="24">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autoRedefine/>
    <w:qFormat/>
    <w:uiPriority w:val="34"/>
    <w:pPr>
      <w:ind w:firstLine="420" w:firstLineChars="200"/>
    </w:pPr>
  </w:style>
  <w:style w:type="character" w:customStyle="1" w:styleId="26">
    <w:name w:val="标题 1 字符"/>
    <w:basedOn w:val="15"/>
    <w:link w:val="4"/>
    <w:autoRedefine/>
    <w:qFormat/>
    <w:uiPriority w:val="9"/>
    <w:rPr>
      <w:rFonts w:ascii="Times New Roman" w:hAnsi="Times New Roman"/>
      <w:b/>
      <w:bCs/>
      <w:kern w:val="44"/>
      <w:sz w:val="44"/>
      <w:szCs w:val="44"/>
    </w:rPr>
  </w:style>
  <w:style w:type="character" w:customStyle="1" w:styleId="27">
    <w:name w:val="标题 2 字符"/>
    <w:basedOn w:val="15"/>
    <w:link w:val="5"/>
    <w:autoRedefine/>
    <w:qFormat/>
    <w:uiPriority w:val="9"/>
    <w:rPr>
      <w:rFonts w:asciiTheme="majorHAnsi" w:hAnsiTheme="majorHAnsi" w:eastAsiaTheme="majorEastAsia" w:cstheme="majorBidi"/>
      <w:b/>
      <w:bCs/>
      <w:kern w:val="2"/>
      <w:sz w:val="32"/>
      <w:szCs w:val="32"/>
    </w:rPr>
  </w:style>
  <w:style w:type="paragraph" w:customStyle="1" w:styleId="28">
    <w:name w:val="TOC 标题1"/>
    <w:basedOn w:val="4"/>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5"/>
    <w:link w:val="9"/>
    <w:autoRedefine/>
    <w:semiHidden/>
    <w:qFormat/>
    <w:uiPriority w:val="99"/>
    <w:rPr>
      <w:rFonts w:ascii="Times New Roman" w:hAnsi="Times New Roman"/>
      <w:kern w:val="2"/>
      <w:sz w:val="18"/>
      <w:szCs w:val="18"/>
    </w:rPr>
  </w:style>
  <w:style w:type="character" w:customStyle="1" w:styleId="30">
    <w:name w:val="标题 3 字符"/>
    <w:basedOn w:val="15"/>
    <w:link w:val="6"/>
    <w:autoRedefine/>
    <w:qFormat/>
    <w:uiPriority w:val="9"/>
    <w:rPr>
      <w:rFonts w:ascii="Times New Roman" w:hAnsi="Times New Roman"/>
      <w:b/>
      <w:bCs/>
      <w:kern w:val="2"/>
      <w:sz w:val="32"/>
      <w:szCs w:val="32"/>
    </w:rPr>
  </w:style>
  <w:style w:type="paragraph" w:customStyle="1" w:styleId="31">
    <w:name w:val="TOC 标题2"/>
    <w:basedOn w:val="4"/>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WPSOffice手动目录 1"/>
    <w:autoRedefine/>
    <w:qFormat/>
    <w:uiPriority w:val="0"/>
    <w:pPr>
      <w:ind w:leftChars="0"/>
    </w:pPr>
    <w:rPr>
      <w:rFonts w:ascii="Times New Roman" w:hAnsi="Times New Roman" w:eastAsia="宋体" w:cs="Times New Roman"/>
      <w:sz w:val="20"/>
      <w:szCs w:val="20"/>
    </w:rPr>
  </w:style>
  <w:style w:type="paragraph" w:customStyle="1" w:styleId="33">
    <w:name w:val="WPSOffice手动目录 2"/>
    <w:autoRedefine/>
    <w:qFormat/>
    <w:uiPriority w:val="0"/>
    <w:pPr>
      <w:ind w:leftChars="200"/>
    </w:pPr>
    <w:rPr>
      <w:rFonts w:ascii="Times New Roman" w:hAnsi="Times New Roman" w:eastAsia="宋体" w:cs="Times New Roman"/>
      <w:sz w:val="20"/>
      <w:szCs w:val="20"/>
    </w:rPr>
  </w:style>
  <w:style w:type="paragraph" w:customStyle="1" w:styleId="34">
    <w:name w:val="WPSOffice手动目录 3"/>
    <w:autoRedefine/>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472;&#22426;&#37995;\10&#26376;\&#37096;&#38376;&#20915;&#31639;&#20844;&#24320;\2022&#24180;&#20915;&#31639;&#20844;&#24320;\&#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6472;&#22426;&#37995;\10&#26376;\&#37096;&#38376;&#20915;&#31639;&#20844;&#24320;\2022&#24180;&#20915;&#31639;&#20844;&#24320;\&#20844;&#24320;&#21450;&#25209;&#22797;&#26448;&#26009;&#65288;&#20379;&#21442;&#32771;&#65289;\&#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6472;&#22426;&#37995;\10&#26376;\&#37096;&#38376;&#20915;&#31639;&#20844;&#24320;\2022&#24180;&#20915;&#31639;&#20844;&#24320;\&#20844;&#24320;&#21450;&#25209;&#22797;&#26448;&#26009;&#65288;&#20379;&#21442;&#32771;&#65289;\&#30465;&#26412;&#32423;\&#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6472;&#22426;&#37995;\10&#26376;\&#37096;&#38376;&#20915;&#31639;&#20844;&#24320;\2022&#24180;&#20915;&#31639;&#20844;&#24320;\&#20844;&#24320;&#21450;&#25209;&#22797;&#26448;&#26009;&#65288;&#20379;&#21442;&#32771;&#65289;\&#30465;&#26412;&#32423;\&#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6472;&#22426;&#37995;\10&#26376;\&#37096;&#38376;&#20915;&#31639;&#20844;&#24320;\2022&#24180;&#20915;&#31639;&#20844;&#24320;\&#20844;&#24320;&#21450;&#25209;&#22797;&#26448;&#26009;&#65288;&#20379;&#21442;&#32771;&#65289;\&#30465;&#26412;&#32423;\&#20844;&#24320;&#26448;&#26009;\&#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6472;&#22426;&#37995;\10&#26376;\&#37096;&#38376;&#20915;&#31639;&#20844;&#24320;\2022&#24180;&#20915;&#31639;&#20844;&#24320;\&#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27852.59</c:v>
                </c:pt>
                <c:pt idx="1">
                  <c:v>29917.45</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政府性基金预算财政拨款收入</c:v>
                </c:pt>
                <c:pt idx="2">
                  <c:v>其他收入</c:v>
                </c:pt>
              </c:strCache>
            </c:strRef>
          </c:cat>
          <c:val>
            <c:numRef>
              <c:f>Sheet1!$B$2:$B$4</c:f>
              <c:numCache>
                <c:formatCode>General</c:formatCode>
                <c:ptCount val="3"/>
                <c:pt idx="0">
                  <c:v>15138.32</c:v>
                </c:pt>
                <c:pt idx="1">
                  <c:v>7089.54</c:v>
                </c:pt>
                <c:pt idx="2">
                  <c:v>2354.06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0.0221</c:v>
                </c:pt>
                <c:pt idx="1">
                  <c:v>0.9779</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514280885584"/>
          <c:y val="0.0512820512820513"/>
          <c:w val="0.787392259591009"/>
          <c:h val="0.824865831842576"/>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25520.83</c:v>
                </c:pt>
                <c:pt idx="1">
                  <c:v>25273.55</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98611111111111"/>
          <c:y val="0.16875"/>
          <c:w val="0.847777777777778"/>
          <c:h val="0.68"/>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22475.14</c:v>
                </c:pt>
                <c:pt idx="1">
                  <c:v>18184.01</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Pt>
            <c:idx val="4"/>
            <c:bubble3D val="0"/>
          </c:dPt>
          <c:dPt>
            <c:idx val="5"/>
            <c:bubble3D val="0"/>
          </c:dPt>
          <c:dLbls>
            <c:dLbl>
              <c:idx val="0"/>
              <c:layout>
                <c:manualLayout>
                  <c:x val="0.0326024805052041"/>
                  <c:y val="0.07155089232328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47602214852008"/>
                  <c:y val="0.099122768341382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34983405843591"/>
                  <c:y val="0.17149258868246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15854831512904"/>
                  <c:y val="-0.0093690254981317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574810976096252"/>
                  <c:y val="0"/>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[决算公开插图制作示例.xlsx]图6!$A$2:$A$7</c:f>
              <c:strCache>
                <c:ptCount val="6"/>
                <c:pt idx="0">
                  <c:v>社会保障和就业支出</c:v>
                </c:pt>
                <c:pt idx="1">
                  <c:v>卫生健康支出</c:v>
                </c:pt>
                <c:pt idx="2">
                  <c:v>农林水支出</c:v>
                </c:pt>
                <c:pt idx="3">
                  <c:v>交通运输支出</c:v>
                </c:pt>
                <c:pt idx="4">
                  <c:v>住房保障支出</c:v>
                </c:pt>
                <c:pt idx="5">
                  <c:v>灾害防治及应急管理支出</c:v>
                </c:pt>
              </c:strCache>
            </c:strRef>
          </c:cat>
          <c:val>
            <c:numRef>
              <c:f>[决算公开插图制作示例.xlsx]图6!$B$2:$B$7</c:f>
              <c:numCache>
                <c:formatCode>0.00%</c:formatCode>
                <c:ptCount val="6"/>
                <c:pt idx="0">
                  <c:v>0.0026</c:v>
                </c:pt>
                <c:pt idx="1">
                  <c:v>0.0124</c:v>
                </c:pt>
                <c:pt idx="2">
                  <c:v>0.2771</c:v>
                </c:pt>
                <c:pt idx="3">
                  <c:v>0.6801</c:v>
                </c:pt>
                <c:pt idx="4">
                  <c:v>0.0019</c:v>
                </c:pt>
                <c:pt idx="5">
                  <c:v>0.0259</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6962962962963"/>
          <c:y val="0.101418439716312"/>
          <c:w val="0.315259259259259"/>
          <c:h val="0.88794326241134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[决算公开插图制作示例.xlsx]图7!$A$2:$A$3</c:f>
              <c:strCache>
                <c:ptCount val="2"/>
                <c:pt idx="0">
                  <c:v>公务用车购置及运行维护费支出</c:v>
                </c:pt>
                <c:pt idx="1">
                  <c:v>公务接待费支出</c:v>
                </c:pt>
              </c:strCache>
            </c:strRef>
          </c:cat>
          <c:val>
            <c:numRef>
              <c:f>[决算公开插图制作示例.xlsx]图7!$B$2:$B$3</c:f>
              <c:numCache>
                <c:formatCode>0.00%</c:formatCode>
                <c:ptCount val="2"/>
                <c:pt idx="0">
                  <c:v>0.5376</c:v>
                </c:pt>
                <c:pt idx="1">
                  <c:v>0.4624</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5274</Words>
  <Characters>626</Characters>
  <Lines>5</Lines>
  <Paragraphs>11</Paragraphs>
  <TotalTime>2</TotalTime>
  <ScaleCrop>false</ScaleCrop>
  <LinksUpToDate>false</LinksUpToDate>
  <CharactersWithSpaces>5889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2023-12-22T07:09:54Z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9274D7D92D954AB3AF00DCBC46178BB9_12</vt:lpwstr>
  </property>
</Properties>
</file>