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7193"/>
      <w:bookmarkStart w:id="4" w:name="_Toc15396475"/>
      <w:bookmarkStart w:id="5" w:name="_Toc15378441"/>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598"/>
      <w:bookmarkStart w:id="8" w:name="_Toc15396476"/>
      <w:bookmarkStart w:id="9" w:name="_Toc15377194"/>
      <w:bookmarkStart w:id="10" w:name="_Toc15378442"/>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粮食事务中心</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bookmarkStart w:id="69" w:name="_GoBack"/>
      <w:bookmarkEnd w:id="69"/>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1"/>
        <w:adjustRightInd w:val="0"/>
        <w:snapToGrid w:val="0"/>
        <w:spacing w:before="0"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32"/>
        </w:rPr>
        <w:t>第一部分 单位概况</w:t>
      </w:r>
      <w:r>
        <w:rPr>
          <w:rFonts w:hint="eastAsia" w:ascii="仿宋_GB2312" w:hAnsi="仿宋_GB2312" w:eastAsia="仿宋_GB2312" w:cs="仿宋_GB2312"/>
          <w:sz w:val="28"/>
          <w:szCs w:val="32"/>
          <w:lang w:val="en-US" w:eastAsia="zh-CN"/>
        </w:rPr>
        <w:tab/>
      </w:r>
      <w:r>
        <w:rPr>
          <w:rFonts w:hint="eastAsia" w:ascii="仿宋_GB2312" w:hAnsi="仿宋_GB2312" w:eastAsia="仿宋_GB2312" w:cs="仿宋_GB2312"/>
          <w:sz w:val="28"/>
          <w:szCs w:val="32"/>
          <w:lang w:val="en-US" w:eastAsia="zh-CN"/>
        </w:rPr>
        <w:t>4</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一、主要职责及重点工作</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4</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（一）单位职责</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4</w:t>
      </w:r>
    </w:p>
    <w:p>
      <w:pPr>
        <w:pStyle w:val="12"/>
        <w:adjustRightInd w:val="0"/>
        <w:snapToGrid w:val="0"/>
        <w:spacing w:line="440" w:lineRule="exact"/>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（二）2022年重点工作完成情况</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5</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7</w:t>
      </w:r>
    </w:p>
    <w:p>
      <w:pPr>
        <w:pStyle w:val="11"/>
        <w:adjustRightInd w:val="0"/>
        <w:snapToGrid w:val="0"/>
        <w:spacing w:before="0"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32"/>
        </w:rPr>
        <w:t>第二部分 2022年度单位决算情况说明</w:t>
      </w:r>
      <w:r>
        <w:rPr>
          <w:rFonts w:hint="eastAsia" w:ascii="仿宋_GB2312" w:hAnsi="仿宋_GB2312" w:eastAsia="仿宋_GB2312" w:cs="仿宋_GB2312"/>
          <w:sz w:val="28"/>
          <w:szCs w:val="32"/>
          <w:lang w:val="en-US" w:eastAsia="zh-CN"/>
        </w:rPr>
        <w:tab/>
      </w:r>
      <w:r>
        <w:rPr>
          <w:rFonts w:hint="eastAsia" w:ascii="仿宋_GB2312" w:hAnsi="仿宋_GB2312" w:eastAsia="仿宋_GB2312" w:cs="仿宋_GB2312"/>
          <w:sz w:val="28"/>
          <w:szCs w:val="32"/>
          <w:lang w:val="en-US" w:eastAsia="zh-CN"/>
        </w:rPr>
        <w:t>8</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一、收入支出决算总体情况说明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8</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二、收入决算情况说明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8</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三、支出决算情况说明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9</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四、财政拨款收入支出决算总体情况说明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10</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五、一般公共预算财政拨款支出决算情况说明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10</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六、一般公共预算财政拨款基本支出决算情况说明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13</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七、财政拨款“三公”经费支出决算情况说明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14</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八、政府性基金预算支出决算情况说明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16</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九、国有资本经营预算支出决算情况说明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16</w:t>
      </w:r>
    </w:p>
    <w:p>
      <w:pPr>
        <w:pStyle w:val="12"/>
        <w:adjustRightInd w:val="0"/>
        <w:snapToGrid w:val="0"/>
        <w:spacing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十、其他重要事项的情况说明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sz w:val="28"/>
          <w:szCs w:val="28"/>
          <w:lang w:val="en-US" w:eastAsia="zh-CN"/>
        </w:rPr>
        <w:t>16</w:t>
      </w:r>
    </w:p>
    <w:p>
      <w:pPr>
        <w:pStyle w:val="11"/>
        <w:adjustRightInd w:val="0"/>
        <w:snapToGrid w:val="0"/>
        <w:spacing w:before="0"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32"/>
        </w:rPr>
        <w:t>第三部分 名词解释</w:t>
      </w:r>
      <w:r>
        <w:rPr>
          <w:rFonts w:hint="eastAsia" w:ascii="仿宋_GB2312" w:hAnsi="仿宋_GB2312" w:eastAsia="仿宋_GB2312" w:cs="仿宋_GB2312"/>
          <w:sz w:val="28"/>
          <w:szCs w:val="32"/>
          <w:lang w:val="en-US" w:eastAsia="zh-CN"/>
        </w:rPr>
        <w:tab/>
      </w:r>
      <w:r>
        <w:rPr>
          <w:rFonts w:hint="eastAsia" w:ascii="仿宋_GB2312" w:hAnsi="仿宋_GB2312" w:eastAsia="仿宋_GB2312" w:cs="仿宋_GB2312"/>
          <w:sz w:val="28"/>
          <w:szCs w:val="32"/>
          <w:lang w:val="en-US" w:eastAsia="zh-CN"/>
        </w:rPr>
        <w:t>18</w:t>
      </w:r>
    </w:p>
    <w:p>
      <w:pPr>
        <w:pStyle w:val="11"/>
        <w:adjustRightInd w:val="0"/>
        <w:snapToGrid w:val="0"/>
        <w:spacing w:before="0"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32"/>
        </w:rPr>
        <w:t>第四部分 附件</w:t>
      </w:r>
      <w:r>
        <w:rPr>
          <w:rFonts w:hint="eastAsia" w:ascii="仿宋_GB2312" w:hAnsi="仿宋_GB2312" w:eastAsia="仿宋_GB2312" w:cs="仿宋_GB2312"/>
          <w:sz w:val="28"/>
          <w:szCs w:val="32"/>
          <w:lang w:val="en-US" w:eastAsia="zh-CN"/>
        </w:rPr>
        <w:tab/>
      </w:r>
      <w:r>
        <w:rPr>
          <w:rFonts w:hint="eastAsia" w:ascii="仿宋_GB2312" w:hAnsi="仿宋_GB2312" w:eastAsia="仿宋_GB2312" w:cs="仿宋_GB2312"/>
          <w:sz w:val="28"/>
          <w:szCs w:val="32"/>
          <w:lang w:val="en-US" w:eastAsia="zh-CN"/>
        </w:rPr>
        <w:t>20</w:t>
      </w:r>
    </w:p>
    <w:p>
      <w:pPr>
        <w:pStyle w:val="11"/>
        <w:adjustRightInd w:val="0"/>
        <w:snapToGrid w:val="0"/>
        <w:spacing w:before="0" w:line="44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32"/>
        </w:rPr>
        <w:t>第五部分 附表</w:t>
      </w:r>
      <w:r>
        <w:rPr>
          <w:rFonts w:hint="eastAsia" w:ascii="仿宋_GB2312" w:hAnsi="仿宋_GB2312" w:eastAsia="仿宋_GB2312" w:cs="仿宋_GB2312"/>
          <w:sz w:val="28"/>
          <w:szCs w:val="32"/>
          <w:lang w:val="en-US" w:eastAsia="zh-CN"/>
        </w:rPr>
        <w:tab/>
      </w:r>
      <w:r>
        <w:rPr>
          <w:rFonts w:hint="eastAsia" w:ascii="仿宋_GB2312" w:hAnsi="仿宋_GB2312" w:eastAsia="仿宋_GB2312" w:cs="仿宋_GB2312"/>
          <w:sz w:val="28"/>
          <w:szCs w:val="32"/>
          <w:lang w:val="en-US" w:eastAsia="zh-CN"/>
        </w:rPr>
        <w:t>21</w:t>
      </w:r>
    </w:p>
    <w:p>
      <w:pPr>
        <w:pStyle w:val="12"/>
        <w:tabs>
          <w:tab w:val="right" w:leader="dot" w:pos="7980"/>
          <w:tab w:val="clear" w:pos="8296"/>
        </w:tabs>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五、财政拨款支出决算明细表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六、一般公共预算财政拨款支出决算表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七、一般公共预算财政拨款支出决算明细表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八、一般公共预算财政拨款基本支出决算明细表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九、一般公共预算财政拨款项目支出决算表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十、政府性基金预算财政拨款收入支出决算表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十一、国有资本经营预算财政拨款收入支出决算表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十二、国有资本经营预算财政拨款支出决算表</w:t>
      </w:r>
    </w:p>
    <w:p>
      <w:pPr>
        <w:pStyle w:val="12"/>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十三、财政拨款“三公”经费支出决算表</w:t>
      </w:r>
    </w:p>
    <w:p>
      <w:pPr>
        <w:widowControl/>
        <w:adjustRightInd w:val="0"/>
        <w:snapToGrid w:val="0"/>
        <w:spacing w:line="440" w:lineRule="exact"/>
        <w:ind w:firstLine="1540" w:firstLineChars="550"/>
        <w:jc w:val="left"/>
        <w:rPr>
          <w:rFonts w:hint="eastAsia" w:ascii="仿宋_GB2312" w:hAnsi="仿宋_GB2312" w:eastAsia="仿宋_GB2312" w:cs="仿宋_GB2312"/>
          <w:sz w:val="28"/>
          <w:szCs w:val="28"/>
          <w:lang w:eastAsia="zh-CN"/>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2"/>
      <w:bookmarkEnd w:id="13"/>
    </w:p>
    <w:p>
      <w:pPr>
        <w:pStyle w:val="4"/>
        <w:numPr>
          <w:ilvl w:val="0"/>
          <w:numId w:val="1"/>
        </w:numPr>
        <w:rPr>
          <w:rStyle w:val="26"/>
          <w:rFonts w:ascii="黑体" w:hAnsi="黑体" w:eastAsia="黑体"/>
          <w:b w:val="0"/>
          <w:bCs w:val="0"/>
        </w:rPr>
      </w:pPr>
      <w:bookmarkStart w:id="14" w:name="_Toc15377197"/>
      <w:bookmarkStart w:id="15" w:name="_Toc15396600"/>
      <w:r>
        <w:rPr>
          <w:rStyle w:val="26"/>
          <w:rFonts w:hint="eastAsia" w:ascii="黑体" w:hAnsi="黑体" w:eastAsia="黑体"/>
          <w:b w:val="0"/>
          <w:bCs w:val="0"/>
        </w:rPr>
        <w:t>主要职责</w:t>
      </w:r>
    </w:p>
    <w:p>
      <w:pPr>
        <w:keepNext w:val="0"/>
        <w:keepLines w:val="0"/>
        <w:pageBreakBefore w:val="0"/>
        <w:widowControl w:val="0"/>
        <w:kinsoku/>
        <w:wordWrap/>
        <w:overflowPunct/>
        <w:topLinePunct w:val="0"/>
        <w:autoSpaceDE/>
        <w:autoSpaceDN/>
        <w:bidi w:val="0"/>
        <w:adjustRightInd/>
        <w:snapToGrid/>
        <w:spacing w:before="0" w:beforeLines="-2147483648" w:beforeAutospacing="0" w:after="0" w:line="576" w:lineRule="exact"/>
        <w:ind w:firstLine="643" w:firstLineChars="200"/>
        <w:jc w:val="lef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pPr>
      <w:bookmarkStart w:id="16" w:name="_Toc15378445"/>
      <w:bookmarkStart w:id="17" w:name="_Toc15377198"/>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（一）</w:t>
      </w:r>
      <w:bookmarkEnd w:id="16"/>
      <w:bookmarkEnd w:id="17"/>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单位职责</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00"/>
          <w:kern w:val="0"/>
          <w:sz w:val="32"/>
          <w:szCs w:val="32"/>
        </w:rPr>
        <w:t>负责全县粮食宏观调控具体工作，承担粮食预警监测和应急责任；提出全县粮食宏观调控、总量平衡以及粮食流通规划的建议；监督执行粮食最低收购价政策及临时收储政策；负责全县粮食余缺调剂，指导县内粮食销售工作；保障军队等政策性粮食的供应，提高全县粮食供应保障能力；组织指导全县粮食系统统计工作。</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color w:val="000000"/>
          <w:kern w:val="0"/>
          <w:sz w:val="32"/>
          <w:szCs w:val="32"/>
        </w:rPr>
        <w:t>承担县级储备粮行政管理责任，指导全县储备粮体系建设。提出地方储备粮总规模及县级储备粮的总体布局和收储、轮换、动用计划建议并组织实施；制定县级储备粮管理技术规范并监督执行，监督检查县级储备粮库存数量、质量和储存安全；协助在剑中央储备粮、省级储备粮及国家其他政策性临时储存粮食的监督管理工作。</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color w:val="000000"/>
          <w:kern w:val="0"/>
          <w:sz w:val="32"/>
          <w:szCs w:val="32"/>
        </w:rPr>
        <w:t>贯彻实施国家粮食质量标准；制定全县粮食储存、运输技术规范并监督执行；负责全县粮食收购、储存环节和政策性用粮质量安全；负责库存原粮卫生监督管理；指导粮食行业安全生产和抢险救灾工作；指导全县农村科学储粮工作。</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color w:val="000000"/>
          <w:kern w:val="0"/>
          <w:sz w:val="32"/>
          <w:szCs w:val="32"/>
        </w:rPr>
        <w:t>制订粮食流通产业发展规划，提出促进全县粮食流通产业发展的政策建议并督促落实；指导、协调全县粮食流通粮食仓储、基础设施建设，管理县级财政投资粮食流通设施项目；制订全县加工和物流</w:t>
      </w:r>
      <w:r>
        <w:rPr>
          <w:rFonts w:hint="eastAsia" w:ascii="仿宋_GB2312" w:hAnsi="仿宋_GB2312" w:eastAsia="仿宋_GB2312" w:cs="仿宋_GB2312"/>
          <w:color w:val="000000"/>
          <w:kern w:val="0"/>
          <w:sz w:val="32"/>
          <w:szCs w:val="32"/>
          <w:lang w:eastAsia="zh-CN"/>
        </w:rPr>
        <w:t>体系</w:t>
      </w:r>
      <w:r>
        <w:rPr>
          <w:rFonts w:hint="eastAsia" w:ascii="仿宋_GB2312" w:hAnsi="仿宋_GB2312" w:eastAsia="仿宋_GB2312" w:cs="仿宋_GB2312"/>
          <w:color w:val="000000"/>
          <w:kern w:val="0"/>
          <w:sz w:val="32"/>
          <w:szCs w:val="32"/>
        </w:rPr>
        <w:t>建设规划并组织实施；拟订全县粮食市场体系发展规划，指导粮食批发市场和城乡粮食流通市场建设；开展粮食行业对外合作与交流，协助做好优质粮油的推广、开发工作；指导粮食企业科技进步、技术改造和新技术推广应用，指导粮油龙头企业开展惠农服务。</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color w:val="000000"/>
          <w:kern w:val="0"/>
          <w:sz w:val="32"/>
          <w:szCs w:val="32"/>
        </w:rPr>
        <w:t>贯彻国家粮食流通财政财务政策和会计制度，组织编报全县国有粮食企业会计报表及会计决算；指导全县国有和国有控股粮食企业的财务管理和会计报告工作；负责国家、省、市、县预算拨付的粮食政策性补贴资金和专项资金的使用管理；会同相关部门管理粮食风险基金、政策性粮食</w:t>
      </w:r>
      <w:r>
        <w:rPr>
          <w:rFonts w:hint="eastAsia" w:ascii="仿宋_GB2312" w:hAnsi="仿宋_GB2312" w:eastAsia="仿宋_GB2312" w:cs="仿宋_GB2312"/>
          <w:color w:val="000000"/>
          <w:kern w:val="0"/>
          <w:sz w:val="32"/>
          <w:szCs w:val="32"/>
          <w:lang w:eastAsia="zh-CN"/>
        </w:rPr>
        <w:t>财务挂账</w:t>
      </w:r>
      <w:r>
        <w:rPr>
          <w:rFonts w:hint="eastAsia" w:ascii="仿宋_GB2312" w:hAnsi="仿宋_GB2312" w:eastAsia="仿宋_GB2312" w:cs="仿宋_GB2312"/>
          <w:color w:val="000000"/>
          <w:kern w:val="0"/>
          <w:sz w:val="32"/>
          <w:szCs w:val="32"/>
        </w:rPr>
        <w:t>，参与粮食收购资金贷款管理。</w:t>
      </w:r>
    </w:p>
    <w:p>
      <w:pPr>
        <w:keepNext w:val="0"/>
        <w:keepLines w:val="0"/>
        <w:pageBreakBefore w:val="0"/>
        <w:widowControl w:val="0"/>
        <w:kinsoku/>
        <w:wordWrap/>
        <w:overflowPunct/>
        <w:topLinePunct w:val="0"/>
        <w:autoSpaceDE/>
        <w:autoSpaceDN/>
        <w:bidi w:val="0"/>
        <w:adjustRightInd/>
        <w:snapToGrid/>
        <w:spacing w:before="0" w:beforeLines="-2147483648" w:beforeAutospacing="0" w:after="0" w:line="576" w:lineRule="exact"/>
        <w:ind w:firstLine="643" w:firstLineChars="200"/>
        <w:jc w:val="left"/>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（二）2022年重点工作完成情况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楷体_GB2312" w:hAnsi="Calibri" w:eastAsia="楷体_GB2312" w:cs="Times New Roman"/>
          <w:b/>
          <w:sz w:val="32"/>
          <w:szCs w:val="32"/>
          <w:lang w:val="en-US" w:eastAsia="zh-CN"/>
        </w:rPr>
      </w:pPr>
      <w:r>
        <w:rPr>
          <w:rFonts w:hint="eastAsia" w:ascii="楷体_GB2312" w:hAnsi="楷体_GB2312" w:eastAsia="楷体_GB2312" w:cs="楷体_GB2312"/>
          <w:b/>
          <w:bCs/>
          <w:color w:val="000000"/>
          <w:kern w:val="0"/>
          <w:sz w:val="32"/>
          <w:szCs w:val="32"/>
          <w:lang w:val="en-US" w:eastAsia="zh-CN"/>
        </w:rPr>
        <w:t>一是完成新增储备，做好县储轮换。</w:t>
      </w:r>
      <w:r>
        <w:rPr>
          <w:rFonts w:hint="eastAsia" w:ascii="仿宋_GB2312" w:hAnsi="仿宋_GB2312" w:eastAsia="仿宋_GB2312" w:cs="仿宋_GB2312"/>
          <w:color w:val="000000"/>
          <w:sz w:val="32"/>
          <w:szCs w:val="32"/>
          <w:lang w:val="en-US" w:eastAsia="zh-CN"/>
        </w:rPr>
        <w:t>根</w:t>
      </w:r>
      <w:r>
        <w:rPr>
          <w:rFonts w:hint="eastAsia" w:ascii="仿宋_GB2312" w:hAnsi="仿宋_GB2312" w:eastAsia="仿宋_GB2312" w:cs="仿宋_GB2312"/>
          <w:sz w:val="32"/>
          <w:szCs w:val="32"/>
          <w:lang w:val="en-US" w:eastAsia="zh-CN"/>
        </w:rPr>
        <w:t>据市发改委、市财政局、农发行广元市分行《关于下达新增粮油储备规模的通知》的相关要求，完成新增县级储备粮油4250吨的实物和资料验收，有效发挥县级储备粮油在粮食宏观调控中的作用。同时，</w:t>
      </w:r>
      <w:r>
        <w:rPr>
          <w:rFonts w:hint="eastAsia" w:ascii="仿宋_GB2312" w:hAnsi="Calibri" w:eastAsia="仿宋_GB2312" w:cs="Times New Roman"/>
          <w:sz w:val="32"/>
          <w:szCs w:val="32"/>
          <w:lang w:val="en-US" w:eastAsia="zh-CN"/>
        </w:rPr>
        <w:t>切实做好县级储备粮油管理，</w:t>
      </w:r>
      <w:r>
        <w:rPr>
          <w:rFonts w:hint="eastAsia" w:ascii="仿宋_GB2312" w:hAnsi="仿宋_GB2312" w:eastAsia="仿宋_GB2312" w:cs="仿宋_GB2312"/>
          <w:sz w:val="32"/>
          <w:szCs w:val="32"/>
          <w:lang w:val="en-US" w:eastAsia="zh-CN"/>
        </w:rPr>
        <w:t>确保地方储备粮“数量真实，质量良好，储存安全”，需要时调得动，用得上，积极组织剑阁国库积极开展县级储备粮油出入库工作，完成县级小包装大米和小包装菜籽油轮换。</w:t>
      </w:r>
      <w:r>
        <w:rPr>
          <w:rFonts w:hint="eastAsia" w:ascii="楷体_GB2312" w:hAnsi="楷体_GB2312" w:eastAsia="楷体_GB2312" w:cs="楷体_GB2312"/>
          <w:b/>
          <w:bCs/>
          <w:color w:val="000000"/>
          <w:kern w:val="0"/>
          <w:sz w:val="32"/>
          <w:szCs w:val="32"/>
          <w:lang w:val="en-US" w:eastAsia="zh-CN"/>
        </w:rPr>
        <w:t>二是完善办法措施，加强风险监测。</w:t>
      </w:r>
      <w:r>
        <w:rPr>
          <w:rFonts w:hint="eastAsia" w:ascii="仿宋_GB2312" w:hAnsi="仿宋_GB2312" w:eastAsia="仿宋_GB2312" w:cs="仿宋_GB2312"/>
          <w:b w:val="0"/>
          <w:bCs w:val="0"/>
          <w:color w:val="000000"/>
          <w:sz w:val="32"/>
          <w:szCs w:val="32"/>
          <w:lang w:val="en-US" w:eastAsia="zh-CN"/>
        </w:rPr>
        <w:t>积极落实党中央、国务院有关</w:t>
      </w:r>
      <w:r>
        <w:rPr>
          <w:rFonts w:hint="eastAsia" w:ascii="仿宋_GB2312" w:hAnsi="Verdana" w:eastAsia="仿宋_GB2312" w:cs="Times New Roman"/>
          <w:color w:val="000000"/>
          <w:spacing w:val="0"/>
          <w:kern w:val="0"/>
          <w:sz w:val="32"/>
          <w:szCs w:val="32"/>
          <w:lang w:val="en-US" w:eastAsia="zh-CN"/>
        </w:rPr>
        <w:t>粮食储备安全管理体制机制改革精神，根据</w:t>
      </w:r>
      <w:r>
        <w:rPr>
          <w:rFonts w:hint="eastAsia" w:ascii="仿宋_GB2312" w:hAnsi="仿宋_GB2312" w:eastAsia="仿宋_GB2312" w:cs="仿宋_GB2312"/>
          <w:spacing w:val="-4"/>
          <w:sz w:val="32"/>
          <w:szCs w:val="32"/>
          <w:lang w:val="en-US" w:eastAsia="zh-CN"/>
        </w:rPr>
        <w:t>新修订的《粮食流通管理条例》《粮食质量安全监管办法》《四川省粮食安全保障条例》《剑阁县地方粮食储备管理办法》《广元市粮食应急预案》</w:t>
      </w:r>
      <w:r>
        <w:rPr>
          <w:rFonts w:hint="eastAsia" w:ascii="仿宋_GB2312" w:hAnsi="仿宋_GB2312" w:eastAsia="仿宋_GB2312" w:cs="仿宋_GB2312"/>
          <w:sz w:val="32"/>
          <w:szCs w:val="32"/>
          <w:lang w:val="en-US" w:eastAsia="zh-CN"/>
        </w:rPr>
        <w:t>等</w:t>
      </w:r>
      <w:r>
        <w:rPr>
          <w:rFonts w:hint="eastAsia" w:ascii="仿宋_GB2312" w:hAnsi="Verdana" w:eastAsia="仿宋_GB2312" w:cs="Times New Roman"/>
          <w:color w:val="000000"/>
          <w:spacing w:val="0"/>
          <w:kern w:val="0"/>
          <w:sz w:val="32"/>
          <w:szCs w:val="32"/>
          <w:lang w:val="en-US" w:eastAsia="zh-CN"/>
        </w:rPr>
        <w:t>法律法规，</w:t>
      </w:r>
      <w:r>
        <w:rPr>
          <w:rFonts w:hint="eastAsia" w:ascii="仿宋_GB2312" w:hAnsi="仿宋_GB2312" w:eastAsia="仿宋_GB2312" w:cs="仿宋_GB2312"/>
          <w:spacing w:val="-4"/>
          <w:sz w:val="32"/>
          <w:szCs w:val="32"/>
          <w:lang w:val="en-US" w:eastAsia="zh-CN"/>
        </w:rPr>
        <w:t>积极协调县政府办等相关部门单位，出台《剑阁县粮食预警与应急预案》为保障地方粮食安全，增强地方粮食应急保障能力提供了指导。同时，为全面掌握我县新收获粮食质量状况，加强粮食质量安全监测预警，强化源头管控，指导粮食收购、调整种植结构、建立优质基地、促进农民增收和产业经济高质量发展，有效防范系统性、区域性风险和行业性粮食安全风险隐患，确保粮食质量安全，助力粮食行业供给侧结构性改革和乡村振兴。单位会同市粮油质监站完成产新粮食国家级和省级新收获粮食质量安全监测采样工作，全年共扦取产新油菜籽样品8个，产新小麦样品87个8，产新稻谷样品123个，玉米样品13个，大豆样品4个。</w:t>
      </w:r>
      <w:r>
        <w:rPr>
          <w:rFonts w:hint="eastAsia" w:ascii="楷体_GB2312" w:hAnsi="楷体_GB2312" w:eastAsia="楷体_GB2312" w:cs="楷体_GB2312"/>
          <w:b/>
          <w:bCs/>
          <w:color w:val="000000"/>
          <w:kern w:val="0"/>
          <w:sz w:val="32"/>
          <w:szCs w:val="32"/>
          <w:lang w:val="en-US" w:eastAsia="zh-CN"/>
        </w:rPr>
        <w:t>三是开展库存检查，保障储存安全。</w:t>
      </w:r>
      <w:r>
        <w:rPr>
          <w:rFonts w:hint="eastAsia" w:ascii="仿宋_GB2312" w:hAnsi="Calibri" w:eastAsia="仿宋_GB2312" w:cs="Times New Roman"/>
          <w:sz w:val="32"/>
          <w:szCs w:val="32"/>
          <w:lang w:val="en-US" w:eastAsia="zh-CN"/>
        </w:rPr>
        <w:t>按照年初我县制定的2022年政策性粮油检查工作安排，单位</w:t>
      </w:r>
      <w:r>
        <w:rPr>
          <w:rFonts w:hint="eastAsia" w:ascii="仿宋_GB2312" w:hAnsi="仿宋_GB2312" w:eastAsia="仿宋_GB2312" w:cs="仿宋_GB2312"/>
          <w:sz w:val="32"/>
          <w:szCs w:val="32"/>
        </w:rPr>
        <w:t>采取“双随机、一公开”抽查方式，加强“四不两直”暗查暗访</w:t>
      </w:r>
      <w:r>
        <w:rPr>
          <w:rFonts w:hint="eastAsia" w:ascii="仿宋_GB2312" w:hAnsi="Calibri" w:eastAsia="仿宋_GB2312" w:cs="Times New Roman"/>
          <w:sz w:val="32"/>
          <w:szCs w:val="32"/>
        </w:rPr>
        <w:t>，发挥12325全国粮食监管热线作用，组织开展专项检查。</w:t>
      </w:r>
      <w:r>
        <w:rPr>
          <w:rFonts w:hint="eastAsia" w:ascii="仿宋_GB2312" w:hAnsi="宋体" w:eastAsia="仿宋_GB2312" w:cs="仿宋_GB2312"/>
          <w:color w:val="000000"/>
          <w:kern w:val="0"/>
          <w:sz w:val="32"/>
          <w:szCs w:val="32"/>
          <w:lang w:bidi="ar"/>
        </w:rPr>
        <w:t>重点对</w:t>
      </w:r>
      <w:r>
        <w:rPr>
          <w:rFonts w:hint="eastAsia" w:ascii="仿宋_GB2312" w:hAnsi="宋体" w:eastAsia="仿宋_GB2312" w:cs="仿宋_GB2312"/>
          <w:kern w:val="0"/>
          <w:sz w:val="32"/>
          <w:szCs w:val="32"/>
          <w:shd w:val="clear" w:color="auto" w:fill="FFFFFF"/>
          <w:lang w:bidi="ar"/>
        </w:rPr>
        <w:t>是否严格执行国家粮食质价政策、量价折扣规则，仓储设施状况及条件，原粮卫生等情况进行监督检查</w:t>
      </w:r>
      <w:r>
        <w:rPr>
          <w:rFonts w:hint="eastAsia" w:ascii="仿宋_GB2312" w:hAnsi="宋体" w:eastAsia="仿宋_GB2312" w:cs="仿宋_GB2312"/>
          <w:kern w:val="0"/>
          <w:sz w:val="32"/>
          <w:szCs w:val="32"/>
          <w:shd w:val="clear" w:color="auto" w:fill="FFFFFF"/>
          <w:lang w:eastAsia="zh-CN" w:bidi="ar"/>
        </w:rPr>
        <w:t>。</w:t>
      </w:r>
      <w:r>
        <w:rPr>
          <w:rFonts w:hint="eastAsia" w:ascii="仿宋_GB2312" w:hAnsi="Calibri" w:eastAsia="仿宋_GB2312" w:cs="Times New Roman"/>
          <w:sz w:val="32"/>
          <w:szCs w:val="32"/>
          <w:lang w:val="en-US" w:eastAsia="zh-CN"/>
        </w:rPr>
        <w:t>全年在辖区范围内共开展检21</w:t>
      </w:r>
      <w:r>
        <w:rPr>
          <w:rFonts w:hint="eastAsia" w:ascii="仿宋_GB2312" w:hAnsi="Calibri" w:eastAsia="仿宋_GB2312" w:cs="Times New Roman"/>
          <w:sz w:val="32"/>
          <w:szCs w:val="32"/>
        </w:rPr>
        <w:t>个乡镇（其中，涉及县属2家国有粮食企业政策性粮食库点</w:t>
      </w: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个，</w:t>
      </w:r>
      <w:r>
        <w:rPr>
          <w:rFonts w:hint="eastAsia" w:ascii="仿宋_GB2312" w:hAnsi="Calibri" w:eastAsia="仿宋_GB2312" w:cs="Times New Roman"/>
          <w:sz w:val="32"/>
          <w:szCs w:val="32"/>
          <w:lang w:val="en-US" w:eastAsia="zh-CN"/>
        </w:rPr>
        <w:t>私有企业10家</w:t>
      </w:r>
      <w:r>
        <w:rPr>
          <w:rFonts w:hint="eastAsia" w:ascii="仿宋_GB2312" w:hAnsi="Calibri" w:eastAsia="仿宋_GB2312" w:cs="Times New Roman"/>
          <w:sz w:val="32"/>
          <w:szCs w:val="32"/>
        </w:rPr>
        <w:t>）</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b/>
          <w:bCs/>
          <w:color w:val="000000"/>
          <w:kern w:val="0"/>
          <w:sz w:val="32"/>
          <w:szCs w:val="32"/>
          <w:lang w:val="en-US" w:eastAsia="zh-CN"/>
        </w:rPr>
        <w:t>四</w:t>
      </w:r>
      <w:r>
        <w:rPr>
          <w:rFonts w:hint="eastAsia" w:ascii="楷体_GB2312" w:hAnsi="Calibri" w:eastAsia="楷体_GB2312" w:cs="Times New Roman"/>
          <w:b/>
          <w:sz w:val="32"/>
          <w:szCs w:val="32"/>
          <w:lang w:val="en-US" w:eastAsia="zh-CN"/>
        </w:rPr>
        <w:t>是强化政策宣传，提高储粮技能。</w:t>
      </w:r>
      <w:r>
        <w:rPr>
          <w:rFonts w:hint="eastAsia" w:ascii="仿宋_GB2312" w:hAnsi="仿宋_GB2312" w:eastAsia="仿宋_GB2312" w:cs="仿宋_GB2312"/>
          <w:spacing w:val="-4"/>
          <w:sz w:val="32"/>
          <w:szCs w:val="32"/>
          <w:lang w:val="en-US" w:eastAsia="zh-CN"/>
        </w:rPr>
        <w:t>充分利用夏秋粮油收购专项检查、日常督查、世界粮食日宣传等契机，印发《科学储粮》《节粮减损》《粮油质量安全》等宣传手册800余册，指导种粮农民充分利用晴好天气，扎实做好新粮</w:t>
      </w:r>
      <w:r>
        <w:rPr>
          <w:rFonts w:hint="eastAsia" w:ascii="仿宋_GB2312" w:hAnsi="Calibri" w:eastAsia="仿宋_GB2312" w:cs="Times New Roman"/>
          <w:color w:val="000000"/>
          <w:sz w:val="32"/>
          <w:szCs w:val="32"/>
        </w:rPr>
        <w:t>的整理、晾晒，开展科学储粮，</w:t>
      </w:r>
      <w:r>
        <w:rPr>
          <w:rFonts w:hint="eastAsia" w:ascii="仿宋_GB2312" w:hAnsi="Calibri" w:eastAsia="仿宋_GB2312" w:cs="Times New Roman"/>
          <w:color w:val="000000"/>
          <w:sz w:val="32"/>
          <w:szCs w:val="32"/>
          <w:lang w:eastAsia="zh-CN"/>
        </w:rPr>
        <w:t>引导居民良好的粮食消费习惯，</w:t>
      </w:r>
      <w:r>
        <w:rPr>
          <w:rFonts w:hint="eastAsia" w:ascii="仿宋_GB2312" w:hAnsi="Calibri" w:eastAsia="仿宋_GB2312" w:cs="Times New Roman"/>
          <w:color w:val="000000"/>
          <w:sz w:val="32"/>
          <w:szCs w:val="32"/>
        </w:rPr>
        <w:t>促进粮食提级晋档</w:t>
      </w:r>
      <w:r>
        <w:rPr>
          <w:rFonts w:hint="eastAsia" w:ascii="仿宋_GB2312" w:hAnsi="仿宋_GB2312" w:eastAsia="仿宋_GB2312" w:cs="仿宋_GB2312"/>
          <w:spacing w:val="-4"/>
          <w:sz w:val="32"/>
          <w:szCs w:val="32"/>
          <w:lang w:val="en-US" w:eastAsia="zh-CN"/>
        </w:rPr>
        <w:t>。</w:t>
      </w:r>
    </w:p>
    <w:p>
      <w:pPr>
        <w:pStyle w:val="2"/>
        <w:rPr>
          <w:rFonts w:hint="eastAsia"/>
        </w:rPr>
      </w:pPr>
    </w:p>
    <w:p>
      <w:pPr>
        <w:pStyle w:val="4"/>
        <w:rPr>
          <w:rFonts w:hint="eastAsia" w:ascii="黑体" w:hAnsi="黑体" w:eastAsia="黑体"/>
          <w:b w:val="0"/>
        </w:rPr>
      </w:pPr>
      <w:r>
        <w:rPr>
          <w:rFonts w:hint="eastAsia" w:ascii="黑体" w:hAnsi="黑体" w:eastAsia="黑体"/>
          <w:b w:val="0"/>
        </w:rPr>
        <w:t>二、机构设置</w:t>
      </w:r>
    </w:p>
    <w:p>
      <w:pPr>
        <w:pStyle w:val="31"/>
        <w:pageBreakBefore w:val="0"/>
        <w:widowControl w:val="0"/>
        <w:pBdr>
          <w:bottom w:val="single" w:color="FFFFFF" w:sz="4" w:space="31"/>
        </w:pBdr>
        <w:tabs>
          <w:tab w:val="left" w:pos="1440"/>
        </w:tabs>
        <w:kinsoku/>
        <w:wordWrap/>
        <w:overflowPunct/>
        <w:topLinePunct w:val="0"/>
        <w:autoSpaceDE w:val="0"/>
        <w:autoSpaceDN w:val="0"/>
        <w:bidi w:val="0"/>
        <w:adjustRightInd w:val="0"/>
        <w:snapToGrid w:val="0"/>
        <w:spacing w:before="0" w:beforeAutospacing="0" w:after="0" w:afterAutospacing="0" w:line="576"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(一)人员情况。</w:t>
      </w:r>
      <w:r>
        <w:rPr>
          <w:rFonts w:hint="eastAsia" w:ascii="仿宋_GB2312" w:hAnsi="仿宋_GB2312" w:eastAsia="仿宋_GB2312" w:cs="仿宋_GB2312"/>
          <w:sz w:val="32"/>
          <w:szCs w:val="32"/>
          <w:lang w:val="en-GB"/>
        </w:rPr>
        <w:t>剑阁县粮食事务中心</w:t>
      </w:r>
      <w:r>
        <w:rPr>
          <w:rFonts w:hint="eastAsia" w:ascii="仿宋_GB2312" w:hAnsi="仿宋_GB2312" w:eastAsia="仿宋_GB2312" w:cs="仿宋_GB2312"/>
          <w:sz w:val="32"/>
          <w:szCs w:val="32"/>
        </w:rPr>
        <w:t>总编制19名，参公编制16名，机关工勤编制3名。在职人员总数</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人，其中行政人员0人，参公人员</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人，机关工勤人员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人。固定资产总额</w:t>
      </w:r>
      <w:r>
        <w:rPr>
          <w:rFonts w:hint="eastAsia" w:ascii="仿宋_GB2312" w:hAnsi="仿宋_GB2312" w:eastAsia="仿宋_GB2312" w:cs="仿宋_GB2312"/>
          <w:sz w:val="32"/>
          <w:szCs w:val="32"/>
          <w:lang w:val="en-US" w:eastAsia="zh-CN"/>
        </w:rPr>
        <w:t>701.06</w:t>
      </w:r>
      <w:r>
        <w:rPr>
          <w:rFonts w:hint="eastAsia" w:ascii="仿宋_GB2312" w:hAnsi="仿宋_GB2312" w:eastAsia="仿宋_GB2312" w:cs="仿宋_GB2312"/>
          <w:sz w:val="32"/>
          <w:szCs w:val="32"/>
        </w:rPr>
        <w:t xml:space="preserve">万元。 </w:t>
      </w:r>
    </w:p>
    <w:p>
      <w:pPr>
        <w:pStyle w:val="31"/>
        <w:pageBreakBefore w:val="0"/>
        <w:widowControl w:val="0"/>
        <w:pBdr>
          <w:bottom w:val="single" w:color="FFFFFF" w:sz="4" w:space="31"/>
        </w:pBdr>
        <w:tabs>
          <w:tab w:val="left" w:pos="1440"/>
        </w:tabs>
        <w:kinsoku/>
        <w:wordWrap/>
        <w:overflowPunct/>
        <w:topLinePunct w:val="0"/>
        <w:autoSpaceDE w:val="0"/>
        <w:autoSpaceDN w:val="0"/>
        <w:bidi w:val="0"/>
        <w:adjustRightInd w:val="0"/>
        <w:snapToGrid w:val="0"/>
        <w:spacing w:before="0" w:beforeAutospacing="0" w:after="0" w:afterAutospacing="0" w:line="576"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SA"/>
        </w:rPr>
        <w:t>(二)部门预算单位构成情况。</w:t>
      </w:r>
      <w:r>
        <w:rPr>
          <w:rFonts w:hint="eastAsia" w:ascii="仿宋_GB2312" w:hAnsi="仿宋_GB2312" w:eastAsia="仿宋_GB2312" w:cs="仿宋_GB2312"/>
          <w:sz w:val="32"/>
          <w:szCs w:val="32"/>
          <w:lang w:val="en-GB"/>
        </w:rPr>
        <w:t>剑阁县粮食事务中心属剑阁县发展和改革局</w:t>
      </w:r>
      <w:r>
        <w:rPr>
          <w:rFonts w:hint="eastAsia" w:ascii="仿宋_GB2312" w:hAnsi="仿宋_GB2312" w:eastAsia="仿宋_GB2312" w:cs="仿宋_GB2312"/>
          <w:sz w:val="32"/>
          <w:szCs w:val="32"/>
          <w:lang w:val="en-GB" w:eastAsia="zh-CN"/>
        </w:rPr>
        <w:t>下属</w:t>
      </w:r>
      <w:r>
        <w:rPr>
          <w:rFonts w:hint="eastAsia" w:ascii="仿宋_GB2312" w:hAnsi="仿宋_GB2312" w:eastAsia="仿宋_GB2312" w:cs="仿宋_GB2312"/>
          <w:sz w:val="32"/>
          <w:szCs w:val="32"/>
        </w:rPr>
        <w:t>参照公务员法管理的事业单位。</w:t>
      </w:r>
    </w:p>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5"/>
          <w:rFonts w:ascii="黑体" w:hAnsi="黑体" w:eastAsia="黑体"/>
          <w:b w:val="0"/>
          <w:bCs/>
        </w:rPr>
      </w:pPr>
      <w:bookmarkStart w:id="18" w:name="_Toc15377204"/>
      <w:bookmarkStart w:id="19" w:name="_Toc15396602"/>
      <w:r>
        <w:rPr>
          <w:rFonts w:hint="eastAsia" w:ascii="黑体" w:hAnsi="黑体" w:eastAsia="黑体"/>
          <w:b w:val="0"/>
        </w:rPr>
        <w:t>第二部分 2022年度</w:t>
      </w:r>
      <w:r>
        <w:rPr>
          <w:rStyle w:val="25"/>
          <w:rFonts w:hint="eastAsia" w:ascii="黑体" w:hAnsi="黑体" w:eastAsia="黑体"/>
          <w:b w:val="0"/>
          <w:bCs/>
        </w:rPr>
        <w:t>单位决算情况说明</w:t>
      </w:r>
      <w:bookmarkEnd w:id="18"/>
      <w:bookmarkEnd w:id="19"/>
    </w:p>
    <w:p/>
    <w:p>
      <w:pPr>
        <w:pStyle w:val="24"/>
        <w:numPr>
          <w:ilvl w:val="0"/>
          <w:numId w:val="2"/>
        </w:numPr>
        <w:spacing w:line="600" w:lineRule="exact"/>
        <w:ind w:firstLineChars="0"/>
        <w:outlineLvl w:val="1"/>
        <w:rPr>
          <w:rStyle w:val="26"/>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0"/>
      <w:bookmarkEnd w:id="21"/>
    </w:p>
    <w:p>
      <w:pPr>
        <w:spacing w:line="600" w:lineRule="exact"/>
        <w:ind w:firstLine="420" w:firstLineChars="200"/>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467360</wp:posOffset>
            </wp:positionH>
            <wp:positionV relativeFrom="paragraph">
              <wp:posOffset>1160145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2022年度收、支总计</w:t>
      </w:r>
      <w:r>
        <w:rPr>
          <w:rFonts w:hint="eastAsia" w:ascii="仿宋" w:hAnsi="仿宋" w:eastAsia="仿宋"/>
          <w:sz w:val="32"/>
          <w:szCs w:val="32"/>
          <w:lang w:val="en-US" w:eastAsia="zh-CN"/>
        </w:rPr>
        <w:t>1974.96</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198.88</w:t>
      </w:r>
      <w:r>
        <w:rPr>
          <w:rFonts w:hint="eastAsia" w:ascii="仿宋" w:hAnsi="仿宋" w:eastAsia="仿宋"/>
          <w:sz w:val="32"/>
          <w:szCs w:val="32"/>
        </w:rPr>
        <w:t>万元，增长</w:t>
      </w:r>
      <w:r>
        <w:rPr>
          <w:rFonts w:hint="eastAsia" w:ascii="仿宋" w:hAnsi="仿宋" w:eastAsia="仿宋"/>
          <w:sz w:val="32"/>
          <w:szCs w:val="32"/>
          <w:lang w:val="en-US" w:eastAsia="zh-CN"/>
        </w:rPr>
        <w:t>11.20</w:t>
      </w:r>
      <w:r>
        <w:rPr>
          <w:rFonts w:ascii="仿宋" w:hAnsi="仿宋" w:eastAsia="仿宋"/>
          <w:sz w:val="32"/>
          <w:szCs w:val="32"/>
        </w:rPr>
        <w:t>%</w:t>
      </w:r>
      <w:r>
        <w:rPr>
          <w:rFonts w:hint="eastAsia" w:ascii="仿宋" w:hAnsi="仿宋" w:eastAsia="仿宋"/>
          <w:sz w:val="32"/>
          <w:szCs w:val="32"/>
        </w:rPr>
        <w:t>。主要变动原因是项目资金增加。</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26"/>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22年本年收入合计687.97万元，其中：一般公共预算财政拨款收入687.97万元，占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p>
    <w:p>
      <w:pPr>
        <w:spacing w:line="600" w:lineRule="exact"/>
        <w:ind w:firstLine="420" w:firstLineChars="200"/>
        <w:jc w:val="center"/>
        <w:outlineLvl w:val="1"/>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4983480" cy="3016250"/>
            <wp:effectExtent l="4445" t="4445" r="22225" b="825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26"/>
          <w:rFonts w:hint="eastAsia" w:ascii="黑体" w:hAnsi="黑体" w:eastAsia="黑体"/>
          <w:b w:val="0"/>
        </w:rPr>
        <w:t>出决算情况说明</w:t>
      </w:r>
      <w:bookmarkEnd w:id="24"/>
      <w:bookmarkEnd w:id="25"/>
    </w:p>
    <w:p>
      <w:pPr>
        <w:spacing w:line="600" w:lineRule="exact"/>
        <w:ind w:firstLine="420" w:firstLineChars="200"/>
        <w:outlineLvl w:val="1"/>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854075</wp:posOffset>
            </wp:positionH>
            <wp:positionV relativeFrom="paragraph">
              <wp:posOffset>796290</wp:posOffset>
            </wp:positionV>
            <wp:extent cx="3983990" cy="2560955"/>
            <wp:effectExtent l="4445" t="4445" r="12065" b="6350"/>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sz w:val="32"/>
          <w:szCs w:val="32"/>
        </w:rPr>
        <w:t>20</w:t>
      </w:r>
      <w:r>
        <w:rPr>
          <w:rFonts w:hint="eastAsia" w:ascii="仿宋" w:hAnsi="仿宋" w:eastAsia="仿宋"/>
          <w:sz w:val="32"/>
          <w:szCs w:val="32"/>
        </w:rPr>
        <w:t>22年本年支出合计1974.96万元，其中：基本支出</w:t>
      </w:r>
      <w:r>
        <w:rPr>
          <w:rFonts w:hint="eastAsia" w:ascii="仿宋" w:hAnsi="仿宋" w:eastAsia="仿宋"/>
          <w:sz w:val="32"/>
          <w:szCs w:val="32"/>
          <w:lang w:val="en-US" w:eastAsia="zh-CN"/>
        </w:rPr>
        <w:t>283.09</w:t>
      </w:r>
      <w:r>
        <w:rPr>
          <w:rFonts w:hint="eastAsia" w:ascii="仿宋" w:hAnsi="仿宋" w:eastAsia="仿宋"/>
          <w:sz w:val="32"/>
          <w:szCs w:val="32"/>
        </w:rPr>
        <w:t>万元，占</w:t>
      </w:r>
      <w:r>
        <w:rPr>
          <w:rFonts w:hint="eastAsia" w:ascii="仿宋" w:hAnsi="仿宋" w:eastAsia="仿宋"/>
          <w:sz w:val="32"/>
          <w:szCs w:val="32"/>
          <w:lang w:val="en-US" w:eastAsia="zh-CN"/>
        </w:rPr>
        <w:t>14.33</w:t>
      </w:r>
      <w:r>
        <w:rPr>
          <w:rFonts w:ascii="仿宋" w:hAnsi="仿宋" w:eastAsia="仿宋"/>
          <w:sz w:val="32"/>
          <w:szCs w:val="32"/>
        </w:rPr>
        <w:t>%</w:t>
      </w:r>
      <w:r>
        <w:rPr>
          <w:rFonts w:hint="eastAsia" w:ascii="仿宋" w:hAnsi="仿宋" w:eastAsia="仿宋"/>
          <w:sz w:val="32"/>
          <w:szCs w:val="32"/>
        </w:rPr>
        <w:t>；项目支出1691.87万元，占</w:t>
      </w:r>
      <w:r>
        <w:rPr>
          <w:rFonts w:hint="eastAsia" w:ascii="仿宋" w:hAnsi="仿宋" w:eastAsia="仿宋"/>
          <w:sz w:val="32"/>
          <w:szCs w:val="32"/>
          <w:lang w:val="en-US" w:eastAsia="zh-CN"/>
        </w:rPr>
        <w:t>85.67</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（图3：支出决算结构图）</w:t>
      </w:r>
    </w:p>
    <w:p>
      <w:pPr>
        <w:spacing w:line="600" w:lineRule="exact"/>
        <w:ind w:firstLine="640" w:firstLineChars="200"/>
        <w:outlineLvl w:val="1"/>
        <w:rPr>
          <w:rFonts w:hint="eastAsia" w:ascii="黑体" w:hAnsi="黑体" w:eastAsia="黑体"/>
          <w:sz w:val="32"/>
          <w:szCs w:val="32"/>
        </w:rPr>
      </w:pPr>
      <w:bookmarkStart w:id="26" w:name="_Toc15396606"/>
      <w:bookmarkStart w:id="27" w:name="_Toc15377208"/>
    </w:p>
    <w:p>
      <w:pPr>
        <w:spacing w:line="600" w:lineRule="exact"/>
        <w:ind w:firstLine="640" w:firstLineChars="200"/>
        <w:outlineLvl w:val="1"/>
        <w:rPr>
          <w:rStyle w:val="26"/>
          <w:rFonts w:ascii="黑体" w:hAnsi="黑体" w:eastAsia="黑体"/>
          <w:b w:val="0"/>
        </w:rPr>
      </w:pPr>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6"/>
      <w:bookmarkEnd w:id="27"/>
    </w:p>
    <w:p>
      <w:pPr>
        <w:spacing w:line="600" w:lineRule="exact"/>
        <w:ind w:firstLine="640"/>
        <w:rPr>
          <w:rFonts w:hint="default" w:ascii="仿宋" w:hAnsi="仿宋" w:eastAsia="仿宋"/>
          <w:sz w:val="32"/>
          <w:szCs w:val="32"/>
          <w:lang w:val="en-US" w:eastAsia="zh-CN"/>
        </w:rPr>
      </w:pPr>
      <w:r>
        <w:drawing>
          <wp:anchor distT="0" distB="0" distL="114300" distR="114300" simplePos="0" relativeHeight="251662336" behindDoc="0" locked="0" layoutInCell="1" allowOverlap="1">
            <wp:simplePos x="0" y="0"/>
            <wp:positionH relativeFrom="column">
              <wp:posOffset>450215</wp:posOffset>
            </wp:positionH>
            <wp:positionV relativeFrom="paragraph">
              <wp:posOffset>1679575</wp:posOffset>
            </wp:positionV>
            <wp:extent cx="4572000" cy="2743200"/>
            <wp:effectExtent l="4445" t="4445" r="14605" b="14605"/>
            <wp:wrapTopAndBottom/>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sz w:val="32"/>
          <w:szCs w:val="32"/>
        </w:rPr>
        <w:t>20</w:t>
      </w:r>
      <w:r>
        <w:rPr>
          <w:rFonts w:hint="eastAsia" w:ascii="仿宋" w:hAnsi="仿宋" w:eastAsia="仿宋"/>
          <w:sz w:val="32"/>
          <w:szCs w:val="32"/>
        </w:rPr>
        <w:t>22年财政拨款收、支总计687.97万元。与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1088.10</w:t>
      </w:r>
      <w:r>
        <w:rPr>
          <w:rFonts w:hint="eastAsia" w:ascii="仿宋" w:hAnsi="仿宋" w:eastAsia="仿宋"/>
          <w:sz w:val="32"/>
          <w:szCs w:val="32"/>
        </w:rPr>
        <w:t>万元，下降</w:t>
      </w:r>
      <w:r>
        <w:rPr>
          <w:rFonts w:hint="eastAsia" w:ascii="仿宋" w:hAnsi="仿宋" w:eastAsia="仿宋"/>
          <w:sz w:val="32"/>
          <w:szCs w:val="32"/>
          <w:lang w:val="en-US" w:eastAsia="zh-CN"/>
        </w:rPr>
        <w:t>61.26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2021年决算数据将年初结转和结余资金一并算入当年财政拨款收入。</w:t>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（图4：财政拨款收、支决算总计变动情况）</w:t>
      </w:r>
    </w:p>
    <w:p>
      <w:pPr>
        <w:spacing w:line="600" w:lineRule="exact"/>
        <w:ind w:firstLine="640"/>
        <w:rPr>
          <w:rFonts w:ascii="仿宋" w:hAnsi="仿宋" w:eastAsia="仿宋"/>
          <w:b/>
          <w:sz w:val="32"/>
          <w:szCs w:val="32"/>
        </w:rPr>
      </w:pPr>
    </w:p>
    <w:p>
      <w:pPr>
        <w:spacing w:line="600" w:lineRule="exact"/>
        <w:ind w:firstLine="640" w:firstLineChars="200"/>
        <w:outlineLvl w:val="1"/>
        <w:rPr>
          <w:rStyle w:val="26"/>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1974.96</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198.89</w:t>
      </w:r>
      <w:r>
        <w:rPr>
          <w:rFonts w:hint="eastAsia" w:ascii="仿宋" w:hAnsi="仿宋" w:eastAsia="仿宋"/>
          <w:sz w:val="32"/>
          <w:szCs w:val="32"/>
        </w:rPr>
        <w:t>万元，增长</w:t>
      </w:r>
      <w:r>
        <w:rPr>
          <w:rFonts w:hint="eastAsia" w:ascii="仿宋" w:hAnsi="仿宋" w:eastAsia="仿宋"/>
          <w:sz w:val="32"/>
          <w:szCs w:val="32"/>
          <w:lang w:val="en-US" w:eastAsia="zh-CN"/>
        </w:rPr>
        <w:t>11.20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人员增加，项目资金增加。</w:t>
      </w:r>
    </w:p>
    <w:p>
      <w:pPr>
        <w:spacing w:line="600" w:lineRule="exact"/>
        <w:ind w:firstLine="420" w:firstLineChars="200"/>
        <w:jc w:val="center"/>
        <w:rPr>
          <w:rFonts w:hint="eastAsia" w:ascii="仿宋" w:hAnsi="仿宋" w:eastAsia="仿宋"/>
          <w:sz w:val="32"/>
          <w:szCs w:val="32"/>
        </w:rPr>
      </w:pPr>
      <w:r>
        <w:drawing>
          <wp:anchor distT="0" distB="0" distL="114300" distR="114300" simplePos="0" relativeHeight="251663360" behindDoc="0" locked="0" layoutInCell="1" allowOverlap="1">
            <wp:simplePos x="0" y="0"/>
            <wp:positionH relativeFrom="column">
              <wp:posOffset>614680</wp:posOffset>
            </wp:positionH>
            <wp:positionV relativeFrom="paragraph">
              <wp:posOffset>86360</wp:posOffset>
            </wp:positionV>
            <wp:extent cx="4572000" cy="2743200"/>
            <wp:effectExtent l="4445" t="4445" r="14605" b="14605"/>
            <wp:wrapTopAndBottom/>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sz w:val="32"/>
          <w:szCs w:val="32"/>
        </w:rPr>
        <w:t>（图5：一般公共预算财政拨款支出决算变动情况）</w:t>
      </w:r>
    </w:p>
    <w:p>
      <w:pPr>
        <w:pStyle w:val="2"/>
        <w:rPr>
          <w:rFonts w:hint="eastAsia"/>
        </w:rPr>
      </w:pP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22年一般公共预算财政拨款支出1974.96万元，主要用于以下方面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社会保障和就业支出</w:t>
      </w:r>
      <w:r>
        <w:rPr>
          <w:rFonts w:hint="eastAsia" w:ascii="仿宋" w:hAnsi="仿宋" w:eastAsia="仿宋"/>
          <w:sz w:val="32"/>
          <w:szCs w:val="32"/>
          <w:lang w:val="en-US" w:eastAsia="zh-CN"/>
        </w:rPr>
        <w:t>23.44</w:t>
      </w:r>
      <w:r>
        <w:rPr>
          <w:rFonts w:hint="eastAsia" w:ascii="仿宋" w:hAnsi="仿宋" w:eastAsia="仿宋"/>
          <w:sz w:val="32"/>
          <w:szCs w:val="32"/>
        </w:rPr>
        <w:t>万元，占</w:t>
      </w:r>
      <w:r>
        <w:rPr>
          <w:rFonts w:hint="eastAsia" w:ascii="仿宋" w:hAnsi="仿宋" w:eastAsia="仿宋"/>
          <w:sz w:val="32"/>
          <w:szCs w:val="32"/>
          <w:lang w:val="en-US" w:eastAsia="zh-CN"/>
        </w:rPr>
        <w:t>1.19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卫生健康支出</w:t>
      </w:r>
      <w:r>
        <w:rPr>
          <w:rFonts w:hint="eastAsia" w:ascii="仿宋" w:hAnsi="仿宋" w:eastAsia="仿宋"/>
          <w:sz w:val="32"/>
          <w:szCs w:val="32"/>
          <w:lang w:val="en-US" w:eastAsia="zh-CN"/>
        </w:rPr>
        <w:t>10.34</w:t>
      </w:r>
      <w:r>
        <w:rPr>
          <w:rFonts w:hint="eastAsia" w:ascii="仿宋" w:hAnsi="仿宋" w:eastAsia="仿宋"/>
          <w:sz w:val="32"/>
          <w:szCs w:val="32"/>
        </w:rPr>
        <w:t>万元，占</w:t>
      </w:r>
      <w:r>
        <w:rPr>
          <w:rFonts w:hint="eastAsia" w:ascii="仿宋" w:hAnsi="仿宋" w:eastAsia="仿宋"/>
          <w:sz w:val="32"/>
          <w:szCs w:val="32"/>
          <w:lang w:val="en-US" w:eastAsia="zh-CN"/>
        </w:rPr>
        <w:t>0.52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lang w:val="en-US" w:eastAsia="zh-CN"/>
        </w:rPr>
        <w:t>14.59</w:t>
      </w:r>
      <w:r>
        <w:rPr>
          <w:rFonts w:hint="eastAsia" w:ascii="仿宋" w:hAnsi="仿宋" w:eastAsia="仿宋"/>
          <w:sz w:val="32"/>
          <w:szCs w:val="32"/>
        </w:rPr>
        <w:t>万元，占</w:t>
      </w:r>
      <w:r>
        <w:rPr>
          <w:rFonts w:hint="eastAsia" w:ascii="仿宋" w:hAnsi="仿宋" w:eastAsia="仿宋"/>
          <w:sz w:val="32"/>
          <w:szCs w:val="32"/>
          <w:lang w:val="en-US" w:eastAsia="zh-CN"/>
        </w:rPr>
        <w:t>0.74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lang w:val="en-US" w:eastAsia="zh-CN"/>
        </w:rPr>
        <w:t>674.77</w:t>
      </w:r>
      <w:r>
        <w:rPr>
          <w:rFonts w:hint="eastAsia" w:ascii="仿宋" w:hAnsi="仿宋" w:eastAsia="仿宋"/>
          <w:sz w:val="32"/>
          <w:szCs w:val="32"/>
        </w:rPr>
        <w:t>万元，占</w:t>
      </w:r>
      <w:r>
        <w:rPr>
          <w:rFonts w:hint="eastAsia" w:ascii="仿宋" w:hAnsi="仿宋" w:eastAsia="仿宋"/>
          <w:sz w:val="32"/>
          <w:szCs w:val="32"/>
          <w:lang w:val="en-US" w:eastAsia="zh-CN"/>
        </w:rPr>
        <w:t>34.17</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rPr>
        <w:t>粮油物资储备支出</w:t>
      </w:r>
      <w:r>
        <w:rPr>
          <w:rFonts w:hint="eastAsia" w:ascii="仿宋" w:hAnsi="仿宋" w:eastAsia="仿宋"/>
          <w:sz w:val="32"/>
          <w:szCs w:val="32"/>
          <w:lang w:val="en-US" w:eastAsia="zh-CN"/>
        </w:rPr>
        <w:t>1251.82万元</w:t>
      </w:r>
      <w:r>
        <w:rPr>
          <w:rFonts w:hint="eastAsia" w:ascii="仿宋" w:hAnsi="仿宋" w:eastAsia="仿宋"/>
          <w:b/>
          <w:bCs/>
          <w:sz w:val="32"/>
          <w:szCs w:val="32"/>
        </w:rPr>
        <w:t>，占</w:t>
      </w:r>
      <w:r>
        <w:rPr>
          <w:rFonts w:hint="eastAsia" w:ascii="仿宋" w:hAnsi="仿宋" w:eastAsia="仿宋"/>
          <w:b/>
          <w:bCs/>
          <w:sz w:val="32"/>
          <w:szCs w:val="32"/>
          <w:lang w:val="en-US" w:eastAsia="zh-CN"/>
        </w:rPr>
        <w:t>63.38</w:t>
      </w:r>
      <w:r>
        <w:rPr>
          <w:rFonts w:ascii="仿宋" w:hAnsi="仿宋" w:eastAsia="仿宋"/>
          <w:b/>
          <w:bCs/>
          <w:sz w:val="32"/>
          <w:szCs w:val="32"/>
        </w:rPr>
        <w:t>%</w:t>
      </w:r>
      <w:r>
        <w:rPr>
          <w:rFonts w:hint="eastAsia" w:ascii="仿宋" w:hAnsi="仿宋" w:eastAsia="仿宋"/>
          <w:sz w:val="32"/>
          <w:szCs w:val="32"/>
        </w:rPr>
        <w:t>。</w:t>
      </w:r>
    </w:p>
    <w:p>
      <w:pPr>
        <w:spacing w:line="600" w:lineRule="exact"/>
        <w:jc w:val="center"/>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4572000" cy="2828925"/>
            <wp:effectExtent l="4445" t="4445" r="14605"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8460"/>
      <w:bookmarkStart w:id="34" w:name="_Toc15377213"/>
      <w:bookmarkStart w:id="35" w:name="_Toc15377444"/>
      <w:r>
        <w:rPr>
          <w:rFonts w:hint="eastAsia" w:ascii="仿宋" w:hAnsi="仿宋" w:eastAsia="仿宋"/>
          <w:b/>
          <w:sz w:val="32"/>
          <w:szCs w:val="32"/>
        </w:rPr>
        <w:t>2022年一般公共预算支出决算数为1974.96万元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33"/>
      <w:bookmarkEnd w:id="34"/>
      <w:bookmarkEnd w:id="35"/>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社会保障和就业支出（类）行政事业单位养老支出（款）行政单位离退休（项）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3.98</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cs="Times New Roman"/>
          <w:b/>
          <w:sz w:val="32"/>
          <w:szCs w:val="32"/>
        </w:rPr>
      </w:pPr>
      <w:r>
        <w:rPr>
          <w:rStyle w:val="15"/>
          <w:rFonts w:ascii="仿宋" w:hAnsi="仿宋" w:eastAsia="仿宋"/>
          <w:bCs/>
          <w:sz w:val="32"/>
          <w:szCs w:val="32"/>
        </w:rPr>
        <w:t>2.</w:t>
      </w:r>
      <w:r>
        <w:rPr>
          <w:rStyle w:val="15"/>
          <w:rFonts w:hint="eastAsia" w:ascii="仿宋" w:hAnsi="仿宋" w:eastAsia="仿宋" w:cstheme="minorBidi"/>
          <w:bCs/>
          <w:sz w:val="32"/>
          <w:szCs w:val="32"/>
        </w:rPr>
        <w:t>社会保障和就业支出（类）行政事业单位养老支出（款）机关事业单位基本养老保险缴费支出（项）</w:t>
      </w:r>
      <w:r>
        <w:rPr>
          <w:rStyle w:val="15"/>
          <w:rFonts w:hint="eastAsia" w:ascii="仿宋" w:hAnsi="仿宋" w:eastAsia="仿宋" w:cstheme="minorBidi"/>
          <w:bCs/>
          <w:sz w:val="32"/>
          <w:szCs w:val="32"/>
          <w:lang w:eastAsia="zh-CN"/>
        </w:rPr>
        <w:t>：</w:t>
      </w:r>
      <w:r>
        <w:rPr>
          <w:rStyle w:val="15"/>
          <w:rFonts w:ascii="仿宋" w:hAnsi="仿宋" w:eastAsia="仿宋" w:cstheme="minorBidi"/>
          <w:b w:val="0"/>
          <w:bCs/>
          <w:sz w:val="32"/>
          <w:szCs w:val="32"/>
        </w:rPr>
        <w:t xml:space="preserve"> </w:t>
      </w:r>
      <w:r>
        <w:rPr>
          <w:rStyle w:val="15"/>
          <w:rFonts w:hint="eastAsia" w:ascii="仿宋" w:hAnsi="仿宋" w:eastAsia="仿宋" w:cstheme="minorBidi"/>
          <w:b w:val="0"/>
          <w:bCs/>
          <w:sz w:val="32"/>
          <w:szCs w:val="32"/>
        </w:rPr>
        <w:t>支出决算为</w:t>
      </w:r>
      <w:r>
        <w:rPr>
          <w:rStyle w:val="15"/>
          <w:rFonts w:hint="eastAsia" w:ascii="仿宋" w:hAnsi="仿宋" w:eastAsia="仿宋" w:cstheme="minorBidi"/>
          <w:b w:val="0"/>
          <w:bCs/>
          <w:sz w:val="32"/>
          <w:szCs w:val="32"/>
          <w:lang w:val="en-US" w:eastAsia="zh-CN"/>
        </w:rPr>
        <w:t>19.46</w:t>
      </w:r>
      <w:r>
        <w:rPr>
          <w:rStyle w:val="15"/>
          <w:rFonts w:hint="eastAsia" w:ascii="仿宋" w:hAnsi="仿宋" w:eastAsia="仿宋" w:cstheme="minorBidi"/>
          <w:b w:val="0"/>
          <w:bCs/>
          <w:sz w:val="32"/>
          <w:szCs w:val="32"/>
        </w:rPr>
        <w:t>万元，完成预算</w:t>
      </w:r>
      <w:r>
        <w:rPr>
          <w:rStyle w:val="15"/>
          <w:rFonts w:hint="eastAsia" w:ascii="仿宋" w:hAnsi="仿宋" w:eastAsia="仿宋" w:cstheme="minorBidi"/>
          <w:b w:val="0"/>
          <w:bCs/>
          <w:sz w:val="32"/>
          <w:szCs w:val="32"/>
          <w:lang w:val="en-US" w:eastAsia="zh-CN"/>
        </w:rPr>
        <w:t>100</w:t>
      </w:r>
      <w:r>
        <w:rPr>
          <w:rStyle w:val="15"/>
          <w:rFonts w:ascii="仿宋" w:hAnsi="仿宋" w:eastAsia="仿宋" w:cstheme="minorBidi"/>
          <w:b w:val="0"/>
          <w:bCs/>
          <w:sz w:val="32"/>
          <w:szCs w:val="32"/>
        </w:rPr>
        <w:t>%</w:t>
      </w:r>
      <w:r>
        <w:rPr>
          <w:rStyle w:val="15"/>
          <w:rFonts w:hint="eastAsia" w:ascii="仿宋" w:hAnsi="仿宋" w:eastAsia="仿宋" w:cstheme="minorBidi"/>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3.</w:t>
      </w:r>
      <w:r>
        <w:rPr>
          <w:rStyle w:val="15"/>
          <w:rFonts w:hint="eastAsia" w:ascii="仿宋" w:hAnsi="仿宋" w:eastAsia="仿宋"/>
          <w:bCs/>
          <w:sz w:val="32"/>
          <w:szCs w:val="32"/>
        </w:rPr>
        <w:t>卫生健康支出（类）行政事业单位医疗（款）行政单位医疗（项）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10.34</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4.</w:t>
      </w:r>
      <w:r>
        <w:rPr>
          <w:rStyle w:val="15"/>
          <w:rFonts w:hint="eastAsia" w:ascii="仿宋" w:hAnsi="仿宋" w:eastAsia="仿宋" w:cstheme="minorBidi"/>
          <w:bCs/>
          <w:sz w:val="32"/>
          <w:szCs w:val="32"/>
        </w:rPr>
        <w:t>农林水支出（类）其他农林水支出（款）其他农林水支出（项）</w:t>
      </w:r>
      <w:r>
        <w:rPr>
          <w:rStyle w:val="15"/>
          <w:rFonts w:hint="eastAsia" w:ascii="仿宋" w:hAnsi="仿宋" w:eastAsia="仿宋" w:cstheme="minorBidi"/>
          <w:bCs/>
          <w:sz w:val="32"/>
          <w:szCs w:val="32"/>
          <w:lang w:eastAsia="zh-CN"/>
        </w:rPr>
        <w:t>：</w:t>
      </w:r>
      <w:r>
        <w:rPr>
          <w:rStyle w:val="15"/>
          <w:rFonts w:ascii="仿宋" w:hAnsi="仿宋" w:eastAsia="仿宋" w:cstheme="minorBidi"/>
          <w:b w:val="0"/>
          <w:bCs/>
          <w:sz w:val="32"/>
          <w:szCs w:val="32"/>
        </w:rPr>
        <w:t xml:space="preserve"> </w:t>
      </w:r>
      <w:r>
        <w:rPr>
          <w:rStyle w:val="15"/>
          <w:rFonts w:hint="eastAsia" w:ascii="仿宋" w:hAnsi="仿宋" w:eastAsia="仿宋" w:cstheme="minorBidi"/>
          <w:b w:val="0"/>
          <w:bCs/>
          <w:sz w:val="32"/>
          <w:szCs w:val="32"/>
        </w:rPr>
        <w:t>支出决算为</w:t>
      </w:r>
      <w:r>
        <w:rPr>
          <w:rStyle w:val="15"/>
          <w:rFonts w:hint="eastAsia" w:ascii="仿宋" w:hAnsi="仿宋" w:eastAsia="仿宋" w:cstheme="minorBidi"/>
          <w:b w:val="0"/>
          <w:bCs/>
          <w:sz w:val="32"/>
          <w:szCs w:val="32"/>
          <w:lang w:val="en-US" w:eastAsia="zh-CN"/>
        </w:rPr>
        <w:t>674.77</w:t>
      </w:r>
      <w:r>
        <w:rPr>
          <w:rStyle w:val="15"/>
          <w:rFonts w:hint="eastAsia" w:ascii="仿宋" w:hAnsi="仿宋" w:eastAsia="仿宋" w:cstheme="minorBidi"/>
          <w:b w:val="0"/>
          <w:bCs/>
          <w:sz w:val="32"/>
          <w:szCs w:val="32"/>
        </w:rPr>
        <w:t>万元，完成预算</w:t>
      </w:r>
      <w:r>
        <w:rPr>
          <w:rStyle w:val="15"/>
          <w:rFonts w:hint="eastAsia" w:ascii="仿宋" w:hAnsi="仿宋" w:eastAsia="仿宋" w:cstheme="minorBidi"/>
          <w:b w:val="0"/>
          <w:bCs/>
          <w:sz w:val="32"/>
          <w:szCs w:val="32"/>
          <w:lang w:val="en-US" w:eastAsia="zh-CN"/>
        </w:rPr>
        <w:t>100</w:t>
      </w:r>
      <w:r>
        <w:rPr>
          <w:rStyle w:val="15"/>
          <w:rFonts w:ascii="仿宋" w:hAnsi="仿宋" w:eastAsia="仿宋" w:cstheme="minorBidi"/>
          <w:b w:val="0"/>
          <w:bCs/>
          <w:sz w:val="32"/>
          <w:szCs w:val="32"/>
        </w:rPr>
        <w:t>%</w:t>
      </w:r>
      <w:r>
        <w:rPr>
          <w:rStyle w:val="15"/>
          <w:rFonts w:hint="eastAsia" w:ascii="仿宋" w:hAnsi="仿宋" w:eastAsia="仿宋" w:cstheme="minorBidi"/>
          <w:b w:val="0"/>
          <w:bCs/>
          <w:sz w:val="32"/>
          <w:szCs w:val="32"/>
        </w:rPr>
        <w:t>。</w:t>
      </w:r>
    </w:p>
    <w:p>
      <w:pPr>
        <w:spacing w:line="600" w:lineRule="exact"/>
        <w:ind w:firstLine="643" w:firstLineChars="200"/>
        <w:rPr>
          <w:rFonts w:ascii="仿宋" w:hAnsi="仿宋" w:eastAsia="仿宋"/>
          <w:b/>
          <w:sz w:val="32"/>
          <w:szCs w:val="32"/>
        </w:rPr>
      </w:pPr>
      <w:r>
        <w:rPr>
          <w:rStyle w:val="15"/>
          <w:rFonts w:ascii="仿宋" w:hAnsi="仿宋" w:eastAsia="仿宋"/>
          <w:bCs/>
          <w:sz w:val="32"/>
          <w:szCs w:val="32"/>
        </w:rPr>
        <w:t>5.</w:t>
      </w:r>
      <w:r>
        <w:rPr>
          <w:rStyle w:val="15"/>
          <w:rFonts w:hint="eastAsia" w:ascii="仿宋" w:hAnsi="仿宋" w:eastAsia="仿宋"/>
          <w:bCs/>
          <w:sz w:val="32"/>
          <w:szCs w:val="32"/>
        </w:rPr>
        <w:t>住房保障支出（类）住房改革支出（款）住房公积金（项）</w:t>
      </w:r>
      <w:r>
        <w:rPr>
          <w:rStyle w:val="15"/>
          <w:rFonts w:hint="eastAsia" w:ascii="仿宋" w:hAnsi="仿宋" w:eastAsia="仿宋"/>
          <w:bCs/>
          <w:sz w:val="32"/>
          <w:szCs w:val="32"/>
          <w:lang w:eastAsia="zh-CN"/>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14.59</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hint="eastAsia" w:ascii="仿宋" w:hAnsi="仿宋" w:eastAsia="仿宋"/>
          <w:b w:val="0"/>
          <w:bCs/>
          <w:sz w:val="32"/>
          <w:szCs w:val="32"/>
        </w:rPr>
      </w:pPr>
      <w:r>
        <w:rPr>
          <w:rStyle w:val="15"/>
          <w:rFonts w:ascii="仿宋" w:hAnsi="仿宋" w:eastAsia="仿宋"/>
          <w:bCs/>
          <w:sz w:val="32"/>
          <w:szCs w:val="32"/>
        </w:rPr>
        <w:t>6.</w:t>
      </w:r>
      <w:r>
        <w:rPr>
          <w:rFonts w:hint="eastAsia" w:ascii="仿宋" w:hAnsi="仿宋" w:eastAsia="仿宋"/>
          <w:b/>
          <w:bCs/>
          <w:sz w:val="32"/>
          <w:szCs w:val="32"/>
        </w:rPr>
        <w:t>粮油物资储备支出</w:t>
      </w:r>
      <w:r>
        <w:rPr>
          <w:rStyle w:val="15"/>
          <w:rFonts w:hint="eastAsia" w:ascii="仿宋" w:hAnsi="仿宋" w:eastAsia="仿宋"/>
          <w:bCs/>
          <w:sz w:val="32"/>
          <w:szCs w:val="32"/>
        </w:rPr>
        <w:t>（类）粮油物资事务（款）行政运行（项）</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232.82</w:t>
      </w:r>
      <w:r>
        <w:rPr>
          <w:rStyle w:val="15"/>
          <w:rFonts w:hint="eastAsia" w:ascii="仿宋" w:hAnsi="仿宋" w:eastAsia="仿宋"/>
          <w:b w:val="0"/>
          <w:bCs/>
          <w:sz w:val="32"/>
          <w:szCs w:val="32"/>
        </w:rPr>
        <w:t>万元，完成预算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3" w:firstLineChars="200"/>
        <w:rPr>
          <w:rStyle w:val="15"/>
          <w:rFonts w:hint="eastAsia" w:ascii="仿宋" w:hAnsi="仿宋" w:eastAsia="仿宋" w:cs="Times New Roman"/>
          <w:b w:val="0"/>
          <w:bCs/>
          <w:sz w:val="32"/>
          <w:szCs w:val="32"/>
        </w:rPr>
      </w:pPr>
      <w:r>
        <w:rPr>
          <w:rStyle w:val="15"/>
          <w:rFonts w:hint="eastAsia" w:ascii="仿宋" w:hAnsi="仿宋" w:eastAsia="仿宋" w:cstheme="minorBidi"/>
          <w:bCs/>
          <w:sz w:val="32"/>
          <w:szCs w:val="32"/>
          <w:lang w:val="en-US" w:eastAsia="zh-CN"/>
        </w:rPr>
        <w:t>7</w:t>
      </w:r>
      <w:r>
        <w:rPr>
          <w:rStyle w:val="15"/>
          <w:rFonts w:ascii="仿宋" w:hAnsi="仿宋" w:eastAsia="仿宋" w:cstheme="minorBidi"/>
          <w:bCs/>
          <w:sz w:val="32"/>
          <w:szCs w:val="32"/>
        </w:rPr>
        <w:t>.</w:t>
      </w:r>
      <w:r>
        <w:rPr>
          <w:rFonts w:hint="eastAsia" w:ascii="仿宋" w:hAnsi="仿宋" w:eastAsia="仿宋" w:cs="Times New Roman"/>
          <w:b/>
          <w:bCs/>
          <w:sz w:val="32"/>
          <w:szCs w:val="32"/>
        </w:rPr>
        <w:t>粮油物资储备支出</w:t>
      </w:r>
      <w:r>
        <w:rPr>
          <w:rStyle w:val="15"/>
          <w:rFonts w:hint="eastAsia" w:ascii="仿宋" w:hAnsi="仿宋" w:eastAsia="仿宋" w:cstheme="minorBidi"/>
          <w:bCs/>
          <w:sz w:val="32"/>
          <w:szCs w:val="32"/>
        </w:rPr>
        <w:t>（类）粮油物资事务（款）事业运行（项）</w:t>
      </w:r>
      <w:r>
        <w:rPr>
          <w:rStyle w:val="15"/>
          <w:rFonts w:hint="eastAsia" w:ascii="仿宋" w:hAnsi="仿宋" w:eastAsia="仿宋" w:cstheme="minorBidi"/>
          <w:bCs/>
          <w:sz w:val="32"/>
          <w:szCs w:val="32"/>
          <w:lang w:eastAsia="zh-CN"/>
        </w:rPr>
        <w:t>：</w:t>
      </w:r>
      <w:r>
        <w:rPr>
          <w:rStyle w:val="15"/>
          <w:rFonts w:hint="eastAsia" w:ascii="仿宋" w:hAnsi="仿宋" w:eastAsia="仿宋" w:cstheme="minorBidi"/>
          <w:b w:val="0"/>
          <w:bCs/>
          <w:sz w:val="32"/>
          <w:szCs w:val="32"/>
        </w:rPr>
        <w:t>支出决算为</w:t>
      </w:r>
      <w:r>
        <w:rPr>
          <w:rStyle w:val="15"/>
          <w:rFonts w:hint="eastAsia" w:ascii="仿宋" w:hAnsi="仿宋" w:eastAsia="仿宋" w:cstheme="minorBidi"/>
          <w:b w:val="0"/>
          <w:bCs/>
          <w:sz w:val="32"/>
          <w:szCs w:val="32"/>
          <w:lang w:val="en-US" w:eastAsia="zh-CN"/>
        </w:rPr>
        <w:t>1.9</w:t>
      </w:r>
      <w:r>
        <w:rPr>
          <w:rStyle w:val="15"/>
          <w:rFonts w:hint="eastAsia" w:ascii="仿宋" w:hAnsi="仿宋" w:eastAsia="仿宋" w:cstheme="minorBidi"/>
          <w:b w:val="0"/>
          <w:bCs/>
          <w:sz w:val="32"/>
          <w:szCs w:val="32"/>
        </w:rPr>
        <w:t>万元，完成预算</w:t>
      </w:r>
      <w:r>
        <w:rPr>
          <w:rStyle w:val="15"/>
          <w:rFonts w:hint="eastAsia" w:ascii="仿宋" w:hAnsi="仿宋" w:eastAsia="仿宋" w:cstheme="minorBidi"/>
          <w:b w:val="0"/>
          <w:bCs/>
          <w:sz w:val="32"/>
          <w:szCs w:val="32"/>
          <w:lang w:val="en-US" w:eastAsia="zh-CN"/>
        </w:rPr>
        <w:t>100</w:t>
      </w:r>
      <w:r>
        <w:rPr>
          <w:rStyle w:val="15"/>
          <w:rFonts w:ascii="仿宋" w:hAnsi="仿宋" w:eastAsia="仿宋" w:cstheme="minorBidi"/>
          <w:b w:val="0"/>
          <w:bCs/>
          <w:sz w:val="32"/>
          <w:szCs w:val="32"/>
        </w:rPr>
        <w:t>%</w:t>
      </w:r>
      <w:r>
        <w:rPr>
          <w:rStyle w:val="15"/>
          <w:rFonts w:hint="eastAsia" w:ascii="仿宋" w:hAnsi="仿宋" w:eastAsia="仿宋" w:cstheme="minorBidi"/>
          <w:b w:val="0"/>
          <w:bCs/>
          <w:sz w:val="32"/>
          <w:szCs w:val="32"/>
        </w:rPr>
        <w:t>。</w:t>
      </w:r>
    </w:p>
    <w:p>
      <w:pPr>
        <w:spacing w:line="600" w:lineRule="exact"/>
        <w:ind w:firstLine="643" w:firstLineChars="200"/>
        <w:rPr>
          <w:rStyle w:val="15"/>
          <w:rFonts w:hint="eastAsia" w:ascii="仿宋" w:hAnsi="仿宋" w:eastAsia="仿宋" w:cstheme="minorBidi"/>
          <w:b w:val="0"/>
          <w:bCs/>
          <w:sz w:val="32"/>
          <w:szCs w:val="32"/>
        </w:rPr>
      </w:pPr>
      <w:r>
        <w:rPr>
          <w:rStyle w:val="15"/>
          <w:rFonts w:hint="eastAsia" w:ascii="仿宋" w:hAnsi="仿宋" w:eastAsia="仿宋" w:cstheme="minorBidi"/>
          <w:bCs/>
          <w:sz w:val="32"/>
          <w:szCs w:val="32"/>
          <w:lang w:val="en-US" w:eastAsia="zh-CN"/>
        </w:rPr>
        <w:t>8</w:t>
      </w:r>
      <w:r>
        <w:rPr>
          <w:rStyle w:val="15"/>
          <w:rFonts w:ascii="仿宋" w:hAnsi="仿宋" w:eastAsia="仿宋" w:cstheme="minorBidi"/>
          <w:bCs/>
          <w:sz w:val="32"/>
          <w:szCs w:val="32"/>
        </w:rPr>
        <w:t>.</w:t>
      </w:r>
      <w:r>
        <w:rPr>
          <w:rFonts w:hint="eastAsia" w:ascii="仿宋" w:hAnsi="仿宋" w:eastAsia="仿宋" w:cs="Times New Roman"/>
          <w:b/>
          <w:bCs/>
          <w:sz w:val="32"/>
          <w:szCs w:val="32"/>
        </w:rPr>
        <w:t>粮油物资储备支出</w:t>
      </w:r>
      <w:r>
        <w:rPr>
          <w:rStyle w:val="15"/>
          <w:rFonts w:hint="eastAsia" w:ascii="仿宋" w:hAnsi="仿宋" w:eastAsia="仿宋" w:cstheme="minorBidi"/>
          <w:bCs/>
          <w:sz w:val="32"/>
          <w:szCs w:val="32"/>
        </w:rPr>
        <w:t>（类）粮油物资事务（款）粮食财务挂账消化款（项）</w:t>
      </w:r>
      <w:r>
        <w:rPr>
          <w:rStyle w:val="15"/>
          <w:rFonts w:hint="eastAsia" w:ascii="仿宋" w:hAnsi="仿宋" w:eastAsia="仿宋" w:cstheme="minorBidi"/>
          <w:bCs/>
          <w:sz w:val="32"/>
          <w:szCs w:val="32"/>
          <w:lang w:eastAsia="zh-CN"/>
        </w:rPr>
        <w:t>：</w:t>
      </w:r>
      <w:r>
        <w:rPr>
          <w:rStyle w:val="15"/>
          <w:rFonts w:hint="eastAsia" w:ascii="仿宋" w:hAnsi="仿宋" w:eastAsia="仿宋" w:cstheme="minorBidi"/>
          <w:b w:val="0"/>
          <w:bCs/>
          <w:sz w:val="32"/>
          <w:szCs w:val="32"/>
        </w:rPr>
        <w:t>支出决算为</w:t>
      </w:r>
      <w:r>
        <w:rPr>
          <w:rStyle w:val="15"/>
          <w:rFonts w:hint="eastAsia" w:ascii="仿宋" w:hAnsi="仿宋" w:eastAsia="仿宋" w:cstheme="minorBidi"/>
          <w:b w:val="0"/>
          <w:bCs/>
          <w:sz w:val="32"/>
          <w:szCs w:val="32"/>
          <w:lang w:val="en-US" w:eastAsia="zh-CN"/>
        </w:rPr>
        <w:t>160</w:t>
      </w:r>
      <w:r>
        <w:rPr>
          <w:rStyle w:val="15"/>
          <w:rFonts w:hint="eastAsia" w:ascii="仿宋" w:hAnsi="仿宋" w:eastAsia="仿宋" w:cstheme="minorBidi"/>
          <w:b w:val="0"/>
          <w:bCs/>
          <w:sz w:val="32"/>
          <w:szCs w:val="32"/>
        </w:rPr>
        <w:t>万元，完成预算</w:t>
      </w:r>
      <w:r>
        <w:rPr>
          <w:rStyle w:val="15"/>
          <w:rFonts w:hint="eastAsia" w:ascii="仿宋" w:hAnsi="仿宋" w:eastAsia="仿宋" w:cstheme="minorBidi"/>
          <w:b w:val="0"/>
          <w:bCs/>
          <w:sz w:val="32"/>
          <w:szCs w:val="32"/>
          <w:lang w:val="en-US" w:eastAsia="zh-CN"/>
        </w:rPr>
        <w:t>100</w:t>
      </w:r>
      <w:r>
        <w:rPr>
          <w:rStyle w:val="15"/>
          <w:rFonts w:ascii="仿宋" w:hAnsi="仿宋" w:eastAsia="仿宋" w:cstheme="minorBidi"/>
          <w:b w:val="0"/>
          <w:bCs/>
          <w:sz w:val="32"/>
          <w:szCs w:val="32"/>
        </w:rPr>
        <w:t>%</w:t>
      </w:r>
      <w:r>
        <w:rPr>
          <w:rStyle w:val="15"/>
          <w:rFonts w:hint="eastAsia" w:ascii="仿宋" w:hAnsi="仿宋" w:eastAsia="仿宋" w:cstheme="minorBidi"/>
          <w:b w:val="0"/>
          <w:bCs/>
          <w:sz w:val="32"/>
          <w:szCs w:val="32"/>
        </w:rPr>
        <w:t>。</w:t>
      </w:r>
    </w:p>
    <w:p>
      <w:pPr>
        <w:spacing w:line="600" w:lineRule="exact"/>
        <w:ind w:firstLine="643" w:firstLineChars="200"/>
        <w:rPr>
          <w:rStyle w:val="15"/>
          <w:rFonts w:hint="eastAsia" w:ascii="仿宋" w:hAnsi="仿宋" w:eastAsia="仿宋" w:cstheme="minorBidi"/>
          <w:b w:val="0"/>
          <w:bCs/>
          <w:sz w:val="32"/>
          <w:szCs w:val="32"/>
        </w:rPr>
      </w:pPr>
      <w:r>
        <w:rPr>
          <w:rStyle w:val="15"/>
          <w:rFonts w:hint="eastAsia" w:ascii="仿宋" w:hAnsi="仿宋" w:eastAsia="仿宋" w:cstheme="minorBidi"/>
          <w:bCs/>
          <w:sz w:val="32"/>
          <w:szCs w:val="32"/>
          <w:lang w:val="en-US" w:eastAsia="zh-CN"/>
        </w:rPr>
        <w:t>9</w:t>
      </w:r>
      <w:r>
        <w:rPr>
          <w:rStyle w:val="15"/>
          <w:rFonts w:ascii="仿宋" w:hAnsi="仿宋" w:eastAsia="仿宋" w:cstheme="minorBidi"/>
          <w:bCs/>
          <w:sz w:val="32"/>
          <w:szCs w:val="32"/>
        </w:rPr>
        <w:t>.</w:t>
      </w:r>
      <w:r>
        <w:rPr>
          <w:rFonts w:hint="eastAsia" w:ascii="仿宋" w:hAnsi="仿宋" w:eastAsia="仿宋" w:cs="Times New Roman"/>
          <w:b/>
          <w:bCs/>
          <w:sz w:val="32"/>
          <w:szCs w:val="32"/>
        </w:rPr>
        <w:t>粮油物资储备支出</w:t>
      </w:r>
      <w:r>
        <w:rPr>
          <w:rStyle w:val="15"/>
          <w:rFonts w:hint="eastAsia" w:ascii="仿宋" w:hAnsi="仿宋" w:eastAsia="仿宋" w:cstheme="minorBidi"/>
          <w:bCs/>
          <w:sz w:val="32"/>
          <w:szCs w:val="32"/>
        </w:rPr>
        <w:t>（类）粮油物资事务（款）其他粮油物资事务支出（项）</w:t>
      </w:r>
      <w:r>
        <w:rPr>
          <w:rStyle w:val="15"/>
          <w:rFonts w:hint="eastAsia" w:ascii="仿宋" w:hAnsi="仿宋" w:eastAsia="仿宋" w:cstheme="minorBidi"/>
          <w:bCs/>
          <w:sz w:val="32"/>
          <w:szCs w:val="32"/>
          <w:lang w:eastAsia="zh-CN"/>
        </w:rPr>
        <w:t>：</w:t>
      </w:r>
      <w:r>
        <w:rPr>
          <w:rStyle w:val="15"/>
          <w:rFonts w:hint="eastAsia" w:ascii="仿宋" w:hAnsi="仿宋" w:eastAsia="仿宋" w:cstheme="minorBidi"/>
          <w:b w:val="0"/>
          <w:bCs/>
          <w:sz w:val="32"/>
          <w:szCs w:val="32"/>
        </w:rPr>
        <w:t>支出决算为</w:t>
      </w:r>
      <w:r>
        <w:rPr>
          <w:rStyle w:val="15"/>
          <w:rFonts w:hint="eastAsia" w:ascii="仿宋" w:hAnsi="仿宋" w:eastAsia="仿宋" w:cstheme="minorBidi"/>
          <w:b w:val="0"/>
          <w:bCs/>
          <w:sz w:val="32"/>
          <w:szCs w:val="32"/>
          <w:lang w:val="en-US" w:eastAsia="zh-CN"/>
        </w:rPr>
        <w:t>790.72</w:t>
      </w:r>
      <w:r>
        <w:rPr>
          <w:rStyle w:val="15"/>
          <w:rFonts w:hint="eastAsia" w:ascii="仿宋" w:hAnsi="仿宋" w:eastAsia="仿宋" w:cstheme="minorBidi"/>
          <w:b w:val="0"/>
          <w:bCs/>
          <w:sz w:val="32"/>
          <w:szCs w:val="32"/>
        </w:rPr>
        <w:t>万元，完成预算</w:t>
      </w:r>
      <w:r>
        <w:rPr>
          <w:rStyle w:val="15"/>
          <w:rFonts w:hint="eastAsia" w:ascii="仿宋" w:hAnsi="仿宋" w:eastAsia="仿宋" w:cstheme="minorBidi"/>
          <w:b w:val="0"/>
          <w:bCs/>
          <w:sz w:val="32"/>
          <w:szCs w:val="32"/>
          <w:lang w:val="en-US" w:eastAsia="zh-CN"/>
        </w:rPr>
        <w:t>100</w:t>
      </w:r>
      <w:r>
        <w:rPr>
          <w:rStyle w:val="15"/>
          <w:rFonts w:ascii="仿宋" w:hAnsi="仿宋" w:eastAsia="仿宋" w:cstheme="minorBidi"/>
          <w:b w:val="0"/>
          <w:bCs/>
          <w:sz w:val="32"/>
          <w:szCs w:val="32"/>
        </w:rPr>
        <w:t>%</w:t>
      </w:r>
      <w:r>
        <w:rPr>
          <w:rStyle w:val="15"/>
          <w:rFonts w:hint="eastAsia" w:ascii="仿宋" w:hAnsi="仿宋" w:eastAsia="仿宋" w:cstheme="minorBidi"/>
          <w:b w:val="0"/>
          <w:bCs/>
          <w:sz w:val="32"/>
          <w:szCs w:val="32"/>
        </w:rPr>
        <w:t>。</w:t>
      </w:r>
    </w:p>
    <w:p>
      <w:pPr>
        <w:spacing w:line="600" w:lineRule="exact"/>
        <w:ind w:firstLine="643" w:firstLineChars="200"/>
        <w:rPr>
          <w:rStyle w:val="15"/>
          <w:rFonts w:hint="eastAsia" w:ascii="仿宋" w:hAnsi="仿宋" w:eastAsia="仿宋" w:cs="Times New Roman"/>
          <w:b w:val="0"/>
          <w:bCs/>
          <w:sz w:val="32"/>
          <w:szCs w:val="32"/>
        </w:rPr>
      </w:pPr>
      <w:r>
        <w:rPr>
          <w:rStyle w:val="15"/>
          <w:rFonts w:hint="eastAsia" w:ascii="仿宋" w:hAnsi="仿宋" w:eastAsia="仿宋" w:cstheme="minorBidi"/>
          <w:bCs/>
          <w:sz w:val="32"/>
          <w:szCs w:val="32"/>
          <w:lang w:val="en-US" w:eastAsia="zh-CN"/>
        </w:rPr>
        <w:t>10</w:t>
      </w:r>
      <w:r>
        <w:rPr>
          <w:rStyle w:val="15"/>
          <w:rFonts w:ascii="仿宋" w:hAnsi="仿宋" w:eastAsia="仿宋" w:cstheme="minorBidi"/>
          <w:bCs/>
          <w:sz w:val="32"/>
          <w:szCs w:val="32"/>
        </w:rPr>
        <w:t>.</w:t>
      </w:r>
      <w:r>
        <w:rPr>
          <w:rFonts w:hint="eastAsia" w:ascii="仿宋" w:hAnsi="仿宋" w:eastAsia="仿宋" w:cs="Times New Roman"/>
          <w:b/>
          <w:bCs/>
          <w:sz w:val="32"/>
          <w:szCs w:val="32"/>
        </w:rPr>
        <w:t>粮油物资储备支出</w:t>
      </w:r>
      <w:r>
        <w:rPr>
          <w:rStyle w:val="15"/>
          <w:rFonts w:hint="eastAsia" w:ascii="仿宋" w:hAnsi="仿宋" w:eastAsia="仿宋" w:cstheme="minorBidi"/>
          <w:bCs/>
          <w:sz w:val="32"/>
          <w:szCs w:val="32"/>
        </w:rPr>
        <w:t>（类）粮油储备（款）储备粮（油）库建设（项）</w:t>
      </w:r>
      <w:r>
        <w:rPr>
          <w:rStyle w:val="15"/>
          <w:rFonts w:hint="eastAsia" w:ascii="仿宋" w:hAnsi="仿宋" w:eastAsia="仿宋" w:cstheme="minorBidi"/>
          <w:bCs/>
          <w:sz w:val="32"/>
          <w:szCs w:val="32"/>
          <w:lang w:eastAsia="zh-CN"/>
        </w:rPr>
        <w:t>：</w:t>
      </w:r>
      <w:r>
        <w:rPr>
          <w:rStyle w:val="15"/>
          <w:rFonts w:hint="eastAsia" w:ascii="仿宋" w:hAnsi="仿宋" w:eastAsia="仿宋" w:cstheme="minorBidi"/>
          <w:b w:val="0"/>
          <w:bCs/>
          <w:sz w:val="32"/>
          <w:szCs w:val="32"/>
        </w:rPr>
        <w:t>支出决算为</w:t>
      </w:r>
      <w:r>
        <w:rPr>
          <w:rStyle w:val="15"/>
          <w:rFonts w:hint="eastAsia" w:ascii="仿宋" w:hAnsi="仿宋" w:eastAsia="仿宋" w:cstheme="minorBidi"/>
          <w:b w:val="0"/>
          <w:bCs/>
          <w:sz w:val="32"/>
          <w:szCs w:val="32"/>
          <w:lang w:val="en-US" w:eastAsia="zh-CN"/>
        </w:rPr>
        <w:t>66.38</w:t>
      </w:r>
      <w:r>
        <w:rPr>
          <w:rStyle w:val="15"/>
          <w:rFonts w:hint="eastAsia" w:ascii="仿宋" w:hAnsi="仿宋" w:eastAsia="仿宋" w:cstheme="minorBidi"/>
          <w:b w:val="0"/>
          <w:bCs/>
          <w:sz w:val="32"/>
          <w:szCs w:val="32"/>
        </w:rPr>
        <w:t>万元，完成预算</w:t>
      </w:r>
      <w:r>
        <w:rPr>
          <w:rStyle w:val="15"/>
          <w:rFonts w:hint="eastAsia" w:ascii="仿宋" w:hAnsi="仿宋" w:eastAsia="仿宋" w:cstheme="minorBidi"/>
          <w:b w:val="0"/>
          <w:bCs/>
          <w:sz w:val="32"/>
          <w:szCs w:val="32"/>
          <w:lang w:val="en-US" w:eastAsia="zh-CN"/>
        </w:rPr>
        <w:t>100</w:t>
      </w:r>
      <w:r>
        <w:rPr>
          <w:rStyle w:val="15"/>
          <w:rFonts w:ascii="仿宋" w:hAnsi="仿宋" w:eastAsia="仿宋" w:cstheme="minorBidi"/>
          <w:b w:val="0"/>
          <w:bCs/>
          <w:sz w:val="32"/>
          <w:szCs w:val="32"/>
        </w:rPr>
        <w:t>%</w:t>
      </w:r>
      <w:r>
        <w:rPr>
          <w:rStyle w:val="15"/>
          <w:rFonts w:hint="eastAsia" w:ascii="仿宋" w:hAnsi="仿宋" w:eastAsia="仿宋" w:cstheme="minorBidi"/>
          <w:b w:val="0"/>
          <w:bCs/>
          <w:sz w:val="32"/>
          <w:szCs w:val="32"/>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6"/>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6"/>
      <w:bookmarkEnd w:id="37"/>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22年一般公共预算财政拨款基本支出283.09万元，其中：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48.37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退休费、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234.72</w:t>
      </w:r>
      <w:r>
        <w:rPr>
          <w:rFonts w:hint="eastAsia" w:ascii="仿宋" w:hAnsi="仿宋" w:eastAsia="仿宋"/>
          <w:sz w:val="32"/>
          <w:szCs w:val="32"/>
        </w:rPr>
        <w:t>万元，主要包括：办公费、印刷费、水费、电费、邮电费</w:t>
      </w:r>
      <w:r>
        <w:rPr>
          <w:rFonts w:hint="eastAsia" w:ascii="仿宋" w:hAnsi="仿宋" w:eastAsia="仿宋"/>
          <w:sz w:val="32"/>
          <w:szCs w:val="32"/>
          <w:lang w:eastAsia="zh-CN"/>
        </w:rPr>
        <w:t>、</w:t>
      </w:r>
      <w:r>
        <w:rPr>
          <w:rFonts w:hint="eastAsia" w:ascii="仿宋" w:hAnsi="仿宋" w:eastAsia="仿宋"/>
          <w:sz w:val="32"/>
          <w:szCs w:val="32"/>
        </w:rPr>
        <w:t>差旅费、维修（护）费、会议费、培训费、公务接待费、劳务费、工会经费、福利费、其他交通费、其他商品和服务支出、办公设备购置等。</w:t>
      </w:r>
    </w:p>
    <w:p>
      <w:pPr>
        <w:spacing w:line="600" w:lineRule="exact"/>
        <w:ind w:firstLine="640"/>
        <w:rPr>
          <w:rFonts w:ascii="仿宋" w:hAnsi="仿宋" w:eastAsia="仿宋"/>
          <w:b/>
          <w:sz w:val="32"/>
          <w:szCs w:val="32"/>
        </w:rPr>
      </w:pPr>
    </w:p>
    <w:p>
      <w:pPr>
        <w:spacing w:line="600" w:lineRule="exact"/>
        <w:ind w:firstLine="640"/>
        <w:outlineLvl w:val="1"/>
        <w:rPr>
          <w:rStyle w:val="26"/>
          <w:rFonts w:ascii="黑体" w:hAnsi="黑体" w:eastAsia="黑体"/>
          <w:b w:val="0"/>
        </w:rPr>
      </w:pPr>
      <w:bookmarkStart w:id="38" w:name="_Toc15396609"/>
      <w:bookmarkStart w:id="39"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1.34</w:t>
      </w:r>
      <w:r>
        <w:rPr>
          <w:rFonts w:hint="eastAsia" w:ascii="仿宋" w:hAnsi="仿宋" w:eastAsia="仿宋"/>
          <w:sz w:val="32"/>
          <w:szCs w:val="32"/>
        </w:rPr>
        <w:t>万元，完成预算</w:t>
      </w:r>
      <w:r>
        <w:rPr>
          <w:rFonts w:hint="eastAsia" w:ascii="仿宋" w:hAnsi="仿宋" w:eastAsia="仿宋"/>
          <w:sz w:val="32"/>
          <w:szCs w:val="32"/>
          <w:lang w:val="en-US" w:eastAsia="zh-CN"/>
        </w:rPr>
        <w:t>47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与</w:t>
      </w:r>
      <w:r>
        <w:rPr>
          <w:rFonts w:hint="eastAsia" w:ascii="仿宋" w:hAnsi="仿宋" w:eastAsia="仿宋"/>
          <w:sz w:val="32"/>
          <w:szCs w:val="32"/>
        </w:rPr>
        <w:t>上年</w:t>
      </w:r>
      <w:r>
        <w:rPr>
          <w:rFonts w:hint="eastAsia" w:ascii="仿宋" w:hAnsi="仿宋" w:eastAsia="仿宋"/>
          <w:sz w:val="32"/>
          <w:szCs w:val="32"/>
          <w:lang w:eastAsia="zh-CN"/>
        </w:rPr>
        <w:t>持平</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单位严格执行“厉行节约、反对浪费”的规定，严格控制“三公” 经费支出</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1.34</w:t>
      </w:r>
      <w:r>
        <w:rPr>
          <w:rFonts w:hint="eastAsia" w:ascii="仿宋" w:hAnsi="仿宋" w:eastAsia="仿宋"/>
          <w:sz w:val="32"/>
          <w:szCs w:val="32"/>
        </w:rPr>
        <w:t>万元，占</w:t>
      </w:r>
      <w:r>
        <w:rPr>
          <w:rFonts w:hint="eastAsia" w:ascii="仿宋" w:hAnsi="仿宋" w:eastAsia="仿宋"/>
          <w:sz w:val="32"/>
          <w:szCs w:val="32"/>
          <w:lang w:val="en-US" w:eastAsia="zh-CN"/>
        </w:rPr>
        <w:t>47</w:t>
      </w:r>
      <w:r>
        <w:rPr>
          <w:rFonts w:ascii="仿宋" w:hAnsi="仿宋" w:eastAsia="仿宋"/>
          <w:sz w:val="32"/>
          <w:szCs w:val="32"/>
        </w:rPr>
        <w:t>%</w:t>
      </w:r>
      <w:r>
        <w:rPr>
          <w:rFonts w:hint="eastAsia" w:ascii="仿宋" w:hAnsi="仿宋" w:eastAsia="仿宋"/>
          <w:sz w:val="32"/>
          <w:szCs w:val="32"/>
        </w:rPr>
        <w:t>。具体情况如下：</w:t>
      </w:r>
    </w:p>
    <w:p>
      <w:pPr>
        <w:pStyle w:val="2"/>
        <w:jc w:val="center"/>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4847590" cy="2695575"/>
            <wp:effectExtent l="4445" t="5080" r="5715" b="4445"/>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100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1.34</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47</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与上年持平</w:t>
      </w:r>
      <w:r>
        <w:rPr>
          <w:rFonts w:hint="eastAsia" w:ascii="仿宋_GB2312" w:eastAsia="仿宋_GB2312"/>
          <w:sz w:val="32"/>
          <w:szCs w:val="32"/>
        </w:rPr>
        <w:t>。主要原因是单位严格执行“厉行节约、反对浪费”的规定，严格控制“三公” 经费支出。其中：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1.34</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19</w:t>
      </w:r>
      <w:r>
        <w:rPr>
          <w:rFonts w:hint="eastAsia" w:ascii="仿宋_GB2312" w:eastAsia="仿宋_GB2312"/>
          <w:sz w:val="32"/>
          <w:szCs w:val="32"/>
        </w:rPr>
        <w:t>批次，</w:t>
      </w:r>
      <w:r>
        <w:rPr>
          <w:rFonts w:hint="eastAsia" w:ascii="仿宋_GB2312" w:eastAsia="仿宋_GB2312"/>
          <w:sz w:val="32"/>
          <w:szCs w:val="32"/>
          <w:lang w:val="en-US" w:eastAsia="zh-CN"/>
        </w:rPr>
        <w:t>213</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1.34</w:t>
      </w:r>
      <w:r>
        <w:rPr>
          <w:rFonts w:hint="eastAsia" w:ascii="仿宋_GB2312" w:eastAsia="仿宋_GB2312"/>
          <w:sz w:val="32"/>
          <w:szCs w:val="32"/>
        </w:rPr>
        <w:t>万元，具体内容包括：</w:t>
      </w:r>
      <w:r>
        <w:rPr>
          <w:rFonts w:hint="eastAsia" w:ascii="仿宋_GB2312" w:eastAsia="仿宋_GB2312"/>
          <w:sz w:val="32"/>
          <w:szCs w:val="32"/>
          <w:lang w:eastAsia="zh-CN"/>
        </w:rPr>
        <w:t>接待广元市发改委、苍溪、昭化发改局来剑考察等</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2" w:name="_Toc15396610"/>
      <w:bookmarkStart w:id="43"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6"/>
          <w:rFonts w:ascii="黑体" w:hAnsi="黑体" w:eastAsia="黑体"/>
          <w:b w:val="0"/>
        </w:rPr>
      </w:pPr>
      <w:bookmarkStart w:id="44" w:name="_Toc15396611"/>
      <w:bookmarkStart w:id="45" w:name="_Toc15377219"/>
      <w:r>
        <w:rPr>
          <w:rStyle w:val="26"/>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6"/>
          <w:rFonts w:ascii="黑体" w:hAnsi="黑体" w:eastAsia="黑体"/>
          <w:b w:val="0"/>
        </w:rPr>
      </w:pPr>
      <w:bookmarkStart w:id="46" w:name="_Toc15396612"/>
      <w:bookmarkStart w:id="47" w:name="_Toc15377221"/>
      <w:r>
        <w:rPr>
          <w:rStyle w:val="26"/>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剑阁县粮食事务中心</w:t>
      </w:r>
      <w:r>
        <w:rPr>
          <w:rFonts w:hint="eastAsia" w:ascii="仿宋_GB2312" w:eastAsia="仿宋_GB2312"/>
          <w:sz w:val="32"/>
          <w:szCs w:val="32"/>
        </w:rPr>
        <w:t>机关运行经费支出</w:t>
      </w:r>
      <w:r>
        <w:rPr>
          <w:rFonts w:hint="eastAsia" w:ascii="仿宋_GB2312" w:eastAsia="仿宋_GB2312"/>
          <w:sz w:val="32"/>
          <w:szCs w:val="32"/>
          <w:lang w:val="en-US" w:eastAsia="zh-CN"/>
        </w:rPr>
        <w:t>33.23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1.12</w:t>
      </w:r>
      <w:r>
        <w:rPr>
          <w:rFonts w:hint="eastAsia" w:ascii="仿宋_GB2312" w:eastAsia="仿宋_GB2312"/>
          <w:sz w:val="32"/>
          <w:szCs w:val="32"/>
        </w:rPr>
        <w:t>万元，增长</w:t>
      </w:r>
      <w:r>
        <w:rPr>
          <w:rFonts w:hint="eastAsia" w:ascii="仿宋_GB2312" w:eastAsia="仿宋_GB2312"/>
          <w:sz w:val="32"/>
          <w:szCs w:val="32"/>
          <w:lang w:val="en-US" w:eastAsia="zh-CN"/>
        </w:rPr>
        <w:t>3.49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人员增加导致。</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剑阁县粮食事务中心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剑阁县粮食事务中心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p>
    <w:p>
      <w:pPr>
        <w:autoSpaceDE w:val="0"/>
        <w:autoSpaceDN w:val="0"/>
        <w:adjustRightInd w:val="0"/>
        <w:spacing w:line="600" w:lineRule="exact"/>
        <w:ind w:left="0" w:leftChars="0"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2022</w:t>
      </w:r>
      <w:r>
        <w:rPr>
          <w:rFonts w:hint="eastAsia" w:hAnsi="仿宋_GB2312" w:cs="仿宋_GB2312"/>
          <w:sz w:val="32"/>
          <w:szCs w:val="32"/>
        </w:rPr>
        <w:t>年中央财政常规产粮大县奖励资金项目</w:t>
      </w:r>
      <w:r>
        <w:rPr>
          <w:rFonts w:hint="eastAsia" w:hAnsi="仿宋_GB2312" w:cs="仿宋_GB2312"/>
          <w:sz w:val="32"/>
          <w:szCs w:val="32"/>
          <w:lang w:val="en-US" w:eastAsia="zh-CN"/>
        </w:rPr>
        <w:t>1</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w:t>
      </w:r>
      <w:r>
        <w:rPr>
          <w:rFonts w:hint="eastAsia" w:hAnsi="仿宋_GB2312" w:cs="仿宋_GB2312"/>
          <w:sz w:val="32"/>
          <w:szCs w:val="32"/>
        </w:rPr>
        <w:t>个项目开展绩效监控，组织对</w:t>
      </w:r>
      <w:r>
        <w:rPr>
          <w:rFonts w:hint="eastAsia" w:hAnsi="仿宋_GB2312" w:cs="仿宋_GB2312"/>
          <w:sz w:val="32"/>
          <w:szCs w:val="32"/>
          <w:lang w:val="en-US" w:eastAsia="zh-CN"/>
        </w:rPr>
        <w:t>1</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5"/>
          <w:rFonts w:hint="eastAsia" w:ascii="黑体" w:hAnsi="黑体" w:eastAsia="黑体"/>
          <w:b w:val="0"/>
        </w:rPr>
        <w:t>词解释</w:t>
      </w:r>
      <w:bookmarkEnd w:id="51"/>
      <w:bookmarkEnd w:id="52"/>
    </w:p>
    <w:p>
      <w:pPr>
        <w:spacing w:line="600" w:lineRule="exact"/>
        <w:jc w:val="left"/>
        <w:rPr>
          <w:rFonts w:ascii="宋体"/>
          <w:b/>
          <w:sz w:val="44"/>
          <w:szCs w:val="44"/>
        </w:rPr>
      </w:pPr>
    </w:p>
    <w:p>
      <w:pPr>
        <w:pStyle w:val="23"/>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bookmarkStart w:id="53" w:name="_Toc15396614"/>
      <w:bookmarkStart w:id="54" w:name="_Toc15377226"/>
      <w:r>
        <w:rPr>
          <w:rFonts w:hint="eastAsia" w:ascii="仿宋_GB2312" w:hAnsi="仿宋_GB2312" w:eastAsia="仿宋_GB2312" w:cs="仿宋_GB2312"/>
          <w:color w:val="auto"/>
          <w:sz w:val="32"/>
          <w:szCs w:val="32"/>
        </w:rPr>
        <w:t>1.财政拨款收入：指单位从同级财政部门取得的财政预算资金。</w:t>
      </w:r>
    </w:p>
    <w:p>
      <w:pPr>
        <w:pStyle w:val="23"/>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2.一般公共预算拨款收入：指反映县级财政当年拨付的资金。</w:t>
      </w:r>
    </w:p>
    <w:p>
      <w:pPr>
        <w:pStyle w:val="23"/>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.年初结转和结余：指以前年度尚未完成、结转到本年按有关规定继续使用的资金。 </w:t>
      </w:r>
    </w:p>
    <w:p>
      <w:pPr>
        <w:pStyle w:val="23"/>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.结余分配：指事业单位按照会计制度规定缴纳的所得税、提取的专用结余以及转入非财政拨款结余的金额等。</w:t>
      </w:r>
    </w:p>
    <w:p>
      <w:pPr>
        <w:pStyle w:val="23"/>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年末结转和结余：指单位按有关规定结转到下年或以后年度继续使用的资金。</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.社会保障和就业支出（类）行政事业单位养老支出（款）行政单位离退休（项）：指</w:t>
      </w:r>
      <w:r>
        <w:rPr>
          <w:rFonts w:hint="eastAsia" w:ascii="仿宋_GB2312" w:hAnsi="仿宋_GB2312" w:eastAsia="仿宋_GB2312" w:cs="仿宋_GB2312"/>
          <w:sz w:val="32"/>
          <w:szCs w:val="32"/>
          <w:lang w:eastAsia="zh-CN"/>
        </w:rPr>
        <w:t>反映行政单位（包括实行公务员管理的事业单位）开支的离退休经费</w:t>
      </w:r>
      <w:r>
        <w:rPr>
          <w:rFonts w:hint="eastAsia" w:ascii="仿宋_GB2312" w:hAnsi="仿宋_GB2312" w:eastAsia="仿宋_GB2312" w:cs="仿宋_GB2312"/>
          <w:sz w:val="32"/>
          <w:szCs w:val="32"/>
        </w:rPr>
        <w:t>。</w:t>
      </w:r>
    </w:p>
    <w:p>
      <w:pPr>
        <w:pStyle w:val="2"/>
        <w:pageBreakBefore w:val="0"/>
        <w:kinsoku/>
        <w:wordWrap/>
        <w:overflowPunct/>
        <w:topLinePunct w:val="0"/>
        <w:bidi w:val="0"/>
        <w:spacing w:beforeLines="0" w:line="576" w:lineRule="exact"/>
        <w:ind w:left="0" w:leftChars="0"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社会保障和就业支出（类）行政事业单位养老支出（款）机关事业单位基本养老保险缴费支出（项）</w:t>
      </w:r>
      <w:r>
        <w:rPr>
          <w:rFonts w:hint="eastAsia" w:hAnsi="仿宋_GB2312" w:cs="仿宋_GB2312"/>
          <w:b w:val="0"/>
          <w:bCs/>
          <w:sz w:val="32"/>
          <w:szCs w:val="32"/>
          <w:lang w:eastAsia="zh-CN"/>
        </w:rPr>
        <w:t>：</w:t>
      </w:r>
      <w:r>
        <w:rPr>
          <w:rFonts w:hint="eastAsia" w:ascii="仿宋_GB2312" w:hAnsi="仿宋_GB2312" w:eastAsia="仿宋_GB2312" w:cs="仿宋_GB2312"/>
          <w:b w:val="0"/>
          <w:bCs/>
          <w:sz w:val="32"/>
          <w:szCs w:val="32"/>
        </w:rPr>
        <w:t>指</w:t>
      </w:r>
      <w:r>
        <w:rPr>
          <w:rFonts w:hint="eastAsia" w:ascii="仿宋_GB2312" w:hAnsi="仿宋_GB2312" w:eastAsia="仿宋_GB2312" w:cs="仿宋_GB2312"/>
          <w:b w:val="0"/>
          <w:bCs/>
          <w:sz w:val="32"/>
          <w:szCs w:val="32"/>
          <w:lang w:eastAsia="zh-CN"/>
        </w:rPr>
        <w:t>反映机关事业单位实施养老保险制度由单位缴纳的基本养老保险费支出。</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.卫生健康支出（类）行政事业单位医疗（款）行政单位医疗（项）：指</w:t>
      </w:r>
      <w:r>
        <w:rPr>
          <w:rFonts w:hint="eastAsia" w:ascii="仿宋_GB2312" w:hAnsi="仿宋_GB2312" w:eastAsia="仿宋_GB2312" w:cs="仿宋_GB2312"/>
          <w:sz w:val="32"/>
          <w:szCs w:val="32"/>
          <w:lang w:eastAsia="zh-CN"/>
        </w:rPr>
        <w:t>反映财政部门安排的行政单位（包括实行公务员管理的事业单位）基本医疗保险费经费等</w:t>
      </w:r>
      <w:r>
        <w:rPr>
          <w:rFonts w:hint="eastAsia" w:ascii="仿宋_GB2312" w:hAnsi="仿宋_GB2312" w:eastAsia="仿宋_GB2312" w:cs="仿宋_GB2312"/>
          <w:sz w:val="32"/>
          <w:szCs w:val="32"/>
        </w:rPr>
        <w:t>。</w:t>
      </w:r>
    </w:p>
    <w:p>
      <w:pPr>
        <w:pStyle w:val="2"/>
        <w:pageBreakBefore w:val="0"/>
        <w:kinsoku/>
        <w:wordWrap/>
        <w:overflowPunct/>
        <w:topLinePunct w:val="0"/>
        <w:bidi w:val="0"/>
        <w:spacing w:beforeLines="0" w:line="576" w:lineRule="exact"/>
        <w:ind w:left="0" w:leftChars="0" w:firstLine="60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住房保障支出(类)住房改革支出(款)住房公积金(项)</w:t>
      </w:r>
      <w:r>
        <w:rPr>
          <w:rFonts w:hint="eastAsia" w:hAnsi="仿宋_GB2312" w:cs="仿宋_GB2312"/>
          <w:lang w:eastAsia="zh-CN"/>
        </w:rPr>
        <w:t>：</w:t>
      </w:r>
      <w:r>
        <w:rPr>
          <w:rFonts w:hint="eastAsia" w:ascii="仿宋_GB2312" w:hAnsi="仿宋_GB2312" w:eastAsia="仿宋_GB2312" w:cs="仿宋_GB2312"/>
          <w:lang w:eastAsia="zh-CN"/>
        </w:rPr>
        <w:t>指反映行政事业单位按人力资源和社会保障部、财政部规定的基本工资和津贴补贴以及规定比例为职工缴纳的住房公积金。</w:t>
      </w:r>
    </w:p>
    <w:p>
      <w:pPr>
        <w:pStyle w:val="2"/>
        <w:pageBreakBefore w:val="0"/>
        <w:kinsoku/>
        <w:wordWrap/>
        <w:overflowPunct/>
        <w:topLinePunct w:val="0"/>
        <w:bidi w:val="0"/>
        <w:spacing w:beforeLines="0" w:line="576" w:lineRule="exact"/>
        <w:ind w:left="0" w:leftChars="0" w:firstLine="60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10.</w:t>
      </w:r>
      <w:r>
        <w:rPr>
          <w:rFonts w:hint="eastAsia" w:ascii="仿宋_GB2312" w:hAnsi="仿宋_GB2312" w:eastAsia="仿宋_GB2312" w:cs="仿宋_GB2312"/>
          <w:lang w:eastAsia="zh-CN"/>
        </w:rPr>
        <w:t>粮油物资储备支出(类)粮油物资事务(款)行政运行(项)</w:t>
      </w:r>
      <w:r>
        <w:rPr>
          <w:rFonts w:hint="eastAsia" w:hAnsi="仿宋_GB2312" w:cs="仿宋_GB2312"/>
          <w:lang w:eastAsia="zh-CN"/>
        </w:rPr>
        <w:t>：</w:t>
      </w:r>
      <w:r>
        <w:rPr>
          <w:rFonts w:hint="eastAsia" w:ascii="仿宋_GB2312" w:hAnsi="仿宋_GB2312" w:eastAsia="仿宋_GB2312" w:cs="仿宋_GB2312"/>
          <w:lang w:eastAsia="zh-CN"/>
        </w:rPr>
        <w:t>指反映行政事业（包括实行公务员管理的事业单位）的基本支出。</w:t>
      </w:r>
    </w:p>
    <w:p>
      <w:pPr>
        <w:pStyle w:val="2"/>
        <w:pageBreakBefore w:val="0"/>
        <w:kinsoku/>
        <w:wordWrap/>
        <w:overflowPunct/>
        <w:topLinePunct w:val="0"/>
        <w:bidi w:val="0"/>
        <w:spacing w:beforeLines="0" w:line="576" w:lineRule="exact"/>
        <w:ind w:left="0" w:leftChars="0" w:firstLine="60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11.</w:t>
      </w:r>
      <w:r>
        <w:rPr>
          <w:rFonts w:hint="eastAsia" w:ascii="仿宋_GB2312" w:hAnsi="仿宋_GB2312" w:eastAsia="仿宋_GB2312" w:cs="仿宋_GB2312"/>
          <w:lang w:eastAsia="zh-CN"/>
        </w:rPr>
        <w:t>粮油物资储备支出(类)粮油物资事务(款)其他粮油物资事务支出(项)</w:t>
      </w:r>
      <w:r>
        <w:rPr>
          <w:rFonts w:hint="eastAsia" w:hAnsi="仿宋_GB2312" w:cs="仿宋_GB2312"/>
          <w:lang w:eastAsia="zh-CN"/>
        </w:rPr>
        <w:t>：</w:t>
      </w:r>
      <w:r>
        <w:rPr>
          <w:rFonts w:hint="eastAsia" w:ascii="仿宋_GB2312" w:hAnsi="仿宋_GB2312" w:eastAsia="仿宋_GB2312" w:cs="仿宋_GB2312"/>
          <w:lang w:eastAsia="zh-CN"/>
        </w:rPr>
        <w:t>指反映除上述项目外的其他国家粮油储备支出。</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.农林水</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其他农林水支出</w:t>
      </w:r>
      <w:r>
        <w:rPr>
          <w:rFonts w:hint="eastAsia" w:ascii="仿宋_GB2312" w:hAnsi="仿宋_GB2312" w:eastAsia="仿宋_GB2312" w:cs="仿宋_GB2312"/>
          <w:sz w:val="32"/>
          <w:szCs w:val="32"/>
        </w:rPr>
        <w:t>（款）其他农林水支出（项）：指</w:t>
      </w:r>
      <w:r>
        <w:rPr>
          <w:rFonts w:hint="eastAsia" w:ascii="仿宋_GB2312" w:hAnsi="仿宋_GB2312" w:eastAsia="仿宋_GB2312" w:cs="仿宋_GB2312"/>
          <w:sz w:val="32"/>
          <w:szCs w:val="32"/>
          <w:lang w:eastAsia="zh-CN"/>
        </w:rPr>
        <w:t>反映除化解债务支出以外其他用于农林水方面的支出</w:t>
      </w:r>
      <w:r>
        <w:rPr>
          <w:rFonts w:hint="eastAsia" w:ascii="仿宋_GB2312" w:hAnsi="仿宋_GB2312" w:eastAsia="仿宋_GB2312" w:cs="仿宋_GB2312"/>
          <w:sz w:val="32"/>
          <w:szCs w:val="32"/>
        </w:rPr>
        <w:t>。</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.基本支出：指为保障机构正常运转、完成日常工作任务而发生的人员支出和公用支出。</w:t>
      </w:r>
    </w:p>
    <w:p>
      <w:pPr>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pPr>
        <w:pStyle w:val="23"/>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.“三公”经费：指部门用财政拨款安排的公务接待费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反映单位按规定开支的各类公务接待支出。</w:t>
      </w:r>
    </w:p>
    <w:p>
      <w:pPr>
        <w:pStyle w:val="23"/>
        <w:pageBreakBefore w:val="0"/>
        <w:kinsoku/>
        <w:wordWrap/>
        <w:overflowPunct/>
        <w:topLinePunct w:val="0"/>
        <w:bidi w:val="0"/>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.机关运行经费：为保障行政单位（含参照公务员法管理的事业单位）运行用于购买货物和服务的各项资金，包括办公及印刷费、邮电费、差旅费、日常维修费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办公用房水电费以及其他费用。</w:t>
      </w:r>
    </w:p>
    <w:p>
      <w:pPr>
        <w:pageBreakBefore w:val="0"/>
        <w:kinsoku/>
        <w:wordWrap/>
        <w:overflowPunct/>
        <w:topLinePunct w:val="0"/>
        <w:bidi w:val="0"/>
        <w:spacing w:line="576" w:lineRule="exact"/>
        <w:ind w:firstLine="880" w:firstLineChars="200"/>
        <w:jc w:val="center"/>
        <w:textAlignment w:val="auto"/>
        <w:outlineLvl w:val="0"/>
        <w:rPr>
          <w:rFonts w:hint="eastAsia" w:ascii="仿宋_GB2312" w:hAnsi="仿宋_GB2312" w:eastAsia="仿宋_GB2312" w:cs="仿宋_GB2312"/>
          <w:sz w:val="44"/>
          <w:szCs w:val="44"/>
        </w:rPr>
        <w:sectPr>
          <w:footerReference r:id="rId4" w:type="first"/>
          <w:footerReference r:id="rId3" w:type="default"/>
          <w:pgSz w:w="11906" w:h="16838"/>
          <w:pgMar w:top="2098" w:right="1474" w:bottom="1984" w:left="1587" w:header="851" w:footer="992" w:gutter="0"/>
          <w:pgNumType w:fmt="decimal" w:start="1"/>
          <w:cols w:space="425" w:num="1"/>
          <w:docGrid w:type="lines" w:linePitch="312" w:charSpace="0"/>
        </w:sectPr>
      </w:pPr>
    </w:p>
    <w:p>
      <w:pPr>
        <w:spacing w:line="600" w:lineRule="exact"/>
        <w:jc w:val="center"/>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四部分 附件</w:t>
      </w:r>
      <w:bookmarkEnd w:id="53"/>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5"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54"/>
      <w:bookmarkEnd w:id="55"/>
      <w:bookmarkStart w:id="56" w:name="_Toc15396619"/>
    </w:p>
    <w:p>
      <w:pPr>
        <w:pStyle w:val="4"/>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6"/>
          <w:rFonts w:hint="eastAsia" w:ascii="仿宋" w:hAnsi="仿宋" w:eastAsia="仿宋"/>
          <w:b w:val="0"/>
          <w:bCs w:val="0"/>
        </w:rPr>
        <w:t>入决算表</w:t>
      </w:r>
      <w:bookmarkEnd w:id="57"/>
    </w:p>
    <w:p>
      <w:pPr>
        <w:pStyle w:val="4"/>
        <w:rPr>
          <w:rFonts w:ascii="仿宋" w:hAnsi="仿宋" w:eastAsia="仿宋"/>
        </w:rPr>
      </w:pPr>
      <w:bookmarkStart w:id="58"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9"/>
    </w:p>
    <w:p>
      <w:pPr>
        <w:pStyle w:val="4"/>
        <w:rPr>
          <w:rStyle w:val="26"/>
          <w:rFonts w:ascii="仿宋" w:hAnsi="仿宋" w:eastAsia="仿宋"/>
          <w:b w:val="0"/>
          <w:bCs w:val="0"/>
        </w:rPr>
      </w:pPr>
      <w:bookmarkStart w:id="60"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6"/>
          <w:rFonts w:hint="eastAsia" w:ascii="仿宋" w:hAnsi="仿宋" w:eastAsia="仿宋"/>
          <w:b w:val="0"/>
          <w:bCs w:val="0"/>
        </w:rPr>
        <w:t>十、</w:t>
      </w:r>
      <w:bookmarkEnd w:id="65"/>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26"/>
          <w:rFonts w:hint="eastAsia" w:ascii="仿宋" w:hAnsi="仿宋" w:eastAsia="仿宋"/>
          <w:b w:val="0"/>
          <w:bCs w:val="0"/>
        </w:rPr>
        <w:t>十一、</w:t>
      </w:r>
      <w:bookmarkEnd w:id="66"/>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26"/>
          <w:rFonts w:hint="eastAsia" w:ascii="仿宋" w:hAnsi="仿宋" w:eastAsia="仿宋"/>
          <w:b w:val="0"/>
          <w:bCs w:val="0"/>
        </w:rPr>
        <w:t>十二、</w:t>
      </w:r>
      <w:bookmarkEnd w:id="67"/>
      <w:r>
        <w:rPr>
          <w:rStyle w:val="26"/>
          <w:rFonts w:hint="eastAsia" w:ascii="仿宋" w:hAnsi="仿宋" w:eastAsia="仿宋"/>
          <w:b w:val="0"/>
          <w:bCs w:val="0"/>
        </w:rPr>
        <w:t>国有资本经营预算财政拨款支出决算表</w:t>
      </w:r>
    </w:p>
    <w:p>
      <w:pPr>
        <w:pStyle w:val="4"/>
        <w:rPr>
          <w:rFonts w:eastAsia="仿宋"/>
        </w:rPr>
      </w:pPr>
      <w:bookmarkStart w:id="68" w:name="_Toc15396631"/>
      <w:r>
        <w:rPr>
          <w:rStyle w:val="26"/>
          <w:rFonts w:hint="eastAsia" w:ascii="仿宋" w:hAnsi="仿宋" w:eastAsia="仿宋"/>
          <w:b w:val="0"/>
          <w:bCs w:val="0"/>
        </w:rPr>
        <w:t>十三、</w:t>
      </w:r>
      <w:bookmarkEnd w:id="68"/>
      <w:r>
        <w:rPr>
          <w:rStyle w:val="26"/>
          <w:rFonts w:hint="eastAsia" w:ascii="仿宋" w:hAnsi="仿宋" w:eastAsia="仿宋"/>
          <w:b w:val="0"/>
          <w:bCs w:val="0"/>
        </w:rPr>
        <w:t>财政拨款“三公”经费支出决算表</w:t>
      </w:r>
    </w:p>
    <w:sectPr>
      <w:footerReference r:id="rId7" w:type="first"/>
      <w:headerReference r:id="rId5" w:type="default"/>
      <w:footerReference r:id="rId6"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B28BC9-00B9-4C3E-B73F-982357306C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F3054A-32BA-4AFB-AB7B-E8EDBF8E1992}"/>
  </w:font>
  <w:font w:name="Cambria">
    <w:panose1 w:val="02040503050406030204"/>
    <w:charset w:val="00"/>
    <w:family w:val="roman"/>
    <w:pitch w:val="default"/>
    <w:sig w:usb0="E00006FF" w:usb1="420024FF" w:usb2="02000000" w:usb3="00000000" w:csb0="2000019F" w:csb1="00000000"/>
    <w:embedRegular r:id="rId3" w:fontKey="{57E74FA3-B32D-4690-AF02-51C2D3920F52}"/>
  </w:font>
  <w:font w:name="仿宋_GB2312">
    <w:altName w:val="仿宋"/>
    <w:panose1 w:val="02010609030101010101"/>
    <w:charset w:val="86"/>
    <w:family w:val="modern"/>
    <w:pitch w:val="default"/>
    <w:sig w:usb0="00000000" w:usb1="00000000" w:usb2="00000000" w:usb3="00000000" w:csb0="00040000" w:csb1="00000000"/>
    <w:embedRegular r:id="rId4" w:fontKey="{5C536A5C-1E36-4E18-8D55-A42C7825D781}"/>
  </w:font>
  <w:font w:name="仿宋">
    <w:panose1 w:val="02010609060101010101"/>
    <w:charset w:val="86"/>
    <w:family w:val="modern"/>
    <w:pitch w:val="default"/>
    <w:sig w:usb0="800002BF" w:usb1="38CF7CFA" w:usb2="00000016" w:usb3="00000000" w:csb0="00040001" w:csb1="00000000"/>
    <w:embedRegular r:id="rId5" w:fontKey="{A8D59DD4-04D2-48B1-B583-5FEDEBAF52C6}"/>
  </w:font>
  <w:font w:name="方正小标宋简体">
    <w:panose1 w:val="02000000000000000000"/>
    <w:charset w:val="86"/>
    <w:family w:val="script"/>
    <w:pitch w:val="default"/>
    <w:sig w:usb0="00000001" w:usb1="08000000" w:usb2="00000000" w:usb3="00000000" w:csb0="00040000" w:csb1="00000000"/>
    <w:embedRegular r:id="rId6" w:fontKey="{ECC4A918-DB39-4804-A17F-FACE9E9236BB}"/>
  </w:font>
  <w:font w:name="楷体_GB2312">
    <w:altName w:val="楷体"/>
    <w:panose1 w:val="02010609030101010101"/>
    <w:charset w:val="86"/>
    <w:family w:val="modern"/>
    <w:pitch w:val="default"/>
    <w:sig w:usb0="00000000" w:usb1="00000000" w:usb2="00000000" w:usb3="00000000" w:csb0="00040000" w:csb1="00000000"/>
    <w:embedRegular r:id="rId7" w:fontKey="{BFBE4DFC-6338-496C-A8E8-9BEE725BED98}"/>
  </w:font>
  <w:font w:name="Verdana">
    <w:panose1 w:val="020B0604030504040204"/>
    <w:charset w:val="00"/>
    <w:family w:val="swiss"/>
    <w:pitch w:val="default"/>
    <w:sig w:usb0="A00006FF" w:usb1="4000205B" w:usb2="00000010" w:usb3="00000000" w:csb0="2000019F" w:csb1="00000000"/>
    <w:embedRegular r:id="rId8" w:fontKey="{C7EA2FAF-02BE-40C9-8F3B-90E1D724BBE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0"/>
        <w:sz w:val="28"/>
        <w:szCs w:val="18"/>
        <w:lang w:val="en-US" w:eastAsia="zh-CN" w:bidi="ar-SA"/>
      </w:rPr>
    </w:pPr>
    <w:r>
      <w:rPr>
        <w:rFonts w:ascii="Calibri" w:hAnsi="Calibri" w:eastAsia="宋体" w:cs="Times New Roman"/>
        <w:kern w:val="0"/>
        <w:sz w:val="2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ascii="Calibri" w:hAnsi="Calibri" w:eastAsia="宋体" w:cs="Times New Roman"/>
                              <w:kern w:val="0"/>
                              <w:sz w:val="28"/>
                              <w:szCs w:val="18"/>
                              <w:lang w:val="en-US" w:eastAsia="zh-CN" w:bidi="ar-SA"/>
                            </w:rPr>
                          </w:pPr>
                          <w:r>
                            <w:rPr>
                              <w:rFonts w:ascii="Calibri" w:hAnsi="Calibri" w:eastAsia="宋体" w:cs="Times New Roman"/>
                              <w:kern w:val="0"/>
                              <w:sz w:val="28"/>
                              <w:szCs w:val="18"/>
                              <w:lang w:val="en-US" w:eastAsia="zh-CN" w:bidi="ar-SA"/>
                            </w:rPr>
                            <w:t xml:space="preserve">— </w:t>
                          </w:r>
                          <w:r>
                            <w:rPr>
                              <w:rFonts w:ascii="Calibri" w:hAnsi="Calibri" w:eastAsia="宋体" w:cs="Times New Roman"/>
                              <w:kern w:val="0"/>
                              <w:sz w:val="28"/>
                              <w:szCs w:val="18"/>
                              <w:lang w:val="en-US" w:eastAsia="zh-CN" w:bidi="ar-SA"/>
                            </w:rPr>
                            <w:fldChar w:fldCharType="begin"/>
                          </w:r>
                          <w:r>
                            <w:rPr>
                              <w:rFonts w:ascii="Calibri" w:hAnsi="Calibri" w:eastAsia="宋体" w:cs="Times New Roman"/>
                              <w:kern w:val="0"/>
                              <w:sz w:val="28"/>
                              <w:szCs w:val="18"/>
                              <w:lang w:val="en-US" w:eastAsia="zh-CN" w:bidi="ar-SA"/>
                            </w:rPr>
                            <w:instrText xml:space="preserve"> PAGE  \* MERGEFORMAT </w:instrText>
                          </w:r>
                          <w:r>
                            <w:rPr>
                              <w:rFonts w:ascii="Calibri" w:hAnsi="Calibri" w:eastAsia="宋体" w:cs="Times New Roman"/>
                              <w:kern w:val="0"/>
                              <w:sz w:val="28"/>
                              <w:szCs w:val="18"/>
                              <w:lang w:val="en-US" w:eastAsia="zh-CN" w:bidi="ar-SA"/>
                            </w:rPr>
                            <w:fldChar w:fldCharType="separate"/>
                          </w:r>
                          <w:r>
                            <w:rPr>
                              <w:rFonts w:ascii="Calibri" w:hAnsi="Calibri" w:eastAsia="宋体" w:cs="Times New Roman"/>
                              <w:kern w:val="0"/>
                              <w:sz w:val="28"/>
                              <w:szCs w:val="18"/>
                              <w:lang w:val="en-US" w:eastAsia="zh-CN" w:bidi="ar-SA"/>
                            </w:rPr>
                            <w:t>1</w:t>
                          </w:r>
                          <w:r>
                            <w:rPr>
                              <w:rFonts w:ascii="Calibri" w:hAnsi="Calibri" w:eastAsia="宋体" w:cs="Times New Roman"/>
                              <w:kern w:val="0"/>
                              <w:sz w:val="28"/>
                              <w:szCs w:val="18"/>
                              <w:lang w:val="en-US" w:eastAsia="zh-CN" w:bidi="ar-SA"/>
                            </w:rPr>
                            <w:fldChar w:fldCharType="end"/>
                          </w:r>
                          <w:r>
                            <w:rPr>
                              <w:rFonts w:ascii="Calibri" w:hAnsi="Calibri" w:eastAsia="宋体" w:cs="Times New Roman"/>
                              <w:kern w:val="0"/>
                              <w:sz w:val="28"/>
                              <w:szCs w:val="18"/>
                              <w:lang w:val="en-US" w:eastAsia="zh-CN" w:bidi="ar-SA"/>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0"/>
                        <w:sz w:val="28"/>
                        <w:szCs w:val="18"/>
                        <w:lang w:val="en-US" w:eastAsia="zh-CN" w:bidi="ar-SA"/>
                      </w:rPr>
                    </w:pPr>
                    <w:r>
                      <w:rPr>
                        <w:rFonts w:ascii="Calibri" w:hAnsi="Calibri" w:eastAsia="宋体" w:cs="Times New Roman"/>
                        <w:kern w:val="0"/>
                        <w:sz w:val="28"/>
                        <w:szCs w:val="18"/>
                        <w:lang w:val="en-US" w:eastAsia="zh-CN" w:bidi="ar-SA"/>
                      </w:rPr>
                      <w:t xml:space="preserve">— </w:t>
                    </w:r>
                    <w:r>
                      <w:rPr>
                        <w:rFonts w:ascii="Calibri" w:hAnsi="Calibri" w:eastAsia="宋体" w:cs="Times New Roman"/>
                        <w:kern w:val="0"/>
                        <w:sz w:val="28"/>
                        <w:szCs w:val="18"/>
                        <w:lang w:val="en-US" w:eastAsia="zh-CN" w:bidi="ar-SA"/>
                      </w:rPr>
                      <w:fldChar w:fldCharType="begin"/>
                    </w:r>
                    <w:r>
                      <w:rPr>
                        <w:rFonts w:ascii="Calibri" w:hAnsi="Calibri" w:eastAsia="宋体" w:cs="Times New Roman"/>
                        <w:kern w:val="0"/>
                        <w:sz w:val="28"/>
                        <w:szCs w:val="18"/>
                        <w:lang w:val="en-US" w:eastAsia="zh-CN" w:bidi="ar-SA"/>
                      </w:rPr>
                      <w:instrText xml:space="preserve"> PAGE  \* MERGEFORMAT </w:instrText>
                    </w:r>
                    <w:r>
                      <w:rPr>
                        <w:rFonts w:ascii="Calibri" w:hAnsi="Calibri" w:eastAsia="宋体" w:cs="Times New Roman"/>
                        <w:kern w:val="0"/>
                        <w:sz w:val="28"/>
                        <w:szCs w:val="18"/>
                        <w:lang w:val="en-US" w:eastAsia="zh-CN" w:bidi="ar-SA"/>
                      </w:rPr>
                      <w:fldChar w:fldCharType="separate"/>
                    </w:r>
                    <w:r>
                      <w:rPr>
                        <w:rFonts w:ascii="Calibri" w:hAnsi="Calibri" w:eastAsia="宋体" w:cs="Times New Roman"/>
                        <w:kern w:val="0"/>
                        <w:sz w:val="28"/>
                        <w:szCs w:val="18"/>
                        <w:lang w:val="en-US" w:eastAsia="zh-CN" w:bidi="ar-SA"/>
                      </w:rPr>
                      <w:t>1</w:t>
                    </w:r>
                    <w:r>
                      <w:rPr>
                        <w:rFonts w:ascii="Calibri" w:hAnsi="Calibri" w:eastAsia="宋体" w:cs="Times New Roman"/>
                        <w:kern w:val="0"/>
                        <w:sz w:val="28"/>
                        <w:szCs w:val="18"/>
                        <w:lang w:val="en-US" w:eastAsia="zh-CN" w:bidi="ar-SA"/>
                      </w:rPr>
                      <w:fldChar w:fldCharType="end"/>
                    </w:r>
                    <w:r>
                      <w:rPr>
                        <w:rFonts w:ascii="Calibri" w:hAnsi="Calibri" w:eastAsia="宋体" w:cs="Times New Roman"/>
                        <w:kern w:val="0"/>
                        <w:sz w:val="28"/>
                        <w:szCs w:val="18"/>
                        <w:lang w:val="en-US" w:eastAsia="zh-CN" w:bidi="ar-SA"/>
                      </w:rPr>
                      <w:t xml:space="preserve"> —</w:t>
                    </w:r>
                  </w:p>
                </w:txbxContent>
              </v:textbox>
            </v:shape>
          </w:pict>
        </mc:Fallback>
      </mc:AlternateContent>
    </w:r>
  </w:p>
  <w:p>
    <w:pPr>
      <w:widowControl w:val="0"/>
      <w:snapToGrid w:val="0"/>
      <w:jc w:val="left"/>
      <w:rPr>
        <w:rFonts w:ascii="Calibri" w:hAnsi="Calibri" w:eastAsia="宋体" w:cs="Times New Roman"/>
        <w:kern w:val="0"/>
        <w:sz w:val="2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274C"/>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7DE1"/>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E1776D"/>
    <w:rsid w:val="031511C4"/>
    <w:rsid w:val="053A62B5"/>
    <w:rsid w:val="057E12A3"/>
    <w:rsid w:val="067D155B"/>
    <w:rsid w:val="068C79F0"/>
    <w:rsid w:val="06DB1FC1"/>
    <w:rsid w:val="06FA2BAB"/>
    <w:rsid w:val="07746E01"/>
    <w:rsid w:val="08513A4A"/>
    <w:rsid w:val="0A2032A3"/>
    <w:rsid w:val="0B7423F7"/>
    <w:rsid w:val="0B8A37D8"/>
    <w:rsid w:val="0C7D0506"/>
    <w:rsid w:val="0C9E222B"/>
    <w:rsid w:val="0D114061"/>
    <w:rsid w:val="0EAD49A7"/>
    <w:rsid w:val="0F4508E7"/>
    <w:rsid w:val="1093446F"/>
    <w:rsid w:val="10C055FF"/>
    <w:rsid w:val="118107EC"/>
    <w:rsid w:val="11DD6519"/>
    <w:rsid w:val="12514567"/>
    <w:rsid w:val="12EC32DF"/>
    <w:rsid w:val="14DB17BC"/>
    <w:rsid w:val="156009C5"/>
    <w:rsid w:val="16BB723D"/>
    <w:rsid w:val="18015F3F"/>
    <w:rsid w:val="1BE8440E"/>
    <w:rsid w:val="1CB735C0"/>
    <w:rsid w:val="1D155CEE"/>
    <w:rsid w:val="1DAE735F"/>
    <w:rsid w:val="1E7D4396"/>
    <w:rsid w:val="207B66B3"/>
    <w:rsid w:val="20F57F95"/>
    <w:rsid w:val="224D0523"/>
    <w:rsid w:val="22A7378F"/>
    <w:rsid w:val="240371BF"/>
    <w:rsid w:val="24213A15"/>
    <w:rsid w:val="243472A5"/>
    <w:rsid w:val="25711CC6"/>
    <w:rsid w:val="25C741E6"/>
    <w:rsid w:val="27842671"/>
    <w:rsid w:val="27EF4FE9"/>
    <w:rsid w:val="28D728F5"/>
    <w:rsid w:val="29FD04D3"/>
    <w:rsid w:val="2A8D770F"/>
    <w:rsid w:val="2AB90504"/>
    <w:rsid w:val="2ABE7A3E"/>
    <w:rsid w:val="2B8D373E"/>
    <w:rsid w:val="2CA234A8"/>
    <w:rsid w:val="2D74105A"/>
    <w:rsid w:val="2EFA178C"/>
    <w:rsid w:val="2F910C4A"/>
    <w:rsid w:val="304308C8"/>
    <w:rsid w:val="30B46D73"/>
    <w:rsid w:val="310D15A9"/>
    <w:rsid w:val="319F7F4E"/>
    <w:rsid w:val="31F17148"/>
    <w:rsid w:val="3225683B"/>
    <w:rsid w:val="334B0167"/>
    <w:rsid w:val="344277BC"/>
    <w:rsid w:val="34655258"/>
    <w:rsid w:val="34FF745B"/>
    <w:rsid w:val="363B2715"/>
    <w:rsid w:val="36CE3589"/>
    <w:rsid w:val="37C130EE"/>
    <w:rsid w:val="383D272C"/>
    <w:rsid w:val="391E5FDC"/>
    <w:rsid w:val="395F671A"/>
    <w:rsid w:val="39AE70AB"/>
    <w:rsid w:val="3B1479D8"/>
    <w:rsid w:val="3C0C0783"/>
    <w:rsid w:val="3D073351"/>
    <w:rsid w:val="3F9F3A96"/>
    <w:rsid w:val="42984A4B"/>
    <w:rsid w:val="42FE4E0D"/>
    <w:rsid w:val="435C6309"/>
    <w:rsid w:val="441A19F9"/>
    <w:rsid w:val="46A0566C"/>
    <w:rsid w:val="47D3582F"/>
    <w:rsid w:val="48BF60AB"/>
    <w:rsid w:val="493C27E9"/>
    <w:rsid w:val="496F39ED"/>
    <w:rsid w:val="49CA5E32"/>
    <w:rsid w:val="49FF41D3"/>
    <w:rsid w:val="4BE068DB"/>
    <w:rsid w:val="4BF6002B"/>
    <w:rsid w:val="4D186EB4"/>
    <w:rsid w:val="4ECE2238"/>
    <w:rsid w:val="51DB4B86"/>
    <w:rsid w:val="53690469"/>
    <w:rsid w:val="53A21BCD"/>
    <w:rsid w:val="55333C3E"/>
    <w:rsid w:val="55DF2C65"/>
    <w:rsid w:val="587753D7"/>
    <w:rsid w:val="59843473"/>
    <w:rsid w:val="5C176861"/>
    <w:rsid w:val="5C5F196B"/>
    <w:rsid w:val="5CF1327E"/>
    <w:rsid w:val="5DB6074F"/>
    <w:rsid w:val="5E781EA8"/>
    <w:rsid w:val="5F426012"/>
    <w:rsid w:val="5F661D01"/>
    <w:rsid w:val="60E5319D"/>
    <w:rsid w:val="617526CF"/>
    <w:rsid w:val="64CA39A1"/>
    <w:rsid w:val="64E8140A"/>
    <w:rsid w:val="659E01E2"/>
    <w:rsid w:val="684307BB"/>
    <w:rsid w:val="68863414"/>
    <w:rsid w:val="689B0FE8"/>
    <w:rsid w:val="69630ADE"/>
    <w:rsid w:val="697D65C5"/>
    <w:rsid w:val="6A2378D2"/>
    <w:rsid w:val="6A5D1F52"/>
    <w:rsid w:val="6C4A05C8"/>
    <w:rsid w:val="6D3B1A89"/>
    <w:rsid w:val="6D6F4477"/>
    <w:rsid w:val="6E8D4F71"/>
    <w:rsid w:val="6EB42BD3"/>
    <w:rsid w:val="6F433E0D"/>
    <w:rsid w:val="6F481423"/>
    <w:rsid w:val="71BF4EC2"/>
    <w:rsid w:val="72734D90"/>
    <w:rsid w:val="7412278C"/>
    <w:rsid w:val="748F3474"/>
    <w:rsid w:val="74D6026E"/>
    <w:rsid w:val="75774810"/>
    <w:rsid w:val="75B50E95"/>
    <w:rsid w:val="769D3E02"/>
    <w:rsid w:val="76EB324E"/>
    <w:rsid w:val="79E7B28D"/>
    <w:rsid w:val="7AAE1B29"/>
    <w:rsid w:val="7B315461"/>
    <w:rsid w:val="7BB265A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msonormalcxspmiddle"/>
    <w:next w:val="6"/>
    <w:qFormat/>
    <w:uiPriority w:val="0"/>
    <w:pPr>
      <w:spacing w:before="100" w:beforeAutospacing="1" w:after="100" w:afterAutospacing="1"/>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2023&#24180;&#24037;&#20316;&#36164;&#26009;\2022&#24180;&#20915;&#31639;\&#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23&#24180;&#24037;&#20316;&#36164;&#26009;\2022&#24180;&#20915;&#31639;\&#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3&#24180;&#24037;&#20316;&#36164;&#26009;\2022&#24180;&#20915;&#31639;\&#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23&#24180;&#24037;&#20316;&#36164;&#26009;\2022&#24180;&#20915;&#31639;\&#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23&#24180;&#24037;&#20316;&#36164;&#26009;\2022&#24180;&#20915;&#31639;\&#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23&#24180;&#24037;&#20316;&#36164;&#26009;\2022&#24180;&#20915;&#31639;\&#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023&#24180;&#24037;&#20316;&#36164;&#26009;\2022&#24180;&#20915;&#31639;\&#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1776.07</c:v>
                </c:pt>
                <c:pt idx="1">
                  <c:v>1974.96</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0.1433</c:v>
                </c:pt>
                <c:pt idx="1">
                  <c:v>0.8567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1776.07</c:v>
                </c:pt>
                <c:pt idx="1">
                  <c:v>687.97</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1776.07</c:v>
                </c:pt>
                <c:pt idx="1">
                  <c:v>1974.96</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Pt>
            <c:idx val="5"/>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[决算公开插图制作示例.xlsx]图6!$A$2:$A$7</c:f>
              <c:strCache>
                <c:ptCount val="6"/>
                <c:pt idx="1">
                  <c:v>社会保障和就业（类）支出</c:v>
                </c:pt>
                <c:pt idx="2">
                  <c:v>卫生健康(类)支出</c:v>
                </c:pt>
                <c:pt idx="3">
                  <c:v>农林水（类）支出</c:v>
                </c:pt>
                <c:pt idx="4">
                  <c:v>粮油物资储备（类）支出</c:v>
                </c:pt>
                <c:pt idx="5">
                  <c:v>住房保障（类）支出</c:v>
                </c:pt>
              </c:strCache>
            </c:strRef>
          </c:cat>
          <c:val>
            <c:numRef>
              <c:f>[决算公开插图制作示例.xlsx]图6!$B$2:$B$7</c:f>
              <c:numCache>
                <c:formatCode>General</c:formatCode>
                <c:ptCount val="6"/>
                <c:pt idx="1">
                  <c:v>23.44</c:v>
                </c:pt>
                <c:pt idx="2">
                  <c:v>10.34</c:v>
                </c:pt>
                <c:pt idx="3">
                  <c:v>674.77</c:v>
                </c:pt>
                <c:pt idx="4">
                  <c:v>1251.82</c:v>
                </c:pt>
                <c:pt idx="5">
                  <c:v>14.59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1.34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5782</Words>
  <Characters>6233</Characters>
  <Lines>5</Lines>
  <Paragraphs>11</Paragraphs>
  <TotalTime>48</TotalTime>
  <ScaleCrop>false</ScaleCrop>
  <LinksUpToDate>false</LinksUpToDate>
  <CharactersWithSpaces>9688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2023-11-01T09:23:00Z</cp:lastPrinted>
  <dcterms:modified xsi:type="dcterms:W3CDTF">2023-12-21T07:46:37Z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1C71883379564040A569EA015D4344B1_12</vt:lpwstr>
  </property>
</Properties>
</file>