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ascii="Arial Unicode MS" w:hAnsi="宋体" w:eastAsia="Arial Unicode MS"/>
          <w:sz w:val="72"/>
          <w:szCs w:val="72"/>
        </w:rPr>
      </w:pPr>
      <w:bookmarkStart w:id="0" w:name="_Toc15396597"/>
      <w:bookmarkStart w:id="1" w:name="_Toc15396475"/>
      <w:bookmarkStart w:id="2" w:name="_Toc15377193"/>
      <w:bookmarkStart w:id="3" w:name="_Toc15378441"/>
      <w:bookmarkStart w:id="4" w:name="_Toc15377425"/>
      <w:bookmarkStart w:id="5" w:name="_Toc15306267"/>
    </w:p>
    <w:p>
      <w:pPr>
        <w:spacing w:line="600" w:lineRule="exact"/>
        <w:jc w:val="center"/>
        <w:outlineLvl w:val="9"/>
        <w:rPr>
          <w:rFonts w:ascii="Arial Unicode MS" w:hAnsi="宋体" w:eastAsia="Arial Unicode MS"/>
          <w:sz w:val="72"/>
          <w:szCs w:val="72"/>
        </w:rPr>
      </w:pPr>
    </w:p>
    <w:p>
      <w:pPr>
        <w:spacing w:line="600" w:lineRule="exact"/>
        <w:jc w:val="center"/>
        <w:outlineLvl w:val="9"/>
        <w:rPr>
          <w:rFonts w:ascii="Arial Unicode MS" w:hAnsi="宋体" w:eastAsia="Arial Unicode MS"/>
          <w:sz w:val="72"/>
          <w:szCs w:val="72"/>
        </w:rPr>
      </w:pPr>
    </w:p>
    <w:p>
      <w:pPr>
        <w:adjustRightInd w:val="0"/>
        <w:snapToGrid w:val="0"/>
        <w:spacing w:line="360" w:lineRule="auto"/>
        <w:jc w:val="center"/>
        <w:outlineLvl w:val="9"/>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2022年度</w:t>
      </w:r>
      <w:bookmarkEnd w:id="0"/>
      <w:bookmarkEnd w:id="1"/>
      <w:bookmarkEnd w:id="2"/>
      <w:bookmarkEnd w:id="3"/>
      <w:bookmarkEnd w:id="4"/>
    </w:p>
    <w:bookmarkEnd w:id="5"/>
    <w:p>
      <w:pPr>
        <w:adjustRightInd w:val="0"/>
        <w:snapToGrid w:val="0"/>
        <w:spacing w:line="360" w:lineRule="auto"/>
        <w:jc w:val="center"/>
        <w:outlineLvl w:val="9"/>
        <w:rPr>
          <w:rFonts w:hint="eastAsia" w:ascii="方正小标宋简体" w:hAnsi="方正小标宋简体" w:eastAsia="方正小标宋简体" w:cs="方正小标宋简体"/>
          <w:sz w:val="52"/>
          <w:szCs w:val="52"/>
        </w:rPr>
      </w:pPr>
      <w:bookmarkStart w:id="6" w:name="_Toc15306268"/>
      <w:bookmarkStart w:id="7" w:name="_Toc15378442"/>
      <w:bookmarkStart w:id="8" w:name="_Toc15377194"/>
      <w:bookmarkStart w:id="9" w:name="_Toc15377426"/>
      <w:bookmarkStart w:id="10" w:name="_Toc15396476"/>
      <w:bookmarkStart w:id="11" w:name="_Toc15396598"/>
      <w:r>
        <w:rPr>
          <w:rFonts w:hint="eastAsia" w:ascii="方正小标宋简体" w:hAnsi="方正小标宋简体" w:eastAsia="方正小标宋简体" w:cs="方正小标宋简体"/>
          <w:sz w:val="52"/>
          <w:szCs w:val="52"/>
        </w:rPr>
        <w:t>中共剑阁县委军民融合发展委员会办公室</w:t>
      </w:r>
    </w:p>
    <w:p>
      <w:pPr>
        <w:adjustRightInd w:val="0"/>
        <w:snapToGrid w:val="0"/>
        <w:spacing w:line="360" w:lineRule="auto"/>
        <w:jc w:val="center"/>
        <w:outlineLvl w:val="9"/>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部门决算</w:t>
      </w:r>
      <w:bookmarkEnd w:id="6"/>
      <w:bookmarkEnd w:id="7"/>
      <w:bookmarkEnd w:id="8"/>
      <w:bookmarkEnd w:id="9"/>
      <w:bookmarkEnd w:id="10"/>
      <w:bookmarkEnd w:id="11"/>
    </w:p>
    <w:p>
      <w:pPr>
        <w:widowControl/>
        <w:jc w:val="center"/>
        <w:rPr>
          <w:rFonts w:ascii="黑体" w:hAnsi="黑体" w:eastAsia="黑体"/>
          <w:sz w:val="48"/>
          <w:szCs w:val="48"/>
        </w:rPr>
      </w:pPr>
      <w:r>
        <w:rPr>
          <w:rFonts w:ascii="Arial Unicode MS" w:hAnsi="宋体" w:eastAsia="Arial Unicode MS"/>
          <w:sz w:val="36"/>
          <w:szCs w:val="36"/>
        </w:rPr>
        <w:br w:type="page"/>
      </w: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3"/>
      </w:pPr>
      <w:r>
        <w:rPr>
          <w:rFonts w:hint="eastAsia"/>
        </w:rPr>
        <w:t>公开时间：2023年</w:t>
      </w:r>
      <w:r>
        <w:rPr>
          <w:rFonts w:hint="eastAsia"/>
          <w:lang w:val="en-US" w:eastAsia="zh-CN"/>
        </w:rPr>
        <w:t>10</w:t>
      </w:r>
      <w:r>
        <w:rPr>
          <w:rFonts w:hint="eastAsia"/>
        </w:rPr>
        <w:t>月</w:t>
      </w:r>
      <w:r>
        <w:rPr>
          <w:rFonts w:hint="eastAsia"/>
          <w:lang w:val="en-US" w:eastAsia="zh-CN"/>
        </w:rPr>
        <w:t>16</w:t>
      </w:r>
      <w:r>
        <w:rPr>
          <w:rFonts w:hint="eastAsia"/>
        </w:rPr>
        <w:t>日</w:t>
      </w:r>
    </w:p>
    <w:p/>
    <w:sdt>
      <w:sdtPr>
        <w:rPr>
          <w:rFonts w:ascii="宋体" w:hAnsi="宋体" w:eastAsia="宋体" w:cs="Times New Roman"/>
          <w:kern w:val="2"/>
          <w:sz w:val="21"/>
          <w:szCs w:val="24"/>
          <w:lang w:val="en-US" w:eastAsia="zh-CN" w:bidi="ar-SA"/>
        </w:rPr>
        <w:id w:val="147459747"/>
        <w15:color w:val="DBDBDB"/>
        <w:docPartObj>
          <w:docPartGallery w:val="Table of Contents"/>
          <w:docPartUnique/>
        </w:docPartObj>
      </w:sdtPr>
      <w:sdtEndPr>
        <w:rPr>
          <w:rFonts w:hint="eastAsia" w:ascii="仿宋" w:hAnsi="仿宋" w:eastAsia="仿宋" w:cs="仿宋"/>
          <w:b/>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13"/>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_Toc12648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第一部分 </w:t>
          </w:r>
          <w:r>
            <w:rPr>
              <w:rFonts w:hint="eastAsia" w:ascii="仿宋" w:hAnsi="仿宋" w:eastAsia="仿宋" w:cs="仿宋"/>
              <w:bCs w:val="0"/>
              <w:sz w:val="28"/>
              <w:szCs w:val="28"/>
            </w:rPr>
            <w:t>部门概况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_Toc12648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_Toc24256 </w:instrText>
          </w:r>
          <w:r>
            <w:rPr>
              <w:rFonts w:hint="eastAsia" w:ascii="仿宋" w:hAnsi="仿宋" w:eastAsia="仿宋" w:cs="仿宋"/>
              <w:sz w:val="28"/>
              <w:szCs w:val="28"/>
            </w:rPr>
            <w:fldChar w:fldCharType="separate"/>
          </w:r>
          <w:r>
            <w:rPr>
              <w:rFonts w:hint="eastAsia" w:ascii="仿宋" w:hAnsi="仿宋" w:eastAsia="仿宋" w:cs="仿宋"/>
              <w:sz w:val="28"/>
              <w:szCs w:val="28"/>
            </w:rPr>
            <w:t>一、 部门职责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_Toc24256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_Toc18493 </w:instrText>
          </w:r>
          <w:r>
            <w:rPr>
              <w:rFonts w:hint="eastAsia" w:ascii="仿宋" w:hAnsi="仿宋" w:eastAsia="仿宋" w:cs="仿宋"/>
              <w:sz w:val="28"/>
              <w:szCs w:val="28"/>
            </w:rPr>
            <w:fldChar w:fldCharType="separate"/>
          </w:r>
          <w:r>
            <w:rPr>
              <w:rFonts w:hint="eastAsia" w:ascii="仿宋" w:hAnsi="仿宋" w:eastAsia="仿宋" w:cs="仿宋"/>
              <w:sz w:val="28"/>
              <w:szCs w:val="28"/>
            </w:rPr>
            <w:t>二、机</w:t>
          </w:r>
          <w:r>
            <w:rPr>
              <w:rFonts w:hint="eastAsia" w:ascii="仿宋" w:hAnsi="仿宋" w:eastAsia="仿宋" w:cs="仿宋"/>
              <w:bCs w:val="0"/>
              <w:sz w:val="28"/>
              <w:szCs w:val="28"/>
            </w:rPr>
            <w:t>构设置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_Toc18493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_Toc10217 </w:instrText>
          </w:r>
          <w:r>
            <w:rPr>
              <w:rFonts w:hint="eastAsia" w:ascii="仿宋" w:hAnsi="仿宋" w:eastAsia="仿宋" w:cs="仿宋"/>
              <w:sz w:val="28"/>
              <w:szCs w:val="28"/>
            </w:rPr>
            <w:fldChar w:fldCharType="separate"/>
          </w:r>
          <w:r>
            <w:rPr>
              <w:rFonts w:hint="eastAsia" w:ascii="仿宋" w:hAnsi="仿宋" w:eastAsia="仿宋" w:cs="仿宋"/>
              <w:sz w:val="28"/>
              <w:szCs w:val="28"/>
            </w:rPr>
            <w:t>第二部分 2022年度</w:t>
          </w:r>
          <w:r>
            <w:rPr>
              <w:rFonts w:hint="eastAsia" w:ascii="仿宋" w:hAnsi="仿宋" w:eastAsia="仿宋" w:cs="仿宋"/>
              <w:bCs/>
              <w:sz w:val="28"/>
              <w:szCs w:val="28"/>
            </w:rPr>
            <w:t>部门决算情况说明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_Toc10217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_Toc8812 </w:instrText>
          </w:r>
          <w:r>
            <w:rPr>
              <w:rFonts w:hint="eastAsia" w:ascii="仿宋" w:hAnsi="仿宋" w:eastAsia="仿宋" w:cs="仿宋"/>
              <w:sz w:val="28"/>
              <w:szCs w:val="28"/>
            </w:rPr>
            <w:fldChar w:fldCharType="separate"/>
          </w:r>
          <w:r>
            <w:rPr>
              <w:rFonts w:hint="eastAsia" w:ascii="仿宋" w:hAnsi="仿宋" w:eastAsia="仿宋" w:cs="仿宋"/>
              <w:sz w:val="28"/>
              <w:szCs w:val="28"/>
            </w:rPr>
            <w:t>一、 收入支出决算总体情况说明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_Toc8812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_Toc23676 </w:instrText>
          </w:r>
          <w:r>
            <w:rPr>
              <w:rFonts w:hint="eastAsia" w:ascii="仿宋" w:hAnsi="仿宋" w:eastAsia="仿宋" w:cs="仿宋"/>
              <w:sz w:val="28"/>
              <w:szCs w:val="28"/>
            </w:rPr>
            <w:fldChar w:fldCharType="separate"/>
          </w:r>
          <w:r>
            <w:rPr>
              <w:rFonts w:hint="eastAsia" w:ascii="仿宋" w:hAnsi="仿宋" w:eastAsia="仿宋" w:cs="仿宋"/>
              <w:sz w:val="28"/>
              <w:szCs w:val="28"/>
            </w:rPr>
            <w:t>二、 收入决算情况说明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_Toc23676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_Toc3827 </w:instrText>
          </w:r>
          <w:r>
            <w:rPr>
              <w:rFonts w:hint="eastAsia" w:ascii="仿宋" w:hAnsi="仿宋" w:eastAsia="仿宋" w:cs="仿宋"/>
              <w:sz w:val="28"/>
              <w:szCs w:val="28"/>
            </w:rPr>
            <w:fldChar w:fldCharType="separate"/>
          </w:r>
          <w:r>
            <w:rPr>
              <w:rFonts w:hint="eastAsia" w:ascii="仿宋" w:hAnsi="仿宋" w:eastAsia="仿宋" w:cs="仿宋"/>
              <w:sz w:val="28"/>
              <w:szCs w:val="28"/>
            </w:rPr>
            <w:t>三、 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_Toc3827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_Toc32075 </w:instrText>
          </w:r>
          <w:r>
            <w:rPr>
              <w:rFonts w:hint="eastAsia" w:ascii="仿宋" w:hAnsi="仿宋" w:eastAsia="仿宋" w:cs="仿宋"/>
              <w:sz w:val="28"/>
              <w:szCs w:val="28"/>
            </w:rPr>
            <w:fldChar w:fldCharType="separate"/>
          </w:r>
          <w:r>
            <w:rPr>
              <w:rFonts w:hint="eastAsia" w:ascii="仿宋" w:hAnsi="仿宋" w:eastAsia="仿宋" w:cs="仿宋"/>
              <w:sz w:val="28"/>
              <w:szCs w:val="28"/>
            </w:rPr>
            <w:t>四、财政拨款收入支出决算总体情况说明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_Toc32075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_Toc27129 </w:instrText>
          </w:r>
          <w:r>
            <w:rPr>
              <w:rFonts w:hint="eastAsia" w:ascii="仿宋" w:hAnsi="仿宋" w:eastAsia="仿宋" w:cs="仿宋"/>
              <w:sz w:val="28"/>
              <w:szCs w:val="28"/>
            </w:rPr>
            <w:fldChar w:fldCharType="separate"/>
          </w:r>
          <w:r>
            <w:rPr>
              <w:rFonts w:hint="eastAsia" w:ascii="仿宋" w:hAnsi="仿宋" w:eastAsia="仿宋" w:cs="仿宋"/>
              <w:sz w:val="28"/>
              <w:szCs w:val="28"/>
            </w:rPr>
            <w:t>五、一般公共预算财政拨款支出决算情况说明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_Toc27129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_Toc25081 </w:instrText>
          </w:r>
          <w:r>
            <w:rPr>
              <w:rFonts w:hint="eastAsia" w:ascii="仿宋" w:hAnsi="仿宋" w:eastAsia="仿宋" w:cs="仿宋"/>
              <w:sz w:val="28"/>
              <w:szCs w:val="28"/>
            </w:rPr>
            <w:fldChar w:fldCharType="separate"/>
          </w:r>
          <w:r>
            <w:rPr>
              <w:rFonts w:hint="eastAsia" w:ascii="仿宋" w:hAnsi="仿宋" w:eastAsia="仿宋" w:cs="仿宋"/>
              <w:sz w:val="28"/>
              <w:szCs w:val="28"/>
            </w:rPr>
            <w:t>六、一般公共预算财政拨款基本支出决算情况说明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_Toc25081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_Toc20558 </w:instrText>
          </w:r>
          <w:r>
            <w:rPr>
              <w:rFonts w:hint="eastAsia" w:ascii="仿宋" w:hAnsi="仿宋" w:eastAsia="仿宋" w:cs="仿宋"/>
              <w:sz w:val="28"/>
              <w:szCs w:val="28"/>
            </w:rPr>
            <w:fldChar w:fldCharType="separate"/>
          </w:r>
          <w:r>
            <w:rPr>
              <w:rFonts w:hint="eastAsia" w:ascii="仿宋" w:hAnsi="仿宋" w:eastAsia="仿宋" w:cs="仿宋"/>
              <w:sz w:val="28"/>
              <w:szCs w:val="28"/>
            </w:rPr>
            <w:t>七、财政拨款“三公”经费支出决算情况说明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_Toc20558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_Toc4356 </w:instrText>
          </w:r>
          <w:r>
            <w:rPr>
              <w:rFonts w:hint="eastAsia" w:ascii="仿宋" w:hAnsi="仿宋" w:eastAsia="仿宋" w:cs="仿宋"/>
              <w:sz w:val="28"/>
              <w:szCs w:val="28"/>
            </w:rPr>
            <w:fldChar w:fldCharType="separate"/>
          </w:r>
          <w:r>
            <w:rPr>
              <w:rFonts w:hint="eastAsia" w:ascii="仿宋" w:hAnsi="仿宋" w:eastAsia="仿宋" w:cs="仿宋"/>
              <w:sz w:val="28"/>
              <w:szCs w:val="28"/>
            </w:rPr>
            <w:t>八、政府性基金预算支出决算情况说明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_Toc4356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_Toc16308 </w:instrText>
          </w:r>
          <w:r>
            <w:rPr>
              <w:rFonts w:hint="eastAsia" w:ascii="仿宋" w:hAnsi="仿宋" w:eastAsia="仿宋" w:cs="仿宋"/>
              <w:sz w:val="28"/>
              <w:szCs w:val="28"/>
            </w:rPr>
            <w:fldChar w:fldCharType="separate"/>
          </w:r>
          <w:r>
            <w:rPr>
              <w:rFonts w:hint="eastAsia" w:ascii="仿宋" w:hAnsi="仿宋" w:eastAsia="仿宋" w:cs="仿宋"/>
              <w:sz w:val="28"/>
              <w:szCs w:val="28"/>
            </w:rPr>
            <w:t>九、 国有资本经营预算支出决算情况说明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_Toc16308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_Toc25948 </w:instrText>
          </w:r>
          <w:r>
            <w:rPr>
              <w:rFonts w:hint="eastAsia" w:ascii="仿宋" w:hAnsi="仿宋" w:eastAsia="仿宋" w:cs="仿宋"/>
              <w:sz w:val="28"/>
              <w:szCs w:val="28"/>
            </w:rPr>
            <w:fldChar w:fldCharType="separate"/>
          </w:r>
          <w:r>
            <w:rPr>
              <w:rFonts w:hint="eastAsia" w:ascii="仿宋" w:hAnsi="仿宋" w:eastAsia="仿宋" w:cs="仿宋"/>
              <w:sz w:val="28"/>
              <w:szCs w:val="28"/>
            </w:rPr>
            <w:t>十、 其他重要事项的情况说明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_Toc25948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_Toc4785 </w:instrText>
          </w:r>
          <w:r>
            <w:rPr>
              <w:rFonts w:hint="eastAsia" w:ascii="仿宋" w:hAnsi="仿宋" w:eastAsia="仿宋" w:cs="仿宋"/>
              <w:sz w:val="28"/>
              <w:szCs w:val="28"/>
            </w:rPr>
            <w:fldChar w:fldCharType="separate"/>
          </w:r>
          <w:r>
            <w:rPr>
              <w:rFonts w:hint="eastAsia" w:ascii="仿宋" w:hAnsi="仿宋" w:eastAsia="仿宋" w:cs="仿宋"/>
              <w:sz w:val="28"/>
              <w:szCs w:val="28"/>
            </w:rPr>
            <w:t>第三部分 名词解释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_Toc4785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_Toc21879 </w:instrText>
          </w:r>
          <w:r>
            <w:rPr>
              <w:rFonts w:hint="eastAsia" w:ascii="仿宋" w:hAnsi="仿宋" w:eastAsia="仿宋" w:cs="仿宋"/>
              <w:sz w:val="28"/>
              <w:szCs w:val="28"/>
            </w:rPr>
            <w:fldChar w:fldCharType="separate"/>
          </w:r>
          <w:r>
            <w:rPr>
              <w:rFonts w:hint="eastAsia" w:ascii="仿宋" w:hAnsi="仿宋" w:eastAsia="仿宋" w:cs="仿宋"/>
              <w:sz w:val="28"/>
              <w:szCs w:val="28"/>
            </w:rPr>
            <w:t>第四部分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_Toc21879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_Toc31680 </w:instrText>
          </w:r>
          <w:r>
            <w:rPr>
              <w:rFonts w:hint="eastAsia" w:ascii="仿宋" w:hAnsi="仿宋" w:eastAsia="仿宋" w:cs="仿宋"/>
              <w:sz w:val="28"/>
              <w:szCs w:val="28"/>
            </w:rPr>
            <w:fldChar w:fldCharType="separate"/>
          </w:r>
          <w:r>
            <w:rPr>
              <w:rFonts w:hint="eastAsia" w:ascii="仿宋" w:hAnsi="仿宋" w:eastAsia="仿宋" w:cs="仿宋"/>
              <w:sz w:val="28"/>
              <w:szCs w:val="28"/>
            </w:rPr>
            <w:t>第五部分 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_Toc31680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_Toc4164 </w:instrText>
          </w:r>
          <w:r>
            <w:rPr>
              <w:rFonts w:hint="eastAsia" w:ascii="仿宋" w:hAnsi="仿宋" w:eastAsia="仿宋" w:cs="仿宋"/>
              <w:sz w:val="28"/>
              <w:szCs w:val="28"/>
            </w:rPr>
            <w:fldChar w:fldCharType="separate"/>
          </w:r>
          <w:r>
            <w:rPr>
              <w:rFonts w:hint="eastAsia" w:ascii="仿宋" w:hAnsi="仿宋" w:eastAsia="仿宋" w:cs="仿宋"/>
              <w:sz w:val="28"/>
              <w:szCs w:val="28"/>
            </w:rPr>
            <w:t>一、收</w:t>
          </w:r>
          <w:r>
            <w:rPr>
              <w:rFonts w:hint="eastAsia" w:ascii="仿宋" w:hAnsi="仿宋" w:eastAsia="仿宋" w:cs="仿宋"/>
              <w:bCs w:val="0"/>
              <w:sz w:val="28"/>
              <w:szCs w:val="28"/>
            </w:rPr>
            <w:t>入支出决算总表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_Toc4164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_Toc781 </w:instrText>
          </w:r>
          <w:r>
            <w:rPr>
              <w:rFonts w:hint="eastAsia" w:ascii="仿宋" w:hAnsi="仿宋" w:eastAsia="仿宋" w:cs="仿宋"/>
              <w:sz w:val="28"/>
              <w:szCs w:val="28"/>
            </w:rPr>
            <w:fldChar w:fldCharType="separate"/>
          </w:r>
          <w:r>
            <w:rPr>
              <w:rFonts w:hint="eastAsia" w:ascii="仿宋" w:hAnsi="仿宋" w:eastAsia="仿宋" w:cs="仿宋"/>
              <w:sz w:val="28"/>
              <w:szCs w:val="28"/>
            </w:rPr>
            <w:t>二、收</w:t>
          </w:r>
          <w:r>
            <w:rPr>
              <w:rFonts w:hint="eastAsia" w:ascii="仿宋" w:hAnsi="仿宋" w:eastAsia="仿宋" w:cs="仿宋"/>
              <w:bCs w:val="0"/>
              <w:sz w:val="28"/>
              <w:szCs w:val="28"/>
            </w:rPr>
            <w:t>入决算表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_Toc781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_Toc1638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三、</w:t>
          </w:r>
          <w:r>
            <w:rPr>
              <w:rFonts w:hint="eastAsia" w:ascii="仿宋" w:hAnsi="仿宋" w:eastAsia="仿宋" w:cs="仿宋"/>
              <w:sz w:val="28"/>
              <w:szCs w:val="28"/>
            </w:rPr>
            <w:t>支</w:t>
          </w:r>
          <w:r>
            <w:rPr>
              <w:rFonts w:hint="eastAsia" w:ascii="仿宋" w:hAnsi="仿宋" w:eastAsia="仿宋" w:cs="仿宋"/>
              <w:bCs w:val="0"/>
              <w:sz w:val="28"/>
              <w:szCs w:val="28"/>
            </w:rPr>
            <w:t>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_Toc1638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_Toc25386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四、</w:t>
          </w:r>
          <w:r>
            <w:rPr>
              <w:rFonts w:hint="eastAsia" w:ascii="仿宋" w:hAnsi="仿宋" w:eastAsia="仿宋" w:cs="仿宋"/>
              <w:sz w:val="28"/>
              <w:szCs w:val="28"/>
            </w:rPr>
            <w:t>财</w:t>
          </w:r>
          <w:r>
            <w:rPr>
              <w:rFonts w:hint="eastAsia" w:ascii="仿宋" w:hAnsi="仿宋" w:eastAsia="仿宋" w:cs="仿宋"/>
              <w:bCs w:val="0"/>
              <w:sz w:val="28"/>
              <w:szCs w:val="28"/>
            </w:rPr>
            <w:t>政拨款收入支出决算总表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_Toc25386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_Toc27298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五、</w:t>
          </w:r>
          <w:r>
            <w:rPr>
              <w:rFonts w:hint="eastAsia" w:ascii="仿宋" w:hAnsi="仿宋" w:eastAsia="仿宋" w:cs="仿宋"/>
              <w:sz w:val="28"/>
              <w:szCs w:val="28"/>
            </w:rPr>
            <w:t>财</w:t>
          </w:r>
          <w:r>
            <w:rPr>
              <w:rFonts w:hint="eastAsia" w:ascii="仿宋" w:hAnsi="仿宋" w:eastAsia="仿宋" w:cs="仿宋"/>
              <w:bCs w:val="0"/>
              <w:sz w:val="28"/>
              <w:szCs w:val="28"/>
            </w:rPr>
            <w:t>政拨款支出决算明细表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_Toc27298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_Toc17504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六、</w:t>
          </w:r>
          <w:r>
            <w:rPr>
              <w:rFonts w:hint="eastAsia" w:ascii="仿宋" w:hAnsi="仿宋" w:eastAsia="仿宋" w:cs="仿宋"/>
              <w:sz w:val="28"/>
              <w:szCs w:val="28"/>
            </w:rPr>
            <w:t>一</w:t>
          </w:r>
          <w:r>
            <w:rPr>
              <w:rFonts w:hint="eastAsia" w:ascii="仿宋" w:hAnsi="仿宋" w:eastAsia="仿宋" w:cs="仿宋"/>
              <w:bCs w:val="0"/>
              <w:sz w:val="28"/>
              <w:szCs w:val="28"/>
            </w:rPr>
            <w:t>般公共预算财政拨款支出决算表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_Toc17504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_Toc19045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七、</w:t>
          </w:r>
          <w:r>
            <w:rPr>
              <w:rFonts w:hint="eastAsia" w:ascii="仿宋" w:hAnsi="仿宋" w:eastAsia="仿宋" w:cs="仿宋"/>
              <w:sz w:val="28"/>
              <w:szCs w:val="28"/>
            </w:rPr>
            <w:t>一</w:t>
          </w:r>
          <w:r>
            <w:rPr>
              <w:rFonts w:hint="eastAsia" w:ascii="仿宋" w:hAnsi="仿宋" w:eastAsia="仿宋" w:cs="仿宋"/>
              <w:bCs w:val="0"/>
              <w:sz w:val="28"/>
              <w:szCs w:val="28"/>
            </w:rPr>
            <w:t>般公共预算财政拨款支出决算明细表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_Toc19045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_Toc4997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八、</w:t>
          </w:r>
          <w:r>
            <w:rPr>
              <w:rFonts w:hint="eastAsia" w:ascii="仿宋" w:hAnsi="仿宋" w:eastAsia="仿宋" w:cs="仿宋"/>
              <w:sz w:val="28"/>
              <w:szCs w:val="28"/>
            </w:rPr>
            <w:t>一</w:t>
          </w:r>
          <w:r>
            <w:rPr>
              <w:rFonts w:hint="eastAsia" w:ascii="仿宋" w:hAnsi="仿宋" w:eastAsia="仿宋" w:cs="仿宋"/>
              <w:bCs w:val="0"/>
              <w:sz w:val="28"/>
              <w:szCs w:val="28"/>
            </w:rPr>
            <w:t>般公共预算财政拨款基本支出决算表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_Toc4997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_Toc10187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九、</w:t>
          </w:r>
          <w:r>
            <w:rPr>
              <w:rFonts w:hint="eastAsia" w:ascii="仿宋" w:hAnsi="仿宋" w:eastAsia="仿宋" w:cs="仿宋"/>
              <w:sz w:val="28"/>
              <w:szCs w:val="28"/>
            </w:rPr>
            <w:t>一</w:t>
          </w:r>
          <w:r>
            <w:rPr>
              <w:rFonts w:hint="eastAsia" w:ascii="仿宋" w:hAnsi="仿宋" w:eastAsia="仿宋" w:cs="仿宋"/>
              <w:bCs w:val="0"/>
              <w:sz w:val="28"/>
              <w:szCs w:val="28"/>
            </w:rPr>
            <w:t>般公共预算财政拨款项目支出决算表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_Toc10187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_Toc22652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十、</w:t>
          </w:r>
          <w:r>
            <w:rPr>
              <w:rFonts w:hint="eastAsia" w:ascii="仿宋" w:hAnsi="仿宋" w:eastAsia="仿宋" w:cs="仿宋"/>
              <w:sz w:val="28"/>
              <w:szCs w:val="28"/>
            </w:rPr>
            <w:t>政</w:t>
          </w:r>
          <w:r>
            <w:rPr>
              <w:rFonts w:hint="eastAsia" w:ascii="仿宋" w:hAnsi="仿宋" w:eastAsia="仿宋" w:cs="仿宋"/>
              <w:bCs w:val="0"/>
              <w:sz w:val="28"/>
              <w:szCs w:val="28"/>
            </w:rPr>
            <w:t>府性基金预算财政拨款收入支出决算表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_Toc22652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_Toc2191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十一、</w:t>
          </w:r>
          <w:r>
            <w:rPr>
              <w:rFonts w:hint="eastAsia" w:ascii="仿宋" w:hAnsi="仿宋" w:eastAsia="仿宋" w:cs="仿宋"/>
              <w:sz w:val="28"/>
              <w:szCs w:val="28"/>
            </w:rPr>
            <w:t>国</w:t>
          </w:r>
          <w:r>
            <w:rPr>
              <w:rFonts w:hint="eastAsia" w:ascii="仿宋" w:hAnsi="仿宋" w:eastAsia="仿宋" w:cs="仿宋"/>
              <w:bCs w:val="0"/>
              <w:sz w:val="28"/>
              <w:szCs w:val="28"/>
            </w:rPr>
            <w:t>有资本经营预算财政拨款收入支出决算表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_Toc2191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_Toc20945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十二、国有资本经营预算财政拨款支出决算表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_Toc20945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4"/>
            <w:tabs>
              <w:tab w:val="right" w:leader="dot" w:pos="8306"/>
              <w:tab w:val="clear" w:pos="829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_Toc18891 </w:instrText>
          </w:r>
          <w:r>
            <w:rPr>
              <w:rFonts w:hint="eastAsia" w:ascii="仿宋" w:hAnsi="仿宋" w:eastAsia="仿宋" w:cs="仿宋"/>
              <w:sz w:val="28"/>
              <w:szCs w:val="28"/>
            </w:rPr>
            <w:fldChar w:fldCharType="separate"/>
          </w:r>
          <w:r>
            <w:rPr>
              <w:rFonts w:hint="eastAsia" w:ascii="仿宋" w:hAnsi="仿宋" w:eastAsia="仿宋" w:cs="仿宋"/>
              <w:bCs w:val="0"/>
              <w:sz w:val="28"/>
              <w:szCs w:val="28"/>
            </w:rPr>
            <w:t>十三、财政拨款“三公”经费支出决算表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_Toc18891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rPr>
              <w:rFonts w:hint="eastAsia" w:ascii="仿宋" w:hAnsi="仿宋" w:eastAsia="仿宋" w:cs="仿宋"/>
              <w:sz w:val="28"/>
              <w:szCs w:val="28"/>
            </w:rPr>
          </w:pPr>
          <w:r>
            <w:rPr>
              <w:rFonts w:hint="eastAsia" w:ascii="仿宋" w:hAnsi="仿宋" w:eastAsia="仿宋" w:cs="仿宋"/>
              <w:szCs w:val="28"/>
            </w:rPr>
            <w:fldChar w:fldCharType="end"/>
          </w:r>
        </w:p>
      </w:sdtContent>
    </w:sdt>
    <w:p>
      <w:pPr>
        <w:widowControl/>
        <w:spacing w:line="440" w:lineRule="exact"/>
        <w:jc w:val="left"/>
        <w:rPr>
          <w:rFonts w:ascii="仿宋" w:hAnsi="仿宋" w:eastAsia="仿宋"/>
          <w:bCs/>
          <w:kern w:val="44"/>
          <w:sz w:val="24"/>
        </w:rPr>
      </w:pPr>
      <w:r>
        <w:rPr>
          <w:rFonts w:ascii="仿宋" w:hAnsi="仿宋" w:eastAsia="仿宋"/>
          <w:b/>
          <w:sz w:val="24"/>
        </w:rPr>
        <w:br w:type="page"/>
      </w:r>
    </w:p>
    <w:p>
      <w:pPr>
        <w:pStyle w:val="2"/>
        <w:jc w:val="center"/>
        <w:rPr>
          <w:rStyle w:val="30"/>
          <w:rFonts w:ascii="黑体" w:hAnsi="黑体" w:eastAsia="黑体"/>
          <w:b/>
          <w:bCs w:val="0"/>
        </w:rPr>
      </w:pPr>
      <w:bookmarkStart w:id="12" w:name="_Toc12648"/>
      <w:r>
        <w:rPr>
          <w:rFonts w:hint="eastAsia" w:ascii="黑体" w:hAnsi="黑体" w:eastAsia="黑体"/>
          <w:b w:val="0"/>
        </w:rPr>
        <w:t xml:space="preserve">第一部分 </w:t>
      </w:r>
      <w:r>
        <w:rPr>
          <w:rStyle w:val="30"/>
          <w:rFonts w:hint="eastAsia" w:ascii="黑体" w:hAnsi="黑体" w:eastAsia="黑体"/>
          <w:b w:val="0"/>
          <w:bCs w:val="0"/>
        </w:rPr>
        <w:t>部门概况</w:t>
      </w:r>
      <w:bookmarkEnd w:id="12"/>
    </w:p>
    <w:p>
      <w:pPr>
        <w:widowControl/>
        <w:jc w:val="left"/>
        <w:rPr>
          <w:rFonts w:ascii="黑体" w:eastAsia="黑体"/>
          <w:sz w:val="32"/>
          <w:szCs w:val="32"/>
        </w:rPr>
      </w:pPr>
    </w:p>
    <w:p>
      <w:pPr>
        <w:pStyle w:val="3"/>
        <w:numPr>
          <w:ilvl w:val="0"/>
          <w:numId w:val="1"/>
        </w:numPr>
        <w:rPr>
          <w:rFonts w:hint="eastAsia" w:ascii="黑体" w:hAnsi="黑体" w:eastAsia="黑体"/>
          <w:b w:val="0"/>
        </w:rPr>
      </w:pPr>
      <w:bookmarkStart w:id="13" w:name="_Toc24256"/>
      <w:r>
        <w:rPr>
          <w:rFonts w:hint="eastAsia" w:ascii="黑体" w:hAnsi="黑体" w:eastAsia="黑体"/>
          <w:b w:val="0"/>
        </w:rPr>
        <w:t>部门职责</w:t>
      </w:r>
      <w:bookmarkEnd w:id="13"/>
    </w:p>
    <w:p>
      <w:pPr>
        <w:ind w:firstLine="643" w:firstLineChars="200"/>
        <w:rPr>
          <w:rFonts w:hint="default" w:ascii="仿宋" w:hAnsi="仿宋" w:eastAsia="仿宋" w:cs="Courier New"/>
          <w:b/>
          <w:bCs/>
          <w:snapToGrid w:val="0"/>
          <w:color w:val="000000"/>
          <w:spacing w:val="0"/>
          <w:kern w:val="0"/>
          <w:sz w:val="32"/>
          <w:szCs w:val="32"/>
          <w:lang w:val="en-US" w:eastAsia="zh-CN"/>
        </w:rPr>
      </w:pPr>
      <w:r>
        <w:rPr>
          <w:rFonts w:hint="eastAsia" w:ascii="仿宋" w:hAnsi="仿宋" w:eastAsia="仿宋" w:cs="Courier New"/>
          <w:b/>
          <w:bCs/>
          <w:snapToGrid w:val="0"/>
          <w:color w:val="000000"/>
          <w:spacing w:val="0"/>
          <w:kern w:val="0"/>
          <w:sz w:val="32"/>
          <w:szCs w:val="32"/>
        </w:rPr>
        <w:t>（</w:t>
      </w:r>
      <w:r>
        <w:rPr>
          <w:rFonts w:hint="eastAsia" w:ascii="仿宋" w:hAnsi="仿宋" w:eastAsia="仿宋" w:cs="Courier New"/>
          <w:b/>
          <w:bCs/>
          <w:snapToGrid w:val="0"/>
          <w:color w:val="000000"/>
          <w:spacing w:val="0"/>
          <w:kern w:val="0"/>
          <w:sz w:val="32"/>
          <w:szCs w:val="32"/>
          <w:lang w:eastAsia="zh-CN"/>
        </w:rPr>
        <w:t>一</w:t>
      </w:r>
      <w:r>
        <w:rPr>
          <w:rFonts w:hint="eastAsia" w:ascii="仿宋" w:hAnsi="仿宋" w:eastAsia="仿宋" w:cs="Courier New"/>
          <w:b/>
          <w:bCs/>
          <w:snapToGrid w:val="0"/>
          <w:color w:val="000000"/>
          <w:spacing w:val="0"/>
          <w:kern w:val="0"/>
          <w:sz w:val="32"/>
          <w:szCs w:val="32"/>
        </w:rPr>
        <w:t>）</w:t>
      </w:r>
      <w:r>
        <w:rPr>
          <w:rFonts w:hint="eastAsia" w:ascii="仿宋" w:hAnsi="仿宋" w:eastAsia="仿宋" w:cs="Courier New"/>
          <w:b/>
          <w:bCs/>
          <w:snapToGrid w:val="0"/>
          <w:color w:val="000000"/>
          <w:spacing w:val="0"/>
          <w:kern w:val="0"/>
          <w:sz w:val="32"/>
          <w:szCs w:val="32"/>
          <w:lang w:eastAsia="zh-CN"/>
        </w:rPr>
        <w:t>部门职责</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rPr>
        <w:t>1.牵头贯彻落实党和国家、中央军委关于</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及国防科技工业发展方针政策、中长期规划和省委、市委、县委决策部署。指导协调和牵头组织推进全县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发展中的全局性、系统性、综合性重点工作。</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rPr>
        <w:t>2.牵头拟定和组织实施全县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发展规划、地方规范性文件和年度工作计划。</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lang w:eastAsia="zh-CN"/>
        </w:rPr>
      </w:pPr>
      <w:r>
        <w:rPr>
          <w:rFonts w:hint="eastAsia" w:ascii="仿宋" w:hAnsi="仿宋" w:eastAsia="仿宋" w:cs="仿宋"/>
          <w:spacing w:val="0"/>
          <w:sz w:val="31"/>
          <w:szCs w:val="31"/>
        </w:rPr>
        <w:t>3.组织开展</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发展重大政策、重大问题、重大产业布局，研究并提出建议；研究提出推进</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体制改革建议。</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rPr>
        <w:t>4.负责汇总全县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发展总体需求，推进军地军民需求对接，协调推进军民一体化体系和能力建设。协调推进</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发展、专项工程建设。协调推进</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新兴领域发展。</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rPr>
        <w:t>5.负责推进军工单位与民企融合发展。协调推进军民科技协同创新，科技成果和知识产权管理等相关工作。推进军民技术双向转化和科技创新资源共享。</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rPr>
        <w:t>6.负责对上级</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发展重大部署、会议精神、重要文件等贯彻落实情况的督促检查；负责对全县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发展规划实施、政策举措落地和重大项目(专项工程)建设情况开展专项督查。</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ascii="仿宋" w:hAnsi="仿宋" w:eastAsia="仿宋" w:cs="仿宋"/>
          <w:spacing w:val="0"/>
          <w:sz w:val="31"/>
          <w:szCs w:val="31"/>
        </w:rPr>
      </w:pPr>
      <w:r>
        <w:rPr>
          <w:rFonts w:hint="eastAsia" w:ascii="仿宋" w:hAnsi="仿宋" w:eastAsia="仿宋" w:cs="仿宋"/>
          <w:spacing w:val="0"/>
          <w:sz w:val="31"/>
          <w:szCs w:val="31"/>
          <w:lang w:val="en-US" w:eastAsia="zh-CN"/>
        </w:rPr>
        <w:t>7</w:t>
      </w:r>
      <w:r>
        <w:rPr>
          <w:rFonts w:hint="eastAsia" w:ascii="仿宋" w:hAnsi="仿宋" w:eastAsia="仿宋" w:cs="仿宋"/>
          <w:spacing w:val="0"/>
          <w:sz w:val="31"/>
          <w:szCs w:val="31"/>
        </w:rPr>
        <w:t>.承担县委</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发展委员会日常工作。</w:t>
      </w:r>
    </w:p>
    <w:p>
      <w:pPr>
        <w:keepNext w:val="0"/>
        <w:keepLines w:val="0"/>
        <w:pageBreakBefore w:val="0"/>
        <w:widowControl/>
        <w:kinsoku w:val="0"/>
        <w:wordWrap/>
        <w:overflowPunct/>
        <w:topLinePunct w:val="0"/>
        <w:autoSpaceDE w:val="0"/>
        <w:autoSpaceDN w:val="0"/>
        <w:bidi w:val="0"/>
        <w:adjustRightInd w:val="0"/>
        <w:snapToGrid w:val="0"/>
        <w:spacing w:before="147" w:line="310" w:lineRule="auto"/>
        <w:ind w:firstLine="620" w:firstLineChars="200"/>
        <w:textAlignment w:val="baseline"/>
        <w:outlineLvl w:val="9"/>
        <w:rPr>
          <w:rFonts w:ascii="仿宋" w:hAnsi="仿宋" w:eastAsia="仿宋" w:cs="仿宋"/>
          <w:spacing w:val="0"/>
          <w:position w:val="2"/>
          <w:sz w:val="31"/>
          <w:szCs w:val="31"/>
        </w:rPr>
      </w:pPr>
      <w:r>
        <w:rPr>
          <w:rFonts w:hint="eastAsia" w:ascii="仿宋" w:hAnsi="仿宋" w:eastAsia="仿宋" w:cs="仿宋"/>
          <w:spacing w:val="0"/>
          <w:position w:val="2"/>
          <w:sz w:val="31"/>
          <w:szCs w:val="31"/>
          <w:lang w:val="en-US" w:eastAsia="zh-CN"/>
        </w:rPr>
        <w:t>8</w:t>
      </w:r>
      <w:r>
        <w:rPr>
          <w:rFonts w:ascii="仿宋" w:hAnsi="仿宋" w:eastAsia="仿宋" w:cs="仿宋"/>
          <w:spacing w:val="0"/>
          <w:position w:val="2"/>
          <w:sz w:val="31"/>
          <w:szCs w:val="31"/>
        </w:rPr>
        <w:t>.完成</w:t>
      </w:r>
      <w:r>
        <w:rPr>
          <w:rFonts w:hint="eastAsia" w:ascii="仿宋" w:hAnsi="仿宋" w:eastAsia="仿宋" w:cs="仿宋"/>
          <w:spacing w:val="0"/>
          <w:position w:val="2"/>
          <w:sz w:val="31"/>
          <w:szCs w:val="31"/>
          <w:lang w:eastAsia="zh-CN"/>
        </w:rPr>
        <w:t>县</w:t>
      </w:r>
      <w:r>
        <w:rPr>
          <w:rFonts w:ascii="仿宋" w:hAnsi="仿宋" w:eastAsia="仿宋" w:cs="仿宋"/>
          <w:spacing w:val="0"/>
          <w:position w:val="2"/>
          <w:sz w:val="31"/>
          <w:szCs w:val="31"/>
        </w:rPr>
        <w:t>委、</w:t>
      </w:r>
      <w:r>
        <w:rPr>
          <w:rFonts w:hint="eastAsia" w:ascii="仿宋" w:hAnsi="仿宋" w:eastAsia="仿宋" w:cs="仿宋"/>
          <w:spacing w:val="0"/>
          <w:position w:val="2"/>
          <w:sz w:val="31"/>
          <w:szCs w:val="31"/>
          <w:lang w:eastAsia="zh-CN"/>
        </w:rPr>
        <w:t>县</w:t>
      </w:r>
      <w:r>
        <w:rPr>
          <w:rFonts w:ascii="仿宋" w:hAnsi="仿宋" w:eastAsia="仿宋" w:cs="仿宋"/>
          <w:spacing w:val="0"/>
          <w:position w:val="2"/>
          <w:sz w:val="31"/>
          <w:szCs w:val="31"/>
        </w:rPr>
        <w:t>政府交办的其他任务。</w:t>
      </w:r>
    </w:p>
    <w:p>
      <w:pPr>
        <w:pStyle w:val="9"/>
        <w:ind w:firstLine="643" w:firstLineChars="200"/>
        <w:rPr>
          <w:rFonts w:hint="eastAsia"/>
          <w:lang w:val="en-US" w:eastAsia="zh-CN"/>
        </w:rPr>
      </w:pPr>
      <w:r>
        <w:rPr>
          <w:rFonts w:hint="eastAsia" w:ascii="仿宋" w:hAnsi="仿宋" w:eastAsia="仿宋" w:cs="Courier New"/>
          <w:b/>
          <w:bCs/>
          <w:snapToGrid w:val="0"/>
          <w:color w:val="000000"/>
          <w:spacing w:val="0"/>
          <w:kern w:val="0"/>
          <w:sz w:val="32"/>
          <w:szCs w:val="32"/>
          <w:lang w:val="en-US" w:eastAsia="zh-CN" w:bidi="ar-SA"/>
        </w:rPr>
        <w:t>（二）2022年重点工作完成情况</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left="645" w:leftChars="0" w:right="0" w:rightChars="0"/>
        <w:jc w:val="both"/>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1.坚持全面从严治党，抓实党风廉政建设</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rightChars="0" w:firstLine="643" w:firstLineChars="200"/>
        <w:jc w:val="both"/>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楷体" w:hAnsi="楷体" w:eastAsia="楷体" w:cs="楷体"/>
          <w:b/>
          <w:bCs/>
          <w:i w:val="0"/>
          <w:iCs w:val="0"/>
          <w:caps w:val="0"/>
          <w:color w:val="auto"/>
          <w:spacing w:val="0"/>
          <w:sz w:val="32"/>
          <w:szCs w:val="32"/>
          <w:shd w:val="clear" w:color="auto" w:fill="FFFFFF"/>
          <w:lang w:val="en-US" w:eastAsia="zh-CN"/>
        </w:rPr>
        <w:t>⑴健全制度机制，强化责任落实。</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今年通过召开主任办公会议、主任办公扩大会议、警示教育会议等，研究全面从严治党工作8次，推动压力逐级传导到位、责任层层落实到位。抓严抓实“一岗双责”，制定《领导班子2022年度履行全面从严治党主体责任清单》《领导班子成员2022年度履行全面从严治党主体责任清单》《领导班子2022年度全面从严治党风险防控责任清单》，推动管党治党向股室、岗位延伸，严格落实工作责任。</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firstLine="643" w:firstLineChars="200"/>
        <w:jc w:val="both"/>
        <w:textAlignment w:val="auto"/>
        <w:rPr>
          <w:rFonts w:hint="eastAsia" w:ascii="仿宋_GB2312" w:hAnsi="微软雅黑" w:eastAsia="仿宋_GB2312" w:cs="仿宋_GB2312"/>
          <w:i w:val="0"/>
          <w:iCs w:val="0"/>
          <w:caps w:val="0"/>
          <w:color w:val="auto"/>
          <w:spacing w:val="0"/>
          <w:sz w:val="32"/>
          <w:szCs w:val="32"/>
          <w:shd w:val="clear" w:color="auto" w:fill="FFFFFF"/>
        </w:rPr>
      </w:pPr>
      <w:r>
        <w:rPr>
          <w:rFonts w:hint="eastAsia" w:ascii="楷体" w:hAnsi="楷体" w:eastAsia="楷体" w:cs="楷体"/>
          <w:b/>
          <w:bCs/>
          <w:i w:val="0"/>
          <w:iCs w:val="0"/>
          <w:caps w:val="0"/>
          <w:color w:val="auto"/>
          <w:spacing w:val="0"/>
          <w:sz w:val="32"/>
          <w:szCs w:val="32"/>
          <w:shd w:val="clear" w:color="auto" w:fill="FFFFFF"/>
          <w:lang w:val="en-US" w:eastAsia="zh-CN"/>
        </w:rPr>
        <w:t>⑵坚持思想建党，强化理论武装。</w:t>
      </w:r>
      <w:r>
        <w:rPr>
          <w:rFonts w:hint="eastAsia" w:ascii="仿宋_GB2312" w:hAnsi="微软雅黑" w:eastAsia="仿宋_GB2312" w:cs="仿宋_GB2312"/>
          <w:i w:val="0"/>
          <w:iCs w:val="0"/>
          <w:caps w:val="0"/>
          <w:color w:val="auto"/>
          <w:spacing w:val="0"/>
          <w:sz w:val="32"/>
          <w:szCs w:val="32"/>
          <w:shd w:val="clear" w:color="auto" w:fill="FFFFFF"/>
          <w:lang w:eastAsia="zh-CN"/>
        </w:rPr>
        <w:t>带头抓好理论学习，</w:t>
      </w:r>
      <w:r>
        <w:rPr>
          <w:rFonts w:hint="eastAsia" w:ascii="仿宋_GB2312" w:hAnsi="微软雅黑" w:eastAsia="仿宋_GB2312" w:cs="仿宋_GB2312"/>
          <w:i w:val="0"/>
          <w:iCs w:val="0"/>
          <w:caps w:val="0"/>
          <w:color w:val="auto"/>
          <w:spacing w:val="0"/>
          <w:sz w:val="32"/>
          <w:szCs w:val="32"/>
          <w:shd w:val="clear" w:color="auto" w:fill="FFFFFF"/>
        </w:rPr>
        <w:t>认真参加</w:t>
      </w:r>
      <w:r>
        <w:rPr>
          <w:rFonts w:hint="eastAsia" w:ascii="仿宋_GB2312" w:hAnsi="微软雅黑" w:eastAsia="仿宋_GB2312" w:cs="仿宋_GB2312"/>
          <w:i w:val="0"/>
          <w:iCs w:val="0"/>
          <w:caps w:val="0"/>
          <w:color w:val="auto"/>
          <w:spacing w:val="0"/>
          <w:sz w:val="32"/>
          <w:szCs w:val="32"/>
          <w:shd w:val="clear" w:color="auto" w:fill="FFFFFF"/>
          <w:lang w:eastAsia="zh-CN"/>
        </w:rPr>
        <w:t>县委、县委组织部、县委宣传部等部门组织的理论宣讲活动</w:t>
      </w:r>
      <w:r>
        <w:rPr>
          <w:rFonts w:hint="eastAsia" w:ascii="仿宋_GB2312" w:hAnsi="微软雅黑" w:eastAsia="仿宋_GB2312" w:cs="仿宋_GB2312"/>
          <w:i w:val="0"/>
          <w:iCs w:val="0"/>
          <w:caps w:val="0"/>
          <w:color w:val="auto"/>
          <w:spacing w:val="0"/>
          <w:sz w:val="32"/>
          <w:szCs w:val="32"/>
          <w:shd w:val="clear" w:color="auto" w:fill="FFFFFF"/>
        </w:rPr>
        <w:t>，</w:t>
      </w:r>
      <w:r>
        <w:rPr>
          <w:rFonts w:hint="eastAsia" w:ascii="仿宋_GB2312" w:hAnsi="微软雅黑" w:eastAsia="仿宋_GB2312" w:cs="仿宋_GB2312"/>
          <w:i w:val="0"/>
          <w:iCs w:val="0"/>
          <w:caps w:val="0"/>
          <w:color w:val="auto"/>
          <w:spacing w:val="0"/>
          <w:sz w:val="32"/>
          <w:szCs w:val="32"/>
          <w:shd w:val="clear" w:color="auto" w:fill="FFFFFF"/>
          <w:lang w:eastAsia="zh-CN"/>
        </w:rPr>
        <w:t>积极参加蜀道大讲堂、雄关大讲坛等学习活动，主动自学，</w:t>
      </w:r>
      <w:r>
        <w:rPr>
          <w:rFonts w:hint="eastAsia" w:ascii="仿宋_GB2312" w:hAnsi="微软雅黑" w:eastAsia="仿宋_GB2312" w:cs="仿宋_GB2312"/>
          <w:i w:val="0"/>
          <w:iCs w:val="0"/>
          <w:caps w:val="0"/>
          <w:color w:val="000000" w:themeColor="text1"/>
          <w:spacing w:val="0"/>
          <w:sz w:val="32"/>
          <w:szCs w:val="32"/>
          <w:shd w:val="clear" w:color="auto" w:fill="FFFFFF"/>
          <w14:textFill>
            <w14:solidFill>
              <w14:schemeClr w14:val="tx1"/>
            </w14:solidFill>
          </w14:textFill>
        </w:rPr>
        <w:t>切实用党的最新理论武装头脑、指导实践、推动工作。</w:t>
      </w:r>
      <w:r>
        <w:rPr>
          <w:rFonts w:hint="eastAsia" w:ascii="仿宋_GB2312" w:hAnsi="微软雅黑" w:eastAsia="仿宋_GB2312" w:cs="仿宋_GB2312"/>
          <w:i w:val="0"/>
          <w:iCs w:val="0"/>
          <w:caps w:val="0"/>
          <w:color w:val="auto"/>
          <w:spacing w:val="0"/>
          <w:sz w:val="32"/>
          <w:szCs w:val="32"/>
          <w:shd w:val="clear" w:color="auto" w:fill="FFFFFF"/>
          <w:lang w:eastAsia="zh-CN"/>
        </w:rPr>
        <w:t>坚持定期组织全体干部开展理论学习，年初制定学习计划，坚持会前学法，提升全体干部法治意识。</w:t>
      </w:r>
      <w:r>
        <w:rPr>
          <w:rFonts w:hint="eastAsia" w:ascii="仿宋_GB2312" w:hAnsi="微软雅黑" w:eastAsia="仿宋_GB2312" w:cs="仿宋_GB2312"/>
          <w:i w:val="0"/>
          <w:iCs w:val="0"/>
          <w:caps w:val="0"/>
          <w:color w:val="auto"/>
          <w:spacing w:val="0"/>
          <w:sz w:val="32"/>
          <w:szCs w:val="32"/>
          <w:shd w:val="clear" w:color="auto" w:fill="FFFFFF"/>
        </w:rPr>
        <w:t>组织集中学习</w:t>
      </w:r>
      <w:r>
        <w:rPr>
          <w:rFonts w:hint="eastAsia" w:ascii="仿宋_GB2312" w:hAnsi="微软雅黑" w:eastAsia="仿宋_GB2312" w:cs="仿宋_GB2312"/>
          <w:i w:val="0"/>
          <w:iCs w:val="0"/>
          <w:caps w:val="0"/>
          <w:color w:val="auto"/>
          <w:spacing w:val="0"/>
          <w:sz w:val="32"/>
          <w:szCs w:val="32"/>
          <w:shd w:val="clear" w:color="auto" w:fill="FFFFFF"/>
          <w:lang w:val="en-US" w:eastAsia="zh-CN"/>
        </w:rPr>
        <w:t>20余</w:t>
      </w:r>
      <w:r>
        <w:rPr>
          <w:rFonts w:hint="eastAsia" w:ascii="仿宋_GB2312" w:hAnsi="微软雅黑" w:eastAsia="仿宋_GB2312" w:cs="仿宋_GB2312"/>
          <w:i w:val="0"/>
          <w:iCs w:val="0"/>
          <w:caps w:val="0"/>
          <w:color w:val="auto"/>
          <w:spacing w:val="0"/>
          <w:sz w:val="32"/>
          <w:szCs w:val="32"/>
          <w:shd w:val="clear" w:color="auto" w:fill="FFFFFF"/>
        </w:rPr>
        <w:t>次，</w:t>
      </w:r>
      <w:r>
        <w:rPr>
          <w:rFonts w:hint="eastAsia" w:ascii="仿宋_GB2312" w:hAnsi="微软雅黑" w:eastAsia="仿宋_GB2312" w:cs="仿宋_GB2312"/>
          <w:i w:val="0"/>
          <w:iCs w:val="0"/>
          <w:caps w:val="0"/>
          <w:color w:val="auto"/>
          <w:spacing w:val="0"/>
          <w:sz w:val="32"/>
          <w:szCs w:val="32"/>
          <w:shd w:val="clear" w:color="auto" w:fill="FFFFFF"/>
          <w:lang w:eastAsia="zh-CN"/>
        </w:rPr>
        <w:t>其中专题学习习近平总书记来川视察重要指示精神</w:t>
      </w:r>
      <w:r>
        <w:rPr>
          <w:rFonts w:hint="eastAsia" w:ascii="仿宋_GB2312" w:hAnsi="微软雅黑" w:eastAsia="仿宋_GB2312" w:cs="仿宋_GB2312"/>
          <w:i w:val="0"/>
          <w:iCs w:val="0"/>
          <w:caps w:val="0"/>
          <w:color w:val="auto"/>
          <w:spacing w:val="0"/>
          <w:sz w:val="32"/>
          <w:szCs w:val="32"/>
          <w:shd w:val="clear" w:color="auto" w:fill="FFFFFF"/>
          <w:lang w:val="en-US" w:eastAsia="zh-CN"/>
        </w:rPr>
        <w:t>2次，专题学习</w:t>
      </w:r>
      <w:r>
        <w:rPr>
          <w:rFonts w:hint="eastAsia" w:ascii="仿宋_GB2312" w:hAnsi="微软雅黑" w:eastAsia="仿宋_GB2312" w:cs="仿宋_GB2312"/>
          <w:i w:val="0"/>
          <w:iCs w:val="0"/>
          <w:caps w:val="0"/>
          <w:color w:val="auto"/>
          <w:spacing w:val="0"/>
          <w:sz w:val="32"/>
          <w:szCs w:val="32"/>
          <w:shd w:val="clear" w:color="auto" w:fill="FFFFFF"/>
          <w:lang w:eastAsia="zh-CN"/>
        </w:rPr>
        <w:t>党的二十大精神</w:t>
      </w:r>
      <w:r>
        <w:rPr>
          <w:rFonts w:hint="eastAsia" w:ascii="仿宋_GB2312" w:hAnsi="微软雅黑" w:eastAsia="仿宋_GB2312" w:cs="仿宋_GB2312"/>
          <w:i w:val="0"/>
          <w:iCs w:val="0"/>
          <w:caps w:val="0"/>
          <w:color w:val="auto"/>
          <w:spacing w:val="0"/>
          <w:sz w:val="32"/>
          <w:szCs w:val="32"/>
          <w:shd w:val="clear" w:color="auto" w:fill="FFFFFF"/>
          <w:lang w:val="en-US" w:eastAsia="zh-CN"/>
        </w:rPr>
        <w:t>4次，学习传达中央纪委全会精神2次，引导全体党员干部增强“四个意识”、坚定“四个自信”、做到“两个维护”。</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rightChars="0" w:firstLine="643" w:firstLineChars="200"/>
        <w:jc w:val="both"/>
        <w:textAlignment w:val="auto"/>
        <w:rPr>
          <w:rFonts w:hint="eastAsia" w:ascii="仿宋_GB2312" w:hAnsi="微软雅黑" w:eastAsia="仿宋_GB2312" w:cs="仿宋_GB2312"/>
          <w:i w:val="0"/>
          <w:iCs w:val="0"/>
          <w:caps w:val="0"/>
          <w:color w:val="auto"/>
          <w:spacing w:val="0"/>
          <w:sz w:val="32"/>
          <w:szCs w:val="32"/>
          <w:shd w:val="clear" w:color="auto" w:fill="FFFFFF"/>
          <w:lang w:val="en-US" w:eastAsia="zh-CN"/>
        </w:rPr>
      </w:pPr>
      <w:r>
        <w:rPr>
          <w:rFonts w:hint="eastAsia" w:ascii="楷体" w:hAnsi="楷体" w:eastAsia="楷体" w:cs="楷体"/>
          <w:b/>
          <w:bCs/>
          <w:i w:val="0"/>
          <w:iCs w:val="0"/>
          <w:caps w:val="0"/>
          <w:color w:val="auto"/>
          <w:spacing w:val="0"/>
          <w:sz w:val="32"/>
          <w:szCs w:val="32"/>
          <w:shd w:val="clear" w:color="auto" w:fill="FFFFFF"/>
          <w:lang w:val="en-US" w:eastAsia="zh-CN"/>
        </w:rPr>
        <w:t>⑶深化廉洁教育，持抓作风建设。</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将党风廉政宣传教育工作纳入全面从严治党重点内容，制定党风廉政建设工作责任清单，班子成员及支部书记讲述党风廉政专题党课5次，开展主题党日活动4次、节前廉洁教育4次，注重抓早抓小、防微杜渐，准确把握运用监督执纪“四种形态”。持续推进作风纪律整顿，对去年查摆问题、整改成果、建章立制等方面进行综合评估，重新制定本年度工作方案，开展纪律作风应知应答知识测试2次，组织观看学习违规违纪典型案例26件，对干部谈心谈话17人次</w:t>
      </w:r>
      <w:r>
        <w:rPr>
          <w:rFonts w:hint="eastAsia" w:ascii="仿宋_GB2312" w:hAnsi="微软雅黑" w:eastAsia="仿宋_GB2312" w:cs="仿宋_GB2312"/>
          <w:i w:val="0"/>
          <w:iCs w:val="0"/>
          <w:caps w:val="0"/>
          <w:color w:val="auto"/>
          <w:spacing w:val="0"/>
          <w:sz w:val="32"/>
          <w:szCs w:val="32"/>
          <w:shd w:val="clear" w:color="auto" w:fill="FFFFFF"/>
          <w:lang w:val="en-US" w:eastAsia="zh-CN"/>
        </w:rPr>
        <w:t>。同时进一步完善了我办保密制度、安全制度等，健全领导班子议事决策规则和“三重一大”集体决策运行机制，全办上下敬廉崇洁氛围良好，党风政风持续向好。</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rightChars="0" w:firstLine="640" w:firstLineChars="200"/>
        <w:jc w:val="both"/>
        <w:textAlignment w:val="auto"/>
        <w:rPr>
          <w:rFonts w:hint="eastAsia" w:ascii="黑体" w:hAnsi="黑体" w:eastAsia="黑体" w:cs="黑体"/>
          <w:b w:val="0"/>
          <w:bCs w:val="0"/>
          <w:i w:val="0"/>
          <w:iCs w:val="0"/>
          <w:caps w:val="0"/>
          <w:color w:val="auto"/>
          <w:spacing w:val="0"/>
          <w:sz w:val="32"/>
          <w:szCs w:val="32"/>
          <w:shd w:val="clear" w:color="auto" w:fill="FFFFFF"/>
          <w:lang w:val="en-US" w:eastAsia="zh-CN"/>
        </w:rPr>
      </w:pPr>
      <w:r>
        <w:rPr>
          <w:rFonts w:hint="eastAsia" w:ascii="黑体" w:hAnsi="黑体" w:eastAsia="黑体" w:cs="黑体"/>
          <w:b w:val="0"/>
          <w:bCs w:val="0"/>
          <w:i w:val="0"/>
          <w:iCs w:val="0"/>
          <w:caps w:val="0"/>
          <w:color w:val="auto"/>
          <w:spacing w:val="0"/>
          <w:sz w:val="32"/>
          <w:szCs w:val="32"/>
          <w:shd w:val="clear" w:color="auto" w:fill="FFFFFF"/>
          <w:lang w:val="en-US" w:eastAsia="zh-CN"/>
        </w:rPr>
        <w:t>2.紧抓重点难点项目，有序推进专项工程</w:t>
      </w:r>
    </w:p>
    <w:p>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576" w:lineRule="exact"/>
        <w:ind w:left="0" w:right="0" w:firstLine="643" w:firstLineChars="200"/>
        <w:jc w:val="both"/>
        <w:textAlignment w:val="auto"/>
        <w:rPr>
          <w:rFonts w:hint="default" w:ascii="仿宋_GB2312" w:hAnsi="Calibri" w:eastAsia="仿宋_GB2312" w:cs="仿宋_GB2312"/>
          <w:b w:val="0"/>
          <w:bCs/>
          <w:color w:val="000000"/>
          <w:kern w:val="2"/>
          <w:sz w:val="32"/>
          <w:szCs w:val="32"/>
          <w:lang w:val="en-US" w:eastAsia="zh-CN" w:bidi="ar"/>
        </w:rPr>
      </w:pPr>
      <w:r>
        <w:rPr>
          <w:rFonts w:hint="eastAsia" w:ascii="楷体_GB2312" w:hAnsi="仿宋_GB2312" w:eastAsia="楷体_GB2312" w:cs="楷体_GB2312"/>
          <w:b/>
          <w:bCs/>
          <w:color w:val="000000"/>
          <w:kern w:val="2"/>
          <w:sz w:val="32"/>
          <w:szCs w:val="32"/>
          <w:lang w:val="en-US" w:eastAsia="zh-CN" w:bidi="ar"/>
        </w:rPr>
        <w:t>⑴高质量通过国家评审工作。</w:t>
      </w:r>
      <w:r>
        <w:rPr>
          <w:rFonts w:hint="eastAsia" w:ascii="仿宋_GB2312" w:hAnsi="仿宋_GB2312" w:eastAsia="仿宋_GB2312" w:cs="仿宋_GB2312"/>
          <w:b w:val="0"/>
          <w:bCs/>
          <w:color w:val="000000"/>
          <w:kern w:val="2"/>
          <w:sz w:val="32"/>
          <w:szCs w:val="32"/>
          <w:lang w:val="en-US" w:eastAsia="zh-CN" w:bidi="ar"/>
        </w:rPr>
        <w:t>按照国务院、国防科工局安排部署，1月中旬中咨公司来剑开展项目评审工作。</w:t>
      </w:r>
      <w:r>
        <w:rPr>
          <w:rFonts w:hint="eastAsia" w:ascii="仿宋_GB2312" w:hAnsi="仿宋_GB2312" w:eastAsia="仿宋_GB2312" w:cs="仿宋_GB2312"/>
          <w:b/>
          <w:bCs w:val="0"/>
          <w:color w:val="000000"/>
          <w:kern w:val="2"/>
          <w:sz w:val="32"/>
          <w:szCs w:val="32"/>
          <w:lang w:val="en-US" w:eastAsia="zh-CN" w:bidi="ar"/>
        </w:rPr>
        <w:t>一是</w:t>
      </w:r>
      <w:r>
        <w:rPr>
          <w:rFonts w:hint="eastAsia" w:ascii="仿宋_GB2312" w:hAnsi="仿宋_GB2312" w:eastAsia="仿宋_GB2312" w:cs="仿宋_GB2312"/>
          <w:b w:val="0"/>
          <w:bCs/>
          <w:color w:val="000000"/>
          <w:kern w:val="2"/>
          <w:sz w:val="32"/>
          <w:szCs w:val="32"/>
          <w:lang w:val="en-US" w:eastAsia="zh-CN" w:bidi="ar"/>
        </w:rPr>
        <w:t>精心组织方案编写。</w:t>
      </w:r>
      <w:r>
        <w:rPr>
          <w:rFonts w:hint="eastAsia" w:ascii="仿宋_GB2312" w:hAnsi="Calibri" w:eastAsia="仿宋_GB2312" w:cs="仿宋_GB2312"/>
          <w:b w:val="0"/>
          <w:bCs/>
          <w:color w:val="000000"/>
          <w:kern w:val="2"/>
          <w:sz w:val="32"/>
          <w:szCs w:val="32"/>
          <w:lang w:val="en-US" w:eastAsia="zh-CN" w:bidi="ar"/>
        </w:rPr>
        <w:t>县主要领导、分管领导亲临</w:t>
      </w:r>
      <w:r>
        <w:rPr>
          <w:rFonts w:hint="eastAsia" w:ascii="仿宋_GB2312" w:eastAsia="仿宋_GB2312" w:cs="仿宋_GB2312"/>
          <w:b w:val="0"/>
          <w:bCs/>
          <w:color w:val="000000"/>
          <w:kern w:val="2"/>
          <w:sz w:val="32"/>
          <w:szCs w:val="32"/>
          <w:lang w:val="en-US" w:eastAsia="zh-CN" w:bidi="ar"/>
        </w:rPr>
        <w:t>指挥、现场督导</w:t>
      </w:r>
      <w:r>
        <w:rPr>
          <w:rFonts w:hint="eastAsia" w:ascii="仿宋_GB2312" w:hAnsi="Calibri" w:eastAsia="仿宋_GB2312" w:cs="仿宋_GB2312"/>
          <w:b w:val="0"/>
          <w:bCs/>
          <w:color w:val="000000"/>
          <w:kern w:val="2"/>
          <w:sz w:val="32"/>
          <w:szCs w:val="32"/>
          <w:lang w:val="en-US" w:eastAsia="zh-CN" w:bidi="ar"/>
        </w:rPr>
        <w:t>，</w:t>
      </w:r>
      <w:r>
        <w:rPr>
          <w:rFonts w:hint="eastAsia" w:ascii="仿宋_GB2312" w:hAnsi="仿宋_GB2312" w:eastAsia="仿宋_GB2312" w:cs="仿宋_GB2312"/>
          <w:b w:val="0"/>
          <w:bCs/>
          <w:color w:val="000000"/>
          <w:kern w:val="2"/>
          <w:sz w:val="32"/>
          <w:szCs w:val="32"/>
          <w:lang w:val="en-US" w:eastAsia="zh-CN" w:bidi="ar"/>
        </w:rPr>
        <w:t>我办</w:t>
      </w:r>
      <w:r>
        <w:rPr>
          <w:rFonts w:hint="eastAsia" w:ascii="仿宋_GB2312" w:hAnsi="Calibri" w:eastAsia="仿宋_GB2312" w:cs="仿宋_GB2312"/>
          <w:b w:val="0"/>
          <w:bCs/>
          <w:color w:val="000000"/>
          <w:kern w:val="2"/>
          <w:sz w:val="32"/>
          <w:szCs w:val="32"/>
          <w:lang w:val="en-US" w:eastAsia="zh-CN" w:bidi="ar"/>
        </w:rPr>
        <w:t>牵头组织</w:t>
      </w:r>
      <w:r>
        <w:rPr>
          <w:rFonts w:hint="eastAsia" w:ascii="仿宋_GB2312" w:eastAsia="仿宋_GB2312" w:cs="仿宋_GB2312"/>
          <w:b w:val="0"/>
          <w:bCs/>
          <w:color w:val="000000"/>
          <w:kern w:val="2"/>
          <w:sz w:val="32"/>
          <w:szCs w:val="32"/>
          <w:lang w:val="en-US" w:eastAsia="zh-CN" w:bidi="ar"/>
        </w:rPr>
        <w:t>县级</w:t>
      </w:r>
      <w:r>
        <w:rPr>
          <w:rFonts w:hint="eastAsia" w:ascii="仿宋_GB2312" w:hAnsi="Calibri" w:eastAsia="仿宋_GB2312" w:cs="仿宋_GB2312"/>
          <w:b w:val="0"/>
          <w:bCs/>
          <w:color w:val="000000"/>
          <w:kern w:val="2"/>
          <w:sz w:val="32"/>
          <w:szCs w:val="32"/>
          <w:lang w:val="en-US" w:eastAsia="zh-CN" w:bidi="ar"/>
        </w:rPr>
        <w:t>部门抽调精干力量</w:t>
      </w:r>
      <w:r>
        <w:rPr>
          <w:rFonts w:hint="eastAsia" w:ascii="仿宋_GB2312" w:eastAsia="仿宋_GB2312" w:cs="仿宋_GB2312"/>
          <w:b w:val="0"/>
          <w:bCs/>
          <w:color w:val="000000"/>
          <w:kern w:val="2"/>
          <w:sz w:val="32"/>
          <w:szCs w:val="32"/>
          <w:lang w:val="en-US" w:eastAsia="zh-CN" w:bidi="ar"/>
        </w:rPr>
        <w:t>采取“</w:t>
      </w:r>
      <w:r>
        <w:rPr>
          <w:rFonts w:hint="eastAsia" w:ascii="仿宋_GB2312" w:hAnsi="Calibri" w:eastAsia="仿宋_GB2312" w:cs="仿宋_GB2312"/>
          <w:b w:val="0"/>
          <w:bCs/>
          <w:color w:val="000000"/>
          <w:kern w:val="2"/>
          <w:sz w:val="32"/>
          <w:szCs w:val="32"/>
          <w:lang w:val="en-US" w:eastAsia="zh-CN" w:bidi="ar"/>
        </w:rPr>
        <w:t>集中编制，集中审核，集中组卷</w:t>
      </w:r>
      <w:r>
        <w:rPr>
          <w:rFonts w:hint="eastAsia" w:ascii="仿宋_GB2312" w:eastAsia="仿宋_GB2312" w:cs="仿宋_GB2312"/>
          <w:b w:val="0"/>
          <w:bCs/>
          <w:color w:val="000000"/>
          <w:kern w:val="2"/>
          <w:sz w:val="32"/>
          <w:szCs w:val="32"/>
          <w:lang w:val="en-US" w:eastAsia="zh-CN" w:bidi="ar"/>
        </w:rPr>
        <w:t>”的方式，</w:t>
      </w:r>
      <w:r>
        <w:rPr>
          <w:rFonts w:hint="eastAsia" w:ascii="仿宋_GB2312" w:hAnsi="Calibri" w:eastAsia="仿宋_GB2312" w:cs="仿宋_GB2312"/>
          <w:b w:val="0"/>
          <w:bCs/>
          <w:color w:val="000000"/>
          <w:kern w:val="2"/>
          <w:sz w:val="32"/>
          <w:szCs w:val="32"/>
          <w:lang w:val="en-US" w:eastAsia="zh-CN" w:bidi="ar"/>
        </w:rPr>
        <w:t>召开专题会议10余次</w:t>
      </w:r>
      <w:r>
        <w:rPr>
          <w:rFonts w:hint="eastAsia" w:ascii="仿宋_GB2312" w:eastAsia="仿宋_GB2312" w:cs="仿宋_GB2312"/>
          <w:b w:val="0"/>
          <w:bCs/>
          <w:color w:val="000000"/>
          <w:kern w:val="2"/>
          <w:sz w:val="32"/>
          <w:szCs w:val="32"/>
          <w:lang w:val="en-US" w:eastAsia="zh-CN" w:bidi="ar"/>
        </w:rPr>
        <w:t>，一个月内高质量完成方案编写</w:t>
      </w:r>
      <w:r>
        <w:rPr>
          <w:rFonts w:hint="eastAsia" w:ascii="仿宋_GB2312" w:hAnsi="Calibri" w:eastAsia="仿宋_GB2312" w:cs="仿宋_GB2312"/>
          <w:b w:val="0"/>
          <w:bCs/>
          <w:color w:val="000000"/>
          <w:kern w:val="2"/>
          <w:sz w:val="32"/>
          <w:szCs w:val="32"/>
          <w:lang w:val="en-US" w:eastAsia="zh-CN" w:bidi="ar"/>
        </w:rPr>
        <w:t>。</w:t>
      </w:r>
      <w:r>
        <w:rPr>
          <w:rFonts w:hint="eastAsia" w:ascii="仿宋_GB2312" w:hAnsi="Calibri" w:eastAsia="仿宋_GB2312" w:cs="仿宋_GB2312"/>
          <w:b/>
          <w:bCs w:val="0"/>
          <w:color w:val="000000"/>
          <w:kern w:val="2"/>
          <w:sz w:val="32"/>
          <w:szCs w:val="32"/>
          <w:lang w:val="en-US" w:eastAsia="zh-CN" w:bidi="ar"/>
        </w:rPr>
        <w:t>二是</w:t>
      </w:r>
      <w:r>
        <w:rPr>
          <w:rFonts w:hint="eastAsia" w:ascii="仿宋_GB2312" w:hAnsi="Calibri" w:eastAsia="仿宋_GB2312" w:cs="仿宋_GB2312"/>
          <w:b w:val="0"/>
          <w:bCs/>
          <w:color w:val="000000"/>
          <w:kern w:val="2"/>
          <w:sz w:val="32"/>
          <w:szCs w:val="32"/>
          <w:lang w:val="en-US" w:eastAsia="zh-CN" w:bidi="ar"/>
        </w:rPr>
        <w:t>精</w:t>
      </w:r>
      <w:r>
        <w:rPr>
          <w:rFonts w:hint="eastAsia" w:ascii="仿宋_GB2312" w:eastAsia="仿宋_GB2312" w:cs="仿宋_GB2312"/>
          <w:b w:val="0"/>
          <w:bCs/>
          <w:color w:val="000000"/>
          <w:kern w:val="2"/>
          <w:sz w:val="32"/>
          <w:szCs w:val="32"/>
          <w:lang w:val="en-US" w:eastAsia="zh-CN" w:bidi="ar"/>
        </w:rPr>
        <w:t>心</w:t>
      </w:r>
      <w:r>
        <w:rPr>
          <w:rFonts w:hint="eastAsia" w:ascii="仿宋_GB2312" w:hAnsi="Calibri" w:eastAsia="仿宋_GB2312" w:cs="仿宋_GB2312"/>
          <w:b w:val="0"/>
          <w:bCs/>
          <w:color w:val="000000"/>
          <w:kern w:val="2"/>
          <w:sz w:val="32"/>
          <w:szCs w:val="32"/>
          <w:lang w:val="en-US" w:eastAsia="zh-CN" w:bidi="ar"/>
        </w:rPr>
        <w:t>对接专家团队。</w:t>
      </w:r>
      <w:r>
        <w:rPr>
          <w:rFonts w:hint="eastAsia" w:ascii="仿宋_GB2312" w:eastAsia="仿宋_GB2312" w:cs="仿宋_GB2312"/>
          <w:b w:val="0"/>
          <w:bCs/>
          <w:color w:val="000000"/>
          <w:kern w:val="2"/>
          <w:sz w:val="32"/>
          <w:szCs w:val="32"/>
          <w:lang w:val="en-US" w:eastAsia="zh-CN" w:bidi="ar"/>
        </w:rPr>
        <w:t>紧盯</w:t>
      </w:r>
      <w:r>
        <w:rPr>
          <w:rFonts w:hint="eastAsia" w:ascii="仿宋_GB2312" w:hAnsi="Calibri" w:eastAsia="仿宋_GB2312" w:cs="仿宋_GB2312"/>
          <w:b w:val="0"/>
          <w:bCs/>
          <w:color w:val="000000"/>
          <w:kern w:val="2"/>
          <w:sz w:val="32"/>
          <w:szCs w:val="32"/>
          <w:lang w:val="en-US" w:eastAsia="zh-CN" w:bidi="ar"/>
        </w:rPr>
        <w:t>项目评审关键</w:t>
      </w:r>
      <w:r>
        <w:rPr>
          <w:rFonts w:hint="eastAsia" w:ascii="仿宋_GB2312" w:eastAsia="仿宋_GB2312" w:cs="仿宋_GB2312"/>
          <w:b w:val="0"/>
          <w:bCs/>
          <w:color w:val="000000"/>
          <w:kern w:val="2"/>
          <w:sz w:val="32"/>
          <w:szCs w:val="32"/>
          <w:lang w:val="en-US" w:eastAsia="zh-CN" w:bidi="ar"/>
        </w:rPr>
        <w:t>环节和内容，先后</w:t>
      </w:r>
      <w:r>
        <w:rPr>
          <w:rFonts w:hint="eastAsia" w:ascii="仿宋_GB2312" w:hAnsi="Calibri" w:eastAsia="仿宋_GB2312" w:cs="仿宋_GB2312"/>
          <w:b w:val="0"/>
          <w:bCs/>
          <w:color w:val="000000"/>
          <w:kern w:val="2"/>
          <w:sz w:val="32"/>
          <w:szCs w:val="32"/>
          <w:lang w:val="en-US" w:eastAsia="zh-CN" w:bidi="ar"/>
        </w:rPr>
        <w:t>组织</w:t>
      </w:r>
      <w:r>
        <w:rPr>
          <w:rFonts w:hint="eastAsia" w:ascii="仿宋_GB2312" w:eastAsia="仿宋_GB2312" w:cs="仿宋_GB2312"/>
          <w:b w:val="0"/>
          <w:bCs/>
          <w:color w:val="000000"/>
          <w:kern w:val="2"/>
          <w:sz w:val="32"/>
          <w:szCs w:val="32"/>
          <w:lang w:val="en-US" w:eastAsia="zh-CN" w:bidi="ar"/>
        </w:rPr>
        <w:t>专业人员</w:t>
      </w:r>
      <w:r>
        <w:rPr>
          <w:rFonts w:hint="eastAsia" w:ascii="仿宋_GB2312" w:hAnsi="Calibri" w:eastAsia="仿宋_GB2312" w:cs="仿宋_GB2312"/>
          <w:b w:val="0"/>
          <w:bCs/>
          <w:color w:val="000000"/>
          <w:kern w:val="2"/>
          <w:sz w:val="32"/>
          <w:szCs w:val="32"/>
          <w:lang w:val="en-US" w:eastAsia="zh-CN" w:bidi="ar"/>
        </w:rPr>
        <w:t>前往北京、成都、绵阳等地学习，</w:t>
      </w:r>
      <w:r>
        <w:rPr>
          <w:rFonts w:hint="eastAsia" w:ascii="仿宋_GB2312" w:eastAsia="仿宋_GB2312" w:cs="仿宋_GB2312"/>
          <w:b w:val="0"/>
          <w:bCs/>
          <w:color w:val="000000"/>
          <w:kern w:val="2"/>
          <w:sz w:val="32"/>
          <w:szCs w:val="32"/>
          <w:lang w:val="en-US" w:eastAsia="zh-CN" w:bidi="ar"/>
        </w:rPr>
        <w:t>落实专人</w:t>
      </w:r>
      <w:r>
        <w:rPr>
          <w:rFonts w:hint="eastAsia" w:ascii="仿宋_GB2312" w:hAnsi="Calibri" w:eastAsia="仿宋_GB2312" w:cs="仿宋_GB2312"/>
          <w:b w:val="0"/>
          <w:bCs/>
          <w:color w:val="000000"/>
          <w:kern w:val="2"/>
          <w:sz w:val="32"/>
          <w:szCs w:val="32"/>
          <w:lang w:val="en-US" w:eastAsia="zh-CN" w:bidi="ar"/>
        </w:rPr>
        <w:t>对接有关专家，</w:t>
      </w:r>
      <w:r>
        <w:rPr>
          <w:rFonts w:hint="eastAsia" w:ascii="仿宋_GB2312" w:eastAsia="仿宋_GB2312" w:cs="仿宋_GB2312"/>
          <w:b w:val="0"/>
          <w:bCs/>
          <w:color w:val="000000"/>
          <w:kern w:val="2"/>
          <w:sz w:val="32"/>
          <w:szCs w:val="32"/>
          <w:lang w:val="en-US" w:eastAsia="zh-CN" w:bidi="ar"/>
        </w:rPr>
        <w:t>确保为高标准完成方案评审</w:t>
      </w:r>
      <w:r>
        <w:rPr>
          <w:rFonts w:hint="eastAsia" w:ascii="仿宋_GB2312" w:hAnsi="Calibri" w:eastAsia="仿宋_GB2312" w:cs="仿宋_GB2312"/>
          <w:b w:val="0"/>
          <w:bCs/>
          <w:color w:val="000000"/>
          <w:kern w:val="2"/>
          <w:sz w:val="32"/>
          <w:szCs w:val="32"/>
          <w:lang w:val="en-US" w:eastAsia="zh-CN" w:bidi="ar"/>
        </w:rPr>
        <w:t>。</w:t>
      </w:r>
      <w:r>
        <w:rPr>
          <w:rFonts w:hint="eastAsia" w:ascii="仿宋_GB2312" w:hAnsi="Calibri" w:eastAsia="仿宋_GB2312" w:cs="仿宋_GB2312"/>
          <w:b/>
          <w:bCs w:val="0"/>
          <w:color w:val="000000"/>
          <w:kern w:val="2"/>
          <w:sz w:val="32"/>
          <w:szCs w:val="32"/>
          <w:lang w:val="en-US" w:eastAsia="zh-CN" w:bidi="ar"/>
        </w:rPr>
        <w:t>三是</w:t>
      </w:r>
      <w:r>
        <w:rPr>
          <w:rFonts w:hint="eastAsia" w:ascii="仿宋_GB2312" w:hAnsi="Calibri" w:eastAsia="仿宋_GB2312" w:cs="仿宋_GB2312"/>
          <w:b w:val="0"/>
          <w:bCs/>
          <w:color w:val="000000"/>
          <w:kern w:val="2"/>
          <w:sz w:val="32"/>
          <w:szCs w:val="32"/>
          <w:lang w:val="en-US" w:eastAsia="zh-CN" w:bidi="ar"/>
        </w:rPr>
        <w:t>精心谋划资金争取。</w:t>
      </w:r>
      <w:r>
        <w:rPr>
          <w:rFonts w:hint="eastAsia" w:ascii="仿宋_GB2312" w:eastAsia="仿宋_GB2312" w:cs="仿宋_GB2312"/>
          <w:b w:val="0"/>
          <w:bCs/>
          <w:color w:val="000000"/>
          <w:kern w:val="2"/>
          <w:sz w:val="32"/>
          <w:szCs w:val="32"/>
          <w:lang w:val="en-US" w:eastAsia="zh-CN" w:bidi="ar"/>
        </w:rPr>
        <w:t>围绕多争取资金为目标，</w:t>
      </w:r>
      <w:r>
        <w:rPr>
          <w:rFonts w:hint="eastAsia" w:ascii="仿宋_GB2312" w:hAnsi="Calibri" w:eastAsia="仿宋_GB2312" w:cs="仿宋_GB2312"/>
          <w:b w:val="0"/>
          <w:bCs/>
          <w:color w:val="000000"/>
          <w:kern w:val="2"/>
          <w:sz w:val="32"/>
          <w:szCs w:val="32"/>
          <w:lang w:val="en-US" w:eastAsia="zh-CN" w:bidi="ar"/>
        </w:rPr>
        <w:t>提前做好项目替代方案，</w:t>
      </w:r>
      <w:r>
        <w:rPr>
          <w:rFonts w:hint="eastAsia" w:ascii="仿宋_GB2312" w:eastAsia="仿宋_GB2312" w:cs="仿宋_GB2312"/>
          <w:b w:val="0"/>
          <w:bCs/>
          <w:color w:val="000000"/>
          <w:kern w:val="2"/>
          <w:sz w:val="32"/>
          <w:szCs w:val="32"/>
          <w:lang w:val="en-US" w:eastAsia="zh-CN" w:bidi="ar"/>
        </w:rPr>
        <w:t>通过</w:t>
      </w:r>
      <w:r>
        <w:rPr>
          <w:rFonts w:hint="eastAsia" w:ascii="仿宋_GB2312" w:hAnsi="Calibri" w:eastAsia="仿宋_GB2312" w:cs="仿宋_GB2312"/>
          <w:b w:val="0"/>
          <w:bCs/>
          <w:color w:val="000000"/>
          <w:kern w:val="2"/>
          <w:sz w:val="32"/>
          <w:szCs w:val="32"/>
          <w:lang w:val="en-US" w:eastAsia="zh-CN" w:bidi="ar"/>
        </w:rPr>
        <w:t>新</w:t>
      </w:r>
      <w:r>
        <w:rPr>
          <w:rFonts w:hint="eastAsia" w:ascii="仿宋_GB2312" w:eastAsia="仿宋_GB2312" w:cs="仿宋_GB2312"/>
          <w:b w:val="0"/>
          <w:bCs/>
          <w:color w:val="000000"/>
          <w:kern w:val="2"/>
          <w:sz w:val="32"/>
          <w:szCs w:val="32"/>
          <w:lang w:val="en-US" w:eastAsia="zh-CN" w:bidi="ar"/>
        </w:rPr>
        <w:t>申报</w:t>
      </w:r>
      <w:r>
        <w:rPr>
          <w:rFonts w:hint="eastAsia" w:ascii="仿宋_GB2312" w:hAnsi="Calibri" w:eastAsia="仿宋_GB2312" w:cs="仿宋_GB2312"/>
          <w:b w:val="0"/>
          <w:bCs/>
          <w:color w:val="000000"/>
          <w:kern w:val="2"/>
          <w:sz w:val="32"/>
          <w:szCs w:val="32"/>
          <w:lang w:val="en-US" w:eastAsia="zh-CN" w:bidi="ar"/>
        </w:rPr>
        <w:t>项目2个，实现</w:t>
      </w:r>
      <w:r>
        <w:rPr>
          <w:rFonts w:hint="eastAsia" w:ascii="仿宋_GB2312" w:eastAsia="仿宋_GB2312" w:cs="仿宋_GB2312"/>
          <w:b w:val="0"/>
          <w:bCs/>
          <w:color w:val="000000"/>
          <w:kern w:val="2"/>
          <w:sz w:val="32"/>
          <w:szCs w:val="32"/>
          <w:lang w:val="en-US" w:eastAsia="zh-CN" w:bidi="ar"/>
        </w:rPr>
        <w:t>通过评审项目总投资</w:t>
      </w:r>
      <w:r>
        <w:rPr>
          <w:rFonts w:hint="eastAsia" w:ascii="仿宋_GB2312" w:hAnsi="Calibri" w:eastAsia="仿宋_GB2312" w:cs="仿宋_GB2312"/>
          <w:b w:val="0"/>
          <w:bCs/>
          <w:color w:val="000000"/>
          <w:kern w:val="2"/>
          <w:sz w:val="32"/>
          <w:szCs w:val="32"/>
          <w:lang w:val="en-US" w:eastAsia="zh-CN" w:bidi="ar"/>
        </w:rPr>
        <w:t>8.968亿元，</w:t>
      </w:r>
      <w:r>
        <w:rPr>
          <w:rFonts w:hint="eastAsia" w:ascii="仿宋_GB2312" w:eastAsia="仿宋_GB2312" w:cs="仿宋_GB2312"/>
          <w:b w:val="0"/>
          <w:bCs/>
          <w:color w:val="000000"/>
          <w:kern w:val="2"/>
          <w:sz w:val="32"/>
          <w:szCs w:val="32"/>
          <w:lang w:val="en-US" w:eastAsia="zh-CN" w:bidi="ar"/>
        </w:rPr>
        <w:t>为我县争取到最大限度项目投资，并得到中物院、省委军融办、中咨公司高度评价。</w:t>
      </w:r>
    </w:p>
    <w:p>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576" w:lineRule="exact"/>
        <w:ind w:left="0" w:right="0" w:firstLine="643" w:firstLineChars="200"/>
        <w:jc w:val="both"/>
        <w:textAlignment w:val="auto"/>
        <w:rPr>
          <w:rFonts w:hint="eastAsia" w:ascii="仿宋_GB2312" w:eastAsia="仿宋_GB2312" w:cs="仿宋_GB2312"/>
          <w:b w:val="0"/>
          <w:bCs w:val="0"/>
          <w:color w:val="000000"/>
          <w:kern w:val="2"/>
          <w:sz w:val="32"/>
          <w:szCs w:val="32"/>
          <w:lang w:val="en-US" w:eastAsia="zh-CN" w:bidi="ar"/>
        </w:rPr>
      </w:pPr>
      <w:r>
        <w:rPr>
          <w:rFonts w:hint="eastAsia" w:ascii="楷体_GB2312" w:hAnsi="仿宋_GB2312" w:eastAsia="楷体_GB2312" w:cs="楷体_GB2312"/>
          <w:b/>
          <w:bCs/>
          <w:color w:val="000000"/>
          <w:kern w:val="2"/>
          <w:sz w:val="32"/>
          <w:szCs w:val="32"/>
          <w:lang w:val="en-US" w:eastAsia="zh-CN" w:bidi="ar"/>
        </w:rPr>
        <w:t>⑵高效率高标准推进工程建设。</w:t>
      </w:r>
      <w:r>
        <w:rPr>
          <w:rFonts w:hint="eastAsia" w:ascii="仿宋_GB2312" w:hAnsi="Calibri" w:eastAsia="仿宋_GB2312" w:cs="仿宋_GB2312"/>
          <w:b w:val="0"/>
          <w:bCs w:val="0"/>
          <w:color w:val="000000"/>
          <w:kern w:val="2"/>
          <w:sz w:val="32"/>
          <w:szCs w:val="32"/>
          <w:lang w:val="en-US" w:eastAsia="zh-CN" w:bidi="ar"/>
        </w:rPr>
        <w:t>今年以来，我办认真履行牵头抓总</w:t>
      </w:r>
      <w:r>
        <w:rPr>
          <w:rFonts w:hint="eastAsia" w:ascii="仿宋_GB2312" w:eastAsia="仿宋_GB2312" w:cs="仿宋_GB2312"/>
          <w:b w:val="0"/>
          <w:bCs w:val="0"/>
          <w:color w:val="000000"/>
          <w:kern w:val="2"/>
          <w:sz w:val="32"/>
          <w:szCs w:val="32"/>
          <w:lang w:val="en-US" w:eastAsia="zh-CN" w:bidi="ar"/>
        </w:rPr>
        <w:t>职能</w:t>
      </w:r>
      <w:r>
        <w:rPr>
          <w:rFonts w:hint="eastAsia" w:ascii="仿宋_GB2312" w:hAnsi="Calibri" w:eastAsia="仿宋_GB2312" w:cs="仿宋_GB2312"/>
          <w:b w:val="0"/>
          <w:bCs w:val="0"/>
          <w:color w:val="000000"/>
          <w:kern w:val="2"/>
          <w:sz w:val="32"/>
          <w:szCs w:val="32"/>
          <w:lang w:val="en-US" w:eastAsia="zh-CN" w:bidi="ar"/>
        </w:rPr>
        <w:t>职责，</w:t>
      </w:r>
      <w:r>
        <w:rPr>
          <w:rFonts w:hint="eastAsia" w:ascii="仿宋_GB2312" w:eastAsia="仿宋_GB2312" w:cs="仿宋_GB2312"/>
          <w:b w:val="0"/>
          <w:bCs w:val="0"/>
          <w:color w:val="000000"/>
          <w:kern w:val="2"/>
          <w:sz w:val="32"/>
          <w:szCs w:val="32"/>
          <w:lang w:val="en-US" w:eastAsia="zh-CN" w:bidi="ar"/>
        </w:rPr>
        <w:t>初步完成项目建设既定目标。</w:t>
      </w:r>
      <w:r>
        <w:rPr>
          <w:rFonts w:hint="eastAsia" w:ascii="仿宋_GB2312" w:hAnsi="Calibri" w:eastAsia="仿宋_GB2312" w:cs="仿宋_GB2312"/>
          <w:b/>
          <w:bCs/>
          <w:color w:val="000000"/>
          <w:kern w:val="2"/>
          <w:sz w:val="32"/>
          <w:szCs w:val="32"/>
          <w:lang w:val="en-US" w:eastAsia="zh-CN" w:bidi="ar"/>
        </w:rPr>
        <w:t>一是</w:t>
      </w:r>
      <w:r>
        <w:rPr>
          <w:rFonts w:hint="eastAsia" w:ascii="仿宋_GB2312" w:eastAsia="仿宋_GB2312" w:cs="仿宋_GB2312"/>
          <w:b w:val="0"/>
          <w:bCs w:val="0"/>
          <w:color w:val="000000"/>
          <w:kern w:val="2"/>
          <w:sz w:val="32"/>
          <w:szCs w:val="32"/>
          <w:lang w:val="en-US" w:eastAsia="zh-CN" w:bidi="ar"/>
        </w:rPr>
        <w:t>建立“县领导+指挥部+专班”制度</w:t>
      </w:r>
      <w:r>
        <w:rPr>
          <w:rFonts w:hint="eastAsia" w:ascii="仿宋_GB2312" w:hAnsi="Calibri" w:eastAsia="仿宋_GB2312" w:cs="仿宋_GB2312"/>
          <w:b w:val="0"/>
          <w:bCs w:val="0"/>
          <w:color w:val="000000"/>
          <w:kern w:val="2"/>
          <w:sz w:val="32"/>
          <w:szCs w:val="32"/>
          <w:lang w:val="en-US" w:eastAsia="zh-CN" w:bidi="ar"/>
        </w:rPr>
        <w:t>。组建</w:t>
      </w:r>
      <w:r>
        <w:rPr>
          <w:rFonts w:hint="eastAsia" w:ascii="仿宋_GB2312" w:hAnsi="Calibri" w:eastAsia="仿宋_GB2312" w:cs="仿宋_GB2312"/>
          <w:b w:val="0"/>
          <w:bCs w:val="0"/>
          <w:color w:val="000000"/>
          <w:kern w:val="2"/>
          <w:sz w:val="32"/>
          <w:szCs w:val="32"/>
          <w:highlight w:val="none"/>
          <w:lang w:val="en-US" w:eastAsia="zh-CN" w:bidi="ar"/>
        </w:rPr>
        <w:t>统筹协调、征地拆迁、安置点、产业园建设、后勤保障、考核督查等六个专班，</w:t>
      </w:r>
      <w:r>
        <w:rPr>
          <w:rFonts w:hint="eastAsia" w:ascii="仿宋_GB2312" w:eastAsia="仿宋_GB2312" w:cs="仿宋_GB2312"/>
          <w:b w:val="0"/>
          <w:bCs w:val="0"/>
          <w:color w:val="000000"/>
          <w:kern w:val="2"/>
          <w:sz w:val="32"/>
          <w:szCs w:val="32"/>
          <w:lang w:val="en-US" w:eastAsia="zh-CN" w:bidi="ar"/>
        </w:rPr>
        <w:t>实行日统计、周调度、月会商工作机制，2022</w:t>
      </w:r>
      <w:r>
        <w:rPr>
          <w:rFonts w:hint="eastAsia" w:ascii="仿宋_GB2312" w:hAnsi="Calibri" w:eastAsia="仿宋_GB2312" w:cs="仿宋_GB2312"/>
          <w:b w:val="0"/>
          <w:bCs w:val="0"/>
          <w:kern w:val="2"/>
          <w:sz w:val="32"/>
          <w:szCs w:val="32"/>
          <w:lang w:val="en-US" w:eastAsia="zh-CN" w:bidi="ar"/>
        </w:rPr>
        <w:t>年共召开</w:t>
      </w:r>
      <w:r>
        <w:rPr>
          <w:rFonts w:hint="eastAsia" w:ascii="仿宋_GB2312" w:eastAsia="仿宋_GB2312" w:cs="仿宋_GB2312"/>
          <w:b w:val="0"/>
          <w:bCs w:val="0"/>
          <w:kern w:val="2"/>
          <w:sz w:val="32"/>
          <w:szCs w:val="32"/>
          <w:lang w:val="en-US" w:eastAsia="zh-CN" w:bidi="ar"/>
        </w:rPr>
        <w:t>调度会</w:t>
      </w:r>
      <w:r>
        <w:rPr>
          <w:rFonts w:hint="eastAsia" w:ascii="仿宋_GB2312" w:hAnsi="Calibri" w:eastAsia="仿宋_GB2312" w:cs="仿宋_GB2312"/>
          <w:b w:val="0"/>
          <w:bCs w:val="0"/>
          <w:kern w:val="2"/>
          <w:sz w:val="32"/>
          <w:szCs w:val="32"/>
          <w:lang w:val="en-US" w:eastAsia="zh-CN" w:bidi="ar"/>
        </w:rPr>
        <w:t>30余次，</w:t>
      </w:r>
      <w:r>
        <w:rPr>
          <w:rFonts w:hint="eastAsia" w:ascii="仿宋_GB2312" w:eastAsia="仿宋_GB2312" w:cs="仿宋_GB2312"/>
          <w:b w:val="0"/>
          <w:bCs w:val="0"/>
          <w:color w:val="000000"/>
          <w:kern w:val="2"/>
          <w:sz w:val="32"/>
          <w:szCs w:val="32"/>
          <w:lang w:val="en-US" w:eastAsia="zh-CN" w:bidi="ar"/>
        </w:rPr>
        <w:t>组织专题推进会议35次。</w:t>
      </w:r>
      <w:r>
        <w:rPr>
          <w:rFonts w:hint="eastAsia" w:ascii="仿宋_GB2312" w:eastAsia="仿宋_GB2312" w:cs="仿宋_GB2312"/>
          <w:b/>
          <w:bCs/>
          <w:color w:val="000000"/>
          <w:kern w:val="2"/>
          <w:sz w:val="32"/>
          <w:szCs w:val="32"/>
          <w:lang w:val="en-US" w:eastAsia="zh-CN" w:bidi="ar"/>
        </w:rPr>
        <w:t>二是</w:t>
      </w:r>
      <w:r>
        <w:rPr>
          <w:rFonts w:hint="eastAsia" w:ascii="仿宋_GB2312" w:hAnsi="Calibri" w:eastAsia="仿宋_GB2312" w:cs="仿宋_GB2312"/>
          <w:b w:val="0"/>
          <w:bCs w:val="0"/>
          <w:color w:val="000000"/>
          <w:kern w:val="2"/>
          <w:sz w:val="32"/>
          <w:szCs w:val="32"/>
          <w:lang w:val="en-US" w:eastAsia="zh-CN" w:bidi="ar"/>
        </w:rPr>
        <w:t>统筹兼顾，各大</w:t>
      </w:r>
      <w:r>
        <w:rPr>
          <w:rFonts w:hint="eastAsia" w:ascii="仿宋_GB2312" w:hAnsi="Calibri" w:eastAsia="仿宋_GB2312" w:cs="仿宋_GB2312"/>
          <w:b w:val="0"/>
          <w:bCs w:val="0"/>
          <w:kern w:val="2"/>
          <w:sz w:val="32"/>
          <w:szCs w:val="32"/>
          <w:lang w:val="en-US" w:eastAsia="zh-CN" w:bidi="ar"/>
        </w:rPr>
        <w:t>板块有序推进。</w:t>
      </w:r>
      <w:r>
        <w:rPr>
          <w:rFonts w:hint="eastAsia" w:ascii="仿宋_GB2312" w:hAnsi="Calibri" w:eastAsia="仿宋_GB2312" w:cs="仿宋_GB2312"/>
          <w:b w:val="0"/>
          <w:bCs w:val="0"/>
          <w:color w:val="000000"/>
          <w:kern w:val="2"/>
          <w:sz w:val="32"/>
          <w:szCs w:val="32"/>
          <w:lang w:val="en-US" w:eastAsia="zh-CN" w:bidi="ar"/>
        </w:rPr>
        <w:t>征地拆迁</w:t>
      </w:r>
      <w:r>
        <w:rPr>
          <w:rFonts w:hint="eastAsia" w:ascii="仿宋_GB2312" w:eastAsia="仿宋_GB2312" w:cs="仿宋_GB2312"/>
          <w:b w:val="0"/>
          <w:bCs w:val="0"/>
          <w:color w:val="000000"/>
          <w:kern w:val="2"/>
          <w:sz w:val="32"/>
          <w:szCs w:val="32"/>
          <w:lang w:val="en-US" w:eastAsia="zh-CN" w:bidi="ar"/>
        </w:rPr>
        <w:t>方面</w:t>
      </w:r>
      <w:r>
        <w:rPr>
          <w:rFonts w:hint="eastAsia" w:ascii="仿宋_GB2312" w:hAnsi="Calibri" w:eastAsia="仿宋_GB2312" w:cs="仿宋_GB2312"/>
          <w:b w:val="0"/>
          <w:bCs w:val="0"/>
          <w:color w:val="000000"/>
          <w:kern w:val="2"/>
          <w:sz w:val="32"/>
          <w:szCs w:val="32"/>
          <w:lang w:val="en-US" w:eastAsia="zh-CN" w:bidi="ar"/>
        </w:rPr>
        <w:t>，已签订拆迁协议41</w:t>
      </w:r>
      <w:r>
        <w:rPr>
          <w:rFonts w:hint="eastAsia" w:ascii="仿宋_GB2312" w:eastAsia="仿宋_GB2312" w:cs="仿宋_GB2312"/>
          <w:b w:val="0"/>
          <w:bCs w:val="0"/>
          <w:color w:val="000000"/>
          <w:kern w:val="2"/>
          <w:sz w:val="32"/>
          <w:szCs w:val="32"/>
          <w:lang w:val="en-US" w:eastAsia="zh-CN" w:bidi="ar"/>
        </w:rPr>
        <w:t>8</w:t>
      </w:r>
      <w:r>
        <w:rPr>
          <w:rFonts w:hint="eastAsia" w:ascii="仿宋_GB2312" w:hAnsi="Calibri" w:eastAsia="仿宋_GB2312" w:cs="仿宋_GB2312"/>
          <w:b w:val="0"/>
          <w:bCs w:val="0"/>
          <w:color w:val="000000"/>
          <w:kern w:val="2"/>
          <w:sz w:val="32"/>
          <w:szCs w:val="32"/>
          <w:lang w:val="en-US" w:eastAsia="zh-CN" w:bidi="ar"/>
        </w:rPr>
        <w:t>户、占总户数9</w:t>
      </w:r>
      <w:r>
        <w:rPr>
          <w:rFonts w:hint="eastAsia" w:ascii="仿宋_GB2312" w:eastAsia="仿宋_GB2312" w:cs="仿宋_GB2312"/>
          <w:b w:val="0"/>
          <w:bCs w:val="0"/>
          <w:color w:val="000000"/>
          <w:kern w:val="2"/>
          <w:sz w:val="32"/>
          <w:szCs w:val="32"/>
          <w:lang w:val="en-US" w:eastAsia="zh-CN" w:bidi="ar"/>
        </w:rPr>
        <w:t>7</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eastAsia="仿宋_GB2312" w:cs="仿宋_GB2312"/>
          <w:b w:val="0"/>
          <w:bCs w:val="0"/>
          <w:color w:val="000000"/>
          <w:kern w:val="2"/>
          <w:sz w:val="32"/>
          <w:szCs w:val="32"/>
          <w:lang w:val="en-US" w:eastAsia="zh-CN" w:bidi="ar"/>
        </w:rPr>
        <w:t>4</w:t>
      </w:r>
      <w:r>
        <w:rPr>
          <w:rFonts w:hint="eastAsia" w:ascii="仿宋_GB2312" w:hAnsi="Calibri" w:eastAsia="仿宋_GB2312" w:cs="仿宋_GB2312"/>
          <w:b w:val="0"/>
          <w:bCs w:val="0"/>
          <w:color w:val="000000"/>
          <w:kern w:val="2"/>
          <w:sz w:val="32"/>
          <w:szCs w:val="32"/>
          <w:lang w:val="en-US" w:eastAsia="zh-CN" w:bidi="ar"/>
        </w:rPr>
        <w:t>%，拆除房屋3</w:t>
      </w:r>
      <w:r>
        <w:rPr>
          <w:rFonts w:hint="eastAsia" w:ascii="仿宋_GB2312" w:eastAsia="仿宋_GB2312" w:cs="仿宋_GB2312"/>
          <w:b w:val="0"/>
          <w:bCs w:val="0"/>
          <w:color w:val="000000"/>
          <w:kern w:val="2"/>
          <w:sz w:val="32"/>
          <w:szCs w:val="32"/>
          <w:lang w:val="en-US" w:eastAsia="zh-CN" w:bidi="ar"/>
        </w:rPr>
        <w:t>72</w:t>
      </w:r>
      <w:r>
        <w:rPr>
          <w:rFonts w:hint="eastAsia" w:ascii="仿宋_GB2312" w:hAnsi="Calibri" w:eastAsia="仿宋_GB2312" w:cs="仿宋_GB2312"/>
          <w:b w:val="0"/>
          <w:bCs w:val="0"/>
          <w:color w:val="000000"/>
          <w:kern w:val="2"/>
          <w:sz w:val="32"/>
          <w:szCs w:val="32"/>
          <w:lang w:val="en-US" w:eastAsia="zh-CN" w:bidi="ar"/>
        </w:rPr>
        <w:t>户、占总户数</w:t>
      </w:r>
      <w:r>
        <w:rPr>
          <w:rFonts w:hint="eastAsia" w:ascii="仿宋_GB2312" w:eastAsia="仿宋_GB2312" w:cs="仿宋_GB2312"/>
          <w:b w:val="0"/>
          <w:bCs w:val="0"/>
          <w:color w:val="000000"/>
          <w:kern w:val="2"/>
          <w:sz w:val="32"/>
          <w:szCs w:val="32"/>
          <w:lang w:val="en-US" w:eastAsia="zh-CN" w:bidi="ar"/>
        </w:rPr>
        <w:t>86.7%；</w:t>
      </w:r>
      <w:r>
        <w:rPr>
          <w:rFonts w:hint="eastAsia" w:ascii="仿宋_GB2312" w:hAnsi="Calibri" w:eastAsia="仿宋_GB2312" w:cs="仿宋_GB2312"/>
          <w:b w:val="0"/>
          <w:bCs w:val="0"/>
          <w:color w:val="000000"/>
          <w:kern w:val="2"/>
          <w:sz w:val="32"/>
          <w:szCs w:val="32"/>
          <w:lang w:val="en-US" w:eastAsia="zh-CN" w:bidi="ar"/>
        </w:rPr>
        <w:t>已完成9-14号</w:t>
      </w:r>
      <w:r>
        <w:rPr>
          <w:rFonts w:hint="eastAsia" w:ascii="仿宋_GB2312" w:eastAsia="仿宋_GB2312" w:cs="仿宋_GB2312"/>
          <w:b w:val="0"/>
          <w:bCs w:val="0"/>
          <w:color w:val="000000"/>
          <w:kern w:val="2"/>
          <w:sz w:val="32"/>
          <w:szCs w:val="32"/>
          <w:lang w:val="en-US" w:eastAsia="zh-CN" w:bidi="ar"/>
        </w:rPr>
        <w:t>全部</w:t>
      </w:r>
      <w:r>
        <w:rPr>
          <w:rFonts w:hint="eastAsia" w:ascii="仿宋_GB2312" w:hAnsi="Calibri" w:eastAsia="仿宋_GB2312" w:cs="仿宋_GB2312"/>
          <w:b w:val="0"/>
          <w:bCs w:val="0"/>
          <w:color w:val="000000"/>
          <w:kern w:val="2"/>
          <w:sz w:val="32"/>
          <w:szCs w:val="32"/>
          <w:lang w:val="en-US" w:eastAsia="zh-CN" w:bidi="ar"/>
        </w:rPr>
        <w:t>地块</w:t>
      </w:r>
      <w:r>
        <w:rPr>
          <w:rFonts w:hint="eastAsia" w:ascii="仿宋_GB2312" w:eastAsia="仿宋_GB2312" w:cs="仿宋_GB2312"/>
          <w:b w:val="0"/>
          <w:bCs w:val="0"/>
          <w:color w:val="000000"/>
          <w:kern w:val="2"/>
          <w:sz w:val="32"/>
          <w:szCs w:val="32"/>
          <w:lang w:val="en-US" w:eastAsia="zh-CN" w:bidi="ar"/>
        </w:rPr>
        <w:t>和</w:t>
      </w:r>
      <w:r>
        <w:rPr>
          <w:rFonts w:hint="eastAsia" w:ascii="仿宋_GB2312" w:hAnsi="Calibri" w:eastAsia="仿宋_GB2312" w:cs="仿宋_GB2312"/>
          <w:b w:val="0"/>
          <w:bCs w:val="0"/>
          <w:color w:val="000000"/>
          <w:kern w:val="2"/>
          <w:sz w:val="32"/>
          <w:szCs w:val="32"/>
          <w:lang w:val="en-US" w:eastAsia="zh-CN" w:bidi="ar"/>
        </w:rPr>
        <w:t>安置点及配套项目</w:t>
      </w:r>
      <w:r>
        <w:rPr>
          <w:rFonts w:hint="eastAsia" w:ascii="仿宋_GB2312" w:eastAsia="仿宋_GB2312" w:cs="仿宋_GB2312"/>
          <w:b w:val="0"/>
          <w:bCs w:val="0"/>
          <w:color w:val="000000"/>
          <w:kern w:val="2"/>
          <w:sz w:val="32"/>
          <w:szCs w:val="32"/>
          <w:lang w:val="en-US" w:eastAsia="zh-CN" w:bidi="ar"/>
        </w:rPr>
        <w:t>的</w:t>
      </w:r>
      <w:r>
        <w:rPr>
          <w:rFonts w:hint="eastAsia" w:ascii="仿宋_GB2312" w:hAnsi="Calibri" w:eastAsia="仿宋_GB2312" w:cs="仿宋_GB2312"/>
          <w:b w:val="0"/>
          <w:bCs w:val="0"/>
          <w:color w:val="000000"/>
          <w:kern w:val="2"/>
          <w:sz w:val="32"/>
          <w:szCs w:val="32"/>
          <w:lang w:val="en-US" w:eastAsia="zh-CN" w:bidi="ar"/>
        </w:rPr>
        <w:t>土地征收方案公示、审批</w:t>
      </w:r>
      <w:r>
        <w:rPr>
          <w:rFonts w:hint="eastAsia" w:ascii="仿宋_GB2312" w:eastAsia="仿宋_GB2312" w:cs="仿宋_GB2312"/>
          <w:b w:val="0"/>
          <w:bCs w:val="0"/>
          <w:color w:val="000000"/>
          <w:kern w:val="2"/>
          <w:sz w:val="32"/>
          <w:szCs w:val="32"/>
          <w:lang w:val="en-US" w:eastAsia="zh-CN" w:bidi="ar"/>
        </w:rPr>
        <w:t>及</w:t>
      </w:r>
      <w:r>
        <w:rPr>
          <w:rFonts w:hint="eastAsia" w:ascii="仿宋_GB2312" w:hAnsi="Calibri" w:eastAsia="仿宋_GB2312" w:cs="仿宋_GB2312"/>
          <w:b w:val="0"/>
          <w:bCs w:val="0"/>
          <w:color w:val="000000"/>
          <w:kern w:val="2"/>
          <w:sz w:val="32"/>
          <w:szCs w:val="32"/>
          <w:lang w:val="en-US" w:eastAsia="zh-CN" w:bidi="ar"/>
        </w:rPr>
        <w:t>征地安置补偿协议</w:t>
      </w:r>
      <w:r>
        <w:rPr>
          <w:rFonts w:hint="eastAsia" w:ascii="仿宋_GB2312" w:eastAsia="仿宋_GB2312" w:cs="仿宋_GB2312"/>
          <w:b w:val="0"/>
          <w:bCs w:val="0"/>
          <w:color w:val="000000"/>
          <w:kern w:val="2"/>
          <w:sz w:val="32"/>
          <w:szCs w:val="32"/>
          <w:lang w:val="en-US" w:eastAsia="zh-CN" w:bidi="ar"/>
        </w:rPr>
        <w:t>签订等工作</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eastAsia="仿宋_GB2312" w:cs="仿宋_GB2312"/>
          <w:b w:val="0"/>
          <w:bCs w:val="0"/>
          <w:color w:val="000000"/>
          <w:kern w:val="2"/>
          <w:sz w:val="32"/>
          <w:szCs w:val="32"/>
          <w:lang w:val="en-US" w:eastAsia="zh-CN" w:bidi="ar"/>
        </w:rPr>
        <w:t>安置点及配套设施建设方面，已完成</w:t>
      </w:r>
      <w:r>
        <w:rPr>
          <w:rFonts w:hint="eastAsia" w:ascii="仿宋_GB2312" w:hAnsi="Calibri" w:eastAsia="仿宋_GB2312" w:cs="仿宋_GB2312"/>
          <w:b w:val="0"/>
          <w:bCs w:val="0"/>
          <w:color w:val="000000"/>
          <w:kern w:val="2"/>
          <w:sz w:val="32"/>
          <w:szCs w:val="32"/>
          <w:lang w:val="en-US" w:eastAsia="zh-CN" w:bidi="ar"/>
        </w:rPr>
        <w:t>安置点</w:t>
      </w:r>
      <w:r>
        <w:rPr>
          <w:rFonts w:hint="eastAsia" w:ascii="仿宋_GB2312" w:eastAsia="仿宋_GB2312" w:cs="仿宋_GB2312"/>
          <w:b w:val="0"/>
          <w:bCs w:val="0"/>
          <w:color w:val="000000"/>
          <w:kern w:val="2"/>
          <w:sz w:val="32"/>
          <w:szCs w:val="32"/>
          <w:lang w:val="en-US" w:eastAsia="zh-CN" w:bidi="ar"/>
        </w:rPr>
        <w:t>小区</w:t>
      </w:r>
      <w:r>
        <w:rPr>
          <w:rFonts w:hint="eastAsia" w:ascii="仿宋_GB2312" w:hAnsi="Calibri" w:eastAsia="仿宋_GB2312" w:cs="仿宋_GB2312"/>
          <w:b w:val="0"/>
          <w:bCs w:val="0"/>
          <w:color w:val="000000"/>
          <w:kern w:val="2"/>
          <w:sz w:val="32"/>
          <w:szCs w:val="32"/>
          <w:lang w:val="en-US" w:eastAsia="zh-CN" w:bidi="ar"/>
        </w:rPr>
        <w:t>1至</w:t>
      </w:r>
      <w:r>
        <w:rPr>
          <w:rFonts w:hint="eastAsia" w:ascii="仿宋_GB2312" w:eastAsia="仿宋_GB2312" w:cs="仿宋_GB2312"/>
          <w:b w:val="0"/>
          <w:bCs w:val="0"/>
          <w:color w:val="000000"/>
          <w:kern w:val="2"/>
          <w:sz w:val="32"/>
          <w:szCs w:val="32"/>
          <w:lang w:val="en-US" w:eastAsia="zh-CN" w:bidi="ar"/>
        </w:rPr>
        <w:t>6</w:t>
      </w:r>
      <w:r>
        <w:rPr>
          <w:rFonts w:hint="eastAsia" w:ascii="仿宋_GB2312" w:hAnsi="Calibri" w:eastAsia="仿宋_GB2312" w:cs="仿宋_GB2312"/>
          <w:b w:val="0"/>
          <w:bCs w:val="0"/>
          <w:color w:val="000000"/>
          <w:kern w:val="2"/>
          <w:sz w:val="32"/>
          <w:szCs w:val="32"/>
          <w:lang w:val="en-US" w:eastAsia="zh-CN" w:bidi="ar"/>
        </w:rPr>
        <w:t>号楼</w:t>
      </w:r>
      <w:r>
        <w:rPr>
          <w:rFonts w:hint="eastAsia" w:ascii="仿宋_GB2312" w:eastAsia="仿宋_GB2312" w:cs="仿宋_GB2312"/>
          <w:b w:val="0"/>
          <w:bCs w:val="0"/>
          <w:color w:val="000000"/>
          <w:kern w:val="2"/>
          <w:sz w:val="32"/>
          <w:szCs w:val="32"/>
          <w:lang w:val="en-US" w:eastAsia="zh-CN" w:bidi="ar"/>
        </w:rPr>
        <w:t>主体建设，</w:t>
      </w:r>
      <w:r>
        <w:rPr>
          <w:rFonts w:hint="eastAsia" w:ascii="仿宋_GB2312" w:hAnsi="Calibri" w:eastAsia="仿宋_GB2312" w:cs="仿宋_GB2312"/>
          <w:b w:val="0"/>
          <w:bCs w:val="0"/>
          <w:color w:val="000000"/>
          <w:kern w:val="2"/>
          <w:sz w:val="32"/>
          <w:szCs w:val="32"/>
          <w:lang w:val="en-US" w:eastAsia="zh-CN" w:bidi="ar"/>
        </w:rPr>
        <w:t>社会服务中心</w:t>
      </w:r>
      <w:r>
        <w:rPr>
          <w:rFonts w:hint="eastAsia" w:ascii="仿宋_GB2312" w:eastAsia="仿宋_GB2312" w:cs="仿宋_GB2312"/>
          <w:b w:val="0"/>
          <w:bCs w:val="0"/>
          <w:color w:val="000000"/>
          <w:kern w:val="2"/>
          <w:sz w:val="32"/>
          <w:szCs w:val="32"/>
          <w:lang w:val="en-US" w:eastAsia="zh-CN" w:bidi="ar"/>
        </w:rPr>
        <w:t>与幼儿园已完成基础，正在进行二楼建设；配套河堤、道路、桥梁等前期工作基本完成，预计2月开工；配套污水处理厂项目正在加快办理前期手续</w:t>
      </w:r>
      <w:r>
        <w:rPr>
          <w:rFonts w:hint="eastAsia" w:ascii="仿宋_GB2312" w:hAnsi="Calibri" w:eastAsia="仿宋_GB2312" w:cs="仿宋_GB2312"/>
          <w:b w:val="0"/>
          <w:bCs w:val="0"/>
          <w:color w:val="000000"/>
          <w:kern w:val="2"/>
          <w:sz w:val="32"/>
          <w:szCs w:val="32"/>
          <w:lang w:val="en-US" w:eastAsia="zh-CN" w:bidi="ar"/>
        </w:rPr>
        <w:t>。乡村振兴特色产业园项目</w:t>
      </w:r>
      <w:r>
        <w:rPr>
          <w:rFonts w:hint="eastAsia" w:ascii="仿宋_GB2312" w:eastAsia="仿宋_GB2312" w:cs="仿宋_GB2312"/>
          <w:b w:val="0"/>
          <w:bCs w:val="0"/>
          <w:color w:val="000000"/>
          <w:kern w:val="2"/>
          <w:sz w:val="32"/>
          <w:szCs w:val="32"/>
          <w:lang w:val="en-US" w:eastAsia="zh-CN" w:bidi="ar"/>
        </w:rPr>
        <w:t>建设正在有序推进</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hAnsi="Calibri" w:eastAsia="仿宋_GB2312" w:cs="仿宋_GB2312"/>
          <w:b/>
          <w:bCs/>
          <w:color w:val="000000"/>
          <w:kern w:val="2"/>
          <w:sz w:val="32"/>
          <w:szCs w:val="32"/>
          <w:lang w:val="en-US" w:eastAsia="zh-CN" w:bidi="ar"/>
        </w:rPr>
        <w:t>三是</w:t>
      </w:r>
      <w:r>
        <w:rPr>
          <w:rFonts w:hint="eastAsia" w:ascii="仿宋_GB2312" w:eastAsia="仿宋_GB2312" w:cs="仿宋_GB2312"/>
          <w:b w:val="0"/>
          <w:bCs w:val="0"/>
          <w:color w:val="000000"/>
          <w:kern w:val="2"/>
          <w:sz w:val="32"/>
          <w:szCs w:val="32"/>
          <w:lang w:val="en-US" w:eastAsia="zh-CN" w:bidi="ar"/>
        </w:rPr>
        <w:t>精心谋划，向上争取资金</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eastAsia="仿宋_GB2312" w:cs="仿宋_GB2312"/>
          <w:b w:val="0"/>
          <w:bCs w:val="0"/>
          <w:color w:val="000000"/>
          <w:kern w:val="2"/>
          <w:sz w:val="32"/>
          <w:szCs w:val="32"/>
          <w:lang w:val="en-US" w:eastAsia="zh-CN" w:bidi="ar"/>
        </w:rPr>
        <w:t>积极对接省市委军融办、发改委、财政厅、中物院等部门，成功争取中央预算内投资4亿元，为工程顺利推进提供有力保障。</w:t>
      </w:r>
    </w:p>
    <w:p>
      <w:pPr>
        <w:pStyle w:val="9"/>
        <w:keepNext w:val="0"/>
        <w:keepLines w:val="0"/>
        <w:pageBreakBefore w:val="0"/>
        <w:kinsoku/>
        <w:wordWrap/>
        <w:overflowPunct/>
        <w:topLinePunct w:val="0"/>
        <w:autoSpaceDN/>
        <w:bidi w:val="0"/>
        <w:snapToGrid/>
        <w:spacing w:line="576" w:lineRule="exact"/>
        <w:ind w:firstLine="643" w:firstLineChars="200"/>
        <w:textAlignment w:val="auto"/>
        <w:rPr>
          <w:rFonts w:hint="default" w:ascii="仿宋_GB2312" w:hAnsi="仿宋_GB2312" w:eastAsia="仿宋_GB2312" w:cs="仿宋_GB2312"/>
          <w:b w:val="0"/>
          <w:bCs w:val="0"/>
          <w:lang w:val="en-US" w:eastAsia="zh-CN"/>
        </w:rPr>
      </w:pPr>
      <w:r>
        <w:rPr>
          <w:rFonts w:hint="eastAsia" w:ascii="楷体" w:hAnsi="楷体" w:eastAsia="楷体" w:cs="楷体"/>
          <w:b/>
          <w:bCs/>
          <w:color w:val="000000"/>
          <w:kern w:val="2"/>
          <w:sz w:val="32"/>
          <w:szCs w:val="32"/>
          <w:lang w:val="en-US" w:eastAsia="zh-CN" w:bidi="ar"/>
        </w:rPr>
        <w:t>⑶高要求抓实全过程监管。</w:t>
      </w:r>
      <w:r>
        <w:rPr>
          <w:rFonts w:hint="eastAsia" w:ascii="仿宋_GB2312" w:hAnsi="仿宋_GB2312" w:eastAsia="仿宋_GB2312" w:cs="仿宋_GB2312"/>
          <w:b w:val="0"/>
          <w:bCs w:val="0"/>
          <w:color w:val="000000"/>
          <w:kern w:val="2"/>
          <w:sz w:val="32"/>
          <w:szCs w:val="32"/>
          <w:lang w:val="en-US" w:eastAsia="zh-CN" w:bidi="ar"/>
        </w:rPr>
        <w:t>我办时刻把该项目特殊性放在首位，在工程质量、资金监管、保密安全、社会效应方面下功夫。</w:t>
      </w:r>
      <w:r>
        <w:rPr>
          <w:rFonts w:hint="eastAsia" w:ascii="楷体" w:hAnsi="楷体" w:eastAsia="楷体" w:cs="楷体"/>
          <w:b/>
          <w:bCs/>
          <w:color w:val="000000"/>
          <w:kern w:val="2"/>
          <w:sz w:val="32"/>
          <w:szCs w:val="32"/>
          <w:lang w:val="en-US" w:eastAsia="zh-CN" w:bidi="ar"/>
        </w:rPr>
        <w:t>一</w:t>
      </w:r>
      <w:r>
        <w:rPr>
          <w:rFonts w:hint="eastAsia" w:ascii="仿宋_GB2312" w:hAnsi="仿宋_GB2312" w:eastAsia="仿宋_GB2312" w:cs="仿宋_GB2312"/>
          <w:b/>
          <w:bCs/>
          <w:color w:val="000000"/>
          <w:kern w:val="2"/>
          <w:sz w:val="32"/>
          <w:szCs w:val="32"/>
          <w:lang w:val="en-US" w:eastAsia="zh-CN" w:bidi="ar"/>
        </w:rPr>
        <w:t>是</w:t>
      </w:r>
      <w:r>
        <w:rPr>
          <w:rFonts w:hint="eastAsia" w:ascii="仿宋_GB2312" w:hAnsi="仿宋_GB2312" w:eastAsia="仿宋_GB2312" w:cs="仿宋_GB2312"/>
          <w:b w:val="0"/>
          <w:bCs w:val="0"/>
          <w:color w:val="000000"/>
          <w:kern w:val="2"/>
          <w:sz w:val="32"/>
          <w:szCs w:val="32"/>
          <w:lang w:val="en-US" w:eastAsia="zh-CN" w:bidi="ar"/>
        </w:rPr>
        <w:t>由单位主要负责人带队长期在驻扎项目指挥部一线，组织现场办公会30余次，及时协调解决问题，为项目有序推进保驾护航。</w:t>
      </w:r>
      <w:r>
        <w:rPr>
          <w:rFonts w:hint="eastAsia" w:ascii="仿宋_GB2312" w:hAnsi="仿宋_GB2312" w:eastAsia="仿宋_GB2312" w:cs="仿宋_GB2312"/>
          <w:b/>
          <w:bCs/>
          <w:color w:val="000000"/>
          <w:kern w:val="2"/>
          <w:sz w:val="32"/>
          <w:szCs w:val="32"/>
          <w:lang w:val="en-US" w:eastAsia="zh-CN" w:bidi="ar"/>
        </w:rPr>
        <w:t>二是</w:t>
      </w:r>
      <w:r>
        <w:rPr>
          <w:rFonts w:hint="eastAsia" w:ascii="仿宋_GB2312" w:hAnsi="仿宋_GB2312" w:eastAsia="仿宋_GB2312" w:cs="仿宋_GB2312"/>
          <w:b w:val="0"/>
          <w:bCs w:val="0"/>
          <w:color w:val="000000"/>
          <w:kern w:val="2"/>
          <w:sz w:val="32"/>
          <w:szCs w:val="32"/>
          <w:lang w:val="en-US" w:eastAsia="zh-CN" w:bidi="ar"/>
        </w:rPr>
        <w:t>严格执行保密要求，通过保密培训、签订保密协议、会议管控等方式，实现保密措施全覆盖，消除泄密隐患。</w:t>
      </w:r>
      <w:r>
        <w:rPr>
          <w:rFonts w:hint="eastAsia" w:ascii="仿宋_GB2312" w:hAnsi="仿宋_GB2312" w:eastAsia="仿宋_GB2312" w:cs="仿宋_GB2312"/>
          <w:b/>
          <w:bCs/>
          <w:color w:val="000000"/>
          <w:kern w:val="2"/>
          <w:sz w:val="32"/>
          <w:szCs w:val="32"/>
          <w:lang w:val="en-US" w:eastAsia="zh-CN" w:bidi="ar"/>
        </w:rPr>
        <w:t>三是</w:t>
      </w:r>
      <w:r>
        <w:rPr>
          <w:rFonts w:hint="eastAsia" w:ascii="仿宋_GB2312" w:hAnsi="仿宋_GB2312" w:eastAsia="仿宋_GB2312" w:cs="仿宋_GB2312"/>
          <w:b w:val="0"/>
          <w:bCs w:val="0"/>
          <w:color w:val="000000"/>
          <w:kern w:val="2"/>
          <w:sz w:val="32"/>
          <w:szCs w:val="32"/>
          <w:lang w:val="en-US" w:eastAsia="zh-CN" w:bidi="ar"/>
        </w:rPr>
        <w:t>严格进行项目跟踪审计，每周汇总问题清单，一对一制定整改措施，对未完成整改的部门严肃通报，及时纠正项目实施过程中存在的违规问题。</w:t>
      </w:r>
      <w:r>
        <w:rPr>
          <w:rFonts w:hint="eastAsia" w:ascii="仿宋_GB2312" w:hAnsi="仿宋_GB2312" w:eastAsia="仿宋_GB2312" w:cs="仿宋_GB2312"/>
          <w:b/>
          <w:bCs/>
          <w:color w:val="000000"/>
          <w:kern w:val="2"/>
          <w:sz w:val="32"/>
          <w:szCs w:val="32"/>
          <w:lang w:val="en-US" w:eastAsia="zh-CN" w:bidi="ar"/>
        </w:rPr>
        <w:t>四是</w:t>
      </w:r>
      <w:r>
        <w:rPr>
          <w:rFonts w:hint="eastAsia" w:ascii="仿宋_GB2312" w:hAnsi="仿宋_GB2312" w:eastAsia="仿宋_GB2312" w:cs="仿宋_GB2312"/>
          <w:b w:val="0"/>
          <w:bCs w:val="0"/>
          <w:color w:val="000000"/>
          <w:kern w:val="2"/>
          <w:sz w:val="32"/>
          <w:szCs w:val="32"/>
          <w:lang w:val="en-US" w:eastAsia="zh-CN" w:bidi="ar"/>
        </w:rPr>
        <w:t>建立常态化群众参与机制，推选群众代表、党员干部20余人组建村民监督小组，组织参与现场监督9次，确保项目质量让群众放心。</w:t>
      </w:r>
    </w:p>
    <w:p>
      <w:pPr>
        <w:pStyle w:val="9"/>
        <w:keepNext w:val="0"/>
        <w:keepLines w:val="0"/>
        <w:pageBreakBefore w:val="0"/>
        <w:kinsoku/>
        <w:wordWrap/>
        <w:overflowPunct/>
        <w:topLinePunct w:val="0"/>
        <w:autoSpaceDN/>
        <w:bidi w:val="0"/>
        <w:snapToGrid/>
        <w:spacing w:line="576" w:lineRule="exact"/>
        <w:ind w:firstLine="640" w:firstLineChars="200"/>
        <w:textAlignment w:val="auto"/>
        <w:rPr>
          <w:rFonts w:hint="default" w:ascii="黑体" w:hAnsi="黑体" w:eastAsia="黑体" w:cs="黑体"/>
          <w:b w:val="0"/>
          <w:bCs w:val="0"/>
          <w:color w:val="000000"/>
          <w:kern w:val="2"/>
          <w:sz w:val="32"/>
          <w:szCs w:val="32"/>
          <w:lang w:val="en-US" w:eastAsia="zh-CN" w:bidi="ar"/>
        </w:rPr>
      </w:pPr>
      <w:r>
        <w:rPr>
          <w:rFonts w:hint="eastAsia" w:ascii="黑体" w:hAnsi="黑体" w:eastAsia="黑体" w:cs="黑体"/>
          <w:b w:val="0"/>
          <w:bCs w:val="0"/>
          <w:color w:val="000000"/>
          <w:kern w:val="2"/>
          <w:sz w:val="32"/>
          <w:szCs w:val="32"/>
          <w:lang w:val="en-US" w:eastAsia="zh-CN" w:bidi="ar"/>
        </w:rPr>
        <w:t>3.深化院（所）的交流，大力推进多渠道合作</w:t>
      </w:r>
    </w:p>
    <w:p>
      <w:pPr>
        <w:pStyle w:val="9"/>
        <w:keepNext w:val="0"/>
        <w:keepLines w:val="0"/>
        <w:pageBreakBefore w:val="0"/>
        <w:kinsoku/>
        <w:wordWrap/>
        <w:overflowPunct/>
        <w:topLinePunct w:val="0"/>
        <w:autoSpaceDN/>
        <w:bidi w:val="0"/>
        <w:snapToGrid/>
        <w:spacing w:line="576" w:lineRule="exact"/>
        <w:ind w:firstLine="643" w:firstLineChars="200"/>
        <w:textAlignment w:val="auto"/>
        <w:rPr>
          <w:rFonts w:hint="eastAsia" w:ascii="仿宋_GB2312" w:hAnsi="Calibri" w:eastAsia="仿宋_GB2312" w:cs="仿宋_GB2312"/>
          <w:kern w:val="2"/>
          <w:sz w:val="32"/>
          <w:szCs w:val="32"/>
          <w:lang w:val="en-US" w:eastAsia="zh-CN" w:bidi="ar"/>
        </w:rPr>
      </w:pPr>
      <w:r>
        <w:rPr>
          <w:rFonts w:hint="eastAsia" w:ascii="楷体" w:hAnsi="楷体" w:eastAsia="楷体" w:cs="楷体"/>
          <w:b/>
          <w:bCs/>
          <w:sz w:val="32"/>
          <w:szCs w:val="32"/>
          <w:lang w:val="en-US" w:eastAsia="zh-CN"/>
        </w:rPr>
        <w:t>⑴完善</w:t>
      </w:r>
      <w:r>
        <w:rPr>
          <w:rFonts w:hint="eastAsia" w:ascii="楷体_GB2312" w:hAnsi="仿宋_GB2312" w:eastAsia="楷体_GB2312" w:cs="楷体_GB2312"/>
          <w:b/>
          <w:bCs/>
          <w:color w:val="000000"/>
          <w:kern w:val="2"/>
          <w:sz w:val="32"/>
          <w:szCs w:val="32"/>
          <w:lang w:val="en-US" w:eastAsia="zh-CN" w:bidi="ar"/>
        </w:rPr>
        <w:t>院地交流协作工作机制。</w:t>
      </w:r>
      <w:r>
        <w:rPr>
          <w:rFonts w:hint="eastAsia" w:ascii="仿宋_GB2312" w:hAnsi="仿宋_GB2312" w:eastAsia="仿宋_GB2312" w:cs="仿宋_GB2312"/>
          <w:b/>
          <w:bCs/>
          <w:color w:val="000000"/>
          <w:kern w:val="2"/>
          <w:sz w:val="32"/>
          <w:szCs w:val="32"/>
          <w:lang w:val="en-US" w:eastAsia="zh-CN" w:bidi="ar"/>
        </w:rPr>
        <w:t>一是</w:t>
      </w:r>
      <w:r>
        <w:rPr>
          <w:rFonts w:hint="eastAsia" w:ascii="仿宋_GB2312" w:hAnsi="Calibri" w:eastAsia="仿宋_GB2312" w:cs="仿宋_GB2312"/>
          <w:b w:val="0"/>
          <w:bCs w:val="0"/>
          <w:color w:val="000000"/>
          <w:kern w:val="2"/>
          <w:sz w:val="32"/>
          <w:szCs w:val="32"/>
          <w:lang w:val="en-US" w:eastAsia="zh-CN" w:bidi="ar"/>
        </w:rPr>
        <w:t>构建“4+1”</w:t>
      </w:r>
      <w:r>
        <w:rPr>
          <w:rFonts w:hint="eastAsia" w:ascii="仿宋_GB2312" w:eastAsia="仿宋_GB2312" w:cs="仿宋_GB2312"/>
          <w:b w:val="0"/>
          <w:bCs w:val="0"/>
          <w:color w:val="000000"/>
          <w:kern w:val="2"/>
          <w:sz w:val="32"/>
          <w:szCs w:val="32"/>
          <w:lang w:val="en-US" w:eastAsia="zh-CN" w:bidi="ar"/>
        </w:rPr>
        <w:t>院地</w:t>
      </w:r>
      <w:r>
        <w:rPr>
          <w:rFonts w:hint="eastAsia" w:ascii="仿宋_GB2312" w:hAnsi="Calibri" w:eastAsia="仿宋_GB2312" w:cs="仿宋_GB2312"/>
          <w:b w:val="0"/>
          <w:bCs w:val="0"/>
          <w:color w:val="000000"/>
          <w:kern w:val="2"/>
          <w:sz w:val="32"/>
          <w:szCs w:val="32"/>
          <w:lang w:val="en-US" w:eastAsia="zh-CN" w:bidi="ar"/>
        </w:rPr>
        <w:t>交流工作机制，组织召开</w:t>
      </w:r>
      <w:r>
        <w:rPr>
          <w:rFonts w:hint="eastAsia" w:ascii="仿宋_GB2312" w:hAnsi="Calibri" w:eastAsia="仿宋_GB2312" w:cs="仿宋_GB2312"/>
          <w:b w:val="0"/>
          <w:bCs w:val="0"/>
          <w:kern w:val="2"/>
          <w:sz w:val="32"/>
          <w:szCs w:val="32"/>
          <w:lang w:val="en-US" w:eastAsia="zh-CN" w:bidi="ar"/>
        </w:rPr>
        <w:t>院（所）</w:t>
      </w:r>
      <w:r>
        <w:rPr>
          <w:rFonts w:hint="eastAsia" w:ascii="仿宋_GB2312" w:hAnsi="Calibri" w:cs="仿宋_GB2312"/>
          <w:b w:val="0"/>
          <w:bCs w:val="0"/>
          <w:kern w:val="2"/>
          <w:sz w:val="32"/>
          <w:szCs w:val="32"/>
          <w:lang w:val="en-US" w:eastAsia="zh-CN" w:bidi="ar"/>
        </w:rPr>
        <w:t>的联席会议</w:t>
      </w:r>
      <w:r>
        <w:rPr>
          <w:rFonts w:hint="eastAsia" w:ascii="仿宋_GB2312" w:hAnsi="Calibri" w:eastAsia="仿宋_GB2312" w:cs="仿宋_GB2312"/>
          <w:b w:val="0"/>
          <w:bCs w:val="0"/>
          <w:kern w:val="2"/>
          <w:sz w:val="32"/>
          <w:szCs w:val="32"/>
          <w:lang w:val="en-US" w:eastAsia="zh-CN" w:bidi="ar"/>
        </w:rPr>
        <w:t>8次，解决项目建设、遗留问题、信访维稳等事项等30余件，</w:t>
      </w:r>
      <w:r>
        <w:rPr>
          <w:rFonts w:hint="eastAsia" w:ascii="仿宋_GB2312" w:hAnsi="Calibri" w:eastAsia="仿宋_GB2312" w:cs="仿宋_GB2312"/>
          <w:color w:val="000000"/>
          <w:kern w:val="2"/>
          <w:sz w:val="32"/>
          <w:szCs w:val="32"/>
          <w:lang w:val="en-US" w:eastAsia="zh-CN" w:bidi="ar"/>
        </w:rPr>
        <w:t>联合化解国家信访17起，诉讼2起，其余各类问题50余个，促成群众拆迁31户</w:t>
      </w:r>
      <w:r>
        <w:rPr>
          <w:rFonts w:hint="eastAsia" w:ascii="仿宋_GB2312" w:hAnsi="Calibri" w:eastAsia="仿宋_GB2312" w:cs="仿宋_GB2312"/>
          <w:b w:val="0"/>
          <w:bCs w:val="0"/>
          <w:kern w:val="2"/>
          <w:sz w:val="32"/>
          <w:szCs w:val="32"/>
          <w:lang w:val="en-US" w:eastAsia="zh-CN" w:bidi="ar"/>
        </w:rPr>
        <w:t>。</w:t>
      </w:r>
      <w:r>
        <w:rPr>
          <w:rFonts w:hint="eastAsia" w:ascii="仿宋_GB2312" w:hAnsi="Calibri" w:eastAsia="仿宋_GB2312" w:cs="仿宋_GB2312"/>
          <w:b/>
          <w:bCs/>
          <w:color w:val="000000"/>
          <w:kern w:val="2"/>
          <w:sz w:val="32"/>
          <w:szCs w:val="32"/>
          <w:lang w:val="en-US" w:eastAsia="zh-CN" w:bidi="ar"/>
        </w:rPr>
        <w:t>二是</w:t>
      </w:r>
      <w:r>
        <w:rPr>
          <w:rFonts w:hint="eastAsia" w:ascii="仿宋_GB2312" w:hAnsi="Calibri" w:eastAsia="仿宋_GB2312" w:cs="仿宋_GB2312"/>
          <w:b w:val="0"/>
          <w:bCs w:val="0"/>
          <w:color w:val="000000"/>
          <w:kern w:val="2"/>
          <w:sz w:val="32"/>
          <w:szCs w:val="32"/>
          <w:lang w:val="en-US" w:eastAsia="zh-CN" w:bidi="ar"/>
        </w:rPr>
        <w:t>建立院地现场联合办公机制。</w:t>
      </w:r>
      <w:r>
        <w:rPr>
          <w:rFonts w:hint="eastAsia" w:ascii="仿宋_GB2312" w:hAnsi="Calibri" w:eastAsia="仿宋_GB2312" w:cs="仿宋_GB2312"/>
          <w:b w:val="0"/>
          <w:bCs w:val="0"/>
          <w:kern w:val="2"/>
          <w:sz w:val="32"/>
          <w:szCs w:val="32"/>
          <w:lang w:val="en-US" w:eastAsia="zh-CN" w:bidi="ar"/>
        </w:rPr>
        <w:t>由我办、中物院一、三所抽调专人联合办公，充分发挥中物院优势，加强与省级部门沟通，在重要项目手续办理、资金争取等方面发挥重要作用</w:t>
      </w:r>
      <w:r>
        <w:rPr>
          <w:rFonts w:hint="eastAsia" w:ascii="仿宋_GB2312" w:hAnsi="Calibri" w:eastAsia="仿宋_GB2312" w:cs="仿宋_GB2312"/>
          <w:color w:val="000000"/>
          <w:kern w:val="2"/>
          <w:sz w:val="32"/>
          <w:szCs w:val="32"/>
          <w:lang w:val="en-US" w:eastAsia="zh-CN" w:bidi="ar"/>
        </w:rPr>
        <w:t>，特别在所涉项目保护区准入许可办理、向上争取资金等工作上成效很好</w:t>
      </w:r>
      <w:r>
        <w:rPr>
          <w:rFonts w:hint="eastAsia" w:ascii="仿宋_GB2312" w:hAnsi="Calibri" w:eastAsia="仿宋_GB2312" w:cs="仿宋_GB2312"/>
          <w:b w:val="0"/>
          <w:bCs w:val="0"/>
          <w:kern w:val="2"/>
          <w:sz w:val="32"/>
          <w:szCs w:val="32"/>
          <w:lang w:val="en-US" w:eastAsia="zh-CN" w:bidi="ar"/>
        </w:rPr>
        <w:t>。</w:t>
      </w:r>
    </w:p>
    <w:p>
      <w:pPr>
        <w:pStyle w:val="9"/>
        <w:keepNext w:val="0"/>
        <w:keepLines w:val="0"/>
        <w:pageBreakBefore w:val="0"/>
        <w:kinsoku/>
        <w:wordWrap/>
        <w:overflowPunct/>
        <w:topLinePunct w:val="0"/>
        <w:autoSpaceDN/>
        <w:bidi w:val="0"/>
        <w:snapToGrid/>
        <w:spacing w:line="576" w:lineRule="exact"/>
        <w:ind w:firstLine="643"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楷体" w:hAnsi="楷体" w:eastAsia="楷体" w:cs="楷体"/>
          <w:b/>
          <w:bCs/>
          <w:kern w:val="2"/>
          <w:sz w:val="32"/>
          <w:szCs w:val="32"/>
          <w:lang w:val="en-US" w:eastAsia="zh-CN" w:bidi="ar"/>
        </w:rPr>
        <w:t>⑵建立院所服务事项办理机制。</w:t>
      </w:r>
      <w:r>
        <w:rPr>
          <w:rFonts w:hint="eastAsia" w:ascii="仿宋_GB2312" w:hAnsi="仿宋_GB2312" w:eastAsia="仿宋_GB2312" w:cs="仿宋_GB2312"/>
          <w:b w:val="0"/>
          <w:bCs w:val="0"/>
          <w:kern w:val="2"/>
          <w:sz w:val="32"/>
          <w:szCs w:val="32"/>
          <w:lang w:val="en-US" w:eastAsia="zh-CN" w:bidi="ar"/>
        </w:rPr>
        <w:t>建立院所服务“三张清单”，采取院所提需求、专班专人协调落实的方式，为中物院在剑发展纾困解忧。</w:t>
      </w:r>
      <w:r>
        <w:rPr>
          <w:rFonts w:hint="eastAsia" w:ascii="仿宋_GB2312" w:hAnsi="仿宋_GB2312" w:eastAsia="仿宋_GB2312" w:cs="仿宋_GB2312"/>
          <w:b/>
          <w:bCs/>
          <w:kern w:val="2"/>
          <w:sz w:val="32"/>
          <w:szCs w:val="32"/>
          <w:lang w:val="en-US" w:eastAsia="zh-CN" w:bidi="ar"/>
        </w:rPr>
        <w:t>一是</w:t>
      </w:r>
      <w:r>
        <w:rPr>
          <w:rFonts w:hint="eastAsia" w:ascii="仿宋_GB2312" w:hAnsi="仿宋_GB2312" w:eastAsia="仿宋_GB2312" w:cs="仿宋_GB2312"/>
          <w:b w:val="0"/>
          <w:bCs w:val="0"/>
          <w:kern w:val="2"/>
          <w:sz w:val="32"/>
          <w:szCs w:val="32"/>
          <w:lang w:val="en-US" w:eastAsia="zh-CN" w:bidi="ar"/>
        </w:rPr>
        <w:t>协调做好各所区疫情防控工作。落实专人对接所在乡镇、村社做好基地内外疫情防控，及时组织医疗队伍开展核酸</w:t>
      </w:r>
      <w:r>
        <w:rPr>
          <w:rFonts w:hint="eastAsia" w:ascii="仿宋_GB2312" w:hAnsi="仿宋_GB2312" w:cs="仿宋_GB2312"/>
          <w:b w:val="0"/>
          <w:bCs w:val="0"/>
          <w:kern w:val="2"/>
          <w:sz w:val="32"/>
          <w:szCs w:val="32"/>
          <w:lang w:val="en-US" w:eastAsia="zh-CN" w:bidi="ar"/>
        </w:rPr>
        <w:t>检测</w:t>
      </w:r>
      <w:r>
        <w:rPr>
          <w:rFonts w:hint="eastAsia" w:ascii="仿宋_GB2312" w:hAnsi="仿宋_GB2312" w:eastAsia="仿宋_GB2312" w:cs="仿宋_GB2312"/>
          <w:b w:val="0"/>
          <w:bCs w:val="0"/>
          <w:kern w:val="2"/>
          <w:sz w:val="32"/>
          <w:szCs w:val="32"/>
          <w:lang w:val="en-US" w:eastAsia="zh-CN" w:bidi="ar"/>
        </w:rPr>
        <w:t>、外围消杀等，保障了各所装备物资运输畅通、科研人员安全流动。</w:t>
      </w:r>
      <w:r>
        <w:rPr>
          <w:rFonts w:hint="eastAsia" w:ascii="仿宋_GB2312" w:hAnsi="仿宋_GB2312" w:eastAsia="仿宋_GB2312" w:cs="仿宋_GB2312"/>
          <w:b/>
          <w:bCs/>
          <w:kern w:val="2"/>
          <w:sz w:val="32"/>
          <w:szCs w:val="32"/>
          <w:lang w:val="en-US" w:eastAsia="zh-CN" w:bidi="ar"/>
        </w:rPr>
        <w:t>二是</w:t>
      </w:r>
      <w:r>
        <w:rPr>
          <w:rFonts w:hint="eastAsia" w:ascii="仿宋_GB2312" w:hAnsi="仿宋_GB2312" w:eastAsia="仿宋_GB2312" w:cs="仿宋_GB2312"/>
          <w:b w:val="0"/>
          <w:bCs w:val="0"/>
          <w:kern w:val="2"/>
          <w:sz w:val="32"/>
          <w:szCs w:val="32"/>
          <w:lang w:val="en-US" w:eastAsia="zh-CN" w:bidi="ar"/>
        </w:rPr>
        <w:t>做实基地基础保障工作。协调解决了三所、四所天然气供应、生活污水排放等问题，四所天然气供应实现从无到有的转变，积极助推一、三、四所用水纳入县内自来水，基本解决了所区用水难、用气难、排污难等问题；实施所区外河道清淤整治，有效化解汛期安全风险。</w:t>
      </w:r>
      <w:r>
        <w:rPr>
          <w:rFonts w:hint="eastAsia" w:ascii="仿宋_GB2312" w:hAnsi="仿宋_GB2312" w:eastAsia="仿宋_GB2312" w:cs="仿宋_GB2312"/>
          <w:b/>
          <w:bCs/>
          <w:kern w:val="2"/>
          <w:sz w:val="32"/>
          <w:szCs w:val="32"/>
          <w:lang w:val="en-US" w:eastAsia="zh-CN" w:bidi="ar"/>
        </w:rPr>
        <w:t>三是</w:t>
      </w:r>
      <w:r>
        <w:rPr>
          <w:rFonts w:hint="eastAsia" w:ascii="仿宋_GB2312" w:hAnsi="仿宋_GB2312" w:eastAsia="仿宋_GB2312" w:cs="仿宋_GB2312"/>
          <w:b w:val="0"/>
          <w:bCs w:val="0"/>
          <w:kern w:val="2"/>
          <w:sz w:val="32"/>
          <w:szCs w:val="32"/>
          <w:lang w:val="en-US" w:eastAsia="zh-CN" w:bidi="ar"/>
        </w:rPr>
        <w:t>深入研究化解部分遗留问题。通过多次会商研究，解决原装药项目、PSC-2项目、CJG项目等存在的历史遗留问题，为院所在剑发展减轻负担。</w:t>
      </w:r>
    </w:p>
    <w:p>
      <w:pPr>
        <w:pStyle w:val="9"/>
        <w:keepNext w:val="0"/>
        <w:keepLines w:val="0"/>
        <w:pageBreakBefore w:val="0"/>
        <w:kinsoku/>
        <w:wordWrap/>
        <w:overflowPunct/>
        <w:topLinePunct w:val="0"/>
        <w:autoSpaceDN/>
        <w:bidi w:val="0"/>
        <w:snapToGrid/>
        <w:spacing w:line="576" w:lineRule="exact"/>
        <w:ind w:firstLine="643" w:firstLineChars="200"/>
        <w:textAlignment w:val="auto"/>
        <w:rPr>
          <w:rFonts w:hint="default" w:ascii="楷体_GB2312" w:hAnsi="楷体_GB2312" w:eastAsia="楷体_GB2312" w:cs="楷体_GB2312"/>
          <w:b/>
          <w:bCs/>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⑶加快军民融合类产业协作发展。</w:t>
      </w:r>
      <w:r>
        <w:rPr>
          <w:rFonts w:hint="eastAsia" w:ascii="仿宋_GB2312" w:hAnsi="仿宋_GB2312" w:eastAsia="仿宋_GB2312" w:cs="仿宋_GB2312"/>
          <w:b/>
          <w:bCs/>
          <w:kern w:val="2"/>
          <w:sz w:val="32"/>
          <w:szCs w:val="32"/>
          <w:lang w:val="en-US" w:eastAsia="zh-CN" w:bidi="ar"/>
        </w:rPr>
        <w:t>一是</w:t>
      </w:r>
      <w:r>
        <w:rPr>
          <w:rFonts w:hint="eastAsia" w:ascii="仿宋_GB2312" w:hAnsi="仿宋_GB2312" w:eastAsia="仿宋_GB2312" w:cs="仿宋_GB2312"/>
          <w:b w:val="0"/>
          <w:bCs w:val="0"/>
          <w:kern w:val="2"/>
          <w:sz w:val="32"/>
          <w:szCs w:val="32"/>
          <w:lang w:val="en-US" w:eastAsia="zh-CN" w:bidi="ar"/>
        </w:rPr>
        <w:t>依托中物院等院所资源，先后到成都、绵阳等地实地考察4次，积极招引军民融合类、军转民等企业、项目来剑调研2批次。</w:t>
      </w:r>
      <w:r>
        <w:rPr>
          <w:rFonts w:hint="eastAsia" w:ascii="仿宋_GB2312" w:hAnsi="仿宋_GB2312" w:eastAsia="仿宋_GB2312" w:cs="仿宋_GB2312"/>
          <w:b/>
          <w:bCs/>
          <w:kern w:val="2"/>
          <w:sz w:val="32"/>
          <w:szCs w:val="32"/>
          <w:lang w:val="en-US" w:eastAsia="zh-CN" w:bidi="ar"/>
        </w:rPr>
        <w:t>二是</w:t>
      </w:r>
      <w:r>
        <w:rPr>
          <w:rFonts w:hint="eastAsia" w:ascii="仿宋_GB2312" w:hAnsi="仿宋_GB2312" w:eastAsia="仿宋_GB2312" w:cs="仿宋_GB2312"/>
          <w:b w:val="0"/>
          <w:bCs w:val="0"/>
          <w:kern w:val="2"/>
          <w:sz w:val="32"/>
          <w:szCs w:val="32"/>
          <w:lang w:val="en-US" w:eastAsia="zh-CN" w:bidi="ar"/>
        </w:rPr>
        <w:t>在院所支持下，加大军民融合企业培育力度，目前正在向省市申报军民融合企业1家，力争打破我县军民融合企业为零的现状；发挥“三线文化”优势，积极推动院地共建红色文化教育基地、国防教育基地等项目。</w:t>
      </w:r>
      <w:r>
        <w:rPr>
          <w:rFonts w:hint="eastAsia" w:ascii="仿宋_GB2312" w:hAnsi="仿宋_GB2312" w:eastAsia="仿宋_GB2312" w:cs="仿宋_GB2312"/>
          <w:b/>
          <w:bCs/>
          <w:kern w:val="2"/>
          <w:sz w:val="32"/>
          <w:szCs w:val="32"/>
          <w:lang w:val="en-US" w:eastAsia="zh-CN" w:bidi="ar"/>
        </w:rPr>
        <w:t>三是</w:t>
      </w:r>
      <w:r>
        <w:rPr>
          <w:rFonts w:hint="eastAsia" w:ascii="仿宋_GB2312" w:hAnsi="仿宋_GB2312" w:eastAsia="仿宋_GB2312" w:cs="仿宋_GB2312"/>
          <w:b w:val="0"/>
          <w:bCs w:val="0"/>
          <w:kern w:val="2"/>
          <w:sz w:val="32"/>
          <w:szCs w:val="32"/>
          <w:lang w:val="en-US" w:eastAsia="zh-CN" w:bidi="ar"/>
        </w:rPr>
        <w:t>加大剑阁本地农特产品进院所力度，积极将剑阁优质粮油果蔬、剑门土鸡生猪等产品，纳入院所食堂供应主渠道。</w:t>
      </w:r>
    </w:p>
    <w:p>
      <w:pPr>
        <w:pStyle w:val="9"/>
        <w:keepNext w:val="0"/>
        <w:keepLines w:val="0"/>
        <w:pageBreakBefore w:val="0"/>
        <w:kinsoku/>
        <w:wordWrap/>
        <w:overflowPunct/>
        <w:topLinePunct w:val="0"/>
        <w:autoSpaceDN/>
        <w:bidi w:val="0"/>
        <w:snapToGrid/>
        <w:spacing w:line="576" w:lineRule="exact"/>
        <w:ind w:firstLine="640" w:firstLineChars="200"/>
        <w:textAlignment w:val="auto"/>
        <w:rPr>
          <w:rFonts w:hint="eastAsia" w:ascii="黑体" w:hAnsi="黑体" w:eastAsia="黑体" w:cs="黑体"/>
          <w:b w:val="0"/>
          <w:bCs w:val="0"/>
          <w:kern w:val="2"/>
          <w:sz w:val="32"/>
          <w:szCs w:val="32"/>
          <w:lang w:val="en-US" w:eastAsia="zh-CN" w:bidi="ar"/>
        </w:rPr>
      </w:pPr>
      <w:r>
        <w:rPr>
          <w:rFonts w:hint="eastAsia" w:ascii="黑体" w:hAnsi="黑体" w:eastAsia="黑体" w:cs="黑体"/>
          <w:b w:val="0"/>
          <w:bCs w:val="0"/>
          <w:kern w:val="2"/>
          <w:sz w:val="32"/>
          <w:szCs w:val="32"/>
          <w:lang w:val="en-US" w:eastAsia="zh-CN" w:bidi="ar"/>
        </w:rPr>
        <w:t>4.严格周边环境安全管控，提升防间反谍实效</w:t>
      </w:r>
    </w:p>
    <w:p>
      <w:pPr>
        <w:keepNext w:val="0"/>
        <w:keepLines w:val="0"/>
        <w:pageBreakBefore w:val="0"/>
        <w:widowControl w:val="0"/>
        <w:suppressLineNumbers w:val="0"/>
        <w:kinsoku/>
        <w:wordWrap/>
        <w:overflowPunct/>
        <w:topLinePunct w:val="0"/>
        <w:autoSpaceDN/>
        <w:bidi w:val="0"/>
        <w:snapToGrid/>
        <w:spacing w:before="0" w:beforeAutospacing="0" w:after="0" w:afterAutospacing="0" w:line="576" w:lineRule="exact"/>
        <w:ind w:left="0" w:right="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bCs/>
          <w:kern w:val="2"/>
          <w:sz w:val="32"/>
          <w:szCs w:val="32"/>
          <w:lang w:val="en-US" w:eastAsia="zh-CN" w:bidi="ar"/>
        </w:rPr>
        <w:t>⑴严格落实县领导小组工作制度。</w:t>
      </w:r>
      <w:r>
        <w:rPr>
          <w:rFonts w:hint="eastAsia" w:ascii="仿宋_GB2312" w:hAnsi="仿宋_GB2312" w:eastAsia="仿宋_GB2312" w:cs="仿宋_GB2312"/>
          <w:b w:val="0"/>
          <w:bCs w:val="0"/>
          <w:sz w:val="32"/>
          <w:szCs w:val="32"/>
          <w:lang w:val="en-US" w:eastAsia="zh-CN"/>
        </w:rPr>
        <w:t>深化细化“县周办”工作职责，组织召开年度例会，制定年度防间反谍等周边安全保密工作年度任务清单。</w:t>
      </w:r>
    </w:p>
    <w:p>
      <w:pPr>
        <w:keepNext w:val="0"/>
        <w:keepLines w:val="0"/>
        <w:pageBreakBefore w:val="0"/>
        <w:widowControl w:val="0"/>
        <w:suppressLineNumbers w:val="0"/>
        <w:kinsoku/>
        <w:wordWrap/>
        <w:overflowPunct/>
        <w:topLinePunct w:val="0"/>
        <w:autoSpaceDN/>
        <w:bidi w:val="0"/>
        <w:snapToGrid/>
        <w:spacing w:before="0" w:beforeAutospacing="0" w:after="0" w:afterAutospacing="0" w:line="576" w:lineRule="exact"/>
        <w:ind w:left="0" w:right="0"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bCs/>
          <w:kern w:val="2"/>
          <w:sz w:val="32"/>
          <w:szCs w:val="32"/>
          <w:lang w:val="en-US" w:eastAsia="zh-CN" w:bidi="ar"/>
        </w:rPr>
        <w:t>⑵创建乡镇工作领导机构。</w:t>
      </w:r>
      <w:r>
        <w:rPr>
          <w:rFonts w:hint="eastAsia" w:ascii="仿宋_GB2312" w:hAnsi="仿宋_GB2312" w:eastAsia="仿宋_GB2312" w:cs="仿宋_GB2312"/>
          <w:b w:val="0"/>
          <w:bCs w:val="0"/>
          <w:sz w:val="32"/>
          <w:szCs w:val="32"/>
          <w:lang w:val="en-US" w:eastAsia="zh-CN"/>
        </w:rPr>
        <w:t>在开封、东宝、武连等乡镇、村社成立周边安全工作小组，签订年度目标责任书，建立巡逻员机制，将安全保密工作落实到最小单位，同时积极争取工作经费18万元，协调组织院所、县级部门、乡镇开展安全保密培训、宣讲等活动3次。</w:t>
      </w:r>
    </w:p>
    <w:p>
      <w:pPr>
        <w:keepNext w:val="0"/>
        <w:keepLines w:val="0"/>
        <w:pageBreakBefore w:val="0"/>
        <w:widowControl w:val="0"/>
        <w:suppressLineNumbers w:val="0"/>
        <w:kinsoku/>
        <w:wordWrap/>
        <w:overflowPunct/>
        <w:topLinePunct w:val="0"/>
        <w:autoSpaceDN/>
        <w:bidi w:val="0"/>
        <w:snapToGrid/>
        <w:spacing w:before="0" w:beforeAutospacing="0" w:after="0" w:afterAutospacing="0" w:line="576" w:lineRule="exact"/>
        <w:ind w:left="0" w:right="0" w:firstLine="643" w:firstLineChars="200"/>
        <w:jc w:val="both"/>
        <w:textAlignment w:val="auto"/>
        <w:rPr>
          <w:rFonts w:hint="eastAsia" w:ascii="仿宋_GB2312" w:hAnsi="Calibri" w:eastAsia="仿宋_GB2312" w:cs="仿宋_GB2312"/>
          <w:b w:val="0"/>
          <w:bCs w:val="0"/>
          <w:color w:val="000000"/>
          <w:kern w:val="0"/>
          <w:sz w:val="32"/>
          <w:szCs w:val="32"/>
          <w:lang w:val="en-US" w:eastAsia="zh-CN" w:bidi="ar"/>
        </w:rPr>
      </w:pPr>
      <w:r>
        <w:rPr>
          <w:rFonts w:hint="eastAsia" w:ascii="楷体_GB2312" w:hAnsi="楷体_GB2312" w:eastAsia="楷体_GB2312" w:cs="楷体_GB2312"/>
          <w:b/>
          <w:bCs/>
          <w:kern w:val="2"/>
          <w:sz w:val="32"/>
          <w:szCs w:val="32"/>
          <w:lang w:val="en-US" w:eastAsia="zh-CN" w:bidi="ar"/>
        </w:rPr>
        <w:t>⑶多举措做实做细管控工作。</w:t>
      </w:r>
      <w:r>
        <w:rPr>
          <w:rFonts w:hint="eastAsia" w:ascii="仿宋_GB2312" w:hAnsi="仿宋_GB2312" w:eastAsia="仿宋_GB2312" w:cs="仿宋_GB2312"/>
          <w:b w:val="0"/>
          <w:bCs w:val="0"/>
          <w:sz w:val="32"/>
          <w:szCs w:val="32"/>
          <w:lang w:val="en-US" w:eastAsia="zh-CN"/>
        </w:rPr>
        <w:t>加强院所的密切配合，通过日常巡逻、重点排查、有奖举报等多种方式，掌握风险信息，及时组织所区、乡镇开展整治。今年以来，组织召开院地周边安全管控工作会议4次，组织公安、国安、乡镇等部门联合开展排查整治工作6次，累计排查所区周边可疑点位23家宾馆旅店621人次，排查车辆110余辆、无人机飞行记录41次。</w:t>
      </w:r>
      <w:r>
        <w:rPr>
          <w:rFonts w:hint="eastAsia" w:ascii="仿宋_GB2312" w:hAnsi="Calibri" w:eastAsia="仿宋_GB2312" w:cs="仿宋_GB2312"/>
          <w:b w:val="0"/>
          <w:bCs w:val="0"/>
          <w:kern w:val="2"/>
          <w:sz w:val="32"/>
          <w:szCs w:val="32"/>
          <w:lang w:val="en-US" w:eastAsia="zh-CN" w:bidi="ar"/>
        </w:rPr>
        <w:t>加强干部保密教育</w:t>
      </w:r>
      <w:r>
        <w:rPr>
          <w:rFonts w:hint="eastAsia" w:ascii="仿宋_GB2312" w:eastAsia="仿宋_GB2312" w:cs="仿宋_GB2312"/>
          <w:b w:val="0"/>
          <w:bCs w:val="0"/>
          <w:kern w:val="2"/>
          <w:sz w:val="32"/>
          <w:szCs w:val="32"/>
          <w:lang w:val="en-US" w:eastAsia="zh-CN" w:bidi="ar"/>
        </w:rPr>
        <w:t>培训</w:t>
      </w:r>
      <w:r>
        <w:rPr>
          <w:rFonts w:hint="eastAsia" w:ascii="仿宋_GB2312" w:hAnsi="Calibri" w:eastAsia="仿宋_GB2312" w:cs="仿宋_GB2312"/>
          <w:b w:val="0"/>
          <w:bCs w:val="0"/>
          <w:kern w:val="2"/>
          <w:sz w:val="32"/>
          <w:szCs w:val="32"/>
          <w:lang w:val="en-US" w:eastAsia="zh-CN" w:bidi="ar"/>
        </w:rPr>
        <w:t>，</w:t>
      </w:r>
      <w:r>
        <w:rPr>
          <w:rFonts w:hint="eastAsia" w:ascii="仿宋_GB2312" w:eastAsia="仿宋_GB2312" w:cs="仿宋_GB2312"/>
          <w:b w:val="0"/>
          <w:bCs w:val="0"/>
          <w:kern w:val="2"/>
          <w:sz w:val="32"/>
          <w:szCs w:val="32"/>
          <w:lang w:val="en-US" w:eastAsia="zh-CN" w:bidi="ar"/>
        </w:rPr>
        <w:t>严控</w:t>
      </w:r>
      <w:r>
        <w:rPr>
          <w:rFonts w:hint="eastAsia" w:ascii="仿宋_GB2312" w:hAnsi="Calibri" w:eastAsia="仿宋_GB2312" w:cs="仿宋_GB2312"/>
          <w:b w:val="0"/>
          <w:bCs w:val="0"/>
          <w:kern w:val="2"/>
          <w:sz w:val="32"/>
          <w:szCs w:val="32"/>
          <w:lang w:val="en-US" w:eastAsia="zh-CN" w:bidi="ar"/>
        </w:rPr>
        <w:t>军民融合新闻宣传，</w:t>
      </w:r>
      <w:r>
        <w:rPr>
          <w:rFonts w:hint="eastAsia" w:ascii="仿宋_GB2312" w:eastAsia="仿宋_GB2312" w:cs="仿宋_GB2312"/>
          <w:b w:val="0"/>
          <w:bCs w:val="0"/>
          <w:kern w:val="2"/>
          <w:sz w:val="32"/>
          <w:szCs w:val="32"/>
          <w:lang w:val="en-US" w:eastAsia="zh-CN" w:bidi="ar"/>
        </w:rPr>
        <w:t>清理涉及</w:t>
      </w:r>
      <w:r>
        <w:rPr>
          <w:rFonts w:hint="eastAsia" w:ascii="仿宋_GB2312" w:hAnsi="Calibri" w:eastAsia="仿宋_GB2312" w:cs="仿宋_GB2312"/>
          <w:b w:val="0"/>
          <w:bCs w:val="0"/>
          <w:kern w:val="2"/>
          <w:sz w:val="32"/>
          <w:szCs w:val="32"/>
          <w:lang w:val="en-US" w:eastAsia="zh-CN" w:bidi="ar"/>
        </w:rPr>
        <w:t>军民融合</w:t>
      </w:r>
      <w:r>
        <w:rPr>
          <w:rFonts w:hint="eastAsia" w:ascii="仿宋_GB2312" w:eastAsia="仿宋_GB2312" w:cs="仿宋_GB2312"/>
          <w:b w:val="0"/>
          <w:bCs w:val="0"/>
          <w:kern w:val="2"/>
          <w:sz w:val="32"/>
          <w:szCs w:val="32"/>
          <w:lang w:val="en-US" w:eastAsia="zh-CN" w:bidi="ar"/>
        </w:rPr>
        <w:t>敏感</w:t>
      </w:r>
      <w:r>
        <w:rPr>
          <w:rFonts w:hint="eastAsia" w:ascii="仿宋_GB2312" w:hAnsi="Calibri" w:eastAsia="仿宋_GB2312" w:cs="仿宋_GB2312"/>
          <w:b w:val="0"/>
          <w:bCs w:val="0"/>
          <w:kern w:val="2"/>
          <w:sz w:val="32"/>
          <w:szCs w:val="32"/>
          <w:lang w:val="en-US" w:eastAsia="zh-CN" w:bidi="ar"/>
        </w:rPr>
        <w:t>信息</w:t>
      </w:r>
      <w:r>
        <w:rPr>
          <w:rFonts w:hint="eastAsia" w:ascii="仿宋_GB2312" w:eastAsia="仿宋_GB2312" w:cs="仿宋_GB2312"/>
          <w:b w:val="0"/>
          <w:bCs w:val="0"/>
          <w:kern w:val="2"/>
          <w:sz w:val="32"/>
          <w:szCs w:val="32"/>
          <w:lang w:val="en-US" w:eastAsia="zh-CN" w:bidi="ar"/>
        </w:rPr>
        <w:t>5条，</w:t>
      </w:r>
      <w:r>
        <w:rPr>
          <w:rFonts w:hint="eastAsia" w:ascii="仿宋_GB2312" w:hAnsi="仿宋_GB2312" w:eastAsia="仿宋_GB2312" w:cs="仿宋_GB2312"/>
          <w:b w:val="0"/>
          <w:bCs w:val="0"/>
          <w:sz w:val="32"/>
          <w:szCs w:val="32"/>
          <w:lang w:val="en-US" w:eastAsia="zh-CN"/>
        </w:rPr>
        <w:t>确保了机关单位、所区基地周边环境安全有序。</w:t>
      </w:r>
    </w:p>
    <w:p>
      <w:pPr>
        <w:pStyle w:val="9"/>
        <w:keepNext w:val="0"/>
        <w:keepLines w:val="0"/>
        <w:pageBreakBefore w:val="0"/>
        <w:kinsoku/>
        <w:wordWrap/>
        <w:overflowPunct/>
        <w:topLinePunct w:val="0"/>
        <w:autoSpaceDN/>
        <w:bidi w:val="0"/>
        <w:snapToGrid/>
        <w:spacing w:line="576" w:lineRule="exact"/>
        <w:ind w:firstLine="643" w:firstLineChars="200"/>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5.其他重点工作</w:t>
      </w:r>
    </w:p>
    <w:p>
      <w:pPr>
        <w:keepNext w:val="0"/>
        <w:keepLines w:val="0"/>
        <w:pageBreakBefore w:val="0"/>
        <w:widowControl w:val="0"/>
        <w:suppressLineNumbers w:val="0"/>
        <w:kinsoku/>
        <w:wordWrap/>
        <w:overflowPunct/>
        <w:topLinePunct w:val="0"/>
        <w:autoSpaceDE w:val="0"/>
        <w:autoSpaceDN/>
        <w:bidi w:val="0"/>
        <w:adjustRightInd w:val="0"/>
        <w:snapToGrid/>
        <w:spacing w:before="0" w:beforeAutospacing="0" w:after="0" w:afterAutospacing="0" w:line="576" w:lineRule="exact"/>
        <w:ind w:left="0" w:right="0" w:firstLine="643" w:firstLineChars="200"/>
        <w:jc w:val="both"/>
        <w:textAlignment w:val="auto"/>
        <w:rPr>
          <w:rFonts w:hint="eastAsia" w:ascii="仿宋_GB2312" w:hAnsi="Calibri" w:eastAsia="仿宋_GB2312" w:cs="仿宋_GB2312"/>
          <w:b w:val="0"/>
          <w:bCs w:val="0"/>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⑴疫情防控工作。</w:t>
      </w:r>
      <w:r>
        <w:rPr>
          <w:rFonts w:hint="eastAsia" w:ascii="仿宋_GB2312" w:hAnsi="Calibri" w:eastAsia="仿宋_GB2312" w:cs="仿宋_GB2312"/>
          <w:b w:val="0"/>
          <w:bCs w:val="0"/>
          <w:kern w:val="2"/>
          <w:sz w:val="32"/>
          <w:szCs w:val="32"/>
          <w:lang w:val="en-US" w:eastAsia="zh-CN" w:bidi="ar"/>
        </w:rPr>
        <w:t>疫情防控常抓不懈，全办疫苗接种率、全员参与核酸检测率100%</w:t>
      </w:r>
      <w:r>
        <w:rPr>
          <w:rFonts w:hint="eastAsia" w:ascii="仿宋_GB2312" w:eastAsia="仿宋_GB2312" w:cs="仿宋_GB2312"/>
          <w:b w:val="0"/>
          <w:bCs w:val="0"/>
          <w:kern w:val="2"/>
          <w:sz w:val="32"/>
          <w:szCs w:val="32"/>
          <w:lang w:val="en-US" w:eastAsia="zh-CN" w:bidi="ar"/>
        </w:rPr>
        <w:t>；严格按要求落实专人到</w:t>
      </w:r>
      <w:r>
        <w:rPr>
          <w:rFonts w:hint="eastAsia" w:ascii="仿宋_GB2312" w:hAnsi="Calibri" w:eastAsia="仿宋_GB2312" w:cs="仿宋_GB2312"/>
          <w:b w:val="0"/>
          <w:bCs w:val="0"/>
          <w:kern w:val="2"/>
          <w:sz w:val="32"/>
          <w:szCs w:val="32"/>
          <w:lang w:val="en-US" w:eastAsia="zh-CN" w:bidi="ar"/>
        </w:rPr>
        <w:t>社区</w:t>
      </w:r>
      <w:r>
        <w:rPr>
          <w:rFonts w:hint="eastAsia" w:ascii="仿宋_GB2312" w:eastAsia="仿宋_GB2312" w:cs="仿宋_GB2312"/>
          <w:b w:val="0"/>
          <w:bCs w:val="0"/>
          <w:kern w:val="2"/>
          <w:sz w:val="32"/>
          <w:szCs w:val="32"/>
          <w:lang w:val="en-US" w:eastAsia="zh-CN" w:bidi="ar"/>
        </w:rPr>
        <w:t>值班值守，积极组织2名干部参与普安镇疫情志愿服务，并圆满完成任务</w:t>
      </w:r>
      <w:r>
        <w:rPr>
          <w:rFonts w:hint="eastAsia" w:ascii="仿宋_GB2312" w:hAnsi="Calibri" w:eastAsia="仿宋_GB2312" w:cs="仿宋_GB2312"/>
          <w:b w:val="0"/>
          <w:bCs w:val="0"/>
          <w:kern w:val="2"/>
          <w:sz w:val="32"/>
          <w:szCs w:val="32"/>
          <w:lang w:val="en-US" w:eastAsia="zh-CN" w:bidi="ar"/>
        </w:rPr>
        <w:t>。</w:t>
      </w:r>
    </w:p>
    <w:p>
      <w:pPr>
        <w:keepNext w:val="0"/>
        <w:keepLines w:val="0"/>
        <w:pageBreakBefore w:val="0"/>
        <w:kinsoku/>
        <w:wordWrap/>
        <w:overflowPunct/>
        <w:topLinePunct w:val="0"/>
        <w:autoSpaceDE/>
        <w:autoSpaceDN/>
        <w:bidi w:val="0"/>
        <w:spacing w:line="576" w:lineRule="exact"/>
        <w:ind w:firstLine="643" w:firstLineChars="200"/>
        <w:jc w:val="left"/>
        <w:textAlignment w:val="auto"/>
        <w:rPr>
          <w:rFonts w:hint="eastAsia" w:ascii="仿宋_GB2312" w:eastAsia="仿宋_GB2312" w:cs="仿宋_GB2312"/>
          <w:b w:val="0"/>
          <w:bCs w:val="0"/>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⑵巩固拓展</w:t>
      </w:r>
      <w:bookmarkStart w:id="95" w:name="_GoBack"/>
      <w:bookmarkEnd w:id="95"/>
      <w:r>
        <w:rPr>
          <w:rFonts w:hint="eastAsia" w:ascii="楷体_GB2312" w:hAnsi="楷体_GB2312" w:eastAsia="楷体_GB2312" w:cs="楷体_GB2312"/>
          <w:b/>
          <w:bCs/>
          <w:kern w:val="2"/>
          <w:sz w:val="32"/>
          <w:szCs w:val="32"/>
          <w:lang w:val="en-US" w:eastAsia="zh-CN" w:bidi="ar"/>
        </w:rPr>
        <w:t>脱贫攻坚成果同乡村振兴有效衔接工作。</w:t>
      </w:r>
      <w:r>
        <w:rPr>
          <w:rFonts w:hint="eastAsia" w:ascii="仿宋_GB2312" w:eastAsia="仿宋_GB2312" w:cs="仿宋_GB2312"/>
          <w:b w:val="0"/>
          <w:bCs w:val="0"/>
          <w:kern w:val="2"/>
          <w:sz w:val="32"/>
          <w:szCs w:val="32"/>
          <w:lang w:val="en-US" w:eastAsia="zh-CN" w:bidi="ar"/>
        </w:rPr>
        <w:t>制定年度帮扶工作计划，</w:t>
      </w:r>
      <w:r>
        <w:rPr>
          <w:rFonts w:hint="eastAsia" w:ascii="仿宋_GB2312" w:hAnsi="Calibri" w:eastAsia="仿宋_GB2312" w:cs="仿宋_GB2312"/>
          <w:b w:val="0"/>
          <w:bCs w:val="0"/>
          <w:kern w:val="2"/>
          <w:sz w:val="32"/>
          <w:szCs w:val="32"/>
          <w:lang w:val="en-US" w:eastAsia="zh-CN" w:bidi="ar"/>
        </w:rPr>
        <w:t>选派</w:t>
      </w:r>
      <w:r>
        <w:rPr>
          <w:rFonts w:hint="eastAsia" w:ascii="仿宋_GB2312" w:eastAsia="仿宋_GB2312" w:cs="仿宋_GB2312"/>
          <w:b w:val="0"/>
          <w:bCs w:val="0"/>
          <w:kern w:val="2"/>
          <w:sz w:val="32"/>
          <w:szCs w:val="32"/>
          <w:lang w:val="en-US" w:eastAsia="zh-CN" w:bidi="ar"/>
        </w:rPr>
        <w:t>1名办副主任、1名股长脱产驻村开展帮扶工作，办领导班子成员到村达到每月一次；落实好易返贫致贫动态监测，加大困难群众帮扶力度；大力发展特色产业，</w:t>
      </w:r>
      <w:r>
        <w:rPr>
          <w:rFonts w:hint="eastAsia" w:ascii="仿宋_GB2312" w:hAnsi="仿宋_GB2312" w:eastAsia="仿宋_GB2312" w:cs="仿宋_GB2312"/>
          <w:b w:val="0"/>
          <w:bCs w:val="0"/>
          <w:color w:val="auto"/>
          <w:kern w:val="2"/>
          <w:sz w:val="32"/>
          <w:szCs w:val="32"/>
          <w:lang w:val="en-US" w:eastAsia="zh-CN" w:bidi="ar-SA"/>
        </w:rPr>
        <w:t>成功引进并建成油茶产业园500亩，年出栏3000头生猪养殖场一处，有效巩固了村集体经济，扩大群众增收渠</w:t>
      </w:r>
      <w:r>
        <w:rPr>
          <w:rFonts w:hint="eastAsia" w:ascii="仿宋_GB2312" w:eastAsia="仿宋_GB2312" w:cs="仿宋_GB2312"/>
          <w:b w:val="0"/>
          <w:bCs w:val="0"/>
          <w:kern w:val="2"/>
          <w:sz w:val="32"/>
          <w:szCs w:val="32"/>
          <w:lang w:val="en-US" w:eastAsia="zh-CN" w:bidi="ar"/>
        </w:rPr>
        <w:t>道；新建组道路1.2公里、完成村委会场地硬化200平方米，并积极对接乡村振兴局、县交通局，争取漫水桥项目，预计2023年实施；做好村内疫情防控，精心组织村民开展疫苗接种和核酸检测，全村前期未发生1例阳性病例。</w:t>
      </w:r>
    </w:p>
    <w:p>
      <w:pPr>
        <w:ind w:firstLine="643" w:firstLineChars="200"/>
        <w:rPr>
          <w:rFonts w:hint="default"/>
          <w:lang w:val="en-US" w:eastAsia="zh-CN"/>
        </w:rPr>
      </w:pPr>
      <w:r>
        <w:rPr>
          <w:rFonts w:hint="eastAsia" w:ascii="楷体_GB2312" w:hAnsi="楷体_GB2312" w:eastAsia="楷体_GB2312" w:cs="楷体_GB2312"/>
          <w:b/>
          <w:bCs/>
          <w:kern w:val="2"/>
          <w:sz w:val="32"/>
          <w:szCs w:val="32"/>
          <w:lang w:val="en-US" w:eastAsia="zh-CN" w:bidi="ar"/>
        </w:rPr>
        <w:t>⑶安全生产工作。</w:t>
      </w:r>
      <w:r>
        <w:rPr>
          <w:rFonts w:hint="eastAsia" w:ascii="仿宋_GB2312" w:eastAsia="仿宋_GB2312" w:cs="仿宋_GB2312"/>
          <w:b w:val="0"/>
          <w:bCs w:val="0"/>
          <w:kern w:val="2"/>
          <w:sz w:val="32"/>
          <w:szCs w:val="32"/>
          <w:lang w:val="en-US" w:eastAsia="zh-CN" w:bidi="ar"/>
        </w:rPr>
        <w:t>常态化项目建设工地</w:t>
      </w:r>
      <w:r>
        <w:rPr>
          <w:rFonts w:hint="eastAsia" w:ascii="仿宋_GB2312" w:hAnsi="Calibri" w:eastAsia="仿宋_GB2312" w:cs="仿宋_GB2312"/>
          <w:b w:val="0"/>
          <w:bCs w:val="0"/>
          <w:kern w:val="2"/>
          <w:sz w:val="32"/>
          <w:szCs w:val="32"/>
          <w:lang w:val="en-US" w:eastAsia="zh-CN" w:bidi="ar"/>
        </w:rPr>
        <w:t>安全检查</w:t>
      </w:r>
      <w:r>
        <w:rPr>
          <w:rFonts w:hint="eastAsia" w:ascii="仿宋_GB2312" w:eastAsia="仿宋_GB2312" w:cs="仿宋_GB2312"/>
          <w:b w:val="0"/>
          <w:bCs w:val="0"/>
          <w:kern w:val="2"/>
          <w:sz w:val="32"/>
          <w:szCs w:val="32"/>
          <w:lang w:val="en-US" w:eastAsia="zh-CN" w:bidi="ar"/>
        </w:rPr>
        <w:t>，建立</w:t>
      </w:r>
      <w:r>
        <w:rPr>
          <w:rFonts w:hint="eastAsia" w:ascii="仿宋_GB2312" w:hAnsi="Calibri" w:eastAsia="仿宋_GB2312" w:cs="仿宋_GB2312"/>
          <w:b w:val="0"/>
          <w:bCs w:val="0"/>
          <w:kern w:val="2"/>
          <w:sz w:val="32"/>
          <w:szCs w:val="32"/>
          <w:lang w:val="en-US" w:eastAsia="zh-CN" w:bidi="ar"/>
        </w:rPr>
        <w:t>安全隐患</w:t>
      </w:r>
      <w:r>
        <w:rPr>
          <w:rFonts w:hint="eastAsia" w:ascii="仿宋_GB2312" w:eastAsia="仿宋_GB2312" w:cs="仿宋_GB2312"/>
          <w:b w:val="0"/>
          <w:bCs w:val="0"/>
          <w:kern w:val="2"/>
          <w:sz w:val="32"/>
          <w:szCs w:val="32"/>
          <w:lang w:val="en-US" w:eastAsia="zh-CN" w:bidi="ar"/>
        </w:rPr>
        <w:t>整治台账</w:t>
      </w:r>
      <w:r>
        <w:rPr>
          <w:rFonts w:hint="eastAsia" w:ascii="仿宋_GB2312" w:hAnsi="Calibri" w:eastAsia="仿宋_GB2312" w:cs="仿宋_GB2312"/>
          <w:b w:val="0"/>
          <w:bCs w:val="0"/>
          <w:kern w:val="2"/>
          <w:sz w:val="32"/>
          <w:szCs w:val="32"/>
          <w:lang w:val="en-US" w:eastAsia="zh-CN" w:bidi="ar"/>
        </w:rPr>
        <w:t>，</w:t>
      </w:r>
      <w:r>
        <w:rPr>
          <w:rFonts w:hint="eastAsia" w:ascii="仿宋_GB2312" w:eastAsia="仿宋_GB2312" w:cs="仿宋_GB2312"/>
          <w:b w:val="0"/>
          <w:bCs w:val="0"/>
          <w:kern w:val="2"/>
          <w:sz w:val="32"/>
          <w:szCs w:val="32"/>
          <w:lang w:val="en-US" w:eastAsia="zh-CN" w:bidi="ar"/>
        </w:rPr>
        <w:t>定期销号，</w:t>
      </w:r>
      <w:r>
        <w:rPr>
          <w:rFonts w:hint="eastAsia" w:ascii="仿宋_GB2312" w:hAnsi="Calibri" w:eastAsia="仿宋_GB2312" w:cs="仿宋_GB2312"/>
          <w:b w:val="0"/>
          <w:bCs w:val="0"/>
          <w:kern w:val="2"/>
          <w:sz w:val="32"/>
          <w:szCs w:val="32"/>
          <w:lang w:val="en-US" w:eastAsia="zh-CN" w:bidi="ar"/>
        </w:rPr>
        <w:t>全年无一起安全事故发生。</w:t>
      </w:r>
    </w:p>
    <w:p>
      <w:pPr>
        <w:pStyle w:val="3"/>
        <w:rPr>
          <w:rStyle w:val="31"/>
          <w:b w:val="0"/>
          <w:bCs w:val="0"/>
        </w:rPr>
      </w:pPr>
      <w:bookmarkStart w:id="14" w:name="_Toc18493"/>
      <w:bookmarkStart w:id="15" w:name="_Toc15396601"/>
      <w:bookmarkStart w:id="16" w:name="_Toc15377200"/>
      <w:r>
        <w:rPr>
          <w:rFonts w:hint="eastAsia" w:ascii="黑体" w:eastAsia="黑体"/>
          <w:b w:val="0"/>
        </w:rPr>
        <w:t>二、</w:t>
      </w:r>
      <w:r>
        <w:rPr>
          <w:rFonts w:hint="eastAsia" w:ascii="黑体" w:hAnsi="黑体" w:eastAsia="黑体"/>
          <w:b w:val="0"/>
        </w:rPr>
        <w:t>机</w:t>
      </w:r>
      <w:r>
        <w:rPr>
          <w:rStyle w:val="31"/>
          <w:rFonts w:hint="eastAsia" w:ascii="黑体" w:hAnsi="黑体" w:eastAsia="黑体"/>
          <w:b w:val="0"/>
          <w:bCs w:val="0"/>
        </w:rPr>
        <w:t>构设置</w:t>
      </w:r>
      <w:bookmarkEnd w:id="14"/>
      <w:bookmarkEnd w:id="15"/>
      <w:bookmarkEnd w:id="16"/>
    </w:p>
    <w:p>
      <w:pPr>
        <w:ind w:firstLine="800" w:firstLineChars="250"/>
        <w:rPr>
          <w:rFonts w:ascii="仿宋" w:hAnsi="仿宋" w:eastAsia="仿宋"/>
          <w:sz w:val="32"/>
          <w:szCs w:val="32"/>
        </w:rPr>
      </w:pPr>
      <w:r>
        <w:rPr>
          <w:rFonts w:hint="eastAsia" w:ascii="仿宋" w:hAnsi="仿宋" w:eastAsia="仿宋"/>
          <w:sz w:val="32"/>
          <w:szCs w:val="32"/>
          <w:lang w:eastAsia="zh-CN"/>
        </w:rPr>
        <w:t>中共剑阁县委军民融合发展办公室</w:t>
      </w:r>
      <w:r>
        <w:rPr>
          <w:rFonts w:hint="eastAsia" w:ascii="仿宋" w:hAnsi="仿宋" w:eastAsia="仿宋" w:cs="仿宋"/>
          <w:b w:val="0"/>
          <w:bCs w:val="0"/>
          <w:color w:val="0C0C0C"/>
          <w:spacing w:val="0"/>
          <w:sz w:val="31"/>
          <w:szCs w:val="31"/>
        </w:rPr>
        <w:t>属于财政一级预算单位，其中行政单位1个，</w:t>
      </w:r>
      <w:r>
        <w:rPr>
          <w:rFonts w:hint="eastAsia" w:ascii="仿宋" w:hAnsi="仿宋" w:eastAsia="仿宋" w:cs="仿宋"/>
          <w:b w:val="0"/>
          <w:bCs w:val="0"/>
          <w:color w:val="0C0C0C"/>
          <w:spacing w:val="0"/>
          <w:sz w:val="31"/>
          <w:szCs w:val="31"/>
          <w:lang w:val="en-US" w:eastAsia="zh-CN"/>
        </w:rPr>
        <w:t>下设二级预算单位1个。</w:t>
      </w:r>
    </w:p>
    <w:p>
      <w:pPr>
        <w:widowControl/>
        <w:jc w:val="left"/>
        <w:rPr>
          <w:rFonts w:ascii="仿宋" w:hAnsi="仿宋" w:eastAsia="仿宋"/>
          <w:kern w:val="0"/>
          <w:sz w:val="32"/>
          <w:szCs w:val="32"/>
        </w:rPr>
      </w:pPr>
      <w:r>
        <w:rPr>
          <w:rFonts w:ascii="仿宋" w:hAnsi="仿宋" w:eastAsia="仿宋"/>
          <w:sz w:val="32"/>
          <w:szCs w:val="32"/>
        </w:rPr>
        <w:br w:type="page"/>
      </w:r>
    </w:p>
    <w:p>
      <w:pPr>
        <w:pStyle w:val="2"/>
        <w:ind w:right="440"/>
        <w:jc w:val="center"/>
        <w:rPr>
          <w:rStyle w:val="30"/>
          <w:rFonts w:ascii="黑体" w:hAnsi="黑体" w:eastAsia="黑体"/>
          <w:b w:val="0"/>
          <w:bCs/>
        </w:rPr>
      </w:pPr>
      <w:bookmarkStart w:id="17" w:name="_Toc10217"/>
      <w:bookmarkStart w:id="18" w:name="_Toc15377204"/>
      <w:bookmarkStart w:id="19" w:name="_Toc15396602"/>
      <w:r>
        <w:rPr>
          <w:rFonts w:hint="eastAsia" w:ascii="黑体" w:hAnsi="黑体" w:eastAsia="黑体"/>
          <w:b w:val="0"/>
        </w:rPr>
        <w:t>第二部分 2022年度</w:t>
      </w:r>
      <w:r>
        <w:rPr>
          <w:rStyle w:val="30"/>
          <w:rFonts w:hint="eastAsia" w:ascii="黑体" w:hAnsi="黑体" w:eastAsia="黑体"/>
          <w:b w:val="0"/>
          <w:bCs/>
        </w:rPr>
        <w:t>部门决算情况说明</w:t>
      </w:r>
      <w:bookmarkEnd w:id="17"/>
      <w:bookmarkEnd w:id="18"/>
      <w:bookmarkEnd w:id="19"/>
    </w:p>
    <w:p/>
    <w:p>
      <w:pPr>
        <w:pStyle w:val="29"/>
        <w:numPr>
          <w:ilvl w:val="0"/>
          <w:numId w:val="2"/>
        </w:numPr>
        <w:spacing w:line="600" w:lineRule="exact"/>
        <w:ind w:firstLineChars="0"/>
        <w:outlineLvl w:val="1"/>
        <w:rPr>
          <w:rStyle w:val="31"/>
          <w:rFonts w:ascii="黑体" w:hAnsi="黑体" w:eastAsia="黑体"/>
          <w:b w:val="0"/>
        </w:rPr>
      </w:pPr>
      <w:bookmarkStart w:id="20" w:name="_Toc8812"/>
      <w:bookmarkStart w:id="21" w:name="_Toc15396603"/>
      <w:bookmarkStart w:id="22" w:name="_Toc15377205"/>
      <w:r>
        <w:rPr>
          <w:rFonts w:hint="eastAsia" w:ascii="黑体" w:hAnsi="黑体" w:eastAsia="黑体"/>
          <w:sz w:val="32"/>
          <w:szCs w:val="32"/>
        </w:rPr>
        <w:t>收</w:t>
      </w:r>
      <w:r>
        <w:rPr>
          <w:rStyle w:val="31"/>
          <w:rFonts w:hint="eastAsia" w:ascii="黑体" w:hAnsi="黑体" w:eastAsia="黑体"/>
          <w:b w:val="0"/>
        </w:rPr>
        <w:t>入支出决算总体情况说明</w:t>
      </w:r>
      <w:bookmarkEnd w:id="20"/>
      <w:bookmarkEnd w:id="21"/>
      <w:bookmarkEnd w:id="22"/>
    </w:p>
    <w:p>
      <w:pPr>
        <w:spacing w:line="600" w:lineRule="exact"/>
        <w:ind w:firstLine="640" w:firstLineChars="200"/>
        <w:rPr>
          <w:rFonts w:ascii="仿宋" w:hAnsi="仿宋" w:eastAsia="仿宋"/>
          <w:sz w:val="32"/>
          <w:szCs w:val="32"/>
        </w:rPr>
      </w:pPr>
      <w:r>
        <w:rPr>
          <w:rFonts w:hint="eastAsia" w:ascii="仿宋" w:hAnsi="仿宋" w:eastAsia="仿宋"/>
          <w:sz w:val="32"/>
          <w:szCs w:val="32"/>
        </w:rPr>
        <w:t>2022年度收、支总计</w:t>
      </w:r>
      <w:r>
        <w:rPr>
          <w:rFonts w:hint="eastAsia" w:ascii="仿宋" w:hAnsi="仿宋" w:eastAsia="仿宋"/>
          <w:sz w:val="32"/>
          <w:szCs w:val="32"/>
          <w:lang w:val="en-US" w:eastAsia="zh-CN"/>
        </w:rPr>
        <w:t>40176.74</w:t>
      </w:r>
      <w:r>
        <w:rPr>
          <w:rFonts w:hint="eastAsia" w:ascii="仿宋" w:hAnsi="仿宋" w:eastAsia="仿宋"/>
          <w:sz w:val="32"/>
          <w:szCs w:val="32"/>
        </w:rPr>
        <w:t>万元。与2021年相比，收、支总计增加</w:t>
      </w:r>
      <w:r>
        <w:rPr>
          <w:rFonts w:hint="eastAsia" w:ascii="仿宋" w:hAnsi="仿宋" w:eastAsia="仿宋"/>
          <w:sz w:val="32"/>
          <w:szCs w:val="32"/>
          <w:lang w:val="en-US" w:eastAsia="zh-CN"/>
        </w:rPr>
        <w:t>37461.7</w:t>
      </w:r>
      <w:r>
        <w:rPr>
          <w:rFonts w:hint="eastAsia" w:ascii="仿宋" w:hAnsi="仿宋" w:eastAsia="仿宋"/>
          <w:sz w:val="32"/>
          <w:szCs w:val="32"/>
        </w:rPr>
        <w:t>万元，增长</w:t>
      </w:r>
      <w:r>
        <w:rPr>
          <w:rFonts w:hint="eastAsia" w:ascii="仿宋" w:hAnsi="仿宋" w:eastAsia="仿宋"/>
          <w:sz w:val="32"/>
          <w:szCs w:val="32"/>
          <w:lang w:val="en-US" w:eastAsia="zh-CN"/>
        </w:rPr>
        <w:t>1379.78</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其他收入增加</w:t>
      </w:r>
      <w:r>
        <w:rPr>
          <w:rFonts w:hint="eastAsia" w:ascii="仿宋" w:hAnsi="仿宋" w:eastAsia="仿宋"/>
          <w:sz w:val="32"/>
          <w:szCs w:val="32"/>
        </w:rPr>
        <w:t>。</w:t>
      </w:r>
    </w:p>
    <w:p>
      <w:pPr>
        <w:spacing w:line="600" w:lineRule="exact"/>
        <w:ind w:firstLine="1600" w:firstLineChars="500"/>
      </w:pPr>
      <w:r>
        <w:rPr>
          <w:rFonts w:hint="eastAsia" w:ascii="仿宋_GB2312" w:eastAsia="仿宋_GB2312"/>
          <w:sz w:val="32"/>
          <w:szCs w:val="32"/>
          <w:lang w:eastAsia="zh-CN"/>
        </w:rPr>
        <w:drawing>
          <wp:anchor distT="0" distB="0" distL="114300" distR="114300" simplePos="0" relativeHeight="251659264" behindDoc="0" locked="0" layoutInCell="1" allowOverlap="1">
            <wp:simplePos x="0" y="0"/>
            <wp:positionH relativeFrom="column">
              <wp:posOffset>629920</wp:posOffset>
            </wp:positionH>
            <wp:positionV relativeFrom="paragraph">
              <wp:posOffset>52070</wp:posOffset>
            </wp:positionV>
            <wp:extent cx="4144010" cy="2008505"/>
            <wp:effectExtent l="4445" t="4445" r="23495" b="635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_GB2312" w:eastAsia="仿宋_GB2312"/>
          <w:sz w:val="32"/>
          <w:szCs w:val="32"/>
          <w:lang w:val="en-US" w:eastAsia="zh-CN"/>
        </w:rPr>
        <w:t xml:space="preserve"> </w:t>
      </w: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9"/>
        <w:numPr>
          <w:ilvl w:val="0"/>
          <w:numId w:val="2"/>
        </w:numPr>
        <w:spacing w:line="600" w:lineRule="exact"/>
        <w:ind w:firstLineChars="0"/>
        <w:outlineLvl w:val="1"/>
        <w:rPr>
          <w:rStyle w:val="31"/>
          <w:rFonts w:ascii="黑体" w:hAnsi="黑体" w:eastAsia="黑体"/>
          <w:b w:val="0"/>
        </w:rPr>
      </w:pPr>
      <w:bookmarkStart w:id="23" w:name="_Toc23676"/>
      <w:bookmarkStart w:id="24" w:name="_Toc15396604"/>
      <w:bookmarkStart w:id="25" w:name="_Toc15377206"/>
      <w:r>
        <w:rPr>
          <w:rFonts w:hint="eastAsia" w:ascii="黑体" w:hAnsi="黑体" w:eastAsia="黑体"/>
          <w:sz w:val="32"/>
          <w:szCs w:val="32"/>
        </w:rPr>
        <w:t>收</w:t>
      </w:r>
      <w:r>
        <w:rPr>
          <w:rStyle w:val="31"/>
          <w:rFonts w:hint="eastAsia" w:ascii="黑体" w:hAnsi="黑体" w:eastAsia="黑体"/>
          <w:b w:val="0"/>
        </w:rPr>
        <w:t>入决算情况说明</w:t>
      </w:r>
      <w:bookmarkEnd w:id="23"/>
      <w:bookmarkEnd w:id="24"/>
      <w:bookmarkEnd w:id="25"/>
    </w:p>
    <w:p>
      <w:pPr>
        <w:spacing w:line="600" w:lineRule="exact"/>
        <w:ind w:firstLine="640" w:firstLineChars="200"/>
        <w:outlineLvl w:val="9"/>
        <w:rPr>
          <w:rFonts w:ascii="仿宋" w:hAnsi="仿宋" w:eastAsia="仿宋"/>
          <w:b/>
          <w:sz w:val="32"/>
          <w:szCs w:val="32"/>
        </w:rPr>
      </w:pPr>
      <w:r>
        <w:rPr>
          <w:rFonts w:hint="eastAsia" w:ascii="仿宋" w:hAnsi="仿宋" w:eastAsia="仿宋"/>
          <w:sz w:val="32"/>
          <w:szCs w:val="32"/>
        </w:rPr>
        <w:drawing>
          <wp:anchor distT="0" distB="0" distL="114300" distR="114300" simplePos="0" relativeHeight="251660288" behindDoc="0" locked="0" layoutInCell="1" allowOverlap="1">
            <wp:simplePos x="0" y="0"/>
            <wp:positionH relativeFrom="column">
              <wp:posOffset>233680</wp:posOffset>
            </wp:positionH>
            <wp:positionV relativeFrom="paragraph">
              <wp:posOffset>1227455</wp:posOffset>
            </wp:positionV>
            <wp:extent cx="2286000" cy="2103755"/>
            <wp:effectExtent l="4445" t="4445" r="14605" b="635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仿宋" w:hAnsi="仿宋" w:eastAsia="仿宋"/>
          <w:sz w:val="32"/>
          <w:szCs w:val="32"/>
        </w:rPr>
        <w:t>20</w:t>
      </w:r>
      <w:r>
        <w:rPr>
          <w:rFonts w:hint="eastAsia" w:ascii="仿宋" w:hAnsi="仿宋" w:eastAsia="仿宋"/>
          <w:sz w:val="32"/>
          <w:szCs w:val="32"/>
        </w:rPr>
        <w:t>22年本年收入合计</w:t>
      </w:r>
      <w:r>
        <w:rPr>
          <w:rFonts w:hint="eastAsia" w:ascii="仿宋" w:hAnsi="仿宋" w:eastAsia="仿宋"/>
          <w:sz w:val="32"/>
          <w:szCs w:val="32"/>
          <w:lang w:val="en-US" w:eastAsia="zh-CN"/>
        </w:rPr>
        <w:t>40176.74</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126.71</w:t>
      </w:r>
      <w:r>
        <w:rPr>
          <w:rFonts w:hint="eastAsia" w:ascii="仿宋" w:hAnsi="仿宋" w:eastAsia="仿宋"/>
          <w:sz w:val="32"/>
          <w:szCs w:val="32"/>
        </w:rPr>
        <w:t>万元，占</w:t>
      </w:r>
      <w:r>
        <w:rPr>
          <w:rFonts w:hint="eastAsia" w:ascii="仿宋" w:hAnsi="仿宋" w:eastAsia="仿宋"/>
          <w:sz w:val="32"/>
          <w:szCs w:val="32"/>
          <w:lang w:val="en-US" w:eastAsia="zh-CN"/>
        </w:rPr>
        <w:t>0.32</w:t>
      </w:r>
      <w:r>
        <w:rPr>
          <w:rFonts w:ascii="仿宋" w:hAnsi="仿宋" w:eastAsia="仿宋"/>
          <w:sz w:val="32"/>
          <w:szCs w:val="32"/>
        </w:rPr>
        <w:t>%</w:t>
      </w:r>
      <w:r>
        <w:rPr>
          <w:rFonts w:hint="eastAsia" w:ascii="仿宋" w:hAnsi="仿宋" w:eastAsia="仿宋"/>
          <w:sz w:val="32"/>
          <w:szCs w:val="32"/>
        </w:rPr>
        <w:t>；政府性基金预算财政拨款收入</w:t>
      </w:r>
      <w:r>
        <w:rPr>
          <w:rFonts w:hint="eastAsia" w:ascii="仿宋" w:hAnsi="仿宋" w:eastAsia="仿宋"/>
          <w:sz w:val="32"/>
          <w:szCs w:val="32"/>
          <w:lang w:val="en-US" w:eastAsia="zh-CN"/>
        </w:rPr>
        <w:t>50</w:t>
      </w:r>
      <w:r>
        <w:rPr>
          <w:rFonts w:hint="eastAsia" w:ascii="仿宋" w:hAnsi="仿宋" w:eastAsia="仿宋"/>
          <w:sz w:val="32"/>
          <w:szCs w:val="32"/>
        </w:rPr>
        <w:t>万元，占</w:t>
      </w:r>
      <w:r>
        <w:rPr>
          <w:rFonts w:hint="eastAsia" w:ascii="仿宋" w:hAnsi="仿宋" w:eastAsia="仿宋"/>
          <w:sz w:val="32"/>
          <w:szCs w:val="32"/>
          <w:lang w:val="en-US" w:eastAsia="zh-CN"/>
        </w:rPr>
        <w:t>0.12</w:t>
      </w:r>
      <w:r>
        <w:rPr>
          <w:rFonts w:ascii="仿宋" w:hAnsi="仿宋" w:eastAsia="仿宋"/>
          <w:sz w:val="32"/>
          <w:szCs w:val="32"/>
        </w:rPr>
        <w:t>%</w:t>
      </w:r>
      <w:r>
        <w:rPr>
          <w:rFonts w:hint="eastAsia" w:ascii="仿宋" w:hAnsi="仿宋" w:eastAsia="仿宋"/>
          <w:sz w:val="32"/>
          <w:szCs w:val="32"/>
        </w:rPr>
        <w:t>；其他收入</w:t>
      </w:r>
      <w:r>
        <w:rPr>
          <w:rFonts w:hint="eastAsia" w:ascii="仿宋" w:hAnsi="仿宋" w:eastAsia="仿宋"/>
          <w:sz w:val="32"/>
          <w:szCs w:val="32"/>
          <w:lang w:val="en-US" w:eastAsia="zh-CN"/>
        </w:rPr>
        <w:t>40000.02</w:t>
      </w:r>
      <w:r>
        <w:rPr>
          <w:rFonts w:hint="eastAsia" w:ascii="仿宋" w:hAnsi="仿宋" w:eastAsia="仿宋"/>
          <w:sz w:val="32"/>
          <w:szCs w:val="32"/>
        </w:rPr>
        <w:t>万元，占</w:t>
      </w:r>
      <w:r>
        <w:rPr>
          <w:rFonts w:hint="eastAsia" w:ascii="仿宋" w:hAnsi="仿宋" w:eastAsia="仿宋"/>
          <w:sz w:val="32"/>
          <w:szCs w:val="32"/>
          <w:lang w:val="en-US" w:eastAsia="zh-CN"/>
        </w:rPr>
        <w:t>99.56</w:t>
      </w:r>
      <w:r>
        <w:rPr>
          <w:rFonts w:ascii="仿宋" w:hAnsi="仿宋" w:eastAsia="仿宋"/>
          <w:sz w:val="32"/>
          <w:szCs w:val="32"/>
        </w:rPr>
        <w:t>%</w:t>
      </w:r>
      <w:r>
        <w:rPr>
          <w:rFonts w:hint="eastAsia" w:ascii="仿宋" w:hAnsi="仿宋" w:eastAsia="仿宋"/>
          <w:sz w:val="32"/>
          <w:szCs w:val="32"/>
        </w:rPr>
        <w:t>。</w:t>
      </w:r>
    </w:p>
    <w:p>
      <w:pPr>
        <w:spacing w:line="600" w:lineRule="exact"/>
        <w:ind w:firstLine="640" w:firstLineChars="200"/>
        <w:outlineLvl w:val="9"/>
        <w:rPr>
          <w:rFonts w:ascii="仿宋" w:hAnsi="仿宋" w:eastAsia="仿宋"/>
          <w:sz w:val="32"/>
          <w:szCs w:val="32"/>
        </w:rPr>
      </w:pPr>
    </w:p>
    <w:p>
      <w:pPr>
        <w:spacing w:line="600" w:lineRule="exact"/>
        <w:rPr>
          <w:rFonts w:hint="eastAsia" w:ascii="仿宋" w:hAnsi="仿宋" w:eastAsia="仿宋"/>
          <w:sz w:val="32"/>
          <w:szCs w:val="32"/>
        </w:rPr>
      </w:pPr>
    </w:p>
    <w:p>
      <w:pPr>
        <w:spacing w:line="600" w:lineRule="exact"/>
        <w:rPr>
          <w:rFonts w:hint="eastAsia" w:ascii="仿宋" w:hAnsi="仿宋" w:eastAsia="仿宋"/>
          <w:sz w:val="32"/>
          <w:szCs w:val="32"/>
        </w:rPr>
      </w:pPr>
      <w:r>
        <w:rPr>
          <w:rFonts w:hint="eastAsia" w:ascii="仿宋" w:hAnsi="仿宋" w:eastAsia="仿宋"/>
          <w:sz w:val="32"/>
          <w:szCs w:val="32"/>
        </w:rPr>
        <w:t>图2：收入决算结构图</w:t>
      </w:r>
    </w:p>
    <w:p>
      <w:pPr>
        <w:pStyle w:val="9"/>
      </w:pPr>
    </w:p>
    <w:p>
      <w:pPr>
        <w:spacing w:line="600" w:lineRule="exact"/>
        <w:ind w:firstLine="640" w:firstLineChars="200"/>
        <w:rPr>
          <w:rFonts w:ascii="仿宋_GB2312" w:eastAsia="仿宋_GB2312"/>
          <w:sz w:val="32"/>
          <w:szCs w:val="32"/>
        </w:rPr>
      </w:pPr>
    </w:p>
    <w:p>
      <w:pPr>
        <w:pStyle w:val="29"/>
        <w:numPr>
          <w:ilvl w:val="0"/>
          <w:numId w:val="2"/>
        </w:numPr>
        <w:spacing w:line="600" w:lineRule="exact"/>
        <w:ind w:firstLineChars="0"/>
        <w:outlineLvl w:val="1"/>
        <w:rPr>
          <w:rStyle w:val="31"/>
          <w:rFonts w:ascii="黑体" w:hAnsi="黑体" w:eastAsia="黑体"/>
          <w:b w:val="0"/>
        </w:rPr>
      </w:pPr>
      <w:bookmarkStart w:id="26" w:name="_Toc15377207"/>
      <w:bookmarkStart w:id="27" w:name="_Toc3827"/>
      <w:bookmarkStart w:id="28" w:name="_Toc15396605"/>
      <w:r>
        <w:rPr>
          <w:rFonts w:hint="eastAsia" w:ascii="黑体" w:hAnsi="黑体" w:eastAsia="黑体"/>
          <w:sz w:val="32"/>
          <w:szCs w:val="32"/>
        </w:rPr>
        <w:t>支</w:t>
      </w:r>
      <w:r>
        <w:rPr>
          <w:rStyle w:val="31"/>
          <w:rFonts w:hint="eastAsia" w:ascii="黑体" w:hAnsi="黑体" w:eastAsia="黑体"/>
          <w:b w:val="0"/>
        </w:rPr>
        <w:t>出决算情况说明</w:t>
      </w:r>
      <w:bookmarkEnd w:id="26"/>
      <w:bookmarkEnd w:id="27"/>
      <w:bookmarkEnd w:id="28"/>
    </w:p>
    <w:p>
      <w:pPr>
        <w:spacing w:line="600" w:lineRule="exact"/>
        <w:ind w:firstLine="640" w:firstLineChars="200"/>
        <w:outlineLvl w:val="9"/>
        <w:rPr>
          <w:rFonts w:ascii="仿宋" w:hAnsi="仿宋" w:eastAsia="仿宋"/>
          <w:b/>
          <w:sz w:val="32"/>
          <w:szCs w:val="32"/>
        </w:rPr>
      </w:pPr>
      <w:r>
        <w:rPr>
          <w:rFonts w:hint="eastAsia" w:ascii="仿宋" w:hAnsi="仿宋" w:eastAsia="仿宋"/>
          <w:sz w:val="32"/>
          <w:szCs w:val="32"/>
          <w:shd w:val="pct10" w:color="auto" w:fill="FFFFFF"/>
          <w:lang w:eastAsia="zh-CN"/>
        </w:rPr>
        <w:drawing>
          <wp:anchor distT="0" distB="0" distL="114300" distR="114300" simplePos="0" relativeHeight="251661312" behindDoc="0" locked="0" layoutInCell="1" allowOverlap="1">
            <wp:simplePos x="0" y="0"/>
            <wp:positionH relativeFrom="column">
              <wp:posOffset>363855</wp:posOffset>
            </wp:positionH>
            <wp:positionV relativeFrom="paragraph">
              <wp:posOffset>804545</wp:posOffset>
            </wp:positionV>
            <wp:extent cx="4999355" cy="2130425"/>
            <wp:effectExtent l="4445" t="4445" r="6350" b="17780"/>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 w:hAnsi="仿宋" w:eastAsia="仿宋"/>
          <w:sz w:val="32"/>
          <w:szCs w:val="32"/>
        </w:rPr>
        <w:t>20</w:t>
      </w:r>
      <w:r>
        <w:rPr>
          <w:rFonts w:hint="eastAsia" w:ascii="仿宋" w:hAnsi="仿宋" w:eastAsia="仿宋"/>
          <w:sz w:val="32"/>
          <w:szCs w:val="32"/>
        </w:rPr>
        <w:t>22年本年支出合计</w:t>
      </w:r>
      <w:r>
        <w:rPr>
          <w:rFonts w:hint="eastAsia" w:ascii="仿宋" w:hAnsi="仿宋" w:eastAsia="仿宋"/>
          <w:sz w:val="32"/>
          <w:szCs w:val="32"/>
          <w:lang w:val="en-US" w:eastAsia="zh-CN"/>
        </w:rPr>
        <w:t>6682.46</w:t>
      </w:r>
      <w:r>
        <w:rPr>
          <w:rFonts w:hint="eastAsia" w:ascii="仿宋" w:hAnsi="仿宋" w:eastAsia="仿宋"/>
          <w:sz w:val="32"/>
          <w:szCs w:val="32"/>
        </w:rPr>
        <w:t>万元，其中：基本支出</w:t>
      </w:r>
      <w:r>
        <w:rPr>
          <w:rFonts w:hint="eastAsia" w:ascii="仿宋" w:hAnsi="仿宋" w:eastAsia="仿宋"/>
          <w:sz w:val="32"/>
          <w:szCs w:val="32"/>
          <w:lang w:val="en-US" w:eastAsia="zh-CN"/>
        </w:rPr>
        <w:t>126.74</w:t>
      </w:r>
      <w:r>
        <w:rPr>
          <w:rFonts w:hint="eastAsia" w:ascii="仿宋" w:hAnsi="仿宋" w:eastAsia="仿宋"/>
          <w:sz w:val="32"/>
          <w:szCs w:val="32"/>
        </w:rPr>
        <w:t>万元，占</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6555.72</w:t>
      </w:r>
      <w:r>
        <w:rPr>
          <w:rFonts w:hint="eastAsia" w:ascii="仿宋" w:hAnsi="仿宋" w:eastAsia="仿宋"/>
          <w:sz w:val="32"/>
          <w:szCs w:val="32"/>
        </w:rPr>
        <w:t>万元，占</w:t>
      </w:r>
      <w:r>
        <w:rPr>
          <w:rFonts w:hint="eastAsia" w:ascii="仿宋" w:hAnsi="仿宋" w:eastAsia="仿宋"/>
          <w:sz w:val="32"/>
          <w:szCs w:val="32"/>
          <w:lang w:val="en-US" w:eastAsia="zh-CN"/>
        </w:rPr>
        <w:t>98.1</w:t>
      </w:r>
      <w:r>
        <w:rPr>
          <w:rFonts w:ascii="仿宋" w:hAnsi="仿宋" w:eastAsia="仿宋"/>
          <w:sz w:val="32"/>
          <w:szCs w:val="32"/>
        </w:rPr>
        <w:t>%</w:t>
      </w:r>
      <w:r>
        <w:rPr>
          <w:rFonts w:hint="eastAsia" w:ascii="仿宋" w:hAnsi="仿宋" w:eastAsia="仿宋"/>
          <w:sz w:val="32"/>
          <w:szCs w:val="32"/>
        </w:rPr>
        <w:t>。</w:t>
      </w:r>
    </w:p>
    <w:p>
      <w:pPr>
        <w:spacing w:line="600" w:lineRule="exact"/>
        <w:ind w:firstLine="2886" w:firstLineChars="902"/>
        <w:rPr>
          <w:rFonts w:hint="eastAsia" w:ascii="仿宋_GB2312" w:eastAsia="仿宋"/>
          <w:sz w:val="32"/>
          <w:szCs w:val="32"/>
          <w:lang w:val="en-US" w:eastAsia="zh-CN"/>
        </w:rPr>
      </w:pPr>
      <w:r>
        <w:rPr>
          <w:rFonts w:hint="eastAsia" w:ascii="仿宋" w:hAnsi="仿宋" w:eastAsia="仿宋"/>
          <w:sz w:val="32"/>
          <w:szCs w:val="32"/>
        </w:rPr>
        <w:t>图3：支出决算结构图</w:t>
      </w:r>
      <w:r>
        <w:rPr>
          <w:rFonts w:hint="eastAsia" w:ascii="仿宋" w:hAnsi="仿宋" w:eastAsia="仿宋"/>
          <w:sz w:val="32"/>
          <w:szCs w:val="32"/>
          <w:lang w:val="en-US" w:eastAsia="zh-CN"/>
        </w:rPr>
        <w:t xml:space="preserve"> </w:t>
      </w:r>
    </w:p>
    <w:p>
      <w:pPr>
        <w:spacing w:line="600" w:lineRule="exact"/>
        <w:ind w:firstLine="640" w:firstLineChars="200"/>
        <w:outlineLvl w:val="1"/>
        <w:rPr>
          <w:rStyle w:val="31"/>
          <w:rFonts w:ascii="黑体" w:hAnsi="黑体" w:eastAsia="黑体"/>
          <w:b w:val="0"/>
        </w:rPr>
      </w:pPr>
      <w:bookmarkStart w:id="29" w:name="_Toc32075"/>
      <w:bookmarkStart w:id="30" w:name="_Toc15396606"/>
      <w:bookmarkStart w:id="31" w:name="_Toc15377208"/>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29"/>
      <w:bookmarkEnd w:id="30"/>
      <w:bookmarkEnd w:id="31"/>
    </w:p>
    <w:p>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drawing>
          <wp:anchor distT="0" distB="0" distL="114300" distR="114300" simplePos="0" relativeHeight="251662336" behindDoc="0" locked="0" layoutInCell="1" allowOverlap="1">
            <wp:simplePos x="0" y="0"/>
            <wp:positionH relativeFrom="column">
              <wp:posOffset>382905</wp:posOffset>
            </wp:positionH>
            <wp:positionV relativeFrom="paragraph">
              <wp:posOffset>1232535</wp:posOffset>
            </wp:positionV>
            <wp:extent cx="4913630" cy="2550795"/>
            <wp:effectExtent l="4445" t="4445" r="15875" b="1651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仿宋" w:hAnsi="仿宋" w:eastAsia="仿宋"/>
          <w:sz w:val="32"/>
          <w:szCs w:val="32"/>
        </w:rPr>
        <w:t>20</w:t>
      </w:r>
      <w:r>
        <w:rPr>
          <w:rFonts w:hint="eastAsia" w:ascii="仿宋" w:hAnsi="仿宋" w:eastAsia="仿宋"/>
          <w:sz w:val="32"/>
          <w:szCs w:val="32"/>
        </w:rPr>
        <w:t>22年财政拨款收、支总计</w:t>
      </w:r>
      <w:r>
        <w:rPr>
          <w:rFonts w:hint="eastAsia" w:ascii="仿宋" w:hAnsi="仿宋" w:eastAsia="仿宋"/>
          <w:sz w:val="32"/>
          <w:szCs w:val="32"/>
          <w:lang w:val="en-US" w:eastAsia="zh-CN"/>
        </w:rPr>
        <w:t>176.71</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21年相比，财政拨款收、支总计</w:t>
      </w:r>
      <w:r>
        <w:rPr>
          <w:rFonts w:hint="eastAsia" w:ascii="仿宋" w:hAnsi="仿宋" w:eastAsia="仿宋"/>
          <w:sz w:val="32"/>
          <w:szCs w:val="32"/>
          <w:lang w:eastAsia="zh-CN"/>
        </w:rPr>
        <w:t>减少</w:t>
      </w:r>
      <w:r>
        <w:rPr>
          <w:rFonts w:hint="eastAsia" w:ascii="仿宋" w:hAnsi="仿宋" w:eastAsia="仿宋"/>
          <w:sz w:val="32"/>
          <w:szCs w:val="32"/>
          <w:lang w:val="en-US" w:eastAsia="zh-CN"/>
        </w:rPr>
        <w:t>1.05</w:t>
      </w:r>
      <w:r>
        <w:rPr>
          <w:rFonts w:hint="eastAsia" w:ascii="仿宋" w:hAnsi="仿宋" w:eastAsia="仿宋"/>
          <w:sz w:val="32"/>
          <w:szCs w:val="32"/>
        </w:rPr>
        <w:t>万元，</w:t>
      </w:r>
      <w:r>
        <w:rPr>
          <w:rFonts w:hint="eastAsia" w:ascii="仿宋" w:hAnsi="仿宋" w:eastAsia="仿宋"/>
          <w:sz w:val="32"/>
          <w:szCs w:val="32"/>
          <w:lang w:eastAsia="zh-CN"/>
        </w:rPr>
        <w:t>下降</w:t>
      </w:r>
      <w:r>
        <w:rPr>
          <w:rFonts w:hint="eastAsia" w:ascii="仿宋" w:hAnsi="仿宋" w:eastAsia="仿宋"/>
          <w:sz w:val="32"/>
          <w:szCs w:val="32"/>
          <w:lang w:val="en-US" w:eastAsia="zh-CN"/>
        </w:rPr>
        <w:t>0.6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人员经费减少。</w:t>
      </w:r>
    </w:p>
    <w:p>
      <w:pPr>
        <w:spacing w:line="600" w:lineRule="exact"/>
        <w:ind w:firstLine="1280" w:firstLineChars="400"/>
        <w:rPr>
          <w:rFonts w:hint="eastAsia" w:ascii="仿宋" w:hAnsi="仿宋" w:eastAsia="仿宋"/>
          <w:b/>
          <w:sz w:val="32"/>
          <w:szCs w:val="32"/>
          <w:lang w:eastAsia="zh-CN"/>
        </w:rPr>
      </w:pPr>
      <w:r>
        <w:rPr>
          <w:rFonts w:hint="eastAsia" w:ascii="仿宋" w:hAnsi="仿宋" w:eastAsia="仿宋"/>
          <w:sz w:val="32"/>
          <w:szCs w:val="32"/>
        </w:rPr>
        <w:t>图4：财政拨款收、支决算总计变动情况</w:t>
      </w:r>
      <w:r>
        <w:rPr>
          <w:rFonts w:hint="eastAsia" w:ascii="仿宋" w:hAnsi="仿宋" w:eastAsia="仿宋"/>
          <w:sz w:val="32"/>
          <w:szCs w:val="32"/>
          <w:lang w:eastAsia="zh-CN"/>
        </w:rPr>
        <w:t>图</w:t>
      </w:r>
    </w:p>
    <w:p>
      <w:pPr>
        <w:spacing w:line="600" w:lineRule="exact"/>
        <w:ind w:firstLine="640" w:firstLineChars="200"/>
        <w:outlineLvl w:val="1"/>
        <w:rPr>
          <w:rStyle w:val="31"/>
          <w:rFonts w:ascii="黑体" w:hAnsi="黑体" w:eastAsia="黑体"/>
          <w:b w:val="0"/>
        </w:rPr>
      </w:pPr>
      <w:bookmarkStart w:id="32" w:name="_Toc15377209"/>
      <w:bookmarkStart w:id="33" w:name="_Toc27129"/>
      <w:bookmarkStart w:id="34" w:name="_Toc15396607"/>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32"/>
      <w:bookmarkEnd w:id="33"/>
      <w:bookmarkEnd w:id="34"/>
    </w:p>
    <w:p>
      <w:pPr>
        <w:spacing w:line="600" w:lineRule="exact"/>
        <w:ind w:firstLine="643" w:firstLineChars="200"/>
        <w:outlineLvl w:val="9"/>
        <w:rPr>
          <w:rFonts w:ascii="仿宋" w:hAnsi="仿宋" w:eastAsia="仿宋"/>
          <w:b/>
          <w:sz w:val="32"/>
          <w:szCs w:val="32"/>
        </w:rPr>
      </w:pPr>
      <w:bookmarkStart w:id="35" w:name="_Toc15377210"/>
      <w:r>
        <w:rPr>
          <w:rFonts w:hint="eastAsia" w:ascii="仿宋" w:hAnsi="仿宋" w:eastAsia="仿宋"/>
          <w:b/>
          <w:sz w:val="32"/>
          <w:szCs w:val="32"/>
        </w:rPr>
        <w:t>（一）一般公共预算财政拨款支出决算总体情况</w:t>
      </w:r>
      <w:bookmarkEnd w:id="35"/>
    </w:p>
    <w:p>
      <w:pPr>
        <w:spacing w:line="600" w:lineRule="exact"/>
        <w:ind w:firstLine="640" w:firstLineChars="200"/>
        <w:rPr>
          <w:rFonts w:hint="eastAsia" w:ascii="仿宋" w:hAnsi="仿宋" w:eastAsia="仿宋"/>
          <w:sz w:val="32"/>
          <w:szCs w:val="32"/>
          <w:highlight w:val="none"/>
          <w:lang w:eastAsia="zh-CN"/>
        </w:rPr>
      </w:pPr>
      <w:r>
        <w:rPr>
          <w:rFonts w:ascii="仿宋" w:hAnsi="仿宋" w:eastAsia="仿宋"/>
          <w:sz w:val="32"/>
          <w:szCs w:val="32"/>
        </w:rPr>
        <w:t>20</w:t>
      </w:r>
      <w:r>
        <w:rPr>
          <w:rFonts w:hint="eastAsia" w:ascii="仿宋" w:hAnsi="仿宋" w:eastAsia="仿宋"/>
          <w:sz w:val="32"/>
          <w:szCs w:val="32"/>
        </w:rPr>
        <w:t>22年一般公共预算财政拨款支出</w:t>
      </w:r>
      <w:r>
        <w:rPr>
          <w:rFonts w:hint="eastAsia" w:ascii="仿宋" w:hAnsi="仿宋" w:eastAsia="仿宋"/>
          <w:sz w:val="32"/>
          <w:szCs w:val="32"/>
          <w:lang w:val="en-US" w:eastAsia="zh-CN"/>
        </w:rPr>
        <w:t>126.71</w:t>
      </w:r>
      <w:r>
        <w:rPr>
          <w:rFonts w:hint="eastAsia" w:ascii="仿宋" w:hAnsi="仿宋" w:eastAsia="仿宋"/>
          <w:sz w:val="32"/>
          <w:szCs w:val="32"/>
        </w:rPr>
        <w:t>万元，占本年支出合计的</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21年相比，一般公共预算财政拨款支出减少</w:t>
      </w:r>
      <w:r>
        <w:rPr>
          <w:rFonts w:hint="eastAsia" w:ascii="仿宋" w:hAnsi="仿宋" w:eastAsia="仿宋"/>
          <w:sz w:val="32"/>
          <w:szCs w:val="32"/>
          <w:lang w:val="en-US" w:eastAsia="zh-CN"/>
        </w:rPr>
        <w:t>50.38</w:t>
      </w:r>
      <w:r>
        <w:rPr>
          <w:rFonts w:hint="eastAsia" w:ascii="仿宋" w:hAnsi="仿宋" w:eastAsia="仿宋"/>
          <w:sz w:val="32"/>
          <w:szCs w:val="32"/>
        </w:rPr>
        <w:t>万元，下降</w:t>
      </w:r>
      <w:r>
        <w:rPr>
          <w:rFonts w:hint="eastAsia" w:ascii="仿宋" w:hAnsi="仿宋" w:eastAsia="仿宋"/>
          <w:sz w:val="32"/>
          <w:szCs w:val="32"/>
          <w:lang w:val="en-US" w:eastAsia="zh-CN"/>
        </w:rPr>
        <w:t>28.45</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highlight w:val="none"/>
          <w:lang w:eastAsia="zh-CN"/>
        </w:rPr>
        <w:t>项目经费减少。</w:t>
      </w:r>
    </w:p>
    <w:p>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anchor distT="0" distB="0" distL="114300" distR="114300" simplePos="0" relativeHeight="251663360" behindDoc="0" locked="0" layoutInCell="1" allowOverlap="1">
            <wp:simplePos x="0" y="0"/>
            <wp:positionH relativeFrom="column">
              <wp:posOffset>20955</wp:posOffset>
            </wp:positionH>
            <wp:positionV relativeFrom="paragraph">
              <wp:posOffset>156845</wp:posOffset>
            </wp:positionV>
            <wp:extent cx="5256530" cy="2988310"/>
            <wp:effectExtent l="5080" t="4445" r="15240" b="17145"/>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sz w:val="32"/>
          <w:szCs w:val="32"/>
        </w:rPr>
        <w:t>图5：一般公共预算财政拨款支出决算变动情况</w:t>
      </w:r>
      <w:r>
        <w:rPr>
          <w:rFonts w:hint="eastAsia" w:ascii="仿宋" w:hAnsi="仿宋" w:eastAsia="仿宋"/>
          <w:sz w:val="32"/>
          <w:szCs w:val="32"/>
          <w:lang w:eastAsia="zh-CN"/>
        </w:rPr>
        <w:t>图</w:t>
      </w:r>
    </w:p>
    <w:p>
      <w:pPr>
        <w:spacing w:line="600" w:lineRule="exact"/>
        <w:ind w:firstLine="643" w:firstLineChars="200"/>
        <w:outlineLvl w:val="9"/>
        <w:rPr>
          <w:rFonts w:ascii="仿宋" w:hAnsi="仿宋" w:eastAsia="仿宋"/>
          <w:b/>
          <w:sz w:val="32"/>
          <w:szCs w:val="32"/>
        </w:rPr>
      </w:pPr>
      <w:bookmarkStart w:id="36" w:name="_Toc15377211"/>
      <w:r>
        <w:rPr>
          <w:rFonts w:hint="eastAsia" w:ascii="仿宋" w:hAnsi="仿宋" w:eastAsia="仿宋"/>
          <w:b/>
          <w:sz w:val="32"/>
          <w:szCs w:val="32"/>
        </w:rPr>
        <w:t>（二）一般公共预算财政拨款支出决算结构情况</w:t>
      </w:r>
      <w:bookmarkEnd w:id="36"/>
    </w:p>
    <w:p>
      <w:pPr>
        <w:spacing w:line="600" w:lineRule="exact"/>
        <w:ind w:firstLine="640"/>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hint="eastAsia" w:ascii="仿宋" w:hAnsi="仿宋" w:eastAsia="仿宋"/>
          <w:sz w:val="32"/>
          <w:szCs w:val="32"/>
          <w:lang w:val="en-US" w:eastAsia="zh-CN"/>
        </w:rPr>
        <w:t>126.71</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98.21</w:t>
      </w:r>
      <w:r>
        <w:rPr>
          <w:rFonts w:hint="eastAsia" w:ascii="仿宋" w:hAnsi="仿宋" w:eastAsia="仿宋"/>
          <w:sz w:val="32"/>
          <w:szCs w:val="32"/>
        </w:rPr>
        <w:t>万元，占</w:t>
      </w:r>
      <w:r>
        <w:rPr>
          <w:rFonts w:hint="eastAsia" w:ascii="仿宋" w:hAnsi="仿宋" w:eastAsia="仿宋"/>
          <w:sz w:val="32"/>
          <w:szCs w:val="32"/>
          <w:lang w:val="en-US" w:eastAsia="zh-CN"/>
        </w:rPr>
        <w:t>77.5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13.11</w:t>
      </w:r>
      <w:r>
        <w:rPr>
          <w:rFonts w:hint="eastAsia" w:ascii="仿宋" w:hAnsi="仿宋" w:eastAsia="仿宋"/>
          <w:sz w:val="32"/>
          <w:szCs w:val="32"/>
        </w:rPr>
        <w:t>万元，占</w:t>
      </w:r>
      <w:r>
        <w:rPr>
          <w:rFonts w:hint="eastAsia" w:ascii="仿宋" w:hAnsi="仿宋" w:eastAsia="仿宋"/>
          <w:sz w:val="32"/>
          <w:szCs w:val="32"/>
          <w:lang w:val="en-US" w:eastAsia="zh-CN"/>
        </w:rPr>
        <w:t>10.35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6.86</w:t>
      </w:r>
      <w:r>
        <w:rPr>
          <w:rFonts w:hint="eastAsia" w:ascii="仿宋" w:hAnsi="仿宋" w:eastAsia="仿宋"/>
          <w:sz w:val="32"/>
          <w:szCs w:val="32"/>
        </w:rPr>
        <w:t>万元，占</w:t>
      </w:r>
      <w:r>
        <w:rPr>
          <w:rFonts w:hint="eastAsia" w:ascii="仿宋" w:hAnsi="仿宋" w:eastAsia="仿宋"/>
          <w:sz w:val="32"/>
          <w:szCs w:val="32"/>
          <w:lang w:val="en-US" w:eastAsia="zh-CN"/>
        </w:rPr>
        <w:t>5.41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8.53</w:t>
      </w:r>
      <w:r>
        <w:rPr>
          <w:rFonts w:hint="eastAsia" w:ascii="仿宋" w:hAnsi="仿宋" w:eastAsia="仿宋"/>
          <w:sz w:val="32"/>
          <w:szCs w:val="32"/>
        </w:rPr>
        <w:t>万元，占</w:t>
      </w:r>
      <w:r>
        <w:rPr>
          <w:rFonts w:hint="eastAsia" w:ascii="仿宋" w:hAnsi="仿宋" w:eastAsia="仿宋"/>
          <w:sz w:val="32"/>
          <w:szCs w:val="32"/>
          <w:lang w:val="en-US" w:eastAsia="zh-CN"/>
        </w:rPr>
        <w:t>6.73</w:t>
      </w:r>
      <w:r>
        <w:rPr>
          <w:rFonts w:hint="eastAsia" w:ascii="仿宋" w:hAnsi="仿宋" w:eastAsia="仿宋"/>
          <w:sz w:val="32"/>
          <w:szCs w:val="32"/>
        </w:rPr>
        <w:t>。</w:t>
      </w:r>
    </w:p>
    <w:p>
      <w:pPr>
        <w:pStyle w:val="9"/>
        <w:rPr>
          <w:rFonts w:hint="eastAsia"/>
        </w:rPr>
      </w:pPr>
    </w:p>
    <w:p>
      <w:pPr>
        <w:spacing w:line="600" w:lineRule="exact"/>
        <w:ind w:firstLine="640"/>
        <w:rPr>
          <w:rFonts w:hint="eastAsia" w:ascii="仿宋" w:hAnsi="仿宋" w:eastAsia="仿宋"/>
          <w:sz w:val="32"/>
          <w:szCs w:val="32"/>
        </w:rPr>
      </w:pPr>
    </w:p>
    <w:p>
      <w:pPr>
        <w:spacing w:line="600" w:lineRule="exact"/>
        <w:ind w:firstLine="640"/>
        <w:rPr>
          <w:rFonts w:hint="eastAsia" w:ascii="仿宋" w:hAnsi="仿宋" w:eastAsia="仿宋"/>
          <w:sz w:val="32"/>
          <w:szCs w:val="32"/>
        </w:rPr>
      </w:pPr>
    </w:p>
    <w:p>
      <w:pPr>
        <w:spacing w:line="600" w:lineRule="exact"/>
        <w:ind w:firstLine="640"/>
        <w:rPr>
          <w:rFonts w:hint="eastAsia" w:ascii="仿宋" w:hAnsi="仿宋" w:eastAsia="仿宋"/>
          <w:sz w:val="32"/>
          <w:szCs w:val="32"/>
        </w:rPr>
      </w:pPr>
      <w:r>
        <w:rPr>
          <w:rFonts w:hint="eastAsia" w:ascii="仿宋" w:hAnsi="仿宋" w:eastAsia="仿宋"/>
          <w:sz w:val="32"/>
          <w:szCs w:val="32"/>
          <w:lang w:eastAsia="zh-CN"/>
        </w:rPr>
        <w:drawing>
          <wp:anchor distT="0" distB="0" distL="114300" distR="114300" simplePos="0" relativeHeight="251664384" behindDoc="0" locked="0" layoutInCell="1" allowOverlap="1">
            <wp:simplePos x="0" y="0"/>
            <wp:positionH relativeFrom="column">
              <wp:posOffset>87630</wp:posOffset>
            </wp:positionH>
            <wp:positionV relativeFrom="paragraph">
              <wp:posOffset>143510</wp:posOffset>
            </wp:positionV>
            <wp:extent cx="5075555" cy="1875155"/>
            <wp:effectExtent l="4445" t="4445" r="6350" b="635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0"/>
        <w:rPr>
          <w:rFonts w:hint="eastAsia" w:ascii="仿宋" w:hAnsi="仿宋" w:eastAsia="仿宋"/>
          <w:sz w:val="32"/>
          <w:szCs w:val="32"/>
        </w:rPr>
      </w:pPr>
    </w:p>
    <w:p>
      <w:pPr>
        <w:spacing w:line="600" w:lineRule="exact"/>
        <w:ind w:firstLine="640"/>
        <w:rPr>
          <w:rFonts w:hint="eastAsia" w:ascii="仿宋" w:hAnsi="仿宋" w:eastAsia="仿宋"/>
          <w:sz w:val="32"/>
          <w:szCs w:val="32"/>
        </w:rPr>
      </w:pPr>
    </w:p>
    <w:p>
      <w:pPr>
        <w:spacing w:line="600" w:lineRule="exact"/>
        <w:ind w:firstLine="640"/>
        <w:rPr>
          <w:rFonts w:hint="eastAsia" w:ascii="仿宋" w:hAnsi="仿宋" w:eastAsia="仿宋"/>
          <w:sz w:val="32"/>
          <w:szCs w:val="32"/>
        </w:rPr>
      </w:pPr>
    </w:p>
    <w:p>
      <w:pPr>
        <w:pStyle w:val="9"/>
        <w:rPr>
          <w:rFonts w:hint="eastAsia"/>
        </w:rPr>
      </w:pPr>
    </w:p>
    <w:p>
      <w:pPr>
        <w:spacing w:line="600" w:lineRule="exact"/>
        <w:ind w:firstLine="1292" w:firstLineChars="404"/>
        <w:rPr>
          <w:rFonts w:ascii="仿宋" w:hAnsi="仿宋" w:eastAsia="仿宋"/>
          <w:sz w:val="32"/>
          <w:szCs w:val="32"/>
        </w:rPr>
      </w:pPr>
      <w:r>
        <w:rPr>
          <w:rFonts w:hint="eastAsia" w:ascii="仿宋" w:hAnsi="仿宋" w:eastAsia="仿宋"/>
          <w:sz w:val="32"/>
          <w:szCs w:val="32"/>
        </w:rPr>
        <w:t>图6：一般公共预算财政拨款支出决算结构图</w:t>
      </w:r>
    </w:p>
    <w:p>
      <w:pPr>
        <w:spacing w:line="600" w:lineRule="exact"/>
        <w:ind w:firstLine="643" w:firstLineChars="200"/>
        <w:outlineLvl w:val="9"/>
        <w:rPr>
          <w:rFonts w:ascii="仿宋" w:hAnsi="仿宋" w:eastAsia="仿宋"/>
          <w:b/>
          <w:sz w:val="32"/>
          <w:szCs w:val="32"/>
        </w:rPr>
      </w:pPr>
      <w:bookmarkStart w:id="37" w:name="_Toc15377212"/>
      <w:r>
        <w:rPr>
          <w:rFonts w:hint="eastAsia" w:ascii="仿宋" w:hAnsi="仿宋" w:eastAsia="仿宋"/>
          <w:b/>
          <w:sz w:val="32"/>
          <w:szCs w:val="32"/>
        </w:rPr>
        <w:t>（三）一般公共预算财政拨款支出决算具体情况</w:t>
      </w:r>
      <w:bookmarkEnd w:id="37"/>
    </w:p>
    <w:p>
      <w:pPr>
        <w:spacing w:line="600" w:lineRule="exact"/>
        <w:ind w:firstLine="643" w:firstLineChars="200"/>
        <w:outlineLvl w:val="9"/>
        <w:rPr>
          <w:rFonts w:ascii="仿宋" w:hAnsi="仿宋" w:eastAsia="仿宋"/>
          <w:sz w:val="32"/>
          <w:szCs w:val="32"/>
        </w:rPr>
      </w:pPr>
      <w:bookmarkStart w:id="38" w:name="_Toc15378460"/>
      <w:bookmarkStart w:id="39" w:name="_Toc15377213"/>
      <w:bookmarkStart w:id="40" w:name="_Toc15377444"/>
      <w:r>
        <w:rPr>
          <w:rFonts w:hint="eastAsia" w:ascii="仿宋" w:hAnsi="仿宋" w:eastAsia="仿宋"/>
          <w:b/>
          <w:sz w:val="32"/>
          <w:szCs w:val="32"/>
        </w:rPr>
        <w:t>2022年一般公共预算支出决算数为</w:t>
      </w:r>
      <w:r>
        <w:rPr>
          <w:rFonts w:hint="eastAsia" w:ascii="仿宋" w:hAnsi="仿宋" w:eastAsia="仿宋"/>
          <w:b/>
          <w:sz w:val="32"/>
          <w:szCs w:val="32"/>
          <w:lang w:val="en-US" w:eastAsia="zh-CN"/>
        </w:rPr>
        <w:t>126.71万元</w:t>
      </w:r>
      <w:r>
        <w:rPr>
          <w:rFonts w:hint="eastAsia" w:ascii="仿宋" w:hAnsi="仿宋" w:eastAsia="仿宋"/>
          <w:sz w:val="32"/>
          <w:szCs w:val="32"/>
        </w:rPr>
        <w:t>，</w:t>
      </w:r>
      <w:r>
        <w:rPr>
          <w:rStyle w:val="19"/>
          <w:rFonts w:hint="eastAsia" w:ascii="仿宋" w:hAnsi="仿宋" w:eastAsia="仿宋"/>
          <w:bCs/>
          <w:sz w:val="32"/>
          <w:szCs w:val="32"/>
        </w:rPr>
        <w:t>完成预算</w:t>
      </w:r>
      <w:r>
        <w:rPr>
          <w:rStyle w:val="19"/>
          <w:rFonts w:hint="eastAsia" w:ascii="仿宋" w:hAnsi="仿宋" w:eastAsia="仿宋"/>
          <w:bCs/>
          <w:sz w:val="32"/>
          <w:szCs w:val="32"/>
          <w:lang w:val="en-US" w:eastAsia="zh-CN"/>
        </w:rPr>
        <w:t>100</w:t>
      </w:r>
      <w:r>
        <w:rPr>
          <w:rStyle w:val="19"/>
          <w:rFonts w:ascii="仿宋" w:hAnsi="仿宋" w:eastAsia="仿宋"/>
          <w:bCs/>
          <w:sz w:val="32"/>
          <w:szCs w:val="32"/>
        </w:rPr>
        <w:t>%</w:t>
      </w:r>
      <w:r>
        <w:rPr>
          <w:rStyle w:val="19"/>
          <w:rFonts w:hint="eastAsia" w:ascii="仿宋" w:hAnsi="仿宋" w:eastAsia="仿宋"/>
          <w:bCs/>
          <w:sz w:val="32"/>
          <w:szCs w:val="32"/>
        </w:rPr>
        <w:t>。其中：</w:t>
      </w:r>
      <w:bookmarkEnd w:id="38"/>
      <w:bookmarkEnd w:id="39"/>
      <w:bookmarkEnd w:id="40"/>
    </w:p>
    <w:p>
      <w:pPr>
        <w:pageBreakBefore w:val="0"/>
        <w:wordWrap/>
        <w:overflowPunct/>
        <w:topLinePunct w:val="0"/>
        <w:bidi w:val="0"/>
        <w:adjustRightInd w:val="0"/>
        <w:snapToGrid w:val="0"/>
        <w:spacing w:before="140" w:line="310" w:lineRule="auto"/>
        <w:ind w:firstLine="635"/>
        <w:rPr>
          <w:rFonts w:ascii="仿宋" w:hAnsi="仿宋" w:eastAsia="仿宋" w:cs="仿宋"/>
          <w:spacing w:val="0"/>
          <w:sz w:val="31"/>
          <w:szCs w:val="31"/>
        </w:rPr>
      </w:pPr>
      <w:r>
        <w:rPr>
          <w:rFonts w:hint="eastAsia" w:ascii="仿宋" w:hAnsi="仿宋" w:eastAsia="仿宋" w:cs="仿宋"/>
          <w:spacing w:val="0"/>
          <w:sz w:val="31"/>
          <w:szCs w:val="31"/>
          <w:lang w:val="en-US" w:eastAsia="zh-CN"/>
        </w:rPr>
        <w:t>1.</w:t>
      </w:r>
      <w:r>
        <w:rPr>
          <w:rFonts w:hint="eastAsia" w:ascii="仿宋" w:hAnsi="仿宋" w:eastAsia="仿宋" w:cs="仿宋"/>
          <w:spacing w:val="0"/>
          <w:sz w:val="31"/>
          <w:szCs w:val="31"/>
        </w:rPr>
        <w:t>一般公共服务(类)政府办公厅(室)及相关机构事务(款</w:t>
      </w:r>
      <w:r>
        <w:rPr>
          <w:rFonts w:hint="eastAsia" w:ascii="仿宋" w:hAnsi="仿宋" w:eastAsia="仿宋" w:cs="仿宋"/>
          <w:spacing w:val="0"/>
          <w:sz w:val="31"/>
          <w:szCs w:val="31"/>
          <w:lang w:val="en-US" w:eastAsia="zh-CN"/>
        </w:rPr>
        <w:t>)</w:t>
      </w:r>
      <w:r>
        <w:rPr>
          <w:rFonts w:hint="eastAsia" w:ascii="仿宋" w:hAnsi="仿宋" w:eastAsia="仿宋" w:cs="仿宋"/>
          <w:spacing w:val="0"/>
          <w:sz w:val="31"/>
          <w:szCs w:val="31"/>
        </w:rPr>
        <w:t>行政运行(项)</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支出决算为</w:t>
      </w:r>
      <w:r>
        <w:rPr>
          <w:rFonts w:hint="eastAsia" w:ascii="仿宋" w:hAnsi="仿宋" w:eastAsia="仿宋" w:cs="仿宋"/>
          <w:spacing w:val="0"/>
          <w:sz w:val="31"/>
          <w:szCs w:val="31"/>
          <w:lang w:val="en-US" w:eastAsia="zh-CN"/>
        </w:rPr>
        <w:t>50.19</w:t>
      </w:r>
      <w:r>
        <w:rPr>
          <w:rFonts w:hint="eastAsia" w:ascii="仿宋" w:hAnsi="仿宋" w:eastAsia="仿宋" w:cs="仿宋"/>
          <w:spacing w:val="0"/>
          <w:sz w:val="31"/>
          <w:szCs w:val="31"/>
        </w:rPr>
        <w:t>万元，完成预算</w:t>
      </w:r>
      <w:r>
        <w:rPr>
          <w:rFonts w:hint="eastAsia" w:ascii="仿宋" w:hAnsi="仿宋" w:eastAsia="仿宋" w:cs="仿宋"/>
          <w:spacing w:val="0"/>
          <w:sz w:val="31"/>
          <w:szCs w:val="31"/>
          <w:lang w:val="en-US" w:eastAsia="zh-CN"/>
        </w:rPr>
        <w:t>100</w:t>
      </w:r>
      <w:r>
        <w:rPr>
          <w:rFonts w:hint="eastAsia" w:ascii="仿宋" w:hAnsi="仿宋" w:eastAsia="仿宋" w:cs="仿宋"/>
          <w:spacing w:val="0"/>
          <w:sz w:val="31"/>
          <w:szCs w:val="31"/>
        </w:rPr>
        <w:t>%，</w:t>
      </w:r>
      <w:r>
        <w:rPr>
          <w:rFonts w:ascii="仿宋" w:hAnsi="仿宋" w:eastAsia="仿宋" w:cs="仿宋"/>
          <w:spacing w:val="0"/>
          <w:sz w:val="31"/>
          <w:szCs w:val="31"/>
        </w:rPr>
        <w:t>决算数和预算数持平</w:t>
      </w:r>
      <w:r>
        <w:rPr>
          <w:rFonts w:hint="eastAsia" w:ascii="仿宋" w:hAnsi="仿宋" w:eastAsia="仿宋" w:cs="仿宋"/>
          <w:spacing w:val="0"/>
          <w:sz w:val="31"/>
          <w:szCs w:val="31"/>
        </w:rPr>
        <w:t>。</w:t>
      </w:r>
    </w:p>
    <w:p>
      <w:pPr>
        <w:pageBreakBefore w:val="0"/>
        <w:wordWrap/>
        <w:overflowPunct/>
        <w:topLinePunct w:val="0"/>
        <w:bidi w:val="0"/>
        <w:adjustRightInd w:val="0"/>
        <w:snapToGrid w:val="0"/>
        <w:spacing w:before="140" w:line="310" w:lineRule="auto"/>
        <w:ind w:firstLine="635"/>
        <w:rPr>
          <w:rFonts w:hint="eastAsia" w:ascii="仿宋" w:hAnsi="仿宋" w:eastAsia="仿宋" w:cs="仿宋"/>
          <w:spacing w:val="0"/>
          <w:sz w:val="31"/>
          <w:szCs w:val="31"/>
        </w:rPr>
      </w:pPr>
      <w:r>
        <w:rPr>
          <w:rFonts w:hint="eastAsia" w:ascii="仿宋" w:hAnsi="仿宋" w:eastAsia="仿宋" w:cs="仿宋"/>
          <w:spacing w:val="0"/>
          <w:sz w:val="31"/>
          <w:szCs w:val="31"/>
          <w:lang w:val="en-US" w:eastAsia="zh-CN"/>
        </w:rPr>
        <w:t>2.</w:t>
      </w:r>
      <w:r>
        <w:rPr>
          <w:rFonts w:hint="eastAsia" w:ascii="仿宋" w:hAnsi="仿宋" w:eastAsia="仿宋" w:cs="仿宋"/>
          <w:spacing w:val="0"/>
          <w:sz w:val="31"/>
          <w:szCs w:val="31"/>
        </w:rPr>
        <w:t>一般公共服务(类)政府办公厅(室)及相关机构事务(款</w:t>
      </w:r>
      <w:r>
        <w:rPr>
          <w:rFonts w:hint="eastAsia" w:ascii="仿宋" w:hAnsi="仿宋" w:eastAsia="仿宋" w:cs="仿宋"/>
          <w:spacing w:val="0"/>
          <w:sz w:val="31"/>
          <w:szCs w:val="31"/>
          <w:lang w:val="en-US" w:eastAsia="zh-CN"/>
        </w:rPr>
        <w:t>)</w:t>
      </w:r>
      <w:r>
        <w:rPr>
          <w:rFonts w:hint="eastAsia" w:ascii="仿宋" w:hAnsi="仿宋" w:eastAsia="仿宋" w:cs="仿宋"/>
          <w:spacing w:val="0"/>
          <w:sz w:val="31"/>
          <w:szCs w:val="31"/>
          <w:lang w:eastAsia="zh-CN"/>
        </w:rPr>
        <w:t>事业运行</w:t>
      </w:r>
      <w:r>
        <w:rPr>
          <w:rFonts w:hint="eastAsia" w:ascii="仿宋" w:hAnsi="仿宋" w:eastAsia="仿宋" w:cs="仿宋"/>
          <w:spacing w:val="0"/>
          <w:sz w:val="31"/>
          <w:szCs w:val="31"/>
        </w:rPr>
        <w:t>(项)</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支出决算为</w:t>
      </w:r>
      <w:r>
        <w:rPr>
          <w:rFonts w:hint="eastAsia" w:ascii="仿宋" w:hAnsi="仿宋" w:eastAsia="仿宋" w:cs="仿宋"/>
          <w:spacing w:val="0"/>
          <w:sz w:val="31"/>
          <w:szCs w:val="31"/>
          <w:lang w:val="en-US" w:eastAsia="zh-CN"/>
        </w:rPr>
        <w:t>48.02</w:t>
      </w:r>
      <w:r>
        <w:rPr>
          <w:rFonts w:hint="eastAsia" w:ascii="仿宋" w:hAnsi="仿宋" w:eastAsia="仿宋" w:cs="仿宋"/>
          <w:spacing w:val="0"/>
          <w:sz w:val="31"/>
          <w:szCs w:val="31"/>
        </w:rPr>
        <w:t>万元，完成预算</w:t>
      </w:r>
      <w:r>
        <w:rPr>
          <w:rFonts w:hint="eastAsia" w:ascii="仿宋" w:hAnsi="仿宋" w:eastAsia="仿宋" w:cs="仿宋"/>
          <w:spacing w:val="0"/>
          <w:sz w:val="31"/>
          <w:szCs w:val="31"/>
          <w:lang w:val="en-US" w:eastAsia="zh-CN"/>
        </w:rPr>
        <w:t>100</w:t>
      </w:r>
      <w:r>
        <w:rPr>
          <w:rFonts w:hint="eastAsia" w:ascii="仿宋" w:hAnsi="仿宋" w:eastAsia="仿宋" w:cs="仿宋"/>
          <w:spacing w:val="0"/>
          <w:sz w:val="31"/>
          <w:szCs w:val="31"/>
        </w:rPr>
        <w:t>%，</w:t>
      </w:r>
      <w:r>
        <w:rPr>
          <w:rFonts w:ascii="仿宋" w:hAnsi="仿宋" w:eastAsia="仿宋" w:cs="仿宋"/>
          <w:spacing w:val="0"/>
          <w:sz w:val="31"/>
          <w:szCs w:val="31"/>
        </w:rPr>
        <w:t>决算数和预算数持平</w:t>
      </w:r>
      <w:r>
        <w:rPr>
          <w:rFonts w:hint="eastAsia" w:ascii="仿宋" w:hAnsi="仿宋" w:eastAsia="仿宋" w:cs="仿宋"/>
          <w:spacing w:val="0"/>
          <w:sz w:val="31"/>
          <w:szCs w:val="31"/>
        </w:rPr>
        <w:t>。</w:t>
      </w:r>
    </w:p>
    <w:p>
      <w:pPr>
        <w:pStyle w:val="9"/>
        <w:pageBreakBefore w:val="0"/>
        <w:wordWrap/>
        <w:overflowPunct/>
        <w:topLinePunct w:val="0"/>
        <w:bidi w:val="0"/>
        <w:adjustRightInd w:val="0"/>
        <w:snapToGrid w:val="0"/>
        <w:spacing w:line="310" w:lineRule="auto"/>
        <w:ind w:firstLine="620" w:firstLineChars="200"/>
        <w:rPr>
          <w:rFonts w:hint="eastAsia" w:ascii="仿宋" w:hAnsi="仿宋" w:eastAsia="仿宋" w:cs="仿宋"/>
          <w:b w:val="0"/>
          <w:snapToGrid w:val="0"/>
          <w:color w:val="000000"/>
          <w:spacing w:val="0"/>
          <w:kern w:val="0"/>
          <w:sz w:val="31"/>
          <w:szCs w:val="31"/>
          <w:lang w:eastAsia="zh-CN"/>
        </w:rPr>
      </w:pPr>
      <w:r>
        <w:rPr>
          <w:rFonts w:hint="eastAsia" w:ascii="仿宋" w:hAnsi="仿宋" w:eastAsia="仿宋" w:cs="仿宋"/>
          <w:b w:val="0"/>
          <w:snapToGrid w:val="0"/>
          <w:color w:val="000000"/>
          <w:spacing w:val="0"/>
          <w:kern w:val="0"/>
          <w:sz w:val="31"/>
          <w:szCs w:val="31"/>
          <w:lang w:val="en-US" w:eastAsia="zh-CN"/>
        </w:rPr>
        <w:t>3.</w:t>
      </w:r>
      <w:r>
        <w:rPr>
          <w:rFonts w:hint="eastAsia" w:ascii="仿宋" w:hAnsi="仿宋" w:eastAsia="仿宋" w:cs="仿宋"/>
          <w:b w:val="0"/>
          <w:snapToGrid w:val="0"/>
          <w:color w:val="000000"/>
          <w:spacing w:val="0"/>
          <w:kern w:val="0"/>
          <w:sz w:val="31"/>
          <w:szCs w:val="31"/>
        </w:rPr>
        <w:t>社会保障和就业(类)行政事业单位养老支出(款</w:t>
      </w:r>
      <w:r>
        <w:rPr>
          <w:rFonts w:hint="eastAsia" w:ascii="仿宋" w:hAnsi="仿宋" w:eastAsia="仿宋" w:cs="仿宋"/>
          <w:b w:val="0"/>
          <w:snapToGrid w:val="0"/>
          <w:color w:val="000000"/>
          <w:spacing w:val="0"/>
          <w:kern w:val="0"/>
          <w:sz w:val="31"/>
          <w:szCs w:val="31"/>
          <w:lang w:val="en-US" w:eastAsia="zh-CN"/>
        </w:rPr>
        <w:t>)</w:t>
      </w:r>
      <w:r>
        <w:rPr>
          <w:rFonts w:hint="eastAsia" w:ascii="仿宋" w:hAnsi="仿宋" w:eastAsia="仿宋" w:cs="仿宋"/>
          <w:b w:val="0"/>
          <w:snapToGrid w:val="0"/>
          <w:color w:val="000000"/>
          <w:spacing w:val="0"/>
          <w:kern w:val="0"/>
          <w:sz w:val="31"/>
          <w:szCs w:val="31"/>
        </w:rPr>
        <w:t>机关事业单位基本养老保险缴费支出(项)</w:t>
      </w:r>
      <w:r>
        <w:rPr>
          <w:rFonts w:hint="eastAsia" w:ascii="仿宋" w:hAnsi="仿宋" w:eastAsia="仿宋" w:cs="仿宋"/>
          <w:b w:val="0"/>
          <w:snapToGrid w:val="0"/>
          <w:color w:val="000000"/>
          <w:spacing w:val="0"/>
          <w:kern w:val="0"/>
          <w:sz w:val="31"/>
          <w:szCs w:val="31"/>
          <w:lang w:eastAsia="zh-CN"/>
        </w:rPr>
        <w:t>：支出决算为</w:t>
      </w:r>
      <w:r>
        <w:rPr>
          <w:rFonts w:hint="eastAsia" w:ascii="仿宋" w:hAnsi="仿宋" w:eastAsia="仿宋" w:cs="仿宋"/>
          <w:b w:val="0"/>
          <w:snapToGrid w:val="0"/>
          <w:color w:val="000000"/>
          <w:spacing w:val="0"/>
          <w:kern w:val="0"/>
          <w:sz w:val="31"/>
          <w:szCs w:val="31"/>
          <w:lang w:val="en-US" w:eastAsia="zh-CN"/>
        </w:rPr>
        <w:t>13.11</w:t>
      </w:r>
      <w:r>
        <w:rPr>
          <w:rFonts w:hint="eastAsia" w:ascii="仿宋" w:hAnsi="仿宋" w:eastAsia="仿宋" w:cs="仿宋"/>
          <w:b w:val="0"/>
          <w:snapToGrid w:val="0"/>
          <w:color w:val="000000"/>
          <w:spacing w:val="0"/>
          <w:kern w:val="0"/>
          <w:sz w:val="31"/>
          <w:szCs w:val="31"/>
          <w:lang w:eastAsia="zh-CN"/>
        </w:rPr>
        <w:t>万元，完成预算100%，决算数和预算数持平。</w:t>
      </w:r>
    </w:p>
    <w:p>
      <w:pPr>
        <w:pageBreakBefore w:val="0"/>
        <w:numPr>
          <w:ilvl w:val="0"/>
          <w:numId w:val="0"/>
        </w:numPr>
        <w:wordWrap/>
        <w:overflowPunct/>
        <w:topLinePunct w:val="0"/>
        <w:bidi w:val="0"/>
        <w:adjustRightInd w:val="0"/>
        <w:snapToGrid w:val="0"/>
        <w:spacing w:before="136" w:line="310" w:lineRule="auto"/>
        <w:ind w:right="42" w:rightChars="0" w:firstLine="620" w:firstLineChars="200"/>
        <w:rPr>
          <w:rFonts w:hint="eastAsia" w:ascii="仿宋" w:hAnsi="仿宋" w:eastAsia="仿宋" w:cs="仿宋"/>
          <w:b w:val="0"/>
          <w:snapToGrid w:val="0"/>
          <w:color w:val="000000"/>
          <w:spacing w:val="0"/>
          <w:kern w:val="0"/>
          <w:sz w:val="31"/>
          <w:szCs w:val="31"/>
        </w:rPr>
      </w:pPr>
      <w:r>
        <w:rPr>
          <w:rFonts w:hint="eastAsia" w:ascii="仿宋" w:hAnsi="仿宋" w:eastAsia="仿宋" w:cs="仿宋"/>
          <w:b w:val="0"/>
          <w:snapToGrid w:val="0"/>
          <w:color w:val="000000"/>
          <w:spacing w:val="0"/>
          <w:kern w:val="0"/>
          <w:sz w:val="31"/>
          <w:szCs w:val="31"/>
          <w:lang w:val="en-US" w:eastAsia="zh-CN"/>
        </w:rPr>
        <w:t>4.</w:t>
      </w:r>
      <w:r>
        <w:rPr>
          <w:rFonts w:hint="eastAsia" w:ascii="仿宋" w:hAnsi="仿宋" w:eastAsia="仿宋" w:cs="仿宋"/>
          <w:b w:val="0"/>
          <w:snapToGrid w:val="0"/>
          <w:color w:val="000000"/>
          <w:spacing w:val="0"/>
          <w:kern w:val="0"/>
          <w:sz w:val="31"/>
          <w:szCs w:val="31"/>
        </w:rPr>
        <w:t>卫生健康(类)行政事业单位医疗(款)行政单位医疗(项)</w:t>
      </w:r>
      <w:r>
        <w:rPr>
          <w:rFonts w:hint="eastAsia" w:ascii="仿宋" w:hAnsi="仿宋" w:eastAsia="仿宋" w:cs="仿宋"/>
          <w:b w:val="0"/>
          <w:snapToGrid w:val="0"/>
          <w:color w:val="000000"/>
          <w:spacing w:val="0"/>
          <w:kern w:val="0"/>
          <w:sz w:val="31"/>
          <w:szCs w:val="31"/>
          <w:lang w:val="en-US" w:eastAsia="zh-CN"/>
        </w:rPr>
        <w:tab/>
      </w:r>
      <w:r>
        <w:rPr>
          <w:rFonts w:hint="eastAsia" w:ascii="仿宋" w:hAnsi="仿宋" w:eastAsia="仿宋" w:cs="仿宋"/>
          <w:b w:val="0"/>
          <w:snapToGrid w:val="0"/>
          <w:color w:val="000000"/>
          <w:spacing w:val="0"/>
          <w:kern w:val="0"/>
          <w:sz w:val="31"/>
          <w:szCs w:val="31"/>
          <w:lang w:eastAsia="zh-CN"/>
        </w:rPr>
        <w:t>：</w:t>
      </w:r>
      <w:r>
        <w:rPr>
          <w:rFonts w:hint="eastAsia" w:ascii="仿宋" w:hAnsi="仿宋" w:eastAsia="仿宋" w:cs="仿宋"/>
          <w:b w:val="0"/>
          <w:snapToGrid w:val="0"/>
          <w:color w:val="000000"/>
          <w:spacing w:val="0"/>
          <w:kern w:val="0"/>
          <w:sz w:val="31"/>
          <w:szCs w:val="31"/>
        </w:rPr>
        <w:t>支出决算为</w:t>
      </w:r>
      <w:r>
        <w:rPr>
          <w:rFonts w:hint="eastAsia" w:ascii="仿宋" w:hAnsi="仿宋" w:eastAsia="仿宋" w:cs="仿宋"/>
          <w:b w:val="0"/>
          <w:snapToGrid w:val="0"/>
          <w:color w:val="000000"/>
          <w:spacing w:val="0"/>
          <w:kern w:val="0"/>
          <w:sz w:val="31"/>
          <w:szCs w:val="31"/>
          <w:lang w:val="en-US" w:eastAsia="zh-CN"/>
        </w:rPr>
        <w:t>3.66</w:t>
      </w:r>
      <w:r>
        <w:rPr>
          <w:rFonts w:hint="eastAsia" w:ascii="仿宋" w:hAnsi="仿宋" w:eastAsia="仿宋" w:cs="仿宋"/>
          <w:b w:val="0"/>
          <w:snapToGrid w:val="0"/>
          <w:color w:val="000000"/>
          <w:spacing w:val="0"/>
          <w:kern w:val="0"/>
          <w:sz w:val="31"/>
          <w:szCs w:val="31"/>
        </w:rPr>
        <w:t>万元，完成预算100%，决算数和预算数持平。</w:t>
      </w:r>
    </w:p>
    <w:p>
      <w:pPr>
        <w:pageBreakBefore w:val="0"/>
        <w:numPr>
          <w:ilvl w:val="0"/>
          <w:numId w:val="0"/>
        </w:numPr>
        <w:wordWrap/>
        <w:overflowPunct/>
        <w:topLinePunct w:val="0"/>
        <w:bidi w:val="0"/>
        <w:adjustRightInd w:val="0"/>
        <w:snapToGrid w:val="0"/>
        <w:spacing w:before="136" w:line="310" w:lineRule="auto"/>
        <w:ind w:right="42" w:rightChars="0" w:firstLine="620" w:firstLineChars="200"/>
        <w:rPr>
          <w:rFonts w:hint="eastAsia"/>
        </w:rPr>
      </w:pPr>
      <w:r>
        <w:rPr>
          <w:rFonts w:hint="eastAsia" w:ascii="仿宋" w:hAnsi="仿宋" w:eastAsia="仿宋" w:cs="仿宋"/>
          <w:b w:val="0"/>
          <w:snapToGrid w:val="0"/>
          <w:color w:val="000000"/>
          <w:spacing w:val="0"/>
          <w:kern w:val="0"/>
          <w:sz w:val="31"/>
          <w:szCs w:val="31"/>
          <w:lang w:val="en-US" w:eastAsia="zh-CN"/>
        </w:rPr>
        <w:t>5.</w:t>
      </w:r>
      <w:r>
        <w:rPr>
          <w:rFonts w:hint="eastAsia" w:ascii="仿宋" w:hAnsi="仿宋" w:eastAsia="仿宋" w:cs="仿宋"/>
          <w:b w:val="0"/>
          <w:snapToGrid w:val="0"/>
          <w:color w:val="000000"/>
          <w:spacing w:val="0"/>
          <w:kern w:val="0"/>
          <w:sz w:val="31"/>
          <w:szCs w:val="31"/>
        </w:rPr>
        <w:t>卫生健康(类)行政事业单位医疗(款)</w:t>
      </w:r>
      <w:r>
        <w:rPr>
          <w:rFonts w:hint="eastAsia" w:ascii="仿宋" w:hAnsi="仿宋" w:eastAsia="仿宋" w:cs="仿宋"/>
          <w:b w:val="0"/>
          <w:snapToGrid w:val="0"/>
          <w:color w:val="000000"/>
          <w:spacing w:val="0"/>
          <w:kern w:val="0"/>
          <w:sz w:val="31"/>
          <w:szCs w:val="31"/>
          <w:lang w:eastAsia="zh-CN"/>
        </w:rPr>
        <w:t>事业</w:t>
      </w:r>
      <w:r>
        <w:rPr>
          <w:rFonts w:hint="eastAsia" w:ascii="仿宋" w:hAnsi="仿宋" w:eastAsia="仿宋" w:cs="仿宋"/>
          <w:b w:val="0"/>
          <w:snapToGrid w:val="0"/>
          <w:color w:val="000000"/>
          <w:spacing w:val="0"/>
          <w:kern w:val="0"/>
          <w:sz w:val="31"/>
          <w:szCs w:val="31"/>
        </w:rPr>
        <w:t>单位医疗(项)</w:t>
      </w:r>
      <w:r>
        <w:rPr>
          <w:rFonts w:hint="eastAsia" w:ascii="仿宋" w:hAnsi="仿宋" w:eastAsia="仿宋" w:cs="仿宋"/>
          <w:b w:val="0"/>
          <w:snapToGrid w:val="0"/>
          <w:color w:val="000000"/>
          <w:spacing w:val="0"/>
          <w:kern w:val="0"/>
          <w:sz w:val="31"/>
          <w:szCs w:val="31"/>
          <w:lang w:val="en-US" w:eastAsia="zh-CN"/>
        </w:rPr>
        <w:tab/>
      </w:r>
      <w:r>
        <w:rPr>
          <w:rFonts w:hint="eastAsia" w:ascii="仿宋" w:hAnsi="仿宋" w:eastAsia="仿宋" w:cs="仿宋"/>
          <w:b w:val="0"/>
          <w:snapToGrid w:val="0"/>
          <w:color w:val="000000"/>
          <w:spacing w:val="0"/>
          <w:kern w:val="0"/>
          <w:sz w:val="31"/>
          <w:szCs w:val="31"/>
          <w:lang w:eastAsia="zh-CN"/>
        </w:rPr>
        <w:t>：</w:t>
      </w:r>
      <w:r>
        <w:rPr>
          <w:rFonts w:hint="eastAsia" w:ascii="仿宋" w:hAnsi="仿宋" w:eastAsia="仿宋" w:cs="仿宋"/>
          <w:b w:val="0"/>
          <w:snapToGrid w:val="0"/>
          <w:color w:val="000000"/>
          <w:spacing w:val="0"/>
          <w:kern w:val="0"/>
          <w:sz w:val="31"/>
          <w:szCs w:val="31"/>
        </w:rPr>
        <w:t>支出决算为</w:t>
      </w:r>
      <w:r>
        <w:rPr>
          <w:rFonts w:hint="eastAsia" w:ascii="仿宋" w:hAnsi="仿宋" w:eastAsia="仿宋" w:cs="仿宋"/>
          <w:b w:val="0"/>
          <w:snapToGrid w:val="0"/>
          <w:color w:val="000000"/>
          <w:spacing w:val="0"/>
          <w:kern w:val="0"/>
          <w:sz w:val="31"/>
          <w:szCs w:val="31"/>
          <w:lang w:val="en-US" w:eastAsia="zh-CN"/>
        </w:rPr>
        <w:t>3.20</w:t>
      </w:r>
      <w:r>
        <w:rPr>
          <w:rFonts w:hint="eastAsia" w:ascii="仿宋" w:hAnsi="仿宋" w:eastAsia="仿宋" w:cs="仿宋"/>
          <w:b w:val="0"/>
          <w:snapToGrid w:val="0"/>
          <w:color w:val="000000"/>
          <w:spacing w:val="0"/>
          <w:kern w:val="0"/>
          <w:sz w:val="31"/>
          <w:szCs w:val="31"/>
        </w:rPr>
        <w:t>万元，完成预算100%，决算数和预算数持平。</w:t>
      </w:r>
    </w:p>
    <w:p>
      <w:pPr>
        <w:pageBreakBefore w:val="0"/>
        <w:numPr>
          <w:ilvl w:val="0"/>
          <w:numId w:val="0"/>
        </w:numPr>
        <w:wordWrap/>
        <w:overflowPunct/>
        <w:topLinePunct w:val="0"/>
        <w:bidi w:val="0"/>
        <w:adjustRightInd w:val="0"/>
        <w:snapToGrid w:val="0"/>
        <w:spacing w:before="136" w:line="310" w:lineRule="auto"/>
        <w:ind w:right="42" w:rightChars="0" w:firstLine="620" w:firstLineChars="200"/>
        <w:rPr>
          <w:rFonts w:ascii="仿宋" w:hAnsi="仿宋" w:eastAsia="仿宋"/>
          <w:b/>
          <w:sz w:val="32"/>
          <w:szCs w:val="32"/>
        </w:rPr>
      </w:pPr>
      <w:r>
        <w:rPr>
          <w:rFonts w:hint="eastAsia" w:ascii="仿宋" w:hAnsi="仿宋" w:eastAsia="仿宋" w:cs="仿宋"/>
          <w:b w:val="0"/>
          <w:snapToGrid w:val="0"/>
          <w:color w:val="000000"/>
          <w:spacing w:val="0"/>
          <w:kern w:val="0"/>
          <w:sz w:val="31"/>
          <w:szCs w:val="31"/>
          <w:lang w:val="en-US" w:eastAsia="zh-CN"/>
        </w:rPr>
        <w:t>6.</w:t>
      </w:r>
      <w:r>
        <w:rPr>
          <w:rFonts w:hint="eastAsia" w:ascii="仿宋" w:hAnsi="仿宋" w:eastAsia="仿宋" w:cs="仿宋"/>
          <w:b w:val="0"/>
          <w:snapToGrid w:val="0"/>
          <w:color w:val="000000"/>
          <w:spacing w:val="0"/>
          <w:kern w:val="0"/>
          <w:sz w:val="31"/>
          <w:szCs w:val="31"/>
        </w:rPr>
        <w:t>住房保障支出(类)住房改革支出(款)住房公积金(项)：支出决算为</w:t>
      </w:r>
      <w:r>
        <w:rPr>
          <w:rFonts w:hint="eastAsia" w:ascii="仿宋" w:hAnsi="仿宋" w:eastAsia="仿宋" w:cs="仿宋"/>
          <w:b w:val="0"/>
          <w:snapToGrid w:val="0"/>
          <w:color w:val="000000"/>
          <w:spacing w:val="0"/>
          <w:kern w:val="0"/>
          <w:sz w:val="31"/>
          <w:szCs w:val="31"/>
          <w:lang w:val="en-US" w:eastAsia="zh-CN"/>
        </w:rPr>
        <w:t>8.53</w:t>
      </w:r>
      <w:r>
        <w:rPr>
          <w:rFonts w:hint="eastAsia" w:ascii="仿宋" w:hAnsi="仿宋" w:eastAsia="仿宋" w:cs="仿宋"/>
          <w:b w:val="0"/>
          <w:snapToGrid w:val="0"/>
          <w:color w:val="000000"/>
          <w:spacing w:val="0"/>
          <w:kern w:val="0"/>
          <w:sz w:val="31"/>
          <w:szCs w:val="31"/>
        </w:rPr>
        <w:t>万元，完成预算100%，决算数和预算数持平</w:t>
      </w:r>
      <w:r>
        <w:rPr>
          <w:rFonts w:hint="eastAsia" w:ascii="仿宋" w:hAnsi="仿宋" w:eastAsia="仿宋" w:cs="仿宋"/>
          <w:b w:val="0"/>
          <w:snapToGrid w:val="0"/>
          <w:color w:val="000000"/>
          <w:spacing w:val="0"/>
          <w:kern w:val="0"/>
          <w:sz w:val="31"/>
          <w:szCs w:val="31"/>
          <w:lang w:eastAsia="zh-CN"/>
        </w:rPr>
        <w:t>。</w:t>
      </w:r>
    </w:p>
    <w:p>
      <w:pPr>
        <w:tabs>
          <w:tab w:val="right" w:pos="8306"/>
        </w:tabs>
        <w:spacing w:line="600" w:lineRule="exact"/>
        <w:ind w:firstLine="640"/>
        <w:outlineLvl w:val="1"/>
        <w:rPr>
          <w:rStyle w:val="31"/>
        </w:rPr>
      </w:pPr>
      <w:bookmarkStart w:id="41" w:name="_Toc15396608"/>
      <w:bookmarkStart w:id="42" w:name="_Toc25081"/>
      <w:bookmarkStart w:id="43"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1"/>
          <w:rFonts w:hint="eastAsia" w:ascii="黑体" w:hAnsi="黑体" w:eastAsia="黑体"/>
          <w:b w:val="0"/>
        </w:rPr>
        <w:t>般公共预算财政拨款基本支出决算情况说明</w:t>
      </w:r>
      <w:bookmarkEnd w:id="41"/>
      <w:bookmarkEnd w:id="42"/>
      <w:bookmarkEnd w:id="43"/>
      <w:r>
        <w:rPr>
          <w:rStyle w:val="31"/>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22年一般公共预算财政拨款基本支出</w:t>
      </w:r>
      <w:r>
        <w:rPr>
          <w:rFonts w:hint="eastAsia" w:ascii="仿宋" w:hAnsi="仿宋" w:eastAsia="仿宋"/>
          <w:sz w:val="32"/>
          <w:szCs w:val="32"/>
          <w:lang w:val="en-US" w:eastAsia="zh-CN"/>
        </w:rPr>
        <w:t>126.71</w:t>
      </w:r>
      <w:r>
        <w:rPr>
          <w:rFonts w:hint="eastAsia" w:ascii="仿宋" w:hAnsi="仿宋" w:eastAsia="仿宋"/>
          <w:sz w:val="32"/>
          <w:szCs w:val="32"/>
        </w:rPr>
        <w:t>万元，其中：</w:t>
      </w:r>
    </w:p>
    <w:p>
      <w:pPr>
        <w:spacing w:line="600" w:lineRule="exact"/>
        <w:ind w:firstLine="645"/>
        <w:rPr>
          <w:rFonts w:hint="eastAsia" w:ascii="仿宋" w:hAnsi="仿宋" w:eastAsia="仿宋"/>
          <w:sz w:val="32"/>
          <w:szCs w:val="32"/>
          <w:lang w:eastAsia="zh-CN"/>
        </w:rPr>
      </w:pPr>
      <w:r>
        <w:rPr>
          <w:rFonts w:hint="eastAsia" w:ascii="仿宋" w:hAnsi="仿宋" w:eastAsia="仿宋"/>
          <w:sz w:val="32"/>
          <w:szCs w:val="32"/>
        </w:rPr>
        <w:t>人员经费</w:t>
      </w:r>
      <w:r>
        <w:rPr>
          <w:rFonts w:hint="eastAsia" w:ascii="仿宋" w:hAnsi="仿宋" w:eastAsia="仿宋"/>
          <w:sz w:val="32"/>
          <w:szCs w:val="32"/>
          <w:lang w:val="en-US" w:eastAsia="zh-CN"/>
        </w:rPr>
        <w:t>115.92</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firstLine="645"/>
        <w:rPr>
          <w:rFonts w:ascii="仿宋" w:hAnsi="仿宋" w:eastAsia="仿宋"/>
          <w:b/>
          <w:sz w:val="32"/>
          <w:szCs w:val="32"/>
        </w:rPr>
      </w:pPr>
      <w:r>
        <w:rPr>
          <w:rFonts w:hint="eastAsia" w:ascii="仿宋" w:hAnsi="仿宋" w:eastAsia="仿宋"/>
          <w:sz w:val="32"/>
          <w:szCs w:val="32"/>
        </w:rPr>
        <w:t>公用经费</w:t>
      </w:r>
      <w:r>
        <w:rPr>
          <w:rFonts w:hint="eastAsia" w:ascii="仿宋" w:hAnsi="仿宋" w:eastAsia="仿宋"/>
          <w:sz w:val="32"/>
          <w:szCs w:val="32"/>
          <w:lang w:val="en-US" w:eastAsia="zh-CN"/>
        </w:rPr>
        <w:t>10.8</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spacing w:line="600" w:lineRule="exact"/>
        <w:ind w:firstLine="640"/>
        <w:outlineLvl w:val="1"/>
        <w:rPr>
          <w:rStyle w:val="31"/>
          <w:rFonts w:ascii="黑体" w:hAnsi="黑体" w:eastAsia="黑体"/>
          <w:b w:val="0"/>
        </w:rPr>
      </w:pPr>
      <w:bookmarkStart w:id="44" w:name="_Toc20558"/>
      <w:bookmarkStart w:id="45" w:name="_Toc15396609"/>
      <w:bookmarkStart w:id="46" w:name="_Toc15377215"/>
      <w:r>
        <w:rPr>
          <w:rFonts w:hint="eastAsia" w:ascii="黑体" w:eastAsia="黑体"/>
          <w:sz w:val="32"/>
          <w:szCs w:val="32"/>
        </w:rPr>
        <w:t>七、</w:t>
      </w:r>
      <w:r>
        <w:rPr>
          <w:rStyle w:val="31"/>
          <w:rFonts w:hint="eastAsia" w:ascii="黑体" w:hAnsi="黑体" w:eastAsia="黑体"/>
          <w:b w:val="0"/>
        </w:rPr>
        <w:t>财政拨款</w:t>
      </w:r>
      <w:r>
        <w:rPr>
          <w:rStyle w:val="31"/>
          <w:rFonts w:hint="eastAsia" w:ascii="黑体" w:hAnsi="黑体" w:eastAsia="黑体"/>
        </w:rPr>
        <w:t>“</w:t>
      </w:r>
      <w:r>
        <w:rPr>
          <w:rStyle w:val="31"/>
          <w:rFonts w:hint="eastAsia" w:ascii="黑体" w:hAnsi="黑体" w:eastAsia="黑体"/>
          <w:b w:val="0"/>
        </w:rPr>
        <w:t>三公”经费支出决算情况说明</w:t>
      </w:r>
      <w:bookmarkEnd w:id="44"/>
      <w:bookmarkEnd w:id="45"/>
      <w:bookmarkEnd w:id="46"/>
    </w:p>
    <w:p>
      <w:pPr>
        <w:spacing w:line="600" w:lineRule="exact"/>
        <w:ind w:firstLine="640"/>
        <w:outlineLvl w:val="9"/>
        <w:rPr>
          <w:rFonts w:ascii="仿宋" w:hAnsi="仿宋" w:eastAsia="仿宋"/>
          <w:b/>
          <w:sz w:val="32"/>
          <w:szCs w:val="32"/>
        </w:rPr>
      </w:pPr>
      <w:bookmarkStart w:id="47" w:name="_Toc15377216"/>
      <w:r>
        <w:rPr>
          <w:rFonts w:hint="eastAsia" w:ascii="仿宋" w:hAnsi="仿宋" w:eastAsia="仿宋"/>
          <w:b/>
          <w:sz w:val="32"/>
          <w:szCs w:val="32"/>
        </w:rPr>
        <w:t>（一）“三公”经费财政拨款支出决算总体情况说明</w:t>
      </w:r>
      <w:bookmarkEnd w:id="47"/>
    </w:p>
    <w:p>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22年“三公”经费财政拨款支出决算为</w:t>
      </w:r>
      <w:r>
        <w:rPr>
          <w:rFonts w:hint="eastAsia" w:ascii="仿宋" w:hAnsi="仿宋" w:eastAsia="仿宋"/>
          <w:sz w:val="32"/>
          <w:szCs w:val="32"/>
          <w:lang w:val="en-US" w:eastAsia="zh-CN"/>
        </w:rPr>
        <w:t>1.9</w:t>
      </w:r>
      <w:r>
        <w:rPr>
          <w:rFonts w:hint="eastAsia" w:ascii="仿宋" w:hAnsi="仿宋" w:eastAsia="仿宋"/>
          <w:sz w:val="32"/>
          <w:szCs w:val="32"/>
        </w:rPr>
        <w:t>万元，完成预算</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，较上年减少</w:t>
      </w:r>
      <w:r>
        <w:rPr>
          <w:rFonts w:hint="eastAsia" w:ascii="仿宋" w:hAnsi="仿宋" w:eastAsia="仿宋"/>
          <w:sz w:val="32"/>
          <w:szCs w:val="32"/>
          <w:lang w:val="en-US" w:eastAsia="zh-CN"/>
        </w:rPr>
        <w:t>2.38</w:t>
      </w:r>
      <w:r>
        <w:rPr>
          <w:rFonts w:hint="eastAsia" w:ascii="仿宋" w:hAnsi="仿宋" w:eastAsia="仿宋"/>
          <w:sz w:val="32"/>
          <w:szCs w:val="32"/>
        </w:rPr>
        <w:t>万元，下降</w:t>
      </w:r>
      <w:r>
        <w:rPr>
          <w:rFonts w:hint="eastAsia" w:ascii="仿宋" w:hAnsi="仿宋" w:eastAsia="仿宋"/>
          <w:sz w:val="32"/>
          <w:szCs w:val="32"/>
          <w:lang w:val="en-US" w:eastAsia="zh-CN"/>
        </w:rPr>
        <w:t>55.61</w:t>
      </w:r>
      <w:r>
        <w:rPr>
          <w:rFonts w:hint="eastAsia" w:ascii="仿宋" w:hAnsi="仿宋" w:eastAsia="仿宋"/>
          <w:sz w:val="32"/>
          <w:szCs w:val="32"/>
        </w:rPr>
        <w:t>%。</w:t>
      </w:r>
      <w:r>
        <w:rPr>
          <w:rFonts w:hint="eastAsia" w:ascii="仿宋" w:hAnsi="仿宋" w:eastAsia="仿宋"/>
          <w:sz w:val="32"/>
          <w:szCs w:val="32"/>
          <w:highlight w:val="none"/>
        </w:rPr>
        <w:t>决算数与预算数持平。</w:t>
      </w:r>
    </w:p>
    <w:p>
      <w:pPr>
        <w:spacing w:line="600" w:lineRule="exact"/>
        <w:ind w:firstLine="640"/>
        <w:outlineLvl w:val="9"/>
        <w:rPr>
          <w:rFonts w:ascii="仿宋" w:hAnsi="仿宋" w:eastAsia="仿宋"/>
          <w:b/>
          <w:sz w:val="32"/>
          <w:szCs w:val="32"/>
        </w:rPr>
      </w:pPr>
      <w:bookmarkStart w:id="48" w:name="_Toc15377217"/>
      <w:r>
        <w:rPr>
          <w:rFonts w:hint="eastAsia" w:ascii="仿宋" w:hAnsi="仿宋" w:eastAsia="仿宋"/>
          <w:b/>
          <w:sz w:val="32"/>
          <w:szCs w:val="32"/>
        </w:rPr>
        <w:t>（二）“三公”经费财政拨款支出决算具体情况说明</w:t>
      </w:r>
      <w:bookmarkEnd w:id="48"/>
    </w:p>
    <w:p>
      <w:pPr>
        <w:spacing w:line="600" w:lineRule="exact"/>
        <w:ind w:firstLine="640"/>
        <w:rPr>
          <w:rFonts w:hint="eastAsia" w:eastAsia="仿宋"/>
          <w:lang w:eastAsia="zh-CN"/>
        </w:rPr>
      </w:pPr>
      <w:r>
        <w:rPr>
          <w:rFonts w:hint="eastAsia" w:eastAsia="仿宋"/>
          <w:lang w:eastAsia="zh-CN"/>
        </w:rPr>
        <w:drawing>
          <wp:anchor distT="0" distB="0" distL="114300" distR="114300" simplePos="0" relativeHeight="251665408" behindDoc="0" locked="0" layoutInCell="1" allowOverlap="1">
            <wp:simplePos x="0" y="0"/>
            <wp:positionH relativeFrom="column">
              <wp:posOffset>176530</wp:posOffset>
            </wp:positionH>
            <wp:positionV relativeFrom="paragraph">
              <wp:posOffset>1833245</wp:posOffset>
            </wp:positionV>
            <wp:extent cx="5256530" cy="2759710"/>
            <wp:effectExtent l="4445" t="4445" r="15875"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仿宋" w:hAnsi="仿宋" w:eastAsia="仿宋"/>
          <w:sz w:val="32"/>
          <w:szCs w:val="32"/>
        </w:rPr>
        <w:t>20</w:t>
      </w:r>
      <w:r>
        <w:rPr>
          <w:rFonts w:hint="eastAsia" w:ascii="仿宋" w:hAnsi="仿宋" w:eastAsia="仿宋"/>
          <w:sz w:val="32"/>
          <w:szCs w:val="32"/>
        </w:rPr>
        <w:t>22年“三公”经费财政拨款支出决算中，因公出国（境）费支出决算</w:t>
      </w:r>
      <w:r>
        <w:rPr>
          <w:rFonts w:hint="eastAsia" w:ascii="仿宋" w:hAnsi="仿宋" w:eastAsia="仿宋"/>
          <w:sz w:val="32"/>
          <w:szCs w:val="32"/>
          <w:lang w:val="en-US" w:eastAsia="zh-CN"/>
        </w:rPr>
        <w:t>0</w:t>
      </w:r>
      <w:r>
        <w:rPr>
          <w:rFonts w:hint="eastAsia" w:ascii="仿宋" w:hAnsi="仿宋" w:eastAsia="仿宋"/>
          <w:sz w:val="32"/>
          <w:szCs w:val="32"/>
        </w:rPr>
        <w:t>万元；公务用车购置及运行维护费支出决算</w:t>
      </w:r>
      <w:r>
        <w:rPr>
          <w:rFonts w:hint="eastAsia" w:ascii="仿宋" w:hAnsi="仿宋" w:eastAsia="仿宋"/>
          <w:sz w:val="32"/>
          <w:szCs w:val="32"/>
          <w:lang w:val="en-US" w:eastAsia="zh-CN"/>
        </w:rPr>
        <w:t>0</w:t>
      </w:r>
      <w:r>
        <w:rPr>
          <w:rFonts w:hint="eastAsia" w:ascii="仿宋" w:hAnsi="仿宋" w:eastAsia="仿宋"/>
          <w:sz w:val="32"/>
          <w:szCs w:val="32"/>
        </w:rPr>
        <w:t>万元；公务接待费支出决算</w:t>
      </w:r>
      <w:r>
        <w:rPr>
          <w:rFonts w:hint="eastAsia" w:ascii="仿宋" w:hAnsi="仿宋" w:eastAsia="仿宋"/>
          <w:sz w:val="32"/>
          <w:szCs w:val="32"/>
          <w:lang w:val="en-US" w:eastAsia="zh-CN"/>
        </w:rPr>
        <w:t>1.9</w:t>
      </w:r>
      <w:r>
        <w:rPr>
          <w:rFonts w:hint="eastAsia" w:ascii="仿宋" w:hAnsi="仿宋" w:eastAsia="仿宋"/>
          <w:sz w:val="32"/>
          <w:szCs w:val="32"/>
        </w:rPr>
        <w:t>万元，占</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。具体情况如下：</w:t>
      </w:r>
    </w:p>
    <w:p>
      <w:pPr>
        <w:spacing w:line="600" w:lineRule="exact"/>
        <w:ind w:firstLine="1609" w:firstLineChars="503"/>
        <w:rPr>
          <w:rFonts w:ascii="仿宋" w:hAnsi="仿宋" w:eastAsia="仿宋"/>
          <w:sz w:val="32"/>
          <w:szCs w:val="32"/>
        </w:rPr>
      </w:pPr>
      <w:r>
        <w:rPr>
          <w:rFonts w:hint="eastAsia" w:ascii="仿宋" w:hAnsi="仿宋" w:eastAsia="仿宋"/>
          <w:sz w:val="32"/>
          <w:szCs w:val="32"/>
        </w:rPr>
        <w:t>图7：“三公”经费财政拨款支出结构图</w:t>
      </w:r>
    </w:p>
    <w:p>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lang w:val="en-US" w:eastAsia="zh-CN"/>
        </w:rPr>
        <w:t>1.9</w:t>
      </w:r>
      <w:r>
        <w:rPr>
          <w:rFonts w:hint="eastAsia" w:ascii="仿宋_GB2312" w:eastAsia="仿宋_GB2312"/>
          <w:sz w:val="32"/>
          <w:szCs w:val="32"/>
        </w:rPr>
        <w:t>万元，</w:t>
      </w:r>
      <w:r>
        <w:rPr>
          <w:rStyle w:val="19"/>
          <w:rFonts w:hint="eastAsia" w:ascii="仿宋" w:hAnsi="仿宋" w:eastAsia="仿宋"/>
          <w:b w:val="0"/>
          <w:bCs/>
          <w:sz w:val="32"/>
          <w:szCs w:val="32"/>
        </w:rPr>
        <w:t>完成预算</w:t>
      </w:r>
      <w:r>
        <w:rPr>
          <w:rStyle w:val="19"/>
          <w:rFonts w:hint="eastAsia" w:ascii="仿宋" w:hAnsi="仿宋" w:eastAsia="仿宋"/>
          <w:b w:val="0"/>
          <w:bCs/>
          <w:sz w:val="32"/>
          <w:szCs w:val="32"/>
          <w:lang w:val="en-US" w:eastAsia="zh-CN"/>
        </w:rPr>
        <w:t>100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21年减少</w:t>
      </w:r>
      <w:r>
        <w:rPr>
          <w:rFonts w:hint="eastAsia" w:ascii="仿宋_GB2312" w:eastAsia="仿宋_GB2312"/>
          <w:sz w:val="32"/>
          <w:szCs w:val="32"/>
          <w:lang w:val="en-US" w:eastAsia="zh-CN"/>
        </w:rPr>
        <w:t>2.38</w:t>
      </w:r>
      <w:r>
        <w:rPr>
          <w:rFonts w:hint="eastAsia" w:ascii="仿宋_GB2312" w:eastAsia="仿宋_GB2312"/>
          <w:sz w:val="32"/>
          <w:szCs w:val="32"/>
        </w:rPr>
        <w:t>万元，下降</w:t>
      </w:r>
      <w:r>
        <w:rPr>
          <w:rFonts w:hint="eastAsia" w:ascii="仿宋_GB2312" w:eastAsia="仿宋_GB2312"/>
          <w:sz w:val="32"/>
          <w:szCs w:val="32"/>
          <w:lang w:val="en-US" w:eastAsia="zh-CN"/>
        </w:rPr>
        <w:t>55.61</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厉行节俭，压缩开支</w:t>
      </w:r>
      <w:r>
        <w:rPr>
          <w:rFonts w:hint="eastAsia" w:ascii="仿宋_GB2312" w:eastAsia="仿宋_GB2312"/>
          <w:sz w:val="32"/>
          <w:szCs w:val="32"/>
        </w:rPr>
        <w:t>。其中：</w:t>
      </w:r>
    </w:p>
    <w:p>
      <w:pPr>
        <w:pageBreakBefore w:val="0"/>
        <w:wordWrap/>
        <w:overflowPunct/>
        <w:topLinePunct w:val="0"/>
        <w:bidi w:val="0"/>
        <w:adjustRightInd w:val="0"/>
        <w:snapToGrid w:val="0"/>
        <w:spacing w:before="8" w:line="310" w:lineRule="auto"/>
        <w:ind w:right="32" w:firstLine="65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lang w:val="en-US" w:eastAsia="zh-CN"/>
        </w:rPr>
        <w:t>1.9</w:t>
      </w:r>
      <w:r>
        <w:rPr>
          <w:rFonts w:hint="eastAsia" w:ascii="仿宋_GB2312" w:eastAsia="仿宋_GB2312"/>
          <w:sz w:val="32"/>
          <w:szCs w:val="32"/>
        </w:rPr>
        <w:t>万元，</w:t>
      </w:r>
      <w:r>
        <w:rPr>
          <w:rFonts w:hint="eastAsia" w:ascii="仿宋_GB2312" w:eastAsia="仿宋_GB2312"/>
          <w:sz w:val="32"/>
          <w:szCs w:val="32"/>
          <w:lang w:eastAsia="zh-CN"/>
        </w:rPr>
        <w:t>主要</w:t>
      </w:r>
      <w:r>
        <w:rPr>
          <w:rFonts w:hint="eastAsia" w:ascii="仿宋" w:hAnsi="仿宋" w:eastAsia="仿宋" w:cs="仿宋"/>
          <w:spacing w:val="0"/>
          <w:sz w:val="31"/>
          <w:szCs w:val="31"/>
          <w:lang w:val="en-US" w:eastAsia="zh-CN"/>
        </w:rPr>
        <w:t>用于执行公务、开展业务活动开支的交通费、住宿费、用餐费等</w:t>
      </w:r>
      <w:r>
        <w:rPr>
          <w:rFonts w:hint="eastAsia" w:ascii="仿宋" w:hAnsi="仿宋" w:eastAsia="仿宋" w:cs="仿宋"/>
          <w:spacing w:val="0"/>
          <w:sz w:val="31"/>
          <w:szCs w:val="31"/>
          <w:highlight w:val="none"/>
          <w:lang w:val="en-US" w:eastAsia="zh-CN"/>
        </w:rPr>
        <w:t>。国内公务接待26批次，171人次（不包括陪同人员），共计支出</w:t>
      </w:r>
      <w:r>
        <w:rPr>
          <w:rFonts w:hint="eastAsia" w:ascii="仿宋" w:hAnsi="仿宋" w:eastAsia="仿宋" w:cs="仿宋"/>
          <w:spacing w:val="0"/>
          <w:sz w:val="31"/>
          <w:szCs w:val="31"/>
          <w:lang w:val="en-US" w:eastAsia="zh-CN"/>
        </w:rPr>
        <w:t>1.9万元，具体内容包括：招商引资、向上争取资金、</w:t>
      </w:r>
      <w:r>
        <w:rPr>
          <w:rFonts w:hint="eastAsia" w:ascii="仿宋_GB2312" w:eastAsia="仿宋_GB2312" w:cs="仿宋_GB2312"/>
          <w:color w:val="000000"/>
          <w:spacing w:val="0"/>
          <w:sz w:val="32"/>
          <w:szCs w:val="32"/>
          <w:lang w:val="en-US" w:eastAsia="zh-CN"/>
        </w:rPr>
        <w:t>上级考察、业务交流学习</w:t>
      </w:r>
      <w:r>
        <w:rPr>
          <w:rFonts w:hint="eastAsia" w:ascii="仿宋" w:hAnsi="仿宋" w:eastAsia="仿宋" w:cs="仿宋"/>
          <w:spacing w:val="0"/>
          <w:sz w:val="31"/>
          <w:szCs w:val="31"/>
          <w:lang w:val="en-US" w:eastAsia="zh-CN"/>
        </w:rPr>
        <w:t>等。</w:t>
      </w:r>
    </w:p>
    <w:p>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hint="eastAsia" w:ascii="仿宋" w:hAnsi="仿宋" w:eastAsia="仿宋"/>
          <w:sz w:val="32"/>
          <w:szCs w:val="32"/>
          <w:lang w:val="en-US" w:eastAsia="zh-CN"/>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bookmarkStart w:id="49" w:name="_Toc15396610"/>
      <w:bookmarkStart w:id="50" w:name="_Toc15377218"/>
    </w:p>
    <w:p>
      <w:pPr>
        <w:spacing w:line="600" w:lineRule="exact"/>
        <w:ind w:firstLine="640"/>
        <w:outlineLvl w:val="1"/>
        <w:rPr>
          <w:rStyle w:val="31"/>
          <w:rFonts w:ascii="黑体" w:hAnsi="黑体" w:eastAsia="黑体"/>
        </w:rPr>
      </w:pPr>
      <w:bookmarkStart w:id="51" w:name="_Toc4356"/>
      <w:r>
        <w:rPr>
          <w:rFonts w:hint="eastAsia" w:ascii="黑体" w:eastAsia="黑体"/>
          <w:sz w:val="32"/>
          <w:szCs w:val="32"/>
        </w:rPr>
        <w:t>八、</w:t>
      </w:r>
      <w:r>
        <w:rPr>
          <w:rStyle w:val="31"/>
          <w:rFonts w:hint="eastAsia" w:ascii="黑体" w:hAnsi="黑体" w:eastAsia="黑体"/>
          <w:b w:val="0"/>
        </w:rPr>
        <w:t>政府性基金预算支出决算情况说明</w:t>
      </w:r>
      <w:bookmarkEnd w:id="49"/>
      <w:bookmarkEnd w:id="50"/>
      <w:bookmarkEnd w:id="51"/>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22年政府性基金预算财政拨款支出</w:t>
      </w:r>
      <w:r>
        <w:rPr>
          <w:rFonts w:hint="eastAsia" w:ascii="仿宋_GB2312" w:eastAsia="仿宋_GB2312"/>
          <w:sz w:val="32"/>
          <w:szCs w:val="32"/>
          <w:lang w:val="en-US" w:eastAsia="zh-CN"/>
        </w:rPr>
        <w:t>50</w:t>
      </w:r>
      <w:r>
        <w:rPr>
          <w:rFonts w:hint="eastAsia" w:ascii="仿宋_GB2312" w:eastAsia="仿宋_GB2312"/>
          <w:sz w:val="32"/>
          <w:szCs w:val="32"/>
        </w:rPr>
        <w:t>万元。</w:t>
      </w:r>
    </w:p>
    <w:p>
      <w:pPr>
        <w:numPr>
          <w:ilvl w:val="0"/>
          <w:numId w:val="3"/>
        </w:numPr>
        <w:spacing w:line="600" w:lineRule="exact"/>
        <w:ind w:firstLine="640"/>
        <w:outlineLvl w:val="1"/>
        <w:rPr>
          <w:rStyle w:val="31"/>
          <w:rFonts w:ascii="黑体" w:hAnsi="黑体" w:eastAsia="黑体"/>
          <w:b w:val="0"/>
        </w:rPr>
      </w:pPr>
      <w:bookmarkStart w:id="52" w:name="_Toc16308"/>
      <w:bookmarkStart w:id="53" w:name="_Toc15396611"/>
      <w:bookmarkStart w:id="54" w:name="_Toc15377219"/>
      <w:r>
        <w:rPr>
          <w:rStyle w:val="31"/>
          <w:rFonts w:hint="eastAsia" w:ascii="黑体" w:hAnsi="黑体" w:eastAsia="黑体"/>
          <w:b w:val="0"/>
        </w:rPr>
        <w:t>国有资本经营预算支出决算情况说明</w:t>
      </w:r>
      <w:bookmarkEnd w:id="52"/>
      <w:bookmarkEnd w:id="53"/>
      <w:bookmarkEnd w:id="54"/>
    </w:p>
    <w:p>
      <w:pPr>
        <w:spacing w:line="600" w:lineRule="exact"/>
        <w:ind w:firstLine="640"/>
        <w:rPr>
          <w:rFonts w:ascii="Arial Unicode MS" w:hAnsi="Arial Unicode MS" w:eastAsia="Arial Unicode MS" w:cs="Arial Unicode MS"/>
          <w:sz w:val="44"/>
          <w:szCs w:val="44"/>
        </w:rPr>
      </w:pPr>
      <w:r>
        <w:rPr>
          <w:rFonts w:ascii="仿宋_GB2312" w:eastAsia="仿宋_GB2312"/>
          <w:sz w:val="32"/>
          <w:szCs w:val="32"/>
        </w:rPr>
        <w:t>20</w:t>
      </w:r>
      <w:r>
        <w:rPr>
          <w:rFonts w:hint="eastAsia" w:ascii="仿宋_GB2312" w:eastAsia="仿宋_GB2312"/>
          <w:sz w:val="32"/>
          <w:szCs w:val="32"/>
        </w:rPr>
        <w:t>22年国有资本经营预算财政拨款支出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numPr>
          <w:ilvl w:val="0"/>
          <w:numId w:val="3"/>
        </w:numPr>
        <w:spacing w:line="600" w:lineRule="exact"/>
        <w:ind w:firstLine="640"/>
        <w:outlineLvl w:val="1"/>
        <w:rPr>
          <w:rStyle w:val="31"/>
          <w:rFonts w:ascii="黑体" w:hAnsi="黑体" w:eastAsia="黑体"/>
          <w:b w:val="0"/>
        </w:rPr>
      </w:pPr>
      <w:bookmarkStart w:id="55" w:name="_Toc15377221"/>
      <w:bookmarkStart w:id="56" w:name="_Toc25948"/>
      <w:bookmarkStart w:id="57" w:name="_Toc15396612"/>
      <w:r>
        <w:rPr>
          <w:rStyle w:val="31"/>
          <w:rFonts w:hint="eastAsia" w:ascii="黑体" w:hAnsi="黑体" w:eastAsia="黑体"/>
          <w:b w:val="0"/>
        </w:rPr>
        <w:t>其他重要事项的情况说明</w:t>
      </w:r>
      <w:bookmarkEnd w:id="55"/>
      <w:bookmarkEnd w:id="56"/>
      <w:bookmarkEnd w:id="57"/>
    </w:p>
    <w:p>
      <w:pPr>
        <w:spacing w:line="600" w:lineRule="exact"/>
        <w:ind w:firstLine="643" w:firstLineChars="200"/>
        <w:outlineLvl w:val="9"/>
        <w:rPr>
          <w:rFonts w:ascii="仿宋" w:hAnsi="仿宋" w:eastAsia="仿宋"/>
          <w:sz w:val="32"/>
          <w:szCs w:val="32"/>
        </w:rPr>
      </w:pPr>
      <w:bookmarkStart w:id="58" w:name="_Toc15377222"/>
      <w:r>
        <w:rPr>
          <w:rFonts w:hint="eastAsia" w:ascii="仿宋" w:hAnsi="仿宋" w:eastAsia="仿宋"/>
          <w:b/>
          <w:sz w:val="32"/>
          <w:szCs w:val="32"/>
        </w:rPr>
        <w:t>（一）机关运行经费支出情况</w:t>
      </w:r>
      <w:bookmarkEnd w:id="58"/>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sz w:val="32"/>
          <w:szCs w:val="32"/>
          <w:lang w:eastAsia="zh-CN"/>
        </w:rPr>
        <w:t>我办</w:t>
      </w:r>
      <w:r>
        <w:rPr>
          <w:rFonts w:hint="eastAsia" w:ascii="仿宋_GB2312" w:eastAsia="仿宋_GB2312"/>
          <w:sz w:val="32"/>
          <w:szCs w:val="32"/>
        </w:rPr>
        <w:t>机关运行经费支出</w:t>
      </w:r>
      <w:r>
        <w:rPr>
          <w:rFonts w:hint="eastAsia" w:ascii="仿宋_GB2312" w:eastAsia="仿宋_GB2312"/>
          <w:sz w:val="32"/>
          <w:szCs w:val="32"/>
          <w:lang w:val="en-US" w:eastAsia="zh-CN"/>
        </w:rPr>
        <w:t>10.8</w:t>
      </w:r>
      <w:r>
        <w:rPr>
          <w:rFonts w:hint="eastAsia" w:ascii="仿宋_GB2312" w:eastAsia="仿宋_GB2312"/>
          <w:sz w:val="32"/>
          <w:szCs w:val="32"/>
        </w:rPr>
        <w:t>万元，比</w:t>
      </w:r>
      <w:r>
        <w:rPr>
          <w:rFonts w:ascii="仿宋_GB2312" w:eastAsia="仿宋_GB2312"/>
          <w:sz w:val="32"/>
          <w:szCs w:val="32"/>
        </w:rPr>
        <w:t>20</w:t>
      </w:r>
      <w:r>
        <w:rPr>
          <w:rFonts w:hint="eastAsia" w:ascii="仿宋_GB2312" w:eastAsia="仿宋_GB2312"/>
          <w:sz w:val="32"/>
          <w:szCs w:val="32"/>
        </w:rPr>
        <w:t>21年减少</w:t>
      </w:r>
      <w:r>
        <w:rPr>
          <w:rFonts w:hint="eastAsia" w:ascii="仿宋_GB2312" w:eastAsia="仿宋_GB2312"/>
          <w:sz w:val="32"/>
          <w:szCs w:val="32"/>
          <w:lang w:val="en-US" w:eastAsia="zh-CN"/>
        </w:rPr>
        <w:t>7.93</w:t>
      </w:r>
      <w:r>
        <w:rPr>
          <w:rFonts w:hint="eastAsia" w:ascii="仿宋_GB2312" w:eastAsia="仿宋_GB2312"/>
          <w:sz w:val="32"/>
          <w:szCs w:val="32"/>
        </w:rPr>
        <w:t>万元，下降</w:t>
      </w:r>
      <w:r>
        <w:rPr>
          <w:rFonts w:hint="eastAsia" w:ascii="仿宋_GB2312" w:eastAsia="仿宋_GB2312"/>
          <w:sz w:val="32"/>
          <w:szCs w:val="32"/>
          <w:lang w:val="en-US" w:eastAsia="zh-CN"/>
        </w:rPr>
        <w:t>42.34</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cs="仿宋_GB2312"/>
          <w:color w:val="000000"/>
          <w:spacing w:val="0"/>
          <w:sz w:val="32"/>
          <w:szCs w:val="32"/>
          <w:lang w:val="en-US" w:eastAsia="zh-CN"/>
        </w:rPr>
        <w:t>公用经费减少</w:t>
      </w:r>
      <w:r>
        <w:rPr>
          <w:rFonts w:hint="eastAsia" w:ascii="仿宋_GB2312" w:eastAsia="仿宋_GB2312"/>
          <w:sz w:val="32"/>
          <w:szCs w:val="32"/>
        </w:rPr>
        <w:t>。</w:t>
      </w:r>
    </w:p>
    <w:p>
      <w:pPr>
        <w:autoSpaceDE w:val="0"/>
        <w:autoSpaceDN w:val="0"/>
        <w:adjustRightInd w:val="0"/>
        <w:spacing w:line="600" w:lineRule="exact"/>
        <w:ind w:firstLine="643" w:firstLineChars="200"/>
        <w:jc w:val="left"/>
        <w:outlineLvl w:val="9"/>
        <w:rPr>
          <w:rFonts w:ascii="仿宋" w:hAnsi="仿宋" w:eastAsia="仿宋"/>
          <w:b/>
          <w:sz w:val="32"/>
          <w:szCs w:val="32"/>
        </w:rPr>
      </w:pPr>
      <w:bookmarkStart w:id="59" w:name="_Toc15377223"/>
      <w:r>
        <w:rPr>
          <w:rFonts w:hint="eastAsia" w:ascii="仿宋" w:hAnsi="仿宋" w:eastAsia="仿宋"/>
          <w:b/>
          <w:sz w:val="32"/>
          <w:szCs w:val="32"/>
        </w:rPr>
        <w:t>（二）政府采购支出情况</w:t>
      </w:r>
      <w:bookmarkEnd w:id="59"/>
    </w:p>
    <w:p>
      <w:pPr>
        <w:pageBreakBefore w:val="0"/>
        <w:wordWrap/>
        <w:overflowPunct/>
        <w:topLinePunct w:val="0"/>
        <w:bidi w:val="0"/>
        <w:adjustRightInd w:val="0"/>
        <w:snapToGrid w:val="0"/>
        <w:spacing w:line="310" w:lineRule="auto"/>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w:t>
      </w:r>
      <w:r>
        <w:rPr>
          <w:rFonts w:hint="eastAsia" w:ascii="仿宋_GB2312" w:eastAsia="仿宋_GB2312" w:cs="仿宋_GB2312"/>
          <w:color w:val="000000"/>
          <w:spacing w:val="0"/>
          <w:sz w:val="32"/>
          <w:szCs w:val="32"/>
          <w:lang w:val="en-US" w:eastAsia="zh-CN"/>
        </w:rPr>
        <w:t>我办</w:t>
      </w:r>
      <w:r>
        <w:rPr>
          <w:rFonts w:hint="eastAsia" w:ascii="仿宋_GB2312" w:eastAsia="仿宋_GB2312" w:cs="仿宋_GB2312"/>
          <w:color w:val="000000"/>
          <w:spacing w:val="0"/>
          <w:sz w:val="32"/>
          <w:szCs w:val="32"/>
        </w:rPr>
        <w:t>政府采购支出总额</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万元，其中：政府采购货物支出</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万元、政府采购工程支出</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万元、政府采购服务支出</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万元。</w:t>
      </w:r>
    </w:p>
    <w:p>
      <w:pPr>
        <w:autoSpaceDE w:val="0"/>
        <w:autoSpaceDN w:val="0"/>
        <w:adjustRightInd w:val="0"/>
        <w:spacing w:line="600" w:lineRule="exact"/>
        <w:ind w:firstLine="643" w:firstLineChars="200"/>
        <w:jc w:val="left"/>
        <w:outlineLvl w:val="9"/>
        <w:rPr>
          <w:rFonts w:ascii="仿宋" w:hAnsi="仿宋" w:eastAsia="仿宋"/>
          <w:b/>
          <w:sz w:val="32"/>
          <w:szCs w:val="32"/>
        </w:rPr>
      </w:pPr>
      <w:bookmarkStart w:id="60" w:name="_Toc15377224"/>
      <w:r>
        <w:rPr>
          <w:rFonts w:hint="eastAsia" w:ascii="仿宋" w:hAnsi="仿宋" w:eastAsia="仿宋"/>
          <w:b/>
          <w:sz w:val="32"/>
          <w:szCs w:val="32"/>
        </w:rPr>
        <w:t>（三）国有资产占有使用情况</w:t>
      </w:r>
      <w:bookmarkEnd w:id="60"/>
    </w:p>
    <w:p>
      <w:pPr>
        <w:pageBreakBefore w:val="0"/>
        <w:wordWrap/>
        <w:overflowPunct/>
        <w:topLinePunct w:val="0"/>
        <w:autoSpaceDE w:val="0"/>
        <w:autoSpaceDN w:val="0"/>
        <w:bidi w:val="0"/>
        <w:adjustRightInd w:val="0"/>
        <w:snapToGrid w:val="0"/>
        <w:spacing w:line="310" w:lineRule="auto"/>
        <w:ind w:firstLine="640" w:firstLineChars="200"/>
        <w:jc w:val="left"/>
        <w:rPr>
          <w:rFonts w:hint="eastAsia" w:ascii="仿宋_GB2312" w:eastAsia="仿宋_GB2312"/>
          <w:sz w:val="32"/>
          <w:szCs w:val="32"/>
          <w:lang w:eastAsia="zh-CN"/>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ascii="仿宋_GB2312" w:eastAsia="仿宋_GB2312" w:cs="仿宋_GB2312"/>
          <w:color w:val="000000"/>
          <w:spacing w:val="0"/>
          <w:sz w:val="32"/>
          <w:szCs w:val="32"/>
          <w:lang w:val="en-US" w:eastAsia="zh-CN"/>
        </w:rPr>
        <w:t>我办</w:t>
      </w:r>
      <w:r>
        <w:rPr>
          <w:rFonts w:hint="eastAsia" w:ascii="仿宋_GB2312" w:eastAsia="仿宋_GB2312" w:cs="仿宋_GB2312"/>
          <w:color w:val="000000"/>
          <w:spacing w:val="0"/>
          <w:sz w:val="32"/>
          <w:szCs w:val="32"/>
        </w:rPr>
        <w:t>共有车辆</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辆，其中：主要领导干部用车</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辆、机要通信用车</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辆、应急保障用车</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辆、其他用车</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辆</w:t>
      </w:r>
      <w:r>
        <w:rPr>
          <w:rFonts w:hint="eastAsia" w:ascii="仿宋_GB2312" w:eastAsia="仿宋_GB2312" w:cs="仿宋_GB2312"/>
          <w:color w:val="000000"/>
          <w:spacing w:val="0"/>
          <w:sz w:val="32"/>
          <w:szCs w:val="32"/>
          <w:lang w:eastAsia="zh-CN"/>
        </w:rPr>
        <w:t>。</w:t>
      </w:r>
      <w:r>
        <w:rPr>
          <w:rFonts w:hint="eastAsia" w:ascii="仿宋_GB2312" w:eastAsia="仿宋_GB2312" w:cs="仿宋_GB2312"/>
          <w:color w:val="000000"/>
          <w:spacing w:val="0"/>
          <w:sz w:val="32"/>
          <w:szCs w:val="32"/>
        </w:rPr>
        <w:t>单价</w:t>
      </w:r>
      <w:r>
        <w:rPr>
          <w:rFonts w:ascii="仿宋_GB2312" w:eastAsia="仿宋_GB2312" w:cs="仿宋_GB2312"/>
          <w:color w:val="000000"/>
          <w:spacing w:val="0"/>
          <w:sz w:val="32"/>
          <w:szCs w:val="32"/>
        </w:rPr>
        <w:t>50</w:t>
      </w:r>
      <w:r>
        <w:rPr>
          <w:rFonts w:hint="eastAsia" w:ascii="仿宋_GB2312" w:eastAsia="仿宋_GB2312" w:cs="仿宋_GB2312"/>
          <w:color w:val="000000"/>
          <w:spacing w:val="0"/>
          <w:sz w:val="32"/>
          <w:szCs w:val="32"/>
        </w:rPr>
        <w:t>万元以上通用设备</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台（套），单价</w:t>
      </w:r>
      <w:r>
        <w:rPr>
          <w:rFonts w:ascii="仿宋_GB2312" w:eastAsia="仿宋_GB2312" w:cs="仿宋_GB2312"/>
          <w:color w:val="000000"/>
          <w:spacing w:val="0"/>
          <w:sz w:val="32"/>
          <w:szCs w:val="32"/>
        </w:rPr>
        <w:t>100</w:t>
      </w:r>
      <w:r>
        <w:rPr>
          <w:rFonts w:hint="eastAsia" w:ascii="仿宋_GB2312" w:eastAsia="仿宋_GB2312" w:cs="仿宋_GB2312"/>
          <w:color w:val="000000"/>
          <w:spacing w:val="0"/>
          <w:sz w:val="32"/>
          <w:szCs w:val="32"/>
        </w:rPr>
        <w:t>万元以上专用设备</w:t>
      </w:r>
      <w:r>
        <w:rPr>
          <w:rFonts w:hint="eastAsia" w:ascii="仿宋_GB2312" w:eastAsia="仿宋_GB2312" w:cs="仿宋_GB2312"/>
          <w:color w:val="000000"/>
          <w:spacing w:val="0"/>
          <w:sz w:val="32"/>
          <w:szCs w:val="32"/>
          <w:lang w:val="en-US" w:eastAsia="zh-CN"/>
        </w:rPr>
        <w:t>0</w:t>
      </w:r>
      <w:r>
        <w:rPr>
          <w:rFonts w:hint="eastAsia" w:ascii="仿宋_GB2312" w:eastAsia="仿宋_GB2312" w:cs="仿宋_GB2312"/>
          <w:color w:val="000000"/>
          <w:spacing w:val="0"/>
          <w:sz w:val="32"/>
          <w:szCs w:val="32"/>
        </w:rPr>
        <w:t>台（套）</w:t>
      </w:r>
      <w:r>
        <w:rPr>
          <w:rFonts w:hint="eastAsia" w:ascii="仿宋_GB2312" w:eastAsia="仿宋_GB2312" w:cs="仿宋_GB2312"/>
          <w:color w:val="000000"/>
          <w:spacing w:val="0"/>
          <w:sz w:val="32"/>
          <w:szCs w:val="32"/>
          <w:lang w:eastAsia="zh-CN"/>
        </w:rPr>
        <w:t>。</w:t>
      </w:r>
    </w:p>
    <w:p>
      <w:pPr>
        <w:autoSpaceDE w:val="0"/>
        <w:autoSpaceDN w:val="0"/>
        <w:adjustRightInd w:val="0"/>
        <w:spacing w:line="600" w:lineRule="exact"/>
        <w:ind w:firstLine="643" w:firstLineChars="200"/>
        <w:jc w:val="left"/>
        <w:outlineLvl w:val="9"/>
        <w:rPr>
          <w:rFonts w:ascii="仿宋" w:hAnsi="仿宋" w:eastAsia="仿宋"/>
          <w:b/>
          <w:sz w:val="32"/>
          <w:szCs w:val="32"/>
          <w:highlight w:val="none"/>
        </w:rPr>
      </w:pPr>
      <w:r>
        <w:rPr>
          <w:rFonts w:hint="eastAsia" w:ascii="仿宋" w:hAnsi="仿宋" w:eastAsia="仿宋"/>
          <w:b/>
          <w:sz w:val="32"/>
          <w:szCs w:val="32"/>
          <w:highlight w:val="none"/>
        </w:rPr>
        <w:t>（四）预算绩效管理情况</w:t>
      </w:r>
    </w:p>
    <w:p>
      <w:pPr>
        <w:widowControl/>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根据预算绩效管理要求，</w:t>
      </w:r>
      <w:r>
        <w:rPr>
          <w:rFonts w:hint="eastAsia" w:ascii="仿宋_GB2312" w:hAnsi="仿宋_GB2312" w:eastAsia="仿宋_GB2312" w:cs="仿宋_GB2312"/>
          <w:sz w:val="32"/>
          <w:szCs w:val="32"/>
          <w:highlight w:val="none"/>
          <w:lang w:eastAsia="zh-CN"/>
        </w:rPr>
        <w:t>我办</w:t>
      </w:r>
      <w:r>
        <w:rPr>
          <w:rFonts w:hint="eastAsia" w:ascii="仿宋_GB2312" w:hAnsi="仿宋_GB2312" w:eastAsia="仿宋_GB2312" w:cs="仿宋_GB2312"/>
          <w:sz w:val="32"/>
          <w:szCs w:val="32"/>
          <w:highlight w:val="none"/>
        </w:rPr>
        <w:t>在2022年度预算编制阶段，组织对</w:t>
      </w:r>
      <w:r>
        <w:rPr>
          <w:rFonts w:hint="eastAsia" w:ascii="仿宋_GB2312" w:hAnsi="仿宋_GB2312" w:eastAsia="仿宋_GB2312" w:cs="仿宋_GB2312"/>
          <w:sz w:val="32"/>
          <w:szCs w:val="32"/>
          <w:highlight w:val="none"/>
          <w:lang w:eastAsia="zh-CN"/>
        </w:rPr>
        <w:t>亚克力项目—挡土墙部门项目</w:t>
      </w:r>
      <w:r>
        <w:rPr>
          <w:rFonts w:hint="eastAsia" w:ascii="仿宋_GB2312" w:hAnsi="仿宋_GB2312" w:eastAsia="仿宋_GB2312" w:cs="仿宋_GB2312"/>
          <w:sz w:val="32"/>
          <w:szCs w:val="32"/>
          <w:highlight w:val="none"/>
        </w:rPr>
        <w:t>开展了预算事前绩效评估，对</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个项目编制了绩效目标，预算执行过程中，选</w:t>
      </w:r>
      <w:r>
        <w:rPr>
          <w:rFonts w:hint="eastAsia" w:ascii="仿宋_GB2312" w:hAnsi="仿宋_GB2312" w:eastAsia="仿宋_GB2312" w:cs="仿宋_GB2312"/>
          <w:sz w:val="32"/>
          <w:szCs w:val="32"/>
          <w:highlight w:val="none"/>
          <w:lang w:eastAsia="zh-CN"/>
        </w:rPr>
        <w:t>取</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个项目开展绩效监控。</w:t>
      </w:r>
    </w:p>
    <w:p>
      <w:pPr>
        <w:widowControl/>
        <w:ind w:firstLine="620" w:firstLineChars="200"/>
        <w:jc w:val="left"/>
        <w:rPr>
          <w:rFonts w:hint="eastAsia" w:ascii="仿宋" w:hAnsi="仿宋" w:eastAsia="仿宋" w:cs="仿宋"/>
          <w:color w:val="000000"/>
          <w:kern w:val="0"/>
          <w:sz w:val="31"/>
          <w:szCs w:val="31"/>
          <w:highlight w:val="none"/>
          <w:lang w:bidi="ar"/>
        </w:rPr>
      </w:pPr>
      <w:r>
        <w:rPr>
          <w:rFonts w:hint="eastAsia" w:ascii="仿宋" w:hAnsi="仿宋" w:eastAsia="仿宋" w:cs="仿宋"/>
          <w:color w:val="000000"/>
          <w:kern w:val="0"/>
          <w:sz w:val="31"/>
          <w:szCs w:val="31"/>
          <w:highlight w:val="none"/>
          <w:lang w:bidi="ar"/>
        </w:rPr>
        <w:t>组织对2022年度一般公共预算</w:t>
      </w:r>
      <w:r>
        <w:rPr>
          <w:rFonts w:hint="eastAsia" w:ascii="仿宋" w:hAnsi="仿宋" w:eastAsia="仿宋" w:cs="仿宋"/>
          <w:color w:val="000000"/>
          <w:kern w:val="0"/>
          <w:sz w:val="31"/>
          <w:szCs w:val="31"/>
          <w:highlight w:val="none"/>
          <w:lang w:eastAsia="zh-CN" w:bidi="ar"/>
        </w:rPr>
        <w:t>支出</w:t>
      </w:r>
      <w:r>
        <w:rPr>
          <w:rFonts w:hint="eastAsia" w:ascii="仿宋" w:hAnsi="仿宋" w:eastAsia="仿宋" w:cs="仿宋"/>
          <w:color w:val="000000"/>
          <w:kern w:val="0"/>
          <w:sz w:val="31"/>
          <w:szCs w:val="31"/>
          <w:highlight w:val="none"/>
          <w:lang w:bidi="ar"/>
        </w:rPr>
        <w:t>全面开展绩效自评，形成</w:t>
      </w:r>
      <w:r>
        <w:rPr>
          <w:rFonts w:hint="eastAsia" w:ascii="仿宋" w:hAnsi="仿宋" w:eastAsia="仿宋" w:cs="仿宋"/>
          <w:color w:val="000000"/>
          <w:kern w:val="0"/>
          <w:sz w:val="31"/>
          <w:szCs w:val="31"/>
          <w:highlight w:val="none"/>
          <w:lang w:eastAsia="zh-CN" w:bidi="ar"/>
        </w:rPr>
        <w:t>我办</w:t>
      </w:r>
      <w:r>
        <w:rPr>
          <w:rFonts w:hint="eastAsia" w:ascii="仿宋" w:hAnsi="仿宋" w:eastAsia="仿宋" w:cs="仿宋"/>
          <w:color w:val="000000"/>
          <w:kern w:val="0"/>
          <w:sz w:val="31"/>
          <w:szCs w:val="31"/>
          <w:highlight w:val="none"/>
          <w:lang w:bidi="ar"/>
        </w:rPr>
        <w:t>部门整体绩效自评报告</w:t>
      </w:r>
      <w:r>
        <w:rPr>
          <w:rFonts w:hint="eastAsia" w:ascii="仿宋" w:hAnsi="仿宋" w:eastAsia="仿宋" w:cs="仿宋"/>
          <w:color w:val="000000"/>
          <w:kern w:val="0"/>
          <w:sz w:val="31"/>
          <w:szCs w:val="31"/>
          <w:highlight w:val="none"/>
          <w:lang w:eastAsia="zh-CN" w:bidi="ar"/>
        </w:rPr>
        <w:t>。我办部门</w:t>
      </w:r>
      <w:r>
        <w:rPr>
          <w:rFonts w:hint="eastAsia" w:ascii="仿宋" w:hAnsi="仿宋" w:eastAsia="仿宋" w:cs="仿宋"/>
          <w:color w:val="000000"/>
          <w:kern w:val="0"/>
          <w:sz w:val="31"/>
          <w:szCs w:val="31"/>
          <w:highlight w:val="none"/>
          <w:lang w:bidi="ar"/>
        </w:rPr>
        <w:t>整体绩效自评得分为</w:t>
      </w:r>
      <w:r>
        <w:rPr>
          <w:rFonts w:hint="eastAsia" w:ascii="仿宋" w:hAnsi="仿宋" w:eastAsia="仿宋" w:cs="仿宋"/>
          <w:color w:val="000000"/>
          <w:kern w:val="0"/>
          <w:sz w:val="31"/>
          <w:szCs w:val="31"/>
          <w:highlight w:val="none"/>
          <w:lang w:val="en-US" w:eastAsia="zh-CN" w:bidi="ar"/>
        </w:rPr>
        <w:t>91</w:t>
      </w:r>
      <w:r>
        <w:rPr>
          <w:rFonts w:hint="eastAsia" w:ascii="仿宋" w:hAnsi="仿宋" w:eastAsia="仿宋" w:cs="仿宋"/>
          <w:color w:val="000000"/>
          <w:kern w:val="0"/>
          <w:sz w:val="31"/>
          <w:szCs w:val="31"/>
          <w:highlight w:val="none"/>
          <w:lang w:bidi="ar"/>
        </w:rPr>
        <w:t>分，绩效自评综述：2022 年我</w:t>
      </w:r>
      <w:r>
        <w:rPr>
          <w:rFonts w:hint="eastAsia" w:ascii="仿宋" w:hAnsi="仿宋" w:eastAsia="仿宋" w:cs="仿宋"/>
          <w:color w:val="000000"/>
          <w:kern w:val="0"/>
          <w:sz w:val="31"/>
          <w:szCs w:val="31"/>
          <w:highlight w:val="none"/>
          <w:lang w:eastAsia="zh-CN" w:bidi="ar"/>
        </w:rPr>
        <w:t>办</w:t>
      </w:r>
      <w:r>
        <w:rPr>
          <w:rFonts w:hint="eastAsia" w:ascii="仿宋" w:hAnsi="仿宋" w:eastAsia="仿宋" w:cs="仿宋"/>
          <w:color w:val="000000"/>
          <w:kern w:val="0"/>
          <w:sz w:val="31"/>
          <w:szCs w:val="31"/>
          <w:highlight w:val="none"/>
          <w:lang w:bidi="ar"/>
        </w:rPr>
        <w:t>部门整体支出绩效自查自评结果良好，全年基本支出保证了部门的正常运转，项目支出保障了重点工作的开展。</w:t>
      </w:r>
    </w:p>
    <w:p>
      <w:pPr>
        <w:widowControl/>
        <w:ind w:firstLine="620" w:firstLineChars="200"/>
        <w:jc w:val="left"/>
        <w:rPr>
          <w:rFonts w:ascii="仿宋_GB2312" w:eastAsia="仿宋_GB2312"/>
          <w:b/>
          <w:sz w:val="32"/>
          <w:szCs w:val="32"/>
        </w:rPr>
      </w:pPr>
      <w:r>
        <w:rPr>
          <w:rFonts w:hint="eastAsia" w:ascii="仿宋" w:hAnsi="仿宋" w:eastAsia="仿宋" w:cs="仿宋"/>
          <w:color w:val="000000"/>
          <w:kern w:val="0"/>
          <w:sz w:val="31"/>
          <w:szCs w:val="31"/>
          <w:highlight w:val="none"/>
          <w:lang w:bidi="ar"/>
        </w:rPr>
        <w:t>《中共剑阁县委军民融合发展委员会办公室2022年部门整体绩效评价报告》见附件。</w:t>
      </w:r>
      <w:r>
        <w:rPr>
          <w:rFonts w:ascii="仿宋_GB2312" w:eastAsia="仿宋_GB2312"/>
          <w:b/>
          <w:sz w:val="32"/>
          <w:szCs w:val="32"/>
          <w:highlight w:val="yellow"/>
        </w:rPr>
        <w:br w:type="page"/>
      </w:r>
    </w:p>
    <w:p>
      <w:pPr>
        <w:numPr>
          <w:ilvl w:val="0"/>
          <w:numId w:val="4"/>
        </w:numPr>
        <w:spacing w:line="600" w:lineRule="exact"/>
        <w:ind w:firstLine="660" w:firstLineChars="150"/>
        <w:jc w:val="center"/>
        <w:outlineLvl w:val="0"/>
        <w:rPr>
          <w:rStyle w:val="30"/>
          <w:rFonts w:ascii="黑体" w:hAnsi="黑体" w:eastAsia="黑体"/>
          <w:b w:val="0"/>
        </w:rPr>
      </w:pPr>
      <w:bookmarkStart w:id="61" w:name="_Toc15377225"/>
      <w:bookmarkStart w:id="62" w:name="_Toc15396613"/>
      <w:bookmarkStart w:id="63" w:name="_Toc4785"/>
      <w:r>
        <w:rPr>
          <w:rFonts w:hint="eastAsia" w:ascii="黑体" w:hAnsi="黑体" w:eastAsia="黑体"/>
          <w:sz w:val="44"/>
          <w:szCs w:val="44"/>
        </w:rPr>
        <w:t>名</w:t>
      </w:r>
      <w:r>
        <w:rPr>
          <w:rStyle w:val="30"/>
          <w:rFonts w:hint="eastAsia" w:ascii="黑体" w:hAnsi="黑体" w:eastAsia="黑体"/>
          <w:b w:val="0"/>
        </w:rPr>
        <w:t>词解释</w:t>
      </w:r>
      <w:bookmarkEnd w:id="61"/>
      <w:bookmarkEnd w:id="62"/>
      <w:bookmarkEnd w:id="63"/>
    </w:p>
    <w:p>
      <w:pPr>
        <w:spacing w:line="600" w:lineRule="exact"/>
        <w:jc w:val="left"/>
        <w:rPr>
          <w:rFonts w:ascii="宋体"/>
          <w:b/>
          <w:sz w:val="44"/>
          <w:szCs w:val="44"/>
        </w:rPr>
      </w:pPr>
    </w:p>
    <w:p>
      <w:pPr>
        <w:pageBreakBefore w:val="0"/>
        <w:wordWrap/>
        <w:overflowPunct/>
        <w:topLinePunct w:val="0"/>
        <w:bidi w:val="0"/>
        <w:adjustRightInd w:val="0"/>
        <w:snapToGrid w:val="0"/>
        <w:spacing w:before="101" w:line="310" w:lineRule="auto"/>
        <w:ind w:left="21" w:right="78" w:firstLine="647"/>
        <w:outlineLvl w:val="9"/>
        <w:rPr>
          <w:rFonts w:ascii="仿宋" w:hAnsi="仿宋" w:eastAsia="仿宋" w:cs="仿宋"/>
          <w:spacing w:val="0"/>
          <w:sz w:val="31"/>
          <w:szCs w:val="31"/>
        </w:rPr>
      </w:pPr>
      <w:r>
        <w:rPr>
          <w:rFonts w:ascii="仿宋" w:hAnsi="仿宋" w:eastAsia="仿宋" w:cs="仿宋"/>
          <w:spacing w:val="0"/>
          <w:sz w:val="31"/>
          <w:szCs w:val="31"/>
        </w:rPr>
        <w:t>1.</w:t>
      </w:r>
      <w:r>
        <w:rPr>
          <w:rFonts w:hint="eastAsia" w:ascii="仿宋" w:hAnsi="仿宋" w:eastAsia="仿宋" w:cs="仿宋"/>
          <w:spacing w:val="0"/>
          <w:sz w:val="31"/>
          <w:szCs w:val="31"/>
        </w:rPr>
        <w:t>一般公共预算拨款收入：指县级财政当年拨付的资金。</w:t>
      </w:r>
    </w:p>
    <w:p>
      <w:pPr>
        <w:pageBreakBefore w:val="0"/>
        <w:wordWrap/>
        <w:overflowPunct/>
        <w:topLinePunct w:val="0"/>
        <w:bidi w:val="0"/>
        <w:adjustRightInd w:val="0"/>
        <w:snapToGrid w:val="0"/>
        <w:spacing w:before="1" w:line="310" w:lineRule="auto"/>
        <w:ind w:left="15" w:right="76" w:firstLine="645"/>
        <w:rPr>
          <w:rFonts w:ascii="仿宋" w:hAnsi="仿宋" w:eastAsia="仿宋" w:cs="仿宋"/>
          <w:spacing w:val="0"/>
          <w:sz w:val="31"/>
          <w:szCs w:val="31"/>
        </w:rPr>
      </w:pPr>
      <w:r>
        <w:rPr>
          <w:rFonts w:ascii="仿宋" w:hAnsi="仿宋" w:eastAsia="仿宋" w:cs="仿宋"/>
          <w:spacing w:val="0"/>
          <w:sz w:val="31"/>
          <w:szCs w:val="31"/>
        </w:rPr>
        <w:t>2.</w:t>
      </w:r>
      <w:r>
        <w:rPr>
          <w:rFonts w:hint="eastAsia" w:ascii="仿宋" w:hAnsi="仿宋" w:eastAsia="仿宋" w:cs="仿宋"/>
          <w:spacing w:val="0"/>
          <w:sz w:val="31"/>
          <w:szCs w:val="31"/>
        </w:rPr>
        <w:t>上年结转：指以前年度尚未完成，结转到本年仍按原规定用途继续使用的资金。</w:t>
      </w:r>
    </w:p>
    <w:p>
      <w:pPr>
        <w:pageBreakBefore w:val="0"/>
        <w:wordWrap/>
        <w:overflowPunct/>
        <w:topLinePunct w:val="0"/>
        <w:bidi w:val="0"/>
        <w:adjustRightInd w:val="0"/>
        <w:snapToGrid w:val="0"/>
        <w:spacing w:before="1" w:line="310" w:lineRule="auto"/>
        <w:ind w:left="11" w:right="76" w:firstLine="661"/>
        <w:rPr>
          <w:rFonts w:ascii="仿宋" w:hAnsi="仿宋" w:eastAsia="仿宋" w:cs="仿宋"/>
          <w:spacing w:val="7"/>
          <w:sz w:val="31"/>
          <w:szCs w:val="31"/>
        </w:rPr>
      </w:pPr>
      <w:r>
        <w:rPr>
          <w:rFonts w:ascii="仿宋" w:hAnsi="仿宋" w:eastAsia="仿宋" w:cs="仿宋"/>
          <w:spacing w:val="0"/>
          <w:sz w:val="31"/>
          <w:szCs w:val="31"/>
        </w:rPr>
        <w:t>3.</w:t>
      </w:r>
      <w:r>
        <w:rPr>
          <w:rFonts w:hint="eastAsia" w:ascii="仿宋_GB2312" w:eastAsia="仿宋_GB2312" w:cs="仿宋_GB2312"/>
          <w:color w:val="000000"/>
          <w:spacing w:val="0"/>
          <w:sz w:val="32"/>
          <w:szCs w:val="32"/>
        </w:rPr>
        <w:t>一般公共服务</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（类）</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政府办公厅</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室</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及相关机构事务</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（款）</w:t>
      </w:r>
      <w:r>
        <w:rPr>
          <w:rFonts w:hint="eastAsia" w:ascii="仿宋_GB2312" w:eastAsia="仿宋_GB2312" w:cs="仿宋_GB2312"/>
          <w:color w:val="000000"/>
          <w:spacing w:val="0"/>
          <w:sz w:val="32"/>
          <w:szCs w:val="32"/>
          <w:lang w:val="en-US" w:eastAsia="zh-CN"/>
        </w:rPr>
        <w:t xml:space="preserve"> 行政运行 （项） </w:t>
      </w:r>
      <w:r>
        <w:rPr>
          <w:rFonts w:hint="eastAsia" w:ascii="仿宋_GB2312" w:eastAsia="仿宋_GB2312" w:cs="仿宋_GB2312"/>
          <w:color w:val="000000"/>
          <w:spacing w:val="0"/>
          <w:sz w:val="32"/>
          <w:szCs w:val="32"/>
        </w:rPr>
        <w:t>：</w:t>
      </w:r>
      <w:r>
        <w:rPr>
          <w:rFonts w:ascii="仿宋" w:hAnsi="仿宋" w:eastAsia="仿宋" w:cs="仿宋"/>
          <w:spacing w:val="7"/>
          <w:sz w:val="31"/>
          <w:szCs w:val="31"/>
        </w:rPr>
        <w:t>指反映行政单位(包括实行</w:t>
      </w:r>
      <w:r>
        <w:rPr>
          <w:rFonts w:ascii="仿宋" w:hAnsi="仿宋" w:eastAsia="仿宋" w:cs="仿宋"/>
          <w:spacing w:val="14"/>
          <w:sz w:val="31"/>
          <w:szCs w:val="31"/>
        </w:rPr>
        <w:t>公</w:t>
      </w:r>
      <w:r>
        <w:rPr>
          <w:rFonts w:ascii="仿宋" w:hAnsi="仿宋" w:eastAsia="仿宋" w:cs="仿宋"/>
          <w:spacing w:val="12"/>
          <w:sz w:val="31"/>
          <w:szCs w:val="31"/>
        </w:rPr>
        <w:t>务</w:t>
      </w:r>
      <w:r>
        <w:rPr>
          <w:rFonts w:ascii="仿宋" w:hAnsi="仿宋" w:eastAsia="仿宋" w:cs="仿宋"/>
          <w:spacing w:val="7"/>
          <w:sz w:val="31"/>
          <w:szCs w:val="31"/>
        </w:rPr>
        <w:t>员管理的事业单位)的基本支出。</w:t>
      </w:r>
    </w:p>
    <w:p>
      <w:pPr>
        <w:pageBreakBefore w:val="0"/>
        <w:wordWrap/>
        <w:overflowPunct/>
        <w:topLinePunct w:val="0"/>
        <w:bidi w:val="0"/>
        <w:adjustRightInd w:val="0"/>
        <w:snapToGrid w:val="0"/>
        <w:spacing w:before="6" w:line="310" w:lineRule="auto"/>
        <w:ind w:left="7" w:right="73" w:firstLine="651"/>
        <w:rPr>
          <w:rFonts w:hint="eastAsia" w:ascii="仿宋_GB2312" w:eastAsia="仿宋_GB2312" w:cs="仿宋_GB2312"/>
          <w:color w:val="000000"/>
          <w:spacing w:val="0"/>
          <w:sz w:val="32"/>
          <w:szCs w:val="32"/>
          <w:lang w:val="en-US" w:eastAsia="zh-CN"/>
        </w:rPr>
      </w:pPr>
      <w:r>
        <w:rPr>
          <w:rFonts w:ascii="仿宋" w:hAnsi="仿宋" w:eastAsia="仿宋" w:cs="仿宋"/>
          <w:spacing w:val="0"/>
          <w:sz w:val="31"/>
          <w:szCs w:val="31"/>
        </w:rPr>
        <w:t>4</w:t>
      </w:r>
      <w:r>
        <w:rPr>
          <w:rFonts w:ascii="Times New Roman" w:hAnsi="Times New Roman" w:eastAsia="Times New Roman" w:cs="Times New Roman"/>
          <w:spacing w:val="0"/>
          <w:sz w:val="31"/>
          <w:szCs w:val="31"/>
        </w:rPr>
        <w:t>.</w:t>
      </w:r>
      <w:r>
        <w:rPr>
          <w:rFonts w:hint="eastAsia" w:ascii="仿宋_GB2312" w:eastAsia="仿宋_GB2312" w:cs="仿宋_GB2312"/>
          <w:color w:val="000000"/>
          <w:spacing w:val="0"/>
          <w:sz w:val="32"/>
          <w:szCs w:val="32"/>
        </w:rPr>
        <w:t>一般公共服务</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（类）</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政府办公厅</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室</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及相关机构事务</w:t>
      </w:r>
      <w:r>
        <w:rPr>
          <w:rFonts w:hint="eastAsia" w:ascii="仿宋_GB2312" w:eastAsia="仿宋_GB2312" w:cs="仿宋_GB2312"/>
          <w:color w:val="000000"/>
          <w:spacing w:val="0"/>
          <w:sz w:val="32"/>
          <w:szCs w:val="32"/>
          <w:lang w:val="en-US" w:eastAsia="zh-CN"/>
        </w:rPr>
        <w:t xml:space="preserve"> </w:t>
      </w:r>
      <w:r>
        <w:rPr>
          <w:rFonts w:hint="eastAsia" w:ascii="仿宋_GB2312" w:eastAsia="仿宋_GB2312" w:cs="仿宋_GB2312"/>
          <w:color w:val="000000"/>
          <w:spacing w:val="0"/>
          <w:sz w:val="32"/>
          <w:szCs w:val="32"/>
          <w:lang w:eastAsia="zh-CN"/>
        </w:rPr>
        <w:t>（款）</w:t>
      </w:r>
      <w:r>
        <w:rPr>
          <w:rFonts w:hint="eastAsia" w:ascii="仿宋_GB2312" w:eastAsia="仿宋_GB2312" w:cs="仿宋_GB2312"/>
          <w:color w:val="000000"/>
          <w:spacing w:val="0"/>
          <w:sz w:val="32"/>
          <w:szCs w:val="32"/>
          <w:lang w:val="en-US" w:eastAsia="zh-CN"/>
        </w:rPr>
        <w:t xml:space="preserve"> 其他政府办公</w:t>
      </w:r>
      <w:r>
        <w:rPr>
          <w:rFonts w:hint="eastAsia" w:ascii="仿宋_GB2312" w:eastAsia="仿宋_GB2312" w:cs="仿宋_GB2312"/>
          <w:color w:val="000000"/>
          <w:spacing w:val="0"/>
          <w:sz w:val="32"/>
          <w:szCs w:val="32"/>
          <w:lang w:eastAsia="zh-CN"/>
        </w:rPr>
        <w:t>厅</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室</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及相关机构事务</w:t>
      </w:r>
      <w:r>
        <w:rPr>
          <w:rFonts w:hint="eastAsia" w:ascii="仿宋_GB2312" w:eastAsia="仿宋_GB2312" w:cs="仿宋_GB2312"/>
          <w:color w:val="000000"/>
          <w:spacing w:val="0"/>
          <w:sz w:val="32"/>
          <w:szCs w:val="32"/>
          <w:lang w:val="en-US" w:eastAsia="zh-CN"/>
        </w:rPr>
        <w:t xml:space="preserve"> （项） ：反映其他</w:t>
      </w:r>
      <w:r>
        <w:rPr>
          <w:rFonts w:hint="eastAsia" w:ascii="仿宋_GB2312" w:eastAsia="仿宋_GB2312" w:cs="仿宋_GB2312"/>
          <w:color w:val="000000"/>
          <w:spacing w:val="0"/>
          <w:sz w:val="32"/>
          <w:szCs w:val="32"/>
          <w:lang w:eastAsia="zh-CN"/>
        </w:rPr>
        <w:t>政府办公厅</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室</w:t>
      </w:r>
      <w:r>
        <w:rPr>
          <w:rFonts w:hint="eastAsia" w:ascii="仿宋_GB2312" w:eastAsia="仿宋_GB2312" w:cs="仿宋_GB2312"/>
          <w:color w:val="000000"/>
          <w:spacing w:val="0"/>
          <w:sz w:val="32"/>
          <w:szCs w:val="32"/>
          <w:lang w:val="en-US" w:eastAsia="zh-CN"/>
        </w:rPr>
        <w:t>)</w:t>
      </w:r>
      <w:r>
        <w:rPr>
          <w:rFonts w:hint="eastAsia" w:ascii="仿宋_GB2312" w:eastAsia="仿宋_GB2312" w:cs="仿宋_GB2312"/>
          <w:color w:val="000000"/>
          <w:spacing w:val="0"/>
          <w:sz w:val="32"/>
          <w:szCs w:val="32"/>
          <w:lang w:eastAsia="zh-CN"/>
        </w:rPr>
        <w:t>及相关机构事务支出。</w:t>
      </w:r>
    </w:p>
    <w:p>
      <w:pPr>
        <w:pageBreakBefore w:val="0"/>
        <w:wordWrap/>
        <w:overflowPunct/>
        <w:topLinePunct w:val="0"/>
        <w:bidi w:val="0"/>
        <w:adjustRightInd w:val="0"/>
        <w:snapToGrid w:val="0"/>
        <w:spacing w:before="6" w:line="310" w:lineRule="auto"/>
        <w:ind w:left="7" w:right="73" w:firstLine="651"/>
        <w:rPr>
          <w:rFonts w:ascii="仿宋" w:hAnsi="仿宋" w:eastAsia="仿宋" w:cs="仿宋"/>
          <w:spacing w:val="0"/>
          <w:sz w:val="31"/>
          <w:szCs w:val="31"/>
        </w:rPr>
      </w:pPr>
      <w:r>
        <w:rPr>
          <w:rFonts w:ascii="仿宋" w:hAnsi="仿宋" w:eastAsia="仿宋" w:cs="仿宋"/>
          <w:spacing w:val="0"/>
          <w:sz w:val="31"/>
          <w:szCs w:val="31"/>
        </w:rPr>
        <w:t>5.</w:t>
      </w:r>
      <w:r>
        <w:rPr>
          <w:rFonts w:hint="eastAsia" w:ascii="仿宋" w:hAnsi="仿宋" w:eastAsia="仿宋" w:cs="仿宋"/>
          <w:b w:val="0"/>
          <w:bCs/>
          <w:color w:val="0C0C0C"/>
          <w:spacing w:val="0"/>
          <w:kern w:val="0"/>
          <w:sz w:val="32"/>
          <w:szCs w:val="32"/>
          <w:lang w:val="en-US" w:eastAsia="zh-CN" w:bidi="ar"/>
        </w:rPr>
        <w:t>社会保障和就业 （类） 行政事业单位养老 （款） 行政单位医疗 （项） ：</w:t>
      </w:r>
      <w:r>
        <w:rPr>
          <w:rFonts w:hint="eastAsia" w:ascii="仿宋" w:hAnsi="仿宋" w:eastAsia="仿宋" w:cs="仿宋"/>
          <w:b w:val="0"/>
          <w:bCs w:val="0"/>
          <w:color w:val="0C0C0C"/>
          <w:spacing w:val="0"/>
          <w:sz w:val="32"/>
          <w:szCs w:val="32"/>
        </w:rPr>
        <w:t>指机关事业单位实施养老保险制度由单位缴纳的基本养老保险费的支出。</w:t>
      </w:r>
    </w:p>
    <w:p>
      <w:pPr>
        <w:pageBreakBefore w:val="0"/>
        <w:wordWrap/>
        <w:overflowPunct/>
        <w:topLinePunct w:val="0"/>
        <w:bidi w:val="0"/>
        <w:adjustRightInd w:val="0"/>
        <w:snapToGrid w:val="0"/>
        <w:spacing w:before="3" w:line="310" w:lineRule="auto"/>
        <w:ind w:right="76" w:firstLine="663"/>
        <w:rPr>
          <w:rFonts w:hint="eastAsia" w:ascii="仿宋" w:hAnsi="仿宋" w:eastAsia="仿宋" w:cs="仿宋"/>
          <w:b w:val="0"/>
          <w:bCs w:val="0"/>
          <w:color w:val="0C0C0C"/>
          <w:spacing w:val="0"/>
          <w:sz w:val="32"/>
          <w:szCs w:val="32"/>
        </w:rPr>
      </w:pPr>
      <w:r>
        <w:rPr>
          <w:rFonts w:ascii="仿宋" w:hAnsi="仿宋" w:eastAsia="仿宋" w:cs="仿宋"/>
          <w:spacing w:val="0"/>
          <w:sz w:val="31"/>
          <w:szCs w:val="31"/>
        </w:rPr>
        <w:t>6.</w:t>
      </w:r>
      <w:r>
        <w:rPr>
          <w:rFonts w:hint="eastAsia" w:ascii="仿宋" w:hAnsi="仿宋" w:eastAsia="仿宋" w:cs="仿宋"/>
          <w:b w:val="0"/>
          <w:bCs/>
          <w:color w:val="0C0C0C"/>
          <w:spacing w:val="0"/>
          <w:kern w:val="0"/>
          <w:sz w:val="32"/>
          <w:szCs w:val="32"/>
          <w:lang w:val="en-US" w:eastAsia="zh-CN" w:bidi="ar"/>
        </w:rPr>
        <w:t>卫生健康 （类） 行政事业单位医疗 （款） 行政单位医疗 （项） ：</w:t>
      </w:r>
      <w:r>
        <w:rPr>
          <w:rFonts w:ascii="仿宋" w:hAnsi="仿宋" w:eastAsia="仿宋" w:cs="仿宋"/>
          <w:spacing w:val="8"/>
          <w:sz w:val="31"/>
          <w:szCs w:val="31"/>
        </w:rPr>
        <w:t>指局机关及参公管理事业单位用于缴纳单位</w:t>
      </w:r>
      <w:r>
        <w:rPr>
          <w:rFonts w:ascii="仿宋" w:hAnsi="仿宋" w:eastAsia="仿宋" w:cs="仿宋"/>
          <w:spacing w:val="5"/>
          <w:sz w:val="31"/>
          <w:szCs w:val="31"/>
        </w:rPr>
        <w:t>基</w:t>
      </w:r>
      <w:r>
        <w:rPr>
          <w:rFonts w:ascii="仿宋" w:hAnsi="仿宋" w:eastAsia="仿宋" w:cs="仿宋"/>
          <w:sz w:val="31"/>
          <w:szCs w:val="31"/>
        </w:rPr>
        <w:t xml:space="preserve"> </w:t>
      </w:r>
      <w:r>
        <w:rPr>
          <w:rFonts w:ascii="仿宋" w:hAnsi="仿宋" w:eastAsia="仿宋" w:cs="仿宋"/>
          <w:spacing w:val="6"/>
          <w:sz w:val="31"/>
          <w:szCs w:val="31"/>
        </w:rPr>
        <w:t>本医疗保险支出</w:t>
      </w:r>
      <w:r>
        <w:rPr>
          <w:rFonts w:ascii="仿宋" w:hAnsi="仿宋" w:eastAsia="仿宋" w:cs="仿宋"/>
          <w:spacing w:val="4"/>
          <w:sz w:val="31"/>
          <w:szCs w:val="31"/>
        </w:rPr>
        <w:t>。</w:t>
      </w:r>
    </w:p>
    <w:p>
      <w:pPr>
        <w:pageBreakBefore w:val="0"/>
        <w:wordWrap/>
        <w:overflowPunct/>
        <w:topLinePunct w:val="0"/>
        <w:bidi w:val="0"/>
        <w:adjustRightInd w:val="0"/>
        <w:snapToGrid w:val="0"/>
        <w:spacing w:before="3" w:line="310" w:lineRule="auto"/>
        <w:ind w:right="76" w:firstLine="663"/>
        <w:rPr>
          <w:rFonts w:ascii="仿宋" w:hAnsi="仿宋" w:eastAsia="仿宋" w:cs="仿宋"/>
          <w:spacing w:val="0"/>
          <w:sz w:val="31"/>
          <w:szCs w:val="31"/>
        </w:rPr>
      </w:pPr>
      <w:r>
        <w:rPr>
          <w:rFonts w:hint="eastAsia" w:ascii="仿宋" w:hAnsi="仿宋" w:eastAsia="仿宋" w:cs="仿宋"/>
          <w:spacing w:val="0"/>
          <w:sz w:val="31"/>
          <w:szCs w:val="31"/>
          <w:lang w:val="en-US" w:eastAsia="zh-CN"/>
        </w:rPr>
        <w:t>7.</w:t>
      </w:r>
      <w:r>
        <w:rPr>
          <w:rFonts w:hint="eastAsia" w:ascii="仿宋" w:hAnsi="仿宋" w:eastAsia="仿宋" w:cs="仿宋"/>
          <w:spacing w:val="0"/>
          <w:sz w:val="31"/>
          <w:szCs w:val="31"/>
          <w:lang w:eastAsia="zh-CN"/>
        </w:rPr>
        <w:t>城乡社区</w:t>
      </w:r>
      <w:r>
        <w:rPr>
          <w:rFonts w:hint="eastAsia" w:ascii="仿宋" w:hAnsi="仿宋" w:eastAsia="仿宋" w:cs="仿宋"/>
          <w:spacing w:val="0"/>
          <w:sz w:val="31"/>
          <w:szCs w:val="31"/>
          <w:lang w:val="en-US" w:eastAsia="zh-CN"/>
        </w:rPr>
        <w:t xml:space="preserve"> </w:t>
      </w:r>
      <w:r>
        <w:rPr>
          <w:rFonts w:hint="eastAsia" w:ascii="仿宋" w:hAnsi="仿宋" w:eastAsia="仿宋" w:cs="仿宋"/>
          <w:b w:val="0"/>
          <w:bCs/>
          <w:color w:val="0C0C0C"/>
          <w:spacing w:val="0"/>
          <w:kern w:val="0"/>
          <w:sz w:val="32"/>
          <w:szCs w:val="32"/>
          <w:lang w:val="en-US" w:eastAsia="zh-CN" w:bidi="ar"/>
        </w:rPr>
        <w:t xml:space="preserve">（类） 国有土地使用权出让收入安排 （款） </w:t>
      </w:r>
      <w:r>
        <w:rPr>
          <w:rFonts w:hint="eastAsia" w:ascii="仿宋" w:hAnsi="仿宋" w:eastAsia="仿宋" w:cs="仿宋"/>
          <w:spacing w:val="0"/>
          <w:sz w:val="31"/>
          <w:szCs w:val="31"/>
          <w:lang w:eastAsia="zh-CN"/>
        </w:rPr>
        <w:t>征地和拆迁补偿</w:t>
      </w:r>
      <w:r>
        <w:rPr>
          <w:rFonts w:hint="eastAsia" w:ascii="仿宋" w:hAnsi="仿宋" w:eastAsia="仿宋" w:cs="仿宋"/>
          <w:spacing w:val="0"/>
          <w:sz w:val="31"/>
          <w:szCs w:val="31"/>
          <w:lang w:val="en-US" w:eastAsia="zh-CN"/>
        </w:rPr>
        <w:t xml:space="preserve"> </w:t>
      </w:r>
      <w:r>
        <w:rPr>
          <w:rFonts w:hint="eastAsia" w:ascii="仿宋" w:hAnsi="仿宋" w:eastAsia="仿宋" w:cs="仿宋"/>
          <w:b w:val="0"/>
          <w:bCs/>
          <w:color w:val="0C0C0C"/>
          <w:spacing w:val="0"/>
          <w:kern w:val="0"/>
          <w:sz w:val="32"/>
          <w:szCs w:val="32"/>
          <w:lang w:val="en-US" w:eastAsia="zh-CN" w:bidi="ar"/>
        </w:rPr>
        <w:t>（项） ：反映地方政府在征地和收购土地过程中支付的土地补偿费、安置补助费、地上附着和青苗补偿费、拆迁补偿费支出。</w:t>
      </w:r>
    </w:p>
    <w:p>
      <w:pPr>
        <w:pageBreakBefore w:val="0"/>
        <w:wordWrap/>
        <w:overflowPunct/>
        <w:topLinePunct w:val="0"/>
        <w:bidi w:val="0"/>
        <w:adjustRightInd w:val="0"/>
        <w:snapToGrid w:val="0"/>
        <w:spacing w:line="310" w:lineRule="auto"/>
        <w:ind w:firstLine="640" w:firstLineChars="200"/>
        <w:rPr>
          <w:rFonts w:hint="default" w:ascii="仿宋" w:hAnsi="仿宋" w:eastAsia="仿宋" w:cs="仿宋"/>
          <w:spacing w:val="0"/>
          <w:sz w:val="31"/>
          <w:szCs w:val="31"/>
          <w:lang w:val="en-US" w:eastAsia="zh-CN"/>
        </w:rPr>
      </w:pPr>
      <w:r>
        <w:rPr>
          <w:rFonts w:hint="eastAsia" w:ascii="仿宋" w:hAnsi="仿宋" w:eastAsia="仿宋" w:cs="仿宋"/>
          <w:b w:val="0"/>
          <w:bCs/>
          <w:color w:val="0C0C0C"/>
          <w:spacing w:val="0"/>
          <w:kern w:val="0"/>
          <w:sz w:val="32"/>
          <w:szCs w:val="32"/>
          <w:lang w:val="en-US" w:eastAsia="zh-CN" w:bidi="ar"/>
        </w:rPr>
        <w:t>8.住房保障 （类） 住房改革 （款） 住房公积金 （项）：</w:t>
      </w:r>
      <w:r>
        <w:rPr>
          <w:rFonts w:hint="eastAsia" w:ascii="仿宋" w:hAnsi="仿宋" w:eastAsia="仿宋" w:cs="仿宋"/>
          <w:b w:val="0"/>
          <w:bCs w:val="0"/>
          <w:color w:val="0C0C0C"/>
          <w:spacing w:val="0"/>
          <w:kern w:val="0"/>
          <w:sz w:val="32"/>
          <w:szCs w:val="32"/>
          <w:lang w:val="en-US" w:eastAsia="zh-CN" w:bidi="ar"/>
        </w:rPr>
        <w:t>指</w:t>
      </w:r>
      <w:r>
        <w:rPr>
          <w:rFonts w:hint="eastAsia" w:ascii="仿宋" w:hAnsi="仿宋" w:eastAsia="仿宋" w:cs="仿宋"/>
          <w:b w:val="0"/>
          <w:bCs w:val="0"/>
          <w:color w:val="0C0C0C"/>
          <w:spacing w:val="0"/>
          <w:sz w:val="32"/>
          <w:szCs w:val="32"/>
        </w:rPr>
        <w:t>本单位按人力资源和社会保障部、财政部规定的基本工资和津贴补贴以及规定比例为职工缴纳的住房公积金。</w:t>
      </w:r>
    </w:p>
    <w:p>
      <w:pPr>
        <w:pageBreakBefore w:val="0"/>
        <w:numPr>
          <w:ilvl w:val="0"/>
          <w:numId w:val="0"/>
        </w:numPr>
        <w:wordWrap/>
        <w:overflowPunct/>
        <w:topLinePunct w:val="0"/>
        <w:bidi w:val="0"/>
        <w:adjustRightInd w:val="0"/>
        <w:snapToGrid w:val="0"/>
        <w:spacing w:before="150" w:line="310" w:lineRule="auto"/>
        <w:ind w:right="133" w:rightChars="0" w:firstLine="620" w:firstLineChars="200"/>
        <w:rPr>
          <w:rFonts w:hint="eastAsia" w:ascii="仿宋" w:hAnsi="仿宋" w:eastAsia="仿宋" w:cs="仿宋"/>
          <w:spacing w:val="0"/>
          <w:sz w:val="31"/>
          <w:szCs w:val="31"/>
          <w:lang w:val="en-US" w:eastAsia="zh-CN"/>
        </w:rPr>
      </w:pPr>
      <w:r>
        <w:rPr>
          <w:rFonts w:hint="eastAsia" w:ascii="仿宋" w:hAnsi="仿宋" w:eastAsia="仿宋" w:cs="仿宋"/>
          <w:spacing w:val="0"/>
          <w:sz w:val="31"/>
          <w:szCs w:val="31"/>
          <w:lang w:val="en-US" w:eastAsia="zh-CN"/>
        </w:rPr>
        <w:t>9.其他支出 （类） 其他政府性基金及对应专项债务收入安排的支出 （款） 其他地方自行试点项目收益专项债券收入安排的支出 （项） ：反映其他地方自行试点项目收益专项债券收入安排的支出。</w:t>
      </w:r>
    </w:p>
    <w:p>
      <w:pPr>
        <w:pageBreakBefore w:val="0"/>
        <w:numPr>
          <w:ilvl w:val="0"/>
          <w:numId w:val="0"/>
        </w:numPr>
        <w:wordWrap/>
        <w:overflowPunct/>
        <w:topLinePunct w:val="0"/>
        <w:bidi w:val="0"/>
        <w:adjustRightInd w:val="0"/>
        <w:snapToGrid w:val="0"/>
        <w:spacing w:before="150" w:line="310" w:lineRule="auto"/>
        <w:ind w:right="133" w:rightChars="0" w:firstLine="620" w:firstLineChars="200"/>
        <w:rPr>
          <w:rFonts w:hint="eastAsia" w:ascii="仿宋" w:hAnsi="仿宋" w:eastAsia="仿宋" w:cs="仿宋"/>
          <w:b w:val="0"/>
          <w:bCs w:val="0"/>
          <w:color w:val="0C0C0C"/>
          <w:spacing w:val="0"/>
          <w:sz w:val="32"/>
          <w:szCs w:val="32"/>
        </w:rPr>
      </w:pPr>
      <w:r>
        <w:rPr>
          <w:rFonts w:hint="eastAsia" w:ascii="仿宋" w:hAnsi="仿宋" w:eastAsia="仿宋" w:cs="仿宋"/>
          <w:spacing w:val="0"/>
          <w:sz w:val="31"/>
          <w:szCs w:val="31"/>
          <w:lang w:val="en-US" w:eastAsia="zh-CN"/>
        </w:rPr>
        <w:t>10.</w:t>
      </w:r>
      <w:r>
        <w:rPr>
          <w:rFonts w:ascii="仿宋" w:hAnsi="仿宋" w:eastAsia="仿宋" w:cs="仿宋"/>
          <w:spacing w:val="0"/>
          <w:sz w:val="31"/>
          <w:szCs w:val="31"/>
        </w:rPr>
        <w:t>基本支出：指为保障机构正常运转、完成日常工作任务而发生的人员支出和公用支出。</w:t>
      </w:r>
    </w:p>
    <w:p>
      <w:pPr>
        <w:pageBreakBefore w:val="0"/>
        <w:numPr>
          <w:ilvl w:val="0"/>
          <w:numId w:val="0"/>
        </w:numPr>
        <w:wordWrap/>
        <w:overflowPunct/>
        <w:topLinePunct w:val="0"/>
        <w:bidi w:val="0"/>
        <w:adjustRightInd w:val="0"/>
        <w:snapToGrid w:val="0"/>
        <w:spacing w:before="150" w:line="310" w:lineRule="auto"/>
        <w:ind w:right="133" w:rightChars="0" w:firstLine="620" w:firstLineChars="200"/>
        <w:rPr>
          <w:rFonts w:ascii="仿宋" w:hAnsi="仿宋" w:eastAsia="仿宋" w:cs="仿宋"/>
          <w:spacing w:val="0"/>
          <w:sz w:val="31"/>
          <w:szCs w:val="31"/>
        </w:rPr>
      </w:pPr>
      <w:r>
        <w:rPr>
          <w:rFonts w:hint="eastAsia" w:ascii="仿宋" w:hAnsi="仿宋" w:eastAsia="仿宋" w:cs="仿宋"/>
          <w:spacing w:val="0"/>
          <w:sz w:val="31"/>
          <w:szCs w:val="31"/>
          <w:lang w:val="en-US" w:eastAsia="zh-CN"/>
        </w:rPr>
        <w:t>11.</w:t>
      </w:r>
      <w:r>
        <w:rPr>
          <w:rFonts w:ascii="仿宋" w:hAnsi="仿宋" w:eastAsia="仿宋" w:cs="仿宋"/>
          <w:spacing w:val="0"/>
          <w:sz w:val="31"/>
          <w:szCs w:val="31"/>
        </w:rPr>
        <w:t>项目支出：指在基本支出之外为完成特定行政任务和事业发展目标所发生的支出。</w:t>
      </w:r>
    </w:p>
    <w:p>
      <w:pPr>
        <w:pageBreakBefore w:val="0"/>
        <w:wordWrap/>
        <w:overflowPunct/>
        <w:topLinePunct w:val="0"/>
        <w:bidi w:val="0"/>
        <w:adjustRightInd w:val="0"/>
        <w:snapToGrid w:val="0"/>
        <w:spacing w:before="3" w:line="310" w:lineRule="auto"/>
        <w:ind w:left="15" w:right="138" w:firstLine="653"/>
        <w:rPr>
          <w:rFonts w:ascii="仿宋" w:hAnsi="仿宋" w:eastAsia="仿宋" w:cs="仿宋"/>
          <w:spacing w:val="0"/>
          <w:sz w:val="31"/>
          <w:szCs w:val="31"/>
        </w:rPr>
      </w:pPr>
      <w:r>
        <w:rPr>
          <w:rFonts w:ascii="仿宋" w:hAnsi="仿宋" w:eastAsia="仿宋" w:cs="仿宋"/>
          <w:spacing w:val="0"/>
          <w:sz w:val="31"/>
          <w:szCs w:val="31"/>
        </w:rPr>
        <w:t>1</w:t>
      </w:r>
      <w:r>
        <w:rPr>
          <w:rFonts w:hint="eastAsia" w:ascii="仿宋" w:hAnsi="仿宋" w:eastAsia="仿宋" w:cs="仿宋"/>
          <w:spacing w:val="0"/>
          <w:sz w:val="31"/>
          <w:szCs w:val="31"/>
          <w:lang w:val="en-US" w:eastAsia="zh-CN"/>
        </w:rPr>
        <w:t>2</w:t>
      </w:r>
      <w:r>
        <w:rPr>
          <w:rFonts w:ascii="Times New Roman" w:hAnsi="Times New Roman" w:eastAsia="Times New Roman" w:cs="Times New Roman"/>
          <w:spacing w:val="0"/>
          <w:sz w:val="31"/>
          <w:szCs w:val="31"/>
        </w:rPr>
        <w:t>.</w:t>
      </w:r>
      <w:r>
        <w:rPr>
          <w:rFonts w:ascii="仿宋" w:hAnsi="仿宋" w:eastAsia="仿宋" w:cs="仿宋"/>
          <w:spacing w:val="0"/>
          <w:sz w:val="31"/>
          <w:szCs w:val="31"/>
        </w:rPr>
        <w:t>“三公”经费：指单位用财政拨款安排的因公出国(境)费、公务用车购置及运行费和公务接待费。其中，因公出国(境)费反映单位公务出国(境)的国际旅</w:t>
      </w:r>
      <w:r>
        <w:rPr>
          <w:rFonts w:hint="eastAsia" w:ascii="仿宋" w:hAnsi="仿宋" w:eastAsia="仿宋" w:cs="仿宋"/>
          <w:spacing w:val="0"/>
          <w:sz w:val="31"/>
          <w:szCs w:val="31"/>
          <w:lang w:eastAsia="zh-CN"/>
        </w:rPr>
        <w:t>费</w:t>
      </w:r>
      <w:r>
        <w:rPr>
          <w:rFonts w:ascii="仿宋" w:hAnsi="仿宋" w:eastAsia="仿宋" w:cs="仿宋"/>
          <w:spacing w:val="0"/>
          <w:sz w:val="31"/>
          <w:szCs w:val="31"/>
        </w:rPr>
        <w:t>、国外城市间交通费、住宿费、伙食费、培训费、公杂费等支出；公务用车购置及运行费反映单位公务用车车辆购置支出(含车辆购置税)及租用费、燃料费、维修费、过路过桥费、保险费等支出</w:t>
      </w:r>
      <w:r>
        <w:rPr>
          <w:rFonts w:hint="eastAsia" w:ascii="仿宋" w:hAnsi="仿宋" w:eastAsia="仿宋" w:cs="仿宋"/>
          <w:spacing w:val="0"/>
          <w:sz w:val="31"/>
          <w:szCs w:val="31"/>
          <w:lang w:eastAsia="zh-CN"/>
        </w:rPr>
        <w:t>；</w:t>
      </w:r>
      <w:r>
        <w:rPr>
          <w:rFonts w:ascii="仿宋" w:hAnsi="仿宋" w:eastAsia="仿宋" w:cs="仿宋"/>
          <w:spacing w:val="0"/>
          <w:sz w:val="31"/>
          <w:szCs w:val="31"/>
        </w:rPr>
        <w:t>公务接待费反映单位按规定开支的各类公务接待(含外宾接待)支出。</w:t>
      </w:r>
    </w:p>
    <w:p>
      <w:pPr>
        <w:pageBreakBefore w:val="0"/>
        <w:wordWrap/>
        <w:overflowPunct/>
        <w:topLinePunct w:val="0"/>
        <w:bidi w:val="0"/>
        <w:adjustRightInd w:val="0"/>
        <w:snapToGrid w:val="0"/>
        <w:spacing w:line="310" w:lineRule="auto"/>
        <w:ind w:left="15" w:right="138" w:firstLine="653"/>
        <w:rPr>
          <w:rFonts w:ascii="仿宋" w:hAnsi="仿宋" w:eastAsia="仿宋" w:cs="仿宋"/>
          <w:spacing w:val="0"/>
          <w:sz w:val="31"/>
          <w:szCs w:val="31"/>
        </w:rPr>
      </w:pPr>
      <w:r>
        <w:rPr>
          <w:rFonts w:ascii="仿宋" w:hAnsi="仿宋" w:eastAsia="仿宋" w:cs="仿宋"/>
          <w:spacing w:val="0"/>
          <w:sz w:val="31"/>
          <w:szCs w:val="31"/>
        </w:rPr>
        <w:t>1</w:t>
      </w:r>
      <w:r>
        <w:rPr>
          <w:rFonts w:hint="eastAsia" w:ascii="仿宋" w:hAnsi="仿宋" w:eastAsia="仿宋" w:cs="仿宋"/>
          <w:spacing w:val="0"/>
          <w:sz w:val="31"/>
          <w:szCs w:val="31"/>
          <w:lang w:val="en-US" w:eastAsia="zh-CN"/>
        </w:rPr>
        <w:t>3</w:t>
      </w:r>
      <w:r>
        <w:rPr>
          <w:rFonts w:ascii="仿宋" w:hAnsi="仿宋" w:eastAsia="仿宋" w:cs="仿宋"/>
          <w:spacing w:val="0"/>
          <w:sz w:val="31"/>
          <w:szCs w:val="31"/>
        </w:rPr>
        <w:t>.机关运行经费：为保障行政单位(含参照公务员法管理的事业单位)运行用于购买货物和服务的各项资金，包括办公及印刷费、邮电费、差旅费、会议费、福利费、日常维修费、办公用房水电费、办公用房物业管理费、公务用车运行维护费以及其他费用。</w:t>
      </w:r>
    </w:p>
    <w:p>
      <w:pPr>
        <w:spacing w:line="600" w:lineRule="exact"/>
        <w:ind w:firstLine="640"/>
        <w:rPr>
          <w:rFonts w:ascii="仿宋" w:hAnsi="仿宋" w:eastAsia="仿宋"/>
          <w:b/>
          <w:sz w:val="32"/>
          <w:szCs w:val="32"/>
        </w:rPr>
      </w:pPr>
      <w:r>
        <w:rPr>
          <w:rFonts w:ascii="仿宋" w:hAnsi="仿宋" w:eastAsia="仿宋" w:cs="仿宋"/>
          <w:spacing w:val="0"/>
          <w:sz w:val="31"/>
          <w:szCs w:val="31"/>
        </w:rPr>
        <w:t>1</w:t>
      </w:r>
      <w:r>
        <w:rPr>
          <w:rFonts w:hint="eastAsia" w:ascii="仿宋" w:hAnsi="仿宋" w:eastAsia="仿宋" w:cs="仿宋"/>
          <w:spacing w:val="0"/>
          <w:sz w:val="31"/>
          <w:szCs w:val="31"/>
          <w:lang w:val="en-US" w:eastAsia="zh-CN"/>
        </w:rPr>
        <w:t>4</w:t>
      </w:r>
      <w:r>
        <w:rPr>
          <w:rFonts w:ascii="仿宋" w:hAnsi="仿宋" w:eastAsia="仿宋" w:cs="仿宋"/>
          <w:spacing w:val="0"/>
          <w:sz w:val="31"/>
          <w:szCs w:val="31"/>
        </w:rPr>
        <w:t>.</w:t>
      </w:r>
      <w:r>
        <w:rPr>
          <w:rFonts w:hint="eastAsia" w:ascii="仿宋" w:hAnsi="仿宋" w:eastAsia="仿宋" w:cs="仿宋"/>
          <w:spacing w:val="0"/>
          <w:sz w:val="31"/>
          <w:szCs w:val="31"/>
        </w:rPr>
        <w:t>政府性基金预算财政拨款收入：指市级财政政府性基金预算当年拨付的资金。</w:t>
      </w:r>
    </w:p>
    <w:p>
      <w:pPr>
        <w:spacing w:line="600" w:lineRule="exact"/>
        <w:jc w:val="center"/>
        <w:outlineLvl w:val="0"/>
        <w:rPr>
          <w:rStyle w:val="30"/>
          <w:rFonts w:ascii="黑体" w:hAnsi="黑体" w:eastAsia="黑体"/>
          <w:b w:val="0"/>
        </w:rPr>
      </w:pPr>
      <w:bookmarkStart w:id="64" w:name="_Toc15377226"/>
      <w:r>
        <w:rPr>
          <w:rFonts w:ascii="宋体"/>
          <w:b/>
          <w:sz w:val="44"/>
          <w:szCs w:val="44"/>
        </w:rPr>
        <w:br w:type="page"/>
      </w:r>
      <w:bookmarkStart w:id="65" w:name="_Toc15396614"/>
      <w:bookmarkStart w:id="66" w:name="_Toc21879"/>
      <w:r>
        <w:rPr>
          <w:rFonts w:hint="eastAsia" w:ascii="黑体" w:hAnsi="黑体" w:eastAsia="黑体"/>
          <w:sz w:val="44"/>
          <w:szCs w:val="44"/>
        </w:rPr>
        <w:t>第</w:t>
      </w:r>
      <w:r>
        <w:rPr>
          <w:rStyle w:val="30"/>
          <w:rFonts w:hint="eastAsia" w:ascii="黑体" w:hAnsi="黑体" w:eastAsia="黑体"/>
          <w:b w:val="0"/>
        </w:rPr>
        <w:t>四部分 附件</w:t>
      </w:r>
      <w:bookmarkEnd w:id="65"/>
      <w:bookmarkEnd w:id="66"/>
    </w:p>
    <w:p>
      <w:pPr>
        <w:spacing w:line="572" w:lineRule="exact"/>
        <w:jc w:val="left"/>
        <w:outlineLvl w:val="9"/>
        <w:rPr>
          <w:rFonts w:ascii="Arial Unicode MS" w:hAnsi="Arial Unicode MS" w:eastAsia="Arial Unicode MS" w:cs="Arial Unicode MS"/>
          <w:sz w:val="44"/>
          <w:szCs w:val="44"/>
        </w:rPr>
      </w:pPr>
      <w:r>
        <w:rPr>
          <w:rFonts w:hint="eastAsia" w:ascii="黑体" w:hAnsi="黑体" w:eastAsia="黑体" w:cs="黑体"/>
          <w:sz w:val="32"/>
          <w:szCs w:val="32"/>
        </w:rPr>
        <w:t>附件</w:t>
      </w:r>
    </w:p>
    <w:p>
      <w:pPr>
        <w:widowControl/>
        <w:spacing w:line="560" w:lineRule="exact"/>
        <w:contextualSpacing/>
        <w:jc w:val="center"/>
        <w:rPr>
          <w:rFonts w:hint="eastAsia" w:ascii="宋体" w:hAnsi="宋体" w:cs="Times New Roman"/>
          <w:b/>
          <w:sz w:val="32"/>
          <w:szCs w:val="32"/>
          <w:shd w:val="clear" w:color="auto" w:fill="FFFFFF"/>
        </w:rPr>
      </w:pPr>
      <w:r>
        <w:rPr>
          <w:rFonts w:hint="eastAsia" w:ascii="宋体" w:hAnsi="宋体" w:cs="Times New Roman"/>
          <w:b/>
          <w:sz w:val="32"/>
          <w:szCs w:val="32"/>
          <w:shd w:val="clear" w:color="auto" w:fill="FFFFFF"/>
        </w:rPr>
        <w:t>中共剑阁县委军民融合发展委员会办公室</w:t>
      </w:r>
    </w:p>
    <w:p>
      <w:pPr>
        <w:widowControl/>
        <w:spacing w:line="560" w:lineRule="exact"/>
        <w:contextualSpacing/>
        <w:jc w:val="center"/>
        <w:rPr>
          <w:rFonts w:ascii="宋体" w:hAnsi="宋体"/>
          <w:b/>
          <w:sz w:val="32"/>
          <w:szCs w:val="32"/>
          <w:shd w:val="clear" w:color="auto" w:fill="FFFFFF"/>
        </w:rPr>
      </w:pPr>
      <w:r>
        <w:rPr>
          <w:rFonts w:hint="eastAsia" w:ascii="宋体" w:hAnsi="宋体"/>
          <w:b/>
          <w:sz w:val="32"/>
          <w:szCs w:val="32"/>
          <w:shd w:val="clear" w:color="auto" w:fill="FFFFFF"/>
        </w:rPr>
        <w:t>202</w:t>
      </w:r>
      <w:r>
        <w:rPr>
          <w:rFonts w:hint="eastAsia" w:ascii="宋体" w:hAnsi="宋体"/>
          <w:b/>
          <w:sz w:val="32"/>
          <w:szCs w:val="32"/>
          <w:shd w:val="clear" w:color="auto" w:fill="FFFFFF"/>
          <w:lang w:val="en-US" w:eastAsia="zh-CN"/>
        </w:rPr>
        <w:t>2</w:t>
      </w:r>
      <w:r>
        <w:rPr>
          <w:rFonts w:hint="eastAsia" w:ascii="宋体" w:hAnsi="宋体"/>
          <w:b/>
          <w:sz w:val="32"/>
          <w:szCs w:val="32"/>
          <w:shd w:val="clear" w:color="auto" w:fill="FFFFFF"/>
        </w:rPr>
        <w:t>年部门整体绩效评价报告</w:t>
      </w:r>
    </w:p>
    <w:p>
      <w:pPr>
        <w:widowControl/>
        <w:adjustRightInd w:val="0"/>
        <w:snapToGrid w:val="0"/>
        <w:spacing w:line="560" w:lineRule="exact"/>
        <w:contextualSpacing/>
        <w:jc w:val="left"/>
        <w:rPr>
          <w:rFonts w:ascii="黑体" w:hAnsi="宋体" w:eastAsia="黑体" w:cs="宋体"/>
          <w:kern w:val="0"/>
          <w:sz w:val="32"/>
          <w:szCs w:val="32"/>
          <w:shd w:val="clear" w:color="auto" w:fill="FFFFFF"/>
        </w:rPr>
      </w:pPr>
    </w:p>
    <w:p>
      <w:pPr>
        <w:widowControl/>
        <w:numPr>
          <w:ilvl w:val="0"/>
          <w:numId w:val="5"/>
        </w:numPr>
        <w:adjustRightInd w:val="0"/>
        <w:snapToGrid w:val="0"/>
        <w:spacing w:line="560" w:lineRule="exact"/>
        <w:ind w:firstLine="640" w:firstLineChars="200"/>
        <w:contextualSpacing/>
        <w:jc w:val="left"/>
        <w:outlineLvl w:val="9"/>
        <w:rPr>
          <w:rFonts w:ascii="黑体" w:hAnsi="宋体" w:eastAsia="黑体" w:cs="宋体"/>
          <w:kern w:val="0"/>
          <w:sz w:val="32"/>
          <w:szCs w:val="32"/>
          <w:shd w:val="clear" w:color="auto" w:fill="FFFFFF"/>
          <w:lang w:val="zh-CN"/>
        </w:rPr>
      </w:pPr>
      <w:r>
        <w:rPr>
          <w:rFonts w:hint="eastAsia" w:ascii="黑体" w:hAnsi="宋体" w:eastAsia="黑体" w:cs="宋体"/>
          <w:kern w:val="0"/>
          <w:sz w:val="32"/>
          <w:szCs w:val="32"/>
          <w:shd w:val="clear" w:color="auto" w:fill="FFFFFF"/>
          <w:lang w:val="zh-CN"/>
        </w:rPr>
        <w:t>部门（单位）基本情况</w:t>
      </w:r>
    </w:p>
    <w:p>
      <w:pPr>
        <w:pStyle w:val="9"/>
        <w:numPr>
          <w:ilvl w:val="0"/>
          <w:numId w:val="0"/>
        </w:numPr>
        <w:ind w:firstLine="643" w:firstLineChars="200"/>
        <w:rPr>
          <w:lang w:val="zh-CN"/>
        </w:rPr>
      </w:pPr>
      <w:r>
        <w:rPr>
          <w:rFonts w:hint="eastAsia" w:ascii="楷体_GB2312" w:hAnsi="楷体_GB2312" w:eastAsia="楷体_GB2312" w:cs="楷体_GB2312"/>
          <w:b/>
          <w:bCs/>
          <w:kern w:val="0"/>
          <w:sz w:val="32"/>
          <w:szCs w:val="32"/>
          <w:shd w:val="clear" w:color="auto" w:fill="FFFFFF"/>
          <w:lang w:val="zh-CN"/>
        </w:rPr>
        <w:t>（一）机构组成。</w:t>
      </w:r>
      <w:r>
        <w:rPr>
          <w:rFonts w:hint="eastAsia" w:ascii="仿宋" w:hAnsi="仿宋" w:eastAsia="仿宋" w:cs="仿宋"/>
          <w:b w:val="0"/>
          <w:snapToGrid w:val="0"/>
          <w:color w:val="000000"/>
          <w:spacing w:val="0"/>
          <w:kern w:val="0"/>
          <w:sz w:val="31"/>
          <w:szCs w:val="31"/>
          <w:lang w:val="en-US" w:eastAsia="zh-CN"/>
        </w:rPr>
        <w:t>中共剑阁县委军民融合发展委员会办公室（简称县委军民融合办）于2019年3月根据《剑阁县机构改革方案的实施意见》（剑委〔2019〕22号）成立，为中共剑阁县委的派出机构，正科级；财务预算一级单位，单位执行的是事业单位会计制度，由财政全额拨款。我办下设综合股、军民融合发展股、军地交流合作股，同时下设县协同创新服务中心。县委军民融合办行政编制6名，其中：主任1名，副主任2名，股级职数3名；县协同创新服务中心核定事业编制6名，为县委军民融合办管理的公益一类事业单位。</w:t>
      </w:r>
    </w:p>
    <w:p>
      <w:pPr>
        <w:widowControl/>
        <w:numPr>
          <w:ilvl w:val="0"/>
          <w:numId w:val="0"/>
        </w:numPr>
        <w:adjustRightInd w:val="0"/>
        <w:snapToGrid w:val="0"/>
        <w:spacing w:line="560" w:lineRule="exact"/>
        <w:ind w:left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（二）机构职能和人员概况。</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2" w:firstLineChars="200"/>
        <w:textAlignment w:val="baseline"/>
        <w:rPr>
          <w:rFonts w:hint="eastAsia" w:ascii="仿宋" w:hAnsi="仿宋" w:eastAsia="仿宋" w:cs="仿宋"/>
          <w:spacing w:val="0"/>
          <w:sz w:val="31"/>
          <w:szCs w:val="31"/>
          <w:lang w:eastAsia="zh-CN"/>
        </w:rPr>
      </w:pPr>
      <w:r>
        <w:rPr>
          <w:rFonts w:hint="eastAsia" w:ascii="仿宋" w:hAnsi="仿宋" w:eastAsia="仿宋" w:cs="仿宋"/>
          <w:b/>
          <w:bCs/>
          <w:spacing w:val="0"/>
          <w:sz w:val="31"/>
          <w:szCs w:val="31"/>
        </w:rPr>
        <w:t>1.</w:t>
      </w:r>
      <w:r>
        <w:rPr>
          <w:rFonts w:hint="eastAsia" w:ascii="仿宋" w:hAnsi="仿宋" w:eastAsia="仿宋" w:cs="仿宋"/>
          <w:b/>
          <w:bCs/>
          <w:spacing w:val="0"/>
          <w:sz w:val="31"/>
          <w:szCs w:val="31"/>
          <w:lang w:eastAsia="zh-CN"/>
        </w:rPr>
        <w:t>机构职能。</w:t>
      </w:r>
      <w:r>
        <w:rPr>
          <w:rFonts w:hint="eastAsia" w:ascii="仿宋" w:hAnsi="仿宋" w:eastAsia="仿宋" w:cs="仿宋"/>
          <w:spacing w:val="0"/>
          <w:sz w:val="31"/>
          <w:szCs w:val="31"/>
          <w:lang w:eastAsia="zh-CN"/>
        </w:rPr>
        <w:t>我办</w:t>
      </w:r>
      <w:r>
        <w:rPr>
          <w:rFonts w:hint="eastAsia" w:ascii="仿宋" w:hAnsi="仿宋" w:eastAsia="仿宋" w:cs="仿宋"/>
          <w:spacing w:val="0"/>
          <w:sz w:val="31"/>
          <w:szCs w:val="31"/>
        </w:rPr>
        <w:t>贯彻落实党和国家、中央军委关于</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及国防科技工业发展方针政策、中长期规划和省委、市委、县委决策部署。</w:t>
      </w:r>
      <w:r>
        <w:rPr>
          <w:rFonts w:hint="eastAsia" w:ascii="仿宋" w:hAnsi="仿宋" w:eastAsia="仿宋" w:cs="仿宋"/>
          <w:spacing w:val="0"/>
          <w:sz w:val="31"/>
          <w:szCs w:val="31"/>
          <w:lang w:eastAsia="zh-CN"/>
        </w:rPr>
        <w:t>主要职能是：</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1</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指导协调和牵头组织推进全县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发展中的全局性、系统性、综合性重点工作。</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2</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牵头拟定和组织实施全县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发展规划、地方规范性文件和年度工作计划。</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lang w:eastAsia="zh-CN"/>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3</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组织开展</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发展重大政策、重大问题、重大产业布局，研究并提出建议；研究提出推进</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体制改革建议。</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4</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负责汇总全县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发展总体需求，推进军地军民需求对接，协调推进军民一体化体系和能力建设。协调推进</w:t>
      </w:r>
      <w:r>
        <w:rPr>
          <w:rFonts w:hint="eastAsia" w:ascii="仿宋" w:hAnsi="仿宋" w:eastAsia="仿宋" w:cs="仿宋"/>
          <w:spacing w:val="0"/>
          <w:sz w:val="31"/>
          <w:szCs w:val="31"/>
          <w:lang w:eastAsia="zh-CN"/>
        </w:rPr>
        <w:t>军民融合发展的</w:t>
      </w:r>
      <w:r>
        <w:rPr>
          <w:rFonts w:hint="eastAsia" w:ascii="仿宋" w:hAnsi="仿宋" w:eastAsia="仿宋" w:cs="仿宋"/>
          <w:spacing w:val="0"/>
          <w:sz w:val="31"/>
          <w:szCs w:val="31"/>
        </w:rPr>
        <w:t>、专项工程建设。协调推进</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新兴领域发展。</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5</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负责推进军工单位与民企融合发展。协调推进军民科技协同创新，科技成果和知识产权管理等相关工作。推进军民技术双向转化和科技创新资源共享。</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hint="eastAsia" w:ascii="仿宋" w:hAnsi="仿宋" w:eastAsia="仿宋" w:cs="仿宋"/>
          <w:spacing w:val="0"/>
          <w:sz w:val="31"/>
          <w:szCs w:val="31"/>
        </w:rPr>
      </w:pPr>
      <w:r>
        <w:rPr>
          <w:rFonts w:hint="eastAsia" w:ascii="仿宋" w:hAnsi="仿宋" w:eastAsia="仿宋" w:cs="仿宋"/>
          <w:spacing w:val="0"/>
          <w:sz w:val="31"/>
          <w:szCs w:val="31"/>
          <w:lang w:eastAsia="zh-CN"/>
        </w:rPr>
        <w:t>（</w:t>
      </w:r>
      <w:r>
        <w:rPr>
          <w:rFonts w:hint="eastAsia" w:ascii="仿宋" w:hAnsi="仿宋" w:eastAsia="仿宋" w:cs="仿宋"/>
          <w:spacing w:val="0"/>
          <w:sz w:val="31"/>
          <w:szCs w:val="31"/>
          <w:lang w:val="en-US" w:eastAsia="zh-CN"/>
        </w:rPr>
        <w:t>6</w:t>
      </w:r>
      <w:r>
        <w:rPr>
          <w:rFonts w:hint="eastAsia" w:ascii="仿宋" w:hAnsi="仿宋" w:eastAsia="仿宋" w:cs="仿宋"/>
          <w:spacing w:val="0"/>
          <w:sz w:val="31"/>
          <w:szCs w:val="31"/>
          <w:lang w:eastAsia="zh-CN"/>
        </w:rPr>
        <w:t>）</w:t>
      </w:r>
      <w:r>
        <w:rPr>
          <w:rFonts w:hint="eastAsia" w:ascii="仿宋" w:hAnsi="仿宋" w:eastAsia="仿宋" w:cs="仿宋"/>
          <w:spacing w:val="0"/>
          <w:sz w:val="31"/>
          <w:szCs w:val="31"/>
        </w:rPr>
        <w:t>负责对上级</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发展重大部署、会议精神、重要文件等贯彻落实情况的督促检查；负责对全县</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发展规划实施、政策举措落地和重大项目(专项工程)建设情况开展专项督查。</w:t>
      </w:r>
    </w:p>
    <w:p>
      <w:pPr>
        <w:keepNext w:val="0"/>
        <w:keepLines w:val="0"/>
        <w:pageBreakBefore w:val="0"/>
        <w:widowControl/>
        <w:kinsoku w:val="0"/>
        <w:wordWrap/>
        <w:overflowPunct/>
        <w:topLinePunct w:val="0"/>
        <w:autoSpaceDE w:val="0"/>
        <w:autoSpaceDN w:val="0"/>
        <w:bidi w:val="0"/>
        <w:adjustRightInd w:val="0"/>
        <w:snapToGrid w:val="0"/>
        <w:spacing w:before="117" w:line="310" w:lineRule="auto"/>
        <w:ind w:left="17" w:firstLine="620" w:firstLineChars="200"/>
        <w:textAlignment w:val="baseline"/>
        <w:rPr>
          <w:rFonts w:ascii="仿宋" w:hAnsi="仿宋" w:eastAsia="仿宋" w:cs="仿宋"/>
          <w:spacing w:val="0"/>
          <w:sz w:val="31"/>
          <w:szCs w:val="31"/>
        </w:rPr>
      </w:pPr>
      <w:r>
        <w:rPr>
          <w:rFonts w:hint="eastAsia" w:ascii="仿宋" w:hAnsi="仿宋" w:eastAsia="仿宋" w:cs="仿宋"/>
          <w:spacing w:val="0"/>
          <w:sz w:val="31"/>
          <w:szCs w:val="31"/>
          <w:lang w:val="en-US" w:eastAsia="zh-CN"/>
        </w:rPr>
        <w:t>（7）</w:t>
      </w:r>
      <w:r>
        <w:rPr>
          <w:rFonts w:hint="eastAsia" w:ascii="仿宋" w:hAnsi="仿宋" w:eastAsia="仿宋" w:cs="仿宋"/>
          <w:spacing w:val="0"/>
          <w:sz w:val="31"/>
          <w:szCs w:val="31"/>
        </w:rPr>
        <w:t>承担县委</w:t>
      </w:r>
      <w:r>
        <w:rPr>
          <w:rFonts w:hint="eastAsia" w:ascii="仿宋" w:hAnsi="仿宋" w:eastAsia="仿宋" w:cs="仿宋"/>
          <w:spacing w:val="0"/>
          <w:sz w:val="31"/>
          <w:szCs w:val="31"/>
          <w:lang w:eastAsia="zh-CN"/>
        </w:rPr>
        <w:t>军民融合</w:t>
      </w:r>
      <w:r>
        <w:rPr>
          <w:rFonts w:hint="eastAsia" w:ascii="仿宋" w:hAnsi="仿宋" w:eastAsia="仿宋" w:cs="仿宋"/>
          <w:spacing w:val="0"/>
          <w:sz w:val="31"/>
          <w:szCs w:val="31"/>
        </w:rPr>
        <w:t>发展委员会日常工作。</w:t>
      </w:r>
    </w:p>
    <w:p>
      <w:pPr>
        <w:widowControl/>
        <w:numPr>
          <w:ilvl w:val="0"/>
          <w:numId w:val="0"/>
        </w:numPr>
        <w:adjustRightInd w:val="0"/>
        <w:snapToGrid w:val="0"/>
        <w:spacing w:line="560" w:lineRule="exact"/>
        <w:ind w:firstLine="620" w:firstLineChars="200"/>
        <w:contextualSpacing/>
        <w:jc w:val="left"/>
        <w:rPr>
          <w:rFonts w:ascii="仿宋" w:hAnsi="仿宋" w:eastAsia="仿宋" w:cs="仿宋"/>
          <w:spacing w:val="0"/>
          <w:position w:val="2"/>
          <w:sz w:val="31"/>
          <w:szCs w:val="31"/>
        </w:rPr>
      </w:pPr>
      <w:r>
        <w:rPr>
          <w:rFonts w:hint="eastAsia" w:ascii="仿宋" w:hAnsi="仿宋" w:eastAsia="仿宋" w:cs="仿宋"/>
          <w:spacing w:val="0"/>
          <w:position w:val="2"/>
          <w:sz w:val="31"/>
          <w:szCs w:val="31"/>
          <w:lang w:val="en-US" w:eastAsia="zh-CN"/>
        </w:rPr>
        <w:t>（8）</w:t>
      </w:r>
      <w:r>
        <w:rPr>
          <w:rFonts w:ascii="仿宋" w:hAnsi="仿宋" w:eastAsia="仿宋" w:cs="仿宋"/>
          <w:spacing w:val="0"/>
          <w:position w:val="2"/>
          <w:sz w:val="31"/>
          <w:szCs w:val="31"/>
        </w:rPr>
        <w:t>完成</w:t>
      </w:r>
      <w:r>
        <w:rPr>
          <w:rFonts w:hint="eastAsia" w:ascii="仿宋" w:hAnsi="仿宋" w:eastAsia="仿宋" w:cs="仿宋"/>
          <w:spacing w:val="0"/>
          <w:position w:val="2"/>
          <w:sz w:val="31"/>
          <w:szCs w:val="31"/>
          <w:lang w:eastAsia="zh-CN"/>
        </w:rPr>
        <w:t>县</w:t>
      </w:r>
      <w:r>
        <w:rPr>
          <w:rFonts w:ascii="仿宋" w:hAnsi="仿宋" w:eastAsia="仿宋" w:cs="仿宋"/>
          <w:spacing w:val="0"/>
          <w:position w:val="2"/>
          <w:sz w:val="31"/>
          <w:szCs w:val="31"/>
        </w:rPr>
        <w:t>委、</w:t>
      </w:r>
      <w:r>
        <w:rPr>
          <w:rFonts w:hint="eastAsia" w:ascii="仿宋" w:hAnsi="仿宋" w:eastAsia="仿宋" w:cs="仿宋"/>
          <w:spacing w:val="0"/>
          <w:position w:val="2"/>
          <w:sz w:val="31"/>
          <w:szCs w:val="31"/>
          <w:lang w:eastAsia="zh-CN"/>
        </w:rPr>
        <w:t>县</w:t>
      </w:r>
      <w:r>
        <w:rPr>
          <w:rFonts w:ascii="仿宋" w:hAnsi="仿宋" w:eastAsia="仿宋" w:cs="仿宋"/>
          <w:spacing w:val="0"/>
          <w:position w:val="2"/>
          <w:sz w:val="31"/>
          <w:szCs w:val="31"/>
        </w:rPr>
        <w:t>政府交办的其他任务。</w:t>
      </w:r>
    </w:p>
    <w:p>
      <w:pPr>
        <w:pStyle w:val="9"/>
        <w:rPr>
          <w:rFonts w:hint="default" w:ascii="仿宋" w:hAnsi="仿宋" w:eastAsia="仿宋" w:cs="仿宋"/>
          <w:b w:val="0"/>
          <w:spacing w:val="0"/>
          <w:kern w:val="2"/>
          <w:position w:val="2"/>
          <w:sz w:val="31"/>
          <w:szCs w:val="31"/>
          <w:lang w:val="en-US" w:eastAsia="zh-CN" w:bidi="ar-SA"/>
        </w:rPr>
      </w:pPr>
      <w:r>
        <w:rPr>
          <w:rFonts w:hint="eastAsia" w:ascii="仿宋" w:hAnsi="仿宋" w:eastAsia="仿宋" w:cs="仿宋"/>
          <w:spacing w:val="0"/>
          <w:position w:val="2"/>
          <w:sz w:val="31"/>
          <w:szCs w:val="31"/>
          <w:lang w:val="en-US" w:eastAsia="zh-CN"/>
        </w:rPr>
        <w:t xml:space="preserve">    </w:t>
      </w:r>
      <w:r>
        <w:rPr>
          <w:rFonts w:hint="eastAsia" w:ascii="仿宋" w:hAnsi="仿宋" w:eastAsia="仿宋" w:cs="仿宋"/>
          <w:b w:val="0"/>
          <w:spacing w:val="0"/>
          <w:kern w:val="2"/>
          <w:position w:val="2"/>
          <w:sz w:val="31"/>
          <w:szCs w:val="31"/>
          <w:lang w:val="en-US" w:eastAsia="zh-CN" w:bidi="ar-SA"/>
        </w:rPr>
        <w:t xml:space="preserve"> </w:t>
      </w:r>
      <w:r>
        <w:rPr>
          <w:rFonts w:hint="eastAsia" w:ascii="仿宋" w:hAnsi="仿宋" w:eastAsia="仿宋" w:cs="仿宋"/>
          <w:b/>
          <w:bCs/>
          <w:spacing w:val="0"/>
          <w:kern w:val="2"/>
          <w:position w:val="2"/>
          <w:sz w:val="31"/>
          <w:szCs w:val="31"/>
          <w:lang w:val="en-US" w:eastAsia="zh-CN" w:bidi="ar-SA"/>
        </w:rPr>
        <w:t>2.人员概况。</w:t>
      </w:r>
      <w:r>
        <w:rPr>
          <w:rFonts w:hint="eastAsia" w:ascii="仿宋" w:hAnsi="仿宋" w:eastAsia="仿宋" w:cs="仿宋"/>
          <w:b w:val="0"/>
          <w:spacing w:val="0"/>
          <w:kern w:val="2"/>
          <w:position w:val="2"/>
          <w:sz w:val="31"/>
          <w:szCs w:val="31"/>
          <w:lang w:val="en-US" w:eastAsia="zh-CN" w:bidi="ar-SA"/>
        </w:rPr>
        <w:t>2022年底我办在职人员11人，其中公务员5人，事业人员6人。</w:t>
      </w:r>
    </w:p>
    <w:p>
      <w:pPr>
        <w:widowControl/>
        <w:numPr>
          <w:ilvl w:val="0"/>
          <w:numId w:val="0"/>
        </w:numPr>
        <w:adjustRightInd w:val="0"/>
        <w:snapToGrid w:val="0"/>
        <w:spacing w:line="560" w:lineRule="exact"/>
        <w:ind w:left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（三）部门整体支出绩效目标。</w:t>
      </w:r>
    </w:p>
    <w:p>
      <w:pPr>
        <w:pStyle w:val="9"/>
        <w:numPr>
          <w:ilvl w:val="0"/>
          <w:numId w:val="0"/>
        </w:numPr>
        <w:ind w:firstLine="620" w:firstLineChars="200"/>
        <w:rPr>
          <w:rFonts w:ascii="楷体_GB2312" w:hAnsi="楷体_GB2312" w:eastAsia="楷体_GB2312" w:cs="楷体_GB2312"/>
          <w:b/>
          <w:bCs/>
          <w:kern w:val="0"/>
          <w:sz w:val="32"/>
          <w:szCs w:val="32"/>
          <w:shd w:val="clear" w:color="auto" w:fill="FFFFFF"/>
          <w:lang w:val="zh-CN"/>
        </w:rPr>
      </w:pPr>
      <w:r>
        <w:rPr>
          <w:rFonts w:hint="eastAsia" w:ascii="仿宋" w:hAnsi="仿宋" w:eastAsia="仿宋" w:cs="仿宋"/>
          <w:b w:val="0"/>
          <w:spacing w:val="0"/>
          <w:kern w:val="2"/>
          <w:position w:val="2"/>
          <w:sz w:val="31"/>
          <w:szCs w:val="31"/>
          <w:lang w:val="zh-CN" w:eastAsia="zh-CN" w:bidi="ar-SA"/>
        </w:rPr>
        <w:t>2022年，我办年度任务目标一是积极对接中国工程物理研究院等单位，为我县争取项目、资金；二是按照中物院及县委、县政府要求，做好我县辖区内1、3、4所区周边环境安全管控工作；三是按照各级要求，有序推进专项工程建设，做好统筹协调工作；四是确保单位其他重点工作顺利开展，加快推进军民融合高质量发展。</w:t>
      </w:r>
    </w:p>
    <w:p>
      <w:pPr>
        <w:widowControl/>
        <w:adjustRightInd w:val="0"/>
        <w:snapToGrid w:val="0"/>
        <w:spacing w:line="560" w:lineRule="exact"/>
        <w:ind w:firstLine="640" w:firstLineChars="200"/>
        <w:contextualSpacing/>
        <w:jc w:val="left"/>
        <w:outlineLvl w:val="9"/>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二、部门资金收支情况</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（一）部门总体收支情况。</w:t>
      </w:r>
    </w:p>
    <w:p>
      <w:pPr>
        <w:widowControl/>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1.部门总体收入情况</w:t>
      </w:r>
    </w:p>
    <w:p>
      <w:pPr>
        <w:spacing w:line="600" w:lineRule="exact"/>
        <w:ind w:firstLine="640" w:firstLineChars="200"/>
        <w:outlineLvl w:val="9"/>
      </w:pPr>
      <w:r>
        <w:rPr>
          <w:rFonts w:ascii="仿宋" w:hAnsi="仿宋" w:eastAsia="仿宋"/>
          <w:sz w:val="32"/>
          <w:szCs w:val="32"/>
        </w:rPr>
        <w:t>20</w:t>
      </w:r>
      <w:r>
        <w:rPr>
          <w:rFonts w:hint="eastAsia" w:ascii="仿宋" w:hAnsi="仿宋" w:eastAsia="仿宋"/>
          <w:sz w:val="32"/>
          <w:szCs w:val="32"/>
        </w:rPr>
        <w:t>22年</w:t>
      </w:r>
      <w:r>
        <w:rPr>
          <w:rFonts w:hint="eastAsia" w:ascii="仿宋" w:hAnsi="仿宋" w:eastAsia="仿宋"/>
          <w:sz w:val="32"/>
          <w:szCs w:val="32"/>
          <w:lang w:eastAsia="zh-CN"/>
        </w:rPr>
        <w:t>部门总体</w:t>
      </w:r>
      <w:r>
        <w:rPr>
          <w:rFonts w:hint="eastAsia" w:ascii="仿宋" w:hAnsi="仿宋" w:eastAsia="仿宋"/>
          <w:sz w:val="32"/>
          <w:szCs w:val="32"/>
        </w:rPr>
        <w:t>收入合计</w:t>
      </w:r>
      <w:r>
        <w:rPr>
          <w:rFonts w:hint="eastAsia" w:ascii="仿宋" w:hAnsi="仿宋" w:eastAsia="仿宋"/>
          <w:sz w:val="32"/>
          <w:szCs w:val="32"/>
          <w:lang w:val="en-US" w:eastAsia="zh-CN"/>
        </w:rPr>
        <w:t>40176.74</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126.71</w:t>
      </w:r>
      <w:r>
        <w:rPr>
          <w:rFonts w:hint="eastAsia" w:ascii="仿宋" w:hAnsi="仿宋" w:eastAsia="仿宋"/>
          <w:sz w:val="32"/>
          <w:szCs w:val="32"/>
        </w:rPr>
        <w:t>万元，占</w:t>
      </w:r>
      <w:r>
        <w:rPr>
          <w:rFonts w:hint="eastAsia" w:ascii="仿宋" w:hAnsi="仿宋" w:eastAsia="仿宋"/>
          <w:sz w:val="32"/>
          <w:szCs w:val="32"/>
          <w:lang w:val="en-US" w:eastAsia="zh-CN"/>
        </w:rPr>
        <w:t>0.32</w:t>
      </w:r>
      <w:r>
        <w:rPr>
          <w:rFonts w:ascii="仿宋" w:hAnsi="仿宋" w:eastAsia="仿宋"/>
          <w:sz w:val="32"/>
          <w:szCs w:val="32"/>
        </w:rPr>
        <w:t>%</w:t>
      </w:r>
      <w:r>
        <w:rPr>
          <w:rFonts w:hint="eastAsia" w:ascii="仿宋" w:hAnsi="仿宋" w:eastAsia="仿宋"/>
          <w:sz w:val="32"/>
          <w:szCs w:val="32"/>
        </w:rPr>
        <w:t>；政府性基金预算财政拨款收入</w:t>
      </w:r>
      <w:r>
        <w:rPr>
          <w:rFonts w:hint="eastAsia" w:ascii="仿宋" w:hAnsi="仿宋" w:eastAsia="仿宋"/>
          <w:sz w:val="32"/>
          <w:szCs w:val="32"/>
          <w:lang w:val="en-US" w:eastAsia="zh-CN"/>
        </w:rPr>
        <w:t>50</w:t>
      </w:r>
      <w:r>
        <w:rPr>
          <w:rFonts w:hint="eastAsia" w:ascii="仿宋" w:hAnsi="仿宋" w:eastAsia="仿宋"/>
          <w:sz w:val="32"/>
          <w:szCs w:val="32"/>
        </w:rPr>
        <w:t>万元，占</w:t>
      </w:r>
      <w:r>
        <w:rPr>
          <w:rFonts w:hint="eastAsia" w:ascii="仿宋" w:hAnsi="仿宋" w:eastAsia="仿宋"/>
          <w:sz w:val="32"/>
          <w:szCs w:val="32"/>
          <w:lang w:val="en-US" w:eastAsia="zh-CN"/>
        </w:rPr>
        <w:t>0.12</w:t>
      </w:r>
      <w:r>
        <w:rPr>
          <w:rFonts w:ascii="仿宋" w:hAnsi="仿宋" w:eastAsia="仿宋"/>
          <w:sz w:val="32"/>
          <w:szCs w:val="32"/>
        </w:rPr>
        <w:t>%</w:t>
      </w:r>
      <w:r>
        <w:rPr>
          <w:rFonts w:hint="eastAsia" w:ascii="仿宋" w:hAnsi="仿宋" w:eastAsia="仿宋"/>
          <w:sz w:val="32"/>
          <w:szCs w:val="32"/>
        </w:rPr>
        <w:t>；其他收入</w:t>
      </w:r>
      <w:r>
        <w:rPr>
          <w:rFonts w:hint="eastAsia" w:ascii="仿宋" w:hAnsi="仿宋" w:eastAsia="仿宋"/>
          <w:sz w:val="32"/>
          <w:szCs w:val="32"/>
          <w:lang w:val="en-US" w:eastAsia="zh-CN"/>
        </w:rPr>
        <w:t>40000.02</w:t>
      </w:r>
      <w:r>
        <w:rPr>
          <w:rFonts w:hint="eastAsia" w:ascii="仿宋" w:hAnsi="仿宋" w:eastAsia="仿宋"/>
          <w:sz w:val="32"/>
          <w:szCs w:val="32"/>
        </w:rPr>
        <w:t>万元，占</w:t>
      </w:r>
      <w:r>
        <w:rPr>
          <w:rFonts w:hint="eastAsia" w:ascii="仿宋" w:hAnsi="仿宋" w:eastAsia="仿宋"/>
          <w:sz w:val="32"/>
          <w:szCs w:val="32"/>
          <w:lang w:val="en-US" w:eastAsia="zh-CN"/>
        </w:rPr>
        <w:t>99.56</w:t>
      </w:r>
      <w:r>
        <w:rPr>
          <w:rFonts w:ascii="仿宋" w:hAnsi="仿宋" w:eastAsia="仿宋"/>
          <w:sz w:val="32"/>
          <w:szCs w:val="32"/>
        </w:rPr>
        <w:t>%</w:t>
      </w:r>
      <w:r>
        <w:rPr>
          <w:rFonts w:hint="eastAsia" w:ascii="仿宋" w:hAnsi="仿宋" w:eastAsia="仿宋"/>
          <w:sz w:val="32"/>
          <w:szCs w:val="32"/>
        </w:rPr>
        <w:t>。</w:t>
      </w:r>
    </w:p>
    <w:p>
      <w:pPr>
        <w:widowControl/>
        <w:numPr>
          <w:ilvl w:val="0"/>
          <w:numId w:val="0"/>
        </w:numPr>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部门总体支出情况</w:t>
      </w:r>
    </w:p>
    <w:p>
      <w:pPr>
        <w:spacing w:line="600" w:lineRule="exact"/>
        <w:ind w:firstLine="640" w:firstLineChars="200"/>
        <w:outlineLvl w:val="9"/>
      </w:pPr>
      <w:r>
        <w:rPr>
          <w:rFonts w:ascii="仿宋" w:hAnsi="仿宋" w:eastAsia="仿宋"/>
          <w:sz w:val="32"/>
          <w:szCs w:val="32"/>
        </w:rPr>
        <w:t>20</w:t>
      </w:r>
      <w:r>
        <w:rPr>
          <w:rFonts w:hint="eastAsia" w:ascii="仿宋" w:hAnsi="仿宋" w:eastAsia="仿宋"/>
          <w:sz w:val="32"/>
          <w:szCs w:val="32"/>
        </w:rPr>
        <w:t>22年</w:t>
      </w:r>
      <w:r>
        <w:rPr>
          <w:rFonts w:hint="eastAsia" w:ascii="仿宋" w:hAnsi="仿宋" w:eastAsia="仿宋"/>
          <w:sz w:val="32"/>
          <w:szCs w:val="32"/>
          <w:lang w:eastAsia="zh-CN"/>
        </w:rPr>
        <w:t>部门总体</w:t>
      </w:r>
      <w:r>
        <w:rPr>
          <w:rFonts w:hint="eastAsia" w:ascii="仿宋" w:hAnsi="仿宋" w:eastAsia="仿宋"/>
          <w:sz w:val="32"/>
          <w:szCs w:val="32"/>
        </w:rPr>
        <w:t>支出合计</w:t>
      </w:r>
      <w:r>
        <w:rPr>
          <w:rFonts w:hint="eastAsia" w:ascii="仿宋" w:hAnsi="仿宋" w:eastAsia="仿宋"/>
          <w:sz w:val="32"/>
          <w:szCs w:val="32"/>
          <w:lang w:val="en-US" w:eastAsia="zh-CN"/>
        </w:rPr>
        <w:t>6682.46</w:t>
      </w:r>
      <w:r>
        <w:rPr>
          <w:rFonts w:hint="eastAsia" w:ascii="仿宋" w:hAnsi="仿宋" w:eastAsia="仿宋"/>
          <w:sz w:val="32"/>
          <w:szCs w:val="32"/>
        </w:rPr>
        <w:t>万元，其中：基本支出</w:t>
      </w:r>
      <w:r>
        <w:rPr>
          <w:rFonts w:hint="eastAsia" w:ascii="仿宋" w:hAnsi="仿宋" w:eastAsia="仿宋"/>
          <w:sz w:val="32"/>
          <w:szCs w:val="32"/>
          <w:lang w:val="en-US" w:eastAsia="zh-CN"/>
        </w:rPr>
        <w:t>126.74</w:t>
      </w:r>
      <w:r>
        <w:rPr>
          <w:rFonts w:hint="eastAsia" w:ascii="仿宋" w:hAnsi="仿宋" w:eastAsia="仿宋"/>
          <w:sz w:val="32"/>
          <w:szCs w:val="32"/>
        </w:rPr>
        <w:t>万元，占</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6555.72</w:t>
      </w:r>
      <w:r>
        <w:rPr>
          <w:rFonts w:hint="eastAsia" w:ascii="仿宋" w:hAnsi="仿宋" w:eastAsia="仿宋"/>
          <w:sz w:val="32"/>
          <w:szCs w:val="32"/>
        </w:rPr>
        <w:t>万元，占</w:t>
      </w:r>
      <w:r>
        <w:rPr>
          <w:rFonts w:hint="eastAsia" w:ascii="仿宋" w:hAnsi="仿宋" w:eastAsia="仿宋"/>
          <w:sz w:val="32"/>
          <w:szCs w:val="32"/>
          <w:lang w:val="en-US" w:eastAsia="zh-CN"/>
        </w:rPr>
        <w:t>98.1</w:t>
      </w:r>
      <w:r>
        <w:rPr>
          <w:rFonts w:ascii="仿宋" w:hAnsi="仿宋" w:eastAsia="仿宋"/>
          <w:sz w:val="32"/>
          <w:szCs w:val="32"/>
        </w:rPr>
        <w:t>%</w:t>
      </w:r>
      <w:r>
        <w:rPr>
          <w:rFonts w:hint="eastAsia" w:ascii="仿宋" w:hAnsi="仿宋" w:eastAsia="仿宋"/>
          <w:sz w:val="32"/>
          <w:szCs w:val="32"/>
        </w:rPr>
        <w:t>。</w:t>
      </w:r>
    </w:p>
    <w:p>
      <w:pPr>
        <w:widowControl/>
        <w:numPr>
          <w:ilvl w:val="0"/>
          <w:numId w:val="0"/>
        </w:numPr>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3.</w:t>
      </w:r>
      <w:r>
        <w:rPr>
          <w:rFonts w:hint="eastAsia" w:ascii="仿宋_GB2312" w:hAnsi="仿宋_GB2312" w:eastAsia="仿宋_GB2312" w:cs="仿宋_GB2312"/>
          <w:kern w:val="0"/>
          <w:sz w:val="32"/>
          <w:szCs w:val="32"/>
          <w:shd w:val="clear" w:color="auto" w:fill="FFFFFF"/>
        </w:rPr>
        <w:t>部门总体结转结余情况</w:t>
      </w:r>
    </w:p>
    <w:p>
      <w:pPr>
        <w:widowControl/>
        <w:numPr>
          <w:ilvl w:val="0"/>
          <w:numId w:val="0"/>
        </w:numPr>
        <w:adjustRightInd w:val="0"/>
        <w:snapToGrid w:val="0"/>
        <w:spacing w:line="560" w:lineRule="exact"/>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 xml:space="preserve">    2022年部门年末结转结余33494.28万元。</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（二）部门财政拨款收支情况。</w:t>
      </w:r>
    </w:p>
    <w:p>
      <w:pPr>
        <w:widowControl/>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1.部门财政拨款收入情况</w:t>
      </w:r>
    </w:p>
    <w:p>
      <w:pPr>
        <w:widowControl/>
        <w:adjustRightInd w:val="0"/>
        <w:snapToGrid w:val="0"/>
        <w:spacing w:line="560" w:lineRule="exact"/>
        <w:ind w:firstLine="640" w:firstLineChars="200"/>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2022年我办财政拨款收入176.71万元，其中：一般公共预算财政拨款收入126.71万元，政府性基金预算财政拨款收入50万元。</w:t>
      </w:r>
    </w:p>
    <w:p>
      <w:pPr>
        <w:widowControl/>
        <w:numPr>
          <w:ilvl w:val="0"/>
          <w:numId w:val="0"/>
        </w:numPr>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部门财政拨款支出情况</w:t>
      </w:r>
    </w:p>
    <w:p>
      <w:pPr>
        <w:widowControl/>
        <w:numPr>
          <w:ilvl w:val="0"/>
          <w:numId w:val="0"/>
        </w:numPr>
        <w:adjustRightInd w:val="0"/>
        <w:snapToGrid w:val="0"/>
        <w:spacing w:line="560" w:lineRule="exact"/>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 xml:space="preserve">    2022年我办财政拨款支出176.71万元，其中：基本支出126.71万元，项目支出50万元。</w:t>
      </w:r>
    </w:p>
    <w:p>
      <w:pPr>
        <w:widowControl/>
        <w:numPr>
          <w:ilvl w:val="0"/>
          <w:numId w:val="0"/>
        </w:numPr>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en-US" w:eastAsia="zh-CN"/>
        </w:rPr>
        <w:t>3.</w:t>
      </w:r>
      <w:r>
        <w:rPr>
          <w:rFonts w:hint="eastAsia" w:ascii="仿宋_GB2312" w:hAnsi="仿宋_GB2312" w:eastAsia="仿宋_GB2312" w:cs="仿宋_GB2312"/>
          <w:kern w:val="0"/>
          <w:sz w:val="32"/>
          <w:szCs w:val="32"/>
          <w:shd w:val="clear" w:color="auto" w:fill="FFFFFF"/>
        </w:rPr>
        <w:t>部门财政拨款结转结余情况</w:t>
      </w:r>
    </w:p>
    <w:p>
      <w:pPr>
        <w:widowControl/>
        <w:numPr>
          <w:ilvl w:val="0"/>
          <w:numId w:val="0"/>
        </w:numPr>
        <w:adjustRightInd w:val="0"/>
        <w:snapToGrid w:val="0"/>
        <w:spacing w:line="560" w:lineRule="exact"/>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 xml:space="preserve">    2022年我办无财政拨款结转结余。</w:t>
      </w:r>
    </w:p>
    <w:p>
      <w:pPr>
        <w:widowControl/>
        <w:adjustRightInd w:val="0"/>
        <w:snapToGrid w:val="0"/>
        <w:spacing w:line="560" w:lineRule="exact"/>
        <w:ind w:firstLine="640" w:firstLineChars="200"/>
        <w:contextualSpacing/>
        <w:jc w:val="left"/>
        <w:outlineLvl w:val="9"/>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三、部门整体绩效分析</w:t>
      </w:r>
    </w:p>
    <w:p>
      <w:pPr>
        <w:widowControl/>
        <w:adjustRightInd w:val="0"/>
        <w:snapToGrid w:val="0"/>
        <w:spacing w:line="560" w:lineRule="exact"/>
        <w:ind w:firstLine="643"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（一）部门预算项目绩效分析。</w:t>
      </w:r>
      <w:r>
        <w:rPr>
          <w:rFonts w:hint="eastAsia" w:ascii="仿宋_GB2312" w:hAnsi="仿宋_GB2312" w:eastAsia="仿宋_GB2312" w:cs="仿宋_GB2312"/>
          <w:kern w:val="0"/>
          <w:sz w:val="32"/>
          <w:szCs w:val="32"/>
          <w:shd w:val="clear" w:color="auto" w:fill="FFFFFF"/>
          <w:lang w:val="zh-CN"/>
        </w:rPr>
        <w:t>（分段表述人员类、运转类、特定目标类项目绩效情况和存在问题）</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1.人员类项目绩效分析</w:t>
      </w:r>
    </w:p>
    <w:p>
      <w:pPr>
        <w:widowControl/>
        <w:adjustRightInd w:val="0"/>
        <w:snapToGrid w:val="0"/>
        <w:spacing w:line="560" w:lineRule="exact"/>
        <w:ind w:firstLine="640" w:firstLineChars="200"/>
        <w:contextualSpacing/>
        <w:jc w:val="left"/>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eastAsia="zh-CN"/>
        </w:rPr>
        <w:t>我办人员类项目年初预算批复金额</w:t>
      </w:r>
      <w:r>
        <w:rPr>
          <w:rFonts w:hint="eastAsia" w:ascii="仿宋_GB2312" w:hAnsi="仿宋_GB2312" w:eastAsia="仿宋_GB2312" w:cs="仿宋_GB2312"/>
          <w:kern w:val="0"/>
          <w:sz w:val="32"/>
          <w:szCs w:val="32"/>
          <w:shd w:val="clear" w:color="auto" w:fill="FFFFFF"/>
          <w:lang w:val="en-US" w:eastAsia="zh-CN"/>
        </w:rPr>
        <w:t>97.01万元，调增预算18.91万元，全年预算金额115.92万元，完成支付金额115.92万元，执行进度100%，预算完成情况良好。</w:t>
      </w:r>
    </w:p>
    <w:p>
      <w:pPr>
        <w:widowControl/>
        <w:adjustRightInd w:val="0"/>
        <w:snapToGrid w:val="0"/>
        <w:spacing w:line="560" w:lineRule="exact"/>
        <w:ind w:firstLine="640" w:firstLineChars="200"/>
        <w:contextualSpacing/>
        <w:jc w:val="left"/>
        <w:rPr>
          <w:rFonts w:hint="eastAsia" w:ascii="仿宋_GB2312" w:hAnsi="仿宋_GB2312" w:eastAsia="仿宋_GB2312" w:cs="仿宋_GB2312"/>
          <w:kern w:val="0"/>
          <w:sz w:val="32"/>
          <w:szCs w:val="32"/>
          <w:shd w:val="clear" w:color="auto" w:fill="FFFFFF"/>
          <w:lang w:eastAsia="zh-CN"/>
        </w:rPr>
      </w:pPr>
      <w:r>
        <w:rPr>
          <w:rFonts w:hint="eastAsia" w:ascii="仿宋_GB2312" w:hAnsi="仿宋_GB2312" w:eastAsia="仿宋_GB2312" w:cs="仿宋_GB2312"/>
          <w:kern w:val="0"/>
          <w:sz w:val="32"/>
          <w:szCs w:val="32"/>
          <w:shd w:val="clear" w:color="auto" w:fill="FFFFFF"/>
        </w:rPr>
        <w:t>2.运转类项目绩效分析</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我</w:t>
      </w:r>
      <w:r>
        <w:rPr>
          <w:rFonts w:hint="eastAsia" w:ascii="仿宋_GB2312" w:hAnsi="仿宋_GB2312" w:eastAsia="仿宋_GB2312" w:cs="仿宋_GB2312"/>
          <w:kern w:val="0"/>
          <w:sz w:val="32"/>
          <w:szCs w:val="32"/>
          <w:shd w:val="clear" w:color="auto" w:fill="FFFFFF"/>
          <w:lang w:eastAsia="zh-CN"/>
        </w:rPr>
        <w:t>办</w:t>
      </w:r>
      <w:r>
        <w:rPr>
          <w:rFonts w:hint="eastAsia" w:ascii="仿宋_GB2312" w:hAnsi="仿宋_GB2312" w:eastAsia="仿宋_GB2312" w:cs="仿宋_GB2312"/>
          <w:kern w:val="0"/>
          <w:sz w:val="32"/>
          <w:szCs w:val="32"/>
          <w:shd w:val="clear" w:color="auto" w:fill="FFFFFF"/>
        </w:rPr>
        <w:t>运转类项目包括公用经费项目和其他运转类项目，所有运转类项目均严格按规定格式和要求填报绩效目标，设定了年度绩效数量指标、成本指标、效益指标等，详细反映了相应项目工作任务、达成的效果。运转类项目年初预算批复金额</w:t>
      </w:r>
      <w:r>
        <w:rPr>
          <w:rFonts w:hint="eastAsia" w:ascii="仿宋_GB2312" w:hAnsi="仿宋_GB2312" w:eastAsia="仿宋_GB2312" w:cs="仿宋_GB2312"/>
          <w:kern w:val="0"/>
          <w:sz w:val="32"/>
          <w:szCs w:val="32"/>
          <w:shd w:val="clear" w:color="auto" w:fill="FFFFFF"/>
          <w:lang w:val="en-US" w:eastAsia="zh-CN"/>
        </w:rPr>
        <w:t>8.85</w:t>
      </w:r>
      <w:r>
        <w:rPr>
          <w:rFonts w:hint="eastAsia" w:ascii="仿宋_GB2312" w:hAnsi="仿宋_GB2312" w:eastAsia="仿宋_GB2312" w:cs="仿宋_GB2312"/>
          <w:kern w:val="0"/>
          <w:sz w:val="32"/>
          <w:szCs w:val="32"/>
          <w:shd w:val="clear" w:color="auto" w:fill="FFFFFF"/>
        </w:rPr>
        <w:t>万元，调增预算金额</w:t>
      </w:r>
      <w:r>
        <w:rPr>
          <w:rFonts w:hint="eastAsia" w:ascii="仿宋_GB2312" w:hAnsi="仿宋_GB2312" w:eastAsia="仿宋_GB2312" w:cs="仿宋_GB2312"/>
          <w:kern w:val="0"/>
          <w:sz w:val="32"/>
          <w:szCs w:val="32"/>
          <w:shd w:val="clear" w:color="auto" w:fill="FFFFFF"/>
          <w:lang w:val="en-US" w:eastAsia="zh-CN"/>
        </w:rPr>
        <w:t>1.95</w:t>
      </w:r>
      <w:r>
        <w:rPr>
          <w:rFonts w:hint="eastAsia" w:ascii="仿宋_GB2312" w:hAnsi="仿宋_GB2312" w:eastAsia="仿宋_GB2312" w:cs="仿宋_GB2312"/>
          <w:kern w:val="0"/>
          <w:sz w:val="32"/>
          <w:szCs w:val="32"/>
          <w:shd w:val="clear" w:color="auto" w:fill="FFFFFF"/>
        </w:rPr>
        <w:t xml:space="preserve"> 万元，全年预算金额</w:t>
      </w:r>
      <w:r>
        <w:rPr>
          <w:rFonts w:hint="eastAsia" w:ascii="仿宋_GB2312" w:hAnsi="仿宋_GB2312" w:eastAsia="仿宋_GB2312" w:cs="仿宋_GB2312"/>
          <w:kern w:val="0"/>
          <w:sz w:val="32"/>
          <w:szCs w:val="32"/>
          <w:shd w:val="clear" w:color="auto" w:fill="FFFFFF"/>
          <w:lang w:val="en-US" w:eastAsia="zh-CN"/>
        </w:rPr>
        <w:t>10.8</w:t>
      </w:r>
      <w:r>
        <w:rPr>
          <w:rFonts w:hint="eastAsia" w:ascii="仿宋_GB2312" w:hAnsi="仿宋_GB2312" w:eastAsia="仿宋_GB2312" w:cs="仿宋_GB2312"/>
          <w:kern w:val="0"/>
          <w:sz w:val="32"/>
          <w:szCs w:val="32"/>
          <w:shd w:val="clear" w:color="auto" w:fill="FFFFFF"/>
        </w:rPr>
        <w:t>万元，完成支付金额</w:t>
      </w:r>
      <w:r>
        <w:rPr>
          <w:rFonts w:hint="eastAsia" w:ascii="仿宋_GB2312" w:hAnsi="仿宋_GB2312" w:eastAsia="仿宋_GB2312" w:cs="仿宋_GB2312"/>
          <w:kern w:val="0"/>
          <w:sz w:val="32"/>
          <w:szCs w:val="32"/>
          <w:shd w:val="clear" w:color="auto" w:fill="FFFFFF"/>
          <w:lang w:val="en-US" w:eastAsia="zh-CN"/>
        </w:rPr>
        <w:t>10.8</w:t>
      </w:r>
      <w:r>
        <w:rPr>
          <w:rFonts w:hint="eastAsia" w:ascii="仿宋_GB2312" w:hAnsi="仿宋_GB2312" w:eastAsia="仿宋_GB2312" w:cs="仿宋_GB2312"/>
          <w:kern w:val="0"/>
          <w:sz w:val="32"/>
          <w:szCs w:val="32"/>
          <w:shd w:val="clear" w:color="auto" w:fill="FFFFFF"/>
        </w:rPr>
        <w:t>万元，执行进度100%，预算完成情况好。</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3.特定目标类项目绩效分析</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eastAsia="zh-CN"/>
        </w:rPr>
        <w:t>办</w:t>
      </w:r>
      <w:r>
        <w:rPr>
          <w:rFonts w:hint="eastAsia" w:ascii="仿宋_GB2312" w:hAnsi="仿宋_GB2312" w:eastAsia="仿宋_GB2312" w:cs="仿宋_GB2312"/>
          <w:sz w:val="32"/>
          <w:szCs w:val="32"/>
          <w:lang w:val="en-US" w:eastAsia="zh-CN"/>
        </w:rPr>
        <w:t>2022年无</w:t>
      </w:r>
      <w:r>
        <w:rPr>
          <w:rFonts w:hint="eastAsia" w:ascii="仿宋_GB2312" w:hAnsi="仿宋_GB2312" w:eastAsia="仿宋_GB2312" w:cs="仿宋_GB2312"/>
          <w:sz w:val="32"/>
          <w:szCs w:val="32"/>
        </w:rPr>
        <w:t>特定目标类项目。</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（二）部门整体履职绩效分析。</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firstLine="640" w:firstLineChars="200"/>
        <w:jc w:val="both"/>
        <w:textAlignment w:val="auto"/>
        <w:rPr>
          <w:rFonts w:hint="eastAsia" w:ascii="仿宋_GB2312" w:hAnsi="微软雅黑" w:eastAsia="仿宋_GB2312" w:cs="仿宋_GB2312"/>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1.坚持全面从严治党，抓实党风廉政建设。</w:t>
      </w:r>
      <w:r>
        <w:rPr>
          <w:rFonts w:hint="eastAsia" w:ascii="仿宋_GB2312" w:hAnsi="微软雅黑" w:eastAsia="仿宋_GB2312" w:cs="仿宋_GB2312"/>
          <w:i w:val="0"/>
          <w:iCs w:val="0"/>
          <w:caps w:val="0"/>
          <w:color w:val="auto"/>
          <w:spacing w:val="0"/>
          <w:sz w:val="32"/>
          <w:szCs w:val="32"/>
          <w:shd w:val="clear" w:color="auto" w:fill="FFFFFF"/>
          <w:lang w:val="en-US" w:eastAsia="zh-CN"/>
        </w:rPr>
        <w:t>一是</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通过召开主任办公会议、主任办公扩大会议、警示教育会议等，研究全面从严治党工作8次，</w:t>
      </w:r>
      <w:r>
        <w:rPr>
          <w:rFonts w:hint="eastAsia" w:ascii="仿宋_GB2312" w:hAnsi="微软雅黑" w:eastAsia="仿宋_GB2312" w:cs="仿宋_GB2312"/>
          <w:i w:val="0"/>
          <w:iCs w:val="0"/>
          <w:caps w:val="0"/>
          <w:color w:val="auto"/>
          <w:spacing w:val="0"/>
          <w:sz w:val="32"/>
          <w:szCs w:val="32"/>
          <w:shd w:val="clear" w:color="auto" w:fill="FFFFFF"/>
        </w:rPr>
        <w:t>组织集中学习</w:t>
      </w:r>
      <w:r>
        <w:rPr>
          <w:rFonts w:hint="eastAsia" w:ascii="仿宋_GB2312" w:hAnsi="微软雅黑" w:eastAsia="仿宋_GB2312" w:cs="仿宋_GB2312"/>
          <w:i w:val="0"/>
          <w:iCs w:val="0"/>
          <w:caps w:val="0"/>
          <w:color w:val="auto"/>
          <w:spacing w:val="0"/>
          <w:sz w:val="32"/>
          <w:szCs w:val="32"/>
          <w:shd w:val="clear" w:color="auto" w:fill="FFFFFF"/>
          <w:lang w:val="en-US" w:eastAsia="zh-CN"/>
        </w:rPr>
        <w:t>20余</w:t>
      </w:r>
      <w:r>
        <w:rPr>
          <w:rFonts w:hint="eastAsia" w:ascii="仿宋_GB2312" w:hAnsi="微软雅黑" w:eastAsia="仿宋_GB2312" w:cs="仿宋_GB2312"/>
          <w:i w:val="0"/>
          <w:iCs w:val="0"/>
          <w:caps w:val="0"/>
          <w:color w:val="auto"/>
          <w:spacing w:val="0"/>
          <w:sz w:val="32"/>
          <w:szCs w:val="32"/>
          <w:shd w:val="clear" w:color="auto" w:fill="FFFFFF"/>
        </w:rPr>
        <w:t>次，</w:t>
      </w:r>
      <w:r>
        <w:rPr>
          <w:rFonts w:hint="eastAsia" w:ascii="仿宋_GB2312" w:hAnsi="微软雅黑" w:eastAsia="仿宋_GB2312" w:cs="仿宋_GB2312"/>
          <w:i w:val="0"/>
          <w:iCs w:val="0"/>
          <w:caps w:val="0"/>
          <w:color w:val="auto"/>
          <w:spacing w:val="0"/>
          <w:sz w:val="32"/>
          <w:szCs w:val="32"/>
          <w:shd w:val="clear" w:color="auto" w:fill="FFFFFF"/>
          <w:lang w:eastAsia="zh-CN"/>
        </w:rPr>
        <w:t>其中专题学习习近平总书记来川视察重要指示精神</w:t>
      </w:r>
      <w:r>
        <w:rPr>
          <w:rFonts w:hint="eastAsia" w:ascii="仿宋_GB2312" w:hAnsi="微软雅黑" w:eastAsia="仿宋_GB2312" w:cs="仿宋_GB2312"/>
          <w:i w:val="0"/>
          <w:iCs w:val="0"/>
          <w:caps w:val="0"/>
          <w:color w:val="auto"/>
          <w:spacing w:val="0"/>
          <w:sz w:val="32"/>
          <w:szCs w:val="32"/>
          <w:shd w:val="clear" w:color="auto" w:fill="FFFFFF"/>
          <w:lang w:val="en-US" w:eastAsia="zh-CN"/>
        </w:rPr>
        <w:t>2次，专题学习</w:t>
      </w:r>
      <w:r>
        <w:rPr>
          <w:rFonts w:hint="eastAsia" w:ascii="仿宋_GB2312" w:hAnsi="微软雅黑" w:eastAsia="仿宋_GB2312" w:cs="仿宋_GB2312"/>
          <w:i w:val="0"/>
          <w:iCs w:val="0"/>
          <w:caps w:val="0"/>
          <w:color w:val="auto"/>
          <w:spacing w:val="0"/>
          <w:sz w:val="32"/>
          <w:szCs w:val="32"/>
          <w:shd w:val="clear" w:color="auto" w:fill="FFFFFF"/>
          <w:lang w:eastAsia="zh-CN"/>
        </w:rPr>
        <w:t>党的二十大精神</w:t>
      </w:r>
      <w:r>
        <w:rPr>
          <w:rFonts w:hint="eastAsia" w:ascii="仿宋_GB2312" w:hAnsi="微软雅黑" w:eastAsia="仿宋_GB2312" w:cs="仿宋_GB2312"/>
          <w:i w:val="0"/>
          <w:iCs w:val="0"/>
          <w:caps w:val="0"/>
          <w:color w:val="auto"/>
          <w:spacing w:val="0"/>
          <w:sz w:val="32"/>
          <w:szCs w:val="32"/>
          <w:shd w:val="clear" w:color="auto" w:fill="FFFFFF"/>
          <w:lang w:val="en-US" w:eastAsia="zh-CN"/>
        </w:rPr>
        <w:t>4次，学习传达中央纪委全会精神2次，引导全体党员干部增强“四个意识”、坚定“四个自信”、做到“两个维护”。二是</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制定党风廉政建设工作责任清单，班子成员及支部书记讲述党风廉政专题党课5次，开展主题党日活动4次、节前廉洁教育4次，开展纪律作风应知应答知识测试2次，组织观看学习违规违纪典型案例26件，对干部谈心谈话17人次</w:t>
      </w:r>
      <w:r>
        <w:rPr>
          <w:rFonts w:hint="eastAsia" w:ascii="仿宋_GB2312" w:hAnsi="微软雅黑" w:eastAsia="仿宋_GB2312" w:cs="仿宋_GB2312"/>
          <w:i w:val="0"/>
          <w:iCs w:val="0"/>
          <w:caps w:val="0"/>
          <w:color w:val="auto"/>
          <w:spacing w:val="0"/>
          <w:sz w:val="32"/>
          <w:szCs w:val="32"/>
          <w:shd w:val="clear" w:color="auto" w:fill="FFFFFF"/>
          <w:lang w:val="en-US" w:eastAsia="zh-CN"/>
        </w:rPr>
        <w:t>。三是进一步完善了我办保密制度、安全制度等，健全领导班子议事决策规则和“三重一大”集体决策运行机制，全办上下敬廉崇洁氛围良好，党风政风持续向好。</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N/>
        <w:bidi w:val="0"/>
        <w:snapToGrid/>
        <w:spacing w:before="0" w:beforeAutospacing="0" w:after="0" w:afterAutospacing="0" w:line="576" w:lineRule="exact"/>
        <w:ind w:right="0" w:rightChars="0" w:firstLine="640" w:firstLineChars="200"/>
        <w:jc w:val="both"/>
        <w:textAlignment w:val="auto"/>
        <w:rPr>
          <w:rFonts w:hint="eastAsia" w:ascii="仿宋_GB2312" w:eastAsia="仿宋_GB2312" w:cs="仿宋_GB2312"/>
          <w:b w:val="0"/>
          <w:bCs w:val="0"/>
          <w:color w:val="000000"/>
          <w:kern w:val="2"/>
          <w:sz w:val="32"/>
          <w:szCs w:val="32"/>
          <w:lang w:val="en-US" w:eastAsia="zh-CN" w:bidi="ar"/>
        </w:rPr>
      </w:pPr>
      <w:r>
        <w:rPr>
          <w:rFonts w:hint="eastAsia" w:ascii="黑体" w:hAnsi="黑体" w:eastAsia="黑体" w:cs="黑体"/>
          <w:b w:val="0"/>
          <w:bCs w:val="0"/>
          <w:i w:val="0"/>
          <w:iCs w:val="0"/>
          <w:caps w:val="0"/>
          <w:color w:val="auto"/>
          <w:spacing w:val="0"/>
          <w:sz w:val="32"/>
          <w:szCs w:val="32"/>
          <w:shd w:val="clear" w:color="auto" w:fill="FFFFFF"/>
          <w:lang w:val="en-US" w:eastAsia="zh-CN"/>
        </w:rPr>
        <w:t>2.紧抓重点难点项目，有序推进专项工程。</w:t>
      </w:r>
      <w:r>
        <w:rPr>
          <w:rFonts w:hint="eastAsia" w:ascii="仿宋_GB2312" w:hAnsi="Calibri" w:eastAsia="仿宋_GB2312" w:cs="仿宋_GB2312"/>
          <w:b w:val="0"/>
          <w:bCs/>
          <w:color w:val="000000"/>
          <w:kern w:val="2"/>
          <w:sz w:val="32"/>
          <w:szCs w:val="32"/>
          <w:lang w:val="en-US" w:eastAsia="zh-CN" w:bidi="ar"/>
        </w:rPr>
        <w:t>一是</w:t>
      </w:r>
      <w:r>
        <w:rPr>
          <w:rFonts w:hint="eastAsia" w:ascii="仿宋_GB2312" w:hAnsi="仿宋_GB2312" w:eastAsia="仿宋_GB2312" w:cs="仿宋_GB2312"/>
          <w:b w:val="0"/>
          <w:bCs/>
          <w:color w:val="000000"/>
          <w:kern w:val="2"/>
          <w:sz w:val="32"/>
          <w:szCs w:val="32"/>
          <w:lang w:val="en-US" w:eastAsia="zh-CN" w:bidi="ar"/>
        </w:rPr>
        <w:t>按照国务院、国防科工局安排部署，</w:t>
      </w:r>
      <w:r>
        <w:rPr>
          <w:rFonts w:hint="eastAsia" w:ascii="仿宋_GB2312" w:eastAsia="仿宋_GB2312" w:cs="仿宋_GB2312"/>
          <w:b w:val="0"/>
          <w:bCs/>
          <w:color w:val="000000"/>
          <w:kern w:val="2"/>
          <w:sz w:val="32"/>
          <w:szCs w:val="32"/>
          <w:lang w:val="en-US" w:eastAsia="zh-CN" w:bidi="ar"/>
        </w:rPr>
        <w:t>围绕多争取资金为目标，通过</w:t>
      </w:r>
      <w:r>
        <w:rPr>
          <w:rFonts w:hint="eastAsia" w:ascii="仿宋_GB2312" w:hAnsi="Calibri" w:eastAsia="仿宋_GB2312" w:cs="仿宋_GB2312"/>
          <w:b w:val="0"/>
          <w:bCs/>
          <w:color w:val="000000"/>
          <w:kern w:val="2"/>
          <w:sz w:val="32"/>
          <w:szCs w:val="32"/>
          <w:lang w:val="en-US" w:eastAsia="zh-CN" w:bidi="ar"/>
        </w:rPr>
        <w:t>新</w:t>
      </w:r>
      <w:r>
        <w:rPr>
          <w:rFonts w:hint="eastAsia" w:ascii="仿宋_GB2312" w:eastAsia="仿宋_GB2312" w:cs="仿宋_GB2312"/>
          <w:b w:val="0"/>
          <w:bCs/>
          <w:color w:val="000000"/>
          <w:kern w:val="2"/>
          <w:sz w:val="32"/>
          <w:szCs w:val="32"/>
          <w:lang w:val="en-US" w:eastAsia="zh-CN" w:bidi="ar"/>
        </w:rPr>
        <w:t>申报</w:t>
      </w:r>
      <w:r>
        <w:rPr>
          <w:rFonts w:hint="eastAsia" w:ascii="仿宋_GB2312" w:hAnsi="Calibri" w:eastAsia="仿宋_GB2312" w:cs="仿宋_GB2312"/>
          <w:b w:val="0"/>
          <w:bCs/>
          <w:color w:val="000000"/>
          <w:kern w:val="2"/>
          <w:sz w:val="32"/>
          <w:szCs w:val="32"/>
          <w:lang w:val="en-US" w:eastAsia="zh-CN" w:bidi="ar"/>
        </w:rPr>
        <w:t>项目2个，实现</w:t>
      </w:r>
      <w:r>
        <w:rPr>
          <w:rFonts w:hint="eastAsia" w:ascii="仿宋_GB2312" w:eastAsia="仿宋_GB2312" w:cs="仿宋_GB2312"/>
          <w:b w:val="0"/>
          <w:bCs/>
          <w:color w:val="000000"/>
          <w:kern w:val="2"/>
          <w:sz w:val="32"/>
          <w:szCs w:val="32"/>
          <w:lang w:val="en-US" w:eastAsia="zh-CN" w:bidi="ar"/>
        </w:rPr>
        <w:t>通过评审项目总投资</w:t>
      </w:r>
      <w:r>
        <w:rPr>
          <w:rFonts w:hint="eastAsia" w:ascii="仿宋_GB2312" w:hAnsi="Calibri" w:eastAsia="仿宋_GB2312" w:cs="仿宋_GB2312"/>
          <w:b w:val="0"/>
          <w:bCs/>
          <w:color w:val="000000"/>
          <w:kern w:val="2"/>
          <w:sz w:val="32"/>
          <w:szCs w:val="32"/>
          <w:lang w:val="en-US" w:eastAsia="zh-CN" w:bidi="ar"/>
        </w:rPr>
        <w:t>8.968亿元，</w:t>
      </w:r>
      <w:r>
        <w:rPr>
          <w:rFonts w:hint="eastAsia" w:ascii="仿宋_GB2312" w:eastAsia="仿宋_GB2312" w:cs="仿宋_GB2312"/>
          <w:b w:val="0"/>
          <w:bCs/>
          <w:color w:val="000000"/>
          <w:kern w:val="2"/>
          <w:sz w:val="32"/>
          <w:szCs w:val="32"/>
          <w:lang w:val="en-US" w:eastAsia="zh-CN" w:bidi="ar"/>
        </w:rPr>
        <w:t>为我县争取到最大限度项目投资，并得到中物院、省委军融办、中咨公司高度评价。二是</w:t>
      </w:r>
      <w:r>
        <w:rPr>
          <w:rFonts w:hint="eastAsia" w:ascii="仿宋_GB2312" w:hAnsi="Calibri" w:eastAsia="仿宋_GB2312" w:cs="仿宋_GB2312"/>
          <w:b w:val="0"/>
          <w:bCs w:val="0"/>
          <w:color w:val="000000"/>
          <w:kern w:val="2"/>
          <w:sz w:val="32"/>
          <w:szCs w:val="32"/>
          <w:lang w:val="en-US" w:eastAsia="zh-CN" w:bidi="ar"/>
        </w:rPr>
        <w:t>认真履行牵头抓总</w:t>
      </w:r>
      <w:r>
        <w:rPr>
          <w:rFonts w:hint="eastAsia" w:ascii="仿宋_GB2312" w:eastAsia="仿宋_GB2312" w:cs="仿宋_GB2312"/>
          <w:b w:val="0"/>
          <w:bCs w:val="0"/>
          <w:color w:val="000000"/>
          <w:kern w:val="2"/>
          <w:sz w:val="32"/>
          <w:szCs w:val="32"/>
          <w:lang w:val="en-US" w:eastAsia="zh-CN" w:bidi="ar"/>
        </w:rPr>
        <w:t>职能</w:t>
      </w:r>
      <w:r>
        <w:rPr>
          <w:rFonts w:hint="eastAsia" w:ascii="仿宋_GB2312" w:hAnsi="Calibri" w:eastAsia="仿宋_GB2312" w:cs="仿宋_GB2312"/>
          <w:b w:val="0"/>
          <w:bCs w:val="0"/>
          <w:color w:val="000000"/>
          <w:kern w:val="2"/>
          <w:sz w:val="32"/>
          <w:szCs w:val="32"/>
          <w:lang w:val="en-US" w:eastAsia="zh-CN" w:bidi="ar"/>
        </w:rPr>
        <w:t>职责，组建</w:t>
      </w:r>
      <w:r>
        <w:rPr>
          <w:rFonts w:hint="eastAsia" w:ascii="仿宋_GB2312" w:hAnsi="Calibri" w:eastAsia="仿宋_GB2312" w:cs="仿宋_GB2312"/>
          <w:b w:val="0"/>
          <w:bCs w:val="0"/>
          <w:color w:val="000000"/>
          <w:kern w:val="2"/>
          <w:sz w:val="32"/>
          <w:szCs w:val="32"/>
          <w:highlight w:val="none"/>
          <w:lang w:val="en-US" w:eastAsia="zh-CN" w:bidi="ar"/>
        </w:rPr>
        <w:t>统筹协调、征地拆迁、安置点、产业园建设、后勤保障、考核督查等六个专班，</w:t>
      </w:r>
      <w:r>
        <w:rPr>
          <w:rFonts w:hint="eastAsia" w:ascii="仿宋_GB2312" w:eastAsia="仿宋_GB2312" w:cs="仿宋_GB2312"/>
          <w:b w:val="0"/>
          <w:bCs w:val="0"/>
          <w:color w:val="000000"/>
          <w:kern w:val="2"/>
          <w:sz w:val="32"/>
          <w:szCs w:val="32"/>
          <w:lang w:val="en-US" w:eastAsia="zh-CN" w:bidi="ar"/>
        </w:rPr>
        <w:t>2022</w:t>
      </w:r>
      <w:r>
        <w:rPr>
          <w:rFonts w:hint="eastAsia" w:ascii="仿宋_GB2312" w:hAnsi="Calibri" w:eastAsia="仿宋_GB2312" w:cs="仿宋_GB2312"/>
          <w:b w:val="0"/>
          <w:bCs w:val="0"/>
          <w:kern w:val="2"/>
          <w:sz w:val="32"/>
          <w:szCs w:val="32"/>
          <w:lang w:val="en-US" w:eastAsia="zh-CN" w:bidi="ar"/>
        </w:rPr>
        <w:t>年共召开</w:t>
      </w:r>
      <w:r>
        <w:rPr>
          <w:rFonts w:hint="eastAsia" w:ascii="仿宋_GB2312" w:eastAsia="仿宋_GB2312" w:cs="仿宋_GB2312"/>
          <w:b w:val="0"/>
          <w:bCs w:val="0"/>
          <w:kern w:val="2"/>
          <w:sz w:val="32"/>
          <w:szCs w:val="32"/>
          <w:lang w:val="en-US" w:eastAsia="zh-CN" w:bidi="ar"/>
        </w:rPr>
        <w:t>调度会</w:t>
      </w:r>
      <w:r>
        <w:rPr>
          <w:rFonts w:hint="eastAsia" w:ascii="仿宋_GB2312" w:hAnsi="Calibri" w:eastAsia="仿宋_GB2312" w:cs="仿宋_GB2312"/>
          <w:b w:val="0"/>
          <w:bCs w:val="0"/>
          <w:kern w:val="2"/>
          <w:sz w:val="32"/>
          <w:szCs w:val="32"/>
          <w:lang w:val="en-US" w:eastAsia="zh-CN" w:bidi="ar"/>
        </w:rPr>
        <w:t>30余次，</w:t>
      </w:r>
      <w:r>
        <w:rPr>
          <w:rFonts w:hint="eastAsia" w:ascii="仿宋_GB2312" w:eastAsia="仿宋_GB2312" w:cs="仿宋_GB2312"/>
          <w:b w:val="0"/>
          <w:bCs w:val="0"/>
          <w:color w:val="000000"/>
          <w:kern w:val="2"/>
          <w:sz w:val="32"/>
          <w:szCs w:val="32"/>
          <w:lang w:val="en-US" w:eastAsia="zh-CN" w:bidi="ar"/>
        </w:rPr>
        <w:t>组织专题推进会议35次。</w:t>
      </w:r>
      <w:r>
        <w:rPr>
          <w:rFonts w:hint="eastAsia" w:ascii="仿宋_GB2312" w:hAnsi="Calibri" w:eastAsia="仿宋_GB2312" w:cs="仿宋_GB2312"/>
          <w:b w:val="0"/>
          <w:bCs w:val="0"/>
          <w:color w:val="000000"/>
          <w:kern w:val="2"/>
          <w:sz w:val="32"/>
          <w:szCs w:val="32"/>
          <w:lang w:val="en-US" w:eastAsia="zh-CN" w:bidi="ar"/>
        </w:rPr>
        <w:t>已签订拆迁协议41</w:t>
      </w:r>
      <w:r>
        <w:rPr>
          <w:rFonts w:hint="eastAsia" w:ascii="仿宋_GB2312" w:eastAsia="仿宋_GB2312" w:cs="仿宋_GB2312"/>
          <w:b w:val="0"/>
          <w:bCs w:val="0"/>
          <w:color w:val="000000"/>
          <w:kern w:val="2"/>
          <w:sz w:val="32"/>
          <w:szCs w:val="32"/>
          <w:lang w:val="en-US" w:eastAsia="zh-CN" w:bidi="ar"/>
        </w:rPr>
        <w:t>8</w:t>
      </w:r>
      <w:r>
        <w:rPr>
          <w:rFonts w:hint="eastAsia" w:ascii="仿宋_GB2312" w:hAnsi="Calibri" w:eastAsia="仿宋_GB2312" w:cs="仿宋_GB2312"/>
          <w:b w:val="0"/>
          <w:bCs w:val="0"/>
          <w:color w:val="000000"/>
          <w:kern w:val="2"/>
          <w:sz w:val="32"/>
          <w:szCs w:val="32"/>
          <w:lang w:val="en-US" w:eastAsia="zh-CN" w:bidi="ar"/>
        </w:rPr>
        <w:t>户、占总户数9</w:t>
      </w:r>
      <w:r>
        <w:rPr>
          <w:rFonts w:hint="eastAsia" w:ascii="仿宋_GB2312" w:eastAsia="仿宋_GB2312" w:cs="仿宋_GB2312"/>
          <w:b w:val="0"/>
          <w:bCs w:val="0"/>
          <w:color w:val="000000"/>
          <w:kern w:val="2"/>
          <w:sz w:val="32"/>
          <w:szCs w:val="32"/>
          <w:lang w:val="en-US" w:eastAsia="zh-CN" w:bidi="ar"/>
        </w:rPr>
        <w:t>7</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eastAsia="仿宋_GB2312" w:cs="仿宋_GB2312"/>
          <w:b w:val="0"/>
          <w:bCs w:val="0"/>
          <w:color w:val="000000"/>
          <w:kern w:val="2"/>
          <w:sz w:val="32"/>
          <w:szCs w:val="32"/>
          <w:lang w:val="en-US" w:eastAsia="zh-CN" w:bidi="ar"/>
        </w:rPr>
        <w:t>4</w:t>
      </w:r>
      <w:r>
        <w:rPr>
          <w:rFonts w:hint="eastAsia" w:ascii="仿宋_GB2312" w:hAnsi="Calibri" w:eastAsia="仿宋_GB2312" w:cs="仿宋_GB2312"/>
          <w:b w:val="0"/>
          <w:bCs w:val="0"/>
          <w:color w:val="000000"/>
          <w:kern w:val="2"/>
          <w:sz w:val="32"/>
          <w:szCs w:val="32"/>
          <w:lang w:val="en-US" w:eastAsia="zh-CN" w:bidi="ar"/>
        </w:rPr>
        <w:t>%，拆除房屋3</w:t>
      </w:r>
      <w:r>
        <w:rPr>
          <w:rFonts w:hint="eastAsia" w:ascii="仿宋_GB2312" w:eastAsia="仿宋_GB2312" w:cs="仿宋_GB2312"/>
          <w:b w:val="0"/>
          <w:bCs w:val="0"/>
          <w:color w:val="000000"/>
          <w:kern w:val="2"/>
          <w:sz w:val="32"/>
          <w:szCs w:val="32"/>
          <w:lang w:val="en-US" w:eastAsia="zh-CN" w:bidi="ar"/>
        </w:rPr>
        <w:t>72</w:t>
      </w:r>
      <w:r>
        <w:rPr>
          <w:rFonts w:hint="eastAsia" w:ascii="仿宋_GB2312" w:hAnsi="Calibri" w:eastAsia="仿宋_GB2312" w:cs="仿宋_GB2312"/>
          <w:b w:val="0"/>
          <w:bCs w:val="0"/>
          <w:color w:val="000000"/>
          <w:kern w:val="2"/>
          <w:sz w:val="32"/>
          <w:szCs w:val="32"/>
          <w:lang w:val="en-US" w:eastAsia="zh-CN" w:bidi="ar"/>
        </w:rPr>
        <w:t>户、占总户数</w:t>
      </w:r>
      <w:r>
        <w:rPr>
          <w:rFonts w:hint="eastAsia" w:ascii="仿宋_GB2312" w:eastAsia="仿宋_GB2312" w:cs="仿宋_GB2312"/>
          <w:b w:val="0"/>
          <w:bCs w:val="0"/>
          <w:color w:val="000000"/>
          <w:kern w:val="2"/>
          <w:sz w:val="32"/>
          <w:szCs w:val="32"/>
          <w:lang w:val="en-US" w:eastAsia="zh-CN" w:bidi="ar"/>
        </w:rPr>
        <w:t>86.7%；</w:t>
      </w:r>
      <w:r>
        <w:rPr>
          <w:rFonts w:hint="eastAsia" w:ascii="仿宋_GB2312" w:hAnsi="Calibri" w:eastAsia="仿宋_GB2312" w:cs="仿宋_GB2312"/>
          <w:b w:val="0"/>
          <w:bCs w:val="0"/>
          <w:color w:val="000000"/>
          <w:kern w:val="2"/>
          <w:sz w:val="32"/>
          <w:szCs w:val="32"/>
          <w:lang w:val="en-US" w:eastAsia="zh-CN" w:bidi="ar"/>
        </w:rPr>
        <w:t>已完成9-14号</w:t>
      </w:r>
      <w:r>
        <w:rPr>
          <w:rFonts w:hint="eastAsia" w:ascii="仿宋_GB2312" w:eastAsia="仿宋_GB2312" w:cs="仿宋_GB2312"/>
          <w:b w:val="0"/>
          <w:bCs w:val="0"/>
          <w:color w:val="000000"/>
          <w:kern w:val="2"/>
          <w:sz w:val="32"/>
          <w:szCs w:val="32"/>
          <w:lang w:val="en-US" w:eastAsia="zh-CN" w:bidi="ar"/>
        </w:rPr>
        <w:t>全部</w:t>
      </w:r>
      <w:r>
        <w:rPr>
          <w:rFonts w:hint="eastAsia" w:ascii="仿宋_GB2312" w:hAnsi="Calibri" w:eastAsia="仿宋_GB2312" w:cs="仿宋_GB2312"/>
          <w:b w:val="0"/>
          <w:bCs w:val="0"/>
          <w:color w:val="000000"/>
          <w:kern w:val="2"/>
          <w:sz w:val="32"/>
          <w:szCs w:val="32"/>
          <w:lang w:val="en-US" w:eastAsia="zh-CN" w:bidi="ar"/>
        </w:rPr>
        <w:t>地块</w:t>
      </w:r>
      <w:r>
        <w:rPr>
          <w:rFonts w:hint="eastAsia" w:ascii="仿宋_GB2312" w:eastAsia="仿宋_GB2312" w:cs="仿宋_GB2312"/>
          <w:b w:val="0"/>
          <w:bCs w:val="0"/>
          <w:color w:val="000000"/>
          <w:kern w:val="2"/>
          <w:sz w:val="32"/>
          <w:szCs w:val="32"/>
          <w:lang w:val="en-US" w:eastAsia="zh-CN" w:bidi="ar"/>
        </w:rPr>
        <w:t>和</w:t>
      </w:r>
      <w:r>
        <w:rPr>
          <w:rFonts w:hint="eastAsia" w:ascii="仿宋_GB2312" w:hAnsi="Calibri" w:eastAsia="仿宋_GB2312" w:cs="仿宋_GB2312"/>
          <w:b w:val="0"/>
          <w:bCs w:val="0"/>
          <w:color w:val="000000"/>
          <w:kern w:val="2"/>
          <w:sz w:val="32"/>
          <w:szCs w:val="32"/>
          <w:lang w:val="en-US" w:eastAsia="zh-CN" w:bidi="ar"/>
        </w:rPr>
        <w:t>安置点及配套项目</w:t>
      </w:r>
      <w:r>
        <w:rPr>
          <w:rFonts w:hint="eastAsia" w:ascii="仿宋_GB2312" w:eastAsia="仿宋_GB2312" w:cs="仿宋_GB2312"/>
          <w:b w:val="0"/>
          <w:bCs w:val="0"/>
          <w:color w:val="000000"/>
          <w:kern w:val="2"/>
          <w:sz w:val="32"/>
          <w:szCs w:val="32"/>
          <w:lang w:val="en-US" w:eastAsia="zh-CN" w:bidi="ar"/>
        </w:rPr>
        <w:t>的</w:t>
      </w:r>
      <w:r>
        <w:rPr>
          <w:rFonts w:hint="eastAsia" w:ascii="仿宋_GB2312" w:hAnsi="Calibri" w:eastAsia="仿宋_GB2312" w:cs="仿宋_GB2312"/>
          <w:b w:val="0"/>
          <w:bCs w:val="0"/>
          <w:color w:val="000000"/>
          <w:kern w:val="2"/>
          <w:sz w:val="32"/>
          <w:szCs w:val="32"/>
          <w:lang w:val="en-US" w:eastAsia="zh-CN" w:bidi="ar"/>
        </w:rPr>
        <w:t>土地征收方案公示、审批</w:t>
      </w:r>
      <w:r>
        <w:rPr>
          <w:rFonts w:hint="eastAsia" w:ascii="仿宋_GB2312" w:eastAsia="仿宋_GB2312" w:cs="仿宋_GB2312"/>
          <w:b w:val="0"/>
          <w:bCs w:val="0"/>
          <w:color w:val="000000"/>
          <w:kern w:val="2"/>
          <w:sz w:val="32"/>
          <w:szCs w:val="32"/>
          <w:lang w:val="en-US" w:eastAsia="zh-CN" w:bidi="ar"/>
        </w:rPr>
        <w:t>及</w:t>
      </w:r>
      <w:r>
        <w:rPr>
          <w:rFonts w:hint="eastAsia" w:ascii="仿宋_GB2312" w:hAnsi="Calibri" w:eastAsia="仿宋_GB2312" w:cs="仿宋_GB2312"/>
          <w:b w:val="0"/>
          <w:bCs w:val="0"/>
          <w:color w:val="000000"/>
          <w:kern w:val="2"/>
          <w:sz w:val="32"/>
          <w:szCs w:val="32"/>
          <w:lang w:val="en-US" w:eastAsia="zh-CN" w:bidi="ar"/>
        </w:rPr>
        <w:t>征地安置补偿协议</w:t>
      </w:r>
      <w:r>
        <w:rPr>
          <w:rFonts w:hint="eastAsia" w:ascii="仿宋_GB2312" w:eastAsia="仿宋_GB2312" w:cs="仿宋_GB2312"/>
          <w:b w:val="0"/>
          <w:bCs w:val="0"/>
          <w:color w:val="000000"/>
          <w:kern w:val="2"/>
          <w:sz w:val="32"/>
          <w:szCs w:val="32"/>
          <w:lang w:val="en-US" w:eastAsia="zh-CN" w:bidi="ar"/>
        </w:rPr>
        <w:t>签订等工作</w:t>
      </w:r>
      <w:r>
        <w:rPr>
          <w:rFonts w:hint="eastAsia" w:ascii="仿宋_GB2312" w:hAnsi="Calibri" w:eastAsia="仿宋_GB2312" w:cs="仿宋_GB2312"/>
          <w:b w:val="0"/>
          <w:bCs w:val="0"/>
          <w:color w:val="000000"/>
          <w:kern w:val="2"/>
          <w:sz w:val="32"/>
          <w:szCs w:val="32"/>
          <w:lang w:val="en-US" w:eastAsia="zh-CN" w:bidi="ar"/>
        </w:rPr>
        <w:t>。</w:t>
      </w:r>
      <w:r>
        <w:rPr>
          <w:rFonts w:hint="eastAsia" w:ascii="仿宋_GB2312" w:eastAsia="仿宋_GB2312" w:cs="仿宋_GB2312"/>
          <w:b w:val="0"/>
          <w:bCs w:val="0"/>
          <w:color w:val="000000"/>
          <w:kern w:val="2"/>
          <w:sz w:val="32"/>
          <w:szCs w:val="32"/>
          <w:lang w:val="en-US" w:eastAsia="zh-CN" w:bidi="ar"/>
        </w:rPr>
        <w:t>已完成</w:t>
      </w:r>
      <w:r>
        <w:rPr>
          <w:rFonts w:hint="eastAsia" w:ascii="仿宋_GB2312" w:hAnsi="Calibri" w:eastAsia="仿宋_GB2312" w:cs="仿宋_GB2312"/>
          <w:b w:val="0"/>
          <w:bCs w:val="0"/>
          <w:color w:val="000000"/>
          <w:kern w:val="2"/>
          <w:sz w:val="32"/>
          <w:szCs w:val="32"/>
          <w:lang w:val="en-US" w:eastAsia="zh-CN" w:bidi="ar"/>
        </w:rPr>
        <w:t>安置点</w:t>
      </w:r>
      <w:r>
        <w:rPr>
          <w:rFonts w:hint="eastAsia" w:ascii="仿宋_GB2312" w:eastAsia="仿宋_GB2312" w:cs="仿宋_GB2312"/>
          <w:b w:val="0"/>
          <w:bCs w:val="0"/>
          <w:color w:val="000000"/>
          <w:kern w:val="2"/>
          <w:sz w:val="32"/>
          <w:szCs w:val="32"/>
          <w:lang w:val="en-US" w:eastAsia="zh-CN" w:bidi="ar"/>
        </w:rPr>
        <w:t>小区</w:t>
      </w:r>
      <w:r>
        <w:rPr>
          <w:rFonts w:hint="eastAsia" w:ascii="仿宋_GB2312" w:hAnsi="Calibri" w:eastAsia="仿宋_GB2312" w:cs="仿宋_GB2312"/>
          <w:b w:val="0"/>
          <w:bCs w:val="0"/>
          <w:color w:val="000000"/>
          <w:kern w:val="2"/>
          <w:sz w:val="32"/>
          <w:szCs w:val="32"/>
          <w:lang w:val="en-US" w:eastAsia="zh-CN" w:bidi="ar"/>
        </w:rPr>
        <w:t>1至</w:t>
      </w:r>
      <w:r>
        <w:rPr>
          <w:rFonts w:hint="eastAsia" w:ascii="仿宋_GB2312" w:eastAsia="仿宋_GB2312" w:cs="仿宋_GB2312"/>
          <w:b w:val="0"/>
          <w:bCs w:val="0"/>
          <w:color w:val="000000"/>
          <w:kern w:val="2"/>
          <w:sz w:val="32"/>
          <w:szCs w:val="32"/>
          <w:lang w:val="en-US" w:eastAsia="zh-CN" w:bidi="ar"/>
        </w:rPr>
        <w:t>6</w:t>
      </w:r>
      <w:r>
        <w:rPr>
          <w:rFonts w:hint="eastAsia" w:ascii="仿宋_GB2312" w:hAnsi="Calibri" w:eastAsia="仿宋_GB2312" w:cs="仿宋_GB2312"/>
          <w:b w:val="0"/>
          <w:bCs w:val="0"/>
          <w:color w:val="000000"/>
          <w:kern w:val="2"/>
          <w:sz w:val="32"/>
          <w:szCs w:val="32"/>
          <w:lang w:val="en-US" w:eastAsia="zh-CN" w:bidi="ar"/>
        </w:rPr>
        <w:t>号楼</w:t>
      </w:r>
      <w:r>
        <w:rPr>
          <w:rFonts w:hint="eastAsia" w:ascii="仿宋_GB2312" w:eastAsia="仿宋_GB2312" w:cs="仿宋_GB2312"/>
          <w:b w:val="0"/>
          <w:bCs w:val="0"/>
          <w:color w:val="000000"/>
          <w:kern w:val="2"/>
          <w:sz w:val="32"/>
          <w:szCs w:val="32"/>
          <w:lang w:val="en-US" w:eastAsia="zh-CN" w:bidi="ar"/>
        </w:rPr>
        <w:t>主体建设，</w:t>
      </w:r>
      <w:r>
        <w:rPr>
          <w:rFonts w:hint="eastAsia" w:ascii="仿宋_GB2312" w:hAnsi="Calibri" w:eastAsia="仿宋_GB2312" w:cs="仿宋_GB2312"/>
          <w:b w:val="0"/>
          <w:bCs w:val="0"/>
          <w:color w:val="000000"/>
          <w:kern w:val="2"/>
          <w:sz w:val="32"/>
          <w:szCs w:val="32"/>
          <w:lang w:val="en-US" w:eastAsia="zh-CN" w:bidi="ar"/>
        </w:rPr>
        <w:t>社会服务中心</w:t>
      </w:r>
      <w:r>
        <w:rPr>
          <w:rFonts w:hint="eastAsia" w:ascii="仿宋_GB2312" w:eastAsia="仿宋_GB2312" w:cs="仿宋_GB2312"/>
          <w:b w:val="0"/>
          <w:bCs w:val="0"/>
          <w:color w:val="000000"/>
          <w:kern w:val="2"/>
          <w:sz w:val="32"/>
          <w:szCs w:val="32"/>
          <w:lang w:val="en-US" w:eastAsia="zh-CN" w:bidi="ar"/>
        </w:rPr>
        <w:t>与幼儿园已完成基础，正在进行二楼建设；配套河堤、道路、桥梁等前期工作基本完成，预计2月开工；配套污水处理厂项目正在加快办理前期手续</w:t>
      </w:r>
      <w:r>
        <w:rPr>
          <w:rFonts w:hint="eastAsia" w:ascii="仿宋_GB2312" w:hAnsi="Calibri" w:eastAsia="仿宋_GB2312" w:cs="仿宋_GB2312"/>
          <w:b w:val="0"/>
          <w:bCs w:val="0"/>
          <w:color w:val="000000"/>
          <w:kern w:val="2"/>
          <w:sz w:val="32"/>
          <w:szCs w:val="32"/>
          <w:lang w:val="en-US" w:eastAsia="zh-CN" w:bidi="ar"/>
        </w:rPr>
        <w:t>。乡村振兴特色产业园项目</w:t>
      </w:r>
      <w:r>
        <w:rPr>
          <w:rFonts w:hint="eastAsia" w:ascii="仿宋_GB2312" w:eastAsia="仿宋_GB2312" w:cs="仿宋_GB2312"/>
          <w:b w:val="0"/>
          <w:bCs w:val="0"/>
          <w:color w:val="000000"/>
          <w:kern w:val="2"/>
          <w:sz w:val="32"/>
          <w:szCs w:val="32"/>
          <w:lang w:val="en-US" w:eastAsia="zh-CN" w:bidi="ar"/>
        </w:rPr>
        <w:t>建设正在有序推进。积极对接省市委军融办、发改委、财政厅、中物院等部门，成功争取中央预算内投资4亿元，为工程顺利推进提供有力保障。</w:t>
      </w:r>
    </w:p>
    <w:p>
      <w:pPr>
        <w:pStyle w:val="9"/>
        <w:keepNext w:val="0"/>
        <w:keepLines w:val="0"/>
        <w:pageBreakBefore w:val="0"/>
        <w:kinsoku/>
        <w:wordWrap/>
        <w:overflowPunct/>
        <w:topLinePunct w:val="0"/>
        <w:autoSpaceDN/>
        <w:bidi w:val="0"/>
        <w:snapToGrid/>
        <w:spacing w:line="576" w:lineRule="exact"/>
        <w:ind w:firstLine="640" w:firstLineChars="200"/>
        <w:textAlignment w:val="auto"/>
        <w:rPr>
          <w:rFonts w:hint="default" w:ascii="楷体_GB2312" w:hAnsi="楷体_GB2312" w:eastAsia="楷体_GB2312" w:cs="楷体_GB2312"/>
          <w:b/>
          <w:bCs/>
          <w:kern w:val="2"/>
          <w:sz w:val="32"/>
          <w:szCs w:val="32"/>
          <w:lang w:val="en-US" w:eastAsia="zh-CN" w:bidi="ar"/>
        </w:rPr>
      </w:pPr>
      <w:r>
        <w:rPr>
          <w:rFonts w:hint="eastAsia" w:ascii="黑体" w:hAnsi="黑体" w:eastAsia="黑体" w:cs="黑体"/>
          <w:b w:val="0"/>
          <w:bCs w:val="0"/>
          <w:color w:val="000000"/>
          <w:kern w:val="2"/>
          <w:sz w:val="32"/>
          <w:szCs w:val="32"/>
          <w:lang w:val="en-US" w:eastAsia="zh-CN" w:bidi="ar"/>
        </w:rPr>
        <w:t>3.深化院（所）的交流，大力推进多渠道合作。</w:t>
      </w:r>
      <w:r>
        <w:rPr>
          <w:rFonts w:hint="eastAsia" w:ascii="仿宋_GB2312" w:hAnsi="Calibri" w:eastAsia="仿宋_GB2312" w:cs="仿宋_GB2312"/>
          <w:b w:val="0"/>
          <w:bCs w:val="0"/>
          <w:kern w:val="2"/>
          <w:sz w:val="32"/>
          <w:szCs w:val="32"/>
          <w:lang w:val="en-US" w:eastAsia="zh-CN" w:bidi="ar"/>
        </w:rPr>
        <w:t>一是构建“4+1”院地交流工作机制，组织召开院（所）</w:t>
      </w:r>
      <w:r>
        <w:rPr>
          <w:rFonts w:hint="eastAsia" w:ascii="仿宋_GB2312" w:hAnsi="Calibri" w:cs="仿宋_GB2312"/>
          <w:b w:val="0"/>
          <w:bCs w:val="0"/>
          <w:kern w:val="2"/>
          <w:sz w:val="32"/>
          <w:szCs w:val="32"/>
          <w:lang w:val="en-US" w:eastAsia="zh-CN" w:bidi="ar"/>
        </w:rPr>
        <w:t>的联席会议</w:t>
      </w:r>
      <w:r>
        <w:rPr>
          <w:rFonts w:hint="eastAsia" w:ascii="仿宋_GB2312" w:hAnsi="Calibri" w:eastAsia="仿宋_GB2312" w:cs="仿宋_GB2312"/>
          <w:b w:val="0"/>
          <w:bCs w:val="0"/>
          <w:kern w:val="2"/>
          <w:sz w:val="32"/>
          <w:szCs w:val="32"/>
          <w:lang w:val="en-US" w:eastAsia="zh-CN" w:bidi="ar"/>
        </w:rPr>
        <w:t>8次，解决项目建设、遗留问题、信访维稳等事项等30余件，联合化解国家信访17起，诉讼2起，其余各类问题50余个，促成群众拆迁31户。二是建立院所服务“三张清单”，采取院所提需求、专班专人协调落实的方式，为中物院在剑发展纾困解忧。深入研究化解部分遗留问题。通过多次会商研究，解决原装药项目、PSC-2项目、CJG项目等存在的历史遗留问题，为院所在剑发展减轻负担。</w:t>
      </w:r>
      <w:r>
        <w:rPr>
          <w:rFonts w:hint="eastAsia" w:ascii="仿宋_GB2312" w:hAnsi="Calibri" w:cs="仿宋_GB2312"/>
          <w:b w:val="0"/>
          <w:bCs w:val="0"/>
          <w:kern w:val="2"/>
          <w:sz w:val="32"/>
          <w:szCs w:val="32"/>
          <w:lang w:val="en-US" w:eastAsia="zh-CN" w:bidi="ar"/>
        </w:rPr>
        <w:t>三是</w:t>
      </w:r>
      <w:r>
        <w:rPr>
          <w:rFonts w:hint="eastAsia" w:ascii="仿宋_GB2312" w:hAnsi="Calibri" w:eastAsia="仿宋_GB2312" w:cs="仿宋_GB2312"/>
          <w:b w:val="0"/>
          <w:bCs w:val="0"/>
          <w:kern w:val="2"/>
          <w:sz w:val="32"/>
          <w:szCs w:val="32"/>
          <w:lang w:val="en-US" w:eastAsia="zh-CN" w:bidi="ar"/>
        </w:rPr>
        <w:t>加快军民融合类产业协作发展。积极招引军民融合类</w:t>
      </w:r>
      <w:r>
        <w:rPr>
          <w:rFonts w:hint="eastAsia" w:ascii="仿宋_GB2312" w:hAnsi="仿宋_GB2312" w:eastAsia="仿宋_GB2312" w:cs="仿宋_GB2312"/>
          <w:b w:val="0"/>
          <w:bCs w:val="0"/>
          <w:kern w:val="2"/>
          <w:sz w:val="32"/>
          <w:szCs w:val="32"/>
          <w:lang w:val="en-US" w:eastAsia="zh-CN" w:bidi="ar"/>
        </w:rPr>
        <w:t>、军转民等企业、项目来剑调研2批次。加大剑阁本地农特产品进院所力度，积极将剑阁优质粮油果蔬、剑门土鸡生猪等产品，纳入院所食堂供应主渠道。</w:t>
      </w:r>
    </w:p>
    <w:p>
      <w:pPr>
        <w:pStyle w:val="9"/>
        <w:keepNext w:val="0"/>
        <w:keepLines w:val="0"/>
        <w:pageBreakBefore w:val="0"/>
        <w:kinsoku/>
        <w:wordWrap/>
        <w:overflowPunct/>
        <w:topLinePunct w:val="0"/>
        <w:autoSpaceDN/>
        <w:bidi w:val="0"/>
        <w:snapToGrid/>
        <w:spacing w:line="576" w:lineRule="exact"/>
        <w:ind w:firstLine="640" w:firstLineChars="200"/>
        <w:textAlignment w:val="auto"/>
        <w:rPr>
          <w:rFonts w:ascii="仿宋_GB2312" w:hAnsi="仿宋_GB2312" w:eastAsia="仿宋_GB2312" w:cs="仿宋_GB2312"/>
          <w:kern w:val="0"/>
          <w:sz w:val="32"/>
          <w:szCs w:val="32"/>
          <w:shd w:val="clear" w:color="auto" w:fill="FFFFFF"/>
          <w:lang w:val="zh-CN"/>
        </w:rPr>
      </w:pPr>
      <w:r>
        <w:rPr>
          <w:rFonts w:hint="eastAsia" w:ascii="黑体" w:hAnsi="黑体" w:eastAsia="黑体" w:cs="黑体"/>
          <w:b w:val="0"/>
          <w:bCs w:val="0"/>
          <w:kern w:val="2"/>
          <w:sz w:val="32"/>
          <w:szCs w:val="32"/>
          <w:lang w:val="en-US" w:eastAsia="zh-CN" w:bidi="ar"/>
        </w:rPr>
        <w:t>4.严格周边环境安全管控，提升防间反谍实效。</w:t>
      </w:r>
      <w:r>
        <w:rPr>
          <w:rFonts w:hint="eastAsia" w:ascii="仿宋_GB2312" w:hAnsi="仿宋_GB2312" w:eastAsia="仿宋_GB2312" w:cs="仿宋_GB2312"/>
          <w:b w:val="0"/>
          <w:bCs w:val="0"/>
          <w:sz w:val="32"/>
          <w:szCs w:val="32"/>
          <w:lang w:val="en-US" w:eastAsia="zh-CN"/>
        </w:rPr>
        <w:t>一是严格落实县领导小组工作制度。深化细化“县周办”工作职责，组织召开年度例会，制定年度防间反谍等周边安全保密工作年度任务清单。二是创建乡镇工作领导机构。在开封、东宝、武连等乡镇、村社成立周边安全工作小组，签订年度目标责任书，建立巡逻员机制，将安全保密工作落实到最小单位，同时积极争取工作经费18万元，协调组织院所、县级部门、乡镇开展安全保密培训、宣讲等活动3次。三是多举措做实做细管控工作。加强院所</w:t>
      </w:r>
      <w:r>
        <w:rPr>
          <w:rFonts w:hint="eastAsia" w:ascii="仿宋_GB2312" w:hAnsi="仿宋_GB2312" w:cs="仿宋_GB2312"/>
          <w:b w:val="0"/>
          <w:bCs w:val="0"/>
          <w:sz w:val="32"/>
          <w:szCs w:val="32"/>
          <w:lang w:val="en-US" w:eastAsia="zh-CN"/>
        </w:rPr>
        <w:t>的</w:t>
      </w:r>
      <w:r>
        <w:rPr>
          <w:rFonts w:hint="eastAsia" w:ascii="仿宋_GB2312" w:hAnsi="仿宋_GB2312" w:eastAsia="仿宋_GB2312" w:cs="仿宋_GB2312"/>
          <w:b w:val="0"/>
          <w:bCs w:val="0"/>
          <w:sz w:val="32"/>
          <w:szCs w:val="32"/>
          <w:lang w:val="en-US" w:eastAsia="zh-CN"/>
        </w:rPr>
        <w:t>密切配合，通过日常巡逻、重点排查、有奖举报等多种方式，掌握风险信息，及时组织所区、乡镇开展整治。今年以来，组织召开院地周边安全管控工作会议4次，组织公安、国安、乡镇等部门联合开展排查整治工作6次，累计排查所区周边可疑点位23家宾馆旅店621人次，排查车辆110余辆、无人机飞行记录41次。加强干部保密教育培训，严控军民融合新闻宣传，清理涉及军民融合敏感信息5条，确保了机关单位、所区基地周边环境安全有序。</w:t>
      </w:r>
    </w:p>
    <w:p>
      <w:pPr>
        <w:widowControl/>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（三）结果应用情况。</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rPr>
        <w:t>我</w:t>
      </w:r>
      <w:r>
        <w:rPr>
          <w:rFonts w:hint="eastAsia" w:ascii="仿宋_GB2312" w:hAnsi="仿宋_GB2312" w:eastAsia="仿宋_GB2312" w:cs="仿宋_GB2312"/>
          <w:color w:val="000000"/>
          <w:kern w:val="0"/>
          <w:sz w:val="32"/>
          <w:szCs w:val="32"/>
          <w:shd w:val="clear" w:color="auto" w:fill="FFFFFF"/>
          <w:lang w:eastAsia="zh-CN"/>
        </w:rPr>
        <w:t>办</w:t>
      </w:r>
      <w:r>
        <w:rPr>
          <w:rFonts w:hint="eastAsia" w:ascii="仿宋_GB2312" w:hAnsi="仿宋_GB2312" w:eastAsia="仿宋_GB2312" w:cs="仿宋_GB2312"/>
          <w:color w:val="000000"/>
          <w:kern w:val="0"/>
          <w:sz w:val="32"/>
          <w:szCs w:val="32"/>
          <w:shd w:val="clear" w:color="auto" w:fill="FFFFFF"/>
        </w:rPr>
        <w:t>项目支出股室合理编制绩效目标，积极开展自评，发现问题及时整改。绩效自评工作自开展以来都按照上级安排及时报送及时公开、对评价结果及时整改并运用，自觉接受社会公众的监督，进一步提高财政资金管理透明度</w:t>
      </w:r>
      <w:r>
        <w:rPr>
          <w:rFonts w:hint="eastAsia" w:ascii="仿宋_GB2312" w:hAnsi="仿宋_GB2312" w:eastAsia="仿宋_GB2312" w:cs="仿宋_GB2312"/>
          <w:kern w:val="0"/>
          <w:sz w:val="32"/>
          <w:szCs w:val="32"/>
          <w:shd w:val="clear" w:color="auto" w:fill="FFFFFF"/>
          <w:lang w:val="zh-CN"/>
        </w:rPr>
        <w:t>。</w:t>
      </w:r>
    </w:p>
    <w:p>
      <w:pPr>
        <w:widowControl/>
        <w:numPr>
          <w:ilvl w:val="0"/>
          <w:numId w:val="6"/>
        </w:numPr>
        <w:adjustRightInd w:val="0"/>
        <w:snapToGrid w:val="0"/>
        <w:spacing w:line="560" w:lineRule="exact"/>
        <w:ind w:firstLine="643"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自评质量。</w:t>
      </w:r>
    </w:p>
    <w:p>
      <w:pPr>
        <w:widowControl/>
        <w:adjustRightInd w:val="0"/>
        <w:snapToGrid w:val="0"/>
        <w:spacing w:line="56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我</w:t>
      </w:r>
      <w:r>
        <w:rPr>
          <w:rFonts w:hint="eastAsia" w:ascii="仿宋_GB2312" w:hAnsi="仿宋_GB2312" w:eastAsia="仿宋_GB2312" w:cs="仿宋_GB2312"/>
          <w:kern w:val="0"/>
          <w:sz w:val="32"/>
          <w:szCs w:val="32"/>
          <w:shd w:val="clear" w:color="auto" w:fill="FFFFFF"/>
          <w:lang w:eastAsia="zh-CN"/>
        </w:rPr>
        <w:t>办</w:t>
      </w:r>
      <w:r>
        <w:rPr>
          <w:rFonts w:hint="eastAsia" w:ascii="仿宋_GB2312" w:hAnsi="仿宋_GB2312" w:eastAsia="仿宋_GB2312" w:cs="仿宋_GB2312"/>
          <w:kern w:val="0"/>
          <w:sz w:val="32"/>
          <w:szCs w:val="32"/>
          <w:shd w:val="clear" w:color="auto" w:fill="FFFFFF"/>
        </w:rPr>
        <w:t>认真对照部门整体绩效评价指标体系，对本部门绩效目标管理、动态调整、完成结果、信息公开等方面进行了客观评价，自评得分9</w:t>
      </w:r>
      <w:r>
        <w:rPr>
          <w:rFonts w:hint="eastAsia" w:ascii="仿宋_GB2312" w:hAnsi="仿宋_GB2312" w:eastAsia="仿宋_GB2312" w:cs="仿宋_GB2312"/>
          <w:kern w:val="0"/>
          <w:sz w:val="32"/>
          <w:szCs w:val="32"/>
          <w:shd w:val="clear" w:color="auto" w:fill="FFFFFF"/>
          <w:lang w:val="en-US" w:eastAsia="zh-CN"/>
        </w:rPr>
        <w:t>1分</w:t>
      </w:r>
      <w:r>
        <w:rPr>
          <w:rFonts w:hint="eastAsia" w:ascii="仿宋_GB2312" w:hAnsi="仿宋_GB2312" w:eastAsia="仿宋_GB2312" w:cs="仿宋_GB2312"/>
          <w:kern w:val="0"/>
          <w:sz w:val="32"/>
          <w:szCs w:val="32"/>
          <w:shd w:val="clear" w:color="auto" w:fill="FFFFFF"/>
        </w:rPr>
        <w:t>。</w:t>
      </w:r>
    </w:p>
    <w:p>
      <w:pPr>
        <w:widowControl/>
        <w:adjustRightInd w:val="0"/>
        <w:snapToGrid w:val="0"/>
        <w:spacing w:line="560" w:lineRule="exact"/>
        <w:ind w:firstLine="640" w:firstLineChars="200"/>
        <w:contextualSpacing/>
        <w:jc w:val="left"/>
        <w:outlineLvl w:val="9"/>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四、评价结论及建议</w:t>
      </w:r>
    </w:p>
    <w:p>
      <w:pPr>
        <w:widowControl/>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（一）评价结论。</w:t>
      </w:r>
    </w:p>
    <w:p>
      <w:pPr>
        <w:widowControl/>
        <w:adjustRightInd w:val="0"/>
        <w:snapToGrid w:val="0"/>
        <w:spacing w:line="560" w:lineRule="exact"/>
        <w:ind w:firstLine="640"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仿宋_GB2312" w:hAnsi="仿宋_GB2312" w:eastAsia="仿宋_GB2312"/>
          <w:sz w:val="32"/>
        </w:rPr>
        <w:t>2022 年我</w:t>
      </w:r>
      <w:r>
        <w:rPr>
          <w:rFonts w:hint="eastAsia" w:ascii="仿宋_GB2312" w:hAnsi="仿宋_GB2312" w:eastAsia="仿宋_GB2312"/>
          <w:sz w:val="32"/>
          <w:lang w:eastAsia="zh-CN"/>
        </w:rPr>
        <w:t>办</w:t>
      </w:r>
      <w:r>
        <w:rPr>
          <w:rFonts w:hint="eastAsia" w:ascii="仿宋_GB2312" w:hAnsi="仿宋_GB2312" w:eastAsia="仿宋_GB2312"/>
          <w:sz w:val="32"/>
        </w:rPr>
        <w:t>部门整体支出绩效自查自评结果良好，全年基本支出保证了部门的正常运转，项目支出保障了重点工作的开展</w:t>
      </w:r>
    </w:p>
    <w:p>
      <w:pPr>
        <w:widowControl/>
        <w:numPr>
          <w:ilvl w:val="0"/>
          <w:numId w:val="7"/>
        </w:numPr>
        <w:adjustRightInd w:val="0"/>
        <w:snapToGrid w:val="0"/>
        <w:spacing w:line="560" w:lineRule="exact"/>
        <w:ind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存在问题。</w:t>
      </w:r>
    </w:p>
    <w:p>
      <w:pPr>
        <w:widowControl/>
        <w:numPr>
          <w:ilvl w:val="0"/>
          <w:numId w:val="0"/>
        </w:numPr>
        <w:adjustRightInd w:val="0"/>
        <w:snapToGrid w:val="0"/>
        <w:spacing w:line="560" w:lineRule="exact"/>
        <w:contextualSpacing/>
        <w:jc w:val="left"/>
        <w:rPr>
          <w:rFonts w:hint="eastAsia" w:ascii="仿宋_GB2312" w:hAnsi="仿宋_GB2312" w:eastAsia="仿宋_GB2312" w:cs="Times New Roman"/>
          <w:sz w:val="32"/>
          <w:lang w:val="en-US" w:eastAsia="zh-CN"/>
        </w:rPr>
      </w:pPr>
      <w:r>
        <w:rPr>
          <w:rFonts w:hint="eastAsia" w:ascii="楷体_GB2312" w:hAnsi="楷体_GB2312" w:eastAsia="楷体_GB2312" w:cs="楷体_GB2312"/>
          <w:b/>
          <w:bCs/>
          <w:kern w:val="0"/>
          <w:sz w:val="32"/>
          <w:szCs w:val="32"/>
          <w:shd w:val="clear" w:color="auto" w:fill="FFFFFF"/>
          <w:lang w:val="en-US" w:eastAsia="zh-CN"/>
        </w:rPr>
        <w:t xml:space="preserve">    </w:t>
      </w:r>
      <w:r>
        <w:rPr>
          <w:rFonts w:hint="eastAsia" w:ascii="仿宋_GB2312" w:hAnsi="仿宋_GB2312" w:eastAsia="仿宋_GB2312" w:cs="Times New Roman"/>
          <w:sz w:val="32"/>
        </w:rPr>
        <w:t>一是预算项目绩效目标编制精准度不够高</w:t>
      </w:r>
      <w:r>
        <w:rPr>
          <w:rFonts w:hint="eastAsia" w:ascii="仿宋_GB2312" w:hAnsi="仿宋_GB2312" w:eastAsia="仿宋_GB2312" w:cs="Times New Roman"/>
          <w:sz w:val="32"/>
          <w:lang w:eastAsia="zh-CN"/>
        </w:rPr>
        <w:t>；</w:t>
      </w:r>
      <w:r>
        <w:rPr>
          <w:rFonts w:hint="eastAsia" w:ascii="仿宋_GB2312" w:hAnsi="仿宋_GB2312" w:eastAsia="仿宋_GB2312" w:cs="Times New Roman"/>
          <w:sz w:val="32"/>
        </w:rPr>
        <w:t>二是绩效理念还未彻底形成，绩效管理意识不强，绩效激励约束作用还不强</w:t>
      </w:r>
      <w:r>
        <w:rPr>
          <w:rFonts w:hint="eastAsia" w:ascii="仿宋_GB2312" w:hAnsi="仿宋_GB2312" w:eastAsia="仿宋_GB2312" w:cs="Times New Roman"/>
          <w:sz w:val="32"/>
          <w:lang w:eastAsia="zh-CN"/>
        </w:rPr>
        <w:t>；三是预算执行进度有待提升。</w:t>
      </w:r>
    </w:p>
    <w:p>
      <w:pPr>
        <w:widowControl/>
        <w:numPr>
          <w:ilvl w:val="0"/>
          <w:numId w:val="7"/>
        </w:numPr>
        <w:adjustRightInd w:val="0"/>
        <w:snapToGrid w:val="0"/>
        <w:spacing w:line="560" w:lineRule="exact"/>
        <w:ind w:left="0" w:leftChars="0" w:firstLine="643" w:firstLineChars="200"/>
        <w:contextualSpacing/>
        <w:jc w:val="left"/>
        <w:rPr>
          <w:rFonts w:hint="eastAsia" w:ascii="楷体_GB2312" w:hAnsi="楷体_GB2312" w:eastAsia="楷体_GB2312" w:cs="楷体_GB2312"/>
          <w:b/>
          <w:bCs/>
          <w:kern w:val="0"/>
          <w:sz w:val="32"/>
          <w:szCs w:val="32"/>
          <w:shd w:val="clear" w:color="auto" w:fill="FFFFFF"/>
          <w:lang w:val="zh-CN"/>
        </w:rPr>
      </w:pPr>
      <w:r>
        <w:rPr>
          <w:rFonts w:hint="eastAsia" w:ascii="楷体_GB2312" w:hAnsi="楷体_GB2312" w:eastAsia="楷体_GB2312" w:cs="楷体_GB2312"/>
          <w:b/>
          <w:bCs/>
          <w:kern w:val="0"/>
          <w:sz w:val="32"/>
          <w:szCs w:val="32"/>
          <w:shd w:val="clear" w:color="auto" w:fill="FFFFFF"/>
          <w:lang w:val="zh-CN"/>
        </w:rPr>
        <w:t>改进建议。</w:t>
      </w:r>
    </w:p>
    <w:p>
      <w:pPr>
        <w:widowControl/>
        <w:numPr>
          <w:ilvl w:val="0"/>
          <w:numId w:val="0"/>
        </w:numPr>
        <w:adjustRightInd w:val="0"/>
        <w:snapToGrid w:val="0"/>
        <w:spacing w:line="560" w:lineRule="exact"/>
        <w:ind w:firstLine="640" w:firstLineChars="200"/>
        <w:contextualSpacing/>
        <w:jc w:val="left"/>
        <w:rPr>
          <w:rFonts w:hint="eastAsia" w:ascii="楷体_GB2312" w:hAnsi="楷体_GB2312" w:eastAsia="楷体_GB2312" w:cs="楷体_GB2312"/>
          <w:b/>
          <w:bCs/>
          <w:kern w:val="0"/>
          <w:sz w:val="32"/>
          <w:szCs w:val="32"/>
          <w:shd w:val="clear" w:color="auto" w:fill="FFFFFF"/>
          <w:lang w:val="en-US" w:eastAsia="zh-CN"/>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eastAsia="zh-CN"/>
        </w:rPr>
        <w:t>办</w:t>
      </w:r>
      <w:r>
        <w:rPr>
          <w:rFonts w:hint="eastAsia" w:ascii="仿宋_GB2312" w:hAnsi="仿宋_GB2312" w:eastAsia="仿宋_GB2312" w:cs="仿宋_GB2312"/>
          <w:sz w:val="32"/>
          <w:szCs w:val="32"/>
        </w:rPr>
        <w:t>在编制预算与执行中，将进一步重视预</w:t>
      </w:r>
      <w:r>
        <w:rPr>
          <w:rFonts w:hint="eastAsia" w:ascii="仿宋_GB2312" w:hAnsi="仿宋_GB2312" w:eastAsia="仿宋_GB2312" w:cs="仿宋_GB2312"/>
          <w:spacing w:val="-6"/>
          <w:sz w:val="32"/>
          <w:szCs w:val="32"/>
        </w:rPr>
        <w:t>算的编制工作，提高预算编制的精确度，提高财政资金使用效率，尽量减少预算执行调整，把有限的经费做到科学、合理</w:t>
      </w:r>
      <w:r>
        <w:rPr>
          <w:rFonts w:hint="eastAsia" w:ascii="仿宋_GB2312" w:hAnsi="仿宋_GB2312" w:eastAsia="仿宋_GB2312" w:cs="仿宋_GB2312"/>
          <w:spacing w:val="-6"/>
          <w:sz w:val="32"/>
          <w:szCs w:val="32"/>
          <w:lang w:eastAsia="zh-CN"/>
        </w:rPr>
        <w:t>地</w:t>
      </w:r>
      <w:r>
        <w:rPr>
          <w:rFonts w:hint="eastAsia" w:ascii="仿宋_GB2312" w:hAnsi="仿宋_GB2312" w:eastAsia="仿宋_GB2312" w:cs="仿宋_GB2312"/>
          <w:spacing w:val="-6"/>
          <w:sz w:val="32"/>
          <w:szCs w:val="32"/>
        </w:rPr>
        <w:t>分配。</w:t>
      </w: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rFonts w:hint="eastAsia" w:hAnsi="仿宋_GB2312" w:eastAsia="仿宋_GB2312" w:cs="仿宋_GB2312"/>
          <w:sz w:val="32"/>
          <w:lang w:val="zh-CN"/>
        </w:rPr>
      </w:pPr>
    </w:p>
    <w:p>
      <w:pPr>
        <w:pStyle w:val="16"/>
        <w:spacing w:line="560" w:lineRule="exact"/>
        <w:ind w:left="0" w:leftChars="0" w:firstLine="0" w:firstLineChars="0"/>
        <w:rPr>
          <w:sz w:val="32"/>
          <w:lang w:val="zh-CN"/>
        </w:rPr>
      </w:pPr>
    </w:p>
    <w:p>
      <w:pPr>
        <w:spacing w:line="600" w:lineRule="exact"/>
        <w:jc w:val="center"/>
        <w:outlineLvl w:val="0"/>
        <w:rPr>
          <w:rFonts w:ascii="仿宋" w:hAnsi="仿宋" w:eastAsia="仿宋"/>
        </w:rPr>
      </w:pPr>
      <w:bookmarkStart w:id="67" w:name="_Toc31680"/>
      <w:bookmarkStart w:id="68" w:name="_Toc15396618"/>
      <w:r>
        <w:rPr>
          <w:rFonts w:hint="eastAsia" w:ascii="黑体" w:hAnsi="黑体" w:eastAsia="黑体"/>
          <w:sz w:val="44"/>
          <w:szCs w:val="44"/>
        </w:rPr>
        <w:t>第</w:t>
      </w:r>
      <w:r>
        <w:rPr>
          <w:rStyle w:val="30"/>
          <w:rFonts w:hint="eastAsia" w:ascii="黑体" w:hAnsi="黑体" w:eastAsia="黑体"/>
          <w:b w:val="0"/>
        </w:rPr>
        <w:t>五部分 附表</w:t>
      </w:r>
      <w:bookmarkEnd w:id="64"/>
      <w:bookmarkEnd w:id="67"/>
      <w:bookmarkEnd w:id="68"/>
      <w:bookmarkStart w:id="69" w:name="_Toc15396619"/>
    </w:p>
    <w:p>
      <w:pPr>
        <w:pStyle w:val="3"/>
        <w:rPr>
          <w:rFonts w:ascii="仿宋" w:hAnsi="仿宋" w:eastAsia="仿宋"/>
        </w:rPr>
      </w:pPr>
      <w:bookmarkStart w:id="70" w:name="_Toc4164"/>
      <w:r>
        <w:rPr>
          <w:rFonts w:hint="eastAsia" w:ascii="仿宋" w:hAnsi="仿宋" w:eastAsia="仿宋"/>
          <w:b w:val="0"/>
        </w:rPr>
        <w:t>一、收</w:t>
      </w:r>
      <w:r>
        <w:rPr>
          <w:rStyle w:val="31"/>
          <w:rFonts w:hint="eastAsia" w:ascii="仿宋" w:hAnsi="仿宋" w:eastAsia="仿宋"/>
          <w:b w:val="0"/>
          <w:bCs w:val="0"/>
        </w:rPr>
        <w:t>入支出决算总表</w:t>
      </w:r>
      <w:bookmarkEnd w:id="69"/>
      <w:bookmarkEnd w:id="70"/>
    </w:p>
    <w:p>
      <w:pPr>
        <w:pStyle w:val="3"/>
        <w:rPr>
          <w:rFonts w:ascii="仿宋" w:hAnsi="仿宋" w:eastAsia="仿宋"/>
        </w:rPr>
      </w:pPr>
      <w:bookmarkStart w:id="71" w:name="_Toc15396620"/>
      <w:bookmarkStart w:id="72" w:name="_Toc781"/>
      <w:r>
        <w:rPr>
          <w:rFonts w:hint="eastAsia" w:ascii="仿宋" w:hAnsi="仿宋" w:eastAsia="仿宋"/>
          <w:b w:val="0"/>
        </w:rPr>
        <w:t>二、收</w:t>
      </w:r>
      <w:r>
        <w:rPr>
          <w:rStyle w:val="31"/>
          <w:rFonts w:hint="eastAsia" w:ascii="仿宋" w:hAnsi="仿宋" w:eastAsia="仿宋"/>
          <w:b w:val="0"/>
          <w:bCs w:val="0"/>
        </w:rPr>
        <w:t>入决算表</w:t>
      </w:r>
      <w:bookmarkEnd w:id="71"/>
      <w:bookmarkEnd w:id="72"/>
    </w:p>
    <w:p>
      <w:pPr>
        <w:pStyle w:val="3"/>
        <w:rPr>
          <w:rFonts w:ascii="仿宋" w:hAnsi="仿宋" w:eastAsia="仿宋"/>
        </w:rPr>
      </w:pPr>
      <w:bookmarkStart w:id="73" w:name="_Toc15396621"/>
      <w:bookmarkStart w:id="74" w:name="_Toc1638"/>
      <w:r>
        <w:rPr>
          <w:rStyle w:val="31"/>
          <w:rFonts w:hint="eastAsia" w:ascii="仿宋" w:hAnsi="仿宋" w:eastAsia="仿宋"/>
          <w:b w:val="0"/>
          <w:bCs w:val="0"/>
        </w:rPr>
        <w:t>三、</w:t>
      </w:r>
      <w:r>
        <w:rPr>
          <w:rFonts w:hint="eastAsia" w:ascii="仿宋" w:hAnsi="仿宋" w:eastAsia="仿宋"/>
          <w:b w:val="0"/>
        </w:rPr>
        <w:t>支</w:t>
      </w:r>
      <w:r>
        <w:rPr>
          <w:rStyle w:val="31"/>
          <w:rFonts w:hint="eastAsia" w:ascii="仿宋" w:hAnsi="仿宋" w:eastAsia="仿宋"/>
          <w:b w:val="0"/>
          <w:bCs w:val="0"/>
        </w:rPr>
        <w:t>出决算表</w:t>
      </w:r>
      <w:bookmarkEnd w:id="73"/>
      <w:bookmarkEnd w:id="74"/>
    </w:p>
    <w:p>
      <w:pPr>
        <w:pStyle w:val="3"/>
        <w:rPr>
          <w:rFonts w:ascii="仿宋" w:hAnsi="仿宋" w:eastAsia="仿宋"/>
          <w:b w:val="0"/>
        </w:rPr>
      </w:pPr>
      <w:bookmarkStart w:id="75" w:name="_Toc15396622"/>
      <w:bookmarkStart w:id="76" w:name="_Toc25386"/>
      <w:r>
        <w:rPr>
          <w:rStyle w:val="31"/>
          <w:rFonts w:hint="eastAsia" w:ascii="仿宋" w:hAnsi="仿宋" w:eastAsia="仿宋"/>
          <w:b w:val="0"/>
          <w:bCs w:val="0"/>
        </w:rPr>
        <w:t>四、</w:t>
      </w:r>
      <w:r>
        <w:rPr>
          <w:rFonts w:hint="eastAsia" w:ascii="仿宋" w:hAnsi="仿宋" w:eastAsia="仿宋"/>
          <w:b w:val="0"/>
        </w:rPr>
        <w:t>财</w:t>
      </w:r>
      <w:r>
        <w:rPr>
          <w:rStyle w:val="31"/>
          <w:rFonts w:hint="eastAsia" w:ascii="仿宋" w:hAnsi="仿宋" w:eastAsia="仿宋"/>
          <w:b w:val="0"/>
          <w:bCs w:val="0"/>
        </w:rPr>
        <w:t>政拨款收入支出决算总表</w:t>
      </w:r>
      <w:bookmarkEnd w:id="75"/>
      <w:bookmarkEnd w:id="76"/>
    </w:p>
    <w:p>
      <w:pPr>
        <w:pStyle w:val="3"/>
        <w:rPr>
          <w:rStyle w:val="31"/>
          <w:rFonts w:ascii="仿宋" w:hAnsi="仿宋" w:eastAsia="仿宋"/>
          <w:b w:val="0"/>
          <w:bCs w:val="0"/>
        </w:rPr>
      </w:pPr>
      <w:bookmarkStart w:id="77" w:name="_Toc15396623"/>
      <w:bookmarkStart w:id="78" w:name="_Toc27298"/>
      <w:r>
        <w:rPr>
          <w:rStyle w:val="31"/>
          <w:rFonts w:hint="eastAsia" w:ascii="仿宋" w:hAnsi="仿宋" w:eastAsia="仿宋"/>
          <w:b w:val="0"/>
          <w:bCs w:val="0"/>
        </w:rPr>
        <w:t>五、</w:t>
      </w:r>
      <w:r>
        <w:rPr>
          <w:rFonts w:hint="eastAsia" w:ascii="仿宋" w:hAnsi="仿宋" w:eastAsia="仿宋"/>
          <w:b w:val="0"/>
        </w:rPr>
        <w:t>财</w:t>
      </w:r>
      <w:r>
        <w:rPr>
          <w:rStyle w:val="31"/>
          <w:rFonts w:hint="eastAsia" w:ascii="仿宋" w:hAnsi="仿宋" w:eastAsia="仿宋"/>
          <w:b w:val="0"/>
          <w:bCs w:val="0"/>
        </w:rPr>
        <w:t>政拨款支出决算明细表</w:t>
      </w:r>
      <w:bookmarkEnd w:id="77"/>
      <w:bookmarkEnd w:id="78"/>
      <w:bookmarkStart w:id="79" w:name="_Toc15396624"/>
    </w:p>
    <w:p>
      <w:pPr>
        <w:pStyle w:val="3"/>
        <w:rPr>
          <w:rFonts w:ascii="仿宋" w:hAnsi="仿宋" w:eastAsia="仿宋"/>
        </w:rPr>
      </w:pPr>
      <w:bookmarkStart w:id="80" w:name="_Toc17504"/>
      <w:r>
        <w:rPr>
          <w:rStyle w:val="31"/>
          <w:rFonts w:hint="eastAsia" w:ascii="仿宋" w:hAnsi="仿宋" w:eastAsia="仿宋"/>
          <w:b w:val="0"/>
          <w:bCs w:val="0"/>
        </w:rPr>
        <w:t>六、</w:t>
      </w:r>
      <w:r>
        <w:rPr>
          <w:rFonts w:hint="eastAsia" w:ascii="仿宋" w:hAnsi="仿宋" w:eastAsia="仿宋"/>
          <w:b w:val="0"/>
        </w:rPr>
        <w:t>一</w:t>
      </w:r>
      <w:r>
        <w:rPr>
          <w:rStyle w:val="31"/>
          <w:rFonts w:hint="eastAsia" w:ascii="仿宋" w:hAnsi="仿宋" w:eastAsia="仿宋"/>
          <w:b w:val="0"/>
          <w:bCs w:val="0"/>
        </w:rPr>
        <w:t>般公共预算财政拨款支出决算表</w:t>
      </w:r>
      <w:bookmarkEnd w:id="79"/>
      <w:bookmarkEnd w:id="80"/>
    </w:p>
    <w:p>
      <w:pPr>
        <w:pStyle w:val="3"/>
        <w:rPr>
          <w:rFonts w:ascii="仿宋" w:hAnsi="仿宋" w:eastAsia="仿宋"/>
        </w:rPr>
      </w:pPr>
      <w:bookmarkStart w:id="81" w:name="_Toc15396625"/>
      <w:bookmarkStart w:id="82" w:name="_Toc19045"/>
      <w:r>
        <w:rPr>
          <w:rStyle w:val="31"/>
          <w:rFonts w:hint="eastAsia" w:ascii="仿宋" w:hAnsi="仿宋" w:eastAsia="仿宋"/>
          <w:b w:val="0"/>
          <w:bCs w:val="0"/>
        </w:rPr>
        <w:t>七、</w:t>
      </w:r>
      <w:r>
        <w:rPr>
          <w:rFonts w:hint="eastAsia" w:ascii="仿宋" w:hAnsi="仿宋" w:eastAsia="仿宋"/>
          <w:b w:val="0"/>
        </w:rPr>
        <w:t>一</w:t>
      </w:r>
      <w:r>
        <w:rPr>
          <w:rStyle w:val="31"/>
          <w:rFonts w:hint="eastAsia" w:ascii="仿宋" w:hAnsi="仿宋" w:eastAsia="仿宋"/>
          <w:b w:val="0"/>
          <w:bCs w:val="0"/>
        </w:rPr>
        <w:t>般公共预算财政拨款支出决算明细表</w:t>
      </w:r>
      <w:bookmarkEnd w:id="81"/>
      <w:bookmarkEnd w:id="82"/>
    </w:p>
    <w:p>
      <w:pPr>
        <w:pStyle w:val="3"/>
        <w:rPr>
          <w:rFonts w:ascii="仿宋" w:hAnsi="仿宋" w:eastAsia="仿宋"/>
        </w:rPr>
      </w:pPr>
      <w:bookmarkStart w:id="83" w:name="_Toc15396626"/>
      <w:bookmarkStart w:id="84" w:name="_Toc4997"/>
      <w:r>
        <w:rPr>
          <w:rStyle w:val="31"/>
          <w:rFonts w:hint="eastAsia" w:ascii="仿宋" w:hAnsi="仿宋" w:eastAsia="仿宋"/>
          <w:b w:val="0"/>
          <w:bCs w:val="0"/>
        </w:rPr>
        <w:t>八、</w:t>
      </w:r>
      <w:r>
        <w:rPr>
          <w:rFonts w:hint="eastAsia" w:ascii="仿宋" w:hAnsi="仿宋" w:eastAsia="仿宋"/>
          <w:b w:val="0"/>
        </w:rPr>
        <w:t>一</w:t>
      </w:r>
      <w:r>
        <w:rPr>
          <w:rStyle w:val="31"/>
          <w:rFonts w:hint="eastAsia" w:ascii="仿宋" w:hAnsi="仿宋" w:eastAsia="仿宋"/>
          <w:b w:val="0"/>
          <w:bCs w:val="0"/>
        </w:rPr>
        <w:t>般公共预算财政拨款基本支出决算表</w:t>
      </w:r>
      <w:bookmarkEnd w:id="83"/>
      <w:bookmarkEnd w:id="84"/>
    </w:p>
    <w:p>
      <w:pPr>
        <w:pStyle w:val="3"/>
        <w:rPr>
          <w:rFonts w:ascii="仿宋" w:hAnsi="仿宋" w:eastAsia="仿宋"/>
        </w:rPr>
      </w:pPr>
      <w:bookmarkStart w:id="85" w:name="_Toc10187"/>
      <w:bookmarkStart w:id="86" w:name="_Toc15396627"/>
      <w:r>
        <w:rPr>
          <w:rStyle w:val="31"/>
          <w:rFonts w:hint="eastAsia" w:ascii="仿宋" w:hAnsi="仿宋" w:eastAsia="仿宋"/>
          <w:b w:val="0"/>
          <w:bCs w:val="0"/>
        </w:rPr>
        <w:t>九、</w:t>
      </w:r>
      <w:r>
        <w:rPr>
          <w:rFonts w:hint="eastAsia" w:ascii="仿宋" w:hAnsi="仿宋" w:eastAsia="仿宋"/>
          <w:b w:val="0"/>
        </w:rPr>
        <w:t>一</w:t>
      </w:r>
      <w:r>
        <w:rPr>
          <w:rStyle w:val="31"/>
          <w:rFonts w:hint="eastAsia" w:ascii="仿宋" w:hAnsi="仿宋" w:eastAsia="仿宋"/>
          <w:b w:val="0"/>
          <w:bCs w:val="0"/>
        </w:rPr>
        <w:t>般公共预算财政拨款项目支出决算表</w:t>
      </w:r>
      <w:bookmarkEnd w:id="85"/>
      <w:bookmarkEnd w:id="86"/>
    </w:p>
    <w:p>
      <w:pPr>
        <w:pStyle w:val="3"/>
        <w:rPr>
          <w:rFonts w:ascii="仿宋" w:hAnsi="仿宋" w:eastAsia="仿宋"/>
        </w:rPr>
      </w:pPr>
      <w:bookmarkStart w:id="87" w:name="_Toc15396628"/>
      <w:bookmarkStart w:id="88" w:name="_Toc22652"/>
      <w:r>
        <w:rPr>
          <w:rStyle w:val="31"/>
          <w:rFonts w:hint="eastAsia" w:ascii="仿宋" w:hAnsi="仿宋" w:eastAsia="仿宋"/>
          <w:b w:val="0"/>
          <w:bCs w:val="0"/>
        </w:rPr>
        <w:t>十、</w:t>
      </w:r>
      <w:bookmarkEnd w:id="87"/>
      <w:r>
        <w:rPr>
          <w:rFonts w:hint="eastAsia" w:ascii="仿宋" w:hAnsi="仿宋" w:eastAsia="仿宋"/>
          <w:b w:val="0"/>
        </w:rPr>
        <w:t>政</w:t>
      </w:r>
      <w:r>
        <w:rPr>
          <w:rStyle w:val="31"/>
          <w:rFonts w:hint="eastAsia" w:ascii="仿宋" w:hAnsi="仿宋" w:eastAsia="仿宋"/>
          <w:b w:val="0"/>
          <w:bCs w:val="0"/>
        </w:rPr>
        <w:t>府性基金预算财政拨款收入支出决算表</w:t>
      </w:r>
      <w:bookmarkEnd w:id="88"/>
    </w:p>
    <w:p>
      <w:pPr>
        <w:pStyle w:val="3"/>
        <w:rPr>
          <w:rFonts w:ascii="仿宋" w:hAnsi="仿宋" w:eastAsia="仿宋"/>
        </w:rPr>
      </w:pPr>
      <w:bookmarkStart w:id="89" w:name="_Toc15396629"/>
      <w:bookmarkStart w:id="90" w:name="_Toc2191"/>
      <w:r>
        <w:rPr>
          <w:rStyle w:val="31"/>
          <w:rFonts w:hint="eastAsia" w:ascii="仿宋" w:hAnsi="仿宋" w:eastAsia="仿宋"/>
          <w:b w:val="0"/>
          <w:bCs w:val="0"/>
        </w:rPr>
        <w:t>十一、</w:t>
      </w:r>
      <w:bookmarkEnd w:id="89"/>
      <w:r>
        <w:rPr>
          <w:rFonts w:hint="eastAsia" w:ascii="仿宋" w:hAnsi="仿宋" w:eastAsia="仿宋"/>
          <w:b w:val="0"/>
        </w:rPr>
        <w:t>国</w:t>
      </w:r>
      <w:r>
        <w:rPr>
          <w:rStyle w:val="31"/>
          <w:rFonts w:hint="eastAsia" w:ascii="仿宋" w:hAnsi="仿宋" w:eastAsia="仿宋"/>
          <w:b w:val="0"/>
          <w:bCs w:val="0"/>
        </w:rPr>
        <w:t>有资本经营预算财政拨款收入支出决算表</w:t>
      </w:r>
      <w:bookmarkEnd w:id="90"/>
    </w:p>
    <w:p>
      <w:pPr>
        <w:pStyle w:val="3"/>
        <w:rPr>
          <w:rFonts w:ascii="仿宋" w:hAnsi="仿宋" w:eastAsia="仿宋"/>
        </w:rPr>
      </w:pPr>
      <w:bookmarkStart w:id="91" w:name="_Toc15396630"/>
      <w:bookmarkStart w:id="92" w:name="_Toc20945"/>
      <w:r>
        <w:rPr>
          <w:rStyle w:val="31"/>
          <w:rFonts w:hint="eastAsia" w:ascii="仿宋" w:hAnsi="仿宋" w:eastAsia="仿宋"/>
          <w:b w:val="0"/>
          <w:bCs w:val="0"/>
        </w:rPr>
        <w:t>十二、</w:t>
      </w:r>
      <w:bookmarkEnd w:id="91"/>
      <w:r>
        <w:rPr>
          <w:rStyle w:val="31"/>
          <w:rFonts w:hint="eastAsia" w:ascii="仿宋" w:hAnsi="仿宋" w:eastAsia="仿宋"/>
          <w:b w:val="0"/>
          <w:bCs w:val="0"/>
        </w:rPr>
        <w:t>国有资本经营预算财政拨款支出决算表</w:t>
      </w:r>
      <w:bookmarkEnd w:id="92"/>
    </w:p>
    <w:p>
      <w:pPr>
        <w:pStyle w:val="3"/>
        <w:rPr>
          <w:rFonts w:eastAsia="仿宋"/>
        </w:rPr>
      </w:pPr>
      <w:bookmarkStart w:id="93" w:name="_Toc15396631"/>
      <w:bookmarkStart w:id="94" w:name="_Toc18891"/>
      <w:r>
        <w:rPr>
          <w:rStyle w:val="31"/>
          <w:rFonts w:hint="eastAsia" w:ascii="仿宋" w:hAnsi="仿宋" w:eastAsia="仿宋"/>
          <w:b w:val="0"/>
          <w:bCs w:val="0"/>
        </w:rPr>
        <w:t>十三、</w:t>
      </w:r>
      <w:bookmarkEnd w:id="93"/>
      <w:r>
        <w:rPr>
          <w:rStyle w:val="31"/>
          <w:rFonts w:hint="eastAsia" w:ascii="仿宋" w:hAnsi="仿宋" w:eastAsia="仿宋"/>
          <w:b w:val="0"/>
          <w:bCs w:val="0"/>
        </w:rPr>
        <w:t>财政拨款“三公”经费支出决算表</w:t>
      </w:r>
      <w:bookmarkEnd w:id="94"/>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5CA38A-8A70-4917-A9AE-944FFFCCB0A2}"/>
  </w:font>
  <w:font w:name="Courier New">
    <w:panose1 w:val="02070309020205020404"/>
    <w:charset w:val="01"/>
    <w:family w:val="modern"/>
    <w:pitch w:val="default"/>
    <w:sig w:usb0="E0002EFF" w:usb1="C0007843" w:usb2="00000009" w:usb3="00000000" w:csb0="400001FF" w:csb1="FFFF0000"/>
    <w:embedRegular r:id="rId2" w:fontKey="{12F7E5D7-3EAA-4D0C-8C5A-81F261EFE2E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CC3816A-FD70-49B2-AE69-9834564E032C}"/>
  </w:font>
  <w:font w:name="Cambria">
    <w:panose1 w:val="02040503050406030204"/>
    <w:charset w:val="00"/>
    <w:family w:val="roman"/>
    <w:pitch w:val="default"/>
    <w:sig w:usb0="E00006FF" w:usb1="420024FF" w:usb2="02000000" w:usb3="00000000" w:csb0="2000019F" w:csb1="00000000"/>
    <w:embedRegular r:id="rId4" w:fontKey="{FC9C4BF7-CC6D-4E93-AC6B-72A310C46C37}"/>
  </w:font>
  <w:font w:name="仿宋_GB2312">
    <w:panose1 w:val="02010609030101010101"/>
    <w:charset w:val="86"/>
    <w:family w:val="modern"/>
    <w:pitch w:val="default"/>
    <w:sig w:usb0="00000001" w:usb1="080E0000" w:usb2="00000000" w:usb3="00000000" w:csb0="00040000" w:csb1="00000000"/>
    <w:embedRegular r:id="rId5" w:fontKey="{867C0659-5D41-4CDE-91A9-5B64160A6A1E}"/>
  </w:font>
  <w:font w:name="仿宋">
    <w:panose1 w:val="02010609060101010101"/>
    <w:charset w:val="86"/>
    <w:family w:val="modern"/>
    <w:pitch w:val="default"/>
    <w:sig w:usb0="800002BF" w:usb1="38CF7CFA" w:usb2="00000016" w:usb3="00000000" w:csb0="00040001" w:csb1="00000000"/>
    <w:embedRegular r:id="rId6" w:fontKey="{746D7F14-3D90-4701-A87A-BC0718D8DC1F}"/>
  </w:font>
  <w:font w:nam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embedRegular r:id="rId7" w:fontKey="{BF60A87F-AF0E-462A-AE82-E59F253FA101}"/>
  </w:font>
  <w:font w:name="方正小标宋简体">
    <w:panose1 w:val="02000000000000000000"/>
    <w:charset w:val="86"/>
    <w:family w:val="auto"/>
    <w:pitch w:val="default"/>
    <w:sig w:usb0="00000001" w:usb1="08000000" w:usb2="00000000" w:usb3="00000000" w:csb0="00040000" w:csb1="00000000"/>
    <w:embedRegular r:id="rId8" w:fontKey="{9FBF7953-00E1-4A35-AEBF-085646279AFC}"/>
  </w:font>
  <w:font w:name="楷体">
    <w:panose1 w:val="02010609060101010101"/>
    <w:charset w:val="86"/>
    <w:family w:val="auto"/>
    <w:pitch w:val="default"/>
    <w:sig w:usb0="800002BF" w:usb1="38CF7CFA" w:usb2="00000016" w:usb3="00000000" w:csb0="00040001" w:csb1="00000000"/>
    <w:embedRegular r:id="rId9" w:fontKey="{5C2B8203-487E-4D22-98F3-B923D1583256}"/>
  </w:font>
  <w:font w:name="微软雅黑">
    <w:panose1 w:val="020B0503020204020204"/>
    <w:charset w:val="86"/>
    <w:family w:val="auto"/>
    <w:pitch w:val="default"/>
    <w:sig w:usb0="80000287" w:usb1="2ACF3C50" w:usb2="00000016" w:usb3="00000000" w:csb0="0004001F" w:csb1="00000000"/>
    <w:embedRegular r:id="rId10" w:fontKey="{71D8406F-02B5-48D8-977A-7A6FE4AACF70}"/>
  </w:font>
  <w:font w:name="楷体_GB2312">
    <w:panose1 w:val="02010609030101010101"/>
    <w:charset w:val="86"/>
    <w:family w:val="auto"/>
    <w:pitch w:val="default"/>
    <w:sig w:usb0="00000001" w:usb1="080E0000" w:usb2="00000000" w:usb3="00000000" w:csb0="00040000" w:csb1="00000000"/>
    <w:embedRegular r:id="rId11" w:fontKey="{EABE113B-E652-4721-93E0-2347F4B52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40C467"/>
    <w:multiLevelType w:val="singleLevel"/>
    <w:tmpl w:val="C340C467"/>
    <w:lvl w:ilvl="0" w:tentative="0">
      <w:start w:val="1"/>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EBEF323"/>
    <w:multiLevelType w:val="singleLevel"/>
    <w:tmpl w:val="DEBEF323"/>
    <w:lvl w:ilvl="0" w:tentative="0">
      <w:start w:val="4"/>
      <w:numFmt w:val="chineseCounting"/>
      <w:suff w:val="nothing"/>
      <w:lvlText w:val="（%1）"/>
      <w:lvlJc w:val="left"/>
      <w:rPr>
        <w:rFonts w:hint="eastAsia"/>
      </w:rPr>
    </w:lvl>
  </w:abstractNum>
  <w:abstractNum w:abstractNumId="3">
    <w:nsid w:val="E2FA047D"/>
    <w:multiLevelType w:val="singleLevel"/>
    <w:tmpl w:val="E2FA047D"/>
    <w:lvl w:ilvl="0" w:tentative="0">
      <w:start w:val="3"/>
      <w:numFmt w:val="chineseCounting"/>
      <w:suff w:val="space"/>
      <w:lvlText w:val="第%1部分"/>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4C55FCC1"/>
    <w:multiLevelType w:val="singleLevel"/>
    <w:tmpl w:val="4C55FCC1"/>
    <w:lvl w:ilvl="0" w:tentative="0">
      <w:start w:val="2"/>
      <w:numFmt w:val="chineseCounting"/>
      <w:suff w:val="nothing"/>
      <w:lvlText w:val="（%1）"/>
      <w:lvlJc w:val="left"/>
      <w:rPr>
        <w:rFonts w:hint="eastAsia"/>
      </w:rPr>
    </w:lvl>
  </w:abstractNum>
  <w:num w:numId="1">
    <w:abstractNumId w:val="0"/>
  </w:num>
  <w:num w:numId="2">
    <w:abstractNumId w:val="5"/>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2VjZDNkNmI4OWZkMThmMzE1MjhjOWI3MzQzN2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3CE0"/>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42F6E"/>
    <w:rsid w:val="00357D1A"/>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2A80"/>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94377"/>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9666D"/>
    <w:rsid w:val="008B0651"/>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2647E"/>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21F16"/>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D54BB"/>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C75C6"/>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A3F4C"/>
    <w:rsid w:val="00FD3CC1"/>
    <w:rsid w:val="00FF1E02"/>
    <w:rsid w:val="00FF30B4"/>
    <w:rsid w:val="015975B8"/>
    <w:rsid w:val="02143E91"/>
    <w:rsid w:val="066E0107"/>
    <w:rsid w:val="07996F6E"/>
    <w:rsid w:val="0A2032A3"/>
    <w:rsid w:val="0F98263C"/>
    <w:rsid w:val="101860EC"/>
    <w:rsid w:val="10C055FF"/>
    <w:rsid w:val="118107EC"/>
    <w:rsid w:val="13D50BC4"/>
    <w:rsid w:val="154A29FE"/>
    <w:rsid w:val="16BB723D"/>
    <w:rsid w:val="1BE8440E"/>
    <w:rsid w:val="1D155CEE"/>
    <w:rsid w:val="1FBB471C"/>
    <w:rsid w:val="1FF35744"/>
    <w:rsid w:val="223561B9"/>
    <w:rsid w:val="23860B96"/>
    <w:rsid w:val="240371BF"/>
    <w:rsid w:val="262C11AD"/>
    <w:rsid w:val="2897402C"/>
    <w:rsid w:val="29FD04D3"/>
    <w:rsid w:val="2C8A61B5"/>
    <w:rsid w:val="2DF04E50"/>
    <w:rsid w:val="2F040D46"/>
    <w:rsid w:val="319F7F4E"/>
    <w:rsid w:val="3304709D"/>
    <w:rsid w:val="36AA5135"/>
    <w:rsid w:val="376D39B2"/>
    <w:rsid w:val="37E16F03"/>
    <w:rsid w:val="38D469F0"/>
    <w:rsid w:val="3BDC3620"/>
    <w:rsid w:val="3D98207C"/>
    <w:rsid w:val="3E78745D"/>
    <w:rsid w:val="42084379"/>
    <w:rsid w:val="44E268DA"/>
    <w:rsid w:val="4A627F82"/>
    <w:rsid w:val="4A735A24"/>
    <w:rsid w:val="4B0E749A"/>
    <w:rsid w:val="4B4F25DA"/>
    <w:rsid w:val="4BE068DB"/>
    <w:rsid w:val="4D571ACF"/>
    <w:rsid w:val="4D577224"/>
    <w:rsid w:val="4EAB630A"/>
    <w:rsid w:val="4ECE2238"/>
    <w:rsid w:val="52D7029C"/>
    <w:rsid w:val="537E6D0A"/>
    <w:rsid w:val="580E40F4"/>
    <w:rsid w:val="5AF92295"/>
    <w:rsid w:val="5CD71FC4"/>
    <w:rsid w:val="606C77EB"/>
    <w:rsid w:val="6B914122"/>
    <w:rsid w:val="6C4A05C8"/>
    <w:rsid w:val="6E5C0F22"/>
    <w:rsid w:val="6E7E3605"/>
    <w:rsid w:val="6FF5CC65"/>
    <w:rsid w:val="715C0E4B"/>
    <w:rsid w:val="72734D90"/>
    <w:rsid w:val="731F431B"/>
    <w:rsid w:val="73AD73D5"/>
    <w:rsid w:val="73B6EB34"/>
    <w:rsid w:val="744731E5"/>
    <w:rsid w:val="76E3355F"/>
    <w:rsid w:val="778769C8"/>
    <w:rsid w:val="77A7789D"/>
    <w:rsid w:val="79537342"/>
    <w:rsid w:val="79EE5BA4"/>
    <w:rsid w:val="7A894339"/>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autoRedefine/>
    <w:unhideWhenUsed/>
    <w:qFormat/>
    <w:uiPriority w:val="9"/>
    <w:pPr>
      <w:keepNext/>
      <w:keepLines/>
      <w:spacing w:before="260" w:after="260" w:line="416" w:lineRule="auto"/>
      <w:outlineLvl w:val="2"/>
    </w:pPr>
    <w:rPr>
      <w:b/>
      <w:bCs/>
      <w:sz w:val="32"/>
      <w:szCs w:val="32"/>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next w:val="6"/>
    <w:link w:val="27"/>
    <w:autoRedefine/>
    <w:qFormat/>
    <w:uiPriority w:val="99"/>
    <w:pPr>
      <w:spacing w:beforeLines="30"/>
    </w:pPr>
    <w:rPr>
      <w:rFonts w:ascii="仿宋_GB2312" w:eastAsia="仿宋_GB2312"/>
      <w:kern w:val="0"/>
      <w:sz w:val="30"/>
    </w:rPr>
  </w:style>
  <w:style w:type="paragraph" w:styleId="6">
    <w:name w:val="toc 5"/>
    <w:basedOn w:val="1"/>
    <w:next w:val="1"/>
    <w:autoRedefine/>
    <w:qFormat/>
    <w:uiPriority w:val="0"/>
    <w:pPr>
      <w:widowControl w:val="0"/>
      <w:ind w:left="1680" w:leftChars="800"/>
      <w:jc w:val="both"/>
    </w:pPr>
    <w:rPr>
      <w:rFonts w:ascii="Times New Roman" w:hAnsi="Times New Roman" w:eastAsia="宋体" w:cs="Times New Roman"/>
      <w:kern w:val="2"/>
      <w:sz w:val="21"/>
      <w:szCs w:val="21"/>
      <w:lang w:val="en-US" w:eastAsia="zh-CN" w:bidi="ar-SA"/>
    </w:rPr>
  </w:style>
  <w:style w:type="paragraph" w:styleId="7">
    <w:name w:val="Body Text Indent"/>
    <w:basedOn w:val="1"/>
    <w:autoRedefine/>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next w:val="1"/>
    <w:qFormat/>
    <w:uiPriority w:val="0"/>
    <w:pPr>
      <w:spacing w:line="620" w:lineRule="exact"/>
    </w:pPr>
    <w:rPr>
      <w:rFonts w:ascii="宋体" w:hAnsi="Courier New" w:eastAsia="仿宋_GB2312" w:cs="Courier New"/>
      <w:b/>
      <w:sz w:val="32"/>
      <w:szCs w:val="21"/>
    </w:rPr>
  </w:style>
  <w:style w:type="paragraph" w:styleId="10">
    <w:name w:val="Balloon Text"/>
    <w:basedOn w:val="1"/>
    <w:link w:val="33"/>
    <w:autoRedefine/>
    <w:semiHidden/>
    <w:unhideWhenUsed/>
    <w:qFormat/>
    <w:uiPriority w:val="99"/>
    <w:rPr>
      <w:sz w:val="18"/>
      <w:szCs w:val="18"/>
    </w:rPr>
  </w:style>
  <w:style w:type="paragraph" w:styleId="11">
    <w:name w:val="footer"/>
    <w:basedOn w:val="1"/>
    <w:link w:val="25"/>
    <w:autoRedefine/>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autoRedefine/>
    <w:unhideWhenUsed/>
    <w:qFormat/>
    <w:uiPriority w:val="39"/>
    <w:pPr>
      <w:tabs>
        <w:tab w:val="right" w:leader="dot" w:pos="8296"/>
      </w:tabs>
      <w:ind w:left="420" w:leftChars="200"/>
    </w:pPr>
  </w:style>
  <w:style w:type="paragraph" w:styleId="1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7"/>
    <w:autoRedefine/>
    <w:unhideWhenUsed/>
    <w:qFormat/>
    <w:uiPriority w:val="99"/>
    <w:pPr>
      <w:ind w:firstLine="420" w:firstLineChars="200"/>
    </w:pPr>
  </w:style>
  <w:style w:type="character" w:styleId="19">
    <w:name w:val="Strong"/>
    <w:basedOn w:val="18"/>
    <w:autoRedefine/>
    <w:qFormat/>
    <w:uiPriority w:val="99"/>
    <w:rPr>
      <w:b/>
    </w:rPr>
  </w:style>
  <w:style w:type="character" w:styleId="20">
    <w:name w:val="Hyperlink"/>
    <w:basedOn w:val="18"/>
    <w:autoRedefine/>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autoRedefine/>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2">
    <w:name w:val="Header Char"/>
    <w:basedOn w:val="18"/>
    <w:autoRedefine/>
    <w:semiHidden/>
    <w:qFormat/>
    <w:uiPriority w:val="99"/>
    <w:rPr>
      <w:rFonts w:ascii="Times New Roman" w:hAnsi="Times New Roman"/>
      <w:sz w:val="18"/>
      <w:szCs w:val="18"/>
    </w:rPr>
  </w:style>
  <w:style w:type="character" w:customStyle="1" w:styleId="23">
    <w:name w:val="页眉 字符"/>
    <w:link w:val="12"/>
    <w:autoRedefine/>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字符"/>
    <w:link w:val="11"/>
    <w:autoRedefine/>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字符"/>
    <w:link w:val="5"/>
    <w:autoRedefine/>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autoRedefine/>
    <w:qFormat/>
    <w:uiPriority w:val="34"/>
    <w:pPr>
      <w:ind w:firstLine="420" w:firstLineChars="200"/>
    </w:pPr>
  </w:style>
  <w:style w:type="character" w:customStyle="1" w:styleId="30">
    <w:name w:val="标题 1 字符"/>
    <w:basedOn w:val="18"/>
    <w:link w:val="2"/>
    <w:autoRedefine/>
    <w:qFormat/>
    <w:uiPriority w:val="9"/>
    <w:rPr>
      <w:rFonts w:ascii="Times New Roman" w:hAnsi="Times New Roman"/>
      <w:b/>
      <w:bCs/>
      <w:kern w:val="44"/>
      <w:sz w:val="44"/>
      <w:szCs w:val="44"/>
    </w:rPr>
  </w:style>
  <w:style w:type="character" w:customStyle="1" w:styleId="31">
    <w:name w:val="标题 2 字符"/>
    <w:basedOn w:val="18"/>
    <w:link w:val="3"/>
    <w:qFormat/>
    <w:uiPriority w:val="9"/>
    <w:rPr>
      <w:rFonts w:asciiTheme="majorHAnsi" w:hAnsiTheme="majorHAnsi" w:eastAsiaTheme="majorEastAsia" w:cstheme="majorBidi"/>
      <w:b/>
      <w:bCs/>
      <w:kern w:val="2"/>
      <w:sz w:val="32"/>
      <w:szCs w:val="32"/>
    </w:rPr>
  </w:style>
  <w:style w:type="paragraph" w:customStyle="1" w:styleId="32">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字符"/>
    <w:basedOn w:val="18"/>
    <w:link w:val="10"/>
    <w:autoRedefine/>
    <w:semiHidden/>
    <w:qFormat/>
    <w:uiPriority w:val="99"/>
    <w:rPr>
      <w:rFonts w:ascii="Times New Roman" w:hAnsi="Times New Roman"/>
      <w:kern w:val="2"/>
      <w:sz w:val="18"/>
      <w:szCs w:val="18"/>
    </w:rPr>
  </w:style>
  <w:style w:type="character" w:customStyle="1" w:styleId="34">
    <w:name w:val="标题 3 字符"/>
    <w:basedOn w:val="18"/>
    <w:link w:val="4"/>
    <w:autoRedefine/>
    <w:qFormat/>
    <w:uiPriority w:val="9"/>
    <w:rPr>
      <w:rFonts w:ascii="Times New Roman" w:hAnsi="Times New Roman"/>
      <w:b/>
      <w:bCs/>
      <w:kern w:val="2"/>
      <w:sz w:val="32"/>
      <w:szCs w:val="32"/>
    </w:rPr>
  </w:style>
  <w:style w:type="paragraph" w:customStyle="1" w:styleId="35">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color w:val="000000"/>
      <w:kern w:val="0"/>
      <w:sz w:val="28"/>
      <w:szCs w:val="21"/>
      <w:lang w:val="zh-CN"/>
    </w:rPr>
  </w:style>
  <w:style w:type="paragraph" w:customStyle="1" w:styleId="37">
    <w:name w:val="WPSOffice手动目录 1"/>
    <w:uiPriority w:val="0"/>
    <w:pPr>
      <w:ind w:leftChars="0"/>
    </w:pPr>
    <w:rPr>
      <w:rFonts w:asciiTheme="minorHAnsi" w:hAnsiTheme="minorHAnsi" w:eastAsiaTheme="minorEastAsia" w:cstheme="minorBidi"/>
      <w:sz w:val="20"/>
      <w:szCs w:val="20"/>
    </w:rPr>
  </w:style>
  <w:style w:type="paragraph" w:customStyle="1" w:styleId="38">
    <w:name w:val="WPSOffice手动目录 2"/>
    <w:autoRedefine/>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elete val="1"/>
          </c:dLbls>
          <c:cat>
            <c:numRef>
              <c:f>Sheet1!$A$2</c:f>
              <c:numCache>
                <c:formatCode>General</c:formatCode>
                <c:ptCount val="1"/>
              </c:numCache>
            </c:numRef>
          </c:cat>
          <c:val>
            <c:numRef>
              <c:f>Sheet1!$B$2</c:f>
              <c:numCache>
                <c:formatCode>General</c:formatCode>
                <c:ptCount val="1"/>
                <c:pt idx="0">
                  <c:v>2715.04</c:v>
                </c:pt>
              </c:numCache>
            </c:numRef>
          </c:val>
        </c:ser>
        <c:ser>
          <c:idx val="1"/>
          <c:order val="1"/>
          <c:tx>
            <c:strRef>
              <c:f>Sheet1!$C$1</c:f>
              <c:strCache>
                <c:ptCount val="1"/>
                <c:pt idx="0">
                  <c:v>2022年</c:v>
                </c:pt>
              </c:strCache>
            </c:strRef>
          </c:tx>
          <c:spPr>
            <a:solidFill>
              <a:schemeClr val="accent2"/>
            </a:solidFill>
            <a:ln>
              <a:noFill/>
            </a:ln>
            <a:effectLst/>
          </c:spPr>
          <c:invertIfNegative val="0"/>
          <c:dLbls>
            <c:delete val="1"/>
          </c:dLbls>
          <c:cat>
            <c:numRef>
              <c:f>Sheet1!$A$2</c:f>
              <c:numCache>
                <c:formatCode>General</c:formatCode>
                <c:ptCount val="1"/>
              </c:numCache>
            </c:numRef>
          </c:cat>
          <c:val>
            <c:numRef>
              <c:f>Sheet1!$C$2</c:f>
              <c:numCache>
                <c:formatCode>General</c:formatCode>
                <c:ptCount val="1"/>
                <c:pt idx="0">
                  <c:v>40176.74</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numRef>
              <c:f>Sheet1!$A$2</c:f>
              <c:numCache>
                <c:formatCode>General</c:formatCode>
                <c:ptCount val="1"/>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246"/>
        <c:overlap val="-28"/>
        <c:axId val="664790166"/>
        <c:axId val="679997760"/>
      </c:barChart>
      <c:catAx>
        <c:axId val="6647901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997760"/>
        <c:crosses val="autoZero"/>
        <c:auto val="1"/>
        <c:lblAlgn val="ctr"/>
        <c:lblOffset val="100"/>
        <c:noMultiLvlLbl val="0"/>
      </c:catAx>
      <c:valAx>
        <c:axId val="679997760"/>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4790166"/>
        <c:crosses val="autoZero"/>
        <c:crossBetween val="between"/>
      </c:valAx>
      <c:spPr>
        <a:noFill/>
        <a:ln>
          <a:noFill/>
        </a:ln>
        <a:effectLst/>
      </c:spPr>
    </c:plotArea>
    <c:legend>
      <c:legendPos val="b"/>
      <c:legendEntry>
        <c:idx val="2"/>
        <c:delete val="1"/>
      </c:legendEntry>
      <c:layout>
        <c:manualLayout>
          <c:xMode val="edge"/>
          <c:yMode val="edge"/>
          <c:x val="0.18219429972418"/>
          <c:y val="0.856149225418906"/>
          <c:w val="0.549341097149862"/>
          <c:h val="0.10591210875750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manualLayout>
          <c:layoutTarget val="inner"/>
          <c:xMode val="edge"/>
          <c:yMode val="edge"/>
          <c:x val="0.302096689316607"/>
          <c:y val="0.110542067886328"/>
          <c:w val="0.39514375453008"/>
          <c:h val="0.695070123246919"/>
        </c:manualLayout>
      </c:layout>
      <c:pieChart>
        <c:varyColors val="1"/>
        <c:ser>
          <c:idx val="0"/>
          <c:order val="0"/>
          <c:tx>
            <c:strRef>
              <c:f>Sheet1!$B$1</c:f>
              <c:strCache>
                <c:ptCount val="1"/>
                <c:pt idx="0">
                  <c:v>收入决算结构图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Sheet1!$A$2:$A$4</c:f>
              <c:strCache>
                <c:ptCount val="3"/>
                <c:pt idx="0">
                  <c:v>一、一般公共预算财政拨款收入</c:v>
                </c:pt>
                <c:pt idx="1">
                  <c:v>二、政府性基金预算财政拨款收入</c:v>
                </c:pt>
                <c:pt idx="2">
                  <c:v>三、其他收入</c:v>
                </c:pt>
              </c:strCache>
            </c:strRef>
          </c:cat>
          <c:val>
            <c:numRef>
              <c:f>Sheet1!$B$2:$B$4</c:f>
              <c:numCache>
                <c:formatCode>General</c:formatCode>
                <c:ptCount val="3"/>
                <c:pt idx="0">
                  <c:v>0.32</c:v>
                </c:pt>
                <c:pt idx="1">
                  <c:v>0.12</c:v>
                </c:pt>
                <c:pt idx="2">
                  <c:v>99.56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00607779578606159"/>
          <c:y val="0.73513199883957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elete val="1"/>
          </c:dLbls>
          <c:cat>
            <c:strRef>
              <c:f>Sheet1!$A$2:$A$3</c:f>
              <c:strCache>
                <c:ptCount val="2"/>
                <c:pt idx="0">
                  <c:v>基本支出</c:v>
                </c:pt>
                <c:pt idx="1">
                  <c:v>项目支出</c:v>
                </c:pt>
              </c:strCache>
            </c:strRef>
          </c:cat>
          <c:val>
            <c:numRef>
              <c:f>Sheet1!$B$2:$B$3</c:f>
              <c:numCache>
                <c:formatCode>General</c:formatCode>
                <c:ptCount val="2"/>
                <c:pt idx="0">
                  <c:v>1.9</c:v>
                </c:pt>
                <c:pt idx="1">
                  <c:v>98.1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财政拨款收、支决算总计变动情况图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elete val="1"/>
          </c:dLbls>
          <c:cat>
            <c:numRef>
              <c:f>Sheet1!$A$2</c:f>
              <c:numCache>
                <c:formatCode>General</c:formatCode>
                <c:ptCount val="1"/>
              </c:numCache>
            </c:numRef>
          </c:cat>
          <c:val>
            <c:numRef>
              <c:f>Sheet1!$B$2</c:f>
              <c:numCache>
                <c:formatCode>General</c:formatCode>
                <c:ptCount val="1"/>
                <c:pt idx="0">
                  <c:v>177.76</c:v>
                </c:pt>
              </c:numCache>
            </c:numRef>
          </c:val>
        </c:ser>
        <c:ser>
          <c:idx val="1"/>
          <c:order val="1"/>
          <c:tx>
            <c:strRef>
              <c:f>Sheet1!$C$1</c:f>
              <c:strCache>
                <c:ptCount val="1"/>
                <c:pt idx="0">
                  <c:v>2022年</c:v>
                </c:pt>
              </c:strCache>
            </c:strRef>
          </c:tx>
          <c:spPr>
            <a:solidFill>
              <a:schemeClr val="accent2"/>
            </a:solidFill>
            <a:ln>
              <a:noFill/>
            </a:ln>
            <a:effectLst/>
          </c:spPr>
          <c:invertIfNegative val="0"/>
          <c:dLbls>
            <c:delete val="1"/>
          </c:dLbls>
          <c:cat>
            <c:numRef>
              <c:f>Sheet1!$A$2</c:f>
              <c:numCache>
                <c:formatCode>General</c:formatCode>
                <c:ptCount val="1"/>
              </c:numCache>
            </c:numRef>
          </c:cat>
          <c:val>
            <c:numRef>
              <c:f>Sheet1!$C$2</c:f>
              <c:numCache>
                <c:formatCode>General</c:formatCode>
                <c:ptCount val="1"/>
                <c:pt idx="0">
                  <c:v>176.71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numRef>
              <c:f>Sheet1!$A$2</c:f>
              <c:numCache>
                <c:formatCode>General</c:formatCode>
                <c:ptCount val="1"/>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246"/>
        <c:overlap val="-28"/>
        <c:axId val="303950292"/>
        <c:axId val="984122087"/>
      </c:barChart>
      <c:catAx>
        <c:axId val="3039502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122087"/>
        <c:crosses val="autoZero"/>
        <c:auto val="1"/>
        <c:lblAlgn val="ctr"/>
        <c:lblOffset val="100"/>
        <c:noMultiLvlLbl val="0"/>
      </c:catAx>
      <c:valAx>
        <c:axId val="984122087"/>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3950292"/>
        <c:crosses val="autoZero"/>
        <c:crossBetween val="between"/>
      </c:valAx>
      <c:spPr>
        <a:noFill/>
        <a:ln>
          <a:noFill/>
        </a:ln>
        <a:effectLst/>
      </c:spPr>
    </c:plotArea>
    <c:legend>
      <c:legendPos val="b"/>
      <c:legendEntry>
        <c:idx val="2"/>
        <c:delete val="1"/>
      </c:legendEntry>
      <c:layout>
        <c:manualLayout>
          <c:xMode val="edge"/>
          <c:yMode val="edge"/>
          <c:x val="0.176789868182993"/>
          <c:y val="0.886731391585761"/>
          <c:w val="0.539028172654433"/>
          <c:h val="0.08339556883246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一般公共预算财政拨支出决算变动情况图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elete val="1"/>
          </c:dLbls>
          <c:cat>
            <c:numRef>
              <c:f>Sheet1!$A$2</c:f>
              <c:numCache>
                <c:formatCode>General</c:formatCode>
                <c:ptCount val="1"/>
              </c:numCache>
            </c:numRef>
          </c:cat>
          <c:val>
            <c:numRef>
              <c:f>Sheet1!$B$2</c:f>
              <c:numCache>
                <c:formatCode>General</c:formatCode>
                <c:ptCount val="1"/>
                <c:pt idx="0">
                  <c:v>177.09</c:v>
                </c:pt>
              </c:numCache>
            </c:numRef>
          </c:val>
        </c:ser>
        <c:ser>
          <c:idx val="1"/>
          <c:order val="1"/>
          <c:tx>
            <c:strRef>
              <c:f>Sheet1!$C$1</c:f>
              <c:strCache>
                <c:ptCount val="1"/>
                <c:pt idx="0">
                  <c:v>2022年</c:v>
                </c:pt>
              </c:strCache>
            </c:strRef>
          </c:tx>
          <c:spPr>
            <a:solidFill>
              <a:schemeClr val="accent2"/>
            </a:solidFill>
            <a:ln>
              <a:noFill/>
            </a:ln>
            <a:effectLst/>
          </c:spPr>
          <c:invertIfNegative val="0"/>
          <c:dLbls>
            <c:delete val="1"/>
          </c:dLbls>
          <c:cat>
            <c:numRef>
              <c:f>Sheet1!$A$2</c:f>
              <c:numCache>
                <c:formatCode>General</c:formatCode>
                <c:ptCount val="1"/>
              </c:numCache>
            </c:numRef>
          </c:cat>
          <c:val>
            <c:numRef>
              <c:f>Sheet1!$C$2</c:f>
              <c:numCache>
                <c:formatCode>General</c:formatCode>
                <c:ptCount val="1"/>
                <c:pt idx="0">
                  <c:v>126.71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numRef>
              <c:f>Sheet1!$A$2</c:f>
              <c:numCache>
                <c:formatCode>General</c:formatCode>
                <c:ptCount val="1"/>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246"/>
        <c:overlap val="-28"/>
        <c:axId val="806106270"/>
        <c:axId val="801237890"/>
      </c:barChart>
      <c:catAx>
        <c:axId val="8061062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237890"/>
        <c:crosses val="autoZero"/>
        <c:auto val="1"/>
        <c:lblAlgn val="ctr"/>
        <c:lblOffset val="100"/>
        <c:noMultiLvlLbl val="0"/>
      </c:catAx>
      <c:valAx>
        <c:axId val="801237890"/>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6106270"/>
        <c:crosses val="autoZero"/>
        <c:crossBetween val="between"/>
      </c:valAx>
      <c:spPr>
        <a:noFill/>
        <a:ln>
          <a:noFill/>
        </a:ln>
        <a:effectLst/>
      </c:spPr>
    </c:plotArea>
    <c:legend>
      <c:legendPos val="b"/>
      <c:legendEntry>
        <c:idx val="2"/>
        <c:delete val="1"/>
      </c:legendEntry>
      <c:layout>
        <c:manualLayout>
          <c:xMode val="edge"/>
          <c:yMode val="edge"/>
          <c:x val="0.205122010147379"/>
          <c:y val="0.903314917127072"/>
          <c:w val="0.453007972940324"/>
          <c:h val="0.071185720356991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Sheet1!$A$2:$A$5</c:f>
              <c:strCache>
                <c:ptCount val="4"/>
                <c:pt idx="0">
                  <c:v>一般公共服务（类）支出</c:v>
                </c:pt>
                <c:pt idx="1">
                  <c:v>社会保障和就业（类）支出</c:v>
                </c:pt>
                <c:pt idx="2">
                  <c:v>卫生健康(类)支出</c:v>
                </c:pt>
                <c:pt idx="3">
                  <c:v>住房保障（类）支出</c:v>
                </c:pt>
              </c:strCache>
            </c:strRef>
          </c:cat>
          <c:val>
            <c:numRef>
              <c:f>Sheet1!$B$2:$B$5</c:f>
              <c:numCache>
                <c:formatCode>General</c:formatCode>
                <c:ptCount val="4"/>
                <c:pt idx="0">
                  <c:v>98.21</c:v>
                </c:pt>
                <c:pt idx="1">
                  <c:v>13.11</c:v>
                </c:pt>
                <c:pt idx="2">
                  <c:v>6.86</c:v>
                </c:pt>
                <c:pt idx="3">
                  <c:v>8.53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“三公”经费财政拨款支出结构图</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Sheet1!$A$2:$A$4</c:f>
              <c:strCache>
                <c:ptCount val="3"/>
                <c:pt idx="0">
                  <c:v>因公出国（境）费支出</c:v>
                </c:pt>
                <c:pt idx="1">
                  <c:v>公务用车购置及运行维护费支出</c:v>
                </c:pt>
                <c:pt idx="2">
                  <c:v>公务接待费支出</c:v>
                </c:pt>
              </c:strCache>
            </c:strRef>
          </c:cat>
          <c:val>
            <c:numRef>
              <c:f>Sheet1!$B$2:$B$4</c:f>
              <c:numCache>
                <c:formatCode>General</c:formatCode>
                <c:ptCount val="3"/>
                <c:pt idx="0">
                  <c:v>0</c:v>
                </c:pt>
                <c:pt idx="1">
                  <c:v>0</c:v>
                </c:pt>
                <c:pt idx="2">
                  <c:v>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22</Pages>
  <Words>1230</Words>
  <Characters>7012</Characters>
  <Lines>58</Lines>
  <Paragraphs>16</Paragraphs>
  <TotalTime>8</TotalTime>
  <ScaleCrop>false</ScaleCrop>
  <LinksUpToDate>false</LinksUpToDate>
  <CharactersWithSpaces>8226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罗汉</cp:lastModifiedBy>
  <cp:lastPrinted>2023-07-31T02:35:00Z</cp:lastPrinted>
  <dcterms:modified xsi:type="dcterms:W3CDTF">2023-12-21T07:44:25Z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D3AEAD34C47549E789733E2F47C3F40A_12</vt:lpwstr>
  </property>
</Properties>
</file>