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96475"/>
      <w:bookmarkStart w:id="1" w:name="_Toc15378441"/>
      <w:bookmarkStart w:id="2" w:name="_Toc15377193"/>
      <w:bookmarkStart w:id="3" w:name="_Toc15377425"/>
      <w:bookmarkStart w:id="4" w:name="_Toc15396597"/>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2</w:t>
      </w:r>
      <w:r>
        <w:rPr>
          <w:rFonts w:hint="eastAsia" w:ascii="方正小标宋简体" w:hAnsi="方正小标宋简体" w:eastAsia="方正小标宋简体" w:cs="方正小标宋简体"/>
          <w:sz w:val="72"/>
          <w:szCs w:val="72"/>
        </w:rPr>
        <w:t>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bookmarkStart w:id="6" w:name="_Toc15396598"/>
      <w:bookmarkStart w:id="7" w:name="_Toc15378442"/>
      <w:bookmarkStart w:id="8" w:name="_Toc15396476"/>
      <w:bookmarkStart w:id="9" w:name="_Toc15377194"/>
      <w:bookmarkStart w:id="10" w:name="_Toc15377426"/>
      <w:r>
        <w:rPr>
          <w:rFonts w:hint="eastAsia" w:ascii="方正小标宋简体" w:hAnsi="方正小标宋简体" w:eastAsia="方正小标宋简体" w:cs="方正小标宋简体"/>
          <w:sz w:val="72"/>
          <w:szCs w:val="72"/>
        </w:rPr>
        <w:t>剑阁县</w:t>
      </w:r>
      <w:bookmarkEnd w:id="5"/>
      <w:bookmarkStart w:id="11" w:name="_Toc15306268"/>
      <w:r>
        <w:rPr>
          <w:rFonts w:hint="eastAsia" w:ascii="方正小标宋简体" w:hAnsi="方正小标宋简体" w:eastAsia="方正小标宋简体" w:cs="方正小标宋简体"/>
          <w:sz w:val="72"/>
          <w:szCs w:val="72"/>
          <w:lang w:val="en-US" w:eastAsia="zh-CN"/>
        </w:rPr>
        <w:t>元山</w:t>
      </w:r>
      <w:r>
        <w:rPr>
          <w:rFonts w:hint="eastAsia" w:ascii="方正小标宋简体" w:hAnsi="方正小标宋简体" w:eastAsia="方正小标宋简体" w:cs="方正小标宋简体"/>
          <w:sz w:val="72"/>
          <w:szCs w:val="72"/>
          <w:lang w:eastAsia="zh-CN"/>
        </w:rPr>
        <w:t>镇人民政府</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widowControl/>
        <w:jc w:val="center"/>
        <w:rPr>
          <w:rFonts w:ascii="黑体" w:hAnsi="黑体" w:eastAsia="黑体" w:cstheme="minorBidi"/>
          <w:sz w:val="28"/>
          <w:szCs w:val="28"/>
        </w:rPr>
      </w:pPr>
      <w:r>
        <w:rPr>
          <w:rFonts w:ascii="方正小标宋简体" w:hAnsi="宋体" w:eastAsia="方正小标宋简体"/>
          <w:sz w:val="36"/>
          <w:szCs w:val="36"/>
        </w:rPr>
        <w:br w:type="page"/>
      </w:r>
      <w:r>
        <w:rPr>
          <w:rFonts w:hint="eastAsia" w:ascii="黑体" w:hAnsi="黑体" w:eastAsia="黑体"/>
          <w:sz w:val="48"/>
          <w:szCs w:val="48"/>
        </w:rPr>
        <w:t>目录</w:t>
      </w:r>
    </w:p>
    <w:p/>
    <w:p>
      <w:pPr>
        <w:pStyle w:val="38"/>
        <w:tabs>
          <w:tab w:val="right" w:leader="dot" w:pos="8306"/>
        </w:tabs>
        <w:rPr>
          <w:rFonts w:hint="eastAsia" w:ascii="仿宋" w:hAnsi="仿宋" w:eastAsia="仿宋" w:cs="仿宋"/>
          <w:b/>
          <w:sz w:val="24"/>
          <w:szCs w:val="24"/>
        </w:rPr>
      </w:pPr>
      <w:bookmarkStart w:id="12" w:name="_Toc15377196"/>
      <w:bookmarkStart w:id="13" w:name="_Toc15396599"/>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HYPERLINK \l _Toc28688 </w:instrText>
      </w:r>
      <w:r>
        <w:rPr>
          <w:rFonts w:hint="eastAsia" w:ascii="仿宋" w:hAnsi="仿宋" w:eastAsia="仿宋" w:cs="仿宋"/>
          <w:b/>
          <w:sz w:val="24"/>
          <w:szCs w:val="24"/>
        </w:rPr>
        <w:fldChar w:fldCharType="separate"/>
      </w:r>
      <w:r>
        <w:rPr>
          <w:rFonts w:hint="eastAsia" w:ascii="仿宋" w:hAnsi="仿宋" w:eastAsia="仿宋" w:cs="仿宋"/>
          <w:b/>
          <w:sz w:val="24"/>
          <w:szCs w:val="24"/>
        </w:rPr>
        <w:t xml:space="preserve">第一部分 </w:t>
      </w:r>
      <w:r>
        <w:rPr>
          <w:rFonts w:hint="eastAsia" w:ascii="仿宋" w:hAnsi="仿宋" w:eastAsia="仿宋" w:cs="仿宋"/>
          <w:b/>
          <w:bCs w:val="0"/>
          <w:sz w:val="24"/>
          <w:szCs w:val="24"/>
        </w:rPr>
        <w:t>部门单位概况</w:t>
      </w:r>
      <w:r>
        <w:rPr>
          <w:rFonts w:hint="eastAsia" w:ascii="仿宋" w:hAnsi="仿宋" w:eastAsia="仿宋" w:cs="仿宋"/>
          <w:b/>
          <w:sz w:val="24"/>
          <w:szCs w:val="24"/>
        </w:rPr>
        <w:tab/>
      </w:r>
      <w:r>
        <w:rPr>
          <w:rFonts w:hint="eastAsia" w:ascii="仿宋" w:hAnsi="仿宋" w:eastAsia="仿宋" w:cs="仿宋"/>
          <w:b/>
          <w:sz w:val="24"/>
          <w:szCs w:val="24"/>
          <w:lang w:val="en-US" w:eastAsia="zh-CN"/>
        </w:rPr>
        <w:t>3</w:t>
      </w:r>
      <w:r>
        <w:rPr>
          <w:rFonts w:hint="eastAsia" w:ascii="仿宋" w:hAnsi="仿宋" w:eastAsia="仿宋" w:cs="仿宋"/>
          <w:b/>
          <w:sz w:val="24"/>
          <w:szCs w:val="24"/>
        </w:rPr>
        <w:fldChar w:fldCharType="end"/>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_Toc12885 </w:instrText>
      </w:r>
      <w:r>
        <w:rPr>
          <w:rFonts w:hint="eastAsia" w:ascii="宋体" w:hAnsi="宋体" w:eastAsia="宋体" w:cs="宋体"/>
          <w:sz w:val="24"/>
          <w:szCs w:val="24"/>
        </w:rPr>
        <w:fldChar w:fldCharType="separate"/>
      </w:r>
      <w:r>
        <w:rPr>
          <w:rFonts w:hint="eastAsia" w:ascii="宋体" w:hAnsi="宋体" w:eastAsia="宋体" w:cs="宋体"/>
          <w:sz w:val="24"/>
          <w:szCs w:val="24"/>
        </w:rPr>
        <w:t>一、基本职能及主要工作</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_Toc795 </w:instrText>
      </w:r>
      <w:r>
        <w:rPr>
          <w:rFonts w:hint="eastAsia" w:ascii="宋体" w:hAnsi="宋体" w:eastAsia="宋体" w:cs="宋体"/>
          <w:sz w:val="24"/>
          <w:szCs w:val="24"/>
        </w:rPr>
        <w:fldChar w:fldCharType="separate"/>
      </w:r>
      <w:r>
        <w:rPr>
          <w:rFonts w:hint="eastAsia" w:ascii="宋体" w:hAnsi="宋体" w:eastAsia="宋体" w:cs="宋体"/>
          <w:sz w:val="24"/>
          <w:szCs w:val="24"/>
        </w:rPr>
        <w:t>二、机构设置</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pPr>
        <w:pStyle w:val="38"/>
        <w:tabs>
          <w:tab w:val="right" w:leader="dot" w:pos="8306"/>
        </w:tabs>
        <w:rPr>
          <w:rFonts w:hint="eastAsia" w:ascii="仿宋" w:hAnsi="仿宋" w:eastAsia="仿宋" w:cs="仿宋"/>
          <w:b/>
          <w:bCs w:val="0"/>
          <w:sz w:val="24"/>
          <w:szCs w:val="24"/>
          <w:lang w:val="en-US" w:eastAsia="zh-CN"/>
        </w:rPr>
      </w:pPr>
      <w:r>
        <w:rPr>
          <w:rFonts w:hint="eastAsia" w:ascii="仿宋" w:hAnsi="仿宋" w:eastAsia="仿宋" w:cs="仿宋"/>
          <w:b/>
          <w:bCs w:val="0"/>
          <w:sz w:val="24"/>
          <w:szCs w:val="24"/>
        </w:rPr>
        <w:fldChar w:fldCharType="begin"/>
      </w:r>
      <w:r>
        <w:rPr>
          <w:rFonts w:hint="eastAsia" w:ascii="仿宋" w:hAnsi="仿宋" w:eastAsia="仿宋" w:cs="仿宋"/>
          <w:b/>
          <w:bCs w:val="0"/>
          <w:sz w:val="24"/>
          <w:szCs w:val="24"/>
        </w:rPr>
        <w:instrText xml:space="preserve"> HYPERLINK \l _Toc10684 </w:instrText>
      </w:r>
      <w:r>
        <w:rPr>
          <w:rFonts w:hint="eastAsia" w:ascii="仿宋" w:hAnsi="仿宋" w:eastAsia="仿宋" w:cs="仿宋"/>
          <w:b/>
          <w:bCs w:val="0"/>
          <w:sz w:val="24"/>
          <w:szCs w:val="24"/>
        </w:rPr>
        <w:fldChar w:fldCharType="separate"/>
      </w:r>
      <w:r>
        <w:rPr>
          <w:rFonts w:hint="eastAsia" w:ascii="仿宋" w:hAnsi="仿宋" w:eastAsia="仿宋" w:cs="仿宋"/>
          <w:b/>
          <w:bCs w:val="0"/>
          <w:sz w:val="24"/>
          <w:szCs w:val="24"/>
        </w:rPr>
        <w:t>第二部分 202</w:t>
      </w:r>
      <w:r>
        <w:rPr>
          <w:rFonts w:hint="eastAsia" w:ascii="仿宋" w:hAnsi="仿宋" w:eastAsia="仿宋" w:cs="仿宋"/>
          <w:b/>
          <w:bCs w:val="0"/>
          <w:sz w:val="24"/>
          <w:szCs w:val="24"/>
          <w:lang w:val="en-US" w:eastAsia="zh-CN"/>
        </w:rPr>
        <w:t>2</w:t>
      </w:r>
      <w:r>
        <w:rPr>
          <w:rFonts w:hint="eastAsia" w:ascii="仿宋" w:hAnsi="仿宋" w:eastAsia="仿宋" w:cs="仿宋"/>
          <w:b/>
          <w:bCs w:val="0"/>
          <w:sz w:val="24"/>
          <w:szCs w:val="24"/>
        </w:rPr>
        <w:t>年度部门决算情况说明</w:t>
      </w:r>
      <w:r>
        <w:rPr>
          <w:rFonts w:hint="eastAsia" w:ascii="仿宋" w:hAnsi="仿宋" w:eastAsia="仿宋" w:cs="仿宋"/>
          <w:b/>
          <w:bCs w:val="0"/>
          <w:sz w:val="24"/>
          <w:szCs w:val="24"/>
        </w:rPr>
        <w:tab/>
      </w:r>
      <w:r>
        <w:rPr>
          <w:rFonts w:hint="eastAsia" w:ascii="仿宋" w:hAnsi="仿宋" w:eastAsia="仿宋" w:cs="仿宋"/>
          <w:b/>
          <w:bCs w:val="0"/>
          <w:sz w:val="24"/>
          <w:szCs w:val="24"/>
          <w:lang w:val="en-US" w:eastAsia="zh-CN"/>
        </w:rPr>
        <w:t>9</w:t>
      </w:r>
      <w:r>
        <w:rPr>
          <w:rFonts w:hint="eastAsia" w:ascii="仿宋" w:hAnsi="仿宋" w:eastAsia="仿宋" w:cs="仿宋"/>
          <w:b/>
          <w:bCs w:val="0"/>
          <w:sz w:val="24"/>
          <w:szCs w:val="24"/>
        </w:rPr>
        <w:fldChar w:fldCharType="end"/>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_Toc3055 </w:instrText>
      </w:r>
      <w:r>
        <w:rPr>
          <w:rFonts w:hint="eastAsia" w:ascii="宋体" w:hAnsi="宋体" w:eastAsia="宋体" w:cs="宋体"/>
          <w:sz w:val="24"/>
          <w:szCs w:val="24"/>
        </w:rPr>
        <w:fldChar w:fldCharType="separate"/>
      </w:r>
      <w:r>
        <w:rPr>
          <w:rFonts w:hint="default" w:ascii="宋体" w:hAnsi="宋体" w:eastAsia="宋体" w:cs="宋体"/>
          <w:sz w:val="24"/>
          <w:szCs w:val="24"/>
        </w:rPr>
        <w:t>一、</w:t>
      </w:r>
      <w:r>
        <w:rPr>
          <w:rFonts w:hint="eastAsia" w:ascii="宋体" w:hAnsi="宋体" w:eastAsia="宋体" w:cs="宋体"/>
          <w:sz w:val="24"/>
          <w:szCs w:val="24"/>
        </w:rPr>
        <w:t>收入支出决算总体情况说明</w:t>
      </w:r>
      <w:r>
        <w:rPr>
          <w:rFonts w:hint="eastAsia" w:ascii="宋体" w:hAnsi="宋体" w:eastAsia="宋体" w:cs="宋体"/>
          <w:sz w:val="24"/>
          <w:szCs w:val="24"/>
        </w:rPr>
        <w:tab/>
      </w:r>
      <w:r>
        <w:rPr>
          <w:rFonts w:hint="eastAsia" w:ascii="宋体" w:hAnsi="宋体" w:eastAsia="宋体" w:cs="宋体"/>
          <w:sz w:val="24"/>
          <w:szCs w:val="24"/>
          <w:lang w:val="en-US" w:eastAsia="zh-CN"/>
        </w:rPr>
        <w:t>9</w:t>
      </w:r>
      <w:r>
        <w:rPr>
          <w:rFonts w:hint="eastAsia" w:ascii="宋体" w:hAnsi="宋体" w:eastAsia="宋体" w:cs="宋体"/>
          <w:sz w:val="24"/>
          <w:szCs w:val="24"/>
        </w:rPr>
        <w:fldChar w:fldCharType="end"/>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_Toc16451 </w:instrText>
      </w:r>
      <w:r>
        <w:rPr>
          <w:rFonts w:hint="eastAsia" w:ascii="宋体" w:hAnsi="宋体" w:eastAsia="宋体" w:cs="宋体"/>
          <w:sz w:val="24"/>
          <w:szCs w:val="24"/>
        </w:rPr>
        <w:fldChar w:fldCharType="separate"/>
      </w:r>
      <w:r>
        <w:rPr>
          <w:rFonts w:hint="default" w:ascii="宋体" w:hAnsi="宋体" w:eastAsia="宋体" w:cs="宋体"/>
          <w:sz w:val="24"/>
          <w:szCs w:val="24"/>
        </w:rPr>
        <w:t>二、</w:t>
      </w:r>
      <w:r>
        <w:rPr>
          <w:rFonts w:hint="eastAsia" w:ascii="宋体" w:hAnsi="宋体" w:eastAsia="宋体" w:cs="宋体"/>
          <w:sz w:val="24"/>
          <w:szCs w:val="24"/>
        </w:rPr>
        <w:t>收入决算情况说明</w:t>
      </w:r>
      <w:r>
        <w:rPr>
          <w:rFonts w:hint="eastAsia" w:ascii="宋体" w:hAnsi="宋体" w:eastAsia="宋体" w:cs="宋体"/>
          <w:sz w:val="24"/>
          <w:szCs w:val="24"/>
        </w:rPr>
        <w:tab/>
      </w:r>
      <w:r>
        <w:rPr>
          <w:rFonts w:hint="eastAsia" w:ascii="宋体" w:hAnsi="宋体" w:eastAsia="宋体" w:cs="宋体"/>
          <w:sz w:val="24"/>
          <w:szCs w:val="24"/>
          <w:lang w:val="en-US" w:eastAsia="zh-CN"/>
        </w:rPr>
        <w:t>9</w:t>
      </w:r>
      <w:r>
        <w:rPr>
          <w:rFonts w:hint="eastAsia" w:ascii="宋体" w:hAnsi="宋体" w:eastAsia="宋体" w:cs="宋体"/>
          <w:sz w:val="24"/>
          <w:szCs w:val="24"/>
        </w:rPr>
        <w:fldChar w:fldCharType="end"/>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_Toc19136 </w:instrText>
      </w:r>
      <w:r>
        <w:rPr>
          <w:rFonts w:hint="eastAsia" w:ascii="宋体" w:hAnsi="宋体" w:eastAsia="宋体" w:cs="宋体"/>
          <w:sz w:val="24"/>
          <w:szCs w:val="24"/>
        </w:rPr>
        <w:fldChar w:fldCharType="separate"/>
      </w:r>
      <w:r>
        <w:rPr>
          <w:rFonts w:hint="default" w:ascii="宋体" w:hAnsi="宋体" w:eastAsia="宋体" w:cs="宋体"/>
          <w:sz w:val="24"/>
          <w:szCs w:val="24"/>
        </w:rPr>
        <w:t>三、</w:t>
      </w:r>
      <w:r>
        <w:rPr>
          <w:rFonts w:hint="eastAsia" w:ascii="宋体" w:hAnsi="宋体" w:eastAsia="宋体" w:cs="宋体"/>
          <w:sz w:val="24"/>
          <w:szCs w:val="24"/>
        </w:rPr>
        <w:t>支出决算情况说明</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0</w:t>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_Toc1825 </w:instrText>
      </w:r>
      <w:r>
        <w:rPr>
          <w:rFonts w:hint="eastAsia" w:ascii="宋体" w:hAnsi="宋体" w:eastAsia="宋体" w:cs="宋体"/>
          <w:sz w:val="24"/>
          <w:szCs w:val="24"/>
        </w:rPr>
        <w:fldChar w:fldCharType="separate"/>
      </w:r>
      <w:r>
        <w:rPr>
          <w:rFonts w:hint="eastAsia" w:ascii="宋体" w:hAnsi="宋体" w:eastAsia="宋体" w:cs="宋体"/>
          <w:sz w:val="24"/>
          <w:szCs w:val="24"/>
        </w:rPr>
        <w:t>四、财政拨款收入支出决算总体情况说明</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_Toc12581 </w:instrText>
      </w:r>
      <w:r>
        <w:rPr>
          <w:rFonts w:hint="eastAsia" w:ascii="宋体" w:hAnsi="宋体" w:eastAsia="宋体" w:cs="宋体"/>
          <w:sz w:val="24"/>
          <w:szCs w:val="24"/>
        </w:rPr>
        <w:fldChar w:fldCharType="separate"/>
      </w:r>
      <w:r>
        <w:rPr>
          <w:rFonts w:hint="eastAsia" w:ascii="宋体" w:hAnsi="宋体" w:eastAsia="宋体" w:cs="宋体"/>
          <w:sz w:val="24"/>
          <w:szCs w:val="24"/>
        </w:rPr>
        <w:t>五、一般公共预算财政拨款支出决算情况说明</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_Toc22395 </w:instrText>
      </w:r>
      <w:r>
        <w:rPr>
          <w:rFonts w:hint="eastAsia" w:ascii="宋体" w:hAnsi="宋体" w:eastAsia="宋体" w:cs="宋体"/>
          <w:sz w:val="24"/>
          <w:szCs w:val="24"/>
        </w:rPr>
        <w:fldChar w:fldCharType="separate"/>
      </w:r>
      <w:r>
        <w:rPr>
          <w:rFonts w:hint="eastAsia" w:ascii="宋体" w:hAnsi="宋体" w:eastAsia="宋体" w:cs="宋体"/>
          <w:sz w:val="24"/>
          <w:szCs w:val="24"/>
        </w:rPr>
        <w:t>六、一般公共预算财政拨款基本支出决算情况说明</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5</w:t>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_Toc1423 </w:instrText>
      </w:r>
      <w:r>
        <w:rPr>
          <w:rFonts w:hint="eastAsia" w:ascii="宋体" w:hAnsi="宋体" w:eastAsia="宋体" w:cs="宋体"/>
          <w:sz w:val="24"/>
          <w:szCs w:val="24"/>
        </w:rPr>
        <w:fldChar w:fldCharType="separate"/>
      </w:r>
      <w:r>
        <w:rPr>
          <w:rFonts w:hint="eastAsia" w:ascii="宋体" w:hAnsi="宋体" w:eastAsia="宋体" w:cs="宋体"/>
          <w:sz w:val="24"/>
          <w:szCs w:val="24"/>
        </w:rPr>
        <w:t>七、“三公”经费财政拨款支出决算情况说明</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6</w:t>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_Toc7093 </w:instrText>
      </w:r>
      <w:r>
        <w:rPr>
          <w:rFonts w:hint="eastAsia" w:ascii="宋体" w:hAnsi="宋体" w:eastAsia="宋体" w:cs="宋体"/>
          <w:sz w:val="24"/>
          <w:szCs w:val="24"/>
        </w:rPr>
        <w:fldChar w:fldCharType="separate"/>
      </w:r>
      <w:r>
        <w:rPr>
          <w:rFonts w:hint="eastAsia" w:ascii="宋体" w:hAnsi="宋体" w:eastAsia="宋体" w:cs="宋体"/>
          <w:sz w:val="24"/>
          <w:szCs w:val="24"/>
        </w:rPr>
        <w:t>八、政府性基金预算支出决算情况说明</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7</w:t>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_Toc7376 </w:instrText>
      </w:r>
      <w:r>
        <w:rPr>
          <w:rFonts w:hint="eastAsia" w:ascii="宋体" w:hAnsi="宋体" w:eastAsia="宋体" w:cs="宋体"/>
          <w:sz w:val="24"/>
          <w:szCs w:val="24"/>
        </w:rPr>
        <w:fldChar w:fldCharType="separate"/>
      </w:r>
      <w:r>
        <w:rPr>
          <w:rFonts w:hint="eastAsia" w:ascii="宋体" w:hAnsi="宋体" w:eastAsia="宋体" w:cs="宋体"/>
          <w:sz w:val="24"/>
          <w:szCs w:val="24"/>
        </w:rPr>
        <w:t>九、国有资本经营预算支出决算情况说明</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7</w:t>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_Toc8396 </w:instrText>
      </w:r>
      <w:r>
        <w:rPr>
          <w:rFonts w:hint="eastAsia" w:ascii="宋体" w:hAnsi="宋体" w:eastAsia="宋体" w:cs="宋体"/>
          <w:sz w:val="24"/>
          <w:szCs w:val="24"/>
        </w:rPr>
        <w:fldChar w:fldCharType="separate"/>
      </w:r>
      <w:r>
        <w:rPr>
          <w:rFonts w:hint="eastAsia" w:ascii="宋体" w:hAnsi="宋体" w:eastAsia="宋体" w:cs="宋体"/>
          <w:sz w:val="24"/>
          <w:szCs w:val="24"/>
        </w:rPr>
        <w:t>十、其他重要事项的情况说明</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7</w:t>
      </w:r>
    </w:p>
    <w:p>
      <w:pPr>
        <w:pStyle w:val="38"/>
        <w:tabs>
          <w:tab w:val="right" w:leader="dot" w:pos="8306"/>
        </w:tabs>
        <w:rPr>
          <w:rFonts w:hint="eastAsia" w:ascii="仿宋" w:hAnsi="仿宋" w:eastAsia="仿宋" w:cs="仿宋"/>
          <w:b/>
          <w:bCs w:val="0"/>
          <w:sz w:val="24"/>
          <w:szCs w:val="24"/>
          <w:lang w:val="en-US" w:eastAsia="zh-CN"/>
        </w:rPr>
      </w:pPr>
      <w:r>
        <w:rPr>
          <w:rFonts w:hint="eastAsia" w:ascii="仿宋" w:hAnsi="仿宋" w:eastAsia="仿宋" w:cs="仿宋"/>
          <w:b/>
          <w:bCs w:val="0"/>
          <w:sz w:val="24"/>
          <w:szCs w:val="24"/>
        </w:rPr>
        <w:fldChar w:fldCharType="begin"/>
      </w:r>
      <w:r>
        <w:rPr>
          <w:rFonts w:hint="eastAsia" w:ascii="仿宋" w:hAnsi="仿宋" w:eastAsia="仿宋" w:cs="仿宋"/>
          <w:b/>
          <w:bCs w:val="0"/>
          <w:sz w:val="24"/>
          <w:szCs w:val="24"/>
        </w:rPr>
        <w:instrText xml:space="preserve"> HYPERLINK \l _Toc18722 </w:instrText>
      </w:r>
      <w:r>
        <w:rPr>
          <w:rFonts w:hint="eastAsia" w:ascii="仿宋" w:hAnsi="仿宋" w:eastAsia="仿宋" w:cs="仿宋"/>
          <w:b/>
          <w:bCs w:val="0"/>
          <w:sz w:val="24"/>
          <w:szCs w:val="24"/>
        </w:rPr>
        <w:fldChar w:fldCharType="separate"/>
      </w:r>
      <w:r>
        <w:rPr>
          <w:rFonts w:hint="eastAsia" w:ascii="仿宋" w:hAnsi="仿宋" w:eastAsia="仿宋" w:cs="仿宋"/>
          <w:b/>
          <w:bCs w:val="0"/>
          <w:sz w:val="24"/>
          <w:szCs w:val="24"/>
        </w:rPr>
        <w:t>第三部分 名词解释</w:t>
      </w:r>
      <w:r>
        <w:rPr>
          <w:rFonts w:hint="eastAsia" w:ascii="仿宋" w:hAnsi="仿宋" w:eastAsia="仿宋" w:cs="仿宋"/>
          <w:b/>
          <w:bCs w:val="0"/>
          <w:sz w:val="24"/>
          <w:szCs w:val="24"/>
        </w:rPr>
        <w:tab/>
      </w:r>
      <w:r>
        <w:rPr>
          <w:rFonts w:hint="eastAsia" w:ascii="仿宋" w:hAnsi="仿宋" w:eastAsia="仿宋" w:cs="仿宋"/>
          <w:b/>
          <w:bCs w:val="0"/>
          <w:sz w:val="24"/>
          <w:szCs w:val="24"/>
          <w:lang w:val="en-US" w:eastAsia="zh-CN"/>
        </w:rPr>
        <w:t>1</w:t>
      </w:r>
      <w:r>
        <w:rPr>
          <w:rFonts w:hint="eastAsia" w:ascii="仿宋" w:hAnsi="仿宋" w:eastAsia="仿宋" w:cs="仿宋"/>
          <w:b/>
          <w:bCs w:val="0"/>
          <w:sz w:val="24"/>
          <w:szCs w:val="24"/>
        </w:rPr>
        <w:fldChar w:fldCharType="end"/>
      </w:r>
      <w:r>
        <w:rPr>
          <w:rFonts w:hint="eastAsia" w:ascii="仿宋" w:hAnsi="仿宋" w:eastAsia="仿宋" w:cs="仿宋"/>
          <w:b/>
          <w:bCs w:val="0"/>
          <w:sz w:val="24"/>
          <w:szCs w:val="24"/>
          <w:lang w:val="en-US" w:eastAsia="zh-CN"/>
        </w:rPr>
        <w:t>9</w:t>
      </w:r>
    </w:p>
    <w:p>
      <w:pPr>
        <w:pStyle w:val="38"/>
        <w:tabs>
          <w:tab w:val="right" w:leader="dot" w:pos="8306"/>
        </w:tabs>
        <w:rPr>
          <w:rFonts w:hint="eastAsia" w:ascii="仿宋" w:hAnsi="仿宋" w:eastAsia="仿宋" w:cs="仿宋"/>
          <w:b/>
          <w:bCs w:val="0"/>
          <w:sz w:val="24"/>
          <w:szCs w:val="24"/>
          <w:lang w:val="en-US" w:eastAsia="zh-CN"/>
        </w:rPr>
      </w:pPr>
      <w:r>
        <w:rPr>
          <w:rFonts w:hint="eastAsia" w:ascii="仿宋" w:hAnsi="仿宋" w:eastAsia="仿宋" w:cs="仿宋"/>
          <w:b/>
          <w:bCs w:val="0"/>
          <w:sz w:val="24"/>
          <w:szCs w:val="24"/>
        </w:rPr>
        <w:fldChar w:fldCharType="begin"/>
      </w:r>
      <w:r>
        <w:rPr>
          <w:rFonts w:hint="eastAsia" w:ascii="仿宋" w:hAnsi="仿宋" w:eastAsia="仿宋" w:cs="仿宋"/>
          <w:b/>
          <w:bCs w:val="0"/>
          <w:sz w:val="24"/>
          <w:szCs w:val="24"/>
        </w:rPr>
        <w:instrText xml:space="preserve"> HYPERLINK \l _Toc32757 </w:instrText>
      </w:r>
      <w:r>
        <w:rPr>
          <w:rFonts w:hint="eastAsia" w:ascii="仿宋" w:hAnsi="仿宋" w:eastAsia="仿宋" w:cs="仿宋"/>
          <w:b/>
          <w:bCs w:val="0"/>
          <w:sz w:val="24"/>
          <w:szCs w:val="24"/>
        </w:rPr>
        <w:fldChar w:fldCharType="separate"/>
      </w:r>
      <w:r>
        <w:rPr>
          <w:rFonts w:hint="eastAsia" w:ascii="仿宋" w:hAnsi="仿宋" w:eastAsia="仿宋" w:cs="仿宋"/>
          <w:b/>
          <w:bCs w:val="0"/>
          <w:sz w:val="24"/>
          <w:szCs w:val="24"/>
        </w:rPr>
        <w:t>第四部分 附件</w:t>
      </w:r>
      <w:r>
        <w:rPr>
          <w:rFonts w:hint="eastAsia" w:ascii="仿宋" w:hAnsi="仿宋" w:eastAsia="仿宋" w:cs="仿宋"/>
          <w:b/>
          <w:bCs w:val="0"/>
          <w:sz w:val="24"/>
          <w:szCs w:val="24"/>
        </w:rPr>
        <w:tab/>
      </w:r>
      <w:r>
        <w:rPr>
          <w:rFonts w:hint="eastAsia" w:ascii="仿宋" w:hAnsi="仿宋" w:eastAsia="仿宋" w:cs="仿宋"/>
          <w:b/>
          <w:bCs w:val="0"/>
          <w:sz w:val="24"/>
          <w:szCs w:val="24"/>
          <w:lang w:val="en-US" w:eastAsia="zh-CN"/>
        </w:rPr>
        <w:t>2</w:t>
      </w:r>
      <w:r>
        <w:rPr>
          <w:rFonts w:hint="eastAsia" w:ascii="仿宋" w:hAnsi="仿宋" w:eastAsia="仿宋" w:cs="仿宋"/>
          <w:b/>
          <w:bCs w:val="0"/>
          <w:sz w:val="24"/>
          <w:szCs w:val="24"/>
        </w:rPr>
        <w:fldChar w:fldCharType="end"/>
      </w:r>
      <w:r>
        <w:rPr>
          <w:rFonts w:hint="eastAsia" w:ascii="仿宋" w:hAnsi="仿宋" w:eastAsia="仿宋" w:cs="仿宋"/>
          <w:b/>
          <w:bCs w:val="0"/>
          <w:sz w:val="24"/>
          <w:szCs w:val="24"/>
          <w:lang w:val="en-US" w:eastAsia="zh-CN"/>
        </w:rPr>
        <w:t>4</w:t>
      </w:r>
    </w:p>
    <w:p>
      <w:pPr>
        <w:pStyle w:val="38"/>
        <w:tabs>
          <w:tab w:val="right" w:leader="dot" w:pos="8306"/>
        </w:tabs>
        <w:rPr>
          <w:rFonts w:hint="default" w:ascii="仿宋" w:hAnsi="仿宋" w:eastAsia="仿宋" w:cs="仿宋"/>
          <w:b/>
          <w:bCs w:val="0"/>
          <w:sz w:val="24"/>
          <w:szCs w:val="24"/>
          <w:lang w:val="en-US" w:eastAsia="zh-CN"/>
        </w:rPr>
      </w:pPr>
      <w:r>
        <w:rPr>
          <w:rFonts w:hint="eastAsia" w:ascii="仿宋" w:hAnsi="仿宋" w:eastAsia="仿宋" w:cs="仿宋"/>
          <w:b/>
          <w:bCs w:val="0"/>
          <w:sz w:val="24"/>
          <w:szCs w:val="24"/>
        </w:rPr>
        <w:fldChar w:fldCharType="begin"/>
      </w:r>
      <w:r>
        <w:rPr>
          <w:rFonts w:hint="eastAsia" w:ascii="仿宋" w:hAnsi="仿宋" w:eastAsia="仿宋" w:cs="仿宋"/>
          <w:b/>
          <w:bCs w:val="0"/>
          <w:sz w:val="24"/>
          <w:szCs w:val="24"/>
        </w:rPr>
        <w:instrText xml:space="preserve"> HYPERLINK \l _Toc18591 </w:instrText>
      </w:r>
      <w:r>
        <w:rPr>
          <w:rFonts w:hint="eastAsia" w:ascii="仿宋" w:hAnsi="仿宋" w:eastAsia="仿宋" w:cs="仿宋"/>
          <w:b/>
          <w:bCs w:val="0"/>
          <w:sz w:val="24"/>
          <w:szCs w:val="24"/>
        </w:rPr>
        <w:fldChar w:fldCharType="separate"/>
      </w:r>
      <w:r>
        <w:rPr>
          <w:rFonts w:hint="eastAsia" w:ascii="仿宋" w:hAnsi="仿宋" w:eastAsia="仿宋" w:cs="仿宋"/>
          <w:b/>
          <w:bCs w:val="0"/>
          <w:sz w:val="24"/>
          <w:szCs w:val="24"/>
        </w:rPr>
        <w:t>第五部分 附表</w:t>
      </w:r>
      <w:r>
        <w:rPr>
          <w:rFonts w:hint="eastAsia" w:ascii="仿宋" w:hAnsi="仿宋" w:eastAsia="仿宋" w:cs="仿宋"/>
          <w:b/>
          <w:bCs w:val="0"/>
          <w:sz w:val="24"/>
          <w:szCs w:val="24"/>
        </w:rPr>
        <w:tab/>
      </w:r>
      <w:r>
        <w:rPr>
          <w:rFonts w:hint="eastAsia" w:ascii="仿宋" w:hAnsi="仿宋" w:eastAsia="仿宋" w:cs="仿宋"/>
          <w:b/>
          <w:bCs w:val="0"/>
          <w:sz w:val="24"/>
          <w:szCs w:val="24"/>
        </w:rPr>
        <w:fldChar w:fldCharType="end"/>
      </w:r>
      <w:r>
        <w:rPr>
          <w:rFonts w:hint="eastAsia" w:ascii="仿宋" w:hAnsi="仿宋" w:eastAsia="仿宋" w:cs="仿宋"/>
          <w:b/>
          <w:bCs w:val="0"/>
          <w:sz w:val="24"/>
          <w:szCs w:val="24"/>
          <w:lang w:val="en-US" w:eastAsia="zh-CN"/>
        </w:rPr>
        <w:t>46</w:t>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_Toc16505 </w:instrText>
      </w:r>
      <w:r>
        <w:rPr>
          <w:rFonts w:hint="eastAsia" w:ascii="宋体" w:hAnsi="宋体" w:eastAsia="宋体" w:cs="宋体"/>
          <w:sz w:val="24"/>
          <w:szCs w:val="24"/>
        </w:rPr>
        <w:fldChar w:fldCharType="separate"/>
      </w:r>
      <w:r>
        <w:rPr>
          <w:rFonts w:hint="eastAsia" w:ascii="宋体" w:hAnsi="宋体" w:eastAsia="宋体" w:cs="宋体"/>
          <w:sz w:val="24"/>
          <w:szCs w:val="24"/>
        </w:rPr>
        <w:t>一、收入支出决算总表</w:t>
      </w:r>
      <w:r>
        <w:rPr>
          <w:rFonts w:hint="eastAsia" w:ascii="宋体" w:hAnsi="宋体" w:eastAsia="宋体" w:cs="宋体"/>
          <w:sz w:val="24"/>
          <w:szCs w:val="24"/>
        </w:rPr>
        <w:tab/>
      </w:r>
      <w:r>
        <w:rPr>
          <w:rFonts w:hint="eastAsia" w:ascii="宋体" w:hAnsi="宋体" w:eastAsia="宋体" w:cs="宋体"/>
          <w:sz w:val="24"/>
          <w:szCs w:val="24"/>
          <w:lang w:val="en-US" w:eastAsia="zh-CN"/>
        </w:rPr>
        <w:t>4</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6</w:t>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_Toc29501 </w:instrText>
      </w:r>
      <w:r>
        <w:rPr>
          <w:rFonts w:hint="eastAsia" w:ascii="宋体" w:hAnsi="宋体" w:eastAsia="宋体" w:cs="宋体"/>
          <w:sz w:val="24"/>
          <w:szCs w:val="24"/>
        </w:rPr>
        <w:fldChar w:fldCharType="separate"/>
      </w:r>
      <w:r>
        <w:rPr>
          <w:rFonts w:hint="eastAsia" w:ascii="宋体" w:hAnsi="宋体" w:eastAsia="宋体" w:cs="宋体"/>
          <w:sz w:val="24"/>
          <w:szCs w:val="24"/>
        </w:rPr>
        <w:t>二、收入决算表</w:t>
      </w:r>
      <w:r>
        <w:rPr>
          <w:rFonts w:hint="eastAsia" w:ascii="宋体" w:hAnsi="宋体" w:eastAsia="宋体" w:cs="宋体"/>
          <w:sz w:val="24"/>
          <w:szCs w:val="24"/>
        </w:rPr>
        <w:tab/>
      </w:r>
      <w:r>
        <w:rPr>
          <w:rFonts w:hint="eastAsia" w:ascii="宋体" w:hAnsi="宋体" w:eastAsia="宋体" w:cs="宋体"/>
          <w:sz w:val="24"/>
          <w:szCs w:val="24"/>
          <w:lang w:val="en-US" w:eastAsia="zh-CN"/>
        </w:rPr>
        <w:t>4</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6</w:t>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_Toc25515 </w:instrText>
      </w:r>
      <w:r>
        <w:rPr>
          <w:rFonts w:hint="eastAsia" w:ascii="宋体" w:hAnsi="宋体" w:eastAsia="宋体" w:cs="宋体"/>
          <w:sz w:val="24"/>
          <w:szCs w:val="24"/>
        </w:rPr>
        <w:fldChar w:fldCharType="separate"/>
      </w:r>
      <w:r>
        <w:rPr>
          <w:rFonts w:hint="eastAsia" w:ascii="宋体" w:hAnsi="宋体" w:eastAsia="宋体" w:cs="宋体"/>
          <w:sz w:val="24"/>
          <w:szCs w:val="24"/>
        </w:rPr>
        <w:t>三、支出决算表</w:t>
      </w:r>
      <w:r>
        <w:rPr>
          <w:rFonts w:hint="eastAsia" w:ascii="宋体" w:hAnsi="宋体" w:eastAsia="宋体" w:cs="宋体"/>
          <w:sz w:val="24"/>
          <w:szCs w:val="24"/>
        </w:rPr>
        <w:tab/>
      </w:r>
      <w:r>
        <w:rPr>
          <w:rFonts w:hint="eastAsia" w:ascii="宋体" w:hAnsi="宋体" w:eastAsia="宋体" w:cs="宋体"/>
          <w:sz w:val="24"/>
          <w:szCs w:val="24"/>
          <w:lang w:val="en-US" w:eastAsia="zh-CN"/>
        </w:rPr>
        <w:t>4</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6</w:t>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_Toc12578 </w:instrText>
      </w:r>
      <w:r>
        <w:rPr>
          <w:rFonts w:hint="eastAsia" w:ascii="宋体" w:hAnsi="宋体" w:eastAsia="宋体" w:cs="宋体"/>
          <w:sz w:val="24"/>
          <w:szCs w:val="24"/>
        </w:rPr>
        <w:fldChar w:fldCharType="separate"/>
      </w:r>
      <w:r>
        <w:rPr>
          <w:rFonts w:hint="eastAsia" w:ascii="宋体" w:hAnsi="宋体" w:eastAsia="宋体" w:cs="宋体"/>
          <w:sz w:val="24"/>
          <w:szCs w:val="24"/>
        </w:rPr>
        <w:t>四、财政拨款收入支出决算总表</w:t>
      </w:r>
      <w:r>
        <w:rPr>
          <w:rFonts w:hint="eastAsia" w:ascii="宋体" w:hAnsi="宋体" w:eastAsia="宋体" w:cs="宋体"/>
          <w:sz w:val="24"/>
          <w:szCs w:val="24"/>
        </w:rPr>
        <w:tab/>
      </w:r>
      <w:r>
        <w:rPr>
          <w:rFonts w:hint="eastAsia" w:ascii="宋体" w:hAnsi="宋体" w:eastAsia="宋体" w:cs="宋体"/>
          <w:sz w:val="24"/>
          <w:szCs w:val="24"/>
          <w:lang w:val="en-US" w:eastAsia="zh-CN"/>
        </w:rPr>
        <w:t>4</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6</w:t>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_Toc419 </w:instrText>
      </w:r>
      <w:r>
        <w:rPr>
          <w:rFonts w:hint="eastAsia" w:ascii="宋体" w:hAnsi="宋体" w:eastAsia="宋体" w:cs="宋体"/>
          <w:sz w:val="24"/>
          <w:szCs w:val="24"/>
        </w:rPr>
        <w:fldChar w:fldCharType="separate"/>
      </w:r>
      <w:r>
        <w:rPr>
          <w:rFonts w:hint="eastAsia" w:ascii="宋体" w:hAnsi="宋体" w:eastAsia="宋体" w:cs="宋体"/>
          <w:sz w:val="24"/>
          <w:szCs w:val="24"/>
        </w:rPr>
        <w:t>五、财政拨款支出决算明细表</w:t>
      </w:r>
      <w:r>
        <w:rPr>
          <w:rFonts w:hint="eastAsia" w:ascii="宋体" w:hAnsi="宋体" w:eastAsia="宋体" w:cs="宋体"/>
          <w:sz w:val="24"/>
          <w:szCs w:val="24"/>
        </w:rPr>
        <w:tab/>
      </w:r>
      <w:r>
        <w:rPr>
          <w:rFonts w:hint="eastAsia" w:ascii="宋体" w:hAnsi="宋体" w:eastAsia="宋体" w:cs="宋体"/>
          <w:sz w:val="24"/>
          <w:szCs w:val="24"/>
          <w:lang w:val="en-US" w:eastAsia="zh-CN"/>
        </w:rPr>
        <w:t>4</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6</w:t>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_Toc26081 </w:instrText>
      </w:r>
      <w:r>
        <w:rPr>
          <w:rFonts w:hint="eastAsia" w:ascii="宋体" w:hAnsi="宋体" w:eastAsia="宋体" w:cs="宋体"/>
          <w:sz w:val="24"/>
          <w:szCs w:val="24"/>
        </w:rPr>
        <w:fldChar w:fldCharType="separate"/>
      </w:r>
      <w:r>
        <w:rPr>
          <w:rFonts w:hint="eastAsia" w:ascii="宋体" w:hAnsi="宋体" w:eastAsia="宋体" w:cs="宋体"/>
          <w:sz w:val="24"/>
          <w:szCs w:val="24"/>
        </w:rPr>
        <w:t>六、一般公共预算财政拨款支出决算表</w:t>
      </w:r>
      <w:r>
        <w:rPr>
          <w:rFonts w:hint="eastAsia" w:ascii="宋体" w:hAnsi="宋体" w:eastAsia="宋体" w:cs="宋体"/>
          <w:sz w:val="24"/>
          <w:szCs w:val="24"/>
        </w:rPr>
        <w:tab/>
      </w:r>
      <w:r>
        <w:rPr>
          <w:rFonts w:hint="eastAsia" w:ascii="宋体" w:hAnsi="宋体" w:eastAsia="宋体" w:cs="宋体"/>
          <w:sz w:val="24"/>
          <w:szCs w:val="24"/>
          <w:lang w:val="en-US" w:eastAsia="zh-CN"/>
        </w:rPr>
        <w:t>4</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6</w:t>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_Toc30360 </w:instrText>
      </w:r>
      <w:r>
        <w:rPr>
          <w:rFonts w:hint="eastAsia" w:ascii="宋体" w:hAnsi="宋体" w:eastAsia="宋体" w:cs="宋体"/>
          <w:sz w:val="24"/>
          <w:szCs w:val="24"/>
        </w:rPr>
        <w:fldChar w:fldCharType="separate"/>
      </w:r>
      <w:r>
        <w:rPr>
          <w:rFonts w:hint="eastAsia" w:ascii="宋体" w:hAnsi="宋体" w:eastAsia="宋体" w:cs="宋体"/>
          <w:sz w:val="24"/>
          <w:szCs w:val="24"/>
        </w:rPr>
        <w:t>七、一般公共预算财政拨款支出决算明细表</w:t>
      </w:r>
      <w:r>
        <w:rPr>
          <w:rFonts w:hint="eastAsia" w:ascii="宋体" w:hAnsi="宋体" w:eastAsia="宋体" w:cs="宋体"/>
          <w:sz w:val="24"/>
          <w:szCs w:val="24"/>
        </w:rPr>
        <w:tab/>
      </w:r>
      <w:r>
        <w:rPr>
          <w:rFonts w:hint="eastAsia" w:ascii="宋体" w:hAnsi="宋体" w:eastAsia="宋体" w:cs="宋体"/>
          <w:sz w:val="24"/>
          <w:szCs w:val="24"/>
          <w:lang w:val="en-US" w:eastAsia="zh-CN"/>
        </w:rPr>
        <w:t>4</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6</w:t>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_Toc4114 </w:instrText>
      </w:r>
      <w:r>
        <w:rPr>
          <w:rFonts w:hint="eastAsia" w:ascii="宋体" w:hAnsi="宋体" w:eastAsia="宋体" w:cs="宋体"/>
          <w:sz w:val="24"/>
          <w:szCs w:val="24"/>
        </w:rPr>
        <w:fldChar w:fldCharType="separate"/>
      </w:r>
      <w:r>
        <w:rPr>
          <w:rFonts w:hint="eastAsia" w:ascii="宋体" w:hAnsi="宋体" w:eastAsia="宋体" w:cs="宋体"/>
          <w:sz w:val="24"/>
          <w:szCs w:val="24"/>
        </w:rPr>
        <w:t>八、一般公共预算财政拨款基本支出决算表</w:t>
      </w:r>
      <w:r>
        <w:rPr>
          <w:rFonts w:hint="eastAsia" w:ascii="宋体" w:hAnsi="宋体" w:eastAsia="宋体" w:cs="宋体"/>
          <w:sz w:val="24"/>
          <w:szCs w:val="24"/>
        </w:rPr>
        <w:tab/>
      </w:r>
      <w:r>
        <w:rPr>
          <w:rFonts w:hint="eastAsia" w:ascii="宋体" w:hAnsi="宋体" w:eastAsia="宋体" w:cs="宋体"/>
          <w:sz w:val="24"/>
          <w:szCs w:val="24"/>
          <w:lang w:val="en-US" w:eastAsia="zh-CN"/>
        </w:rPr>
        <w:t>4</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6</w:t>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_Toc5365 </w:instrText>
      </w:r>
      <w:r>
        <w:rPr>
          <w:rFonts w:hint="eastAsia" w:ascii="宋体" w:hAnsi="宋体" w:eastAsia="宋体" w:cs="宋体"/>
          <w:sz w:val="24"/>
          <w:szCs w:val="24"/>
        </w:rPr>
        <w:fldChar w:fldCharType="separate"/>
      </w:r>
      <w:r>
        <w:rPr>
          <w:rFonts w:hint="eastAsia" w:ascii="宋体" w:hAnsi="宋体" w:eastAsia="宋体" w:cs="宋体"/>
          <w:sz w:val="24"/>
          <w:szCs w:val="24"/>
        </w:rPr>
        <w:t>九、一般公共预算财政拨款项目支出决算表</w:t>
      </w:r>
      <w:r>
        <w:rPr>
          <w:rFonts w:hint="eastAsia" w:ascii="宋体" w:hAnsi="宋体" w:eastAsia="宋体" w:cs="宋体"/>
          <w:sz w:val="24"/>
          <w:szCs w:val="24"/>
        </w:rPr>
        <w:tab/>
      </w:r>
      <w:r>
        <w:rPr>
          <w:rFonts w:hint="eastAsia" w:ascii="宋体" w:hAnsi="宋体" w:eastAsia="宋体" w:cs="宋体"/>
          <w:sz w:val="24"/>
          <w:szCs w:val="24"/>
          <w:lang w:val="en-US" w:eastAsia="zh-CN"/>
        </w:rPr>
        <w:t>4</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6</w:t>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_Toc13767 </w:instrText>
      </w:r>
      <w:r>
        <w:rPr>
          <w:rFonts w:hint="eastAsia" w:ascii="宋体" w:hAnsi="宋体" w:eastAsia="宋体" w:cs="宋体"/>
          <w:sz w:val="24"/>
          <w:szCs w:val="24"/>
        </w:rPr>
        <w:fldChar w:fldCharType="separate"/>
      </w:r>
      <w:r>
        <w:rPr>
          <w:rFonts w:hint="eastAsia" w:ascii="宋体" w:hAnsi="宋体" w:eastAsia="宋体" w:cs="宋体"/>
          <w:sz w:val="24"/>
          <w:szCs w:val="24"/>
        </w:rPr>
        <w:t>十、政府性基金预算财政拨款收入支出决算表</w:t>
      </w:r>
      <w:r>
        <w:rPr>
          <w:rFonts w:hint="eastAsia" w:ascii="宋体" w:hAnsi="宋体" w:eastAsia="宋体" w:cs="宋体"/>
          <w:sz w:val="24"/>
          <w:szCs w:val="24"/>
        </w:rPr>
        <w:tab/>
      </w:r>
      <w:r>
        <w:rPr>
          <w:rFonts w:hint="eastAsia" w:ascii="宋体" w:hAnsi="宋体" w:eastAsia="宋体" w:cs="宋体"/>
          <w:sz w:val="24"/>
          <w:szCs w:val="24"/>
          <w:lang w:val="en-US" w:eastAsia="zh-CN"/>
        </w:rPr>
        <w:t>4</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6</w:t>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_Toc6802 </w:instrText>
      </w:r>
      <w:r>
        <w:rPr>
          <w:rFonts w:hint="eastAsia" w:ascii="宋体" w:hAnsi="宋体" w:eastAsia="宋体" w:cs="宋体"/>
          <w:sz w:val="24"/>
          <w:szCs w:val="24"/>
        </w:rPr>
        <w:fldChar w:fldCharType="separate"/>
      </w:r>
      <w:r>
        <w:rPr>
          <w:rFonts w:hint="eastAsia" w:ascii="宋体" w:hAnsi="宋体" w:eastAsia="宋体" w:cs="宋体"/>
          <w:sz w:val="24"/>
          <w:szCs w:val="24"/>
        </w:rPr>
        <w:t>十一、国有资本经营预算财政拨款收入支出决算表</w:t>
      </w:r>
      <w:r>
        <w:rPr>
          <w:rFonts w:hint="eastAsia" w:ascii="宋体" w:hAnsi="宋体" w:eastAsia="宋体" w:cs="宋体"/>
          <w:sz w:val="24"/>
          <w:szCs w:val="24"/>
        </w:rPr>
        <w:tab/>
      </w:r>
      <w:r>
        <w:rPr>
          <w:rFonts w:hint="eastAsia" w:ascii="宋体" w:hAnsi="宋体" w:eastAsia="宋体" w:cs="宋体"/>
          <w:sz w:val="24"/>
          <w:szCs w:val="24"/>
          <w:lang w:val="en-US" w:eastAsia="zh-CN"/>
        </w:rPr>
        <w:t>4</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6</w:t>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_Toc21848 </w:instrText>
      </w:r>
      <w:r>
        <w:rPr>
          <w:rFonts w:hint="eastAsia" w:ascii="宋体" w:hAnsi="宋体" w:eastAsia="宋体" w:cs="宋体"/>
          <w:sz w:val="24"/>
          <w:szCs w:val="24"/>
        </w:rPr>
        <w:fldChar w:fldCharType="separate"/>
      </w:r>
      <w:r>
        <w:rPr>
          <w:rFonts w:hint="eastAsia" w:ascii="宋体" w:hAnsi="宋体" w:eastAsia="宋体" w:cs="宋体"/>
          <w:sz w:val="24"/>
          <w:szCs w:val="24"/>
        </w:rPr>
        <w:t>十二、国有资本经营预算财政拨款支出决算表</w:t>
      </w:r>
      <w:r>
        <w:rPr>
          <w:rFonts w:hint="eastAsia" w:ascii="宋体" w:hAnsi="宋体" w:eastAsia="宋体" w:cs="宋体"/>
          <w:sz w:val="24"/>
          <w:szCs w:val="24"/>
        </w:rPr>
        <w:tab/>
      </w:r>
      <w:r>
        <w:rPr>
          <w:rFonts w:hint="eastAsia" w:ascii="宋体" w:hAnsi="宋体" w:eastAsia="宋体" w:cs="宋体"/>
          <w:sz w:val="24"/>
          <w:szCs w:val="24"/>
          <w:lang w:val="en-US" w:eastAsia="zh-CN"/>
        </w:rPr>
        <w:t>4</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6</w:t>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_Toc27842 </w:instrText>
      </w:r>
      <w:r>
        <w:rPr>
          <w:rFonts w:hint="eastAsia" w:ascii="宋体" w:hAnsi="宋体" w:eastAsia="宋体" w:cs="宋体"/>
          <w:sz w:val="24"/>
          <w:szCs w:val="24"/>
        </w:rPr>
        <w:fldChar w:fldCharType="separate"/>
      </w:r>
      <w:r>
        <w:rPr>
          <w:rFonts w:hint="eastAsia" w:ascii="宋体" w:hAnsi="宋体" w:eastAsia="宋体" w:cs="宋体"/>
          <w:sz w:val="24"/>
          <w:szCs w:val="24"/>
        </w:rPr>
        <w:t>十三、财政拨款“三公”经费支出决算表</w:t>
      </w:r>
      <w:r>
        <w:rPr>
          <w:rFonts w:hint="eastAsia" w:ascii="宋体" w:hAnsi="宋体" w:eastAsia="宋体" w:cs="宋体"/>
          <w:sz w:val="24"/>
          <w:szCs w:val="24"/>
        </w:rPr>
        <w:tab/>
      </w:r>
      <w:r>
        <w:rPr>
          <w:rFonts w:hint="eastAsia" w:ascii="宋体" w:hAnsi="宋体" w:eastAsia="宋体" w:cs="宋体"/>
          <w:sz w:val="24"/>
          <w:szCs w:val="24"/>
          <w:lang w:val="en-US" w:eastAsia="zh-CN"/>
        </w:rPr>
        <w:t>4</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6</w:t>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p>
    <w:p>
      <w:pPr>
        <w:pStyle w:val="39"/>
        <w:tabs>
          <w:tab w:val="right" w:leader="dot" w:pos="8306"/>
        </w:tabs>
        <w:rPr>
          <w:rFonts w:hint="eastAsia" w:ascii="宋体" w:hAnsi="宋体" w:eastAsia="宋体" w:cs="宋体"/>
          <w:sz w:val="24"/>
          <w:szCs w:val="24"/>
        </w:rPr>
      </w:pPr>
      <w:r>
        <w:rPr>
          <w:rFonts w:hint="eastAsia" w:ascii="宋体" w:hAnsi="宋体" w:eastAsia="宋体" w:cs="宋体"/>
          <w:sz w:val="24"/>
          <w:szCs w:val="24"/>
        </w:rPr>
        <w:br w:type="page"/>
      </w:r>
    </w:p>
    <w:p>
      <w:pPr>
        <w:pStyle w:val="3"/>
        <w:jc w:val="center"/>
        <w:rPr>
          <w:rStyle w:val="31"/>
          <w:rFonts w:ascii="黑体" w:hAnsi="黑体" w:eastAsia="黑体"/>
          <w:b/>
          <w:bCs w:val="0"/>
        </w:rPr>
      </w:pPr>
      <w:r>
        <w:rPr>
          <w:rFonts w:hint="eastAsia" w:ascii="黑体" w:hAnsi="黑体" w:eastAsia="黑体"/>
          <w:b w:val="0"/>
        </w:rPr>
        <w:t xml:space="preserve">第一部分 </w:t>
      </w:r>
      <w:r>
        <w:rPr>
          <w:rStyle w:val="31"/>
          <w:rFonts w:hint="eastAsia" w:ascii="黑体" w:hAnsi="黑体" w:eastAsia="黑体"/>
          <w:b w:val="0"/>
          <w:bCs w:val="0"/>
        </w:rPr>
        <w:t>部门单位概况</w:t>
      </w:r>
      <w:bookmarkEnd w:id="12"/>
      <w:bookmarkEnd w:id="13"/>
    </w:p>
    <w:p>
      <w:pPr>
        <w:widowControl/>
        <w:jc w:val="left"/>
        <w:rPr>
          <w:rFonts w:ascii="黑体" w:eastAsia="黑体"/>
          <w:sz w:val="32"/>
          <w:szCs w:val="32"/>
        </w:rPr>
      </w:pPr>
    </w:p>
    <w:p>
      <w:pPr>
        <w:pStyle w:val="4"/>
        <w:rPr>
          <w:rStyle w:val="32"/>
          <w:rFonts w:ascii="仿宋" w:hAnsi="仿宋" w:eastAsia="仿宋"/>
          <w:b w:val="0"/>
          <w:bCs w:val="0"/>
        </w:rPr>
      </w:pPr>
      <w:bookmarkStart w:id="14" w:name="_Toc15396600"/>
      <w:bookmarkStart w:id="15" w:name="_Toc15377197"/>
      <w:r>
        <w:rPr>
          <w:rFonts w:hint="eastAsia" w:ascii="黑体" w:hAnsi="黑体" w:eastAsia="黑体"/>
          <w:b w:val="0"/>
        </w:rPr>
        <w:t>一、基</w:t>
      </w:r>
      <w:r>
        <w:rPr>
          <w:rStyle w:val="32"/>
          <w:rFonts w:hint="eastAsia" w:ascii="黑体" w:hAnsi="黑体" w:eastAsia="黑体"/>
          <w:b w:val="0"/>
          <w:bCs w:val="0"/>
        </w:rPr>
        <w:t>本职能及主要工作</w:t>
      </w:r>
      <w:bookmarkEnd w:id="14"/>
      <w:bookmarkEnd w:id="15"/>
    </w:p>
    <w:p>
      <w:pPr>
        <w:spacing w:line="600" w:lineRule="exact"/>
        <w:ind w:firstLine="640" w:firstLineChars="200"/>
        <w:rPr>
          <w:rFonts w:hint="eastAsia" w:ascii="仿宋" w:hAnsi="仿宋" w:eastAsia="仿宋" w:cs="Times New Roman"/>
          <w:bCs/>
          <w:kern w:val="0"/>
          <w:sz w:val="32"/>
          <w:szCs w:val="32"/>
          <w:lang w:val="en-US" w:eastAsia="zh-CN" w:bidi="ar-SA"/>
        </w:rPr>
      </w:pPr>
      <w:bookmarkStart w:id="16" w:name="_Toc15377198"/>
      <w:bookmarkStart w:id="17" w:name="_Toc15378445"/>
      <w:r>
        <w:rPr>
          <w:rFonts w:hint="eastAsia" w:ascii="仿宋" w:hAnsi="仿宋" w:eastAsia="仿宋" w:cs="Times New Roman"/>
          <w:bCs/>
          <w:kern w:val="0"/>
          <w:sz w:val="32"/>
          <w:szCs w:val="32"/>
          <w:lang w:val="en-US" w:eastAsia="zh-CN" w:bidi="ar-SA"/>
        </w:rPr>
        <w:t>（一）主要职能。</w:t>
      </w:r>
      <w:bookmarkEnd w:id="16"/>
      <w:bookmarkEnd w:id="17"/>
    </w:p>
    <w:p>
      <w:pPr>
        <w:spacing w:line="600" w:lineRule="exact"/>
        <w:ind w:firstLine="640" w:firstLineChars="200"/>
        <w:rPr>
          <w:rFonts w:hint="eastAsia" w:ascii="仿宋" w:hAnsi="仿宋" w:eastAsia="仿宋" w:cs="Times New Roman"/>
          <w:bCs/>
          <w:kern w:val="0"/>
          <w:sz w:val="32"/>
          <w:szCs w:val="32"/>
          <w:lang w:val="en-US" w:eastAsia="zh-CN" w:bidi="ar-SA"/>
        </w:rPr>
      </w:pPr>
      <w:r>
        <w:rPr>
          <w:rFonts w:hint="eastAsia" w:ascii="仿宋" w:hAnsi="仿宋" w:eastAsia="仿宋" w:cs="Times New Roman"/>
          <w:bCs/>
          <w:kern w:val="0"/>
          <w:sz w:val="32"/>
          <w:szCs w:val="32"/>
          <w:lang w:val="en-US" w:eastAsia="zh-CN" w:bidi="ar-SA"/>
        </w:rPr>
        <w:t>1、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pPr>
        <w:spacing w:line="600" w:lineRule="exact"/>
        <w:ind w:firstLine="640" w:firstLineChars="200"/>
        <w:rPr>
          <w:rFonts w:hint="eastAsia" w:ascii="仿宋" w:hAnsi="仿宋" w:eastAsia="仿宋" w:cs="Times New Roman"/>
          <w:bCs/>
          <w:kern w:val="0"/>
          <w:sz w:val="32"/>
          <w:szCs w:val="32"/>
          <w:lang w:val="en-US" w:eastAsia="zh-CN" w:bidi="ar-SA"/>
        </w:rPr>
      </w:pPr>
      <w:r>
        <w:rPr>
          <w:rFonts w:hint="eastAsia" w:ascii="仿宋" w:hAnsi="仿宋" w:eastAsia="仿宋" w:cs="Times New Roman"/>
          <w:bCs/>
          <w:kern w:val="0"/>
          <w:sz w:val="32"/>
          <w:szCs w:val="32"/>
          <w:lang w:val="en-US" w:eastAsia="zh-CN" w:bidi="ar-SA"/>
        </w:rPr>
        <w:t>2、制定并组织实施村镇建设规划，部署重点工程建设，地方道路建设及公共设施，水利设施的管理，负责土地、林木、水等自然资源和生态环境的保护，做好护林防火工作。</w:t>
      </w:r>
    </w:p>
    <w:p>
      <w:pPr>
        <w:spacing w:line="600" w:lineRule="exact"/>
        <w:ind w:firstLine="640" w:firstLineChars="200"/>
        <w:rPr>
          <w:rFonts w:hint="eastAsia" w:ascii="仿宋" w:hAnsi="仿宋" w:eastAsia="仿宋" w:cs="Times New Roman"/>
          <w:bCs/>
          <w:kern w:val="0"/>
          <w:sz w:val="32"/>
          <w:szCs w:val="32"/>
          <w:lang w:val="en-US" w:eastAsia="zh-CN" w:bidi="ar-SA"/>
        </w:rPr>
      </w:pPr>
      <w:r>
        <w:rPr>
          <w:rFonts w:hint="eastAsia" w:ascii="仿宋" w:hAnsi="仿宋" w:eastAsia="仿宋" w:cs="Times New Roman"/>
          <w:bCs/>
          <w:kern w:val="0"/>
          <w:sz w:val="32"/>
          <w:szCs w:val="32"/>
          <w:lang w:val="en-US" w:eastAsia="zh-CN" w:bidi="ar-SA"/>
        </w:rPr>
        <w:t>3、负责本行政区域内的民政、计划生育、文化教育、卫生、体育等社会公益事业的综合性工作，维护一切经济单位和个人的正当经济权益，取缔非法经济活动，调解和处理民事纠纷，打击刑事犯罪维护社会稳定。</w:t>
      </w:r>
    </w:p>
    <w:p>
      <w:pPr>
        <w:spacing w:line="600" w:lineRule="exact"/>
        <w:ind w:firstLine="640" w:firstLineChars="200"/>
        <w:rPr>
          <w:rFonts w:hint="eastAsia" w:ascii="仿宋" w:hAnsi="仿宋" w:eastAsia="仿宋" w:cs="Times New Roman"/>
          <w:bCs/>
          <w:kern w:val="0"/>
          <w:sz w:val="32"/>
          <w:szCs w:val="32"/>
          <w:lang w:val="en-US" w:eastAsia="zh-CN" w:bidi="ar-SA"/>
        </w:rPr>
      </w:pPr>
      <w:bookmarkStart w:id="18" w:name="_Toc15378446"/>
      <w:bookmarkStart w:id="19" w:name="_Toc15377199"/>
      <w:r>
        <w:rPr>
          <w:rFonts w:hint="eastAsia" w:ascii="仿宋" w:hAnsi="仿宋" w:eastAsia="仿宋" w:cs="Times New Roman"/>
          <w:bCs/>
          <w:kern w:val="0"/>
          <w:sz w:val="32"/>
          <w:szCs w:val="32"/>
          <w:lang w:val="en-US" w:eastAsia="zh-CN" w:bidi="ar-SA"/>
        </w:rPr>
        <w:t>（二）2022年重点工作完成情况。</w:t>
      </w:r>
      <w:bookmarkEnd w:id="18"/>
      <w:bookmarkEnd w:id="19"/>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color w:val="000000" w:themeColor="text1"/>
          <w:sz w:val="32"/>
          <w:szCs w:val="32"/>
          <w:lang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1.</w:t>
      </w:r>
      <w:r>
        <w:rPr>
          <w:rFonts w:hint="eastAsia" w:ascii="楷体" w:hAnsi="楷体" w:eastAsia="楷体" w:cs="楷体"/>
          <w:b/>
          <w:bCs/>
          <w:color w:val="000000" w:themeColor="text1"/>
          <w:sz w:val="32"/>
          <w:szCs w:val="32"/>
          <w14:textFill>
            <w14:solidFill>
              <w14:schemeClr w14:val="tx1"/>
            </w14:solidFill>
          </w14:textFill>
        </w:rPr>
        <w:t>党的建设全面</w:t>
      </w:r>
      <w:r>
        <w:rPr>
          <w:rFonts w:hint="eastAsia" w:ascii="楷体" w:hAnsi="楷体" w:eastAsia="楷体" w:cs="楷体"/>
          <w:b/>
          <w:bCs/>
          <w:color w:val="000000" w:themeColor="text1"/>
          <w:sz w:val="32"/>
          <w:szCs w:val="32"/>
          <w:lang w:eastAsia="zh-CN"/>
          <w14:textFill>
            <w14:solidFill>
              <w14:schemeClr w14:val="tx1"/>
            </w14:solidFill>
          </w14:textFill>
        </w:rPr>
        <w:t>加强</w:t>
      </w:r>
    </w:p>
    <w:p>
      <w:pPr>
        <w:spacing w:line="600" w:lineRule="exact"/>
        <w:ind w:firstLine="640" w:firstLineChars="200"/>
        <w:rPr>
          <w:rFonts w:hint="eastAsia" w:ascii="仿宋" w:hAnsi="仿宋" w:eastAsia="仿宋" w:cs="Times New Roman"/>
          <w:bCs/>
          <w:kern w:val="0"/>
          <w:sz w:val="32"/>
          <w:szCs w:val="32"/>
          <w:lang w:val="en-US" w:eastAsia="zh-CN" w:bidi="ar-SA"/>
        </w:rPr>
      </w:pPr>
      <w:r>
        <w:rPr>
          <w:rFonts w:hint="eastAsia" w:ascii="仿宋" w:hAnsi="仿宋" w:eastAsia="仿宋" w:cs="Times New Roman"/>
          <w:bCs/>
          <w:kern w:val="0"/>
          <w:sz w:val="32"/>
          <w:szCs w:val="32"/>
          <w:lang w:val="en-US" w:eastAsia="zh-CN" w:bidi="ar-SA"/>
        </w:rPr>
        <w:t>一是坚持把党的政治建设摆在首位，第一时间组织全镇党员学习党的</w:t>
      </w:r>
      <w:bookmarkStart w:id="73" w:name="_GoBack"/>
      <w:bookmarkEnd w:id="73"/>
      <w:r>
        <w:rPr>
          <w:rFonts w:hint="eastAsia" w:ascii="仿宋" w:hAnsi="仿宋" w:eastAsia="仿宋" w:cs="Times New Roman"/>
          <w:bCs/>
          <w:kern w:val="0"/>
          <w:sz w:val="32"/>
          <w:szCs w:val="32"/>
          <w:lang w:val="en-US" w:eastAsia="zh-CN" w:bidi="ar-SA"/>
        </w:rPr>
        <w:t>二十大精神，撰写心得体会50篇，持续深入学习习近平总书记系列重要讲话精神和《中国共产党章程（修正案）》等内容。二是严格落实党内组织生活，召开专题民主生活会3次，规范开展“三会一课”、主题党日活动共46次，班子成员讲党课24次，第一书记讲党课10次，全年召开理论中心组学习12次，研究党建课题5项。三是做到重要工作严格把关，跟踪问效，全面加强党员队伍建设，结合优秀农民工定向回引培养，全年新发展党员9名，其中7名优秀农民工。四是年初与村党组织书记签订《党建责任书》11份。五是对基层党组织党务工作存在的突出问题开展了全面清查，列出了问题清单及具体表现，共摸排出1个问题，并提出对策措施1条，现问题已彻底整改。六是加强党风廉政建设，实施“4321”精准监督，建立“三张清单”，执行“四责协同”、廉政风险“联防联控”、纪检监察“三公三化”，健全重要权利事项风险清单，规范行权流程，宣传好全省党风廉政建设社会评价工作，党风廉政建设社会评价满意度不断提升。</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楷体" w:cs="仿宋_GB2312"/>
          <w:color w:val="000000" w:themeColor="text1"/>
          <w:sz w:val="32"/>
          <w:szCs w:val="32"/>
          <w:lang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2.</w:t>
      </w:r>
      <w:r>
        <w:rPr>
          <w:rFonts w:hint="eastAsia" w:ascii="楷体" w:hAnsi="楷体" w:eastAsia="楷体" w:cs="楷体"/>
          <w:b/>
          <w:bCs/>
          <w:color w:val="000000" w:themeColor="text1"/>
          <w:sz w:val="32"/>
          <w:szCs w:val="32"/>
          <w:lang w:eastAsia="zh-CN"/>
          <w14:textFill>
            <w14:solidFill>
              <w14:schemeClr w14:val="tx1"/>
            </w14:solidFill>
          </w14:textFill>
        </w:rPr>
        <w:t>乡村振兴稳步推动</w:t>
      </w:r>
    </w:p>
    <w:p>
      <w:pPr>
        <w:spacing w:line="600" w:lineRule="exact"/>
        <w:ind w:firstLine="640" w:firstLineChars="200"/>
        <w:rPr>
          <w:rFonts w:hint="default" w:ascii="仿宋" w:hAnsi="仿宋" w:eastAsia="仿宋" w:cs="Times New Roman"/>
          <w:bCs/>
          <w:kern w:val="0"/>
          <w:sz w:val="32"/>
          <w:szCs w:val="32"/>
          <w:lang w:val="en-US" w:eastAsia="zh-CN" w:bidi="ar-SA"/>
        </w:rPr>
      </w:pPr>
      <w:r>
        <w:rPr>
          <w:rFonts w:hint="eastAsia" w:ascii="仿宋" w:hAnsi="仿宋" w:eastAsia="仿宋" w:cs="Times New Roman"/>
          <w:bCs/>
          <w:kern w:val="0"/>
          <w:sz w:val="32"/>
          <w:szCs w:val="32"/>
          <w:lang w:val="en-US" w:eastAsia="zh-CN" w:bidi="ar-SA"/>
        </w:rPr>
        <w:t>一是紧紧围绕“两不愁四保障”开展查漏补缺，确保脱贫攻坚成果有效巩固，开展日常排查，建立问题清单，会商制定整改措施，限定整改时限。二是通过群众自主申报、村级排查、部门线索反馈等方式进行防止返贫动态监测工作，从排查到纳入监测户，形成闭环程序，杜绝漏测、失帮。今年来，通过日常排查和2次集中排查，全镇共新识别监测户3户7人。三是切实加强驻村帮扶，督促驻村工作队员全面了解村情，因村施策制定长期帮扶规划和年度帮扶计划，并严格按计划组织实施，配合村两委完成全年建强村党组织、推进强村富民、提升治理水平、为民办事服务的目标任务。</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3.</w:t>
      </w:r>
      <w:r>
        <w:rPr>
          <w:rFonts w:hint="eastAsia" w:ascii="楷体" w:hAnsi="楷体" w:eastAsia="楷体" w:cs="楷体"/>
          <w:b/>
          <w:bCs/>
          <w:color w:val="000000" w:themeColor="text1"/>
          <w:sz w:val="32"/>
          <w:szCs w:val="32"/>
          <w14:textFill>
            <w14:solidFill>
              <w14:schemeClr w14:val="tx1"/>
            </w14:solidFill>
          </w14:textFill>
        </w:rPr>
        <w:t>产业发展提质增效</w:t>
      </w:r>
    </w:p>
    <w:p>
      <w:pPr>
        <w:spacing w:line="600" w:lineRule="exact"/>
        <w:ind w:firstLine="640" w:firstLineChars="200"/>
        <w:rPr>
          <w:rFonts w:hint="eastAsia" w:ascii="仿宋" w:hAnsi="仿宋" w:eastAsia="仿宋" w:cs="Times New Roman"/>
          <w:bCs/>
          <w:kern w:val="0"/>
          <w:sz w:val="32"/>
          <w:szCs w:val="32"/>
          <w:lang w:val="en-US" w:eastAsia="zh-CN" w:bidi="ar-SA"/>
        </w:rPr>
      </w:pPr>
      <w:r>
        <w:rPr>
          <w:rFonts w:hint="eastAsia" w:ascii="仿宋" w:hAnsi="仿宋" w:eastAsia="仿宋" w:cs="Times New Roman"/>
          <w:bCs/>
          <w:kern w:val="0"/>
          <w:sz w:val="32"/>
          <w:szCs w:val="32"/>
          <w:lang w:val="en-US" w:eastAsia="zh-CN" w:bidi="ar-SA"/>
        </w:rPr>
        <w:t>一是大力外引内扶5家新型农业经营主体发展，“深圳中谷元农业”投资3000万元在粮丰、白坝、广爱发展万亩柑橘产业，“中化农业”携手新鑫农业专业合作社投资3000万元在粮丰、福泉、时古发展万亩优质粮油，“嘉乡源畜牧有限公司”投资3250万元建设年出栏2000头肉牛养殖场，“广元浩蓬农业养殖有限公司”投资1500万元在石楼村建设现代农业种养循环基地，“巨星农牧有限公司”在同桥村建成万头规模种猪培育场。二是新招引“四川酉鸡农业发展有限公司”落地时古村，新建存栏30万羽蛋鸡养殖场、四川耕读集团在白坝村新建存栏900余头肉牛规模养殖场，均计划12月份建成投产。三是回引28位在外成功人士返乡创业，新建标准稻鱼、稻鳖、稻虾养殖基地1500亩、桑葚基地500亩、果药种植700余亩。四是成立农民专业合作社37家，培育扶持海山家庭农场、瑞盛果蔬家庭农场等家庭农场45家，创建省级专业合作社2家，国家级专业合作社1个，市级家庭农场3家，县级家庭农场14家。五是新培育年出栏生猪50头以上64户、500头以上1户、家禽1000只以上164户、5000只以上2户、培育年出栏50只以上肉羊22户、为元山的经济发展带来新的生机与活力。</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4.</w:t>
      </w:r>
      <w:r>
        <w:rPr>
          <w:rFonts w:hint="eastAsia" w:ascii="楷体" w:hAnsi="楷体" w:eastAsia="楷体" w:cs="楷体"/>
          <w:b/>
          <w:bCs/>
          <w:color w:val="000000" w:themeColor="text1"/>
          <w:sz w:val="32"/>
          <w:szCs w:val="32"/>
          <w:lang w:eastAsia="zh-CN"/>
          <w14:textFill>
            <w14:solidFill>
              <w14:schemeClr w14:val="tx1"/>
            </w14:solidFill>
          </w14:textFill>
        </w:rPr>
        <w:t>项目投资</w:t>
      </w:r>
      <w:r>
        <w:rPr>
          <w:rFonts w:hint="eastAsia" w:ascii="楷体" w:hAnsi="楷体" w:eastAsia="楷体" w:cs="楷体"/>
          <w:b/>
          <w:bCs/>
          <w:color w:val="000000" w:themeColor="text1"/>
          <w:sz w:val="32"/>
          <w:szCs w:val="32"/>
          <w14:textFill>
            <w14:solidFill>
              <w14:schemeClr w14:val="tx1"/>
            </w14:solidFill>
          </w14:textFill>
        </w:rPr>
        <w:t>成果显著</w:t>
      </w:r>
    </w:p>
    <w:p>
      <w:pPr>
        <w:spacing w:line="600" w:lineRule="exact"/>
        <w:ind w:firstLine="640" w:firstLineChars="200"/>
        <w:rPr>
          <w:rFonts w:hint="eastAsia" w:ascii="仿宋" w:hAnsi="仿宋" w:eastAsia="仿宋" w:cs="Times New Roman"/>
          <w:bCs/>
          <w:kern w:val="0"/>
          <w:sz w:val="32"/>
          <w:szCs w:val="32"/>
          <w:lang w:val="en-US" w:eastAsia="zh-CN" w:bidi="ar-SA"/>
        </w:rPr>
      </w:pPr>
      <w:r>
        <w:rPr>
          <w:rFonts w:hint="eastAsia" w:ascii="仿宋" w:hAnsi="仿宋" w:eastAsia="仿宋" w:cs="Times New Roman"/>
          <w:bCs/>
          <w:kern w:val="0"/>
          <w:sz w:val="32"/>
          <w:szCs w:val="32"/>
          <w:lang w:val="en-US" w:eastAsia="zh-CN" w:bidi="ar-SA"/>
        </w:rPr>
        <w:t>我镇大力推进招商引资工作，截至11月，完成招商引资签约资金1亿元，预计全年完成1亿五千万元。一是新签项目遍地开花。光明医院、剑阁县元山镇土鸡产业项目相继成功落地，元山镇医疗卫生和土鸡产业迈上新台阶。二是投资“新血液”接踵而至。光明医院建设项目取得进展，主体建设基本完成。冉辰农业有限公司、广元市嘉乡源畜牧有限公司计划扩大规模，增添投资建设配套产业。三是全程跟踪服务。按照“一核两带三基地”的产业格局，坚持“项目跟着产业走”，不断加大水利、电力、道路等基础设施建设，进一步优化投资环境。</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5.</w:t>
      </w:r>
      <w:r>
        <w:rPr>
          <w:rFonts w:hint="eastAsia" w:ascii="楷体" w:hAnsi="楷体" w:eastAsia="楷体" w:cs="楷体"/>
          <w:b/>
          <w:bCs/>
          <w:color w:val="000000" w:themeColor="text1"/>
          <w:sz w:val="32"/>
          <w:szCs w:val="32"/>
          <w:lang w:eastAsia="zh-CN"/>
          <w14:textFill>
            <w14:solidFill>
              <w14:schemeClr w14:val="tx1"/>
            </w14:solidFill>
          </w14:textFill>
        </w:rPr>
        <w:t>社会大局和谐稳定</w:t>
      </w:r>
    </w:p>
    <w:p>
      <w:pPr>
        <w:spacing w:line="600" w:lineRule="exact"/>
        <w:ind w:firstLine="640" w:firstLineChars="200"/>
        <w:rPr>
          <w:rFonts w:hint="eastAsia" w:ascii="仿宋" w:hAnsi="仿宋" w:eastAsia="仿宋" w:cs="Times New Roman"/>
          <w:bCs/>
          <w:kern w:val="0"/>
          <w:sz w:val="32"/>
          <w:szCs w:val="32"/>
          <w:lang w:val="en-US" w:eastAsia="zh-CN" w:bidi="ar-SA"/>
        </w:rPr>
      </w:pPr>
      <w:r>
        <w:rPr>
          <w:rFonts w:hint="eastAsia" w:ascii="仿宋" w:hAnsi="仿宋" w:eastAsia="仿宋" w:cs="Times New Roman"/>
          <w:bCs/>
          <w:kern w:val="0"/>
          <w:sz w:val="32"/>
          <w:szCs w:val="32"/>
          <w:lang w:val="en-US" w:eastAsia="zh-CN" w:bidi="ar-SA"/>
        </w:rPr>
        <w:t>一是安全生产真抓实管，严守红线思维、底线思维，做实做细排查、整治工作，推动行业领域专项整治，定期组织专项行动，不定期明察暗访，对问题和隐患详细登记造册，检查记录充实规范，隐患整改明确到人，注重整改期间的时效性和实际性，对违法行为绝不姑息，固定证据，移交至执法部门。二是综治维稳有效推进，定期召开综治工作相关会议，每季度至少3次，动态摸排辖区内矛盾纠纷，及时化解，发放相关宣传资料2000余份。元山镇司法所为群众提供法律咨询178人次，举办法律知识讲座3场次，并协助办理诉讼和非诉讼案件，代写法律文书，为当事人避免和挽回经济损失10余万元。调处各类矛盾纠纷233起，调处成功233起。</w:t>
      </w:r>
    </w:p>
    <w:p>
      <w:pPr>
        <w:spacing w:line="60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 w:hAnsi="仿宋" w:eastAsia="仿宋" w:cs="Times New Roman"/>
          <w:bCs/>
          <w:kern w:val="0"/>
          <w:sz w:val="32"/>
          <w:szCs w:val="32"/>
          <w:lang w:val="en-US" w:eastAsia="zh-CN" w:bidi="ar-SA"/>
        </w:rPr>
        <w:t>三是基础设施更趋健全，2022年新建村组道路19.4公里，改扩建6.7公里，整治山坪塘4口，整治维护灌溉渠1.2公里，新建提灌站3座，确保生产供水充足。</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color w:val="000000" w:themeColor="text1"/>
          <w:sz w:val="32"/>
          <w:szCs w:val="32"/>
          <w:lang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6.</w:t>
      </w:r>
      <w:r>
        <w:rPr>
          <w:rFonts w:hint="eastAsia" w:ascii="楷体" w:hAnsi="楷体" w:eastAsia="楷体" w:cs="楷体"/>
          <w:b/>
          <w:bCs/>
          <w:color w:val="000000" w:themeColor="text1"/>
          <w:sz w:val="32"/>
          <w:szCs w:val="32"/>
          <w:lang w:eastAsia="zh-CN"/>
          <w14:textFill>
            <w14:solidFill>
              <w14:schemeClr w14:val="tx1"/>
            </w14:solidFill>
          </w14:textFill>
        </w:rPr>
        <w:t>抓实抓细疫情防控</w:t>
      </w:r>
    </w:p>
    <w:p>
      <w:pPr>
        <w:spacing w:line="600" w:lineRule="exact"/>
        <w:ind w:firstLine="640" w:firstLineChars="200"/>
        <w:rPr>
          <w:rFonts w:hint="eastAsia" w:ascii="仿宋" w:hAnsi="仿宋" w:eastAsia="仿宋" w:cs="Times New Roman"/>
          <w:bCs/>
          <w:kern w:val="0"/>
          <w:sz w:val="32"/>
          <w:szCs w:val="32"/>
          <w:lang w:val="en-US" w:eastAsia="zh-CN" w:bidi="ar-SA"/>
        </w:rPr>
      </w:pPr>
      <w:r>
        <w:rPr>
          <w:rFonts w:hint="eastAsia" w:ascii="仿宋" w:hAnsi="仿宋" w:eastAsia="仿宋" w:cs="Times New Roman"/>
          <w:bCs/>
          <w:kern w:val="0"/>
          <w:sz w:val="32"/>
          <w:szCs w:val="32"/>
          <w:lang w:val="en-US" w:eastAsia="zh-CN" w:bidi="ar-SA"/>
        </w:rPr>
        <w:t>一是抓党建促防疫，强化战斗堡垒。我镇与梓潼县文兴镇成立交通卡口疫情防控临时联合党支部，激发广大党员在疫情防控中的先锋模范作用和党组织战斗堡垒作用，凝心聚力守好剑阁疫情防控“南大门”。同时，严格落实镇干部+村干部+村医+民警+网格员的“五包一”包保责任制，压实疫情防控责任，精准防控，巩固联防联控成效，提升服务保障能力。二是科学谋划部署、强化排查管控。在我镇辖区内超限站和黑土坝两个交通卡口，镇、村干部24小时轮流值班，坚决贯彻落实“入川即检”“入广即检”防疫政策要求，严格执行“六查一扫一测一登记”。建立周边10余乡镇联防联控信息共享微信群，强化返乡人员报备及点对点落实管控措施。三是广泛宣传动员，强化群防群控。通过悬挂条幅、张贴标语和通告、车载喇叭等形式多样的宣传方式，提高全民对疫情的认识，通过网格化管理积极开展“敲门行动”挨家挨户上门摸排，进行“拉网式”“地毯式”全覆盖、无死角排查，确保全员核酸检测和风险人员排查不漏一户，不落一人。今年来，元山镇疫情防控财政投入15万元，社会捐助防疫物资5万余元，积极帮助解决群众生活物资保障、全员核酸服务、居家隔离管控等方面的急难愁盼问题100余件。</w:t>
      </w:r>
    </w:p>
    <w:p>
      <w:pPr>
        <w:pStyle w:val="4"/>
        <w:rPr>
          <w:rStyle w:val="32"/>
          <w:b w:val="0"/>
          <w:bCs w:val="0"/>
        </w:rPr>
      </w:pPr>
      <w:bookmarkStart w:id="20" w:name="_Toc15396601"/>
      <w:bookmarkStart w:id="21" w:name="_Toc15377200"/>
      <w:r>
        <w:rPr>
          <w:rFonts w:hint="eastAsia" w:ascii="黑体" w:eastAsia="黑体"/>
          <w:b w:val="0"/>
        </w:rPr>
        <w:t>二、</w:t>
      </w:r>
      <w:r>
        <w:rPr>
          <w:rFonts w:hint="eastAsia" w:ascii="黑体" w:hAnsi="黑体" w:eastAsia="黑体"/>
          <w:b w:val="0"/>
        </w:rPr>
        <w:t>机</w:t>
      </w:r>
      <w:r>
        <w:rPr>
          <w:rStyle w:val="32"/>
          <w:rFonts w:hint="eastAsia" w:ascii="黑体" w:hAnsi="黑体" w:eastAsia="黑体"/>
          <w:b w:val="0"/>
          <w:bCs w:val="0"/>
        </w:rPr>
        <w:t>构设置</w:t>
      </w:r>
      <w:bookmarkEnd w:id="20"/>
      <w:bookmarkEnd w:id="21"/>
    </w:p>
    <w:p>
      <w:pPr>
        <w:spacing w:line="600" w:lineRule="exact"/>
        <w:ind w:firstLine="640" w:firstLineChars="200"/>
        <w:rPr>
          <w:rFonts w:hint="eastAsia" w:ascii="仿宋" w:hAnsi="仿宋" w:eastAsia="仿宋" w:cs="Times New Roman"/>
          <w:bCs/>
          <w:kern w:val="0"/>
          <w:sz w:val="32"/>
          <w:szCs w:val="32"/>
          <w:lang w:val="en-US" w:eastAsia="zh-CN" w:bidi="ar-SA"/>
        </w:rPr>
      </w:pPr>
      <w:r>
        <w:rPr>
          <w:rFonts w:hint="eastAsia" w:ascii="仿宋" w:hAnsi="仿宋" w:eastAsia="仿宋" w:cs="Times New Roman"/>
          <w:bCs/>
          <w:kern w:val="0"/>
          <w:sz w:val="32"/>
          <w:szCs w:val="32"/>
          <w:lang w:val="en-US" w:eastAsia="zh-CN" w:bidi="ar-SA"/>
        </w:rPr>
        <w:t>剑阁县元山镇人民政府下属二级单位0个，其中行政单位0个，参照公务员法管理的事业单位0个，其他事业单位0个。</w:t>
      </w:r>
    </w:p>
    <w:p>
      <w:pPr>
        <w:spacing w:line="600" w:lineRule="exact"/>
        <w:ind w:firstLine="640" w:firstLineChars="200"/>
        <w:rPr>
          <w:rFonts w:hint="eastAsia" w:ascii="仿宋" w:hAnsi="仿宋" w:eastAsia="仿宋" w:cs="Times New Roman"/>
          <w:bCs/>
          <w:kern w:val="0"/>
          <w:sz w:val="32"/>
          <w:szCs w:val="32"/>
          <w:lang w:val="en-US" w:eastAsia="zh-CN" w:bidi="ar-SA"/>
        </w:rPr>
      </w:pPr>
      <w:r>
        <w:rPr>
          <w:rFonts w:hint="eastAsia" w:ascii="仿宋" w:hAnsi="仿宋" w:eastAsia="仿宋" w:cs="Times New Roman"/>
          <w:bCs/>
          <w:kern w:val="0"/>
          <w:sz w:val="32"/>
          <w:szCs w:val="32"/>
          <w:lang w:val="en-US" w:eastAsia="zh-CN" w:bidi="ar-SA"/>
        </w:rPr>
        <w:t>无纳入剑阁县元山镇人民政府2022年度部门决算编制范围的二级预算单位。</w:t>
      </w:r>
    </w:p>
    <w:p>
      <w:pPr>
        <w:spacing w:line="600" w:lineRule="exact"/>
        <w:ind w:firstLine="640" w:firstLineChars="200"/>
        <w:rPr>
          <w:rFonts w:hint="eastAsia" w:ascii="仿宋" w:hAnsi="仿宋" w:eastAsia="仿宋" w:cs="Times New Roman"/>
          <w:bCs/>
          <w:kern w:val="0"/>
          <w:sz w:val="32"/>
          <w:szCs w:val="32"/>
          <w:lang w:val="en-US" w:eastAsia="zh-CN" w:bidi="ar-SA"/>
        </w:rPr>
      </w:pPr>
      <w:r>
        <w:rPr>
          <w:rFonts w:hint="eastAsia" w:ascii="仿宋" w:hAnsi="仿宋" w:eastAsia="仿宋" w:cs="Times New Roman"/>
          <w:bCs/>
          <w:kern w:val="0"/>
          <w:sz w:val="32"/>
          <w:szCs w:val="32"/>
          <w:lang w:val="en-US" w:eastAsia="zh-CN" w:bidi="ar-SA"/>
        </w:rPr>
        <w:br w:type="page"/>
      </w:r>
    </w:p>
    <w:p>
      <w:pPr>
        <w:pStyle w:val="3"/>
        <w:ind w:right="440"/>
        <w:jc w:val="center"/>
        <w:rPr>
          <w:rStyle w:val="31"/>
          <w:rFonts w:ascii="黑体" w:hAnsi="黑体" w:eastAsia="黑体"/>
          <w:b w:val="0"/>
          <w:bCs/>
        </w:rPr>
      </w:pPr>
      <w:bookmarkStart w:id="22" w:name="_Toc15396602"/>
      <w:bookmarkStart w:id="23" w:name="_Toc15377204"/>
      <w:r>
        <w:rPr>
          <w:rFonts w:hint="eastAsia" w:ascii="黑体" w:hAnsi="黑体" w:eastAsia="黑体"/>
          <w:b w:val="0"/>
        </w:rPr>
        <w:t>第二部分 202</w:t>
      </w:r>
      <w:r>
        <w:rPr>
          <w:rFonts w:hint="eastAsia" w:ascii="黑体" w:hAnsi="黑体" w:eastAsia="黑体"/>
          <w:b w:val="0"/>
          <w:lang w:val="en-US" w:eastAsia="zh-CN"/>
        </w:rPr>
        <w:t>2</w:t>
      </w:r>
      <w:r>
        <w:rPr>
          <w:rFonts w:hint="eastAsia" w:ascii="黑体" w:hAnsi="黑体" w:eastAsia="黑体"/>
          <w:b w:val="0"/>
        </w:rPr>
        <w:t>年度</w:t>
      </w:r>
      <w:r>
        <w:rPr>
          <w:rStyle w:val="31"/>
          <w:rFonts w:hint="eastAsia" w:ascii="黑体" w:hAnsi="黑体" w:eastAsia="黑体"/>
          <w:b w:val="0"/>
          <w:bCs/>
        </w:rPr>
        <w:t>部门决算情况说明</w:t>
      </w:r>
      <w:bookmarkEnd w:id="22"/>
      <w:bookmarkEnd w:id="23"/>
    </w:p>
    <w:p/>
    <w:p>
      <w:pPr>
        <w:pStyle w:val="30"/>
        <w:numPr>
          <w:ilvl w:val="0"/>
          <w:numId w:val="1"/>
        </w:numPr>
        <w:spacing w:line="600" w:lineRule="exact"/>
        <w:ind w:firstLineChars="0"/>
        <w:outlineLvl w:val="1"/>
        <w:rPr>
          <w:rStyle w:val="32"/>
          <w:rFonts w:ascii="黑体" w:hAnsi="黑体" w:eastAsia="黑体"/>
          <w:b w:val="0"/>
        </w:rPr>
      </w:pPr>
      <w:bookmarkStart w:id="24" w:name="_Toc15377205"/>
      <w:bookmarkStart w:id="25" w:name="_Toc15396603"/>
      <w:r>
        <w:rPr>
          <w:rFonts w:hint="eastAsia" w:ascii="黑体" w:hAnsi="黑体" w:eastAsia="黑体"/>
          <w:sz w:val="32"/>
          <w:szCs w:val="32"/>
        </w:rPr>
        <w:t>收</w:t>
      </w:r>
      <w:r>
        <w:rPr>
          <w:rStyle w:val="32"/>
          <w:rFonts w:hint="eastAsia" w:ascii="黑体" w:hAnsi="黑体" w:eastAsia="黑体"/>
          <w:b w:val="0"/>
        </w:rPr>
        <w:t>入支出决算总体情况说明</w:t>
      </w:r>
      <w:bookmarkEnd w:id="24"/>
      <w:bookmarkEnd w:id="25"/>
    </w:p>
    <w:p>
      <w:pPr>
        <w:spacing w:line="600" w:lineRule="exact"/>
        <w:ind w:firstLine="640" w:firstLineChars="200"/>
        <w:rPr>
          <w:rFonts w:hint="eastAsia" w:ascii="仿宋" w:hAnsi="仿宋" w:eastAsia="仿宋" w:cs="Times New Roman"/>
          <w:bCs/>
          <w:kern w:val="0"/>
          <w:sz w:val="32"/>
          <w:szCs w:val="32"/>
          <w:lang w:val="en-US" w:eastAsia="zh-CN" w:bidi="ar-SA"/>
        </w:rPr>
      </w:pPr>
      <w:r>
        <w:rPr>
          <w:rFonts w:hint="eastAsia" w:ascii="仿宋" w:hAnsi="仿宋" w:eastAsia="仿宋" w:cs="Times New Roman"/>
          <w:bCs/>
          <w:kern w:val="0"/>
          <w:sz w:val="32"/>
          <w:szCs w:val="32"/>
          <w:lang w:val="en-US" w:eastAsia="zh-CN" w:bidi="ar-SA"/>
        </w:rPr>
        <w:t>2022年度收、支总计1651.43万元。与2021年相比，收、支总计各减少55.43万元，下降3.25%。主要变动原因是人员退休调出，在编人数减少，机关人员及运行经费减少。</w:t>
      </w:r>
    </w:p>
    <w:p>
      <w:pPr>
        <w:pStyle w:val="2"/>
        <w:jc w:val="center"/>
      </w:pPr>
      <w:r>
        <w:drawing>
          <wp:inline distT="0" distB="0" distL="114300" distR="114300">
            <wp:extent cx="3724275" cy="3333750"/>
            <wp:effectExtent l="4445" t="5080" r="5080" b="13970"/>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jc w:val="center"/>
      </w:pPr>
      <w:r>
        <w:rPr>
          <w:rFonts w:hint="eastAsia" w:ascii="仿宋" w:hAnsi="仿宋" w:eastAsia="仿宋" w:cs="仿宋"/>
          <w:color w:val="000000"/>
          <w:sz w:val="28"/>
          <w:szCs w:val="28"/>
        </w:rPr>
        <w:t>图</w:t>
      </w:r>
      <w:r>
        <w:rPr>
          <w:rFonts w:ascii="仿宋" w:hAnsi="仿宋" w:eastAsia="仿宋" w:cs="仿宋"/>
          <w:color w:val="000000"/>
          <w:sz w:val="28"/>
          <w:szCs w:val="28"/>
        </w:rPr>
        <w:t>1</w:t>
      </w:r>
      <w:r>
        <w:rPr>
          <w:rFonts w:hint="eastAsia" w:ascii="仿宋" w:hAnsi="仿宋" w:eastAsia="仿宋" w:cs="仿宋"/>
          <w:color w:val="000000"/>
          <w:sz w:val="28"/>
          <w:szCs w:val="28"/>
        </w:rPr>
        <w:t>：收</w:t>
      </w:r>
      <w:r>
        <w:rPr>
          <w:rFonts w:hint="eastAsia" w:ascii="仿宋" w:hAnsi="仿宋" w:eastAsia="仿宋" w:cs="仿宋"/>
          <w:color w:val="000000"/>
          <w:sz w:val="28"/>
          <w:szCs w:val="28"/>
          <w:lang w:eastAsia="zh-CN"/>
        </w:rPr>
        <w:t>、支</w:t>
      </w:r>
      <w:r>
        <w:rPr>
          <w:rFonts w:hint="eastAsia" w:ascii="仿宋" w:hAnsi="仿宋" w:eastAsia="仿宋" w:cs="仿宋"/>
          <w:color w:val="000000"/>
          <w:sz w:val="28"/>
          <w:szCs w:val="28"/>
        </w:rPr>
        <w:t>决算总计变动情况图</w:t>
      </w:r>
    </w:p>
    <w:p>
      <w:pPr>
        <w:pStyle w:val="30"/>
        <w:numPr>
          <w:ilvl w:val="0"/>
          <w:numId w:val="1"/>
        </w:numPr>
        <w:spacing w:line="600" w:lineRule="exact"/>
        <w:ind w:firstLineChars="0"/>
        <w:outlineLvl w:val="1"/>
        <w:rPr>
          <w:rStyle w:val="32"/>
          <w:rFonts w:ascii="黑体" w:hAnsi="黑体" w:eastAsia="黑体"/>
          <w:b w:val="0"/>
        </w:rPr>
      </w:pPr>
      <w:bookmarkStart w:id="26" w:name="_Toc15396604"/>
      <w:bookmarkStart w:id="27" w:name="_Toc15377206"/>
      <w:r>
        <w:rPr>
          <w:rFonts w:hint="eastAsia" w:ascii="黑体" w:hAnsi="黑体" w:eastAsia="黑体"/>
          <w:sz w:val="32"/>
          <w:szCs w:val="32"/>
        </w:rPr>
        <w:t>收</w:t>
      </w:r>
      <w:r>
        <w:rPr>
          <w:rStyle w:val="32"/>
          <w:rFonts w:hint="eastAsia" w:ascii="黑体" w:hAnsi="黑体" w:eastAsia="黑体"/>
          <w:b w:val="0"/>
        </w:rPr>
        <w:t>入决算情况说明</w:t>
      </w:r>
      <w:bookmarkEnd w:id="26"/>
      <w:bookmarkEnd w:id="27"/>
    </w:p>
    <w:p>
      <w:pPr>
        <w:spacing w:line="600" w:lineRule="exact"/>
        <w:ind w:firstLine="640" w:firstLineChars="200"/>
        <w:outlineLvl w:val="1"/>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年本年收入合计</w:t>
      </w:r>
      <w:r>
        <w:rPr>
          <w:rFonts w:hint="eastAsia" w:ascii="仿宋" w:hAnsi="仿宋" w:eastAsia="仿宋"/>
          <w:sz w:val="32"/>
          <w:szCs w:val="32"/>
          <w:lang w:val="en-US" w:eastAsia="zh-CN"/>
        </w:rPr>
        <w:t>1651.43</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1651.43</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Style w:val="13"/>
        <w:ind w:left="0" w:leftChars="0" w:firstLine="0" w:firstLineChars="0"/>
        <w:jc w:val="center"/>
      </w:pPr>
      <w:r>
        <w:drawing>
          <wp:inline distT="0" distB="0" distL="114300" distR="114300">
            <wp:extent cx="4762500" cy="2743200"/>
            <wp:effectExtent l="4445" t="4445" r="14605" b="14605"/>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jc w:val="center"/>
        <w:rPr>
          <w:rFonts w:hint="eastAsia" w:ascii="仿宋_GB2312" w:eastAsia="仿宋_GB2312"/>
          <w:color w:val="FF0000"/>
          <w:sz w:val="32"/>
          <w:szCs w:val="32"/>
          <w:lang w:eastAsia="zh-CN"/>
        </w:rPr>
      </w:pPr>
      <w:r>
        <w:rPr>
          <w:rFonts w:hint="eastAsia" w:ascii="仿宋" w:hAnsi="仿宋" w:eastAsia="仿宋" w:cs="仿宋"/>
          <w:color w:val="000000"/>
          <w:sz w:val="28"/>
          <w:szCs w:val="28"/>
        </w:rPr>
        <w:t>图</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：收入决算结构图</w:t>
      </w:r>
    </w:p>
    <w:p>
      <w:pPr>
        <w:pStyle w:val="6"/>
      </w:pPr>
    </w:p>
    <w:p>
      <w:pPr>
        <w:pStyle w:val="30"/>
        <w:numPr>
          <w:ilvl w:val="0"/>
          <w:numId w:val="1"/>
        </w:numPr>
        <w:spacing w:line="600" w:lineRule="exact"/>
        <w:ind w:firstLineChars="0"/>
        <w:outlineLvl w:val="1"/>
        <w:rPr>
          <w:rStyle w:val="32"/>
          <w:rFonts w:ascii="黑体" w:hAnsi="黑体" w:eastAsia="黑体"/>
          <w:b w:val="0"/>
        </w:rPr>
      </w:pPr>
      <w:bookmarkStart w:id="28" w:name="_Toc15377207"/>
      <w:bookmarkStart w:id="29" w:name="_Toc15396605"/>
      <w:r>
        <w:rPr>
          <w:rFonts w:hint="eastAsia" w:ascii="黑体" w:hAnsi="黑体" w:eastAsia="黑体"/>
          <w:sz w:val="32"/>
          <w:szCs w:val="32"/>
        </w:rPr>
        <w:t>支</w:t>
      </w:r>
      <w:r>
        <w:rPr>
          <w:rStyle w:val="32"/>
          <w:rFonts w:hint="eastAsia" w:ascii="黑体" w:hAnsi="黑体" w:eastAsia="黑体"/>
          <w:b w:val="0"/>
        </w:rPr>
        <w:t>出决算情况说明</w:t>
      </w:r>
      <w:bookmarkEnd w:id="28"/>
      <w:bookmarkEnd w:id="29"/>
    </w:p>
    <w:p>
      <w:pPr>
        <w:spacing w:line="600" w:lineRule="exact"/>
        <w:ind w:firstLine="640" w:firstLineChars="200"/>
        <w:outlineLvl w:val="1"/>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年本年支出合计</w:t>
      </w:r>
      <w:r>
        <w:rPr>
          <w:rFonts w:hint="eastAsia" w:ascii="仿宋" w:hAnsi="仿宋" w:eastAsia="仿宋"/>
          <w:sz w:val="32"/>
          <w:szCs w:val="32"/>
          <w:lang w:val="en-US" w:eastAsia="zh-CN"/>
        </w:rPr>
        <w:t>1651.43</w:t>
      </w:r>
      <w:r>
        <w:rPr>
          <w:rFonts w:hint="eastAsia" w:ascii="仿宋" w:hAnsi="仿宋" w:eastAsia="仿宋"/>
          <w:sz w:val="32"/>
          <w:szCs w:val="32"/>
        </w:rPr>
        <w:t>万元，其中：基本支出</w:t>
      </w:r>
      <w:r>
        <w:rPr>
          <w:rFonts w:hint="eastAsia" w:ascii="仿宋" w:hAnsi="仿宋" w:eastAsia="仿宋"/>
          <w:sz w:val="32"/>
          <w:szCs w:val="32"/>
          <w:lang w:val="en-US" w:eastAsia="zh-CN"/>
        </w:rPr>
        <w:t>1127.79</w:t>
      </w:r>
      <w:r>
        <w:rPr>
          <w:rFonts w:hint="eastAsia" w:ascii="仿宋" w:hAnsi="仿宋" w:eastAsia="仿宋"/>
          <w:sz w:val="32"/>
          <w:szCs w:val="32"/>
        </w:rPr>
        <w:t>万元，占</w:t>
      </w:r>
      <w:r>
        <w:rPr>
          <w:rFonts w:hint="eastAsia" w:ascii="仿宋" w:hAnsi="仿宋" w:eastAsia="仿宋"/>
          <w:sz w:val="32"/>
          <w:szCs w:val="32"/>
          <w:lang w:val="en-US" w:eastAsia="zh-CN"/>
        </w:rPr>
        <w:t>68.29</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523.65</w:t>
      </w:r>
      <w:r>
        <w:rPr>
          <w:rFonts w:hint="eastAsia" w:ascii="仿宋" w:hAnsi="仿宋" w:eastAsia="仿宋"/>
          <w:sz w:val="32"/>
          <w:szCs w:val="32"/>
        </w:rPr>
        <w:t>万元，占</w:t>
      </w:r>
      <w:r>
        <w:rPr>
          <w:rFonts w:hint="eastAsia" w:ascii="仿宋" w:hAnsi="仿宋" w:eastAsia="仿宋"/>
          <w:sz w:val="32"/>
          <w:szCs w:val="32"/>
          <w:lang w:val="en-US" w:eastAsia="zh-CN"/>
        </w:rPr>
        <w:t>31.71</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Style w:val="13"/>
        <w:ind w:left="0" w:leftChars="0" w:firstLine="0" w:firstLineChars="0"/>
      </w:pPr>
      <w:r>
        <w:drawing>
          <wp:inline distT="0" distB="0" distL="114300" distR="114300">
            <wp:extent cx="5269865" cy="2691130"/>
            <wp:effectExtent l="4445" t="4445" r="21590" b="9525"/>
            <wp:docPr id="9"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jc w:val="center"/>
      </w:pPr>
      <w:r>
        <w:rPr>
          <w:rFonts w:hint="eastAsia" w:ascii="仿宋" w:hAnsi="仿宋" w:eastAsia="仿宋" w:cs="仿宋"/>
          <w:color w:val="000000"/>
          <w:sz w:val="28"/>
          <w:szCs w:val="28"/>
        </w:rPr>
        <w:t>图</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支出</w:t>
      </w:r>
      <w:r>
        <w:rPr>
          <w:rFonts w:hint="eastAsia" w:ascii="仿宋" w:hAnsi="仿宋" w:eastAsia="仿宋" w:cs="仿宋"/>
          <w:color w:val="000000"/>
          <w:sz w:val="28"/>
          <w:szCs w:val="28"/>
        </w:rPr>
        <w:t>决算结构图</w:t>
      </w:r>
    </w:p>
    <w:p>
      <w:pPr>
        <w:spacing w:line="600" w:lineRule="exact"/>
        <w:ind w:firstLine="640" w:firstLineChars="200"/>
        <w:outlineLvl w:val="1"/>
        <w:rPr>
          <w:rStyle w:val="32"/>
          <w:rFonts w:ascii="黑体" w:hAnsi="黑体" w:eastAsia="黑体"/>
          <w:b w:val="0"/>
        </w:rPr>
      </w:pPr>
      <w:bookmarkStart w:id="30" w:name="_Toc15377208"/>
      <w:bookmarkStart w:id="31" w:name="_Toc15396606"/>
      <w:r>
        <w:rPr>
          <w:rFonts w:hint="eastAsia" w:ascii="黑体" w:hAnsi="黑体" w:eastAsia="黑体"/>
          <w:sz w:val="32"/>
          <w:szCs w:val="32"/>
        </w:rPr>
        <w:t>四、财</w:t>
      </w:r>
      <w:r>
        <w:rPr>
          <w:rStyle w:val="32"/>
          <w:rFonts w:hint="eastAsia" w:ascii="黑体" w:hAnsi="黑体" w:eastAsia="黑体"/>
          <w:b w:val="0"/>
        </w:rPr>
        <w:t>政拨款收入支出决算总体情况说明</w:t>
      </w:r>
      <w:bookmarkEnd w:id="30"/>
      <w:bookmarkEnd w:id="31"/>
    </w:p>
    <w:p>
      <w:pPr>
        <w:spacing w:line="600" w:lineRule="exact"/>
        <w:ind w:firstLine="640"/>
        <w:rPr>
          <w:rFonts w:hint="default" w:ascii="仿宋" w:hAnsi="仿宋" w:eastAsia="仿宋"/>
          <w:b/>
          <w:sz w:val="32"/>
          <w:szCs w:val="32"/>
          <w:lang w:val="en-US" w:eastAsia="zh-CN"/>
        </w:rPr>
      </w:pPr>
      <w:r>
        <w:drawing>
          <wp:anchor distT="0" distB="0" distL="114300" distR="114300" simplePos="0" relativeHeight="251659264" behindDoc="1" locked="0" layoutInCell="1" allowOverlap="1">
            <wp:simplePos x="0" y="0"/>
            <wp:positionH relativeFrom="column">
              <wp:posOffset>506730</wp:posOffset>
            </wp:positionH>
            <wp:positionV relativeFrom="paragraph">
              <wp:posOffset>1504315</wp:posOffset>
            </wp:positionV>
            <wp:extent cx="4297680" cy="2947035"/>
            <wp:effectExtent l="4445" t="5080" r="22225" b="19685"/>
            <wp:wrapNone/>
            <wp:docPr id="10" name="图片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年财政拨款收、支总计</w:t>
      </w:r>
      <w:r>
        <w:rPr>
          <w:rFonts w:hint="eastAsia" w:ascii="仿宋" w:hAnsi="仿宋" w:eastAsia="仿宋"/>
          <w:sz w:val="32"/>
          <w:szCs w:val="32"/>
          <w:lang w:val="en-US" w:eastAsia="zh-CN"/>
        </w:rPr>
        <w:t>1651.43</w:t>
      </w:r>
      <w:r>
        <w:rPr>
          <w:rFonts w:hint="eastAsia" w:ascii="仿宋" w:hAnsi="仿宋" w:eastAsia="仿宋"/>
          <w:sz w:val="32"/>
          <w:szCs w:val="32"/>
        </w:rPr>
        <w:t>万元。与202</w:t>
      </w:r>
      <w:r>
        <w:rPr>
          <w:rFonts w:hint="eastAsia" w:ascii="仿宋" w:hAnsi="仿宋" w:eastAsia="仿宋"/>
          <w:sz w:val="32"/>
          <w:szCs w:val="32"/>
          <w:lang w:val="en-US" w:eastAsia="zh-CN"/>
        </w:rPr>
        <w:t>1</w:t>
      </w:r>
      <w:r>
        <w:rPr>
          <w:rFonts w:hint="eastAsia" w:ascii="仿宋" w:hAnsi="仿宋" w:eastAsia="仿宋"/>
          <w:sz w:val="32"/>
          <w:szCs w:val="32"/>
        </w:rPr>
        <w:t>年相比，收、支总计各</w:t>
      </w:r>
      <w:r>
        <w:rPr>
          <w:rFonts w:hint="eastAsia" w:ascii="仿宋" w:hAnsi="仿宋" w:eastAsia="仿宋" w:cs="Times New Roman"/>
          <w:sz w:val="32"/>
          <w:szCs w:val="32"/>
          <w:lang w:val="en-US" w:eastAsia="zh-CN"/>
        </w:rPr>
        <w:t>减少55.43</w:t>
      </w:r>
      <w:r>
        <w:rPr>
          <w:rFonts w:hint="eastAsia" w:ascii="仿宋" w:hAnsi="仿宋" w:eastAsia="仿宋" w:cs="Times New Roman"/>
          <w:sz w:val="32"/>
          <w:szCs w:val="32"/>
        </w:rPr>
        <w:t>万元，</w:t>
      </w:r>
      <w:r>
        <w:rPr>
          <w:rFonts w:hint="eastAsia" w:ascii="仿宋" w:hAnsi="仿宋" w:eastAsia="仿宋" w:cs="Times New Roman"/>
          <w:sz w:val="32"/>
          <w:szCs w:val="32"/>
          <w:lang w:val="en-US" w:eastAsia="zh-CN"/>
        </w:rPr>
        <w:t>下降3.25</w:t>
      </w:r>
      <w:r>
        <w:rPr>
          <w:rFonts w:hint="eastAsia" w:ascii="仿宋" w:hAnsi="仿宋" w:eastAsia="仿宋" w:cs="Times New Roman"/>
          <w:sz w:val="32"/>
          <w:szCs w:val="32"/>
        </w:rPr>
        <w:t>%。主要变动原因是</w:t>
      </w:r>
      <w:r>
        <w:rPr>
          <w:rFonts w:hint="eastAsia" w:ascii="仿宋" w:hAnsi="仿宋" w:eastAsia="仿宋" w:cs="Times New Roman"/>
          <w:bCs/>
          <w:kern w:val="0"/>
          <w:sz w:val="32"/>
          <w:szCs w:val="32"/>
          <w:lang w:val="en-US" w:eastAsia="zh-CN" w:bidi="ar-SA"/>
        </w:rPr>
        <w:t>人员退休调出，在编人数减少，机关人员及运行经费减少</w:t>
      </w:r>
      <w:r>
        <w:rPr>
          <w:rFonts w:hint="eastAsia" w:ascii="仿宋" w:hAnsi="仿宋" w:eastAsia="仿宋" w:cs="Times New Roman"/>
          <w:sz w:val="32"/>
          <w:szCs w:val="32"/>
          <w:lang w:val="en-US" w:eastAsia="zh-CN"/>
        </w:rPr>
        <w:t>。</w:t>
      </w:r>
    </w:p>
    <w:p>
      <w:pPr>
        <w:spacing w:line="600" w:lineRule="exact"/>
        <w:rPr>
          <w:rFonts w:hint="default" w:ascii="仿宋" w:hAnsi="仿宋" w:eastAsia="仿宋"/>
          <w:b/>
          <w:sz w:val="32"/>
          <w:szCs w:val="32"/>
          <w:lang w:val="en-US" w:eastAsia="zh-CN"/>
        </w:rPr>
      </w:pPr>
      <w:r>
        <w:rPr>
          <w:rFonts w:hint="eastAsia" w:ascii="仿宋" w:hAnsi="仿宋" w:eastAsia="仿宋"/>
          <w:b/>
          <w:sz w:val="32"/>
          <w:szCs w:val="32"/>
          <w:lang w:val="en-US" w:eastAsia="zh-CN"/>
        </w:rPr>
        <w:t xml:space="preserve">    </w:t>
      </w:r>
    </w:p>
    <w:p>
      <w:pPr>
        <w:spacing w:line="600" w:lineRule="exact"/>
        <w:rPr>
          <w:rFonts w:hint="default" w:ascii="仿宋" w:hAnsi="仿宋" w:eastAsia="仿宋"/>
          <w:b/>
          <w:sz w:val="32"/>
          <w:szCs w:val="32"/>
          <w:lang w:val="en-US" w:eastAsia="zh-CN"/>
        </w:rPr>
      </w:pPr>
      <w:r>
        <w:rPr>
          <w:rFonts w:hint="eastAsia" w:ascii="仿宋" w:hAnsi="仿宋" w:eastAsia="仿宋"/>
          <w:b/>
          <w:sz w:val="32"/>
          <w:szCs w:val="32"/>
          <w:lang w:val="en-US" w:eastAsia="zh-CN"/>
        </w:rPr>
        <w:t xml:space="preserve">  </w:t>
      </w:r>
    </w:p>
    <w:p>
      <w:pPr>
        <w:pStyle w:val="13"/>
        <w:jc w:val="both"/>
      </w:pPr>
    </w:p>
    <w:p>
      <w:pPr>
        <w:spacing w:line="600" w:lineRule="exact"/>
        <w:rPr>
          <w:rFonts w:ascii="仿宋" w:hAnsi="仿宋" w:eastAsia="仿宋"/>
          <w:b/>
          <w:sz w:val="32"/>
          <w:szCs w:val="32"/>
        </w:rPr>
      </w:pPr>
    </w:p>
    <w:p>
      <w:pPr>
        <w:spacing w:line="600" w:lineRule="exact"/>
        <w:rPr>
          <w:rFonts w:ascii="仿宋" w:hAnsi="仿宋" w:eastAsia="仿宋"/>
          <w:b/>
          <w:sz w:val="32"/>
          <w:szCs w:val="32"/>
        </w:rPr>
      </w:pPr>
    </w:p>
    <w:p>
      <w:pPr>
        <w:spacing w:line="600" w:lineRule="exact"/>
        <w:rPr>
          <w:rFonts w:hint="default" w:ascii="仿宋" w:hAnsi="仿宋" w:eastAsia="仿宋"/>
          <w:b/>
          <w:sz w:val="32"/>
          <w:szCs w:val="32"/>
          <w:lang w:val="en-US" w:eastAsia="zh-CN"/>
        </w:rPr>
      </w:pPr>
      <w:r>
        <w:rPr>
          <w:rFonts w:hint="eastAsia" w:ascii="仿宋" w:hAnsi="仿宋" w:eastAsia="仿宋"/>
          <w:b/>
          <w:sz w:val="32"/>
          <w:szCs w:val="32"/>
          <w:lang w:val="en-US" w:eastAsia="zh-CN"/>
        </w:rPr>
        <w:t xml:space="preserve">          </w:t>
      </w:r>
    </w:p>
    <w:p>
      <w:pPr>
        <w:spacing w:line="600" w:lineRule="exact"/>
        <w:rPr>
          <w:rFonts w:ascii="仿宋" w:hAnsi="仿宋" w:eastAsia="仿宋"/>
          <w:b/>
          <w:sz w:val="32"/>
          <w:szCs w:val="32"/>
        </w:rPr>
      </w:pPr>
    </w:p>
    <w:p>
      <w:pPr>
        <w:spacing w:line="600" w:lineRule="exact"/>
        <w:rPr>
          <w:rFonts w:ascii="仿宋" w:hAnsi="仿宋" w:eastAsia="仿宋"/>
          <w:b/>
          <w:sz w:val="32"/>
          <w:szCs w:val="32"/>
        </w:rPr>
      </w:pPr>
    </w:p>
    <w:p>
      <w:pPr>
        <w:spacing w:line="600" w:lineRule="exact"/>
        <w:jc w:val="center"/>
      </w:pPr>
      <w:r>
        <w:rPr>
          <w:rFonts w:hint="eastAsia" w:ascii="仿宋" w:hAnsi="仿宋" w:eastAsia="仿宋" w:cs="仿宋"/>
          <w:color w:val="000000"/>
          <w:sz w:val="28"/>
          <w:szCs w:val="28"/>
          <w:lang w:eastAsia="zh-CN"/>
        </w:rPr>
        <w:t>图4：财政拨款收、支决算总计变动情况</w:t>
      </w:r>
    </w:p>
    <w:p>
      <w:pPr>
        <w:spacing w:line="600" w:lineRule="exact"/>
        <w:ind w:firstLine="640" w:firstLineChars="200"/>
        <w:outlineLvl w:val="1"/>
        <w:rPr>
          <w:rStyle w:val="32"/>
          <w:rFonts w:ascii="黑体" w:hAnsi="黑体" w:eastAsia="黑体"/>
          <w:b w:val="0"/>
        </w:rPr>
      </w:pPr>
      <w:bookmarkStart w:id="32" w:name="_Toc15396607"/>
      <w:bookmarkStart w:id="33" w:name="_Toc15377209"/>
      <w:r>
        <w:rPr>
          <w:rFonts w:hint="eastAsia" w:ascii="黑体" w:hAnsi="黑体" w:eastAsia="黑体"/>
          <w:sz w:val="32"/>
          <w:szCs w:val="32"/>
        </w:rPr>
        <w:t>五、</w:t>
      </w:r>
      <w:r>
        <w:rPr>
          <w:rFonts w:hint="eastAsia" w:ascii="黑体" w:hAnsi="黑体" w:eastAsia="黑体"/>
          <w:b/>
          <w:sz w:val="32"/>
          <w:szCs w:val="32"/>
        </w:rPr>
        <w:t>一</w:t>
      </w:r>
      <w:r>
        <w:rPr>
          <w:rStyle w:val="32"/>
          <w:rFonts w:hint="eastAsia" w:ascii="黑体" w:hAnsi="黑体" w:eastAsia="黑体"/>
          <w:b w:val="0"/>
        </w:rPr>
        <w:t>般公共预算财政拨款支出决算情况说明</w:t>
      </w:r>
      <w:bookmarkEnd w:id="32"/>
      <w:bookmarkEnd w:id="33"/>
    </w:p>
    <w:p>
      <w:pPr>
        <w:spacing w:line="600" w:lineRule="exact"/>
        <w:ind w:firstLine="640" w:firstLineChars="200"/>
        <w:outlineLvl w:val="2"/>
        <w:rPr>
          <w:rFonts w:ascii="仿宋" w:hAnsi="仿宋" w:eastAsia="仿宋"/>
          <w:b/>
          <w:sz w:val="32"/>
          <w:szCs w:val="32"/>
        </w:rPr>
      </w:pPr>
      <w:bookmarkStart w:id="34" w:name="_Toc15377210"/>
      <w:r>
        <w:rPr>
          <w:rFonts w:hint="eastAsia" w:ascii="仿宋" w:hAnsi="仿宋" w:eastAsia="仿宋"/>
          <w:b/>
          <w:sz w:val="32"/>
          <w:szCs w:val="32"/>
        </w:rPr>
        <w:t>（一）一般公共预算财政拨款支出决算总体情况</w:t>
      </w:r>
      <w:bookmarkEnd w:id="34"/>
    </w:p>
    <w:p>
      <w:pPr>
        <w:spacing w:line="600" w:lineRule="exact"/>
        <w:ind w:firstLine="640"/>
        <w:rPr>
          <w:rFonts w:hint="eastAsia" w:ascii="仿宋" w:hAnsi="仿宋" w:eastAsia="仿宋" w:cs="Times New Roman"/>
          <w:sz w:val="32"/>
          <w:szCs w:val="32"/>
          <w:lang w:val="en-US" w:eastAsia="zh-CN"/>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1651.43</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年相比，一般公共预算财政拨款支出</w:t>
      </w:r>
      <w:r>
        <w:rPr>
          <w:rFonts w:hint="eastAsia" w:ascii="仿宋" w:hAnsi="仿宋" w:eastAsia="仿宋"/>
          <w:sz w:val="32"/>
          <w:szCs w:val="32"/>
          <w:lang w:val="en-US" w:eastAsia="zh-CN"/>
        </w:rPr>
        <w:t>减少</w:t>
      </w:r>
      <w:r>
        <w:rPr>
          <w:rFonts w:hint="eastAsia" w:ascii="仿宋" w:hAnsi="仿宋" w:eastAsia="仿宋" w:cs="Times New Roman"/>
          <w:sz w:val="32"/>
          <w:szCs w:val="32"/>
          <w:lang w:val="en-US" w:eastAsia="zh-CN"/>
        </w:rPr>
        <w:t>25.43</w:t>
      </w:r>
      <w:r>
        <w:rPr>
          <w:rFonts w:hint="eastAsia" w:ascii="仿宋" w:hAnsi="仿宋" w:eastAsia="仿宋"/>
          <w:sz w:val="32"/>
          <w:szCs w:val="32"/>
        </w:rPr>
        <w:t>万元，</w:t>
      </w:r>
      <w:r>
        <w:rPr>
          <w:rFonts w:hint="eastAsia" w:ascii="仿宋" w:hAnsi="仿宋" w:eastAsia="仿宋"/>
          <w:sz w:val="32"/>
          <w:szCs w:val="32"/>
          <w:lang w:val="en-US" w:eastAsia="zh-CN"/>
        </w:rPr>
        <w:t>下降</w:t>
      </w:r>
      <w:r>
        <w:rPr>
          <w:rFonts w:hint="eastAsia" w:ascii="仿宋" w:hAnsi="仿宋" w:eastAsia="仿宋" w:cs="Times New Roman"/>
          <w:sz w:val="32"/>
          <w:szCs w:val="32"/>
          <w:lang w:val="en-US" w:eastAsia="zh-CN"/>
        </w:rPr>
        <w:t>1.52</w:t>
      </w:r>
      <w:r>
        <w:rPr>
          <w:rFonts w:ascii="仿宋" w:hAnsi="仿宋" w:eastAsia="仿宋"/>
          <w:sz w:val="32"/>
          <w:szCs w:val="32"/>
        </w:rPr>
        <w:t>%</w:t>
      </w:r>
      <w:r>
        <w:rPr>
          <w:rFonts w:hint="eastAsia" w:ascii="仿宋" w:hAnsi="仿宋" w:eastAsia="仿宋"/>
          <w:sz w:val="32"/>
          <w:szCs w:val="32"/>
        </w:rPr>
        <w:t>。主要变动原因</w:t>
      </w:r>
      <w:r>
        <w:rPr>
          <w:rFonts w:hint="eastAsia" w:ascii="仿宋" w:hAnsi="仿宋" w:eastAsia="仿宋" w:cs="Times New Roman"/>
          <w:sz w:val="32"/>
          <w:szCs w:val="32"/>
        </w:rPr>
        <w:t>是</w:t>
      </w:r>
      <w:r>
        <w:rPr>
          <w:rFonts w:hint="eastAsia" w:ascii="仿宋" w:hAnsi="仿宋" w:eastAsia="仿宋" w:cs="Times New Roman"/>
          <w:bCs/>
          <w:kern w:val="0"/>
          <w:sz w:val="32"/>
          <w:szCs w:val="32"/>
          <w:lang w:val="en-US" w:eastAsia="zh-CN" w:bidi="ar-SA"/>
        </w:rPr>
        <w:t>人员退休调出，在编人数减少，机关人员及运行经费减少</w:t>
      </w:r>
      <w:r>
        <w:rPr>
          <w:rFonts w:hint="eastAsia" w:ascii="仿宋" w:hAnsi="仿宋" w:eastAsia="仿宋" w:cs="Times New Roman"/>
          <w:sz w:val="32"/>
          <w:szCs w:val="32"/>
          <w:lang w:val="en-US" w:eastAsia="zh-CN"/>
        </w:rPr>
        <w:t>。</w:t>
      </w:r>
    </w:p>
    <w:p>
      <w:pPr>
        <w:pStyle w:val="13"/>
        <w:rPr>
          <w:rFonts w:hint="eastAsia" w:ascii="仿宋" w:hAnsi="仿宋" w:eastAsia="仿宋" w:cs="Times New Roman"/>
          <w:sz w:val="32"/>
          <w:szCs w:val="32"/>
          <w:lang w:val="en-US" w:eastAsia="zh-CN"/>
        </w:rPr>
      </w:pPr>
    </w:p>
    <w:p>
      <w:pPr>
        <w:pStyle w:val="6"/>
      </w:pPr>
    </w:p>
    <w:p>
      <w:pPr>
        <w:spacing w:line="600" w:lineRule="exact"/>
        <w:rPr>
          <w:rFonts w:hint="eastAsia" w:ascii="仿宋" w:hAnsi="仿宋" w:eastAsia="仿宋"/>
          <w:sz w:val="32"/>
          <w:szCs w:val="32"/>
          <w:lang w:eastAsia="zh-CN"/>
        </w:rPr>
      </w:pPr>
      <w:r>
        <w:drawing>
          <wp:anchor distT="0" distB="0" distL="114300" distR="114300" simplePos="0" relativeHeight="251660288" behindDoc="0" locked="0" layoutInCell="1" allowOverlap="1">
            <wp:simplePos x="0" y="0"/>
            <wp:positionH relativeFrom="column">
              <wp:posOffset>279400</wp:posOffset>
            </wp:positionH>
            <wp:positionV relativeFrom="paragraph">
              <wp:posOffset>187325</wp:posOffset>
            </wp:positionV>
            <wp:extent cx="4686300" cy="3333750"/>
            <wp:effectExtent l="4445" t="5080" r="14605" b="13970"/>
            <wp:wrapNone/>
            <wp:docPr id="11" name="图片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outlineLvl w:val="2"/>
        <w:rPr>
          <w:rFonts w:hint="eastAsia" w:ascii="仿宋" w:hAnsi="仿宋" w:eastAsia="仿宋"/>
          <w:b/>
          <w:sz w:val="32"/>
          <w:szCs w:val="32"/>
        </w:rPr>
      </w:pPr>
      <w:bookmarkStart w:id="35" w:name="_Toc15377211"/>
    </w:p>
    <w:p>
      <w:pPr>
        <w:spacing w:line="600" w:lineRule="exact"/>
        <w:ind w:firstLine="640" w:firstLineChars="200"/>
        <w:outlineLvl w:val="2"/>
        <w:rPr>
          <w:rFonts w:hint="eastAsia" w:ascii="仿宋" w:hAnsi="仿宋" w:eastAsia="仿宋"/>
          <w:b/>
          <w:sz w:val="32"/>
          <w:szCs w:val="32"/>
        </w:rPr>
      </w:pPr>
    </w:p>
    <w:p>
      <w:pPr>
        <w:spacing w:line="600" w:lineRule="exact"/>
        <w:ind w:firstLine="640" w:firstLineChars="200"/>
        <w:outlineLvl w:val="2"/>
        <w:rPr>
          <w:rFonts w:hint="eastAsia" w:ascii="仿宋" w:hAnsi="仿宋" w:eastAsia="仿宋"/>
          <w:b/>
          <w:sz w:val="32"/>
          <w:szCs w:val="32"/>
        </w:rPr>
      </w:pPr>
    </w:p>
    <w:p>
      <w:pPr>
        <w:spacing w:line="600" w:lineRule="exact"/>
        <w:ind w:firstLine="640" w:firstLineChars="200"/>
        <w:outlineLvl w:val="2"/>
        <w:rPr>
          <w:rFonts w:hint="eastAsia" w:ascii="仿宋" w:hAnsi="仿宋" w:eastAsia="仿宋"/>
          <w:b/>
          <w:sz w:val="32"/>
          <w:szCs w:val="32"/>
        </w:rPr>
      </w:pPr>
    </w:p>
    <w:p>
      <w:pPr>
        <w:spacing w:line="600" w:lineRule="exact"/>
        <w:ind w:firstLine="640" w:firstLineChars="200"/>
        <w:outlineLvl w:val="2"/>
        <w:rPr>
          <w:rFonts w:hint="eastAsia" w:ascii="仿宋" w:hAnsi="仿宋" w:eastAsia="仿宋"/>
          <w:b/>
          <w:sz w:val="32"/>
          <w:szCs w:val="32"/>
        </w:rPr>
      </w:pPr>
    </w:p>
    <w:p>
      <w:pPr>
        <w:spacing w:line="600" w:lineRule="exact"/>
        <w:ind w:firstLine="640" w:firstLineChars="200"/>
        <w:outlineLvl w:val="2"/>
        <w:rPr>
          <w:rFonts w:hint="eastAsia" w:ascii="仿宋" w:hAnsi="仿宋" w:eastAsia="仿宋"/>
          <w:b/>
          <w:sz w:val="32"/>
          <w:szCs w:val="32"/>
        </w:rPr>
      </w:pPr>
    </w:p>
    <w:p>
      <w:pPr>
        <w:spacing w:line="600" w:lineRule="exact"/>
        <w:ind w:firstLine="640" w:firstLineChars="200"/>
        <w:outlineLvl w:val="2"/>
        <w:rPr>
          <w:rFonts w:hint="eastAsia" w:ascii="仿宋" w:hAnsi="仿宋" w:eastAsia="仿宋"/>
          <w:b/>
          <w:sz w:val="32"/>
          <w:szCs w:val="32"/>
        </w:rPr>
      </w:pPr>
    </w:p>
    <w:p>
      <w:pPr>
        <w:spacing w:line="600" w:lineRule="exact"/>
        <w:ind w:firstLine="640" w:firstLineChars="200"/>
        <w:outlineLvl w:val="2"/>
        <w:rPr>
          <w:rFonts w:hint="eastAsia" w:ascii="仿宋" w:hAnsi="仿宋" w:eastAsia="仿宋"/>
          <w:b/>
          <w:sz w:val="32"/>
          <w:szCs w:val="32"/>
        </w:rPr>
      </w:pPr>
    </w:p>
    <w:p>
      <w:pPr>
        <w:spacing w:line="600" w:lineRule="exact"/>
        <w:jc w:val="center"/>
        <w:outlineLvl w:val="2"/>
        <w:rPr>
          <w:rFonts w:hint="eastAsia" w:ascii="仿宋" w:hAnsi="仿宋" w:eastAsia="仿宋"/>
          <w:b/>
          <w:sz w:val="32"/>
          <w:szCs w:val="32"/>
        </w:rPr>
      </w:pPr>
      <w:r>
        <w:rPr>
          <w:rFonts w:hint="eastAsia" w:ascii="仿宋" w:hAnsi="仿宋" w:eastAsia="仿宋" w:cs="仿宋"/>
          <w:color w:val="000000"/>
          <w:sz w:val="28"/>
          <w:szCs w:val="28"/>
          <w:lang w:eastAsia="zh-CN"/>
        </w:rPr>
        <w:t>图5：一般公共预算财政拨款支出决算变动情况</w:t>
      </w:r>
    </w:p>
    <w:p>
      <w:pPr>
        <w:spacing w:line="600" w:lineRule="exact"/>
        <w:ind w:firstLine="640" w:firstLineChars="200"/>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bookmarkEnd w:id="35"/>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1651.43</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w:t>
      </w:r>
      <w:r>
        <w:rPr>
          <w:rFonts w:hint="eastAsia" w:ascii="仿宋" w:hAnsi="仿宋" w:eastAsia="仿宋"/>
          <w:b/>
          <w:bCs w:val="0"/>
          <w:sz w:val="32"/>
          <w:szCs w:val="32"/>
        </w:rPr>
        <w:t>务支出</w:t>
      </w:r>
      <w:r>
        <w:rPr>
          <w:rFonts w:hint="eastAsia" w:ascii="仿宋" w:hAnsi="仿宋" w:eastAsia="仿宋"/>
          <w:sz w:val="32"/>
          <w:szCs w:val="32"/>
          <w:lang w:val="en-US" w:eastAsia="zh-CN"/>
        </w:rPr>
        <w:t>544.66</w:t>
      </w:r>
      <w:r>
        <w:rPr>
          <w:rFonts w:hint="eastAsia" w:ascii="仿宋" w:hAnsi="仿宋" w:eastAsia="仿宋"/>
          <w:sz w:val="32"/>
          <w:szCs w:val="32"/>
        </w:rPr>
        <w:t>万元，占</w:t>
      </w:r>
      <w:r>
        <w:rPr>
          <w:rFonts w:hint="eastAsia" w:ascii="仿宋" w:hAnsi="仿宋" w:eastAsia="仿宋"/>
          <w:sz w:val="32"/>
          <w:szCs w:val="32"/>
          <w:lang w:val="en-US" w:eastAsia="zh-CN"/>
        </w:rPr>
        <w:t>32.98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val="0"/>
          <w:bCs w:val="0"/>
          <w:sz w:val="32"/>
          <w:szCs w:val="32"/>
          <w:lang w:val="en-US" w:eastAsia="zh-CN"/>
        </w:rPr>
        <w:t>57.51</w:t>
      </w:r>
      <w:r>
        <w:rPr>
          <w:rFonts w:hint="eastAsia" w:ascii="仿宋" w:hAnsi="仿宋" w:eastAsia="仿宋"/>
          <w:b w:val="0"/>
          <w:bCs w:val="0"/>
          <w:sz w:val="32"/>
          <w:szCs w:val="32"/>
        </w:rPr>
        <w:t>万元，</w:t>
      </w:r>
      <w:r>
        <w:rPr>
          <w:rFonts w:hint="eastAsia" w:ascii="仿宋" w:hAnsi="仿宋" w:eastAsia="仿宋" w:cs="Times New Roman"/>
          <w:sz w:val="32"/>
          <w:szCs w:val="32"/>
        </w:rPr>
        <w:t>占</w:t>
      </w:r>
      <w:r>
        <w:rPr>
          <w:rFonts w:hint="eastAsia" w:ascii="仿宋" w:hAnsi="仿宋" w:eastAsia="仿宋" w:cs="Times New Roman"/>
          <w:sz w:val="32"/>
          <w:szCs w:val="32"/>
          <w:lang w:val="en-US" w:eastAsia="zh-CN"/>
        </w:rPr>
        <w:t>3.48</w:t>
      </w:r>
      <w:r>
        <w:rPr>
          <w:rFonts w:hint="eastAsia" w:ascii="仿宋" w:hAnsi="仿宋" w:eastAsia="仿宋" w:cs="Times New Roman"/>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233.18</w:t>
      </w:r>
      <w:r>
        <w:rPr>
          <w:rFonts w:hint="eastAsia" w:ascii="仿宋" w:hAnsi="仿宋" w:eastAsia="仿宋"/>
          <w:sz w:val="32"/>
          <w:szCs w:val="32"/>
        </w:rPr>
        <w:t>万元，占</w:t>
      </w:r>
      <w:r>
        <w:rPr>
          <w:rFonts w:hint="eastAsia" w:ascii="仿宋" w:hAnsi="仿宋" w:eastAsia="仿宋"/>
          <w:sz w:val="32"/>
          <w:szCs w:val="32"/>
          <w:lang w:val="en-US" w:eastAsia="zh-CN"/>
        </w:rPr>
        <w:t>14.12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39.84</w:t>
      </w:r>
      <w:r>
        <w:rPr>
          <w:rFonts w:hint="eastAsia" w:ascii="仿宋" w:hAnsi="仿宋" w:eastAsia="仿宋"/>
          <w:sz w:val="32"/>
          <w:szCs w:val="32"/>
        </w:rPr>
        <w:t>万元，占</w:t>
      </w:r>
      <w:r>
        <w:rPr>
          <w:rFonts w:hint="eastAsia" w:ascii="仿宋" w:hAnsi="仿宋" w:eastAsia="仿宋"/>
          <w:sz w:val="32"/>
          <w:szCs w:val="32"/>
          <w:lang w:val="en-US" w:eastAsia="zh-CN"/>
        </w:rPr>
        <w:t>2.41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lang w:val="en-US" w:eastAsia="zh-CN"/>
        </w:rPr>
        <w:t>节能环保支出</w:t>
      </w:r>
      <w:r>
        <w:rPr>
          <w:rFonts w:hint="eastAsia" w:ascii="仿宋" w:hAnsi="仿宋" w:eastAsia="仿宋"/>
          <w:b w:val="0"/>
          <w:bCs w:val="0"/>
          <w:sz w:val="32"/>
          <w:szCs w:val="32"/>
          <w:lang w:val="en-US" w:eastAsia="zh-CN"/>
        </w:rPr>
        <w:t>220.00万元，占13.32%；</w:t>
      </w:r>
      <w:r>
        <w:rPr>
          <w:rFonts w:hint="eastAsia" w:ascii="仿宋" w:hAnsi="仿宋" w:eastAsia="仿宋" w:cs="Times New Roman"/>
          <w:b/>
          <w:sz w:val="32"/>
          <w:szCs w:val="32"/>
        </w:rPr>
        <w:t>城乡社区</w:t>
      </w:r>
      <w:r>
        <w:rPr>
          <w:rFonts w:hint="eastAsia" w:ascii="仿宋" w:hAnsi="仿宋" w:eastAsia="仿宋"/>
          <w:b/>
          <w:bCs/>
          <w:sz w:val="32"/>
          <w:szCs w:val="32"/>
        </w:rPr>
        <w:t>支出</w:t>
      </w:r>
      <w:r>
        <w:rPr>
          <w:rFonts w:hint="eastAsia" w:ascii="仿宋" w:hAnsi="仿宋" w:eastAsia="仿宋"/>
          <w:sz w:val="32"/>
          <w:szCs w:val="32"/>
          <w:lang w:val="en-US" w:eastAsia="zh-CN"/>
        </w:rPr>
        <w:t>8.8</w:t>
      </w:r>
      <w:r>
        <w:rPr>
          <w:rFonts w:hint="eastAsia" w:ascii="仿宋" w:hAnsi="仿宋" w:eastAsia="仿宋"/>
          <w:b w:val="0"/>
          <w:bCs w:val="0"/>
          <w:sz w:val="32"/>
          <w:szCs w:val="32"/>
        </w:rPr>
        <w:t>万元，</w:t>
      </w:r>
      <w:r>
        <w:rPr>
          <w:rFonts w:hint="eastAsia" w:ascii="仿宋" w:hAnsi="仿宋" w:eastAsia="仿宋" w:cs="Times New Roman"/>
          <w:sz w:val="32"/>
          <w:szCs w:val="32"/>
        </w:rPr>
        <w:t>占</w:t>
      </w:r>
      <w:r>
        <w:rPr>
          <w:rFonts w:hint="eastAsia" w:ascii="仿宋" w:hAnsi="仿宋" w:eastAsia="仿宋" w:cs="Times New Roman"/>
          <w:sz w:val="32"/>
          <w:szCs w:val="32"/>
          <w:lang w:val="en-US" w:eastAsia="zh-CN"/>
        </w:rPr>
        <w:t>0.53</w:t>
      </w:r>
      <w:r>
        <w:rPr>
          <w:rFonts w:hint="eastAsia" w:ascii="仿宋" w:hAnsi="仿宋" w:eastAsia="仿宋" w:cs="Times New Roman"/>
          <w:sz w:val="32"/>
          <w:szCs w:val="32"/>
        </w:rPr>
        <w:t>%</w:t>
      </w:r>
      <w:r>
        <w:rPr>
          <w:rFonts w:hint="eastAsia" w:ascii="仿宋" w:hAnsi="仿宋" w:eastAsia="仿宋"/>
          <w:sz w:val="32"/>
          <w:szCs w:val="32"/>
        </w:rPr>
        <w:t>；</w:t>
      </w:r>
      <w:r>
        <w:rPr>
          <w:rFonts w:hint="eastAsia" w:ascii="仿宋" w:hAnsi="仿宋" w:eastAsia="仿宋" w:cs="Times New Roman"/>
          <w:b/>
          <w:sz w:val="32"/>
          <w:szCs w:val="32"/>
        </w:rPr>
        <w:t>农林水</w:t>
      </w:r>
      <w:r>
        <w:rPr>
          <w:rFonts w:hint="eastAsia" w:ascii="仿宋" w:hAnsi="仿宋" w:eastAsia="仿宋"/>
          <w:b/>
          <w:bCs/>
          <w:sz w:val="32"/>
          <w:szCs w:val="32"/>
        </w:rPr>
        <w:t>支出</w:t>
      </w:r>
      <w:r>
        <w:rPr>
          <w:rFonts w:hint="eastAsia" w:ascii="仿宋" w:hAnsi="仿宋" w:eastAsia="仿宋"/>
          <w:sz w:val="32"/>
          <w:szCs w:val="32"/>
          <w:lang w:val="en-US" w:eastAsia="zh-CN"/>
        </w:rPr>
        <w:t>487.49</w:t>
      </w:r>
      <w:r>
        <w:rPr>
          <w:rFonts w:hint="eastAsia" w:ascii="仿宋" w:hAnsi="仿宋" w:eastAsia="仿宋"/>
          <w:b w:val="0"/>
          <w:bCs w:val="0"/>
          <w:sz w:val="32"/>
          <w:szCs w:val="32"/>
        </w:rPr>
        <w:t>万元</w:t>
      </w:r>
      <w:r>
        <w:rPr>
          <w:rFonts w:hint="eastAsia" w:ascii="仿宋" w:hAnsi="仿宋" w:eastAsia="仿宋"/>
          <w:b/>
          <w:bCs/>
          <w:sz w:val="32"/>
          <w:szCs w:val="32"/>
        </w:rPr>
        <w:t>，</w:t>
      </w:r>
      <w:r>
        <w:rPr>
          <w:rFonts w:hint="eastAsia" w:ascii="仿宋" w:hAnsi="仿宋" w:eastAsia="仿宋" w:cs="Times New Roman"/>
          <w:sz w:val="32"/>
          <w:szCs w:val="32"/>
        </w:rPr>
        <w:t>占</w:t>
      </w:r>
      <w:r>
        <w:rPr>
          <w:rFonts w:hint="eastAsia" w:ascii="仿宋" w:hAnsi="仿宋" w:eastAsia="仿宋" w:cs="Times New Roman"/>
          <w:sz w:val="32"/>
          <w:szCs w:val="32"/>
          <w:lang w:val="en-US" w:eastAsia="zh-CN"/>
        </w:rPr>
        <w:t>29.52</w:t>
      </w:r>
      <w:r>
        <w:rPr>
          <w:rFonts w:hint="eastAsia" w:ascii="仿宋" w:hAnsi="仿宋" w:eastAsia="仿宋" w:cs="Times New Roman"/>
          <w:sz w:val="32"/>
          <w:szCs w:val="32"/>
        </w:rPr>
        <w:t>%</w:t>
      </w:r>
      <w:r>
        <w:rPr>
          <w:rFonts w:hint="eastAsia" w:ascii="仿宋" w:hAnsi="仿宋" w:eastAsia="仿宋"/>
          <w:sz w:val="32"/>
          <w:szCs w:val="32"/>
        </w:rPr>
        <w:t>；</w:t>
      </w:r>
      <w:r>
        <w:rPr>
          <w:rFonts w:hint="eastAsia" w:ascii="仿宋" w:hAnsi="仿宋" w:eastAsia="仿宋" w:cs="Times New Roman"/>
          <w:b/>
          <w:sz w:val="32"/>
          <w:szCs w:val="32"/>
        </w:rPr>
        <w:t>住房保障</w:t>
      </w:r>
      <w:r>
        <w:rPr>
          <w:rFonts w:hint="eastAsia" w:ascii="仿宋" w:hAnsi="仿宋" w:eastAsia="仿宋" w:cs="Times New Roman"/>
          <w:b/>
          <w:bCs/>
          <w:sz w:val="32"/>
          <w:szCs w:val="32"/>
        </w:rPr>
        <w:t>支出</w:t>
      </w:r>
      <w:r>
        <w:rPr>
          <w:rFonts w:hint="eastAsia" w:ascii="仿宋" w:hAnsi="仿宋" w:eastAsia="仿宋"/>
          <w:sz w:val="32"/>
          <w:szCs w:val="32"/>
          <w:lang w:val="en-US" w:eastAsia="zh-CN"/>
        </w:rPr>
        <w:t>59.75</w:t>
      </w:r>
      <w:r>
        <w:rPr>
          <w:rFonts w:hint="eastAsia" w:ascii="仿宋" w:hAnsi="仿宋" w:eastAsia="仿宋"/>
          <w:sz w:val="32"/>
          <w:szCs w:val="32"/>
        </w:rPr>
        <w:t>万元，占</w:t>
      </w:r>
      <w:r>
        <w:rPr>
          <w:rFonts w:hint="eastAsia" w:ascii="仿宋" w:hAnsi="仿宋" w:eastAsia="仿宋"/>
          <w:sz w:val="32"/>
          <w:szCs w:val="32"/>
          <w:lang w:val="en-US" w:eastAsia="zh-CN"/>
        </w:rPr>
        <w:t>3.62</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cs="Times New Roman"/>
          <w:b/>
          <w:sz w:val="32"/>
          <w:szCs w:val="32"/>
        </w:rPr>
        <w:t>灾害防治及应急管理支出</w:t>
      </w:r>
      <w:r>
        <w:rPr>
          <w:rFonts w:hint="eastAsia" w:ascii="仿宋" w:hAnsi="仿宋" w:eastAsia="仿宋"/>
          <w:sz w:val="32"/>
          <w:szCs w:val="32"/>
          <w:lang w:val="en-US" w:eastAsia="zh-CN"/>
        </w:rPr>
        <w:t>0.2</w:t>
      </w:r>
      <w:r>
        <w:rPr>
          <w:rFonts w:hint="eastAsia" w:ascii="仿宋" w:hAnsi="仿宋" w:eastAsia="仿宋"/>
          <w:b w:val="0"/>
          <w:bCs w:val="0"/>
          <w:sz w:val="32"/>
          <w:szCs w:val="32"/>
        </w:rPr>
        <w:t>万元，</w:t>
      </w:r>
      <w:r>
        <w:rPr>
          <w:rFonts w:hint="eastAsia" w:ascii="仿宋" w:hAnsi="仿宋" w:eastAsia="仿宋" w:cs="Times New Roman"/>
          <w:sz w:val="32"/>
          <w:szCs w:val="32"/>
        </w:rPr>
        <w:t>占</w:t>
      </w:r>
      <w:r>
        <w:rPr>
          <w:rFonts w:hint="eastAsia" w:ascii="仿宋" w:hAnsi="仿宋" w:eastAsia="仿宋" w:cs="Times New Roman"/>
          <w:sz w:val="32"/>
          <w:szCs w:val="32"/>
          <w:lang w:val="en-US" w:eastAsia="zh-CN"/>
        </w:rPr>
        <w:t>0.01</w:t>
      </w:r>
      <w:r>
        <w:rPr>
          <w:rFonts w:hint="eastAsia" w:ascii="仿宋" w:hAnsi="仿宋" w:eastAsia="仿宋" w:cs="Times New Roman"/>
          <w:sz w:val="32"/>
          <w:szCs w:val="32"/>
        </w:rPr>
        <w:t>%</w:t>
      </w:r>
      <w:r>
        <w:rPr>
          <w:rFonts w:hint="eastAsia" w:ascii="仿宋" w:hAnsi="仿宋" w:eastAsia="仿宋"/>
          <w:sz w:val="32"/>
          <w:szCs w:val="32"/>
        </w:rPr>
        <w:t>。</w:t>
      </w:r>
    </w:p>
    <w:p>
      <w:pPr>
        <w:pStyle w:val="13"/>
        <w:ind w:left="0" w:leftChars="0" w:firstLine="0" w:firstLineChars="0"/>
      </w:pPr>
      <w:r>
        <w:drawing>
          <wp:inline distT="0" distB="0" distL="114300" distR="114300">
            <wp:extent cx="5269865" cy="3270250"/>
            <wp:effectExtent l="4445" t="4445" r="21590" b="20955"/>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jc w:val="center"/>
        <w:rPr>
          <w:rFonts w:ascii="仿宋" w:hAnsi="仿宋" w:eastAsia="仿宋"/>
          <w:sz w:val="32"/>
          <w:szCs w:val="32"/>
        </w:rPr>
      </w:pPr>
      <w:r>
        <w:rPr>
          <w:rFonts w:hint="eastAsia" w:ascii="仿宋" w:hAnsi="仿宋" w:eastAsia="仿宋" w:cs="仿宋"/>
          <w:color w:val="000000"/>
          <w:sz w:val="28"/>
          <w:szCs w:val="28"/>
          <w:lang w:eastAsia="zh-CN"/>
        </w:rPr>
        <w:t>图6：一般公共预算财政拨款支出决算结构</w:t>
      </w:r>
    </w:p>
    <w:p>
      <w:pPr>
        <w:spacing w:line="600" w:lineRule="exact"/>
        <w:ind w:firstLine="640" w:firstLineChars="200"/>
        <w:outlineLvl w:val="2"/>
        <w:rPr>
          <w:rFonts w:ascii="仿宋" w:hAnsi="仿宋" w:eastAsia="仿宋"/>
          <w:b/>
          <w:sz w:val="32"/>
          <w:szCs w:val="32"/>
        </w:rPr>
      </w:pPr>
      <w:bookmarkStart w:id="36" w:name="_Toc15377212"/>
      <w:r>
        <w:rPr>
          <w:rFonts w:hint="eastAsia" w:ascii="仿宋" w:hAnsi="仿宋" w:eastAsia="仿宋"/>
          <w:b/>
          <w:sz w:val="32"/>
          <w:szCs w:val="32"/>
        </w:rPr>
        <w:t>（三）一般公共预算财政拨款支出决算具体情况</w:t>
      </w:r>
      <w:bookmarkEnd w:id="36"/>
    </w:p>
    <w:p>
      <w:pPr>
        <w:spacing w:line="600" w:lineRule="exact"/>
        <w:ind w:firstLine="640" w:firstLineChars="200"/>
        <w:outlineLvl w:val="2"/>
        <w:rPr>
          <w:rFonts w:ascii="仿宋" w:hAnsi="仿宋" w:eastAsia="仿宋"/>
          <w:sz w:val="32"/>
          <w:szCs w:val="32"/>
        </w:rPr>
      </w:pPr>
      <w:bookmarkStart w:id="37" w:name="_Toc15377213"/>
      <w:bookmarkStart w:id="38" w:name="_Toc15377444"/>
      <w:bookmarkStart w:id="39" w:name="_Toc15378460"/>
      <w:r>
        <w:rPr>
          <w:rFonts w:hint="eastAsia" w:ascii="仿宋" w:hAnsi="仿宋" w:eastAsia="仿宋"/>
          <w:b/>
          <w:sz w:val="32"/>
          <w:szCs w:val="32"/>
        </w:rPr>
        <w:t>202</w:t>
      </w:r>
      <w:r>
        <w:rPr>
          <w:rFonts w:hint="eastAsia" w:ascii="仿宋" w:hAnsi="仿宋" w:eastAsia="仿宋"/>
          <w:b/>
          <w:sz w:val="32"/>
          <w:szCs w:val="32"/>
          <w:lang w:val="en-US" w:eastAsia="zh-CN"/>
        </w:rPr>
        <w:t>2</w:t>
      </w:r>
      <w:r>
        <w:rPr>
          <w:rFonts w:hint="eastAsia" w:ascii="仿宋" w:hAnsi="仿宋" w:eastAsia="仿宋"/>
          <w:b/>
          <w:sz w:val="32"/>
          <w:szCs w:val="32"/>
        </w:rPr>
        <w:t>年一般公共预算支出决算数为</w:t>
      </w:r>
      <w:r>
        <w:rPr>
          <w:rFonts w:hint="eastAsia" w:ascii="仿宋" w:hAnsi="仿宋" w:eastAsia="仿宋"/>
          <w:sz w:val="32"/>
          <w:szCs w:val="32"/>
          <w:lang w:val="en-US" w:eastAsia="zh-CN"/>
        </w:rPr>
        <w:t>1651.43万元</w:t>
      </w:r>
      <w:r>
        <w:rPr>
          <w:rFonts w:hint="eastAsia" w:ascii="仿宋" w:hAnsi="仿宋" w:eastAsia="仿宋"/>
          <w:sz w:val="32"/>
          <w:szCs w:val="32"/>
        </w:rPr>
        <w:t>，</w:t>
      </w:r>
      <w:r>
        <w:rPr>
          <w:rStyle w:val="20"/>
          <w:rFonts w:hint="eastAsia" w:ascii="仿宋" w:hAnsi="仿宋" w:eastAsia="仿宋"/>
          <w:bCs/>
          <w:sz w:val="32"/>
          <w:szCs w:val="32"/>
        </w:rPr>
        <w:t>完成预算</w:t>
      </w:r>
      <w:r>
        <w:rPr>
          <w:rStyle w:val="20"/>
          <w:rFonts w:hint="eastAsia" w:ascii="仿宋" w:hAnsi="仿宋" w:eastAsia="仿宋"/>
          <w:bCs/>
          <w:sz w:val="32"/>
          <w:szCs w:val="32"/>
          <w:lang w:val="en-US" w:eastAsia="zh-CN"/>
        </w:rPr>
        <w:t>100</w:t>
      </w:r>
      <w:r>
        <w:rPr>
          <w:rStyle w:val="20"/>
          <w:rFonts w:ascii="仿宋" w:hAnsi="仿宋" w:eastAsia="仿宋"/>
          <w:bCs/>
          <w:sz w:val="32"/>
          <w:szCs w:val="32"/>
        </w:rPr>
        <w:t>%</w:t>
      </w:r>
      <w:r>
        <w:rPr>
          <w:rStyle w:val="20"/>
          <w:rFonts w:hint="eastAsia" w:ascii="仿宋" w:hAnsi="仿宋" w:eastAsia="仿宋"/>
          <w:bCs/>
          <w:sz w:val="32"/>
          <w:szCs w:val="32"/>
        </w:rPr>
        <w:t>。其中：</w:t>
      </w:r>
      <w:bookmarkEnd w:id="37"/>
      <w:bookmarkEnd w:id="38"/>
      <w:bookmarkEnd w:id="39"/>
    </w:p>
    <w:p>
      <w:pPr>
        <w:numPr>
          <w:ilvl w:val="0"/>
          <w:numId w:val="0"/>
        </w:numPr>
        <w:spacing w:line="600" w:lineRule="exact"/>
        <w:ind w:firstLine="640" w:firstLineChars="200"/>
      </w:pPr>
      <w:r>
        <w:rPr>
          <w:rStyle w:val="20"/>
          <w:rFonts w:hint="eastAsia" w:ascii="仿宋" w:hAnsi="仿宋" w:eastAsia="仿宋"/>
          <w:bCs/>
          <w:sz w:val="32"/>
          <w:szCs w:val="32"/>
          <w:lang w:val="en-US" w:eastAsia="zh-CN"/>
        </w:rPr>
        <w:t>1</w:t>
      </w:r>
      <w:r>
        <w:rPr>
          <w:rStyle w:val="20"/>
          <w:rFonts w:ascii="仿宋" w:hAnsi="仿宋" w:eastAsia="仿宋"/>
          <w:bCs/>
          <w:sz w:val="32"/>
          <w:szCs w:val="32"/>
        </w:rPr>
        <w:t>.</w:t>
      </w:r>
      <w:r>
        <w:rPr>
          <w:rStyle w:val="20"/>
          <w:rFonts w:hint="eastAsia" w:ascii="仿宋" w:hAnsi="仿宋" w:eastAsia="仿宋"/>
          <w:bCs/>
          <w:sz w:val="32"/>
          <w:szCs w:val="32"/>
        </w:rPr>
        <w:t>一般公共服务（类）人大事务（款）</w:t>
      </w:r>
      <w:r>
        <w:rPr>
          <w:rStyle w:val="20"/>
          <w:rFonts w:hint="eastAsia" w:ascii="仿宋" w:hAnsi="仿宋" w:eastAsia="仿宋"/>
          <w:bCs/>
          <w:sz w:val="32"/>
          <w:szCs w:val="32"/>
          <w:lang w:val="en-US" w:eastAsia="zh-CN"/>
        </w:rPr>
        <w:t>代表工作</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1.86</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Style w:val="20"/>
          <w:rFonts w:hint="eastAsia" w:ascii="仿宋" w:hAnsi="仿宋" w:eastAsia="仿宋"/>
          <w:bCs/>
          <w:sz w:val="32"/>
          <w:szCs w:val="32"/>
        </w:rPr>
        <w:t>一般公共服务（类）政府办公厅（室）及相关机构事务（款）行政运行（项）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517.91</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Style w:val="20"/>
          <w:rFonts w:hint="eastAsia" w:ascii="仿宋" w:hAnsi="仿宋" w:eastAsia="仿宋"/>
          <w:bCs/>
          <w:sz w:val="32"/>
          <w:szCs w:val="32"/>
        </w:rPr>
        <w:t>一般公共服务（类）政府办公厅（室）及相关机构事务（款）一般行政管理事务（项）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11.42</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Style w:val="20"/>
          <w:rFonts w:hint="eastAsia" w:ascii="仿宋" w:hAnsi="仿宋" w:eastAsia="仿宋"/>
          <w:bCs/>
          <w:sz w:val="32"/>
          <w:szCs w:val="32"/>
        </w:rPr>
        <w:t>一般公共服务（类）政府办公厅（室）及相关机构事务（款）事业运行（项）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10.8</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Style w:val="20"/>
          <w:rFonts w:hint="eastAsia" w:ascii="仿宋" w:hAnsi="仿宋" w:eastAsia="仿宋"/>
          <w:bCs/>
          <w:sz w:val="32"/>
          <w:szCs w:val="32"/>
        </w:rPr>
        <w:t>一般公共服务（类）</w:t>
      </w:r>
      <w:r>
        <w:rPr>
          <w:rStyle w:val="20"/>
          <w:rFonts w:hint="eastAsia" w:ascii="仿宋" w:hAnsi="仿宋" w:eastAsia="仿宋"/>
          <w:bCs/>
          <w:sz w:val="32"/>
          <w:szCs w:val="32"/>
          <w:lang w:val="en-US" w:eastAsia="zh-CN"/>
        </w:rPr>
        <w:t>统计信息事务</w:t>
      </w:r>
      <w:r>
        <w:rPr>
          <w:rStyle w:val="20"/>
          <w:rFonts w:hint="eastAsia" w:ascii="仿宋" w:hAnsi="仿宋" w:eastAsia="仿宋"/>
          <w:bCs/>
          <w:sz w:val="32"/>
          <w:szCs w:val="32"/>
        </w:rPr>
        <w:t>（款）</w:t>
      </w:r>
      <w:r>
        <w:rPr>
          <w:rStyle w:val="20"/>
          <w:rFonts w:hint="eastAsia" w:ascii="仿宋" w:hAnsi="仿宋" w:eastAsia="仿宋"/>
          <w:bCs/>
          <w:sz w:val="32"/>
          <w:szCs w:val="32"/>
          <w:lang w:val="en-US" w:eastAsia="zh-CN"/>
        </w:rPr>
        <w:t>其他统计信息事务支出</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0.2</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Style w:val="20"/>
          <w:rFonts w:hint="eastAsia" w:ascii="仿宋" w:hAnsi="仿宋" w:eastAsia="仿宋"/>
          <w:bCs/>
          <w:sz w:val="32"/>
          <w:szCs w:val="32"/>
        </w:rPr>
        <w:t>一般公共服务（类）</w:t>
      </w:r>
      <w:r>
        <w:rPr>
          <w:rStyle w:val="20"/>
          <w:rFonts w:hint="eastAsia" w:ascii="仿宋" w:hAnsi="仿宋" w:eastAsia="仿宋"/>
          <w:bCs/>
          <w:sz w:val="32"/>
          <w:szCs w:val="32"/>
          <w:lang w:val="en-US" w:eastAsia="zh-CN"/>
        </w:rPr>
        <w:t>党委办公厅（室）及相关机构事务</w:t>
      </w:r>
      <w:r>
        <w:rPr>
          <w:rStyle w:val="20"/>
          <w:rFonts w:hint="eastAsia" w:ascii="仿宋" w:hAnsi="仿宋" w:eastAsia="仿宋"/>
          <w:bCs/>
          <w:sz w:val="32"/>
          <w:szCs w:val="32"/>
        </w:rPr>
        <w:t>（款）</w:t>
      </w:r>
      <w:r>
        <w:rPr>
          <w:rStyle w:val="20"/>
          <w:rFonts w:hint="eastAsia" w:ascii="仿宋" w:hAnsi="仿宋" w:eastAsia="仿宋"/>
          <w:bCs/>
          <w:sz w:val="32"/>
          <w:szCs w:val="32"/>
          <w:lang w:val="en-US" w:eastAsia="zh-CN"/>
        </w:rPr>
        <w:t>一般行政管理事务</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2</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Style w:val="20"/>
          <w:rFonts w:hint="eastAsia" w:ascii="仿宋" w:hAnsi="仿宋" w:eastAsia="仿宋"/>
          <w:bCs/>
          <w:sz w:val="32"/>
          <w:szCs w:val="32"/>
        </w:rPr>
        <w:t>一般公共服务（类）</w:t>
      </w:r>
      <w:r>
        <w:rPr>
          <w:rStyle w:val="20"/>
          <w:rFonts w:hint="eastAsia" w:ascii="仿宋" w:hAnsi="仿宋" w:eastAsia="仿宋"/>
          <w:bCs/>
          <w:sz w:val="32"/>
          <w:szCs w:val="32"/>
          <w:lang w:val="en-US" w:eastAsia="zh-CN"/>
        </w:rPr>
        <w:t>宣传</w:t>
      </w:r>
      <w:r>
        <w:rPr>
          <w:rStyle w:val="20"/>
          <w:rFonts w:hint="eastAsia" w:ascii="仿宋" w:hAnsi="仿宋" w:eastAsia="仿宋"/>
          <w:bCs/>
          <w:sz w:val="32"/>
          <w:szCs w:val="32"/>
        </w:rPr>
        <w:t>事务（款）其他</w:t>
      </w:r>
      <w:r>
        <w:rPr>
          <w:rStyle w:val="20"/>
          <w:rFonts w:hint="eastAsia" w:ascii="仿宋" w:hAnsi="仿宋" w:eastAsia="仿宋"/>
          <w:bCs/>
          <w:sz w:val="32"/>
          <w:szCs w:val="32"/>
          <w:lang w:val="en-US" w:eastAsia="zh-CN"/>
        </w:rPr>
        <w:t>宣传</w:t>
      </w:r>
      <w:r>
        <w:rPr>
          <w:rStyle w:val="20"/>
          <w:rFonts w:hint="eastAsia" w:ascii="仿宋" w:hAnsi="仿宋" w:eastAsia="仿宋"/>
          <w:bCs/>
          <w:sz w:val="32"/>
          <w:szCs w:val="32"/>
        </w:rPr>
        <w:t>事务支出（项）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57.51</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spacing w:line="600" w:lineRule="exact"/>
        <w:ind w:firstLine="640" w:firstLineChars="200"/>
        <w:rPr>
          <w:rFonts w:ascii="仿宋" w:hAnsi="仿宋" w:eastAsia="仿宋"/>
          <w:b/>
          <w:sz w:val="32"/>
          <w:szCs w:val="32"/>
        </w:rPr>
      </w:pPr>
      <w:r>
        <w:rPr>
          <w:rStyle w:val="20"/>
          <w:rFonts w:hint="eastAsia" w:ascii="仿宋" w:hAnsi="仿宋" w:eastAsia="仿宋"/>
          <w:bCs/>
          <w:sz w:val="32"/>
          <w:szCs w:val="32"/>
          <w:lang w:val="en-US" w:eastAsia="zh-CN"/>
        </w:rPr>
        <w:t>2</w:t>
      </w:r>
      <w:r>
        <w:rPr>
          <w:rStyle w:val="20"/>
          <w:rFonts w:ascii="仿宋" w:hAnsi="仿宋" w:eastAsia="仿宋"/>
          <w:bCs/>
          <w:sz w:val="32"/>
          <w:szCs w:val="32"/>
        </w:rPr>
        <w:t>.</w:t>
      </w:r>
      <w:r>
        <w:rPr>
          <w:rStyle w:val="20"/>
          <w:rFonts w:hint="eastAsia" w:ascii="仿宋" w:hAnsi="仿宋" w:eastAsia="仿宋"/>
          <w:bCs/>
          <w:sz w:val="32"/>
          <w:szCs w:val="32"/>
        </w:rPr>
        <w:t>文化旅游体育与传媒支出（类）文化和旅游（款）群众文化（项）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0.66</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Style w:val="20"/>
          <w:rFonts w:hint="eastAsia" w:ascii="仿宋" w:hAnsi="仿宋" w:eastAsia="仿宋"/>
          <w:bCs/>
          <w:sz w:val="32"/>
          <w:szCs w:val="32"/>
        </w:rPr>
        <w:t>文化旅游体育与传媒支出（类）文化和旅游（款）文化和旅游管理事务（项）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56.85</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spacing w:line="600" w:lineRule="exact"/>
        <w:ind w:firstLine="640" w:firstLineChars="200"/>
        <w:rPr>
          <w:rFonts w:ascii="仿宋" w:hAnsi="仿宋" w:eastAsia="仿宋"/>
          <w:b/>
          <w:sz w:val="32"/>
          <w:szCs w:val="32"/>
        </w:rPr>
      </w:pPr>
      <w:r>
        <w:rPr>
          <w:rStyle w:val="20"/>
          <w:rFonts w:hint="eastAsia" w:ascii="仿宋" w:hAnsi="仿宋" w:eastAsia="仿宋"/>
          <w:bCs/>
          <w:sz w:val="32"/>
          <w:szCs w:val="32"/>
          <w:lang w:val="en-US" w:eastAsia="zh-CN"/>
        </w:rPr>
        <w:t>3</w:t>
      </w:r>
      <w:r>
        <w:rPr>
          <w:rStyle w:val="20"/>
          <w:rFonts w:ascii="仿宋" w:hAnsi="仿宋" w:eastAsia="仿宋"/>
          <w:bCs/>
          <w:sz w:val="32"/>
          <w:szCs w:val="32"/>
        </w:rPr>
        <w:t>.</w:t>
      </w:r>
      <w:r>
        <w:rPr>
          <w:rStyle w:val="20"/>
          <w:rFonts w:hint="eastAsia" w:ascii="仿宋" w:hAnsi="仿宋" w:eastAsia="仿宋"/>
          <w:bCs/>
          <w:sz w:val="32"/>
          <w:szCs w:val="32"/>
        </w:rPr>
        <w:t>社会保障和就业支出（类）</w:t>
      </w:r>
      <w:r>
        <w:rPr>
          <w:rStyle w:val="20"/>
          <w:rFonts w:hint="eastAsia" w:ascii="仿宋" w:hAnsi="仿宋" w:eastAsia="仿宋"/>
          <w:bCs/>
          <w:sz w:val="32"/>
          <w:szCs w:val="32"/>
          <w:lang w:val="en-US" w:eastAsia="zh-CN"/>
        </w:rPr>
        <w:t>民政</w:t>
      </w:r>
      <w:r>
        <w:rPr>
          <w:rStyle w:val="20"/>
          <w:rFonts w:hint="eastAsia" w:ascii="仿宋" w:hAnsi="仿宋" w:eastAsia="仿宋"/>
          <w:bCs/>
          <w:sz w:val="32"/>
          <w:szCs w:val="32"/>
        </w:rPr>
        <w:t>管理事务（款）</w:t>
      </w:r>
      <w:r>
        <w:rPr>
          <w:rStyle w:val="20"/>
          <w:rFonts w:hint="eastAsia" w:ascii="仿宋" w:hAnsi="仿宋" w:eastAsia="仿宋"/>
          <w:bCs/>
          <w:sz w:val="32"/>
          <w:szCs w:val="32"/>
          <w:lang w:val="en-US" w:eastAsia="zh-CN"/>
        </w:rPr>
        <w:t>基层政权建设和社区治理</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153.51</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Style w:val="20"/>
          <w:rFonts w:hint="eastAsia" w:ascii="仿宋" w:hAnsi="仿宋" w:eastAsia="仿宋"/>
          <w:bCs/>
          <w:sz w:val="32"/>
          <w:szCs w:val="32"/>
        </w:rPr>
        <w:t>社会保障和就业支出（类）行政事业单位养老支出（款）</w:t>
      </w:r>
      <w:r>
        <w:rPr>
          <w:rStyle w:val="20"/>
          <w:rFonts w:hint="eastAsia" w:ascii="仿宋" w:hAnsi="仿宋" w:eastAsia="仿宋"/>
          <w:bCs/>
          <w:sz w:val="32"/>
          <w:szCs w:val="32"/>
          <w:lang w:val="en-US" w:eastAsia="zh-CN"/>
        </w:rPr>
        <w:t>机关事业单位基本养老保险缴费支出</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79.67</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spacing w:line="600" w:lineRule="exact"/>
        <w:ind w:firstLine="640" w:firstLineChars="200"/>
        <w:rPr>
          <w:rStyle w:val="20"/>
          <w:rFonts w:hint="eastAsia" w:ascii="仿宋" w:hAnsi="仿宋" w:eastAsia="仿宋"/>
          <w:b w:val="0"/>
          <w:bCs/>
          <w:sz w:val="32"/>
          <w:szCs w:val="32"/>
        </w:rPr>
      </w:pPr>
      <w:r>
        <w:rPr>
          <w:rStyle w:val="20"/>
          <w:rFonts w:hint="eastAsia" w:ascii="仿宋" w:hAnsi="仿宋" w:eastAsia="仿宋"/>
          <w:bCs/>
          <w:sz w:val="32"/>
          <w:szCs w:val="32"/>
          <w:lang w:val="en-US" w:eastAsia="zh-CN"/>
        </w:rPr>
        <w:t>4</w:t>
      </w:r>
      <w:r>
        <w:rPr>
          <w:rStyle w:val="20"/>
          <w:rFonts w:ascii="仿宋" w:hAnsi="仿宋" w:eastAsia="仿宋"/>
          <w:bCs/>
          <w:sz w:val="32"/>
          <w:szCs w:val="32"/>
        </w:rPr>
        <w:t>.</w:t>
      </w:r>
      <w:r>
        <w:rPr>
          <w:rStyle w:val="20"/>
          <w:rFonts w:hint="eastAsia" w:ascii="仿宋" w:hAnsi="仿宋" w:eastAsia="仿宋"/>
          <w:bCs/>
          <w:sz w:val="32"/>
          <w:szCs w:val="32"/>
        </w:rPr>
        <w:t>卫生健康支出（类）行政事业单位医疗（款）行政单位医疗（项）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39.84</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spacing w:line="600" w:lineRule="exact"/>
        <w:ind w:firstLine="640" w:firstLineChars="200"/>
        <w:rPr>
          <w:rStyle w:val="20"/>
          <w:rFonts w:hint="eastAsia" w:ascii="仿宋" w:hAnsi="仿宋" w:eastAsia="仿宋"/>
          <w:b w:val="0"/>
          <w:bCs/>
          <w:sz w:val="32"/>
          <w:szCs w:val="32"/>
        </w:rPr>
      </w:pPr>
      <w:r>
        <w:rPr>
          <w:rStyle w:val="20"/>
          <w:rFonts w:hint="eastAsia" w:ascii="仿宋" w:hAnsi="仿宋" w:eastAsia="仿宋"/>
          <w:bCs/>
          <w:sz w:val="32"/>
          <w:szCs w:val="32"/>
          <w:lang w:val="en-US" w:eastAsia="zh-CN"/>
        </w:rPr>
        <w:t>5</w:t>
      </w:r>
      <w:r>
        <w:rPr>
          <w:rStyle w:val="20"/>
          <w:rFonts w:ascii="仿宋" w:hAnsi="仿宋" w:eastAsia="仿宋"/>
          <w:bCs/>
          <w:sz w:val="32"/>
          <w:szCs w:val="32"/>
        </w:rPr>
        <w:t>.</w:t>
      </w:r>
      <w:r>
        <w:rPr>
          <w:rStyle w:val="20"/>
          <w:rFonts w:hint="eastAsia" w:ascii="仿宋" w:hAnsi="仿宋" w:eastAsia="仿宋"/>
          <w:bCs/>
          <w:sz w:val="32"/>
          <w:szCs w:val="32"/>
          <w:lang w:val="en-US" w:eastAsia="zh-CN"/>
        </w:rPr>
        <w:t>节能环保</w:t>
      </w:r>
      <w:r>
        <w:rPr>
          <w:rStyle w:val="20"/>
          <w:rFonts w:hint="eastAsia" w:ascii="仿宋" w:hAnsi="仿宋" w:eastAsia="仿宋"/>
          <w:bCs/>
          <w:sz w:val="32"/>
          <w:szCs w:val="32"/>
        </w:rPr>
        <w:t>支出（类）</w:t>
      </w:r>
      <w:r>
        <w:rPr>
          <w:rStyle w:val="20"/>
          <w:rFonts w:hint="eastAsia" w:ascii="仿宋" w:hAnsi="仿宋" w:eastAsia="仿宋"/>
          <w:bCs/>
          <w:sz w:val="32"/>
          <w:szCs w:val="32"/>
          <w:lang w:val="en-US" w:eastAsia="zh-CN"/>
        </w:rPr>
        <w:t>其他节能环保支出</w:t>
      </w:r>
      <w:r>
        <w:rPr>
          <w:rStyle w:val="20"/>
          <w:rFonts w:hint="eastAsia" w:ascii="仿宋" w:hAnsi="仿宋" w:eastAsia="仿宋"/>
          <w:bCs/>
          <w:sz w:val="32"/>
          <w:szCs w:val="32"/>
        </w:rPr>
        <w:t>（款）</w:t>
      </w:r>
      <w:r>
        <w:rPr>
          <w:rStyle w:val="20"/>
          <w:rFonts w:hint="eastAsia" w:ascii="仿宋" w:hAnsi="仿宋" w:eastAsia="仿宋"/>
          <w:bCs/>
          <w:sz w:val="32"/>
          <w:szCs w:val="32"/>
          <w:lang w:val="en-US" w:eastAsia="zh-CN"/>
        </w:rPr>
        <w:t>其他节能环保支出</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220</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spacing w:line="600" w:lineRule="exact"/>
        <w:ind w:firstLine="640" w:firstLineChars="200"/>
        <w:rPr>
          <w:rStyle w:val="20"/>
          <w:rFonts w:hint="eastAsia" w:ascii="仿宋" w:hAnsi="仿宋" w:eastAsia="仿宋"/>
          <w:b w:val="0"/>
          <w:bCs/>
          <w:sz w:val="32"/>
          <w:szCs w:val="32"/>
        </w:rPr>
      </w:pPr>
      <w:r>
        <w:rPr>
          <w:rStyle w:val="20"/>
          <w:rFonts w:hint="eastAsia" w:ascii="仿宋" w:hAnsi="仿宋" w:eastAsia="仿宋"/>
          <w:bCs/>
          <w:sz w:val="32"/>
          <w:szCs w:val="32"/>
          <w:lang w:val="en-US" w:eastAsia="zh-CN"/>
        </w:rPr>
        <w:t>6</w:t>
      </w:r>
      <w:r>
        <w:rPr>
          <w:rStyle w:val="20"/>
          <w:rFonts w:ascii="仿宋" w:hAnsi="仿宋" w:eastAsia="仿宋"/>
          <w:bCs/>
          <w:sz w:val="32"/>
          <w:szCs w:val="32"/>
        </w:rPr>
        <w:t>.</w:t>
      </w:r>
      <w:r>
        <w:rPr>
          <w:rStyle w:val="20"/>
          <w:rFonts w:hint="eastAsia" w:ascii="仿宋" w:hAnsi="仿宋" w:eastAsia="仿宋"/>
          <w:bCs/>
          <w:sz w:val="32"/>
          <w:szCs w:val="32"/>
        </w:rPr>
        <w:t>城乡社区支出（类）城乡社区环境卫生（款）城乡社区环境卫生（项）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8.80</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spacing w:line="600" w:lineRule="exact"/>
        <w:ind w:firstLine="640" w:firstLineChars="200"/>
        <w:rPr>
          <w:rStyle w:val="20"/>
          <w:rFonts w:hint="eastAsia" w:ascii="仿宋" w:hAnsi="仿宋" w:eastAsia="仿宋"/>
          <w:b w:val="0"/>
          <w:bCs/>
          <w:sz w:val="32"/>
          <w:szCs w:val="32"/>
        </w:rPr>
      </w:pPr>
      <w:r>
        <w:rPr>
          <w:rStyle w:val="20"/>
          <w:rFonts w:hint="eastAsia" w:ascii="仿宋" w:hAnsi="仿宋" w:eastAsia="仿宋"/>
          <w:bCs/>
          <w:sz w:val="32"/>
          <w:szCs w:val="32"/>
          <w:lang w:val="en-US" w:eastAsia="zh-CN"/>
        </w:rPr>
        <w:t>7</w:t>
      </w:r>
      <w:r>
        <w:rPr>
          <w:rStyle w:val="20"/>
          <w:rFonts w:ascii="仿宋" w:hAnsi="仿宋" w:eastAsia="仿宋"/>
          <w:bCs/>
          <w:sz w:val="32"/>
          <w:szCs w:val="32"/>
        </w:rPr>
        <w:t>.</w:t>
      </w:r>
      <w:r>
        <w:rPr>
          <w:rStyle w:val="20"/>
          <w:rFonts w:hint="eastAsia" w:ascii="仿宋" w:hAnsi="仿宋" w:eastAsia="仿宋"/>
          <w:bCs/>
          <w:sz w:val="32"/>
          <w:szCs w:val="32"/>
        </w:rPr>
        <w:t>农林水支出（类）农业农村（款）事业运行（项）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209.46</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Style w:val="20"/>
          <w:rFonts w:hint="eastAsia" w:ascii="仿宋" w:hAnsi="仿宋" w:eastAsia="仿宋"/>
          <w:bCs/>
          <w:sz w:val="32"/>
          <w:szCs w:val="32"/>
        </w:rPr>
        <w:t>农林水支出（类）农业农村（款）</w:t>
      </w:r>
      <w:r>
        <w:rPr>
          <w:rStyle w:val="20"/>
          <w:rFonts w:hint="eastAsia" w:ascii="仿宋" w:hAnsi="仿宋" w:eastAsia="仿宋"/>
          <w:bCs/>
          <w:sz w:val="32"/>
          <w:szCs w:val="32"/>
          <w:lang w:val="en-US" w:eastAsia="zh-CN"/>
        </w:rPr>
        <w:t>防灾减灾</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24.70</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Style w:val="20"/>
          <w:rFonts w:hint="eastAsia" w:ascii="仿宋" w:hAnsi="仿宋" w:eastAsia="仿宋"/>
          <w:bCs/>
          <w:sz w:val="32"/>
          <w:szCs w:val="32"/>
        </w:rPr>
        <w:t>农林水支出（类）林业和草原（款）林业草原防灾减灾（项）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2</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Style w:val="20"/>
          <w:rFonts w:hint="eastAsia" w:ascii="仿宋" w:hAnsi="仿宋" w:eastAsia="仿宋"/>
          <w:bCs/>
          <w:sz w:val="32"/>
          <w:szCs w:val="32"/>
        </w:rPr>
        <w:t>农林水支出（类）</w:t>
      </w:r>
      <w:r>
        <w:rPr>
          <w:rStyle w:val="20"/>
          <w:rFonts w:hint="eastAsia" w:ascii="仿宋" w:hAnsi="仿宋" w:eastAsia="仿宋"/>
          <w:bCs/>
          <w:sz w:val="32"/>
          <w:szCs w:val="32"/>
          <w:lang w:val="en-US" w:eastAsia="zh-CN"/>
        </w:rPr>
        <w:t>水利</w:t>
      </w:r>
      <w:r>
        <w:rPr>
          <w:rStyle w:val="20"/>
          <w:rFonts w:hint="eastAsia" w:ascii="仿宋" w:hAnsi="仿宋" w:eastAsia="仿宋"/>
          <w:bCs/>
          <w:sz w:val="32"/>
          <w:szCs w:val="32"/>
        </w:rPr>
        <w:t>（款）</w:t>
      </w:r>
      <w:r>
        <w:rPr>
          <w:rStyle w:val="20"/>
          <w:rFonts w:hint="eastAsia" w:ascii="仿宋" w:hAnsi="仿宋" w:eastAsia="仿宋"/>
          <w:bCs/>
          <w:sz w:val="32"/>
          <w:szCs w:val="32"/>
          <w:lang w:val="en-US" w:eastAsia="zh-CN"/>
        </w:rPr>
        <w:t>抗旱</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8</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Style w:val="20"/>
          <w:rFonts w:hint="eastAsia" w:ascii="仿宋" w:hAnsi="仿宋" w:eastAsia="仿宋"/>
          <w:bCs/>
          <w:sz w:val="32"/>
          <w:szCs w:val="32"/>
        </w:rPr>
        <w:t>农林水支出（类）</w:t>
      </w:r>
      <w:r>
        <w:rPr>
          <w:rStyle w:val="20"/>
          <w:rFonts w:hint="eastAsia" w:ascii="仿宋" w:hAnsi="仿宋" w:eastAsia="仿宋" w:cs="Times New Roman"/>
          <w:bCs/>
          <w:sz w:val="32"/>
          <w:szCs w:val="32"/>
          <w:lang w:val="en-US" w:eastAsia="zh-CN"/>
        </w:rPr>
        <w:t>巩固拓展脱贫攻坚成果同乡村振兴有效衔接（款）其他巩固拓展脱贫攻坚成果同乡村振兴有效衔接</w:t>
      </w:r>
      <w:r>
        <w:rPr>
          <w:rStyle w:val="20"/>
          <w:rFonts w:hint="eastAsia" w:ascii="仿宋" w:hAnsi="仿宋" w:eastAsia="仿宋"/>
          <w:bCs/>
          <w:sz w:val="32"/>
          <w:szCs w:val="32"/>
          <w:lang w:val="en-US" w:eastAsia="zh-CN"/>
        </w:rPr>
        <w:t>支出</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16.66</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Style w:val="20"/>
          <w:rFonts w:hint="eastAsia" w:ascii="仿宋" w:hAnsi="仿宋" w:eastAsia="仿宋"/>
          <w:bCs/>
          <w:sz w:val="32"/>
          <w:szCs w:val="32"/>
        </w:rPr>
        <w:t>农林水支出（类）农村综合改革（款）对村民委员会和村党支部的补助（项）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206.67</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Style w:val="20"/>
          <w:rFonts w:hint="eastAsia" w:ascii="仿宋" w:hAnsi="仿宋" w:eastAsia="仿宋"/>
          <w:bCs/>
          <w:sz w:val="32"/>
          <w:szCs w:val="32"/>
        </w:rPr>
        <w:t>农林水支出（类）农村综合改革（款）</w:t>
      </w:r>
      <w:r>
        <w:rPr>
          <w:rStyle w:val="20"/>
          <w:rFonts w:hint="eastAsia" w:ascii="仿宋" w:hAnsi="仿宋" w:eastAsia="仿宋"/>
          <w:bCs/>
          <w:sz w:val="32"/>
          <w:szCs w:val="32"/>
          <w:lang w:val="en-US" w:eastAsia="zh-CN"/>
        </w:rPr>
        <w:t>其他农村综合改革支出</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20.00</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spacing w:line="600" w:lineRule="exact"/>
        <w:ind w:firstLine="640" w:firstLineChars="200"/>
        <w:rPr>
          <w:rStyle w:val="20"/>
          <w:rFonts w:hint="eastAsia" w:ascii="仿宋" w:hAnsi="仿宋" w:eastAsia="仿宋"/>
          <w:b w:val="0"/>
          <w:bCs/>
          <w:sz w:val="32"/>
          <w:szCs w:val="32"/>
        </w:rPr>
      </w:pPr>
      <w:r>
        <w:rPr>
          <w:rStyle w:val="20"/>
          <w:rFonts w:hint="eastAsia" w:ascii="仿宋" w:hAnsi="仿宋" w:eastAsia="仿宋"/>
          <w:bCs/>
          <w:sz w:val="32"/>
          <w:szCs w:val="32"/>
          <w:lang w:val="en-US" w:eastAsia="zh-CN"/>
        </w:rPr>
        <w:t>8</w:t>
      </w:r>
      <w:r>
        <w:rPr>
          <w:rStyle w:val="20"/>
          <w:rFonts w:ascii="仿宋" w:hAnsi="仿宋" w:eastAsia="仿宋"/>
          <w:bCs/>
          <w:sz w:val="32"/>
          <w:szCs w:val="32"/>
        </w:rPr>
        <w:t>.</w:t>
      </w:r>
      <w:r>
        <w:rPr>
          <w:rStyle w:val="20"/>
          <w:rFonts w:hint="eastAsia" w:ascii="仿宋" w:hAnsi="仿宋" w:eastAsia="仿宋"/>
          <w:bCs/>
          <w:sz w:val="32"/>
          <w:szCs w:val="32"/>
        </w:rPr>
        <w:t>住房保障支出（类）住房改革支出（款）住房公积金（项）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59.75</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spacing w:line="600" w:lineRule="exact"/>
        <w:ind w:firstLine="640" w:firstLineChars="200"/>
        <w:rPr>
          <w:rFonts w:ascii="仿宋" w:hAnsi="仿宋" w:eastAsia="仿宋"/>
          <w:b/>
          <w:sz w:val="32"/>
          <w:szCs w:val="32"/>
        </w:rPr>
      </w:pPr>
      <w:r>
        <w:rPr>
          <w:rStyle w:val="20"/>
          <w:rFonts w:hint="eastAsia" w:ascii="仿宋" w:hAnsi="仿宋" w:eastAsia="仿宋"/>
          <w:bCs/>
          <w:sz w:val="32"/>
          <w:szCs w:val="32"/>
          <w:lang w:val="en-US" w:eastAsia="zh-CN"/>
        </w:rPr>
        <w:t>9</w:t>
      </w:r>
      <w:r>
        <w:rPr>
          <w:rStyle w:val="20"/>
          <w:rFonts w:ascii="仿宋" w:hAnsi="仿宋" w:eastAsia="仿宋"/>
          <w:bCs/>
          <w:sz w:val="32"/>
          <w:szCs w:val="32"/>
        </w:rPr>
        <w:t>.</w:t>
      </w:r>
      <w:r>
        <w:rPr>
          <w:rStyle w:val="20"/>
          <w:rFonts w:hint="eastAsia" w:ascii="仿宋" w:hAnsi="仿宋" w:eastAsia="仿宋"/>
          <w:bCs/>
          <w:sz w:val="32"/>
          <w:szCs w:val="32"/>
        </w:rPr>
        <w:t>灾害防治及应急管理支出（类）</w:t>
      </w:r>
      <w:r>
        <w:rPr>
          <w:rStyle w:val="20"/>
          <w:rFonts w:hint="eastAsia" w:ascii="仿宋" w:hAnsi="仿宋" w:eastAsia="仿宋"/>
          <w:bCs/>
          <w:sz w:val="32"/>
          <w:szCs w:val="32"/>
          <w:lang w:val="en-US" w:eastAsia="zh-CN"/>
        </w:rPr>
        <w:t>应急管理事务</w:t>
      </w:r>
      <w:r>
        <w:rPr>
          <w:rStyle w:val="20"/>
          <w:rFonts w:hint="eastAsia" w:ascii="仿宋" w:hAnsi="仿宋" w:eastAsia="仿宋"/>
          <w:bCs/>
          <w:sz w:val="32"/>
          <w:szCs w:val="32"/>
        </w:rPr>
        <w:t>（款）</w:t>
      </w:r>
      <w:r>
        <w:rPr>
          <w:rStyle w:val="20"/>
          <w:rFonts w:hint="eastAsia" w:ascii="仿宋" w:hAnsi="仿宋" w:eastAsia="仿宋"/>
          <w:bCs/>
          <w:sz w:val="32"/>
          <w:szCs w:val="32"/>
          <w:lang w:val="en-US" w:eastAsia="zh-CN"/>
        </w:rPr>
        <w:t>应急管理</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0.20</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tabs>
          <w:tab w:val="right" w:pos="8306"/>
        </w:tabs>
        <w:spacing w:line="600" w:lineRule="exact"/>
        <w:ind w:firstLine="640"/>
        <w:outlineLvl w:val="1"/>
        <w:rPr>
          <w:rStyle w:val="32"/>
        </w:rPr>
      </w:pPr>
      <w:bookmarkStart w:id="40" w:name="_Toc15377214"/>
      <w:bookmarkStart w:id="41"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2"/>
          <w:rFonts w:hint="eastAsia" w:ascii="黑体" w:hAnsi="黑体" w:eastAsia="黑体"/>
          <w:b w:val="0"/>
        </w:rPr>
        <w:t>般公共预算财政拨款基本支出决算情况说明</w:t>
      </w:r>
      <w:bookmarkEnd w:id="40"/>
      <w:bookmarkEnd w:id="41"/>
      <w:r>
        <w:rPr>
          <w:rStyle w:val="32"/>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年一般公共预算财政拨款基本支出</w:t>
      </w:r>
      <w:r>
        <w:rPr>
          <w:rFonts w:hint="eastAsia" w:ascii="仿宋" w:hAnsi="仿宋" w:eastAsia="仿宋"/>
          <w:sz w:val="32"/>
          <w:szCs w:val="32"/>
          <w:lang w:val="en-US" w:eastAsia="zh-CN"/>
        </w:rPr>
        <w:t>1127.79</w:t>
      </w:r>
      <w:r>
        <w:rPr>
          <w:rFonts w:hint="eastAsia" w:ascii="仿宋" w:hAnsi="仿宋" w:eastAsia="仿宋"/>
          <w:sz w:val="32"/>
          <w:szCs w:val="32"/>
        </w:rPr>
        <w:t>万元，其中：</w:t>
      </w:r>
    </w:p>
    <w:p>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w:t>
      </w:r>
      <w:r>
        <w:rPr>
          <w:rFonts w:hint="eastAsia" w:ascii="仿宋" w:hAnsi="仿宋" w:eastAsia="仿宋"/>
          <w:sz w:val="32"/>
          <w:szCs w:val="32"/>
          <w:lang w:val="en-US" w:eastAsia="zh-CN"/>
        </w:rPr>
        <w:t>1006.26</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0" w:firstLineChars="200"/>
        <w:rPr>
          <w:rFonts w:ascii="仿宋" w:hAnsi="仿宋" w:eastAsia="仿宋"/>
          <w:b/>
          <w:sz w:val="32"/>
          <w:szCs w:val="32"/>
        </w:rPr>
      </w:pPr>
      <w:r>
        <w:rPr>
          <w:rFonts w:hint="eastAsia" w:ascii="仿宋" w:hAnsi="仿宋" w:eastAsia="仿宋"/>
          <w:sz w:val="32"/>
          <w:szCs w:val="32"/>
        </w:rPr>
        <w:t>公用经费</w:t>
      </w:r>
      <w:r>
        <w:rPr>
          <w:rFonts w:hint="eastAsia" w:ascii="仿宋" w:hAnsi="仿宋" w:eastAsia="仿宋"/>
          <w:sz w:val="32"/>
          <w:szCs w:val="32"/>
          <w:lang w:val="en-US" w:eastAsia="zh-CN"/>
        </w:rPr>
        <w:t>121.53</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32"/>
          <w:rFonts w:ascii="黑体" w:hAnsi="黑体" w:eastAsia="黑体"/>
          <w:b w:val="0"/>
        </w:rPr>
      </w:pPr>
      <w:bookmarkStart w:id="42" w:name="_Toc15396609"/>
      <w:bookmarkStart w:id="43" w:name="_Toc15377215"/>
      <w:r>
        <w:rPr>
          <w:rFonts w:hint="eastAsia" w:ascii="黑体" w:eastAsia="黑体"/>
          <w:sz w:val="32"/>
          <w:szCs w:val="32"/>
        </w:rPr>
        <w:t>七、</w:t>
      </w:r>
      <w:r>
        <w:rPr>
          <w:rStyle w:val="32"/>
          <w:rFonts w:hint="eastAsia" w:ascii="黑体" w:hAnsi="黑体" w:eastAsia="黑体"/>
        </w:rPr>
        <w:t>“</w:t>
      </w:r>
      <w:r>
        <w:rPr>
          <w:rStyle w:val="32"/>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sz w:val="32"/>
          <w:szCs w:val="32"/>
        </w:rPr>
      </w:pPr>
      <w:bookmarkStart w:id="44" w:name="_Toc15377216"/>
      <w:r>
        <w:rPr>
          <w:rFonts w:hint="eastAsia" w:ascii="仿宋" w:hAnsi="仿宋" w:eastAsia="仿宋"/>
          <w:b/>
          <w:sz w:val="32"/>
          <w:szCs w:val="32"/>
        </w:rPr>
        <w:t>（一）“三公”经费财政拨款支出决算总体情况说明</w:t>
      </w:r>
      <w:bookmarkEnd w:id="44"/>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年“三公”经费财政拨款支出决算为</w:t>
      </w:r>
      <w:r>
        <w:rPr>
          <w:rFonts w:hint="eastAsia" w:ascii="仿宋" w:hAnsi="仿宋" w:eastAsia="仿宋"/>
          <w:sz w:val="32"/>
          <w:szCs w:val="32"/>
          <w:lang w:val="en-US" w:eastAsia="zh-CN"/>
        </w:rPr>
        <w:t>4.5</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000000"/>
          <w:sz w:val="32"/>
          <w:szCs w:val="32"/>
        </w:rPr>
        <w:t>主要原因是严格执行中央八项规定，厉行节约。</w:t>
      </w:r>
    </w:p>
    <w:p>
      <w:pPr>
        <w:spacing w:line="600" w:lineRule="exact"/>
        <w:ind w:firstLine="640"/>
        <w:outlineLvl w:val="2"/>
        <w:rPr>
          <w:rFonts w:ascii="仿宋" w:hAnsi="仿宋" w:eastAsia="仿宋"/>
          <w:b/>
          <w:sz w:val="32"/>
          <w:szCs w:val="32"/>
        </w:rPr>
      </w:pPr>
      <w:bookmarkStart w:id="45" w:name="_Toc15377217"/>
      <w:r>
        <w:rPr>
          <w:rFonts w:hint="eastAsia" w:ascii="仿宋" w:hAnsi="仿宋" w:eastAsia="仿宋"/>
          <w:b/>
          <w:sz w:val="32"/>
          <w:szCs w:val="32"/>
        </w:rPr>
        <w:t>（二）“三公”经费财政拨款支出决算具体情况说明</w:t>
      </w:r>
      <w:bookmarkEnd w:id="45"/>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4.5</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pPr>
      <w:r>
        <w:drawing>
          <wp:anchor distT="0" distB="0" distL="114300" distR="114300" simplePos="0" relativeHeight="251659264" behindDoc="1" locked="0" layoutInCell="1" allowOverlap="1">
            <wp:simplePos x="0" y="0"/>
            <wp:positionH relativeFrom="column">
              <wp:posOffset>523240</wp:posOffset>
            </wp:positionH>
            <wp:positionV relativeFrom="paragraph">
              <wp:posOffset>49530</wp:posOffset>
            </wp:positionV>
            <wp:extent cx="4338320" cy="2431415"/>
            <wp:effectExtent l="5080" t="4445" r="19050" b="21590"/>
            <wp:wrapNone/>
            <wp:docPr id="1"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6"/>
        <w:ind w:left="0" w:leftChars="0" w:firstLine="0" w:firstLineChars="0"/>
        <w:rPr>
          <w:rFonts w:hint="eastAsia"/>
        </w:rPr>
      </w:pPr>
    </w:p>
    <w:p>
      <w:pPr>
        <w:spacing w:line="600" w:lineRule="exact"/>
        <w:ind w:firstLine="640"/>
        <w:rPr>
          <w:rFonts w:hint="eastAsia" w:ascii="仿宋" w:hAnsi="仿宋" w:eastAsia="仿宋" w:cs="仿宋"/>
          <w:color w:val="000000"/>
          <w:sz w:val="32"/>
          <w:szCs w:val="32"/>
        </w:rPr>
      </w:pPr>
    </w:p>
    <w:p>
      <w:pPr>
        <w:spacing w:line="600" w:lineRule="exact"/>
        <w:rPr>
          <w:rFonts w:hint="eastAsia" w:ascii="仿宋" w:hAnsi="仿宋" w:eastAsia="仿宋" w:cs="仿宋"/>
          <w:color w:val="000000"/>
          <w:sz w:val="32"/>
          <w:szCs w:val="32"/>
        </w:rPr>
      </w:pPr>
    </w:p>
    <w:p>
      <w:pPr>
        <w:spacing w:line="600" w:lineRule="exact"/>
        <w:ind w:firstLine="640"/>
        <w:rPr>
          <w:rFonts w:hint="eastAsia" w:ascii="仿宋" w:hAnsi="仿宋" w:eastAsia="仿宋" w:cs="仿宋"/>
          <w:color w:val="000000"/>
          <w:sz w:val="32"/>
          <w:szCs w:val="32"/>
        </w:rPr>
      </w:pPr>
    </w:p>
    <w:p>
      <w:pPr>
        <w:spacing w:line="600" w:lineRule="exact"/>
        <w:ind w:firstLine="640"/>
        <w:rPr>
          <w:rFonts w:hint="eastAsia" w:ascii="仿宋" w:hAnsi="仿宋" w:eastAsia="仿宋" w:cs="仿宋"/>
          <w:color w:val="000000"/>
          <w:sz w:val="32"/>
          <w:szCs w:val="32"/>
        </w:rPr>
      </w:pPr>
    </w:p>
    <w:p>
      <w:pPr>
        <w:spacing w:line="600" w:lineRule="exact"/>
        <w:jc w:val="center"/>
        <w:rPr>
          <w:rFonts w:hint="eastAsia" w:ascii="仿宋" w:hAnsi="仿宋" w:eastAsia="仿宋" w:cs="仿宋"/>
          <w:color w:val="000000"/>
          <w:sz w:val="32"/>
          <w:szCs w:val="32"/>
        </w:rPr>
      </w:pPr>
      <w:r>
        <w:rPr>
          <w:rFonts w:hint="eastAsia" w:ascii="仿宋" w:hAnsi="仿宋" w:eastAsia="仿宋" w:cs="仿宋"/>
          <w:color w:val="000000"/>
          <w:sz w:val="28"/>
          <w:szCs w:val="28"/>
          <w:lang w:eastAsia="zh-CN"/>
        </w:rPr>
        <w:t>图</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lang w:eastAsia="zh-CN"/>
        </w:rPr>
        <w:t>：“三公”经费财政拨款支出结构</w:t>
      </w:r>
    </w:p>
    <w:p>
      <w:pPr>
        <w:pStyle w:val="13"/>
        <w:ind w:left="0" w:leftChars="0" w:firstLine="0" w:firstLineChars="0"/>
        <w:rPr>
          <w:rFonts w:hint="eastAsia"/>
          <w:lang w:eastAsia="zh-CN"/>
        </w:rPr>
      </w:pPr>
    </w:p>
    <w:p>
      <w:pPr>
        <w:spacing w:line="600" w:lineRule="exact"/>
        <w:ind w:firstLine="640"/>
        <w:rPr>
          <w:rStyle w:val="20"/>
          <w:rFonts w:hint="eastAsia" w:ascii="仿宋" w:hAnsi="仿宋" w:eastAsia="仿宋"/>
          <w:b w:val="0"/>
          <w:bCs/>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rStyle w:val="20"/>
          <w:rFonts w:hint="eastAsia" w:ascii="仿宋" w:hAnsi="仿宋" w:eastAsia="仿宋"/>
          <w:b w:val="0"/>
          <w:bCs/>
          <w:sz w:val="32"/>
          <w:szCs w:val="32"/>
          <w:lang w:val="en-US" w:eastAsia="zh-CN"/>
        </w:rPr>
        <w:t>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4.5</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val="en-US" w:eastAsia="zh-CN"/>
        </w:rPr>
        <w:t>减少1.11万元，下降19.79%。</w:t>
      </w:r>
      <w:r>
        <w:rPr>
          <w:rFonts w:hint="eastAsia" w:ascii="仿宋_GB2312" w:eastAsia="仿宋_GB2312"/>
          <w:sz w:val="32"/>
          <w:szCs w:val="32"/>
        </w:rPr>
        <w:t>主要原因是</w:t>
      </w:r>
      <w:r>
        <w:rPr>
          <w:rFonts w:hint="eastAsia" w:ascii="仿宋" w:hAnsi="仿宋" w:eastAsia="仿宋"/>
          <w:color w:val="000000"/>
          <w:sz w:val="32"/>
          <w:szCs w:val="32"/>
        </w:rPr>
        <w:t>严格执行中央八项规定，厉行节约</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4.5</w:t>
      </w:r>
      <w:r>
        <w:rPr>
          <w:rFonts w:hint="eastAsia" w:ascii="仿宋_GB2312" w:eastAsia="仿宋_GB2312"/>
          <w:sz w:val="32"/>
          <w:szCs w:val="32"/>
        </w:rPr>
        <w:t>万元，</w:t>
      </w:r>
      <w:r>
        <w:rPr>
          <w:rFonts w:hint="eastAsia" w:ascii="仿宋_GB2312" w:eastAsia="仿宋_GB2312"/>
          <w:color w:val="000000"/>
          <w:sz w:val="32"/>
          <w:szCs w:val="32"/>
        </w:rPr>
        <w:t>主要用于执行公务、开展业务活动开支的交通费、住宿费、用餐费等</w:t>
      </w:r>
      <w:r>
        <w:rPr>
          <w:rFonts w:hint="eastAsia" w:ascii="仿宋_GB2312" w:eastAsia="仿宋_GB2312"/>
          <w:sz w:val="32"/>
          <w:szCs w:val="32"/>
        </w:rPr>
        <w:t>。国内公务接待</w:t>
      </w:r>
      <w:r>
        <w:rPr>
          <w:rFonts w:hint="eastAsia" w:ascii="仿宋_GB2312" w:hAnsi="仿宋" w:eastAsia="仿宋_GB2312"/>
          <w:sz w:val="32"/>
          <w:szCs w:val="32"/>
          <w:lang w:val="en-US" w:eastAsia="zh-CN"/>
        </w:rPr>
        <w:t>130</w:t>
      </w:r>
      <w:r>
        <w:rPr>
          <w:rFonts w:hint="eastAsia" w:ascii="仿宋_GB2312" w:eastAsia="仿宋_GB2312"/>
          <w:color w:val="000000"/>
          <w:sz w:val="32"/>
          <w:szCs w:val="32"/>
        </w:rPr>
        <w:t>批次，</w:t>
      </w:r>
      <w:r>
        <w:rPr>
          <w:rFonts w:hint="eastAsia" w:ascii="仿宋_GB2312" w:hAnsi="仿宋" w:eastAsia="仿宋_GB2312"/>
          <w:sz w:val="32"/>
          <w:szCs w:val="32"/>
          <w:lang w:val="en-US" w:eastAsia="zh-CN"/>
        </w:rPr>
        <w:t>725</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5.61</w:t>
      </w:r>
      <w:r>
        <w:rPr>
          <w:rFonts w:hint="eastAsia" w:ascii="仿宋_GB2312" w:eastAsia="仿宋_GB2312"/>
          <w:sz w:val="32"/>
          <w:szCs w:val="32"/>
        </w:rPr>
        <w:t>万元，具体内容包括：</w:t>
      </w:r>
      <w:r>
        <w:rPr>
          <w:rFonts w:hint="eastAsia" w:ascii="仿宋_GB2312" w:eastAsia="仿宋_GB2312"/>
          <w:color w:val="000000"/>
          <w:sz w:val="32"/>
          <w:szCs w:val="32"/>
          <w:lang w:eastAsia="zh-CN"/>
        </w:rPr>
        <w:t>接受上级检查及</w:t>
      </w:r>
      <w:r>
        <w:rPr>
          <w:rFonts w:hint="eastAsia" w:ascii="仿宋_GB2312" w:eastAsia="仿宋_GB2312"/>
          <w:color w:val="000000"/>
          <w:sz w:val="32"/>
          <w:szCs w:val="32"/>
          <w:lang w:val="en-US" w:eastAsia="zh-CN"/>
        </w:rPr>
        <w:t>有</w:t>
      </w:r>
      <w:r>
        <w:rPr>
          <w:rFonts w:hint="eastAsia" w:ascii="仿宋_GB2312" w:eastAsia="仿宋_GB2312"/>
          <w:color w:val="000000"/>
          <w:sz w:val="32"/>
          <w:szCs w:val="32"/>
          <w:lang w:eastAsia="zh-CN"/>
        </w:rPr>
        <w:t>关单位交流工作情况及接受相关部门</w:t>
      </w:r>
      <w:r>
        <w:rPr>
          <w:rFonts w:hint="eastAsia" w:ascii="仿宋_GB2312" w:eastAsia="仿宋_GB2312"/>
          <w:color w:val="000000"/>
          <w:sz w:val="32"/>
          <w:szCs w:val="32"/>
          <w:lang w:val="en-US" w:eastAsia="zh-CN"/>
        </w:rPr>
        <w:t>督查</w:t>
      </w:r>
      <w:r>
        <w:rPr>
          <w:rFonts w:hint="eastAsia" w:ascii="仿宋_GB2312" w:eastAsia="仿宋_GB2312"/>
          <w:color w:val="000000"/>
          <w:sz w:val="32"/>
          <w:szCs w:val="32"/>
          <w:lang w:eastAsia="zh-CN"/>
        </w:rPr>
        <w:t>指导工作发生的接待支出</w:t>
      </w:r>
      <w:r>
        <w:rPr>
          <w:rFonts w:hint="eastAsia" w:ascii="仿宋_GB2312" w:eastAsia="仿宋_GB2312"/>
          <w:color w:val="000000"/>
          <w:sz w:val="32"/>
          <w:szCs w:val="32"/>
        </w:rPr>
        <w:t>。</w:t>
      </w:r>
    </w:p>
    <w:p>
      <w:pPr>
        <w:spacing w:line="600" w:lineRule="exact"/>
        <w:ind w:firstLine="640"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人，共计支出</w:t>
      </w:r>
      <w:r>
        <w:rPr>
          <w:rFonts w:hint="eastAsia" w:ascii="仿宋_GB2312" w:eastAsia="仿宋_GB2312"/>
          <w:sz w:val="32"/>
          <w:szCs w:val="32"/>
          <w:lang w:val="en-US" w:eastAsia="zh-CN"/>
        </w:rPr>
        <w:t>0</w:t>
      </w:r>
      <w:r>
        <w:rPr>
          <w:rFonts w:hint="eastAsia" w:ascii="仿宋_GB2312" w:eastAsia="仿宋_GB2312"/>
          <w:sz w:val="32"/>
          <w:szCs w:val="32"/>
        </w:rPr>
        <w:t>万元。</w:t>
      </w:r>
      <w:bookmarkStart w:id="46" w:name="_Toc15377218"/>
      <w:bookmarkStart w:id="47" w:name="_Toc15396610"/>
    </w:p>
    <w:p>
      <w:pPr>
        <w:spacing w:line="600" w:lineRule="exact"/>
        <w:ind w:firstLine="640"/>
        <w:outlineLvl w:val="1"/>
        <w:rPr>
          <w:rStyle w:val="32"/>
          <w:rFonts w:ascii="黑体" w:hAnsi="黑体" w:eastAsia="黑体"/>
        </w:rPr>
      </w:pPr>
      <w:r>
        <w:rPr>
          <w:rFonts w:hint="eastAsia" w:ascii="黑体" w:eastAsia="黑体"/>
          <w:sz w:val="32"/>
          <w:szCs w:val="32"/>
        </w:rPr>
        <w:t>八、</w:t>
      </w:r>
      <w:r>
        <w:rPr>
          <w:rStyle w:val="32"/>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2"/>
        </w:numPr>
        <w:spacing w:line="600" w:lineRule="exact"/>
        <w:ind w:firstLine="640"/>
        <w:outlineLvl w:val="1"/>
        <w:rPr>
          <w:rStyle w:val="32"/>
          <w:rFonts w:ascii="黑体" w:hAnsi="黑体" w:eastAsia="黑体"/>
          <w:b w:val="0"/>
        </w:rPr>
      </w:pPr>
      <w:bookmarkStart w:id="48" w:name="_Toc15396611"/>
      <w:bookmarkStart w:id="49" w:name="_Toc15377219"/>
      <w:r>
        <w:rPr>
          <w:rStyle w:val="32"/>
          <w:rFonts w:hint="eastAsia" w:ascii="黑体" w:hAnsi="黑体" w:eastAsia="黑体"/>
          <w:b w:val="0"/>
        </w:rPr>
        <w:t>国有资本经营预算支出决算情况说明</w:t>
      </w:r>
      <w:bookmarkEnd w:id="48"/>
      <w:bookmarkEnd w:id="49"/>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2"/>
        </w:numPr>
        <w:spacing w:line="600" w:lineRule="exact"/>
        <w:ind w:firstLine="640"/>
        <w:outlineLvl w:val="1"/>
        <w:rPr>
          <w:rStyle w:val="32"/>
          <w:rFonts w:ascii="黑体" w:hAnsi="黑体" w:eastAsia="黑体"/>
          <w:b w:val="0"/>
        </w:rPr>
      </w:pPr>
      <w:bookmarkStart w:id="50" w:name="_Toc15396612"/>
      <w:bookmarkStart w:id="51" w:name="_Toc15377221"/>
      <w:r>
        <w:rPr>
          <w:rStyle w:val="32"/>
          <w:rFonts w:hint="eastAsia" w:ascii="黑体" w:hAnsi="黑体" w:eastAsia="黑体"/>
          <w:b w:val="0"/>
        </w:rPr>
        <w:t>其他重要事项的情况说明</w:t>
      </w:r>
      <w:bookmarkEnd w:id="50"/>
      <w:bookmarkEnd w:id="51"/>
    </w:p>
    <w:p>
      <w:pPr>
        <w:spacing w:line="600" w:lineRule="exact"/>
        <w:ind w:firstLine="640" w:firstLineChars="200"/>
        <w:outlineLvl w:val="2"/>
        <w:rPr>
          <w:rFonts w:ascii="仿宋" w:hAnsi="仿宋" w:eastAsia="仿宋"/>
          <w:sz w:val="32"/>
          <w:szCs w:val="32"/>
        </w:rPr>
      </w:pPr>
      <w:bookmarkStart w:id="52" w:name="_Toc15377222"/>
      <w:r>
        <w:rPr>
          <w:rFonts w:hint="eastAsia" w:ascii="仿宋" w:hAnsi="仿宋" w:eastAsia="仿宋"/>
          <w:b/>
          <w:sz w:val="32"/>
          <w:szCs w:val="32"/>
        </w:rPr>
        <w:t>（一）机关运行经费支出情况</w:t>
      </w:r>
      <w:bookmarkEnd w:id="52"/>
    </w:p>
    <w:p>
      <w:pPr>
        <w:spacing w:line="600" w:lineRule="exact"/>
        <w:ind w:firstLine="640" w:firstLineChars="200"/>
        <w:rPr>
          <w:rFonts w:ascii="仿宋" w:hAnsi="仿宋" w:eastAsia="仿宋"/>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年，机关运行经费支出</w:t>
      </w:r>
      <w:r>
        <w:rPr>
          <w:rFonts w:hint="eastAsia" w:ascii="仿宋_GB2312" w:eastAsia="仿宋_GB2312"/>
          <w:sz w:val="32"/>
          <w:szCs w:val="32"/>
          <w:lang w:val="en-US" w:eastAsia="zh-CN"/>
        </w:rPr>
        <w:t>121.53</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val="en-US" w:eastAsia="zh-CN"/>
        </w:rPr>
        <w:t>减少63.79</w:t>
      </w:r>
      <w:r>
        <w:rPr>
          <w:rFonts w:hint="eastAsia" w:ascii="仿宋_GB2312" w:eastAsia="仿宋_GB2312"/>
          <w:sz w:val="32"/>
          <w:szCs w:val="32"/>
        </w:rPr>
        <w:t>万元，</w:t>
      </w:r>
      <w:r>
        <w:rPr>
          <w:rFonts w:hint="eastAsia" w:ascii="仿宋_GB2312" w:eastAsia="仿宋_GB2312"/>
          <w:sz w:val="32"/>
          <w:szCs w:val="32"/>
          <w:lang w:val="en-US" w:eastAsia="zh-CN"/>
        </w:rPr>
        <w:t>下降34.42</w:t>
      </w:r>
      <w:r>
        <w:rPr>
          <w:rFonts w:ascii="仿宋_GB2312" w:eastAsia="仿宋_GB2312"/>
          <w:sz w:val="32"/>
          <w:szCs w:val="32"/>
        </w:rPr>
        <w:t>%</w:t>
      </w:r>
      <w:r>
        <w:rPr>
          <w:rFonts w:hint="eastAsia" w:ascii="仿宋_GB2312" w:eastAsia="仿宋_GB2312"/>
          <w:sz w:val="32"/>
          <w:szCs w:val="32"/>
        </w:rPr>
        <w:t>。主要原因是</w:t>
      </w:r>
      <w:r>
        <w:rPr>
          <w:rFonts w:hint="eastAsia" w:ascii="仿宋" w:hAnsi="仿宋" w:eastAsia="仿宋" w:cs="Times New Roman"/>
          <w:bCs/>
          <w:kern w:val="0"/>
          <w:sz w:val="32"/>
          <w:szCs w:val="32"/>
          <w:lang w:val="en-US" w:eastAsia="zh-CN" w:bidi="ar-SA"/>
        </w:rPr>
        <w:t>机关</w:t>
      </w:r>
      <w:r>
        <w:rPr>
          <w:rFonts w:hint="eastAsia" w:ascii="仿宋" w:hAnsi="仿宋" w:eastAsia="仿宋"/>
          <w:color w:val="000000"/>
          <w:sz w:val="32"/>
          <w:szCs w:val="32"/>
        </w:rPr>
        <w:t>严格执行中央八项规定，厉行节约</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单位在编人员减少，公用经费减少</w:t>
      </w:r>
      <w:r>
        <w:rPr>
          <w:rFonts w:hint="eastAsia" w:ascii="仿宋" w:hAnsi="仿宋" w:eastAsia="仿宋" w:cs="Times New Roman"/>
          <w:bCs/>
          <w:kern w:val="0"/>
          <w:sz w:val="32"/>
          <w:szCs w:val="32"/>
          <w:lang w:val="en-US" w:eastAsia="zh-CN" w:bidi="ar-SA"/>
        </w:rPr>
        <w:t>。</w:t>
      </w:r>
    </w:p>
    <w:p>
      <w:pPr>
        <w:autoSpaceDE w:val="0"/>
        <w:autoSpaceDN w:val="0"/>
        <w:adjustRightInd w:val="0"/>
        <w:spacing w:line="600" w:lineRule="exact"/>
        <w:ind w:firstLine="640" w:firstLineChars="200"/>
        <w:jc w:val="left"/>
        <w:outlineLvl w:val="2"/>
        <w:rPr>
          <w:rFonts w:ascii="仿宋" w:hAnsi="仿宋" w:eastAsia="仿宋"/>
          <w:b/>
          <w:sz w:val="32"/>
          <w:szCs w:val="32"/>
        </w:rPr>
      </w:pPr>
      <w:bookmarkStart w:id="53" w:name="_Toc15377223"/>
      <w:r>
        <w:rPr>
          <w:rFonts w:hint="eastAsia" w:ascii="仿宋" w:hAnsi="仿宋" w:eastAsia="仿宋"/>
          <w:b/>
          <w:sz w:val="32"/>
          <w:szCs w:val="32"/>
        </w:rPr>
        <w:t>（二）政府采购支出情况</w:t>
      </w:r>
      <w:bookmarkEnd w:id="53"/>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0" w:firstLineChars="200"/>
        <w:jc w:val="left"/>
        <w:outlineLvl w:val="2"/>
        <w:rPr>
          <w:rFonts w:ascii="仿宋" w:hAnsi="仿宋" w:eastAsia="仿宋"/>
          <w:b/>
          <w:sz w:val="32"/>
          <w:szCs w:val="32"/>
        </w:rPr>
      </w:pPr>
      <w:bookmarkStart w:id="54" w:name="_Toc15377224"/>
      <w:r>
        <w:rPr>
          <w:rFonts w:hint="eastAsia" w:ascii="仿宋" w:hAnsi="仿宋" w:eastAsia="仿宋"/>
          <w:b/>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sz w:val="32"/>
          <w:szCs w:val="32"/>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日，共有车辆0辆，其中：主要领导干部用车0辆、机要通信用车0辆、应急保障用车0辆、其他用车0辆。单价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0"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w:t>
      </w:r>
      <w:r>
        <w:rPr>
          <w:rFonts w:hint="eastAsia" w:ascii="仿宋_GB2312" w:hAnsi="仿宋_GB2312" w:eastAsia="仿宋_GB2312" w:cs="仿宋_GB2312"/>
          <w:sz w:val="32"/>
          <w:szCs w:val="32"/>
          <w:lang w:eastAsia="zh-CN"/>
        </w:rPr>
        <w:t>剑阁县元山镇</w:t>
      </w:r>
      <w:r>
        <w:rPr>
          <w:rFonts w:hint="eastAsia" w:ascii="仿宋_GB2312" w:hAnsi="仿宋_GB2312" w:eastAsia="仿宋_GB2312" w:cs="仿宋_GB2312"/>
          <w:sz w:val="32"/>
          <w:szCs w:val="32"/>
        </w:rPr>
        <w:t>人民政府在年初预算编制阶段，组织对</w:t>
      </w:r>
      <w:r>
        <w:rPr>
          <w:rFonts w:hint="eastAsia" w:ascii="仿宋_GB2312" w:hAnsi="仿宋_GB2312" w:eastAsia="仿宋_GB2312" w:cs="仿宋_GB2312"/>
          <w:sz w:val="32"/>
          <w:szCs w:val="32"/>
          <w:lang w:val="en-US" w:eastAsia="zh-CN"/>
        </w:rPr>
        <w:t>老促会工作经费、</w:t>
      </w:r>
      <w:r>
        <w:rPr>
          <w:rFonts w:hint="eastAsia" w:ascii="仿宋_GB2312" w:hAnsi="仿宋_GB2312" w:eastAsia="仿宋_GB2312" w:cs="仿宋_GB2312"/>
          <w:sz w:val="32"/>
          <w:szCs w:val="32"/>
        </w:rPr>
        <w:t>安全经费、</w:t>
      </w:r>
      <w:r>
        <w:rPr>
          <w:rFonts w:hint="eastAsia" w:ascii="仿宋_GB2312" w:hAnsi="仿宋_GB2312" w:eastAsia="仿宋_GB2312" w:cs="仿宋_GB2312"/>
          <w:sz w:val="32"/>
          <w:szCs w:val="32"/>
          <w:lang w:val="en-US" w:eastAsia="zh-CN"/>
        </w:rPr>
        <w:t>小伙食补助</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人大办公费、文化配套、</w:t>
      </w:r>
      <w:r>
        <w:rPr>
          <w:rFonts w:hint="eastAsia" w:ascii="仿宋_GB2312" w:hAnsi="仿宋_GB2312" w:eastAsia="仿宋_GB2312" w:cs="仿宋_GB2312"/>
          <w:sz w:val="32"/>
          <w:szCs w:val="32"/>
        </w:rPr>
        <w:t>垃圾清运及处置项目，开展了预算事前绩效评估，对</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个项目开展了绩效目标完成情况梳理填报。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同时，本部门对202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年部门整体开展绩效自评，《202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剑阁县元山镇</w:t>
      </w:r>
      <w:r>
        <w:rPr>
          <w:rFonts w:hint="eastAsia" w:ascii="仿宋_GB2312" w:hAnsi="仿宋_GB2312" w:eastAsia="仿宋_GB2312" w:cs="仿宋_GB2312"/>
          <w:sz w:val="32"/>
          <w:szCs w:val="32"/>
        </w:rPr>
        <w:t>人民政府部门整体绩效评价报告》见附件（第四部分）。</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3"/>
        </w:numPr>
        <w:spacing w:line="600" w:lineRule="exact"/>
        <w:ind w:firstLine="660" w:firstLineChars="150"/>
        <w:jc w:val="center"/>
        <w:outlineLvl w:val="0"/>
        <w:rPr>
          <w:rStyle w:val="31"/>
          <w:rFonts w:ascii="黑体" w:hAnsi="黑体" w:eastAsia="黑体"/>
          <w:b w:val="0"/>
        </w:rPr>
      </w:pPr>
      <w:bookmarkStart w:id="55" w:name="_Toc15396613"/>
      <w:bookmarkStart w:id="56" w:name="_Toc15377225"/>
      <w:r>
        <w:rPr>
          <w:rFonts w:hint="eastAsia" w:ascii="黑体" w:hAnsi="黑体" w:eastAsia="黑体"/>
          <w:sz w:val="44"/>
          <w:szCs w:val="44"/>
        </w:rPr>
        <w:t>名</w:t>
      </w:r>
      <w:r>
        <w:rPr>
          <w:rStyle w:val="31"/>
          <w:rFonts w:hint="eastAsia" w:ascii="黑体" w:hAnsi="黑体" w:eastAsia="黑体"/>
          <w:b w:val="0"/>
        </w:rPr>
        <w:t>词解释</w:t>
      </w:r>
      <w:bookmarkEnd w:id="55"/>
      <w:bookmarkEnd w:id="56"/>
    </w:p>
    <w:p>
      <w:pPr>
        <w:pStyle w:val="10"/>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（一）一般公共预算拨款收入：指县级财政当年拨付的资金。</w:t>
      </w:r>
    </w:p>
    <w:p>
      <w:pPr>
        <w:pStyle w:val="10"/>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二</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）人大事务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代表工作</w:t>
      </w:r>
      <w:r>
        <w:rPr>
          <w:rFonts w:hint="default" w:ascii="仿宋_GB2312" w:hAnsi="仿宋_GB2312" w:cs="仿宋_GB2312"/>
          <w:b w:val="0"/>
          <w:bCs/>
          <w:sz w:val="32"/>
          <w:szCs w:val="32"/>
          <w:lang w:val="en-US" w:eastAsia="zh-CN"/>
        </w:rPr>
        <w:t>（项）：指</w:t>
      </w:r>
      <w:r>
        <w:rPr>
          <w:rFonts w:hint="eastAsia" w:ascii="仿宋_GB2312" w:hAnsi="仿宋_GB2312" w:cs="仿宋_GB2312"/>
          <w:b w:val="0"/>
          <w:bCs/>
          <w:sz w:val="32"/>
          <w:szCs w:val="32"/>
          <w:lang w:val="en-US" w:eastAsia="zh-CN"/>
        </w:rPr>
        <w:t>反映人大代表开展各类视察等方面的支出</w:t>
      </w:r>
      <w:r>
        <w:rPr>
          <w:rFonts w:hint="default" w:ascii="仿宋_GB2312" w:hAnsi="仿宋_GB2312" w:cs="仿宋_GB2312"/>
          <w:b w:val="0"/>
          <w:bCs/>
          <w:sz w:val="32"/>
          <w:szCs w:val="32"/>
          <w:lang w:val="en-US" w:eastAsia="zh-CN"/>
        </w:rPr>
        <w:t>。</w:t>
      </w:r>
    </w:p>
    <w:p>
      <w:pPr>
        <w:pStyle w:val="10"/>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三</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）政府办公厅（室）及相关机构事务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行政运行</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指反映行政单位（包括实行公务员管理的事业单位）的基本支出。</w:t>
      </w:r>
    </w:p>
    <w:p>
      <w:pPr>
        <w:pStyle w:val="10"/>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四</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）政府办公厅（室）及相关机构事务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一般行政管理事务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指反映行政单位（包括实行公务员管理的事业单位）未单独设置项级科目的其他项目支出。</w:t>
      </w:r>
    </w:p>
    <w:p>
      <w:pPr>
        <w:pStyle w:val="10"/>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五</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）政府办公厅（室）及相关机构事务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事业运行</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指反映事业单位的基本支出，不包括行政单位（包括实行公务员管理的事业单位）后勤服务中心、医务室等附属事业单位。</w:t>
      </w:r>
    </w:p>
    <w:p>
      <w:pPr>
        <w:pStyle w:val="10"/>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六</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一般公共服务（类）统计信息事务（款）其他统计信息事务支出（项）</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指反映除上述项目以外的其他统计信息事务支出。</w:t>
      </w:r>
    </w:p>
    <w:p>
      <w:pPr>
        <w:pStyle w:val="10"/>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七</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）党委办公厅（室）及相关机构事务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一般行政管理事务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指反映行政单位（包括实行公务员管理的事业单位）未单独设置项级科目的其他项目支出。</w:t>
      </w:r>
    </w:p>
    <w:p>
      <w:pPr>
        <w:pStyle w:val="10"/>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八</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）宣传事务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其他宣传事务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指反映除上述项目以外其他用于中国共产党宣传部门的事务支出。</w:t>
      </w:r>
    </w:p>
    <w:p>
      <w:pPr>
        <w:pStyle w:val="10"/>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九</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文化旅游体育与传媒</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）文化和旅游</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群众文化</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指反映群众文化方面的支出，包括基层文化馆（站）、群众艺术馆支出等。</w:t>
      </w:r>
    </w:p>
    <w:p>
      <w:pPr>
        <w:pStyle w:val="10"/>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文化旅游体育与传媒</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）文化和旅游</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文化和旅游管理事务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指反映文化和旅游管理事务支出。</w:t>
      </w:r>
    </w:p>
    <w:p>
      <w:pPr>
        <w:pStyle w:val="10"/>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十一</w:t>
      </w:r>
      <w:r>
        <w:rPr>
          <w:rFonts w:hint="default" w:ascii="仿宋_GB2312" w:hAnsi="仿宋_GB2312" w:cs="仿宋_GB2312"/>
          <w:b w:val="0"/>
          <w:bCs/>
          <w:sz w:val="32"/>
          <w:szCs w:val="32"/>
          <w:lang w:val="en-US" w:eastAsia="zh-CN"/>
        </w:rPr>
        <w:t>）社会保障和就业（类</w:t>
      </w:r>
      <w:r>
        <w:rPr>
          <w:rFonts w:hint="eastAsia" w:ascii="仿宋_GB2312" w:hAnsi="仿宋_GB2312" w:cs="仿宋_GB2312"/>
          <w:b w:val="0"/>
          <w:bCs/>
          <w:sz w:val="32"/>
          <w:szCs w:val="32"/>
          <w:lang w:val="en-US" w:eastAsia="zh-CN"/>
        </w:rPr>
        <w:t>）民政管理事务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基层政权建设和社区治理</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指反映开展城乡社区治理、城乡社区服务（乡村便民服务）、村（居）民自治、村（居）务公开、乡镇（街道）服务能力建设等基层政权建设和社区治理工作的支出。</w:t>
      </w:r>
    </w:p>
    <w:p>
      <w:pPr>
        <w:pStyle w:val="10"/>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（十二）社会保障和就业（类）行政事业单位离退休（款）机关事业单位基本养老保险缴费支出（项）：指部门实施养老保险制度由单位缴纳的养老保险费的支出。</w:t>
      </w:r>
    </w:p>
    <w:p>
      <w:pPr>
        <w:pStyle w:val="10"/>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（十</w:t>
      </w:r>
      <w:r>
        <w:rPr>
          <w:rFonts w:hint="eastAsia" w:ascii="仿宋_GB2312" w:hAnsi="仿宋_GB2312" w:cs="仿宋_GB2312"/>
          <w:b w:val="0"/>
          <w:bCs/>
          <w:sz w:val="32"/>
          <w:szCs w:val="32"/>
          <w:lang w:val="en-US" w:eastAsia="zh-CN"/>
        </w:rPr>
        <w:t>三</w:t>
      </w:r>
      <w:r>
        <w:rPr>
          <w:rFonts w:hint="default" w:ascii="仿宋_GB2312" w:hAnsi="仿宋_GB2312" w:cs="仿宋_GB2312"/>
          <w:b w:val="0"/>
          <w:bCs/>
          <w:sz w:val="32"/>
          <w:szCs w:val="32"/>
          <w:lang w:val="en-US" w:eastAsia="zh-CN"/>
        </w:rPr>
        <w:t>）卫生健康（类）行政事业单位医疗（款）行政单位医疗（项）：指局机关及参公管理事业单位用于缴纳单位基本医疗保险支出。</w:t>
      </w:r>
    </w:p>
    <w:p>
      <w:pPr>
        <w:pStyle w:val="10"/>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十四</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节能环保支出（类）其他节能环保支出（款）其他节能环保支出（项）</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反映除上述项目以外的其他用于节能环保方面的支出。</w:t>
      </w:r>
    </w:p>
    <w:p>
      <w:pPr>
        <w:pStyle w:val="10"/>
        <w:numPr>
          <w:ilvl w:val="0"/>
          <w:numId w:val="0"/>
        </w:numPr>
        <w:ind w:firstLine="640" w:firstLineChars="200"/>
        <w:rPr>
          <w:rFonts w:hint="eastAsia"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（十五</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城乡社区</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城乡社区环境卫生</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城乡社区环境卫生</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反映城乡社区道路清扫、垃圾清运与处理、公厕建设与维护、园林绿化等方面的支出。</w:t>
      </w:r>
    </w:p>
    <w:p>
      <w:pPr>
        <w:pStyle w:val="10"/>
        <w:numPr>
          <w:ilvl w:val="0"/>
          <w:numId w:val="0"/>
        </w:numPr>
        <w:ind w:firstLine="640" w:firstLineChars="200"/>
        <w:rPr>
          <w:rFonts w:hint="eastAsia"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（十六</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农业农村</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事业运行</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反映用于农业事业单位基本支出，事业单位设施、系统运行与资产维护等方面的支出。</w:t>
      </w:r>
    </w:p>
    <w:p>
      <w:pPr>
        <w:pStyle w:val="10"/>
        <w:numPr>
          <w:ilvl w:val="0"/>
          <w:numId w:val="0"/>
        </w:numPr>
        <w:ind w:firstLine="640" w:firstLineChars="200"/>
        <w:rPr>
          <w:rFonts w:hint="eastAsia"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（十七</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林业和草原</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林业草原防灾减灾</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反映用于病虫害等有害生物灾害、森林草原防火、野生动物疫病灾害等方面的支出。</w:t>
      </w:r>
    </w:p>
    <w:p>
      <w:pPr>
        <w:pStyle w:val="10"/>
        <w:numPr>
          <w:ilvl w:val="0"/>
          <w:numId w:val="0"/>
        </w:numPr>
        <w:ind w:firstLine="640" w:firstLineChars="200"/>
        <w:rPr>
          <w:rFonts w:hint="eastAsia"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（十八</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农业农村</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防灾减灾</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反映对农业生产因遭受自然、生物灾害损失给予的补助，促进农业防灾增产措施补助，海滩救助补助，因其他灾害导致农牧渔业生产者损失给予的补助。</w:t>
      </w:r>
    </w:p>
    <w:p>
      <w:pPr>
        <w:pStyle w:val="10"/>
        <w:numPr>
          <w:ilvl w:val="0"/>
          <w:numId w:val="0"/>
        </w:numPr>
        <w:ind w:firstLine="640" w:firstLineChars="200"/>
        <w:rPr>
          <w:rFonts w:hint="eastAsia"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（十九</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水利</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抗旱</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反映抗旱业务支出。</w:t>
      </w:r>
    </w:p>
    <w:p>
      <w:pPr>
        <w:pStyle w:val="10"/>
        <w:numPr>
          <w:ilvl w:val="0"/>
          <w:numId w:val="0"/>
        </w:numPr>
        <w:ind w:firstLine="640" w:firstLineChars="200"/>
        <w:rPr>
          <w:rFonts w:hint="eastAsia"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（二十</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Times New Roman" w:eastAsia="仿宋_GB2312" w:cs="Times New Roman"/>
          <w:b w:val="0"/>
          <w:bCs w:val="0"/>
          <w:color w:val="auto"/>
          <w:kern w:val="2"/>
          <w:sz w:val="32"/>
          <w:szCs w:val="32"/>
          <w:lang w:val="en-US" w:eastAsia="zh-CN" w:bidi="ar-SA"/>
        </w:rPr>
        <w:t>巩固拓展脱贫攻坚成果同乡村振兴有效衔接</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其他</w:t>
      </w:r>
      <w:r>
        <w:rPr>
          <w:rFonts w:hint="eastAsia" w:ascii="仿宋_GB2312" w:hAnsi="Times New Roman" w:eastAsia="仿宋_GB2312" w:cs="Times New Roman"/>
          <w:b w:val="0"/>
          <w:bCs w:val="0"/>
          <w:color w:val="auto"/>
          <w:kern w:val="2"/>
          <w:sz w:val="32"/>
          <w:szCs w:val="32"/>
          <w:lang w:val="en-US" w:eastAsia="zh-CN" w:bidi="ar-SA"/>
        </w:rPr>
        <w:t>巩固拓展脱贫攻坚成果同乡村振兴有效衔接</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反映除上述项目以外其他用于巩固拓展脱贫攻坚成果同乡村振兴有效衔接方面的支出。</w:t>
      </w:r>
    </w:p>
    <w:p>
      <w:pPr>
        <w:pStyle w:val="10"/>
        <w:numPr>
          <w:ilvl w:val="0"/>
          <w:numId w:val="0"/>
        </w:numPr>
        <w:ind w:firstLine="640" w:firstLineChars="200"/>
        <w:rPr>
          <w:rFonts w:hint="eastAsia"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（二十一</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农村综合改革</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对村民委员会和村党支部的补助</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反映各级财政对村民委员会和村党支部的补助支出，以及支持建立县级基本财力保障机制安排的村级组织运转奖补资金。</w:t>
      </w:r>
    </w:p>
    <w:p>
      <w:pPr>
        <w:pStyle w:val="10"/>
        <w:numPr>
          <w:ilvl w:val="0"/>
          <w:numId w:val="0"/>
        </w:numPr>
        <w:ind w:firstLine="640" w:firstLineChars="200"/>
        <w:rPr>
          <w:rFonts w:hint="eastAsia"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（二十二</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农村综合改革</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其他农村综合改革</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反映上述项目以外其他用于农村综合改革方面的支出。</w:t>
      </w:r>
    </w:p>
    <w:p>
      <w:pPr>
        <w:pStyle w:val="10"/>
        <w:numPr>
          <w:ilvl w:val="0"/>
          <w:numId w:val="0"/>
        </w:numPr>
        <w:ind w:firstLine="640" w:firstLineChars="200"/>
        <w:rPr>
          <w:rFonts w:hint="default"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（二十三</w:t>
      </w:r>
      <w:r>
        <w:rPr>
          <w:rFonts w:hint="default" w:ascii="仿宋_GB2312" w:hAnsi="仿宋_GB2312" w:cs="仿宋_GB2312"/>
          <w:b w:val="0"/>
          <w:bCs/>
          <w:sz w:val="32"/>
          <w:szCs w:val="32"/>
          <w:lang w:val="en-US" w:eastAsia="zh-CN"/>
        </w:rPr>
        <w:t>）住房保障（类）住房改革支出（款）住房公积金（项）：指按照《住房公积金管理条例》的规定，由单位及其在职职工缴存的长期住房储金。</w:t>
      </w:r>
    </w:p>
    <w:p>
      <w:pPr>
        <w:pStyle w:val="10"/>
        <w:numPr>
          <w:ilvl w:val="0"/>
          <w:numId w:val="0"/>
        </w:numPr>
        <w:ind w:firstLine="640" w:firstLineChars="200"/>
        <w:rPr>
          <w:rFonts w:hint="default"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（二十四</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灾害防治及应急管理</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应急管理事务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应急管理</w:t>
      </w:r>
      <w:r>
        <w:rPr>
          <w:rFonts w:hint="default" w:ascii="仿宋_GB2312" w:hAnsi="仿宋_GB2312" w:cs="仿宋_GB2312"/>
          <w:b w:val="0"/>
          <w:bCs/>
          <w:sz w:val="32"/>
          <w:szCs w:val="32"/>
          <w:lang w:val="en-US" w:eastAsia="zh-CN"/>
        </w:rPr>
        <w:t>（项）：指</w:t>
      </w:r>
      <w:r>
        <w:rPr>
          <w:rFonts w:hint="eastAsia" w:ascii="仿宋_GB2312" w:hAnsi="仿宋_GB2312" w:cs="仿宋_GB2312"/>
          <w:b w:val="0"/>
          <w:bCs/>
          <w:sz w:val="32"/>
          <w:szCs w:val="32"/>
          <w:lang w:val="en-US" w:eastAsia="zh-CN"/>
        </w:rPr>
        <w:t>用于应急管理的法律法规制定修订，应急预案演练，协调保障等方面的支出</w:t>
      </w:r>
      <w:r>
        <w:rPr>
          <w:rFonts w:hint="default" w:ascii="仿宋_GB2312" w:hAnsi="仿宋_GB2312" w:cs="仿宋_GB2312"/>
          <w:b w:val="0"/>
          <w:bCs/>
          <w:sz w:val="32"/>
          <w:szCs w:val="32"/>
          <w:lang w:val="en-US" w:eastAsia="zh-CN"/>
        </w:rPr>
        <w:t>。</w:t>
      </w:r>
    </w:p>
    <w:p>
      <w:pPr>
        <w:pStyle w:val="10"/>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二十五</w:t>
      </w:r>
      <w:r>
        <w:rPr>
          <w:rFonts w:hint="default" w:ascii="仿宋_GB2312" w:hAnsi="仿宋_GB2312" w:cs="仿宋_GB2312"/>
          <w:b w:val="0"/>
          <w:bCs/>
          <w:sz w:val="32"/>
          <w:szCs w:val="32"/>
          <w:lang w:val="en-US" w:eastAsia="zh-CN"/>
        </w:rPr>
        <w:t>）基本支出：指为保证机构正常运转，完成日常工作任务而发生的人员支出和公用支出。</w:t>
      </w:r>
    </w:p>
    <w:p>
      <w:pPr>
        <w:pStyle w:val="10"/>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二十六</w:t>
      </w:r>
      <w:r>
        <w:rPr>
          <w:rFonts w:hint="default" w:ascii="仿宋_GB2312" w:hAnsi="仿宋_GB2312" w:cs="仿宋_GB2312"/>
          <w:b w:val="0"/>
          <w:bCs/>
          <w:sz w:val="32"/>
          <w:szCs w:val="32"/>
          <w:lang w:val="en-US" w:eastAsia="zh-CN"/>
        </w:rPr>
        <w:t>）项目支出：指在基本支出之外为完成特定行政任务和事业发展目标所发生的支出。</w:t>
      </w:r>
    </w:p>
    <w:p>
      <w:pPr>
        <w:pStyle w:val="10"/>
        <w:numPr>
          <w:ilvl w:val="0"/>
          <w:numId w:val="0"/>
        </w:numPr>
        <w:ind w:firstLine="640" w:firstLineChars="200"/>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二十七</w:t>
      </w:r>
      <w:r>
        <w:rPr>
          <w:rFonts w:hint="default" w:ascii="仿宋_GB2312" w:hAnsi="仿宋_GB2312" w:cs="仿宋_GB2312"/>
          <w:b w:val="0"/>
          <w:bCs/>
          <w:sz w:val="32"/>
          <w:szCs w:val="32"/>
          <w:lang w:val="en-US" w:eastAsia="zh-CN"/>
        </w:rPr>
        <w:t>）“三公”经费：纳入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31"/>
          <w:rFonts w:ascii="黑体" w:hAnsi="黑体" w:eastAsia="黑体"/>
          <w:b w:val="0"/>
        </w:rPr>
      </w:pPr>
      <w:bookmarkStart w:id="57" w:name="_Toc15377226"/>
      <w:r>
        <w:rPr>
          <w:rFonts w:ascii="宋体"/>
          <w:b/>
          <w:sz w:val="44"/>
          <w:szCs w:val="44"/>
        </w:rPr>
        <w:br w:type="page"/>
      </w:r>
      <w:bookmarkStart w:id="58" w:name="_Toc15396614"/>
      <w:r>
        <w:rPr>
          <w:rFonts w:hint="eastAsia" w:ascii="黑体" w:hAnsi="黑体" w:eastAsia="黑体"/>
          <w:sz w:val="44"/>
          <w:szCs w:val="44"/>
        </w:rPr>
        <w:t>第</w:t>
      </w:r>
      <w:r>
        <w:rPr>
          <w:rStyle w:val="31"/>
          <w:rFonts w:hint="eastAsia" w:ascii="黑体" w:hAnsi="黑体" w:eastAsia="黑体"/>
          <w:b w:val="0"/>
        </w:rPr>
        <w:t>四部分 附件</w:t>
      </w:r>
      <w:bookmarkEnd w:id="58"/>
    </w:p>
    <w:p>
      <w:pPr>
        <w:spacing w:line="572"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粗宋简体" w:hAnsi="方正粗宋简体" w:eastAsia="方正粗宋简体" w:cs="方正粗宋简体"/>
          <w:b/>
          <w:bCs/>
          <w:sz w:val="40"/>
          <w:szCs w:val="40"/>
          <w:lang w:val="en-US" w:eastAsia="zh-CN"/>
        </w:rPr>
      </w:pPr>
      <w:r>
        <w:rPr>
          <w:rFonts w:hint="eastAsia" w:ascii="方正小标宋简体" w:hAnsi="宋体" w:eastAsia="方正小标宋简体"/>
          <w:kern w:val="0"/>
          <w:sz w:val="40"/>
          <w:szCs w:val="44"/>
        </w:rPr>
        <w:t>202</w:t>
      </w:r>
      <w:r>
        <w:rPr>
          <w:rFonts w:hint="eastAsia" w:ascii="方正小标宋简体" w:hAnsi="宋体" w:eastAsia="方正小标宋简体"/>
          <w:kern w:val="0"/>
          <w:sz w:val="40"/>
          <w:szCs w:val="44"/>
          <w:lang w:val="en-US" w:eastAsia="zh-CN"/>
        </w:rPr>
        <w:t>2</w:t>
      </w:r>
      <w:r>
        <w:rPr>
          <w:rFonts w:hint="eastAsia" w:ascii="方正小标宋简体" w:hAnsi="宋体" w:eastAsia="方正小标宋简体"/>
          <w:kern w:val="0"/>
          <w:sz w:val="40"/>
          <w:szCs w:val="44"/>
        </w:rPr>
        <w:t>年</w:t>
      </w:r>
      <w:r>
        <w:rPr>
          <w:rFonts w:hint="eastAsia" w:ascii="方正小标宋简体" w:hAnsi="宋体" w:eastAsia="方正小标宋简体"/>
          <w:kern w:val="0"/>
          <w:sz w:val="40"/>
          <w:szCs w:val="44"/>
          <w:lang w:val="en-US" w:eastAsia="zh-CN"/>
        </w:rPr>
        <w:t>剑阁县元山镇人民政府</w:t>
      </w:r>
    </w:p>
    <w:p>
      <w:pPr>
        <w:spacing w:line="572" w:lineRule="exact"/>
        <w:jc w:val="center"/>
        <w:rPr>
          <w:rFonts w:ascii="方正小标宋简体" w:hAnsi="宋体" w:eastAsia="方正小标宋简体"/>
          <w:kern w:val="0"/>
          <w:sz w:val="40"/>
          <w:szCs w:val="44"/>
          <w:lang w:val="zh-CN"/>
        </w:rPr>
      </w:pPr>
      <w:r>
        <w:rPr>
          <w:rFonts w:hint="eastAsia" w:ascii="方正小标宋简体" w:hAnsi="宋体" w:eastAsia="方正小标宋简体"/>
          <w:kern w:val="0"/>
          <w:sz w:val="40"/>
          <w:szCs w:val="44"/>
        </w:rPr>
        <w:t>部门整体绩效评价报告</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粗宋简体" w:hAnsi="方正粗宋简体" w:eastAsia="方正粗宋简体" w:cs="方正粗宋简体"/>
          <w:b/>
          <w:bCs/>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一、基本情况</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90" w:lineRule="atLeast"/>
        <w:ind w:left="0" w:right="0"/>
        <w:rPr>
          <w:rFonts w:hint="default" w:ascii="仿宋_GB2312" w:hAnsi="仿宋_GB2312" w:eastAsia="仿宋_GB2312" w:cs="仿宋_GB2312"/>
          <w:color w:val="000000"/>
          <w:kern w:val="0"/>
          <w:sz w:val="32"/>
          <w:szCs w:val="32"/>
          <w:lang w:val="en-US" w:eastAsia="zh-CN" w:bidi="ar"/>
        </w:rPr>
      </w:pPr>
      <w:r>
        <w:rPr>
          <w:rFonts w:hint="eastAsia" w:ascii="楷体_GB2312" w:hAnsi="华文仿宋" w:eastAsia="楷体_GB2312" w:cs="Times New Roman"/>
          <w:b/>
          <w:kern w:val="2"/>
          <w:sz w:val="32"/>
          <w:szCs w:val="32"/>
          <w:lang w:val="en-US" w:eastAsia="zh-CN" w:bidi="ar-SA"/>
        </w:rPr>
        <w:t xml:space="preserve">　 （一）单位机构组成 </w:t>
      </w:r>
      <w:r>
        <w:rPr>
          <w:rFonts w:hint="eastAsia" w:ascii="仿宋_GB2312" w:hAnsi="仿宋_GB2312" w:eastAsia="仿宋_GB2312" w:cs="仿宋_GB2312"/>
          <w:color w:val="000000"/>
          <w:kern w:val="0"/>
          <w:sz w:val="32"/>
          <w:szCs w:val="32"/>
          <w:lang w:val="en-US" w:eastAsia="zh-CN" w:bidi="ar"/>
        </w:rPr>
        <w:t xml:space="preserve">                                              </w:t>
      </w:r>
    </w:p>
    <w:p>
      <w:pPr>
        <w:spacing w:line="560" w:lineRule="exact"/>
        <w:ind w:left="0" w:leftChars="0"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eastAsia="zh-CN"/>
        </w:rPr>
        <w:t>元山镇</w:t>
      </w:r>
      <w:r>
        <w:rPr>
          <w:rFonts w:hint="eastAsia" w:ascii="仿宋_GB2312" w:hAnsi="仿宋_GB2312" w:eastAsia="仿宋_GB2312" w:cs="仿宋_GB2312"/>
          <w:color w:val="000000"/>
          <w:sz w:val="32"/>
          <w:szCs w:val="32"/>
          <w:shd w:val="clear" w:color="auto" w:fill="FFFFFF"/>
        </w:rPr>
        <w:t>内设党政综合办事机构</w:t>
      </w:r>
      <w:r>
        <w:rPr>
          <w:rFonts w:hint="eastAsia" w:ascii="仿宋_GB2312" w:hAnsi="仿宋_GB2312" w:eastAsia="仿宋_GB2312" w:cs="仿宋_GB2312"/>
          <w:color w:val="000000"/>
          <w:sz w:val="32"/>
          <w:szCs w:val="32"/>
          <w:shd w:val="clear" w:color="auto" w:fill="FFFFFF"/>
          <w:lang w:val="en-US" w:eastAsia="zh-CN"/>
        </w:rPr>
        <w:t>七办</w:t>
      </w:r>
      <w:r>
        <w:rPr>
          <w:rFonts w:hint="eastAsia" w:ascii="仿宋_GB2312" w:hAnsi="仿宋_GB2312" w:eastAsia="仿宋_GB2312" w:cs="仿宋_GB2312"/>
          <w:color w:val="000000"/>
          <w:sz w:val="32"/>
          <w:szCs w:val="32"/>
          <w:shd w:val="clear" w:color="auto" w:fill="FFFFFF"/>
        </w:rPr>
        <w:t>和镇直属事业机构四中心。</w:t>
      </w:r>
      <w:r>
        <w:rPr>
          <w:rFonts w:hint="eastAsia" w:ascii="楷体" w:hAnsi="楷体" w:eastAsia="楷体" w:cs="楷体"/>
          <w:b/>
          <w:bCs/>
          <w:color w:val="000000"/>
          <w:sz w:val="32"/>
          <w:szCs w:val="32"/>
          <w:shd w:val="clear" w:color="auto" w:fill="FFFFFF"/>
          <w:lang w:val="en-US" w:eastAsia="zh-CN"/>
        </w:rPr>
        <w:t>七</w:t>
      </w:r>
      <w:r>
        <w:rPr>
          <w:rFonts w:hint="eastAsia" w:ascii="楷体" w:hAnsi="楷体" w:eastAsia="楷体" w:cs="楷体"/>
          <w:b/>
          <w:bCs/>
          <w:color w:val="000000"/>
          <w:sz w:val="32"/>
          <w:szCs w:val="32"/>
          <w:shd w:val="clear" w:color="auto" w:fill="FFFFFF"/>
          <w:lang w:eastAsia="zh-CN"/>
        </w:rPr>
        <w:t>办</w:t>
      </w:r>
      <w:r>
        <w:rPr>
          <w:rFonts w:hint="eastAsia" w:ascii="楷体" w:hAnsi="楷体" w:eastAsia="楷体" w:cs="楷体"/>
          <w:b/>
          <w:bCs/>
          <w:color w:val="000000"/>
          <w:sz w:val="32"/>
          <w:szCs w:val="32"/>
          <w:shd w:val="clear" w:color="auto" w:fill="FFFFFF"/>
          <w:lang w:val="en-US" w:eastAsia="zh-CN"/>
        </w:rPr>
        <w:t>指</w:t>
      </w:r>
      <w:r>
        <w:rPr>
          <w:rFonts w:hint="eastAsia" w:ascii="仿宋_GB2312" w:hAnsi="仿宋_GB2312" w:eastAsia="仿宋_GB2312" w:cs="仿宋_GB2312"/>
          <w:color w:val="000000"/>
          <w:sz w:val="32"/>
          <w:szCs w:val="32"/>
          <w:shd w:val="clear" w:color="auto" w:fill="FFFFFF"/>
        </w:rPr>
        <w:t>党政综合与乡村振兴办公室（农业农村</w:t>
      </w:r>
      <w:r>
        <w:rPr>
          <w:rFonts w:hint="eastAsia" w:ascii="仿宋_GB2312" w:hAnsi="仿宋_GB2312" w:eastAsia="仿宋_GB2312" w:cs="仿宋_GB2312"/>
          <w:color w:val="000000"/>
          <w:sz w:val="32"/>
          <w:szCs w:val="32"/>
          <w:shd w:val="clear" w:color="auto" w:fill="FFFFFF"/>
          <w:lang w:val="en-US" w:eastAsia="zh-CN"/>
        </w:rPr>
        <w:t>工作</w:t>
      </w:r>
      <w:r>
        <w:rPr>
          <w:rFonts w:hint="eastAsia" w:ascii="仿宋_GB2312" w:hAnsi="仿宋_GB2312" w:eastAsia="仿宋_GB2312" w:cs="仿宋_GB2312"/>
          <w:color w:val="000000"/>
          <w:sz w:val="32"/>
          <w:szCs w:val="32"/>
          <w:shd w:val="clear" w:color="auto" w:fill="FFFFFF"/>
        </w:rPr>
        <w:t>办公室）、党建工作办公室、综合行政执法办公室（应急</w:t>
      </w:r>
      <w:r>
        <w:rPr>
          <w:rFonts w:hint="eastAsia" w:ascii="仿宋_GB2312" w:hAnsi="仿宋_GB2312" w:eastAsia="仿宋_GB2312" w:cs="仿宋_GB2312"/>
          <w:color w:val="000000"/>
          <w:sz w:val="32"/>
          <w:szCs w:val="32"/>
          <w:shd w:val="clear" w:color="auto" w:fill="FFFFFF"/>
          <w:lang w:val="en-US" w:eastAsia="zh-CN"/>
        </w:rPr>
        <w:t>管理</w:t>
      </w:r>
      <w:r>
        <w:rPr>
          <w:rFonts w:hint="eastAsia" w:ascii="仿宋_GB2312" w:hAnsi="仿宋_GB2312" w:eastAsia="仿宋_GB2312" w:cs="仿宋_GB2312"/>
          <w:color w:val="000000"/>
          <w:sz w:val="32"/>
          <w:szCs w:val="32"/>
          <w:shd w:val="clear" w:color="auto" w:fill="FFFFFF"/>
        </w:rPr>
        <w:t>办公室）、社会事务办公室、经济发展办公室（生态环境保护办公室）</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社会治理办公室（信访和群众工作办公室）、财政所</w:t>
      </w:r>
      <w:r>
        <w:rPr>
          <w:rFonts w:hint="eastAsia" w:ascii="仿宋_GB2312" w:hAnsi="仿宋_GB2312" w:eastAsia="仿宋_GB2312" w:cs="仿宋_GB2312"/>
          <w:color w:val="000000"/>
          <w:sz w:val="32"/>
          <w:szCs w:val="32"/>
          <w:shd w:val="clear" w:color="auto" w:fill="FFFFFF"/>
        </w:rPr>
        <w:t>。</w:t>
      </w:r>
      <w:r>
        <w:rPr>
          <w:rFonts w:hint="eastAsia" w:ascii="楷体" w:hAnsi="楷体" w:eastAsia="楷体" w:cs="楷体"/>
          <w:b/>
          <w:bCs/>
          <w:color w:val="000000"/>
          <w:sz w:val="32"/>
          <w:szCs w:val="32"/>
          <w:shd w:val="clear" w:color="auto" w:fill="FFFFFF"/>
        </w:rPr>
        <w:t>四中心</w:t>
      </w:r>
      <w:r>
        <w:rPr>
          <w:rFonts w:hint="eastAsia" w:ascii="楷体" w:hAnsi="楷体" w:eastAsia="楷体" w:cs="楷体"/>
          <w:b/>
          <w:bCs/>
          <w:color w:val="000000"/>
          <w:sz w:val="32"/>
          <w:szCs w:val="32"/>
          <w:shd w:val="clear" w:color="auto" w:fill="FFFFFF"/>
          <w:lang w:val="en-US" w:eastAsia="zh-CN"/>
        </w:rPr>
        <w:t>指</w:t>
      </w:r>
      <w:r>
        <w:rPr>
          <w:rFonts w:hint="eastAsia" w:ascii="仿宋_GB2312" w:hAnsi="仿宋_GB2312" w:eastAsia="仿宋_GB2312" w:cs="仿宋_GB2312"/>
          <w:color w:val="000000"/>
          <w:sz w:val="32"/>
          <w:szCs w:val="32"/>
          <w:shd w:val="clear" w:color="auto" w:fill="FFFFFF"/>
        </w:rPr>
        <w:t>便民服务中心（退役军人服务站）、农业综合服务中心（畜牧兽医站、林业工作站、水利服务站）、乡村建设和文化服务中心、农民工服务中心（社会治安综合治理中心、人力资源和社会保障服务所）。</w:t>
      </w:r>
    </w:p>
    <w:p>
      <w:pPr>
        <w:pStyle w:val="18"/>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90" w:lineRule="atLeast"/>
        <w:ind w:left="0" w:right="0" w:firstLine="420"/>
        <w:rPr>
          <w:rFonts w:hint="eastAsia" w:ascii="楷体_GB2312" w:hAnsi="华文仿宋" w:eastAsia="楷体_GB2312" w:cs="Times New Roman"/>
          <w:b/>
          <w:kern w:val="2"/>
          <w:sz w:val="32"/>
          <w:szCs w:val="32"/>
          <w:lang w:val="en-US" w:eastAsia="zh-CN" w:bidi="ar-SA"/>
        </w:rPr>
      </w:pPr>
      <w:r>
        <w:rPr>
          <w:rFonts w:hint="eastAsia" w:ascii="楷体_GB2312" w:hAnsi="华文仿宋" w:eastAsia="楷体_GB2312" w:cs="Times New Roman"/>
          <w:b/>
          <w:kern w:val="2"/>
          <w:sz w:val="32"/>
          <w:szCs w:val="32"/>
          <w:lang w:val="en-US" w:eastAsia="zh-CN" w:bidi="ar-SA"/>
        </w:rPr>
        <w:t>单位主要职能</w:t>
      </w:r>
    </w:p>
    <w:p>
      <w:pPr>
        <w:spacing w:line="560" w:lineRule="exact"/>
        <w:ind w:left="0" w:leftChars="0" w:firstLine="643" w:firstLineChars="200"/>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1</w:t>
      </w:r>
      <w:r>
        <w:rPr>
          <w:rFonts w:hint="eastAsia" w:ascii="仿宋_GB2312" w:hAnsi="仿宋_GB2312" w:eastAsia="仿宋_GB2312" w:cs="仿宋_GB2312"/>
          <w:b/>
          <w:bCs/>
          <w:color w:val="000000"/>
          <w:sz w:val="32"/>
          <w:szCs w:val="32"/>
          <w:shd w:val="clear" w:color="auto" w:fill="FFFFFF"/>
          <w:lang w:eastAsia="zh-CN"/>
        </w:rPr>
        <w:t>、</w:t>
      </w:r>
      <w:r>
        <w:rPr>
          <w:rFonts w:hint="eastAsia" w:ascii="仿宋_GB2312" w:hAnsi="仿宋_GB2312" w:eastAsia="仿宋_GB2312" w:cs="仿宋_GB2312"/>
          <w:b/>
          <w:bCs/>
          <w:color w:val="000000"/>
          <w:sz w:val="32"/>
          <w:szCs w:val="32"/>
          <w:shd w:val="clear" w:color="auto" w:fill="FFFFFF"/>
        </w:rPr>
        <w:t>党政综合与乡村振兴办公室（农业农村</w:t>
      </w:r>
      <w:r>
        <w:rPr>
          <w:rFonts w:hint="eastAsia" w:ascii="仿宋_GB2312" w:hAnsi="仿宋_GB2312" w:eastAsia="仿宋_GB2312" w:cs="仿宋_GB2312"/>
          <w:b/>
          <w:bCs/>
          <w:color w:val="000000"/>
          <w:sz w:val="32"/>
          <w:szCs w:val="32"/>
          <w:shd w:val="clear" w:color="auto" w:fill="FFFFFF"/>
          <w:lang w:val="en-US" w:eastAsia="zh-CN"/>
        </w:rPr>
        <w:t>工作</w:t>
      </w:r>
      <w:r>
        <w:rPr>
          <w:rFonts w:hint="eastAsia" w:ascii="仿宋_GB2312" w:hAnsi="仿宋_GB2312" w:eastAsia="仿宋_GB2312" w:cs="仿宋_GB2312"/>
          <w:b/>
          <w:bCs/>
          <w:color w:val="000000"/>
          <w:sz w:val="32"/>
          <w:szCs w:val="32"/>
          <w:shd w:val="clear" w:color="auto" w:fill="FFFFFF"/>
        </w:rPr>
        <w:t>办公室）：</w:t>
      </w:r>
    </w:p>
    <w:p>
      <w:pPr>
        <w:spacing w:line="560" w:lineRule="exact"/>
        <w:ind w:left="0" w:leftChars="0"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负责党委、政府、人大日常工作和机关日常事务管理。负责目标绩效、督查督办、公文处理、文秘信息、调研会务后勤保障、档案史志、保密机要、安全保卫、政务公开等工作。负责农业、林业、水利、畜牧(屠宰)、自然资源等领域的监督管理工作。牵头负责乡村振兴战略的组织实施</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提出农业和农村经济发展及招商引资规划并组织实施</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负责项目规划的编制、申报、实施、建设等相关工作。负责对机关和直属事业单位财务收支、固定资产投资项目、内部管理的领导人员履行经济责任等情况进行审计。完成党委、政府交办的其他工作。</w:t>
      </w:r>
    </w:p>
    <w:p>
      <w:pPr>
        <w:spacing w:line="560" w:lineRule="exact"/>
        <w:ind w:left="0" w:leftChars="0" w:firstLine="643"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2、</w:t>
      </w:r>
      <w:r>
        <w:rPr>
          <w:rFonts w:hint="eastAsia" w:ascii="仿宋_GB2312" w:hAnsi="仿宋_GB2312" w:eastAsia="仿宋_GB2312" w:cs="仿宋_GB2312"/>
          <w:b/>
          <w:bCs/>
          <w:color w:val="000000"/>
          <w:sz w:val="32"/>
          <w:szCs w:val="32"/>
          <w:shd w:val="clear" w:color="auto" w:fill="FFFFFF"/>
        </w:rPr>
        <w:t>党建工作办公室：</w:t>
      </w:r>
      <w:r>
        <w:rPr>
          <w:rFonts w:hint="eastAsia" w:ascii="仿宋_GB2312" w:hAnsi="仿宋_GB2312" w:eastAsia="仿宋_GB2312" w:cs="仿宋_GB2312"/>
          <w:color w:val="000000"/>
          <w:sz w:val="32"/>
          <w:szCs w:val="32"/>
          <w:shd w:val="clear" w:color="auto" w:fill="FFFFFF"/>
        </w:rPr>
        <w:t>负责基层党组织建设工作</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全面推进党的建设。负责纪检监察、宣传、统战(民族宗教)、人民武装、干部监督管理、党员教育管理、精神文明建设等相关工作。负责机关和直属事业单位机构编制、人事人才、离退休干部管理等工作。负责工会、团委、妇联等群团组织工作。完成党委、政府交办的其他工作。</w:t>
      </w:r>
    </w:p>
    <w:p>
      <w:pPr>
        <w:numPr>
          <w:ilvl w:val="0"/>
          <w:numId w:val="0"/>
        </w:numPr>
        <w:spacing w:line="560" w:lineRule="exact"/>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3</w:t>
      </w:r>
      <w:r>
        <w:rPr>
          <w:rFonts w:hint="eastAsia" w:ascii="仿宋_GB2312" w:hAnsi="仿宋_GB2312" w:eastAsia="仿宋_GB2312" w:cs="仿宋_GB2312"/>
          <w:b/>
          <w:bCs/>
          <w:color w:val="000000"/>
          <w:sz w:val="32"/>
          <w:szCs w:val="32"/>
          <w:shd w:val="clear" w:color="auto" w:fill="FFFFFF"/>
          <w:lang w:eastAsia="zh-CN"/>
        </w:rPr>
        <w:t>、</w:t>
      </w:r>
      <w:r>
        <w:rPr>
          <w:rFonts w:hint="eastAsia" w:ascii="仿宋_GB2312" w:hAnsi="仿宋_GB2312" w:eastAsia="仿宋_GB2312" w:cs="仿宋_GB2312"/>
          <w:b/>
          <w:bCs/>
          <w:color w:val="000000"/>
          <w:sz w:val="32"/>
          <w:szCs w:val="32"/>
          <w:shd w:val="clear" w:color="auto" w:fill="FFFFFF"/>
        </w:rPr>
        <w:t>综合行政执法办公室（应急</w:t>
      </w:r>
      <w:r>
        <w:rPr>
          <w:rFonts w:hint="eastAsia" w:ascii="仿宋_GB2312" w:hAnsi="仿宋_GB2312" w:eastAsia="仿宋_GB2312" w:cs="仿宋_GB2312"/>
          <w:b/>
          <w:bCs/>
          <w:color w:val="000000"/>
          <w:sz w:val="32"/>
          <w:szCs w:val="32"/>
          <w:shd w:val="clear" w:color="auto" w:fill="FFFFFF"/>
          <w:lang w:val="en-US" w:eastAsia="zh-CN"/>
        </w:rPr>
        <w:t>管理</w:t>
      </w:r>
      <w:r>
        <w:rPr>
          <w:rFonts w:hint="eastAsia" w:ascii="仿宋_GB2312" w:hAnsi="仿宋_GB2312" w:eastAsia="仿宋_GB2312" w:cs="仿宋_GB2312"/>
          <w:b/>
          <w:bCs/>
          <w:color w:val="000000"/>
          <w:sz w:val="32"/>
          <w:szCs w:val="32"/>
          <w:shd w:val="clear" w:color="auto" w:fill="FFFFFF"/>
        </w:rPr>
        <w:t>办公室）：</w:t>
      </w:r>
      <w:r>
        <w:rPr>
          <w:rFonts w:hint="eastAsia" w:ascii="仿宋_GB2312" w:hAnsi="仿宋_GB2312" w:eastAsia="仿宋_GB2312" w:cs="仿宋_GB2312"/>
          <w:color w:val="000000"/>
          <w:sz w:val="32"/>
          <w:szCs w:val="32"/>
          <w:shd w:val="clear" w:color="auto" w:fill="FFFFFF"/>
        </w:rPr>
        <w:t>负责统筹协调、监督管理辖区内综合行政执法相关工作</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并对综合行政执法人员行使职权情况进行督察。负责组织编制应急预案、规划并组织实施。负责组织开展防灾减灾救灾工作</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负责应对自然灾害、安全生产等各类突发性事件</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负责森林防火、地震和地质灾害等工作。负责建设工程质量、交通运输、食品卫生、公共设施等安全监督管理工作。完成党委、政府交办的其他工作。</w:t>
      </w:r>
    </w:p>
    <w:p>
      <w:pPr>
        <w:spacing w:line="560" w:lineRule="exact"/>
        <w:ind w:left="0" w:leftChars="0"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4</w:t>
      </w:r>
      <w:r>
        <w:rPr>
          <w:rFonts w:hint="eastAsia" w:ascii="仿宋_GB2312" w:hAnsi="仿宋_GB2312" w:eastAsia="仿宋_GB2312" w:cs="仿宋_GB2312"/>
          <w:b/>
          <w:bCs/>
          <w:color w:val="000000"/>
          <w:sz w:val="32"/>
          <w:szCs w:val="32"/>
          <w:shd w:val="clear" w:color="auto" w:fill="FFFFFF"/>
          <w:lang w:eastAsia="zh-CN"/>
        </w:rPr>
        <w:t>、</w:t>
      </w:r>
      <w:r>
        <w:rPr>
          <w:rFonts w:hint="eastAsia" w:ascii="仿宋_GB2312" w:hAnsi="仿宋_GB2312" w:eastAsia="仿宋_GB2312" w:cs="仿宋_GB2312"/>
          <w:b/>
          <w:bCs/>
          <w:color w:val="000000"/>
          <w:sz w:val="32"/>
          <w:szCs w:val="32"/>
          <w:shd w:val="clear" w:color="auto" w:fill="FFFFFF"/>
        </w:rPr>
        <w:t>社会事务办公室：</w:t>
      </w:r>
      <w:r>
        <w:rPr>
          <w:rFonts w:hint="eastAsia" w:ascii="仿宋_GB2312" w:hAnsi="仿宋_GB2312" w:eastAsia="仿宋_GB2312" w:cs="仿宋_GB2312"/>
          <w:color w:val="000000"/>
          <w:sz w:val="32"/>
          <w:szCs w:val="32"/>
          <w:shd w:val="clear" w:color="auto" w:fill="FFFFFF"/>
        </w:rPr>
        <w:t>负责教育、科学技术、卫生健康、职业健康、老龄、人力资源和社会保障、医疗保障、民政、文化、旅游、体育、广播电视、人民防空、退役军人、残疾人事业等领域的管理、指导和监督。完成党委、政府交办的其他工作。</w:t>
      </w:r>
    </w:p>
    <w:p>
      <w:pPr>
        <w:spacing w:line="560" w:lineRule="exact"/>
        <w:ind w:left="0" w:leftChars="0" w:firstLine="643"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5</w:t>
      </w:r>
      <w:r>
        <w:rPr>
          <w:rFonts w:hint="eastAsia" w:ascii="仿宋_GB2312" w:hAnsi="仿宋_GB2312" w:eastAsia="仿宋_GB2312" w:cs="仿宋_GB2312"/>
          <w:b/>
          <w:bCs/>
          <w:color w:val="000000"/>
          <w:sz w:val="32"/>
          <w:szCs w:val="32"/>
          <w:shd w:val="clear" w:color="auto" w:fill="FFFFFF"/>
          <w:lang w:eastAsia="zh-CN"/>
        </w:rPr>
        <w:t>、</w:t>
      </w:r>
      <w:r>
        <w:rPr>
          <w:rFonts w:hint="eastAsia" w:ascii="仿宋_GB2312" w:hAnsi="仿宋_GB2312" w:eastAsia="仿宋_GB2312" w:cs="仿宋_GB2312"/>
          <w:b/>
          <w:bCs/>
          <w:color w:val="000000"/>
          <w:sz w:val="32"/>
          <w:szCs w:val="32"/>
          <w:shd w:val="clear" w:color="auto" w:fill="FFFFFF"/>
        </w:rPr>
        <w:t>经济发展办公室（生态环境保护办公室）：</w:t>
      </w:r>
      <w:r>
        <w:rPr>
          <w:rFonts w:hint="eastAsia" w:ascii="仿宋_GB2312" w:hAnsi="仿宋_GB2312" w:eastAsia="仿宋_GB2312" w:cs="仿宋_GB2312"/>
          <w:color w:val="000000"/>
          <w:sz w:val="32"/>
          <w:szCs w:val="32"/>
          <w:shd w:val="clear" w:color="auto" w:fill="FFFFFF"/>
        </w:rPr>
        <w:t>负责辖区经济发展、扶贫开发、生态环境保护等工作。负责工业经济、科技通信、能源管理、民营经济、文旅经济、商贸服务、经济合作、住房和城乡建设、市场监管、粮食和物资储备、统计、供销等领域的监督管理</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提出经济发展和招商引资规划并组织实施</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负责项目规划的编制、申报、实施、建设等相关工作。负责协调推进统筹城乡发展工作。完成党委、政府交办的其他工作。</w:t>
      </w:r>
    </w:p>
    <w:p>
      <w:pPr>
        <w:spacing w:line="560" w:lineRule="exact"/>
        <w:ind w:left="0" w:leftChars="0" w:firstLine="643"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6</w:t>
      </w:r>
      <w:r>
        <w:rPr>
          <w:rFonts w:hint="eastAsia" w:ascii="仿宋_GB2312" w:hAnsi="仿宋_GB2312" w:eastAsia="仿宋_GB2312" w:cs="仿宋_GB2312"/>
          <w:b/>
          <w:bCs/>
          <w:color w:val="000000"/>
          <w:sz w:val="32"/>
          <w:szCs w:val="32"/>
          <w:shd w:val="clear" w:color="auto" w:fill="FFFFFF"/>
          <w:lang w:eastAsia="zh-CN"/>
        </w:rPr>
        <w:t>、</w:t>
      </w:r>
      <w:r>
        <w:rPr>
          <w:rFonts w:hint="eastAsia" w:ascii="仿宋_GB2312" w:hAnsi="仿宋_GB2312" w:eastAsia="仿宋_GB2312" w:cs="仿宋_GB2312"/>
          <w:b/>
          <w:bCs/>
          <w:color w:val="000000"/>
          <w:sz w:val="32"/>
          <w:szCs w:val="32"/>
          <w:shd w:val="clear" w:color="auto" w:fill="FFFFFF"/>
        </w:rPr>
        <w:t>社会治理工作办公室（信访和群众工作办公室）：</w:t>
      </w:r>
      <w:r>
        <w:rPr>
          <w:rFonts w:hint="eastAsia" w:ascii="仿宋_GB2312" w:hAnsi="仿宋_GB2312" w:eastAsia="仿宋_GB2312" w:cs="仿宋_GB2312"/>
          <w:color w:val="000000"/>
          <w:sz w:val="32"/>
          <w:szCs w:val="32"/>
          <w:shd w:val="clear" w:color="auto" w:fill="FFFFFF"/>
        </w:rPr>
        <w:t>负责辖区城乡基层治理体系构建以及基层社会治理效能提升等相关工作。负责综合治理、深化改革、依法治镇、矛盾纠纷调解信访维稳、扫黄打非、防邪等工作。负责流动人口管理工作完成党委、政府交办的其他工作。</w:t>
      </w:r>
    </w:p>
    <w:p>
      <w:pPr>
        <w:spacing w:line="560" w:lineRule="exact"/>
        <w:ind w:left="0" w:leftChars="0" w:firstLine="643" w:firstLineChars="200"/>
      </w:pPr>
      <w:r>
        <w:rPr>
          <w:rFonts w:hint="eastAsia" w:ascii="仿宋_GB2312" w:hAnsi="仿宋_GB2312" w:eastAsia="仿宋_GB2312" w:cs="仿宋_GB2312"/>
          <w:b/>
          <w:bCs/>
          <w:color w:val="000000"/>
          <w:sz w:val="32"/>
          <w:szCs w:val="32"/>
          <w:shd w:val="clear" w:color="auto" w:fill="FFFFFF"/>
          <w:lang w:val="en-US" w:eastAsia="zh-CN"/>
        </w:rPr>
        <w:t>7</w:t>
      </w:r>
      <w:r>
        <w:rPr>
          <w:rFonts w:hint="eastAsia" w:ascii="仿宋_GB2312" w:hAnsi="仿宋_GB2312" w:eastAsia="仿宋_GB2312" w:cs="仿宋_GB2312"/>
          <w:b/>
          <w:bCs/>
          <w:color w:val="000000"/>
          <w:sz w:val="32"/>
          <w:szCs w:val="32"/>
          <w:shd w:val="clear" w:color="auto" w:fill="FFFFFF"/>
          <w:lang w:eastAsia="zh-CN"/>
        </w:rPr>
        <w:t>、</w:t>
      </w:r>
      <w:r>
        <w:rPr>
          <w:rFonts w:hint="eastAsia" w:ascii="仿宋_GB2312" w:hAnsi="仿宋_GB2312" w:eastAsia="仿宋_GB2312" w:cs="仿宋_GB2312"/>
          <w:b/>
          <w:bCs/>
          <w:color w:val="000000"/>
          <w:sz w:val="32"/>
          <w:szCs w:val="32"/>
          <w:shd w:val="clear" w:color="auto" w:fill="FFFFFF"/>
          <w:lang w:val="en-US" w:eastAsia="zh-CN"/>
        </w:rPr>
        <w:t>财政所</w:t>
      </w:r>
      <w:r>
        <w:rPr>
          <w:rFonts w:hint="eastAsia" w:ascii="仿宋_GB2312" w:hAnsi="仿宋_GB2312" w:eastAsia="仿宋_GB2312" w:cs="仿宋_GB2312"/>
          <w:b/>
          <w:bCs/>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负责编制和执行本级预算、决算。负责财政资金和国有资产的管理和监督。负责集体资产与村级财务的管理、指导。完成党委、政府交办的其他工作。</w:t>
      </w:r>
    </w:p>
    <w:p>
      <w:pPr>
        <w:spacing w:line="560" w:lineRule="exact"/>
        <w:ind w:left="0" w:leftChars="0" w:firstLine="643"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8、</w:t>
      </w:r>
      <w:r>
        <w:rPr>
          <w:rFonts w:hint="eastAsia" w:ascii="仿宋_GB2312" w:hAnsi="仿宋_GB2312" w:eastAsia="仿宋_GB2312" w:cs="仿宋_GB2312"/>
          <w:b/>
          <w:bCs/>
          <w:color w:val="000000"/>
          <w:sz w:val="32"/>
          <w:szCs w:val="32"/>
          <w:shd w:val="clear" w:color="auto" w:fill="FFFFFF"/>
        </w:rPr>
        <w:t>便民服务中心（退役军人服务站）：</w:t>
      </w:r>
      <w:r>
        <w:rPr>
          <w:rFonts w:hint="eastAsia" w:ascii="仿宋_GB2312" w:hAnsi="仿宋_GB2312" w:eastAsia="仿宋_GB2312" w:cs="仿宋_GB2312"/>
          <w:color w:val="000000"/>
          <w:sz w:val="32"/>
          <w:szCs w:val="32"/>
          <w:shd w:val="clear" w:color="auto" w:fill="FFFFFF"/>
        </w:rPr>
        <w:t>负责集中受理涉及经济发展、公共管理以及与群众密切相关的政务服务、公共服务便民服务等事项。负责教育、卫生健康、救灾救济、退役军人、残疾人事业等各类社会事务的服务性工作。负责辖区内居民医疗保险参保、缴费、医疗救助等相关事务性工作。负责便民服务中心各窗口的日常运行管理</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指导村(社区)便民服务站工作。完成党委、政府和上级业务主管部门交办的其他工作。</w:t>
      </w:r>
    </w:p>
    <w:p>
      <w:pPr>
        <w:spacing w:line="560" w:lineRule="exact"/>
        <w:ind w:left="0" w:leftChars="0" w:firstLine="643"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9、</w:t>
      </w:r>
      <w:r>
        <w:rPr>
          <w:rFonts w:hint="eastAsia" w:ascii="仿宋_GB2312" w:hAnsi="仿宋_GB2312" w:eastAsia="仿宋_GB2312" w:cs="仿宋_GB2312"/>
          <w:b/>
          <w:bCs/>
          <w:color w:val="000000"/>
          <w:sz w:val="32"/>
          <w:szCs w:val="32"/>
          <w:shd w:val="clear" w:color="auto" w:fill="FFFFFF"/>
        </w:rPr>
        <w:t>农业综合服务中心（畜牧兽医站、林业工作站、水利服务站）：</w:t>
      </w:r>
      <w:r>
        <w:rPr>
          <w:rFonts w:hint="eastAsia" w:ascii="仿宋_GB2312" w:hAnsi="仿宋_GB2312" w:eastAsia="仿宋_GB2312" w:cs="仿宋_GB2312"/>
          <w:color w:val="000000"/>
          <w:sz w:val="32"/>
          <w:szCs w:val="32"/>
          <w:shd w:val="clear" w:color="auto" w:fill="FFFFFF"/>
        </w:rPr>
        <w:t>负责农业产业发展、农业新技术推广、农用机械、农产品质量安全、农业公共信息、植物检验检疫及病虫害防治、动物防疫检疫、农村集体经济、村级财务、林业产业发展、森林资源管护、水利建设、防汛抗旱、农业设施管护等相关涉农服务工作。负责森林防火和野外火源宣传教育、日常巡护、隐患排查、监测预警等相关事务性工作。完成党委、政府和上级业务主管部门交办的其他工作。</w:t>
      </w:r>
    </w:p>
    <w:p>
      <w:pPr>
        <w:spacing w:line="560" w:lineRule="exact"/>
        <w:ind w:left="0" w:leftChars="0" w:firstLine="643"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10、</w:t>
      </w:r>
      <w:r>
        <w:rPr>
          <w:rFonts w:hint="eastAsia" w:ascii="仿宋_GB2312" w:hAnsi="仿宋_GB2312" w:eastAsia="仿宋_GB2312" w:cs="仿宋_GB2312"/>
          <w:b/>
          <w:bCs/>
          <w:color w:val="000000"/>
          <w:sz w:val="32"/>
          <w:szCs w:val="32"/>
          <w:shd w:val="clear" w:color="auto" w:fill="FFFFFF"/>
        </w:rPr>
        <w:t>乡村建设和文化服务中心：</w:t>
      </w:r>
      <w:r>
        <w:rPr>
          <w:rFonts w:hint="eastAsia" w:ascii="仿宋_GB2312" w:hAnsi="仿宋_GB2312" w:eastAsia="仿宋_GB2312" w:cs="仿宋_GB2312"/>
          <w:color w:val="000000"/>
          <w:sz w:val="32"/>
          <w:szCs w:val="32"/>
          <w:shd w:val="clear" w:color="auto" w:fill="FFFFFF"/>
        </w:rPr>
        <w:t>负责镇村规划、乡村振兴、镇村基础设施建设管理维护等事务性工作。负责农村环境综合治理服务工作。负责教育、科技、文化、旅游、体育、广播电视等服务工作。完成党委、政府和上级业务主管部门交办的其他工作。</w:t>
      </w:r>
    </w:p>
    <w:p>
      <w:pPr>
        <w:spacing w:line="560" w:lineRule="exact"/>
        <w:ind w:left="0" w:leftChars="0"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11、</w:t>
      </w:r>
      <w:r>
        <w:rPr>
          <w:rFonts w:hint="eastAsia" w:ascii="仿宋_GB2312" w:hAnsi="仿宋_GB2312" w:eastAsia="仿宋_GB2312" w:cs="仿宋_GB2312"/>
          <w:b/>
          <w:bCs/>
          <w:color w:val="000000"/>
          <w:sz w:val="32"/>
          <w:szCs w:val="32"/>
          <w:shd w:val="clear" w:color="auto" w:fill="FFFFFF"/>
        </w:rPr>
        <w:t>农民工服务中心（社会治安综合治理中心、人力资源和社会保障服务所）：</w:t>
      </w:r>
      <w:r>
        <w:rPr>
          <w:rFonts w:hint="eastAsia" w:ascii="仿宋_GB2312" w:hAnsi="仿宋_GB2312" w:eastAsia="仿宋_GB2312" w:cs="仿宋_GB2312"/>
          <w:color w:val="000000"/>
          <w:sz w:val="32"/>
          <w:szCs w:val="32"/>
          <w:shd w:val="clear" w:color="auto" w:fill="FFFFFF"/>
        </w:rPr>
        <w:t>负责农民工输出、培训、维权、回引及返乡创业等服务性工作。负责社会治安综合治理、矛盾纠纷调解信访维稳、安全生产、应急管理等事务性工作。负责就业、社会保障等服务性工作。完成党委、政府和上级业务主管部门交办的其他工作。</w:t>
      </w:r>
    </w:p>
    <w:p>
      <w:pPr>
        <w:pStyle w:val="18"/>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90" w:lineRule="atLeast"/>
        <w:ind w:left="0" w:right="0" w:firstLine="420"/>
        <w:rPr>
          <w:rFonts w:hint="eastAsia" w:ascii="楷体_GB2312" w:hAnsi="华文仿宋" w:eastAsia="楷体_GB2312" w:cs="Times New Roman"/>
          <w:b/>
          <w:kern w:val="2"/>
          <w:sz w:val="32"/>
          <w:szCs w:val="32"/>
          <w:lang w:val="en-US" w:eastAsia="zh-CN" w:bidi="ar-SA"/>
        </w:rPr>
      </w:pPr>
      <w:r>
        <w:rPr>
          <w:rFonts w:hint="eastAsia" w:ascii="楷体_GB2312" w:hAnsi="华文仿宋" w:eastAsia="楷体_GB2312" w:cs="Times New Roman"/>
          <w:b/>
          <w:kern w:val="2"/>
          <w:sz w:val="32"/>
          <w:szCs w:val="32"/>
          <w:lang w:val="en-US" w:eastAsia="zh-CN" w:bidi="ar-SA"/>
        </w:rPr>
        <w:t>人员概况</w:t>
      </w:r>
    </w:p>
    <w:p>
      <w:pPr>
        <w:spacing w:line="560" w:lineRule="exact"/>
        <w:ind w:left="0" w:leftChars="0" w:firstLine="640" w:firstLineChars="20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2022年总编制75名，其中行政编制28名，行政工勤编制 3名，事业编制44名。2022年年初预算实有在职人员73人，其中行政人员29人，事业人员41人，行政工勤人员3人。2022年末，全镇实有在职人员72人，其中行政人员27人，事业人员42人，行政工勤人员3人。</w:t>
      </w:r>
    </w:p>
    <w:p>
      <w:pPr>
        <w:spacing w:line="560" w:lineRule="exact"/>
        <w:ind w:left="0" w:leftChars="0" w:firstLine="643" w:firstLineChars="200"/>
        <w:rPr>
          <w:rFonts w:hint="eastAsia" w:ascii="楷体_GB2312" w:hAnsi="华文仿宋" w:eastAsia="楷体_GB2312" w:cs="Times New Roman"/>
          <w:b/>
          <w:kern w:val="2"/>
          <w:sz w:val="32"/>
          <w:szCs w:val="32"/>
          <w:lang w:val="en-US" w:eastAsia="zh-CN" w:bidi="ar-SA"/>
        </w:rPr>
      </w:pPr>
      <w:r>
        <w:rPr>
          <w:rFonts w:hint="eastAsia" w:ascii="楷体_GB2312" w:hAnsi="华文仿宋" w:eastAsia="楷体_GB2312" w:cs="Times New Roman"/>
          <w:b/>
          <w:kern w:val="2"/>
          <w:sz w:val="32"/>
          <w:szCs w:val="32"/>
          <w:lang w:val="en-US" w:eastAsia="zh-CN" w:bidi="ar-SA"/>
        </w:rPr>
        <w:t>（四）自评方法</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90" w:lineRule="atLeast"/>
        <w:ind w:left="0" w:right="0" w:firstLine="640" w:firstLineChars="20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我镇高度重视预算支出绩效评价工作，成立了以镇长为组长，财务分管领导为副组长，各部门主要负责人为成员的预算支出绩效评价领导小组。</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90" w:lineRule="atLeast"/>
        <w:ind w:left="0" w:right="0" w:firstLine="640" w:firstLineChars="200"/>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按照县财政局绩效评价规程要求，第一阶段为前期准备，由我镇政府牵头，组织有关部门制定了详细的工作方案，明确责任，确定评价指标细则。第二阶段为实施评价阶段，根据上一阶段任务布置，各部门按照要求展开自评工作，并将评价结果报财政所。第三阶段为报告撰写阶段，财政所在各部门自评的基础上，查阅相关文件资料和财务凭证，对收集资料进行定量定性分析，综合评议后形成评价结论，出具绩效评价报告。第四阶段为应用整改阶段，根据整改要求，划定整改时限，确保整改实效。</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二、部门财政资金收支管理情况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40" w:lineRule="atLeast"/>
        <w:ind w:left="0" w:right="0" w:firstLine="720"/>
        <w:jc w:val="both"/>
        <w:rPr>
          <w:rFonts w:hint="eastAsia" w:ascii="楷体_GB2312" w:hAnsi="华文仿宋" w:eastAsia="楷体_GB2312" w:cs="Times New Roman"/>
          <w:b/>
          <w:kern w:val="2"/>
          <w:sz w:val="32"/>
          <w:szCs w:val="32"/>
          <w:lang w:val="en-US" w:eastAsia="zh-CN" w:bidi="ar-SA"/>
        </w:rPr>
      </w:pPr>
      <w:r>
        <w:rPr>
          <w:rFonts w:hint="eastAsia" w:ascii="楷体_GB2312" w:hAnsi="华文仿宋" w:eastAsia="楷体_GB2312" w:cs="Times New Roman"/>
          <w:b/>
          <w:kern w:val="2"/>
          <w:sz w:val="32"/>
          <w:szCs w:val="32"/>
          <w:lang w:val="en-US" w:eastAsia="zh-CN" w:bidi="ar-SA"/>
        </w:rPr>
        <w:t>（一）部门财政资金收入情况</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90" w:lineRule="atLeast"/>
        <w:ind w:left="0" w:right="0" w:firstLine="640" w:firstLineChars="20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2022年元山镇人民政府收入总额为1651.43万元，其中：一般公共预算拨款收入1651.43万元，政府性基金预算财政拨款收入0万元，年初结转和结余0万元。</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40" w:lineRule="atLeast"/>
        <w:ind w:left="0" w:right="0" w:firstLine="720"/>
        <w:jc w:val="both"/>
        <w:rPr>
          <w:rFonts w:hint="eastAsia" w:ascii="楷体_GB2312" w:hAnsi="华文仿宋" w:eastAsia="楷体_GB2312" w:cs="Times New Roman"/>
          <w:b/>
          <w:kern w:val="2"/>
          <w:sz w:val="32"/>
          <w:szCs w:val="32"/>
          <w:lang w:val="en-US" w:eastAsia="zh-CN" w:bidi="ar-SA"/>
        </w:rPr>
      </w:pPr>
      <w:r>
        <w:rPr>
          <w:rFonts w:hint="eastAsia" w:ascii="楷体_GB2312" w:hAnsi="华文仿宋" w:eastAsia="楷体_GB2312" w:cs="Times New Roman"/>
          <w:b/>
          <w:kern w:val="2"/>
          <w:sz w:val="32"/>
          <w:szCs w:val="32"/>
          <w:lang w:val="en-US" w:eastAsia="zh-CN" w:bidi="ar-SA"/>
        </w:rPr>
        <w:t>部门财政资金支出情况</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90" w:lineRule="atLeast"/>
        <w:ind w:left="0" w:right="0" w:firstLine="640" w:firstLineChars="20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2022年一般公共预算财政拨款支出1651.43万元，主要用于以下方面：一般公共服务支出544.66万元，占32.98%；文化旅游体育与传媒支出57.51万元，占3.48%；社会保障和就业支出233.18万元，占14.12%；卫生健康支出39.84万元，占2.41%；节能环保支出220.00万元，占13.32%；城乡社区支出8.8万元，占0.53%；农林水支出487.49万元，占29.52%；住房保障支出59.75万元，占3.62%；灾害防治及应急管理支出0.2万元，占0.01%。</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90" w:lineRule="atLeast"/>
        <w:ind w:left="0" w:right="0" w:firstLine="640" w:firstLineChars="200"/>
        <w:rPr>
          <w:rFonts w:hint="eastAsia" w:ascii="仿宋_GB2312" w:hAnsi="仿宋" w:eastAsia="仿宋_GB2312"/>
          <w:sz w:val="32"/>
          <w:szCs w:val="32"/>
        </w:rPr>
      </w:pPr>
      <w:r>
        <w:rPr>
          <w:rFonts w:hint="eastAsia" w:ascii="仿宋_GB2312" w:hAnsi="仿宋_GB2312" w:eastAsia="仿宋_GB2312" w:cs="仿宋_GB2312"/>
          <w:color w:val="000000"/>
          <w:kern w:val="0"/>
          <w:sz w:val="32"/>
          <w:szCs w:val="32"/>
          <w:lang w:val="en-US" w:eastAsia="zh-CN" w:bidi="ar"/>
        </w:rPr>
        <w:t>2022年“三公”经费支出情况：因公出国（境）费支出决算0.00万元，占0.00%；公务用车购置及运行维护费支出决算0.00万元，占0.00%；公务接待费支出决算4.50万元，占100%。2022年“三公”经费财政拨款支出决算数为5.61万元。 2022年“三公”经费财政拨款支出决算数为4.5万元，完成预算100%，公务接待费支出决算比2021年减少1.11万元，下降19.79%。主要原因是严格执行中央八项规定，厉行节约。主要用于执行公务、开展业务活动开支的交通费、住宿费、用餐费等。国内公务接待130批次，725人次（不包括陪同人员），具体内容包括：接受上级检查及有关单位交流工作情况及接受相关部门督查指导工作发生的接待支出。</w:t>
      </w:r>
    </w:p>
    <w:p>
      <w:pPr>
        <w:keepNext w:val="0"/>
        <w:keepLines w:val="0"/>
        <w:pageBreakBefore w:val="0"/>
        <w:widowControl w:val="0"/>
        <w:numPr>
          <w:ilvl w:val="0"/>
          <w:numId w:val="6"/>
        </w:numPr>
        <w:kinsoku/>
        <w:wordWrap/>
        <w:overflowPunct/>
        <w:topLinePunct w:val="0"/>
        <w:autoSpaceDE/>
        <w:autoSpaceDN/>
        <w:bidi w:val="0"/>
        <w:adjustRightInd/>
        <w:snapToGrid/>
        <w:spacing w:line="640"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部门整体预算绩效管理情况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40" w:lineRule="atLeast"/>
        <w:ind w:left="0" w:right="0" w:firstLine="720"/>
        <w:jc w:val="both"/>
        <w:rPr>
          <w:rFonts w:hint="default" w:ascii="楷体_GB2312" w:hAnsi="华文仿宋" w:eastAsia="楷体_GB2312" w:cs="Times New Roman"/>
          <w:b/>
          <w:kern w:val="2"/>
          <w:sz w:val="32"/>
          <w:szCs w:val="32"/>
          <w:lang w:val="en-US" w:eastAsia="zh-CN" w:bidi="ar-SA"/>
        </w:rPr>
      </w:pPr>
      <w:r>
        <w:rPr>
          <w:rFonts w:hint="eastAsia" w:ascii="楷体_GB2312" w:hAnsi="华文仿宋" w:eastAsia="楷体_GB2312" w:cs="Times New Roman"/>
          <w:b/>
          <w:kern w:val="2"/>
          <w:sz w:val="32"/>
          <w:szCs w:val="32"/>
          <w:lang w:val="en-US" w:eastAsia="zh-CN" w:bidi="ar-SA"/>
        </w:rPr>
        <w:t>（一）单位预算管理</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40" w:lineRule="atLeast"/>
        <w:ind w:right="0" w:rightChars="0" w:firstLine="640" w:firstLineChars="200"/>
        <w:jc w:val="both"/>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我镇及时组织财务人员进行预决算的编制，对本年度相应用款进行及时清理和处理，做到账账相符、账实相符、账证相符，按先有预算再有支出的原则，及时处理相关事务；对绩效目标进行季度梳理和年度分析，及时上报相关报表；对专项预算提前细化，分科目上报，做到收支平衡。预算动态调整及时、执行及时，预算完成情况良好，无违规记录。</w:t>
      </w:r>
    </w:p>
    <w:p>
      <w:pPr>
        <w:spacing w:line="600" w:lineRule="exact"/>
        <w:ind w:firstLine="640" w:firstLineChars="200"/>
        <w:outlineLvl w:val="1"/>
        <w:rPr>
          <w:rFonts w:hint="eastAsia" w:ascii="仿宋" w:hAnsi="仿宋" w:eastAsia="仿宋" w:cs="仿宋"/>
          <w:color w:val="000000"/>
          <w:sz w:val="32"/>
          <w:szCs w:val="32"/>
        </w:rPr>
      </w:pPr>
      <w:r>
        <w:rPr>
          <w:rFonts w:hint="eastAsia" w:ascii="仿宋_GB2312" w:hAnsi="仿宋_GB2312" w:eastAsia="仿宋_GB2312" w:cs="仿宋_GB2312"/>
          <w:color w:val="000000"/>
          <w:kern w:val="0"/>
          <w:sz w:val="32"/>
          <w:szCs w:val="32"/>
          <w:lang w:val="en-US" w:eastAsia="zh-CN" w:bidi="ar"/>
        </w:rPr>
        <w:t>预期编制：我镇对2022年部门支出进行预算：</w:t>
      </w:r>
      <w:r>
        <w:rPr>
          <w:rFonts w:hint="eastAsia" w:ascii="仿宋" w:hAnsi="仿宋" w:eastAsia="仿宋" w:cs="仿宋"/>
          <w:color w:val="000000"/>
          <w:sz w:val="32"/>
          <w:szCs w:val="32"/>
          <w:lang w:eastAsia="zh-CN"/>
        </w:rPr>
        <w:t>202</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年本年收入合计</w:t>
      </w:r>
      <w:r>
        <w:rPr>
          <w:rFonts w:hint="eastAsia" w:ascii="仿宋_GB2312" w:hAnsi="仿宋" w:eastAsia="仿宋_GB2312"/>
          <w:sz w:val="32"/>
          <w:szCs w:val="32"/>
          <w:lang w:val="en-US" w:eastAsia="zh-CN"/>
        </w:rPr>
        <w:t>1651.43</w:t>
      </w:r>
      <w:r>
        <w:rPr>
          <w:rFonts w:hint="eastAsia" w:ascii="仿宋" w:hAnsi="仿宋" w:eastAsia="仿宋" w:cs="仿宋"/>
          <w:color w:val="000000"/>
          <w:sz w:val="32"/>
          <w:szCs w:val="32"/>
        </w:rPr>
        <w:t>万元，其中：一般公共预算财政拨款收入</w:t>
      </w:r>
      <w:r>
        <w:rPr>
          <w:rFonts w:hint="eastAsia" w:ascii="仿宋" w:hAnsi="仿宋" w:eastAsia="仿宋" w:cs="仿宋"/>
          <w:color w:val="000000"/>
          <w:sz w:val="32"/>
          <w:szCs w:val="32"/>
          <w:lang w:val="en-US" w:eastAsia="zh-CN"/>
        </w:rPr>
        <w:t>1651.43</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100</w:t>
      </w:r>
      <w:r>
        <w:rPr>
          <w:rFonts w:ascii="仿宋" w:hAnsi="仿宋" w:eastAsia="仿宋" w:cs="仿宋"/>
          <w:color w:val="000000"/>
          <w:sz w:val="32"/>
          <w:szCs w:val="32"/>
        </w:rPr>
        <w:t>%</w:t>
      </w:r>
      <w:r>
        <w:rPr>
          <w:rFonts w:hint="eastAsia" w:ascii="仿宋" w:hAnsi="仿宋" w:eastAsia="仿宋" w:cs="仿宋"/>
          <w:color w:val="000000"/>
          <w:sz w:val="32"/>
          <w:szCs w:val="32"/>
        </w:rPr>
        <w:t>；政府性基金预算财政拨款收入</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w:t>
      </w:r>
      <w:r>
        <w:rPr>
          <w:rFonts w:ascii="仿宋" w:hAnsi="仿宋" w:eastAsia="仿宋" w:cs="仿宋"/>
          <w:color w:val="000000"/>
          <w:sz w:val="32"/>
          <w:szCs w:val="32"/>
        </w:rPr>
        <w:t>%</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年初结转和结余0万元，占0%；</w:t>
      </w:r>
      <w:r>
        <w:rPr>
          <w:rFonts w:hint="eastAsia" w:ascii="仿宋" w:hAnsi="仿宋" w:eastAsia="仿宋" w:cs="仿宋"/>
          <w:color w:val="000000"/>
          <w:sz w:val="32"/>
          <w:szCs w:val="32"/>
        </w:rPr>
        <w:t>上级补助收入</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万元；事业收入</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万元；经营收入</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万元；附属单位上缴收入</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万元；其他收入</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40" w:lineRule="atLeast"/>
        <w:ind w:left="720" w:leftChars="0" w:right="0" w:rightChars="0"/>
        <w:jc w:val="both"/>
        <w:rPr>
          <w:rFonts w:hint="eastAsia" w:ascii="楷体_GB2312" w:hAnsi="华文仿宋" w:eastAsia="楷体_GB2312" w:cs="Times New Roman"/>
          <w:b/>
          <w:kern w:val="2"/>
          <w:sz w:val="32"/>
          <w:szCs w:val="32"/>
          <w:lang w:val="en-US" w:eastAsia="zh-CN" w:bidi="ar-SA"/>
        </w:rPr>
      </w:pPr>
      <w:r>
        <w:rPr>
          <w:rFonts w:hint="eastAsia" w:ascii="楷体_GB2312" w:hAnsi="华文仿宋" w:eastAsia="楷体_GB2312" w:cs="Times New Roman"/>
          <w:b/>
          <w:kern w:val="2"/>
          <w:sz w:val="32"/>
          <w:szCs w:val="32"/>
          <w:lang w:val="en-US" w:eastAsia="zh-CN" w:bidi="ar-SA"/>
        </w:rPr>
        <w:t>（二）结果应用情况</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 w:hAnsi="仿宋" w:eastAsia="仿宋" w:cs="仿宋"/>
          <w:color w:val="333333"/>
          <w:sz w:val="32"/>
          <w:szCs w:val="32"/>
          <w:shd w:val="clear" w:color="auto" w:fill="FFFFFF"/>
        </w:rPr>
      </w:pPr>
      <w:r>
        <w:rPr>
          <w:rFonts w:hint="eastAsia" w:ascii="仿宋_GB2312" w:hAnsi="仿宋_GB2312" w:eastAsia="仿宋_GB2312" w:cs="仿宋_GB2312"/>
          <w:sz w:val="32"/>
          <w:szCs w:val="32"/>
          <w:lang w:eastAsia="zh-CN"/>
        </w:rPr>
        <w:t>通过对</w:t>
      </w:r>
      <w:r>
        <w:rPr>
          <w:rFonts w:hint="eastAsia" w:ascii="仿宋_GB2312" w:hAnsi="仿宋_GB2312" w:eastAsia="仿宋_GB2312" w:cs="仿宋_GB2312"/>
          <w:sz w:val="32"/>
          <w:szCs w:val="32"/>
        </w:rPr>
        <w:t>本部门20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年部门整体支出绩效自评，</w:t>
      </w:r>
      <w:r>
        <w:rPr>
          <w:rFonts w:hint="eastAsia" w:ascii="仿宋_GB2312" w:hAnsi="仿宋_GB2312" w:eastAsia="仿宋_GB2312" w:cs="仿宋_GB2312"/>
          <w:sz w:val="32"/>
          <w:szCs w:val="32"/>
          <w:lang w:eastAsia="zh-CN"/>
        </w:rPr>
        <w:t>能够严格执行预算管理，达到了预期目的，通过对部门整体支出绩效的自评，有利于更好地加强对</w:t>
      </w:r>
      <w:r>
        <w:rPr>
          <w:rFonts w:hint="eastAsia" w:ascii="仿宋_GB2312" w:hAnsi="仿宋_GB2312" w:eastAsia="仿宋_GB2312" w:cs="仿宋_GB2312"/>
          <w:sz w:val="32"/>
          <w:szCs w:val="32"/>
          <w:lang w:val="en-US" w:eastAsia="zh-CN"/>
        </w:rPr>
        <w:t>2023年部门整体支出的管理，合理分配各项支出，保障</w:t>
      </w:r>
      <w:r>
        <w:rPr>
          <w:rFonts w:hint="eastAsia" w:ascii="仿宋_GB2312" w:hAnsi="仿宋_GB2312" w:eastAsia="仿宋_GB2312" w:cs="仿宋_GB2312"/>
          <w:sz w:val="32"/>
          <w:szCs w:val="32"/>
        </w:rPr>
        <w:t>了重点工作的开展。</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四、评价结论及建议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40" w:lineRule="atLeast"/>
        <w:ind w:left="0" w:right="0" w:firstLine="720"/>
        <w:jc w:val="both"/>
        <w:rPr>
          <w:rFonts w:hint="default" w:ascii="楷体_GB2312" w:hAnsi="华文仿宋" w:eastAsia="楷体_GB2312" w:cs="Times New Roman"/>
          <w:b/>
          <w:kern w:val="2"/>
          <w:sz w:val="32"/>
          <w:szCs w:val="32"/>
          <w:lang w:val="en-US" w:eastAsia="zh-CN" w:bidi="ar-SA"/>
        </w:rPr>
      </w:pPr>
      <w:r>
        <w:rPr>
          <w:rFonts w:hint="eastAsia" w:ascii="楷体_GB2312" w:hAnsi="华文仿宋" w:eastAsia="楷体_GB2312" w:cs="Times New Roman"/>
          <w:b/>
          <w:kern w:val="2"/>
          <w:sz w:val="32"/>
          <w:szCs w:val="32"/>
          <w:lang w:val="en-US" w:eastAsia="zh-CN" w:bidi="ar-SA"/>
        </w:rPr>
        <w:t>（一）评价结论及存在问题</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绩效评价工作的逐步推进，各部门逐步树立了绩效理念，对预算计算评价工作的态度由“被动接受”变为“主动实施”，但了解还不够深入，对单位绩效不重视，认为绩效评价只是财务部门的事情，相关职责部门配合不够，往往只能提供有限的财经资料或简单的工作计划、工作总结，绩效评价工作资料非常有限，内容粗浅。</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15"/>
        <w:jc w:val="both"/>
        <w:textAlignment w:val="auto"/>
        <w:outlineLvl w:val="9"/>
        <w:rPr>
          <w:rFonts w:hint="default" w:ascii="楷体_GB2312" w:hAnsi="华文仿宋" w:eastAsia="楷体_GB2312" w:cs="Times New Roman"/>
          <w:b/>
          <w:kern w:val="2"/>
          <w:sz w:val="32"/>
          <w:szCs w:val="32"/>
          <w:lang w:val="en-US" w:eastAsia="zh-CN" w:bidi="ar-SA"/>
        </w:rPr>
      </w:pPr>
      <w:r>
        <w:rPr>
          <w:rFonts w:hint="eastAsia" w:ascii="楷体_GB2312" w:hAnsi="华文仿宋" w:eastAsia="楷体_GB2312" w:cs="Times New Roman"/>
          <w:b/>
          <w:kern w:val="2"/>
          <w:sz w:val="32"/>
          <w:szCs w:val="32"/>
          <w:lang w:val="en-US" w:eastAsia="zh-CN" w:bidi="ar-SA"/>
        </w:rPr>
        <w:t>（二）改进建议</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细化预算编制工作，认真做好预算的编制。进一步加强镇内部机构各部门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2.加强财务管理，严格财务审核。在费用报账支付时，按照预算规定的费用项目和用途进行资金使用审核、列报支付、财务核算，杜绝超支现象的发生。</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持续抓好“三公”经费控制管理。严格控制“三公”经费的规模和比例，把关“三公”经费支出的审核、审批，杜绝挪用和挤占其他预算资金行为；进一步细化“三公”经费的管理，合理压缩“三公”经费支出。</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4.加强项目开展进度的跟踪，开展项目绩效评价，确保项目绩效目标的完成。</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sz w:val="32"/>
          <w:szCs w:val="32"/>
          <w:lang w:val="zh-CN" w:eastAsia="zh-CN"/>
        </w:rPr>
      </w:pP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sz w:val="32"/>
          <w:szCs w:val="32"/>
          <w:lang w:val="zh-CN" w:eastAsia="zh-CN"/>
        </w:rPr>
      </w:pP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sz w:val="32"/>
          <w:szCs w:val="32"/>
          <w:lang w:val="zh-CN" w:eastAsia="zh-CN"/>
        </w:rPr>
      </w:pP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sz w:val="32"/>
          <w:szCs w:val="32"/>
          <w:lang w:val="zh-CN" w:eastAsia="zh-CN"/>
        </w:rPr>
      </w:pP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sz w:val="32"/>
          <w:szCs w:val="32"/>
          <w:lang w:val="zh-CN" w:eastAsia="zh-CN"/>
        </w:rPr>
      </w:pP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sz w:val="32"/>
          <w:szCs w:val="32"/>
          <w:lang w:val="zh-CN" w:eastAsia="zh-CN"/>
        </w:rPr>
      </w:pP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sz w:val="32"/>
          <w:szCs w:val="32"/>
          <w:lang w:val="zh-CN" w:eastAsia="zh-CN"/>
        </w:rPr>
      </w:pPr>
    </w:p>
    <w:tbl>
      <w:tblPr>
        <w:tblStyle w:val="22"/>
        <w:tblW w:w="85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9"/>
        <w:gridCol w:w="438"/>
        <w:gridCol w:w="452"/>
        <w:gridCol w:w="770"/>
        <w:gridCol w:w="939"/>
        <w:gridCol w:w="266"/>
        <w:gridCol w:w="940"/>
        <w:gridCol w:w="237"/>
        <w:gridCol w:w="979"/>
        <w:gridCol w:w="268"/>
        <w:gridCol w:w="1043"/>
        <w:gridCol w:w="697"/>
        <w:gridCol w:w="7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2" w:hRule="atLeast"/>
        </w:trPr>
        <w:tc>
          <w:tcPr>
            <w:tcW w:w="1629" w:type="dxa"/>
            <w:gridSpan w:val="3"/>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default" w:ascii="黑体" w:hAnsi="宋体" w:eastAsia="黑体" w:cs="黑体"/>
                <w:i w:val="0"/>
                <w:iCs w:val="0"/>
                <w:color w:val="000000"/>
                <w:sz w:val="21"/>
                <w:szCs w:val="21"/>
                <w:u w:val="none"/>
                <w:lang w:val="en-US"/>
              </w:rPr>
            </w:pPr>
            <w:r>
              <w:rPr>
                <w:rFonts w:hint="eastAsia" w:ascii="黑体" w:hAnsi="宋体" w:eastAsia="黑体" w:cs="黑体"/>
                <w:i w:val="0"/>
                <w:iCs w:val="0"/>
                <w:color w:val="000000"/>
                <w:kern w:val="0"/>
                <w:sz w:val="21"/>
                <w:szCs w:val="21"/>
                <w:u w:val="none"/>
                <w:lang w:val="en-US" w:eastAsia="zh-CN" w:bidi="ar"/>
              </w:rPr>
              <w:t>附件2</w:t>
            </w:r>
          </w:p>
        </w:tc>
        <w:tc>
          <w:tcPr>
            <w:tcW w:w="770" w:type="dxa"/>
            <w:tcBorders>
              <w:top w:val="nil"/>
              <w:left w:val="nil"/>
              <w:bottom w:val="nil"/>
              <w:right w:val="nil"/>
            </w:tcBorders>
            <w:shd w:val="clear" w:color="auto" w:fill="auto"/>
            <w:vAlign w:val="center"/>
          </w:tcPr>
          <w:p>
            <w:pPr>
              <w:jc w:val="both"/>
              <w:rPr>
                <w:rFonts w:hint="eastAsia" w:ascii="黑体" w:hAnsi="宋体" w:eastAsia="黑体" w:cs="黑体"/>
                <w:i w:val="0"/>
                <w:iCs w:val="0"/>
                <w:color w:val="000000"/>
                <w:sz w:val="21"/>
                <w:szCs w:val="21"/>
                <w:u w:val="none"/>
              </w:rPr>
            </w:pPr>
          </w:p>
        </w:tc>
        <w:tc>
          <w:tcPr>
            <w:tcW w:w="939" w:type="dxa"/>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66" w:type="dxa"/>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940" w:type="dxa"/>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37" w:type="dxa"/>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979" w:type="dxa"/>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268" w:type="dxa"/>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1043" w:type="dxa"/>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697" w:type="dxa"/>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745" w:type="dxa"/>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8513"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2022年度部门整体支出绩效目标自评表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6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部门（单位）名称</w:t>
            </w:r>
          </w:p>
        </w:tc>
        <w:tc>
          <w:tcPr>
            <w:tcW w:w="688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剑阁县</w:t>
            </w:r>
            <w:r>
              <w:rPr>
                <w:rFonts w:hint="eastAsia" w:ascii="宋体" w:hAnsi="宋体" w:cs="宋体"/>
                <w:i w:val="0"/>
                <w:iCs w:val="0"/>
                <w:color w:val="000000"/>
                <w:kern w:val="0"/>
                <w:sz w:val="16"/>
                <w:szCs w:val="16"/>
                <w:u w:val="none"/>
                <w:lang w:val="en-US" w:eastAsia="zh-CN" w:bidi="ar"/>
              </w:rPr>
              <w:t>元山</w:t>
            </w:r>
            <w:r>
              <w:rPr>
                <w:rFonts w:hint="eastAsia" w:ascii="宋体" w:hAnsi="宋体" w:eastAsia="宋体" w:cs="宋体"/>
                <w:i w:val="0"/>
                <w:iCs w:val="0"/>
                <w:color w:val="000000"/>
                <w:kern w:val="0"/>
                <w:sz w:val="16"/>
                <w:szCs w:val="16"/>
                <w:u w:val="none"/>
                <w:lang w:val="en-US" w:eastAsia="zh-CN" w:bidi="ar"/>
              </w:rPr>
              <w:t>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年度主要</w:t>
            </w:r>
          </w:p>
        </w:tc>
        <w:tc>
          <w:tcPr>
            <w:tcW w:w="28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年初任务目标</w:t>
            </w:r>
          </w:p>
        </w:tc>
        <w:tc>
          <w:tcPr>
            <w:tcW w:w="49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任务</w:t>
            </w:r>
          </w:p>
        </w:tc>
        <w:tc>
          <w:tcPr>
            <w:tcW w:w="28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按时足额发放镇干部和村干部工资、足额缴纳保险，开展基层党组织活动，保障民生，宣传党的方针、政策，完成上级交办的各项工作。</w:t>
            </w:r>
          </w:p>
        </w:tc>
        <w:tc>
          <w:tcPr>
            <w:tcW w:w="49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按时足额发放镇干部和村干部工资、足额缴纳保险，开展基层党组织活动，保障民生，宣传党的方针、政策，完成上级交办的各项工作。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5" w:hRule="atLeast"/>
        </w:trPr>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预算执行情况（万元）</w:t>
            </w: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9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全年预算数（A）</w:t>
            </w:r>
          </w:p>
        </w:tc>
        <w:tc>
          <w:tcPr>
            <w:tcW w:w="14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全年执行数（B）</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执行率（B/A)</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年度资金总额：</w:t>
            </w:r>
          </w:p>
        </w:tc>
        <w:tc>
          <w:tcPr>
            <w:tcW w:w="29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1651.43</w:t>
            </w:r>
          </w:p>
        </w:tc>
        <w:tc>
          <w:tcPr>
            <w:tcW w:w="14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1651.43</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5"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40"/>
                <w:sz w:val="16"/>
                <w:szCs w:val="16"/>
                <w:lang w:val="en-US" w:eastAsia="zh-CN" w:bidi="ar"/>
              </w:rPr>
              <w:t xml:space="preserve"> 其中：财政拨款</w:t>
            </w:r>
          </w:p>
        </w:tc>
        <w:tc>
          <w:tcPr>
            <w:tcW w:w="29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1651.43</w:t>
            </w:r>
          </w:p>
        </w:tc>
        <w:tc>
          <w:tcPr>
            <w:tcW w:w="14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1651.43</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其他资金</w:t>
            </w:r>
          </w:p>
        </w:tc>
        <w:tc>
          <w:tcPr>
            <w:tcW w:w="29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年度总体目标</w:t>
            </w:r>
          </w:p>
        </w:tc>
        <w:tc>
          <w:tcPr>
            <w:tcW w:w="286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预期目标</w:t>
            </w:r>
          </w:p>
        </w:tc>
        <w:tc>
          <w:tcPr>
            <w:tcW w:w="490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8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90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8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保障机关运转，完成全年预算支出</w:t>
            </w:r>
          </w:p>
        </w:tc>
        <w:tc>
          <w:tcPr>
            <w:tcW w:w="49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保障机关运转，完成全年预算支出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0" w:hRule="atLeast"/>
        </w:trPr>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年度绩效指标</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预期指标值（包含数字及文字描述）</w:t>
            </w: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实际完成指标值（包含数字及文字描述）</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未完成原因及拟采取的改进措施</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财政复评得分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完成指标</w:t>
            </w:r>
          </w:p>
        </w:tc>
        <w:tc>
          <w:tcPr>
            <w:tcW w:w="12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在职职工工资保险保障率</w:t>
            </w: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村社干部报酬支付率</w:t>
            </w: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全镇运转经费保障</w:t>
            </w: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98%</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完成时间</w:t>
            </w: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2022年度内</w:t>
            </w: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2022年度内</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2"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经费成本</w:t>
            </w: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r>
              <w:rPr>
                <w:rFonts w:hint="eastAsia" w:ascii="宋体" w:hAnsi="宋体" w:cs="宋体"/>
                <w:i w:val="0"/>
                <w:iCs w:val="0"/>
                <w:color w:val="000000"/>
                <w:kern w:val="0"/>
                <w:sz w:val="13"/>
                <w:szCs w:val="13"/>
                <w:u w:val="none"/>
                <w:lang w:val="en-US" w:eastAsia="zh-CN" w:bidi="ar"/>
              </w:rPr>
              <w:t>1651.43</w:t>
            </w:r>
            <w:r>
              <w:rPr>
                <w:rFonts w:hint="eastAsia" w:ascii="宋体" w:hAnsi="宋体" w:eastAsia="宋体" w:cs="宋体"/>
                <w:i w:val="0"/>
                <w:iCs w:val="0"/>
                <w:color w:val="000000"/>
                <w:kern w:val="0"/>
                <w:sz w:val="13"/>
                <w:szCs w:val="13"/>
                <w:u w:val="none"/>
                <w:lang w:val="en-US" w:eastAsia="zh-CN" w:bidi="ar"/>
              </w:rPr>
              <w:t>万元</w:t>
            </w: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r>
              <w:rPr>
                <w:rFonts w:hint="eastAsia" w:ascii="宋体" w:hAnsi="宋体" w:cs="宋体"/>
                <w:i w:val="0"/>
                <w:iCs w:val="0"/>
                <w:color w:val="000000"/>
                <w:kern w:val="0"/>
                <w:sz w:val="13"/>
                <w:szCs w:val="13"/>
                <w:u w:val="none"/>
                <w:lang w:val="en-US" w:eastAsia="zh-CN" w:bidi="ar"/>
              </w:rPr>
              <w:t>1651.43</w:t>
            </w:r>
            <w:r>
              <w:rPr>
                <w:rFonts w:hint="eastAsia" w:ascii="宋体" w:hAnsi="宋体" w:eastAsia="宋体" w:cs="宋体"/>
                <w:i w:val="0"/>
                <w:iCs w:val="0"/>
                <w:color w:val="000000"/>
                <w:kern w:val="0"/>
                <w:sz w:val="13"/>
                <w:szCs w:val="13"/>
                <w:u w:val="none"/>
                <w:lang w:val="en-US" w:eastAsia="zh-CN" w:bidi="ar"/>
              </w:rPr>
              <w:t>万元</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2"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12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保障政府正常运转和辖区安全稳定</w:t>
            </w: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定性优良中低差</w:t>
            </w: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2"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生态效益</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改善辖区内人居环境</w:t>
            </w: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定性优良中低差</w:t>
            </w: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8"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可持续影响</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重点工作实施效果可持续影响</w:t>
            </w: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定性优良中低差</w:t>
            </w: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7"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2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群众满意度</w:t>
            </w: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3"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r>
    </w:tbl>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_GB2312" w:hAnsi="仿宋_GB2312" w:eastAsia="仿宋_GB2312" w:cs="仿宋_GB2312"/>
          <w:sz w:val="32"/>
          <w:szCs w:val="32"/>
          <w:lang w:val="zh-CN" w:eastAsia="zh-CN"/>
        </w:rPr>
      </w:pP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_GB2312" w:hAnsi="仿宋_GB2312" w:eastAsia="仿宋_GB2312" w:cs="仿宋_GB2312"/>
          <w:sz w:val="32"/>
          <w:szCs w:val="32"/>
          <w:lang w:val="zh-CN" w:eastAsia="zh-CN"/>
        </w:rPr>
      </w:pP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_GB2312" w:hAnsi="仿宋_GB2312" w:eastAsia="仿宋_GB2312" w:cs="仿宋_GB2312"/>
          <w:sz w:val="32"/>
          <w:szCs w:val="32"/>
          <w:lang w:val="zh-CN" w:eastAsia="zh-CN"/>
        </w:rPr>
      </w:pP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_GB2312" w:hAnsi="仿宋_GB2312" w:eastAsia="仿宋_GB2312" w:cs="仿宋_GB2312"/>
          <w:sz w:val="32"/>
          <w:szCs w:val="32"/>
          <w:lang w:val="zh-CN" w:eastAsia="zh-CN"/>
        </w:rPr>
      </w:pP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_GB2312" w:hAnsi="仿宋_GB2312" w:eastAsia="仿宋_GB2312" w:cs="仿宋_GB2312"/>
          <w:sz w:val="32"/>
          <w:szCs w:val="32"/>
          <w:lang w:val="zh-CN" w:eastAsia="zh-CN"/>
        </w:rPr>
      </w:pP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_GB2312" w:hAnsi="仿宋_GB2312" w:eastAsia="仿宋_GB2312" w:cs="仿宋_GB2312"/>
          <w:sz w:val="32"/>
          <w:szCs w:val="32"/>
          <w:lang w:val="zh-CN" w:eastAsia="zh-CN"/>
        </w:rPr>
      </w:pP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_GB2312" w:hAnsi="仿宋_GB2312" w:eastAsia="仿宋_GB2312" w:cs="仿宋_GB2312"/>
          <w:sz w:val="32"/>
          <w:szCs w:val="32"/>
          <w:lang w:val="zh-CN" w:eastAsia="zh-CN"/>
        </w:rPr>
      </w:pP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_GB2312" w:hAnsi="仿宋_GB2312" w:eastAsia="仿宋_GB2312" w:cs="仿宋_GB2312"/>
          <w:sz w:val="32"/>
          <w:szCs w:val="32"/>
          <w:lang w:val="zh-CN" w:eastAsia="zh-CN"/>
        </w:rPr>
      </w:pP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_GB2312" w:hAnsi="仿宋_GB2312" w:eastAsia="仿宋_GB2312" w:cs="仿宋_GB2312"/>
          <w:sz w:val="32"/>
          <w:szCs w:val="32"/>
          <w:lang w:val="zh-CN" w:eastAsia="zh-CN"/>
        </w:rPr>
      </w:pP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_GB2312" w:hAnsi="仿宋_GB2312" w:eastAsia="仿宋_GB2312" w:cs="仿宋_GB2312"/>
          <w:sz w:val="32"/>
          <w:szCs w:val="32"/>
          <w:lang w:val="zh-CN" w:eastAsia="zh-CN"/>
        </w:rPr>
      </w:pP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_GB2312" w:hAnsi="仿宋_GB2312" w:eastAsia="仿宋_GB2312" w:cs="仿宋_GB2312"/>
          <w:sz w:val="32"/>
          <w:szCs w:val="32"/>
          <w:lang w:val="zh-CN" w:eastAsia="zh-CN"/>
        </w:rPr>
      </w:pP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_GB2312" w:hAnsi="仿宋_GB2312" w:eastAsia="仿宋_GB2312" w:cs="仿宋_GB2312"/>
          <w:sz w:val="32"/>
          <w:szCs w:val="32"/>
          <w:lang w:val="zh-CN" w:eastAsia="zh-CN"/>
        </w:rPr>
      </w:pP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_GB2312" w:hAnsi="仿宋_GB2312" w:eastAsia="仿宋_GB2312" w:cs="仿宋_GB2312"/>
          <w:sz w:val="32"/>
          <w:szCs w:val="32"/>
          <w:lang w:val="zh-CN" w:eastAsia="zh-CN"/>
        </w:rPr>
      </w:pP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_GB2312" w:hAnsi="仿宋_GB2312" w:eastAsia="仿宋_GB2312" w:cs="仿宋_GB2312"/>
          <w:sz w:val="32"/>
          <w:szCs w:val="32"/>
          <w:lang w:val="zh-CN" w:eastAsia="zh-CN"/>
        </w:rPr>
      </w:pP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sz w:val="32"/>
          <w:szCs w:val="32"/>
          <w:lang w:val="zh-CN" w:eastAsia="zh-CN"/>
        </w:rPr>
      </w:pP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sz w:val="32"/>
          <w:szCs w:val="32"/>
          <w:lang w:val="zh-CN" w:eastAsia="zh-CN"/>
        </w:rPr>
      </w:pPr>
    </w:p>
    <w:p>
      <w:pPr>
        <w:pStyle w:val="2"/>
        <w:spacing w:before="93"/>
        <w:rPr>
          <w:lang w:val="zh-CN"/>
        </w:rPr>
      </w:pPr>
      <w:r>
        <w:rPr>
          <w:rFonts w:hint="eastAsia" w:hAnsi="宋体" w:cs="宋体"/>
          <w:sz w:val="32"/>
          <w:szCs w:val="32"/>
          <w:shd w:val="clear" w:color="auto" w:fill="FFFFFF"/>
          <w:lang w:val="zh-CN"/>
        </w:rPr>
        <w:t>附件</w:t>
      </w:r>
    </w:p>
    <w:p>
      <w:pPr>
        <w:spacing w:line="600" w:lineRule="exact"/>
        <w:jc w:val="center"/>
        <w:rPr>
          <w:rFonts w:ascii="宋体" w:hAnsi="宋体"/>
          <w:sz w:val="32"/>
          <w:szCs w:val="32"/>
          <w:lang w:val="zh-CN"/>
        </w:rPr>
      </w:pP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2</w:t>
      </w:r>
      <w:r>
        <w:rPr>
          <w:rFonts w:hint="eastAsia" w:ascii="方正小标宋简体" w:hAnsi="方正小标宋简体" w:eastAsia="方正小标宋简体" w:cs="方正小标宋简体"/>
          <w:sz w:val="40"/>
          <w:szCs w:val="40"/>
        </w:rPr>
        <w:t>年</w:t>
      </w:r>
      <w:r>
        <w:rPr>
          <w:rFonts w:hint="eastAsia" w:ascii="黑体" w:hAnsi="黑体" w:eastAsia="黑体" w:cs="方正小标宋简体"/>
          <w:sz w:val="44"/>
          <w:szCs w:val="44"/>
        </w:rPr>
        <w:t>垃圾清运及</w:t>
      </w:r>
      <w:r>
        <w:rPr>
          <w:rFonts w:hint="eastAsia" w:ascii="黑体" w:hAnsi="黑体" w:eastAsia="黑体" w:cs="方正小标宋简体"/>
          <w:sz w:val="44"/>
          <w:szCs w:val="44"/>
          <w:lang w:eastAsia="zh-CN"/>
        </w:rPr>
        <w:t>处置费</w:t>
      </w:r>
      <w:r>
        <w:rPr>
          <w:rFonts w:hint="eastAsia" w:ascii="方正小标宋简体" w:hAnsi="方正小标宋简体" w:eastAsia="方正小标宋简体" w:cs="方正小标宋简体"/>
          <w:sz w:val="40"/>
          <w:szCs w:val="40"/>
          <w:lang w:val="zh-CN"/>
        </w:rPr>
        <w:t>项目支出绩效自评报告</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我镇202</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年垃圾清运及转运项目预算资金</w:t>
      </w:r>
      <w:r>
        <w:rPr>
          <w:rFonts w:hint="eastAsia" w:ascii="仿宋_GB2312" w:hAnsi="仿宋_GB2312" w:eastAsia="仿宋_GB2312" w:cs="仿宋_GB2312"/>
          <w:sz w:val="32"/>
          <w:szCs w:val="32"/>
          <w:lang w:val="en-US" w:eastAsia="zh-CN"/>
        </w:rPr>
        <w:t>8.80</w:t>
      </w:r>
      <w:r>
        <w:rPr>
          <w:rFonts w:hint="default" w:ascii="仿宋_GB2312" w:hAnsi="仿宋_GB2312" w:eastAsia="仿宋_GB2312" w:cs="仿宋_GB2312"/>
          <w:sz w:val="32"/>
          <w:szCs w:val="32"/>
          <w:lang w:val="en-US" w:eastAsia="zh-CN"/>
        </w:rPr>
        <w:t>万元，针对我镇</w:t>
      </w:r>
      <w:r>
        <w:rPr>
          <w:rFonts w:hint="eastAsia" w:ascii="仿宋_GB2312" w:hAnsi="仿宋_GB2312" w:eastAsia="仿宋_GB2312" w:cs="仿宋_GB2312"/>
          <w:sz w:val="32"/>
          <w:szCs w:val="32"/>
          <w:lang w:val="en-US" w:eastAsia="zh-CN"/>
        </w:rPr>
        <w:t>城乡环卫垃圾清运及处置</w:t>
      </w:r>
      <w:r>
        <w:rPr>
          <w:rFonts w:hint="default" w:ascii="仿宋_GB2312" w:hAnsi="仿宋_GB2312" w:eastAsia="仿宋_GB2312" w:cs="仿宋_GB2312"/>
          <w:sz w:val="32"/>
          <w:szCs w:val="32"/>
          <w:lang w:val="en-US" w:eastAsia="zh-CN"/>
        </w:rPr>
        <w:t>的实际情况，严格按照资金用途在</w:t>
      </w:r>
      <w:r>
        <w:rPr>
          <w:rFonts w:hint="eastAsia" w:ascii="仿宋_GB2312" w:hAnsi="仿宋_GB2312" w:eastAsia="仿宋_GB2312" w:cs="仿宋_GB2312"/>
          <w:sz w:val="32"/>
          <w:szCs w:val="32"/>
          <w:lang w:val="en-US" w:eastAsia="zh-CN"/>
        </w:rPr>
        <w:t>一体化系统</w:t>
      </w:r>
      <w:r>
        <w:rPr>
          <w:rFonts w:hint="default" w:ascii="仿宋_GB2312" w:hAnsi="仿宋_GB2312" w:eastAsia="仿宋_GB2312" w:cs="仿宋_GB2312"/>
          <w:sz w:val="32"/>
          <w:szCs w:val="32"/>
          <w:lang w:val="en-US" w:eastAsia="zh-CN"/>
        </w:rPr>
        <w:t>申报，按照资金专项管理办法对支出的每一笔资金都严格审批，专款专用。</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1．项目主要内容：</w:t>
      </w:r>
      <w:r>
        <w:rPr>
          <w:rFonts w:hint="eastAsia" w:ascii="仿宋" w:hAnsi="仿宋" w:eastAsia="仿宋" w:cs="仿宋_GB2312"/>
          <w:sz w:val="32"/>
          <w:szCs w:val="32"/>
        </w:rPr>
        <w:t>保障场镇及周边的优美环境，</w:t>
      </w:r>
      <w:r>
        <w:rPr>
          <w:rFonts w:hint="eastAsia" w:ascii="仿宋_GB2312" w:hAnsi="宋体" w:eastAsia="仿宋_GB2312"/>
          <w:sz w:val="32"/>
          <w:szCs w:val="32"/>
          <w:lang w:val="zh-CN"/>
        </w:rPr>
        <w:t>完成场镇垃圾清运，</w:t>
      </w:r>
      <w:r>
        <w:rPr>
          <w:rFonts w:hint="eastAsia" w:ascii="仿宋" w:hAnsi="仿宋" w:eastAsia="仿宋" w:cs="仿宋_GB2312"/>
          <w:sz w:val="32"/>
          <w:szCs w:val="32"/>
        </w:rPr>
        <w:t>配备专职人员，对垃圾收集、清运实施日常监督和考核。</w:t>
      </w:r>
      <w:r>
        <w:rPr>
          <w:rFonts w:hint="eastAsia" w:ascii="仿宋" w:hAnsi="仿宋" w:eastAsia="仿宋" w:cs="仿宋_GB2312"/>
          <w:sz w:val="32"/>
          <w:szCs w:val="32"/>
          <w:lang w:eastAsia="zh-CN"/>
        </w:rPr>
        <w:t>元山</w:t>
      </w:r>
      <w:r>
        <w:rPr>
          <w:rFonts w:hint="eastAsia" w:ascii="仿宋" w:hAnsi="仿宋" w:eastAsia="仿宋" w:cs="仿宋_GB2312"/>
          <w:sz w:val="32"/>
          <w:szCs w:val="32"/>
        </w:rPr>
        <w:t>镇人民政府生活垃圾无害化处理场配备专职人员，对垃圾处理实施日常监督和考核。</w:t>
      </w:r>
    </w:p>
    <w:p>
      <w:pPr>
        <w:adjustRightInd w:val="0"/>
        <w:snapToGrid w:val="0"/>
        <w:spacing w:line="600" w:lineRule="exact"/>
        <w:ind w:firstLine="720"/>
        <w:rPr>
          <w:rFonts w:hint="default" w:ascii="仿宋_GB2312" w:hAnsi="宋体" w:eastAsia="仿宋_GB2312"/>
          <w:sz w:val="32"/>
          <w:szCs w:val="32"/>
          <w:lang w:val="en-US" w:eastAsia="zh-CN"/>
        </w:rPr>
      </w:pPr>
      <w:r>
        <w:rPr>
          <w:rFonts w:hint="eastAsia" w:ascii="仿宋_GB2312" w:hAnsi="宋体" w:eastAsia="仿宋_GB2312"/>
          <w:sz w:val="32"/>
          <w:szCs w:val="32"/>
          <w:lang w:val="zh-CN"/>
        </w:rPr>
        <w:t>2．项目应实现的具体绩效目标：产出指标：完成场镇及周边垃圾清运（车）不少于</w:t>
      </w:r>
      <w:r>
        <w:rPr>
          <w:rFonts w:hint="eastAsia" w:ascii="仿宋_GB2312" w:hAnsi="宋体" w:eastAsia="仿宋_GB2312"/>
          <w:sz w:val="32"/>
          <w:szCs w:val="32"/>
          <w:lang w:val="en-US" w:eastAsia="zh-CN"/>
        </w:rPr>
        <w:t>120车；环境卫生质量达到优；项目成果时效为2022年度；转运成本（元/车）小于等于750元/车</w:t>
      </w:r>
      <w:r>
        <w:rPr>
          <w:rFonts w:hint="eastAsia" w:ascii="仿宋_GB2312" w:hAnsi="宋体" w:eastAsia="仿宋_GB2312"/>
          <w:sz w:val="32"/>
          <w:szCs w:val="32"/>
          <w:lang w:val="zh-CN"/>
        </w:rPr>
        <w:t>。绩效指标：城乡环境，有效改善城乡环境，提升群众生活幸福指数。满意度指标：群众满意度大于等于</w:t>
      </w:r>
      <w:r>
        <w:rPr>
          <w:rFonts w:hint="eastAsia" w:ascii="仿宋_GB2312" w:hAnsi="宋体" w:eastAsia="仿宋_GB2312"/>
          <w:sz w:val="32"/>
          <w:szCs w:val="32"/>
          <w:lang w:val="en-US" w:eastAsia="zh-CN"/>
        </w:rPr>
        <w:t>95%。</w:t>
      </w:r>
    </w:p>
    <w:p>
      <w:pPr>
        <w:spacing w:line="580" w:lineRule="exact"/>
        <w:ind w:firstLine="640" w:firstLineChars="200"/>
        <w:rPr>
          <w:rFonts w:hint="eastAsia" w:ascii="仿宋_GB2312" w:hAnsi="宋体" w:eastAsia="仿宋"/>
          <w:sz w:val="32"/>
          <w:szCs w:val="32"/>
          <w:lang w:val="zh-CN" w:eastAsia="zh-CN"/>
        </w:rPr>
      </w:pPr>
      <w:r>
        <w:rPr>
          <w:rFonts w:hint="eastAsia" w:ascii="仿宋_GB2312" w:hAnsi="宋体" w:eastAsia="仿宋_GB2312"/>
          <w:sz w:val="32"/>
          <w:szCs w:val="32"/>
          <w:lang w:val="zh-CN"/>
        </w:rPr>
        <w:t>3．</w:t>
      </w:r>
      <w:r>
        <w:rPr>
          <w:rFonts w:hint="eastAsia" w:ascii="仿宋" w:hAnsi="仿宋" w:eastAsia="仿宋" w:cs="仿宋_GB2312"/>
          <w:sz w:val="32"/>
          <w:szCs w:val="32"/>
        </w:rPr>
        <w:t>本项目是一项环境综合治理的公益性工程，项目实施后社会效益经济效益、环境效益凸显，具有可持续性。</w:t>
      </w:r>
      <w:r>
        <w:rPr>
          <w:rFonts w:hint="eastAsia" w:ascii="仿宋" w:hAnsi="仿宋" w:eastAsia="仿宋" w:cs="仿宋_GB2312"/>
          <w:sz w:val="32"/>
          <w:szCs w:val="32"/>
          <w:lang w:eastAsia="zh-CN"/>
        </w:rPr>
        <w:t>申报目标设定合理。</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40" w:lineRule="atLeast"/>
        <w:ind w:right="0" w:rightChars="0" w:firstLine="640" w:firstLineChars="200"/>
        <w:jc w:val="both"/>
        <w:rPr>
          <w:rFonts w:ascii="仿宋_GB2312" w:hAnsi="宋体" w:eastAsia="仿宋_GB2312"/>
          <w:sz w:val="32"/>
          <w:szCs w:val="32"/>
          <w:lang w:val="zh-CN"/>
        </w:rPr>
      </w:pPr>
      <w:r>
        <w:rPr>
          <w:rFonts w:hint="default" w:ascii="仿宋" w:hAnsi="仿宋" w:eastAsia="仿宋" w:cs="仿宋_GB2312"/>
          <w:sz w:val="32"/>
          <w:szCs w:val="32"/>
          <w:lang w:val="en-US" w:eastAsia="zh-CN"/>
        </w:rPr>
        <w:t>部门</w:t>
      </w:r>
      <w:r>
        <w:rPr>
          <w:rFonts w:hint="eastAsia" w:ascii="仿宋" w:hAnsi="仿宋" w:eastAsia="仿宋" w:cs="仿宋_GB2312"/>
          <w:sz w:val="32"/>
          <w:szCs w:val="32"/>
          <w:lang w:val="en-US" w:eastAsia="zh-CN"/>
        </w:rPr>
        <w:t>对</w:t>
      </w:r>
      <w:r>
        <w:rPr>
          <w:rFonts w:hint="default" w:ascii="仿宋" w:hAnsi="仿宋" w:eastAsia="仿宋" w:cs="仿宋_GB2312"/>
          <w:sz w:val="32"/>
          <w:szCs w:val="32"/>
          <w:lang w:val="en-US" w:eastAsia="zh-CN"/>
        </w:rPr>
        <w:t>垃圾收集、清运、处理的监督考核建立了考核监督制度，考核细则健全，扣分项目、处罚措施明确。</w:t>
      </w:r>
      <w:r>
        <w:rPr>
          <w:rFonts w:hint="eastAsia" w:ascii="仿宋" w:hAnsi="仿宋" w:eastAsia="仿宋" w:cs="仿宋_GB2312"/>
          <w:sz w:val="32"/>
          <w:szCs w:val="32"/>
          <w:lang w:val="en-US" w:eastAsia="zh-CN"/>
        </w:rPr>
        <w:t>根据综合得分，组织分管领导及部门负责人对本年度垃圾清运及处置费项目进行评估，评价项目效益，并提出改进措施。</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在规定时间内，由部门进行申报，财政局统一批复。</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（二）资金计划、到位及使用情况（可用表格形式反映）。</w:t>
      </w:r>
    </w:p>
    <w:tbl>
      <w:tblPr>
        <w:tblStyle w:val="22"/>
        <w:tblW w:w="96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4"/>
        <w:gridCol w:w="2794"/>
        <w:gridCol w:w="1123"/>
        <w:gridCol w:w="1657"/>
        <w:gridCol w:w="533"/>
        <w:gridCol w:w="1080"/>
        <w:gridCol w:w="10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垃圾清运及处置费</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26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赖雷15283923555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剑阁县财政局</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6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w:t>
            </w:r>
            <w:r>
              <w:rPr>
                <w:rFonts w:hint="eastAsia" w:ascii="宋体" w:hAnsi="宋体" w:cs="宋体"/>
                <w:i w:val="0"/>
                <w:iCs w:val="0"/>
                <w:color w:val="000000"/>
                <w:kern w:val="0"/>
                <w:sz w:val="20"/>
                <w:szCs w:val="20"/>
                <w:u w:val="none"/>
                <w:lang w:val="en-US" w:eastAsia="zh-CN" w:bidi="ar"/>
              </w:rPr>
              <w:t>元山</w:t>
            </w:r>
            <w:r>
              <w:rPr>
                <w:rFonts w:hint="eastAsia" w:ascii="宋体" w:hAnsi="宋体" w:eastAsia="宋体" w:cs="宋体"/>
                <w:i w:val="0"/>
                <w:iCs w:val="0"/>
                <w:color w:val="000000"/>
                <w:kern w:val="0"/>
                <w:sz w:val="20"/>
                <w:szCs w:val="20"/>
                <w:u w:val="none"/>
                <w:lang w:val="en-US" w:eastAsia="zh-CN" w:bidi="ar"/>
              </w:rPr>
              <w:t>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80</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8.80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7"/>
                <w:lang w:val="en-US" w:eastAsia="zh-CN" w:bidi="ar"/>
              </w:rPr>
              <w:t xml:space="preserve"> 其中：中央、省、市财政资金</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7"/>
                <w:lang w:val="en-US" w:eastAsia="zh-CN" w:bidi="ar"/>
              </w:rPr>
              <w:t xml:space="preserve">       县级财政资金</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80</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7"/>
                <w:lang w:val="en-US" w:eastAsia="zh-CN" w:bidi="ar"/>
              </w:rPr>
              <w:t xml:space="preserve">       其他资金</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pStyle w:val="23"/>
        <w:rPr>
          <w:lang w:val="zh-CN"/>
        </w:rPr>
      </w:pPr>
    </w:p>
    <w:p>
      <w:pPr>
        <w:pStyle w:val="23"/>
        <w:rPr>
          <w:lang w:val="zh-CN"/>
        </w:rPr>
      </w:pPr>
    </w:p>
    <w:p>
      <w:pPr>
        <w:pStyle w:val="23"/>
        <w:rPr>
          <w:lang w:val="zh-CN"/>
        </w:rPr>
      </w:pP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各项目实施单位财务管理制度健全，严格执行财务管理制度，账务处理及时，会计核算规范。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pStyle w:val="23"/>
        <w:ind w:firstLine="964" w:firstLineChars="300"/>
        <w:rPr>
          <w:rFonts w:hint="default" w:eastAsia="楷体_GB2312"/>
          <w:lang w:val="en-US" w:eastAsia="zh-CN"/>
        </w:rPr>
      </w:pPr>
      <w:r>
        <w:rPr>
          <w:rFonts w:hint="eastAsia" w:ascii="楷体_GB2312" w:hAnsi="宋体" w:eastAsia="楷体_GB2312"/>
          <w:b/>
          <w:sz w:val="32"/>
          <w:szCs w:val="32"/>
          <w:lang w:val="zh-CN"/>
        </w:rPr>
        <w:t>申报项目－</w:t>
      </w:r>
      <w:r>
        <w:rPr>
          <w:rFonts w:hint="eastAsia" w:ascii="楷体_GB2312" w:hAnsi="宋体" w:eastAsia="楷体_GB2312"/>
          <w:b/>
          <w:sz w:val="32"/>
          <w:szCs w:val="32"/>
          <w:lang w:val="en-US" w:eastAsia="zh-CN"/>
        </w:rPr>
        <w:t>项目执行－项目监督－项目评价</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（二）项目管理情况。</w:t>
      </w:r>
      <w:r>
        <w:rPr>
          <w:rFonts w:hint="eastAsia" w:ascii="仿宋_GB2312" w:hAnsi="宋体" w:eastAsia="仿宋_GB2312"/>
          <w:sz w:val="32"/>
          <w:szCs w:val="32"/>
          <w:lang w:val="zh-CN"/>
        </w:rPr>
        <w:t>结合项目特点，总体评价各项目实施单位执行相关法律法规及项目管理制度等情况，如招投标、政府采购、项目公示制等相关规定。</w:t>
      </w:r>
    </w:p>
    <w:p>
      <w:pPr>
        <w:spacing w:line="580" w:lineRule="exact"/>
        <w:ind w:firstLine="643" w:firstLineChars="200"/>
        <w:rPr>
          <w:rFonts w:ascii="仿宋_GB2312" w:hAnsi="宋体" w:eastAsia="仿宋_GB2312"/>
          <w:sz w:val="32"/>
          <w:szCs w:val="32"/>
          <w:lang w:val="zh-CN"/>
        </w:rPr>
      </w:pPr>
      <w:r>
        <w:rPr>
          <w:rFonts w:hint="eastAsia" w:ascii="楷体_GB2312" w:hAnsi="宋体" w:eastAsia="楷体_GB2312"/>
          <w:b/>
          <w:sz w:val="32"/>
          <w:szCs w:val="32"/>
          <w:lang w:val="zh-CN"/>
        </w:rPr>
        <w:t>（三）项目监管情况。</w:t>
      </w:r>
      <w:r>
        <w:rPr>
          <w:rFonts w:hint="eastAsia" w:ascii="仿宋" w:hAnsi="仿宋" w:eastAsia="仿宋" w:cs="仿宋_GB2312"/>
          <w:sz w:val="32"/>
          <w:szCs w:val="32"/>
          <w:lang w:eastAsia="zh-CN"/>
        </w:rPr>
        <w:t>元山</w:t>
      </w:r>
      <w:r>
        <w:rPr>
          <w:rFonts w:hint="eastAsia" w:ascii="仿宋" w:hAnsi="仿宋" w:eastAsia="仿宋" w:cs="仿宋_GB2312"/>
          <w:sz w:val="32"/>
          <w:szCs w:val="32"/>
        </w:rPr>
        <w:t>镇人民政府的清运项目的实施，确保了城乡垃圾的日产日清，改善了城乡卫生环境，</w:t>
      </w:r>
      <w:r>
        <w:rPr>
          <w:rFonts w:hint="eastAsia" w:ascii="仿宋" w:hAnsi="仿宋" w:eastAsia="仿宋" w:cs="仿宋_GB2312"/>
          <w:sz w:val="32"/>
          <w:szCs w:val="32"/>
          <w:lang w:eastAsia="zh-CN"/>
        </w:rPr>
        <w:t>同时</w:t>
      </w:r>
      <w:r>
        <w:rPr>
          <w:rFonts w:hint="eastAsia" w:ascii="仿宋" w:hAnsi="仿宋" w:eastAsia="仿宋" w:cs="仿宋_GB2312"/>
          <w:sz w:val="32"/>
          <w:szCs w:val="32"/>
        </w:rPr>
        <w:t>项目实施</w:t>
      </w:r>
      <w:r>
        <w:rPr>
          <w:rFonts w:hint="eastAsia" w:ascii="仿宋" w:hAnsi="仿宋" w:eastAsia="仿宋" w:cs="仿宋_GB2312"/>
          <w:sz w:val="32"/>
          <w:szCs w:val="32"/>
          <w:lang w:eastAsia="zh-CN"/>
        </w:rPr>
        <w:t>监督</w:t>
      </w:r>
      <w:r>
        <w:rPr>
          <w:rFonts w:hint="eastAsia" w:ascii="仿宋" w:hAnsi="仿宋" w:eastAsia="仿宋" w:cs="仿宋_GB2312"/>
          <w:sz w:val="32"/>
          <w:szCs w:val="32"/>
        </w:rPr>
        <w:t>到位，产生了良好的社会环境效益。</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本项目实施组织严密，管理规范有序，资金使用管理到位，实施后社会经济效益凸显。</w:t>
      </w:r>
      <w:r>
        <w:rPr>
          <w:rFonts w:hint="eastAsia" w:ascii="仿宋" w:hAnsi="仿宋" w:eastAsia="仿宋" w:cs="仿宋_GB2312"/>
          <w:sz w:val="32"/>
          <w:szCs w:val="32"/>
          <w:lang w:eastAsia="zh-CN"/>
        </w:rPr>
        <w:t>元山</w:t>
      </w:r>
      <w:r>
        <w:rPr>
          <w:rFonts w:hint="eastAsia" w:ascii="仿宋" w:hAnsi="仿宋" w:eastAsia="仿宋" w:cs="仿宋_GB2312"/>
          <w:sz w:val="32"/>
          <w:szCs w:val="32"/>
        </w:rPr>
        <w:t>镇人民政府生活垃圾无害化处理场配备专职人员，对垃圾处理实施日常监督和考核。为了加强项目的资金管理，我</w:t>
      </w:r>
      <w:r>
        <w:rPr>
          <w:rFonts w:hint="eastAsia" w:ascii="仿宋" w:hAnsi="仿宋" w:eastAsia="仿宋" w:cs="仿宋_GB2312"/>
          <w:sz w:val="32"/>
          <w:szCs w:val="32"/>
          <w:lang w:eastAsia="zh-CN"/>
        </w:rPr>
        <w:t>镇</w:t>
      </w:r>
      <w:r>
        <w:rPr>
          <w:rFonts w:hint="eastAsia" w:ascii="仿宋" w:hAnsi="仿宋" w:eastAsia="仿宋" w:cs="仿宋_GB2312"/>
          <w:sz w:val="32"/>
          <w:szCs w:val="32"/>
        </w:rPr>
        <w:t>制定了重点工程项目建设管理和财务管理制度，并将该项目纳入县级重点工程财务核算，实行集中支付和报账制，确保资金封闭运行，项目实施中县财政、县审计以及监察部门定期或不定期</w:t>
      </w:r>
      <w:r>
        <w:rPr>
          <w:rFonts w:hint="eastAsia" w:ascii="仿宋" w:hAnsi="仿宋" w:eastAsia="仿宋" w:cs="仿宋_GB2312"/>
          <w:sz w:val="32"/>
          <w:szCs w:val="32"/>
          <w:lang w:eastAsia="zh-CN"/>
        </w:rPr>
        <w:t>地</w:t>
      </w:r>
      <w:r>
        <w:rPr>
          <w:rFonts w:hint="eastAsia" w:ascii="仿宋" w:hAnsi="仿宋" w:eastAsia="仿宋" w:cs="仿宋_GB2312"/>
          <w:sz w:val="32"/>
          <w:szCs w:val="32"/>
        </w:rPr>
        <w:t>实行检查、督察，确保项目资金的安全运行。</w:t>
      </w:r>
    </w:p>
    <w:p>
      <w:pPr>
        <w:spacing w:line="580" w:lineRule="exact"/>
        <w:ind w:firstLine="640" w:firstLineChars="200"/>
        <w:rPr>
          <w:rFonts w:ascii="楷体_GB2312" w:hAnsi="宋体" w:eastAsia="楷体_GB2312"/>
          <w:b/>
          <w:sz w:val="32"/>
          <w:szCs w:val="32"/>
          <w:lang w:val="zh-CN"/>
        </w:rPr>
      </w:pPr>
      <w:r>
        <w:rPr>
          <w:rFonts w:hint="eastAsia" w:ascii="仿宋" w:hAnsi="仿宋" w:eastAsia="仿宋" w:cs="仿宋_GB2312"/>
          <w:sz w:val="32"/>
          <w:szCs w:val="32"/>
        </w:rPr>
        <w:t>资金使用过程中，严把监督审核关，建立健全内部审批制度。对每笔用款申请，在所附资料齐备的情况下，经审核确认后再报县财政局审批后付款</w:t>
      </w:r>
      <w:r>
        <w:rPr>
          <w:rFonts w:hint="eastAsia" w:ascii="仿宋_GB2312" w:hAnsi="宋体" w:eastAsia="仿宋_GB2312"/>
          <w:sz w:val="32"/>
          <w:szCs w:val="32"/>
          <w:lang w:val="zh-CN"/>
        </w:rPr>
        <w:t>。</w:t>
      </w:r>
      <w:r>
        <w:rPr>
          <w:rFonts w:hint="eastAsia" w:ascii="仿宋" w:hAnsi="仿宋" w:eastAsia="仿宋" w:cs="仿宋_GB2312"/>
          <w:sz w:val="32"/>
          <w:szCs w:val="32"/>
        </w:rPr>
        <w:t>确保了城乡垃圾的日产日清，改善了城乡卫生环境，项目实施到位，产生了良好的社会环境效益。</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spacing w:line="580" w:lineRule="exact"/>
        <w:ind w:firstLine="640" w:firstLineChars="200"/>
        <w:rPr>
          <w:rFonts w:hint="default" w:ascii="仿宋" w:hAnsi="仿宋" w:eastAsia="仿宋" w:cs="仿宋_GB2312"/>
          <w:sz w:val="32"/>
          <w:szCs w:val="32"/>
        </w:rPr>
      </w:pPr>
      <w:r>
        <w:rPr>
          <w:rFonts w:hint="default" w:ascii="仿宋" w:hAnsi="仿宋" w:eastAsia="仿宋" w:cs="仿宋_GB2312"/>
          <w:sz w:val="32"/>
          <w:szCs w:val="32"/>
          <w:lang w:val="en-US" w:eastAsia="zh-CN"/>
        </w:rPr>
        <w:t>1、社会效益：通过项目的实施，可改善居民的生活和生态环境，进而提高居民的生活水平和健康水平，保护</w:t>
      </w:r>
      <w:r>
        <w:rPr>
          <w:rFonts w:hint="eastAsia" w:ascii="仿宋" w:hAnsi="仿宋" w:eastAsia="仿宋" w:cs="仿宋_GB2312"/>
          <w:sz w:val="32"/>
          <w:szCs w:val="32"/>
          <w:lang w:val="en-US" w:eastAsia="zh-CN"/>
        </w:rPr>
        <w:t>元山镇</w:t>
      </w:r>
      <w:r>
        <w:rPr>
          <w:rFonts w:hint="default" w:ascii="仿宋" w:hAnsi="仿宋" w:eastAsia="仿宋" w:cs="仿宋_GB2312"/>
          <w:sz w:val="32"/>
          <w:szCs w:val="32"/>
          <w:lang w:val="en-US" w:eastAsia="zh-CN"/>
        </w:rPr>
        <w:t>整体环境和恢复生态平衡，从而保证整个剑阁县社会经济又好又快发展。</w:t>
      </w:r>
    </w:p>
    <w:p>
      <w:pPr>
        <w:spacing w:line="580" w:lineRule="exact"/>
        <w:ind w:firstLine="640" w:firstLineChars="200"/>
        <w:rPr>
          <w:rFonts w:hint="default" w:ascii="仿宋" w:hAnsi="仿宋" w:eastAsia="仿宋" w:cs="仿宋_GB2312"/>
          <w:sz w:val="32"/>
          <w:szCs w:val="32"/>
        </w:rPr>
      </w:pPr>
      <w:r>
        <w:rPr>
          <w:rFonts w:hint="default" w:ascii="仿宋" w:hAnsi="仿宋" w:eastAsia="仿宋" w:cs="仿宋_GB2312"/>
          <w:sz w:val="32"/>
          <w:szCs w:val="32"/>
          <w:lang w:val="en-US" w:eastAsia="zh-CN"/>
        </w:rPr>
        <w:t>2、环境效益：通过项目的实施，将</w:t>
      </w:r>
      <w:r>
        <w:rPr>
          <w:rFonts w:hint="eastAsia" w:ascii="仿宋" w:hAnsi="仿宋" w:eastAsia="仿宋" w:cs="仿宋_GB2312"/>
          <w:sz w:val="32"/>
          <w:szCs w:val="32"/>
          <w:lang w:val="en-US" w:eastAsia="zh-CN"/>
        </w:rPr>
        <w:t>能够有力地的</w:t>
      </w:r>
      <w:r>
        <w:rPr>
          <w:rFonts w:hint="default" w:ascii="仿宋" w:hAnsi="仿宋" w:eastAsia="仿宋" w:cs="仿宋_GB2312"/>
          <w:sz w:val="32"/>
          <w:szCs w:val="32"/>
          <w:lang w:val="en-US" w:eastAsia="zh-CN"/>
        </w:rPr>
        <w:t>缓解整个</w:t>
      </w:r>
      <w:r>
        <w:rPr>
          <w:rFonts w:hint="eastAsia" w:ascii="仿宋" w:hAnsi="仿宋" w:eastAsia="仿宋" w:cs="仿宋_GB2312"/>
          <w:sz w:val="32"/>
          <w:szCs w:val="32"/>
          <w:lang w:val="en-US" w:eastAsia="zh-CN"/>
        </w:rPr>
        <w:t>剑阁</w:t>
      </w:r>
      <w:r>
        <w:rPr>
          <w:rFonts w:hint="default" w:ascii="仿宋" w:hAnsi="仿宋" w:eastAsia="仿宋" w:cs="仿宋_GB2312"/>
          <w:sz w:val="32"/>
          <w:szCs w:val="32"/>
          <w:lang w:val="en-US" w:eastAsia="zh-CN"/>
        </w:rPr>
        <w:t>县生活垃圾带来的环境污染和各种社会、经济问题，改善</w:t>
      </w:r>
      <w:r>
        <w:rPr>
          <w:rFonts w:hint="eastAsia" w:ascii="仿宋" w:hAnsi="仿宋" w:eastAsia="仿宋" w:cs="仿宋_GB2312"/>
          <w:sz w:val="32"/>
          <w:szCs w:val="32"/>
          <w:lang w:val="en-US" w:eastAsia="zh-CN"/>
        </w:rPr>
        <w:t>剑阁</w:t>
      </w:r>
      <w:r>
        <w:rPr>
          <w:rFonts w:hint="default" w:ascii="仿宋" w:hAnsi="仿宋" w:eastAsia="仿宋" w:cs="仿宋_GB2312"/>
          <w:sz w:val="32"/>
          <w:szCs w:val="32"/>
          <w:lang w:val="en-US" w:eastAsia="zh-CN"/>
        </w:rPr>
        <w:t>县大气环境质量，消除和减少疾病传播，从而改善剑阁县城市容貌和环境卫生条件，提高剑阁县的招商引资能力。</w:t>
      </w:r>
    </w:p>
    <w:p>
      <w:pPr>
        <w:spacing w:line="580" w:lineRule="exact"/>
        <w:ind w:firstLine="640" w:firstLineChars="200"/>
        <w:rPr>
          <w:rFonts w:hint="default" w:ascii="仿宋" w:hAnsi="仿宋" w:eastAsia="仿宋" w:cs="仿宋_GB2312"/>
          <w:sz w:val="32"/>
          <w:szCs w:val="32"/>
        </w:rPr>
      </w:pPr>
      <w:r>
        <w:rPr>
          <w:rFonts w:hint="default" w:ascii="仿宋" w:hAnsi="仿宋" w:eastAsia="仿宋" w:cs="仿宋_GB2312"/>
          <w:sz w:val="32"/>
          <w:szCs w:val="32"/>
          <w:lang w:val="en-US" w:eastAsia="zh-CN"/>
        </w:rPr>
        <w:t>3、经济效益：每吨生活垃圾可以分选出48.8%的RDF，替代煤作为燃料。按照RDF的低位热值1800Kcal/吨，通过项目的实施可以年节约一定数量标煤，具有显著的经济效益。</w:t>
      </w:r>
    </w:p>
    <w:p>
      <w:pPr>
        <w:spacing w:line="580" w:lineRule="exact"/>
        <w:ind w:firstLine="640" w:firstLineChars="200"/>
        <w:rPr>
          <w:rFonts w:hint="default" w:ascii="仿宋" w:hAnsi="仿宋" w:eastAsia="仿宋" w:cs="仿宋_GB2312"/>
          <w:sz w:val="32"/>
          <w:szCs w:val="32"/>
        </w:rPr>
      </w:pPr>
      <w:r>
        <w:rPr>
          <w:rFonts w:hint="default" w:ascii="仿宋" w:hAnsi="仿宋" w:eastAsia="仿宋" w:cs="仿宋_GB2312"/>
          <w:sz w:val="32"/>
          <w:szCs w:val="32"/>
          <w:lang w:val="en-US" w:eastAsia="zh-CN"/>
        </w:rPr>
        <w:t>4、可持续影响：通过项目的实施，可持续地改善垃圾收集转运及处理效率，加强再生资源利用、垃圾分类回收仓储，可持续提高人民生活质量，并可取得良好的社会、经济和环境效益，具有可持续影响。</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我们认为：</w:t>
      </w:r>
      <w:r>
        <w:rPr>
          <w:rFonts w:hint="eastAsia" w:ascii="仿宋" w:hAnsi="仿宋" w:eastAsia="仿宋" w:cs="仿宋_GB2312"/>
          <w:sz w:val="32"/>
          <w:szCs w:val="32"/>
          <w:lang w:eastAsia="zh-CN"/>
        </w:rPr>
        <w:t>元山</w:t>
      </w:r>
      <w:r>
        <w:rPr>
          <w:rFonts w:hint="eastAsia" w:ascii="仿宋" w:hAnsi="仿宋" w:eastAsia="仿宋" w:cs="仿宋_GB2312"/>
          <w:sz w:val="32"/>
          <w:szCs w:val="32"/>
        </w:rPr>
        <w:t>镇人民政府的清运项目的实施，确保了城乡垃圾的日产日清，改善了城乡卫生环境，项目实施到位，产生了良好的社会环境效益。</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根据</w:t>
      </w:r>
      <w:r>
        <w:rPr>
          <w:rFonts w:hint="eastAsia" w:ascii="仿宋" w:hAnsi="仿宋" w:eastAsia="仿宋" w:cs="仿宋_GB2312"/>
          <w:sz w:val="32"/>
          <w:szCs w:val="32"/>
          <w:lang w:eastAsia="zh-CN"/>
        </w:rPr>
        <w:t>元山</w:t>
      </w:r>
      <w:r>
        <w:rPr>
          <w:rFonts w:hint="eastAsia" w:ascii="仿宋" w:hAnsi="仿宋" w:eastAsia="仿宋" w:cs="仿宋_GB2312"/>
          <w:sz w:val="32"/>
          <w:szCs w:val="32"/>
        </w:rPr>
        <w:t>镇人民政府清运项目绩效评价指标表考评，此次评价指标总分值</w:t>
      </w:r>
      <w:r>
        <w:rPr>
          <w:rFonts w:hint="eastAsia" w:ascii="仿宋" w:hAnsi="仿宋" w:eastAsia="仿宋" w:cs="仿宋_GB2312"/>
          <w:sz w:val="32"/>
          <w:szCs w:val="32"/>
          <w:lang w:val="en-US" w:eastAsia="zh-CN"/>
        </w:rPr>
        <w:t>100</w:t>
      </w:r>
      <w:r>
        <w:rPr>
          <w:rFonts w:hint="eastAsia" w:ascii="仿宋" w:hAnsi="仿宋" w:eastAsia="仿宋" w:cs="仿宋_GB2312"/>
          <w:sz w:val="32"/>
          <w:szCs w:val="32"/>
        </w:rPr>
        <w:t>分，综合得分为9</w:t>
      </w:r>
      <w:r>
        <w:rPr>
          <w:rFonts w:hint="eastAsia" w:ascii="仿宋" w:hAnsi="仿宋" w:eastAsia="仿宋" w:cs="仿宋_GB2312"/>
          <w:sz w:val="32"/>
          <w:szCs w:val="32"/>
          <w:lang w:val="en-US" w:eastAsia="zh-CN"/>
        </w:rPr>
        <w:t>8</w:t>
      </w:r>
      <w:r>
        <w:rPr>
          <w:rFonts w:hint="eastAsia" w:ascii="仿宋" w:hAnsi="仿宋" w:eastAsia="仿宋" w:cs="仿宋_GB2312"/>
          <w:sz w:val="32"/>
          <w:szCs w:val="32"/>
        </w:rPr>
        <w:t>分，其中：产出指标总分值50分，评价得分50分，效益指标总分值30分，评价得分30分，满意度指标分值10分，评价得分10分，财务指标分值10分，评价得分8分。评价等次：优。</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bCs/>
          <w:sz w:val="32"/>
          <w:szCs w:val="32"/>
        </w:rPr>
        <w:t>未严格执行考核制度。</w:t>
      </w:r>
      <w:r>
        <w:rPr>
          <w:rFonts w:hint="eastAsia" w:ascii="仿宋" w:hAnsi="仿宋" w:eastAsia="仿宋" w:cs="仿宋_GB2312"/>
          <w:sz w:val="32"/>
          <w:szCs w:val="32"/>
        </w:rPr>
        <w:t>垃圾收集、清运、处理的监督考核部门虽然建立了对项目实施单位垃圾收集、清运、处理的考核监督制度，考核细则健全，扣分项目、处罚措施明确。但是，剑阁县生活垃圾无害化处理场未执行考核制度，即未对项目实施方的垃圾处理过程和结果进行考核。</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环境卫生项目建设完成后，要经常监督检查其使用情况，并做好后期维护和保养工作；</w:t>
      </w:r>
      <w:r>
        <w:rPr>
          <w:rFonts w:hint="eastAsia" w:ascii="仿宋" w:hAnsi="仿宋" w:eastAsia="仿宋" w:cs="仿宋_GB2312"/>
          <w:sz w:val="32"/>
          <w:szCs w:val="32"/>
          <w:lang w:eastAsia="zh-CN"/>
        </w:rPr>
        <w:t>重视</w:t>
      </w:r>
      <w:r>
        <w:rPr>
          <w:rFonts w:hint="eastAsia" w:ascii="仿宋" w:hAnsi="仿宋" w:eastAsia="仿宋" w:cs="仿宋_GB2312"/>
          <w:sz w:val="32"/>
          <w:szCs w:val="32"/>
        </w:rPr>
        <w:t>环卫设施的保洁除味工作</w:t>
      </w:r>
      <w:r>
        <w:rPr>
          <w:rFonts w:hint="eastAsia" w:ascii="仿宋" w:hAnsi="仿宋" w:eastAsia="仿宋" w:cs="仿宋_GB2312"/>
          <w:sz w:val="32"/>
          <w:szCs w:val="32"/>
          <w:lang w:eastAsia="zh-CN"/>
        </w:rPr>
        <w:t>，</w:t>
      </w:r>
      <w:r>
        <w:rPr>
          <w:rFonts w:hint="eastAsia" w:ascii="仿宋" w:hAnsi="仿宋" w:eastAsia="仿宋" w:cs="仿宋_GB2312"/>
          <w:sz w:val="32"/>
          <w:szCs w:val="32"/>
        </w:rPr>
        <w:t xml:space="preserve"> 及时清理垃圾，多清洁垃圾桶；及时维修环卫设备，尽量避免垃圾车漏水污染环境；加强垃圾中转站、垃圾压缩站的管理，防止“跑、冒、滴、臭”，改善周边环境，防止二次污染。</w:t>
      </w: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rFonts w:hint="eastAsia" w:eastAsia="仿宋_GB2312"/>
          <w:lang w:val="en-US" w:eastAsia="zh-CN"/>
        </w:rPr>
      </w:pPr>
    </w:p>
    <w:p>
      <w:pPr>
        <w:pStyle w:val="2"/>
        <w:spacing w:before="93"/>
        <w:rPr>
          <w:rFonts w:hint="eastAsia" w:eastAsia="仿宋_GB2312"/>
          <w:lang w:val="en-US" w:eastAsia="zh-CN"/>
        </w:rPr>
      </w:pPr>
    </w:p>
    <w:tbl>
      <w:tblPr>
        <w:tblStyle w:val="22"/>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tblPrEx>
          <w:tblLayout w:type="fixed"/>
          <w:tblCellMar>
            <w:top w:w="0" w:type="dxa"/>
            <w:left w:w="108" w:type="dxa"/>
            <w:bottom w:w="0" w:type="dxa"/>
            <w:right w:w="108" w:type="dxa"/>
          </w:tblCellMar>
        </w:tblPrEx>
        <w:trPr>
          <w:trHeight w:val="675" w:hRule="atLeast"/>
        </w:trPr>
        <w:tc>
          <w:tcPr>
            <w:tcW w:w="9575" w:type="dxa"/>
            <w:gridSpan w:val="6"/>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b/>
                <w:sz w:val="32"/>
                <w:szCs w:val="32"/>
                <w:lang w:val="en-US" w:eastAsia="zh-CN"/>
              </w:rPr>
            </w:pPr>
            <w:r>
              <w:rPr>
                <w:rFonts w:hint="eastAsia" w:ascii="宋体" w:hAnsi="宋体" w:cs="宋体"/>
                <w:b/>
                <w:sz w:val="32"/>
                <w:szCs w:val="32"/>
              </w:rPr>
              <w:t>202</w:t>
            </w:r>
            <w:r>
              <w:rPr>
                <w:rFonts w:hint="eastAsia" w:ascii="宋体" w:hAnsi="宋体" w:cs="宋体"/>
                <w:b/>
                <w:sz w:val="32"/>
                <w:szCs w:val="32"/>
                <w:lang w:val="en-US" w:eastAsia="zh-CN"/>
              </w:rPr>
              <w:t>2</w:t>
            </w:r>
            <w:r>
              <w:rPr>
                <w:rFonts w:hint="eastAsia" w:ascii="宋体" w:hAnsi="宋体" w:cs="宋体"/>
                <w:b/>
                <w:sz w:val="32"/>
                <w:szCs w:val="32"/>
              </w:rPr>
              <w:t>年垃圾清运及处置费项目绩效目标自评</w:t>
            </w:r>
            <w:r>
              <w:rPr>
                <w:rFonts w:hint="eastAsia" w:ascii="宋体" w:hAnsi="宋体" w:cs="宋体"/>
                <w:b/>
                <w:sz w:val="32"/>
                <w:szCs w:val="32"/>
                <w:lang w:val="en-US" w:eastAsia="zh-CN"/>
              </w:rPr>
              <w:t>表</w:t>
            </w:r>
          </w:p>
        </w:tc>
        <w:tc>
          <w:tcPr>
            <w:tcW w:w="236"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rPr>
            </w:pPr>
          </w:p>
        </w:tc>
      </w:tr>
      <w:tr>
        <w:tblPrEx>
          <w:tblLayout w:type="fixed"/>
          <w:tblCellMar>
            <w:top w:w="0" w:type="dxa"/>
            <w:left w:w="108" w:type="dxa"/>
            <w:bottom w:w="0" w:type="dxa"/>
            <w:right w:w="108" w:type="dxa"/>
          </w:tblCellMar>
        </w:tblPrEx>
        <w:trPr>
          <w:gridAfter w:val="1"/>
          <w:wAfter w:w="236" w:type="dxa"/>
          <w:trHeight w:val="254" w:hRule="atLeast"/>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剑阁县财政局</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剑阁县</w:t>
            </w:r>
            <w:r>
              <w:rPr>
                <w:rFonts w:hint="eastAsia" w:ascii="宋体" w:hAnsi="宋体" w:cs="宋体"/>
                <w:sz w:val="24"/>
                <w:lang w:eastAsia="zh-CN"/>
              </w:rPr>
              <w:t>元山</w:t>
            </w:r>
            <w:r>
              <w:rPr>
                <w:rFonts w:hint="eastAsia" w:ascii="宋体" w:hAnsi="宋体" w:cs="宋体"/>
                <w:sz w:val="24"/>
              </w:rPr>
              <w:t>镇人民政府</w:t>
            </w:r>
          </w:p>
        </w:tc>
      </w:tr>
      <w:tr>
        <w:tblPrEx>
          <w:tblLayout w:type="fixed"/>
          <w:tblCellMar>
            <w:top w:w="0" w:type="dxa"/>
            <w:left w:w="108" w:type="dxa"/>
            <w:bottom w:w="0" w:type="dxa"/>
            <w:right w:w="108" w:type="dxa"/>
          </w:tblCellMar>
        </w:tblPrEx>
        <w:trPr>
          <w:gridAfter w:val="1"/>
          <w:wAfter w:w="236" w:type="dxa"/>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kern w:val="0"/>
                <w:sz w:val="24"/>
                <w:lang w:eastAsia="zh-CN"/>
              </w:rPr>
            </w:pPr>
            <w:r>
              <w:rPr>
                <w:rFonts w:hint="eastAsia" w:ascii="宋体" w:hAnsi="宋体" w:cs="宋体"/>
                <w:kern w:val="0"/>
                <w:sz w:val="24"/>
              </w:rPr>
              <w:t>项目预算</w:t>
            </w:r>
          </w:p>
          <w:p>
            <w:pPr>
              <w:widowControl/>
              <w:spacing w:line="320" w:lineRule="exact"/>
              <w:jc w:val="center"/>
              <w:textAlignment w:val="center"/>
              <w:rPr>
                <w:rFonts w:hint="eastAsia" w:ascii="宋体" w:hAnsi="宋体" w:eastAsia="宋体" w:cs="宋体"/>
                <w:kern w:val="0"/>
                <w:sz w:val="24"/>
                <w:lang w:eastAsia="zh-CN"/>
              </w:rPr>
            </w:pPr>
            <w:r>
              <w:rPr>
                <w:rFonts w:hint="eastAsia" w:ascii="宋体" w:hAnsi="宋体" w:cs="宋体"/>
                <w:kern w:val="0"/>
                <w:sz w:val="24"/>
              </w:rPr>
              <w:t>执行情况</w:t>
            </w:r>
          </w:p>
          <w:p>
            <w:pPr>
              <w:widowControl/>
              <w:spacing w:line="320" w:lineRule="exact"/>
              <w:jc w:val="center"/>
              <w:textAlignment w:val="center"/>
              <w:rPr>
                <w:rFonts w:ascii="宋体" w:hAnsi="宋体" w:cs="宋体"/>
                <w:sz w:val="24"/>
              </w:rPr>
            </w:pPr>
            <w:r>
              <w:rPr>
                <w:rFonts w:hint="eastAsia" w:ascii="宋体" w:hAnsi="宋体" w:cs="宋体"/>
                <w:kern w:val="0"/>
                <w:sz w:val="24"/>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default" w:ascii="宋体" w:hAnsi="宋体" w:eastAsia="宋体" w:cs="宋体"/>
                <w:sz w:val="24"/>
                <w:lang w:val="en-US" w:eastAsia="zh-CN"/>
              </w:rPr>
            </w:pPr>
            <w:r>
              <w:rPr>
                <w:rFonts w:hint="eastAsia" w:ascii="宋体" w:hAnsi="宋体" w:cs="宋体"/>
                <w:sz w:val="24"/>
                <w:lang w:val="en-US" w:eastAsia="zh-CN"/>
              </w:rPr>
              <w:t>8.80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hint="default" w:ascii="宋体" w:hAnsi="宋体" w:eastAsia="宋体" w:cs="宋体"/>
                <w:sz w:val="24"/>
                <w:lang w:val="en-US" w:eastAsia="zh-CN"/>
              </w:rPr>
            </w:pPr>
            <w:r>
              <w:rPr>
                <w:rFonts w:hint="eastAsia" w:ascii="宋体" w:hAnsi="宋体" w:cs="宋体"/>
                <w:sz w:val="24"/>
                <w:lang w:val="en-US" w:eastAsia="zh-CN"/>
              </w:rPr>
              <w:t>8.80</w:t>
            </w:r>
          </w:p>
        </w:tc>
      </w:tr>
      <w:tr>
        <w:tblPrEx>
          <w:tblLayout w:type="fixed"/>
          <w:tblCellMar>
            <w:top w:w="0" w:type="dxa"/>
            <w:left w:w="108" w:type="dxa"/>
            <w:bottom w:w="0" w:type="dxa"/>
            <w:right w:w="108" w:type="dxa"/>
          </w:tblCellMar>
        </w:tblPrEx>
        <w:trPr>
          <w:gridAfter w:val="1"/>
          <w:wAfter w:w="236" w:type="dxa"/>
          <w:trHeight w:val="555"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default" w:ascii="宋体" w:hAnsi="宋体" w:cs="宋体"/>
                <w:sz w:val="24"/>
                <w:lang w:val="en-US"/>
              </w:rPr>
            </w:pPr>
            <w:r>
              <w:rPr>
                <w:rFonts w:hint="eastAsia" w:ascii="宋体" w:hAnsi="宋体" w:cs="宋体"/>
                <w:sz w:val="24"/>
                <w:lang w:val="en-US" w:eastAsia="zh-CN"/>
              </w:rPr>
              <w:t>8.80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hint="default" w:ascii="宋体" w:hAnsi="宋体" w:cs="宋体"/>
                <w:sz w:val="24"/>
                <w:lang w:val="en-US"/>
              </w:rPr>
            </w:pPr>
            <w:r>
              <w:rPr>
                <w:rFonts w:hint="eastAsia" w:ascii="宋体" w:hAnsi="宋体" w:cs="宋体"/>
                <w:sz w:val="24"/>
                <w:lang w:val="en-US" w:eastAsia="zh-CN"/>
              </w:rPr>
              <w:t>8.80</w:t>
            </w:r>
          </w:p>
        </w:tc>
      </w:tr>
      <w:tr>
        <w:tblPrEx>
          <w:tblLayout w:type="fixed"/>
          <w:tblCellMar>
            <w:top w:w="0" w:type="dxa"/>
            <w:left w:w="108" w:type="dxa"/>
            <w:bottom w:w="0" w:type="dxa"/>
            <w:right w:w="108" w:type="dxa"/>
          </w:tblCellMar>
        </w:tblPrEx>
        <w:trPr>
          <w:gridAfter w:val="1"/>
          <w:wAfter w:w="236" w:type="dxa"/>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宋体" w:hAnsi="宋体" w:eastAsia="宋体" w:cs="宋体"/>
                <w:sz w:val="24"/>
                <w:lang w:val="en-US" w:eastAsia="zh-CN"/>
              </w:rPr>
            </w:pPr>
            <w:r>
              <w:rPr>
                <w:rFonts w:hint="eastAsia" w:ascii="宋体" w:hAnsi="宋体" w:cs="宋体"/>
                <w:sz w:val="24"/>
                <w:lang w:val="en-US" w:eastAsia="zh-CN"/>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sz w:val="24"/>
                <w:lang w:val="en-US" w:eastAsia="zh-CN"/>
              </w:rPr>
            </w:pPr>
            <w:r>
              <w:rPr>
                <w:rFonts w:hint="eastAsia" w:ascii="宋体" w:hAnsi="宋体" w:cs="宋体"/>
                <w:sz w:val="24"/>
                <w:lang w:val="en-US" w:eastAsia="zh-CN"/>
              </w:rPr>
              <w:t>0</w:t>
            </w:r>
          </w:p>
        </w:tc>
      </w:tr>
      <w:tr>
        <w:tblPrEx>
          <w:tblLayout w:type="fixed"/>
        </w:tblPrEx>
        <w:trPr>
          <w:gridAfter w:val="1"/>
          <w:wAfter w:w="236" w:type="dxa"/>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tblPrEx>
          <w:tblLayout w:type="fixed"/>
          <w:tblCellMar>
            <w:top w:w="0" w:type="dxa"/>
            <w:left w:w="108" w:type="dxa"/>
            <w:bottom w:w="0" w:type="dxa"/>
            <w:right w:w="108" w:type="dxa"/>
          </w:tblCellMar>
        </w:tblPrEx>
        <w:trPr>
          <w:gridAfter w:val="1"/>
          <w:wAfter w:w="236" w:type="dxa"/>
          <w:trHeight w:val="797"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hint="eastAsia" w:ascii="宋体" w:hAnsi="宋体" w:eastAsia="宋体" w:cs="宋体"/>
                <w:sz w:val="24"/>
                <w:lang w:eastAsia="zh-CN"/>
              </w:rPr>
            </w:pPr>
            <w:r>
              <w:rPr>
                <w:rFonts w:hint="eastAsia" w:ascii="宋体" w:hAnsi="宋体" w:cs="宋体"/>
                <w:sz w:val="24"/>
              </w:rPr>
              <w:t>保障场镇及周边的优美环境，清运垃圾</w:t>
            </w:r>
            <w:r>
              <w:rPr>
                <w:rFonts w:hint="eastAsia" w:ascii="宋体" w:hAnsi="宋体" w:cs="宋体"/>
                <w:sz w:val="24"/>
                <w:lang w:eastAsia="zh-CN"/>
              </w:rPr>
              <w:t>。</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hint="eastAsia" w:ascii="宋体" w:hAnsi="宋体" w:eastAsia="宋体" w:cs="宋体"/>
                <w:sz w:val="24"/>
                <w:lang w:eastAsia="zh-CN"/>
              </w:rPr>
            </w:pPr>
            <w:r>
              <w:rPr>
                <w:rFonts w:hint="eastAsia" w:ascii="宋体" w:hAnsi="宋体" w:cs="宋体"/>
                <w:sz w:val="24"/>
                <w:lang w:eastAsia="zh-CN"/>
              </w:rPr>
              <w:t>做到</w:t>
            </w:r>
            <w:r>
              <w:rPr>
                <w:rFonts w:hint="eastAsia" w:ascii="宋体" w:hAnsi="宋体" w:cs="宋体"/>
                <w:sz w:val="24"/>
              </w:rPr>
              <w:t>场镇及周边的优美环境，清运垃圾</w:t>
            </w:r>
            <w:r>
              <w:rPr>
                <w:rFonts w:hint="eastAsia" w:ascii="宋体" w:hAnsi="宋体" w:cs="宋体"/>
                <w:sz w:val="24"/>
                <w:lang w:eastAsia="zh-CN"/>
              </w:rPr>
              <w:t>及时到位。</w:t>
            </w:r>
          </w:p>
        </w:tc>
      </w:tr>
      <w:tr>
        <w:tblPrEx>
          <w:tblLayout w:type="fixed"/>
          <w:tblCellMar>
            <w:top w:w="0" w:type="dxa"/>
            <w:left w:w="108" w:type="dxa"/>
            <w:bottom w:w="0" w:type="dxa"/>
            <w:right w:w="108" w:type="dxa"/>
          </w:tblCellMar>
        </w:tblPrEx>
        <w:trPr>
          <w:gridAfter w:val="1"/>
          <w:wAfter w:w="236" w:type="dxa"/>
          <w:trHeight w:val="693" w:hRule="atLeast"/>
        </w:trPr>
        <w:tc>
          <w:tcPr>
            <w:tcW w:w="1976"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Layout w:type="fixed"/>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场镇及周边垃圾清运（车）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120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120</w:t>
            </w:r>
          </w:p>
        </w:tc>
      </w:tr>
      <w:tr>
        <w:tblPrEx>
          <w:tblLayout w:type="fixed"/>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环境卫生质量</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优</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优</w:t>
            </w:r>
          </w:p>
        </w:tc>
      </w:tr>
      <w:tr>
        <w:tblPrEx>
          <w:tblLayout w:type="fixed"/>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项目成果时效</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年度</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年度</w:t>
            </w:r>
          </w:p>
        </w:tc>
      </w:tr>
      <w:tr>
        <w:tblPrEx>
          <w:tblLayout w:type="fixed"/>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转运成本（元/车）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≤750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≤750</w:t>
            </w:r>
          </w:p>
        </w:tc>
      </w:tr>
      <w:tr>
        <w:tblPrEx>
          <w:tblLayout w:type="fixed"/>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效益</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Layout w:type="fixed"/>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城乡环境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有效改善城乡环境，提升群众生活幸福指数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有效改善城乡环境，提升群众生活幸福指数</w:t>
            </w:r>
          </w:p>
        </w:tc>
      </w:tr>
      <w:tr>
        <w:tblPrEx>
          <w:tblLayout w:type="fixed"/>
          <w:tblCellMar>
            <w:top w:w="0" w:type="dxa"/>
            <w:left w:w="108" w:type="dxa"/>
            <w:bottom w:w="0" w:type="dxa"/>
            <w:right w:w="108" w:type="dxa"/>
          </w:tblCellMar>
        </w:tblPrEx>
        <w:trPr>
          <w:gridAfter w:val="1"/>
          <w:wAfter w:w="236" w:type="dxa"/>
          <w:trHeight w:val="577"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left="463" w:leftChars="87" w:hanging="280" w:hangingChars="10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Layout w:type="fixed"/>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Layout w:type="fixed"/>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满意</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群众满意度（%）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≥95</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≥95</w:t>
            </w:r>
          </w:p>
        </w:tc>
      </w:tr>
    </w:tbl>
    <w:p>
      <w:pPr>
        <w:widowControl/>
        <w:adjustRightInd w:val="0"/>
        <w:snapToGrid w:val="0"/>
        <w:spacing w:line="580" w:lineRule="exact"/>
        <w:contextualSpacing/>
        <w:jc w:val="left"/>
        <w:rPr>
          <w:rStyle w:val="31"/>
          <w:rFonts w:ascii="黑体" w:hAnsi="黑体" w:eastAsia="黑体"/>
          <w:b w:val="0"/>
        </w:rPr>
      </w:pPr>
      <w:r>
        <w:rPr>
          <w:rFonts w:hint="eastAsia" w:ascii="仿宋_GB2312" w:hAnsi="宋体" w:eastAsia="仿宋_GB2312" w:cs="宋体"/>
          <w:kern w:val="0"/>
          <w:sz w:val="32"/>
          <w:szCs w:val="32"/>
          <w:shd w:val="clear" w:color="auto" w:fill="FFFFFF"/>
          <w:lang w:val="zh-CN"/>
        </w:rPr>
        <w:t>附表：</w:t>
      </w:r>
    </w:p>
    <w:p>
      <w:pPr>
        <w:widowControl/>
        <w:jc w:val="left"/>
        <w:rPr>
          <w:rStyle w:val="31"/>
          <w:rFonts w:ascii="黑体" w:hAnsi="黑体" w:eastAsia="黑体"/>
          <w:b w:val="0"/>
        </w:rPr>
      </w:pPr>
      <w:r>
        <w:rPr>
          <w:rStyle w:val="31"/>
          <w:rFonts w:ascii="黑体" w:hAnsi="黑体" w:eastAsia="黑体"/>
          <w:b w:val="0"/>
        </w:rPr>
        <w:br w:type="page"/>
      </w:r>
    </w:p>
    <w:p>
      <w:pPr>
        <w:pStyle w:val="2"/>
        <w:spacing w:before="93"/>
        <w:rPr>
          <w:lang w:val="zh-CN"/>
        </w:rPr>
      </w:pPr>
      <w:bookmarkStart w:id="59" w:name="_Toc15396618"/>
      <w:r>
        <w:rPr>
          <w:rFonts w:hint="eastAsia" w:hAnsi="宋体" w:cs="宋体"/>
          <w:sz w:val="32"/>
          <w:szCs w:val="32"/>
          <w:shd w:val="clear" w:color="auto" w:fill="FFFFFF"/>
          <w:lang w:val="zh-CN"/>
        </w:rPr>
        <w:t>附件</w:t>
      </w:r>
    </w:p>
    <w:p>
      <w:pPr>
        <w:spacing w:line="600" w:lineRule="exact"/>
        <w:jc w:val="center"/>
        <w:rPr>
          <w:rFonts w:ascii="宋体" w:hAnsi="宋体"/>
          <w:sz w:val="32"/>
          <w:szCs w:val="32"/>
          <w:lang w:val="zh-CN"/>
        </w:rPr>
      </w:pP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2</w:t>
      </w:r>
      <w:r>
        <w:rPr>
          <w:rFonts w:hint="eastAsia" w:ascii="方正小标宋简体" w:hAnsi="方正小标宋简体" w:eastAsia="方正小标宋简体" w:cs="方正小标宋简体"/>
          <w:sz w:val="40"/>
          <w:szCs w:val="40"/>
          <w:lang w:val="zh-CN"/>
        </w:rPr>
        <w:t>年</w:t>
      </w:r>
      <w:r>
        <w:rPr>
          <w:rFonts w:hint="eastAsia" w:ascii="方正小标宋简体" w:hAnsi="方正小标宋简体" w:eastAsia="方正小标宋简体" w:cs="方正小标宋简体"/>
          <w:sz w:val="40"/>
          <w:szCs w:val="40"/>
          <w:lang w:val="en-US" w:eastAsia="zh-CN"/>
        </w:rPr>
        <w:t xml:space="preserve"> 安全经费（森林防火）</w:t>
      </w:r>
      <w:r>
        <w:rPr>
          <w:rFonts w:hint="eastAsia" w:ascii="方正小标宋简体" w:hAnsi="方正小标宋简体" w:eastAsia="方正小标宋简体" w:cs="方正小标宋简体"/>
          <w:sz w:val="40"/>
          <w:szCs w:val="40"/>
          <w:lang w:val="zh-CN"/>
        </w:rPr>
        <w:t>项目支出绩效自评报告</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hint="eastAsia" w:ascii="仿宋_GB2312" w:hAnsi="宋体" w:eastAsia="仿宋_GB2312"/>
          <w:sz w:val="32"/>
          <w:szCs w:val="32"/>
          <w:lang w:val="zh-CN" w:eastAsia="zh-CN"/>
        </w:rPr>
      </w:pPr>
      <w:r>
        <w:rPr>
          <w:rFonts w:hint="eastAsia" w:ascii="仿宋_GB2312" w:hAnsi="宋体" w:eastAsia="仿宋_GB2312"/>
          <w:sz w:val="32"/>
          <w:szCs w:val="32"/>
          <w:lang w:val="zh-CN"/>
        </w:rPr>
        <w:t>以</w:t>
      </w:r>
      <w:r>
        <w:rPr>
          <w:rFonts w:hint="eastAsia" w:ascii="仿宋_GB2312" w:hAnsi="宋体" w:eastAsia="仿宋_GB2312"/>
          <w:sz w:val="32"/>
          <w:szCs w:val="32"/>
          <w:lang w:val="zh-CN" w:eastAsia="zh-CN"/>
        </w:rPr>
        <w:t>“</w:t>
      </w:r>
      <w:r>
        <w:rPr>
          <w:rFonts w:hint="eastAsia" w:ascii="仿宋_GB2312" w:hAnsi="宋体" w:eastAsia="仿宋_GB2312"/>
          <w:sz w:val="32"/>
          <w:szCs w:val="32"/>
          <w:lang w:val="zh-CN"/>
        </w:rPr>
        <w:t>预防为主、积极消灭</w:t>
      </w:r>
      <w:r>
        <w:rPr>
          <w:rFonts w:hint="eastAsia" w:ascii="仿宋_GB2312" w:hAnsi="宋体" w:eastAsia="仿宋_GB2312"/>
          <w:sz w:val="32"/>
          <w:szCs w:val="32"/>
          <w:lang w:val="zh-CN" w:eastAsia="zh-CN"/>
        </w:rPr>
        <w:t>”</w:t>
      </w:r>
      <w:r>
        <w:rPr>
          <w:rFonts w:hint="eastAsia" w:ascii="仿宋_GB2312" w:hAnsi="宋体" w:eastAsia="仿宋_GB2312"/>
          <w:sz w:val="32"/>
          <w:szCs w:val="32"/>
          <w:lang w:val="zh-CN"/>
        </w:rPr>
        <w:t>的森林防火方针</w:t>
      </w:r>
      <w:r>
        <w:rPr>
          <w:rFonts w:hint="eastAsia" w:ascii="仿宋_GB2312" w:hAnsi="宋体" w:eastAsia="仿宋_GB2312"/>
          <w:sz w:val="32"/>
          <w:szCs w:val="32"/>
          <w:lang w:val="zh-CN" w:eastAsia="zh-CN"/>
        </w:rPr>
        <w:t>，</w:t>
      </w:r>
      <w:r>
        <w:rPr>
          <w:rFonts w:hint="eastAsia" w:ascii="仿宋_GB2312" w:hAnsi="宋体" w:eastAsia="仿宋_GB2312"/>
          <w:sz w:val="32"/>
          <w:szCs w:val="32"/>
          <w:lang w:val="zh-CN"/>
        </w:rPr>
        <w:t>大力开展森林防火宣传教育、严格管控野外火源，确保全</w:t>
      </w:r>
      <w:r>
        <w:rPr>
          <w:rFonts w:hint="eastAsia" w:ascii="仿宋_GB2312" w:hAnsi="宋体" w:eastAsia="仿宋_GB2312"/>
          <w:sz w:val="32"/>
          <w:szCs w:val="32"/>
          <w:lang w:val="zh-CN" w:eastAsia="zh-CN"/>
        </w:rPr>
        <w:t>镇</w:t>
      </w:r>
      <w:r>
        <w:rPr>
          <w:rFonts w:hint="eastAsia" w:ascii="仿宋_GB2312" w:hAnsi="宋体" w:eastAsia="仿宋_GB2312"/>
          <w:sz w:val="32"/>
          <w:szCs w:val="32"/>
          <w:lang w:val="zh-CN"/>
        </w:rPr>
        <w:t>森林生态资源安全及保护社会稳定促进经济的可持续发展</w:t>
      </w:r>
      <w:r>
        <w:rPr>
          <w:rFonts w:hint="eastAsia" w:ascii="仿宋_GB2312" w:hAnsi="宋体" w:eastAsia="仿宋_GB2312"/>
          <w:sz w:val="32"/>
          <w:szCs w:val="32"/>
          <w:lang w:val="zh-CN" w:eastAsia="zh-CN"/>
        </w:rPr>
        <w:t>。</w:t>
      </w:r>
      <w:r>
        <w:rPr>
          <w:rFonts w:hint="eastAsia" w:ascii="仿宋_GB2312" w:hAnsi="宋体" w:eastAsia="仿宋_GB2312"/>
          <w:sz w:val="32"/>
          <w:szCs w:val="32"/>
          <w:lang w:val="zh-CN"/>
        </w:rPr>
        <w:t>全年书写、悬挂森林防火宣传标语</w:t>
      </w:r>
      <w:r>
        <w:rPr>
          <w:rFonts w:hint="eastAsia" w:ascii="仿宋_GB2312" w:hAnsi="宋体" w:eastAsia="仿宋_GB2312"/>
          <w:sz w:val="32"/>
          <w:szCs w:val="32"/>
          <w:lang w:val="en-US" w:eastAsia="zh-CN"/>
        </w:rPr>
        <w:t>33</w:t>
      </w:r>
      <w:r>
        <w:rPr>
          <w:rFonts w:hint="eastAsia" w:ascii="仿宋_GB2312" w:hAnsi="宋体" w:eastAsia="仿宋_GB2312"/>
          <w:sz w:val="32"/>
          <w:szCs w:val="32"/>
          <w:lang w:val="zh-CN"/>
        </w:rPr>
        <w:t>条</w:t>
      </w:r>
      <w:r>
        <w:rPr>
          <w:rFonts w:hint="eastAsia" w:ascii="仿宋_GB2312" w:hAnsi="宋体" w:eastAsia="仿宋_GB2312"/>
          <w:sz w:val="32"/>
          <w:szCs w:val="32"/>
          <w:lang w:val="zh-CN" w:eastAsia="zh-CN"/>
        </w:rPr>
        <w:t>；</w:t>
      </w:r>
      <w:r>
        <w:rPr>
          <w:rFonts w:hint="eastAsia" w:ascii="仿宋_GB2312" w:hAnsi="宋体" w:eastAsia="仿宋_GB2312"/>
          <w:sz w:val="32"/>
          <w:szCs w:val="32"/>
          <w:lang w:val="zh-CN"/>
        </w:rPr>
        <w:t>发放各类宣传单位及宣传物品</w:t>
      </w:r>
      <w:r>
        <w:rPr>
          <w:rFonts w:hint="eastAsia" w:ascii="仿宋_GB2312" w:hAnsi="宋体" w:eastAsia="仿宋_GB2312"/>
          <w:sz w:val="32"/>
          <w:szCs w:val="32"/>
          <w:lang w:val="en-US" w:eastAsia="zh-CN"/>
        </w:rPr>
        <w:t>5000</w:t>
      </w:r>
      <w:r>
        <w:rPr>
          <w:rFonts w:hint="eastAsia" w:ascii="仿宋_GB2312" w:hAnsi="宋体" w:eastAsia="仿宋_GB2312"/>
          <w:sz w:val="32"/>
          <w:szCs w:val="32"/>
          <w:lang w:val="zh-CN"/>
        </w:rPr>
        <w:t>份</w:t>
      </w:r>
      <w:r>
        <w:rPr>
          <w:rFonts w:hint="eastAsia" w:ascii="仿宋_GB2312" w:hAnsi="宋体" w:eastAsia="仿宋_GB2312"/>
          <w:sz w:val="32"/>
          <w:szCs w:val="32"/>
          <w:lang w:val="zh-CN" w:eastAsia="zh-CN"/>
        </w:rPr>
        <w:t>；</w:t>
      </w:r>
      <w:r>
        <w:rPr>
          <w:rFonts w:hint="eastAsia" w:ascii="仿宋_GB2312" w:hAnsi="宋体" w:eastAsia="仿宋_GB2312"/>
          <w:sz w:val="32"/>
          <w:szCs w:val="32"/>
          <w:lang w:val="zh-CN"/>
        </w:rPr>
        <w:t>出动宣传车</w:t>
      </w:r>
      <w:r>
        <w:rPr>
          <w:rFonts w:hint="eastAsia" w:ascii="仿宋_GB2312" w:hAnsi="宋体" w:eastAsia="仿宋_GB2312"/>
          <w:sz w:val="32"/>
          <w:szCs w:val="32"/>
          <w:lang w:val="en-US" w:eastAsia="zh-CN"/>
        </w:rPr>
        <w:t>30</w:t>
      </w:r>
      <w:r>
        <w:rPr>
          <w:rFonts w:hint="eastAsia" w:ascii="仿宋_GB2312" w:hAnsi="宋体" w:eastAsia="仿宋_GB2312"/>
          <w:sz w:val="32"/>
          <w:szCs w:val="32"/>
          <w:lang w:val="zh-CN"/>
        </w:rPr>
        <w:t>台次</w:t>
      </w:r>
      <w:r>
        <w:rPr>
          <w:rFonts w:hint="eastAsia" w:ascii="仿宋_GB2312" w:hAnsi="宋体" w:eastAsia="仿宋_GB2312"/>
          <w:sz w:val="32"/>
          <w:szCs w:val="32"/>
          <w:lang w:val="zh-CN" w:eastAsia="zh-CN"/>
        </w:rPr>
        <w:t>；召开</w:t>
      </w:r>
      <w:r>
        <w:rPr>
          <w:rFonts w:hint="eastAsia" w:ascii="仿宋_GB2312" w:hAnsi="宋体" w:eastAsia="仿宋_GB2312"/>
          <w:sz w:val="32"/>
          <w:szCs w:val="32"/>
          <w:lang w:val="zh-CN"/>
        </w:rPr>
        <w:t>森林防火</w:t>
      </w:r>
      <w:r>
        <w:rPr>
          <w:rFonts w:hint="eastAsia" w:ascii="仿宋_GB2312" w:hAnsi="宋体" w:eastAsia="仿宋_GB2312"/>
          <w:sz w:val="32"/>
          <w:szCs w:val="32"/>
          <w:lang w:val="zh-CN" w:eastAsia="zh-CN"/>
        </w:rPr>
        <w:t>专题会议</w:t>
      </w:r>
      <w:r>
        <w:rPr>
          <w:rFonts w:hint="eastAsia" w:ascii="仿宋_GB2312" w:hAnsi="宋体" w:eastAsia="仿宋_GB2312"/>
          <w:sz w:val="32"/>
          <w:szCs w:val="32"/>
          <w:lang w:val="en-US" w:eastAsia="zh-CN"/>
        </w:rPr>
        <w:t>20余</w:t>
      </w:r>
      <w:r>
        <w:rPr>
          <w:rFonts w:hint="eastAsia" w:ascii="仿宋_GB2312" w:hAnsi="宋体" w:eastAsia="仿宋_GB2312"/>
          <w:sz w:val="32"/>
          <w:szCs w:val="32"/>
          <w:lang w:val="zh-CN"/>
        </w:rPr>
        <w:t>场</w:t>
      </w:r>
      <w:r>
        <w:rPr>
          <w:rFonts w:hint="eastAsia" w:ascii="仿宋_GB2312" w:hAnsi="宋体" w:eastAsia="仿宋_GB2312"/>
          <w:sz w:val="32"/>
          <w:szCs w:val="32"/>
          <w:lang w:val="zh-CN" w:eastAsia="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40" w:lineRule="atLeast"/>
        <w:ind w:right="0" w:rightChars="0" w:firstLine="640" w:firstLineChars="200"/>
        <w:jc w:val="both"/>
        <w:rPr>
          <w:rFonts w:hint="eastAsia" w:ascii="仿宋" w:hAnsi="仿宋" w:eastAsia="仿宋" w:cs="仿宋_GB2312"/>
          <w:sz w:val="32"/>
          <w:szCs w:val="32"/>
          <w:lang w:val="en-US" w:eastAsia="zh-CN"/>
        </w:rPr>
      </w:pPr>
      <w:r>
        <w:rPr>
          <w:rFonts w:hint="default" w:ascii="仿宋" w:hAnsi="仿宋" w:eastAsia="仿宋" w:cs="仿宋_GB2312"/>
          <w:sz w:val="32"/>
          <w:szCs w:val="32"/>
          <w:lang w:val="en-US" w:eastAsia="zh-CN"/>
        </w:rPr>
        <w:t>在运用各类宣传平台和宣传资源的基础上，创新宣传方式</w:t>
      </w:r>
      <w:r>
        <w:rPr>
          <w:rFonts w:hint="eastAsia" w:ascii="仿宋" w:hAnsi="仿宋" w:eastAsia="仿宋" w:cs="仿宋_GB2312"/>
          <w:sz w:val="32"/>
          <w:szCs w:val="32"/>
          <w:lang w:val="en-US" w:eastAsia="zh-CN"/>
        </w:rPr>
        <w:t>，</w:t>
      </w:r>
      <w:r>
        <w:rPr>
          <w:rFonts w:hint="default" w:ascii="仿宋" w:hAnsi="仿宋" w:eastAsia="仿宋" w:cs="仿宋_GB2312"/>
          <w:sz w:val="32"/>
          <w:szCs w:val="32"/>
          <w:lang w:val="en-US" w:eastAsia="zh-CN"/>
        </w:rPr>
        <w:t>加大对责任落实、火源管控案查处的宣传力度</w:t>
      </w:r>
      <w:r>
        <w:rPr>
          <w:rFonts w:hint="eastAsia" w:ascii="仿宋" w:hAnsi="仿宋" w:eastAsia="仿宋" w:cs="仿宋_GB2312"/>
          <w:sz w:val="32"/>
          <w:szCs w:val="32"/>
          <w:lang w:val="en-US" w:eastAsia="zh-CN"/>
        </w:rPr>
        <w:t>；</w:t>
      </w:r>
      <w:r>
        <w:rPr>
          <w:rFonts w:hint="default" w:ascii="仿宋" w:hAnsi="仿宋" w:eastAsia="仿宋" w:cs="仿宋_GB2312"/>
          <w:sz w:val="32"/>
          <w:szCs w:val="32"/>
          <w:lang w:val="en-US" w:eastAsia="zh-CN"/>
        </w:rPr>
        <w:t>加强对社会舆论信息的引导和收集</w:t>
      </w:r>
      <w:r>
        <w:rPr>
          <w:rFonts w:hint="eastAsia" w:ascii="仿宋" w:hAnsi="仿宋" w:eastAsia="仿宋" w:cs="仿宋_GB2312"/>
          <w:sz w:val="32"/>
          <w:szCs w:val="32"/>
          <w:lang w:val="en-US" w:eastAsia="zh-CN"/>
        </w:rPr>
        <w:t>，</w:t>
      </w:r>
      <w:r>
        <w:rPr>
          <w:rFonts w:hint="default" w:ascii="仿宋" w:hAnsi="仿宋" w:eastAsia="仿宋" w:cs="仿宋_GB2312"/>
          <w:sz w:val="32"/>
          <w:szCs w:val="32"/>
          <w:lang w:val="en-US" w:eastAsia="zh-CN"/>
        </w:rPr>
        <w:t>注重对森林防火</w:t>
      </w:r>
      <w:r>
        <w:rPr>
          <w:rFonts w:hint="eastAsia" w:ascii="仿宋" w:hAnsi="仿宋" w:eastAsia="仿宋" w:cs="仿宋_GB2312"/>
          <w:sz w:val="32"/>
          <w:szCs w:val="32"/>
          <w:lang w:val="en-US" w:eastAsia="zh-CN"/>
        </w:rPr>
        <w:t>法律</w:t>
      </w:r>
      <w:r>
        <w:rPr>
          <w:rFonts w:hint="default" w:ascii="仿宋" w:hAnsi="仿宋" w:eastAsia="仿宋" w:cs="仿宋_GB2312"/>
          <w:sz w:val="32"/>
          <w:szCs w:val="32"/>
          <w:lang w:val="en-US" w:eastAsia="zh-CN"/>
        </w:rPr>
        <w:t>法规和</w:t>
      </w:r>
      <w:r>
        <w:rPr>
          <w:rFonts w:hint="eastAsia" w:ascii="仿宋" w:hAnsi="仿宋" w:eastAsia="仿宋" w:cs="仿宋_GB2312"/>
          <w:sz w:val="32"/>
          <w:szCs w:val="32"/>
          <w:lang w:val="en-US" w:eastAsia="zh-CN"/>
        </w:rPr>
        <w:t>警示案例的宣传，</w:t>
      </w:r>
      <w:r>
        <w:rPr>
          <w:rFonts w:hint="default" w:ascii="仿宋" w:hAnsi="仿宋" w:eastAsia="仿宋" w:cs="仿宋_GB2312"/>
          <w:sz w:val="32"/>
          <w:szCs w:val="32"/>
          <w:lang w:val="en-US" w:eastAsia="zh-CN"/>
        </w:rPr>
        <w:t>强化全民防火重识和</w:t>
      </w:r>
      <w:r>
        <w:rPr>
          <w:rFonts w:hint="eastAsia" w:ascii="仿宋" w:hAnsi="仿宋" w:eastAsia="仿宋" w:cs="仿宋_GB2312"/>
          <w:sz w:val="32"/>
          <w:szCs w:val="32"/>
          <w:lang w:val="en-US" w:eastAsia="zh-CN"/>
        </w:rPr>
        <w:t>责任意识，为全镇森林防</w:t>
      </w:r>
      <w:r>
        <w:rPr>
          <w:rFonts w:hint="default" w:ascii="仿宋" w:hAnsi="仿宋" w:eastAsia="仿宋" w:cs="仿宋_GB2312"/>
          <w:sz w:val="32"/>
          <w:szCs w:val="32"/>
          <w:lang w:val="en-US" w:eastAsia="zh-CN"/>
        </w:rPr>
        <w:t>火</w:t>
      </w:r>
      <w:r>
        <w:rPr>
          <w:rFonts w:hint="eastAsia" w:ascii="仿宋" w:hAnsi="仿宋" w:eastAsia="仿宋" w:cs="仿宋_GB2312"/>
          <w:sz w:val="32"/>
          <w:szCs w:val="32"/>
          <w:lang w:val="en-US" w:eastAsia="zh-CN"/>
        </w:rPr>
        <w:t>工作</w:t>
      </w:r>
      <w:r>
        <w:rPr>
          <w:rFonts w:hint="default" w:ascii="仿宋" w:hAnsi="仿宋" w:eastAsia="仿宋" w:cs="仿宋_GB2312"/>
          <w:sz w:val="32"/>
          <w:szCs w:val="32"/>
          <w:lang w:val="en-US" w:eastAsia="zh-CN"/>
        </w:rPr>
        <w:t>开展</w:t>
      </w:r>
      <w:r>
        <w:rPr>
          <w:rFonts w:hint="eastAsia" w:ascii="仿宋" w:hAnsi="仿宋" w:eastAsia="仿宋" w:cs="仿宋_GB2312"/>
          <w:sz w:val="32"/>
          <w:szCs w:val="32"/>
          <w:lang w:val="en-US" w:eastAsia="zh-CN"/>
        </w:rPr>
        <w:t>创造</w:t>
      </w:r>
      <w:r>
        <w:rPr>
          <w:rFonts w:hint="default" w:ascii="仿宋" w:hAnsi="仿宋" w:eastAsia="仿宋" w:cs="仿宋_GB2312"/>
          <w:sz w:val="32"/>
          <w:szCs w:val="32"/>
          <w:lang w:val="en-US" w:eastAsia="zh-CN"/>
        </w:rPr>
        <w:t>良好的</w:t>
      </w:r>
      <w:r>
        <w:rPr>
          <w:rFonts w:hint="eastAsia" w:ascii="仿宋" w:hAnsi="仿宋" w:eastAsia="仿宋" w:cs="仿宋_GB2312"/>
          <w:sz w:val="32"/>
          <w:szCs w:val="32"/>
          <w:lang w:val="en-US" w:eastAsia="zh-CN"/>
        </w:rPr>
        <w:t>社会舆论</w:t>
      </w:r>
      <w:r>
        <w:rPr>
          <w:rFonts w:hint="default" w:ascii="仿宋" w:hAnsi="仿宋" w:eastAsia="仿宋" w:cs="仿宋_GB2312"/>
          <w:sz w:val="32"/>
          <w:szCs w:val="32"/>
          <w:lang w:val="en-US" w:eastAsia="zh-CN"/>
        </w:rPr>
        <w:t>和</w:t>
      </w:r>
      <w:r>
        <w:rPr>
          <w:rFonts w:hint="eastAsia" w:ascii="仿宋" w:hAnsi="仿宋" w:eastAsia="仿宋" w:cs="仿宋_GB2312"/>
          <w:sz w:val="32"/>
          <w:szCs w:val="32"/>
          <w:lang w:val="en-US" w:eastAsia="zh-CN"/>
        </w:rPr>
        <w:t>法治氛围，人民</w:t>
      </w:r>
      <w:r>
        <w:rPr>
          <w:rFonts w:hint="default" w:ascii="仿宋" w:hAnsi="仿宋" w:eastAsia="仿宋" w:cs="仿宋_GB2312"/>
          <w:sz w:val="32"/>
          <w:szCs w:val="32"/>
          <w:lang w:val="en-US" w:eastAsia="zh-CN"/>
        </w:rPr>
        <w:t>群众森林防火意识</w:t>
      </w:r>
      <w:r>
        <w:rPr>
          <w:rFonts w:hint="eastAsia" w:ascii="仿宋" w:hAnsi="仿宋" w:eastAsia="仿宋" w:cs="仿宋_GB2312"/>
          <w:sz w:val="32"/>
          <w:szCs w:val="32"/>
          <w:lang w:val="en-US" w:eastAsia="zh-CN"/>
        </w:rPr>
        <w:t>增强</w:t>
      </w:r>
      <w:r>
        <w:rPr>
          <w:rFonts w:hint="default" w:ascii="仿宋" w:hAnsi="仿宋" w:eastAsia="仿宋" w:cs="仿宋_GB2312"/>
          <w:sz w:val="32"/>
          <w:szCs w:val="32"/>
          <w:lang w:val="en-US" w:eastAsia="zh-CN"/>
        </w:rPr>
        <w:t>，提高全</w:t>
      </w:r>
      <w:r>
        <w:rPr>
          <w:rFonts w:hint="eastAsia" w:ascii="仿宋" w:hAnsi="仿宋" w:eastAsia="仿宋" w:cs="仿宋_GB2312"/>
          <w:sz w:val="32"/>
          <w:szCs w:val="32"/>
          <w:lang w:val="en-US" w:eastAsia="zh-CN"/>
        </w:rPr>
        <w:t>镇</w:t>
      </w:r>
      <w:r>
        <w:rPr>
          <w:rFonts w:hint="default" w:ascii="仿宋" w:hAnsi="仿宋" w:eastAsia="仿宋" w:cs="仿宋_GB2312"/>
          <w:sz w:val="32"/>
          <w:szCs w:val="32"/>
          <w:lang w:val="en-US" w:eastAsia="zh-CN"/>
        </w:rPr>
        <w:t>森林火灾预防控能力，</w:t>
      </w:r>
      <w:r>
        <w:rPr>
          <w:rFonts w:hint="eastAsia" w:ascii="仿宋" w:hAnsi="仿宋" w:eastAsia="仿宋" w:cs="仿宋_GB2312"/>
          <w:sz w:val="32"/>
          <w:szCs w:val="32"/>
          <w:lang w:val="en-US" w:eastAsia="zh-CN"/>
        </w:rPr>
        <w:t>森林</w:t>
      </w:r>
      <w:r>
        <w:rPr>
          <w:rFonts w:hint="default" w:ascii="仿宋" w:hAnsi="仿宋" w:eastAsia="仿宋" w:cs="仿宋_GB2312"/>
          <w:sz w:val="32"/>
          <w:szCs w:val="32"/>
          <w:lang w:val="en-US" w:eastAsia="zh-CN"/>
        </w:rPr>
        <w:t>火灾发生次数明显下降减少</w:t>
      </w:r>
      <w:r>
        <w:rPr>
          <w:rFonts w:hint="eastAsia" w:ascii="仿宋" w:hAnsi="仿宋" w:eastAsia="仿宋" w:cs="仿宋_GB2312"/>
          <w:sz w:val="32"/>
          <w:szCs w:val="32"/>
          <w:lang w:val="en-US" w:eastAsia="zh-CN"/>
        </w:rPr>
        <w:t>，</w:t>
      </w:r>
      <w:r>
        <w:rPr>
          <w:rFonts w:hint="default" w:ascii="仿宋" w:hAnsi="仿宋" w:eastAsia="仿宋" w:cs="仿宋_GB2312"/>
          <w:sz w:val="32"/>
          <w:szCs w:val="32"/>
          <w:lang w:val="en-US" w:eastAsia="zh-CN"/>
        </w:rPr>
        <w:t>野外用火得到有效控制</w:t>
      </w:r>
      <w:r>
        <w:rPr>
          <w:rFonts w:hint="eastAsia" w:ascii="仿宋" w:hAnsi="仿宋" w:eastAsia="仿宋" w:cs="仿宋_GB2312"/>
          <w:sz w:val="32"/>
          <w:szCs w:val="32"/>
          <w:lang w:val="en-US" w:eastAsia="zh-CN"/>
        </w:rPr>
        <w:t>，</w:t>
      </w:r>
      <w:r>
        <w:rPr>
          <w:rFonts w:hint="default" w:ascii="仿宋" w:hAnsi="仿宋" w:eastAsia="仿宋" w:cs="仿宋_GB2312"/>
          <w:sz w:val="32"/>
          <w:szCs w:val="32"/>
          <w:lang w:val="en-US" w:eastAsia="zh-CN"/>
        </w:rPr>
        <w:t>巩固现有绿化造林成果及维护林区长治久安</w:t>
      </w:r>
      <w:r>
        <w:rPr>
          <w:rFonts w:hint="eastAsia" w:ascii="仿宋" w:hAnsi="仿宋" w:eastAsia="仿宋" w:cs="仿宋_GB2312"/>
          <w:sz w:val="32"/>
          <w:szCs w:val="32"/>
          <w:lang w:val="en-US" w:eastAsia="zh-CN"/>
        </w:rPr>
        <w:t>，维护</w:t>
      </w:r>
      <w:r>
        <w:rPr>
          <w:rFonts w:hint="default" w:ascii="仿宋" w:hAnsi="仿宋" w:eastAsia="仿宋" w:cs="仿宋_GB2312"/>
          <w:sz w:val="32"/>
          <w:szCs w:val="32"/>
          <w:lang w:val="en-US" w:eastAsia="zh-CN"/>
        </w:rPr>
        <w:t>社会稳定的需要</w:t>
      </w:r>
      <w:r>
        <w:rPr>
          <w:rFonts w:hint="eastAsia" w:ascii="仿宋" w:hAnsi="仿宋" w:eastAsia="仿宋" w:cs="仿宋_GB2312"/>
          <w:sz w:val="32"/>
          <w:szCs w:val="32"/>
          <w:lang w:val="en-US" w:eastAsia="zh-CN"/>
        </w:rPr>
        <w:t>，</w:t>
      </w:r>
      <w:r>
        <w:rPr>
          <w:rFonts w:hint="default" w:ascii="仿宋" w:hAnsi="仿宋" w:eastAsia="仿宋" w:cs="仿宋_GB2312"/>
          <w:sz w:val="32"/>
          <w:szCs w:val="32"/>
          <w:lang w:val="en-US" w:eastAsia="zh-CN"/>
        </w:rPr>
        <w:t>改善生态环境</w:t>
      </w:r>
      <w:r>
        <w:rPr>
          <w:rFonts w:hint="eastAsia" w:ascii="仿宋" w:hAnsi="仿宋" w:eastAsia="仿宋" w:cs="仿宋_GB2312"/>
          <w:sz w:val="32"/>
          <w:szCs w:val="32"/>
          <w:lang w:val="en-US" w:eastAsia="zh-CN"/>
        </w:rPr>
        <w:t>，</w:t>
      </w:r>
      <w:r>
        <w:rPr>
          <w:rFonts w:hint="default" w:ascii="仿宋" w:hAnsi="仿宋" w:eastAsia="仿宋" w:cs="仿宋_GB2312"/>
          <w:sz w:val="32"/>
          <w:szCs w:val="32"/>
          <w:lang w:val="en-US" w:eastAsia="zh-CN"/>
        </w:rPr>
        <w:t>促进经济可持续发展的需要</w:t>
      </w:r>
      <w:r>
        <w:rPr>
          <w:rFonts w:hint="eastAsia" w:ascii="仿宋" w:hAnsi="仿宋" w:eastAsia="仿宋" w:cs="仿宋_GB2312"/>
          <w:sz w:val="32"/>
          <w:szCs w:val="32"/>
          <w:lang w:val="en-US" w:eastAsia="zh-CN"/>
        </w:rPr>
        <w:t>，</w:t>
      </w:r>
      <w:r>
        <w:rPr>
          <w:rFonts w:hint="default" w:ascii="仿宋" w:hAnsi="仿宋" w:eastAsia="仿宋" w:cs="仿宋_GB2312"/>
          <w:sz w:val="32"/>
          <w:szCs w:val="32"/>
          <w:lang w:val="en-US" w:eastAsia="zh-CN"/>
        </w:rPr>
        <w:t>使</w:t>
      </w:r>
      <w:r>
        <w:rPr>
          <w:rFonts w:hint="eastAsia" w:ascii="仿宋" w:hAnsi="仿宋" w:eastAsia="仿宋" w:cs="仿宋_GB2312"/>
          <w:sz w:val="32"/>
          <w:szCs w:val="32"/>
          <w:lang w:val="en-US" w:eastAsia="zh-CN"/>
        </w:rPr>
        <w:t>元山</w:t>
      </w:r>
      <w:r>
        <w:rPr>
          <w:rFonts w:hint="default" w:ascii="仿宋" w:hAnsi="仿宋" w:eastAsia="仿宋" w:cs="仿宋_GB2312"/>
          <w:sz w:val="32"/>
          <w:szCs w:val="32"/>
          <w:lang w:val="en-US" w:eastAsia="zh-CN"/>
        </w:rPr>
        <w:t>的山更绿、水更清、天更蓝</w:t>
      </w:r>
      <w:r>
        <w:rPr>
          <w:rFonts w:hint="eastAsia" w:ascii="仿宋" w:hAnsi="仿宋" w:eastAsia="仿宋" w:cs="仿宋_GB2312"/>
          <w:sz w:val="32"/>
          <w:szCs w:val="32"/>
          <w:lang w:val="en-US" w:eastAsia="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40" w:lineRule="atLeast"/>
        <w:ind w:right="0" w:rightChars="0" w:firstLine="640" w:firstLineChars="200"/>
        <w:jc w:val="both"/>
        <w:rPr>
          <w:rFonts w:ascii="仿宋_GB2312" w:hAnsi="宋体" w:eastAsia="仿宋_GB2312"/>
          <w:sz w:val="32"/>
          <w:szCs w:val="32"/>
          <w:lang w:val="zh-CN"/>
        </w:rPr>
      </w:pPr>
      <w:r>
        <w:rPr>
          <w:rFonts w:hint="default" w:ascii="仿宋" w:hAnsi="仿宋" w:eastAsia="仿宋" w:cs="仿宋_GB2312"/>
          <w:sz w:val="32"/>
          <w:szCs w:val="32"/>
          <w:lang w:val="en-US" w:eastAsia="zh-CN"/>
        </w:rPr>
        <w:t>部门</w:t>
      </w:r>
      <w:r>
        <w:rPr>
          <w:rFonts w:hint="eastAsia" w:ascii="仿宋" w:hAnsi="仿宋" w:eastAsia="仿宋" w:cs="仿宋_GB2312"/>
          <w:sz w:val="32"/>
          <w:szCs w:val="32"/>
          <w:lang w:val="en-US" w:eastAsia="zh-CN"/>
        </w:rPr>
        <w:t>对各村森林防火宣传落实</w:t>
      </w:r>
      <w:r>
        <w:rPr>
          <w:rFonts w:hint="default" w:ascii="仿宋" w:hAnsi="仿宋" w:eastAsia="仿宋" w:cs="仿宋_GB2312"/>
          <w:sz w:val="32"/>
          <w:szCs w:val="32"/>
          <w:lang w:val="en-US" w:eastAsia="zh-CN"/>
        </w:rPr>
        <w:t>的监督考核建立了考核监督制度，考核细则健全，扣分项目、处罚措施明确。</w:t>
      </w:r>
      <w:r>
        <w:rPr>
          <w:rFonts w:hint="eastAsia" w:ascii="仿宋" w:hAnsi="仿宋" w:eastAsia="仿宋" w:cs="仿宋_GB2312"/>
          <w:sz w:val="32"/>
          <w:szCs w:val="32"/>
          <w:lang w:val="en-US" w:eastAsia="zh-CN"/>
        </w:rPr>
        <w:t>根据综合得分，组织分管领导及部门负责人对本年度森林防火项目进行评估，评价项目效益，并提出改进措施。</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在规定时间内，由部门进行申报，财政局统一批复。</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（二）资金计划、到位及使用情况（可用表格形式反映）。</w:t>
      </w:r>
    </w:p>
    <w:tbl>
      <w:tblPr>
        <w:tblStyle w:val="22"/>
        <w:tblW w:w="96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4"/>
        <w:gridCol w:w="2794"/>
        <w:gridCol w:w="1123"/>
        <w:gridCol w:w="1657"/>
        <w:gridCol w:w="532"/>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安全经费（森林防火）</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26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郑波13981203642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剑阁县财政局</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6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w:t>
            </w:r>
            <w:r>
              <w:rPr>
                <w:rFonts w:hint="eastAsia" w:ascii="宋体" w:hAnsi="宋体" w:cs="宋体"/>
                <w:i w:val="0"/>
                <w:iCs w:val="0"/>
                <w:color w:val="000000"/>
                <w:kern w:val="0"/>
                <w:sz w:val="20"/>
                <w:szCs w:val="20"/>
                <w:u w:val="none"/>
                <w:lang w:val="en-US" w:eastAsia="zh-CN" w:bidi="ar"/>
              </w:rPr>
              <w:t>元山</w:t>
            </w:r>
            <w:r>
              <w:rPr>
                <w:rFonts w:hint="eastAsia" w:ascii="宋体" w:hAnsi="宋体" w:eastAsia="宋体" w:cs="宋体"/>
                <w:i w:val="0"/>
                <w:iCs w:val="0"/>
                <w:color w:val="000000"/>
                <w:kern w:val="0"/>
                <w:sz w:val="20"/>
                <w:szCs w:val="20"/>
                <w:u w:val="none"/>
                <w:lang w:val="en-US" w:eastAsia="zh-CN" w:bidi="ar"/>
              </w:rPr>
              <w:t>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2</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其中：中央、省、市财政资金</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县级财政资金</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pStyle w:val="23"/>
        <w:rPr>
          <w:lang w:val="zh-CN"/>
        </w:rPr>
      </w:pPr>
    </w:p>
    <w:p>
      <w:pPr>
        <w:pStyle w:val="23"/>
        <w:rPr>
          <w:lang w:val="zh-CN"/>
        </w:rPr>
      </w:pP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各项目实施单位财务管理制度健全，严格执行财务管理制度，账务处理及时，会计核算规范。</w:t>
      </w:r>
    </w:p>
    <w:p>
      <w:pPr>
        <w:pStyle w:val="23"/>
        <w:rPr>
          <w:lang w:val="zh-CN"/>
        </w:rPr>
      </w:pP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pStyle w:val="23"/>
        <w:ind w:firstLine="964" w:firstLineChars="300"/>
        <w:rPr>
          <w:rFonts w:hint="default" w:eastAsia="楷体_GB2312"/>
          <w:lang w:val="en-US" w:eastAsia="zh-CN"/>
        </w:rPr>
      </w:pPr>
      <w:r>
        <w:rPr>
          <w:rFonts w:hint="eastAsia" w:ascii="楷体_GB2312" w:hAnsi="宋体" w:eastAsia="楷体_GB2312"/>
          <w:b/>
          <w:sz w:val="32"/>
          <w:szCs w:val="32"/>
          <w:lang w:val="zh-CN"/>
        </w:rPr>
        <w:t>申报项目－</w:t>
      </w:r>
      <w:r>
        <w:rPr>
          <w:rFonts w:hint="eastAsia" w:ascii="楷体_GB2312" w:hAnsi="宋体" w:eastAsia="楷体_GB2312"/>
          <w:b/>
          <w:sz w:val="32"/>
          <w:szCs w:val="32"/>
          <w:lang w:val="en-US" w:eastAsia="zh-CN"/>
        </w:rPr>
        <w:t>项目执行－项目监督－项目评价</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（二）项目管理情况。</w:t>
      </w:r>
      <w:r>
        <w:rPr>
          <w:rFonts w:hint="eastAsia" w:ascii="仿宋_GB2312" w:hAnsi="宋体" w:eastAsia="仿宋_GB2312"/>
          <w:sz w:val="32"/>
          <w:szCs w:val="32"/>
          <w:lang w:val="zh-CN"/>
        </w:rPr>
        <w:t>结合项目特点，总体评价各项目实施单位执行相关法律法规及项目管理制度等情况，如招投标、政府采购、项目公示制等相关规定。</w:t>
      </w:r>
    </w:p>
    <w:p>
      <w:pPr>
        <w:spacing w:line="580" w:lineRule="exact"/>
        <w:ind w:firstLine="643" w:firstLineChars="200"/>
        <w:rPr>
          <w:lang w:val="zh-CN"/>
        </w:rPr>
      </w:pPr>
      <w:r>
        <w:rPr>
          <w:rFonts w:hint="eastAsia" w:ascii="楷体_GB2312" w:hAnsi="宋体" w:eastAsia="楷体_GB2312"/>
          <w:b/>
          <w:sz w:val="32"/>
          <w:szCs w:val="32"/>
          <w:lang w:val="zh-CN"/>
        </w:rPr>
        <w:t>（三）项目监管情况。</w:t>
      </w:r>
      <w:r>
        <w:rPr>
          <w:rFonts w:hint="eastAsia" w:ascii="仿宋" w:hAnsi="仿宋" w:eastAsia="仿宋" w:cs="仿宋_GB2312"/>
          <w:sz w:val="32"/>
          <w:szCs w:val="32"/>
          <w:lang w:eastAsia="zh-CN"/>
        </w:rPr>
        <w:t>元山</w:t>
      </w:r>
      <w:r>
        <w:rPr>
          <w:rFonts w:hint="eastAsia" w:ascii="仿宋" w:hAnsi="仿宋" w:eastAsia="仿宋" w:cs="仿宋_GB2312"/>
          <w:sz w:val="32"/>
          <w:szCs w:val="32"/>
        </w:rPr>
        <w:t>镇人民政府的</w:t>
      </w:r>
      <w:r>
        <w:rPr>
          <w:rFonts w:hint="eastAsia" w:ascii="仿宋" w:hAnsi="仿宋" w:eastAsia="仿宋" w:cs="仿宋_GB2312"/>
          <w:sz w:val="32"/>
          <w:szCs w:val="32"/>
          <w:lang w:eastAsia="zh-CN"/>
        </w:rPr>
        <w:t>森林防火项目</w:t>
      </w:r>
      <w:r>
        <w:rPr>
          <w:rFonts w:hint="eastAsia" w:ascii="仿宋" w:hAnsi="仿宋" w:eastAsia="仿宋" w:cs="仿宋_GB2312"/>
          <w:sz w:val="32"/>
          <w:szCs w:val="32"/>
        </w:rPr>
        <w:t>的实施，切实减少</w:t>
      </w:r>
      <w:r>
        <w:rPr>
          <w:rFonts w:hint="eastAsia" w:ascii="仿宋" w:hAnsi="仿宋" w:eastAsia="仿宋" w:cs="仿宋_GB2312"/>
          <w:sz w:val="32"/>
          <w:szCs w:val="32"/>
          <w:lang w:eastAsia="zh-CN"/>
        </w:rPr>
        <w:t>了</w:t>
      </w:r>
      <w:r>
        <w:rPr>
          <w:rFonts w:hint="eastAsia" w:ascii="仿宋" w:hAnsi="仿宋" w:eastAsia="仿宋" w:cs="仿宋_GB2312"/>
          <w:sz w:val="32"/>
          <w:szCs w:val="32"/>
        </w:rPr>
        <w:t>辖区内火灾隐患</w:t>
      </w:r>
      <w:r>
        <w:rPr>
          <w:rFonts w:hint="eastAsia" w:ascii="仿宋" w:hAnsi="仿宋" w:eastAsia="仿宋" w:cs="仿宋_GB2312"/>
          <w:sz w:val="32"/>
          <w:szCs w:val="32"/>
          <w:lang w:eastAsia="zh-CN"/>
        </w:rPr>
        <w:t>，</w:t>
      </w:r>
      <w:r>
        <w:rPr>
          <w:rFonts w:hint="eastAsia" w:ascii="仿宋" w:hAnsi="仿宋" w:eastAsia="仿宋" w:cs="仿宋_GB2312"/>
          <w:sz w:val="32"/>
          <w:szCs w:val="32"/>
        </w:rPr>
        <w:t>国有森林资源和群众生命财产安全得到有效保障，</w:t>
      </w:r>
      <w:r>
        <w:rPr>
          <w:rFonts w:hint="eastAsia" w:ascii="仿宋" w:hAnsi="仿宋" w:eastAsia="仿宋" w:cs="仿宋_GB2312"/>
          <w:sz w:val="32"/>
          <w:szCs w:val="32"/>
          <w:lang w:eastAsia="zh-CN"/>
        </w:rPr>
        <w:t>同时</w:t>
      </w:r>
      <w:r>
        <w:rPr>
          <w:rFonts w:hint="eastAsia" w:ascii="仿宋" w:hAnsi="仿宋" w:eastAsia="仿宋" w:cs="仿宋_GB2312"/>
          <w:sz w:val="32"/>
          <w:szCs w:val="32"/>
        </w:rPr>
        <w:t>项目实施</w:t>
      </w:r>
      <w:r>
        <w:rPr>
          <w:rFonts w:hint="eastAsia" w:ascii="仿宋" w:hAnsi="仿宋" w:eastAsia="仿宋" w:cs="仿宋_GB2312"/>
          <w:sz w:val="32"/>
          <w:szCs w:val="32"/>
          <w:lang w:eastAsia="zh-CN"/>
        </w:rPr>
        <w:t>监督</w:t>
      </w:r>
      <w:r>
        <w:rPr>
          <w:rFonts w:hint="eastAsia" w:ascii="仿宋" w:hAnsi="仿宋" w:eastAsia="仿宋" w:cs="仿宋_GB2312"/>
          <w:sz w:val="32"/>
          <w:szCs w:val="32"/>
        </w:rPr>
        <w:t>到位，产生了良好的社会环境效益。</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本项目实施组织严密，管理规范有序，资金使用管理到位，实施后社会经济效益凸显。</w:t>
      </w:r>
      <w:r>
        <w:rPr>
          <w:rFonts w:hint="eastAsia" w:ascii="仿宋" w:hAnsi="仿宋" w:eastAsia="仿宋" w:cs="仿宋_GB2312"/>
          <w:sz w:val="32"/>
          <w:szCs w:val="32"/>
          <w:lang w:eastAsia="zh-CN"/>
        </w:rPr>
        <w:t>主管部门</w:t>
      </w:r>
      <w:r>
        <w:rPr>
          <w:rFonts w:hint="eastAsia" w:ascii="仿宋" w:hAnsi="仿宋" w:eastAsia="仿宋" w:cs="仿宋_GB2312"/>
          <w:sz w:val="32"/>
          <w:szCs w:val="32"/>
        </w:rPr>
        <w:t>专门考核，配备专职人员，对</w:t>
      </w:r>
      <w:r>
        <w:rPr>
          <w:rFonts w:hint="eastAsia" w:ascii="仿宋" w:hAnsi="仿宋" w:eastAsia="仿宋" w:cs="仿宋_GB2312"/>
          <w:sz w:val="32"/>
          <w:szCs w:val="32"/>
          <w:lang w:eastAsia="zh-CN"/>
        </w:rPr>
        <w:t>森林防火工作实</w:t>
      </w:r>
      <w:r>
        <w:rPr>
          <w:rFonts w:hint="eastAsia" w:ascii="仿宋" w:hAnsi="仿宋" w:eastAsia="仿宋" w:cs="仿宋_GB2312"/>
          <w:sz w:val="32"/>
          <w:szCs w:val="32"/>
        </w:rPr>
        <w:t>施日常监督和考核。</w:t>
      </w:r>
      <w:r>
        <w:rPr>
          <w:rFonts w:hint="eastAsia" w:ascii="仿宋" w:hAnsi="仿宋" w:eastAsia="仿宋" w:cs="仿宋_GB2312"/>
          <w:sz w:val="32"/>
          <w:szCs w:val="32"/>
          <w:lang w:eastAsia="zh-CN"/>
        </w:rPr>
        <w:t>元山</w:t>
      </w:r>
      <w:r>
        <w:rPr>
          <w:rFonts w:hint="eastAsia" w:ascii="仿宋" w:hAnsi="仿宋" w:eastAsia="仿宋" w:cs="仿宋_GB2312"/>
          <w:sz w:val="32"/>
          <w:szCs w:val="32"/>
        </w:rPr>
        <w:t>镇人民政府</w:t>
      </w:r>
      <w:r>
        <w:rPr>
          <w:rFonts w:hint="eastAsia" w:ascii="仿宋" w:hAnsi="仿宋" w:eastAsia="仿宋" w:cs="仿宋_GB2312"/>
          <w:sz w:val="32"/>
          <w:szCs w:val="32"/>
          <w:lang w:eastAsia="zh-CN"/>
        </w:rPr>
        <w:t>林业站</w:t>
      </w:r>
      <w:r>
        <w:rPr>
          <w:rFonts w:hint="eastAsia" w:ascii="仿宋" w:hAnsi="仿宋" w:eastAsia="仿宋" w:cs="仿宋_GB2312"/>
          <w:sz w:val="32"/>
          <w:szCs w:val="32"/>
        </w:rPr>
        <w:t>配备专职人员，对</w:t>
      </w:r>
      <w:r>
        <w:rPr>
          <w:rFonts w:hint="eastAsia" w:ascii="仿宋" w:hAnsi="仿宋" w:eastAsia="仿宋" w:cs="仿宋_GB2312"/>
          <w:sz w:val="32"/>
          <w:szCs w:val="32"/>
          <w:lang w:eastAsia="zh-CN"/>
        </w:rPr>
        <w:t>森林防火工作</w:t>
      </w:r>
      <w:r>
        <w:rPr>
          <w:rFonts w:hint="eastAsia" w:ascii="仿宋" w:hAnsi="仿宋" w:eastAsia="仿宋" w:cs="仿宋_GB2312"/>
          <w:sz w:val="32"/>
          <w:szCs w:val="32"/>
        </w:rPr>
        <w:t>实施日常监督和考核。为了加强项目的资金管理，我</w:t>
      </w:r>
      <w:r>
        <w:rPr>
          <w:rFonts w:hint="eastAsia" w:ascii="仿宋" w:hAnsi="仿宋" w:eastAsia="仿宋" w:cs="仿宋_GB2312"/>
          <w:sz w:val="32"/>
          <w:szCs w:val="32"/>
          <w:lang w:eastAsia="zh-CN"/>
        </w:rPr>
        <w:t>镇</w:t>
      </w:r>
      <w:r>
        <w:rPr>
          <w:rFonts w:hint="eastAsia" w:ascii="仿宋" w:hAnsi="仿宋" w:eastAsia="仿宋" w:cs="仿宋_GB2312"/>
          <w:sz w:val="32"/>
          <w:szCs w:val="32"/>
        </w:rPr>
        <w:t>制定了重点工程项目建设管理和财务管理制度，并将该项目纳入重点</w:t>
      </w:r>
      <w:r>
        <w:rPr>
          <w:rFonts w:hint="eastAsia" w:ascii="仿宋" w:hAnsi="仿宋" w:eastAsia="仿宋" w:cs="仿宋_GB2312"/>
          <w:sz w:val="32"/>
          <w:szCs w:val="32"/>
          <w:lang w:eastAsia="zh-CN"/>
        </w:rPr>
        <w:t>项目</w:t>
      </w:r>
      <w:r>
        <w:rPr>
          <w:rFonts w:hint="eastAsia" w:ascii="仿宋" w:hAnsi="仿宋" w:eastAsia="仿宋" w:cs="仿宋_GB2312"/>
          <w:sz w:val="32"/>
          <w:szCs w:val="32"/>
        </w:rPr>
        <w:t>财务核算，实行集中支付和报账制，确保资金封闭运行，项目实施中县财政、县审计以及监察部门定期或不定期</w:t>
      </w:r>
      <w:r>
        <w:rPr>
          <w:rFonts w:hint="eastAsia" w:ascii="仿宋" w:hAnsi="仿宋" w:eastAsia="仿宋" w:cs="仿宋_GB2312"/>
          <w:sz w:val="32"/>
          <w:szCs w:val="32"/>
          <w:lang w:eastAsia="zh-CN"/>
        </w:rPr>
        <w:t>地</w:t>
      </w:r>
      <w:r>
        <w:rPr>
          <w:rFonts w:hint="eastAsia" w:ascii="仿宋" w:hAnsi="仿宋" w:eastAsia="仿宋" w:cs="仿宋_GB2312"/>
          <w:sz w:val="32"/>
          <w:szCs w:val="32"/>
        </w:rPr>
        <w:t>实行检查、督察，确保项目资金的安全运行。</w:t>
      </w:r>
    </w:p>
    <w:p>
      <w:pPr>
        <w:spacing w:line="580" w:lineRule="exact"/>
        <w:ind w:firstLine="640" w:firstLineChars="200"/>
        <w:rPr>
          <w:rFonts w:ascii="楷体_GB2312" w:hAnsi="宋体" w:eastAsia="楷体_GB2312"/>
          <w:b/>
          <w:sz w:val="32"/>
          <w:szCs w:val="32"/>
          <w:lang w:val="zh-CN"/>
        </w:rPr>
      </w:pPr>
      <w:r>
        <w:rPr>
          <w:rFonts w:hint="eastAsia" w:ascii="仿宋" w:hAnsi="仿宋" w:eastAsia="仿宋" w:cs="仿宋_GB2312"/>
          <w:sz w:val="32"/>
          <w:szCs w:val="32"/>
        </w:rPr>
        <w:t>资金使用过程中，严把监督审核关，建立健全内部审批制度。对每笔用款申请，在所附资料齐备的情况下，经审核确认后再报县财政局审批后付款</w:t>
      </w:r>
      <w:r>
        <w:rPr>
          <w:rFonts w:hint="eastAsia" w:ascii="仿宋_GB2312" w:hAnsi="宋体" w:eastAsia="仿宋_GB2312"/>
          <w:sz w:val="32"/>
          <w:szCs w:val="32"/>
          <w:lang w:val="zh-CN"/>
        </w:rPr>
        <w:t>。</w:t>
      </w:r>
      <w:r>
        <w:rPr>
          <w:rFonts w:hint="eastAsia" w:ascii="仿宋" w:hAnsi="仿宋" w:eastAsia="仿宋" w:cs="仿宋_GB2312"/>
          <w:sz w:val="32"/>
          <w:szCs w:val="32"/>
        </w:rPr>
        <w:t>确保国有森林资源和群众生命财产安全得到有效保障，项目实施到位，产生了良好的社会环境效益。</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spacing w:line="580" w:lineRule="exact"/>
        <w:ind w:firstLine="640" w:firstLineChars="200"/>
        <w:rPr>
          <w:rFonts w:hint="default" w:ascii="仿宋" w:hAnsi="仿宋" w:eastAsia="仿宋" w:cs="仿宋_GB2312"/>
          <w:sz w:val="32"/>
          <w:szCs w:val="32"/>
        </w:rPr>
      </w:pPr>
      <w:r>
        <w:rPr>
          <w:rFonts w:hint="default" w:ascii="仿宋" w:hAnsi="仿宋" w:eastAsia="仿宋" w:cs="仿宋_GB2312"/>
          <w:sz w:val="32"/>
          <w:szCs w:val="32"/>
          <w:lang w:val="en-US" w:eastAsia="zh-CN"/>
        </w:rPr>
        <w:t>1、社会效益：通过项目的实施，</w:t>
      </w:r>
      <w:r>
        <w:rPr>
          <w:rFonts w:hint="eastAsia" w:ascii="仿宋" w:hAnsi="仿宋" w:eastAsia="仿宋" w:cs="仿宋_GB2312"/>
          <w:sz w:val="32"/>
          <w:szCs w:val="32"/>
          <w:lang w:val="en-US" w:eastAsia="zh-CN"/>
        </w:rPr>
        <w:t>有效保护森林资源，增强全民森林防灭火意识，国家资源与人民群众生命财产安全得到有效保护</w:t>
      </w:r>
      <w:r>
        <w:rPr>
          <w:rFonts w:hint="default" w:ascii="仿宋" w:hAnsi="仿宋" w:eastAsia="仿宋" w:cs="仿宋_GB2312"/>
          <w:sz w:val="32"/>
          <w:szCs w:val="32"/>
          <w:lang w:val="en-US" w:eastAsia="zh-CN"/>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40" w:lineRule="atLeast"/>
        <w:ind w:right="0" w:rightChars="0" w:firstLine="640" w:firstLineChars="200"/>
        <w:jc w:val="both"/>
        <w:rPr>
          <w:rFonts w:hint="default" w:ascii="仿宋" w:hAnsi="仿宋" w:eastAsia="仿宋" w:cs="仿宋_GB2312"/>
          <w:sz w:val="32"/>
          <w:szCs w:val="32"/>
        </w:rPr>
      </w:pPr>
      <w:r>
        <w:rPr>
          <w:rFonts w:hint="default" w:ascii="仿宋" w:hAnsi="仿宋" w:eastAsia="仿宋" w:cs="仿宋_GB2312"/>
          <w:sz w:val="32"/>
          <w:szCs w:val="32"/>
          <w:lang w:val="en-US" w:eastAsia="zh-CN"/>
        </w:rPr>
        <w:t>2、环境效益：通过项目的实施，强化全民防火</w:t>
      </w:r>
      <w:r>
        <w:rPr>
          <w:rFonts w:hint="eastAsia" w:ascii="仿宋" w:hAnsi="仿宋" w:eastAsia="仿宋" w:cs="仿宋_GB2312"/>
          <w:sz w:val="32"/>
          <w:szCs w:val="32"/>
          <w:lang w:val="en-US" w:eastAsia="zh-CN"/>
        </w:rPr>
        <w:t>重视</w:t>
      </w:r>
      <w:r>
        <w:rPr>
          <w:rFonts w:hint="default" w:ascii="仿宋" w:hAnsi="仿宋" w:eastAsia="仿宋" w:cs="仿宋_GB2312"/>
          <w:sz w:val="32"/>
          <w:szCs w:val="32"/>
          <w:lang w:val="en-US" w:eastAsia="zh-CN"/>
        </w:rPr>
        <w:t>和</w:t>
      </w:r>
      <w:r>
        <w:rPr>
          <w:rFonts w:hint="eastAsia" w:ascii="仿宋" w:hAnsi="仿宋" w:eastAsia="仿宋" w:cs="仿宋_GB2312"/>
          <w:sz w:val="32"/>
          <w:szCs w:val="32"/>
          <w:lang w:val="en-US" w:eastAsia="zh-CN"/>
        </w:rPr>
        <w:t>责任意识，为全镇森林防</w:t>
      </w:r>
      <w:r>
        <w:rPr>
          <w:rFonts w:hint="default" w:ascii="仿宋" w:hAnsi="仿宋" w:eastAsia="仿宋" w:cs="仿宋_GB2312"/>
          <w:sz w:val="32"/>
          <w:szCs w:val="32"/>
          <w:lang w:val="en-US" w:eastAsia="zh-CN"/>
        </w:rPr>
        <w:t>火</w:t>
      </w:r>
      <w:r>
        <w:rPr>
          <w:rFonts w:hint="eastAsia" w:ascii="仿宋" w:hAnsi="仿宋" w:eastAsia="仿宋" w:cs="仿宋_GB2312"/>
          <w:sz w:val="32"/>
          <w:szCs w:val="32"/>
          <w:lang w:val="en-US" w:eastAsia="zh-CN"/>
        </w:rPr>
        <w:t>工作</w:t>
      </w:r>
      <w:r>
        <w:rPr>
          <w:rFonts w:hint="default" w:ascii="仿宋" w:hAnsi="仿宋" w:eastAsia="仿宋" w:cs="仿宋_GB2312"/>
          <w:sz w:val="32"/>
          <w:szCs w:val="32"/>
          <w:lang w:val="en-US" w:eastAsia="zh-CN"/>
        </w:rPr>
        <w:t>开展</w:t>
      </w:r>
      <w:r>
        <w:rPr>
          <w:rFonts w:hint="eastAsia" w:ascii="仿宋" w:hAnsi="仿宋" w:eastAsia="仿宋" w:cs="仿宋_GB2312"/>
          <w:sz w:val="32"/>
          <w:szCs w:val="32"/>
          <w:lang w:val="en-US" w:eastAsia="zh-CN"/>
        </w:rPr>
        <w:t>创造</w:t>
      </w:r>
      <w:r>
        <w:rPr>
          <w:rFonts w:hint="default" w:ascii="仿宋" w:hAnsi="仿宋" w:eastAsia="仿宋" w:cs="仿宋_GB2312"/>
          <w:sz w:val="32"/>
          <w:szCs w:val="32"/>
          <w:lang w:val="en-US" w:eastAsia="zh-CN"/>
        </w:rPr>
        <w:t>良好的</w:t>
      </w:r>
      <w:r>
        <w:rPr>
          <w:rFonts w:hint="eastAsia" w:ascii="仿宋" w:hAnsi="仿宋" w:eastAsia="仿宋" w:cs="仿宋_GB2312"/>
          <w:sz w:val="32"/>
          <w:szCs w:val="32"/>
          <w:lang w:val="en-US" w:eastAsia="zh-CN"/>
        </w:rPr>
        <w:t>社会舆论</w:t>
      </w:r>
      <w:r>
        <w:rPr>
          <w:rFonts w:hint="default" w:ascii="仿宋" w:hAnsi="仿宋" w:eastAsia="仿宋" w:cs="仿宋_GB2312"/>
          <w:sz w:val="32"/>
          <w:szCs w:val="32"/>
          <w:lang w:val="en-US" w:eastAsia="zh-CN"/>
        </w:rPr>
        <w:t>和</w:t>
      </w:r>
      <w:r>
        <w:rPr>
          <w:rFonts w:hint="eastAsia" w:ascii="仿宋" w:hAnsi="仿宋" w:eastAsia="仿宋" w:cs="仿宋_GB2312"/>
          <w:sz w:val="32"/>
          <w:szCs w:val="32"/>
          <w:lang w:val="en-US" w:eastAsia="zh-CN"/>
        </w:rPr>
        <w:t>法治氛围，人民</w:t>
      </w:r>
      <w:r>
        <w:rPr>
          <w:rFonts w:hint="default" w:ascii="仿宋" w:hAnsi="仿宋" w:eastAsia="仿宋" w:cs="仿宋_GB2312"/>
          <w:sz w:val="32"/>
          <w:szCs w:val="32"/>
          <w:lang w:val="en-US" w:eastAsia="zh-CN"/>
        </w:rPr>
        <w:t>群众森林防火意识</w:t>
      </w:r>
      <w:r>
        <w:rPr>
          <w:rFonts w:hint="eastAsia" w:ascii="仿宋" w:hAnsi="仿宋" w:eastAsia="仿宋" w:cs="仿宋_GB2312"/>
          <w:sz w:val="32"/>
          <w:szCs w:val="32"/>
          <w:lang w:val="en-US" w:eastAsia="zh-CN"/>
        </w:rPr>
        <w:t>增强</w:t>
      </w:r>
      <w:r>
        <w:rPr>
          <w:rFonts w:hint="default" w:ascii="仿宋" w:hAnsi="仿宋" w:eastAsia="仿宋" w:cs="仿宋_GB2312"/>
          <w:sz w:val="32"/>
          <w:szCs w:val="32"/>
          <w:lang w:val="en-US" w:eastAsia="zh-CN"/>
        </w:rPr>
        <w:t>，提高全</w:t>
      </w:r>
      <w:r>
        <w:rPr>
          <w:rFonts w:hint="eastAsia" w:ascii="仿宋" w:hAnsi="仿宋" w:eastAsia="仿宋" w:cs="仿宋_GB2312"/>
          <w:sz w:val="32"/>
          <w:szCs w:val="32"/>
          <w:lang w:val="en-US" w:eastAsia="zh-CN"/>
        </w:rPr>
        <w:t>镇</w:t>
      </w:r>
      <w:r>
        <w:rPr>
          <w:rFonts w:hint="default" w:ascii="仿宋" w:hAnsi="仿宋" w:eastAsia="仿宋" w:cs="仿宋_GB2312"/>
          <w:sz w:val="32"/>
          <w:szCs w:val="32"/>
          <w:lang w:val="en-US" w:eastAsia="zh-CN"/>
        </w:rPr>
        <w:t>森林火灾预防控能力，</w:t>
      </w:r>
      <w:r>
        <w:rPr>
          <w:rFonts w:hint="eastAsia" w:ascii="仿宋" w:hAnsi="仿宋" w:eastAsia="仿宋" w:cs="仿宋_GB2312"/>
          <w:sz w:val="32"/>
          <w:szCs w:val="32"/>
          <w:lang w:val="en-US" w:eastAsia="zh-CN"/>
        </w:rPr>
        <w:t>森林</w:t>
      </w:r>
      <w:r>
        <w:rPr>
          <w:rFonts w:hint="default" w:ascii="仿宋" w:hAnsi="仿宋" w:eastAsia="仿宋" w:cs="仿宋_GB2312"/>
          <w:sz w:val="32"/>
          <w:szCs w:val="32"/>
          <w:lang w:val="en-US" w:eastAsia="zh-CN"/>
        </w:rPr>
        <w:t>火灾发生次数明显下降减少</w:t>
      </w:r>
      <w:r>
        <w:rPr>
          <w:rFonts w:hint="eastAsia" w:ascii="仿宋" w:hAnsi="仿宋" w:eastAsia="仿宋" w:cs="仿宋_GB2312"/>
          <w:sz w:val="32"/>
          <w:szCs w:val="32"/>
          <w:lang w:val="en-US" w:eastAsia="zh-CN"/>
        </w:rPr>
        <w:t>，</w:t>
      </w:r>
      <w:r>
        <w:rPr>
          <w:rFonts w:hint="default" w:ascii="仿宋" w:hAnsi="仿宋" w:eastAsia="仿宋" w:cs="仿宋_GB2312"/>
          <w:sz w:val="32"/>
          <w:szCs w:val="32"/>
          <w:lang w:val="en-US" w:eastAsia="zh-CN"/>
        </w:rPr>
        <w:t>野外用火得到有效控制</w:t>
      </w:r>
      <w:r>
        <w:rPr>
          <w:rFonts w:hint="eastAsia" w:ascii="仿宋" w:hAnsi="仿宋" w:eastAsia="仿宋" w:cs="仿宋_GB2312"/>
          <w:sz w:val="32"/>
          <w:szCs w:val="32"/>
          <w:lang w:val="en-US" w:eastAsia="zh-CN"/>
        </w:rPr>
        <w:t>，</w:t>
      </w:r>
      <w:r>
        <w:rPr>
          <w:rFonts w:hint="default" w:ascii="仿宋" w:hAnsi="仿宋" w:eastAsia="仿宋" w:cs="仿宋_GB2312"/>
          <w:sz w:val="32"/>
          <w:szCs w:val="32"/>
          <w:lang w:val="en-US" w:eastAsia="zh-CN"/>
        </w:rPr>
        <w:t>巩固现有绿化造林成果及维护林区长治久安</w:t>
      </w:r>
      <w:r>
        <w:rPr>
          <w:rFonts w:hint="eastAsia" w:ascii="仿宋" w:hAnsi="仿宋" w:eastAsia="仿宋" w:cs="仿宋_GB2312"/>
          <w:sz w:val="32"/>
          <w:szCs w:val="32"/>
          <w:lang w:val="en-US" w:eastAsia="zh-CN"/>
        </w:rPr>
        <w:t>，维护</w:t>
      </w:r>
      <w:r>
        <w:rPr>
          <w:rFonts w:hint="default" w:ascii="仿宋" w:hAnsi="仿宋" w:eastAsia="仿宋" w:cs="仿宋_GB2312"/>
          <w:sz w:val="32"/>
          <w:szCs w:val="32"/>
          <w:lang w:val="en-US" w:eastAsia="zh-CN"/>
        </w:rPr>
        <w:t>社会稳定的需要</w:t>
      </w:r>
      <w:r>
        <w:rPr>
          <w:rFonts w:hint="eastAsia" w:ascii="仿宋" w:hAnsi="仿宋" w:eastAsia="仿宋" w:cs="仿宋_GB2312"/>
          <w:sz w:val="32"/>
          <w:szCs w:val="32"/>
          <w:lang w:val="en-US" w:eastAsia="zh-CN"/>
        </w:rPr>
        <w:t>，</w:t>
      </w:r>
      <w:r>
        <w:rPr>
          <w:rFonts w:hint="default" w:ascii="仿宋" w:hAnsi="仿宋" w:eastAsia="仿宋" w:cs="仿宋_GB2312"/>
          <w:sz w:val="32"/>
          <w:szCs w:val="32"/>
          <w:lang w:val="en-US" w:eastAsia="zh-CN"/>
        </w:rPr>
        <w:t>改善生态环境</w:t>
      </w:r>
      <w:r>
        <w:rPr>
          <w:rFonts w:hint="eastAsia" w:ascii="仿宋" w:hAnsi="仿宋" w:eastAsia="仿宋" w:cs="仿宋_GB2312"/>
          <w:sz w:val="32"/>
          <w:szCs w:val="32"/>
          <w:lang w:val="en-US" w:eastAsia="zh-CN"/>
        </w:rPr>
        <w:t>，</w:t>
      </w:r>
      <w:r>
        <w:rPr>
          <w:rFonts w:hint="default" w:ascii="仿宋" w:hAnsi="仿宋" w:eastAsia="仿宋" w:cs="仿宋_GB2312"/>
          <w:sz w:val="32"/>
          <w:szCs w:val="32"/>
          <w:lang w:val="en-US" w:eastAsia="zh-CN"/>
        </w:rPr>
        <w:t>促进经济可持续发展的需要</w:t>
      </w:r>
      <w:r>
        <w:rPr>
          <w:rFonts w:hint="eastAsia" w:ascii="仿宋" w:hAnsi="仿宋" w:eastAsia="仿宋" w:cs="仿宋_GB2312"/>
          <w:sz w:val="32"/>
          <w:szCs w:val="32"/>
          <w:lang w:val="en-US" w:eastAsia="zh-CN"/>
        </w:rPr>
        <w:t>，</w:t>
      </w:r>
      <w:r>
        <w:rPr>
          <w:rFonts w:hint="default" w:ascii="仿宋" w:hAnsi="仿宋" w:eastAsia="仿宋" w:cs="仿宋_GB2312"/>
          <w:sz w:val="32"/>
          <w:szCs w:val="32"/>
          <w:lang w:val="en-US" w:eastAsia="zh-CN"/>
        </w:rPr>
        <w:t>使</w:t>
      </w:r>
      <w:r>
        <w:rPr>
          <w:rFonts w:hint="eastAsia" w:ascii="仿宋" w:hAnsi="仿宋" w:eastAsia="仿宋" w:cs="仿宋_GB2312"/>
          <w:sz w:val="32"/>
          <w:szCs w:val="32"/>
          <w:lang w:val="en-US" w:eastAsia="zh-CN"/>
        </w:rPr>
        <w:t>元山</w:t>
      </w:r>
      <w:r>
        <w:rPr>
          <w:rFonts w:hint="default" w:ascii="仿宋" w:hAnsi="仿宋" w:eastAsia="仿宋" w:cs="仿宋_GB2312"/>
          <w:sz w:val="32"/>
          <w:szCs w:val="32"/>
          <w:lang w:val="en-US" w:eastAsia="zh-CN"/>
        </w:rPr>
        <w:t>的山更绿、水更清、天更蓝</w:t>
      </w:r>
      <w:r>
        <w:rPr>
          <w:rFonts w:hint="eastAsia" w:ascii="仿宋" w:hAnsi="仿宋" w:eastAsia="仿宋" w:cs="仿宋_GB2312"/>
          <w:sz w:val="32"/>
          <w:szCs w:val="32"/>
          <w:lang w:val="en-US" w:eastAsia="zh-CN"/>
        </w:rPr>
        <w:t>。</w:t>
      </w:r>
    </w:p>
    <w:p>
      <w:pPr>
        <w:spacing w:line="580" w:lineRule="exact"/>
        <w:ind w:firstLine="640" w:firstLineChars="200"/>
        <w:rPr>
          <w:rFonts w:hint="default" w:ascii="仿宋" w:hAnsi="仿宋" w:eastAsia="仿宋" w:cs="仿宋_GB2312"/>
          <w:sz w:val="32"/>
          <w:szCs w:val="32"/>
        </w:rPr>
      </w:pPr>
      <w:r>
        <w:rPr>
          <w:rFonts w:hint="default" w:ascii="仿宋" w:hAnsi="仿宋" w:eastAsia="仿宋" w:cs="仿宋_GB2312"/>
          <w:sz w:val="32"/>
          <w:szCs w:val="32"/>
          <w:lang w:val="en-US" w:eastAsia="zh-CN"/>
        </w:rPr>
        <w:t>3、经济效益：</w:t>
      </w:r>
      <w:r>
        <w:rPr>
          <w:rFonts w:hint="eastAsia" w:ascii="仿宋" w:hAnsi="仿宋" w:eastAsia="仿宋" w:cs="仿宋_GB2312"/>
          <w:sz w:val="32"/>
          <w:szCs w:val="32"/>
          <w:lang w:val="en-US" w:eastAsia="zh-CN"/>
        </w:rPr>
        <w:t>森林火灾的有效控制，大幅降低救火救灾以及生态修复支出，防患于未然，有效预防各种灾情及相关支出</w:t>
      </w:r>
      <w:r>
        <w:rPr>
          <w:rFonts w:hint="default" w:ascii="仿宋" w:hAnsi="仿宋" w:eastAsia="仿宋" w:cs="仿宋_GB2312"/>
          <w:sz w:val="32"/>
          <w:szCs w:val="32"/>
          <w:lang w:val="en-US" w:eastAsia="zh-CN"/>
        </w:rPr>
        <w:t>。</w:t>
      </w:r>
    </w:p>
    <w:p>
      <w:pPr>
        <w:spacing w:line="580" w:lineRule="exact"/>
        <w:ind w:firstLine="640" w:firstLineChars="200"/>
        <w:rPr>
          <w:rFonts w:hint="default"/>
        </w:rPr>
      </w:pPr>
      <w:r>
        <w:rPr>
          <w:rFonts w:hint="default" w:ascii="仿宋" w:hAnsi="仿宋" w:eastAsia="仿宋" w:cs="仿宋_GB2312"/>
          <w:sz w:val="32"/>
          <w:szCs w:val="32"/>
          <w:lang w:val="en-US" w:eastAsia="zh-CN"/>
        </w:rPr>
        <w:t>4、可持续影响：通过项目的实施，强化全民防火</w:t>
      </w:r>
      <w:r>
        <w:rPr>
          <w:rFonts w:hint="eastAsia" w:ascii="仿宋" w:hAnsi="仿宋" w:eastAsia="仿宋" w:cs="仿宋_GB2312"/>
          <w:sz w:val="32"/>
          <w:szCs w:val="32"/>
          <w:lang w:val="en-US" w:eastAsia="zh-CN"/>
        </w:rPr>
        <w:t>重视</w:t>
      </w:r>
      <w:r>
        <w:rPr>
          <w:rFonts w:hint="default" w:ascii="仿宋" w:hAnsi="仿宋" w:eastAsia="仿宋" w:cs="仿宋_GB2312"/>
          <w:sz w:val="32"/>
          <w:szCs w:val="32"/>
          <w:lang w:val="en-US" w:eastAsia="zh-CN"/>
        </w:rPr>
        <w:t>和</w:t>
      </w:r>
      <w:r>
        <w:rPr>
          <w:rFonts w:hint="eastAsia" w:ascii="仿宋" w:hAnsi="仿宋" w:eastAsia="仿宋" w:cs="仿宋_GB2312"/>
          <w:sz w:val="32"/>
          <w:szCs w:val="32"/>
          <w:lang w:val="en-US" w:eastAsia="zh-CN"/>
        </w:rPr>
        <w:t>责任意识，为全镇森林防</w:t>
      </w:r>
      <w:r>
        <w:rPr>
          <w:rFonts w:hint="default" w:ascii="仿宋" w:hAnsi="仿宋" w:eastAsia="仿宋" w:cs="仿宋_GB2312"/>
          <w:sz w:val="32"/>
          <w:szCs w:val="32"/>
          <w:lang w:val="en-US" w:eastAsia="zh-CN"/>
        </w:rPr>
        <w:t>火</w:t>
      </w:r>
      <w:r>
        <w:rPr>
          <w:rFonts w:hint="eastAsia" w:ascii="仿宋" w:hAnsi="仿宋" w:eastAsia="仿宋" w:cs="仿宋_GB2312"/>
          <w:sz w:val="32"/>
          <w:szCs w:val="32"/>
          <w:lang w:val="en-US" w:eastAsia="zh-CN"/>
        </w:rPr>
        <w:t>工作</w:t>
      </w:r>
      <w:r>
        <w:rPr>
          <w:rFonts w:hint="default" w:ascii="仿宋" w:hAnsi="仿宋" w:eastAsia="仿宋" w:cs="仿宋_GB2312"/>
          <w:sz w:val="32"/>
          <w:szCs w:val="32"/>
          <w:lang w:val="en-US" w:eastAsia="zh-CN"/>
        </w:rPr>
        <w:t>开展</w:t>
      </w:r>
      <w:r>
        <w:rPr>
          <w:rFonts w:hint="eastAsia" w:ascii="仿宋" w:hAnsi="仿宋" w:eastAsia="仿宋" w:cs="仿宋_GB2312"/>
          <w:sz w:val="32"/>
          <w:szCs w:val="32"/>
          <w:lang w:val="en-US" w:eastAsia="zh-CN"/>
        </w:rPr>
        <w:t>创造</w:t>
      </w:r>
      <w:r>
        <w:rPr>
          <w:rFonts w:hint="default" w:ascii="仿宋" w:hAnsi="仿宋" w:eastAsia="仿宋" w:cs="仿宋_GB2312"/>
          <w:sz w:val="32"/>
          <w:szCs w:val="32"/>
          <w:lang w:val="en-US" w:eastAsia="zh-CN"/>
        </w:rPr>
        <w:t>良好的</w:t>
      </w:r>
      <w:r>
        <w:rPr>
          <w:rFonts w:hint="eastAsia" w:ascii="仿宋" w:hAnsi="仿宋" w:eastAsia="仿宋" w:cs="仿宋_GB2312"/>
          <w:sz w:val="32"/>
          <w:szCs w:val="32"/>
          <w:lang w:val="en-US" w:eastAsia="zh-CN"/>
        </w:rPr>
        <w:t>社会舆论</w:t>
      </w:r>
      <w:r>
        <w:rPr>
          <w:rFonts w:hint="default" w:ascii="仿宋" w:hAnsi="仿宋" w:eastAsia="仿宋" w:cs="仿宋_GB2312"/>
          <w:sz w:val="32"/>
          <w:szCs w:val="32"/>
          <w:lang w:val="en-US" w:eastAsia="zh-CN"/>
        </w:rPr>
        <w:t>和</w:t>
      </w:r>
      <w:r>
        <w:rPr>
          <w:rFonts w:hint="eastAsia" w:ascii="仿宋" w:hAnsi="仿宋" w:eastAsia="仿宋" w:cs="仿宋_GB2312"/>
          <w:sz w:val="32"/>
          <w:szCs w:val="32"/>
          <w:lang w:val="en-US" w:eastAsia="zh-CN"/>
        </w:rPr>
        <w:t>法治氛围，人民</w:t>
      </w:r>
      <w:r>
        <w:rPr>
          <w:rFonts w:hint="default" w:ascii="仿宋" w:hAnsi="仿宋" w:eastAsia="仿宋" w:cs="仿宋_GB2312"/>
          <w:sz w:val="32"/>
          <w:szCs w:val="32"/>
          <w:lang w:val="en-US" w:eastAsia="zh-CN"/>
        </w:rPr>
        <w:t>群众森林防火意识</w:t>
      </w:r>
      <w:r>
        <w:rPr>
          <w:rFonts w:hint="eastAsia" w:ascii="仿宋" w:hAnsi="仿宋" w:eastAsia="仿宋" w:cs="仿宋_GB2312"/>
          <w:sz w:val="32"/>
          <w:szCs w:val="32"/>
          <w:lang w:val="en-US" w:eastAsia="zh-CN"/>
        </w:rPr>
        <w:t>增强</w:t>
      </w:r>
      <w:r>
        <w:rPr>
          <w:rFonts w:hint="default" w:ascii="仿宋" w:hAnsi="仿宋" w:eastAsia="仿宋" w:cs="仿宋_GB2312"/>
          <w:sz w:val="32"/>
          <w:szCs w:val="32"/>
          <w:lang w:val="en-US" w:eastAsia="zh-CN"/>
        </w:rPr>
        <w:t>，提高全</w:t>
      </w:r>
      <w:r>
        <w:rPr>
          <w:rFonts w:hint="eastAsia" w:ascii="仿宋" w:hAnsi="仿宋" w:eastAsia="仿宋" w:cs="仿宋_GB2312"/>
          <w:sz w:val="32"/>
          <w:szCs w:val="32"/>
          <w:lang w:val="en-US" w:eastAsia="zh-CN"/>
        </w:rPr>
        <w:t>镇</w:t>
      </w:r>
      <w:r>
        <w:rPr>
          <w:rFonts w:hint="default" w:ascii="仿宋" w:hAnsi="仿宋" w:eastAsia="仿宋" w:cs="仿宋_GB2312"/>
          <w:sz w:val="32"/>
          <w:szCs w:val="32"/>
          <w:lang w:val="en-US" w:eastAsia="zh-CN"/>
        </w:rPr>
        <w:t>森林火灾预防控能力，</w:t>
      </w:r>
      <w:r>
        <w:rPr>
          <w:rFonts w:hint="eastAsia" w:ascii="仿宋" w:hAnsi="仿宋" w:eastAsia="仿宋" w:cs="仿宋_GB2312"/>
          <w:sz w:val="32"/>
          <w:szCs w:val="32"/>
          <w:lang w:val="en-US" w:eastAsia="zh-CN"/>
        </w:rPr>
        <w:t>森林</w:t>
      </w:r>
      <w:r>
        <w:rPr>
          <w:rFonts w:hint="default" w:ascii="仿宋" w:hAnsi="仿宋" w:eastAsia="仿宋" w:cs="仿宋_GB2312"/>
          <w:sz w:val="32"/>
          <w:szCs w:val="32"/>
          <w:lang w:val="en-US" w:eastAsia="zh-CN"/>
        </w:rPr>
        <w:t>火灾发生次数明显下降减少</w:t>
      </w:r>
      <w:r>
        <w:rPr>
          <w:rFonts w:hint="eastAsia" w:ascii="仿宋" w:hAnsi="仿宋" w:eastAsia="仿宋" w:cs="仿宋_GB2312"/>
          <w:sz w:val="32"/>
          <w:szCs w:val="32"/>
          <w:lang w:val="en-US" w:eastAsia="zh-CN"/>
        </w:rPr>
        <w:t>，</w:t>
      </w:r>
      <w:r>
        <w:rPr>
          <w:rFonts w:hint="default" w:ascii="仿宋" w:hAnsi="仿宋" w:eastAsia="仿宋" w:cs="仿宋_GB2312"/>
          <w:sz w:val="32"/>
          <w:szCs w:val="32"/>
          <w:lang w:val="en-US" w:eastAsia="zh-CN"/>
        </w:rPr>
        <w:t>野外用火得到有效控制</w:t>
      </w:r>
      <w:r>
        <w:rPr>
          <w:rFonts w:hint="eastAsia" w:ascii="仿宋" w:hAnsi="仿宋" w:eastAsia="仿宋" w:cs="仿宋_GB2312"/>
          <w:sz w:val="32"/>
          <w:szCs w:val="32"/>
          <w:lang w:val="en-US" w:eastAsia="zh-CN"/>
        </w:rPr>
        <w:t>，</w:t>
      </w:r>
      <w:r>
        <w:rPr>
          <w:rFonts w:hint="default" w:ascii="仿宋" w:hAnsi="仿宋" w:eastAsia="仿宋" w:cs="仿宋_GB2312"/>
          <w:sz w:val="32"/>
          <w:szCs w:val="32"/>
          <w:lang w:val="en-US" w:eastAsia="zh-CN"/>
        </w:rPr>
        <w:t>巩固现有绿化造林成果及维护林区长治久安，可持续提高人民生活质量，并可取得良好的社会、经济和环境效益，具有可持续影响。</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我们认为：</w:t>
      </w:r>
      <w:r>
        <w:rPr>
          <w:rFonts w:hint="eastAsia" w:ascii="仿宋" w:hAnsi="仿宋" w:eastAsia="仿宋" w:cs="仿宋_GB2312"/>
          <w:sz w:val="32"/>
          <w:szCs w:val="32"/>
          <w:lang w:eastAsia="zh-CN"/>
        </w:rPr>
        <w:t>元山</w:t>
      </w:r>
      <w:r>
        <w:rPr>
          <w:rFonts w:hint="eastAsia" w:ascii="仿宋" w:hAnsi="仿宋" w:eastAsia="仿宋" w:cs="仿宋_GB2312"/>
          <w:sz w:val="32"/>
          <w:szCs w:val="32"/>
        </w:rPr>
        <w:t>镇人民政府的</w:t>
      </w:r>
      <w:r>
        <w:rPr>
          <w:rFonts w:hint="eastAsia" w:ascii="仿宋" w:hAnsi="仿宋" w:eastAsia="仿宋" w:cs="仿宋_GB2312"/>
          <w:sz w:val="32"/>
          <w:szCs w:val="32"/>
          <w:lang w:eastAsia="zh-CN"/>
        </w:rPr>
        <w:t>森林防火</w:t>
      </w:r>
      <w:r>
        <w:rPr>
          <w:rFonts w:hint="eastAsia" w:ascii="仿宋" w:hAnsi="仿宋" w:eastAsia="仿宋" w:cs="仿宋_GB2312"/>
          <w:sz w:val="32"/>
          <w:szCs w:val="32"/>
        </w:rPr>
        <w:t>项目的实施，</w:t>
      </w:r>
      <w:r>
        <w:rPr>
          <w:rFonts w:hint="eastAsia" w:ascii="仿宋" w:hAnsi="仿宋" w:eastAsia="仿宋" w:cs="仿宋_GB2312"/>
          <w:sz w:val="32"/>
          <w:szCs w:val="32"/>
          <w:lang w:val="en-US" w:eastAsia="zh-CN"/>
        </w:rPr>
        <w:t>森林</w:t>
      </w:r>
      <w:r>
        <w:rPr>
          <w:rFonts w:hint="default" w:ascii="仿宋" w:hAnsi="仿宋" w:eastAsia="仿宋" w:cs="仿宋_GB2312"/>
          <w:sz w:val="32"/>
          <w:szCs w:val="32"/>
          <w:lang w:val="en-US" w:eastAsia="zh-CN"/>
        </w:rPr>
        <w:t>火灾发生次数明显下降减少</w:t>
      </w:r>
      <w:r>
        <w:rPr>
          <w:rFonts w:hint="eastAsia" w:ascii="仿宋" w:hAnsi="仿宋" w:eastAsia="仿宋" w:cs="仿宋_GB2312"/>
          <w:sz w:val="32"/>
          <w:szCs w:val="32"/>
          <w:lang w:val="en-US" w:eastAsia="zh-CN"/>
        </w:rPr>
        <w:t>，</w:t>
      </w:r>
      <w:r>
        <w:rPr>
          <w:rFonts w:hint="default" w:ascii="仿宋" w:hAnsi="仿宋" w:eastAsia="仿宋" w:cs="仿宋_GB2312"/>
          <w:sz w:val="32"/>
          <w:szCs w:val="32"/>
          <w:lang w:val="en-US" w:eastAsia="zh-CN"/>
        </w:rPr>
        <w:t>野外用火得到有效控制</w:t>
      </w:r>
      <w:r>
        <w:rPr>
          <w:rFonts w:hint="eastAsia" w:ascii="仿宋" w:hAnsi="仿宋" w:eastAsia="仿宋" w:cs="仿宋_GB2312"/>
          <w:sz w:val="32"/>
          <w:szCs w:val="32"/>
        </w:rPr>
        <w:t>，项目实施到位，产生了良好的社会环境效益。</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根据</w:t>
      </w:r>
      <w:r>
        <w:rPr>
          <w:rFonts w:hint="eastAsia" w:ascii="仿宋" w:hAnsi="仿宋" w:eastAsia="仿宋" w:cs="仿宋_GB2312"/>
          <w:sz w:val="32"/>
          <w:szCs w:val="32"/>
          <w:lang w:eastAsia="zh-CN"/>
        </w:rPr>
        <w:t>元山</w:t>
      </w:r>
      <w:r>
        <w:rPr>
          <w:rFonts w:hint="eastAsia" w:ascii="仿宋" w:hAnsi="仿宋" w:eastAsia="仿宋" w:cs="仿宋_GB2312"/>
          <w:sz w:val="32"/>
          <w:szCs w:val="32"/>
        </w:rPr>
        <w:t>镇人民政府</w:t>
      </w:r>
      <w:r>
        <w:rPr>
          <w:rFonts w:hint="eastAsia" w:ascii="仿宋" w:hAnsi="仿宋" w:eastAsia="仿宋" w:cs="仿宋_GB2312"/>
          <w:sz w:val="32"/>
          <w:szCs w:val="32"/>
          <w:lang w:eastAsia="zh-CN"/>
        </w:rPr>
        <w:t>森林防火</w:t>
      </w:r>
      <w:r>
        <w:rPr>
          <w:rFonts w:hint="eastAsia" w:ascii="仿宋" w:hAnsi="仿宋" w:eastAsia="仿宋" w:cs="仿宋_GB2312"/>
          <w:sz w:val="32"/>
          <w:szCs w:val="32"/>
        </w:rPr>
        <w:t>项目绩效评价指标表考评，此次评价指标总分值</w:t>
      </w:r>
      <w:r>
        <w:rPr>
          <w:rFonts w:hint="eastAsia" w:ascii="仿宋" w:hAnsi="仿宋" w:eastAsia="仿宋" w:cs="仿宋_GB2312"/>
          <w:sz w:val="32"/>
          <w:szCs w:val="32"/>
          <w:lang w:val="en-US" w:eastAsia="zh-CN"/>
        </w:rPr>
        <w:t>100</w:t>
      </w:r>
      <w:r>
        <w:rPr>
          <w:rFonts w:hint="eastAsia" w:ascii="仿宋" w:hAnsi="仿宋" w:eastAsia="仿宋" w:cs="仿宋_GB2312"/>
          <w:sz w:val="32"/>
          <w:szCs w:val="32"/>
        </w:rPr>
        <w:t>分，综合得分为9</w:t>
      </w:r>
      <w:r>
        <w:rPr>
          <w:rFonts w:hint="eastAsia" w:ascii="仿宋" w:hAnsi="仿宋" w:eastAsia="仿宋" w:cs="仿宋_GB2312"/>
          <w:sz w:val="32"/>
          <w:szCs w:val="32"/>
          <w:lang w:val="en-US" w:eastAsia="zh-CN"/>
        </w:rPr>
        <w:t>8</w:t>
      </w:r>
      <w:r>
        <w:rPr>
          <w:rFonts w:hint="eastAsia" w:ascii="仿宋" w:hAnsi="仿宋" w:eastAsia="仿宋" w:cs="仿宋_GB2312"/>
          <w:sz w:val="32"/>
          <w:szCs w:val="32"/>
        </w:rPr>
        <w:t>分，其中：产出指标总分值50分，评价得分50分，效益指标总分值30分，评价得分30分，满意度指标分值10分，评价得分10分，财务指标分值10分，评价得分8分。评价等次：优。</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eastAsia="zh-CN"/>
        </w:rPr>
        <w:t>我镇森林覆盖率较高</w:t>
      </w:r>
      <w:r>
        <w:rPr>
          <w:rFonts w:hint="eastAsia" w:ascii="仿宋" w:hAnsi="仿宋" w:eastAsia="仿宋" w:cs="仿宋_GB2312"/>
          <w:sz w:val="32"/>
          <w:szCs w:val="32"/>
        </w:rPr>
        <w:t>，森林防火形势十分严峻。一是我</w:t>
      </w:r>
      <w:r>
        <w:rPr>
          <w:rFonts w:hint="eastAsia" w:ascii="仿宋" w:hAnsi="仿宋" w:eastAsia="仿宋" w:cs="仿宋_GB2312"/>
          <w:sz w:val="32"/>
          <w:szCs w:val="32"/>
          <w:lang w:eastAsia="zh-CN"/>
        </w:rPr>
        <w:t>镇</w:t>
      </w:r>
      <w:r>
        <w:rPr>
          <w:rFonts w:hint="eastAsia" w:ascii="仿宋" w:hAnsi="仿宋" w:eastAsia="仿宋" w:cs="仿宋_GB2312"/>
          <w:sz w:val="32"/>
          <w:szCs w:val="32"/>
        </w:rPr>
        <w:t>山区面积</w:t>
      </w:r>
      <w:r>
        <w:rPr>
          <w:rFonts w:hint="eastAsia" w:ascii="仿宋" w:hAnsi="仿宋" w:eastAsia="仿宋" w:cs="仿宋_GB2312"/>
          <w:sz w:val="32"/>
          <w:szCs w:val="32"/>
          <w:lang w:eastAsia="zh-CN"/>
        </w:rPr>
        <w:t>较多</w:t>
      </w:r>
      <w:r>
        <w:rPr>
          <w:rFonts w:hint="eastAsia" w:ascii="仿宋" w:hAnsi="仿宋" w:eastAsia="仿宋" w:cs="仿宋_GB2312"/>
          <w:sz w:val="32"/>
          <w:szCs w:val="32"/>
        </w:rPr>
        <w:t>，频繁的农事活动，给森林防火带来了一定困难。野外游玩休闲的人多，极易引发森林火灾。二是森林防火基础设施比较薄弱。特别是各主要林区，无监控</w:t>
      </w:r>
      <w:r>
        <w:rPr>
          <w:rFonts w:hint="eastAsia" w:ascii="仿宋" w:hAnsi="仿宋" w:eastAsia="仿宋" w:cs="仿宋_GB2312"/>
          <w:sz w:val="32"/>
          <w:szCs w:val="32"/>
          <w:lang w:eastAsia="zh-CN"/>
        </w:rPr>
        <w:t>瞭望</w:t>
      </w:r>
      <w:r>
        <w:rPr>
          <w:rFonts w:hint="eastAsia" w:ascii="仿宋" w:hAnsi="仿宋" w:eastAsia="仿宋" w:cs="仿宋_GB2312"/>
          <w:sz w:val="32"/>
          <w:szCs w:val="32"/>
        </w:rPr>
        <w:t>设施，通讯信号不强，无有效阻隔系统，不具备抵御森林大火的能力，与当前的防火需要不相适应。三是由于林区的开发利用，林区施工、流动人员、旅游人员增多，管理难度加大，已成为新形势下引发森林火灾的一大隐患</w:t>
      </w:r>
      <w:r>
        <w:rPr>
          <w:rFonts w:hint="eastAsia" w:ascii="仿宋" w:hAnsi="仿宋" w:eastAsia="仿宋" w:cs="仿宋_GB2312"/>
          <w:sz w:val="32"/>
          <w:szCs w:val="32"/>
          <w:lang w:eastAsia="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pStyle w:val="2"/>
        <w:spacing w:before="93"/>
        <w:ind w:firstLine="640" w:firstLineChars="200"/>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一是强化责任落实，严控火源管理。二是持续加强森林防火工作的宣传教育，转变农户思想，强化农户的防火意识。三是加大联合巡查执法力度，环保、农业、派出所、林业公安等部门进一步加大处置力度，发现一起处置一起，形成威慑。四是加强森林防火信息化建设上的投入，使森林防火工作更加高效、便捷。</w:t>
      </w:r>
    </w:p>
    <w:tbl>
      <w:tblPr>
        <w:tblStyle w:val="22"/>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tblPrEx>
          <w:tblLayout w:type="fixed"/>
          <w:tblCellMar>
            <w:top w:w="0" w:type="dxa"/>
            <w:left w:w="108" w:type="dxa"/>
            <w:bottom w:w="0" w:type="dxa"/>
            <w:right w:w="108" w:type="dxa"/>
          </w:tblCellMar>
        </w:tblPrEx>
        <w:trPr>
          <w:trHeight w:val="675" w:hRule="atLeast"/>
        </w:trPr>
        <w:tc>
          <w:tcPr>
            <w:tcW w:w="9575"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r>
              <w:rPr>
                <w:rFonts w:hint="eastAsia" w:ascii="宋体" w:hAnsi="宋体" w:cs="宋体"/>
                <w:b/>
                <w:sz w:val="32"/>
                <w:szCs w:val="32"/>
              </w:rPr>
              <w:t>202</w:t>
            </w:r>
            <w:r>
              <w:rPr>
                <w:rFonts w:hint="eastAsia" w:ascii="宋体" w:hAnsi="宋体" w:cs="宋体"/>
                <w:b/>
                <w:sz w:val="32"/>
                <w:szCs w:val="32"/>
                <w:lang w:val="en-US" w:eastAsia="zh-CN"/>
              </w:rPr>
              <w:t>2</w:t>
            </w:r>
            <w:r>
              <w:rPr>
                <w:rFonts w:hint="eastAsia" w:ascii="宋体" w:hAnsi="宋体" w:cs="宋体"/>
                <w:b/>
                <w:sz w:val="32"/>
                <w:szCs w:val="32"/>
              </w:rPr>
              <w:t>年安全经费（森林防火）项目绩效目标自评</w:t>
            </w:r>
          </w:p>
        </w:tc>
        <w:tc>
          <w:tcPr>
            <w:tcW w:w="236"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rPr>
            </w:pPr>
          </w:p>
        </w:tc>
      </w:tr>
      <w:tr>
        <w:tblPrEx>
          <w:tblLayout w:type="fixed"/>
          <w:tblCellMar>
            <w:top w:w="0" w:type="dxa"/>
            <w:left w:w="108" w:type="dxa"/>
            <w:bottom w:w="0" w:type="dxa"/>
            <w:right w:w="108" w:type="dxa"/>
          </w:tblCellMar>
        </w:tblPrEx>
        <w:trPr>
          <w:gridAfter w:val="1"/>
          <w:wAfter w:w="236" w:type="dxa"/>
          <w:trHeight w:val="254" w:hRule="atLeast"/>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剑阁县财政局</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剑阁县</w:t>
            </w:r>
            <w:r>
              <w:rPr>
                <w:rFonts w:hint="eastAsia" w:ascii="宋体" w:hAnsi="宋体" w:cs="宋体"/>
                <w:sz w:val="24"/>
                <w:lang w:eastAsia="zh-CN"/>
              </w:rPr>
              <w:t>元山</w:t>
            </w:r>
            <w:r>
              <w:rPr>
                <w:rFonts w:hint="eastAsia" w:ascii="宋体" w:hAnsi="宋体" w:cs="宋体"/>
                <w:sz w:val="24"/>
              </w:rPr>
              <w:t>镇人民政府</w:t>
            </w:r>
          </w:p>
        </w:tc>
      </w:tr>
      <w:tr>
        <w:tblPrEx>
          <w:tblLayout w:type="fixed"/>
          <w:tblCellMar>
            <w:top w:w="0" w:type="dxa"/>
            <w:left w:w="108" w:type="dxa"/>
            <w:bottom w:w="0" w:type="dxa"/>
            <w:right w:w="108" w:type="dxa"/>
          </w:tblCellMar>
        </w:tblPrEx>
        <w:trPr>
          <w:gridAfter w:val="1"/>
          <w:wAfter w:w="236" w:type="dxa"/>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kern w:val="0"/>
                <w:sz w:val="24"/>
                <w:lang w:eastAsia="zh-CN"/>
              </w:rPr>
            </w:pPr>
            <w:r>
              <w:rPr>
                <w:rFonts w:hint="eastAsia" w:ascii="宋体" w:hAnsi="宋体" w:cs="宋体"/>
                <w:kern w:val="0"/>
                <w:sz w:val="24"/>
              </w:rPr>
              <w:t>项目预算</w:t>
            </w:r>
          </w:p>
          <w:p>
            <w:pPr>
              <w:widowControl/>
              <w:spacing w:line="320" w:lineRule="exact"/>
              <w:jc w:val="center"/>
              <w:textAlignment w:val="center"/>
              <w:rPr>
                <w:rFonts w:hint="eastAsia" w:ascii="宋体" w:hAnsi="宋体" w:eastAsia="宋体" w:cs="宋体"/>
                <w:kern w:val="0"/>
                <w:sz w:val="24"/>
                <w:lang w:eastAsia="zh-CN"/>
              </w:rPr>
            </w:pPr>
            <w:r>
              <w:rPr>
                <w:rFonts w:hint="eastAsia" w:ascii="宋体" w:hAnsi="宋体" w:cs="宋体"/>
                <w:kern w:val="0"/>
                <w:sz w:val="24"/>
              </w:rPr>
              <w:t>执行情况</w:t>
            </w:r>
          </w:p>
          <w:p>
            <w:pPr>
              <w:widowControl/>
              <w:spacing w:line="320" w:lineRule="exact"/>
              <w:jc w:val="center"/>
              <w:textAlignment w:val="center"/>
              <w:rPr>
                <w:rFonts w:ascii="宋体" w:hAnsi="宋体" w:cs="宋体"/>
                <w:sz w:val="24"/>
              </w:rPr>
            </w:pPr>
            <w:r>
              <w:rPr>
                <w:rFonts w:hint="eastAsia" w:ascii="宋体" w:hAnsi="宋体" w:cs="宋体"/>
                <w:kern w:val="0"/>
                <w:sz w:val="24"/>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default" w:ascii="宋体" w:hAnsi="宋体" w:eastAsia="宋体" w:cs="宋体"/>
                <w:sz w:val="24"/>
                <w:lang w:val="en-US" w:eastAsia="zh-CN"/>
              </w:rPr>
            </w:pPr>
            <w:r>
              <w:rPr>
                <w:rFonts w:hint="eastAsia" w:ascii="宋体" w:hAnsi="宋体" w:cs="宋体"/>
                <w:sz w:val="24"/>
                <w:lang w:val="en-US" w:eastAsia="zh-CN"/>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宋体" w:hAnsi="宋体" w:eastAsia="宋体" w:cs="宋体"/>
                <w:sz w:val="24"/>
                <w:lang w:val="en-US" w:eastAsia="zh-CN"/>
              </w:rPr>
            </w:pPr>
            <w:r>
              <w:rPr>
                <w:rFonts w:hint="eastAsia" w:ascii="宋体" w:hAnsi="宋体" w:cs="宋体"/>
                <w:sz w:val="24"/>
                <w:lang w:val="en-US" w:eastAsia="zh-CN"/>
              </w:rPr>
              <w:t>2</w:t>
            </w:r>
          </w:p>
        </w:tc>
      </w:tr>
      <w:tr>
        <w:tblPrEx>
          <w:tblLayout w:type="fixed"/>
          <w:tblCellMar>
            <w:top w:w="0" w:type="dxa"/>
            <w:left w:w="108" w:type="dxa"/>
            <w:bottom w:w="0" w:type="dxa"/>
            <w:right w:w="108" w:type="dxa"/>
          </w:tblCellMar>
        </w:tblPrEx>
        <w:trPr>
          <w:gridAfter w:val="1"/>
          <w:wAfter w:w="236" w:type="dxa"/>
          <w:trHeight w:val="555"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default" w:ascii="宋体" w:hAnsi="宋体" w:cs="宋体"/>
                <w:sz w:val="24"/>
                <w:lang w:val="en-US"/>
              </w:rPr>
            </w:pPr>
            <w:r>
              <w:rPr>
                <w:rFonts w:hint="eastAsia" w:ascii="宋体" w:hAnsi="宋体" w:cs="宋体"/>
                <w:sz w:val="24"/>
                <w:lang w:val="en-US" w:eastAsia="zh-CN"/>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lang w:val="en-US" w:eastAsia="zh-CN"/>
              </w:rPr>
              <w:t>2</w:t>
            </w:r>
          </w:p>
        </w:tc>
      </w:tr>
      <w:tr>
        <w:tblPrEx>
          <w:tblLayout w:type="fixed"/>
          <w:tblCellMar>
            <w:top w:w="0" w:type="dxa"/>
            <w:left w:w="108" w:type="dxa"/>
            <w:bottom w:w="0" w:type="dxa"/>
            <w:right w:w="108" w:type="dxa"/>
          </w:tblCellMar>
        </w:tblPrEx>
        <w:trPr>
          <w:gridAfter w:val="1"/>
          <w:wAfter w:w="236" w:type="dxa"/>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宋体" w:hAnsi="宋体" w:eastAsia="宋体" w:cs="宋体"/>
                <w:sz w:val="24"/>
                <w:lang w:val="en-US" w:eastAsia="zh-CN"/>
              </w:rPr>
            </w:pPr>
            <w:r>
              <w:rPr>
                <w:rFonts w:hint="eastAsia" w:ascii="宋体" w:hAnsi="宋体" w:cs="宋体"/>
                <w:sz w:val="24"/>
                <w:lang w:val="en-US" w:eastAsia="zh-CN"/>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sz w:val="24"/>
                <w:lang w:val="en-US" w:eastAsia="zh-CN"/>
              </w:rPr>
            </w:pPr>
            <w:r>
              <w:rPr>
                <w:rFonts w:hint="eastAsia" w:ascii="宋体" w:hAnsi="宋体" w:cs="宋体"/>
                <w:sz w:val="24"/>
                <w:lang w:val="en-US" w:eastAsia="zh-CN"/>
              </w:rPr>
              <w:t>0</w:t>
            </w:r>
          </w:p>
        </w:tc>
      </w:tr>
      <w:tr>
        <w:tblPrEx>
          <w:tblLayout w:type="fixed"/>
        </w:tblPrEx>
        <w:trPr>
          <w:gridAfter w:val="1"/>
          <w:wAfter w:w="236" w:type="dxa"/>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tblPrEx>
          <w:tblLayout w:type="fixed"/>
          <w:tblCellMar>
            <w:top w:w="0" w:type="dxa"/>
            <w:left w:w="108" w:type="dxa"/>
            <w:bottom w:w="0" w:type="dxa"/>
            <w:right w:w="108" w:type="dxa"/>
          </w:tblCellMar>
        </w:tblPrEx>
        <w:trPr>
          <w:gridAfter w:val="1"/>
          <w:wAfter w:w="236" w:type="dxa"/>
          <w:trHeight w:val="797"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hint="eastAsia" w:ascii="宋体" w:hAnsi="宋体" w:eastAsia="宋体" w:cs="宋体"/>
                <w:sz w:val="24"/>
                <w:lang w:eastAsia="zh-CN"/>
              </w:rPr>
            </w:pPr>
            <w:r>
              <w:rPr>
                <w:rFonts w:hint="eastAsia" w:ascii="宋体" w:hAnsi="宋体" w:cs="宋体"/>
                <w:sz w:val="24"/>
              </w:rPr>
              <w:t>切实减少辖区内火灾隐患，有效预防森林火灾</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hint="eastAsia" w:ascii="宋体" w:hAnsi="宋体" w:eastAsia="宋体" w:cs="宋体"/>
                <w:sz w:val="24"/>
                <w:lang w:eastAsia="zh-CN"/>
              </w:rPr>
            </w:pPr>
            <w:r>
              <w:rPr>
                <w:rFonts w:hint="eastAsia" w:ascii="宋体" w:hAnsi="宋体" w:cs="宋体"/>
                <w:sz w:val="24"/>
                <w:lang w:eastAsia="zh-CN"/>
              </w:rPr>
              <w:t>有效预防森林火灾，202</w:t>
            </w:r>
            <w:r>
              <w:rPr>
                <w:rFonts w:hint="eastAsia" w:ascii="宋体" w:hAnsi="宋体" w:cs="宋体"/>
                <w:sz w:val="24"/>
                <w:lang w:val="en-US" w:eastAsia="zh-CN"/>
              </w:rPr>
              <w:t>2</w:t>
            </w:r>
            <w:r>
              <w:rPr>
                <w:rFonts w:hint="eastAsia" w:ascii="宋体" w:hAnsi="宋体" w:cs="宋体"/>
                <w:sz w:val="24"/>
                <w:lang w:eastAsia="zh-CN"/>
              </w:rPr>
              <w:t>年镇内未发生火灾</w:t>
            </w:r>
          </w:p>
        </w:tc>
      </w:tr>
      <w:tr>
        <w:tblPrEx>
          <w:tblLayout w:type="fixed"/>
          <w:tblCellMar>
            <w:top w:w="0" w:type="dxa"/>
            <w:left w:w="108" w:type="dxa"/>
            <w:bottom w:w="0" w:type="dxa"/>
            <w:right w:w="108" w:type="dxa"/>
          </w:tblCellMar>
        </w:tblPrEx>
        <w:trPr>
          <w:gridAfter w:val="1"/>
          <w:wAfter w:w="236" w:type="dxa"/>
          <w:trHeight w:val="693" w:hRule="atLeast"/>
        </w:trPr>
        <w:tc>
          <w:tcPr>
            <w:tcW w:w="1976"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Layout w:type="fixed"/>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日常防火宣传及巡逻次数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≥50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≥50</w:t>
            </w:r>
          </w:p>
        </w:tc>
      </w:tr>
      <w:tr>
        <w:tblPrEx>
          <w:tblLayout w:type="fixed"/>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物质合格率(%)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r>
      <w:tr>
        <w:tblPrEx>
          <w:tblLayout w:type="fixed"/>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工作持续时间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年度内</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年度内</w:t>
            </w:r>
          </w:p>
        </w:tc>
      </w:tr>
      <w:tr>
        <w:tblPrEx>
          <w:tblLayout w:type="fixed"/>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经济成本</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≤2万元</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≤2万元</w:t>
            </w:r>
          </w:p>
        </w:tc>
      </w:tr>
      <w:tr>
        <w:tblPrEx>
          <w:tblLayout w:type="fixed"/>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效益</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Layout w:type="fixed"/>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切实减少辖区内火灾隐患</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确保国有森林资源和群众生命财产安全得到有效保障</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确保国有森林资源和群众生命财产安全得到有效保障</w:t>
            </w:r>
          </w:p>
        </w:tc>
      </w:tr>
      <w:tr>
        <w:tblPrEx>
          <w:tblLayout w:type="fixed"/>
          <w:tblCellMar>
            <w:top w:w="0" w:type="dxa"/>
            <w:left w:w="108" w:type="dxa"/>
            <w:bottom w:w="0" w:type="dxa"/>
            <w:right w:w="108" w:type="dxa"/>
          </w:tblCellMar>
        </w:tblPrEx>
        <w:trPr>
          <w:gridAfter w:val="1"/>
          <w:wAfter w:w="236" w:type="dxa"/>
          <w:trHeight w:val="55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left="463" w:leftChars="87" w:hanging="280" w:hangingChars="10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Layout w:type="fixed"/>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Layout w:type="fixed"/>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满意</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群众满意度（%）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≥95</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≥95</w:t>
            </w:r>
          </w:p>
        </w:tc>
      </w:tr>
    </w:tbl>
    <w:p>
      <w:pPr>
        <w:widowControl/>
        <w:adjustRightInd w:val="0"/>
        <w:snapToGrid w:val="0"/>
        <w:spacing w:line="580" w:lineRule="exact"/>
        <w:ind w:firstLine="640" w:firstLineChars="200"/>
        <w:contextualSpacing/>
        <w:jc w:val="left"/>
        <w:rPr>
          <w:rFonts w:hint="eastAsia" w:ascii="仿宋" w:hAnsi="仿宋" w:eastAsia="仿宋" w:cs="仿宋_GB2312"/>
          <w:kern w:val="2"/>
          <w:sz w:val="32"/>
          <w:szCs w:val="32"/>
          <w:lang w:val="en-US" w:eastAsia="zh-CN" w:bidi="ar-SA"/>
        </w:rPr>
      </w:pPr>
      <w:r>
        <w:rPr>
          <w:rFonts w:hint="eastAsia" w:ascii="仿宋_GB2312" w:hAnsi="宋体" w:eastAsia="仿宋_GB2312" w:cs="宋体"/>
          <w:kern w:val="0"/>
          <w:sz w:val="32"/>
          <w:szCs w:val="32"/>
          <w:shd w:val="clear" w:color="auto" w:fill="FFFFFF"/>
          <w:lang w:val="zh-CN"/>
        </w:rPr>
        <w:t>附表：</w:t>
      </w:r>
    </w:p>
    <w:p>
      <w:pPr>
        <w:widowControl/>
        <w:jc w:val="left"/>
        <w:rPr>
          <w:rFonts w:hint="eastAsia" w:ascii="黑体" w:hAnsi="黑体" w:eastAsia="黑体"/>
          <w:sz w:val="44"/>
          <w:szCs w:val="44"/>
        </w:rPr>
      </w:pPr>
      <w:r>
        <w:rPr>
          <w:rStyle w:val="31"/>
          <w:rFonts w:ascii="黑体" w:hAnsi="黑体" w:eastAsia="黑体"/>
          <w:b w:val="0"/>
        </w:rPr>
        <w:br w:type="page"/>
      </w:r>
    </w:p>
    <w:p>
      <w:pPr>
        <w:spacing w:line="600" w:lineRule="exact"/>
        <w:jc w:val="center"/>
        <w:outlineLvl w:val="0"/>
        <w:rPr>
          <w:rFonts w:ascii="仿宋" w:hAnsi="仿宋" w:eastAsia="仿宋"/>
        </w:rPr>
      </w:pPr>
      <w:r>
        <w:rPr>
          <w:rFonts w:hint="eastAsia" w:ascii="黑体" w:hAnsi="黑体" w:eastAsia="黑体"/>
          <w:sz w:val="44"/>
          <w:szCs w:val="44"/>
        </w:rPr>
        <w:t>第</w:t>
      </w:r>
      <w:r>
        <w:rPr>
          <w:rStyle w:val="31"/>
          <w:rFonts w:hint="eastAsia" w:ascii="黑体" w:hAnsi="黑体" w:eastAsia="黑体"/>
          <w:b w:val="0"/>
        </w:rPr>
        <w:t>五部分 附表</w:t>
      </w:r>
      <w:bookmarkEnd w:id="57"/>
      <w:bookmarkEnd w:id="59"/>
      <w:bookmarkStart w:id="60" w:name="_Toc15396619"/>
    </w:p>
    <w:p>
      <w:pPr>
        <w:pStyle w:val="4"/>
        <w:rPr>
          <w:rFonts w:ascii="仿宋" w:hAnsi="仿宋" w:eastAsia="仿宋"/>
        </w:rPr>
      </w:pPr>
      <w:r>
        <w:rPr>
          <w:rFonts w:hint="eastAsia" w:ascii="仿宋" w:hAnsi="仿宋" w:eastAsia="仿宋"/>
          <w:b w:val="0"/>
        </w:rPr>
        <w:t>一、收</w:t>
      </w:r>
      <w:r>
        <w:rPr>
          <w:rStyle w:val="32"/>
          <w:rFonts w:hint="eastAsia" w:ascii="仿宋" w:hAnsi="仿宋" w:eastAsia="仿宋"/>
          <w:b w:val="0"/>
          <w:bCs w:val="0"/>
        </w:rPr>
        <w:t>入支出决算总表</w:t>
      </w:r>
      <w:bookmarkEnd w:id="60"/>
    </w:p>
    <w:p>
      <w:pPr>
        <w:pStyle w:val="4"/>
        <w:rPr>
          <w:rFonts w:ascii="仿宋" w:hAnsi="仿宋" w:eastAsia="仿宋"/>
        </w:rPr>
      </w:pPr>
      <w:bookmarkStart w:id="61" w:name="_Toc15396620"/>
      <w:r>
        <w:rPr>
          <w:rFonts w:hint="eastAsia" w:ascii="仿宋" w:hAnsi="仿宋" w:eastAsia="仿宋"/>
          <w:b w:val="0"/>
        </w:rPr>
        <w:t>二、收</w:t>
      </w:r>
      <w:r>
        <w:rPr>
          <w:rStyle w:val="32"/>
          <w:rFonts w:hint="eastAsia" w:ascii="仿宋" w:hAnsi="仿宋" w:eastAsia="仿宋"/>
          <w:b w:val="0"/>
          <w:bCs w:val="0"/>
        </w:rPr>
        <w:t>入决算表</w:t>
      </w:r>
      <w:bookmarkEnd w:id="61"/>
    </w:p>
    <w:p>
      <w:pPr>
        <w:pStyle w:val="4"/>
        <w:rPr>
          <w:rFonts w:ascii="仿宋" w:hAnsi="仿宋" w:eastAsia="仿宋"/>
        </w:rPr>
      </w:pPr>
      <w:bookmarkStart w:id="62" w:name="_Toc15396621"/>
      <w:r>
        <w:rPr>
          <w:rStyle w:val="32"/>
          <w:rFonts w:hint="eastAsia" w:ascii="仿宋" w:hAnsi="仿宋" w:eastAsia="仿宋"/>
          <w:b w:val="0"/>
          <w:bCs w:val="0"/>
        </w:rPr>
        <w:t>三、</w:t>
      </w:r>
      <w:r>
        <w:rPr>
          <w:rFonts w:hint="eastAsia" w:ascii="仿宋" w:hAnsi="仿宋" w:eastAsia="仿宋"/>
          <w:b w:val="0"/>
        </w:rPr>
        <w:t>支</w:t>
      </w:r>
      <w:r>
        <w:rPr>
          <w:rStyle w:val="32"/>
          <w:rFonts w:hint="eastAsia" w:ascii="仿宋" w:hAnsi="仿宋" w:eastAsia="仿宋"/>
          <w:b w:val="0"/>
          <w:bCs w:val="0"/>
        </w:rPr>
        <w:t>出决算表</w:t>
      </w:r>
      <w:bookmarkEnd w:id="62"/>
    </w:p>
    <w:p>
      <w:pPr>
        <w:pStyle w:val="4"/>
        <w:rPr>
          <w:rFonts w:ascii="仿宋" w:hAnsi="仿宋" w:eastAsia="仿宋"/>
          <w:b w:val="0"/>
        </w:rPr>
      </w:pPr>
      <w:bookmarkStart w:id="63" w:name="_Toc15396622"/>
      <w:r>
        <w:rPr>
          <w:rStyle w:val="32"/>
          <w:rFonts w:hint="eastAsia" w:ascii="仿宋" w:hAnsi="仿宋" w:eastAsia="仿宋"/>
          <w:b w:val="0"/>
          <w:bCs w:val="0"/>
        </w:rPr>
        <w:t>四、</w:t>
      </w:r>
      <w:r>
        <w:rPr>
          <w:rFonts w:hint="eastAsia" w:ascii="仿宋" w:hAnsi="仿宋" w:eastAsia="仿宋"/>
          <w:b w:val="0"/>
        </w:rPr>
        <w:t>财</w:t>
      </w:r>
      <w:r>
        <w:rPr>
          <w:rStyle w:val="32"/>
          <w:rFonts w:hint="eastAsia" w:ascii="仿宋" w:hAnsi="仿宋" w:eastAsia="仿宋"/>
          <w:b w:val="0"/>
          <w:bCs w:val="0"/>
        </w:rPr>
        <w:t>政拨款收入支出决算总表</w:t>
      </w:r>
      <w:bookmarkEnd w:id="63"/>
    </w:p>
    <w:p>
      <w:pPr>
        <w:pStyle w:val="4"/>
        <w:rPr>
          <w:rStyle w:val="32"/>
          <w:rFonts w:ascii="仿宋" w:hAnsi="仿宋" w:eastAsia="仿宋"/>
          <w:b w:val="0"/>
          <w:bCs w:val="0"/>
        </w:rPr>
      </w:pPr>
      <w:bookmarkStart w:id="64" w:name="_Toc15396623"/>
      <w:r>
        <w:rPr>
          <w:rStyle w:val="32"/>
          <w:rFonts w:hint="eastAsia" w:ascii="仿宋" w:hAnsi="仿宋" w:eastAsia="仿宋"/>
          <w:b w:val="0"/>
          <w:bCs w:val="0"/>
        </w:rPr>
        <w:t>五、</w:t>
      </w:r>
      <w:r>
        <w:rPr>
          <w:rFonts w:hint="eastAsia" w:ascii="仿宋" w:hAnsi="仿宋" w:eastAsia="仿宋"/>
          <w:b w:val="0"/>
        </w:rPr>
        <w:t>财</w:t>
      </w:r>
      <w:r>
        <w:rPr>
          <w:rStyle w:val="32"/>
          <w:rFonts w:hint="eastAsia" w:ascii="仿宋" w:hAnsi="仿宋" w:eastAsia="仿宋"/>
          <w:b w:val="0"/>
          <w:bCs w:val="0"/>
        </w:rPr>
        <w:t>政拨款支出决算明细表</w:t>
      </w:r>
      <w:bookmarkEnd w:id="64"/>
      <w:bookmarkStart w:id="65" w:name="_Toc15396624"/>
    </w:p>
    <w:p>
      <w:pPr>
        <w:pStyle w:val="4"/>
        <w:rPr>
          <w:rFonts w:ascii="仿宋" w:hAnsi="仿宋" w:eastAsia="仿宋"/>
        </w:rPr>
      </w:pPr>
      <w:r>
        <w:rPr>
          <w:rStyle w:val="32"/>
          <w:rFonts w:hint="eastAsia" w:ascii="仿宋" w:hAnsi="仿宋" w:eastAsia="仿宋"/>
          <w:b w:val="0"/>
          <w:bCs w:val="0"/>
        </w:rPr>
        <w:t>六、</w:t>
      </w:r>
      <w:r>
        <w:rPr>
          <w:rFonts w:hint="eastAsia" w:ascii="仿宋" w:hAnsi="仿宋" w:eastAsia="仿宋"/>
          <w:b w:val="0"/>
        </w:rPr>
        <w:t>一</w:t>
      </w:r>
      <w:r>
        <w:rPr>
          <w:rStyle w:val="32"/>
          <w:rFonts w:hint="eastAsia" w:ascii="仿宋" w:hAnsi="仿宋" w:eastAsia="仿宋"/>
          <w:b w:val="0"/>
          <w:bCs w:val="0"/>
        </w:rPr>
        <w:t>般公共预算财政拨款支出决算表</w:t>
      </w:r>
      <w:bookmarkEnd w:id="65"/>
    </w:p>
    <w:p>
      <w:pPr>
        <w:pStyle w:val="4"/>
        <w:rPr>
          <w:rFonts w:ascii="仿宋" w:hAnsi="仿宋" w:eastAsia="仿宋"/>
        </w:rPr>
      </w:pPr>
      <w:bookmarkStart w:id="66" w:name="_Toc15396625"/>
      <w:r>
        <w:rPr>
          <w:rStyle w:val="32"/>
          <w:rFonts w:hint="eastAsia" w:ascii="仿宋" w:hAnsi="仿宋" w:eastAsia="仿宋"/>
          <w:b w:val="0"/>
          <w:bCs w:val="0"/>
        </w:rPr>
        <w:t>七、</w:t>
      </w:r>
      <w:r>
        <w:rPr>
          <w:rFonts w:hint="eastAsia" w:ascii="仿宋" w:hAnsi="仿宋" w:eastAsia="仿宋"/>
          <w:b w:val="0"/>
        </w:rPr>
        <w:t>一</w:t>
      </w:r>
      <w:r>
        <w:rPr>
          <w:rStyle w:val="32"/>
          <w:rFonts w:hint="eastAsia" w:ascii="仿宋" w:hAnsi="仿宋" w:eastAsia="仿宋"/>
          <w:b w:val="0"/>
          <w:bCs w:val="0"/>
        </w:rPr>
        <w:t>般公共预算财政拨款支出决算明细表</w:t>
      </w:r>
      <w:bookmarkEnd w:id="66"/>
    </w:p>
    <w:p>
      <w:pPr>
        <w:pStyle w:val="4"/>
        <w:rPr>
          <w:rFonts w:ascii="仿宋" w:hAnsi="仿宋" w:eastAsia="仿宋"/>
        </w:rPr>
      </w:pPr>
      <w:bookmarkStart w:id="67" w:name="_Toc15396626"/>
      <w:r>
        <w:rPr>
          <w:rStyle w:val="32"/>
          <w:rFonts w:hint="eastAsia" w:ascii="仿宋" w:hAnsi="仿宋" w:eastAsia="仿宋"/>
          <w:b w:val="0"/>
          <w:bCs w:val="0"/>
        </w:rPr>
        <w:t>八、</w:t>
      </w:r>
      <w:r>
        <w:rPr>
          <w:rFonts w:hint="eastAsia" w:ascii="仿宋" w:hAnsi="仿宋" w:eastAsia="仿宋"/>
          <w:b w:val="0"/>
        </w:rPr>
        <w:t>一</w:t>
      </w:r>
      <w:r>
        <w:rPr>
          <w:rStyle w:val="32"/>
          <w:rFonts w:hint="eastAsia" w:ascii="仿宋" w:hAnsi="仿宋" w:eastAsia="仿宋"/>
          <w:b w:val="0"/>
          <w:bCs w:val="0"/>
        </w:rPr>
        <w:t>般公共预算财政拨款基本支出决算表</w:t>
      </w:r>
      <w:bookmarkEnd w:id="67"/>
    </w:p>
    <w:p>
      <w:pPr>
        <w:pStyle w:val="4"/>
        <w:rPr>
          <w:rFonts w:ascii="仿宋" w:hAnsi="仿宋" w:eastAsia="仿宋"/>
        </w:rPr>
      </w:pPr>
      <w:bookmarkStart w:id="68" w:name="_Toc15396627"/>
      <w:r>
        <w:rPr>
          <w:rStyle w:val="32"/>
          <w:rFonts w:hint="eastAsia" w:ascii="仿宋" w:hAnsi="仿宋" w:eastAsia="仿宋"/>
          <w:b w:val="0"/>
          <w:bCs w:val="0"/>
        </w:rPr>
        <w:t>九、</w:t>
      </w:r>
      <w:r>
        <w:rPr>
          <w:rFonts w:hint="eastAsia" w:ascii="仿宋" w:hAnsi="仿宋" w:eastAsia="仿宋"/>
          <w:b w:val="0"/>
        </w:rPr>
        <w:t>一</w:t>
      </w:r>
      <w:r>
        <w:rPr>
          <w:rStyle w:val="32"/>
          <w:rFonts w:hint="eastAsia" w:ascii="仿宋" w:hAnsi="仿宋" w:eastAsia="仿宋"/>
          <w:b w:val="0"/>
          <w:bCs w:val="0"/>
        </w:rPr>
        <w:t>般公共预算财政拨款项目支出决算表</w:t>
      </w:r>
      <w:bookmarkEnd w:id="68"/>
    </w:p>
    <w:p>
      <w:pPr>
        <w:pStyle w:val="4"/>
        <w:rPr>
          <w:rFonts w:ascii="仿宋" w:hAnsi="仿宋" w:eastAsia="仿宋"/>
        </w:rPr>
      </w:pPr>
      <w:bookmarkStart w:id="69" w:name="_Toc15396628"/>
      <w:r>
        <w:rPr>
          <w:rStyle w:val="41"/>
          <w:rFonts w:hint="eastAsia" w:ascii="仿宋" w:hAnsi="仿宋" w:eastAsia="仿宋"/>
          <w:b w:val="0"/>
          <w:bCs w:val="0"/>
        </w:rPr>
        <w:t>十、</w:t>
      </w:r>
      <w:bookmarkEnd w:id="69"/>
      <w:r>
        <w:rPr>
          <w:rFonts w:hint="eastAsia" w:ascii="仿宋" w:hAnsi="仿宋" w:eastAsia="仿宋"/>
          <w:b w:val="0"/>
        </w:rPr>
        <w:t>政</w:t>
      </w:r>
      <w:r>
        <w:rPr>
          <w:rStyle w:val="41"/>
          <w:rFonts w:hint="eastAsia" w:ascii="仿宋" w:hAnsi="仿宋" w:eastAsia="仿宋"/>
          <w:b w:val="0"/>
          <w:bCs w:val="0"/>
        </w:rPr>
        <w:t>府性基金预算财政拨款收入支出决算表</w:t>
      </w:r>
    </w:p>
    <w:p>
      <w:pPr>
        <w:pStyle w:val="4"/>
        <w:rPr>
          <w:rFonts w:ascii="仿宋" w:hAnsi="仿宋" w:eastAsia="仿宋"/>
        </w:rPr>
      </w:pPr>
      <w:bookmarkStart w:id="70" w:name="_Toc15396629"/>
      <w:r>
        <w:rPr>
          <w:rStyle w:val="41"/>
          <w:rFonts w:hint="eastAsia" w:ascii="仿宋" w:hAnsi="仿宋" w:eastAsia="仿宋"/>
          <w:b w:val="0"/>
          <w:bCs w:val="0"/>
        </w:rPr>
        <w:t>十一、</w:t>
      </w:r>
      <w:bookmarkEnd w:id="70"/>
      <w:r>
        <w:rPr>
          <w:rFonts w:hint="eastAsia" w:ascii="仿宋" w:hAnsi="仿宋" w:eastAsia="仿宋"/>
          <w:b w:val="0"/>
        </w:rPr>
        <w:t>国</w:t>
      </w:r>
      <w:r>
        <w:rPr>
          <w:rStyle w:val="41"/>
          <w:rFonts w:hint="eastAsia" w:ascii="仿宋" w:hAnsi="仿宋" w:eastAsia="仿宋"/>
          <w:b w:val="0"/>
          <w:bCs w:val="0"/>
        </w:rPr>
        <w:t>有资本经营预算财政拨款收入支出决算表</w:t>
      </w:r>
    </w:p>
    <w:p>
      <w:pPr>
        <w:pStyle w:val="4"/>
        <w:rPr>
          <w:rFonts w:ascii="仿宋" w:hAnsi="仿宋" w:eastAsia="仿宋"/>
        </w:rPr>
      </w:pPr>
      <w:bookmarkStart w:id="71" w:name="_Toc15396630"/>
      <w:r>
        <w:rPr>
          <w:rStyle w:val="41"/>
          <w:rFonts w:hint="eastAsia" w:ascii="仿宋" w:hAnsi="仿宋" w:eastAsia="仿宋"/>
          <w:b w:val="0"/>
          <w:bCs w:val="0"/>
        </w:rPr>
        <w:t>十二、</w:t>
      </w:r>
      <w:bookmarkEnd w:id="71"/>
      <w:r>
        <w:rPr>
          <w:rStyle w:val="41"/>
          <w:rFonts w:hint="eastAsia" w:ascii="仿宋" w:hAnsi="仿宋" w:eastAsia="仿宋"/>
          <w:b w:val="0"/>
          <w:bCs w:val="0"/>
        </w:rPr>
        <w:t>国有资本经营预算财政拨款支出决算表</w:t>
      </w:r>
    </w:p>
    <w:p>
      <w:pPr>
        <w:pStyle w:val="4"/>
        <w:rPr>
          <w:rFonts w:eastAsia="仿宋"/>
        </w:rPr>
      </w:pPr>
      <w:bookmarkStart w:id="72" w:name="_Toc15396631"/>
      <w:r>
        <w:rPr>
          <w:rStyle w:val="41"/>
          <w:rFonts w:hint="eastAsia" w:ascii="仿宋" w:hAnsi="仿宋" w:eastAsia="仿宋"/>
          <w:b w:val="0"/>
          <w:bCs w:val="0"/>
        </w:rPr>
        <w:t>十三、</w:t>
      </w:r>
      <w:bookmarkEnd w:id="72"/>
      <w:r>
        <w:rPr>
          <w:rStyle w:val="41"/>
          <w:rFonts w:hint="eastAsia" w:ascii="仿宋" w:hAnsi="仿宋" w:eastAsia="仿宋"/>
          <w:b w:val="0"/>
          <w:bCs w:val="0"/>
        </w:rPr>
        <w:t>财政拨款“三公”经费支出决算表</w:t>
      </w:r>
    </w:p>
    <w:p>
      <w:pPr>
        <w:rPr>
          <w:rFonts w:eastAsia="仿宋"/>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auto"/>
    <w:pitch w:val="default"/>
    <w:sig w:usb0="00000000" w:usb1="00000000" w:usb2="00000016" w:usb3="00000000" w:csb0="00040001" w:csb1="00000000"/>
  </w:font>
  <w:font w:name="方正小标宋简体">
    <w:altName w:val="黑体"/>
    <w:panose1 w:val="02000000000000000000"/>
    <w:charset w:val="86"/>
    <w:family w:val="script"/>
    <w:pitch w:val="default"/>
    <w:sig w:usb0="00000000" w:usb1="0000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方正粗宋简体">
    <w:altName w:val="宋体"/>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2"/>
          <w:jc w:val="center"/>
        </w:pPr>
        <w:r>
          <w:fldChar w:fldCharType="begin"/>
        </w:r>
        <w:r>
          <w:instrText xml:space="preserve">PAGE   \* MERGEFORMAT</w:instrText>
        </w:r>
        <w:r>
          <w:fldChar w:fldCharType="separate"/>
        </w:r>
        <w:r>
          <w:rPr>
            <w:lang w:val="zh-CN"/>
          </w:rPr>
          <w:t>2</w:t>
        </w:r>
        <w: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97AEA7"/>
    <w:multiLevelType w:val="singleLevel"/>
    <w:tmpl w:val="9697AEA7"/>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52576512"/>
    <w:multiLevelType w:val="singleLevel"/>
    <w:tmpl w:val="52576512"/>
    <w:lvl w:ilvl="0" w:tentative="0">
      <w:start w:val="2"/>
      <w:numFmt w:val="chineseCounting"/>
      <w:suff w:val="nothing"/>
      <w:lvlText w:val="（%1）"/>
      <w:lvlJc w:val="left"/>
      <w:rPr>
        <w:rFonts w:hint="eastAsia"/>
      </w:rPr>
    </w:lvl>
  </w:abstractNum>
  <w:abstractNum w:abstractNumId="5">
    <w:nsid w:val="6A576B2E"/>
    <w:multiLevelType w:val="singleLevel"/>
    <w:tmpl w:val="6A576B2E"/>
    <w:lvl w:ilvl="0" w:tentative="0">
      <w:start w:val="3"/>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0NTY2MDcyODQ2N2FkODM5ZTkwNDc3NmI1NDljNj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46569"/>
    <w:rsid w:val="00260C38"/>
    <w:rsid w:val="002616C0"/>
    <w:rsid w:val="00265372"/>
    <w:rsid w:val="002662AA"/>
    <w:rsid w:val="00280496"/>
    <w:rsid w:val="00294DC9"/>
    <w:rsid w:val="00295495"/>
    <w:rsid w:val="002A31DE"/>
    <w:rsid w:val="002B2613"/>
    <w:rsid w:val="002D6D05"/>
    <w:rsid w:val="002E6D3D"/>
    <w:rsid w:val="002F1818"/>
    <w:rsid w:val="002F567B"/>
    <w:rsid w:val="003216A9"/>
    <w:rsid w:val="00335A74"/>
    <w:rsid w:val="00354363"/>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D5E9E"/>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5964"/>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E6BE2"/>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244C"/>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76EA7"/>
    <w:rsid w:val="01E034B1"/>
    <w:rsid w:val="02DC5CB3"/>
    <w:rsid w:val="066E0107"/>
    <w:rsid w:val="06A74829"/>
    <w:rsid w:val="07996F6E"/>
    <w:rsid w:val="098F0954"/>
    <w:rsid w:val="09DA7B09"/>
    <w:rsid w:val="0A2032A3"/>
    <w:rsid w:val="0A2151E9"/>
    <w:rsid w:val="0A732EF3"/>
    <w:rsid w:val="101860EC"/>
    <w:rsid w:val="10C055FF"/>
    <w:rsid w:val="118107EC"/>
    <w:rsid w:val="12D40754"/>
    <w:rsid w:val="13885857"/>
    <w:rsid w:val="13D50BC4"/>
    <w:rsid w:val="16B20DAC"/>
    <w:rsid w:val="16BB723D"/>
    <w:rsid w:val="1B157B5C"/>
    <w:rsid w:val="1BE8440E"/>
    <w:rsid w:val="1C876837"/>
    <w:rsid w:val="1D155CEE"/>
    <w:rsid w:val="205B4263"/>
    <w:rsid w:val="21C06CF1"/>
    <w:rsid w:val="22FF7A6F"/>
    <w:rsid w:val="23860B96"/>
    <w:rsid w:val="23BC326A"/>
    <w:rsid w:val="240371BF"/>
    <w:rsid w:val="245E07C6"/>
    <w:rsid w:val="24B623B0"/>
    <w:rsid w:val="253E5A50"/>
    <w:rsid w:val="25F5515A"/>
    <w:rsid w:val="29FD04D3"/>
    <w:rsid w:val="2C8A61B5"/>
    <w:rsid w:val="2DF04E50"/>
    <w:rsid w:val="31633E71"/>
    <w:rsid w:val="319F7F4E"/>
    <w:rsid w:val="32877139"/>
    <w:rsid w:val="330B1B18"/>
    <w:rsid w:val="35337105"/>
    <w:rsid w:val="360664DE"/>
    <w:rsid w:val="36AA5135"/>
    <w:rsid w:val="37AF116A"/>
    <w:rsid w:val="37E16F03"/>
    <w:rsid w:val="399B34CA"/>
    <w:rsid w:val="3D7C1188"/>
    <w:rsid w:val="3D98207C"/>
    <w:rsid w:val="3EB40962"/>
    <w:rsid w:val="431C1B20"/>
    <w:rsid w:val="439416B6"/>
    <w:rsid w:val="43F07650"/>
    <w:rsid w:val="445F0292"/>
    <w:rsid w:val="44A067ED"/>
    <w:rsid w:val="44E268DA"/>
    <w:rsid w:val="488B1A86"/>
    <w:rsid w:val="4A627F82"/>
    <w:rsid w:val="4B052189"/>
    <w:rsid w:val="4B4F25DA"/>
    <w:rsid w:val="4BE068DB"/>
    <w:rsid w:val="4D577224"/>
    <w:rsid w:val="4EAB630A"/>
    <w:rsid w:val="4ECE2238"/>
    <w:rsid w:val="501871CB"/>
    <w:rsid w:val="5276527F"/>
    <w:rsid w:val="54DD3464"/>
    <w:rsid w:val="55256612"/>
    <w:rsid w:val="5AF92295"/>
    <w:rsid w:val="5C207B33"/>
    <w:rsid w:val="5CD71FC4"/>
    <w:rsid w:val="5FEB5757"/>
    <w:rsid w:val="63D77671"/>
    <w:rsid w:val="657607C4"/>
    <w:rsid w:val="66074C1E"/>
    <w:rsid w:val="67A96F26"/>
    <w:rsid w:val="67E22141"/>
    <w:rsid w:val="6A28031F"/>
    <w:rsid w:val="6BA37E39"/>
    <w:rsid w:val="6C4A05C8"/>
    <w:rsid w:val="6CDA788A"/>
    <w:rsid w:val="6E7E3605"/>
    <w:rsid w:val="6FF5CC65"/>
    <w:rsid w:val="715C0E4B"/>
    <w:rsid w:val="72734D90"/>
    <w:rsid w:val="73AD73D5"/>
    <w:rsid w:val="73B6EB34"/>
    <w:rsid w:val="74F7707F"/>
    <w:rsid w:val="76D4359C"/>
    <w:rsid w:val="78462278"/>
    <w:rsid w:val="78B13B95"/>
    <w:rsid w:val="78FB5B20"/>
    <w:rsid w:val="79C63670"/>
    <w:rsid w:val="79EE5BA4"/>
    <w:rsid w:val="7A894339"/>
    <w:rsid w:val="7C4B60AF"/>
    <w:rsid w:val="7EEF11D3"/>
    <w:rsid w:val="7FA30C79"/>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9"/>
    <w:qFormat/>
    <w:uiPriority w:val="99"/>
    <w:pPr>
      <w:spacing w:beforeLines="30"/>
    </w:pPr>
    <w:rPr>
      <w:rFonts w:ascii="仿宋_GB2312" w:eastAsia="仿宋_GB2312"/>
      <w:kern w:val="0"/>
      <w:sz w:val="30"/>
    </w:rPr>
  </w:style>
  <w:style w:type="paragraph" w:styleId="6">
    <w:name w:val="Body Text First Indent"/>
    <w:basedOn w:val="2"/>
    <w:qFormat/>
    <w:uiPriority w:val="0"/>
    <w:pPr>
      <w:ind w:firstLine="420" w:firstLineChars="100"/>
    </w:pPr>
  </w:style>
  <w:style w:type="paragraph" w:styleId="7">
    <w:name w:val="Normal Indent"/>
    <w:basedOn w:val="1"/>
    <w:qFormat/>
    <w:uiPriority w:val="0"/>
    <w:pPr>
      <w:spacing w:line="560" w:lineRule="exact"/>
      <w:ind w:firstLine="420" w:firstLineChars="200"/>
    </w:pPr>
    <w:rPr>
      <w:rFonts w:ascii="Times New Roman" w:hAnsi="Times New Roman" w:eastAsia="仿宋" w:cs="Times New Roman"/>
      <w:sz w:val="32"/>
      <w:szCs w:val="24"/>
    </w:rPr>
  </w:style>
  <w:style w:type="paragraph" w:styleId="8">
    <w:name w:val="Body Text Indent"/>
    <w:basedOn w:val="1"/>
    <w:qFormat/>
    <w:uiPriority w:val="0"/>
    <w:pPr>
      <w:spacing w:afterLines="0" w:afterAutospacing="0"/>
      <w:ind w:left="420" w:leftChars="200"/>
    </w:p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qFormat/>
    <w:uiPriority w:val="0"/>
    <w:rPr>
      <w:rFonts w:ascii="宋体" w:hAnsi="Courier New" w:eastAsia="仿宋_GB2312" w:cs="Courier New"/>
      <w:b/>
      <w:sz w:val="32"/>
      <w:szCs w:val="21"/>
    </w:rPr>
  </w:style>
  <w:style w:type="paragraph" w:styleId="11">
    <w:name w:val="Balloon Text"/>
    <w:basedOn w:val="1"/>
    <w:link w:val="34"/>
    <w:semiHidden/>
    <w:unhideWhenUsed/>
    <w:qFormat/>
    <w:uiPriority w:val="99"/>
    <w:rPr>
      <w:sz w:val="18"/>
      <w:szCs w:val="18"/>
    </w:rPr>
  </w:style>
  <w:style w:type="paragraph" w:styleId="12">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3">
    <w:name w:val="Body Text First Indent 2"/>
    <w:basedOn w:val="8"/>
    <w:next w:val="6"/>
    <w:qFormat/>
    <w:uiPriority w:val="0"/>
    <w:pPr>
      <w:ind w:firstLine="420" w:firstLineChars="200"/>
    </w:pPr>
  </w:style>
  <w:style w:type="paragraph" w:styleId="14">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able of figures"/>
    <w:basedOn w:val="1"/>
    <w:next w:val="1"/>
    <w:qFormat/>
    <w:uiPriority w:val="99"/>
    <w:pPr>
      <w:ind w:left="200" w:leftChars="200" w:hanging="200" w:hangingChars="200"/>
    </w:pPr>
  </w:style>
  <w:style w:type="paragraph" w:styleId="17">
    <w:name w:val="toc 2"/>
    <w:basedOn w:val="1"/>
    <w:next w:val="1"/>
    <w:unhideWhenUsed/>
    <w:qFormat/>
    <w:uiPriority w:val="39"/>
    <w:pPr>
      <w:tabs>
        <w:tab w:val="right" w:leader="dot" w:pos="8296"/>
      </w:tabs>
      <w:ind w:left="420" w:leftChars="200"/>
    </w:pPr>
  </w:style>
  <w:style w:type="paragraph" w:styleId="18">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4">
    <w:name w:val="Header Char"/>
    <w:basedOn w:val="19"/>
    <w:semiHidden/>
    <w:qFormat/>
    <w:uiPriority w:val="99"/>
    <w:rPr>
      <w:rFonts w:ascii="Times New Roman" w:hAnsi="Times New Roman"/>
      <w:sz w:val="18"/>
      <w:szCs w:val="18"/>
    </w:rPr>
  </w:style>
  <w:style w:type="character" w:customStyle="1" w:styleId="25">
    <w:name w:val="页眉 Char"/>
    <w:link w:val="14"/>
    <w:semiHidden/>
    <w:qFormat/>
    <w:locked/>
    <w:uiPriority w:val="99"/>
    <w:rPr>
      <w:sz w:val="18"/>
    </w:rPr>
  </w:style>
  <w:style w:type="character" w:customStyle="1" w:styleId="26">
    <w:name w:val="Footer Char"/>
    <w:basedOn w:val="19"/>
    <w:semiHidden/>
    <w:qFormat/>
    <w:uiPriority w:val="99"/>
    <w:rPr>
      <w:rFonts w:ascii="Times New Roman" w:hAnsi="Times New Roman"/>
      <w:sz w:val="18"/>
      <w:szCs w:val="18"/>
    </w:rPr>
  </w:style>
  <w:style w:type="character" w:customStyle="1" w:styleId="27">
    <w:name w:val="页脚 Char"/>
    <w:link w:val="12"/>
    <w:qFormat/>
    <w:locked/>
    <w:uiPriority w:val="99"/>
    <w:rPr>
      <w:sz w:val="18"/>
    </w:rPr>
  </w:style>
  <w:style w:type="character" w:customStyle="1" w:styleId="28">
    <w:name w:val="Body Text Char"/>
    <w:basedOn w:val="19"/>
    <w:semiHidden/>
    <w:qFormat/>
    <w:uiPriority w:val="99"/>
    <w:rPr>
      <w:rFonts w:ascii="Times New Roman" w:hAnsi="Times New Roman"/>
      <w:szCs w:val="24"/>
    </w:rPr>
  </w:style>
  <w:style w:type="character" w:customStyle="1" w:styleId="29">
    <w:name w:val="正文文本 Char"/>
    <w:link w:val="2"/>
    <w:qFormat/>
    <w:locked/>
    <w:uiPriority w:val="99"/>
    <w:rPr>
      <w:rFonts w:ascii="仿宋_GB2312" w:hAnsi="Times New Roman" w:eastAsia="仿宋_GB2312"/>
      <w:sz w:val="24"/>
    </w:rPr>
  </w:style>
  <w:style w:type="paragraph" w:styleId="30">
    <w:name w:val="List Paragraph"/>
    <w:basedOn w:val="1"/>
    <w:qFormat/>
    <w:uiPriority w:val="34"/>
    <w:pPr>
      <w:ind w:firstLine="420" w:firstLineChars="200"/>
    </w:pPr>
  </w:style>
  <w:style w:type="character" w:customStyle="1" w:styleId="31">
    <w:name w:val="标题 1 Char"/>
    <w:basedOn w:val="19"/>
    <w:link w:val="3"/>
    <w:qFormat/>
    <w:uiPriority w:val="9"/>
    <w:rPr>
      <w:rFonts w:ascii="Times New Roman" w:hAnsi="Times New Roman"/>
      <w:b/>
      <w:bCs/>
      <w:kern w:val="44"/>
      <w:sz w:val="44"/>
      <w:szCs w:val="44"/>
    </w:rPr>
  </w:style>
  <w:style w:type="character" w:customStyle="1" w:styleId="32">
    <w:name w:val="标题 2 Char"/>
    <w:basedOn w:val="19"/>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1"/>
    <w:semiHidden/>
    <w:qFormat/>
    <w:uiPriority w:val="99"/>
    <w:rPr>
      <w:rFonts w:ascii="Times New Roman" w:hAnsi="Times New Roman"/>
      <w:kern w:val="2"/>
      <w:sz w:val="18"/>
      <w:szCs w:val="18"/>
    </w:rPr>
  </w:style>
  <w:style w:type="character" w:customStyle="1" w:styleId="35">
    <w:name w:val="标题 3 Char"/>
    <w:basedOn w:val="19"/>
    <w:link w:val="5"/>
    <w:qFormat/>
    <w:uiPriority w:val="9"/>
    <w:rPr>
      <w:rFonts w:ascii="Times New Roman" w:hAnsi="Times New Roman"/>
      <w:b/>
      <w:bCs/>
      <w:kern w:val="2"/>
      <w:sz w:val="32"/>
      <w:szCs w:val="32"/>
    </w:rPr>
  </w:style>
  <w:style w:type="paragraph" w:customStyle="1" w:styleId="36">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font11"/>
    <w:basedOn w:val="19"/>
    <w:qFormat/>
    <w:uiPriority w:val="0"/>
    <w:rPr>
      <w:rFonts w:hint="eastAsia" w:ascii="宋体" w:hAnsi="宋体" w:eastAsia="宋体" w:cs="宋体"/>
      <w:color w:val="000000"/>
      <w:sz w:val="20"/>
      <w:szCs w:val="20"/>
      <w:u w:val="none"/>
    </w:rPr>
  </w:style>
  <w:style w:type="paragraph" w:customStyle="1" w:styleId="38">
    <w:name w:val="WPSOffice手动目录 1"/>
    <w:qFormat/>
    <w:uiPriority w:val="0"/>
    <w:pPr>
      <w:ind w:leftChars="0"/>
    </w:pPr>
    <w:rPr>
      <w:rFonts w:asciiTheme="minorHAnsi" w:hAnsiTheme="minorHAnsi" w:eastAsiaTheme="minorEastAsia" w:cstheme="minorBidi"/>
      <w:sz w:val="20"/>
      <w:szCs w:val="20"/>
    </w:rPr>
  </w:style>
  <w:style w:type="paragraph" w:customStyle="1" w:styleId="39">
    <w:name w:val="WPSOffice手动目录 2"/>
    <w:qFormat/>
    <w:uiPriority w:val="0"/>
    <w:pPr>
      <w:ind w:leftChars="200"/>
    </w:pPr>
    <w:rPr>
      <w:rFonts w:asciiTheme="minorHAnsi" w:hAnsiTheme="minorHAnsi" w:eastAsiaTheme="minorEastAsia" w:cstheme="minorBidi"/>
      <w:sz w:val="20"/>
      <w:szCs w:val="20"/>
    </w:rPr>
  </w:style>
  <w:style w:type="character" w:customStyle="1" w:styleId="40">
    <w:name w:val="font41"/>
    <w:basedOn w:val="19"/>
    <w:qFormat/>
    <w:uiPriority w:val="0"/>
    <w:rPr>
      <w:rFonts w:hint="eastAsia" w:ascii="宋体" w:hAnsi="宋体" w:eastAsia="宋体" w:cs="宋体"/>
      <w:color w:val="000000"/>
      <w:sz w:val="20"/>
      <w:szCs w:val="20"/>
      <w:u w:val="none"/>
    </w:rPr>
  </w:style>
  <w:style w:type="character" w:customStyle="1" w:styleId="41">
    <w:name w:val="标题 2 字符"/>
    <w:basedOn w:val="19"/>
    <w:link w:val="4"/>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E:\&#20445;&#23384;&#36164;&#26009;\&#22791;&#20221;\2022&#24180;\10.13\&#20915;&#31639;&#20844;&#24320;&#32534;&#21046;&#35828;&#26126;&#30456;&#20851;&#22270;&#26631;.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20445;&#23384;&#36164;&#26009;\&#22791;&#20221;\2022&#24180;\10.13\&#20915;&#31639;&#20844;&#24320;&#32534;&#21046;&#35828;&#26126;&#30456;&#20851;&#22270;&#26631;.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0445;&#23384;&#36164;&#26009;\&#22791;&#20221;\2022&#24180;\10.13\&#20915;&#31639;&#20844;&#24320;&#32534;&#21046;&#35828;&#26126;&#30456;&#20851;&#22270;&#26631;.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0445;&#23384;&#36164;&#26009;\&#22791;&#20221;\2022&#24180;\10.13\&#20915;&#31639;&#20844;&#24320;&#32534;&#21046;&#35828;&#26126;&#30456;&#20851;&#22270;&#26631;.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20445;&#23384;&#36164;&#26009;\&#22791;&#20221;\2022&#24180;\10.13\&#20915;&#31639;&#20844;&#24320;&#32534;&#21046;&#35828;&#26126;&#30456;&#20851;&#22270;&#26631;.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E:\&#20445;&#23384;&#36164;&#26009;\&#22791;&#20221;\2022&#24180;\10.13\&#20915;&#31639;&#20844;&#24320;&#32534;&#21046;&#35828;&#26126;&#30456;&#20851;&#22270;&#26631;.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E:\&#20445;&#23384;&#36164;&#26009;\2019&#24180;\2019&#24180;&#20915;&#31639;\2019&#24180;&#20915;&#31639;&#32534;&#21046;&#35828;&#26126;&#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ln w="12700" cmpd="sng">
                  <a:noFill/>
                  <a:prstDash val="solid"/>
                </a:ln>
                <a:solidFill>
                  <a:srgbClr val="595959">
                    <a:lumMod val="65000"/>
                    <a:lumOff val="35000"/>
                  </a:srgbClr>
                </a:solidFill>
                <a:latin typeface="+mn-lt"/>
                <a:ea typeface="+mn-ea"/>
                <a:cs typeface="+mn-cs"/>
              </a:defRPr>
            </a:pPr>
            <a:r>
              <a:rPr sz="900">
                <a:ln w="12700" cmpd="sng">
                  <a:noFill/>
                  <a:prstDash val="solid"/>
                </a:ln>
              </a:rPr>
              <a:t>单位：万元</a:t>
            </a:r>
            <a:endParaRPr sz="900">
              <a:ln w="12700" cmpd="sng">
                <a:noFill/>
                <a:prstDash val="solid"/>
              </a:ln>
            </a:endParaRPr>
          </a:p>
        </c:rich>
      </c:tx>
      <c:layout>
        <c:manualLayout>
          <c:xMode val="edge"/>
          <c:yMode val="edge"/>
          <c:x val="0.784977300866694"/>
          <c:y val="0.0183730158730159"/>
        </c:manualLayout>
      </c:layout>
      <c:overlay val="0"/>
      <c:spPr>
        <a:noFill/>
        <a:ln>
          <a:noFill/>
        </a:ln>
        <a:effectLst/>
      </c:spPr>
    </c:title>
    <c:autoTitleDeleted val="0"/>
    <c:plotArea>
      <c:layout/>
      <c:barChart>
        <c:barDir val="col"/>
        <c:grouping val="stacked"/>
        <c:varyColors val="0"/>
        <c:ser>
          <c:idx val="0"/>
          <c:order val="0"/>
          <c:tx>
            <c:strRef>
              <c:f>"收支决算总计"</c:f>
              <c:strCache>
                <c:ptCount val="1"/>
                <c:pt idx="0">
                  <c:v>收支决算总计</c:v>
                </c:pt>
              </c:strCache>
            </c:strRef>
          </c:tx>
          <c:spPr>
            <a:solidFill>
              <a:srgbClr val="4F81BD"/>
            </a:solidFill>
            <a:ln>
              <a:noFill/>
            </a:ln>
            <a:effectLst/>
          </c:spPr>
          <c:invertIfNegative val="0"/>
          <c:dLbls>
            <c:dLbl>
              <c:idx val="0"/>
              <c:layout>
                <c:manualLayout>
                  <c:x val="0.00800553969175766"/>
                  <c:y val="-0.31065476190476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08828686519568e-7"/>
                  <c:y val="-0.299503968253969"/>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0.146718943458523"/>
                      <c:h val="0.0613425925925926"/>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ln w="12700" cmpd="sng">
                      <a:noFill/>
                      <a:prstDash val="solid"/>
                    </a:ln>
                    <a:solidFill>
                      <a:srgbClr val="404040">
                        <a:lumMod val="75000"/>
                        <a:lumOff val="25000"/>
                      </a:srgbClr>
                    </a:solidFill>
                    <a:latin typeface="+mn-lt"/>
                    <a:ea typeface="+mn-ea"/>
                    <a:cs typeface="+mn-cs"/>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[决算公开编制说明相关图标.xlsx]Sheet1!$B$1:$B$2</c:f>
              <c:strCache>
                <c:ptCount val="2"/>
                <c:pt idx="0">
                  <c:v>2021年</c:v>
                </c:pt>
                <c:pt idx="1">
                  <c:v>2022年</c:v>
                </c:pt>
              </c:strCache>
            </c:strRef>
          </c:cat>
          <c:val>
            <c:numRef>
              <c:f>[决算公开编制说明相关图标.xlsx]Sheet1!$A$1:$A$2</c:f>
              <c:numCache>
                <c:formatCode>General</c:formatCode>
                <c:ptCount val="2"/>
                <c:pt idx="0">
                  <c:v>1706.86</c:v>
                </c:pt>
                <c:pt idx="1">
                  <c:v>1651.43</c:v>
                </c:pt>
              </c:numCache>
            </c:numRef>
          </c:val>
        </c:ser>
        <c:dLbls>
          <c:showLegendKey val="0"/>
          <c:showVal val="0"/>
          <c:showCatName val="0"/>
          <c:showSerName val="0"/>
          <c:showPercent val="0"/>
          <c:showBubbleSize val="0"/>
        </c:dLbls>
        <c:gapWidth val="150"/>
        <c:overlap val="100"/>
        <c:axId val="63770444"/>
        <c:axId val="614055805"/>
      </c:barChart>
      <c:catAx>
        <c:axId val="63770444"/>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ln w="12700" cmpd="sng">
                  <a:noFill/>
                  <a:prstDash val="solid"/>
                </a:ln>
                <a:solidFill>
                  <a:srgbClr val="595959">
                    <a:lumMod val="65000"/>
                    <a:lumOff val="35000"/>
                  </a:srgbClr>
                </a:solidFill>
                <a:latin typeface="+mn-lt"/>
                <a:ea typeface="+mn-ea"/>
                <a:cs typeface="+mn-cs"/>
              </a:defRPr>
            </a:pPr>
          </a:p>
        </c:txPr>
        <c:crossAx val="614055805"/>
        <c:crosses val="autoZero"/>
        <c:auto val="1"/>
        <c:lblAlgn val="ctr"/>
        <c:lblOffset val="100"/>
        <c:noMultiLvlLbl val="0"/>
      </c:catAx>
      <c:valAx>
        <c:axId val="614055805"/>
        <c:scaling>
          <c:orientation val="minMax"/>
          <c:max val="1900"/>
          <c:min val="1000"/>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ln w="12700" cmpd="sng">
                  <a:noFill/>
                  <a:prstDash val="solid"/>
                </a:ln>
                <a:solidFill>
                  <a:srgbClr val="595959">
                    <a:lumMod val="65000"/>
                    <a:lumOff val="35000"/>
                  </a:srgbClr>
                </a:solidFill>
                <a:latin typeface="+mn-lt"/>
                <a:ea typeface="+mn-ea"/>
                <a:cs typeface="+mn-cs"/>
              </a:defRPr>
            </a:pPr>
          </a:p>
        </c:txPr>
        <c:crossAx val="63770444"/>
        <c:crosses val="autoZero"/>
        <c:crossBetween val="between"/>
      </c:valAx>
      <c:spPr>
        <a:noFill/>
        <a:ln>
          <a:solidFill>
            <a:srgbClr val="4F81BD"/>
          </a:solidFill>
        </a:ln>
        <a:effectLst/>
      </c:spPr>
    </c:plotArea>
    <c:legend>
      <c:legendPos val="b"/>
      <c:legendEntry>
        <c:idx val="0"/>
        <c:txPr>
          <a:bodyPr rot="0" spcFirstLastPara="0" vertOverflow="ellipsis" vert="horz" wrap="square" anchor="ctr" anchorCtr="1"/>
          <a:lstStyle/>
          <a:p>
            <a:pPr>
              <a:defRPr lang="zh-CN" sz="900" b="0" i="0" u="none" strike="noStrike" kern="1200" baseline="0">
                <a:ln w="12700" cmpd="sng">
                  <a:noFill/>
                  <a:prstDash val="solid"/>
                </a:ln>
                <a:solidFill>
                  <a:srgbClr val="595959">
                    <a:lumMod val="65000"/>
                    <a:lumOff val="35000"/>
                  </a:srgb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ln w="12700" cmpd="sng">
                <a:noFill/>
                <a:prstDash val="solid"/>
              </a:ln>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4F81BD"/>
      </a:solidFill>
      <a:round/>
    </a:ln>
    <a:effectLst/>
  </c:spPr>
  <c:txPr>
    <a:bodyPr/>
    <a:lstStyle/>
    <a:p>
      <a:pPr>
        <a:defRPr lang="zh-CN">
          <a:ln w="12700" cmpd="sng">
            <a:noFill/>
            <a:prstDash val="solid"/>
          </a:ln>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Lbls>
            <c:dLbl>
              <c:idx val="0"/>
              <c:layout/>
              <c:numFmt formatCode="General" sourceLinked="1"/>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extLst>
                <c:ext xmlns:c15="http://schemas.microsoft.com/office/drawing/2012/chart" uri="{02D57815-91ED-43cb-92C2-25804820EDAC}">
                  <c15:fullRef>
                    <c15:sqref>[决算公开编制说明相关图标.xlsx]Sheet1!$B$22:$B$24</c15:sqref>
                  </c15:fullRef>
                </c:ext>
              </c:extLst>
              <c:f>[决算公开编制说明相关图标.xlsx]Sheet1!$B$22:$B$23</c:f>
              <c:strCache>
                <c:ptCount val="2"/>
                <c:pt idx="0">
                  <c:v>一般公共预算财政拨款收入</c:v>
                </c:pt>
                <c:pt idx="1">
                  <c:v>政府性基金预算财政拨款收入</c:v>
                </c:pt>
              </c:strCache>
            </c:strRef>
          </c:cat>
          <c:val>
            <c:numRef>
              <c:extLst>
                <c:ext xmlns:c15="http://schemas.microsoft.com/office/drawing/2012/chart" uri="{02D57815-91ED-43cb-92C2-25804820EDAC}">
                  <c15:fullRef>
                    <c15:sqref>Sheet1!$A$22:$A$24</c15:sqref>
                  </c15:fullRef>
                </c:ext>
              </c:extLst>
              <c:f>[决算公开编制说明相关图标.xlsx]Sheet1!$A$22:$A$23</c:f>
              <c:numCache>
                <c:formatCode>0.00%</c:formatCode>
                <c:ptCount val="2"/>
                <c:pt idx="0">
                  <c:v>1</c:v>
                </c:pt>
                <c:pt idx="1">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[决算公开编制说明相关图标.xlsx]Sheet1!$B$39:$B$40</c:f>
              <c:strCache>
                <c:ptCount val="2"/>
                <c:pt idx="0">
                  <c:v>基本支出</c:v>
                </c:pt>
                <c:pt idx="1">
                  <c:v>项目支出</c:v>
                </c:pt>
              </c:strCache>
            </c:strRef>
          </c:cat>
          <c:val>
            <c:numRef>
              <c:f>[决算公开编制说明相关图标.xlsx]Sheet1!$A$39:$A$40</c:f>
              <c:numCache>
                <c:formatCode>0.00%</c:formatCode>
                <c:ptCount val="2"/>
                <c:pt idx="0">
                  <c:v>0.6829</c:v>
                </c:pt>
                <c:pt idx="1">
                  <c:v>0.3171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ln w="12700" cmpd="sng">
                  <a:noFill/>
                  <a:prstDash val="solid"/>
                </a:ln>
                <a:solidFill>
                  <a:srgbClr val="595959">
                    <a:lumMod val="65000"/>
                    <a:lumOff val="35000"/>
                  </a:srgbClr>
                </a:solidFill>
                <a:latin typeface="+mn-lt"/>
                <a:ea typeface="+mn-ea"/>
                <a:cs typeface="+mn-cs"/>
              </a:defRPr>
            </a:pPr>
            <a:r>
              <a:rPr sz="900">
                <a:ln w="12700" cmpd="sng">
                  <a:noFill/>
                  <a:prstDash val="solid"/>
                </a:ln>
              </a:rPr>
              <a:t>单位：万元</a:t>
            </a:r>
            <a:endParaRPr sz="900">
              <a:ln w="12700" cmpd="sng">
                <a:noFill/>
                <a:prstDash val="solid"/>
              </a:ln>
            </a:endParaRPr>
          </a:p>
        </c:rich>
      </c:tx>
      <c:layout>
        <c:manualLayout>
          <c:xMode val="edge"/>
          <c:yMode val="edge"/>
          <c:x val="0.784977300866694"/>
          <c:y val="0.00694444444444444"/>
        </c:manualLayout>
      </c:layout>
      <c:overlay val="0"/>
      <c:spPr>
        <a:noFill/>
        <a:ln>
          <a:noFill/>
        </a:ln>
        <a:effectLst/>
      </c:spPr>
    </c:title>
    <c:autoTitleDeleted val="0"/>
    <c:plotArea>
      <c:layout/>
      <c:barChart>
        <c:barDir val="col"/>
        <c:grouping val="stacked"/>
        <c:varyColors val="0"/>
        <c:ser>
          <c:idx val="0"/>
          <c:order val="0"/>
          <c:tx>
            <c:strRef>
              <c:f>[决算公开编制说明相关图标.xlsx]Sheet1!$A$63</c:f>
              <c:strCache>
                <c:ptCount val="1"/>
                <c:pt idx="0">
                  <c:v>财政拨款收、支决算总计</c:v>
                </c:pt>
              </c:strCache>
            </c:strRef>
          </c:tx>
          <c:spPr>
            <a:solidFill>
              <a:srgbClr val="4F81BD"/>
            </a:solidFill>
            <a:ln>
              <a:noFill/>
            </a:ln>
            <a:effectLst/>
          </c:spPr>
          <c:invertIfNegative val="0"/>
          <c:dLbls>
            <c:dLbl>
              <c:idx val="0"/>
              <c:layout>
                <c:manualLayout>
                  <c:x val="0.000927079638288616"/>
                  <c:y val="-0.316674144532184"/>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374183039687444"/>
                  <c:y val="-0.300530529632289"/>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0.146718943458523"/>
                      <c:h val="0.0613425925925926"/>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ln w="12700" cmpd="sng">
                      <a:noFill/>
                      <a:prstDash val="solid"/>
                    </a:ln>
                    <a:solidFill>
                      <a:srgbClr val="404040">
                        <a:lumMod val="75000"/>
                        <a:lumOff val="25000"/>
                      </a:srgbClr>
                    </a:solidFill>
                    <a:latin typeface="+mn-lt"/>
                    <a:ea typeface="+mn-ea"/>
                    <a:cs typeface="+mn-cs"/>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[决算公开编制说明相关图标.xlsx]Sheet1!$B$61:$B$62</c:f>
              <c:strCache>
                <c:ptCount val="2"/>
                <c:pt idx="0">
                  <c:v>2021年</c:v>
                </c:pt>
                <c:pt idx="1">
                  <c:v>2022年</c:v>
                </c:pt>
              </c:strCache>
            </c:strRef>
          </c:cat>
          <c:val>
            <c:numRef>
              <c:f>[决算公开编制说明相关图标.xlsx]Sheet1!$A$61:$A$62</c:f>
              <c:numCache>
                <c:formatCode>General</c:formatCode>
                <c:ptCount val="2"/>
                <c:pt idx="0">
                  <c:v>1706.86</c:v>
                </c:pt>
                <c:pt idx="1">
                  <c:v>1651.43</c:v>
                </c:pt>
              </c:numCache>
            </c:numRef>
          </c:val>
        </c:ser>
        <c:dLbls>
          <c:showLegendKey val="0"/>
          <c:showVal val="0"/>
          <c:showCatName val="0"/>
          <c:showSerName val="0"/>
          <c:showPercent val="0"/>
          <c:showBubbleSize val="0"/>
        </c:dLbls>
        <c:gapWidth val="150"/>
        <c:overlap val="100"/>
        <c:axId val="63770444"/>
        <c:axId val="614055805"/>
      </c:barChart>
      <c:catAx>
        <c:axId val="63770444"/>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ln w="12700" cmpd="sng">
                  <a:noFill/>
                  <a:prstDash val="solid"/>
                </a:ln>
                <a:solidFill>
                  <a:srgbClr val="595959">
                    <a:lumMod val="65000"/>
                    <a:lumOff val="35000"/>
                  </a:srgbClr>
                </a:solidFill>
                <a:latin typeface="+mn-lt"/>
                <a:ea typeface="+mn-ea"/>
                <a:cs typeface="+mn-cs"/>
              </a:defRPr>
            </a:pPr>
          </a:p>
        </c:txPr>
        <c:crossAx val="614055805"/>
        <c:crosses val="autoZero"/>
        <c:auto val="1"/>
        <c:lblAlgn val="ctr"/>
        <c:lblOffset val="100"/>
        <c:noMultiLvlLbl val="0"/>
      </c:catAx>
      <c:valAx>
        <c:axId val="614055805"/>
        <c:scaling>
          <c:orientation val="minMax"/>
          <c:max val="2000"/>
          <c:min val="500"/>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ln w="12700" cmpd="sng">
                  <a:noFill/>
                  <a:prstDash val="solid"/>
                </a:ln>
                <a:solidFill>
                  <a:srgbClr val="595959">
                    <a:lumMod val="65000"/>
                    <a:lumOff val="35000"/>
                  </a:srgbClr>
                </a:solidFill>
                <a:latin typeface="+mn-lt"/>
                <a:ea typeface="+mn-ea"/>
                <a:cs typeface="+mn-cs"/>
              </a:defRPr>
            </a:pPr>
          </a:p>
        </c:txPr>
        <c:crossAx val="63770444"/>
        <c:crosses val="autoZero"/>
        <c:crossBetween val="between"/>
      </c:valAx>
      <c:spPr>
        <a:noFill/>
        <a:ln>
          <a:solidFill>
            <a:srgbClr val="4F81BD"/>
          </a:solidFill>
        </a:ln>
        <a:effectLst/>
      </c:spPr>
    </c:plotArea>
    <c:legend>
      <c:legendPos val="b"/>
      <c:legendEntry>
        <c:idx val="0"/>
        <c:txPr>
          <a:bodyPr rot="0" spcFirstLastPara="0" vertOverflow="ellipsis" vert="horz" wrap="square" anchor="ctr" anchorCtr="1"/>
          <a:lstStyle/>
          <a:p>
            <a:pPr>
              <a:defRPr lang="zh-CN" sz="900" b="0" i="0" u="none" strike="noStrike" kern="1200" baseline="0">
                <a:ln w="12700" cmpd="sng">
                  <a:noFill/>
                  <a:prstDash val="solid"/>
                </a:ln>
                <a:solidFill>
                  <a:srgbClr val="595959">
                    <a:lumMod val="65000"/>
                    <a:lumOff val="35000"/>
                  </a:srgb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ln w="12700" cmpd="sng">
                <a:noFill/>
                <a:prstDash val="solid"/>
              </a:ln>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4F81BD"/>
      </a:solidFill>
      <a:round/>
    </a:ln>
    <a:effectLst/>
  </c:spPr>
  <c:txPr>
    <a:bodyPr/>
    <a:lstStyle/>
    <a:p>
      <a:pPr>
        <a:defRPr lang="zh-CN">
          <a:ln w="12700" cmpd="sng">
            <a:noFill/>
            <a:prstDash val="solid"/>
          </a:ln>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ln w="12700" cmpd="sng">
                  <a:noFill/>
                  <a:prstDash val="solid"/>
                </a:ln>
                <a:solidFill>
                  <a:srgbClr val="595959">
                    <a:lumMod val="65000"/>
                    <a:lumOff val="35000"/>
                  </a:srgbClr>
                </a:solidFill>
                <a:latin typeface="+mn-lt"/>
                <a:ea typeface="+mn-ea"/>
                <a:cs typeface="+mn-cs"/>
              </a:defRPr>
            </a:pPr>
            <a:r>
              <a:rPr sz="900">
                <a:ln w="12700" cmpd="sng">
                  <a:noFill/>
                  <a:prstDash val="solid"/>
                </a:ln>
              </a:rPr>
              <a:t>单位：万元</a:t>
            </a:r>
            <a:endParaRPr sz="900">
              <a:ln w="12700" cmpd="sng">
                <a:noFill/>
                <a:prstDash val="solid"/>
              </a:ln>
            </a:endParaRPr>
          </a:p>
        </c:rich>
      </c:tx>
      <c:layout>
        <c:manualLayout>
          <c:xMode val="edge"/>
          <c:yMode val="edge"/>
          <c:x val="0.784977300866694"/>
          <c:y val="0.00694444444444444"/>
        </c:manualLayout>
      </c:layout>
      <c:overlay val="0"/>
      <c:spPr>
        <a:noFill/>
        <a:ln>
          <a:noFill/>
        </a:ln>
        <a:effectLst/>
      </c:spPr>
    </c:title>
    <c:autoTitleDeleted val="0"/>
    <c:plotArea>
      <c:layout/>
      <c:barChart>
        <c:barDir val="col"/>
        <c:grouping val="stacked"/>
        <c:varyColors val="0"/>
        <c:ser>
          <c:idx val="0"/>
          <c:order val="0"/>
          <c:tx>
            <c:strRef>
              <c:f>[决算公开编制说明相关图标.xlsx]Sheet1!$A$81</c:f>
              <c:strCache>
                <c:ptCount val="1"/>
                <c:pt idx="0">
                  <c:v>一般公共预算财政拨款支出决算</c:v>
                </c:pt>
              </c:strCache>
            </c:strRef>
          </c:tx>
          <c:spPr>
            <a:solidFill>
              <a:srgbClr val="4F81BD"/>
            </a:solidFill>
            <a:ln>
              <a:noFill/>
            </a:ln>
            <a:effectLst/>
          </c:spPr>
          <c:invertIfNegative val="0"/>
          <c:dLbls>
            <c:dLbl>
              <c:idx val="0"/>
              <c:layout>
                <c:manualLayout>
                  <c:x val="0.00716037701029093"/>
                  <c:y val="-0.336369047619048"/>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333544754744129"/>
                  <c:y val="-0.325218253968254"/>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0.146718943458523"/>
                      <c:h val="0.0613425925925926"/>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ln w="12700" cmpd="sng">
                      <a:noFill/>
                      <a:prstDash val="solid"/>
                    </a:ln>
                    <a:solidFill>
                      <a:srgbClr val="404040">
                        <a:lumMod val="75000"/>
                        <a:lumOff val="25000"/>
                      </a:srgbClr>
                    </a:solidFill>
                    <a:latin typeface="+mn-lt"/>
                    <a:ea typeface="+mn-ea"/>
                    <a:cs typeface="+mn-cs"/>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[决算公开编制说明相关图标.xlsx]Sheet1!$B$79:$B$80</c:f>
              <c:strCache>
                <c:ptCount val="2"/>
                <c:pt idx="0">
                  <c:v>2021年</c:v>
                </c:pt>
                <c:pt idx="1">
                  <c:v>2022年</c:v>
                </c:pt>
              </c:strCache>
            </c:strRef>
          </c:cat>
          <c:val>
            <c:numRef>
              <c:f>[决算公开编制说明相关图标.xlsx]Sheet1!$A$79:$A$80</c:f>
              <c:numCache>
                <c:formatCode>General</c:formatCode>
                <c:ptCount val="2"/>
                <c:pt idx="0">
                  <c:v>1676.86</c:v>
                </c:pt>
                <c:pt idx="1">
                  <c:v>1651.43</c:v>
                </c:pt>
              </c:numCache>
            </c:numRef>
          </c:val>
        </c:ser>
        <c:dLbls>
          <c:showLegendKey val="0"/>
          <c:showVal val="0"/>
          <c:showCatName val="0"/>
          <c:showSerName val="0"/>
          <c:showPercent val="0"/>
          <c:showBubbleSize val="0"/>
        </c:dLbls>
        <c:gapWidth val="150"/>
        <c:overlap val="100"/>
        <c:axId val="63770444"/>
        <c:axId val="614055805"/>
      </c:barChart>
      <c:catAx>
        <c:axId val="63770444"/>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ln w="12700" cmpd="sng">
                  <a:noFill/>
                  <a:prstDash val="solid"/>
                </a:ln>
                <a:solidFill>
                  <a:srgbClr val="595959">
                    <a:lumMod val="65000"/>
                    <a:lumOff val="35000"/>
                  </a:srgbClr>
                </a:solidFill>
                <a:latin typeface="+mn-lt"/>
                <a:ea typeface="+mn-ea"/>
                <a:cs typeface="+mn-cs"/>
              </a:defRPr>
            </a:pPr>
          </a:p>
        </c:txPr>
        <c:crossAx val="614055805"/>
        <c:crosses val="autoZero"/>
        <c:auto val="1"/>
        <c:lblAlgn val="ctr"/>
        <c:lblOffset val="100"/>
        <c:noMultiLvlLbl val="0"/>
      </c:catAx>
      <c:valAx>
        <c:axId val="614055805"/>
        <c:scaling>
          <c:orientation val="minMax"/>
          <c:min val="500"/>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ln w="12700" cmpd="sng">
                  <a:noFill/>
                  <a:prstDash val="solid"/>
                </a:ln>
                <a:solidFill>
                  <a:srgbClr val="595959">
                    <a:lumMod val="65000"/>
                    <a:lumOff val="35000"/>
                  </a:srgbClr>
                </a:solidFill>
                <a:latin typeface="+mn-lt"/>
                <a:ea typeface="+mn-ea"/>
                <a:cs typeface="+mn-cs"/>
              </a:defRPr>
            </a:pPr>
          </a:p>
        </c:txPr>
        <c:crossAx val="63770444"/>
        <c:crosses val="autoZero"/>
        <c:crossBetween val="between"/>
      </c:valAx>
      <c:spPr>
        <a:noFill/>
        <a:ln>
          <a:solidFill>
            <a:srgbClr val="4F81BD"/>
          </a:solidFill>
        </a:ln>
        <a:effectLst/>
      </c:spPr>
    </c:plotArea>
    <c:legend>
      <c:legendPos val="b"/>
      <c:legendEntry>
        <c:idx val="0"/>
        <c:txPr>
          <a:bodyPr rot="0" spcFirstLastPara="0" vertOverflow="ellipsis" vert="horz" wrap="square" anchor="ctr" anchorCtr="1"/>
          <a:lstStyle/>
          <a:p>
            <a:pPr>
              <a:defRPr lang="zh-CN" sz="900" b="0" i="0" u="none" strike="noStrike" kern="1200" baseline="0">
                <a:ln w="12700" cmpd="sng">
                  <a:noFill/>
                  <a:prstDash val="solid"/>
                </a:ln>
                <a:solidFill>
                  <a:srgbClr val="595959">
                    <a:lumMod val="65000"/>
                    <a:lumOff val="35000"/>
                  </a:srgb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ln w="12700" cmpd="sng">
                <a:noFill/>
                <a:prstDash val="solid"/>
              </a:ln>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4F81BD"/>
      </a:solidFill>
      <a:round/>
    </a:ln>
    <a:effectLst/>
  </c:spPr>
  <c:txPr>
    <a:bodyPr/>
    <a:lstStyle/>
    <a:p>
      <a:pPr>
        <a:defRPr lang="zh-CN">
          <a:ln w="12700" cmpd="sng">
            <a:noFill/>
            <a:prstDash val="solid"/>
          </a:ln>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[决算公开编制说明相关图标.xlsx]Sheet1!$B$100:$B$108</c:f>
              <c:strCache>
                <c:ptCount val="1"/>
                <c:pt idx="0">
                  <c:v>一般公共服务支出 文化旅游体育与传媒支出 社会保障和就业支出 卫生健康支出 节能环保支出 城乡社区支出 农林水支出 住房保障支出 灾害防治及应急管理支出</c:v>
                </c:pt>
              </c:strCache>
            </c:strRef>
          </c:tx>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Pt>
            <c:idx val="5"/>
            <c:bubble3D val="0"/>
            <c:spPr>
              <a:solidFill>
                <a:srgbClr val="F79646"/>
              </a:solidFill>
              <a:ln w="19050">
                <a:solidFill>
                  <a:srgbClr val="FFFFFF"/>
                </a:solidFill>
              </a:ln>
              <a:effectLst/>
            </c:spPr>
          </c:dPt>
          <c:dPt>
            <c:idx val="6"/>
            <c:bubble3D val="0"/>
            <c:spPr>
              <a:solidFill>
                <a:srgbClr val="2C4D75">
                  <a:lumMod val="60000"/>
                </a:srgbClr>
              </a:solidFill>
              <a:ln w="19050">
                <a:solidFill>
                  <a:srgbClr val="FFFFFF"/>
                </a:solidFill>
              </a:ln>
              <a:effectLst/>
            </c:spPr>
          </c:dPt>
          <c:dPt>
            <c:idx val="7"/>
            <c:bubble3D val="0"/>
            <c:spPr>
              <a:solidFill>
                <a:srgbClr val="772C2A">
                  <a:lumMod val="60000"/>
                </a:srgbClr>
              </a:solidFill>
              <a:ln w="19050">
                <a:solidFill>
                  <a:srgbClr val="FFFFFF"/>
                </a:solidFill>
              </a:ln>
              <a:effectLst/>
            </c:spPr>
          </c:dPt>
          <c:dPt>
            <c:idx val="8"/>
            <c:bubble3D val="0"/>
            <c:spPr>
              <a:solidFill>
                <a:srgbClr val="5F7530">
                  <a:lumMod val="60000"/>
                </a:srgbClr>
              </a:solidFill>
              <a:ln w="19050">
                <a:solidFill>
                  <a:srgbClr val="FFFFFF"/>
                </a:solidFill>
              </a:ln>
              <a:effectLst/>
            </c:spPr>
          </c:dPt>
          <c:dLbls>
            <c:dLbl>
              <c:idx val="2"/>
              <c:layout>
                <c:manualLayout>
                  <c:x val="0.0245744012119807"/>
                  <c:y val="0.011092226156690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253152121794723"/>
                  <c:y val="0.022905624640555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882171350153604"/>
                  <c:y val="0.03373544848457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952199319778254"/>
                  <c:y val="-0.007165332628644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[决算公开编制说明相关图标.xlsx]Sheet1!$B$100:$B$108</c:f>
              <c:strCache>
                <c:ptCount val="9"/>
                <c:pt idx="0">
                  <c:v>一般公共服务支出</c:v>
                </c:pt>
                <c:pt idx="1">
                  <c:v>文化旅游体育与传媒支出</c:v>
                </c:pt>
                <c:pt idx="2">
                  <c:v>社会保障和就业支出</c:v>
                </c:pt>
                <c:pt idx="3">
                  <c:v>卫生健康支出</c:v>
                </c:pt>
                <c:pt idx="4">
                  <c:v>节能环保支出</c:v>
                </c:pt>
                <c:pt idx="5">
                  <c:v>城乡社区支出</c:v>
                </c:pt>
                <c:pt idx="6">
                  <c:v>农林水支出</c:v>
                </c:pt>
                <c:pt idx="7">
                  <c:v>住房保障支出</c:v>
                </c:pt>
                <c:pt idx="8">
                  <c:v>灾害防治及应急管理支出</c:v>
                </c:pt>
              </c:strCache>
            </c:strRef>
          </c:cat>
          <c:val>
            <c:numRef>
              <c:f>[决算公开编制说明相关图标.xlsx]Sheet1!$D$100:$D$108</c:f>
              <c:numCache>
                <c:formatCode>0.00%</c:formatCode>
                <c:ptCount val="9"/>
                <c:pt idx="0">
                  <c:v>0.329811133381372</c:v>
                </c:pt>
                <c:pt idx="1">
                  <c:v>0.0348243643387852</c:v>
                </c:pt>
                <c:pt idx="2">
                  <c:v>0.141198839793391</c:v>
                </c:pt>
                <c:pt idx="3">
                  <c:v>0.0241245466050635</c:v>
                </c:pt>
                <c:pt idx="4">
                  <c:v>0.133217877839206</c:v>
                </c:pt>
                <c:pt idx="5">
                  <c:v>0.00532871511356824</c:v>
                </c:pt>
                <c:pt idx="6">
                  <c:v>0.29519265121743</c:v>
                </c:pt>
                <c:pt idx="7">
                  <c:v>0.0361807645495116</c:v>
                </c:pt>
                <c:pt idx="8">
                  <c:v>0.000121107161672005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[2019年决算编制说明图表.xlsx]Sheet5!$A$106:$A$108</c:f>
              <c:strCache>
                <c:ptCount val="3"/>
                <c:pt idx="0">
                  <c:v>因公出国（境）费</c:v>
                </c:pt>
                <c:pt idx="1">
                  <c:v>公务用车购置及运行维护费支出</c:v>
                </c:pt>
                <c:pt idx="2">
                  <c:v>公务接待费支出</c:v>
                </c:pt>
              </c:strCache>
            </c:strRef>
          </c:cat>
          <c:val>
            <c:numRef>
              <c:f>[2019年决算编制说明图表.xlsx]Sheet5!$C$106:$C$108</c:f>
              <c:numCache>
                <c:formatCode>0.00%</c:formatCode>
                <c:ptCount val="3"/>
                <c:pt idx="0">
                  <c:v>0</c:v>
                </c:pt>
                <c:pt idx="1">
                  <c:v>0</c:v>
                </c:pt>
                <c:pt idx="2">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46</Pages>
  <Words>18306</Words>
  <Characters>19362</Characters>
  <Lines>57</Lines>
  <Paragraphs>16</Paragraphs>
  <TotalTime>1</TotalTime>
  <ScaleCrop>false</ScaleCrop>
  <LinksUpToDate>false</LinksUpToDate>
  <CharactersWithSpaces>19546</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2022-10-10T13:17:00Z</cp:lastPrinted>
  <dcterms:modified xsi:type="dcterms:W3CDTF">2023-12-21T08:44:27Z</dcterms:modified>
  <dc:title>四川省***</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y fmtid="{D5CDD505-2E9C-101B-9397-08002B2CF9AE}" pid="3" name="ICV">
    <vt:lpwstr>BA4FE63FDAA7448FA24D96FEAF75F2EC</vt:lpwstr>
  </property>
</Properties>
</file>