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78441"/>
      <w:bookmarkStart w:id="3" w:name="_Toc1539647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96476"/>
      <w:bookmarkStart w:id="9" w:name="_Toc15377426"/>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rPr>
        <w:t>行政审批局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hint="eastAsia" w:ascii="方正小标宋简体" w:hAnsi="宋体" w:eastAsia="方正小标宋简体"/>
          <w:sz w:val="52"/>
          <w:szCs w:val="52"/>
        </w:rPr>
        <w:t xml:space="preserve"> </w:t>
      </w: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r>
        <w:rPr>
          <w:rFonts w:hint="eastAsia" w:ascii="黑体" w:hAnsi="黑体" w:eastAsia="黑体" w:cstheme="minorBidi"/>
          <w:sz w:val="28"/>
          <w:szCs w:val="28"/>
        </w:rPr>
        <w:t>公开时间：2023年10月18日</w:t>
      </w:r>
    </w:p>
    <w:p>
      <w:pPr>
        <w:widowControl/>
        <w:jc w:val="center"/>
        <w:rPr>
          <w:rFonts w:ascii="黑体" w:hAnsi="黑体" w:eastAsia="黑体" w:cstheme="minorBidi"/>
          <w:sz w:val="28"/>
          <w:szCs w:val="28"/>
        </w:rPr>
      </w:pPr>
    </w:p>
    <w:p/>
    <w:p>
      <w:pPr>
        <w:pStyle w:val="14"/>
        <w:adjustRightInd w:val="0"/>
        <w:snapToGrid w:val="0"/>
        <w:ind w:left="0" w:leftChars="0"/>
        <w:jc w:val="left"/>
        <w:rPr>
          <w:sz w:val="24"/>
        </w:rPr>
      </w:pPr>
      <w:r>
        <w:rPr>
          <w:rFonts w:hint="eastAsia"/>
          <w:sz w:val="24"/>
        </w:rPr>
        <w:t>第一部分</w:t>
      </w:r>
      <w:r>
        <w:rPr>
          <w:sz w:val="24"/>
        </w:rPr>
        <w:t xml:space="preserve"> </w:t>
      </w:r>
      <w:r>
        <w:rPr>
          <w:rFonts w:hint="eastAsia"/>
          <w:sz w:val="24"/>
        </w:rPr>
        <w:t>部门概况..................................................................................................4</w:t>
      </w:r>
    </w:p>
    <w:p>
      <w:pPr>
        <w:pStyle w:val="14"/>
        <w:adjustRightInd w:val="0"/>
        <w:snapToGrid w:val="0"/>
        <w:ind w:left="0" w:leftChars="0" w:firstLine="480" w:firstLineChars="200"/>
        <w:jc w:val="left"/>
        <w:rPr>
          <w:sz w:val="24"/>
        </w:rPr>
      </w:pPr>
      <w:r>
        <w:rPr>
          <w:rFonts w:hint="eastAsia"/>
          <w:sz w:val="24"/>
        </w:rPr>
        <w:t>一、部门职责及重点</w:t>
      </w:r>
      <w:r>
        <w:rPr>
          <w:sz w:val="24"/>
        </w:rPr>
        <w:t>工作</w:t>
      </w:r>
      <w:r>
        <w:rPr>
          <w:rFonts w:hint="eastAsia"/>
          <w:sz w:val="24"/>
        </w:rPr>
        <w:t>................................................................................4</w:t>
      </w:r>
    </w:p>
    <w:p>
      <w:pPr>
        <w:pStyle w:val="14"/>
        <w:adjustRightInd w:val="0"/>
        <w:snapToGrid w:val="0"/>
        <w:jc w:val="left"/>
        <w:rPr>
          <w:sz w:val="24"/>
        </w:rPr>
      </w:pPr>
      <w:r>
        <w:rPr>
          <w:rFonts w:hint="eastAsia"/>
          <w:sz w:val="24"/>
        </w:rPr>
        <w:t>(一)部门</w:t>
      </w:r>
      <w:r>
        <w:rPr>
          <w:sz w:val="24"/>
        </w:rPr>
        <w:t>职责</w:t>
      </w:r>
      <w:r>
        <w:rPr>
          <w:rFonts w:hint="eastAsia"/>
          <w:sz w:val="24"/>
        </w:rPr>
        <w:t>.......................................................................................................4</w:t>
      </w:r>
    </w:p>
    <w:p>
      <w:pPr>
        <w:pStyle w:val="14"/>
        <w:adjustRightInd w:val="0"/>
        <w:snapToGrid w:val="0"/>
        <w:ind w:left="0" w:leftChars="0" w:firstLine="480" w:firstLineChars="200"/>
        <w:jc w:val="left"/>
        <w:rPr>
          <w:b/>
          <w:bCs/>
          <w:sz w:val="24"/>
        </w:rPr>
      </w:pPr>
      <w:r>
        <w:rPr>
          <w:rFonts w:hint="eastAsia"/>
          <w:sz w:val="24"/>
        </w:rPr>
        <w:t>(二）2022年重点工作完成情况......................................................................5</w:t>
      </w:r>
    </w:p>
    <w:p>
      <w:pPr>
        <w:pStyle w:val="14"/>
        <w:adjustRightInd w:val="0"/>
        <w:snapToGrid w:val="0"/>
        <w:ind w:left="0" w:leftChars="0"/>
        <w:jc w:val="left"/>
        <w:rPr>
          <w:rFonts w:ascii="仿宋" w:hAnsi="仿宋" w:cstheme="minorBidi"/>
          <w:sz w:val="24"/>
        </w:rPr>
      </w:pPr>
      <w:r>
        <w:rPr>
          <w:rFonts w:hint="eastAsia"/>
          <w:sz w:val="24"/>
        </w:rPr>
        <w:t>二、机构设置............................................................................................................6</w:t>
      </w:r>
    </w:p>
    <w:p>
      <w:pPr>
        <w:pStyle w:val="12"/>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第二部分 2022年度部门决算情况说明.................................................................6</w:t>
      </w:r>
    </w:p>
    <w:p>
      <w:pPr>
        <w:pStyle w:val="14"/>
        <w:adjustRightInd w:val="0"/>
        <w:snapToGrid w:val="0"/>
        <w:spacing w:line="440" w:lineRule="exact"/>
        <w:jc w:val="left"/>
        <w:rPr>
          <w:sz w:val="24"/>
        </w:rPr>
      </w:pPr>
      <w:r>
        <w:rPr>
          <w:rFonts w:hint="eastAsia"/>
          <w:sz w:val="24"/>
        </w:rPr>
        <w:t>一、收入支出决算总体情况说明.....................................................................6</w:t>
      </w:r>
    </w:p>
    <w:p>
      <w:pPr>
        <w:pStyle w:val="14"/>
        <w:adjustRightInd w:val="0"/>
        <w:snapToGrid w:val="0"/>
        <w:spacing w:line="440" w:lineRule="exact"/>
        <w:jc w:val="left"/>
        <w:rPr>
          <w:rFonts w:ascii="仿宋" w:hAnsi="仿宋" w:cstheme="minorBidi"/>
          <w:sz w:val="24"/>
        </w:rPr>
      </w:pPr>
      <w:r>
        <w:rPr>
          <w:rFonts w:hint="eastAsia"/>
          <w:sz w:val="24"/>
        </w:rPr>
        <w:t>二、收入决算情况说明.....................................................................................7</w:t>
      </w:r>
    </w:p>
    <w:p>
      <w:pPr>
        <w:pStyle w:val="14"/>
        <w:adjustRightInd w:val="0"/>
        <w:snapToGrid w:val="0"/>
        <w:spacing w:line="440" w:lineRule="exact"/>
        <w:jc w:val="left"/>
        <w:rPr>
          <w:rFonts w:ascii="仿宋" w:hAnsi="仿宋" w:cstheme="minorBidi"/>
          <w:sz w:val="24"/>
        </w:rPr>
      </w:pPr>
      <w:r>
        <w:rPr>
          <w:rFonts w:hint="eastAsia"/>
          <w:sz w:val="24"/>
        </w:rPr>
        <w:t>三、支出决算情况说明......................................................................................8</w:t>
      </w:r>
    </w:p>
    <w:p>
      <w:pPr>
        <w:pStyle w:val="14"/>
        <w:adjustRightInd w:val="0"/>
        <w:snapToGrid w:val="0"/>
        <w:spacing w:line="440" w:lineRule="exact"/>
        <w:jc w:val="left"/>
        <w:rPr>
          <w:rFonts w:ascii="仿宋" w:hAnsi="仿宋" w:cstheme="minorBidi"/>
          <w:sz w:val="24"/>
        </w:rPr>
      </w:pPr>
      <w:r>
        <w:rPr>
          <w:rFonts w:hint="eastAsia"/>
          <w:sz w:val="24"/>
        </w:rPr>
        <w:t>四、财政拨款收入支出决算总体情况说明......................................................8</w:t>
      </w:r>
    </w:p>
    <w:p>
      <w:pPr>
        <w:pStyle w:val="14"/>
        <w:adjustRightInd w:val="0"/>
        <w:snapToGrid w:val="0"/>
        <w:spacing w:line="440" w:lineRule="exact"/>
        <w:jc w:val="left"/>
        <w:rPr>
          <w:rFonts w:ascii="仿宋" w:hAnsi="仿宋" w:cstheme="minorBidi"/>
          <w:sz w:val="24"/>
        </w:rPr>
      </w:pPr>
      <w:r>
        <w:rPr>
          <w:rFonts w:hint="eastAsia"/>
          <w:sz w:val="24"/>
        </w:rPr>
        <w:t>五、一般公共预算财政拨款支出决算情况说明..............................................9</w:t>
      </w:r>
    </w:p>
    <w:p>
      <w:pPr>
        <w:pStyle w:val="14"/>
        <w:adjustRightInd w:val="0"/>
        <w:snapToGrid w:val="0"/>
        <w:spacing w:line="440" w:lineRule="exact"/>
        <w:jc w:val="left"/>
        <w:rPr>
          <w:rFonts w:ascii="仿宋" w:hAnsi="仿宋" w:cstheme="minorBidi"/>
          <w:sz w:val="24"/>
        </w:rPr>
      </w:pPr>
      <w:r>
        <w:rPr>
          <w:rFonts w:hint="eastAsia"/>
          <w:sz w:val="24"/>
        </w:rPr>
        <w:t>六、一般公共预算财政拨款基本支出决算情况说明.....................................11</w:t>
      </w:r>
    </w:p>
    <w:p>
      <w:pPr>
        <w:pStyle w:val="14"/>
        <w:adjustRightInd w:val="0"/>
        <w:snapToGrid w:val="0"/>
        <w:spacing w:line="440" w:lineRule="exact"/>
        <w:jc w:val="left"/>
        <w:rPr>
          <w:rFonts w:ascii="仿宋" w:hAnsi="仿宋" w:cstheme="minorBidi"/>
          <w:sz w:val="24"/>
        </w:rPr>
      </w:pPr>
      <w:r>
        <w:rPr>
          <w:rFonts w:hint="eastAsia"/>
          <w:sz w:val="24"/>
        </w:rPr>
        <w:t>七、财政拨款“三公”经费支出决算情况说明.............................................12</w:t>
      </w:r>
    </w:p>
    <w:p>
      <w:pPr>
        <w:pStyle w:val="14"/>
        <w:adjustRightInd w:val="0"/>
        <w:snapToGrid w:val="0"/>
        <w:spacing w:line="440" w:lineRule="exact"/>
        <w:jc w:val="left"/>
        <w:rPr>
          <w:rFonts w:ascii="仿宋" w:hAnsi="仿宋" w:cstheme="minorBidi"/>
          <w:sz w:val="24"/>
        </w:rPr>
      </w:pPr>
      <w:r>
        <w:rPr>
          <w:rFonts w:hint="eastAsia"/>
          <w:sz w:val="24"/>
        </w:rPr>
        <w:t>八、政府性基金预算支出决算情况说明.........................................................13</w:t>
      </w:r>
    </w:p>
    <w:p>
      <w:pPr>
        <w:pStyle w:val="14"/>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sz w:val="24"/>
        </w:rPr>
        <w:t>.....................................................13</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rPr>
        <w:t>.........................................................................13</w:t>
      </w:r>
    </w:p>
    <w:p>
      <w:pPr>
        <w:pStyle w:val="12"/>
        <w:adjustRightInd w:val="0"/>
        <w:snapToGrid w:val="0"/>
        <w:spacing w:before="0" w:line="440" w:lineRule="exact"/>
        <w:jc w:val="left"/>
        <w:rPr>
          <w:rFonts w:hint="eastAsia" w:ascii="Times New Roman" w:hAnsi="Times New Roman" w:eastAsia="宋体"/>
          <w:sz w:val="24"/>
          <w:szCs w:val="24"/>
          <w:lang w:eastAsia="zh-CN"/>
        </w:rPr>
      </w:pPr>
      <w:r>
        <w:rPr>
          <w:rFonts w:hint="eastAsia" w:ascii="Times New Roman" w:hAnsi="Times New Roman" w:eastAsia="宋体"/>
          <w:sz w:val="24"/>
          <w:szCs w:val="24"/>
        </w:rPr>
        <w:t>第三部分 名词解释..................................................................................................1</w:t>
      </w:r>
      <w:r>
        <w:rPr>
          <w:rFonts w:hint="eastAsia" w:ascii="Times New Roman" w:hAnsi="Times New Roman" w:eastAsia="宋体"/>
          <w:sz w:val="24"/>
          <w:szCs w:val="24"/>
          <w:lang w:val="en-US" w:eastAsia="zh-CN"/>
        </w:rPr>
        <w:t>5</w:t>
      </w:r>
    </w:p>
    <w:p>
      <w:pPr>
        <w:pStyle w:val="12"/>
        <w:adjustRightInd w:val="0"/>
        <w:snapToGrid w:val="0"/>
        <w:spacing w:before="0" w:line="440" w:lineRule="exact"/>
        <w:jc w:val="left"/>
        <w:rPr>
          <w:rFonts w:hint="eastAsia" w:ascii="Times New Roman" w:hAnsi="Times New Roman" w:eastAsia="宋体"/>
          <w:sz w:val="24"/>
          <w:szCs w:val="24"/>
          <w:lang w:eastAsia="zh-CN"/>
        </w:rPr>
      </w:pPr>
      <w:r>
        <w:rPr>
          <w:rFonts w:hint="eastAsia" w:ascii="Times New Roman" w:hAnsi="Times New Roman" w:eastAsia="宋体"/>
          <w:sz w:val="24"/>
          <w:szCs w:val="24"/>
        </w:rPr>
        <w:t>第四部分 附件..........................................................................................................1</w:t>
      </w:r>
      <w:r>
        <w:rPr>
          <w:rFonts w:hint="eastAsia" w:ascii="Times New Roman" w:hAnsi="Times New Roman" w:eastAsia="宋体"/>
          <w:sz w:val="24"/>
          <w:szCs w:val="24"/>
          <w:lang w:val="en-US" w:eastAsia="zh-CN"/>
        </w:rPr>
        <w:t>8</w:t>
      </w:r>
    </w:p>
    <w:p>
      <w:pPr>
        <w:pStyle w:val="12"/>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第五部分 附表.</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sz w:val="24"/>
        </w:rPr>
      </w:pPr>
      <w:r>
        <w:rPr>
          <w:rFonts w:hint="eastAsia"/>
          <w:sz w:val="24"/>
        </w:rPr>
        <w:t>十二、国有资本经营预算财政拨款支出决算表</w:t>
      </w:r>
    </w:p>
    <w:p>
      <w:pPr>
        <w:pStyle w:val="14"/>
        <w:adjustRightInd w:val="0"/>
        <w:snapToGrid w:val="0"/>
        <w:spacing w:line="440" w:lineRule="exact"/>
        <w:jc w:val="left"/>
        <w:rPr>
          <w:rFonts w:asciiTheme="minorEastAsia" w:hAnsi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numPr>
          <w:ilvl w:val="0"/>
          <w:numId w:val="1"/>
        </w:numPr>
        <w:jc w:val="center"/>
        <w:rPr>
          <w:rStyle w:val="31"/>
          <w:rFonts w:ascii="黑体" w:hAnsi="黑体" w:eastAsia="黑体"/>
          <w:b w:val="0"/>
          <w:bCs w:val="0"/>
        </w:rPr>
      </w:pPr>
      <w:r>
        <w:rPr>
          <w:rStyle w:val="31"/>
          <w:rFonts w:hint="eastAsia" w:ascii="黑体" w:hAnsi="黑体" w:eastAsia="黑体"/>
          <w:b w:val="0"/>
          <w:bCs w:val="0"/>
        </w:rPr>
        <w:t>部门概况</w:t>
      </w:r>
      <w:bookmarkEnd w:id="12"/>
      <w:bookmarkEnd w:id="13"/>
    </w:p>
    <w:p>
      <w:pPr>
        <w:numPr>
          <w:ilvl w:val="0"/>
          <w:numId w:val="2"/>
        </w:numPr>
        <w:spacing w:line="550" w:lineRule="exact"/>
        <w:ind w:firstLine="480" w:firstLineChars="200"/>
        <w:rPr>
          <w:sz w:val="24"/>
        </w:rPr>
      </w:pPr>
      <w:r>
        <w:rPr>
          <w:rFonts w:hint="eastAsia"/>
          <w:sz w:val="24"/>
        </w:rPr>
        <w:t>部门职责及重点</w:t>
      </w:r>
      <w:r>
        <w:rPr>
          <w:sz w:val="24"/>
        </w:rPr>
        <w:t>工作</w:t>
      </w:r>
    </w:p>
    <w:p>
      <w:pPr>
        <w:numPr>
          <w:ilvl w:val="0"/>
          <w:numId w:val="3"/>
        </w:numPr>
        <w:spacing w:line="550" w:lineRule="exact"/>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部门职责</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剑阁县行政审批局贯彻落实党中央关于行政审批工作的方针政策和省委、市委、县委的决策的部署，在履行职责过程中加强党对行政审批工作的集中统一领导。主要职责是：</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1.拟订全县政务服务体系建设规划并指导实施。</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2.组织县属部门统一受理、集中办理行政审批及其他服务事项，对办理过程实施监督。</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3.会同相关部门拟定行政审批制度改革工作意见，清理规范县级行政审批项目，规范优化审批流程，负责并联审批的组织、协调和督办工作。</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4.做好“放管服”改革工作，承接好上级下放至本县的行政审批权限，监管好县本级下放至乡镇的审批权限。</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5.制定政务服务各项规定并组织实施，对入驻窗口部门进行考核，负责窗口工作人员的日常管理。</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6.推进政务服务信息化平台建设，拟订全县政务服务系统电子政务大厅建设规划并指导实施，组织实施网上申请、网上预审、网上审批。</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7.负责剑阁县公共资源交易中心的建设和管理。</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8.受理行政审批违法违纪行为的投诉举报，会同相关部门调查处理。</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9.负责职责范围内的安全生产和职业健康、生态环境保护、审批服务便民化等工作。</w:t>
      </w:r>
    </w:p>
    <w:p>
      <w:pPr>
        <w:spacing w:line="55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10.承办县委、县政府交办的其他任务。</w:t>
      </w:r>
    </w:p>
    <w:p>
      <w:pPr>
        <w:pStyle w:val="17"/>
        <w:spacing w:after="0"/>
        <w:ind w:left="0" w:leftChars="0" w:firstLine="0" w:firstLineChars="0"/>
        <w:rPr>
          <w:sz w:val="24"/>
        </w:rPr>
      </w:pPr>
      <w:r>
        <w:rPr>
          <w:rFonts w:hint="eastAsia" w:ascii="楷体_GB2312" w:hAnsi="楷体_GB2312" w:eastAsia="楷体_GB2312" w:cs="楷体_GB2312"/>
          <w:sz w:val="32"/>
        </w:rPr>
        <w:t>（二）</w:t>
      </w:r>
      <w:r>
        <w:rPr>
          <w:rFonts w:hint="eastAsia"/>
          <w:sz w:val="24"/>
        </w:rPr>
        <w:t>2022年重点工作完成情况</w:t>
      </w:r>
    </w:p>
    <w:p>
      <w:pPr>
        <w:spacing w:line="576"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1.全面从严治党抓常抓长。</w:t>
      </w:r>
      <w:r>
        <w:rPr>
          <w:rFonts w:hint="eastAsia" w:ascii="仿宋" w:hAnsi="仿宋" w:eastAsia="仿宋" w:cs="仿宋"/>
          <w:color w:val="000000"/>
          <w:sz w:val="32"/>
          <w:szCs w:val="32"/>
        </w:rPr>
        <w:t>坚持民主集中制度，严格落实党内政治生活制度，持续推进党风廉政建设和反腐败工作，狠抓作风纪律整顿，组织开展警示教育12次，深入抓好意识形态建设，常态化开展集中学习和现场</w:t>
      </w:r>
      <w:r>
        <w:rPr>
          <w:rFonts w:hint="eastAsia" w:ascii="仿宋" w:hAnsi="仿宋" w:eastAsia="仿宋" w:cs="仿宋"/>
          <w:color w:val="000000"/>
          <w:sz w:val="32"/>
          <w:szCs w:val="32"/>
          <w:lang w:eastAsia="zh-CN"/>
        </w:rPr>
        <w:t>情境</w:t>
      </w:r>
      <w:r>
        <w:rPr>
          <w:rFonts w:hint="eastAsia" w:ascii="仿宋" w:hAnsi="仿宋" w:eastAsia="仿宋" w:cs="仿宋"/>
          <w:color w:val="000000"/>
          <w:sz w:val="32"/>
          <w:szCs w:val="32"/>
        </w:rPr>
        <w:t>教育。</w:t>
      </w:r>
    </w:p>
    <w:p>
      <w:pPr>
        <w:spacing w:line="576"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2.政务服务营商环境持续优化。</w:t>
      </w:r>
      <w:r>
        <w:rPr>
          <w:rFonts w:hint="eastAsia" w:ascii="仿宋" w:hAnsi="仿宋" w:eastAsia="仿宋" w:cs="仿宋"/>
          <w:color w:val="000000"/>
          <w:sz w:val="32"/>
          <w:szCs w:val="32"/>
        </w:rPr>
        <w:t>“一网通办”政务服务能力持续巩固，多项重要指标排全市前列。工程建设项目审批提质增效，工改系统主线事项应办尽办，办件准确率100%，辅线模块办件覆盖率达100%。“一站式”服务落地落实，除行业特殊要求和保密需要外，“三集中三到位”已基本完成，各部门入驻政务大厅首席事务代表23名，授权事项718项；县乡村三级政务服务机构全覆盖设置“无差别综合窗口”，1200项事项纳入综合窗口办理；县政务服务中心设置惠企政策兑现专窗、工程建设项目联审中心、企业开办“一站式”专区、税务服务区、不动产业务区，加快推进关联事项一站式就近办。高质量高标准完成镇村便民服务体系“三化”建设、“村能办”“家门办”便民服务平台建设，打造亲民化示范点20个，下放事项210项。</w:t>
      </w:r>
    </w:p>
    <w:p>
      <w:pPr>
        <w:spacing w:line="576"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3.公共资源交易更加高效透明。</w:t>
      </w:r>
      <w:r>
        <w:rPr>
          <w:rFonts w:hint="eastAsia" w:ascii="仿宋" w:hAnsi="仿宋" w:eastAsia="仿宋" w:cs="仿宋"/>
          <w:color w:val="000000"/>
          <w:sz w:val="32"/>
          <w:szCs w:val="32"/>
        </w:rPr>
        <w:t>全面推行政府采购项目全流程电子化交易，推进政府集中采购机构标准化建设“省级试点”。今年政府集中采购项目全流程电子化交易19个，全流程电子化交易率100%，远程异地评审3个，异地评审率15%。</w:t>
      </w:r>
    </w:p>
    <w:p>
      <w:pPr>
        <w:pStyle w:val="16"/>
        <w:spacing w:before="95"/>
        <w:ind w:firstLine="321"/>
      </w:pPr>
      <w:r>
        <w:rPr>
          <w:rFonts w:hint="eastAsia" w:ascii="仿宋" w:hAnsi="仿宋" w:eastAsia="仿宋" w:cs="仿宋"/>
          <w:b/>
          <w:bCs/>
          <w:color w:val="000000"/>
          <w:sz w:val="32"/>
          <w:szCs w:val="32"/>
        </w:rPr>
        <w:t>4.政务服务热线办理规范高效。</w:t>
      </w:r>
      <w:r>
        <w:rPr>
          <w:rFonts w:hint="eastAsia" w:ascii="仿宋" w:hAnsi="仿宋" w:eastAsia="仿宋" w:cs="仿宋"/>
          <w:color w:val="000000"/>
          <w:sz w:val="32"/>
          <w:szCs w:val="32"/>
        </w:rPr>
        <w:t>坚持“927”工作法，大力开展“销号清零攻坚大行动”。全县无一漏接、无一超期，接件率、办结率、按时办结率、态度满意率实现“四个100%”，结果满意率达99%。</w:t>
      </w:r>
    </w:p>
    <w:p>
      <w:pPr>
        <w:pStyle w:val="3"/>
        <w:rPr>
          <w:rStyle w:val="32"/>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4"/>
      <w:bookmarkEnd w:id="15"/>
      <w:r>
        <w:rPr>
          <w:rFonts w:hint="eastAsia" w:ascii="黑体" w:hAnsi="黑体" w:eastAsia="黑体"/>
          <w:b w:val="0"/>
        </w:rPr>
        <w:t>及人员概况</w:t>
      </w:r>
    </w:p>
    <w:p>
      <w:pPr>
        <w:spacing w:line="576"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剑阁县行政审批局下属二级预算单位0个。纳入剑阁县行政审批局2023年度部门预算编制范围的单位2个，其中：行政单位1个，公益一类事业单位1个。主要包括：剑阁县行政审批局、剑阁县政务服务和公共资源交易中心（广元市农村产业流转交易剑阁分中心、剑阁县政府采购中心）。</w:t>
      </w:r>
    </w:p>
    <w:p>
      <w:pPr>
        <w:spacing w:line="576"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2022年，部门年末在职人员实有人数26人，其中行政人员8人，事业人员12人，聘用人员3人，遗属1名。</w:t>
      </w:r>
    </w:p>
    <w:p>
      <w:pPr>
        <w:pStyle w:val="2"/>
        <w:ind w:right="440"/>
        <w:jc w:val="center"/>
        <w:rPr>
          <w:rStyle w:val="31"/>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16"/>
      <w:bookmarkEnd w:id="17"/>
    </w:p>
    <w:p/>
    <w:p>
      <w:pPr>
        <w:pStyle w:val="30"/>
        <w:numPr>
          <w:ilvl w:val="0"/>
          <w:numId w:val="4"/>
        </w:numPr>
        <w:spacing w:line="600" w:lineRule="exact"/>
        <w:ind w:firstLineChars="0"/>
        <w:outlineLvl w:val="1"/>
        <w:rPr>
          <w:rStyle w:val="32"/>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2022年度收、支总计466.44万元。与2021年相比，收、支总计各减少48.27万元，下降9.38</w:t>
      </w:r>
      <w:r>
        <w:rPr>
          <w:rFonts w:ascii="仿宋" w:hAnsi="仿宋" w:eastAsia="仿宋"/>
          <w:sz w:val="32"/>
          <w:szCs w:val="32"/>
        </w:rPr>
        <w:t>%</w:t>
      </w:r>
      <w:r>
        <w:rPr>
          <w:rFonts w:hint="eastAsia" w:ascii="仿宋" w:hAnsi="仿宋" w:eastAsia="仿宋"/>
          <w:sz w:val="32"/>
          <w:szCs w:val="32"/>
        </w:rPr>
        <w:t>。主要变动原因是项目减少。</w:t>
      </w:r>
    </w:p>
    <w:p>
      <w:pPr>
        <w:pStyle w:val="16"/>
        <w:spacing w:before="95"/>
        <w:ind w:firstLine="320"/>
        <w:rPr>
          <w:rFonts w:ascii="仿宋" w:hAnsi="仿宋" w:eastAsia="仿宋"/>
          <w:sz w:val="32"/>
          <w:szCs w:val="32"/>
        </w:rPr>
      </w:pPr>
    </w:p>
    <w:p>
      <w:pPr>
        <w:pStyle w:val="16"/>
        <w:spacing w:before="95"/>
        <w:ind w:firstLine="300"/>
      </w:pPr>
      <w:r>
        <w:drawing>
          <wp:inline distT="0" distB="0" distL="114300" distR="114300">
            <wp:extent cx="4068445" cy="2182495"/>
            <wp:effectExtent l="4445" t="4445" r="2286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eastAsia="仿宋"/>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：收、支决算总计变动情况图（单位：万元）</w:t>
      </w:r>
    </w:p>
    <w:p>
      <w:pPr>
        <w:pStyle w:val="30"/>
        <w:numPr>
          <w:ilvl w:val="0"/>
          <w:numId w:val="4"/>
        </w:numPr>
        <w:spacing w:line="600" w:lineRule="exact"/>
        <w:ind w:firstLineChars="0"/>
        <w:outlineLvl w:val="1"/>
        <w:rPr>
          <w:rStyle w:val="32"/>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22年本年收入合计466.44万元，其中：一般公共预算财政拨款收入466.44万元，占100</w:t>
      </w:r>
      <w:r>
        <w:rPr>
          <w:rFonts w:ascii="仿宋" w:hAnsi="仿宋" w:eastAsia="仿宋"/>
          <w:sz w:val="32"/>
          <w:szCs w:val="32"/>
        </w:rPr>
        <w:t>%</w:t>
      </w:r>
      <w:r>
        <w:rPr>
          <w:rFonts w:hint="eastAsia" w:ascii="仿宋" w:hAnsi="仿宋" w:eastAsia="仿宋"/>
          <w:sz w:val="32"/>
          <w:szCs w:val="32"/>
        </w:rPr>
        <w:t>。</w:t>
      </w:r>
    </w:p>
    <w:p>
      <w:pPr>
        <w:pStyle w:val="16"/>
        <w:spacing w:before="95"/>
        <w:ind w:firstLine="300"/>
        <w:rPr>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30"/>
        <w:numPr>
          <w:ilvl w:val="0"/>
          <w:numId w:val="4"/>
        </w:numPr>
        <w:spacing w:line="600" w:lineRule="exact"/>
        <w:ind w:firstLineChars="0"/>
        <w:outlineLvl w:val="1"/>
        <w:rPr>
          <w:rStyle w:val="32"/>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22年本年支出合计466.44万元，其中：基本支出376.92万元，占80.81</w:t>
      </w:r>
      <w:r>
        <w:rPr>
          <w:rFonts w:ascii="仿宋" w:hAnsi="仿宋" w:eastAsia="仿宋"/>
          <w:sz w:val="32"/>
          <w:szCs w:val="32"/>
        </w:rPr>
        <w:t>%</w:t>
      </w:r>
      <w:r>
        <w:rPr>
          <w:rFonts w:hint="eastAsia" w:ascii="仿宋" w:hAnsi="仿宋" w:eastAsia="仿宋"/>
          <w:sz w:val="32"/>
          <w:szCs w:val="32"/>
        </w:rPr>
        <w:t>；项目支出89.52万元，占19.19</w:t>
      </w:r>
      <w:r>
        <w:rPr>
          <w:rFonts w:ascii="仿宋" w:hAnsi="仿宋" w:eastAsia="仿宋"/>
          <w:sz w:val="32"/>
          <w:szCs w:val="32"/>
        </w:rPr>
        <w:t>%</w:t>
      </w:r>
      <w:r>
        <w:rPr>
          <w:rFonts w:hint="eastAsia" w:ascii="仿宋" w:hAnsi="仿宋" w:eastAsia="仿宋"/>
          <w:sz w:val="32"/>
          <w:szCs w:val="32"/>
        </w:rPr>
        <w:t>。</w:t>
      </w:r>
    </w:p>
    <w:p>
      <w:pPr>
        <w:pStyle w:val="16"/>
        <w:spacing w:before="95"/>
        <w:ind w:firstLine="300"/>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7"/>
        <w:ind w:left="420" w:firstLine="1280" w:firstLineChars="400"/>
        <w:rPr>
          <w:rFonts w:eastAsia="仿宋_GB2312"/>
          <w:sz w:val="32"/>
        </w:rPr>
      </w:pPr>
      <w:r>
        <w:rPr>
          <w:rFonts w:hint="eastAsia" w:ascii="仿宋" w:hAnsi="仿宋" w:eastAsia="仿宋"/>
          <w:sz w:val="32"/>
        </w:rPr>
        <w:t>图3：支出决算结构图</w:t>
      </w:r>
    </w:p>
    <w:p>
      <w:pPr>
        <w:spacing w:line="600" w:lineRule="exact"/>
        <w:ind w:firstLine="640" w:firstLineChars="200"/>
        <w:outlineLvl w:val="1"/>
        <w:rPr>
          <w:rStyle w:val="32"/>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22年财政拨款收、支总计466.44万元。与</w:t>
      </w:r>
      <w:r>
        <w:rPr>
          <w:rFonts w:ascii="仿宋" w:hAnsi="仿宋" w:eastAsia="仿宋"/>
          <w:sz w:val="32"/>
          <w:szCs w:val="32"/>
        </w:rPr>
        <w:t>20</w:t>
      </w:r>
      <w:r>
        <w:rPr>
          <w:rFonts w:hint="eastAsia" w:ascii="仿宋" w:hAnsi="仿宋" w:eastAsia="仿宋"/>
          <w:sz w:val="32"/>
          <w:szCs w:val="32"/>
        </w:rPr>
        <w:t>21年相比，财政拨款收、支总计各减少48.27万元，下降9.38</w:t>
      </w:r>
      <w:r>
        <w:rPr>
          <w:rFonts w:ascii="仿宋" w:hAnsi="仿宋" w:eastAsia="仿宋"/>
          <w:sz w:val="32"/>
          <w:szCs w:val="32"/>
        </w:rPr>
        <w:t>%</w:t>
      </w:r>
      <w:r>
        <w:rPr>
          <w:rFonts w:hint="eastAsia" w:ascii="仿宋" w:hAnsi="仿宋" w:eastAsia="仿宋"/>
          <w:sz w:val="32"/>
          <w:szCs w:val="32"/>
        </w:rPr>
        <w:t>。主要变动原因是项目减少。</w:t>
      </w:r>
    </w:p>
    <w:p>
      <w:pPr>
        <w:spacing w:line="600" w:lineRule="exact"/>
        <w:ind w:firstLine="640"/>
        <w:rPr>
          <w:rFonts w:ascii="仿宋" w:hAnsi="仿宋" w:eastAsia="仿宋"/>
          <w:b/>
          <w:sz w:val="32"/>
          <w:szCs w:val="32"/>
        </w:rPr>
      </w:pPr>
    </w:p>
    <w:p>
      <w:pPr>
        <w:pStyle w:val="17"/>
        <w:spacing w:after="0"/>
        <w:ind w:left="0" w:leftChars="0" w:firstLine="0" w:firstLineChars="0"/>
        <w:rPr>
          <w:rFonts w:ascii="仿宋" w:hAnsi="仿宋" w:eastAsia="仿宋"/>
          <w:b/>
          <w:sz w:val="32"/>
        </w:rPr>
      </w:pPr>
      <w:r>
        <w:drawing>
          <wp:inline distT="0" distB="0" distL="114300" distR="114300">
            <wp:extent cx="4924425" cy="2752725"/>
            <wp:effectExtent l="4445" t="4445" r="5080" b="508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图4：财政拨款收、支决算总计变动情况（单位：万元）</w:t>
      </w:r>
    </w:p>
    <w:p>
      <w:pPr>
        <w:spacing w:line="600" w:lineRule="exact"/>
        <w:ind w:firstLine="640" w:firstLineChars="200"/>
        <w:outlineLvl w:val="1"/>
        <w:rPr>
          <w:rStyle w:val="32"/>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22年一般公共预算财政拨款支出466.44万元，占本年支出合计的100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21年相比，一般公共预算财政拨款支出减少48.27万元，下降9.38</w:t>
      </w:r>
      <w:r>
        <w:rPr>
          <w:rFonts w:ascii="仿宋" w:hAnsi="仿宋" w:eastAsia="仿宋"/>
          <w:sz w:val="32"/>
          <w:szCs w:val="32"/>
        </w:rPr>
        <w:t>%</w:t>
      </w:r>
      <w:r>
        <w:rPr>
          <w:rFonts w:hint="eastAsia" w:ascii="仿宋" w:hAnsi="仿宋" w:eastAsia="仿宋"/>
          <w:sz w:val="32"/>
          <w:szCs w:val="32"/>
        </w:rPr>
        <w:t>。主要变动原因是项目减少。</w:t>
      </w:r>
    </w:p>
    <w:p>
      <w:pPr>
        <w:pStyle w:val="17"/>
        <w:ind w:left="420" w:firstLine="640"/>
        <w:rPr>
          <w:rFonts w:ascii="仿宋" w:hAnsi="仿宋" w:eastAsia="仿宋"/>
          <w:sz w:val="32"/>
        </w:rPr>
      </w:pPr>
    </w:p>
    <w:p>
      <w:pPr>
        <w:pStyle w:val="16"/>
        <w:spacing w:before="95"/>
        <w:ind w:firstLine="300"/>
        <w:rPr>
          <w:rFonts w:ascii="仿宋" w:hAnsi="仿宋" w:eastAsia="仿宋"/>
          <w:sz w:val="32"/>
          <w:szCs w:val="32"/>
        </w:rPr>
      </w:pPr>
      <w:r>
        <w:drawing>
          <wp:inline distT="0" distB="0" distL="114300" distR="114300">
            <wp:extent cx="4895215" cy="2714625"/>
            <wp:effectExtent l="4445" t="4445" r="15240"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hAnsi="仿宋" w:eastAsia="仿宋"/>
          <w:sz w:val="32"/>
          <w:szCs w:val="32"/>
        </w:rPr>
        <w:t>图5：一般公共预算财政拨款支出决算变动情况（单位：万元）</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22年一般公共预算财政拨款支出466.44万元，主要用于以下方面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315.79万元，占67.70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27.17万元，占5.83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18.58万元，占3.98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w:t>
      </w:r>
      <w:r>
        <w:rPr>
          <w:rFonts w:hint="eastAsia" w:ascii="仿宋" w:hAnsi="仿宋" w:eastAsia="仿宋"/>
          <w:b/>
          <w:bCs/>
          <w:sz w:val="32"/>
          <w:szCs w:val="32"/>
        </w:rPr>
        <w:t>支出</w:t>
      </w:r>
      <w:r>
        <w:rPr>
          <w:rFonts w:hint="eastAsia" w:ascii="仿宋" w:hAnsi="仿宋" w:eastAsia="仿宋"/>
          <w:sz w:val="32"/>
          <w:szCs w:val="32"/>
        </w:rPr>
        <w:t>84.52万元，占18.12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20.38万元，占4.37</w:t>
      </w:r>
      <w:r>
        <w:rPr>
          <w:rFonts w:ascii="仿宋" w:hAnsi="仿宋" w:eastAsia="仿宋"/>
          <w:sz w:val="32"/>
          <w:szCs w:val="32"/>
        </w:rPr>
        <w:t>%</w:t>
      </w:r>
      <w:r>
        <w:rPr>
          <w:rFonts w:hint="eastAsia" w:ascii="仿宋" w:hAnsi="仿宋" w:eastAsia="仿宋"/>
          <w:sz w:val="32"/>
          <w:szCs w:val="32"/>
        </w:rPr>
        <w:t>。</w:t>
      </w:r>
    </w:p>
    <w:p>
      <w:pPr>
        <w:pStyle w:val="16"/>
        <w:spacing w:before="95"/>
        <w:ind w:firstLine="320"/>
        <w:rPr>
          <w:rFonts w:ascii="仿宋" w:hAnsi="仿宋" w:eastAsia="仿宋"/>
          <w:sz w:val="32"/>
          <w:szCs w:val="32"/>
        </w:rPr>
      </w:pPr>
    </w:p>
    <w:p>
      <w:pPr>
        <w:pStyle w:val="16"/>
        <w:spacing w:before="95"/>
        <w:ind w:firstLine="320"/>
        <w:rPr>
          <w:rFonts w:ascii="仿宋" w:hAnsi="仿宋" w:eastAsia="仿宋"/>
          <w:sz w:val="32"/>
          <w:szCs w:val="32"/>
        </w:rPr>
      </w:pPr>
    </w:p>
    <w:p>
      <w:pPr>
        <w:pStyle w:val="16"/>
        <w:spacing w:before="95"/>
        <w:ind w:firstLine="300"/>
        <w:rPr>
          <w:rFonts w:ascii="仿宋" w:hAnsi="仿宋" w:eastAsia="仿宋"/>
          <w:sz w:val="32"/>
          <w:szCs w:val="32"/>
        </w:rPr>
      </w:pPr>
      <w:r>
        <w:drawing>
          <wp:inline distT="0" distB="0" distL="114300" distR="114300">
            <wp:extent cx="5057775" cy="2695575"/>
            <wp:effectExtent l="4445" t="4445" r="5080"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6"/>
        <w:spacing w:before="95"/>
        <w:ind w:firstLine="1280" w:firstLineChars="400"/>
      </w:pPr>
      <w:r>
        <w:rPr>
          <w:rFonts w:hint="eastAsia" w:ascii="仿宋" w:hAnsi="仿宋" w:eastAsia="仿宋"/>
          <w:sz w:val="32"/>
          <w:szCs w:val="32"/>
        </w:rPr>
        <w:t>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2022年一般公共预算支出决算数为466.44</w:t>
      </w:r>
      <w:r>
        <w:rPr>
          <w:rFonts w:hint="eastAsia" w:ascii="仿宋" w:hAnsi="仿宋" w:eastAsia="仿宋"/>
          <w:sz w:val="32"/>
          <w:szCs w:val="32"/>
        </w:rPr>
        <w:t>，</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20"/>
          <w:rFonts w:ascii="仿宋" w:hAnsi="仿宋" w:eastAsia="仿宋"/>
          <w:bCs/>
          <w:sz w:val="32"/>
          <w:szCs w:val="32"/>
        </w:rPr>
        <w:t>1.</w:t>
      </w:r>
      <w:r>
        <w:rPr>
          <w:rStyle w:val="20"/>
          <w:rFonts w:hint="eastAsia" w:ascii="仿宋" w:hAnsi="仿宋" w:eastAsia="仿宋"/>
          <w:bCs/>
          <w:sz w:val="32"/>
          <w:szCs w:val="32"/>
        </w:rPr>
        <w:t>一般公共服务（类）</w:t>
      </w:r>
      <w:r>
        <w:rPr>
          <w:rFonts w:hint="eastAsia" w:ascii="楷体_GB2312" w:hAnsi="楷体_GB2312" w:eastAsia="楷体_GB2312" w:cs="楷体_GB2312"/>
          <w:sz w:val="32"/>
          <w:szCs w:val="32"/>
        </w:rPr>
        <w:t>政府办公厅（室）及相关机构事务（款）政务公开审批（项）</w:t>
      </w:r>
      <w:r>
        <w:rPr>
          <w:rFonts w:hint="eastAsia" w:ascii="楷体_GB2312" w:hAnsi="楷体_GB2312" w:eastAsia="楷体_GB2312" w:cs="楷体_GB2312"/>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支出决算为127.84万元，完成预算100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Fonts w:ascii="华文仿宋" w:hAnsi="华文仿宋" w:eastAsia="华文仿宋" w:cs="华文仿宋"/>
          <w:color w:val="000000"/>
          <w:kern w:val="0"/>
          <w:sz w:val="32"/>
          <w:szCs w:val="32"/>
          <w:lang w:bidi="ar"/>
        </w:rPr>
      </w:pPr>
      <w:r>
        <w:rPr>
          <w:rStyle w:val="20"/>
          <w:rFonts w:ascii="仿宋" w:hAnsi="仿宋" w:eastAsia="仿宋"/>
          <w:bCs/>
          <w:sz w:val="32"/>
          <w:szCs w:val="32"/>
        </w:rPr>
        <w:t>2.</w:t>
      </w:r>
      <w:r>
        <w:rPr>
          <w:rFonts w:hint="eastAsia" w:ascii="华文仿宋" w:hAnsi="华文仿宋" w:eastAsia="华文仿宋" w:cs="华文仿宋"/>
          <w:color w:val="000000"/>
          <w:kern w:val="0"/>
          <w:sz w:val="32"/>
          <w:szCs w:val="32"/>
          <w:lang w:bidi="ar"/>
        </w:rPr>
        <w:t>一般公共服务（类）政府办公厅（室）及相关机构事务（款）事业运行（项）：</w:t>
      </w:r>
      <w:r>
        <w:rPr>
          <w:rStyle w:val="20"/>
          <w:rFonts w:hint="eastAsia" w:ascii="仿宋" w:hAnsi="仿宋" w:eastAsia="仿宋"/>
          <w:b w:val="0"/>
          <w:bCs/>
          <w:sz w:val="32"/>
          <w:szCs w:val="32"/>
        </w:rPr>
        <w:t>支出决算为187.95万元，完成预算100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20"/>
          <w:rFonts w:ascii="仿宋" w:hAnsi="仿宋" w:eastAsia="仿宋"/>
          <w:bCs/>
          <w:sz w:val="32"/>
          <w:szCs w:val="32"/>
        </w:rPr>
        <w:t>3.</w:t>
      </w:r>
      <w:r>
        <w:rPr>
          <w:rStyle w:val="20"/>
          <w:rFonts w:hint="eastAsia" w:ascii="仿宋" w:hAnsi="仿宋" w:eastAsia="仿宋"/>
          <w:bCs/>
          <w:sz w:val="32"/>
          <w:szCs w:val="32"/>
        </w:rPr>
        <w:t>社会保障和就业（类）</w:t>
      </w:r>
      <w:r>
        <w:rPr>
          <w:rFonts w:hint="eastAsia" w:ascii="华文仿宋" w:hAnsi="华文仿宋" w:eastAsia="华文仿宋" w:cs="华文仿宋"/>
          <w:color w:val="000000"/>
          <w:kern w:val="0"/>
          <w:sz w:val="32"/>
          <w:szCs w:val="32"/>
          <w:lang w:bidi="ar"/>
        </w:rPr>
        <w:t>行政事业单位养老支出（款）机关事业单位基本养老保险缴费支出（项）</w:t>
      </w:r>
      <w:r>
        <w:rPr>
          <w:rFonts w:hint="eastAsia" w:ascii="华文仿宋" w:hAnsi="华文仿宋" w:eastAsia="华文仿宋" w:cs="华文仿宋"/>
          <w:color w:val="000000"/>
          <w:kern w:val="0"/>
          <w:sz w:val="32"/>
          <w:szCs w:val="32"/>
          <w:lang w:eastAsia="zh-CN" w:bidi="ar"/>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支出决算为27.17万元，完成预算100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Style w:val="20"/>
          <w:rFonts w:ascii="仿宋" w:hAnsi="仿宋" w:eastAsia="仿宋"/>
          <w:b w:val="0"/>
          <w:bCs/>
          <w:sz w:val="32"/>
          <w:szCs w:val="32"/>
        </w:rPr>
      </w:pPr>
      <w:r>
        <w:rPr>
          <w:rStyle w:val="20"/>
          <w:rFonts w:ascii="仿宋" w:hAnsi="仿宋" w:eastAsia="仿宋"/>
          <w:bCs/>
          <w:sz w:val="32"/>
          <w:szCs w:val="32"/>
        </w:rPr>
        <w:t>4.</w:t>
      </w:r>
      <w:r>
        <w:rPr>
          <w:rFonts w:hint="eastAsia" w:ascii="仿宋" w:hAnsi="仿宋" w:eastAsia="仿宋"/>
          <w:b/>
          <w:bCs/>
          <w:sz w:val="32"/>
          <w:szCs w:val="32"/>
        </w:rPr>
        <w:t>卫生健康</w:t>
      </w:r>
      <w:r>
        <w:rPr>
          <w:rStyle w:val="20"/>
          <w:rFonts w:hint="eastAsia" w:ascii="仿宋" w:hAnsi="仿宋" w:eastAsia="仿宋"/>
          <w:bCs/>
          <w:sz w:val="32"/>
          <w:szCs w:val="32"/>
        </w:rPr>
        <w:t>（类）</w:t>
      </w:r>
      <w:r>
        <w:rPr>
          <w:rFonts w:hint="eastAsia" w:ascii="华文仿宋" w:hAnsi="华文仿宋" w:eastAsia="华文仿宋" w:cs="华文仿宋"/>
          <w:color w:val="000000"/>
          <w:kern w:val="0"/>
          <w:sz w:val="32"/>
          <w:szCs w:val="32"/>
          <w:lang w:bidi="ar"/>
        </w:rPr>
        <w:t>公共卫生（款）重大公共卫生服务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Style w:val="20"/>
          <w:rFonts w:ascii="仿宋" w:hAnsi="仿宋" w:eastAsia="仿宋"/>
          <w:b w:val="0"/>
          <w:bCs/>
          <w:sz w:val="32"/>
          <w:szCs w:val="32"/>
        </w:rPr>
      </w:pPr>
      <w:r>
        <w:rPr>
          <w:rStyle w:val="20"/>
          <w:rFonts w:ascii="仿宋" w:hAnsi="仿宋" w:eastAsia="仿宋"/>
          <w:bCs/>
          <w:sz w:val="32"/>
          <w:szCs w:val="32"/>
        </w:rPr>
        <w:t>5.</w:t>
      </w:r>
      <w:r>
        <w:rPr>
          <w:rFonts w:hint="eastAsia" w:ascii="仿宋" w:hAnsi="仿宋" w:eastAsia="仿宋"/>
          <w:b/>
          <w:bCs/>
          <w:sz w:val="32"/>
          <w:szCs w:val="32"/>
        </w:rPr>
        <w:t>卫生健康</w:t>
      </w:r>
      <w:r>
        <w:rPr>
          <w:rStyle w:val="20"/>
          <w:rFonts w:hint="eastAsia" w:ascii="仿宋" w:hAnsi="仿宋" w:eastAsia="仿宋"/>
          <w:bCs/>
          <w:sz w:val="32"/>
          <w:szCs w:val="32"/>
        </w:rPr>
        <w:t>（类）</w:t>
      </w:r>
      <w:r>
        <w:rPr>
          <w:rFonts w:hint="eastAsia" w:ascii="华文仿宋" w:hAnsi="华文仿宋" w:eastAsia="华文仿宋" w:cs="华文仿宋"/>
          <w:color w:val="000000"/>
          <w:kern w:val="0"/>
          <w:sz w:val="32"/>
          <w:szCs w:val="32"/>
          <w:lang w:bidi="ar"/>
        </w:rPr>
        <w:t>行政事业单位医疗（款）行政单位医疗</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支出决算为4.84万元，完成预算100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Style w:val="20"/>
          <w:rFonts w:ascii="仿宋" w:hAnsi="仿宋" w:eastAsia="仿宋"/>
          <w:b w:val="0"/>
          <w:bCs/>
          <w:sz w:val="32"/>
          <w:szCs w:val="32"/>
        </w:rPr>
      </w:pPr>
      <w:r>
        <w:rPr>
          <w:rStyle w:val="20"/>
          <w:rFonts w:ascii="仿宋" w:hAnsi="仿宋" w:eastAsia="仿宋"/>
          <w:bCs/>
          <w:sz w:val="32"/>
          <w:szCs w:val="32"/>
        </w:rPr>
        <w:t>6.</w:t>
      </w:r>
      <w:r>
        <w:rPr>
          <w:rFonts w:hint="eastAsia" w:ascii="仿宋" w:hAnsi="仿宋" w:eastAsia="仿宋"/>
          <w:b/>
          <w:bCs/>
          <w:sz w:val="32"/>
          <w:szCs w:val="32"/>
        </w:rPr>
        <w:t>卫生健康</w:t>
      </w:r>
      <w:r>
        <w:rPr>
          <w:rStyle w:val="20"/>
          <w:rFonts w:hint="eastAsia" w:ascii="仿宋" w:hAnsi="仿宋" w:eastAsia="仿宋"/>
          <w:bCs/>
          <w:sz w:val="32"/>
          <w:szCs w:val="32"/>
        </w:rPr>
        <w:t>（类）</w:t>
      </w:r>
      <w:r>
        <w:rPr>
          <w:rFonts w:hint="eastAsia" w:ascii="华文仿宋" w:hAnsi="华文仿宋" w:eastAsia="华文仿宋" w:cs="华文仿宋"/>
          <w:color w:val="000000"/>
          <w:kern w:val="0"/>
          <w:sz w:val="32"/>
          <w:szCs w:val="32"/>
          <w:lang w:bidi="ar"/>
        </w:rPr>
        <w:t>行政事业单位医疗（款）事业单位医疗</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支出决算为8.74万元，完成预算100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cstheme="minorBidi"/>
          <w:bCs/>
          <w:sz w:val="32"/>
          <w:szCs w:val="32"/>
        </w:rPr>
        <w:t>7.</w:t>
      </w:r>
      <w:r>
        <w:rPr>
          <w:rFonts w:hint="eastAsia" w:ascii="仿宋" w:hAnsi="仿宋" w:eastAsia="仿宋"/>
          <w:b/>
          <w:bCs/>
          <w:sz w:val="32"/>
          <w:szCs w:val="32"/>
        </w:rPr>
        <w:t>农林水</w:t>
      </w:r>
      <w:r>
        <w:rPr>
          <w:rStyle w:val="20"/>
          <w:rFonts w:hint="eastAsia" w:ascii="仿宋" w:hAnsi="仿宋" w:eastAsia="仿宋"/>
          <w:bCs/>
          <w:sz w:val="32"/>
          <w:szCs w:val="32"/>
        </w:rPr>
        <w:t>（类）</w:t>
      </w:r>
      <w:r>
        <w:rPr>
          <w:rFonts w:hint="eastAsia" w:ascii="华文仿宋" w:hAnsi="华文仿宋" w:eastAsia="华文仿宋" w:cs="华文仿宋"/>
          <w:color w:val="000000"/>
          <w:kern w:val="0"/>
          <w:sz w:val="32"/>
          <w:szCs w:val="32"/>
          <w:lang w:bidi="ar"/>
        </w:rPr>
        <w:t>巩固脱贫衔接乡村振兴（款）其他巩固脱贫衔接乡村振兴</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支出决算为84.52万元，完成预算100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17"/>
        <w:spacing w:after="0"/>
        <w:ind w:left="0" w:leftChars="0" w:firstLine="643"/>
        <w:rPr>
          <w:rFonts w:ascii="仿宋" w:hAnsi="仿宋" w:eastAsia="仿宋"/>
          <w:b/>
          <w:sz w:val="32"/>
        </w:rPr>
      </w:pPr>
      <w:r>
        <w:rPr>
          <w:rStyle w:val="20"/>
          <w:rFonts w:hint="eastAsia" w:ascii="仿宋" w:hAnsi="仿宋" w:eastAsia="仿宋" w:cstheme="minorBidi"/>
          <w:bCs/>
          <w:sz w:val="32"/>
        </w:rPr>
        <w:t>8.</w:t>
      </w:r>
      <w:r>
        <w:rPr>
          <w:rFonts w:hint="eastAsia" w:ascii="华文仿宋" w:hAnsi="华文仿宋" w:eastAsia="华文仿宋" w:cs="华文仿宋"/>
          <w:color w:val="000000"/>
          <w:kern w:val="0"/>
          <w:sz w:val="32"/>
          <w:lang w:bidi="ar"/>
        </w:rPr>
        <w:t>住房保障（类）住房改革支出（款）住房公积金</w:t>
      </w:r>
      <w:r>
        <w:rPr>
          <w:rStyle w:val="20"/>
          <w:rFonts w:hint="eastAsia" w:ascii="仿宋" w:hAnsi="仿宋" w:eastAsia="仿宋"/>
          <w:bCs/>
          <w:sz w:val="32"/>
        </w:rPr>
        <w:t>（项）</w:t>
      </w:r>
      <w:r>
        <w:rPr>
          <w:rStyle w:val="20"/>
          <w:rFonts w:hint="eastAsia" w:ascii="仿宋" w:hAnsi="仿宋" w:eastAsia="仿宋"/>
          <w:bCs/>
          <w:sz w:val="32"/>
          <w:lang w:eastAsia="zh-CN"/>
        </w:rPr>
        <w:t>：</w:t>
      </w:r>
      <w:r>
        <w:rPr>
          <w:rStyle w:val="20"/>
          <w:rFonts w:hint="eastAsia" w:ascii="仿宋" w:hAnsi="仿宋" w:eastAsia="仿宋"/>
          <w:b w:val="0"/>
          <w:bCs/>
          <w:sz w:val="32"/>
        </w:rPr>
        <w:t>支出决算为20.38万元，完成预算100</w:t>
      </w:r>
      <w:r>
        <w:rPr>
          <w:rStyle w:val="20"/>
          <w:rFonts w:ascii="仿宋" w:hAnsi="仿宋" w:eastAsia="仿宋"/>
          <w:b w:val="0"/>
          <w:bCs/>
          <w:sz w:val="32"/>
        </w:rPr>
        <w:t>%</w:t>
      </w:r>
      <w:r>
        <w:rPr>
          <w:rStyle w:val="20"/>
          <w:rFonts w:hint="eastAsia" w:ascii="仿宋" w:hAnsi="仿宋" w:eastAsia="仿宋"/>
          <w:b w:val="0"/>
          <w:bCs/>
          <w:sz w:val="32"/>
        </w:rPr>
        <w:t>。</w:t>
      </w:r>
    </w:p>
    <w:p>
      <w:pPr>
        <w:tabs>
          <w:tab w:val="right" w:pos="8306"/>
        </w:tabs>
        <w:spacing w:line="600" w:lineRule="exact"/>
        <w:ind w:firstLine="640"/>
        <w:outlineLvl w:val="1"/>
        <w:rPr>
          <w:rStyle w:val="32"/>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22年一般公共预算财政拨款基本支出376.92万元，其中：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347.78万元，主要包括：基本工资、津贴补贴、奖金、绩效工资、机关事业单位基本养老保险缴费、其他社会保障缴费、其他工资福利支出、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公用经费29.14万元，主要包括：办公费、印刷费、差旅费、维修（护）费、会议费、培训费、公务接待费、劳务费、工会经费、福利费、其他交通费、其他商品和服务支出等。</w:t>
      </w:r>
    </w:p>
    <w:p>
      <w:pPr>
        <w:spacing w:line="600" w:lineRule="exact"/>
        <w:ind w:firstLine="640"/>
        <w:outlineLvl w:val="1"/>
        <w:rPr>
          <w:rStyle w:val="32"/>
          <w:rFonts w:ascii="黑体" w:hAnsi="黑体" w:eastAsia="黑体"/>
          <w:b w:val="0"/>
        </w:rPr>
      </w:pPr>
      <w:bookmarkStart w:id="36" w:name="_Toc15396609"/>
      <w:bookmarkStart w:id="37"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22年“三公”经费财政拨款支出决算为2.28万元，完成预算100</w:t>
      </w:r>
      <w:r>
        <w:rPr>
          <w:rFonts w:ascii="仿宋" w:hAnsi="仿宋" w:eastAsia="仿宋"/>
          <w:sz w:val="32"/>
          <w:szCs w:val="32"/>
        </w:rPr>
        <w:t>%</w:t>
      </w:r>
      <w:r>
        <w:rPr>
          <w:rFonts w:hint="eastAsia" w:ascii="仿宋" w:hAnsi="仿宋" w:eastAsia="仿宋"/>
          <w:sz w:val="32"/>
          <w:szCs w:val="32"/>
        </w:rPr>
        <w:t>，较上年增加0.01万元，增长0.68%。</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；公务接待费支出决算2.28万元，占100</w:t>
      </w:r>
      <w:r>
        <w:rPr>
          <w:rFonts w:ascii="仿宋" w:hAnsi="仿宋" w:eastAsia="仿宋"/>
          <w:sz w:val="32"/>
          <w:szCs w:val="32"/>
        </w:rPr>
        <w:t>%</w:t>
      </w:r>
      <w:r>
        <w:rPr>
          <w:rFonts w:hint="eastAsia" w:ascii="仿宋" w:hAnsi="仿宋" w:eastAsia="仿宋"/>
          <w:sz w:val="32"/>
          <w:szCs w:val="32"/>
        </w:rPr>
        <w:t>。具体情况如下：</w:t>
      </w:r>
    </w:p>
    <w:p>
      <w:pPr>
        <w:pStyle w:val="16"/>
        <w:spacing w:before="95"/>
        <w:ind w:firstLine="320"/>
        <w:rPr>
          <w:rFonts w:ascii="仿宋" w:hAnsi="仿宋" w:eastAsia="仿宋"/>
          <w:sz w:val="32"/>
          <w:szCs w:val="32"/>
        </w:rPr>
      </w:pPr>
      <w:r>
        <w:rPr>
          <w:rFonts w:hint="eastAsia" w:ascii="仿宋" w:hAnsi="仿宋" w:eastAsia="仿宋"/>
          <w:sz w:val="32"/>
          <w:szCs w:val="32"/>
        </w:rPr>
        <w:t xml:space="preserve"> </w:t>
      </w:r>
      <w:r>
        <w:drawing>
          <wp:inline distT="0" distB="0" distL="114300" distR="114300">
            <wp:extent cx="4847590" cy="2695575"/>
            <wp:effectExtent l="4445" t="5080" r="5715" b="444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6"/>
        <w:spacing w:before="95"/>
        <w:ind w:firstLine="1600" w:firstLineChars="500"/>
        <w:rPr>
          <w:rFonts w:ascii="仿宋" w:hAnsi="仿宋" w:eastAsia="仿宋"/>
          <w:sz w:val="32"/>
          <w:szCs w:val="32"/>
        </w:rPr>
      </w:pPr>
      <w:r>
        <w:rPr>
          <w:rFonts w:hint="eastAsia" w:ascii="仿宋" w:hAnsi="仿宋" w:eastAsia="仿宋"/>
          <w:sz w:val="32"/>
          <w:szCs w:val="32"/>
        </w:rPr>
        <w:t xml:space="preserve"> 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2.28万元，</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21年增加0.01万元，增长0.68</w:t>
      </w:r>
      <w:r>
        <w:rPr>
          <w:rFonts w:ascii="仿宋_GB2312" w:eastAsia="仿宋_GB2312"/>
          <w:sz w:val="32"/>
          <w:szCs w:val="32"/>
        </w:rPr>
        <w:t>%</w:t>
      </w:r>
      <w:r>
        <w:rPr>
          <w:rFonts w:hint="eastAsia" w:ascii="仿宋_GB2312" w:eastAsia="仿宋_GB2312"/>
          <w:sz w:val="32"/>
          <w:szCs w:val="32"/>
        </w:rPr>
        <w:t>。主要原因是交流考察。其中：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2.28</w:t>
      </w:r>
      <w:r>
        <w:rPr>
          <w:rFonts w:hint="eastAsia" w:ascii="仿宋_GB2312" w:eastAsia="仿宋_GB2312"/>
          <w:sz w:val="32"/>
          <w:szCs w:val="32"/>
        </w:rPr>
        <w:t>万元，主要用于执行公务、开展业务活动开支的交通费、住宿费、用餐费等。国内公务接待28批次，253人次（不包括陪同人员），共计支出2.28万元，具体内容包括：上级检查督导工作接待用餐费用、县区交流学习等。</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5"/>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5"/>
        </w:numPr>
        <w:spacing w:line="600" w:lineRule="exact"/>
        <w:ind w:firstLine="640"/>
        <w:outlineLvl w:val="1"/>
        <w:rPr>
          <w:rStyle w:val="32"/>
          <w:rFonts w:ascii="黑体" w:hAnsi="黑体" w:eastAsia="黑体"/>
          <w:b w:val="0"/>
        </w:rPr>
      </w:pPr>
      <w:bookmarkStart w:id="44" w:name="_Toc15377221"/>
      <w:bookmarkStart w:id="45" w:name="_Toc15396612"/>
      <w:r>
        <w:rPr>
          <w:rStyle w:val="32"/>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22年，剑阁县行政审批局机关运行经费支出29.14万元，比</w:t>
      </w:r>
      <w:r>
        <w:rPr>
          <w:rFonts w:ascii="仿宋_GB2312" w:eastAsia="仿宋_GB2312"/>
          <w:sz w:val="32"/>
          <w:szCs w:val="32"/>
        </w:rPr>
        <w:t>20</w:t>
      </w:r>
      <w:r>
        <w:rPr>
          <w:rFonts w:hint="eastAsia" w:ascii="仿宋_GB2312" w:eastAsia="仿宋_GB2312"/>
          <w:sz w:val="32"/>
          <w:szCs w:val="32"/>
        </w:rPr>
        <w:t>21年增加4.88万元，增长20.11</w:t>
      </w:r>
      <w:r>
        <w:rPr>
          <w:rFonts w:ascii="仿宋_GB2312" w:eastAsia="仿宋_GB2312"/>
          <w:sz w:val="32"/>
          <w:szCs w:val="32"/>
        </w:rPr>
        <w:t>%</w:t>
      </w:r>
      <w:r>
        <w:rPr>
          <w:rFonts w:hint="eastAsia" w:ascii="仿宋_GB2312" w:eastAsia="仿宋_GB2312"/>
          <w:sz w:val="32"/>
          <w:szCs w:val="32"/>
        </w:rPr>
        <w:t>。主要原因是人员增加。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行政审批局政府采购支出总额53.77万元，其中：政府采购货物支出53.77万元、政府采购工程支出0万元、政府采购服务支出0万元。主要用于剑阁县便民服务“三化”建设项目货物采购。授予中小企业合同金额53.77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，其中：授予小微企业合同金额53.77万元，占政府采购支出总额的100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日，剑阁县行政审批局共有车辆0辆。单价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根据预算绩效管理要求，本部门在2022年度预算编制阶段，组织对“新冠”疫情防控经费项目和剑阁县便民服务“三化”建设项目等2个项目开展了预算事前绩效评估，对2个项目编制了绩效目标，预算执行过程中，选取2个项目开展绩效监控。</w:t>
      </w:r>
    </w:p>
    <w:p>
      <w:pPr>
        <w:widowControl/>
        <w:ind w:firstLine="620" w:firstLineChars="200"/>
        <w:jc w:val="left"/>
      </w:pPr>
      <w:r>
        <w:rPr>
          <w:rFonts w:ascii="仿宋_GB2312" w:hAnsi="仿宋_GB2312" w:eastAsia="仿宋_GB2312" w:cs="仿宋_GB2312"/>
          <w:color w:val="000000"/>
          <w:kern w:val="0"/>
          <w:sz w:val="31"/>
          <w:szCs w:val="31"/>
          <w:lang w:bidi="ar"/>
        </w:rPr>
        <w:t>组织对 2022 年度一般公共预算支出全面开展绩效自评，形成</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ascii="仿宋_GB2312" w:hAnsi="仿宋_GB2312" w:eastAsia="仿宋_GB2312" w:cs="仿宋_GB2312"/>
          <w:color w:val="000000"/>
          <w:kern w:val="0"/>
          <w:sz w:val="31"/>
          <w:szCs w:val="31"/>
          <w:lang w:bidi="ar"/>
        </w:rPr>
        <w:t>整体绩效自评报告。</w:t>
      </w:r>
      <w:r>
        <w:rPr>
          <w:rFonts w:hint="eastAsia" w:ascii="仿宋_GB2312" w:hAnsi="仿宋_GB2312" w:eastAsia="仿宋_GB2312" w:cs="仿宋_GB2312"/>
          <w:color w:val="000000"/>
          <w:kern w:val="0"/>
          <w:sz w:val="31"/>
          <w:szCs w:val="31"/>
          <w:lang w:bidi="ar"/>
        </w:rPr>
        <w:t>本</w:t>
      </w:r>
      <w:r>
        <w:rPr>
          <w:rFonts w:hint="eastAsia" w:ascii="仿宋_GB2312" w:hAnsi="仿宋_GB2312" w:eastAsia="仿宋_GB2312" w:cs="仿宋_GB2312"/>
          <w:color w:val="000000"/>
          <w:kern w:val="0"/>
          <w:sz w:val="31"/>
          <w:szCs w:val="31"/>
          <w:lang w:eastAsia="zh-CN" w:bidi="ar"/>
        </w:rPr>
        <w:t>部门</w:t>
      </w:r>
      <w:r>
        <w:rPr>
          <w:rFonts w:ascii="仿宋_GB2312" w:hAnsi="仿宋_GB2312" w:eastAsia="仿宋_GB2312" w:cs="仿宋_GB2312"/>
          <w:color w:val="000000"/>
          <w:kern w:val="0"/>
          <w:sz w:val="31"/>
          <w:szCs w:val="31"/>
          <w:lang w:bidi="ar"/>
        </w:rPr>
        <w:t>整体绩效自评得</w:t>
      </w:r>
      <w:r>
        <w:rPr>
          <w:rFonts w:ascii="仿宋_GB2312" w:hAnsi="仿宋_GB2312" w:eastAsia="仿宋_GB2312" w:cs="仿宋_GB2312"/>
          <w:kern w:val="0"/>
          <w:sz w:val="31"/>
          <w:szCs w:val="31"/>
          <w:lang w:bidi="ar"/>
        </w:rPr>
        <w:t>分 为</w:t>
      </w:r>
      <w:r>
        <w:rPr>
          <w:rFonts w:hint="eastAsia" w:ascii="仿宋_GB2312" w:hAnsi="仿宋_GB2312" w:eastAsia="仿宋_GB2312" w:cs="仿宋_GB2312"/>
          <w:kern w:val="0"/>
          <w:sz w:val="31"/>
          <w:szCs w:val="31"/>
          <w:lang w:bidi="ar"/>
        </w:rPr>
        <w:t>96</w:t>
      </w:r>
      <w:r>
        <w:rPr>
          <w:rFonts w:ascii="仿宋_GB2312" w:hAnsi="仿宋_GB2312" w:eastAsia="仿宋_GB2312" w:cs="仿宋_GB2312"/>
          <w:kern w:val="0"/>
          <w:sz w:val="31"/>
          <w:szCs w:val="31"/>
          <w:lang w:bidi="ar"/>
        </w:rPr>
        <w:t xml:space="preserve"> 分</w:t>
      </w:r>
      <w:r>
        <w:rPr>
          <w:rFonts w:ascii="仿宋_GB2312" w:hAnsi="仿宋_GB2312" w:eastAsia="仿宋_GB2312" w:cs="仿宋_GB2312"/>
          <w:color w:val="000000"/>
          <w:kern w:val="0"/>
          <w:sz w:val="31"/>
          <w:szCs w:val="31"/>
          <w:lang w:bidi="ar"/>
        </w:rPr>
        <w:t>。绩效自评综述：</w:t>
      </w:r>
      <w:r>
        <w:rPr>
          <w:rFonts w:ascii="仿宋" w:hAnsi="仿宋" w:eastAsia="仿宋" w:cs="仿宋"/>
          <w:color w:val="000000"/>
          <w:kern w:val="0"/>
          <w:sz w:val="31"/>
          <w:szCs w:val="31"/>
          <w:lang w:bidi="ar"/>
        </w:rPr>
        <w:t>2022 年我</w:t>
      </w:r>
      <w:r>
        <w:rPr>
          <w:rFonts w:hint="eastAsia" w:ascii="仿宋" w:hAnsi="仿宋" w:eastAsia="仿宋" w:cs="仿宋"/>
          <w:color w:val="000000"/>
          <w:kern w:val="0"/>
          <w:sz w:val="31"/>
          <w:szCs w:val="31"/>
          <w:lang w:bidi="ar"/>
        </w:rPr>
        <w:t>局</w:t>
      </w:r>
      <w:r>
        <w:rPr>
          <w:rFonts w:ascii="仿宋" w:hAnsi="仿宋" w:eastAsia="仿宋" w:cs="仿宋"/>
          <w:color w:val="000000"/>
          <w:kern w:val="0"/>
          <w:sz w:val="31"/>
          <w:szCs w:val="31"/>
          <w:lang w:bidi="ar"/>
        </w:rPr>
        <w:t>部门整体支出绩效自</w:t>
      </w:r>
      <w:r>
        <w:rPr>
          <w:rFonts w:hint="eastAsia" w:ascii="仿宋" w:hAnsi="仿宋" w:eastAsia="仿宋" w:cs="仿宋"/>
          <w:color w:val="000000"/>
          <w:kern w:val="0"/>
          <w:sz w:val="31"/>
          <w:szCs w:val="31"/>
          <w:lang w:bidi="ar"/>
        </w:rPr>
        <w:t xml:space="preserve">查自评结果良好，全年基本支出保证了部门的正常运转，项目支出保障了重点工作的开展。 </w:t>
      </w:r>
    </w:p>
    <w:p>
      <w:pPr>
        <w:widowControl/>
        <w:jc w:val="left"/>
      </w:pPr>
      <w:r>
        <w:rPr>
          <w:rFonts w:ascii="仿宋_GB2312" w:hAnsi="仿宋_GB2312" w:eastAsia="仿宋_GB2312" w:cs="仿宋_GB2312"/>
          <w:color w:val="000000"/>
          <w:kern w:val="0"/>
          <w:sz w:val="31"/>
          <w:szCs w:val="31"/>
          <w:lang w:bidi="ar"/>
        </w:rPr>
        <w:t>《2022 年</w:t>
      </w:r>
      <w:r>
        <w:rPr>
          <w:rFonts w:hint="eastAsia" w:ascii="仿宋_GB2312" w:hAnsi="仿宋_GB2312" w:eastAsia="仿宋_GB2312" w:cs="仿宋_GB2312"/>
          <w:color w:val="000000"/>
          <w:kern w:val="0"/>
          <w:sz w:val="31"/>
          <w:szCs w:val="31"/>
          <w:lang w:bidi="ar"/>
        </w:rPr>
        <w:t>剑阁县行政审批局</w:t>
      </w:r>
      <w:r>
        <w:rPr>
          <w:rFonts w:ascii="仿宋_GB2312" w:hAnsi="仿宋_GB2312" w:eastAsia="仿宋_GB2312" w:cs="仿宋_GB2312"/>
          <w:color w:val="000000"/>
          <w:kern w:val="0"/>
          <w:sz w:val="31"/>
          <w:szCs w:val="31"/>
          <w:lang w:bidi="ar"/>
        </w:rPr>
        <w:t>部门整体绩效评价报告》见附件。</w:t>
      </w:r>
    </w:p>
    <w:p>
      <w:pPr>
        <w:widowControl/>
        <w:ind w:firstLine="643" w:firstLineChars="200"/>
        <w:jc w:val="left"/>
        <w:rPr>
          <w:rFonts w:ascii="仿宋_GB2312" w:eastAsia="仿宋_GB2312"/>
          <w:b/>
          <w:color w:val="FF0000"/>
          <w:sz w:val="32"/>
          <w:szCs w:val="32"/>
        </w:rPr>
      </w:pPr>
      <w:r>
        <w:rPr>
          <w:rFonts w:ascii="仿宋_GB2312" w:eastAsia="仿宋_GB2312"/>
          <w:b/>
          <w:color w:val="FF0000"/>
          <w:sz w:val="32"/>
          <w:szCs w:val="32"/>
        </w:rPr>
        <w:br w:type="page"/>
      </w:r>
    </w:p>
    <w:p>
      <w:pPr>
        <w:numPr>
          <w:ilvl w:val="0"/>
          <w:numId w:val="6"/>
        </w:numPr>
        <w:spacing w:line="600" w:lineRule="exact"/>
        <w:ind w:firstLine="660" w:firstLineChars="150"/>
        <w:jc w:val="center"/>
        <w:outlineLvl w:val="0"/>
        <w:rPr>
          <w:rStyle w:val="31"/>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1"/>
          <w:rFonts w:hint="eastAsia" w:ascii="黑体" w:hAnsi="黑体" w:eastAsia="黑体"/>
          <w:b w:val="0"/>
        </w:rPr>
        <w:t>词解释</w:t>
      </w:r>
      <w:bookmarkEnd w:id="49"/>
      <w:bookmarkEnd w:id="50"/>
    </w:p>
    <w:p>
      <w:pPr>
        <w:spacing w:line="600" w:lineRule="exact"/>
        <w:jc w:val="left"/>
        <w:rPr>
          <w:rFonts w:ascii="宋体"/>
          <w:b/>
          <w:sz w:val="44"/>
          <w:szCs w:val="44"/>
        </w:rPr>
      </w:pP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8"/>
        <w:ind w:firstLine="640" w:firstLineChars="200"/>
        <w:rPr>
          <w:rFonts w:ascii="仿宋_GB2312" w:hAnsi="仿宋_GB2312" w:cs="仿宋_GB2312"/>
          <w:b w:val="0"/>
          <w:bCs/>
          <w:szCs w:val="32"/>
        </w:rPr>
      </w:pPr>
      <w:r>
        <w:rPr>
          <w:rFonts w:hint="eastAsia" w:ascii="仿宋_GB2312" w:hAnsi="Times New Roman" w:cs="Times New Roman"/>
          <w:b w:val="0"/>
          <w:szCs w:val="32"/>
        </w:rPr>
        <w:t>2.</w:t>
      </w:r>
      <w:r>
        <w:rPr>
          <w:rFonts w:hint="eastAsia" w:ascii="仿宋_GB2312" w:hAnsi="仿宋_GB2312" w:cs="仿宋_GB2312"/>
          <w:b w:val="0"/>
          <w:bCs/>
          <w:szCs w:val="32"/>
        </w:rPr>
        <w:t>一般公共预算拨款收入：指县级财政当年拨付的资金。</w:t>
      </w:r>
    </w:p>
    <w:p>
      <w:pPr>
        <w:pStyle w:val="8"/>
        <w:ind w:firstLine="640" w:firstLineChars="200"/>
        <w:rPr>
          <w:rFonts w:ascii="仿宋_GB2312" w:hAnsi="仿宋_GB2312" w:cs="仿宋_GB2312"/>
          <w:b w:val="0"/>
          <w:bCs/>
          <w:szCs w:val="32"/>
        </w:rPr>
      </w:pPr>
      <w:r>
        <w:rPr>
          <w:rFonts w:hint="eastAsia" w:ascii="仿宋_GB2312" w:hAnsi="Times New Roman" w:cs="Times New Roman"/>
          <w:b w:val="0"/>
          <w:szCs w:val="32"/>
        </w:rPr>
        <w:t>3.一</w:t>
      </w:r>
      <w:r>
        <w:rPr>
          <w:rFonts w:hint="eastAsia" w:ascii="仿宋_GB2312" w:hAnsi="Calibri" w:cs="仿宋"/>
          <w:b w:val="0"/>
          <w:szCs w:val="32"/>
        </w:rPr>
        <w:t>般公共服务（类）一般公共服务（类）政府办公厅（室）及相关机构事务（款）政务公开审批（项）</w:t>
      </w:r>
      <w:r>
        <w:rPr>
          <w:rFonts w:hint="eastAsia" w:ascii="仿宋_GB2312" w:hAnsi="Calibri" w:cs="仿宋"/>
          <w:b w:val="0"/>
          <w:szCs w:val="32"/>
          <w:lang w:eastAsia="zh-CN"/>
        </w:rPr>
        <w:t>：</w:t>
      </w:r>
      <w:r>
        <w:rPr>
          <w:rFonts w:hint="eastAsia" w:ascii="仿宋_GB2312" w:hAnsi="Calibri" w:cs="仿宋"/>
          <w:b w:val="0"/>
          <w:szCs w:val="32"/>
        </w:rPr>
        <w:t>指各级政府政务公开审批方面的支出。</w:t>
      </w:r>
    </w:p>
    <w:p>
      <w:pPr>
        <w:pStyle w:val="29"/>
        <w:spacing w:line="560" w:lineRule="exact"/>
        <w:ind w:firstLine="640" w:firstLineChars="200"/>
        <w:rPr>
          <w:rFonts w:ascii="仿宋_GB2312" w:hAnsi="仿宋_GB2312" w:cs="仿宋_GB2312"/>
          <w:bCs/>
          <w:sz w:val="32"/>
          <w:szCs w:val="32"/>
        </w:rPr>
      </w:pPr>
      <w:r>
        <w:rPr>
          <w:rFonts w:ascii="仿宋_GB2312" w:eastAsia="仿宋_GB2312"/>
          <w:color w:val="auto"/>
          <w:sz w:val="32"/>
          <w:szCs w:val="32"/>
        </w:rPr>
        <w:t>4.</w:t>
      </w:r>
      <w:r>
        <w:rPr>
          <w:rFonts w:hint="eastAsia" w:ascii="仿宋_GB2312" w:eastAsia="仿宋_GB2312"/>
          <w:sz w:val="32"/>
          <w:szCs w:val="32"/>
        </w:rPr>
        <w:t>一般公共服务（类）</w:t>
      </w:r>
      <w:r>
        <w:rPr>
          <w:rFonts w:hint="eastAsia" w:ascii="仿宋_GB2312" w:hAnsi="仿宋_GB2312" w:cs="仿宋_GB2312"/>
          <w:bCs/>
          <w:sz w:val="32"/>
          <w:szCs w:val="32"/>
        </w:rPr>
        <w:t>一般公共服务（类）政府办公厅（室）及相关机构事务（款）事业运行（项）</w:t>
      </w:r>
      <w:r>
        <w:rPr>
          <w:rFonts w:hint="eastAsia" w:ascii="仿宋_GB2312" w:hAnsi="仿宋_GB2312" w:cs="仿宋_GB2312"/>
          <w:bCs/>
          <w:sz w:val="32"/>
          <w:szCs w:val="32"/>
          <w:lang w:eastAsia="zh-CN"/>
        </w:rPr>
        <w:t>：</w:t>
      </w:r>
      <w:r>
        <w:rPr>
          <w:rFonts w:hint="eastAsia" w:ascii="仿宋_GB2312" w:hAnsi="仿宋_GB2312" w:cs="仿宋_GB2312"/>
          <w:bCs/>
          <w:sz w:val="32"/>
          <w:szCs w:val="32"/>
        </w:rPr>
        <w:t>指事业单位的基本支出，不包括行政单位（包括实行公务员管理的事业单位）后勤服务中心、医务室等附属事业单位。</w:t>
      </w:r>
    </w:p>
    <w:p>
      <w:pPr>
        <w:pStyle w:val="29"/>
        <w:spacing w:line="560" w:lineRule="exact"/>
        <w:ind w:firstLine="640" w:firstLineChars="200"/>
        <w:rPr>
          <w:rFonts w:ascii="仿宋_GB2312" w:eastAsia="仿宋_GB2312"/>
          <w:sz w:val="32"/>
          <w:szCs w:val="32"/>
        </w:rPr>
      </w:pPr>
      <w:r>
        <w:rPr>
          <w:rFonts w:ascii="仿宋_GB2312" w:eastAsia="仿宋_GB2312"/>
          <w:color w:val="auto"/>
          <w:sz w:val="32"/>
          <w:szCs w:val="32"/>
        </w:rPr>
        <w:t>5.</w:t>
      </w:r>
      <w:r>
        <w:rPr>
          <w:rFonts w:hint="eastAsia" w:ascii="仿宋_GB2312" w:eastAsia="仿宋_GB2312"/>
          <w:sz w:val="32"/>
          <w:szCs w:val="32"/>
        </w:rPr>
        <w:t>社会保障和就业（类）</w:t>
      </w:r>
      <w:r>
        <w:rPr>
          <w:rFonts w:hint="eastAsia" w:ascii="仿宋_GB2312" w:hAnsi="仿宋_GB2312" w:cs="仿宋_GB2312"/>
          <w:bCs/>
          <w:sz w:val="32"/>
          <w:szCs w:val="32"/>
        </w:rPr>
        <w:t>行政事业单位养老支出（款）机关事业单位基本养老保险缴费支出（项）：指机关事业单位实施养老保险制度由单位缴纳的基本养老保险费支出</w:t>
      </w:r>
      <w:r>
        <w:rPr>
          <w:rFonts w:hint="eastAsia" w:ascii="仿宋_GB2312" w:eastAsia="仿宋_GB2312"/>
          <w:sz w:val="32"/>
          <w:szCs w:val="32"/>
        </w:rPr>
        <w:t>。</w:t>
      </w:r>
    </w:p>
    <w:p>
      <w:pPr>
        <w:pStyle w:val="29"/>
        <w:spacing w:line="560" w:lineRule="exact"/>
        <w:ind w:firstLine="640" w:firstLineChars="200"/>
        <w:rPr>
          <w:rFonts w:ascii="仿宋_GB2312" w:hAnsi="仿宋_GB2312" w:cs="仿宋_GB2312"/>
          <w:bCs/>
          <w:sz w:val="32"/>
          <w:szCs w:val="32"/>
        </w:rPr>
      </w:pPr>
      <w:r>
        <w:rPr>
          <w:rFonts w:ascii="仿宋_GB2312" w:eastAsia="仿宋_GB2312"/>
          <w:color w:val="auto"/>
          <w:sz w:val="32"/>
          <w:szCs w:val="32"/>
        </w:rPr>
        <w:t>6.</w:t>
      </w:r>
      <w:r>
        <w:rPr>
          <w:rFonts w:hint="eastAsia" w:ascii="仿宋_GB2312" w:hAnsi="仿宋_GB2312" w:cs="仿宋_GB2312"/>
          <w:bCs/>
          <w:sz w:val="32"/>
          <w:szCs w:val="32"/>
        </w:rPr>
        <w:t>社会保障和就业（类）其他社会保障和就业（款）其他社会保障和就业支出（项）：指除上述项目外，其他用于行政事业单位离退休方面的支出。</w:t>
      </w:r>
    </w:p>
    <w:p>
      <w:pPr>
        <w:pStyle w:val="8"/>
        <w:ind w:firstLine="640" w:firstLineChars="200"/>
        <w:rPr>
          <w:rFonts w:ascii="仿宋_GB2312"/>
          <w:szCs w:val="32"/>
        </w:rPr>
      </w:pPr>
      <w:r>
        <w:rPr>
          <w:rFonts w:hint="eastAsia" w:ascii="仿宋_GB2312" w:hAnsi="Times New Roman" w:cs="Times New Roman"/>
          <w:b w:val="0"/>
          <w:szCs w:val="32"/>
        </w:rPr>
        <w:t>7.卫</w:t>
      </w:r>
      <w:r>
        <w:rPr>
          <w:rFonts w:hint="eastAsia" w:ascii="仿宋_GB2312" w:hAnsi="仿宋_GB2312" w:cs="仿宋_GB2312"/>
          <w:b w:val="0"/>
          <w:bCs/>
          <w:szCs w:val="32"/>
        </w:rPr>
        <w:t>生健康（类）公共卫生（款）重大公共卫生服务（项）：指重大疾病、重大传染病预防控制等重大公共卫生服务项目支出。</w:t>
      </w:r>
    </w:p>
    <w:p>
      <w:pPr>
        <w:pStyle w:val="8"/>
        <w:ind w:firstLine="640" w:firstLineChars="200"/>
        <w:rPr>
          <w:rFonts w:ascii="仿宋_GB2312"/>
          <w:szCs w:val="32"/>
        </w:rPr>
      </w:pPr>
      <w:r>
        <w:rPr>
          <w:rFonts w:hint="eastAsia" w:ascii="仿宋_GB2312" w:hAnsi="Times New Roman" w:cs="Times New Roman"/>
          <w:b w:val="0"/>
          <w:szCs w:val="32"/>
        </w:rPr>
        <w:t>8.</w:t>
      </w:r>
      <w:r>
        <w:rPr>
          <w:rFonts w:hint="eastAsia" w:ascii="仿宋_GB2312" w:hAnsi="仿宋_GB2312" w:cs="仿宋_GB2312"/>
          <w:b w:val="0"/>
          <w:bCs/>
          <w:szCs w:val="32"/>
        </w:rPr>
        <w:t>卫生健康（类）行政事业单位医疗（款）行政单位医疗（项）：指财政部门安排的行政单位（包括实行公务员管理的事业单位）基本医疗保险缴费经费，未参加医疗保险的行政单位的公费医疗经费，按照国家规定享受离休人员、红军老战士待遇人员的医疗经费。</w:t>
      </w:r>
    </w:p>
    <w:p>
      <w:pPr>
        <w:pStyle w:val="8"/>
        <w:ind w:firstLine="640" w:firstLineChars="200"/>
        <w:rPr>
          <w:rFonts w:ascii="仿宋_GB2312"/>
          <w:szCs w:val="32"/>
        </w:rPr>
      </w:pPr>
      <w:r>
        <w:rPr>
          <w:rFonts w:hint="eastAsia" w:ascii="仿宋_GB2312" w:hAnsi="Times New Roman" w:cs="Times New Roman"/>
          <w:b w:val="0"/>
          <w:szCs w:val="32"/>
        </w:rPr>
        <w:t>9.</w:t>
      </w:r>
      <w:r>
        <w:rPr>
          <w:rFonts w:hint="eastAsia" w:ascii="仿宋_GB2312" w:hAnsi="仿宋_GB2312" w:cs="仿宋_GB2312"/>
          <w:b w:val="0"/>
          <w:bCs/>
          <w:szCs w:val="32"/>
        </w:rPr>
        <w:t>卫生健康（类）行政事业单位医疗（款）事业单位医疗（项）：指财政部门安排的事业单位基本医疗保险缴费经费，未参加医疗保险的事业单位的公费医疗经费，按国家规定享受离休人员待遇的医疗经费。</w:t>
      </w:r>
    </w:p>
    <w:p>
      <w:pPr>
        <w:pStyle w:val="8"/>
        <w:ind w:firstLine="640" w:firstLineChars="200"/>
        <w:rPr>
          <w:rFonts w:ascii="仿宋_GB2312" w:hAnsi="仿宋_GB2312" w:cs="仿宋_GB2312"/>
          <w:b w:val="0"/>
          <w:bCs/>
          <w:szCs w:val="32"/>
        </w:rPr>
      </w:pPr>
      <w:r>
        <w:rPr>
          <w:rFonts w:hint="eastAsia" w:ascii="仿宋_GB2312" w:hAnsi="Times New Roman" w:cs="Times New Roman"/>
          <w:b w:val="0"/>
          <w:szCs w:val="32"/>
        </w:rPr>
        <w:t>10.农林水支出（类）巩固脱贫衔接乡村振兴（款）其他巩固脱</w:t>
      </w:r>
      <w:r>
        <w:rPr>
          <w:rFonts w:hint="eastAsia" w:ascii="仿宋_GB2312" w:hAnsi="Calibri" w:cs="仿宋"/>
          <w:b w:val="0"/>
          <w:szCs w:val="32"/>
        </w:rPr>
        <w:t>贫衔接乡村振兴（项）：指除农村基础设施建设、生采访中、社会发展、贷款奖补和贴息、“三西”农业技术专项补助以外其他用于巩固拓展</w:t>
      </w:r>
      <w:bookmarkStart w:id="67" w:name="_GoBack"/>
      <w:bookmarkEnd w:id="67"/>
      <w:r>
        <w:rPr>
          <w:rFonts w:hint="eastAsia" w:ascii="仿宋_GB2312" w:hAnsi="Calibri" w:cs="仿宋"/>
          <w:b w:val="0"/>
          <w:szCs w:val="32"/>
        </w:rPr>
        <w:t>脱贫攻坚成果同乡村振兴有效衔接方面的支出。</w:t>
      </w:r>
    </w:p>
    <w:p>
      <w:pPr>
        <w:pStyle w:val="8"/>
        <w:ind w:firstLine="640" w:firstLineChars="200"/>
        <w:rPr>
          <w:rFonts w:ascii="仿宋_GB2312"/>
          <w:szCs w:val="32"/>
        </w:rPr>
      </w:pPr>
      <w:r>
        <w:rPr>
          <w:rFonts w:hint="eastAsia" w:ascii="仿宋_GB2312" w:hAnsi="Times New Roman" w:cs="Times New Roman"/>
          <w:b w:val="0"/>
          <w:szCs w:val="32"/>
        </w:rPr>
        <w:t>11.住</w:t>
      </w:r>
      <w:r>
        <w:rPr>
          <w:rFonts w:hint="eastAsia" w:ascii="仿宋_GB2312" w:hAnsi="Calibri" w:cs="仿宋"/>
          <w:b w:val="0"/>
          <w:szCs w:val="32"/>
        </w:rPr>
        <w:t>房保障（类）住</w:t>
      </w:r>
      <w:r>
        <w:rPr>
          <w:rFonts w:hint="eastAsia" w:ascii="仿宋_GB2312" w:hAnsi="仿宋_GB2312" w:cs="仿宋_GB2312"/>
          <w:b w:val="0"/>
          <w:bCs/>
          <w:szCs w:val="32"/>
        </w:rPr>
        <w:t>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31"/>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31"/>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2022年剑阁县行政审批局部门整体绩效评价报告</w:t>
      </w:r>
    </w:p>
    <w:p>
      <w:pPr>
        <w:widowControl/>
        <w:numPr>
          <w:ilvl w:val="0"/>
          <w:numId w:val="7"/>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napToGrid w:val="0"/>
        <w:spacing w:line="560"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rPr>
        <w:t>剑阁县行政审批局下属二级单位1个，公益一类事业单位1个，是剑阁县政务服务和公共资源交易中心（广元市农村产业流转交易剑阁分中心、剑阁县政府采购中心）。</w:t>
      </w:r>
    </w:p>
    <w:p>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snapToGrid w:val="0"/>
        <w:spacing w:line="560" w:lineRule="exact"/>
        <w:ind w:firstLine="643" w:firstLineChars="200"/>
        <w:rPr>
          <w:rFonts w:ascii="仿宋" w:hAnsi="仿宋" w:eastAsia="仿宋" w:cs="仿宋"/>
          <w:b/>
          <w:szCs w:val="32"/>
        </w:rPr>
      </w:pPr>
      <w:r>
        <w:rPr>
          <w:rFonts w:hint="eastAsia" w:ascii="仿宋" w:hAnsi="仿宋" w:eastAsia="仿宋" w:cs="仿宋"/>
          <w:b/>
          <w:bCs/>
          <w:color w:val="000000"/>
          <w:sz w:val="32"/>
          <w:szCs w:val="32"/>
        </w:rPr>
        <w:t>1.机构职能。</w:t>
      </w:r>
      <w:r>
        <w:rPr>
          <w:rFonts w:hint="eastAsia" w:ascii="仿宋" w:hAnsi="仿宋" w:eastAsia="仿宋" w:cs="仿宋"/>
          <w:color w:val="000000"/>
          <w:sz w:val="32"/>
          <w:szCs w:val="32"/>
        </w:rPr>
        <w:t>县行政审批局贯彻落实党中央关于行政审批工作的方针政策和省委、市委、县委的决策的部署，在履行职责过程中加强党对行政审批工作的集中统一领导。主要职责是：</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（1）拟订全县政务服务体系建设规划并指导实施。</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（2）组织县属部门统一受理、集中办理行政审批及其他服务事项，对办理过程实施监督。</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（3）会同相关部门拟定行政审批制度改革工作意见，清理规范县级行政审批项目，规范优化审批流程，负责并联审批的组织、协调和督办工作。</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（4）做好“放管服”改革工作，承接好上级下放至本县的行政审批权限，监管好县本级下放至乡镇的审批权限。</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（5）制定政务服务各项规定并组织实施，对入驻窗口单位进行考核，负责窗口工作人员的日常管理。</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（6）推进政务服务信息化平台建设，拟订全县政务服务系统电子政务大厅建设规划并指导实施，组织实施网上申请、网上预审、网上审批。</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（7）负责剑阁县公共资源交易中心的建设和管理。</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（8）受理行政审批违法违纪行为的投诉举报，会同相关部门调查处理。</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（9）负责职责范围内的安全生产和职业健康、生态环境保护、审批服务便民化等工作。</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（10）负责县12345政务服务热线中心工作的指导、管理。</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（11）承办县委、县政府交办的其他任务。</w:t>
      </w:r>
    </w:p>
    <w:p>
      <w:pPr>
        <w:snapToGrid w:val="0"/>
        <w:spacing w:line="56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rPr>
        <w:t>2.人员概况。</w:t>
      </w:r>
      <w:r>
        <w:rPr>
          <w:rFonts w:hint="eastAsia" w:ascii="仿宋" w:hAnsi="仿宋" w:eastAsia="仿宋" w:cs="仿宋"/>
          <w:color w:val="000000"/>
          <w:sz w:val="32"/>
          <w:szCs w:val="32"/>
        </w:rPr>
        <w:t>2022年在职人员总数26人，其中公务员7人，机关工勤人员1人；事业人员18人。</w:t>
      </w:r>
    </w:p>
    <w:p>
      <w:pPr>
        <w:widowControl/>
        <w:adjustRightInd w:val="0"/>
        <w:snapToGrid w:val="0"/>
        <w:spacing w:line="560" w:lineRule="exact"/>
        <w:ind w:left="420" w:leftChars="200" w:firstLine="321" w:firstLineChars="1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（三）部门整体支出绩效目标。</w:t>
      </w:r>
    </w:p>
    <w:p>
      <w:pPr>
        <w:pStyle w:val="8"/>
        <w:ind w:firstLine="640" w:firstLineChars="200"/>
        <w:rPr>
          <w:rFonts w:ascii="仿宋" w:hAnsi="仿宋" w:eastAsia="仿宋" w:cs="仿宋"/>
          <w:bCs/>
          <w:color w:val="000000"/>
          <w:szCs w:val="32"/>
          <w:lang w:val="zh-CN"/>
        </w:rPr>
      </w:pPr>
      <w:r>
        <w:rPr>
          <w:rFonts w:hint="eastAsia" w:ascii="仿宋" w:hAnsi="仿宋" w:eastAsia="仿宋" w:cs="仿宋"/>
          <w:b w:val="0"/>
          <w:color w:val="000000"/>
          <w:szCs w:val="32"/>
          <w:lang w:val="zh-CN"/>
        </w:rPr>
        <w:t>坚定以习近平新时代中国特色社会主义思想为指导，深入贯彻落实党中央、国务院和县委、县政府重大决策部署，组织县属部门统一受理、集中办理行政审批及其他服务事项，对办理过程实施监督；指导、巡查乡镇便民服务中心运行；入驻行政审批事项和公共服务事项100%全覆盖办理，各便民服务中心正常办件；指导全县一体化政务服务平台规范运行，进行业务培训，确保行政效能监察系统、“好差评”管理系统正常运行，开展政务地图+政务一本通特色服务，推进无差别综合窗口建设，川渝通办、跨省通办等跨地区一网办理，优化政务服务营商环境。代理政府采购业务，依法组织实施政府采购；全流程电子化交易系统正常运行，对接全国公共资源交易平台（四川省.广元市），做好工程招投标、土地（矿权）出（转）让、国有产权交易、政府采购、农村产权流转交易等各类公共资源交易活动的组织和服务，进行集采机构标准化建设。负责民生热线的接听、汇总、交办、收集等事项；负责平台数据的分析、运用，民生诉求的研判等。</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576" w:lineRule="exact"/>
        <w:ind w:firstLine="646"/>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sz w:val="32"/>
          <w:szCs w:val="32"/>
        </w:rPr>
        <w:t>收入决算总额</w:t>
      </w:r>
      <w:r>
        <w:rPr>
          <w:rFonts w:hint="eastAsia" w:ascii="仿宋_GB2312" w:hAnsi="仿宋_GB2312" w:cs="仿宋_GB2312"/>
          <w:sz w:val="32"/>
          <w:szCs w:val="32"/>
        </w:rPr>
        <w:t>466.44</w:t>
      </w:r>
      <w:r>
        <w:rPr>
          <w:rFonts w:hint="eastAsia" w:ascii="仿宋_GB2312" w:hAnsi="仿宋_GB2312" w:eastAsia="仿宋_GB2312" w:cs="仿宋_GB2312"/>
          <w:sz w:val="32"/>
          <w:szCs w:val="32"/>
        </w:rPr>
        <w:t>万元，均为财政拨款收入。</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pStyle w:val="8"/>
        <w:rPr>
          <w:rFonts w:ascii="仿宋_GB2312" w:hAnsi="仿宋_GB2312" w:cs="仿宋_GB2312"/>
          <w:b w:val="0"/>
          <w:color w:val="000000"/>
          <w:kern w:val="0"/>
          <w:szCs w:val="32"/>
          <w:shd w:val="clear" w:color="auto" w:fill="FFFFFF"/>
        </w:rPr>
      </w:pPr>
      <w:r>
        <w:rPr>
          <w:rFonts w:hint="eastAsia"/>
        </w:rPr>
        <w:t xml:space="preserve">   </w:t>
      </w:r>
      <w:r>
        <w:rPr>
          <w:rFonts w:hint="eastAsia" w:ascii="仿宋_GB2312" w:hAnsi="仿宋_GB2312" w:cs="仿宋_GB2312"/>
          <w:b w:val="0"/>
          <w:color w:val="000000"/>
          <w:kern w:val="0"/>
          <w:szCs w:val="32"/>
          <w:shd w:val="clear" w:color="auto" w:fill="FFFFFF"/>
        </w:rPr>
        <w:t xml:space="preserve"> 2022年支出决算总额466.44万元。其中：一般公共服务支出315.79万元，社会保障和就业支出27.17万元，医疗卫生与</w:t>
      </w:r>
      <w:r>
        <w:rPr>
          <w:rFonts w:hint="eastAsia" w:ascii="仿宋_GB2312" w:hAnsi="仿宋_GB2312" w:cs="仿宋_GB2312"/>
          <w:b w:val="0"/>
          <w:color w:val="000000"/>
          <w:kern w:val="0"/>
          <w:szCs w:val="32"/>
          <w:shd w:val="clear" w:color="auto" w:fill="FFFFFF"/>
          <w:lang w:eastAsia="zh-CN"/>
        </w:rPr>
        <w:t>计划生育</w:t>
      </w:r>
      <w:r>
        <w:rPr>
          <w:rFonts w:hint="eastAsia" w:ascii="仿宋_GB2312" w:hAnsi="仿宋_GB2312" w:cs="仿宋_GB2312"/>
          <w:b w:val="0"/>
          <w:color w:val="000000"/>
          <w:kern w:val="0"/>
          <w:szCs w:val="32"/>
          <w:shd w:val="clear" w:color="auto" w:fill="FFFFFF"/>
        </w:rPr>
        <w:t>支出18.58万元，住房及保障支出20.38万元，农林水支出84.52万元。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pStyle w:val="8"/>
        <w:ind w:firstLine="640" w:firstLineChars="200"/>
        <w:rPr>
          <w:rFonts w:ascii="仿宋_GB2312" w:hAnsi="仿宋_GB2312" w:cs="仿宋_GB2312"/>
          <w:b w:val="0"/>
          <w:color w:val="000000"/>
          <w:kern w:val="0"/>
          <w:szCs w:val="32"/>
          <w:shd w:val="clear" w:color="auto" w:fill="FFFFFF"/>
        </w:rPr>
      </w:pPr>
      <w:r>
        <w:rPr>
          <w:rFonts w:hint="eastAsia" w:ascii="仿宋_GB2312" w:hAnsi="仿宋_GB2312" w:cs="仿宋_GB2312"/>
          <w:b w:val="0"/>
          <w:color w:val="000000"/>
          <w:kern w:val="0"/>
          <w:szCs w:val="32"/>
          <w:shd w:val="clear" w:color="auto" w:fill="FFFFFF"/>
        </w:rPr>
        <w:t>2022年本部门无结转结余。</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spacing w:line="576" w:lineRule="exact"/>
        <w:ind w:firstLine="646"/>
      </w:pPr>
      <w:r>
        <w:rPr>
          <w:rFonts w:hint="eastAsia"/>
        </w:rPr>
        <w:t xml:space="preserve"> </w:t>
      </w: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sz w:val="32"/>
          <w:szCs w:val="32"/>
        </w:rPr>
        <w:t>收入决算总额</w:t>
      </w:r>
      <w:r>
        <w:rPr>
          <w:rFonts w:hint="eastAsia" w:ascii="仿宋_GB2312" w:hAnsi="仿宋_GB2312" w:cs="仿宋_GB2312"/>
          <w:sz w:val="32"/>
          <w:szCs w:val="32"/>
        </w:rPr>
        <w:t>466.44</w:t>
      </w:r>
      <w:r>
        <w:rPr>
          <w:rFonts w:hint="eastAsia" w:ascii="仿宋_GB2312" w:hAnsi="仿宋_GB2312" w:eastAsia="仿宋_GB2312" w:cs="仿宋_GB2312"/>
          <w:sz w:val="32"/>
          <w:szCs w:val="32"/>
        </w:rPr>
        <w:t>万元，均为财政拨款收入。</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pStyle w:val="8"/>
      </w:pPr>
      <w:r>
        <w:rPr>
          <w:rFonts w:hint="eastAsia"/>
        </w:rPr>
        <w:t xml:space="preserve">  </w:t>
      </w:r>
      <w:r>
        <w:rPr>
          <w:rFonts w:hint="eastAsia" w:ascii="Times New Roman" w:hAnsi="Times New Roman" w:eastAsia="宋体" w:cs="Times New Roman"/>
          <w:b w:val="0"/>
          <w:sz w:val="21"/>
          <w:szCs w:val="24"/>
        </w:rPr>
        <w:t xml:space="preserve">   </w:t>
      </w:r>
      <w:r>
        <w:rPr>
          <w:rFonts w:hint="eastAsia"/>
          <w:b w:val="0"/>
          <w:bCs/>
        </w:rPr>
        <w:t>2022年支出决算总额466.44万元。其中：一般公共服务支出315.79万元，社会保障和就业支出27.17万元，医疗卫生与</w:t>
      </w:r>
      <w:r>
        <w:rPr>
          <w:rFonts w:hint="eastAsia"/>
          <w:b w:val="0"/>
          <w:bCs/>
          <w:lang w:eastAsia="zh-CN"/>
        </w:rPr>
        <w:t>计划生育</w:t>
      </w:r>
      <w:r>
        <w:rPr>
          <w:rFonts w:hint="eastAsia"/>
          <w:b w:val="0"/>
          <w:bCs/>
        </w:rPr>
        <w:t>支出18.58万元，住房及保障支出20.38万元，农林水支出84.52万元。</w:t>
      </w:r>
    </w:p>
    <w:p>
      <w:pPr>
        <w:widowControl/>
        <w:adjustRightInd w:val="0"/>
        <w:snapToGrid w:val="0"/>
        <w:spacing w:line="560" w:lineRule="exact"/>
        <w:ind w:left="420" w:leftChars="200" w:firstLine="320" w:firstLineChars="1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pStyle w:val="8"/>
        <w:ind w:firstLine="640" w:firstLineChars="200"/>
        <w:rPr>
          <w:rFonts w:ascii="仿宋_GB2312" w:hAnsi="仿宋_GB2312" w:cs="仿宋_GB2312"/>
          <w:b w:val="0"/>
          <w:color w:val="000000"/>
          <w:kern w:val="0"/>
          <w:szCs w:val="32"/>
          <w:shd w:val="clear" w:color="auto" w:fill="FFFFFF"/>
        </w:rPr>
      </w:pPr>
      <w:r>
        <w:rPr>
          <w:rFonts w:hint="eastAsia" w:ascii="仿宋_GB2312" w:hAnsi="仿宋_GB2312" w:cs="仿宋_GB2312"/>
          <w:b w:val="0"/>
          <w:color w:val="000000"/>
          <w:kern w:val="0"/>
          <w:szCs w:val="32"/>
          <w:shd w:val="clear" w:color="auto" w:fill="FFFFFF"/>
        </w:rPr>
        <w:t>2022年本部门无结转结余。</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我局人员类项目年初预算批复金额343.93万元，调整预算金额1.12 万元，全年预算金额345.05 万元，完成支付金额345.05 万元，执行进度100%，预算完成情况好。</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局运转类项目包括公用经费项目和其他运转类项目，所有运转类项目均严格按规定格式和要求填报绩效目标，设定了年度绩效数量指标、成本指标、效益指标等，详细反映了相应项目工作任务、达成的效果。运转类项目年初预算批复金额21.44 万元，调增预算金额7.7 万元，全年预算金额29.14 万元，完成支付金额29.14万元，执行进度100%，预算完成情况好。</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spacing w:line="576" w:lineRule="exact"/>
        <w:ind w:firstLine="627" w:firstLineChars="196"/>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我局所有特定目标类项目均严格按规定格式和要求填报绩效目标，设定了年度绩效数量指标、成本指标、效益指标等，详细反映了相应项目工作任务、达成的效果。特定目标类项目年初预算批复金额167.52 万元，调整预算金额78 万元，全年预算金额89.52万元，完成支付金额89.52万元，执行进度100%，预算完成情况好。</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spacing w:line="576"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1.全面从严治党抓常抓长。</w:t>
      </w:r>
      <w:r>
        <w:rPr>
          <w:rFonts w:hint="eastAsia" w:ascii="仿宋" w:hAnsi="仿宋" w:eastAsia="仿宋" w:cs="仿宋"/>
          <w:color w:val="000000"/>
          <w:sz w:val="32"/>
          <w:szCs w:val="32"/>
        </w:rPr>
        <w:t>坚持民主集中制度，严格落实党内政治生活制度，持续推进党风廉政建设和反腐败工作，狠抓作风纪律整顿，组织开展警示教育12次，深入抓好意识形态建设，常态化开展集中学习和现场</w:t>
      </w:r>
      <w:r>
        <w:rPr>
          <w:rFonts w:hint="eastAsia" w:ascii="仿宋" w:hAnsi="仿宋" w:eastAsia="仿宋" w:cs="仿宋"/>
          <w:color w:val="000000"/>
          <w:sz w:val="32"/>
          <w:szCs w:val="32"/>
          <w:lang w:eastAsia="zh-CN"/>
        </w:rPr>
        <w:t>情境</w:t>
      </w:r>
      <w:r>
        <w:rPr>
          <w:rFonts w:hint="eastAsia" w:ascii="仿宋" w:hAnsi="仿宋" w:eastAsia="仿宋" w:cs="仿宋"/>
          <w:color w:val="000000"/>
          <w:sz w:val="32"/>
          <w:szCs w:val="32"/>
        </w:rPr>
        <w:t>教育。</w:t>
      </w:r>
    </w:p>
    <w:p>
      <w:pPr>
        <w:spacing w:line="576"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2.政务服务营商环境持续优化。</w:t>
      </w:r>
      <w:r>
        <w:rPr>
          <w:rFonts w:hint="eastAsia" w:ascii="仿宋" w:hAnsi="仿宋" w:eastAsia="仿宋" w:cs="仿宋"/>
          <w:color w:val="000000"/>
          <w:sz w:val="32"/>
          <w:szCs w:val="32"/>
        </w:rPr>
        <w:t>“一网通办”政务服务能力持续巩固，多项重要指标排全市前列。工程建设项目审批提质增效，工改系统主线事项应办尽办，办件准确率100%，辅线模块办件覆盖率达100%。“一站式”服务落地落实，除行业特殊要求和保密需要外，“三集中三到位”已基本完成，各部门入驻政务大厅首席事务代表23名，授权事项718项；县乡村三级政务服务机构全覆盖设置“无差别综合窗口”，1200项事项纳入综合窗口办理；县政务服务中心设置惠企政策兑现专窗、工程建设项目联审中心、企业开办“一站式”专区、税务服务区、不动产业务区，加快推进关联事项一站式就近办。高质量高标准完成镇村便民服务体系“三化”建设、“村能办”“家门办”便民服务平台建设，打造亲民化示范点20个，下放事项210项。</w:t>
      </w:r>
    </w:p>
    <w:p>
      <w:pPr>
        <w:spacing w:line="576"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3.公共资源交易更加高效透明。</w:t>
      </w:r>
      <w:r>
        <w:rPr>
          <w:rFonts w:hint="eastAsia" w:ascii="仿宋" w:hAnsi="仿宋" w:eastAsia="仿宋" w:cs="仿宋"/>
          <w:color w:val="000000"/>
          <w:sz w:val="32"/>
          <w:szCs w:val="32"/>
        </w:rPr>
        <w:t>全面推行政府采购项目全流程电子化交易，推进政府集中采购机构标准化建设“省级试点”。今年政府集中采购项目全流程电子化交易19个，全流程电子化交易率100%，远程异地评审3个，异地评审率15%。</w:t>
      </w:r>
    </w:p>
    <w:p>
      <w:pPr>
        <w:widowControl/>
        <w:adjustRightInd w:val="0"/>
        <w:snapToGrid w:val="0"/>
        <w:spacing w:line="560" w:lineRule="exact"/>
        <w:ind w:firstLine="643" w:firstLineChars="200"/>
        <w:contextualSpacing/>
        <w:jc w:val="left"/>
        <w:rPr>
          <w:rFonts w:ascii="仿宋" w:hAnsi="仿宋" w:eastAsia="仿宋" w:cs="仿宋"/>
          <w:color w:val="000000"/>
          <w:sz w:val="32"/>
          <w:szCs w:val="32"/>
        </w:rPr>
      </w:pPr>
      <w:r>
        <w:rPr>
          <w:rFonts w:hint="eastAsia" w:ascii="仿宋" w:hAnsi="仿宋" w:eastAsia="仿宋" w:cs="仿宋"/>
          <w:b/>
          <w:bCs/>
          <w:color w:val="000000"/>
          <w:sz w:val="32"/>
          <w:szCs w:val="32"/>
        </w:rPr>
        <w:t>4.政务服务热线办理规范高效。</w:t>
      </w:r>
      <w:r>
        <w:rPr>
          <w:rFonts w:hint="eastAsia" w:ascii="仿宋" w:hAnsi="仿宋" w:eastAsia="仿宋" w:cs="仿宋"/>
          <w:color w:val="000000"/>
          <w:sz w:val="32"/>
          <w:szCs w:val="32"/>
        </w:rPr>
        <w:t>坚持“927”工作法，大力开展“销号清零攻坚大行动”。全县无一漏接、无一超期，接件率、办结率、按时办结率、态度满意率实现“四个100%”，结果满意率达99%。</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adjustRightInd w:val="0"/>
        <w:snapToGrid w:val="0"/>
        <w:spacing w:line="576" w:lineRule="exact"/>
        <w:ind w:firstLine="640" w:firstLineChars="200"/>
        <w:contextualSpacing/>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w:t>
      </w:r>
      <w:r>
        <w:rPr>
          <w:rFonts w:hint="eastAsia" w:ascii="仿宋_GB2312" w:hAnsi="仿宋_GB2312" w:cs="仿宋_GB2312"/>
          <w:color w:val="000000"/>
          <w:kern w:val="0"/>
          <w:sz w:val="32"/>
          <w:szCs w:val="32"/>
          <w:shd w:val="clear" w:color="auto" w:fill="FFFFFF"/>
        </w:rPr>
        <w:t>局</w:t>
      </w:r>
      <w:r>
        <w:rPr>
          <w:rFonts w:hint="eastAsia" w:ascii="仿宋_GB2312" w:hAnsi="仿宋_GB2312" w:eastAsia="仿宋_GB2312" w:cs="仿宋_GB2312"/>
          <w:color w:val="000000"/>
          <w:kern w:val="0"/>
          <w:sz w:val="32"/>
          <w:szCs w:val="32"/>
          <w:shd w:val="clear" w:color="auto" w:fill="FFFFFF"/>
        </w:rPr>
        <w:t>项目支出股室合理编制绩效目标，积极开展自评，发现问题及时整改。我</w:t>
      </w:r>
      <w:r>
        <w:rPr>
          <w:rFonts w:hint="eastAsia" w:ascii="仿宋_GB2312" w:hAnsi="仿宋_GB2312" w:cs="仿宋_GB2312"/>
          <w:color w:val="000000"/>
          <w:kern w:val="0"/>
          <w:sz w:val="32"/>
          <w:szCs w:val="32"/>
          <w:shd w:val="clear" w:color="auto" w:fill="FFFFFF"/>
        </w:rPr>
        <w:t>局</w:t>
      </w:r>
      <w:r>
        <w:rPr>
          <w:rFonts w:hint="eastAsia" w:ascii="仿宋_GB2312" w:hAnsi="仿宋_GB2312" w:eastAsia="仿宋_GB2312" w:cs="仿宋_GB2312"/>
          <w:color w:val="000000"/>
          <w:kern w:val="0"/>
          <w:sz w:val="32"/>
          <w:szCs w:val="32"/>
          <w:shd w:val="clear" w:color="auto" w:fill="FFFFFF"/>
        </w:rPr>
        <w:t>绩效自评工作自开展以来都按照上级安排及时报送及时公开、对评价结果及时整改并运用，自觉接受社会公众的监督，进一步提高财政资金管理透明度</w:t>
      </w:r>
      <w:r>
        <w:rPr>
          <w:rFonts w:hint="eastAsia" w:ascii="仿宋_GB2312" w:hAnsi="仿宋_GB2312" w:eastAsia="仿宋_GB2312" w:cs="仿宋_GB2312"/>
          <w:color w:val="000000"/>
          <w:kern w:val="0"/>
          <w:sz w:val="32"/>
          <w:szCs w:val="32"/>
          <w:shd w:val="clear" w:color="auto" w:fill="FFFFFF"/>
          <w:lang w:eastAsia="zh-CN"/>
        </w:rPr>
        <w:t>。</w:t>
      </w:r>
    </w:p>
    <w:p>
      <w:pPr>
        <w:widowControl/>
        <w:numPr>
          <w:ilvl w:val="0"/>
          <w:numId w:val="9"/>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我局认真对照部门整体绩效评价指标体系，对本部门绩效目标管理、动态调整、完成结果、信息公开等方面进行了客观评价，自评得分96。</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ind w:firstLine="960" w:firstLineChars="300"/>
        <w:jc w:val="left"/>
        <w:rPr>
          <w:lang w:val="zh-CN"/>
        </w:rPr>
      </w:pPr>
      <w:r>
        <w:rPr>
          <w:rFonts w:hint="eastAsia" w:ascii="仿宋_GB2312" w:hAnsi="仿宋_GB2312" w:eastAsia="仿宋_GB2312" w:cs="仿宋_GB2312"/>
          <w:sz w:val="32"/>
          <w:szCs w:val="32"/>
        </w:rPr>
        <w:t>综上所述，</w:t>
      </w:r>
      <w:r>
        <w:rPr>
          <w:rFonts w:hint="eastAsia" w:ascii="仿宋_GB2312" w:hAnsi="仿宋_GB2312" w:eastAsia="仿宋_GB2312"/>
          <w:sz w:val="32"/>
        </w:rPr>
        <w:t>2022 年我局部门整体支出绩效自查自评结果良好，全年基本支出保证了部门的正常运转，项目支出保障了重点工作的开展。</w:t>
      </w:r>
    </w:p>
    <w:p>
      <w:pPr>
        <w:widowControl/>
        <w:adjustRightInd w:val="0"/>
        <w:snapToGrid w:val="0"/>
        <w:spacing w:line="560" w:lineRule="exact"/>
        <w:ind w:left="420" w:left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ind w:firstLine="640" w:firstLineChars="200"/>
        <w:jc w:val="left"/>
        <w:rPr>
          <w:lang w:val="zh-CN"/>
        </w:rPr>
      </w:pPr>
      <w:r>
        <w:rPr>
          <w:rFonts w:hint="eastAsia" w:ascii="仿宋_GB2312" w:hAnsi="仿宋_GB2312" w:eastAsia="仿宋_GB2312" w:cs="仿宋_GB2312"/>
          <w:sz w:val="32"/>
          <w:szCs w:val="32"/>
        </w:rPr>
        <w:t>我局单位小，事情多，任务重，人员配备严重不足，</w:t>
      </w:r>
      <w:r>
        <w:rPr>
          <w:rFonts w:hint="eastAsia" w:ascii="仿宋_GB2312" w:hAnsi="仿宋_GB2312" w:eastAsia="仿宋_GB2312"/>
          <w:sz w:val="32"/>
        </w:rPr>
        <w:t>我局部门预算绩效管理工作存在预算项目绩效目标编制精准度不够高，预算执行进度有待提升等问题，需进一步加以改进。</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我</w:t>
      </w:r>
      <w:r>
        <w:rPr>
          <w:rFonts w:hint="eastAsia" w:ascii="仿宋_GB2312" w:hAnsi="仿宋_GB2312" w:cs="仿宋_GB2312"/>
          <w:sz w:val="32"/>
          <w:szCs w:val="32"/>
        </w:rPr>
        <w:t>局</w:t>
      </w:r>
      <w:r>
        <w:rPr>
          <w:rFonts w:hint="eastAsia" w:ascii="仿宋_GB2312" w:hAnsi="仿宋_GB2312" w:eastAsia="仿宋_GB2312" w:cs="仿宋_GB2312"/>
          <w:sz w:val="32"/>
          <w:szCs w:val="32"/>
        </w:rPr>
        <w:t>在编制预算与执行中，将进一步重视预</w:t>
      </w:r>
      <w:r>
        <w:rPr>
          <w:rFonts w:hint="eastAsia" w:ascii="仿宋_GB2312" w:hAnsi="仿宋_GB2312" w:eastAsia="仿宋_GB2312" w:cs="仿宋_GB2312"/>
          <w:spacing w:val="-6"/>
          <w:sz w:val="32"/>
          <w:szCs w:val="32"/>
        </w:rPr>
        <w:t>算的编制工作，提高预算编制的精确度，提高财政资金使用效率，尽量减少预算执行调整，把有限的经费做到科学、合理</w:t>
      </w:r>
      <w:r>
        <w:rPr>
          <w:rFonts w:hint="eastAsia" w:ascii="仿宋_GB2312" w:hAnsi="仿宋_GB2312" w:eastAsia="仿宋_GB2312" w:cs="仿宋_GB2312"/>
          <w:spacing w:val="-6"/>
          <w:sz w:val="32"/>
          <w:szCs w:val="32"/>
          <w:lang w:eastAsia="zh-CN"/>
        </w:rPr>
        <w:t>地</w:t>
      </w:r>
      <w:r>
        <w:rPr>
          <w:rFonts w:hint="eastAsia" w:ascii="仿宋_GB2312" w:hAnsi="仿宋_GB2312" w:eastAsia="仿宋_GB2312" w:cs="仿宋_GB2312"/>
          <w:spacing w:val="-6"/>
          <w:sz w:val="32"/>
          <w:szCs w:val="32"/>
        </w:rPr>
        <w:t>分配。</w:t>
      </w:r>
    </w:p>
    <w:p>
      <w:pPr>
        <w:widowControl/>
        <w:textAlignment w:val="center"/>
        <w:rPr>
          <w:rFonts w:hAnsi="仿宋_GB2312" w:eastAsia="仿宋_GB2312" w:cs="仿宋_GB2312"/>
          <w:sz w:val="32"/>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pPr>
    </w:p>
    <w:p>
      <w:pPr>
        <w:widowControl/>
        <w:textAlignment w:val="center"/>
        <w:rPr>
          <w:rFonts w:hAnsi="仿宋_GB2312" w:eastAsia="仿宋_GB2312" w:cs="仿宋_GB2312"/>
          <w:sz w:val="32"/>
        </w:rPr>
        <w:sectPr>
          <w:headerReference r:id="rId3" w:type="default"/>
          <w:footerReference r:id="rId4" w:type="default"/>
          <w:pgSz w:w="11906" w:h="16838"/>
          <w:pgMar w:top="1440" w:right="1803" w:bottom="1440" w:left="1803" w:header="851" w:footer="992" w:gutter="0"/>
          <w:pgNumType w:start="1"/>
          <w:cols w:space="0" w:num="1"/>
          <w:titlePg/>
          <w:docGrid w:type="lines" w:linePitch="319" w:charSpace="0"/>
        </w:sectPr>
      </w:pPr>
    </w:p>
    <w:tbl>
      <w:tblPr>
        <w:tblStyle w:val="18"/>
        <w:tblW w:w="14100" w:type="dxa"/>
        <w:tblInd w:w="93" w:type="dxa"/>
        <w:tblLayout w:type="fixed"/>
        <w:tblCellMar>
          <w:top w:w="0" w:type="dxa"/>
          <w:left w:w="108" w:type="dxa"/>
          <w:bottom w:w="0" w:type="dxa"/>
          <w:right w:w="108" w:type="dxa"/>
        </w:tblCellMar>
      </w:tblPr>
      <w:tblGrid>
        <w:gridCol w:w="767"/>
        <w:gridCol w:w="1968"/>
        <w:gridCol w:w="1775"/>
        <w:gridCol w:w="2263"/>
        <w:gridCol w:w="789"/>
        <w:gridCol w:w="1155"/>
        <w:gridCol w:w="825"/>
        <w:gridCol w:w="1065"/>
        <w:gridCol w:w="600"/>
        <w:gridCol w:w="615"/>
        <w:gridCol w:w="2278"/>
      </w:tblGrid>
      <w:tr>
        <w:tblPrEx>
          <w:tblCellMar>
            <w:top w:w="0" w:type="dxa"/>
            <w:left w:w="108" w:type="dxa"/>
            <w:bottom w:w="0" w:type="dxa"/>
            <w:right w:w="108" w:type="dxa"/>
          </w:tblCellMar>
        </w:tblPrEx>
        <w:trPr>
          <w:trHeight w:val="493"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8"/>
                <w:szCs w:val="28"/>
                <w:lang w:bidi="ar"/>
              </w:rPr>
              <w:t>部门预算项目支出绩效自评表（2022年度）</w:t>
            </w:r>
          </w:p>
        </w:tc>
      </w:tr>
      <w:tr>
        <w:tblPrEx>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51082322T000005949956-“新冠”疫情防控经费</w:t>
            </w:r>
          </w:p>
        </w:tc>
      </w:tr>
      <w:tr>
        <w:tblPrEx>
          <w:tblCellMar>
            <w:top w:w="0" w:type="dxa"/>
            <w:left w:w="108" w:type="dxa"/>
            <w:bottom w:w="0" w:type="dxa"/>
            <w:right w:w="108" w:type="dxa"/>
          </w:tblCellMar>
        </w:tblPrEx>
        <w:trPr>
          <w:trHeight w:val="338"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6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剑阁县行政审批局本级</w:t>
            </w:r>
          </w:p>
        </w:tc>
        <w:tc>
          <w:tcPr>
            <w:tcW w:w="1065" w:type="dxa"/>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实施单位 </w:t>
            </w:r>
          </w:p>
        </w:tc>
        <w:tc>
          <w:tcPr>
            <w:tcW w:w="3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剑阁县行政审批局</w:t>
            </w:r>
          </w:p>
        </w:tc>
      </w:tr>
      <w:tr>
        <w:tblPrEx>
          <w:tblCellMar>
            <w:top w:w="0" w:type="dxa"/>
            <w:left w:w="108" w:type="dxa"/>
            <w:bottom w:w="0" w:type="dxa"/>
            <w:right w:w="108" w:type="dxa"/>
          </w:tblCellMar>
        </w:tblPrEx>
        <w:trPr>
          <w:trHeight w:val="286"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项目基本情况</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1.项目年度目标完成情况</w:t>
            </w:r>
          </w:p>
        </w:tc>
        <w:tc>
          <w:tcPr>
            <w:tcW w:w="6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项目年度目标</w:t>
            </w:r>
          </w:p>
        </w:tc>
        <w:tc>
          <w:tcPr>
            <w:tcW w:w="4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年度目标完成情况</w:t>
            </w:r>
          </w:p>
        </w:tc>
      </w:tr>
      <w:tr>
        <w:tblPrEx>
          <w:tblCellMar>
            <w:top w:w="0" w:type="dxa"/>
            <w:left w:w="108" w:type="dxa"/>
            <w:bottom w:w="0" w:type="dxa"/>
            <w:right w:w="108" w:type="dxa"/>
          </w:tblCellMar>
        </w:tblPrEx>
        <w:trPr>
          <w:trHeight w:val="523"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kern w:val="0"/>
                <w:sz w:val="16"/>
                <w:szCs w:val="16"/>
                <w:lang w:bidi="ar"/>
              </w:rPr>
              <w:t>确保政务大厅、交易大厅疫情防控到位，保证办事群众及工作人员安全。</w:t>
            </w:r>
          </w:p>
        </w:tc>
        <w:tc>
          <w:tcPr>
            <w:tcW w:w="4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5"/>
                <w:szCs w:val="15"/>
                <w:lang w:bidi="ar"/>
              </w:rPr>
              <w:t>确保了政务大厅、交易大厅疫情防控到位，保证办事群众及工作人员安全。</w:t>
            </w:r>
          </w:p>
        </w:tc>
      </w:tr>
      <w:tr>
        <w:tblPrEx>
          <w:tblCellMar>
            <w:top w:w="0" w:type="dxa"/>
            <w:left w:w="108" w:type="dxa"/>
            <w:bottom w:w="0" w:type="dxa"/>
            <w:right w:w="108" w:type="dxa"/>
          </w:tblCellMar>
        </w:tblPrEx>
        <w:trPr>
          <w:trHeight w:val="42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3"/>
                <w:szCs w:val="13"/>
                <w:lang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疫情期间每天做好两厅的消杀，每月一次的全面、彻底消杀，防疫物资充分保障，保证</w:t>
            </w:r>
            <w:r>
              <w:rPr>
                <w:rFonts w:hint="eastAsia" w:ascii="宋体" w:hAnsi="宋体" w:cs="宋体"/>
                <w:color w:val="000000"/>
                <w:kern w:val="0"/>
                <w:sz w:val="16"/>
                <w:szCs w:val="16"/>
                <w:lang w:bidi="ar"/>
              </w:rPr>
              <w:t>办事群众及工作人员安全。</w:t>
            </w:r>
          </w:p>
        </w:tc>
      </w:tr>
      <w:tr>
        <w:tblPrEx>
          <w:tblCellMar>
            <w:top w:w="0" w:type="dxa"/>
            <w:left w:w="108" w:type="dxa"/>
            <w:bottom w:w="0" w:type="dxa"/>
            <w:right w:w="108" w:type="dxa"/>
          </w:tblCellMar>
        </w:tblPrEx>
        <w:trPr>
          <w:trHeight w:val="448"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预算执行情况（10分）</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调整后预算数</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0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2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20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21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23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20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382"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绩效指标（90分）</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3"/>
                <w:szCs w:val="13"/>
                <w:lang w:bidi="ar"/>
              </w:rPr>
              <w:t>指标性质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3"/>
                <w:szCs w:val="13"/>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产出指标</w:t>
            </w:r>
          </w:p>
        </w:tc>
        <w:tc>
          <w:tcPr>
            <w:tcW w:w="17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大厅消杀</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定性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优良中低差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33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防疫物资保障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定性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优良中低差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33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疫情防控保障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定性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优良中低差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30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33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6"/>
                <w:szCs w:val="16"/>
                <w:lang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6"/>
                <w:szCs w:val="16"/>
                <w:lang w:bidi="ar"/>
              </w:rPr>
              <w:t>办事群众及工作人员满意度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i/>
                <w:iCs/>
                <w:color w:val="000000"/>
                <w:sz w:val="16"/>
                <w:szCs w:val="16"/>
              </w:rPr>
              <w:t>99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264" w:hRule="atLeast"/>
        </w:trPr>
        <w:tc>
          <w:tcPr>
            <w:tcW w:w="10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100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3"/>
                <w:szCs w:val="13"/>
                <w:lang w:bidi="ar"/>
              </w:rPr>
              <w:t>评价结论</w:t>
            </w:r>
          </w:p>
        </w:tc>
        <w:tc>
          <w:tcPr>
            <w:tcW w:w="13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3"/>
                <w:szCs w:val="13"/>
              </w:rPr>
            </w:pPr>
            <w:r>
              <w:rPr>
                <w:rFonts w:hint="eastAsia" w:ascii="宋体" w:hAnsi="宋体" w:cs="宋体"/>
                <w:i/>
                <w:iCs/>
                <w:color w:val="000000"/>
                <w:kern w:val="0"/>
                <w:sz w:val="13"/>
                <w:szCs w:val="13"/>
                <w:lang w:bidi="ar"/>
              </w:rPr>
              <w:t>2022年，政务大厅、交易大厅两厅疫情防控到位。</w:t>
            </w:r>
          </w:p>
        </w:tc>
      </w:tr>
      <w:tr>
        <w:tblPrEx>
          <w:tblCellMar>
            <w:top w:w="0" w:type="dxa"/>
            <w:left w:w="108" w:type="dxa"/>
            <w:bottom w:w="0" w:type="dxa"/>
            <w:right w:w="108" w:type="dxa"/>
          </w:tblCellMar>
        </w:tblPrEx>
        <w:trPr>
          <w:trHeight w:val="32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存在问题</w:t>
            </w:r>
          </w:p>
        </w:tc>
        <w:tc>
          <w:tcPr>
            <w:tcW w:w="13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3"/>
                <w:szCs w:val="13"/>
              </w:rPr>
            </w:pPr>
            <w:r>
              <w:rPr>
                <w:rFonts w:hint="eastAsia" w:ascii="宋体" w:hAnsi="宋体" w:cs="宋体"/>
                <w:i/>
                <w:iCs/>
                <w:color w:val="000000"/>
                <w:kern w:val="0"/>
                <w:sz w:val="13"/>
                <w:szCs w:val="13"/>
                <w:lang w:bidi="ar"/>
              </w:rPr>
              <w:t>无。</w:t>
            </w:r>
          </w:p>
        </w:tc>
      </w:tr>
      <w:tr>
        <w:tblPrEx>
          <w:tblCellMar>
            <w:top w:w="0" w:type="dxa"/>
            <w:left w:w="108" w:type="dxa"/>
            <w:bottom w:w="0" w:type="dxa"/>
            <w:right w:w="108" w:type="dxa"/>
          </w:tblCellMar>
        </w:tblPrEx>
        <w:trPr>
          <w:trHeight w:val="40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改进措施</w:t>
            </w:r>
          </w:p>
        </w:tc>
        <w:tc>
          <w:tcPr>
            <w:tcW w:w="13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6"/>
                <w:szCs w:val="16"/>
              </w:rPr>
            </w:pPr>
            <w:r>
              <w:rPr>
                <w:rFonts w:hint="eastAsia" w:ascii="宋体" w:hAnsi="宋体" w:cs="宋体"/>
                <w:i/>
                <w:iCs/>
                <w:color w:val="000000"/>
                <w:kern w:val="0"/>
                <w:sz w:val="16"/>
                <w:szCs w:val="16"/>
                <w:lang w:bidi="ar"/>
              </w:rPr>
              <w:t>无。</w:t>
            </w:r>
          </w:p>
        </w:tc>
      </w:tr>
      <w:tr>
        <w:tblPrEx>
          <w:tblCellMar>
            <w:top w:w="0" w:type="dxa"/>
            <w:left w:w="108" w:type="dxa"/>
            <w:bottom w:w="0" w:type="dxa"/>
            <w:right w:w="108" w:type="dxa"/>
          </w:tblCellMar>
        </w:tblPrEx>
        <w:trPr>
          <w:trHeight w:val="493"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8"/>
                <w:szCs w:val="28"/>
                <w:lang w:bidi="ar"/>
              </w:rPr>
              <w:t>部门预算项目支出绩效自评表（2022年度）</w:t>
            </w:r>
          </w:p>
        </w:tc>
      </w:tr>
      <w:tr>
        <w:tblPrEx>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51082322T000007032618</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剑阁县便民服务“三化”建设项目</w:t>
            </w:r>
          </w:p>
        </w:tc>
      </w:tr>
      <w:tr>
        <w:tblPrEx>
          <w:tblCellMar>
            <w:top w:w="0" w:type="dxa"/>
            <w:left w:w="108" w:type="dxa"/>
            <w:bottom w:w="0" w:type="dxa"/>
            <w:right w:w="108" w:type="dxa"/>
          </w:tblCellMar>
        </w:tblPrEx>
        <w:trPr>
          <w:trHeight w:val="338"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6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剑阁县行政审批局本级</w:t>
            </w:r>
          </w:p>
        </w:tc>
        <w:tc>
          <w:tcPr>
            <w:tcW w:w="1065" w:type="dxa"/>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实施单位 </w:t>
            </w:r>
          </w:p>
        </w:tc>
        <w:tc>
          <w:tcPr>
            <w:tcW w:w="3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剑阁县行政审批局</w:t>
            </w:r>
          </w:p>
        </w:tc>
      </w:tr>
      <w:tr>
        <w:tblPrEx>
          <w:tblCellMar>
            <w:top w:w="0" w:type="dxa"/>
            <w:left w:w="108" w:type="dxa"/>
            <w:bottom w:w="0" w:type="dxa"/>
            <w:right w:w="108" w:type="dxa"/>
          </w:tblCellMar>
        </w:tblPrEx>
        <w:trPr>
          <w:trHeight w:val="286"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项目基本情况</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1.项目年度目标完成情况</w:t>
            </w:r>
          </w:p>
        </w:tc>
        <w:tc>
          <w:tcPr>
            <w:tcW w:w="6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项目年度目标</w:t>
            </w:r>
          </w:p>
        </w:tc>
        <w:tc>
          <w:tcPr>
            <w:tcW w:w="4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年度目标完成情况</w:t>
            </w:r>
          </w:p>
        </w:tc>
      </w:tr>
      <w:tr>
        <w:tblPrEx>
          <w:tblCellMar>
            <w:top w:w="0" w:type="dxa"/>
            <w:left w:w="108" w:type="dxa"/>
            <w:bottom w:w="0" w:type="dxa"/>
            <w:right w:w="108" w:type="dxa"/>
          </w:tblCellMar>
        </w:tblPrEx>
        <w:trPr>
          <w:trHeight w:val="523"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kern w:val="0"/>
                <w:sz w:val="15"/>
                <w:szCs w:val="15"/>
                <w:lang w:bidi="ar"/>
              </w:rPr>
              <w:t>启动全县镇村便民服务体系“三化”建设，建成20个试点乡镇、185个试点村社区，更好地服务于广大人民群众和企事业单位，努力打通服务群众“最后一公里” 。</w:t>
            </w:r>
          </w:p>
        </w:tc>
        <w:tc>
          <w:tcPr>
            <w:tcW w:w="4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3"/>
                <w:szCs w:val="13"/>
                <w:lang w:bidi="ar"/>
              </w:rPr>
              <w:t>全县镇村便民服务体系建成，建成20个试点乡镇、185个试点村社区，更好地服务于广大人民群众和企事业单位，努力服务群众“最后一公里” 。</w:t>
            </w:r>
          </w:p>
        </w:tc>
      </w:tr>
      <w:tr>
        <w:tblPrEx>
          <w:tblCellMar>
            <w:top w:w="0" w:type="dxa"/>
            <w:left w:w="108" w:type="dxa"/>
            <w:bottom w:w="0" w:type="dxa"/>
            <w:right w:w="108" w:type="dxa"/>
          </w:tblCellMar>
        </w:tblPrEx>
        <w:trPr>
          <w:trHeight w:val="42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3"/>
                <w:szCs w:val="13"/>
                <w:lang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kern w:val="0"/>
                <w:sz w:val="13"/>
                <w:szCs w:val="13"/>
                <w:lang w:bidi="ar"/>
              </w:rPr>
              <w:t>建成20个试点乡镇、185个试点村社区，建成全县镇村便民服务体系。</w:t>
            </w:r>
          </w:p>
        </w:tc>
      </w:tr>
      <w:tr>
        <w:tblPrEx>
          <w:tblCellMar>
            <w:top w:w="0" w:type="dxa"/>
            <w:left w:w="108" w:type="dxa"/>
            <w:bottom w:w="0" w:type="dxa"/>
            <w:right w:w="108" w:type="dxa"/>
          </w:tblCellMar>
        </w:tblPrEx>
        <w:trPr>
          <w:trHeight w:val="463"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预算执行情况（10分）</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调整后预算数</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5"/>
                <w:szCs w:val="15"/>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0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84.52</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84.52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2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20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84.52</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84.52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21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23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20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382"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绩效指标（90分）</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3"/>
                <w:szCs w:val="13"/>
                <w:lang w:bidi="ar"/>
              </w:rPr>
              <w:t>指标性质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3"/>
                <w:szCs w:val="13"/>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产出指标</w:t>
            </w:r>
          </w:p>
        </w:tc>
        <w:tc>
          <w:tcPr>
            <w:tcW w:w="17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试点乡镇便民服务中心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个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33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试点村社区便民服务站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185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185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25</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33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群众和企业办事更加便捷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定性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优良中低差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30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33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6"/>
                <w:szCs w:val="16"/>
                <w:lang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6"/>
                <w:szCs w:val="16"/>
                <w:lang w:bidi="ar"/>
              </w:rPr>
              <w:t>办事群众及工作人员满意度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r>
              <w:rPr>
                <w:rFonts w:hint="eastAsia" w:ascii="宋体" w:hAnsi="宋体" w:cs="宋体"/>
                <w:color w:val="000000"/>
                <w:sz w:val="18"/>
                <w:szCs w:val="18"/>
              </w:rPr>
              <w:t>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6"/>
                <w:szCs w:val="16"/>
              </w:rPr>
            </w:pPr>
          </w:p>
        </w:tc>
      </w:tr>
      <w:tr>
        <w:tblPrEx>
          <w:tblCellMar>
            <w:top w:w="0" w:type="dxa"/>
            <w:left w:w="108" w:type="dxa"/>
            <w:bottom w:w="0" w:type="dxa"/>
            <w:right w:w="108" w:type="dxa"/>
          </w:tblCellMar>
        </w:tblPrEx>
        <w:trPr>
          <w:trHeight w:val="264" w:hRule="atLeast"/>
        </w:trPr>
        <w:tc>
          <w:tcPr>
            <w:tcW w:w="106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100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3"/>
                <w:szCs w:val="13"/>
                <w:lang w:bidi="ar"/>
              </w:rPr>
              <w:t>评价结论</w:t>
            </w:r>
          </w:p>
        </w:tc>
        <w:tc>
          <w:tcPr>
            <w:tcW w:w="13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3"/>
                <w:szCs w:val="13"/>
              </w:rPr>
            </w:pPr>
            <w:r>
              <w:rPr>
                <w:rFonts w:hint="eastAsia" w:ascii="宋体" w:hAnsi="宋体" w:cs="宋体"/>
                <w:i/>
                <w:iCs/>
                <w:color w:val="000000"/>
                <w:kern w:val="0"/>
                <w:sz w:val="13"/>
                <w:szCs w:val="13"/>
                <w:lang w:bidi="ar"/>
              </w:rPr>
              <w:t>2022年，我县启动了镇村便民服务体系建设，</w:t>
            </w:r>
            <w:r>
              <w:rPr>
                <w:rFonts w:hint="eastAsia" w:ascii="宋体" w:hAnsi="宋体" w:cs="宋体"/>
                <w:color w:val="000000"/>
                <w:kern w:val="0"/>
                <w:sz w:val="13"/>
                <w:szCs w:val="13"/>
                <w:lang w:bidi="ar"/>
              </w:rPr>
              <w:t>建成20个试点乡镇、185个试点村社区，更好地服务于广大人民群众和企事业单位，努力服务群众“最后一公里” 。</w:t>
            </w:r>
          </w:p>
        </w:tc>
      </w:tr>
      <w:tr>
        <w:tblPrEx>
          <w:tblCellMar>
            <w:top w:w="0" w:type="dxa"/>
            <w:left w:w="108" w:type="dxa"/>
            <w:bottom w:w="0" w:type="dxa"/>
            <w:right w:w="108" w:type="dxa"/>
          </w:tblCellMar>
        </w:tblPrEx>
        <w:trPr>
          <w:trHeight w:val="32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存在问题</w:t>
            </w:r>
          </w:p>
        </w:tc>
        <w:tc>
          <w:tcPr>
            <w:tcW w:w="13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3"/>
                <w:szCs w:val="13"/>
              </w:rPr>
            </w:pPr>
            <w:r>
              <w:rPr>
                <w:rFonts w:hint="eastAsia" w:ascii="宋体" w:hAnsi="宋体" w:cs="宋体"/>
                <w:i/>
                <w:iCs/>
                <w:color w:val="000000"/>
                <w:kern w:val="0"/>
                <w:sz w:val="13"/>
                <w:szCs w:val="13"/>
                <w:lang w:bidi="ar"/>
              </w:rPr>
              <w:t>无。</w:t>
            </w:r>
          </w:p>
        </w:tc>
      </w:tr>
      <w:tr>
        <w:tblPrEx>
          <w:tblCellMar>
            <w:top w:w="0" w:type="dxa"/>
            <w:left w:w="108" w:type="dxa"/>
            <w:bottom w:w="0" w:type="dxa"/>
            <w:right w:w="108" w:type="dxa"/>
          </w:tblCellMar>
        </w:tblPrEx>
        <w:trPr>
          <w:trHeight w:val="40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改进措施</w:t>
            </w:r>
          </w:p>
        </w:tc>
        <w:tc>
          <w:tcPr>
            <w:tcW w:w="13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6"/>
                <w:szCs w:val="16"/>
              </w:rPr>
            </w:pPr>
            <w:r>
              <w:rPr>
                <w:rFonts w:hint="eastAsia" w:ascii="宋体" w:hAnsi="宋体" w:cs="宋体"/>
                <w:i/>
                <w:iCs/>
                <w:color w:val="000000"/>
                <w:kern w:val="0"/>
                <w:sz w:val="16"/>
                <w:szCs w:val="16"/>
                <w:lang w:bidi="ar"/>
              </w:rPr>
              <w:t>无。</w:t>
            </w:r>
          </w:p>
        </w:tc>
      </w:tr>
    </w:tbl>
    <w:p>
      <w:pPr>
        <w:spacing w:line="600" w:lineRule="exact"/>
        <w:jc w:val="center"/>
        <w:outlineLvl w:val="0"/>
        <w:rPr>
          <w:rFonts w:ascii="黑体" w:hAnsi="黑体" w:eastAsia="黑体"/>
          <w:sz w:val="44"/>
          <w:szCs w:val="44"/>
        </w:rPr>
        <w:sectPr>
          <w:pgSz w:w="16838" w:h="11906" w:orient="landscape"/>
          <w:pgMar w:top="1803" w:right="1440" w:bottom="1803" w:left="1440" w:header="851" w:footer="992" w:gutter="0"/>
          <w:pgNumType w:start="1"/>
          <w:cols w:space="0" w:num="1"/>
          <w:titlePg/>
          <w:docGrid w:type="lines" w:linePitch="319" w:charSpace="0"/>
        </w:sectPr>
      </w:pPr>
      <w:bookmarkStart w:id="53" w:name="_Toc15396618"/>
    </w:p>
    <w:p>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1"/>
      <w:bookmarkEnd w:id="53"/>
      <w:bookmarkStart w:id="54" w:name="_Toc15396619"/>
    </w:p>
    <w:p>
      <w:pPr>
        <w:pStyle w:val="3"/>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32"/>
          <w:rFonts w:hint="eastAsia" w:ascii="仿宋" w:hAnsi="仿宋" w:eastAsia="仿宋"/>
          <w:b w:val="0"/>
          <w:bCs w:val="0"/>
        </w:rPr>
        <w:t>入决算表</w:t>
      </w:r>
      <w:bookmarkEnd w:id="55"/>
    </w:p>
    <w:p>
      <w:pPr>
        <w:pStyle w:val="3"/>
        <w:rPr>
          <w:rFonts w:ascii="仿宋" w:hAnsi="仿宋" w:eastAsia="仿宋"/>
        </w:rPr>
      </w:pPr>
      <w:bookmarkStart w:id="56"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7"/>
    </w:p>
    <w:p>
      <w:pPr>
        <w:pStyle w:val="3"/>
        <w:rPr>
          <w:rStyle w:val="32"/>
          <w:rFonts w:ascii="仿宋" w:hAnsi="仿宋" w:eastAsia="仿宋"/>
          <w:b w:val="0"/>
          <w:bCs w:val="0"/>
        </w:rPr>
      </w:pPr>
      <w:bookmarkStart w:id="58"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32"/>
          <w:rFonts w:hint="eastAsia" w:ascii="仿宋" w:hAnsi="仿宋" w:eastAsia="仿宋"/>
          <w:b w:val="0"/>
          <w:bCs w:val="0"/>
        </w:rPr>
        <w:t>十、</w:t>
      </w:r>
      <w:bookmarkEnd w:id="63"/>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32"/>
          <w:rFonts w:hint="eastAsia" w:ascii="仿宋" w:hAnsi="仿宋" w:eastAsia="仿宋"/>
          <w:b w:val="0"/>
          <w:bCs w:val="0"/>
        </w:rPr>
        <w:t>十一、</w:t>
      </w:r>
      <w:bookmarkEnd w:id="64"/>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32"/>
          <w:rFonts w:hint="eastAsia" w:ascii="仿宋" w:hAnsi="仿宋" w:eastAsia="仿宋"/>
          <w:b w:val="0"/>
          <w:bCs w:val="0"/>
        </w:rPr>
        <w:t>十二、</w:t>
      </w:r>
      <w:bookmarkEnd w:id="65"/>
      <w:r>
        <w:rPr>
          <w:rStyle w:val="32"/>
          <w:rFonts w:hint="eastAsia" w:ascii="仿宋" w:hAnsi="仿宋" w:eastAsia="仿宋"/>
          <w:b w:val="0"/>
          <w:bCs w:val="0"/>
        </w:rPr>
        <w:t>国有资本经营预算财政拨款支出决算表</w:t>
      </w:r>
    </w:p>
    <w:p>
      <w:pPr>
        <w:pStyle w:val="3"/>
        <w:rPr>
          <w:rFonts w:eastAsia="仿宋"/>
        </w:rPr>
      </w:pPr>
      <w:bookmarkStart w:id="66" w:name="_Toc15396631"/>
      <w:r>
        <w:rPr>
          <w:rStyle w:val="32"/>
          <w:rFonts w:hint="eastAsia" w:ascii="仿宋" w:hAnsi="仿宋" w:eastAsia="仿宋"/>
          <w:b w:val="0"/>
          <w:bCs w:val="0"/>
        </w:rPr>
        <w:t>十三、</w:t>
      </w:r>
      <w:bookmarkEnd w:id="66"/>
      <w:r>
        <w:rPr>
          <w:rStyle w:val="32"/>
          <w:rFonts w:hint="eastAsia" w:ascii="仿宋" w:hAnsi="仿宋" w:eastAsia="仿宋"/>
          <w:b w:val="0"/>
          <w:bCs w:val="0"/>
        </w:rPr>
        <w:t>财政拨款“三公”经费支出决算表</w:t>
      </w:r>
    </w:p>
    <w:sectPr>
      <w:pgSz w:w="11906" w:h="16838"/>
      <w:pgMar w:top="1440" w:right="1803" w:bottom="1440" w:left="1803" w:header="851" w:footer="992" w:gutter="0"/>
      <w:pgNumType w:start="1"/>
      <w:cols w:space="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C66DF-2315-482A-B723-119F30C161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A95910-7BA2-4845-89F5-BAA59CF31924}"/>
  </w:font>
  <w:font w:name="Cambria">
    <w:panose1 w:val="02040503050406030204"/>
    <w:charset w:val="00"/>
    <w:family w:val="roman"/>
    <w:pitch w:val="default"/>
    <w:sig w:usb0="E00006FF" w:usb1="420024FF" w:usb2="02000000" w:usb3="00000000" w:csb0="2000019F" w:csb1="00000000"/>
    <w:embedRegular r:id="rId3" w:fontKey="{5A7124C2-E350-47FF-89B9-B61BA6E6A300}"/>
  </w:font>
  <w:font w:name="仿宋_GB2312">
    <w:altName w:val="仿宋"/>
    <w:panose1 w:val="02010609030101010101"/>
    <w:charset w:val="86"/>
    <w:family w:val="modern"/>
    <w:pitch w:val="default"/>
    <w:sig w:usb0="00000000" w:usb1="00000000" w:usb2="00000010" w:usb3="00000000" w:csb0="00040000" w:csb1="00000000"/>
    <w:embedRegular r:id="rId4" w:fontKey="{8750B1FE-8969-46FA-BC9E-AFF3B8F8F880}"/>
  </w:font>
  <w:font w:name="仿宋">
    <w:panose1 w:val="02010609060101010101"/>
    <w:charset w:val="86"/>
    <w:family w:val="modern"/>
    <w:pitch w:val="default"/>
    <w:sig w:usb0="800002BF" w:usb1="38CF7CFA" w:usb2="00000016" w:usb3="00000000" w:csb0="00040001" w:csb1="00000000"/>
    <w:embedRegular r:id="rId5" w:fontKey="{03124CDC-04F7-4247-94C8-DCEE837BA0A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9FD03DC6-7B79-4E9A-AE2E-BBEEF4687FA4}"/>
  </w:font>
  <w:font w:name="楷体_GB2312">
    <w:altName w:val="楷体"/>
    <w:panose1 w:val="00000000000000000000"/>
    <w:charset w:val="86"/>
    <w:family w:val="auto"/>
    <w:pitch w:val="default"/>
    <w:sig w:usb0="00000000" w:usb1="00000000" w:usb2="00000000" w:usb3="00000000" w:csb0="00040000" w:csb1="00000000"/>
    <w:embedRegular r:id="rId7" w:fontKey="{0F0E0B4C-09EF-4DA9-9835-720680EEBAA8}"/>
  </w:font>
  <w:font w:name="华文仿宋">
    <w:panose1 w:val="02010600040101010101"/>
    <w:charset w:val="86"/>
    <w:family w:val="auto"/>
    <w:pitch w:val="default"/>
    <w:sig w:usb0="00000287" w:usb1="080F0000" w:usb2="00000000" w:usb3="00000000" w:csb0="0004009F" w:csb1="DFD70000"/>
    <w:embedRegular r:id="rId8" w:fontKey="{30C6E796-4F87-46F5-B34F-FCCA8E857A3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281953"/>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E3DA1"/>
    <w:multiLevelType w:val="singleLevel"/>
    <w:tmpl w:val="A76E3DA1"/>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1BBE5F4"/>
    <w:multiLevelType w:val="singleLevel"/>
    <w:tmpl w:val="21BBE5F4"/>
    <w:lvl w:ilvl="0" w:tentative="0">
      <w:start w:val="1"/>
      <w:numFmt w:val="chineseCounting"/>
      <w:suff w:val="nothing"/>
      <w:lvlText w:val="（%1）"/>
      <w:lvlJc w:val="left"/>
      <w:rPr>
        <w:rFonts w:hint="eastAsia"/>
      </w:rPr>
    </w:lvl>
  </w:abstractNum>
  <w:abstractNum w:abstractNumId="7">
    <w:nsid w:val="4E807D4B"/>
    <w:multiLevelType w:val="singleLevel"/>
    <w:tmpl w:val="4E807D4B"/>
    <w:lvl w:ilvl="0" w:tentative="0">
      <w:start w:val="1"/>
      <w:numFmt w:val="chineseCounting"/>
      <w:suff w:val="nothing"/>
      <w:lvlText w:val="%1、"/>
      <w:lvlJc w:val="left"/>
      <w:rPr>
        <w:rFonts w:hint="eastAsia"/>
      </w:rPr>
    </w:lvl>
  </w:abstractNum>
  <w:abstractNum w:abstractNumId="8">
    <w:nsid w:val="744D263E"/>
    <w:multiLevelType w:val="singleLevel"/>
    <w:tmpl w:val="744D263E"/>
    <w:lvl w:ilvl="0" w:tentative="0">
      <w:start w:val="1"/>
      <w:numFmt w:val="chineseCounting"/>
      <w:suff w:val="nothing"/>
      <w:lvlText w:val="（%1）"/>
      <w:lvlJc w:val="left"/>
      <w:rPr>
        <w:rFonts w:hint="eastAsia"/>
      </w:rPr>
    </w:lvl>
  </w:abstractNum>
  <w:num w:numId="1">
    <w:abstractNumId w:val="0"/>
  </w:num>
  <w:num w:numId="2">
    <w:abstractNumId w:val="7"/>
  </w:num>
  <w:num w:numId="3">
    <w:abstractNumId w:val="8"/>
  </w:num>
  <w:num w:numId="4">
    <w:abstractNumId w:val="5"/>
  </w:num>
  <w:num w:numId="5">
    <w:abstractNumId w:val="1"/>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2317"/>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4105"/>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872C6"/>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EB5"/>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4BDD"/>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C56903"/>
    <w:rsid w:val="02143E91"/>
    <w:rsid w:val="066E0107"/>
    <w:rsid w:val="06961E5F"/>
    <w:rsid w:val="07996F6E"/>
    <w:rsid w:val="094A1730"/>
    <w:rsid w:val="09B41737"/>
    <w:rsid w:val="0A2032A3"/>
    <w:rsid w:val="0F98263C"/>
    <w:rsid w:val="101860EC"/>
    <w:rsid w:val="10C055FF"/>
    <w:rsid w:val="118107EC"/>
    <w:rsid w:val="120B40FA"/>
    <w:rsid w:val="13D50BC4"/>
    <w:rsid w:val="14155A29"/>
    <w:rsid w:val="14EF3F6B"/>
    <w:rsid w:val="16BB723D"/>
    <w:rsid w:val="16DF7C59"/>
    <w:rsid w:val="173D7210"/>
    <w:rsid w:val="1BE8440E"/>
    <w:rsid w:val="1D155CEE"/>
    <w:rsid w:val="1F43738D"/>
    <w:rsid w:val="1FF35744"/>
    <w:rsid w:val="231A0405"/>
    <w:rsid w:val="237C10C0"/>
    <w:rsid w:val="23860B96"/>
    <w:rsid w:val="240371BF"/>
    <w:rsid w:val="29FD04D3"/>
    <w:rsid w:val="2C8A61B5"/>
    <w:rsid w:val="2CA945A8"/>
    <w:rsid w:val="2D7020CD"/>
    <w:rsid w:val="2DF04E50"/>
    <w:rsid w:val="2F040D46"/>
    <w:rsid w:val="319F7F4E"/>
    <w:rsid w:val="3304709D"/>
    <w:rsid w:val="33BE3C97"/>
    <w:rsid w:val="34D66156"/>
    <w:rsid w:val="365437D6"/>
    <w:rsid w:val="36AA5135"/>
    <w:rsid w:val="376D39B2"/>
    <w:rsid w:val="3787198A"/>
    <w:rsid w:val="37E16F03"/>
    <w:rsid w:val="37EB2546"/>
    <w:rsid w:val="38D469F0"/>
    <w:rsid w:val="3D98207C"/>
    <w:rsid w:val="3E100AAA"/>
    <w:rsid w:val="3E78745D"/>
    <w:rsid w:val="3E81624E"/>
    <w:rsid w:val="414E3F10"/>
    <w:rsid w:val="42383FAC"/>
    <w:rsid w:val="42732C7A"/>
    <w:rsid w:val="44000AFA"/>
    <w:rsid w:val="44E268DA"/>
    <w:rsid w:val="455D6BD5"/>
    <w:rsid w:val="47B9793D"/>
    <w:rsid w:val="489D380A"/>
    <w:rsid w:val="49FB7DDB"/>
    <w:rsid w:val="4A627F82"/>
    <w:rsid w:val="4AFC5CC1"/>
    <w:rsid w:val="4B0E749A"/>
    <w:rsid w:val="4B4F25DA"/>
    <w:rsid w:val="4BE068DB"/>
    <w:rsid w:val="4D577224"/>
    <w:rsid w:val="4EAB630A"/>
    <w:rsid w:val="4ECE2238"/>
    <w:rsid w:val="50593A6B"/>
    <w:rsid w:val="537E6D0A"/>
    <w:rsid w:val="55264138"/>
    <w:rsid w:val="5AF92295"/>
    <w:rsid w:val="5C8833E1"/>
    <w:rsid w:val="5CBA7F88"/>
    <w:rsid w:val="5CD526CC"/>
    <w:rsid w:val="5CD71FC4"/>
    <w:rsid w:val="63242F66"/>
    <w:rsid w:val="65C67E15"/>
    <w:rsid w:val="65CE0600"/>
    <w:rsid w:val="662841B4"/>
    <w:rsid w:val="6A10568B"/>
    <w:rsid w:val="6ABC4ECB"/>
    <w:rsid w:val="6C4A05C8"/>
    <w:rsid w:val="6E7E3605"/>
    <w:rsid w:val="6FF5CC65"/>
    <w:rsid w:val="715C0E4B"/>
    <w:rsid w:val="72734D90"/>
    <w:rsid w:val="73620BF8"/>
    <w:rsid w:val="73AD73D5"/>
    <w:rsid w:val="73B6EB34"/>
    <w:rsid w:val="744731E5"/>
    <w:rsid w:val="76946CFC"/>
    <w:rsid w:val="76E3355F"/>
    <w:rsid w:val="778769C8"/>
    <w:rsid w:val="77F21F31"/>
    <w:rsid w:val="79EE5BA4"/>
    <w:rsid w:val="7A894339"/>
    <w:rsid w:val="7AAA232F"/>
    <w:rsid w:val="7C07676C"/>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8"/>
    <w:autoRedefine/>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Body Text First Indent"/>
    <w:basedOn w:val="5"/>
    <w:qFormat/>
    <w:uiPriority w:val="0"/>
    <w:pPr>
      <w:ind w:firstLine="420" w:firstLineChars="100"/>
    </w:pPr>
  </w:style>
  <w:style w:type="paragraph" w:styleId="17">
    <w:name w:val="Body Text First Indent 2"/>
    <w:basedOn w:val="6"/>
    <w:next w:val="16"/>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9"/>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列出段落11"/>
    <w:basedOn w:val="1"/>
    <w:qFormat/>
    <w:uiPriority w:val="0"/>
    <w:pPr>
      <w:ind w:firstLine="200" w:firstLineChars="200"/>
    </w:pPr>
    <w:rPr>
      <w:sz w:val="32"/>
    </w:rPr>
  </w:style>
  <w:style w:type="character" w:customStyle="1" w:styleId="39">
    <w:name w:val="font21"/>
    <w:basedOn w:val="19"/>
    <w:qFormat/>
    <w:uiPriority w:val="0"/>
    <w:rPr>
      <w:rFonts w:hint="eastAsia" w:ascii="宋体" w:hAnsi="宋体" w:eastAsia="宋体" w:cs="宋体"/>
      <w:color w:val="000000"/>
      <w:sz w:val="16"/>
      <w:szCs w:val="16"/>
      <w:u w:val="none"/>
    </w:rPr>
  </w:style>
  <w:style w:type="character" w:customStyle="1" w:styleId="40">
    <w:name w:val="font41"/>
    <w:basedOn w:val="1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0915;&#31639;&#20844;&#31034;\&#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7553;&#20202;&#39302;2022&#20915;&#31639;&#20844;&#31034;\&#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0915;&#31639;&#20844;&#31034;\&#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0915;&#31639;&#20844;&#31034;\&#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0915;&#31639;&#20844;&#31034;\&#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0915;&#31639;&#20844;&#31034;\&#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7553;&#20202;&#39302;2022&#20915;&#31639;&#20844;&#31034;\&#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514.71</c:v>
                </c:pt>
                <c:pt idx="1">
                  <c:v>466.44</c:v>
                </c:pt>
              </c:numCache>
            </c:numRef>
          </c:val>
        </c:ser>
        <c:dLbls>
          <c:showLegendKey val="0"/>
          <c:showVal val="1"/>
          <c:showCatName val="0"/>
          <c:showSerName val="0"/>
          <c:showPercent val="0"/>
          <c:showBubbleSize val="0"/>
        </c:dLbls>
        <c:gapWidth val="150"/>
        <c:axId val="448099456"/>
        <c:axId val="448016768"/>
      </c:barChart>
      <c:catAx>
        <c:axId val="448099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8016768"/>
        <c:crosses val="autoZero"/>
        <c:auto val="1"/>
        <c:lblAlgn val="ctr"/>
        <c:lblOffset val="100"/>
        <c:noMultiLvlLbl val="0"/>
      </c:catAx>
      <c:valAx>
        <c:axId val="448016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8099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9"/>
          <c:y val="0.176388888888889"/>
          <c:w val="0.324305555555556"/>
          <c:h val="0.540509259259259"/>
        </c:manualLayout>
      </c:layout>
      <c:pieChart>
        <c:varyColors val="1"/>
        <c:ser>
          <c:idx val="0"/>
          <c:order val="0"/>
          <c:explosion val="0"/>
          <c:dLbls>
            <c:delete val="1"/>
          </c:dLbls>
          <c:cat>
            <c:strRef>
              <c:f>[决算公开插图制作示例.xlsx]图二!$A$1:$A$6</c:f>
              <c:strCache>
                <c:ptCount val="6"/>
                <c:pt idx="0">
                  <c:v>一般公共预算财政拨款收入</c:v>
                </c:pt>
              </c:strCache>
            </c:strRef>
          </c:cat>
          <c:val>
            <c:numRef>
              <c:f>[决算公开插图制作示例.xlsx]图二!$B$1:$B$6</c:f>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[决算公开插图制作示例.xlsx]图二!$A$1:$A$6</c:f>
              <c:strCache>
                <c:ptCount val="6"/>
                <c:pt idx="0">
                  <c:v>一般公共预算财政拨款收入</c:v>
                </c:pt>
              </c:strCache>
            </c:strRef>
          </c:cat>
          <c:val>
            <c:numRef>
              <c:f>[决算公开插图制作示例.xlsx]图二!$C$1:$C$6</c:f>
              <c:numCache>
                <c:formatCode>0.00%</c:formatCode>
                <c:ptCount val="6"/>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layout/>
      <c:overlay val="0"/>
      <c:spPr>
        <a:pattFill prst="pct5">
          <a:fgClr>
            <a:schemeClr val="accent1"/>
          </a:fgClr>
          <a:bgClr>
            <a:schemeClr val="bg1"/>
          </a:bgClr>
        </a:patt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0.8081</c:v>
                </c:pt>
                <c:pt idx="1">
                  <c:v>0.1919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514.71</c:v>
                </c:pt>
                <c:pt idx="1">
                  <c:v>466.44</c:v>
                </c:pt>
              </c:numCache>
            </c:numRef>
          </c:val>
        </c:ser>
        <c:dLbls>
          <c:showLegendKey val="0"/>
          <c:showVal val="1"/>
          <c:showCatName val="0"/>
          <c:showSerName val="0"/>
          <c:showPercent val="0"/>
          <c:showBubbleSize val="0"/>
        </c:dLbls>
        <c:gapWidth val="150"/>
        <c:axId val="448488960"/>
        <c:axId val="448520192"/>
      </c:barChart>
      <c:catAx>
        <c:axId val="448488960"/>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448520192"/>
        <c:crosses val="autoZero"/>
        <c:auto val="1"/>
        <c:lblAlgn val="ctr"/>
        <c:lblOffset val="100"/>
        <c:noMultiLvlLbl val="0"/>
      </c:catAx>
      <c:valAx>
        <c:axId val="4485201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8488960"/>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514.71</c:v>
                </c:pt>
                <c:pt idx="1">
                  <c:v>466.44</c:v>
                </c:pt>
              </c:numCache>
            </c:numRef>
          </c:val>
        </c:ser>
        <c:dLbls>
          <c:showLegendKey val="0"/>
          <c:showVal val="1"/>
          <c:showCatName val="0"/>
          <c:showSerName val="0"/>
          <c:showPercent val="0"/>
          <c:showBubbleSize val="0"/>
        </c:dLbls>
        <c:gapWidth val="150"/>
        <c:axId val="448526976"/>
        <c:axId val="448931712"/>
      </c:barChart>
      <c:catAx>
        <c:axId val="44852697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448931712"/>
        <c:crosses val="autoZero"/>
        <c:auto val="1"/>
        <c:lblAlgn val="ctr"/>
        <c:lblOffset val="100"/>
        <c:noMultiLvlLbl val="0"/>
      </c:catAx>
      <c:valAx>
        <c:axId val="448931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852697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4042578011081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777899662532919"/>
                  <c:y val="0.02271393344350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[决算公开插图制作示例.xlsx]图6!$A$2:$A$6</c:f>
              <c:strCache>
                <c:ptCount val="5"/>
                <c:pt idx="0">
                  <c:v>一般公共服务（类）支出</c:v>
                </c:pt>
                <c:pt idx="1">
                  <c:v>社会保障和就业（类）支出</c:v>
                </c:pt>
                <c:pt idx="2">
                  <c:v>卫生健康(类)支出</c:v>
                </c:pt>
                <c:pt idx="3">
                  <c:v>农林水（类）支出</c:v>
                </c:pt>
                <c:pt idx="4">
                  <c:v>住房保障（类）支出</c:v>
                </c:pt>
              </c:strCache>
            </c:strRef>
          </c:cat>
          <c:val>
            <c:numRef>
              <c:f>[决算公开插图制作示例.xlsx]图6!$B$2:$B$6</c:f>
              <c:numCache>
                <c:formatCode>0.00%</c:formatCode>
                <c:ptCount val="5"/>
                <c:pt idx="0">
                  <c:v>0.677</c:v>
                </c:pt>
                <c:pt idx="1">
                  <c:v>0.0583</c:v>
                </c:pt>
                <c:pt idx="2">
                  <c:v>0.0398</c:v>
                </c:pt>
                <c:pt idx="3">
                  <c:v>0.1812</c:v>
                </c:pt>
                <c:pt idx="4">
                  <c:v>0.0437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formatCode="0%">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1831</Words>
  <Characters>10443</Characters>
  <Lines>87</Lines>
  <Paragraphs>24</Paragraphs>
  <TotalTime>28</TotalTime>
  <ScaleCrop>false</ScaleCrop>
  <LinksUpToDate>false</LinksUpToDate>
  <CharactersWithSpaces>12250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2023-12-21T07:56:33Z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159AC445D8644F0791C2D6CF3DBB08A9_12</vt:lpwstr>
  </property>
</Properties>
</file>