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96475"/>
      <w:bookmarkStart w:id="3" w:name="_Toc15396597"/>
      <w:bookmarkStart w:id="4" w:name="_Toc15377425"/>
      <w:bookmarkStart w:id="5" w:name="_Toc15377193"/>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7194"/>
      <w:bookmarkStart w:id="8" w:name="_Toc15378442"/>
      <w:bookmarkStart w:id="9" w:name="_Toc15377426"/>
      <w:bookmarkStart w:id="10" w:name="_Toc15396476"/>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z w:val="72"/>
          <w:szCs w:val="72"/>
        </w:rPr>
        <w:t>县道公路养护段</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bookmarkStart w:id="69" w:name="_GoBack"/>
      <w:bookmarkEnd w:id="69"/>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rPr>
          <w:rFonts w:asciiTheme="majorEastAsia" w:hAnsiTheme="majorEastAsia" w:eastAsiaTheme="majorEastAsia"/>
          <w:sz w:val="24"/>
          <w:szCs w:val="24"/>
        </w:rPr>
      </w:pPr>
      <w:r>
        <w:rPr>
          <w:rFonts w:hint="eastAsia" w:asciiTheme="majorEastAsia" w:hAnsiTheme="majorEastAsia" w:eastAsiaTheme="majorEastAsia"/>
          <w:sz w:val="24"/>
          <w:szCs w:val="24"/>
        </w:rPr>
        <w:t>公开时间：2023年 10月16 日</w:t>
      </w:r>
    </w:p>
    <w:p>
      <w:pPr>
        <w:rPr>
          <w:rFonts w:asciiTheme="minorEastAsia" w:hAnsiTheme="minorEastAsia" w:eastAsiaTheme="minorEastAsia"/>
          <w:sz w:val="24"/>
        </w:rPr>
      </w:pPr>
    </w:p>
    <w:p>
      <w:pPr>
        <w:pStyle w:val="11"/>
        <w:adjustRightInd w:val="0"/>
        <w:snapToGrid w:val="0"/>
        <w:spacing w:before="0" w:line="440" w:lineRule="exact"/>
        <w:jc w:val="left"/>
        <w:rPr>
          <w:rFonts w:cstheme="minorBidi"/>
          <w:b/>
        </w:rPr>
      </w:pPr>
      <w:r>
        <w:rPr>
          <w:rFonts w:hint="eastAsia"/>
          <w:b/>
        </w:rPr>
        <w:t>第一部分</w:t>
      </w:r>
      <w:r>
        <w:rPr>
          <w:b/>
        </w:rPr>
        <w:t xml:space="preserve"> </w:t>
      </w:r>
      <w:r>
        <w:rPr>
          <w:rFonts w:hint="eastAsia"/>
          <w:b/>
        </w:rPr>
        <w:t>单位概况</w:t>
      </w:r>
    </w:p>
    <w:p>
      <w:pPr>
        <w:pStyle w:val="12"/>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24"/>
        </w:rPr>
        <w:t>一、主要职责及重点</w:t>
      </w:r>
      <w:r>
        <w:rPr>
          <w:rFonts w:asciiTheme="majorEastAsia" w:hAnsiTheme="majorEastAsia" w:eastAsiaTheme="majorEastAsia"/>
          <w:sz w:val="24"/>
        </w:rPr>
        <w:t>工作</w:t>
      </w:r>
    </w:p>
    <w:p>
      <w:pPr>
        <w:pStyle w:val="12"/>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24"/>
        </w:rPr>
        <w:t>（一）单位</w:t>
      </w:r>
      <w:r>
        <w:rPr>
          <w:rFonts w:asciiTheme="majorEastAsia" w:hAnsiTheme="majorEastAsia" w:eastAsiaTheme="majorEastAsia"/>
          <w:sz w:val="24"/>
        </w:rPr>
        <w:t>职责</w:t>
      </w:r>
    </w:p>
    <w:p>
      <w:pPr>
        <w:pStyle w:val="12"/>
        <w:adjustRightInd w:val="0"/>
        <w:snapToGrid w:val="0"/>
        <w:spacing w:line="440" w:lineRule="exact"/>
        <w:jc w:val="left"/>
        <w:rPr>
          <w:rFonts w:asciiTheme="majorEastAsia" w:hAnsiTheme="majorEastAsia" w:eastAsiaTheme="majorEastAsia"/>
          <w:b/>
          <w:bCs/>
          <w:sz w:val="24"/>
        </w:rPr>
      </w:pPr>
      <w:r>
        <w:rPr>
          <w:rFonts w:hint="eastAsia" w:asciiTheme="majorEastAsia" w:hAnsiTheme="majorEastAsia" w:eastAsiaTheme="majorEastAsia"/>
          <w:sz w:val="24"/>
        </w:rPr>
        <w:t>（二）2022年重点工作完成情况</w:t>
      </w:r>
    </w:p>
    <w:p>
      <w:pPr>
        <w:pStyle w:val="12"/>
        <w:adjustRightInd w:val="0"/>
        <w:snapToGrid w:val="0"/>
        <w:spacing w:line="440" w:lineRule="exact"/>
        <w:jc w:val="left"/>
        <w:rPr>
          <w:rFonts w:asciiTheme="majorEastAsia" w:hAnsiTheme="majorEastAsia" w:eastAsiaTheme="majorEastAsia"/>
          <w:sz w:val="24"/>
        </w:rPr>
      </w:pPr>
      <w:r>
        <w:rPr>
          <w:rFonts w:hint="eastAsia" w:asciiTheme="majorEastAsia" w:hAnsiTheme="majorEastAsia" w:eastAsiaTheme="majorEastAsia"/>
          <w:sz w:val="24"/>
        </w:rPr>
        <w:t>二、机构设置</w:t>
      </w:r>
    </w:p>
    <w:p>
      <w:pPr>
        <w:pStyle w:val="11"/>
        <w:adjustRightInd w:val="0"/>
        <w:snapToGrid w:val="0"/>
        <w:spacing w:before="0" w:line="440" w:lineRule="exact"/>
        <w:jc w:val="left"/>
        <w:rPr>
          <w:b/>
        </w:rPr>
      </w:pPr>
      <w:r>
        <w:rPr>
          <w:rFonts w:hint="eastAsia"/>
          <w:b/>
        </w:rPr>
        <w:t>第二部分 2022年度单位决算情况说明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2"/>
        <w:adjustRightInd w:val="0"/>
        <w:snapToGrid w:val="0"/>
        <w:spacing w:line="440" w:lineRule="exact"/>
        <w:jc w:val="left"/>
        <w:rPr>
          <w:sz w:val="24"/>
        </w:rPr>
      </w:pPr>
      <w:r>
        <w:rPr>
          <w:rFonts w:hint="eastAsia"/>
          <w:sz w:val="24"/>
        </w:rPr>
        <w:t>九、国有资本经营预算支出决算情况说明</w:t>
      </w:r>
    </w:p>
    <w:p>
      <w:pPr>
        <w:pStyle w:val="12"/>
        <w:adjustRightInd w:val="0"/>
        <w:snapToGrid w:val="0"/>
        <w:spacing w:line="440" w:lineRule="exact"/>
        <w:jc w:val="left"/>
        <w:rPr>
          <w:sz w:val="24"/>
        </w:rPr>
      </w:pPr>
      <w:r>
        <w:rPr>
          <w:rFonts w:hint="eastAsia"/>
          <w:sz w:val="24"/>
        </w:rPr>
        <w:t>十、其他重要事项的情况说明</w:t>
      </w:r>
    </w:p>
    <w:p>
      <w:pPr>
        <w:pStyle w:val="11"/>
        <w:adjustRightInd w:val="0"/>
        <w:snapToGrid w:val="0"/>
        <w:spacing w:before="0" w:line="440" w:lineRule="exact"/>
        <w:jc w:val="left"/>
        <w:rPr>
          <w:rFonts w:cstheme="minorBidi"/>
          <w:b/>
        </w:rPr>
      </w:pPr>
      <w:r>
        <w:rPr>
          <w:rFonts w:hint="eastAsia"/>
          <w:b/>
        </w:rPr>
        <w:t>第三部分</w:t>
      </w:r>
      <w:r>
        <w:rPr>
          <w:b/>
        </w:rPr>
        <w:t xml:space="preserve"> </w:t>
      </w:r>
      <w:r>
        <w:rPr>
          <w:rFonts w:hint="eastAsia"/>
          <w:b/>
        </w:rPr>
        <w:t>名词解释</w:t>
      </w:r>
    </w:p>
    <w:p>
      <w:pPr>
        <w:pStyle w:val="11"/>
        <w:adjustRightInd w:val="0"/>
        <w:snapToGrid w:val="0"/>
        <w:spacing w:before="0" w:line="440" w:lineRule="exact"/>
        <w:jc w:val="left"/>
        <w:rPr>
          <w:rFonts w:cstheme="minorBidi"/>
          <w:b/>
        </w:rPr>
      </w:pPr>
      <w:r>
        <w:rPr>
          <w:rFonts w:hint="eastAsia"/>
          <w:b/>
        </w:rPr>
        <w:t>第四部分</w:t>
      </w:r>
      <w:r>
        <w:rPr>
          <w:b/>
        </w:rPr>
        <w:t xml:space="preserve"> </w:t>
      </w:r>
      <w:r>
        <w:rPr>
          <w:rFonts w:hint="eastAsia"/>
          <w:b/>
        </w:rPr>
        <w:t>附件</w:t>
      </w:r>
    </w:p>
    <w:p>
      <w:pPr>
        <w:pStyle w:val="11"/>
        <w:adjustRightInd w:val="0"/>
        <w:snapToGrid w:val="0"/>
        <w:spacing w:before="0" w:line="440" w:lineRule="exact"/>
        <w:jc w:val="left"/>
        <w:rPr>
          <w:rFonts w:cstheme="minorBidi"/>
          <w:b/>
        </w:rPr>
      </w:pPr>
      <w:r>
        <w:rPr>
          <w:rFonts w:hint="eastAsia"/>
          <w:b/>
        </w:rPr>
        <w:t>第五部分</w:t>
      </w:r>
      <w:r>
        <w:rPr>
          <w:b/>
        </w:rPr>
        <w:t xml:space="preserve"> </w:t>
      </w:r>
      <w:r>
        <w:rPr>
          <w:rFonts w:hint="eastAsia"/>
          <w:b/>
        </w:rPr>
        <w:t>附表</w:t>
      </w:r>
    </w:p>
    <w:p>
      <w:pPr>
        <w:pStyle w:val="12"/>
        <w:adjustRightInd w:val="0"/>
        <w:snapToGrid w:val="0"/>
        <w:spacing w:line="440" w:lineRule="exact"/>
        <w:jc w:val="left"/>
        <w:rPr>
          <w:sz w:val="24"/>
        </w:rPr>
      </w:pPr>
      <w:r>
        <w:rPr>
          <w:rFonts w:hint="eastAsia"/>
          <w:sz w:val="24"/>
        </w:rPr>
        <w:t>一、收入支出决算总表</w:t>
      </w:r>
    </w:p>
    <w:p>
      <w:pPr>
        <w:pStyle w:val="12"/>
        <w:adjustRightInd w:val="0"/>
        <w:snapToGrid w:val="0"/>
        <w:spacing w:line="440" w:lineRule="exact"/>
        <w:jc w:val="left"/>
        <w:rPr>
          <w:sz w:val="24"/>
        </w:rPr>
      </w:pPr>
      <w:r>
        <w:rPr>
          <w:rFonts w:hint="eastAsia"/>
          <w:sz w:val="24"/>
        </w:rPr>
        <w:t>二、收入决算表</w:t>
      </w:r>
    </w:p>
    <w:p>
      <w:pPr>
        <w:pStyle w:val="12"/>
        <w:adjustRightInd w:val="0"/>
        <w:snapToGrid w:val="0"/>
        <w:spacing w:line="440" w:lineRule="exact"/>
        <w:jc w:val="left"/>
        <w:rPr>
          <w:sz w:val="24"/>
        </w:rPr>
      </w:pPr>
      <w:r>
        <w:rPr>
          <w:rFonts w:hint="eastAsia"/>
          <w:sz w:val="24"/>
        </w:rPr>
        <w:t>三、支出决算表</w:t>
      </w:r>
    </w:p>
    <w:p>
      <w:pPr>
        <w:pStyle w:val="12"/>
        <w:adjustRightInd w:val="0"/>
        <w:snapToGrid w:val="0"/>
        <w:spacing w:line="440" w:lineRule="exact"/>
        <w:jc w:val="left"/>
        <w:rPr>
          <w:sz w:val="24"/>
        </w:rPr>
      </w:pPr>
      <w:r>
        <w:rPr>
          <w:rFonts w:hint="eastAsia"/>
          <w:sz w:val="24"/>
        </w:rPr>
        <w:t>四、财政拨款收入支出决算总表</w:t>
      </w:r>
    </w:p>
    <w:p>
      <w:pPr>
        <w:pStyle w:val="12"/>
        <w:adjustRightInd w:val="0"/>
        <w:snapToGrid w:val="0"/>
        <w:spacing w:line="440" w:lineRule="exact"/>
        <w:jc w:val="left"/>
        <w:rPr>
          <w:sz w:val="24"/>
        </w:rPr>
      </w:pPr>
      <w:r>
        <w:rPr>
          <w:rFonts w:hint="eastAsia"/>
          <w:sz w:val="24"/>
        </w:rPr>
        <w:t>五、财政拨款支出决算明细表</w:t>
      </w:r>
    </w:p>
    <w:p>
      <w:pPr>
        <w:pStyle w:val="12"/>
        <w:adjustRightInd w:val="0"/>
        <w:snapToGrid w:val="0"/>
        <w:spacing w:line="440" w:lineRule="exact"/>
        <w:jc w:val="left"/>
        <w:rPr>
          <w:sz w:val="24"/>
        </w:rPr>
      </w:pPr>
      <w:r>
        <w:rPr>
          <w:rFonts w:hint="eastAsia"/>
          <w:sz w:val="24"/>
        </w:rPr>
        <w:t>六、一般公共预算财政拨款支出决算表</w:t>
      </w:r>
    </w:p>
    <w:p>
      <w:pPr>
        <w:pStyle w:val="12"/>
        <w:adjustRightInd w:val="0"/>
        <w:snapToGrid w:val="0"/>
        <w:spacing w:line="440" w:lineRule="exact"/>
        <w:jc w:val="left"/>
        <w:rPr>
          <w:sz w:val="24"/>
        </w:rPr>
      </w:pPr>
      <w:r>
        <w:rPr>
          <w:rFonts w:hint="eastAsia"/>
          <w:sz w:val="24"/>
        </w:rPr>
        <w:t>七、一般公共预算财政拨款支出决算明细表</w:t>
      </w:r>
    </w:p>
    <w:p>
      <w:pPr>
        <w:pStyle w:val="12"/>
        <w:adjustRightInd w:val="0"/>
        <w:snapToGrid w:val="0"/>
        <w:spacing w:line="440" w:lineRule="exact"/>
        <w:jc w:val="left"/>
        <w:rPr>
          <w:sz w:val="24"/>
        </w:rPr>
      </w:pPr>
      <w:r>
        <w:rPr>
          <w:rFonts w:hint="eastAsia"/>
          <w:sz w:val="24"/>
        </w:rPr>
        <w:t>八、一般公共预算财政拨款基本支出决算明细表</w:t>
      </w:r>
    </w:p>
    <w:p>
      <w:pPr>
        <w:pStyle w:val="12"/>
        <w:adjustRightInd w:val="0"/>
        <w:snapToGrid w:val="0"/>
        <w:spacing w:line="440" w:lineRule="exact"/>
        <w:jc w:val="left"/>
        <w:rPr>
          <w:sz w:val="24"/>
        </w:rPr>
      </w:pPr>
      <w:r>
        <w:rPr>
          <w:rFonts w:hint="eastAsia"/>
          <w:sz w:val="24"/>
        </w:rPr>
        <w:t>九、一般公共预算财政拨款项目支出决算表</w:t>
      </w:r>
    </w:p>
    <w:p>
      <w:pPr>
        <w:pStyle w:val="12"/>
        <w:adjustRightInd w:val="0"/>
        <w:snapToGrid w:val="0"/>
        <w:spacing w:line="440" w:lineRule="exact"/>
        <w:jc w:val="left"/>
        <w:rPr>
          <w:sz w:val="24"/>
        </w:rPr>
      </w:pPr>
      <w:r>
        <w:rPr>
          <w:rFonts w:hint="eastAsia"/>
          <w:sz w:val="24"/>
        </w:rPr>
        <w:t>十、政府性基金预算财政拨款收入支出决算表</w:t>
      </w:r>
    </w:p>
    <w:p>
      <w:pPr>
        <w:pStyle w:val="12"/>
        <w:adjustRightInd w:val="0"/>
        <w:snapToGrid w:val="0"/>
        <w:spacing w:line="440" w:lineRule="exact"/>
        <w:jc w:val="left"/>
        <w:rPr>
          <w:sz w:val="24"/>
        </w:rPr>
      </w:pPr>
      <w:r>
        <w:rPr>
          <w:rFonts w:hint="eastAsia"/>
          <w:sz w:val="24"/>
        </w:rPr>
        <w:t>十一、国有资本经营预算财政拨款收入支出决算表</w:t>
      </w:r>
    </w:p>
    <w:p>
      <w:pPr>
        <w:pStyle w:val="12"/>
        <w:adjustRightInd w:val="0"/>
        <w:snapToGrid w:val="0"/>
        <w:spacing w:line="440" w:lineRule="exact"/>
        <w:jc w:val="left"/>
        <w:rPr>
          <w:sz w:val="24"/>
        </w:rPr>
      </w:pPr>
      <w:r>
        <w:rPr>
          <w:rFonts w:hint="eastAsia"/>
          <w:sz w:val="24"/>
        </w:rPr>
        <w:t>十二、国有资本经营预算财政拨款支出决算表</w:t>
      </w:r>
    </w:p>
    <w:p>
      <w:pPr>
        <w:pStyle w:val="12"/>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Fonts w:ascii="黑体" w:hAnsi="黑体" w:eastAsia="黑体"/>
          <w:bCs w:val="0"/>
        </w:rPr>
      </w:pPr>
      <w:r>
        <w:rPr>
          <w:rFonts w:hint="eastAsia" w:ascii="黑体" w:hAnsi="黑体" w:eastAsia="黑体"/>
          <w:b w:val="0"/>
        </w:rPr>
        <w:t>第一部分 单位</w:t>
      </w:r>
      <w:r>
        <w:rPr>
          <w:rStyle w:val="26"/>
          <w:rFonts w:hint="eastAsia" w:ascii="黑体" w:hAnsi="黑体" w:eastAsia="黑体"/>
          <w:b w:val="0"/>
          <w:bCs w:val="0"/>
        </w:rPr>
        <w:t>概况</w:t>
      </w:r>
      <w:bookmarkEnd w:id="12"/>
      <w:bookmarkEnd w:id="13"/>
    </w:p>
    <w:p>
      <w:pPr>
        <w:pStyle w:val="4"/>
        <w:numPr>
          <w:ilvl w:val="0"/>
          <w:numId w:val="1"/>
        </w:numPr>
        <w:rPr>
          <w:rStyle w:val="27"/>
          <w:rFonts w:ascii="黑体" w:hAnsi="黑体" w:eastAsia="黑体"/>
          <w:b w:val="0"/>
          <w:bCs w:val="0"/>
        </w:rPr>
      </w:pPr>
      <w:bookmarkStart w:id="14" w:name="_Toc15377197"/>
      <w:bookmarkStart w:id="15" w:name="_Toc15396600"/>
      <w:r>
        <w:rPr>
          <w:rStyle w:val="27"/>
          <w:rFonts w:hint="eastAsia" w:ascii="黑体" w:hAnsi="黑体" w:eastAsia="黑体"/>
          <w:b w:val="0"/>
          <w:bCs w:val="0"/>
        </w:rPr>
        <w:t>主要职责及重点工作</w:t>
      </w:r>
    </w:p>
    <w:p>
      <w:pPr>
        <w:pStyle w:val="4"/>
        <w:rPr>
          <w:rFonts w:ascii="仿宋" w:hAnsi="仿宋" w:eastAsia="仿宋" w:cs="仿宋"/>
          <w:bCs w:val="0"/>
        </w:rPr>
      </w:pPr>
      <w:r>
        <w:rPr>
          <w:rStyle w:val="27"/>
          <w:rFonts w:hint="eastAsia" w:ascii="黑体" w:hAnsi="黑体" w:eastAsia="黑体"/>
          <w:b w:val="0"/>
          <w:bCs w:val="0"/>
        </w:rPr>
        <w:t>（一）</w:t>
      </w:r>
      <w:r>
        <w:rPr>
          <w:rFonts w:hint="eastAsia" w:ascii="仿宋" w:hAnsi="仿宋" w:eastAsia="仿宋" w:cs="仿宋"/>
          <w:bCs w:val="0"/>
        </w:rPr>
        <w:t>单位职责</w:t>
      </w:r>
    </w:p>
    <w:p>
      <w:pPr>
        <w:widowControl/>
        <w:shd w:val="clear" w:color="auto" w:fill="FFFFFF"/>
        <w:spacing w:line="600" w:lineRule="exact"/>
        <w:ind w:firstLine="160" w:firstLineChars="50"/>
        <w:jc w:val="left"/>
        <w:rPr>
          <w:rFonts w:ascii="仿宋" w:hAnsi="仿宋" w:eastAsia="仿宋" w:cs="仿宋"/>
          <w:sz w:val="32"/>
          <w:szCs w:val="32"/>
        </w:rPr>
      </w:pPr>
      <w:r>
        <w:rPr>
          <w:rFonts w:hint="eastAsia" w:ascii="仿宋" w:hAnsi="仿宋" w:eastAsia="仿宋" w:cs="仿宋"/>
          <w:sz w:val="32"/>
          <w:szCs w:val="32"/>
        </w:rPr>
        <w:t>1.为我县县级公路畅通提供养护服务。</w:t>
      </w:r>
    </w:p>
    <w:p>
      <w:pPr>
        <w:widowControl/>
        <w:shd w:val="clear" w:color="auto" w:fill="FFFFFF"/>
        <w:spacing w:line="600" w:lineRule="exact"/>
        <w:ind w:firstLine="160" w:firstLineChars="50"/>
        <w:jc w:val="left"/>
        <w:rPr>
          <w:rFonts w:ascii="仿宋" w:hAnsi="仿宋" w:eastAsia="仿宋" w:cs="仿宋"/>
          <w:sz w:val="32"/>
          <w:szCs w:val="32"/>
        </w:rPr>
      </w:pPr>
      <w:r>
        <w:rPr>
          <w:rFonts w:hint="eastAsia" w:ascii="仿宋" w:hAnsi="仿宋" w:eastAsia="仿宋" w:cs="仿宋"/>
          <w:sz w:val="32"/>
          <w:szCs w:val="32"/>
        </w:rPr>
        <w:t>2.为县级公路辖区内的村级公路提供养护技术指导工作。</w:t>
      </w:r>
    </w:p>
    <w:p>
      <w:pPr>
        <w:pStyle w:val="2"/>
        <w:adjustRightInd w:val="0"/>
        <w:snapToGrid w:val="0"/>
        <w:spacing w:before="93" w:line="600" w:lineRule="exact"/>
        <w:outlineLvl w:val="2"/>
        <w:rPr>
          <w:rFonts w:ascii="仿宋" w:hAnsi="仿宋" w:eastAsia="仿宋" w:cs="仿宋"/>
          <w:b/>
          <w:kern w:val="2"/>
          <w:sz w:val="32"/>
          <w:szCs w:val="32"/>
        </w:rPr>
      </w:pPr>
      <w:bookmarkStart w:id="16" w:name="_Toc15378446"/>
      <w:bookmarkStart w:id="17" w:name="_Toc15377199"/>
      <w:r>
        <w:rPr>
          <w:rFonts w:hint="eastAsia" w:ascii="仿宋" w:hAnsi="仿宋" w:eastAsia="仿宋" w:cs="仿宋"/>
          <w:b/>
          <w:kern w:val="2"/>
          <w:sz w:val="32"/>
          <w:szCs w:val="32"/>
        </w:rPr>
        <w:t>（二）2022年重点工作完成情况。</w:t>
      </w:r>
      <w:bookmarkEnd w:id="16"/>
      <w:bookmarkEnd w:id="17"/>
    </w:p>
    <w:p>
      <w:pPr>
        <w:ind w:firstLine="645"/>
        <w:rPr>
          <w:rFonts w:ascii="仿宋" w:hAnsi="仿宋" w:eastAsia="仿宋" w:cs="仿宋"/>
          <w:sz w:val="32"/>
          <w:szCs w:val="32"/>
        </w:rPr>
      </w:pPr>
      <w:r>
        <w:rPr>
          <w:rFonts w:hint="eastAsia" w:ascii="仿宋" w:hAnsi="仿宋" w:eastAsia="仿宋" w:cs="仿宋"/>
          <w:b/>
          <w:bCs/>
          <w:sz w:val="32"/>
          <w:szCs w:val="32"/>
        </w:rPr>
        <w:t>1、管理不断规范。</w:t>
      </w:r>
      <w:r>
        <w:rPr>
          <w:rFonts w:hint="eastAsia" w:ascii="仿宋" w:hAnsi="仿宋" w:eastAsia="仿宋" w:cs="仿宋"/>
          <w:bCs/>
          <w:sz w:val="32"/>
          <w:szCs w:val="32"/>
        </w:rPr>
        <w:t>一是</w:t>
      </w:r>
      <w:r>
        <w:rPr>
          <w:rFonts w:hint="eastAsia" w:ascii="仿宋" w:hAnsi="仿宋" w:eastAsia="仿宋" w:cs="仿宋"/>
          <w:sz w:val="32"/>
          <w:szCs w:val="32"/>
        </w:rPr>
        <w:t>制定《2022年公路养护计划》，对全年工作进行了周密的安排部署，并将养护任务逐一分解，按月下达至基层养护站、具体路段、人头，明确职责，层层压实责任。</w:t>
      </w:r>
      <w:r>
        <w:rPr>
          <w:rFonts w:hint="eastAsia" w:ascii="仿宋" w:hAnsi="仿宋" w:eastAsia="仿宋" w:cs="仿宋"/>
          <w:bCs/>
          <w:sz w:val="32"/>
          <w:szCs w:val="32"/>
        </w:rPr>
        <w:t>二是</w:t>
      </w:r>
      <w:r>
        <w:rPr>
          <w:rFonts w:hint="eastAsia" w:ascii="仿宋" w:hAnsi="仿宋" w:eastAsia="仿宋" w:cs="仿宋"/>
          <w:sz w:val="32"/>
          <w:szCs w:val="32"/>
        </w:rPr>
        <w:t>制定《2022年公路养护生产管理办法》《2022年养护生产安全管理制度》《2022年公路养护考核评分细则》等管理制度，分别从养护工作制度、人员管理、安全生产、绩效考核等多方面制定了具体考核标准、考核方式和处罚标准。</w:t>
      </w:r>
      <w:r>
        <w:rPr>
          <w:rFonts w:hint="eastAsia" w:ascii="仿宋" w:hAnsi="仿宋" w:eastAsia="仿宋" w:cs="仿宋"/>
          <w:bCs/>
          <w:sz w:val="32"/>
          <w:szCs w:val="32"/>
        </w:rPr>
        <w:t>三是</w:t>
      </w:r>
      <w:r>
        <w:rPr>
          <w:rFonts w:hint="eastAsia" w:ascii="仿宋" w:hAnsi="仿宋" w:eastAsia="仿宋" w:cs="仿宋"/>
          <w:sz w:val="32"/>
          <w:szCs w:val="32"/>
        </w:rPr>
        <w:t>与各养护站签订了2022年公路养护管理目标责任书，成立以分管领导为组长，养护、安全等办公室人员为成员考核小组，采取定期与不定期相结合方式检查、考核，将日常养护工作纳入一线养护职工年度目标考核，凡考核不合格的实行“一票否决”。</w:t>
      </w:r>
      <w:r>
        <w:rPr>
          <w:rFonts w:hint="eastAsia" w:ascii="仿宋" w:hAnsi="仿宋" w:eastAsia="仿宋" w:cs="仿宋"/>
          <w:bCs/>
          <w:sz w:val="32"/>
          <w:szCs w:val="32"/>
        </w:rPr>
        <w:t>四是</w:t>
      </w:r>
      <w:r>
        <w:rPr>
          <w:rFonts w:hint="eastAsia" w:ascii="仿宋" w:hAnsi="仿宋" w:eastAsia="仿宋" w:cs="仿宋"/>
          <w:sz w:val="32"/>
          <w:szCs w:val="32"/>
        </w:rPr>
        <w:t>聘请专业检测机构对管辖30座桥梁进行了定期检查，全面掌握管养桥梁的技术状况和安全状况，根据检查结果制定了针对性养护措施。</w:t>
      </w:r>
      <w:r>
        <w:rPr>
          <w:rFonts w:hint="eastAsia" w:ascii="仿宋" w:hAnsi="仿宋" w:eastAsia="仿宋" w:cs="仿宋"/>
          <w:bCs/>
          <w:sz w:val="32"/>
          <w:szCs w:val="32"/>
        </w:rPr>
        <w:t>五是</w:t>
      </w:r>
      <w:r>
        <w:rPr>
          <w:rFonts w:hint="eastAsia" w:ascii="仿宋" w:hAnsi="仿宋" w:eastAsia="仿宋" w:cs="仿宋"/>
          <w:sz w:val="32"/>
          <w:szCs w:val="32"/>
        </w:rPr>
        <w:t>安排专人对养护内业资料进行整理和归档，按照要求完成了养护站记录本更新，要求各养护站每月按时上报交通流量表、</w:t>
      </w:r>
      <w:r>
        <w:rPr>
          <w:rFonts w:hint="eastAsia" w:ascii="仿宋" w:hAnsi="仿宋" w:eastAsia="仿宋" w:cs="仿宋"/>
          <w:bCs/>
          <w:sz w:val="32"/>
          <w:szCs w:val="32"/>
        </w:rPr>
        <w:t>公路养护工程情况统计表和其他需要上报的表格，</w:t>
      </w:r>
      <w:r>
        <w:rPr>
          <w:rFonts w:hint="eastAsia" w:ascii="仿宋" w:hAnsi="仿宋" w:eastAsia="仿宋" w:cs="仿宋"/>
          <w:sz w:val="32"/>
          <w:szCs w:val="32"/>
        </w:rPr>
        <w:t>根据最新的桥梁定检报告，更新了桥梁卡片和《公路桥隧技术状况汇总表》。</w:t>
      </w:r>
    </w:p>
    <w:p>
      <w:pPr>
        <w:ind w:firstLine="643" w:firstLineChars="200"/>
        <w:rPr>
          <w:rFonts w:ascii="楷体" w:hAnsi="楷体" w:eastAsia="楷体" w:cs="楷体"/>
          <w:b/>
          <w:sz w:val="32"/>
          <w:szCs w:val="32"/>
        </w:rPr>
      </w:pPr>
      <w:r>
        <w:rPr>
          <w:rFonts w:hint="eastAsia" w:ascii="仿宋" w:hAnsi="仿宋" w:eastAsia="仿宋" w:cs="仿宋"/>
          <w:b/>
          <w:sz w:val="32"/>
          <w:szCs w:val="32"/>
        </w:rPr>
        <w:t>2、路域环境不断美化。</w:t>
      </w:r>
      <w:r>
        <w:rPr>
          <w:rFonts w:hint="eastAsia" w:ascii="仿宋" w:hAnsi="仿宋" w:eastAsia="仿宋" w:cs="仿宋"/>
          <w:sz w:val="32"/>
          <w:szCs w:val="32"/>
        </w:rPr>
        <w:t>截至12月底，我段完成整修路肩边坡10532平方、清理路肩杂草400余公里、疏通边沟300余公里，清理涵洞100余道、填补路面坑槽11000余平方、行道树刷白140余公里、清理枯树50余棵。</w:t>
      </w:r>
    </w:p>
    <w:p>
      <w:pPr>
        <w:ind w:left="1" w:firstLine="643" w:firstLineChars="200"/>
        <w:rPr>
          <w:rFonts w:ascii="仿宋" w:hAnsi="仿宋" w:eastAsia="仿宋" w:cs="仿宋"/>
          <w:sz w:val="32"/>
          <w:szCs w:val="32"/>
        </w:rPr>
      </w:pPr>
      <w:r>
        <w:rPr>
          <w:rFonts w:hint="eastAsia" w:ascii="仿宋" w:hAnsi="仿宋" w:eastAsia="仿宋" w:cs="仿宋"/>
          <w:b/>
          <w:bCs/>
          <w:sz w:val="32"/>
          <w:szCs w:val="32"/>
        </w:rPr>
        <w:t>3、养护投入不断加大。</w:t>
      </w:r>
      <w:r>
        <w:rPr>
          <w:rFonts w:hint="eastAsia" w:ascii="仿宋" w:hAnsi="仿宋" w:eastAsia="仿宋" w:cs="仿宋"/>
          <w:bCs/>
          <w:sz w:val="32"/>
          <w:szCs w:val="32"/>
        </w:rPr>
        <w:t>一是</w:t>
      </w:r>
      <w:r>
        <w:rPr>
          <w:rFonts w:hint="eastAsia" w:ascii="仿宋" w:hAnsi="仿宋" w:eastAsia="仿宋" w:cs="仿宋"/>
          <w:sz w:val="32"/>
          <w:szCs w:val="32"/>
        </w:rPr>
        <w:t>为确保一线职工在从业期间的人身安全，购买反光工作服180套、工作帽180顶、T恤128件。</w:t>
      </w:r>
      <w:r>
        <w:rPr>
          <w:rFonts w:hint="eastAsia" w:ascii="仿宋" w:hAnsi="仿宋" w:eastAsia="仿宋" w:cs="仿宋"/>
          <w:bCs/>
          <w:sz w:val="32"/>
          <w:szCs w:val="32"/>
        </w:rPr>
        <w:t>二是</w:t>
      </w:r>
      <w:r>
        <w:rPr>
          <w:rFonts w:hint="eastAsia" w:ascii="仿宋" w:hAnsi="仿宋" w:eastAsia="仿宋" w:cs="仿宋"/>
          <w:sz w:val="32"/>
          <w:szCs w:val="32"/>
        </w:rPr>
        <w:t>完成城郊养护站站房雨棚安装和姚家养护站标准化建设，改善了养护一线职工居住环境，提升单位形象。</w:t>
      </w:r>
      <w:r>
        <w:rPr>
          <w:rFonts w:hint="eastAsia" w:ascii="仿宋" w:hAnsi="仿宋" w:eastAsia="仿宋" w:cs="仿宋"/>
          <w:bCs/>
          <w:sz w:val="32"/>
          <w:szCs w:val="32"/>
        </w:rPr>
        <w:t>三是</w:t>
      </w:r>
      <w:r>
        <w:rPr>
          <w:rFonts w:hint="eastAsia" w:ascii="仿宋" w:hAnsi="仿宋" w:eastAsia="仿宋" w:cs="仿宋"/>
          <w:sz w:val="32"/>
          <w:szCs w:val="32"/>
        </w:rPr>
        <w:t>积极申报江口养护站站房、鹤龄养护站站房纳入普通国省干线公路服务设施规划项目库。</w:t>
      </w:r>
      <w:r>
        <w:rPr>
          <w:rFonts w:hint="eastAsia" w:ascii="仿宋" w:hAnsi="仿宋" w:eastAsia="仿宋" w:cs="仿宋"/>
          <w:bCs/>
          <w:sz w:val="32"/>
          <w:szCs w:val="32"/>
        </w:rPr>
        <w:t>四是</w:t>
      </w:r>
      <w:r>
        <w:rPr>
          <w:rFonts w:hint="eastAsia" w:ascii="仿宋" w:hAnsi="仿宋" w:eastAsia="仿宋" w:cs="仿宋"/>
          <w:sz w:val="32"/>
          <w:szCs w:val="32"/>
        </w:rPr>
        <w:t>3月至4月对剑马路和剑苍路影响行车安全的破损路面进行了集中修复。</w:t>
      </w:r>
      <w:r>
        <w:rPr>
          <w:rFonts w:hint="eastAsia" w:ascii="仿宋" w:hAnsi="仿宋" w:eastAsia="仿宋" w:cs="仿宋"/>
          <w:bCs/>
          <w:sz w:val="32"/>
          <w:szCs w:val="32"/>
        </w:rPr>
        <w:t>五是</w:t>
      </w:r>
      <w:r>
        <w:rPr>
          <w:rFonts w:hint="eastAsia" w:ascii="仿宋" w:hAnsi="仿宋" w:eastAsia="仿宋" w:cs="仿宋"/>
          <w:sz w:val="32"/>
          <w:szCs w:val="32"/>
        </w:rPr>
        <w:t>五月份对普安绕城路与G108平交道口沟盖板进行了整治，更换加强型承重槽钢盖板。</w:t>
      </w:r>
      <w:r>
        <w:rPr>
          <w:rFonts w:hint="eastAsia" w:ascii="仿宋" w:hAnsi="仿宋" w:eastAsia="仿宋" w:cs="仿宋"/>
          <w:bCs/>
          <w:sz w:val="32"/>
          <w:szCs w:val="32"/>
        </w:rPr>
        <w:t>六是</w:t>
      </w:r>
      <w:r>
        <w:rPr>
          <w:rFonts w:hint="eastAsia" w:ascii="仿宋" w:hAnsi="仿宋" w:eastAsia="仿宋" w:cs="仿宋"/>
          <w:sz w:val="32"/>
          <w:szCs w:val="32"/>
        </w:rPr>
        <w:t>购买除草药80件和行道树刷白剂8吨。</w:t>
      </w:r>
    </w:p>
    <w:p>
      <w:pPr>
        <w:ind w:firstLine="643" w:firstLineChars="200"/>
        <w:rPr>
          <w:rFonts w:ascii="仿宋" w:hAnsi="仿宋" w:eastAsia="仿宋" w:cs="仿宋"/>
          <w:sz w:val="32"/>
          <w:szCs w:val="32"/>
        </w:rPr>
      </w:pPr>
      <w:r>
        <w:rPr>
          <w:rFonts w:hint="eastAsia" w:ascii="仿宋" w:hAnsi="仿宋" w:eastAsia="仿宋" w:cs="仿宋"/>
          <w:b/>
          <w:bCs/>
          <w:color w:val="000000"/>
          <w:sz w:val="32"/>
          <w:szCs w:val="32"/>
        </w:rPr>
        <w:t>4、隐患排查整治力度不断加大</w:t>
      </w:r>
      <w:r>
        <w:rPr>
          <w:rFonts w:hint="eastAsia" w:ascii="仿宋" w:hAnsi="仿宋" w:eastAsia="仿宋" w:cs="仿宋"/>
          <w:color w:val="000000"/>
          <w:sz w:val="32"/>
          <w:szCs w:val="32"/>
        </w:rPr>
        <w:t>。</w:t>
      </w:r>
      <w:r>
        <w:rPr>
          <w:rFonts w:hint="eastAsia" w:ascii="仿宋" w:hAnsi="仿宋" w:eastAsia="仿宋" w:cs="仿宋"/>
          <w:bCs/>
          <w:color w:val="000000"/>
          <w:sz w:val="32"/>
          <w:szCs w:val="32"/>
        </w:rPr>
        <w:t>一是</w:t>
      </w:r>
      <w:r>
        <w:rPr>
          <w:rFonts w:hint="eastAsia" w:ascii="仿宋" w:hAnsi="仿宋" w:eastAsia="仿宋" w:cs="仿宋"/>
          <w:color w:val="000000"/>
          <w:sz w:val="32"/>
          <w:szCs w:val="32"/>
        </w:rPr>
        <w:t>积极开展地质灾害、道路设施隐患排查</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加强节假日道路巡查、值班、值守等工作。</w:t>
      </w:r>
      <w:r>
        <w:rPr>
          <w:rFonts w:hint="eastAsia" w:ascii="仿宋" w:hAnsi="仿宋" w:eastAsia="仿宋" w:cs="仿宋"/>
          <w:color w:val="000000"/>
          <w:sz w:val="32"/>
          <w:szCs w:val="32"/>
          <w:lang w:eastAsia="zh-CN"/>
        </w:rPr>
        <w:t>截至目前</w:t>
      </w:r>
      <w:r>
        <w:rPr>
          <w:rFonts w:hint="eastAsia" w:ascii="仿宋" w:hAnsi="仿宋" w:eastAsia="仿宋" w:cs="仿宋"/>
          <w:color w:val="000000"/>
          <w:sz w:val="32"/>
          <w:szCs w:val="32"/>
        </w:rPr>
        <w:t>已累计开展地质隐患排查24次，排查线路达3300余公里，排查桥梁33座、隧道1座，共计排查出较大风险安全隐患点35处、三类桥3座，实施风险管控30处，并将排查情况及时上报上级主管部门，</w:t>
      </w:r>
      <w:r>
        <w:rPr>
          <w:rFonts w:hint="eastAsia" w:ascii="仿宋" w:hAnsi="仿宋" w:eastAsia="仿宋" w:cs="仿宋"/>
          <w:color w:val="000000"/>
          <w:sz w:val="32"/>
          <w:szCs w:val="32"/>
          <w:lang w:eastAsia="zh-CN"/>
        </w:rPr>
        <w:t>积极争取</w:t>
      </w:r>
      <w:r>
        <w:rPr>
          <w:rFonts w:hint="eastAsia" w:ascii="仿宋" w:hAnsi="仿宋" w:eastAsia="仿宋" w:cs="仿宋"/>
          <w:color w:val="000000"/>
          <w:sz w:val="32"/>
          <w:szCs w:val="32"/>
        </w:rPr>
        <w:t>资金整治隐患。</w:t>
      </w:r>
      <w:r>
        <w:rPr>
          <w:rFonts w:hint="eastAsia" w:ascii="仿宋" w:hAnsi="仿宋" w:eastAsia="仿宋" w:cs="仿宋"/>
          <w:bCs/>
          <w:color w:val="000000"/>
          <w:sz w:val="32"/>
          <w:szCs w:val="32"/>
        </w:rPr>
        <w:t>二是</w:t>
      </w:r>
      <w:r>
        <w:rPr>
          <w:rFonts w:hint="eastAsia" w:ascii="仿宋" w:hAnsi="仿宋" w:eastAsia="仿宋" w:cs="仿宋"/>
          <w:color w:val="000000"/>
          <w:sz w:val="32"/>
          <w:szCs w:val="32"/>
        </w:rPr>
        <w:t>在剑马路、青剑路、小伏路、剑苍路共计增设安全警示标志标牌500余块，更换隧道灭火器材58个。</w:t>
      </w:r>
      <w:r>
        <w:rPr>
          <w:rFonts w:hint="eastAsia" w:ascii="仿宋" w:hAnsi="仿宋" w:eastAsia="仿宋" w:cs="仿宋"/>
          <w:bCs/>
          <w:color w:val="000000"/>
          <w:sz w:val="32"/>
          <w:szCs w:val="32"/>
        </w:rPr>
        <w:t>三是</w:t>
      </w:r>
      <w:r>
        <w:rPr>
          <w:rFonts w:hint="eastAsia" w:ascii="仿宋" w:hAnsi="仿宋" w:eastAsia="仿宋" w:cs="仿宋"/>
          <w:sz w:val="32"/>
          <w:szCs w:val="32"/>
        </w:rPr>
        <w:t>建立安全责任清单、管控清单、</w:t>
      </w:r>
      <w:r>
        <w:rPr>
          <w:rFonts w:hint="eastAsia" w:ascii="仿宋" w:hAnsi="仿宋" w:eastAsia="仿宋" w:cs="仿宋"/>
          <w:sz w:val="32"/>
          <w:szCs w:val="32"/>
          <w:lang w:eastAsia="zh-CN"/>
        </w:rPr>
        <w:t>应急物资</w:t>
      </w:r>
      <w:r>
        <w:rPr>
          <w:rFonts w:hint="eastAsia" w:ascii="仿宋" w:hAnsi="仿宋" w:eastAsia="仿宋" w:cs="仿宋"/>
          <w:sz w:val="32"/>
          <w:szCs w:val="32"/>
        </w:rPr>
        <w:t>清单3类责任清单，建立各类隐患点、排查、销号、管控、整治5类台账。</w:t>
      </w:r>
    </w:p>
    <w:p>
      <w:pPr>
        <w:ind w:firstLine="643" w:firstLineChars="200"/>
        <w:rPr>
          <w:rFonts w:ascii="仿宋" w:hAnsi="仿宋" w:eastAsia="仿宋" w:cs="仿宋"/>
          <w:sz w:val="32"/>
          <w:szCs w:val="32"/>
        </w:rPr>
      </w:pPr>
      <w:r>
        <w:rPr>
          <w:rFonts w:hint="eastAsia" w:ascii="仿宋" w:hAnsi="仿宋" w:eastAsia="仿宋" w:cs="仿宋"/>
          <w:b/>
          <w:bCs/>
          <w:sz w:val="32"/>
          <w:szCs w:val="32"/>
        </w:rPr>
        <w:t>5、</w:t>
      </w:r>
      <w:r>
        <w:rPr>
          <w:rFonts w:ascii="仿宋" w:hAnsi="仿宋" w:eastAsia="仿宋" w:cs="仿宋"/>
          <w:b/>
          <w:bCs/>
          <w:sz w:val="32"/>
          <w:szCs w:val="32"/>
        </w:rPr>
        <w:t>应急保障体系不断完善</w:t>
      </w:r>
      <w:r>
        <w:rPr>
          <w:rFonts w:hint="eastAsia" w:ascii="仿宋" w:hAnsi="仿宋" w:eastAsia="仿宋" w:cs="仿宋"/>
          <w:b/>
          <w:bCs/>
          <w:sz w:val="32"/>
          <w:szCs w:val="32"/>
        </w:rPr>
        <w:t>。</w:t>
      </w:r>
      <w:r>
        <w:rPr>
          <w:rFonts w:ascii="仿宋" w:hAnsi="仿宋" w:eastAsia="仿宋" w:cs="仿宋"/>
          <w:bCs/>
          <w:sz w:val="32"/>
          <w:szCs w:val="32"/>
        </w:rPr>
        <w:t>一是</w:t>
      </w:r>
      <w:r>
        <w:rPr>
          <w:rFonts w:hint="eastAsia" w:ascii="仿宋" w:hAnsi="仿宋" w:eastAsia="仿宋" w:cs="仿宋"/>
          <w:sz w:val="32"/>
          <w:szCs w:val="32"/>
        </w:rPr>
        <w:t>成</w:t>
      </w:r>
      <w:r>
        <w:rPr>
          <w:rFonts w:ascii="仿宋" w:hAnsi="仿宋" w:eastAsia="仿宋" w:cs="仿宋"/>
          <w:sz w:val="32"/>
          <w:szCs w:val="32"/>
        </w:rPr>
        <w:t>立道路应急保通领导机构。成立</w:t>
      </w:r>
      <w:r>
        <w:rPr>
          <w:rFonts w:hint="eastAsia" w:ascii="仿宋" w:hAnsi="仿宋" w:eastAsia="仿宋" w:cs="仿宋"/>
          <w:sz w:val="32"/>
          <w:szCs w:val="32"/>
        </w:rPr>
        <w:t>了</w:t>
      </w:r>
      <w:r>
        <w:rPr>
          <w:rFonts w:ascii="仿宋" w:hAnsi="仿宋" w:eastAsia="仿宋" w:cs="仿宋"/>
          <w:sz w:val="32"/>
          <w:szCs w:val="32"/>
        </w:rPr>
        <w:t>以支部书记、段长为组长，班子成员为副组长、机关相关办公室负责人和各养护站站长为成员的应急工作领导小组，统筹、协调全段应急抢险工作。</w:t>
      </w:r>
      <w:r>
        <w:rPr>
          <w:rFonts w:ascii="仿宋" w:hAnsi="仿宋" w:eastAsia="仿宋" w:cs="仿宋"/>
          <w:bCs/>
          <w:sz w:val="32"/>
          <w:szCs w:val="32"/>
        </w:rPr>
        <w:t>二是</w:t>
      </w:r>
      <w:r>
        <w:rPr>
          <w:rFonts w:ascii="仿宋" w:hAnsi="仿宋" w:eastAsia="仿宋" w:cs="仿宋"/>
          <w:sz w:val="32"/>
          <w:szCs w:val="32"/>
        </w:rPr>
        <w:t>制定预案、强化监管。切实加强汛期、春运、节假日等重点时段监管工作，</w:t>
      </w:r>
      <w:r>
        <w:rPr>
          <w:rFonts w:hint="eastAsia" w:ascii="仿宋" w:hAnsi="仿宋" w:eastAsia="仿宋" w:cs="仿宋"/>
          <w:sz w:val="32"/>
          <w:szCs w:val="32"/>
          <w:lang w:eastAsia="zh-CN"/>
        </w:rPr>
        <w:t>制定</w:t>
      </w:r>
      <w:r>
        <w:rPr>
          <w:rFonts w:ascii="仿宋" w:hAnsi="仿宋" w:eastAsia="仿宋" w:cs="仿宋"/>
          <w:sz w:val="32"/>
          <w:szCs w:val="32"/>
        </w:rPr>
        <w:t>下发了各类道路应急保通工作</w:t>
      </w:r>
      <w:r>
        <w:rPr>
          <w:rFonts w:hint="eastAsia" w:ascii="仿宋" w:hAnsi="仿宋" w:eastAsia="仿宋" w:cs="仿宋"/>
          <w:sz w:val="32"/>
          <w:szCs w:val="32"/>
        </w:rPr>
        <w:t>预案</w:t>
      </w:r>
      <w:r>
        <w:rPr>
          <w:rFonts w:ascii="仿宋" w:hAnsi="仿宋" w:eastAsia="仿宋" w:cs="仿宋"/>
          <w:sz w:val="32"/>
          <w:szCs w:val="32"/>
        </w:rPr>
        <w:t>，</w:t>
      </w:r>
      <w:r>
        <w:rPr>
          <w:rFonts w:hint="eastAsia" w:ascii="仿宋" w:hAnsi="仿宋" w:eastAsia="仿宋" w:cs="仿宋"/>
          <w:sz w:val="32"/>
          <w:szCs w:val="32"/>
        </w:rPr>
        <w:t>全力保障管养道路安全畅通。</w:t>
      </w:r>
      <w:r>
        <w:rPr>
          <w:rFonts w:ascii="仿宋" w:hAnsi="仿宋" w:eastAsia="仿宋" w:cs="仿宋"/>
          <w:bCs/>
          <w:sz w:val="32"/>
          <w:szCs w:val="32"/>
        </w:rPr>
        <w:t>三是</w:t>
      </w:r>
      <w:r>
        <w:rPr>
          <w:rFonts w:ascii="仿宋" w:hAnsi="仿宋" w:eastAsia="仿宋" w:cs="仿宋"/>
          <w:sz w:val="32"/>
          <w:szCs w:val="32"/>
        </w:rPr>
        <w:t>成立以段机关和工程专业技术人员为成员的应急抢险大队，各养护站全体人员为成员的应急抢险小队。</w:t>
      </w:r>
      <w:r>
        <w:rPr>
          <w:rFonts w:hint="eastAsia" w:ascii="仿宋" w:hAnsi="仿宋" w:eastAsia="仿宋" w:cs="仿宋"/>
          <w:bCs/>
          <w:sz w:val="32"/>
          <w:szCs w:val="32"/>
        </w:rPr>
        <w:t>四</w:t>
      </w:r>
      <w:r>
        <w:rPr>
          <w:rFonts w:hint="eastAsia" w:ascii="仿宋" w:hAnsi="仿宋" w:eastAsia="仿宋" w:cs="仿宋"/>
          <w:sz w:val="32"/>
          <w:szCs w:val="32"/>
        </w:rPr>
        <w:t>是储备应急抢险物质。购买麻袋1000条、铁锹100把、手电筒20把、雨衣30套、安全帽30顶、发电机4台、落实抢险机械5台（套）</w:t>
      </w:r>
      <w:r>
        <w:rPr>
          <w:rFonts w:ascii="仿宋" w:hAnsi="仿宋" w:eastAsia="仿宋" w:cs="仿宋"/>
          <w:sz w:val="32"/>
          <w:szCs w:val="32"/>
        </w:rPr>
        <w:t>。</w:t>
      </w:r>
      <w:r>
        <w:rPr>
          <w:rFonts w:hint="eastAsia" w:ascii="仿宋" w:hAnsi="仿宋" w:eastAsia="仿宋" w:cs="仿宋"/>
          <w:sz w:val="32"/>
          <w:szCs w:val="32"/>
        </w:rPr>
        <w:t>今年汛期共清理道路</w:t>
      </w:r>
      <w:r>
        <w:rPr>
          <w:rFonts w:hint="eastAsia" w:ascii="仿宋" w:hAnsi="仿宋" w:eastAsia="仿宋" w:cs="仿宋"/>
          <w:sz w:val="32"/>
          <w:szCs w:val="32"/>
          <w:lang w:eastAsia="zh-CN"/>
        </w:rPr>
        <w:t>塌方</w:t>
      </w:r>
      <w:r>
        <w:rPr>
          <w:rFonts w:hint="eastAsia" w:ascii="仿宋" w:hAnsi="仿宋" w:eastAsia="仿宋" w:cs="仿宋"/>
          <w:sz w:val="32"/>
          <w:szCs w:val="32"/>
        </w:rPr>
        <w:t>600余立方，清理边沟130余公里，设置安全警示标志230余块。</w:t>
      </w:r>
    </w:p>
    <w:p>
      <w:pPr>
        <w:pStyle w:val="4"/>
        <w:rPr>
          <w:rFonts w:ascii="黑体" w:hAnsi="黑体" w:eastAsia="黑体"/>
          <w:b w:val="0"/>
        </w:rPr>
      </w:pPr>
      <w:r>
        <w:rPr>
          <w:rFonts w:hint="eastAsia" w:ascii="黑体" w:hAnsi="黑体" w:eastAsia="黑体"/>
          <w:b w:val="0"/>
        </w:rPr>
        <w:t>二、机构设置</w:t>
      </w:r>
    </w:p>
    <w:p>
      <w:pPr>
        <w:ind w:firstLine="640" w:firstLineChars="200"/>
        <w:rPr>
          <w:sz w:val="32"/>
          <w:szCs w:val="32"/>
        </w:rPr>
      </w:pPr>
      <w:r>
        <w:rPr>
          <w:rFonts w:hint="eastAsia" w:ascii="仿宋" w:hAnsi="仿宋" w:eastAsia="仿宋"/>
          <w:sz w:val="32"/>
          <w:szCs w:val="32"/>
        </w:rPr>
        <w:t>我段下属二级单位0个，其中行政单位0个，参照公务员法管理的事业单位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bookmarkEnd w:id="14"/>
    <w:bookmarkEnd w:id="15"/>
    <w:p>
      <w:pPr>
        <w:pStyle w:val="3"/>
        <w:ind w:right="440"/>
        <w:rPr>
          <w:rFonts w:ascii="黑体" w:hAnsi="黑体" w:eastAsia="黑体"/>
          <w:b w:val="0"/>
        </w:rPr>
      </w:pPr>
      <w:bookmarkStart w:id="18" w:name="_Toc15377204"/>
      <w:bookmarkStart w:id="19" w:name="_Toc15396602"/>
      <w:r>
        <w:rPr>
          <w:rFonts w:hint="eastAsia" w:ascii="黑体" w:hAnsi="黑体" w:eastAsia="黑体"/>
          <w:b w:val="0"/>
        </w:rPr>
        <w:t>第二部分 2022年度</w:t>
      </w:r>
      <w:r>
        <w:rPr>
          <w:rStyle w:val="26"/>
          <w:rFonts w:hint="eastAsia" w:ascii="黑体" w:hAnsi="黑体" w:eastAsia="黑体"/>
          <w:b w:val="0"/>
          <w:bCs/>
        </w:rPr>
        <w:t>单位决算情况说明</w:t>
      </w:r>
      <w:bookmarkEnd w:id="18"/>
      <w:bookmarkEnd w:id="19"/>
    </w:p>
    <w:p>
      <w:pPr>
        <w:pStyle w:val="25"/>
        <w:numPr>
          <w:ilvl w:val="0"/>
          <w:numId w:val="2"/>
        </w:numPr>
        <w:spacing w:line="600" w:lineRule="exact"/>
        <w:ind w:firstLineChars="0"/>
        <w:outlineLvl w:val="1"/>
        <w:rPr>
          <w:rStyle w:val="27"/>
          <w:rFonts w:ascii="黑体" w:hAnsi="黑体" w:eastAsia="黑体"/>
          <w:b w:val="0"/>
        </w:rPr>
      </w:pPr>
      <w:bookmarkStart w:id="20" w:name="_Toc15396603"/>
      <w:bookmarkStart w:id="21" w:name="_Toc15377205"/>
      <w:r>
        <w:rPr>
          <w:rFonts w:hint="eastAsia" w:ascii="黑体" w:hAnsi="黑体" w:eastAsia="黑体"/>
          <w:sz w:val="32"/>
          <w:szCs w:val="32"/>
        </w:rPr>
        <w:t>收</w:t>
      </w:r>
      <w:r>
        <w:rPr>
          <w:rStyle w:val="27"/>
          <w:rFonts w:hint="eastAsia" w:ascii="黑体" w:hAnsi="黑体" w:eastAsia="黑体"/>
          <w:b w:val="0"/>
        </w:rPr>
        <w:t>入支出决算总体情况说明</w:t>
      </w:r>
      <w:bookmarkEnd w:id="20"/>
      <w:bookmarkEnd w:id="21"/>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2022年度收、支总计1247.29万元。与2021年相比，收、支总计各增加35.58万元，增长2.94</w:t>
      </w:r>
      <w:r>
        <w:rPr>
          <w:rFonts w:ascii="仿宋" w:hAnsi="仿宋" w:eastAsia="仿宋"/>
          <w:sz w:val="32"/>
          <w:szCs w:val="32"/>
        </w:rPr>
        <w:t>%</w:t>
      </w:r>
      <w:r>
        <w:rPr>
          <w:rFonts w:hint="eastAsia" w:ascii="仿宋" w:hAnsi="仿宋" w:eastAsia="仿宋"/>
          <w:sz w:val="32"/>
          <w:szCs w:val="32"/>
        </w:rPr>
        <w:t>。主要变动原因是薪级工资增加及增加金子山隧道电费项目。</w:t>
      </w:r>
    </w:p>
    <w:p>
      <w:pPr>
        <w:pStyle w:val="25"/>
        <w:numPr>
          <w:ilvl w:val="0"/>
          <w:numId w:val="2"/>
        </w:numPr>
        <w:spacing w:line="600" w:lineRule="exact"/>
        <w:ind w:firstLineChars="0"/>
        <w:outlineLvl w:val="1"/>
        <w:rPr>
          <w:rStyle w:val="27"/>
          <w:rFonts w:ascii="黑体" w:hAnsi="黑体" w:eastAsia="黑体"/>
          <w:b w:val="0"/>
        </w:rPr>
      </w:pPr>
      <w:bookmarkStart w:id="22" w:name="_Toc15396604"/>
      <w:bookmarkStart w:id="23" w:name="_Toc15377206"/>
      <w:r>
        <w:rPr>
          <w:rFonts w:hint="eastAsia" w:ascii="黑体" w:hAnsi="黑体" w:eastAsia="黑体"/>
          <w:sz w:val="32"/>
          <w:szCs w:val="32"/>
        </w:rPr>
        <w:t>收</w:t>
      </w:r>
      <w:r>
        <w:rPr>
          <w:rStyle w:val="27"/>
          <w:rFonts w:hint="eastAsia" w:ascii="黑体" w:hAnsi="黑体" w:eastAsia="黑体"/>
          <w:b w:val="0"/>
        </w:rPr>
        <w:t>入决算情况说明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22年本年收入合计1247.29万元，其中：一般公共预算财政拨款收入1247.29万元，占100</w:t>
      </w:r>
      <w:r>
        <w:rPr>
          <w:rFonts w:ascii="仿宋" w:hAnsi="仿宋" w:eastAsia="仿宋"/>
          <w:sz w:val="32"/>
          <w:szCs w:val="32"/>
        </w:rPr>
        <w:t>%</w:t>
      </w:r>
      <w:r>
        <w:rPr>
          <w:rFonts w:hint="eastAsia" w:ascii="仿宋" w:hAnsi="仿宋" w:eastAsia="仿宋"/>
          <w:sz w:val="32"/>
          <w:szCs w:val="32"/>
        </w:rPr>
        <w:t>。</w:t>
      </w:r>
    </w:p>
    <w:p>
      <w:pPr>
        <w:pStyle w:val="25"/>
        <w:numPr>
          <w:ilvl w:val="0"/>
          <w:numId w:val="2"/>
        </w:numPr>
        <w:spacing w:line="600" w:lineRule="exact"/>
        <w:ind w:firstLineChars="0"/>
        <w:outlineLvl w:val="1"/>
        <w:rPr>
          <w:rStyle w:val="27"/>
          <w:rFonts w:ascii="黑体" w:hAnsi="黑体" w:eastAsia="黑体"/>
          <w:b w:val="0"/>
        </w:rPr>
      </w:pPr>
      <w:bookmarkStart w:id="24" w:name="_Toc15396605"/>
      <w:bookmarkStart w:id="25" w:name="_Toc15377207"/>
      <w:r>
        <w:rPr>
          <w:rFonts w:hint="eastAsia" w:ascii="黑体" w:hAnsi="黑体" w:eastAsia="黑体"/>
          <w:sz w:val="32"/>
          <w:szCs w:val="32"/>
        </w:rPr>
        <w:t>支</w:t>
      </w:r>
      <w:r>
        <w:rPr>
          <w:rStyle w:val="27"/>
          <w:rFonts w:hint="eastAsia" w:ascii="黑体" w:hAnsi="黑体" w:eastAsia="黑体"/>
          <w:b w:val="0"/>
        </w:rPr>
        <w:t>出决算情况说明</w:t>
      </w:r>
      <w:bookmarkEnd w:id="24"/>
      <w:bookmarkEnd w:id="25"/>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22年本年支出合计1247.29万元，其中：基本支出1202.29万元，占96.39</w:t>
      </w:r>
      <w:r>
        <w:rPr>
          <w:rFonts w:ascii="仿宋" w:hAnsi="仿宋" w:eastAsia="仿宋"/>
          <w:sz w:val="32"/>
          <w:szCs w:val="32"/>
        </w:rPr>
        <w:t>%</w:t>
      </w:r>
      <w:r>
        <w:rPr>
          <w:rFonts w:hint="eastAsia" w:ascii="仿宋" w:hAnsi="仿宋" w:eastAsia="仿宋"/>
          <w:sz w:val="32"/>
          <w:szCs w:val="32"/>
        </w:rPr>
        <w:t>；项目支出45万元，占3.61</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Style w:val="27"/>
          <w:rFonts w:ascii="黑体" w:hAnsi="黑体" w:eastAsia="黑体"/>
          <w:b w:val="0"/>
        </w:rPr>
      </w:pPr>
      <w:bookmarkStart w:id="26" w:name="_Toc15396606"/>
      <w:bookmarkStart w:id="27" w:name="_Toc15377208"/>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26"/>
      <w:bookmarkEnd w:id="27"/>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22年财政拨款收、支总计1247.29万元。与</w:t>
      </w:r>
      <w:r>
        <w:rPr>
          <w:rFonts w:ascii="仿宋" w:hAnsi="仿宋" w:eastAsia="仿宋"/>
          <w:sz w:val="32"/>
          <w:szCs w:val="32"/>
        </w:rPr>
        <w:t>20</w:t>
      </w:r>
      <w:r>
        <w:rPr>
          <w:rFonts w:hint="eastAsia" w:ascii="仿宋" w:hAnsi="仿宋" w:eastAsia="仿宋"/>
          <w:sz w:val="32"/>
          <w:szCs w:val="32"/>
        </w:rPr>
        <w:t>21年相比，财政拨款收、支总计各增加35.58万元，增长2.94</w:t>
      </w:r>
      <w:r>
        <w:rPr>
          <w:rFonts w:ascii="仿宋" w:hAnsi="仿宋" w:eastAsia="仿宋"/>
          <w:sz w:val="32"/>
          <w:szCs w:val="32"/>
        </w:rPr>
        <w:t>%</w:t>
      </w:r>
      <w:r>
        <w:rPr>
          <w:rFonts w:hint="eastAsia" w:ascii="仿宋" w:hAnsi="仿宋" w:eastAsia="仿宋"/>
          <w:sz w:val="32"/>
          <w:szCs w:val="32"/>
        </w:rPr>
        <w:t>。主要变动原因是薪级工资增加及增加金子山隧道电费项目。</w:t>
      </w:r>
    </w:p>
    <w:p>
      <w:pPr>
        <w:spacing w:line="600" w:lineRule="exact"/>
        <w:ind w:firstLine="640" w:firstLineChars="200"/>
        <w:outlineLvl w:val="1"/>
        <w:rPr>
          <w:rStyle w:val="27"/>
          <w:rFonts w:ascii="黑体" w:hAnsi="黑体" w:eastAsia="黑体"/>
          <w:b w:val="0"/>
        </w:rPr>
      </w:pPr>
      <w:bookmarkStart w:id="28" w:name="_Toc15396607"/>
      <w:bookmarkStart w:id="29"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28"/>
      <w:bookmarkEnd w:id="29"/>
    </w:p>
    <w:p>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22年一般公共预算财政拨款支出1247.29万元，占本年支出合计的100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21年相比，一般公共预算财政拨款支出增加35.58万元，增长2.94</w:t>
      </w:r>
      <w:r>
        <w:rPr>
          <w:rFonts w:ascii="仿宋" w:hAnsi="仿宋" w:eastAsia="仿宋"/>
          <w:sz w:val="32"/>
          <w:szCs w:val="32"/>
        </w:rPr>
        <w:t>%</w:t>
      </w:r>
      <w:r>
        <w:rPr>
          <w:rFonts w:hint="eastAsia" w:ascii="仿宋" w:hAnsi="仿宋" w:eastAsia="仿宋"/>
          <w:sz w:val="32"/>
          <w:szCs w:val="32"/>
        </w:rPr>
        <w:t>。主要变动原因是薪级工资增加及增加金子山隧道电费项目。</w:t>
      </w:r>
    </w:p>
    <w:p>
      <w:pPr>
        <w:spacing w:line="600" w:lineRule="exact"/>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22年一般公共预算财政拨款支出1247.29万元，主要用于以下方面</w:t>
      </w:r>
      <w:r>
        <w:rPr>
          <w:rFonts w:hint="eastAsia" w:ascii="仿宋" w:hAnsi="仿宋" w:eastAsia="仿宋"/>
          <w:sz w:val="32"/>
          <w:szCs w:val="32"/>
          <w:lang w:eastAsia="zh-CN"/>
        </w:rPr>
        <w:t>：</w:t>
      </w:r>
      <w:r>
        <w:rPr>
          <w:rFonts w:hint="eastAsia" w:ascii="仿宋" w:hAnsi="仿宋" w:eastAsia="仿宋"/>
          <w:sz w:val="32"/>
          <w:szCs w:val="32"/>
        </w:rPr>
        <w:t>社会保障和就业</w:t>
      </w:r>
      <w:r>
        <w:rPr>
          <w:rFonts w:hint="eastAsia" w:ascii="仿宋" w:hAnsi="仿宋" w:eastAsia="仿宋"/>
          <w:bCs/>
          <w:sz w:val="32"/>
          <w:szCs w:val="32"/>
        </w:rPr>
        <w:t>支出</w:t>
      </w:r>
      <w:r>
        <w:rPr>
          <w:rFonts w:hint="eastAsia" w:ascii="仿宋" w:hAnsi="仿宋" w:eastAsia="仿宋"/>
          <w:sz w:val="32"/>
          <w:szCs w:val="32"/>
        </w:rPr>
        <w:t>94.35万元，占7.56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Cs/>
          <w:sz w:val="32"/>
          <w:szCs w:val="32"/>
        </w:rPr>
        <w:t>卫生健康支出</w:t>
      </w:r>
      <w:r>
        <w:rPr>
          <w:rFonts w:hint="eastAsia" w:ascii="仿宋" w:hAnsi="仿宋" w:eastAsia="仿宋"/>
          <w:sz w:val="32"/>
          <w:szCs w:val="32"/>
        </w:rPr>
        <w:t>44.97万元，占3.61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Cs/>
          <w:sz w:val="32"/>
          <w:szCs w:val="32"/>
        </w:rPr>
        <w:t>住房保障支出</w:t>
      </w:r>
      <w:r>
        <w:rPr>
          <w:rFonts w:hint="eastAsia" w:ascii="仿宋" w:hAnsi="仿宋" w:eastAsia="仿宋"/>
          <w:sz w:val="32"/>
          <w:szCs w:val="32"/>
        </w:rPr>
        <w:t>67.45万元，占5.41</w:t>
      </w:r>
      <w:r>
        <w:rPr>
          <w:rFonts w:ascii="仿宋" w:hAnsi="仿宋" w:eastAsia="仿宋"/>
          <w:sz w:val="32"/>
          <w:szCs w:val="32"/>
        </w:rPr>
        <w:t>%</w:t>
      </w:r>
      <w:r>
        <w:rPr>
          <w:rFonts w:hint="eastAsia" w:ascii="仿宋" w:hAnsi="仿宋" w:eastAsia="仿宋"/>
          <w:sz w:val="32"/>
          <w:szCs w:val="32"/>
        </w:rPr>
        <w:t>；交通运输支出1040.52万元</w:t>
      </w:r>
      <w:r>
        <w:rPr>
          <w:rFonts w:hint="eastAsia" w:ascii="仿宋" w:hAnsi="仿宋" w:eastAsia="仿宋"/>
          <w:sz w:val="32"/>
          <w:szCs w:val="32"/>
          <w:lang w:eastAsia="zh-CN"/>
        </w:rPr>
        <w:t>，</w:t>
      </w:r>
      <w:r>
        <w:rPr>
          <w:rFonts w:hint="eastAsia" w:ascii="仿宋" w:hAnsi="仿宋" w:eastAsia="仿宋"/>
          <w:sz w:val="32"/>
          <w:szCs w:val="32"/>
        </w:rPr>
        <w:t>占83.42%。</w:t>
      </w:r>
    </w:p>
    <w:p>
      <w:pPr>
        <w:spacing w:line="600" w:lineRule="exact"/>
        <w:ind w:firstLine="643"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pPr>
        <w:spacing w:line="600" w:lineRule="exact"/>
        <w:ind w:firstLine="640" w:firstLineChars="200"/>
        <w:outlineLvl w:val="2"/>
        <w:rPr>
          <w:rStyle w:val="16"/>
          <w:rFonts w:ascii="仿宋" w:hAnsi="仿宋" w:eastAsia="仿宋"/>
          <w:b w:val="0"/>
          <w:bCs/>
          <w:sz w:val="32"/>
          <w:szCs w:val="32"/>
        </w:rPr>
      </w:pPr>
      <w:bookmarkStart w:id="33" w:name="_Toc15378460"/>
      <w:bookmarkStart w:id="34" w:name="_Toc15377444"/>
      <w:bookmarkStart w:id="35" w:name="_Toc15377213"/>
      <w:r>
        <w:rPr>
          <w:rFonts w:hint="eastAsia" w:ascii="仿宋" w:hAnsi="仿宋" w:eastAsia="仿宋"/>
          <w:sz w:val="32"/>
          <w:szCs w:val="32"/>
        </w:rPr>
        <w:t>2022年一般公共预算支出决算数为1247.29</w:t>
      </w:r>
      <w:r>
        <w:rPr>
          <w:rFonts w:hint="eastAsia" w:ascii="仿宋" w:hAnsi="仿宋" w:eastAsia="仿宋"/>
          <w:b/>
          <w:sz w:val="32"/>
          <w:szCs w:val="32"/>
        </w:rPr>
        <w:t>，</w:t>
      </w:r>
      <w:r>
        <w:rPr>
          <w:rStyle w:val="16"/>
          <w:rFonts w:hint="eastAsia" w:ascii="仿宋" w:hAnsi="仿宋" w:eastAsia="仿宋"/>
          <w:b w:val="0"/>
          <w:bCs/>
          <w:sz w:val="32"/>
          <w:szCs w:val="32"/>
        </w:rPr>
        <w:t>完成预算100</w:t>
      </w:r>
      <w:r>
        <w:rPr>
          <w:rStyle w:val="16"/>
          <w:rFonts w:ascii="仿宋" w:hAnsi="仿宋" w:eastAsia="仿宋"/>
          <w:b w:val="0"/>
          <w:bCs/>
          <w:sz w:val="32"/>
          <w:szCs w:val="32"/>
        </w:rPr>
        <w:t>%</w:t>
      </w:r>
      <w:r>
        <w:rPr>
          <w:rStyle w:val="16"/>
          <w:rFonts w:hint="eastAsia" w:ascii="仿宋" w:hAnsi="仿宋" w:eastAsia="仿宋"/>
          <w:b w:val="0"/>
          <w:bCs/>
          <w:sz w:val="32"/>
          <w:szCs w:val="32"/>
        </w:rPr>
        <w:t>。其中：</w:t>
      </w:r>
      <w:bookmarkEnd w:id="33"/>
      <w:bookmarkEnd w:id="34"/>
      <w:bookmarkEnd w:id="35"/>
    </w:p>
    <w:p>
      <w:pPr>
        <w:spacing w:line="600" w:lineRule="exact"/>
        <w:ind w:firstLine="640" w:firstLineChars="200"/>
        <w:rPr>
          <w:rFonts w:ascii="仿宋" w:hAnsi="仿宋" w:eastAsia="仿宋" w:cs="仿宋"/>
          <w:bCs/>
          <w:sz w:val="32"/>
          <w:szCs w:val="32"/>
        </w:rPr>
      </w:pPr>
      <w:r>
        <w:rPr>
          <w:rStyle w:val="16"/>
          <w:rFonts w:hint="eastAsia" w:ascii="仿宋" w:hAnsi="仿宋" w:eastAsia="仿宋" w:cs="仿宋"/>
          <w:b w:val="0"/>
          <w:bCs/>
          <w:sz w:val="32"/>
          <w:szCs w:val="32"/>
        </w:rPr>
        <w:t>1.社会保障和就业（类）行政事业单位养老支出（款）事业单位离退休（项）</w:t>
      </w:r>
      <w:r>
        <w:rPr>
          <w:rStyle w:val="16"/>
          <w:rFonts w:hint="eastAsia" w:ascii="仿宋" w:hAnsi="仿宋" w:eastAsia="仿宋" w:cs="仿宋"/>
          <w:b w:val="0"/>
          <w:bCs/>
          <w:sz w:val="32"/>
          <w:szCs w:val="32"/>
          <w:lang w:eastAsia="zh-CN"/>
        </w:rPr>
        <w:t>：</w:t>
      </w:r>
      <w:r>
        <w:rPr>
          <w:rStyle w:val="16"/>
          <w:rFonts w:hint="eastAsia" w:ascii="仿宋" w:hAnsi="仿宋" w:eastAsia="仿宋" w:cs="仿宋"/>
          <w:b w:val="0"/>
          <w:bCs/>
          <w:sz w:val="32"/>
          <w:szCs w:val="32"/>
        </w:rPr>
        <w:t xml:space="preserve"> 支出决算为4.42万元，完成预算100%。</w:t>
      </w:r>
    </w:p>
    <w:p>
      <w:pPr>
        <w:spacing w:line="600" w:lineRule="exact"/>
        <w:ind w:firstLine="640" w:firstLineChars="200"/>
        <w:rPr>
          <w:rFonts w:ascii="仿宋" w:hAnsi="仿宋" w:eastAsia="仿宋" w:cs="仿宋"/>
          <w:bCs/>
          <w:sz w:val="32"/>
          <w:szCs w:val="32"/>
        </w:rPr>
      </w:pPr>
      <w:r>
        <w:rPr>
          <w:rStyle w:val="16"/>
          <w:rFonts w:hint="eastAsia" w:ascii="仿宋" w:hAnsi="仿宋" w:eastAsia="仿宋" w:cs="仿宋"/>
          <w:b w:val="0"/>
          <w:bCs/>
          <w:sz w:val="32"/>
          <w:szCs w:val="32"/>
        </w:rPr>
        <w:t>2、社会保障和就业（类）行政事业单位养老支出（款）机关事业单位基本养老保险缴费支出（项）：支出决算为89.93万元，完成预算100%。</w:t>
      </w:r>
    </w:p>
    <w:p>
      <w:pPr>
        <w:spacing w:line="600" w:lineRule="exact"/>
        <w:ind w:firstLine="640" w:firstLineChars="200"/>
        <w:rPr>
          <w:rFonts w:ascii="仿宋" w:hAnsi="仿宋" w:eastAsia="仿宋" w:cs="仿宋"/>
          <w:bCs/>
          <w:sz w:val="32"/>
          <w:szCs w:val="32"/>
        </w:rPr>
      </w:pPr>
      <w:r>
        <w:rPr>
          <w:rStyle w:val="16"/>
          <w:rFonts w:hint="eastAsia" w:ascii="仿宋" w:hAnsi="仿宋" w:eastAsia="仿宋" w:cs="仿宋"/>
          <w:b w:val="0"/>
          <w:bCs/>
          <w:sz w:val="32"/>
          <w:szCs w:val="32"/>
        </w:rPr>
        <w:t>3.</w:t>
      </w:r>
      <w:r>
        <w:rPr>
          <w:rFonts w:hint="eastAsia" w:ascii="仿宋" w:hAnsi="仿宋" w:eastAsia="仿宋" w:cs="仿宋"/>
          <w:bCs/>
          <w:sz w:val="32"/>
          <w:szCs w:val="32"/>
        </w:rPr>
        <w:t>卫生健康</w:t>
      </w:r>
      <w:r>
        <w:rPr>
          <w:rStyle w:val="16"/>
          <w:rFonts w:hint="eastAsia" w:ascii="仿宋" w:hAnsi="仿宋" w:eastAsia="仿宋" w:cs="仿宋"/>
          <w:b w:val="0"/>
          <w:bCs/>
          <w:sz w:val="32"/>
          <w:szCs w:val="32"/>
        </w:rPr>
        <w:t>（类）行政事业单位医疗（款）事业单位医疗（项）</w:t>
      </w:r>
      <w:r>
        <w:rPr>
          <w:rStyle w:val="16"/>
          <w:rFonts w:hint="eastAsia" w:ascii="仿宋" w:hAnsi="仿宋" w:eastAsia="仿宋" w:cs="仿宋"/>
          <w:b w:val="0"/>
          <w:bCs/>
          <w:sz w:val="32"/>
          <w:szCs w:val="32"/>
          <w:lang w:eastAsia="zh-CN"/>
        </w:rPr>
        <w:t>：</w:t>
      </w:r>
      <w:r>
        <w:rPr>
          <w:rStyle w:val="16"/>
          <w:rFonts w:hint="eastAsia" w:ascii="仿宋" w:hAnsi="仿宋" w:eastAsia="仿宋" w:cs="仿宋"/>
          <w:b w:val="0"/>
          <w:bCs/>
          <w:sz w:val="32"/>
          <w:szCs w:val="32"/>
        </w:rPr>
        <w:t>支出决算为44.97万元，完成预算100%。</w:t>
      </w:r>
    </w:p>
    <w:p>
      <w:pPr>
        <w:spacing w:line="600" w:lineRule="exact"/>
        <w:ind w:firstLine="640" w:firstLineChars="200"/>
        <w:rPr>
          <w:rStyle w:val="16"/>
          <w:rFonts w:ascii="仿宋" w:hAnsi="仿宋" w:eastAsia="仿宋" w:cs="仿宋"/>
          <w:b w:val="0"/>
          <w:bCs/>
          <w:sz w:val="32"/>
          <w:szCs w:val="32"/>
        </w:rPr>
      </w:pPr>
      <w:r>
        <w:rPr>
          <w:rFonts w:hint="eastAsia" w:ascii="仿宋" w:hAnsi="仿宋" w:eastAsia="仿宋" w:cs="仿宋"/>
          <w:bCs/>
          <w:sz w:val="32"/>
          <w:szCs w:val="32"/>
        </w:rPr>
        <w:t>4、交通运输（类）公路水路运输（款）公路养护（项）：</w:t>
      </w:r>
      <w:r>
        <w:rPr>
          <w:rStyle w:val="16"/>
          <w:rFonts w:hint="eastAsia" w:ascii="仿宋" w:hAnsi="仿宋" w:eastAsia="仿宋" w:cs="仿宋"/>
          <w:b w:val="0"/>
          <w:bCs/>
          <w:sz w:val="32"/>
          <w:szCs w:val="32"/>
        </w:rPr>
        <w:t>支出决算为1040.52万元，完成预算100%。</w:t>
      </w:r>
    </w:p>
    <w:p>
      <w:pPr>
        <w:pStyle w:val="2"/>
        <w:spacing w:before="93"/>
        <w:ind w:firstLine="600"/>
        <w:rPr>
          <w:rFonts w:ascii="仿宋" w:hAnsi="仿宋" w:eastAsia="仿宋" w:cs="仿宋"/>
          <w:bCs/>
          <w:kern w:val="2"/>
          <w:sz w:val="32"/>
          <w:szCs w:val="32"/>
        </w:rPr>
      </w:pPr>
      <w:r>
        <w:rPr>
          <w:rFonts w:hint="eastAsia" w:ascii="仿宋" w:hAnsi="仿宋" w:eastAsia="仿宋" w:cs="仿宋"/>
          <w:bCs/>
          <w:kern w:val="2"/>
          <w:sz w:val="32"/>
          <w:szCs w:val="32"/>
        </w:rPr>
        <w:t>5、住房保障（类）住房改革支出（款）住房公积金（项）：</w:t>
      </w:r>
    </w:p>
    <w:p>
      <w:pPr>
        <w:spacing w:line="600" w:lineRule="exact"/>
        <w:rPr>
          <w:rFonts w:ascii="仿宋" w:hAnsi="仿宋" w:eastAsia="仿宋" w:cs="仿宋"/>
          <w:bCs/>
          <w:sz w:val="32"/>
          <w:szCs w:val="32"/>
        </w:rPr>
      </w:pPr>
      <w:r>
        <w:rPr>
          <w:rStyle w:val="16"/>
          <w:rFonts w:hint="eastAsia" w:ascii="仿宋" w:hAnsi="仿宋" w:eastAsia="仿宋" w:cs="仿宋"/>
          <w:b w:val="0"/>
          <w:bCs/>
          <w:sz w:val="32"/>
          <w:szCs w:val="32"/>
        </w:rPr>
        <w:t>支出决算为67.45万元，完成预算100%。</w:t>
      </w:r>
    </w:p>
    <w:p>
      <w:pPr>
        <w:tabs>
          <w:tab w:val="right" w:pos="8306"/>
        </w:tabs>
        <w:spacing w:line="600" w:lineRule="exact"/>
        <w:ind w:firstLine="640"/>
        <w:outlineLvl w:val="1"/>
        <w:rPr>
          <w:rStyle w:val="27"/>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36"/>
      <w:bookmarkEnd w:id="37"/>
      <w:r>
        <w:rPr>
          <w:rStyle w:val="2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22年一般公共预算财政拨款基本支出1202.29万元，其中：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1149.37万元，主要包括：基本工资、津贴补贴、奖金、绩效工资、机关事业单位基本养老保险缴费、职工基本医疗保险缴费、其他社会保障缴费、住房公积金、其他工资福利支出、生活补助、其他对个人和家庭的补助支出。</w:t>
      </w:r>
      <w:r>
        <w:rPr>
          <w:rFonts w:ascii="仿宋" w:hAnsi="仿宋" w:eastAsia="仿宋"/>
          <w:sz w:val="32"/>
          <w:szCs w:val="32"/>
        </w:rPr>
        <w:br w:type="textWrapping"/>
      </w:r>
      <w:r>
        <w:rPr>
          <w:rFonts w:hint="eastAsia" w:ascii="仿宋" w:hAnsi="仿宋" w:eastAsia="仿宋"/>
          <w:sz w:val="32"/>
          <w:szCs w:val="32"/>
        </w:rPr>
        <w:t>　　公用经费52.92万元，主要包括：办公费、差旅费、公务接待费、工会经费、福利费、公务用车运行维护费。</w:t>
      </w:r>
    </w:p>
    <w:p>
      <w:pPr>
        <w:spacing w:line="600" w:lineRule="exact"/>
        <w:ind w:firstLine="640"/>
        <w:outlineLvl w:val="1"/>
        <w:rPr>
          <w:rStyle w:val="27"/>
          <w:rFonts w:ascii="黑体" w:hAnsi="黑体" w:eastAsia="黑体"/>
          <w:b w:val="0"/>
        </w:rPr>
      </w:pPr>
      <w:bookmarkStart w:id="38" w:name="_Toc15377215"/>
      <w:bookmarkStart w:id="39" w:name="_Toc15396609"/>
      <w:r>
        <w:rPr>
          <w:rFonts w:hint="eastAsia" w:ascii="黑体" w:eastAsia="黑体"/>
          <w:sz w:val="32"/>
          <w:szCs w:val="32"/>
        </w:rPr>
        <w:t>七、</w:t>
      </w:r>
      <w:r>
        <w:rPr>
          <w:rStyle w:val="27"/>
          <w:rFonts w:hint="eastAsia" w:ascii="黑体" w:hAnsi="黑体" w:eastAsia="黑体"/>
          <w:b w:val="0"/>
        </w:rPr>
        <w:t>财政拨款</w:t>
      </w:r>
      <w:r>
        <w:rPr>
          <w:rStyle w:val="27"/>
          <w:rFonts w:hint="eastAsia" w:ascii="黑体" w:hAnsi="黑体" w:eastAsia="黑体"/>
        </w:rPr>
        <w:t>“</w:t>
      </w:r>
      <w:r>
        <w:rPr>
          <w:rStyle w:val="27"/>
          <w:rFonts w:hint="eastAsia" w:ascii="黑体" w:hAnsi="黑体" w:eastAsia="黑体"/>
          <w:b w:val="0"/>
        </w:rPr>
        <w:t>三公”经费支出决算情况说明</w:t>
      </w:r>
      <w:bookmarkEnd w:id="38"/>
      <w:bookmarkEnd w:id="39"/>
    </w:p>
    <w:p>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22年“三公”经费财政拨款支出决算为9.72万元，完成预算98.98</w:t>
      </w:r>
      <w:r>
        <w:rPr>
          <w:rFonts w:ascii="仿宋" w:hAnsi="仿宋" w:eastAsia="仿宋"/>
          <w:sz w:val="32"/>
          <w:szCs w:val="32"/>
        </w:rPr>
        <w:t>%</w:t>
      </w:r>
      <w:r>
        <w:rPr>
          <w:rFonts w:hint="eastAsia" w:ascii="仿宋" w:hAnsi="仿宋" w:eastAsia="仿宋"/>
          <w:sz w:val="32"/>
          <w:szCs w:val="32"/>
        </w:rPr>
        <w:t>，较上年减少0.38万元，下降3.76%。决算数小于预算数的主要原因是单位厉行节约</w:t>
      </w:r>
      <w:r>
        <w:rPr>
          <w:rFonts w:hint="eastAsia" w:ascii="仿宋" w:hAnsi="仿宋" w:eastAsia="仿宋"/>
          <w:sz w:val="32"/>
          <w:szCs w:val="32"/>
          <w:lang w:eastAsia="zh-CN"/>
        </w:rPr>
        <w:t>，</w:t>
      </w:r>
      <w:r>
        <w:rPr>
          <w:rFonts w:hint="eastAsia" w:ascii="仿宋" w:hAnsi="仿宋" w:eastAsia="仿宋"/>
          <w:sz w:val="32"/>
          <w:szCs w:val="32"/>
        </w:rPr>
        <w:t>严控经费支出。</w:t>
      </w:r>
    </w:p>
    <w:p>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22年“三公”经费财政拨款支出决算中，公务用车购置及运行维护费支出决算8.9万元，占91.56</w:t>
      </w:r>
      <w:r>
        <w:rPr>
          <w:rFonts w:ascii="仿宋" w:hAnsi="仿宋" w:eastAsia="仿宋"/>
          <w:sz w:val="32"/>
          <w:szCs w:val="32"/>
        </w:rPr>
        <w:t>%</w:t>
      </w:r>
      <w:r>
        <w:rPr>
          <w:rFonts w:hint="eastAsia" w:ascii="仿宋" w:hAnsi="仿宋" w:eastAsia="仿宋"/>
          <w:sz w:val="32"/>
          <w:szCs w:val="32"/>
        </w:rPr>
        <w:t>；公务接待费支出决算0.82万元，占8.44</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_GB2312" w:eastAsia="仿宋_GB2312"/>
          <w:b/>
          <w:sz w:val="32"/>
          <w:szCs w:val="32"/>
        </w:rPr>
      </w:pPr>
      <w:r>
        <w:rPr>
          <w:rFonts w:hint="eastAsia" w:ascii="仿宋_GB2312" w:eastAsia="仿宋_GB2312"/>
          <w:b/>
          <w:sz w:val="32"/>
          <w:szCs w:val="32"/>
        </w:rPr>
        <w:t>1</w:t>
      </w:r>
      <w:r>
        <w:rPr>
          <w:rFonts w:ascii="仿宋_GB2312" w:eastAsia="仿宋_GB2312"/>
          <w:b/>
          <w:sz w:val="32"/>
          <w:szCs w:val="32"/>
        </w:rPr>
        <w:t>.</w:t>
      </w:r>
      <w:r>
        <w:rPr>
          <w:rFonts w:hint="eastAsia" w:ascii="仿宋_GB2312" w:eastAsia="仿宋_GB2312"/>
          <w:b/>
          <w:sz w:val="32"/>
          <w:szCs w:val="32"/>
        </w:rPr>
        <w:t>公务用车购置及运行维护费支出</w:t>
      </w:r>
      <w:r>
        <w:rPr>
          <w:rFonts w:hint="eastAsia" w:ascii="仿宋_GB2312" w:eastAsia="仿宋_GB2312"/>
          <w:sz w:val="32"/>
          <w:szCs w:val="32"/>
        </w:rPr>
        <w:t>8.9万元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完成预算98.89</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21年增加0.32万元，增长3.73</w:t>
      </w:r>
      <w:r>
        <w:rPr>
          <w:rFonts w:ascii="仿宋_GB2312" w:eastAsia="仿宋_GB2312"/>
          <w:sz w:val="32"/>
          <w:szCs w:val="32"/>
        </w:rPr>
        <w:t>%</w:t>
      </w:r>
      <w:r>
        <w:rPr>
          <w:rFonts w:hint="eastAsia" w:ascii="仿宋_GB2312" w:eastAsia="仿宋_GB2312"/>
          <w:sz w:val="32"/>
          <w:szCs w:val="32"/>
        </w:rPr>
        <w:t>。主要原因是2021年部分三公经费开支未在本年内及时报销。</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月底，单位共有公务用车3辆，其中：特种专业技术用车2辆</w:t>
      </w:r>
      <w:r>
        <w:rPr>
          <w:rFonts w:hint="eastAsia" w:ascii="仿宋_GB2312" w:eastAsia="仿宋_GB2312"/>
          <w:sz w:val="32"/>
          <w:szCs w:val="32"/>
          <w:lang w:eastAsia="zh-CN"/>
        </w:rPr>
        <w:t>，</w:t>
      </w:r>
      <w:r>
        <w:rPr>
          <w:rFonts w:hint="eastAsia" w:ascii="仿宋_GB2312" w:eastAsia="仿宋_GB2312"/>
          <w:sz w:val="32"/>
          <w:szCs w:val="32"/>
        </w:rPr>
        <w:t>其他用车1辆。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8.9万元。主要用于日常公务及公路养护巡查、应急抢险等所需的公务用车燃料费、维修费、过路过桥费、保险费等支出。</w:t>
      </w:r>
    </w:p>
    <w:p>
      <w:pPr>
        <w:spacing w:line="600" w:lineRule="exact"/>
        <w:ind w:firstLine="640"/>
        <w:rPr>
          <w:rFonts w:ascii="仿宋_GB2312" w:eastAsia="仿宋_GB2312"/>
          <w:sz w:val="32"/>
          <w:szCs w:val="32"/>
        </w:rPr>
      </w:pPr>
      <w:r>
        <w:rPr>
          <w:rFonts w:hint="eastAsia" w:ascii="仿宋_GB2312" w:eastAsia="仿宋_GB2312"/>
          <w:b/>
          <w:sz w:val="32"/>
          <w:szCs w:val="32"/>
        </w:rPr>
        <w:t>2</w:t>
      </w:r>
      <w:r>
        <w:rPr>
          <w:rFonts w:ascii="仿宋_GB2312" w:eastAsia="仿宋_GB2312"/>
          <w:b/>
          <w:sz w:val="32"/>
          <w:szCs w:val="32"/>
        </w:rPr>
        <w:t>.</w:t>
      </w:r>
      <w:r>
        <w:rPr>
          <w:rFonts w:hint="eastAsia" w:ascii="仿宋_GB2312" w:eastAsia="仿宋_GB2312"/>
          <w:b/>
          <w:sz w:val="32"/>
          <w:szCs w:val="32"/>
        </w:rPr>
        <w:t>公务接待费支出</w:t>
      </w:r>
      <w:r>
        <w:rPr>
          <w:rFonts w:hint="eastAsia" w:ascii="仿宋_GB2312" w:eastAsia="仿宋_GB2312"/>
          <w:sz w:val="32"/>
          <w:szCs w:val="32"/>
        </w:rPr>
        <w:t>0.82万元，</w:t>
      </w:r>
      <w:r>
        <w:rPr>
          <w:rStyle w:val="16"/>
          <w:rFonts w:hint="eastAsia" w:ascii="仿宋" w:hAnsi="仿宋" w:eastAsia="仿宋"/>
          <w:b w:val="0"/>
          <w:bCs/>
          <w:sz w:val="32"/>
          <w:szCs w:val="32"/>
        </w:rPr>
        <w:t>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21年减少0.7万元，下降46.05</w:t>
      </w:r>
      <w:r>
        <w:rPr>
          <w:rFonts w:ascii="仿宋_GB2312" w:eastAsia="仿宋_GB2312"/>
          <w:sz w:val="32"/>
          <w:szCs w:val="32"/>
        </w:rPr>
        <w:t>%</w:t>
      </w:r>
      <w:r>
        <w:rPr>
          <w:rFonts w:hint="eastAsia" w:ascii="仿宋_GB2312" w:eastAsia="仿宋_GB2312"/>
          <w:sz w:val="32"/>
          <w:szCs w:val="32"/>
        </w:rPr>
        <w:t>。主要原因是财政预算追减。</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0.82</w:t>
      </w:r>
      <w:r>
        <w:rPr>
          <w:rFonts w:hint="eastAsia" w:ascii="仿宋_GB2312" w:eastAsia="仿宋_GB2312"/>
          <w:sz w:val="32"/>
          <w:szCs w:val="32"/>
        </w:rPr>
        <w:t>万元，主要用于执行公务、开展业务活动开支的交通费、住宿费、用餐费等。国内公务接待40批次，167人次（不包括陪同人员），共计支出0.82万元，具体内容包括：上级相关部门检查我段各项工作的公务活动用餐费0.82万元。</w:t>
      </w:r>
      <w:bookmarkStart w:id="42" w:name="_Toc15377218"/>
      <w:bookmarkStart w:id="43" w:name="_Toc15396610"/>
    </w:p>
    <w:p>
      <w:pPr>
        <w:spacing w:line="600" w:lineRule="exact"/>
        <w:ind w:firstLine="640"/>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numPr>
          <w:ilvl w:val="0"/>
          <w:numId w:val="3"/>
        </w:numPr>
        <w:spacing w:line="600" w:lineRule="exact"/>
        <w:ind w:firstLine="640"/>
        <w:outlineLvl w:val="1"/>
        <w:rPr>
          <w:rStyle w:val="27"/>
          <w:rFonts w:ascii="黑体" w:hAnsi="黑体" w:eastAsia="黑体"/>
          <w:b w:val="0"/>
        </w:rPr>
      </w:pPr>
      <w:bookmarkStart w:id="44" w:name="_Toc15396611"/>
      <w:bookmarkStart w:id="45" w:name="_Toc15377219"/>
      <w:r>
        <w:rPr>
          <w:rStyle w:val="27"/>
          <w:rFonts w:hint="eastAsia" w:ascii="黑体" w:hAnsi="黑体" w:eastAsia="黑体"/>
          <w:b w:val="0"/>
        </w:rPr>
        <w:t>国有资本经营预算支出决算情况说明</w:t>
      </w:r>
      <w:bookmarkEnd w:id="44"/>
      <w:bookmarkEnd w:id="45"/>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3"/>
        </w:numPr>
        <w:spacing w:line="600" w:lineRule="exact"/>
        <w:ind w:firstLine="640"/>
        <w:outlineLvl w:val="1"/>
        <w:rPr>
          <w:rStyle w:val="27"/>
          <w:rFonts w:ascii="黑体" w:hAnsi="黑体" w:eastAsia="黑体"/>
          <w:b w:val="0"/>
        </w:rPr>
      </w:pPr>
      <w:bookmarkStart w:id="46" w:name="_Toc15396612"/>
      <w:bookmarkStart w:id="47" w:name="_Toc15377221"/>
      <w:r>
        <w:rPr>
          <w:rStyle w:val="27"/>
          <w:rFonts w:hint="eastAsia" w:ascii="黑体" w:hAnsi="黑体" w:eastAsia="黑体"/>
          <w:b w:val="0"/>
        </w:rPr>
        <w:t>其他重要事项的情况说明</w:t>
      </w:r>
      <w:bookmarkEnd w:id="46"/>
      <w:bookmarkEnd w:id="47"/>
    </w:p>
    <w:p>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22年，机关运行经费支出0万元。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22年，政府采购支出总额0万元。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日，我段共有车辆3辆，其中：特种专业技术用车2辆</w:t>
      </w:r>
      <w:r>
        <w:rPr>
          <w:rFonts w:hint="eastAsia" w:ascii="仿宋_GB2312" w:eastAsia="仿宋_GB2312"/>
          <w:sz w:val="32"/>
          <w:szCs w:val="32"/>
          <w:lang w:eastAsia="zh-CN"/>
        </w:rPr>
        <w:t>，</w:t>
      </w:r>
      <w:r>
        <w:rPr>
          <w:rFonts w:hint="eastAsia" w:ascii="仿宋_GB2312" w:eastAsia="仿宋_GB2312"/>
          <w:sz w:val="32"/>
          <w:szCs w:val="32"/>
        </w:rPr>
        <w:t>其他用车1辆。</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pPr>
      <w:r>
        <w:rPr>
          <w:rFonts w:hint="eastAsia" w:hAnsi="仿宋_GB2312" w:cs="仿宋_GB2312"/>
          <w:sz w:val="32"/>
          <w:szCs w:val="32"/>
        </w:rPr>
        <w:t>根据预算绩效管理要求，本单位在2022年度预算编制阶段，组织对</w:t>
      </w:r>
      <w:r>
        <w:rPr>
          <w:rFonts w:hint="eastAsia" w:ascii="仿宋" w:hAnsi="仿宋" w:eastAsia="仿宋" w:cs="仿宋"/>
          <w:sz w:val="32"/>
          <w:szCs w:val="32"/>
        </w:rPr>
        <w:t>“桥梁、隧道养护监测及设施维护费”， “金子山隧道电费及机电设施维护”</w:t>
      </w:r>
      <w:r>
        <w:rPr>
          <w:rFonts w:hint="eastAsia" w:hAnsi="仿宋_GB2312" w:cs="仿宋_GB2312"/>
          <w:sz w:val="32"/>
          <w:szCs w:val="32"/>
        </w:rPr>
        <w:t>项目开展了预算事前绩效评估，对2个项目编制了绩效目标，预算执行过程中，对2个项目开展了绩效监控，组织对2个项目开展了绩效自评，绩效自评表详见第四部分附件。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6"/>
          <w:rFonts w:ascii="黑体" w:hAnsi="黑体" w:eastAsia="黑体"/>
          <w:b w:val="0"/>
        </w:rPr>
      </w:pPr>
      <w:bookmarkStart w:id="51" w:name="_Toc15377225"/>
      <w:bookmarkStart w:id="52" w:name="_Toc15396613"/>
      <w:r>
        <w:rPr>
          <w:rFonts w:hint="eastAsia" w:ascii="黑体" w:hAnsi="黑体" w:eastAsia="黑体"/>
          <w:sz w:val="44"/>
          <w:szCs w:val="44"/>
        </w:rPr>
        <w:t>名</w:t>
      </w:r>
      <w:r>
        <w:rPr>
          <w:rStyle w:val="26"/>
          <w:rFonts w:hint="eastAsia" w:ascii="黑体" w:hAnsi="黑体" w:eastAsia="黑体"/>
          <w:b w:val="0"/>
        </w:rPr>
        <w:t>词解释</w:t>
      </w:r>
      <w:bookmarkEnd w:id="51"/>
      <w:bookmarkEnd w:id="52"/>
    </w:p>
    <w:p>
      <w:pPr>
        <w:pStyle w:val="2"/>
        <w:spacing w:before="93"/>
      </w:pP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ind w:firstLine="640" w:firstLineChars="200"/>
        <w:rPr>
          <w:rFonts w:ascii="仿宋" w:hAnsi="仿宋" w:eastAsia="仿宋" w:cs="仿宋"/>
          <w:sz w:val="32"/>
          <w:szCs w:val="32"/>
        </w:rPr>
      </w:pPr>
      <w:r>
        <w:rPr>
          <w:rFonts w:hint="eastAsia" w:ascii="仿宋" w:hAnsi="仿宋" w:eastAsia="仿宋" w:cs="仿宋"/>
          <w:sz w:val="32"/>
          <w:szCs w:val="32"/>
        </w:rPr>
        <w:t>2.社会保障和就业（类）行政事业单位养老支出（款）事业单位离退休（项）</w:t>
      </w:r>
      <w:r>
        <w:rPr>
          <w:rFonts w:hint="eastAsia" w:ascii="仿宋" w:hAnsi="仿宋" w:eastAsia="仿宋" w:cs="仿宋"/>
          <w:sz w:val="32"/>
          <w:szCs w:val="32"/>
          <w:lang w:eastAsia="zh-CN"/>
        </w:rPr>
        <w:t>：</w:t>
      </w:r>
      <w:r>
        <w:rPr>
          <w:rFonts w:hint="eastAsia" w:ascii="仿宋" w:hAnsi="仿宋" w:eastAsia="仿宋" w:cs="仿宋"/>
          <w:sz w:val="32"/>
          <w:szCs w:val="32"/>
        </w:rPr>
        <w:t>反映事业单位开支的离退休经费。</w:t>
      </w:r>
    </w:p>
    <w:p>
      <w:pPr>
        <w:pStyle w:val="7"/>
        <w:ind w:firstLine="640" w:firstLineChars="200"/>
        <w:rPr>
          <w:rFonts w:ascii="仿宋_GB2312" w:hAnsi="仿宋_GB2312" w:cs="仿宋_GB2312"/>
          <w:b w:val="0"/>
          <w:bCs/>
          <w:szCs w:val="32"/>
        </w:rPr>
      </w:pPr>
      <w:r>
        <w:rPr>
          <w:rFonts w:hint="eastAsia" w:ascii="仿宋_GB2312" w:hAnsi="仿宋_GB2312" w:cs="仿宋_GB2312"/>
          <w:b w:val="0"/>
          <w:bCs/>
          <w:szCs w:val="32"/>
        </w:rPr>
        <w:t>3、</w:t>
      </w:r>
      <w:r>
        <w:rPr>
          <w:rFonts w:ascii="仿宋_GB2312" w:hAnsi="仿宋_GB2312" w:cs="仿宋_GB2312"/>
          <w:b w:val="0"/>
          <w:bCs/>
          <w:szCs w:val="32"/>
        </w:rPr>
        <w:t>社会保障和就业（类）行政事业单位</w:t>
      </w:r>
      <w:r>
        <w:rPr>
          <w:rFonts w:hint="eastAsia" w:ascii="仿宋_GB2312" w:hAnsi="仿宋_GB2312" w:cs="仿宋_GB2312"/>
          <w:b w:val="0"/>
          <w:bCs/>
          <w:szCs w:val="32"/>
        </w:rPr>
        <w:t>养老支出</w:t>
      </w:r>
      <w:r>
        <w:rPr>
          <w:rFonts w:ascii="仿宋_GB2312" w:hAnsi="仿宋_GB2312" w:cs="仿宋_GB2312"/>
          <w:b w:val="0"/>
          <w:bCs/>
          <w:szCs w:val="32"/>
        </w:rPr>
        <w:t>（款）机关事业单位基本养老保险缴费支出（项）：</w:t>
      </w:r>
      <w:r>
        <w:rPr>
          <w:rFonts w:hint="eastAsia" w:ascii="仿宋_GB2312" w:hAnsi="仿宋_GB2312" w:cs="仿宋_GB2312"/>
          <w:b w:val="0"/>
          <w:bCs/>
          <w:szCs w:val="32"/>
        </w:rPr>
        <w:t>反映机关事业单位</w:t>
      </w:r>
      <w:r>
        <w:rPr>
          <w:rFonts w:ascii="仿宋_GB2312" w:hAnsi="仿宋_GB2312" w:cs="仿宋_GB2312"/>
          <w:b w:val="0"/>
          <w:bCs/>
          <w:szCs w:val="32"/>
        </w:rPr>
        <w:t>实施养老保险制度由单位缴纳的</w:t>
      </w:r>
      <w:r>
        <w:rPr>
          <w:rFonts w:hint="eastAsia" w:ascii="仿宋_GB2312" w:hAnsi="仿宋_GB2312" w:cs="仿宋_GB2312"/>
          <w:b w:val="0"/>
          <w:bCs/>
          <w:szCs w:val="32"/>
        </w:rPr>
        <w:t>基本</w:t>
      </w:r>
      <w:r>
        <w:rPr>
          <w:rFonts w:ascii="仿宋_GB2312" w:hAnsi="仿宋_GB2312" w:cs="仿宋_GB2312"/>
          <w:b w:val="0"/>
          <w:bCs/>
          <w:szCs w:val="32"/>
        </w:rPr>
        <w:t>养老保险费支出。</w:t>
      </w:r>
    </w:p>
    <w:p>
      <w:pPr>
        <w:pStyle w:val="7"/>
        <w:ind w:firstLine="640" w:firstLineChars="200"/>
        <w:rPr>
          <w:rFonts w:ascii="仿宋_GB2312" w:hAnsi="仿宋_GB2312" w:cs="仿宋_GB2312"/>
          <w:b w:val="0"/>
          <w:bCs/>
          <w:szCs w:val="32"/>
        </w:rPr>
      </w:pPr>
      <w:r>
        <w:rPr>
          <w:rFonts w:hint="eastAsia" w:ascii="仿宋_GB2312" w:hAnsi="仿宋_GB2312" w:cs="仿宋_GB2312"/>
          <w:b w:val="0"/>
          <w:bCs/>
          <w:szCs w:val="32"/>
        </w:rPr>
        <w:t>4、</w:t>
      </w:r>
      <w:r>
        <w:rPr>
          <w:rFonts w:ascii="仿宋_GB2312" w:hAnsi="仿宋_GB2312" w:cs="仿宋_GB2312"/>
          <w:b w:val="0"/>
          <w:bCs/>
          <w:szCs w:val="32"/>
        </w:rPr>
        <w:t>卫生健康（类）行政事业单位医疗（款）事业单位医疗（项）：</w:t>
      </w:r>
      <w:r>
        <w:rPr>
          <w:rFonts w:hint="eastAsia" w:ascii="仿宋_GB2312" w:hAnsi="仿宋_GB2312" w:cs="仿宋_GB2312"/>
          <w:b w:val="0"/>
          <w:bCs/>
          <w:szCs w:val="32"/>
        </w:rPr>
        <w:t>反映财政部门安排的</w:t>
      </w:r>
      <w:r>
        <w:rPr>
          <w:rFonts w:ascii="仿宋_GB2312" w:hAnsi="仿宋_GB2312" w:cs="仿宋_GB2312"/>
          <w:b w:val="0"/>
          <w:bCs/>
          <w:szCs w:val="32"/>
        </w:rPr>
        <w:t>事业单位基本医疗保险</w:t>
      </w:r>
      <w:r>
        <w:rPr>
          <w:rFonts w:hint="eastAsia" w:ascii="仿宋_GB2312" w:hAnsi="仿宋_GB2312" w:cs="仿宋_GB2312"/>
          <w:b w:val="0"/>
          <w:bCs/>
          <w:szCs w:val="32"/>
        </w:rPr>
        <w:t>缴费经费</w:t>
      </w:r>
      <w:r>
        <w:rPr>
          <w:rFonts w:ascii="仿宋_GB2312" w:hAnsi="仿宋_GB2312" w:cs="仿宋_GB2312"/>
          <w:b w:val="0"/>
          <w:bCs/>
          <w:szCs w:val="32"/>
        </w:rPr>
        <w:t>。</w:t>
      </w:r>
    </w:p>
    <w:p>
      <w:pPr>
        <w:pStyle w:val="7"/>
        <w:ind w:firstLine="640" w:firstLineChars="200"/>
        <w:rPr>
          <w:rFonts w:ascii="仿宋_GB2312" w:hAnsi="仿宋_GB2312" w:cs="仿宋_GB2312"/>
          <w:b w:val="0"/>
          <w:bCs/>
          <w:szCs w:val="32"/>
        </w:rPr>
      </w:pPr>
      <w:r>
        <w:rPr>
          <w:rFonts w:hint="eastAsia" w:ascii="仿宋_GB2312" w:hAnsi="仿宋_GB2312" w:cs="仿宋_GB2312"/>
          <w:b w:val="0"/>
          <w:bCs/>
          <w:szCs w:val="32"/>
        </w:rPr>
        <w:t>5、</w:t>
      </w:r>
      <w:r>
        <w:rPr>
          <w:rFonts w:ascii="仿宋_GB2312" w:hAnsi="仿宋_GB2312" w:cs="仿宋_GB2312"/>
          <w:b w:val="0"/>
          <w:bCs/>
          <w:szCs w:val="32"/>
        </w:rPr>
        <w:t>住房保障（类）住房改革支出（款）住房公积金（项）：</w:t>
      </w:r>
      <w:r>
        <w:rPr>
          <w:rFonts w:hint="eastAsia" w:ascii="仿宋_GB2312" w:hAnsi="仿宋_GB2312" w:cs="仿宋_GB2312"/>
          <w:b w:val="0"/>
          <w:bCs/>
          <w:szCs w:val="32"/>
        </w:rPr>
        <w:t>反映行政事业单位按人力资源和社会保障部、财政部规定的基本工资和津贴补贴以及规定比例为职工缴纳的住房公积金。</w:t>
      </w:r>
    </w:p>
    <w:p>
      <w:pPr>
        <w:pStyle w:val="7"/>
        <w:ind w:firstLine="640" w:firstLineChars="200"/>
        <w:rPr>
          <w:rFonts w:ascii="仿宋_GB2312" w:hAnsi="仿宋_GB2312" w:cs="仿宋_GB2312"/>
          <w:b w:val="0"/>
          <w:bCs/>
          <w:szCs w:val="32"/>
        </w:rPr>
      </w:pPr>
      <w:r>
        <w:rPr>
          <w:rFonts w:hint="eastAsia" w:ascii="仿宋_GB2312" w:hAnsi="仿宋_GB2312" w:cs="仿宋_GB2312"/>
          <w:b w:val="0"/>
          <w:bCs/>
          <w:szCs w:val="32"/>
        </w:rPr>
        <w:t>6、交通运输支出（类）公路水路运输（款）公路养护（项）：指公路养护支出。</w:t>
      </w:r>
    </w:p>
    <w:p>
      <w:pPr>
        <w:pStyle w:val="7"/>
        <w:ind w:firstLine="640" w:firstLineChars="200"/>
        <w:rPr>
          <w:rFonts w:ascii="仿宋_GB2312" w:hAnsi="仿宋_GB2312" w:cs="仿宋_GB2312"/>
          <w:b w:val="0"/>
          <w:bCs/>
          <w:szCs w:val="32"/>
        </w:rPr>
      </w:pPr>
      <w:r>
        <w:rPr>
          <w:rFonts w:hint="eastAsia" w:ascii="仿宋_GB2312" w:hAnsi="仿宋_GB2312" w:cs="仿宋_GB2312"/>
          <w:b w:val="0"/>
          <w:bCs/>
          <w:szCs w:val="32"/>
        </w:rPr>
        <w:t>7、</w:t>
      </w:r>
      <w:r>
        <w:rPr>
          <w:rFonts w:ascii="仿宋_GB2312" w:hAnsi="仿宋_GB2312" w:cs="仿宋_GB2312"/>
          <w:b w:val="0"/>
          <w:bCs/>
          <w:szCs w:val="32"/>
        </w:rPr>
        <w:t>基本支出：指为保证机构正常运转，完成日常工作任务而发生的人员支出和公用支出。</w:t>
      </w:r>
    </w:p>
    <w:p>
      <w:pPr>
        <w:pStyle w:val="7"/>
        <w:ind w:firstLine="640" w:firstLineChars="200"/>
        <w:rPr>
          <w:rFonts w:ascii="仿宋_GB2312" w:hAnsi="仿宋_GB2312" w:cs="仿宋_GB2312"/>
          <w:b w:val="0"/>
          <w:bCs/>
          <w:szCs w:val="32"/>
        </w:rPr>
      </w:pPr>
      <w:r>
        <w:rPr>
          <w:rFonts w:hint="eastAsia" w:ascii="仿宋_GB2312" w:hAnsi="仿宋_GB2312" w:cs="仿宋_GB2312"/>
          <w:b w:val="0"/>
          <w:bCs/>
          <w:szCs w:val="32"/>
        </w:rPr>
        <w:t>8、</w:t>
      </w:r>
      <w:r>
        <w:rPr>
          <w:rFonts w:ascii="仿宋_GB2312" w:hAnsi="仿宋_GB2312" w:cs="仿宋_GB2312"/>
          <w:b w:val="0"/>
          <w:bCs/>
          <w:szCs w:val="32"/>
        </w:rPr>
        <w:t>项目支出：指在基本支出之外为完成特定行政任务和事业发展目标所发生的支出。</w:t>
      </w:r>
    </w:p>
    <w:p>
      <w:pPr>
        <w:pStyle w:val="7"/>
        <w:ind w:firstLine="640" w:firstLineChars="200"/>
        <w:rPr>
          <w:rFonts w:ascii="仿宋_GB2312" w:hAnsi="仿宋_GB2312" w:cs="仿宋_GB2312"/>
          <w:b w:val="0"/>
          <w:bCs/>
          <w:szCs w:val="32"/>
        </w:rPr>
      </w:pPr>
      <w:r>
        <w:rPr>
          <w:rFonts w:hint="eastAsia" w:ascii="仿宋_GB2312" w:hAnsi="仿宋_GB2312" w:cs="仿宋_GB2312"/>
          <w:b w:val="0"/>
          <w:bCs/>
          <w:szCs w:val="32"/>
        </w:rPr>
        <w:t>9、</w:t>
      </w:r>
      <w:r>
        <w:rPr>
          <w:rFonts w:ascii="仿宋_GB2312" w:hAnsi="仿宋_GB2312" w:cs="仿宋_GB2312"/>
          <w:b w:val="0"/>
          <w:bCs/>
          <w:szCs w:val="32"/>
        </w:rPr>
        <w:t>“三公”经费：指部门用财政拨款安排的公务用车购置及运行费和公务接待费。其中，公务用车购置及运行费反映单位公务用车车辆购置支出（含车辆购置税）及租用费、燃料费、维修费、过路过桥费、保险费等支出；公务接待费反映单位按规定开支的各类公务接待支出。</w:t>
      </w:r>
    </w:p>
    <w:p>
      <w:pPr>
        <w:spacing w:line="600" w:lineRule="exact"/>
        <w:jc w:val="center"/>
        <w:outlineLvl w:val="0"/>
        <w:rPr>
          <w:rFonts w:ascii="黑体" w:hAnsi="黑体" w:eastAsia="黑体"/>
          <w:sz w:val="44"/>
          <w:szCs w:val="44"/>
        </w:rPr>
      </w:pPr>
      <w:bookmarkStart w:id="53" w:name="_Toc15396614"/>
      <w:bookmarkStart w:id="54" w:name="_Toc15377226"/>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bCs/>
          <w:kern w:val="44"/>
          <w:sz w:val="44"/>
          <w:szCs w:val="44"/>
        </w:rPr>
      </w:pPr>
      <w:r>
        <w:rPr>
          <w:rFonts w:hint="eastAsia" w:ascii="黑体" w:hAnsi="黑体" w:eastAsia="黑体"/>
          <w:sz w:val="44"/>
          <w:szCs w:val="44"/>
        </w:rPr>
        <w:t>第</w:t>
      </w:r>
      <w:r>
        <w:rPr>
          <w:rStyle w:val="26"/>
          <w:rFonts w:hint="eastAsia" w:ascii="黑体" w:hAnsi="黑体" w:eastAsia="黑体"/>
          <w:b w:val="0"/>
        </w:rPr>
        <w:t>四部分 附件</w:t>
      </w:r>
      <w:bookmarkEnd w:id="53"/>
    </w:p>
    <w:tbl>
      <w:tblPr>
        <w:tblStyle w:val="14"/>
        <w:tblW w:w="9592" w:type="dxa"/>
        <w:tblInd w:w="-34" w:type="dxa"/>
        <w:tblLayout w:type="fixed"/>
        <w:tblCellMar>
          <w:top w:w="0" w:type="dxa"/>
          <w:left w:w="108" w:type="dxa"/>
          <w:bottom w:w="0" w:type="dxa"/>
          <w:right w:w="108" w:type="dxa"/>
        </w:tblCellMar>
      </w:tblPr>
      <w:tblGrid>
        <w:gridCol w:w="568"/>
        <w:gridCol w:w="167"/>
        <w:gridCol w:w="861"/>
        <w:gridCol w:w="104"/>
        <w:gridCol w:w="141"/>
        <w:gridCol w:w="853"/>
        <w:gridCol w:w="1134"/>
        <w:gridCol w:w="283"/>
        <w:gridCol w:w="401"/>
        <w:gridCol w:w="450"/>
        <w:gridCol w:w="114"/>
        <w:gridCol w:w="28"/>
        <w:gridCol w:w="141"/>
        <w:gridCol w:w="424"/>
        <w:gridCol w:w="143"/>
        <w:gridCol w:w="20"/>
        <w:gridCol w:w="689"/>
        <w:gridCol w:w="134"/>
        <w:gridCol w:w="150"/>
        <w:gridCol w:w="281"/>
        <w:gridCol w:w="144"/>
        <w:gridCol w:w="140"/>
        <w:gridCol w:w="143"/>
        <w:gridCol w:w="66"/>
        <w:gridCol w:w="486"/>
        <w:gridCol w:w="157"/>
        <w:gridCol w:w="419"/>
        <w:gridCol w:w="951"/>
      </w:tblGrid>
      <w:tr>
        <w:tblPrEx>
          <w:tblCellMar>
            <w:top w:w="0" w:type="dxa"/>
            <w:left w:w="108" w:type="dxa"/>
            <w:bottom w:w="0" w:type="dxa"/>
            <w:right w:w="108" w:type="dxa"/>
          </w:tblCellMar>
        </w:tblPrEx>
        <w:trPr>
          <w:trHeight w:val="903" w:hRule="atLeast"/>
        </w:trPr>
        <w:tc>
          <w:tcPr>
            <w:tcW w:w="9592" w:type="dxa"/>
            <w:gridSpan w:val="28"/>
            <w:tcBorders>
              <w:top w:val="nil"/>
              <w:left w:val="nil"/>
              <w:bottom w:val="nil"/>
              <w:right w:val="nil"/>
            </w:tcBorders>
            <w:shd w:val="clear" w:color="auto" w:fill="auto"/>
            <w:vAlign w:val="center"/>
          </w:tcPr>
          <w:p>
            <w:pPr>
              <w:widowControl/>
              <w:jc w:val="center"/>
              <w:rPr>
                <w:rFonts w:ascii="黑体" w:hAnsi="黑体" w:eastAsia="黑体" w:cs="宋体"/>
                <w:b/>
                <w:bCs/>
                <w:color w:val="000000"/>
                <w:kern w:val="0"/>
                <w:sz w:val="30"/>
                <w:szCs w:val="30"/>
              </w:rPr>
            </w:pPr>
            <w:bookmarkStart w:id="55" w:name="_Toc15396618"/>
            <w:r>
              <w:rPr>
                <w:rFonts w:hint="eastAsia" w:ascii="黑体" w:hAnsi="黑体" w:eastAsia="黑体" w:cs="宋体"/>
                <w:b/>
                <w:bCs/>
                <w:color w:val="000000"/>
                <w:kern w:val="0"/>
                <w:sz w:val="30"/>
                <w:szCs w:val="30"/>
              </w:rPr>
              <w:t>部门预算项目支出绩效自评表（2022年度）</w:t>
            </w:r>
          </w:p>
        </w:tc>
      </w:tr>
      <w:tr>
        <w:tblPrEx>
          <w:tblCellMar>
            <w:top w:w="0" w:type="dxa"/>
            <w:left w:w="108" w:type="dxa"/>
            <w:bottom w:w="0" w:type="dxa"/>
            <w:right w:w="108" w:type="dxa"/>
          </w:tblCellMar>
        </w:tblPrEx>
        <w:trPr>
          <w:trHeight w:val="285" w:hRule="atLeast"/>
        </w:trPr>
        <w:tc>
          <w:tcPr>
            <w:tcW w:w="17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项目名称</w:t>
            </w:r>
          </w:p>
        </w:tc>
        <w:tc>
          <w:tcPr>
            <w:tcW w:w="7892" w:type="dxa"/>
            <w:gridSpan w:val="24"/>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51082322T000005421289</w:t>
            </w:r>
            <w:r>
              <w:rPr>
                <w:rFonts w:hint="eastAsia" w:ascii="Courier New" w:hAnsi="Courier New" w:cs="Courier New"/>
                <w:color w:val="000000"/>
                <w:kern w:val="0"/>
                <w:sz w:val="18"/>
                <w:szCs w:val="18"/>
                <w:lang w:eastAsia="zh-CN"/>
              </w:rPr>
              <w:t>－</w:t>
            </w:r>
            <w:r>
              <w:rPr>
                <w:rFonts w:hint="eastAsia" w:ascii="Courier New" w:hAnsi="Courier New" w:cs="Courier New"/>
                <w:color w:val="000000"/>
                <w:kern w:val="0"/>
                <w:sz w:val="18"/>
                <w:szCs w:val="18"/>
              </w:rPr>
              <w:t>桥梁、隧道养护监测及设施维护</w:t>
            </w:r>
          </w:p>
        </w:tc>
      </w:tr>
      <w:tr>
        <w:tblPrEx>
          <w:tblCellMar>
            <w:top w:w="0" w:type="dxa"/>
            <w:left w:w="108" w:type="dxa"/>
            <w:bottom w:w="0" w:type="dxa"/>
            <w:right w:w="108" w:type="dxa"/>
          </w:tblCellMar>
        </w:tblPrEx>
        <w:trPr>
          <w:trHeight w:val="376" w:hRule="atLeast"/>
        </w:trPr>
        <w:tc>
          <w:tcPr>
            <w:tcW w:w="17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主管部门</w:t>
            </w:r>
          </w:p>
        </w:tc>
        <w:tc>
          <w:tcPr>
            <w:tcW w:w="3404"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剑阁县交通运输局部门</w:t>
            </w:r>
          </w:p>
        </w:tc>
        <w:tc>
          <w:tcPr>
            <w:tcW w:w="2266" w:type="dxa"/>
            <w:gridSpan w:val="10"/>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2222" w:type="dxa"/>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Courier New" w:hAnsi="Courier New" w:cs="Courier New"/>
                <w:color w:val="000000"/>
                <w:kern w:val="0"/>
                <w:sz w:val="18"/>
                <w:szCs w:val="18"/>
              </w:rPr>
            </w:pPr>
            <w:r>
              <w:rPr>
                <w:rFonts w:hint="eastAsia" w:ascii="Courier New" w:hAnsi="Courier New" w:cs="Courier New"/>
                <w:color w:val="000000"/>
                <w:kern w:val="0"/>
                <w:sz w:val="18"/>
                <w:szCs w:val="18"/>
              </w:rPr>
              <w:t>剑阁县县道公路养护段</w:t>
            </w:r>
          </w:p>
        </w:tc>
      </w:tr>
      <w:tr>
        <w:tblPrEx>
          <w:tblCellMar>
            <w:top w:w="0" w:type="dxa"/>
            <w:left w:w="108" w:type="dxa"/>
            <w:bottom w:w="0" w:type="dxa"/>
            <w:right w:w="108" w:type="dxa"/>
          </w:tblCellMar>
        </w:tblPrEx>
        <w:trPr>
          <w:trHeight w:val="285" w:hRule="atLeast"/>
        </w:trPr>
        <w:tc>
          <w:tcPr>
            <w:tcW w:w="5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项目基本情况</w:t>
            </w:r>
          </w:p>
        </w:tc>
        <w:tc>
          <w:tcPr>
            <w:tcW w:w="1132"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1.项目年度目标完成情况</w:t>
            </w:r>
          </w:p>
        </w:tc>
        <w:tc>
          <w:tcPr>
            <w:tcW w:w="3404"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项目年度目标</w:t>
            </w:r>
          </w:p>
        </w:tc>
        <w:tc>
          <w:tcPr>
            <w:tcW w:w="4488" w:type="dxa"/>
            <w:gridSpan w:val="1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1378" w:hRule="atLeast"/>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Courier New" w:hAnsi="Courier New" w:cs="Courier New"/>
                <w:color w:val="000000"/>
                <w:kern w:val="0"/>
                <w:sz w:val="18"/>
                <w:szCs w:val="18"/>
              </w:rPr>
            </w:pPr>
          </w:p>
        </w:tc>
        <w:tc>
          <w:tcPr>
            <w:tcW w:w="1132"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Courier New" w:hAnsi="Courier New" w:cs="Courier New"/>
                <w:color w:val="000000"/>
                <w:kern w:val="0"/>
                <w:sz w:val="18"/>
                <w:szCs w:val="18"/>
              </w:rPr>
            </w:pPr>
          </w:p>
        </w:tc>
        <w:tc>
          <w:tcPr>
            <w:tcW w:w="3404"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负责对辖区内桥梁隧道的安全进行检测及日常设施养护</w:t>
            </w:r>
          </w:p>
        </w:tc>
        <w:tc>
          <w:tcPr>
            <w:tcW w:w="4488" w:type="dxa"/>
            <w:gridSpan w:val="16"/>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１、强化所辖桥梁养护管理工作。  2、对管养的30座桥梁和1座隧道进行隐患和病害排查，建立隐患台账并书面上报主管局。３、完成桥梁定检工作。４、按要求对管养桥梁的公示牌和限重牌进行全面</w:t>
            </w:r>
            <w:r>
              <w:rPr>
                <w:rFonts w:hint="eastAsia" w:ascii="Courier New" w:hAnsi="Courier New" w:cs="Courier New"/>
                <w:color w:val="000000"/>
                <w:kern w:val="0"/>
                <w:sz w:val="18"/>
                <w:szCs w:val="18"/>
              </w:rPr>
              <w:t>更</w:t>
            </w:r>
            <w:r>
              <w:rPr>
                <w:rFonts w:ascii="Courier New" w:hAnsi="Courier New" w:cs="Courier New"/>
                <w:color w:val="000000"/>
                <w:kern w:val="0"/>
                <w:sz w:val="18"/>
                <w:szCs w:val="18"/>
              </w:rPr>
              <w:t>新。</w:t>
            </w:r>
          </w:p>
        </w:tc>
      </w:tr>
      <w:tr>
        <w:tblPrEx>
          <w:tblCellMar>
            <w:top w:w="0" w:type="dxa"/>
            <w:left w:w="108" w:type="dxa"/>
            <w:bottom w:w="0" w:type="dxa"/>
            <w:right w:w="108" w:type="dxa"/>
          </w:tblCellMar>
        </w:tblPrEx>
        <w:trPr>
          <w:trHeight w:val="693" w:hRule="atLeast"/>
        </w:trPr>
        <w:tc>
          <w:tcPr>
            <w:tcW w:w="568" w:type="dxa"/>
            <w:vMerge w:val="continue"/>
            <w:tcBorders>
              <w:top w:val="nil"/>
              <w:left w:val="single" w:color="auto" w:sz="4" w:space="0"/>
              <w:bottom w:val="single" w:color="auto" w:sz="4" w:space="0"/>
              <w:right w:val="single" w:color="auto" w:sz="4" w:space="0"/>
            </w:tcBorders>
            <w:vAlign w:val="center"/>
          </w:tcPr>
          <w:p>
            <w:pPr>
              <w:widowControl/>
              <w:jc w:val="left"/>
              <w:rPr>
                <w:rFonts w:ascii="Courier New" w:hAnsi="Courier New" w:cs="Courier New"/>
                <w:color w:val="000000"/>
                <w:kern w:val="0"/>
                <w:sz w:val="18"/>
                <w:szCs w:val="18"/>
              </w:rPr>
            </w:pPr>
          </w:p>
        </w:tc>
        <w:tc>
          <w:tcPr>
            <w:tcW w:w="1132" w:type="dxa"/>
            <w:gridSpan w:val="3"/>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2.项目实施内容及过程概述</w:t>
            </w:r>
          </w:p>
        </w:tc>
        <w:tc>
          <w:tcPr>
            <w:tcW w:w="7892" w:type="dxa"/>
            <w:gridSpan w:val="24"/>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1、进一步落实桥隧养护制度，确保人员到位，逐步提升桥隧养护专业化水平。</w:t>
            </w:r>
            <w:r>
              <w:rPr>
                <w:rFonts w:hint="eastAsia" w:ascii="Courier New" w:hAnsi="Courier New" w:cs="Courier New"/>
                <w:color w:val="000000"/>
                <w:kern w:val="0"/>
                <w:sz w:val="18"/>
                <w:szCs w:val="18"/>
              </w:rPr>
              <w:br w:type="textWrapping"/>
            </w:r>
            <w:r>
              <w:rPr>
                <w:rFonts w:hint="eastAsia" w:ascii="Courier New" w:hAnsi="Courier New" w:cs="Courier New"/>
                <w:color w:val="000000"/>
                <w:kern w:val="0"/>
                <w:sz w:val="18"/>
                <w:szCs w:val="18"/>
              </w:rPr>
              <w:t>2、严格按规定频率开展经常检查、定期检查和特殊检查工作，并在检查后及时更新桥隧数据库，桥梁隧道定期检查纳入年度考核内容。</w:t>
            </w:r>
          </w:p>
        </w:tc>
      </w:tr>
      <w:tr>
        <w:tblPrEx>
          <w:tblCellMar>
            <w:top w:w="0" w:type="dxa"/>
            <w:left w:w="108" w:type="dxa"/>
            <w:bottom w:w="0" w:type="dxa"/>
            <w:right w:w="108" w:type="dxa"/>
          </w:tblCellMar>
        </w:tblPrEx>
        <w:trPr>
          <w:trHeight w:val="504" w:hRule="atLeast"/>
        </w:trPr>
        <w:tc>
          <w:tcPr>
            <w:tcW w:w="56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预算执行情况（10分）</w:t>
            </w:r>
          </w:p>
        </w:tc>
        <w:tc>
          <w:tcPr>
            <w:tcW w:w="113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年度预算数（万元）</w:t>
            </w:r>
          </w:p>
        </w:tc>
        <w:tc>
          <w:tcPr>
            <w:tcW w:w="99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年初预算</w:t>
            </w:r>
          </w:p>
        </w:tc>
        <w:tc>
          <w:tcPr>
            <w:tcW w:w="141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调整后预算数</w:t>
            </w:r>
          </w:p>
        </w:tc>
        <w:tc>
          <w:tcPr>
            <w:tcW w:w="85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预算执行数</w:t>
            </w:r>
          </w:p>
        </w:tc>
        <w:tc>
          <w:tcPr>
            <w:tcW w:w="1559" w:type="dxa"/>
            <w:gridSpan w:val="7"/>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预算执行率</w:t>
            </w:r>
          </w:p>
        </w:tc>
        <w:tc>
          <w:tcPr>
            <w:tcW w:w="709"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权重</w:t>
            </w:r>
          </w:p>
        </w:tc>
        <w:tc>
          <w:tcPr>
            <w:tcW w:w="835"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得分</w:t>
            </w:r>
          </w:p>
        </w:tc>
        <w:tc>
          <w:tcPr>
            <w:tcW w:w="152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原因</w:t>
            </w:r>
          </w:p>
        </w:tc>
      </w:tr>
      <w:tr>
        <w:tblPrEx>
          <w:tblCellMar>
            <w:top w:w="0" w:type="dxa"/>
            <w:left w:w="108" w:type="dxa"/>
            <w:bottom w:w="0" w:type="dxa"/>
            <w:right w:w="108" w:type="dxa"/>
          </w:tblCellMar>
        </w:tblPrEx>
        <w:trPr>
          <w:trHeight w:val="387" w:hRule="atLeast"/>
        </w:trPr>
        <w:tc>
          <w:tcPr>
            <w:tcW w:w="568"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113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总额</w:t>
            </w:r>
          </w:p>
        </w:tc>
        <w:tc>
          <w:tcPr>
            <w:tcW w:w="99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20.00</w:t>
            </w:r>
          </w:p>
        </w:tc>
        <w:tc>
          <w:tcPr>
            <w:tcW w:w="141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15.00</w:t>
            </w:r>
          </w:p>
        </w:tc>
        <w:tc>
          <w:tcPr>
            <w:tcW w:w="851"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15.00</w:t>
            </w:r>
          </w:p>
        </w:tc>
        <w:tc>
          <w:tcPr>
            <w:tcW w:w="1559" w:type="dxa"/>
            <w:gridSpan w:val="7"/>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100.00%</w:t>
            </w:r>
          </w:p>
        </w:tc>
        <w:tc>
          <w:tcPr>
            <w:tcW w:w="709"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10</w:t>
            </w:r>
          </w:p>
        </w:tc>
        <w:tc>
          <w:tcPr>
            <w:tcW w:w="835"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9</w:t>
            </w:r>
          </w:p>
        </w:tc>
        <w:tc>
          <w:tcPr>
            <w:tcW w:w="1527"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预算调整后减少5万为财政年终平盘追减。</w:t>
            </w:r>
          </w:p>
        </w:tc>
      </w:tr>
      <w:tr>
        <w:tblPrEx>
          <w:tblCellMar>
            <w:top w:w="0" w:type="dxa"/>
            <w:left w:w="108" w:type="dxa"/>
            <w:bottom w:w="0" w:type="dxa"/>
            <w:right w:w="108" w:type="dxa"/>
          </w:tblCellMar>
        </w:tblPrEx>
        <w:trPr>
          <w:trHeight w:val="432" w:hRule="atLeast"/>
        </w:trPr>
        <w:tc>
          <w:tcPr>
            <w:tcW w:w="568"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113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其中：财政资金</w:t>
            </w:r>
          </w:p>
        </w:tc>
        <w:tc>
          <w:tcPr>
            <w:tcW w:w="99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20.00</w:t>
            </w:r>
          </w:p>
        </w:tc>
        <w:tc>
          <w:tcPr>
            <w:tcW w:w="141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15.00</w:t>
            </w:r>
          </w:p>
        </w:tc>
        <w:tc>
          <w:tcPr>
            <w:tcW w:w="851"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15.00</w:t>
            </w:r>
          </w:p>
        </w:tc>
        <w:tc>
          <w:tcPr>
            <w:tcW w:w="1559" w:type="dxa"/>
            <w:gridSpan w:val="7"/>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100.00%</w:t>
            </w:r>
          </w:p>
        </w:tc>
        <w:tc>
          <w:tcPr>
            <w:tcW w:w="709"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835"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1527"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r>
      <w:tr>
        <w:tblPrEx>
          <w:tblCellMar>
            <w:top w:w="0" w:type="dxa"/>
            <w:left w:w="108" w:type="dxa"/>
            <w:bottom w:w="0" w:type="dxa"/>
            <w:right w:w="108" w:type="dxa"/>
          </w:tblCellMar>
        </w:tblPrEx>
        <w:trPr>
          <w:trHeight w:val="447" w:hRule="atLeast"/>
        </w:trPr>
        <w:tc>
          <w:tcPr>
            <w:tcW w:w="568"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113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财政专户管理资金</w:t>
            </w:r>
          </w:p>
        </w:tc>
        <w:tc>
          <w:tcPr>
            <w:tcW w:w="99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0.00</w:t>
            </w:r>
          </w:p>
        </w:tc>
        <w:tc>
          <w:tcPr>
            <w:tcW w:w="141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0.00</w:t>
            </w:r>
          </w:p>
        </w:tc>
        <w:tc>
          <w:tcPr>
            <w:tcW w:w="851"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0.00</w:t>
            </w:r>
          </w:p>
        </w:tc>
        <w:tc>
          <w:tcPr>
            <w:tcW w:w="1559" w:type="dxa"/>
            <w:gridSpan w:val="7"/>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0.00%</w:t>
            </w:r>
          </w:p>
        </w:tc>
        <w:tc>
          <w:tcPr>
            <w:tcW w:w="709"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835"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1527"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r>
      <w:tr>
        <w:tblPrEx>
          <w:tblCellMar>
            <w:top w:w="0" w:type="dxa"/>
            <w:left w:w="108" w:type="dxa"/>
            <w:bottom w:w="0" w:type="dxa"/>
            <w:right w:w="108" w:type="dxa"/>
          </w:tblCellMar>
        </w:tblPrEx>
        <w:trPr>
          <w:trHeight w:val="402" w:hRule="atLeast"/>
        </w:trPr>
        <w:tc>
          <w:tcPr>
            <w:tcW w:w="568"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113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单位资金</w:t>
            </w:r>
          </w:p>
        </w:tc>
        <w:tc>
          <w:tcPr>
            <w:tcW w:w="99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0.00</w:t>
            </w:r>
          </w:p>
        </w:tc>
        <w:tc>
          <w:tcPr>
            <w:tcW w:w="141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0.00</w:t>
            </w:r>
          </w:p>
        </w:tc>
        <w:tc>
          <w:tcPr>
            <w:tcW w:w="851"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0.00</w:t>
            </w:r>
          </w:p>
        </w:tc>
        <w:tc>
          <w:tcPr>
            <w:tcW w:w="1559" w:type="dxa"/>
            <w:gridSpan w:val="7"/>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0.00%</w:t>
            </w:r>
          </w:p>
        </w:tc>
        <w:tc>
          <w:tcPr>
            <w:tcW w:w="709"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835"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1527"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r>
      <w:tr>
        <w:tblPrEx>
          <w:tblCellMar>
            <w:top w:w="0" w:type="dxa"/>
            <w:left w:w="108" w:type="dxa"/>
            <w:bottom w:w="0" w:type="dxa"/>
            <w:right w:w="108" w:type="dxa"/>
          </w:tblCellMar>
        </w:tblPrEx>
        <w:trPr>
          <w:trHeight w:val="378" w:hRule="atLeast"/>
        </w:trPr>
        <w:tc>
          <w:tcPr>
            <w:tcW w:w="568"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113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其他资金</w:t>
            </w:r>
          </w:p>
        </w:tc>
        <w:tc>
          <w:tcPr>
            <w:tcW w:w="99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　</w:t>
            </w:r>
          </w:p>
        </w:tc>
        <w:tc>
          <w:tcPr>
            <w:tcW w:w="141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　</w:t>
            </w:r>
          </w:p>
        </w:tc>
        <w:tc>
          <w:tcPr>
            <w:tcW w:w="851"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　</w:t>
            </w:r>
          </w:p>
        </w:tc>
        <w:tc>
          <w:tcPr>
            <w:tcW w:w="1559" w:type="dxa"/>
            <w:gridSpan w:val="7"/>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　</w:t>
            </w:r>
          </w:p>
        </w:tc>
        <w:tc>
          <w:tcPr>
            <w:tcW w:w="709"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835"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1527"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r>
      <w:tr>
        <w:tblPrEx>
          <w:tblCellMar>
            <w:top w:w="0" w:type="dxa"/>
            <w:left w:w="108" w:type="dxa"/>
            <w:bottom w:w="0" w:type="dxa"/>
            <w:right w:w="108" w:type="dxa"/>
          </w:tblCellMar>
        </w:tblPrEx>
        <w:trPr>
          <w:trHeight w:val="573" w:hRule="atLeast"/>
        </w:trPr>
        <w:tc>
          <w:tcPr>
            <w:tcW w:w="56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绩效指标（90分）</w:t>
            </w:r>
          </w:p>
        </w:tc>
        <w:tc>
          <w:tcPr>
            <w:tcW w:w="113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一级指标</w:t>
            </w:r>
          </w:p>
        </w:tc>
        <w:tc>
          <w:tcPr>
            <w:tcW w:w="99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二级指标</w:t>
            </w:r>
          </w:p>
        </w:tc>
        <w:tc>
          <w:tcPr>
            <w:tcW w:w="141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三级指标</w:t>
            </w:r>
          </w:p>
        </w:tc>
        <w:tc>
          <w:tcPr>
            <w:tcW w:w="401"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指标性质</w:t>
            </w:r>
          </w:p>
        </w:tc>
        <w:tc>
          <w:tcPr>
            <w:tcW w:w="733"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指标值</w:t>
            </w:r>
          </w:p>
        </w:tc>
        <w:tc>
          <w:tcPr>
            <w:tcW w:w="58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度量单位</w:t>
            </w:r>
          </w:p>
        </w:tc>
        <w:tc>
          <w:tcPr>
            <w:tcW w:w="689"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完成值</w:t>
            </w:r>
          </w:p>
        </w:tc>
        <w:tc>
          <w:tcPr>
            <w:tcW w:w="709"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权重</w:t>
            </w:r>
          </w:p>
        </w:tc>
        <w:tc>
          <w:tcPr>
            <w:tcW w:w="835"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得分</w:t>
            </w:r>
          </w:p>
        </w:tc>
        <w:tc>
          <w:tcPr>
            <w:tcW w:w="152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未完成原因分析</w:t>
            </w:r>
          </w:p>
        </w:tc>
      </w:tr>
      <w:tr>
        <w:tblPrEx>
          <w:tblCellMar>
            <w:top w:w="0" w:type="dxa"/>
            <w:left w:w="108" w:type="dxa"/>
            <w:bottom w:w="0" w:type="dxa"/>
            <w:right w:w="108" w:type="dxa"/>
          </w:tblCellMar>
        </w:tblPrEx>
        <w:trPr>
          <w:trHeight w:val="453" w:hRule="atLeast"/>
        </w:trPr>
        <w:tc>
          <w:tcPr>
            <w:tcW w:w="568"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1132"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产出指标</w:t>
            </w:r>
          </w:p>
        </w:tc>
        <w:tc>
          <w:tcPr>
            <w:tcW w:w="99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质量指标</w:t>
            </w:r>
          </w:p>
        </w:tc>
        <w:tc>
          <w:tcPr>
            <w:tcW w:w="141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符合相关规范规定</w:t>
            </w:r>
          </w:p>
        </w:tc>
        <w:tc>
          <w:tcPr>
            <w:tcW w:w="401"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733"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100</w:t>
            </w:r>
          </w:p>
        </w:tc>
        <w:tc>
          <w:tcPr>
            <w:tcW w:w="58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座（处）</w:t>
            </w:r>
          </w:p>
        </w:tc>
        <w:tc>
          <w:tcPr>
            <w:tcW w:w="689"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100</w:t>
            </w:r>
          </w:p>
        </w:tc>
        <w:tc>
          <w:tcPr>
            <w:tcW w:w="709"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60</w:t>
            </w:r>
          </w:p>
        </w:tc>
        <w:tc>
          <w:tcPr>
            <w:tcW w:w="835"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60</w:t>
            </w:r>
          </w:p>
        </w:tc>
        <w:tc>
          <w:tcPr>
            <w:tcW w:w="152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　</w:t>
            </w:r>
          </w:p>
        </w:tc>
      </w:tr>
      <w:tr>
        <w:tblPrEx>
          <w:tblCellMar>
            <w:top w:w="0" w:type="dxa"/>
            <w:left w:w="108" w:type="dxa"/>
            <w:bottom w:w="0" w:type="dxa"/>
            <w:right w:w="108" w:type="dxa"/>
          </w:tblCellMar>
        </w:tblPrEx>
        <w:trPr>
          <w:trHeight w:val="453" w:hRule="atLeast"/>
        </w:trPr>
        <w:tc>
          <w:tcPr>
            <w:tcW w:w="568"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1132"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99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安全指标</w:t>
            </w:r>
          </w:p>
        </w:tc>
        <w:tc>
          <w:tcPr>
            <w:tcW w:w="141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监测桥梁、隧道安全</w:t>
            </w:r>
          </w:p>
        </w:tc>
        <w:tc>
          <w:tcPr>
            <w:tcW w:w="401"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733"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100</w:t>
            </w:r>
          </w:p>
        </w:tc>
        <w:tc>
          <w:tcPr>
            <w:tcW w:w="58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座（处）</w:t>
            </w:r>
          </w:p>
        </w:tc>
        <w:tc>
          <w:tcPr>
            <w:tcW w:w="689"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100</w:t>
            </w:r>
          </w:p>
        </w:tc>
        <w:tc>
          <w:tcPr>
            <w:tcW w:w="709"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20</w:t>
            </w:r>
          </w:p>
        </w:tc>
        <w:tc>
          <w:tcPr>
            <w:tcW w:w="835"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20</w:t>
            </w:r>
          </w:p>
        </w:tc>
        <w:tc>
          <w:tcPr>
            <w:tcW w:w="152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　</w:t>
            </w:r>
          </w:p>
        </w:tc>
      </w:tr>
      <w:tr>
        <w:tblPrEx>
          <w:tblCellMar>
            <w:top w:w="0" w:type="dxa"/>
            <w:left w:w="108" w:type="dxa"/>
            <w:bottom w:w="0" w:type="dxa"/>
            <w:right w:w="108" w:type="dxa"/>
          </w:tblCellMar>
        </w:tblPrEx>
        <w:trPr>
          <w:trHeight w:val="453" w:hRule="atLeast"/>
        </w:trPr>
        <w:tc>
          <w:tcPr>
            <w:tcW w:w="568"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113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效益指标</w:t>
            </w:r>
          </w:p>
        </w:tc>
        <w:tc>
          <w:tcPr>
            <w:tcW w:w="99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生态效益指标</w:t>
            </w:r>
          </w:p>
        </w:tc>
        <w:tc>
          <w:tcPr>
            <w:tcW w:w="141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保护生态环境</w:t>
            </w:r>
          </w:p>
        </w:tc>
        <w:tc>
          <w:tcPr>
            <w:tcW w:w="401"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733"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100</w:t>
            </w:r>
          </w:p>
        </w:tc>
        <w:tc>
          <w:tcPr>
            <w:tcW w:w="58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座（处）</w:t>
            </w:r>
          </w:p>
        </w:tc>
        <w:tc>
          <w:tcPr>
            <w:tcW w:w="689"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100</w:t>
            </w:r>
          </w:p>
        </w:tc>
        <w:tc>
          <w:tcPr>
            <w:tcW w:w="709"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5</w:t>
            </w:r>
          </w:p>
        </w:tc>
        <w:tc>
          <w:tcPr>
            <w:tcW w:w="835"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5</w:t>
            </w:r>
          </w:p>
        </w:tc>
        <w:tc>
          <w:tcPr>
            <w:tcW w:w="152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　</w:t>
            </w:r>
          </w:p>
        </w:tc>
      </w:tr>
      <w:tr>
        <w:tblPrEx>
          <w:tblCellMar>
            <w:top w:w="0" w:type="dxa"/>
            <w:left w:w="108" w:type="dxa"/>
            <w:bottom w:w="0" w:type="dxa"/>
            <w:right w:w="108" w:type="dxa"/>
          </w:tblCellMar>
        </w:tblPrEx>
        <w:trPr>
          <w:trHeight w:val="453" w:hRule="atLeast"/>
        </w:trPr>
        <w:tc>
          <w:tcPr>
            <w:tcW w:w="568"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113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满意度指标</w:t>
            </w:r>
          </w:p>
        </w:tc>
        <w:tc>
          <w:tcPr>
            <w:tcW w:w="994"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服务对象满意度指标</w:t>
            </w:r>
          </w:p>
        </w:tc>
        <w:tc>
          <w:tcPr>
            <w:tcW w:w="141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群众出行满意</w:t>
            </w:r>
          </w:p>
        </w:tc>
        <w:tc>
          <w:tcPr>
            <w:tcW w:w="401"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733"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100</w:t>
            </w:r>
          </w:p>
        </w:tc>
        <w:tc>
          <w:tcPr>
            <w:tcW w:w="58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座（处）</w:t>
            </w:r>
          </w:p>
        </w:tc>
        <w:tc>
          <w:tcPr>
            <w:tcW w:w="689" w:type="dxa"/>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95</w:t>
            </w:r>
          </w:p>
        </w:tc>
        <w:tc>
          <w:tcPr>
            <w:tcW w:w="709"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5</w:t>
            </w:r>
          </w:p>
        </w:tc>
        <w:tc>
          <w:tcPr>
            <w:tcW w:w="835"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4</w:t>
            </w:r>
          </w:p>
        </w:tc>
        <w:tc>
          <w:tcPr>
            <w:tcW w:w="152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缺少资金投入，病害易扩大</w:t>
            </w:r>
          </w:p>
        </w:tc>
      </w:tr>
      <w:tr>
        <w:tblPrEx>
          <w:tblCellMar>
            <w:top w:w="0" w:type="dxa"/>
            <w:left w:w="108" w:type="dxa"/>
            <w:bottom w:w="0" w:type="dxa"/>
            <w:right w:w="108" w:type="dxa"/>
          </w:tblCellMar>
        </w:tblPrEx>
        <w:trPr>
          <w:trHeight w:val="285" w:hRule="atLeast"/>
        </w:trPr>
        <w:tc>
          <w:tcPr>
            <w:tcW w:w="652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合计</w:t>
            </w:r>
          </w:p>
        </w:tc>
        <w:tc>
          <w:tcPr>
            <w:tcW w:w="709"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100</w:t>
            </w:r>
          </w:p>
        </w:tc>
        <w:tc>
          <w:tcPr>
            <w:tcW w:w="835" w:type="dxa"/>
            <w:gridSpan w:val="4"/>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98</w:t>
            </w:r>
          </w:p>
        </w:tc>
        <w:tc>
          <w:tcPr>
            <w:tcW w:w="1527"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p>
        </w:tc>
      </w:tr>
      <w:tr>
        <w:tblPrEx>
          <w:tblCellMar>
            <w:top w:w="0" w:type="dxa"/>
            <w:left w:w="108" w:type="dxa"/>
            <w:bottom w:w="0" w:type="dxa"/>
            <w:right w:w="108" w:type="dxa"/>
          </w:tblCellMar>
        </w:tblPrEx>
        <w:trPr>
          <w:trHeight w:val="684" w:hRule="atLeast"/>
        </w:trPr>
        <w:tc>
          <w:tcPr>
            <w:tcW w:w="735"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评价结论</w:t>
            </w:r>
          </w:p>
        </w:tc>
        <w:tc>
          <w:tcPr>
            <w:tcW w:w="8857" w:type="dxa"/>
            <w:gridSpan w:val="2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本项目完成质量较好，在全县公路养护管理工作考核中取得了较好的成绩，整体测评评分98分。于2022年12月31日全部完工，达到年初绩效目标。</w:t>
            </w:r>
          </w:p>
        </w:tc>
      </w:tr>
      <w:tr>
        <w:tblPrEx>
          <w:tblCellMar>
            <w:top w:w="0" w:type="dxa"/>
            <w:left w:w="108" w:type="dxa"/>
            <w:bottom w:w="0" w:type="dxa"/>
            <w:right w:w="108" w:type="dxa"/>
          </w:tblCellMar>
        </w:tblPrEx>
        <w:trPr>
          <w:trHeight w:val="713" w:hRule="atLeast"/>
        </w:trPr>
        <w:tc>
          <w:tcPr>
            <w:tcW w:w="735"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存在问题</w:t>
            </w:r>
          </w:p>
        </w:tc>
        <w:tc>
          <w:tcPr>
            <w:tcW w:w="8857" w:type="dxa"/>
            <w:gridSpan w:val="2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1、项目资金严重不足。导致桥梁隧道设施、构件超期服役，存在一定的安全隐患。</w:t>
            </w:r>
            <w:r>
              <w:rPr>
                <w:rFonts w:hint="eastAsia" w:ascii="Courier New" w:hAnsi="Courier New" w:cs="Courier New"/>
                <w:color w:val="000000"/>
                <w:kern w:val="0"/>
                <w:sz w:val="18"/>
                <w:szCs w:val="18"/>
              </w:rPr>
              <w:br w:type="textWrapping"/>
            </w:r>
            <w:r>
              <w:rPr>
                <w:rFonts w:hint="eastAsia" w:ascii="Courier New" w:hAnsi="Courier New" w:cs="Courier New"/>
                <w:color w:val="000000"/>
                <w:kern w:val="0"/>
                <w:sz w:val="18"/>
                <w:szCs w:val="18"/>
              </w:rPr>
              <w:t>2、项目整体绩效有待进一步提高。</w:t>
            </w:r>
          </w:p>
        </w:tc>
      </w:tr>
      <w:tr>
        <w:tblPrEx>
          <w:tblCellMar>
            <w:top w:w="0" w:type="dxa"/>
            <w:left w:w="108" w:type="dxa"/>
            <w:bottom w:w="0" w:type="dxa"/>
            <w:right w:w="108" w:type="dxa"/>
          </w:tblCellMar>
        </w:tblPrEx>
        <w:trPr>
          <w:trHeight w:val="553" w:hRule="atLeast"/>
        </w:trPr>
        <w:tc>
          <w:tcPr>
            <w:tcW w:w="735"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Courier New" w:hAnsi="Courier New" w:cs="Courier New"/>
                <w:color w:val="000000"/>
                <w:kern w:val="0"/>
                <w:sz w:val="18"/>
                <w:szCs w:val="18"/>
              </w:rPr>
            </w:pPr>
            <w:r>
              <w:rPr>
                <w:rFonts w:hint="eastAsia" w:ascii="Courier New" w:hAnsi="Courier New" w:cs="Courier New"/>
                <w:color w:val="000000"/>
                <w:kern w:val="0"/>
                <w:sz w:val="18"/>
                <w:szCs w:val="18"/>
              </w:rPr>
              <w:t>改进措施</w:t>
            </w:r>
          </w:p>
        </w:tc>
        <w:tc>
          <w:tcPr>
            <w:tcW w:w="8857" w:type="dxa"/>
            <w:gridSpan w:val="2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1、加大桥梁隧道经费的投入，及时减缓病害扩大，确保桥梁隧道使用寿命。</w:t>
            </w:r>
            <w:r>
              <w:rPr>
                <w:rFonts w:hint="eastAsia" w:ascii="Courier New" w:hAnsi="Courier New" w:cs="Courier New"/>
                <w:color w:val="000000"/>
                <w:kern w:val="0"/>
                <w:sz w:val="18"/>
                <w:szCs w:val="18"/>
              </w:rPr>
              <w:br w:type="textWrapping"/>
            </w:r>
            <w:r>
              <w:rPr>
                <w:rFonts w:hint="eastAsia" w:ascii="Courier New" w:hAnsi="Courier New" w:cs="Courier New"/>
                <w:color w:val="000000"/>
                <w:kern w:val="0"/>
                <w:sz w:val="18"/>
                <w:szCs w:val="18"/>
              </w:rPr>
              <w:t xml:space="preserve">2、加强桥梁工程师的培训和考核力度，提升养护管理水平。 </w:t>
            </w:r>
          </w:p>
        </w:tc>
      </w:tr>
      <w:tr>
        <w:tblPrEx>
          <w:tblCellMar>
            <w:top w:w="0" w:type="dxa"/>
            <w:left w:w="108" w:type="dxa"/>
            <w:bottom w:w="0" w:type="dxa"/>
            <w:right w:w="108" w:type="dxa"/>
          </w:tblCellMar>
        </w:tblPrEx>
        <w:trPr>
          <w:trHeight w:val="780" w:hRule="atLeast"/>
        </w:trPr>
        <w:tc>
          <w:tcPr>
            <w:tcW w:w="4512" w:type="dxa"/>
            <w:gridSpan w:val="9"/>
            <w:tcBorders>
              <w:top w:val="single" w:color="000000" w:sz="4" w:space="0"/>
              <w:left w:val="single" w:color="000000" w:sz="4" w:space="0"/>
              <w:bottom w:val="nil"/>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项目负责人：梁文军</w:t>
            </w:r>
          </w:p>
        </w:tc>
        <w:tc>
          <w:tcPr>
            <w:tcW w:w="5080" w:type="dxa"/>
            <w:gridSpan w:val="19"/>
            <w:tcBorders>
              <w:top w:val="single" w:color="000000" w:sz="4" w:space="0"/>
              <w:left w:val="nil"/>
              <w:bottom w:val="nil"/>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财务负责人：孙小燕</w:t>
            </w:r>
          </w:p>
        </w:tc>
      </w:tr>
      <w:tr>
        <w:tblPrEx>
          <w:tblCellMar>
            <w:top w:w="0" w:type="dxa"/>
            <w:left w:w="108" w:type="dxa"/>
            <w:bottom w:w="0" w:type="dxa"/>
            <w:right w:w="108" w:type="dxa"/>
          </w:tblCellMar>
        </w:tblPrEx>
        <w:trPr>
          <w:trHeight w:val="1188" w:hRule="atLeast"/>
        </w:trPr>
        <w:tc>
          <w:tcPr>
            <w:tcW w:w="735" w:type="dxa"/>
            <w:gridSpan w:val="2"/>
            <w:tcBorders>
              <w:top w:val="single" w:color="auto" w:sz="4" w:space="0"/>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c>
          <w:tcPr>
            <w:tcW w:w="861" w:type="dxa"/>
            <w:tcBorders>
              <w:top w:val="single" w:color="auto" w:sz="4" w:space="0"/>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c>
          <w:tcPr>
            <w:tcW w:w="1098" w:type="dxa"/>
            <w:gridSpan w:val="3"/>
            <w:tcBorders>
              <w:top w:val="single" w:color="auto" w:sz="4" w:space="0"/>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p>
        </w:tc>
        <w:tc>
          <w:tcPr>
            <w:tcW w:w="1134" w:type="dxa"/>
            <w:tcBorders>
              <w:top w:val="single" w:color="auto" w:sz="4" w:space="0"/>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p>
          <w:p>
            <w:pPr>
              <w:pStyle w:val="2"/>
              <w:spacing w:before="93"/>
              <w:rPr>
                <w:rFonts w:ascii="Courier New" w:hAnsi="Courier New" w:eastAsia="宋体" w:cs="Courier New"/>
                <w:color w:val="000000"/>
                <w:sz w:val="18"/>
                <w:szCs w:val="18"/>
              </w:rPr>
            </w:pPr>
          </w:p>
        </w:tc>
        <w:tc>
          <w:tcPr>
            <w:tcW w:w="684" w:type="dxa"/>
            <w:gridSpan w:val="2"/>
            <w:tcBorders>
              <w:top w:val="single" w:color="auto" w:sz="4" w:space="0"/>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c>
          <w:tcPr>
            <w:tcW w:w="564" w:type="dxa"/>
            <w:gridSpan w:val="2"/>
            <w:tcBorders>
              <w:top w:val="single" w:color="auto" w:sz="4" w:space="0"/>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c>
          <w:tcPr>
            <w:tcW w:w="1579" w:type="dxa"/>
            <w:gridSpan w:val="7"/>
            <w:tcBorders>
              <w:top w:val="single" w:color="auto" w:sz="4" w:space="0"/>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c>
          <w:tcPr>
            <w:tcW w:w="924" w:type="dxa"/>
            <w:gridSpan w:val="6"/>
            <w:tcBorders>
              <w:top w:val="single" w:color="auto" w:sz="4" w:space="0"/>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c>
          <w:tcPr>
            <w:tcW w:w="486" w:type="dxa"/>
            <w:tcBorders>
              <w:top w:val="single" w:color="auto" w:sz="4" w:space="0"/>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c>
          <w:tcPr>
            <w:tcW w:w="576" w:type="dxa"/>
            <w:gridSpan w:val="2"/>
            <w:tcBorders>
              <w:top w:val="single" w:color="auto" w:sz="4" w:space="0"/>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c>
          <w:tcPr>
            <w:tcW w:w="951" w:type="dxa"/>
            <w:tcBorders>
              <w:top w:val="single" w:color="auto" w:sz="4" w:space="0"/>
              <w:left w:val="nil"/>
              <w:bottom w:val="nil"/>
              <w:right w:val="nil"/>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r>
      <w:tr>
        <w:tblPrEx>
          <w:tblCellMar>
            <w:top w:w="0" w:type="dxa"/>
            <w:left w:w="108" w:type="dxa"/>
            <w:bottom w:w="0" w:type="dxa"/>
            <w:right w:w="108" w:type="dxa"/>
          </w:tblCellMar>
        </w:tblPrEx>
        <w:trPr>
          <w:trHeight w:val="903" w:hRule="atLeast"/>
        </w:trPr>
        <w:tc>
          <w:tcPr>
            <w:tcW w:w="9592" w:type="dxa"/>
            <w:gridSpan w:val="28"/>
            <w:tcBorders>
              <w:top w:val="nil"/>
              <w:left w:val="nil"/>
              <w:bottom w:val="nil"/>
              <w:right w:val="nil"/>
            </w:tcBorders>
            <w:shd w:val="clear" w:color="auto" w:fill="auto"/>
            <w:vAlign w:val="center"/>
          </w:tcPr>
          <w:p>
            <w:pPr>
              <w:widowControl/>
              <w:jc w:val="center"/>
              <w:rPr>
                <w:rFonts w:ascii="黑体" w:hAnsi="黑体" w:eastAsia="黑体" w:cs="Courier New"/>
                <w:color w:val="000000"/>
                <w:kern w:val="0"/>
                <w:sz w:val="32"/>
                <w:szCs w:val="32"/>
              </w:rPr>
            </w:pPr>
          </w:p>
          <w:p>
            <w:pPr>
              <w:widowControl/>
              <w:jc w:val="center"/>
              <w:rPr>
                <w:rFonts w:ascii="黑体" w:hAnsi="黑体" w:eastAsia="黑体" w:cs="Courier New"/>
                <w:color w:val="000000"/>
                <w:kern w:val="0"/>
                <w:sz w:val="32"/>
                <w:szCs w:val="32"/>
              </w:rPr>
            </w:pPr>
          </w:p>
          <w:p>
            <w:pPr>
              <w:widowControl/>
              <w:jc w:val="center"/>
              <w:rPr>
                <w:rFonts w:ascii="黑体" w:hAnsi="黑体" w:eastAsia="黑体" w:cs="Courier New"/>
                <w:color w:val="000000"/>
                <w:kern w:val="0"/>
                <w:sz w:val="32"/>
                <w:szCs w:val="32"/>
              </w:rPr>
            </w:pPr>
          </w:p>
          <w:p>
            <w:pPr>
              <w:widowControl/>
              <w:jc w:val="center"/>
              <w:rPr>
                <w:rFonts w:ascii="黑体" w:hAnsi="黑体" w:eastAsia="黑体" w:cs="Courier New"/>
                <w:color w:val="000000"/>
                <w:kern w:val="0"/>
                <w:sz w:val="32"/>
                <w:szCs w:val="32"/>
              </w:rPr>
            </w:pPr>
          </w:p>
          <w:p>
            <w:pPr>
              <w:widowControl/>
              <w:jc w:val="center"/>
              <w:rPr>
                <w:rFonts w:ascii="黑体" w:hAnsi="黑体" w:eastAsia="黑体" w:cs="Courier New"/>
                <w:color w:val="000000"/>
                <w:kern w:val="0"/>
                <w:sz w:val="32"/>
                <w:szCs w:val="32"/>
              </w:rPr>
            </w:pPr>
          </w:p>
          <w:p>
            <w:pPr>
              <w:widowControl/>
              <w:jc w:val="center"/>
              <w:rPr>
                <w:rFonts w:ascii="黑体" w:hAnsi="黑体" w:eastAsia="黑体" w:cs="Courier New"/>
                <w:color w:val="000000"/>
                <w:kern w:val="0"/>
                <w:sz w:val="32"/>
                <w:szCs w:val="32"/>
              </w:rPr>
            </w:pPr>
          </w:p>
          <w:p>
            <w:pPr>
              <w:widowControl/>
              <w:jc w:val="center"/>
              <w:rPr>
                <w:rFonts w:ascii="黑体" w:hAnsi="黑体" w:eastAsia="黑体" w:cs="Courier New"/>
                <w:color w:val="000000"/>
                <w:kern w:val="0"/>
                <w:sz w:val="32"/>
                <w:szCs w:val="32"/>
              </w:rPr>
            </w:pPr>
          </w:p>
          <w:p>
            <w:pPr>
              <w:widowControl/>
              <w:jc w:val="center"/>
              <w:rPr>
                <w:rFonts w:ascii="黑体" w:hAnsi="黑体" w:eastAsia="黑体" w:cs="Courier New"/>
                <w:color w:val="000000"/>
                <w:kern w:val="0"/>
                <w:sz w:val="32"/>
                <w:szCs w:val="32"/>
              </w:rPr>
            </w:pPr>
          </w:p>
          <w:p>
            <w:pPr>
              <w:widowControl/>
              <w:jc w:val="center"/>
              <w:rPr>
                <w:rFonts w:ascii="黑体" w:hAnsi="黑体" w:eastAsia="黑体" w:cs="Courier New"/>
                <w:color w:val="000000"/>
                <w:kern w:val="0"/>
                <w:sz w:val="32"/>
                <w:szCs w:val="32"/>
              </w:rPr>
            </w:pPr>
          </w:p>
          <w:p>
            <w:pPr>
              <w:widowControl/>
              <w:jc w:val="center"/>
              <w:rPr>
                <w:rFonts w:ascii="黑体" w:hAnsi="黑体" w:eastAsia="黑体" w:cs="Courier New"/>
                <w:color w:val="000000"/>
                <w:kern w:val="0"/>
                <w:sz w:val="32"/>
                <w:szCs w:val="32"/>
              </w:rPr>
            </w:pPr>
          </w:p>
          <w:p>
            <w:pPr>
              <w:widowControl/>
              <w:jc w:val="center"/>
              <w:rPr>
                <w:rFonts w:ascii="黑体" w:hAnsi="黑体" w:eastAsia="黑体" w:cs="Courier New"/>
                <w:color w:val="000000"/>
                <w:kern w:val="0"/>
                <w:sz w:val="32"/>
                <w:szCs w:val="32"/>
              </w:rPr>
            </w:pPr>
          </w:p>
          <w:p>
            <w:pPr>
              <w:widowControl/>
              <w:jc w:val="center"/>
              <w:rPr>
                <w:rFonts w:ascii="黑体" w:hAnsi="黑体" w:eastAsia="黑体" w:cs="Courier New"/>
                <w:color w:val="000000"/>
                <w:kern w:val="0"/>
                <w:sz w:val="32"/>
                <w:szCs w:val="32"/>
              </w:rPr>
            </w:pPr>
          </w:p>
          <w:p>
            <w:pPr>
              <w:widowControl/>
              <w:jc w:val="center"/>
              <w:rPr>
                <w:rFonts w:ascii="黑体" w:hAnsi="黑体" w:eastAsia="黑体" w:cs="Courier New"/>
                <w:color w:val="000000"/>
                <w:kern w:val="0"/>
                <w:sz w:val="32"/>
                <w:szCs w:val="32"/>
              </w:rPr>
            </w:pPr>
          </w:p>
          <w:p>
            <w:pPr>
              <w:widowControl/>
              <w:jc w:val="center"/>
              <w:rPr>
                <w:rFonts w:ascii="黑体" w:hAnsi="黑体" w:eastAsia="黑体" w:cs="Courier New"/>
                <w:color w:val="000000"/>
                <w:kern w:val="0"/>
                <w:sz w:val="32"/>
                <w:szCs w:val="32"/>
              </w:rPr>
            </w:pPr>
          </w:p>
          <w:p>
            <w:pPr>
              <w:widowControl/>
              <w:jc w:val="center"/>
              <w:rPr>
                <w:rFonts w:ascii="黑体" w:hAnsi="黑体" w:eastAsia="黑体" w:cs="Courier New"/>
                <w:color w:val="000000"/>
                <w:kern w:val="0"/>
                <w:sz w:val="32"/>
                <w:szCs w:val="32"/>
              </w:rPr>
            </w:pPr>
          </w:p>
          <w:p>
            <w:pPr>
              <w:widowControl/>
              <w:jc w:val="center"/>
              <w:rPr>
                <w:rFonts w:ascii="黑体" w:hAnsi="黑体" w:eastAsia="黑体" w:cs="Courier New"/>
                <w:color w:val="000000"/>
                <w:kern w:val="0"/>
                <w:sz w:val="32"/>
                <w:szCs w:val="32"/>
              </w:rPr>
            </w:pPr>
            <w:r>
              <w:rPr>
                <w:rFonts w:hint="eastAsia" w:ascii="黑体" w:hAnsi="黑体" w:eastAsia="黑体" w:cs="Courier New"/>
                <w:color w:val="000000"/>
                <w:kern w:val="0"/>
                <w:sz w:val="32"/>
                <w:szCs w:val="32"/>
              </w:rPr>
              <w:t>部门预算项目支出绩效自评表（2022年度）</w:t>
            </w:r>
          </w:p>
        </w:tc>
      </w:tr>
      <w:tr>
        <w:tblPrEx>
          <w:tblCellMar>
            <w:top w:w="0" w:type="dxa"/>
            <w:left w:w="108" w:type="dxa"/>
            <w:bottom w:w="0" w:type="dxa"/>
            <w:right w:w="108" w:type="dxa"/>
          </w:tblCellMar>
        </w:tblPrEx>
        <w:trPr>
          <w:trHeight w:val="285" w:hRule="atLeast"/>
        </w:trPr>
        <w:tc>
          <w:tcPr>
            <w:tcW w:w="184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项目名称</w:t>
            </w:r>
          </w:p>
        </w:tc>
        <w:tc>
          <w:tcPr>
            <w:tcW w:w="7751" w:type="dxa"/>
            <w:gridSpan w:val="23"/>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51082322T000005949246</w:t>
            </w:r>
            <w:r>
              <w:rPr>
                <w:rFonts w:hint="eastAsia" w:ascii="Courier New" w:hAnsi="Courier New" w:cs="Courier New"/>
                <w:color w:val="000000"/>
                <w:kern w:val="0"/>
                <w:sz w:val="18"/>
                <w:szCs w:val="18"/>
                <w:lang w:eastAsia="zh-CN"/>
              </w:rPr>
              <w:t>－</w:t>
            </w:r>
            <w:r>
              <w:rPr>
                <w:rFonts w:hint="eastAsia" w:ascii="Courier New" w:hAnsi="Courier New" w:cs="Courier New"/>
                <w:color w:val="000000"/>
                <w:kern w:val="0"/>
                <w:sz w:val="18"/>
                <w:szCs w:val="18"/>
              </w:rPr>
              <w:t>金子山隧道电费及机电设施维护</w:t>
            </w:r>
          </w:p>
        </w:tc>
      </w:tr>
      <w:tr>
        <w:tblPrEx>
          <w:tblCellMar>
            <w:top w:w="0" w:type="dxa"/>
            <w:left w:w="108" w:type="dxa"/>
            <w:bottom w:w="0" w:type="dxa"/>
            <w:right w:w="108" w:type="dxa"/>
          </w:tblCellMar>
        </w:tblPrEx>
        <w:trPr>
          <w:trHeight w:val="513" w:hRule="atLeast"/>
        </w:trPr>
        <w:tc>
          <w:tcPr>
            <w:tcW w:w="184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主管部门</w:t>
            </w:r>
          </w:p>
        </w:tc>
        <w:tc>
          <w:tcPr>
            <w:tcW w:w="3828"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剑阁县交通运输局部门</w:t>
            </w:r>
          </w:p>
        </w:tc>
        <w:tc>
          <w:tcPr>
            <w:tcW w:w="1417" w:type="dxa"/>
            <w:gridSpan w:val="6"/>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xml:space="preserve">实施单位 </w:t>
            </w:r>
          </w:p>
        </w:tc>
        <w:tc>
          <w:tcPr>
            <w:tcW w:w="2506"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剑阁县县道公路养护段</w:t>
            </w:r>
          </w:p>
        </w:tc>
      </w:tr>
      <w:tr>
        <w:tblPrEx>
          <w:tblCellMar>
            <w:top w:w="0" w:type="dxa"/>
            <w:left w:w="108" w:type="dxa"/>
            <w:bottom w:w="0" w:type="dxa"/>
            <w:right w:w="108" w:type="dxa"/>
          </w:tblCellMar>
        </w:tblPrEx>
        <w:trPr>
          <w:trHeight w:val="285" w:hRule="atLeast"/>
        </w:trPr>
        <w:tc>
          <w:tcPr>
            <w:tcW w:w="735"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项目基本情况</w:t>
            </w:r>
          </w:p>
        </w:tc>
        <w:tc>
          <w:tcPr>
            <w:tcW w:w="1106"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1.项目年度目标完成情况</w:t>
            </w:r>
          </w:p>
        </w:tc>
        <w:tc>
          <w:tcPr>
            <w:tcW w:w="3828"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项目年度目标</w:t>
            </w:r>
          </w:p>
        </w:tc>
        <w:tc>
          <w:tcPr>
            <w:tcW w:w="3923" w:type="dxa"/>
            <w:gridSpan w:val="14"/>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年度目标完成情况</w:t>
            </w:r>
          </w:p>
        </w:tc>
      </w:tr>
      <w:tr>
        <w:tblPrEx>
          <w:tblCellMar>
            <w:top w:w="0" w:type="dxa"/>
            <w:left w:w="108" w:type="dxa"/>
            <w:bottom w:w="0" w:type="dxa"/>
            <w:right w:w="108" w:type="dxa"/>
          </w:tblCellMar>
        </w:tblPrEx>
        <w:trPr>
          <w:trHeight w:val="708" w:hRule="atLeast"/>
        </w:trPr>
        <w:tc>
          <w:tcPr>
            <w:tcW w:w="73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Courier New" w:hAnsi="Courier New" w:cs="Courier New"/>
                <w:color w:val="000000"/>
                <w:kern w:val="0"/>
                <w:sz w:val="18"/>
                <w:szCs w:val="18"/>
              </w:rPr>
            </w:pPr>
          </w:p>
        </w:tc>
        <w:tc>
          <w:tcPr>
            <w:tcW w:w="1106"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Courier New" w:hAnsi="Courier New" w:cs="Courier New"/>
                <w:color w:val="000000"/>
                <w:kern w:val="0"/>
                <w:sz w:val="18"/>
                <w:szCs w:val="18"/>
              </w:rPr>
            </w:pPr>
          </w:p>
        </w:tc>
        <w:tc>
          <w:tcPr>
            <w:tcW w:w="3828" w:type="dxa"/>
            <w:gridSpan w:val="9"/>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保障公路隧道通行安全</w:t>
            </w:r>
          </w:p>
        </w:tc>
        <w:tc>
          <w:tcPr>
            <w:tcW w:w="3923" w:type="dxa"/>
            <w:gridSpan w:val="14"/>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保障隧道照明通风，着力改善隧道通行安全。全年579盏路灯每天24</w:t>
            </w:r>
            <w:r>
              <w:rPr>
                <w:rFonts w:hint="eastAsia" w:ascii="Courier New" w:hAnsi="Courier New" w:cs="Courier New"/>
                <w:color w:val="000000"/>
                <w:kern w:val="0"/>
                <w:sz w:val="18"/>
                <w:szCs w:val="18"/>
                <w:lang w:eastAsia="zh-CN"/>
              </w:rPr>
              <w:t>小时</w:t>
            </w:r>
            <w:r>
              <w:rPr>
                <w:rFonts w:ascii="Courier New" w:hAnsi="Courier New" w:cs="Courier New"/>
                <w:color w:val="000000"/>
                <w:kern w:val="0"/>
                <w:sz w:val="18"/>
                <w:szCs w:val="18"/>
              </w:rPr>
              <w:t>照明正常。</w:t>
            </w:r>
          </w:p>
        </w:tc>
      </w:tr>
      <w:tr>
        <w:tblPrEx>
          <w:tblCellMar>
            <w:top w:w="0" w:type="dxa"/>
            <w:left w:w="108" w:type="dxa"/>
            <w:bottom w:w="0" w:type="dxa"/>
            <w:right w:w="108" w:type="dxa"/>
          </w:tblCellMar>
        </w:tblPrEx>
        <w:trPr>
          <w:trHeight w:val="693" w:hRule="atLeast"/>
        </w:trPr>
        <w:tc>
          <w:tcPr>
            <w:tcW w:w="735"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Courier New" w:hAnsi="Courier New" w:cs="Courier New"/>
                <w:color w:val="000000"/>
                <w:kern w:val="0"/>
                <w:sz w:val="18"/>
                <w:szCs w:val="18"/>
              </w:rPr>
            </w:pPr>
          </w:p>
        </w:tc>
        <w:tc>
          <w:tcPr>
            <w:tcW w:w="1106" w:type="dxa"/>
            <w:gridSpan w:val="3"/>
            <w:tcBorders>
              <w:top w:val="nil"/>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2.项目实施内容及过程概述</w:t>
            </w:r>
          </w:p>
        </w:tc>
        <w:tc>
          <w:tcPr>
            <w:tcW w:w="7751" w:type="dxa"/>
            <w:gridSpan w:val="23"/>
            <w:tcBorders>
              <w:top w:val="single" w:color="auto" w:sz="4" w:space="0"/>
              <w:left w:val="nil"/>
              <w:bottom w:val="single" w:color="auto" w:sz="4" w:space="0"/>
              <w:right w:val="single" w:color="auto"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 xml:space="preserve"> 1.金子山隧道2022年控制全年用电量,保</w:t>
            </w:r>
            <w:r>
              <w:rPr>
                <w:rFonts w:hint="eastAsia" w:ascii="Courier New" w:hAnsi="Courier New" w:cs="Courier New"/>
                <w:color w:val="000000"/>
                <w:kern w:val="0"/>
                <w:sz w:val="18"/>
                <w:szCs w:val="18"/>
                <w:lang w:eastAsia="zh-CN"/>
              </w:rPr>
              <w:t>，</w:t>
            </w:r>
            <w:r>
              <w:rPr>
                <w:rFonts w:hint="eastAsia" w:ascii="Courier New" w:hAnsi="Courier New" w:cs="Courier New"/>
                <w:color w:val="000000"/>
                <w:kern w:val="0"/>
                <w:sz w:val="18"/>
                <w:szCs w:val="18"/>
              </w:rPr>
              <w:t>隧道专用设备及照明用电,顺</w:t>
            </w:r>
            <w:r>
              <w:rPr>
                <w:rFonts w:hint="eastAsia" w:ascii="Courier New" w:hAnsi="Courier New" w:cs="Courier New"/>
                <w:color w:val="000000"/>
                <w:kern w:val="0"/>
                <w:sz w:val="18"/>
                <w:szCs w:val="18"/>
                <w:lang w:eastAsia="zh-CN"/>
              </w:rPr>
              <w:t>，</w:t>
            </w:r>
            <w:r>
              <w:rPr>
                <w:rFonts w:hint="eastAsia" w:ascii="Courier New" w:hAnsi="Courier New" w:cs="Courier New"/>
                <w:color w:val="000000"/>
                <w:kern w:val="0"/>
                <w:sz w:val="18"/>
                <w:szCs w:val="18"/>
              </w:rPr>
              <w:t>完成本年度各项工作任务。</w:t>
            </w:r>
            <w:r>
              <w:rPr>
                <w:rFonts w:hint="eastAsia" w:ascii="Courier New" w:hAnsi="Courier New" w:cs="Courier New"/>
                <w:color w:val="000000"/>
                <w:kern w:val="0"/>
                <w:sz w:val="18"/>
                <w:szCs w:val="18"/>
              </w:rPr>
              <w:br w:type="page"/>
            </w:r>
            <w:r>
              <w:rPr>
                <w:rFonts w:hint="eastAsia" w:ascii="Courier New" w:hAnsi="Courier New" w:cs="Courier New"/>
                <w:color w:val="000000"/>
                <w:kern w:val="0"/>
                <w:sz w:val="18"/>
                <w:szCs w:val="18"/>
              </w:rPr>
              <w:t>2、根据预算批复，按部门职责明确分工，制定了相应资金管理办法和实施方案。</w:t>
            </w:r>
            <w:r>
              <w:rPr>
                <w:rFonts w:hint="eastAsia" w:ascii="Courier New" w:hAnsi="Courier New" w:cs="Courier New"/>
                <w:color w:val="000000"/>
                <w:kern w:val="0"/>
                <w:sz w:val="18"/>
                <w:szCs w:val="18"/>
              </w:rPr>
              <w:br w:type="page"/>
            </w:r>
          </w:p>
        </w:tc>
      </w:tr>
      <w:tr>
        <w:tblPrEx>
          <w:tblCellMar>
            <w:top w:w="0" w:type="dxa"/>
            <w:left w:w="108" w:type="dxa"/>
            <w:bottom w:w="0" w:type="dxa"/>
            <w:right w:w="108" w:type="dxa"/>
          </w:tblCellMar>
        </w:tblPrEx>
        <w:trPr>
          <w:trHeight w:val="492" w:hRule="atLeast"/>
        </w:trPr>
        <w:tc>
          <w:tcPr>
            <w:tcW w:w="735"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预算执行情况（10分）</w:t>
            </w:r>
          </w:p>
        </w:tc>
        <w:tc>
          <w:tcPr>
            <w:tcW w:w="1106"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年度预算数（万元）</w:t>
            </w:r>
          </w:p>
        </w:tc>
        <w:tc>
          <w:tcPr>
            <w:tcW w:w="853"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年初预算</w:t>
            </w:r>
          </w:p>
        </w:tc>
        <w:tc>
          <w:tcPr>
            <w:tcW w:w="1134"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调整后预算数</w:t>
            </w:r>
          </w:p>
        </w:tc>
        <w:tc>
          <w:tcPr>
            <w:tcW w:w="1984" w:type="dxa"/>
            <w:gridSpan w:val="8"/>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预算执行数</w:t>
            </w:r>
          </w:p>
        </w:tc>
        <w:tc>
          <w:tcPr>
            <w:tcW w:w="993"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预算执行率</w:t>
            </w:r>
          </w:p>
        </w:tc>
        <w:tc>
          <w:tcPr>
            <w:tcW w:w="708"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权重</w:t>
            </w:r>
          </w:p>
        </w:tc>
        <w:tc>
          <w:tcPr>
            <w:tcW w:w="709"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得分</w:t>
            </w:r>
          </w:p>
        </w:tc>
        <w:tc>
          <w:tcPr>
            <w:tcW w:w="137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原因</w:t>
            </w:r>
          </w:p>
        </w:tc>
      </w:tr>
      <w:tr>
        <w:tblPrEx>
          <w:tblCellMar>
            <w:top w:w="0" w:type="dxa"/>
            <w:left w:w="108" w:type="dxa"/>
            <w:bottom w:w="0" w:type="dxa"/>
            <w:right w:w="108" w:type="dxa"/>
          </w:tblCellMar>
        </w:tblPrEx>
        <w:trPr>
          <w:trHeight w:val="387" w:hRule="atLeast"/>
        </w:trPr>
        <w:tc>
          <w:tcPr>
            <w:tcW w:w="735"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1106"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总额</w:t>
            </w:r>
          </w:p>
        </w:tc>
        <w:tc>
          <w:tcPr>
            <w:tcW w:w="853"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30.00</w:t>
            </w:r>
          </w:p>
        </w:tc>
        <w:tc>
          <w:tcPr>
            <w:tcW w:w="1134"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30.00</w:t>
            </w:r>
          </w:p>
        </w:tc>
        <w:tc>
          <w:tcPr>
            <w:tcW w:w="1984"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30.00</w:t>
            </w:r>
          </w:p>
        </w:tc>
        <w:tc>
          <w:tcPr>
            <w:tcW w:w="993"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100.00%</w:t>
            </w:r>
          </w:p>
        </w:tc>
        <w:tc>
          <w:tcPr>
            <w:tcW w:w="708"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10</w:t>
            </w:r>
          </w:p>
        </w:tc>
        <w:tc>
          <w:tcPr>
            <w:tcW w:w="709"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10</w:t>
            </w:r>
          </w:p>
        </w:tc>
        <w:tc>
          <w:tcPr>
            <w:tcW w:w="1370"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　</w:t>
            </w:r>
          </w:p>
        </w:tc>
      </w:tr>
      <w:tr>
        <w:tblPrEx>
          <w:tblCellMar>
            <w:top w:w="0" w:type="dxa"/>
            <w:left w:w="108" w:type="dxa"/>
            <w:bottom w:w="0" w:type="dxa"/>
            <w:right w:w="108" w:type="dxa"/>
          </w:tblCellMar>
        </w:tblPrEx>
        <w:trPr>
          <w:trHeight w:val="432" w:hRule="atLeast"/>
        </w:trPr>
        <w:tc>
          <w:tcPr>
            <w:tcW w:w="735"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1106"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其中：财政资金</w:t>
            </w:r>
          </w:p>
        </w:tc>
        <w:tc>
          <w:tcPr>
            <w:tcW w:w="853"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30.00</w:t>
            </w:r>
          </w:p>
        </w:tc>
        <w:tc>
          <w:tcPr>
            <w:tcW w:w="1134"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30.00</w:t>
            </w:r>
          </w:p>
        </w:tc>
        <w:tc>
          <w:tcPr>
            <w:tcW w:w="1984"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30.00</w:t>
            </w:r>
          </w:p>
        </w:tc>
        <w:tc>
          <w:tcPr>
            <w:tcW w:w="993"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100.00%</w:t>
            </w:r>
          </w:p>
        </w:tc>
        <w:tc>
          <w:tcPr>
            <w:tcW w:w="708"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709"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137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r>
      <w:tr>
        <w:tblPrEx>
          <w:tblCellMar>
            <w:top w:w="0" w:type="dxa"/>
            <w:left w:w="108" w:type="dxa"/>
            <w:bottom w:w="0" w:type="dxa"/>
            <w:right w:w="108" w:type="dxa"/>
          </w:tblCellMar>
        </w:tblPrEx>
        <w:trPr>
          <w:trHeight w:val="447" w:hRule="atLeast"/>
        </w:trPr>
        <w:tc>
          <w:tcPr>
            <w:tcW w:w="735"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1106"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财政专户管理资金</w:t>
            </w:r>
          </w:p>
        </w:tc>
        <w:tc>
          <w:tcPr>
            <w:tcW w:w="853"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0.00</w:t>
            </w:r>
          </w:p>
        </w:tc>
        <w:tc>
          <w:tcPr>
            <w:tcW w:w="1984"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0.00</w:t>
            </w:r>
          </w:p>
        </w:tc>
        <w:tc>
          <w:tcPr>
            <w:tcW w:w="993"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0.00%</w:t>
            </w:r>
          </w:p>
        </w:tc>
        <w:tc>
          <w:tcPr>
            <w:tcW w:w="708"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709"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137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r>
      <w:tr>
        <w:tblPrEx>
          <w:tblCellMar>
            <w:top w:w="0" w:type="dxa"/>
            <w:left w:w="108" w:type="dxa"/>
            <w:bottom w:w="0" w:type="dxa"/>
            <w:right w:w="108" w:type="dxa"/>
          </w:tblCellMar>
        </w:tblPrEx>
        <w:trPr>
          <w:trHeight w:val="402" w:hRule="atLeast"/>
        </w:trPr>
        <w:tc>
          <w:tcPr>
            <w:tcW w:w="735"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1106"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单位资金</w:t>
            </w:r>
          </w:p>
        </w:tc>
        <w:tc>
          <w:tcPr>
            <w:tcW w:w="853"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0.00</w:t>
            </w:r>
          </w:p>
        </w:tc>
        <w:tc>
          <w:tcPr>
            <w:tcW w:w="1134"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0.00</w:t>
            </w:r>
          </w:p>
        </w:tc>
        <w:tc>
          <w:tcPr>
            <w:tcW w:w="1984"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0.00</w:t>
            </w:r>
          </w:p>
        </w:tc>
        <w:tc>
          <w:tcPr>
            <w:tcW w:w="993"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0.00%</w:t>
            </w:r>
          </w:p>
        </w:tc>
        <w:tc>
          <w:tcPr>
            <w:tcW w:w="708"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709"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137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r>
      <w:tr>
        <w:tblPrEx>
          <w:tblCellMar>
            <w:top w:w="0" w:type="dxa"/>
            <w:left w:w="108" w:type="dxa"/>
            <w:bottom w:w="0" w:type="dxa"/>
            <w:right w:w="108" w:type="dxa"/>
          </w:tblCellMar>
        </w:tblPrEx>
        <w:trPr>
          <w:trHeight w:val="378" w:hRule="atLeast"/>
        </w:trPr>
        <w:tc>
          <w:tcPr>
            <w:tcW w:w="735"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1106"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其他资金</w:t>
            </w:r>
          </w:p>
        </w:tc>
        <w:tc>
          <w:tcPr>
            <w:tcW w:w="853"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　</w:t>
            </w:r>
          </w:p>
        </w:tc>
        <w:tc>
          <w:tcPr>
            <w:tcW w:w="1984" w:type="dxa"/>
            <w:gridSpan w:val="8"/>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　</w:t>
            </w:r>
          </w:p>
        </w:tc>
        <w:tc>
          <w:tcPr>
            <w:tcW w:w="993"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　</w:t>
            </w:r>
          </w:p>
        </w:tc>
        <w:tc>
          <w:tcPr>
            <w:tcW w:w="708"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709"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1370"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r>
      <w:tr>
        <w:tblPrEx>
          <w:tblCellMar>
            <w:top w:w="0" w:type="dxa"/>
            <w:left w:w="108" w:type="dxa"/>
            <w:bottom w:w="0" w:type="dxa"/>
            <w:right w:w="108" w:type="dxa"/>
          </w:tblCellMar>
        </w:tblPrEx>
        <w:trPr>
          <w:trHeight w:val="453" w:hRule="atLeast"/>
        </w:trPr>
        <w:tc>
          <w:tcPr>
            <w:tcW w:w="735"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绩效指标（90分）</w:t>
            </w:r>
          </w:p>
        </w:tc>
        <w:tc>
          <w:tcPr>
            <w:tcW w:w="1106"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一级指标</w:t>
            </w:r>
          </w:p>
        </w:tc>
        <w:tc>
          <w:tcPr>
            <w:tcW w:w="853"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二级指标</w:t>
            </w:r>
          </w:p>
        </w:tc>
        <w:tc>
          <w:tcPr>
            <w:tcW w:w="1134"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三级指标</w:t>
            </w:r>
          </w:p>
        </w:tc>
        <w:tc>
          <w:tcPr>
            <w:tcW w:w="684" w:type="dxa"/>
            <w:gridSpan w:val="2"/>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指标性质</w:t>
            </w:r>
          </w:p>
        </w:tc>
        <w:tc>
          <w:tcPr>
            <w:tcW w:w="592"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指标值</w:t>
            </w:r>
          </w:p>
        </w:tc>
        <w:tc>
          <w:tcPr>
            <w:tcW w:w="708"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度量单位</w:t>
            </w:r>
          </w:p>
        </w:tc>
        <w:tc>
          <w:tcPr>
            <w:tcW w:w="993"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完成值</w:t>
            </w:r>
          </w:p>
        </w:tc>
        <w:tc>
          <w:tcPr>
            <w:tcW w:w="708"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权重</w:t>
            </w:r>
          </w:p>
        </w:tc>
        <w:tc>
          <w:tcPr>
            <w:tcW w:w="709"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得分</w:t>
            </w:r>
          </w:p>
        </w:tc>
        <w:tc>
          <w:tcPr>
            <w:tcW w:w="137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未完成原因分析</w:t>
            </w:r>
          </w:p>
        </w:tc>
      </w:tr>
      <w:tr>
        <w:tblPrEx>
          <w:tblCellMar>
            <w:top w:w="0" w:type="dxa"/>
            <w:left w:w="108" w:type="dxa"/>
            <w:bottom w:w="0" w:type="dxa"/>
            <w:right w:w="108" w:type="dxa"/>
          </w:tblCellMar>
        </w:tblPrEx>
        <w:trPr>
          <w:trHeight w:val="339" w:hRule="atLeast"/>
        </w:trPr>
        <w:tc>
          <w:tcPr>
            <w:tcW w:w="735"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1106"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产出指标</w:t>
            </w:r>
          </w:p>
        </w:tc>
        <w:tc>
          <w:tcPr>
            <w:tcW w:w="85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数量指标</w:t>
            </w:r>
          </w:p>
        </w:tc>
        <w:tc>
          <w:tcPr>
            <w:tcW w:w="1134"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路灯（盏）</w:t>
            </w:r>
          </w:p>
        </w:tc>
        <w:tc>
          <w:tcPr>
            <w:tcW w:w="684" w:type="dxa"/>
            <w:gridSpan w:val="2"/>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592"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579</w:t>
            </w:r>
          </w:p>
        </w:tc>
        <w:tc>
          <w:tcPr>
            <w:tcW w:w="708"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盏</w:t>
            </w:r>
          </w:p>
        </w:tc>
        <w:tc>
          <w:tcPr>
            <w:tcW w:w="993"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579</w:t>
            </w:r>
          </w:p>
        </w:tc>
        <w:tc>
          <w:tcPr>
            <w:tcW w:w="708"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10</w:t>
            </w:r>
          </w:p>
        </w:tc>
        <w:tc>
          <w:tcPr>
            <w:tcW w:w="709"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10</w:t>
            </w:r>
          </w:p>
        </w:tc>
        <w:tc>
          <w:tcPr>
            <w:tcW w:w="137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　</w:t>
            </w:r>
          </w:p>
        </w:tc>
      </w:tr>
      <w:tr>
        <w:tblPrEx>
          <w:tblCellMar>
            <w:top w:w="0" w:type="dxa"/>
            <w:left w:w="108" w:type="dxa"/>
            <w:bottom w:w="0" w:type="dxa"/>
            <w:right w:w="108" w:type="dxa"/>
          </w:tblCellMar>
        </w:tblPrEx>
        <w:trPr>
          <w:trHeight w:val="678" w:hRule="atLeast"/>
        </w:trPr>
        <w:tc>
          <w:tcPr>
            <w:tcW w:w="735"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110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853" w:type="dxa"/>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1134"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开放时长</w:t>
            </w:r>
          </w:p>
        </w:tc>
        <w:tc>
          <w:tcPr>
            <w:tcW w:w="684" w:type="dxa"/>
            <w:gridSpan w:val="2"/>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592"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24</w:t>
            </w:r>
          </w:p>
        </w:tc>
        <w:tc>
          <w:tcPr>
            <w:tcW w:w="708"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小时/天</w:t>
            </w:r>
          </w:p>
        </w:tc>
        <w:tc>
          <w:tcPr>
            <w:tcW w:w="993"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24</w:t>
            </w:r>
          </w:p>
        </w:tc>
        <w:tc>
          <w:tcPr>
            <w:tcW w:w="708"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10</w:t>
            </w:r>
          </w:p>
        </w:tc>
        <w:tc>
          <w:tcPr>
            <w:tcW w:w="709"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10</w:t>
            </w:r>
          </w:p>
        </w:tc>
        <w:tc>
          <w:tcPr>
            <w:tcW w:w="137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　</w:t>
            </w:r>
          </w:p>
        </w:tc>
      </w:tr>
      <w:tr>
        <w:tblPrEx>
          <w:tblCellMar>
            <w:top w:w="0" w:type="dxa"/>
            <w:left w:w="108" w:type="dxa"/>
            <w:bottom w:w="0" w:type="dxa"/>
            <w:right w:w="108" w:type="dxa"/>
          </w:tblCellMar>
        </w:tblPrEx>
        <w:trPr>
          <w:trHeight w:val="339" w:hRule="atLeast"/>
        </w:trPr>
        <w:tc>
          <w:tcPr>
            <w:tcW w:w="735"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1106"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853"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成本指标</w:t>
            </w:r>
          </w:p>
        </w:tc>
        <w:tc>
          <w:tcPr>
            <w:tcW w:w="1134"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隧道电费、维修费</w:t>
            </w:r>
          </w:p>
        </w:tc>
        <w:tc>
          <w:tcPr>
            <w:tcW w:w="684" w:type="dxa"/>
            <w:gridSpan w:val="2"/>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592"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30</w:t>
            </w:r>
          </w:p>
        </w:tc>
        <w:tc>
          <w:tcPr>
            <w:tcW w:w="708"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万元</w:t>
            </w:r>
          </w:p>
        </w:tc>
        <w:tc>
          <w:tcPr>
            <w:tcW w:w="993"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30</w:t>
            </w:r>
          </w:p>
        </w:tc>
        <w:tc>
          <w:tcPr>
            <w:tcW w:w="708"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30</w:t>
            </w:r>
          </w:p>
        </w:tc>
        <w:tc>
          <w:tcPr>
            <w:tcW w:w="709"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30</w:t>
            </w:r>
          </w:p>
        </w:tc>
        <w:tc>
          <w:tcPr>
            <w:tcW w:w="137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　</w:t>
            </w:r>
          </w:p>
        </w:tc>
      </w:tr>
      <w:tr>
        <w:tblPrEx>
          <w:tblCellMar>
            <w:top w:w="0" w:type="dxa"/>
            <w:left w:w="108" w:type="dxa"/>
            <w:bottom w:w="0" w:type="dxa"/>
            <w:right w:w="108" w:type="dxa"/>
          </w:tblCellMar>
        </w:tblPrEx>
        <w:trPr>
          <w:trHeight w:val="552" w:hRule="atLeast"/>
        </w:trPr>
        <w:tc>
          <w:tcPr>
            <w:tcW w:w="735"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1106"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效益指标</w:t>
            </w:r>
          </w:p>
        </w:tc>
        <w:tc>
          <w:tcPr>
            <w:tcW w:w="853"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可持续影响指标</w:t>
            </w:r>
          </w:p>
        </w:tc>
        <w:tc>
          <w:tcPr>
            <w:tcW w:w="1134"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可持续发展</w:t>
            </w:r>
          </w:p>
        </w:tc>
        <w:tc>
          <w:tcPr>
            <w:tcW w:w="684" w:type="dxa"/>
            <w:gridSpan w:val="2"/>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592"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100</w:t>
            </w:r>
          </w:p>
        </w:tc>
        <w:tc>
          <w:tcPr>
            <w:tcW w:w="708"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993"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97</w:t>
            </w:r>
          </w:p>
        </w:tc>
        <w:tc>
          <w:tcPr>
            <w:tcW w:w="708"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30</w:t>
            </w:r>
          </w:p>
        </w:tc>
        <w:tc>
          <w:tcPr>
            <w:tcW w:w="709"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29</w:t>
            </w:r>
          </w:p>
        </w:tc>
        <w:tc>
          <w:tcPr>
            <w:tcW w:w="137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缺少资金投入，设施需加强维修</w:t>
            </w:r>
          </w:p>
        </w:tc>
      </w:tr>
      <w:tr>
        <w:tblPrEx>
          <w:tblCellMar>
            <w:top w:w="0" w:type="dxa"/>
            <w:left w:w="108" w:type="dxa"/>
            <w:bottom w:w="0" w:type="dxa"/>
            <w:right w:w="108" w:type="dxa"/>
          </w:tblCellMar>
        </w:tblPrEx>
        <w:trPr>
          <w:trHeight w:val="684" w:hRule="atLeast"/>
        </w:trPr>
        <w:tc>
          <w:tcPr>
            <w:tcW w:w="735"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Courier New" w:hAnsi="Courier New" w:cs="Courier New"/>
                <w:color w:val="000000"/>
                <w:kern w:val="0"/>
                <w:sz w:val="18"/>
                <w:szCs w:val="18"/>
              </w:rPr>
            </w:pPr>
          </w:p>
        </w:tc>
        <w:tc>
          <w:tcPr>
            <w:tcW w:w="1106"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满意度指标</w:t>
            </w:r>
          </w:p>
        </w:tc>
        <w:tc>
          <w:tcPr>
            <w:tcW w:w="853"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服务对象满意度指标</w:t>
            </w:r>
          </w:p>
        </w:tc>
        <w:tc>
          <w:tcPr>
            <w:tcW w:w="1134" w:type="dxa"/>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群众满意度</w:t>
            </w:r>
          </w:p>
        </w:tc>
        <w:tc>
          <w:tcPr>
            <w:tcW w:w="684" w:type="dxa"/>
            <w:gridSpan w:val="2"/>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592"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100</w:t>
            </w:r>
          </w:p>
        </w:tc>
        <w:tc>
          <w:tcPr>
            <w:tcW w:w="708"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w:t>
            </w:r>
          </w:p>
        </w:tc>
        <w:tc>
          <w:tcPr>
            <w:tcW w:w="993"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95</w:t>
            </w:r>
          </w:p>
        </w:tc>
        <w:tc>
          <w:tcPr>
            <w:tcW w:w="708"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10</w:t>
            </w:r>
          </w:p>
        </w:tc>
        <w:tc>
          <w:tcPr>
            <w:tcW w:w="709"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9.5</w:t>
            </w:r>
          </w:p>
        </w:tc>
        <w:tc>
          <w:tcPr>
            <w:tcW w:w="137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缺少资金投入，设施需加强维修</w:t>
            </w:r>
          </w:p>
        </w:tc>
      </w:tr>
      <w:tr>
        <w:tblPrEx>
          <w:tblCellMar>
            <w:top w:w="0" w:type="dxa"/>
            <w:left w:w="108" w:type="dxa"/>
            <w:bottom w:w="0" w:type="dxa"/>
            <w:right w:w="108" w:type="dxa"/>
          </w:tblCellMar>
        </w:tblPrEx>
        <w:trPr>
          <w:trHeight w:val="285" w:hRule="atLeast"/>
        </w:trPr>
        <w:tc>
          <w:tcPr>
            <w:tcW w:w="6805"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合计</w:t>
            </w:r>
          </w:p>
        </w:tc>
        <w:tc>
          <w:tcPr>
            <w:tcW w:w="708" w:type="dxa"/>
            <w:gridSpan w:val="4"/>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100</w:t>
            </w:r>
          </w:p>
        </w:tc>
        <w:tc>
          <w:tcPr>
            <w:tcW w:w="709" w:type="dxa"/>
            <w:gridSpan w:val="3"/>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98.5</w:t>
            </w:r>
          </w:p>
        </w:tc>
        <w:tc>
          <w:tcPr>
            <w:tcW w:w="137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　</w:t>
            </w:r>
          </w:p>
        </w:tc>
      </w:tr>
      <w:tr>
        <w:tblPrEx>
          <w:tblCellMar>
            <w:top w:w="0" w:type="dxa"/>
            <w:left w:w="108" w:type="dxa"/>
            <w:bottom w:w="0" w:type="dxa"/>
            <w:right w:w="108" w:type="dxa"/>
          </w:tblCellMar>
        </w:tblPrEx>
        <w:trPr>
          <w:trHeight w:val="603" w:hRule="atLeast"/>
        </w:trPr>
        <w:tc>
          <w:tcPr>
            <w:tcW w:w="735"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评价结论</w:t>
            </w:r>
          </w:p>
        </w:tc>
        <w:tc>
          <w:tcPr>
            <w:tcW w:w="8857" w:type="dxa"/>
            <w:gridSpan w:val="2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本项目完成质量较好，在全县公路养护管理工作考核中取得了好的成绩，整体测评评分98.5分。于2022年12月31日全部完工，达到年初进度目标。</w:t>
            </w:r>
          </w:p>
        </w:tc>
      </w:tr>
      <w:tr>
        <w:tblPrEx>
          <w:tblCellMar>
            <w:top w:w="0" w:type="dxa"/>
            <w:left w:w="108" w:type="dxa"/>
            <w:bottom w:w="0" w:type="dxa"/>
            <w:right w:w="108" w:type="dxa"/>
          </w:tblCellMar>
        </w:tblPrEx>
        <w:trPr>
          <w:trHeight w:val="684" w:hRule="atLeast"/>
        </w:trPr>
        <w:tc>
          <w:tcPr>
            <w:tcW w:w="735"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存在问题</w:t>
            </w:r>
          </w:p>
        </w:tc>
        <w:tc>
          <w:tcPr>
            <w:tcW w:w="8857" w:type="dxa"/>
            <w:gridSpan w:val="2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1、金子山隧道电费及机电设施维护工作环境艰苦，工作任务较重。</w:t>
            </w:r>
            <w:r>
              <w:rPr>
                <w:rFonts w:hint="eastAsia" w:ascii="Courier New" w:hAnsi="Courier New" w:cs="Courier New"/>
                <w:color w:val="000000"/>
                <w:kern w:val="0"/>
                <w:sz w:val="18"/>
                <w:szCs w:val="18"/>
              </w:rPr>
              <w:br w:type="textWrapping"/>
            </w:r>
            <w:r>
              <w:rPr>
                <w:rFonts w:hint="eastAsia" w:ascii="Courier New" w:hAnsi="Courier New" w:cs="Courier New"/>
                <w:color w:val="000000"/>
                <w:kern w:val="0"/>
                <w:sz w:val="18"/>
                <w:szCs w:val="18"/>
              </w:rPr>
              <w:t>2、养护整体绩效有待进一步提高。</w:t>
            </w:r>
          </w:p>
        </w:tc>
      </w:tr>
      <w:tr>
        <w:tblPrEx>
          <w:tblCellMar>
            <w:top w:w="0" w:type="dxa"/>
            <w:left w:w="108" w:type="dxa"/>
            <w:bottom w:w="0" w:type="dxa"/>
            <w:right w:w="108" w:type="dxa"/>
          </w:tblCellMar>
        </w:tblPrEx>
        <w:trPr>
          <w:trHeight w:val="633" w:hRule="atLeast"/>
        </w:trPr>
        <w:tc>
          <w:tcPr>
            <w:tcW w:w="735"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改进措施</w:t>
            </w:r>
          </w:p>
        </w:tc>
        <w:tc>
          <w:tcPr>
            <w:tcW w:w="8857" w:type="dxa"/>
            <w:gridSpan w:val="26"/>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hint="eastAsia" w:ascii="Courier New" w:hAnsi="Courier New" w:cs="Courier New"/>
                <w:color w:val="000000"/>
                <w:kern w:val="0"/>
                <w:sz w:val="18"/>
                <w:szCs w:val="18"/>
              </w:rPr>
              <w:t>加大资金投入，保障机电设施完好，确保照明正常。</w:t>
            </w:r>
          </w:p>
        </w:tc>
      </w:tr>
      <w:tr>
        <w:tblPrEx>
          <w:tblCellMar>
            <w:top w:w="0" w:type="dxa"/>
            <w:left w:w="108" w:type="dxa"/>
            <w:bottom w:w="0" w:type="dxa"/>
            <w:right w:w="108" w:type="dxa"/>
          </w:tblCellMar>
        </w:tblPrEx>
        <w:trPr>
          <w:trHeight w:val="384" w:hRule="atLeast"/>
        </w:trPr>
        <w:tc>
          <w:tcPr>
            <w:tcW w:w="451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项目负责人：吴杨</w:t>
            </w:r>
          </w:p>
        </w:tc>
        <w:tc>
          <w:tcPr>
            <w:tcW w:w="5080" w:type="dxa"/>
            <w:gridSpan w:val="19"/>
            <w:tcBorders>
              <w:top w:val="single" w:color="000000" w:sz="4" w:space="0"/>
              <w:left w:val="nil"/>
              <w:bottom w:val="single" w:color="000000" w:sz="4" w:space="0"/>
              <w:right w:val="single" w:color="000000" w:sz="4" w:space="0"/>
            </w:tcBorders>
            <w:shd w:val="clear" w:color="auto" w:fill="auto"/>
            <w:vAlign w:val="center"/>
          </w:tcPr>
          <w:p>
            <w:pPr>
              <w:widowControl/>
              <w:jc w:val="left"/>
              <w:rPr>
                <w:rFonts w:ascii="Courier New" w:hAnsi="Courier New" w:cs="Courier New"/>
                <w:color w:val="000000"/>
                <w:kern w:val="0"/>
                <w:sz w:val="18"/>
                <w:szCs w:val="18"/>
              </w:rPr>
            </w:pPr>
            <w:r>
              <w:rPr>
                <w:rFonts w:ascii="Courier New" w:hAnsi="Courier New" w:cs="Courier New"/>
                <w:color w:val="000000"/>
                <w:kern w:val="0"/>
                <w:sz w:val="18"/>
                <w:szCs w:val="18"/>
              </w:rPr>
              <w:t>财务负责人：孙小燕</w:t>
            </w:r>
          </w:p>
        </w:tc>
      </w:tr>
    </w:tbl>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bookmarkEnd w:id="54"/>
      <w:bookmarkEnd w:id="55"/>
      <w:bookmarkStart w:id="56" w:name="_Toc15396619"/>
    </w:p>
    <w:p>
      <w:pPr>
        <w:pStyle w:val="4"/>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56"/>
    </w:p>
    <w:p>
      <w:pPr>
        <w:pStyle w:val="4"/>
        <w:rPr>
          <w:rFonts w:ascii="仿宋" w:hAnsi="仿宋" w:eastAsia="仿宋"/>
        </w:rPr>
      </w:pPr>
      <w:bookmarkStart w:id="57" w:name="_Toc15396620"/>
      <w:r>
        <w:rPr>
          <w:rFonts w:hint="eastAsia" w:ascii="仿宋" w:hAnsi="仿宋" w:eastAsia="仿宋"/>
          <w:b w:val="0"/>
        </w:rPr>
        <w:t>二、收</w:t>
      </w:r>
      <w:r>
        <w:rPr>
          <w:rStyle w:val="27"/>
          <w:rFonts w:hint="eastAsia" w:ascii="仿宋" w:hAnsi="仿宋" w:eastAsia="仿宋"/>
          <w:b w:val="0"/>
          <w:bCs w:val="0"/>
        </w:rPr>
        <w:t>入决算表</w:t>
      </w:r>
      <w:bookmarkEnd w:id="57"/>
    </w:p>
    <w:p>
      <w:pPr>
        <w:pStyle w:val="4"/>
        <w:rPr>
          <w:rFonts w:ascii="仿宋" w:hAnsi="仿宋" w:eastAsia="仿宋"/>
        </w:rPr>
      </w:pPr>
      <w:bookmarkStart w:id="58"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58"/>
    </w:p>
    <w:p>
      <w:pPr>
        <w:pStyle w:val="4"/>
        <w:rPr>
          <w:rFonts w:ascii="仿宋" w:hAnsi="仿宋" w:eastAsia="仿宋"/>
          <w:b w:val="0"/>
        </w:rPr>
      </w:pPr>
      <w:bookmarkStart w:id="59"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59"/>
    </w:p>
    <w:p>
      <w:pPr>
        <w:pStyle w:val="4"/>
        <w:rPr>
          <w:rStyle w:val="27"/>
          <w:rFonts w:ascii="仿宋" w:hAnsi="仿宋" w:eastAsia="仿宋"/>
          <w:b w:val="0"/>
          <w:bCs w:val="0"/>
        </w:rPr>
      </w:pPr>
      <w:bookmarkStart w:id="60"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60"/>
      <w:bookmarkStart w:id="61" w:name="_Toc15396624"/>
    </w:p>
    <w:p>
      <w:pPr>
        <w:pStyle w:val="4"/>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61"/>
    </w:p>
    <w:p>
      <w:pPr>
        <w:pStyle w:val="4"/>
        <w:rPr>
          <w:rFonts w:ascii="仿宋" w:hAnsi="仿宋" w:eastAsia="仿宋"/>
        </w:rPr>
      </w:pPr>
      <w:bookmarkStart w:id="62"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62"/>
    </w:p>
    <w:p>
      <w:pPr>
        <w:pStyle w:val="4"/>
        <w:rPr>
          <w:rFonts w:ascii="仿宋" w:hAnsi="仿宋" w:eastAsia="仿宋"/>
        </w:rPr>
      </w:pPr>
      <w:bookmarkStart w:id="63"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63"/>
    </w:p>
    <w:p>
      <w:pPr>
        <w:pStyle w:val="4"/>
        <w:rPr>
          <w:rFonts w:ascii="仿宋" w:hAnsi="仿宋" w:eastAsia="仿宋"/>
        </w:rPr>
      </w:pPr>
      <w:bookmarkStart w:id="64"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64"/>
    </w:p>
    <w:p>
      <w:pPr>
        <w:pStyle w:val="4"/>
        <w:rPr>
          <w:rFonts w:ascii="仿宋" w:hAnsi="仿宋" w:eastAsia="仿宋"/>
        </w:rPr>
      </w:pPr>
      <w:bookmarkStart w:id="65" w:name="_Toc15396628"/>
      <w:r>
        <w:rPr>
          <w:rStyle w:val="27"/>
          <w:rFonts w:hint="eastAsia" w:ascii="仿宋" w:hAnsi="仿宋" w:eastAsia="仿宋"/>
          <w:b w:val="0"/>
          <w:bCs w:val="0"/>
        </w:rPr>
        <w:t>十、</w:t>
      </w:r>
      <w:bookmarkEnd w:id="65"/>
      <w:r>
        <w:rPr>
          <w:rFonts w:hint="eastAsia" w:ascii="仿宋" w:hAnsi="仿宋" w:eastAsia="仿宋"/>
          <w:b w:val="0"/>
        </w:rPr>
        <w:t>政</w:t>
      </w:r>
      <w:r>
        <w:rPr>
          <w:rStyle w:val="27"/>
          <w:rFonts w:hint="eastAsia" w:ascii="仿宋" w:hAnsi="仿宋" w:eastAsia="仿宋"/>
          <w:b w:val="0"/>
          <w:bCs w:val="0"/>
        </w:rPr>
        <w:t>府性基金预算财政拨款收入支出决算表</w:t>
      </w:r>
    </w:p>
    <w:p>
      <w:pPr>
        <w:pStyle w:val="4"/>
        <w:rPr>
          <w:rFonts w:ascii="仿宋" w:hAnsi="仿宋" w:eastAsia="仿宋"/>
        </w:rPr>
      </w:pPr>
      <w:bookmarkStart w:id="66" w:name="_Toc15396629"/>
      <w:r>
        <w:rPr>
          <w:rStyle w:val="27"/>
          <w:rFonts w:hint="eastAsia" w:ascii="仿宋" w:hAnsi="仿宋" w:eastAsia="仿宋"/>
          <w:b w:val="0"/>
          <w:bCs w:val="0"/>
        </w:rPr>
        <w:t>十一、</w:t>
      </w:r>
      <w:bookmarkEnd w:id="66"/>
      <w:r>
        <w:rPr>
          <w:rFonts w:hint="eastAsia" w:ascii="仿宋" w:hAnsi="仿宋" w:eastAsia="仿宋"/>
          <w:b w:val="0"/>
        </w:rPr>
        <w:t>国</w:t>
      </w:r>
      <w:r>
        <w:rPr>
          <w:rStyle w:val="27"/>
          <w:rFonts w:hint="eastAsia" w:ascii="仿宋" w:hAnsi="仿宋" w:eastAsia="仿宋"/>
          <w:b w:val="0"/>
          <w:bCs w:val="0"/>
        </w:rPr>
        <w:t>有资本经营预算财政拨款收入支出决算表</w:t>
      </w:r>
    </w:p>
    <w:p>
      <w:pPr>
        <w:pStyle w:val="4"/>
        <w:rPr>
          <w:rFonts w:ascii="仿宋" w:hAnsi="仿宋" w:eastAsia="仿宋"/>
        </w:rPr>
      </w:pPr>
      <w:bookmarkStart w:id="67" w:name="_Toc15396630"/>
      <w:r>
        <w:rPr>
          <w:rStyle w:val="27"/>
          <w:rFonts w:hint="eastAsia" w:ascii="仿宋" w:hAnsi="仿宋" w:eastAsia="仿宋"/>
          <w:b w:val="0"/>
          <w:bCs w:val="0"/>
        </w:rPr>
        <w:t>十二、</w:t>
      </w:r>
      <w:bookmarkEnd w:id="67"/>
      <w:r>
        <w:rPr>
          <w:rStyle w:val="27"/>
          <w:rFonts w:hint="eastAsia" w:ascii="仿宋" w:hAnsi="仿宋" w:eastAsia="仿宋"/>
          <w:b w:val="0"/>
          <w:bCs w:val="0"/>
        </w:rPr>
        <w:t>国有资本经营预算财政拨款支出决算表</w:t>
      </w:r>
    </w:p>
    <w:p>
      <w:pPr>
        <w:pStyle w:val="4"/>
        <w:rPr>
          <w:rFonts w:eastAsia="仿宋"/>
        </w:rPr>
      </w:pPr>
      <w:bookmarkStart w:id="68" w:name="_Toc15396631"/>
      <w:r>
        <w:rPr>
          <w:rStyle w:val="27"/>
          <w:rFonts w:hint="eastAsia" w:ascii="仿宋" w:hAnsi="仿宋" w:eastAsia="仿宋"/>
          <w:b w:val="0"/>
          <w:bCs w:val="0"/>
        </w:rPr>
        <w:t>十三、</w:t>
      </w:r>
      <w:bookmarkEnd w:id="68"/>
      <w:r>
        <w:rPr>
          <w:rStyle w:val="27"/>
          <w:rFonts w:hint="eastAsia" w:ascii="仿宋" w:hAnsi="仿宋" w:eastAsia="仿宋"/>
          <w:b w:val="0"/>
          <w:bCs w:val="0"/>
        </w:rPr>
        <w:t>财政拨款“三公”经费支出决算表</w:t>
      </w:r>
    </w:p>
    <w:sectPr>
      <w:headerReference r:id="rId3" w:type="default"/>
      <w:footerReference r:id="rId4" w:type="default"/>
      <w:pgSz w:w="11906" w:h="16838"/>
      <w:pgMar w:top="1440" w:right="1797" w:bottom="1440"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17E1AA-3889-4F3C-87F7-1822FCF009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670E883-CFB1-4B90-9C6D-2D983AED94D1}"/>
  </w:font>
  <w:font w:name="Cambria">
    <w:panose1 w:val="02040503050406030204"/>
    <w:charset w:val="00"/>
    <w:family w:val="roman"/>
    <w:pitch w:val="default"/>
    <w:sig w:usb0="E00006FF" w:usb1="420024FF" w:usb2="02000000" w:usb3="00000000" w:csb0="2000019F" w:csb1="00000000"/>
    <w:embedRegular r:id="rId3" w:fontKey="{E136AEFB-75B0-4E7A-9BA9-9C99D5DD5A55}"/>
  </w:font>
  <w:font w:name="仿宋_GB2312">
    <w:altName w:val="仿宋"/>
    <w:panose1 w:val="00000000000000000000"/>
    <w:charset w:val="86"/>
    <w:family w:val="modern"/>
    <w:pitch w:val="default"/>
    <w:sig w:usb0="00000000" w:usb1="00000000" w:usb2="00000000" w:usb3="00000000" w:csb0="00040000" w:csb1="00000000"/>
    <w:embedRegular r:id="rId4" w:fontKey="{0AFDD530-CA2C-4070-B2BD-0FF609B0DC52}"/>
  </w:font>
  <w:font w:name="仿宋">
    <w:panose1 w:val="02010609060101010101"/>
    <w:charset w:val="86"/>
    <w:family w:val="modern"/>
    <w:pitch w:val="default"/>
    <w:sig w:usb0="800002BF" w:usb1="38CF7CFA" w:usb2="00000016" w:usb3="00000000" w:csb0="00040001" w:csb1="00000000"/>
    <w:embedRegular r:id="rId5" w:fontKey="{4FDCEDC0-41AF-44FA-8CE0-FF58634CC060}"/>
  </w:font>
  <w:font w:name="Courier New">
    <w:panose1 w:val="02070309020205020404"/>
    <w:charset w:val="00"/>
    <w:family w:val="modern"/>
    <w:pitch w:val="default"/>
    <w:sig w:usb0="E0002EFF" w:usb1="C0007843" w:usb2="00000009" w:usb3="00000000" w:csb0="400001FF" w:csb1="FFFF0000"/>
    <w:embedRegular r:id="rId6" w:fontKey="{EC998060-8591-4EB3-B09E-59B9229A7AB8}"/>
  </w:font>
  <w:font w:name="方正小标宋简体">
    <w:panose1 w:val="02000000000000000000"/>
    <w:charset w:val="86"/>
    <w:family w:val="script"/>
    <w:pitch w:val="default"/>
    <w:sig w:usb0="00000001" w:usb1="08000000" w:usb2="00000000" w:usb3="00000000" w:csb0="00040000" w:csb1="00000000"/>
    <w:embedRegular r:id="rId7" w:fontKey="{F319E43D-D21D-40D6-9726-36B9CB372486}"/>
  </w:font>
  <w:font w:name="楷体">
    <w:panose1 w:val="02010609060101010101"/>
    <w:charset w:val="86"/>
    <w:family w:val="modern"/>
    <w:pitch w:val="default"/>
    <w:sig w:usb0="800002BF" w:usb1="38CF7CFA" w:usb2="00000016" w:usb3="00000000" w:csb0="00040001" w:csb1="00000000"/>
    <w:embedRegular r:id="rId8" w:fontKey="{B70DD97C-7439-41B6-B084-AFED74700D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1M2VjZDNkNmI4OWZkMThmMzE1MjhjOWI3MzQzN2EifQ=="/>
  </w:docVars>
  <w:rsids>
    <w:rsidRoot w:val="00F1361C"/>
    <w:rsid w:val="0000085A"/>
    <w:rsid w:val="000222C6"/>
    <w:rsid w:val="0002549F"/>
    <w:rsid w:val="000409D9"/>
    <w:rsid w:val="000468DB"/>
    <w:rsid w:val="0006487A"/>
    <w:rsid w:val="00065F8F"/>
    <w:rsid w:val="00070A43"/>
    <w:rsid w:val="000768F2"/>
    <w:rsid w:val="00086C7C"/>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177B"/>
    <w:rsid w:val="00132FBB"/>
    <w:rsid w:val="00142216"/>
    <w:rsid w:val="00144D6A"/>
    <w:rsid w:val="0014729F"/>
    <w:rsid w:val="00157BAB"/>
    <w:rsid w:val="001654D1"/>
    <w:rsid w:val="00166D69"/>
    <w:rsid w:val="00171A73"/>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22BEC"/>
    <w:rsid w:val="00235629"/>
    <w:rsid w:val="00253E1F"/>
    <w:rsid w:val="00260C38"/>
    <w:rsid w:val="002616C0"/>
    <w:rsid w:val="00265372"/>
    <w:rsid w:val="002662AA"/>
    <w:rsid w:val="002732B9"/>
    <w:rsid w:val="00280496"/>
    <w:rsid w:val="00287C51"/>
    <w:rsid w:val="00294DC9"/>
    <w:rsid w:val="00295495"/>
    <w:rsid w:val="002A31DE"/>
    <w:rsid w:val="002B2613"/>
    <w:rsid w:val="002C7CD4"/>
    <w:rsid w:val="002D6D05"/>
    <w:rsid w:val="002E1969"/>
    <w:rsid w:val="002F1818"/>
    <w:rsid w:val="002F567B"/>
    <w:rsid w:val="003216A9"/>
    <w:rsid w:val="00335A74"/>
    <w:rsid w:val="0036561B"/>
    <w:rsid w:val="0037013F"/>
    <w:rsid w:val="00380C92"/>
    <w:rsid w:val="003A2370"/>
    <w:rsid w:val="003A484F"/>
    <w:rsid w:val="003A4883"/>
    <w:rsid w:val="003B0BE0"/>
    <w:rsid w:val="003B0C1B"/>
    <w:rsid w:val="003B688C"/>
    <w:rsid w:val="003C0291"/>
    <w:rsid w:val="003C39AE"/>
    <w:rsid w:val="003C7B60"/>
    <w:rsid w:val="003D0C0F"/>
    <w:rsid w:val="003D1FB2"/>
    <w:rsid w:val="003D66DA"/>
    <w:rsid w:val="003E1310"/>
    <w:rsid w:val="003E6F55"/>
    <w:rsid w:val="003E7979"/>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32CC4"/>
    <w:rsid w:val="005664BB"/>
    <w:rsid w:val="00566FFA"/>
    <w:rsid w:val="0057481D"/>
    <w:rsid w:val="0058486E"/>
    <w:rsid w:val="00585B33"/>
    <w:rsid w:val="00587AA4"/>
    <w:rsid w:val="0059014D"/>
    <w:rsid w:val="005B5C64"/>
    <w:rsid w:val="005C5337"/>
    <w:rsid w:val="005C6BD0"/>
    <w:rsid w:val="005D1C86"/>
    <w:rsid w:val="005D1C8B"/>
    <w:rsid w:val="005D468D"/>
    <w:rsid w:val="005D5CED"/>
    <w:rsid w:val="005F1A4C"/>
    <w:rsid w:val="00605688"/>
    <w:rsid w:val="00605D8D"/>
    <w:rsid w:val="006070AF"/>
    <w:rsid w:val="00607E6C"/>
    <w:rsid w:val="006101B1"/>
    <w:rsid w:val="00614E44"/>
    <w:rsid w:val="0062270A"/>
    <w:rsid w:val="00622830"/>
    <w:rsid w:val="00623DA0"/>
    <w:rsid w:val="00627D8A"/>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D24A3"/>
    <w:rsid w:val="006D7147"/>
    <w:rsid w:val="006D7A0B"/>
    <w:rsid w:val="006F020C"/>
    <w:rsid w:val="006F1A42"/>
    <w:rsid w:val="006F5D9B"/>
    <w:rsid w:val="007009B2"/>
    <w:rsid w:val="007127B7"/>
    <w:rsid w:val="0071798E"/>
    <w:rsid w:val="00724000"/>
    <w:rsid w:val="00734B5C"/>
    <w:rsid w:val="007416B6"/>
    <w:rsid w:val="00746F48"/>
    <w:rsid w:val="0075404D"/>
    <w:rsid w:val="0076182A"/>
    <w:rsid w:val="00767B7E"/>
    <w:rsid w:val="00773C57"/>
    <w:rsid w:val="007770C3"/>
    <w:rsid w:val="00784D24"/>
    <w:rsid w:val="00785FBA"/>
    <w:rsid w:val="00786E4A"/>
    <w:rsid w:val="007875EB"/>
    <w:rsid w:val="0079426B"/>
    <w:rsid w:val="007C1278"/>
    <w:rsid w:val="007D1682"/>
    <w:rsid w:val="007D312A"/>
    <w:rsid w:val="007D3F19"/>
    <w:rsid w:val="007D685C"/>
    <w:rsid w:val="007E23B0"/>
    <w:rsid w:val="007E23E5"/>
    <w:rsid w:val="007E51F6"/>
    <w:rsid w:val="007F1991"/>
    <w:rsid w:val="007F2C2F"/>
    <w:rsid w:val="007F55FC"/>
    <w:rsid w:val="007F5665"/>
    <w:rsid w:val="00800112"/>
    <w:rsid w:val="00810C25"/>
    <w:rsid w:val="00813348"/>
    <w:rsid w:val="008253BB"/>
    <w:rsid w:val="00834D85"/>
    <w:rsid w:val="0083706E"/>
    <w:rsid w:val="008408F6"/>
    <w:rsid w:val="008423A5"/>
    <w:rsid w:val="00850625"/>
    <w:rsid w:val="00853718"/>
    <w:rsid w:val="00855221"/>
    <w:rsid w:val="00860645"/>
    <w:rsid w:val="00864082"/>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12C2"/>
    <w:rsid w:val="0096294D"/>
    <w:rsid w:val="0097099F"/>
    <w:rsid w:val="00971997"/>
    <w:rsid w:val="00971FFC"/>
    <w:rsid w:val="0098660A"/>
    <w:rsid w:val="009931C3"/>
    <w:rsid w:val="009951ED"/>
    <w:rsid w:val="009A781C"/>
    <w:rsid w:val="009B2C43"/>
    <w:rsid w:val="009B4EAE"/>
    <w:rsid w:val="009B5E5C"/>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CD5"/>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377F9"/>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1DAD"/>
    <w:rsid w:val="00C03E31"/>
    <w:rsid w:val="00C1671B"/>
    <w:rsid w:val="00C33E72"/>
    <w:rsid w:val="00C354B2"/>
    <w:rsid w:val="00C35554"/>
    <w:rsid w:val="00C42709"/>
    <w:rsid w:val="00C533CC"/>
    <w:rsid w:val="00C56F3A"/>
    <w:rsid w:val="00C5751C"/>
    <w:rsid w:val="00C61BFC"/>
    <w:rsid w:val="00C62B85"/>
    <w:rsid w:val="00C65438"/>
    <w:rsid w:val="00C739F5"/>
    <w:rsid w:val="00C847D0"/>
    <w:rsid w:val="00C85728"/>
    <w:rsid w:val="00C87FD8"/>
    <w:rsid w:val="00C91381"/>
    <w:rsid w:val="00C91CBB"/>
    <w:rsid w:val="00CB4E70"/>
    <w:rsid w:val="00CC09B6"/>
    <w:rsid w:val="00CC6376"/>
    <w:rsid w:val="00CC666F"/>
    <w:rsid w:val="00CD1E3F"/>
    <w:rsid w:val="00CE44F6"/>
    <w:rsid w:val="00CE49DA"/>
    <w:rsid w:val="00CE7B61"/>
    <w:rsid w:val="00CF19ED"/>
    <w:rsid w:val="00D00095"/>
    <w:rsid w:val="00D114F0"/>
    <w:rsid w:val="00D20620"/>
    <w:rsid w:val="00D254F7"/>
    <w:rsid w:val="00D26091"/>
    <w:rsid w:val="00D2685C"/>
    <w:rsid w:val="00D34E7C"/>
    <w:rsid w:val="00D35489"/>
    <w:rsid w:val="00D36AFE"/>
    <w:rsid w:val="00D51276"/>
    <w:rsid w:val="00D6014A"/>
    <w:rsid w:val="00D617F9"/>
    <w:rsid w:val="00D7035F"/>
    <w:rsid w:val="00DA634F"/>
    <w:rsid w:val="00DA65AC"/>
    <w:rsid w:val="00DB1913"/>
    <w:rsid w:val="00DB70A7"/>
    <w:rsid w:val="00DC410D"/>
    <w:rsid w:val="00DC5A81"/>
    <w:rsid w:val="00DC68CA"/>
    <w:rsid w:val="00DC7CBA"/>
    <w:rsid w:val="00DD73B7"/>
    <w:rsid w:val="00DE64F7"/>
    <w:rsid w:val="00DF28BC"/>
    <w:rsid w:val="00DF34B9"/>
    <w:rsid w:val="00DF6773"/>
    <w:rsid w:val="00E01053"/>
    <w:rsid w:val="00E07ACF"/>
    <w:rsid w:val="00E331A1"/>
    <w:rsid w:val="00E33202"/>
    <w:rsid w:val="00E336A9"/>
    <w:rsid w:val="00E472B1"/>
    <w:rsid w:val="00E50624"/>
    <w:rsid w:val="00E54E40"/>
    <w:rsid w:val="00E568DF"/>
    <w:rsid w:val="00E64269"/>
    <w:rsid w:val="00E74949"/>
    <w:rsid w:val="00E82267"/>
    <w:rsid w:val="00E853CE"/>
    <w:rsid w:val="00E867B6"/>
    <w:rsid w:val="00EA010F"/>
    <w:rsid w:val="00EA22F7"/>
    <w:rsid w:val="00ED1B63"/>
    <w:rsid w:val="00ED3C1F"/>
    <w:rsid w:val="00ED4085"/>
    <w:rsid w:val="00ED420E"/>
    <w:rsid w:val="00ED6FBE"/>
    <w:rsid w:val="00EE2F57"/>
    <w:rsid w:val="00EF26DF"/>
    <w:rsid w:val="00EF4C34"/>
    <w:rsid w:val="00EF77C6"/>
    <w:rsid w:val="00F05438"/>
    <w:rsid w:val="00F1361C"/>
    <w:rsid w:val="00F156F0"/>
    <w:rsid w:val="00F160C7"/>
    <w:rsid w:val="00F2408F"/>
    <w:rsid w:val="00F240E9"/>
    <w:rsid w:val="00F36D8F"/>
    <w:rsid w:val="00F417B1"/>
    <w:rsid w:val="00F4578A"/>
    <w:rsid w:val="00F45853"/>
    <w:rsid w:val="00F602DF"/>
    <w:rsid w:val="00F754A1"/>
    <w:rsid w:val="00F81FD9"/>
    <w:rsid w:val="00F841AA"/>
    <w:rsid w:val="00F84A94"/>
    <w:rsid w:val="00F87E96"/>
    <w:rsid w:val="00F96864"/>
    <w:rsid w:val="00FA23E8"/>
    <w:rsid w:val="00FA46C3"/>
    <w:rsid w:val="00FD3CC1"/>
    <w:rsid w:val="00FE7980"/>
    <w:rsid w:val="00FF1E02"/>
    <w:rsid w:val="00FF30B4"/>
    <w:rsid w:val="053A62B5"/>
    <w:rsid w:val="0A2032A3"/>
    <w:rsid w:val="0B8A37D8"/>
    <w:rsid w:val="10C055FF"/>
    <w:rsid w:val="118107EC"/>
    <w:rsid w:val="11DD6519"/>
    <w:rsid w:val="16BB723D"/>
    <w:rsid w:val="18015F3F"/>
    <w:rsid w:val="1BE8440E"/>
    <w:rsid w:val="1D155CEE"/>
    <w:rsid w:val="20F57F95"/>
    <w:rsid w:val="240371BF"/>
    <w:rsid w:val="25711CC6"/>
    <w:rsid w:val="25C741E6"/>
    <w:rsid w:val="27842671"/>
    <w:rsid w:val="29FD04D3"/>
    <w:rsid w:val="2ABE7A3E"/>
    <w:rsid w:val="2CA234A8"/>
    <w:rsid w:val="2EFA178C"/>
    <w:rsid w:val="30B46D73"/>
    <w:rsid w:val="319F7F4E"/>
    <w:rsid w:val="383D272C"/>
    <w:rsid w:val="39AE70AB"/>
    <w:rsid w:val="3C0C0783"/>
    <w:rsid w:val="3F9F3A96"/>
    <w:rsid w:val="48BF60AB"/>
    <w:rsid w:val="493C27E9"/>
    <w:rsid w:val="496F39ED"/>
    <w:rsid w:val="49FF41D3"/>
    <w:rsid w:val="4A984F56"/>
    <w:rsid w:val="4BE068DB"/>
    <w:rsid w:val="4BF6002B"/>
    <w:rsid w:val="4ECE2238"/>
    <w:rsid w:val="51DB4B86"/>
    <w:rsid w:val="55333C3E"/>
    <w:rsid w:val="64CA39A1"/>
    <w:rsid w:val="69630ADE"/>
    <w:rsid w:val="6C4A05C8"/>
    <w:rsid w:val="6D3B1A89"/>
    <w:rsid w:val="71BF4EC2"/>
    <w:rsid w:val="72734D90"/>
    <w:rsid w:val="7412278C"/>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link w:val="32"/>
    <w:qFormat/>
    <w:uiPriority w:val="99"/>
    <w:rPr>
      <w:rFonts w:ascii="宋体" w:hAnsi="Courier New" w:eastAsia="仿宋_GB2312" w:cs="Courier New"/>
      <w:b/>
      <w:sz w:val="32"/>
      <w:szCs w:val="21"/>
    </w:r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autoRedefine/>
    <w:qFormat/>
    <w:uiPriority w:val="0"/>
    <w:pPr>
      <w:widowControl w:val="0"/>
      <w:spacing w:beforeAutospacing="1" w:afterAutospacing="1"/>
    </w:pPr>
    <w:rPr>
      <w:rFonts w:cs="Times New Roman" w:asciiTheme="minorHAnsi" w:hAnsiTheme="minorHAnsi" w:eastAsiaTheme="minorEastAsia"/>
      <w:sz w:val="24"/>
      <w:szCs w:val="24"/>
      <w:lang w:val="en-US" w:eastAsia="zh-CN" w:bidi="ar-SA"/>
    </w:rPr>
  </w:style>
  <w:style w:type="character" w:styleId="16">
    <w:name w:val="Strong"/>
    <w:basedOn w:val="15"/>
    <w:autoRedefine/>
    <w:qFormat/>
    <w:uiPriority w:val="0"/>
    <w:rPr>
      <w:b/>
    </w:rPr>
  </w:style>
  <w:style w:type="character" w:styleId="17">
    <w:name w:val="Hyperlink"/>
    <w:basedOn w:val="15"/>
    <w:autoRedefine/>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autoRedefine/>
    <w:semiHidden/>
    <w:qFormat/>
    <w:uiPriority w:val="99"/>
    <w:rPr>
      <w:rFonts w:ascii="Times New Roman" w:hAnsi="Times New Roman"/>
      <w:sz w:val="18"/>
      <w:szCs w:val="18"/>
    </w:rPr>
  </w:style>
  <w:style w:type="character" w:customStyle="1" w:styleId="21">
    <w:name w:val="页脚 Char"/>
    <w:link w:val="9"/>
    <w:autoRedefine/>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autoRedefine/>
    <w:qFormat/>
    <w:uiPriority w:val="34"/>
    <w:pPr>
      <w:ind w:firstLine="420" w:firstLineChars="200"/>
    </w:pPr>
  </w:style>
  <w:style w:type="character" w:customStyle="1" w:styleId="26">
    <w:name w:val="标题 1 Char"/>
    <w:basedOn w:val="15"/>
    <w:link w:val="3"/>
    <w:autoRedefine/>
    <w:qFormat/>
    <w:uiPriority w:val="9"/>
    <w:rPr>
      <w:rFonts w:ascii="Times New Roman" w:hAnsi="Times New Roman"/>
      <w:b/>
      <w:bCs/>
      <w:kern w:val="44"/>
      <w:sz w:val="44"/>
      <w:szCs w:val="44"/>
    </w:rPr>
  </w:style>
  <w:style w:type="character" w:customStyle="1" w:styleId="27">
    <w:name w:val="标题 2 Char"/>
    <w:basedOn w:val="15"/>
    <w:link w:val="4"/>
    <w:autoRedefine/>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autoRedefine/>
    <w:qFormat/>
    <w:uiPriority w:val="9"/>
    <w:rPr>
      <w:rFonts w:ascii="Times New Roman" w:hAnsi="Times New Roman"/>
      <w:b/>
      <w:bCs/>
      <w:kern w:val="2"/>
      <w:sz w:val="32"/>
      <w:szCs w:val="32"/>
    </w:rPr>
  </w:style>
  <w:style w:type="paragraph" w:customStyle="1" w:styleId="31">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纯文本 Char"/>
    <w:basedOn w:val="15"/>
    <w:link w:val="7"/>
    <w:uiPriority w:val="99"/>
    <w:rPr>
      <w:rFonts w:ascii="宋体" w:hAnsi="Courier New" w:eastAsia="仿宋_GB2312" w:cs="Courier New"/>
      <w:b/>
      <w:kern w:val="2"/>
      <w:sz w:val="32"/>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2ADA74E-0AF6-48B0-A68B-62B8C4B66F3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17</Pages>
  <Words>1084</Words>
  <Characters>6182</Characters>
  <Lines>51</Lines>
  <Paragraphs>14</Paragraphs>
  <TotalTime>24</TotalTime>
  <ScaleCrop>false</ScaleCrop>
  <LinksUpToDate>false</LinksUpToDate>
  <CharactersWithSpaces>7252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2023-10-11T09:28:00Z</dcterms:created>
  <dc:creator>曹颖</dc:creator>
  <cp:lastModifiedBy>罗汉</cp:lastModifiedBy>
  <cp:lastPrinted>2023-10-10T07:44:00Z</cp:lastPrinted>
  <dcterms:modified xsi:type="dcterms:W3CDTF">2023-12-21T07:53:47Z</dcterms:modified>
  <dc:title>四川省***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E541A9F3507F4A80B5B8BE7889EB04D1_12</vt:lpwstr>
  </property>
</Properties>
</file>