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szCs w:val="21"/>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78441"/>
      <w:bookmarkStart w:id="2" w:name="_Toc15396475"/>
      <w:bookmarkStart w:id="3" w:name="_Toc15377193"/>
      <w:bookmarkStart w:id="4" w:name="_Toc15396597"/>
      <w:bookmarkStart w:id="5" w:name="_Toc15377425"/>
      <w:r>
        <w:rPr>
          <w:rFonts w:hint="eastAsia" w:ascii="方正小标宋简体" w:hAnsi="方正小标宋简体" w:eastAsia="方正小标宋简体" w:cs="方正小标宋简体"/>
          <w:sz w:val="72"/>
          <w:szCs w:val="72"/>
        </w:rPr>
        <w:t>2022年度</w:t>
      </w:r>
      <w:bookmarkEnd w:id="1"/>
      <w:bookmarkEnd w:id="2"/>
      <w:bookmarkEnd w:id="3"/>
      <w:bookmarkEnd w:id="4"/>
      <w:bookmarkEnd w:id="5"/>
    </w:p>
    <w:bookmarkEnd w:id="0"/>
    <w:p>
      <w:pPr>
        <w:adjustRightInd w:val="0"/>
        <w:snapToGrid w:val="0"/>
        <w:spacing w:line="360" w:lineRule="auto"/>
        <w:jc w:val="center"/>
        <w:outlineLvl w:val="0"/>
        <w:rPr>
          <w:rFonts w:ascii="黑体" w:hAnsi="黑体" w:eastAsia="黑体"/>
          <w:sz w:val="48"/>
          <w:szCs w:val="48"/>
        </w:rPr>
      </w:pPr>
      <w:bookmarkStart w:id="6" w:name="_Toc15396476"/>
      <w:bookmarkStart w:id="7" w:name="_Toc15377194"/>
      <w:bookmarkStart w:id="8" w:name="_Toc15377426"/>
      <w:bookmarkStart w:id="9" w:name="_Toc15396598"/>
      <w:bookmarkStart w:id="10" w:name="_Toc15378442"/>
      <w:bookmarkStart w:id="11" w:name="_Toc15306268"/>
      <w:r>
        <w:rPr>
          <w:rFonts w:hint="eastAsia" w:ascii="方正小标宋简体" w:hAnsi="方正小标宋简体" w:eastAsia="方正小标宋简体" w:cs="方正小标宋简体"/>
          <w:sz w:val="52"/>
          <w:szCs w:val="52"/>
          <w:lang w:val="en-US" w:eastAsia="zh-CN"/>
        </w:rPr>
        <w:t>四川省剑阁中学校</w:t>
      </w:r>
      <w:r>
        <w:rPr>
          <w:rFonts w:hint="eastAsia" w:ascii="方正小标宋简体" w:hAnsi="方正小标宋简体" w:eastAsia="方正小标宋简体" w:cs="方正小标宋简体"/>
          <w:sz w:val="52"/>
          <w:szCs w:val="52"/>
        </w:rPr>
        <w:t>单位</w:t>
      </w:r>
      <w:r>
        <w:rPr>
          <w:rFonts w:hint="eastAsia" w:ascii="方正小标宋简体" w:hAnsi="方正小标宋简体" w:eastAsia="方正小标宋简体" w:cs="方正小标宋简体"/>
          <w:sz w:val="52"/>
          <w:szCs w:val="52"/>
          <w:lang w:val="en-US" w:eastAsia="zh-CN"/>
        </w:rPr>
        <w:t>决算</w:t>
      </w:r>
      <w:bookmarkEnd w:id="6"/>
      <w:bookmarkEnd w:id="7"/>
      <w:bookmarkEnd w:id="8"/>
      <w:bookmarkEnd w:id="9"/>
      <w:bookmarkEnd w:id="10"/>
      <w:bookmarkEnd w:id="11"/>
      <w:r>
        <w:rPr>
          <w:rFonts w:hint="eastAsia" w:ascii="方正小标宋简体" w:hAnsi="方正小标宋简体" w:eastAsia="方正小标宋简体" w:cs="方正小标宋简体"/>
          <w:sz w:val="52"/>
          <w:szCs w:val="52"/>
          <w:lang w:val="en-US" w:eastAsia="zh-CN"/>
        </w:rPr>
        <w:br w:type="page"/>
      </w:r>
      <w:r>
        <w:rPr>
          <w:rFonts w:hint="eastAsia" w:ascii="黑体" w:hAnsi="黑体" w:eastAsia="黑体"/>
          <w:sz w:val="48"/>
          <w:szCs w:val="48"/>
        </w:rPr>
        <w:t>目录</w:t>
      </w:r>
    </w:p>
    <w:p>
      <w:pPr>
        <w:pStyle w:val="12"/>
      </w:pPr>
      <w:r>
        <w:rPr>
          <w:rFonts w:hint="eastAsia"/>
        </w:rPr>
        <w:t>公开时间：2023年</w:t>
      </w:r>
      <w:r>
        <w:rPr>
          <w:rFonts w:hint="eastAsia"/>
          <w:lang w:val="en-US" w:eastAsia="zh-CN"/>
        </w:rPr>
        <w:t>12</w:t>
      </w:r>
      <w:r>
        <w:rPr>
          <w:rFonts w:hint="eastAsia"/>
        </w:rPr>
        <w:t>月</w:t>
      </w:r>
      <w:r>
        <w:rPr>
          <w:rFonts w:hint="eastAsia"/>
          <w:lang w:val="en-US" w:eastAsia="zh-CN"/>
        </w:rPr>
        <w:t>12</w:t>
      </w:r>
      <w:bookmarkStart w:id="67" w:name="_GoBack"/>
      <w:bookmarkEnd w:id="67"/>
      <w:r>
        <w:rPr>
          <w:rFonts w:hint="eastAsia"/>
        </w:rPr>
        <w:t>日</w:t>
      </w:r>
    </w:p>
    <w:p/>
    <w:p>
      <w:pPr>
        <w:pStyle w:val="12"/>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单位概况</w:t>
      </w:r>
    </w:p>
    <w:p>
      <w:pPr>
        <w:pStyle w:val="13"/>
        <w:adjustRightInd w:val="0"/>
        <w:snapToGrid w:val="0"/>
        <w:spacing w:line="440" w:lineRule="exact"/>
        <w:jc w:val="left"/>
        <w:rPr>
          <w:sz w:val="24"/>
        </w:rPr>
      </w:pPr>
      <w:r>
        <w:rPr>
          <w:rFonts w:hint="eastAsia"/>
          <w:sz w:val="24"/>
        </w:rPr>
        <w:t>一、主要职责及重点</w:t>
      </w:r>
      <w:r>
        <w:rPr>
          <w:sz w:val="24"/>
        </w:rPr>
        <w:t>工作</w:t>
      </w:r>
    </w:p>
    <w:p>
      <w:pPr>
        <w:pStyle w:val="13"/>
        <w:adjustRightInd w:val="0"/>
        <w:snapToGrid w:val="0"/>
        <w:spacing w:line="440" w:lineRule="exact"/>
        <w:jc w:val="left"/>
        <w:rPr>
          <w:sz w:val="24"/>
        </w:rPr>
      </w:pPr>
      <w:r>
        <w:rPr>
          <w:rFonts w:hint="eastAsia"/>
          <w:sz w:val="24"/>
        </w:rPr>
        <w:t>（一）单位</w:t>
      </w:r>
      <w:r>
        <w:rPr>
          <w:sz w:val="24"/>
        </w:rPr>
        <w:t>职责</w:t>
      </w:r>
    </w:p>
    <w:p>
      <w:pPr>
        <w:pStyle w:val="13"/>
        <w:adjustRightInd w:val="0"/>
        <w:snapToGrid w:val="0"/>
        <w:spacing w:line="440" w:lineRule="exact"/>
        <w:jc w:val="left"/>
        <w:rPr>
          <w:rFonts w:hint="eastAsia"/>
          <w:sz w:val="24"/>
        </w:rPr>
      </w:pPr>
      <w:r>
        <w:rPr>
          <w:rFonts w:hint="eastAsia"/>
          <w:sz w:val="24"/>
        </w:rPr>
        <w:t>（二）2022年重点工作完成情况</w:t>
      </w:r>
    </w:p>
    <w:p>
      <w:pPr>
        <w:pStyle w:val="13"/>
        <w:adjustRightInd w:val="0"/>
        <w:snapToGrid w:val="0"/>
        <w:spacing w:line="440" w:lineRule="exact"/>
        <w:jc w:val="left"/>
      </w:pPr>
      <w:r>
        <w:rPr>
          <w:rFonts w:hint="eastAsia"/>
          <w:sz w:val="24"/>
        </w:rPr>
        <w:t>二、机构设置</w:t>
      </w:r>
    </w:p>
    <w:p>
      <w:pPr>
        <w:pStyle w:val="12"/>
        <w:adjustRightInd w:val="0"/>
        <w:snapToGrid w:val="0"/>
        <w:spacing w:before="0" w:line="440" w:lineRule="exact"/>
        <w:jc w:val="left"/>
        <w:rPr>
          <w:sz w:val="24"/>
          <w:szCs w:val="24"/>
        </w:rPr>
      </w:pPr>
      <w:r>
        <w:rPr>
          <w:rFonts w:hint="eastAsia"/>
          <w:sz w:val="24"/>
        </w:rPr>
        <w:t>第二部分 2022年度单位决算情况说明</w:t>
      </w:r>
    </w:p>
    <w:p>
      <w:pPr>
        <w:pStyle w:val="13"/>
        <w:adjustRightInd w:val="0"/>
        <w:snapToGrid w:val="0"/>
        <w:spacing w:line="440" w:lineRule="exact"/>
        <w:jc w:val="left"/>
        <w:rPr>
          <w:rFonts w:ascii="仿宋" w:hAnsi="仿宋" w:eastAsia="仿宋" w:cstheme="minorBidi"/>
          <w:sz w:val="24"/>
        </w:rPr>
      </w:pPr>
      <w:r>
        <w:rPr>
          <w:rFonts w:hint="eastAsia"/>
          <w:sz w:val="24"/>
        </w:rPr>
        <w:t>一、收入支出决算总体情况说明</w:t>
      </w:r>
    </w:p>
    <w:p>
      <w:pPr>
        <w:pStyle w:val="13"/>
        <w:adjustRightInd w:val="0"/>
        <w:snapToGrid w:val="0"/>
        <w:spacing w:line="440" w:lineRule="exact"/>
        <w:jc w:val="left"/>
        <w:rPr>
          <w:rFonts w:ascii="仿宋" w:hAnsi="仿宋" w:eastAsia="仿宋" w:cstheme="minorBidi"/>
          <w:sz w:val="24"/>
        </w:rPr>
      </w:pPr>
      <w:r>
        <w:rPr>
          <w:rFonts w:hint="eastAsia"/>
          <w:sz w:val="24"/>
        </w:rPr>
        <w:t>二、收入决算情况说明</w:t>
      </w:r>
    </w:p>
    <w:p>
      <w:pPr>
        <w:pStyle w:val="13"/>
        <w:adjustRightInd w:val="0"/>
        <w:snapToGrid w:val="0"/>
        <w:spacing w:line="440" w:lineRule="exact"/>
        <w:jc w:val="left"/>
        <w:rPr>
          <w:rFonts w:ascii="仿宋" w:hAnsi="仿宋" w:eastAsia="仿宋" w:cstheme="minorBidi"/>
          <w:sz w:val="24"/>
        </w:rPr>
      </w:pPr>
      <w:r>
        <w:rPr>
          <w:rFonts w:hint="eastAsia"/>
          <w:sz w:val="24"/>
        </w:rPr>
        <w:t>三、支出决算情况说明</w:t>
      </w:r>
    </w:p>
    <w:p>
      <w:pPr>
        <w:pStyle w:val="13"/>
        <w:adjustRightInd w:val="0"/>
        <w:snapToGrid w:val="0"/>
        <w:spacing w:line="440" w:lineRule="exact"/>
        <w:jc w:val="left"/>
        <w:rPr>
          <w:rFonts w:ascii="仿宋" w:hAnsi="仿宋" w:eastAsia="仿宋" w:cstheme="minorBidi"/>
          <w:sz w:val="24"/>
        </w:rPr>
      </w:pPr>
      <w:r>
        <w:rPr>
          <w:rFonts w:hint="eastAsia"/>
          <w:sz w:val="24"/>
        </w:rPr>
        <w:t>四、财政拨款收入支出决算总体情况说明</w:t>
      </w:r>
    </w:p>
    <w:p>
      <w:pPr>
        <w:pStyle w:val="13"/>
        <w:adjustRightInd w:val="0"/>
        <w:snapToGrid w:val="0"/>
        <w:spacing w:line="440" w:lineRule="exact"/>
        <w:jc w:val="left"/>
        <w:rPr>
          <w:rFonts w:ascii="仿宋" w:hAnsi="仿宋" w:eastAsia="仿宋" w:cstheme="minorBidi"/>
          <w:sz w:val="24"/>
        </w:rPr>
      </w:pPr>
      <w:r>
        <w:rPr>
          <w:rFonts w:hint="eastAsia"/>
          <w:sz w:val="24"/>
        </w:rPr>
        <w:t>五、一般公共预算财政拨款支出决算情况说明</w:t>
      </w:r>
    </w:p>
    <w:p>
      <w:pPr>
        <w:pStyle w:val="13"/>
        <w:adjustRightInd w:val="0"/>
        <w:snapToGrid w:val="0"/>
        <w:spacing w:line="440" w:lineRule="exact"/>
        <w:jc w:val="left"/>
        <w:rPr>
          <w:rFonts w:ascii="仿宋" w:hAnsi="仿宋" w:eastAsia="仿宋" w:cstheme="minorBidi"/>
          <w:sz w:val="24"/>
        </w:rPr>
      </w:pPr>
      <w:r>
        <w:rPr>
          <w:rFonts w:hint="eastAsia"/>
          <w:sz w:val="24"/>
        </w:rPr>
        <w:t>六、一般公共预算财政拨款基本支出决算情况说明</w:t>
      </w:r>
    </w:p>
    <w:p>
      <w:pPr>
        <w:pStyle w:val="13"/>
        <w:adjustRightInd w:val="0"/>
        <w:snapToGrid w:val="0"/>
        <w:spacing w:line="440" w:lineRule="exact"/>
        <w:jc w:val="left"/>
        <w:rPr>
          <w:rFonts w:ascii="仿宋" w:hAnsi="仿宋" w:eastAsia="仿宋" w:cstheme="minorBidi"/>
          <w:sz w:val="24"/>
        </w:rPr>
      </w:pPr>
      <w:r>
        <w:rPr>
          <w:rFonts w:hint="eastAsia"/>
          <w:sz w:val="24"/>
        </w:rPr>
        <w:t>七、财政拨款“三公”经费支出决算情况说明</w:t>
      </w:r>
    </w:p>
    <w:p>
      <w:pPr>
        <w:pStyle w:val="13"/>
        <w:adjustRightInd w:val="0"/>
        <w:snapToGrid w:val="0"/>
        <w:spacing w:line="440" w:lineRule="exact"/>
        <w:jc w:val="left"/>
        <w:rPr>
          <w:rFonts w:ascii="仿宋" w:hAnsi="仿宋" w:eastAsia="仿宋" w:cstheme="minorBidi"/>
          <w:sz w:val="24"/>
        </w:rPr>
      </w:pPr>
      <w:r>
        <w:rPr>
          <w:rFonts w:hint="eastAsia"/>
          <w:sz w:val="24"/>
        </w:rPr>
        <w:t>八、政府性基金预算支出决算情况说明</w:t>
      </w:r>
    </w:p>
    <w:p>
      <w:pPr>
        <w:pStyle w:val="13"/>
        <w:adjustRightInd w:val="0"/>
        <w:snapToGrid w:val="0"/>
        <w:spacing w:line="440" w:lineRule="exact"/>
        <w:jc w:val="left"/>
        <w:rPr>
          <w:sz w:val="24"/>
        </w:rPr>
      </w:pPr>
      <w:r>
        <w:rPr>
          <w:rFonts w:hint="eastAsia"/>
          <w:sz w:val="24"/>
        </w:rPr>
        <w:t>九、国有资本经营预算支出决算情况说明</w:t>
      </w:r>
    </w:p>
    <w:p>
      <w:pPr>
        <w:pStyle w:val="13"/>
        <w:adjustRightInd w:val="0"/>
        <w:snapToGrid w:val="0"/>
        <w:spacing w:line="440" w:lineRule="exact"/>
        <w:jc w:val="left"/>
        <w:rPr>
          <w:sz w:val="24"/>
        </w:rPr>
      </w:pPr>
      <w:r>
        <w:rPr>
          <w:rFonts w:hint="eastAsia"/>
          <w:sz w:val="24"/>
        </w:rPr>
        <w:t>十、其他重要事项的情况说明</w:t>
      </w:r>
    </w:p>
    <w:p>
      <w:pPr>
        <w:pStyle w:val="12"/>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p>
    <w:p>
      <w:pPr>
        <w:pStyle w:val="12"/>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w:t>
      </w:r>
    </w:p>
    <w:p>
      <w:pPr>
        <w:pStyle w:val="12"/>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w:t>
      </w:r>
    </w:p>
    <w:p>
      <w:pPr>
        <w:pStyle w:val="13"/>
        <w:adjustRightInd w:val="0"/>
        <w:snapToGrid w:val="0"/>
        <w:spacing w:line="440" w:lineRule="exact"/>
        <w:jc w:val="left"/>
        <w:rPr>
          <w:sz w:val="24"/>
        </w:rPr>
      </w:pPr>
      <w:r>
        <w:rPr>
          <w:rFonts w:hint="eastAsia"/>
          <w:sz w:val="24"/>
        </w:rPr>
        <w:t>一、收入支出决算总表</w:t>
      </w:r>
    </w:p>
    <w:p>
      <w:pPr>
        <w:pStyle w:val="13"/>
        <w:adjustRightInd w:val="0"/>
        <w:snapToGrid w:val="0"/>
        <w:spacing w:line="440" w:lineRule="exact"/>
        <w:jc w:val="left"/>
        <w:rPr>
          <w:sz w:val="24"/>
        </w:rPr>
      </w:pPr>
      <w:r>
        <w:rPr>
          <w:rFonts w:hint="eastAsia"/>
          <w:sz w:val="24"/>
        </w:rPr>
        <w:t>二、收入决算表</w:t>
      </w:r>
    </w:p>
    <w:p>
      <w:pPr>
        <w:pStyle w:val="13"/>
        <w:adjustRightInd w:val="0"/>
        <w:snapToGrid w:val="0"/>
        <w:spacing w:line="440" w:lineRule="exact"/>
        <w:jc w:val="left"/>
        <w:rPr>
          <w:sz w:val="24"/>
        </w:rPr>
      </w:pPr>
      <w:r>
        <w:rPr>
          <w:rFonts w:hint="eastAsia"/>
          <w:sz w:val="24"/>
        </w:rPr>
        <w:t>三、支出决算表</w:t>
      </w:r>
    </w:p>
    <w:p>
      <w:pPr>
        <w:pStyle w:val="13"/>
        <w:adjustRightInd w:val="0"/>
        <w:snapToGrid w:val="0"/>
        <w:spacing w:line="440" w:lineRule="exact"/>
        <w:jc w:val="left"/>
        <w:rPr>
          <w:sz w:val="24"/>
        </w:rPr>
      </w:pPr>
      <w:r>
        <w:rPr>
          <w:rFonts w:hint="eastAsia"/>
          <w:sz w:val="24"/>
        </w:rPr>
        <w:t>四、财政拨款收入支出决算总表</w:t>
      </w:r>
    </w:p>
    <w:p>
      <w:pPr>
        <w:pStyle w:val="13"/>
        <w:adjustRightInd w:val="0"/>
        <w:snapToGrid w:val="0"/>
        <w:spacing w:line="440" w:lineRule="exact"/>
        <w:jc w:val="left"/>
        <w:rPr>
          <w:sz w:val="24"/>
        </w:rPr>
      </w:pPr>
      <w:r>
        <w:rPr>
          <w:rFonts w:hint="eastAsia"/>
          <w:sz w:val="24"/>
        </w:rPr>
        <w:t>五、财政拨款支出决算明细表</w:t>
      </w:r>
    </w:p>
    <w:p>
      <w:pPr>
        <w:pStyle w:val="13"/>
        <w:adjustRightInd w:val="0"/>
        <w:snapToGrid w:val="0"/>
        <w:spacing w:line="440" w:lineRule="exact"/>
        <w:jc w:val="left"/>
        <w:rPr>
          <w:sz w:val="24"/>
        </w:rPr>
      </w:pPr>
      <w:r>
        <w:rPr>
          <w:rFonts w:hint="eastAsia"/>
          <w:sz w:val="24"/>
        </w:rPr>
        <w:t>六、一般公共预算财政拨款支出决算表</w:t>
      </w:r>
    </w:p>
    <w:p>
      <w:pPr>
        <w:pStyle w:val="13"/>
        <w:adjustRightInd w:val="0"/>
        <w:snapToGrid w:val="0"/>
        <w:spacing w:line="440" w:lineRule="exact"/>
        <w:jc w:val="left"/>
        <w:rPr>
          <w:sz w:val="24"/>
        </w:rPr>
      </w:pPr>
      <w:r>
        <w:rPr>
          <w:rFonts w:hint="eastAsia"/>
          <w:sz w:val="24"/>
        </w:rPr>
        <w:t>七、一般公共预算财政拨款支出决算明细表</w:t>
      </w:r>
    </w:p>
    <w:p>
      <w:pPr>
        <w:pStyle w:val="13"/>
        <w:adjustRightInd w:val="0"/>
        <w:snapToGrid w:val="0"/>
        <w:spacing w:line="440" w:lineRule="exact"/>
        <w:jc w:val="left"/>
        <w:rPr>
          <w:sz w:val="24"/>
        </w:rPr>
      </w:pPr>
      <w:r>
        <w:rPr>
          <w:rFonts w:hint="eastAsia"/>
          <w:sz w:val="24"/>
        </w:rPr>
        <w:t>八、一般公共预算财政拨款基本支出决算明细表</w:t>
      </w:r>
    </w:p>
    <w:p>
      <w:pPr>
        <w:pStyle w:val="13"/>
        <w:adjustRightInd w:val="0"/>
        <w:snapToGrid w:val="0"/>
        <w:spacing w:line="440" w:lineRule="exact"/>
        <w:jc w:val="left"/>
        <w:rPr>
          <w:sz w:val="24"/>
        </w:rPr>
      </w:pPr>
      <w:r>
        <w:rPr>
          <w:rFonts w:hint="eastAsia"/>
          <w:sz w:val="24"/>
        </w:rPr>
        <w:t>九、一般公共预算财政拨款项目支出决算表</w:t>
      </w:r>
    </w:p>
    <w:p>
      <w:pPr>
        <w:pStyle w:val="13"/>
        <w:adjustRightInd w:val="0"/>
        <w:snapToGrid w:val="0"/>
        <w:spacing w:line="440" w:lineRule="exact"/>
        <w:jc w:val="left"/>
        <w:rPr>
          <w:sz w:val="24"/>
        </w:rPr>
      </w:pPr>
      <w:r>
        <w:rPr>
          <w:rFonts w:hint="eastAsia"/>
          <w:sz w:val="24"/>
        </w:rPr>
        <w:t>十、政府性基金预算财政拨款收入支出决算表</w:t>
      </w:r>
    </w:p>
    <w:p>
      <w:pPr>
        <w:pStyle w:val="13"/>
        <w:adjustRightInd w:val="0"/>
        <w:snapToGrid w:val="0"/>
        <w:spacing w:line="440" w:lineRule="exact"/>
        <w:jc w:val="left"/>
        <w:rPr>
          <w:sz w:val="24"/>
        </w:rPr>
      </w:pPr>
      <w:r>
        <w:rPr>
          <w:rFonts w:hint="eastAsia"/>
          <w:sz w:val="24"/>
        </w:rPr>
        <w:t>十一、国有资本经营预算财政拨款收入支出决算表</w:t>
      </w:r>
    </w:p>
    <w:p>
      <w:pPr>
        <w:pStyle w:val="13"/>
        <w:adjustRightInd w:val="0"/>
        <w:snapToGrid w:val="0"/>
        <w:spacing w:line="440" w:lineRule="exact"/>
        <w:jc w:val="left"/>
        <w:rPr>
          <w:sz w:val="24"/>
        </w:rPr>
      </w:pPr>
      <w:r>
        <w:rPr>
          <w:rFonts w:hint="eastAsia"/>
          <w:sz w:val="24"/>
        </w:rPr>
        <w:t>十二、国有资本经营预算财政拨款支出决算表</w:t>
      </w:r>
    </w:p>
    <w:p>
      <w:pPr>
        <w:pStyle w:val="13"/>
        <w:adjustRightInd w:val="0"/>
        <w:snapToGrid w:val="0"/>
        <w:spacing w:line="440" w:lineRule="exact"/>
        <w:jc w:val="left"/>
        <w:rPr>
          <w:sz w:val="24"/>
        </w:rPr>
      </w:pPr>
      <w:r>
        <w:rPr>
          <w:rFonts w:hint="eastAsia"/>
          <w:sz w:val="24"/>
        </w:rPr>
        <w:t>十三、财政拨款“三公”经费支出决算表</w:t>
      </w:r>
    </w:p>
    <w:p>
      <w:pPr>
        <w:widowControl/>
        <w:spacing w:line="440" w:lineRule="exact"/>
        <w:jc w:val="left"/>
        <w:rPr>
          <w:rFonts w:ascii="仿宋" w:hAnsi="仿宋" w:eastAsia="仿宋"/>
          <w:bCs/>
          <w:kern w:val="44"/>
          <w:sz w:val="24"/>
        </w:rPr>
      </w:pPr>
      <w:bookmarkStart w:id="12" w:name="_Toc15377196"/>
      <w:bookmarkStart w:id="13" w:name="_Toc15396599"/>
      <w:r>
        <w:rPr>
          <w:rFonts w:ascii="仿宋" w:hAnsi="仿宋" w:eastAsia="仿宋"/>
          <w:b/>
          <w:sz w:val="24"/>
        </w:rPr>
        <w:br w:type="page"/>
      </w:r>
    </w:p>
    <w:p>
      <w:pPr>
        <w:pStyle w:val="4"/>
        <w:pageBreakBefore w:val="0"/>
        <w:kinsoku/>
        <w:wordWrap/>
        <w:overflowPunct/>
        <w:topLinePunct w:val="0"/>
        <w:bidi w:val="0"/>
        <w:adjustRightInd/>
        <w:spacing w:before="0" w:after="0"/>
        <w:jc w:val="center"/>
        <w:textAlignment w:val="auto"/>
        <w:rPr>
          <w:rFonts w:ascii="黑体" w:eastAsia="黑体"/>
          <w:sz w:val="32"/>
          <w:szCs w:val="32"/>
        </w:rPr>
      </w:pPr>
      <w:r>
        <w:rPr>
          <w:rFonts w:hint="eastAsia" w:ascii="黑体" w:hAnsi="黑体" w:eastAsia="黑体"/>
          <w:b w:val="0"/>
        </w:rPr>
        <w:t>第一部分 单位</w:t>
      </w:r>
      <w:r>
        <w:rPr>
          <w:rStyle w:val="27"/>
          <w:rFonts w:hint="eastAsia" w:ascii="黑体" w:hAnsi="黑体" w:eastAsia="黑体"/>
          <w:b w:val="0"/>
          <w:bCs w:val="0"/>
        </w:rPr>
        <w:t>概况</w:t>
      </w:r>
      <w:bookmarkEnd w:id="12"/>
      <w:bookmarkEnd w:id="13"/>
    </w:p>
    <w:p>
      <w:pPr>
        <w:pStyle w:val="5"/>
        <w:pageBreakBefore w:val="0"/>
        <w:numPr>
          <w:ilvl w:val="0"/>
          <w:numId w:val="1"/>
        </w:numPr>
        <w:kinsoku/>
        <w:wordWrap/>
        <w:overflowPunct/>
        <w:topLinePunct w:val="0"/>
        <w:bidi w:val="0"/>
        <w:adjustRightInd/>
        <w:spacing w:before="0" w:after="0"/>
        <w:textAlignment w:val="auto"/>
        <w:rPr>
          <w:rStyle w:val="28"/>
          <w:rFonts w:ascii="黑体" w:hAnsi="黑体" w:eastAsia="黑体"/>
          <w:b w:val="0"/>
          <w:bCs w:val="0"/>
        </w:rPr>
      </w:pPr>
      <w:bookmarkStart w:id="14" w:name="_Toc15377197"/>
      <w:bookmarkStart w:id="15" w:name="_Toc15396600"/>
      <w:r>
        <w:rPr>
          <w:rStyle w:val="28"/>
          <w:rFonts w:hint="eastAsia" w:ascii="黑体" w:hAnsi="黑体" w:eastAsia="黑体"/>
          <w:b w:val="0"/>
          <w:bCs w:val="0"/>
        </w:rPr>
        <w:t>主要职责</w:t>
      </w:r>
      <w:r>
        <w:rPr>
          <w:rStyle w:val="28"/>
          <w:rFonts w:hint="eastAsia" w:ascii="黑体" w:hAnsi="黑体" w:eastAsia="黑体"/>
          <w:b w:val="0"/>
          <w:bCs w:val="0"/>
          <w:lang w:val="en-US" w:eastAsia="zh-CN"/>
        </w:rPr>
        <w:t>及重点工作</w:t>
      </w:r>
    </w:p>
    <w:p>
      <w:pPr>
        <w:keepNext w:val="0"/>
        <w:keepLines w:val="0"/>
        <w:pageBreakBefore w:val="0"/>
        <w:widowControl w:val="0"/>
        <w:kinsoku/>
        <w:wordWrap/>
        <w:overflowPunct/>
        <w:topLinePunct w:val="0"/>
        <w:autoSpaceDE w:val="0"/>
        <w:autoSpaceDN w:val="0"/>
        <w:bidi w:val="0"/>
        <w:adjustRightInd/>
        <w:snapToGrid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（一）单位职责</w:t>
      </w:r>
    </w:p>
    <w:p>
      <w:pPr>
        <w:keepNext w:val="0"/>
        <w:keepLines w:val="0"/>
        <w:pageBreakBefore w:val="0"/>
        <w:widowControl w:val="0"/>
        <w:kinsoku/>
        <w:wordWrap/>
        <w:overflowPunct/>
        <w:topLinePunct w:val="0"/>
        <w:autoSpaceDE w:val="0"/>
        <w:autoSpaceDN w:val="0"/>
        <w:bidi w:val="0"/>
        <w:adjustRightInd/>
        <w:snapToGrid w:val="0"/>
        <w:spacing w:line="560" w:lineRule="exact"/>
        <w:ind w:firstLine="640" w:firstLineChars="200"/>
        <w:textAlignment w:val="auto"/>
        <w:rPr>
          <w:rFonts w:hint="eastAsia" w:ascii="仿宋" w:hAnsi="仿宋" w:eastAsia="仿宋"/>
          <w:bCs/>
          <w:sz w:val="32"/>
          <w:szCs w:val="32"/>
        </w:rPr>
      </w:pPr>
      <w:r>
        <w:rPr>
          <w:rFonts w:hint="eastAsia" w:ascii="仿宋_GB2312" w:hAnsi="仿宋" w:eastAsia="仿宋_GB2312"/>
          <w:sz w:val="32"/>
          <w:szCs w:val="32"/>
        </w:rPr>
        <w:t>四川省剑阁中学校，为四川省二级示范完全中学校，设初中</w:t>
      </w:r>
      <w:r>
        <w:rPr>
          <w:rFonts w:hint="eastAsia" w:ascii="仿宋_GB2312" w:hAnsi="仿宋" w:eastAsia="仿宋_GB2312"/>
          <w:sz w:val="32"/>
          <w:szCs w:val="32"/>
          <w:lang w:val="en-US" w:eastAsia="zh-CN"/>
        </w:rPr>
        <w:t>部</w:t>
      </w:r>
      <w:r>
        <w:rPr>
          <w:rFonts w:hint="eastAsia" w:ascii="仿宋_GB2312" w:hAnsi="仿宋" w:eastAsia="仿宋_GB2312"/>
          <w:sz w:val="32"/>
          <w:szCs w:val="32"/>
        </w:rPr>
        <w:t>和高中部。学校主要职能为：全面贯彻党的教育方针，扎实推进初中和高中基础教育，为高一级学校培养和输送合格人才。</w:t>
      </w:r>
    </w:p>
    <w:p>
      <w:pPr>
        <w:keepNext w:val="0"/>
        <w:keepLines w:val="0"/>
        <w:pageBreakBefore w:val="0"/>
        <w:widowControl w:val="0"/>
        <w:kinsoku/>
        <w:wordWrap/>
        <w:overflowPunct/>
        <w:topLinePunct w:val="0"/>
        <w:autoSpaceDE w:val="0"/>
        <w:autoSpaceDN w:val="0"/>
        <w:bidi w:val="0"/>
        <w:adjustRightInd/>
        <w:snapToGrid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（二）2022年重点工作完成情况</w:t>
      </w:r>
    </w:p>
    <w:p>
      <w:pPr>
        <w:pageBreakBefore w:val="0"/>
        <w:kinsoku/>
        <w:wordWrap/>
        <w:overflowPunct/>
        <w:topLinePunct w:val="0"/>
        <w:bidi w:val="0"/>
        <w:adjustRightInd/>
        <w:ind w:firstLine="640" w:firstLineChars="200"/>
        <w:textAlignment w:val="auto"/>
        <w:rPr>
          <w:rFonts w:hint="eastAsia" w:ascii="仿宋" w:hAnsi="仿宋" w:eastAsia="仿宋"/>
          <w:color w:val="auto"/>
          <w:sz w:val="32"/>
          <w:szCs w:val="32"/>
          <w:lang w:eastAsia="zh-CN"/>
        </w:rPr>
      </w:pPr>
      <w:r>
        <w:rPr>
          <w:rFonts w:hint="eastAsia" w:ascii="仿宋" w:hAnsi="仿宋" w:eastAsia="仿宋"/>
          <w:color w:val="auto"/>
          <w:sz w:val="32"/>
          <w:szCs w:val="32"/>
        </w:rPr>
        <w:t>202</w:t>
      </w:r>
      <w:r>
        <w:rPr>
          <w:rFonts w:hint="eastAsia" w:ascii="仿宋" w:hAnsi="仿宋" w:eastAsia="仿宋"/>
          <w:color w:val="auto"/>
          <w:sz w:val="32"/>
          <w:szCs w:val="32"/>
          <w:lang w:val="en-US" w:eastAsia="zh-CN"/>
        </w:rPr>
        <w:t>2</w:t>
      </w:r>
      <w:r>
        <w:rPr>
          <w:rFonts w:hint="eastAsia" w:ascii="仿宋" w:hAnsi="仿宋" w:eastAsia="仿宋"/>
          <w:color w:val="auto"/>
          <w:sz w:val="32"/>
          <w:szCs w:val="32"/>
        </w:rPr>
        <w:t>年，剑阁中学在上级主管部门的领导和关心下，齐心协力，强化主体责任，落实“一岗双责”，认真执行国家“双减”和“五项管理”相关规定，积极推进学校各项工作有序、有效开展，圆满完成了上级下达的目标任务</w:t>
      </w:r>
      <w:r>
        <w:rPr>
          <w:rFonts w:hint="eastAsia" w:ascii="仿宋" w:hAnsi="仿宋" w:eastAsia="仿宋"/>
          <w:color w:val="auto"/>
          <w:sz w:val="32"/>
          <w:szCs w:val="32"/>
          <w:lang w:eastAsia="zh-CN"/>
        </w:rPr>
        <w:t>。</w:t>
      </w:r>
    </w:p>
    <w:p>
      <w:pPr>
        <w:pageBreakBefore w:val="0"/>
        <w:kinsoku/>
        <w:wordWrap/>
        <w:overflowPunct/>
        <w:topLinePunct w:val="0"/>
        <w:bidi w:val="0"/>
        <w:adjustRightInd/>
        <w:ind w:firstLine="640" w:firstLineChars="200"/>
        <w:textAlignment w:val="auto"/>
        <w:rPr>
          <w:rFonts w:hint="eastAsia" w:ascii="仿宋" w:hAnsi="仿宋" w:eastAsia="仿宋" w:cs="仿宋"/>
          <w:color w:val="auto"/>
          <w:sz w:val="32"/>
          <w:szCs w:val="32"/>
        </w:rPr>
      </w:pPr>
      <w:r>
        <w:rPr>
          <w:rFonts w:hint="eastAsia" w:ascii="仿宋" w:hAnsi="仿宋" w:eastAsia="仿宋"/>
          <w:color w:val="auto"/>
          <w:sz w:val="32"/>
          <w:szCs w:val="32"/>
          <w:lang w:val="en-US" w:eastAsia="zh-CN"/>
        </w:rPr>
        <w:t>2022年</w:t>
      </w:r>
      <w:r>
        <w:rPr>
          <w:rFonts w:hint="eastAsia" w:ascii="仿宋" w:hAnsi="仿宋" w:eastAsia="仿宋" w:cs="宋体"/>
          <w:bCs/>
          <w:color w:val="auto"/>
          <w:sz w:val="32"/>
          <w:szCs w:val="32"/>
        </w:rPr>
        <w:t>高考成绩辉煌。</w:t>
      </w:r>
      <w:r>
        <w:rPr>
          <w:rFonts w:hint="eastAsia" w:ascii="仿宋_GB2312" w:eastAsia="仿宋_GB2312"/>
          <w:color w:val="auto"/>
          <w:sz w:val="32"/>
          <w:szCs w:val="32"/>
        </w:rPr>
        <w:t>2022年高考</w:t>
      </w:r>
      <w:r>
        <w:rPr>
          <w:rFonts w:hint="eastAsia" w:ascii="仿宋" w:hAnsi="仿宋" w:eastAsia="仿宋" w:cs="仿宋"/>
          <w:color w:val="auto"/>
          <w:sz w:val="32"/>
          <w:szCs w:val="32"/>
        </w:rPr>
        <w:t>本科上线779人，一本上线148人。英才班60人，重本上线率98℅，本科上线率100℅。</w:t>
      </w:r>
    </w:p>
    <w:p>
      <w:pPr>
        <w:pageBreakBefore w:val="0"/>
        <w:kinsoku/>
        <w:wordWrap/>
        <w:overflowPunct/>
        <w:topLinePunct w:val="0"/>
        <w:bidi w:val="0"/>
        <w:adjustRightInd/>
        <w:ind w:firstLine="640" w:firstLineChars="200"/>
        <w:textAlignment w:val="auto"/>
      </w:pPr>
      <w:r>
        <w:rPr>
          <w:rFonts w:hint="eastAsia" w:ascii="仿宋_GB2312" w:eastAsia="仿宋_GB2312"/>
          <w:color w:val="auto"/>
          <w:sz w:val="32"/>
          <w:szCs w:val="32"/>
        </w:rPr>
        <w:t>学校再次获得广元市高中素质教育一等奖，中考优生人数、单科成绩连续五年均为全县第一。</w:t>
      </w:r>
    </w:p>
    <w:p>
      <w:pPr>
        <w:pStyle w:val="5"/>
        <w:pageBreakBefore w:val="0"/>
        <w:numPr>
          <w:ilvl w:val="0"/>
          <w:numId w:val="1"/>
        </w:numPr>
        <w:kinsoku/>
        <w:wordWrap/>
        <w:overflowPunct/>
        <w:topLinePunct w:val="0"/>
        <w:bidi w:val="0"/>
        <w:adjustRightInd/>
        <w:spacing w:before="0" w:after="0"/>
        <w:ind w:left="0" w:leftChars="0" w:firstLine="0" w:firstLineChars="0"/>
        <w:textAlignment w:val="auto"/>
        <w:rPr>
          <w:rFonts w:hint="eastAsia" w:ascii="黑体" w:hAnsi="黑体" w:eastAsia="黑体"/>
          <w:b w:val="0"/>
        </w:rPr>
      </w:pPr>
      <w:r>
        <w:rPr>
          <w:rFonts w:hint="eastAsia" w:ascii="黑体" w:hAnsi="黑体" w:eastAsia="黑体"/>
          <w:b w:val="0"/>
        </w:rPr>
        <w:t>机构设置</w:t>
      </w:r>
    </w:p>
    <w:p>
      <w:pPr>
        <w:pageBreakBefore w:val="0"/>
        <w:numPr>
          <w:ilvl w:val="0"/>
          <w:numId w:val="0"/>
        </w:numPr>
        <w:kinsoku/>
        <w:wordWrap/>
        <w:overflowPunct/>
        <w:topLinePunct w:val="0"/>
        <w:bidi w:val="0"/>
        <w:adjustRightInd/>
        <w:snapToGrid w:val="0"/>
        <w:spacing w:line="520" w:lineRule="exact"/>
        <w:ind w:left="0" w:leftChars="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lang w:val="en-US" w:eastAsia="zh-CN"/>
        </w:rPr>
        <w:t>四川省剑阁中学校</w:t>
      </w:r>
      <w:r>
        <w:rPr>
          <w:rFonts w:hint="eastAsia" w:ascii="仿宋_GB2312" w:eastAsia="仿宋_GB2312"/>
          <w:color w:val="000000"/>
          <w:sz w:val="32"/>
          <w:szCs w:val="32"/>
        </w:rPr>
        <w:t>下属二级单位0个，其中行政单位0个，参照公务员法管理的事业单位</w:t>
      </w:r>
      <w:r>
        <w:rPr>
          <w:rFonts w:hint="eastAsia" w:ascii="仿宋_GB2312" w:eastAsia="仿宋_GB2312"/>
          <w:bCs/>
          <w:color w:val="000000"/>
          <w:sz w:val="32"/>
          <w:szCs w:val="32"/>
          <w:lang w:val="en-US" w:eastAsia="zh-CN"/>
        </w:rPr>
        <w:t>0</w:t>
      </w:r>
      <w:r>
        <w:rPr>
          <w:rFonts w:hint="eastAsia" w:ascii="仿宋_GB2312" w:eastAsia="仿宋_GB2312"/>
          <w:color w:val="000000"/>
          <w:sz w:val="32"/>
          <w:szCs w:val="32"/>
        </w:rPr>
        <w:t>个，其他事业单位0个。</w:t>
      </w:r>
    </w:p>
    <w:p>
      <w:pPr>
        <w:pageBreakBefore w:val="0"/>
        <w:numPr>
          <w:ilvl w:val="0"/>
          <w:numId w:val="0"/>
        </w:numPr>
        <w:kinsoku/>
        <w:wordWrap/>
        <w:overflowPunct/>
        <w:topLinePunct w:val="0"/>
        <w:bidi w:val="0"/>
        <w:adjustRightInd/>
        <w:ind w:leftChars="0"/>
        <w:textAlignment w:val="auto"/>
      </w:pPr>
    </w:p>
    <w:bookmarkEnd w:id="14"/>
    <w:bookmarkEnd w:id="15"/>
    <w:p>
      <w:pPr>
        <w:pageBreakBefore w:val="0"/>
        <w:widowControl/>
        <w:kinsoku/>
        <w:wordWrap/>
        <w:overflowPunct/>
        <w:topLinePunct w:val="0"/>
        <w:bidi w:val="0"/>
        <w:adjustRightInd/>
        <w:jc w:val="left"/>
        <w:textAlignment w:val="auto"/>
        <w:rPr>
          <w:rFonts w:ascii="仿宋" w:hAnsi="仿宋" w:eastAsia="仿宋"/>
          <w:kern w:val="0"/>
          <w:sz w:val="32"/>
          <w:szCs w:val="32"/>
        </w:rPr>
      </w:pPr>
      <w:r>
        <w:rPr>
          <w:rFonts w:ascii="仿宋" w:hAnsi="仿宋" w:eastAsia="仿宋"/>
          <w:sz w:val="32"/>
          <w:szCs w:val="32"/>
        </w:rPr>
        <w:br w:type="page"/>
      </w:r>
    </w:p>
    <w:p>
      <w:pPr>
        <w:pStyle w:val="4"/>
        <w:pageBreakBefore w:val="0"/>
        <w:widowControl w:val="0"/>
        <w:kinsoku/>
        <w:wordWrap/>
        <w:overflowPunct/>
        <w:topLinePunct w:val="0"/>
        <w:autoSpaceDE/>
        <w:autoSpaceDN/>
        <w:bidi w:val="0"/>
        <w:adjustRightInd/>
        <w:snapToGrid/>
        <w:spacing w:before="0" w:after="0"/>
        <w:ind w:right="440"/>
        <w:jc w:val="center"/>
        <w:textAlignment w:val="auto"/>
      </w:pPr>
      <w:bookmarkStart w:id="16" w:name="_Toc15377204"/>
      <w:bookmarkStart w:id="17" w:name="_Toc15396602"/>
      <w:r>
        <w:rPr>
          <w:rFonts w:hint="eastAsia" w:ascii="黑体" w:hAnsi="黑体" w:eastAsia="黑体"/>
          <w:b w:val="0"/>
        </w:rPr>
        <w:t>第二部分 2022年度</w:t>
      </w:r>
      <w:r>
        <w:rPr>
          <w:rStyle w:val="27"/>
          <w:rFonts w:hint="eastAsia" w:ascii="黑体" w:hAnsi="黑体" w:eastAsia="黑体"/>
          <w:b w:val="0"/>
          <w:bCs/>
        </w:rPr>
        <w:t>单位决算情况说明</w:t>
      </w:r>
      <w:bookmarkEnd w:id="16"/>
      <w:bookmarkEnd w:id="17"/>
    </w:p>
    <w:p>
      <w:pPr>
        <w:pStyle w:val="26"/>
        <w:pageBreakBefore w:val="0"/>
        <w:widowControl w:val="0"/>
        <w:numPr>
          <w:ilvl w:val="0"/>
          <w:numId w:val="2"/>
        </w:numPr>
        <w:kinsoku/>
        <w:wordWrap/>
        <w:overflowPunct/>
        <w:topLinePunct w:val="0"/>
        <w:autoSpaceDE/>
        <w:autoSpaceDN/>
        <w:bidi w:val="0"/>
        <w:adjustRightInd/>
        <w:snapToGrid/>
        <w:spacing w:line="600" w:lineRule="exact"/>
        <w:ind w:firstLineChars="0"/>
        <w:textAlignment w:val="auto"/>
        <w:outlineLvl w:val="1"/>
        <w:rPr>
          <w:rStyle w:val="28"/>
          <w:rFonts w:ascii="黑体" w:hAnsi="黑体" w:eastAsia="黑体"/>
          <w:b w:val="0"/>
        </w:rPr>
      </w:pPr>
      <w:bookmarkStart w:id="18" w:name="_Toc15396603"/>
      <w:bookmarkStart w:id="19" w:name="_Toc15377205"/>
      <w:r>
        <w:rPr>
          <w:rFonts w:hint="eastAsia" w:ascii="黑体" w:hAnsi="黑体" w:eastAsia="黑体"/>
          <w:sz w:val="32"/>
          <w:szCs w:val="32"/>
        </w:rPr>
        <w:t>收</w:t>
      </w:r>
      <w:r>
        <w:rPr>
          <w:rStyle w:val="28"/>
          <w:rFonts w:hint="eastAsia" w:ascii="黑体" w:hAnsi="黑体" w:eastAsia="黑体"/>
          <w:b w:val="0"/>
        </w:rPr>
        <w:t>入支出决算总体情况说明</w:t>
      </w:r>
      <w:bookmarkEnd w:id="18"/>
      <w:bookmarkEnd w:id="19"/>
    </w:p>
    <w:p>
      <w:pPr>
        <w:spacing w:line="600" w:lineRule="exact"/>
        <w:ind w:firstLine="640" w:firstLineChars="200"/>
        <w:rPr>
          <w:rFonts w:ascii="仿宋" w:hAnsi="仿宋" w:eastAsia="仿宋"/>
          <w:sz w:val="32"/>
          <w:szCs w:val="32"/>
        </w:rPr>
      </w:pPr>
      <w:r>
        <w:rPr>
          <w:rFonts w:hint="eastAsia" w:ascii="仿宋" w:hAnsi="仿宋" w:eastAsia="仿宋"/>
          <w:sz w:val="32"/>
          <w:szCs w:val="32"/>
        </w:rPr>
        <w:t>2022年度收、支总计</w:t>
      </w:r>
      <w:r>
        <w:rPr>
          <w:rFonts w:hint="eastAsia" w:ascii="仿宋_GB2312" w:eastAsia="仿宋_GB2312"/>
          <w:bCs/>
          <w:color w:val="000000"/>
          <w:sz w:val="32"/>
          <w:szCs w:val="32"/>
          <w:lang w:val="en-US" w:eastAsia="zh-CN"/>
        </w:rPr>
        <w:t>7378.30</w:t>
      </w:r>
      <w:r>
        <w:rPr>
          <w:rFonts w:hint="eastAsia" w:ascii="仿宋" w:hAnsi="仿宋" w:eastAsia="仿宋"/>
          <w:sz w:val="32"/>
          <w:szCs w:val="32"/>
        </w:rPr>
        <w:t>万元。与2021年相比，收、支总计各增加</w:t>
      </w:r>
      <w:r>
        <w:rPr>
          <w:rFonts w:hint="eastAsia" w:ascii="仿宋" w:hAnsi="仿宋" w:eastAsia="仿宋"/>
          <w:sz w:val="32"/>
          <w:szCs w:val="32"/>
          <w:lang w:val="en-US" w:eastAsia="zh-CN"/>
        </w:rPr>
        <w:t>873.1</w:t>
      </w:r>
      <w:r>
        <w:rPr>
          <w:rFonts w:hint="eastAsia" w:ascii="仿宋" w:hAnsi="仿宋" w:eastAsia="仿宋"/>
          <w:sz w:val="32"/>
          <w:szCs w:val="32"/>
        </w:rPr>
        <w:t>万元，增长</w:t>
      </w:r>
      <w:r>
        <w:rPr>
          <w:rFonts w:hint="eastAsia" w:ascii="仿宋" w:hAnsi="仿宋" w:eastAsia="仿宋"/>
          <w:sz w:val="32"/>
          <w:szCs w:val="32"/>
          <w:lang w:val="en-US" w:eastAsia="zh-CN"/>
        </w:rPr>
        <w:t>13.42</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cs="仿宋"/>
          <w:color w:val="000000"/>
          <w:sz w:val="32"/>
          <w:szCs w:val="32"/>
        </w:rPr>
        <w:t>教职工工资增长</w:t>
      </w:r>
      <w:r>
        <w:rPr>
          <w:rFonts w:hint="eastAsia" w:ascii="仿宋_GB2312" w:hAnsi="仿宋" w:eastAsia="仿宋_GB2312"/>
          <w:sz w:val="32"/>
          <w:szCs w:val="32"/>
        </w:rPr>
        <w:t>、学生资助</w:t>
      </w:r>
      <w:r>
        <w:rPr>
          <w:rFonts w:hint="eastAsia" w:ascii="仿宋_GB2312" w:hAnsi="仿宋" w:eastAsia="仿宋_GB2312"/>
          <w:sz w:val="32"/>
          <w:szCs w:val="32"/>
          <w:lang w:val="en-US" w:eastAsia="zh-CN"/>
        </w:rPr>
        <w:t>资</w:t>
      </w:r>
      <w:r>
        <w:rPr>
          <w:rFonts w:hint="eastAsia" w:ascii="仿宋_GB2312" w:hAnsi="仿宋" w:eastAsia="仿宋_GB2312"/>
          <w:sz w:val="32"/>
          <w:szCs w:val="32"/>
        </w:rPr>
        <w:t>金</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项目资金</w:t>
      </w:r>
      <w:r>
        <w:rPr>
          <w:rFonts w:hint="eastAsia" w:ascii="仿宋_GB2312" w:hAnsi="仿宋" w:eastAsia="仿宋_GB2312"/>
          <w:sz w:val="32"/>
          <w:szCs w:val="32"/>
        </w:rPr>
        <w:t>增加等。</w:t>
      </w:r>
    </w:p>
    <w:p>
      <w:pPr>
        <w:spacing w:line="600" w:lineRule="exact"/>
        <w:ind w:firstLine="560" w:firstLineChars="200"/>
        <w:rPr>
          <w:rFonts w:hint="eastAsia" w:ascii="仿宋" w:hAnsi="仿宋" w:eastAsia="仿宋"/>
          <w:sz w:val="28"/>
          <w:szCs w:val="28"/>
        </w:rPr>
      </w:pPr>
      <w:r>
        <w:rPr>
          <w:rFonts w:hint="eastAsia" w:ascii="仿宋" w:hAnsi="仿宋" w:eastAsia="仿宋"/>
          <w:sz w:val="28"/>
          <w:szCs w:val="28"/>
        </w:rPr>
        <w:drawing>
          <wp:anchor distT="0" distB="0" distL="114300" distR="114300" simplePos="0" relativeHeight="251659264" behindDoc="1" locked="0" layoutInCell="1" allowOverlap="1">
            <wp:simplePos x="0" y="0"/>
            <wp:positionH relativeFrom="column">
              <wp:posOffset>225425</wp:posOffset>
            </wp:positionH>
            <wp:positionV relativeFrom="paragraph">
              <wp:posOffset>95885</wp:posOffset>
            </wp:positionV>
            <wp:extent cx="4826000" cy="2743200"/>
            <wp:effectExtent l="4445" t="4445" r="15875" b="10795"/>
            <wp:wrapTight wrapText="bothSides">
              <wp:wrapPolygon>
                <wp:start x="-20" y="-35"/>
                <wp:lineTo x="-20" y="21565"/>
                <wp:lineTo x="21535" y="21565"/>
                <wp:lineTo x="21535" y="-35"/>
                <wp:lineTo x="-20" y="-35"/>
              </wp:wrapPolygon>
            </wp:wrapTight>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hint="eastAsia" w:ascii="仿宋" w:hAnsi="仿宋" w:eastAsia="仿宋"/>
          <w:sz w:val="28"/>
          <w:szCs w:val="28"/>
        </w:rPr>
        <w:t>（图1：收、支决算总计变动情况图）（柱状图）</w:t>
      </w:r>
    </w:p>
    <w:p>
      <w:pPr>
        <w:pStyle w:val="26"/>
        <w:numPr>
          <w:ilvl w:val="0"/>
          <w:numId w:val="2"/>
        </w:numPr>
        <w:spacing w:line="600" w:lineRule="exact"/>
        <w:ind w:firstLineChars="0"/>
        <w:outlineLvl w:val="1"/>
        <w:rPr>
          <w:rStyle w:val="28"/>
          <w:rFonts w:ascii="黑体" w:hAnsi="黑体" w:eastAsia="黑体"/>
          <w:b w:val="0"/>
        </w:rPr>
      </w:pPr>
      <w:bookmarkStart w:id="20" w:name="_Toc15396604"/>
      <w:bookmarkStart w:id="21" w:name="_Toc15377206"/>
      <w:r>
        <w:rPr>
          <w:rFonts w:hint="eastAsia" w:ascii="黑体" w:hAnsi="黑体" w:eastAsia="黑体"/>
          <w:sz w:val="32"/>
          <w:szCs w:val="32"/>
        </w:rPr>
        <w:t>收</w:t>
      </w:r>
      <w:r>
        <w:rPr>
          <w:rStyle w:val="28"/>
          <w:rFonts w:hint="eastAsia" w:ascii="黑体" w:hAnsi="黑体" w:eastAsia="黑体"/>
          <w:b w:val="0"/>
        </w:rPr>
        <w:t>入决算情况说明</w:t>
      </w:r>
      <w:bookmarkEnd w:id="20"/>
      <w:bookmarkEnd w:id="21"/>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22年本年收入合计</w:t>
      </w:r>
      <w:r>
        <w:rPr>
          <w:rFonts w:hint="eastAsia" w:ascii="仿宋_GB2312" w:eastAsia="仿宋_GB2312"/>
          <w:bCs/>
          <w:color w:val="000000"/>
          <w:sz w:val="32"/>
          <w:szCs w:val="32"/>
          <w:lang w:val="en-US" w:eastAsia="zh-CN"/>
        </w:rPr>
        <w:t>7378.3</w:t>
      </w:r>
      <w:r>
        <w:rPr>
          <w:rFonts w:hint="eastAsia" w:ascii="仿宋" w:hAnsi="仿宋" w:eastAsia="仿宋"/>
          <w:sz w:val="32"/>
          <w:szCs w:val="32"/>
        </w:rPr>
        <w:t>万元，其中：一般公共预算财政拨款收入</w:t>
      </w:r>
      <w:r>
        <w:rPr>
          <w:rFonts w:hint="eastAsia" w:ascii="仿宋_GB2312" w:eastAsia="仿宋_GB2312"/>
          <w:bCs/>
          <w:color w:val="000000"/>
          <w:sz w:val="32"/>
          <w:szCs w:val="32"/>
          <w:lang w:val="en-US" w:eastAsia="zh-CN"/>
        </w:rPr>
        <w:t>6838.3</w:t>
      </w:r>
      <w:r>
        <w:rPr>
          <w:rFonts w:hint="eastAsia" w:ascii="仿宋" w:hAnsi="仿宋" w:eastAsia="仿宋"/>
          <w:sz w:val="32"/>
          <w:szCs w:val="32"/>
        </w:rPr>
        <w:t>万元，占</w:t>
      </w:r>
      <w:r>
        <w:rPr>
          <w:rFonts w:hint="eastAsia" w:ascii="仿宋_GB2312" w:eastAsia="仿宋_GB2312"/>
          <w:bCs/>
          <w:color w:val="000000"/>
          <w:sz w:val="32"/>
          <w:szCs w:val="32"/>
        </w:rPr>
        <w:t>9</w:t>
      </w:r>
      <w:r>
        <w:rPr>
          <w:rFonts w:hint="eastAsia" w:ascii="仿宋_GB2312" w:eastAsia="仿宋_GB2312"/>
          <w:bCs/>
          <w:color w:val="000000"/>
          <w:sz w:val="32"/>
          <w:szCs w:val="32"/>
          <w:lang w:val="en-US" w:eastAsia="zh-CN"/>
        </w:rPr>
        <w:t>2.68</w:t>
      </w:r>
      <w:r>
        <w:rPr>
          <w:rFonts w:ascii="仿宋_GB2312" w:eastAsia="仿宋_GB2312"/>
          <w:bCs/>
          <w:color w:val="000000"/>
          <w:sz w:val="32"/>
          <w:szCs w:val="32"/>
        </w:rPr>
        <w:t>%</w:t>
      </w:r>
      <w:r>
        <w:rPr>
          <w:rFonts w:hint="eastAsia" w:ascii="仿宋" w:hAnsi="仿宋" w:eastAsia="仿宋"/>
          <w:sz w:val="32"/>
          <w:szCs w:val="32"/>
        </w:rPr>
        <w:t>；政府性基金预算财政拨款收入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；国有资本经营预算财政拨款收入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；上级补助收入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；事业收入</w:t>
      </w:r>
      <w:r>
        <w:rPr>
          <w:rFonts w:hint="eastAsia" w:ascii="仿宋_GB2312" w:eastAsia="仿宋_GB2312"/>
          <w:bCs/>
          <w:color w:val="000000"/>
          <w:sz w:val="32"/>
          <w:szCs w:val="32"/>
          <w:lang w:val="en-US" w:eastAsia="zh-CN"/>
        </w:rPr>
        <w:t>540</w:t>
      </w:r>
      <w:r>
        <w:rPr>
          <w:rFonts w:hint="eastAsia" w:ascii="仿宋" w:hAnsi="仿宋" w:eastAsia="仿宋"/>
          <w:sz w:val="32"/>
          <w:szCs w:val="32"/>
        </w:rPr>
        <w:t>万元，占</w:t>
      </w:r>
      <w:r>
        <w:rPr>
          <w:rFonts w:hint="eastAsia" w:ascii="仿宋" w:hAnsi="仿宋" w:eastAsia="仿宋"/>
          <w:sz w:val="32"/>
          <w:szCs w:val="32"/>
          <w:lang w:val="en-US" w:eastAsia="zh-CN"/>
        </w:rPr>
        <w:t>7.32</w:t>
      </w:r>
      <w:r>
        <w:rPr>
          <w:rFonts w:ascii="仿宋" w:hAnsi="仿宋" w:eastAsia="仿宋"/>
          <w:sz w:val="32"/>
          <w:szCs w:val="32"/>
        </w:rPr>
        <w:t>%</w:t>
      </w:r>
      <w:r>
        <w:rPr>
          <w:rFonts w:hint="eastAsia" w:ascii="仿宋" w:hAnsi="仿宋" w:eastAsia="仿宋"/>
          <w:sz w:val="32"/>
          <w:szCs w:val="32"/>
        </w:rPr>
        <w:t>；经营收入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；附属单位上缴收入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；其他收入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p>
    <w:p>
      <w:pPr>
        <w:spacing w:line="600" w:lineRule="exact"/>
        <w:ind w:firstLine="643" w:firstLineChars="200"/>
        <w:outlineLvl w:val="1"/>
        <w:rPr>
          <w:rFonts w:ascii="仿宋" w:hAnsi="仿宋" w:eastAsia="仿宋"/>
          <w:b/>
          <w:sz w:val="32"/>
          <w:szCs w:val="32"/>
        </w:rPr>
      </w:pPr>
      <w:r>
        <w:rPr>
          <w:rFonts w:hint="eastAsia" w:ascii="仿宋" w:hAnsi="仿宋" w:eastAsia="仿宋"/>
          <w:b/>
          <w:sz w:val="32"/>
          <w:szCs w:val="32"/>
        </w:rPr>
        <w:t>（注：数据来源于财决</w:t>
      </w:r>
      <w:r>
        <w:rPr>
          <w:rFonts w:ascii="仿宋" w:hAnsi="仿宋" w:eastAsia="仿宋"/>
          <w:b/>
          <w:sz w:val="32"/>
          <w:szCs w:val="32"/>
        </w:rPr>
        <w:t>01表</w:t>
      </w:r>
      <w:r>
        <w:rPr>
          <w:rFonts w:hint="eastAsia" w:ascii="仿宋" w:hAnsi="仿宋" w:eastAsia="仿宋"/>
          <w:b/>
          <w:sz w:val="32"/>
          <w:szCs w:val="32"/>
        </w:rPr>
        <w:t>，仅罗列本单位涉及的收</w:t>
      </w:r>
      <w:r>
        <w:drawing>
          <wp:anchor distT="0" distB="0" distL="114300" distR="114300" simplePos="0" relativeHeight="251661312" behindDoc="0" locked="0" layoutInCell="1" allowOverlap="1">
            <wp:simplePos x="0" y="0"/>
            <wp:positionH relativeFrom="column">
              <wp:posOffset>271145</wp:posOffset>
            </wp:positionH>
            <wp:positionV relativeFrom="paragraph">
              <wp:posOffset>530225</wp:posOffset>
            </wp:positionV>
            <wp:extent cx="4826000" cy="2355215"/>
            <wp:effectExtent l="4445" t="4445" r="15875" b="17780"/>
            <wp:wrapSquare wrapText="bothSides"/>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hint="eastAsia" w:ascii="仿宋" w:hAnsi="仿宋" w:eastAsia="仿宋"/>
          <w:b/>
          <w:sz w:val="32"/>
          <w:szCs w:val="32"/>
        </w:rPr>
        <w:t>入。</w:t>
      </w:r>
      <w:r>
        <w:rPr>
          <w:rFonts w:ascii="仿宋" w:hAnsi="仿宋" w:eastAsia="仿宋"/>
          <w:b/>
          <w:sz w:val="32"/>
          <w:szCs w:val="32"/>
        </w:rPr>
        <w:t>）</w:t>
      </w:r>
    </w:p>
    <w:p>
      <w:pPr>
        <w:spacing w:line="600" w:lineRule="exact"/>
        <w:ind w:firstLine="560" w:firstLineChars="200"/>
        <w:jc w:val="center"/>
        <w:rPr>
          <w:rFonts w:hint="eastAsia" w:ascii="仿宋" w:hAnsi="仿宋" w:eastAsia="仿宋"/>
          <w:sz w:val="28"/>
          <w:szCs w:val="28"/>
        </w:rPr>
      </w:pPr>
      <w:r>
        <w:rPr>
          <w:rFonts w:hint="eastAsia" w:ascii="仿宋" w:hAnsi="仿宋" w:eastAsia="仿宋"/>
          <w:sz w:val="28"/>
          <w:szCs w:val="28"/>
        </w:rPr>
        <w:t>（图2：收入决算结构图）（饼状图）</w:t>
      </w:r>
    </w:p>
    <w:p>
      <w:pPr>
        <w:pStyle w:val="26"/>
        <w:numPr>
          <w:ilvl w:val="0"/>
          <w:numId w:val="2"/>
        </w:numPr>
        <w:spacing w:line="600" w:lineRule="exact"/>
        <w:ind w:firstLineChars="0"/>
        <w:outlineLvl w:val="1"/>
        <w:rPr>
          <w:rStyle w:val="28"/>
          <w:rFonts w:ascii="黑体" w:hAnsi="黑体" w:eastAsia="黑体"/>
          <w:b w:val="0"/>
        </w:rPr>
      </w:pPr>
      <w:bookmarkStart w:id="22" w:name="_Toc15377207"/>
      <w:bookmarkStart w:id="23" w:name="_Toc15396605"/>
      <w:r>
        <w:rPr>
          <w:rFonts w:hint="eastAsia" w:ascii="黑体" w:hAnsi="黑体" w:eastAsia="黑体"/>
          <w:sz w:val="32"/>
          <w:szCs w:val="32"/>
        </w:rPr>
        <w:t>支</w:t>
      </w:r>
      <w:r>
        <w:rPr>
          <w:rStyle w:val="28"/>
          <w:rFonts w:hint="eastAsia" w:ascii="黑体" w:hAnsi="黑体" w:eastAsia="黑体"/>
          <w:b w:val="0"/>
        </w:rPr>
        <w:t>出决算情况说明</w:t>
      </w:r>
      <w:bookmarkEnd w:id="22"/>
      <w:bookmarkEnd w:id="23"/>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22年本年支出合计</w:t>
      </w:r>
      <w:r>
        <w:rPr>
          <w:rFonts w:hint="eastAsia" w:ascii="仿宋_GB2312" w:eastAsia="仿宋_GB2312"/>
          <w:bCs/>
          <w:color w:val="auto"/>
          <w:sz w:val="32"/>
          <w:szCs w:val="32"/>
          <w:lang w:val="en-US" w:eastAsia="zh-CN"/>
        </w:rPr>
        <w:t>7378.3</w:t>
      </w:r>
      <w:r>
        <w:rPr>
          <w:rFonts w:hint="eastAsia" w:ascii="仿宋" w:hAnsi="仿宋" w:eastAsia="仿宋"/>
          <w:sz w:val="32"/>
          <w:szCs w:val="32"/>
        </w:rPr>
        <w:t>万元，其中：基本支出</w:t>
      </w:r>
      <w:r>
        <w:rPr>
          <w:rFonts w:hint="eastAsia" w:ascii="仿宋_GB2312" w:eastAsia="仿宋_GB2312"/>
          <w:bCs/>
          <w:color w:val="000000"/>
          <w:sz w:val="32"/>
          <w:szCs w:val="32"/>
          <w:lang w:val="en-US" w:eastAsia="zh-CN"/>
        </w:rPr>
        <w:t>6885.3</w:t>
      </w:r>
      <w:r>
        <w:rPr>
          <w:rFonts w:hint="eastAsia" w:ascii="仿宋" w:hAnsi="仿宋" w:eastAsia="仿宋"/>
          <w:sz w:val="32"/>
          <w:szCs w:val="32"/>
        </w:rPr>
        <w:t>万元，占</w:t>
      </w:r>
      <w:r>
        <w:rPr>
          <w:rFonts w:hint="eastAsia" w:ascii="仿宋" w:hAnsi="仿宋" w:eastAsia="仿宋"/>
          <w:sz w:val="32"/>
          <w:szCs w:val="32"/>
          <w:lang w:val="en-US" w:eastAsia="zh-CN"/>
        </w:rPr>
        <w:t>93.32</w:t>
      </w:r>
      <w:r>
        <w:rPr>
          <w:rFonts w:ascii="仿宋" w:hAnsi="仿宋" w:eastAsia="仿宋"/>
          <w:sz w:val="32"/>
          <w:szCs w:val="32"/>
        </w:rPr>
        <w:t>%</w:t>
      </w:r>
      <w:r>
        <w:rPr>
          <w:rFonts w:hint="eastAsia" w:ascii="仿宋" w:hAnsi="仿宋" w:eastAsia="仿宋"/>
          <w:sz w:val="32"/>
          <w:szCs w:val="32"/>
        </w:rPr>
        <w:t>；项目支出</w:t>
      </w:r>
      <w:r>
        <w:rPr>
          <w:rFonts w:hint="eastAsia" w:ascii="仿宋_GB2312" w:eastAsia="仿宋_GB2312"/>
          <w:bCs/>
          <w:color w:val="000000"/>
          <w:sz w:val="32"/>
          <w:szCs w:val="32"/>
          <w:lang w:val="en-US" w:eastAsia="zh-CN"/>
        </w:rPr>
        <w:t>493</w:t>
      </w:r>
      <w:r>
        <w:rPr>
          <w:rFonts w:hint="eastAsia" w:ascii="仿宋" w:hAnsi="仿宋" w:eastAsia="仿宋"/>
          <w:sz w:val="32"/>
          <w:szCs w:val="32"/>
        </w:rPr>
        <w:t>万元，占</w:t>
      </w:r>
      <w:r>
        <w:rPr>
          <w:rFonts w:hint="eastAsia" w:ascii="仿宋" w:hAnsi="仿宋" w:eastAsia="仿宋"/>
          <w:sz w:val="32"/>
          <w:szCs w:val="32"/>
          <w:lang w:val="en-US" w:eastAsia="zh-CN"/>
        </w:rPr>
        <w:t>6.68</w:t>
      </w:r>
      <w:r>
        <w:rPr>
          <w:rFonts w:ascii="仿宋" w:hAnsi="仿宋" w:eastAsia="仿宋"/>
          <w:sz w:val="32"/>
          <w:szCs w:val="32"/>
        </w:rPr>
        <w:t>%</w:t>
      </w:r>
      <w:r>
        <w:rPr>
          <w:rFonts w:hint="eastAsia" w:ascii="仿宋" w:hAnsi="仿宋" w:eastAsia="仿宋"/>
          <w:sz w:val="32"/>
          <w:szCs w:val="32"/>
        </w:rPr>
        <w:t>；上缴上级支出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；对附属单位补助支出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p>
    <w:p>
      <w:pPr>
        <w:spacing w:line="600" w:lineRule="exact"/>
        <w:ind w:firstLine="643" w:firstLineChars="200"/>
        <w:outlineLvl w:val="1"/>
        <w:rPr>
          <w:rFonts w:ascii="仿宋" w:hAnsi="仿宋" w:eastAsia="仿宋"/>
          <w:b/>
          <w:sz w:val="32"/>
          <w:szCs w:val="32"/>
        </w:rPr>
      </w:pPr>
      <w:r>
        <w:rPr>
          <w:rFonts w:hint="eastAsia" w:ascii="仿宋" w:hAnsi="仿宋" w:eastAsia="仿宋"/>
          <w:b/>
          <w:sz w:val="32"/>
          <w:szCs w:val="32"/>
        </w:rPr>
        <w:t>（注：数据来源于财决</w:t>
      </w:r>
      <w:r>
        <w:rPr>
          <w:rFonts w:ascii="仿宋" w:hAnsi="仿宋" w:eastAsia="仿宋"/>
          <w:b/>
          <w:sz w:val="32"/>
          <w:szCs w:val="32"/>
        </w:rPr>
        <w:t>04</w:t>
      </w:r>
      <w:r>
        <w:rPr>
          <w:rFonts w:hint="eastAsia" w:ascii="仿宋" w:hAnsi="仿宋" w:eastAsia="仿宋"/>
          <w:b/>
          <w:sz w:val="32"/>
          <w:szCs w:val="32"/>
        </w:rPr>
        <w:t>表，仅罗列本单位涉及的支出。）</w:t>
      </w:r>
    </w:p>
    <w:p>
      <w:pPr>
        <w:spacing w:line="600" w:lineRule="exact"/>
        <w:ind w:firstLine="640"/>
        <w:rPr>
          <w:rFonts w:ascii="仿宋" w:hAnsi="仿宋" w:eastAsia="仿宋"/>
          <w:sz w:val="32"/>
          <w:szCs w:val="32"/>
          <w:shd w:val="pct10" w:color="auto" w:fill="FFFFFF"/>
        </w:rPr>
      </w:pPr>
      <w:r>
        <w:drawing>
          <wp:anchor distT="0" distB="0" distL="114300" distR="114300" simplePos="0" relativeHeight="251660288" behindDoc="0" locked="0" layoutInCell="1" allowOverlap="1">
            <wp:simplePos x="0" y="0"/>
            <wp:positionH relativeFrom="column">
              <wp:posOffset>448310</wp:posOffset>
            </wp:positionH>
            <wp:positionV relativeFrom="paragraph">
              <wp:posOffset>-156210</wp:posOffset>
            </wp:positionV>
            <wp:extent cx="4247515" cy="2240280"/>
            <wp:effectExtent l="5080" t="4445" r="14605" b="10795"/>
            <wp:wrapSquare wrapText="bothSides"/>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rPr>
          <w:rFonts w:ascii="仿宋" w:hAnsi="仿宋" w:eastAsia="仿宋"/>
          <w:sz w:val="32"/>
          <w:szCs w:val="32"/>
          <w:shd w:val="pct10" w:color="auto" w:fill="FFFFFF"/>
        </w:rPr>
      </w:pPr>
    </w:p>
    <w:p>
      <w:pPr>
        <w:spacing w:line="600" w:lineRule="exact"/>
        <w:ind w:firstLine="640"/>
        <w:rPr>
          <w:rFonts w:ascii="仿宋" w:hAnsi="仿宋" w:eastAsia="仿宋"/>
          <w:sz w:val="32"/>
          <w:szCs w:val="32"/>
          <w:shd w:val="pct10" w:color="auto" w:fill="FFFFFF"/>
        </w:rPr>
      </w:pPr>
    </w:p>
    <w:p>
      <w:pPr>
        <w:spacing w:line="600" w:lineRule="exact"/>
        <w:ind w:firstLine="640"/>
        <w:rPr>
          <w:rFonts w:ascii="仿宋" w:hAnsi="仿宋" w:eastAsia="仿宋"/>
          <w:sz w:val="32"/>
          <w:szCs w:val="32"/>
          <w:shd w:val="pct10" w:color="auto" w:fill="FFFFFF"/>
        </w:rPr>
      </w:pPr>
    </w:p>
    <w:p>
      <w:pPr>
        <w:spacing w:line="600" w:lineRule="exact"/>
        <w:ind w:firstLine="640"/>
        <w:rPr>
          <w:rFonts w:ascii="仿宋" w:hAnsi="仿宋" w:eastAsia="仿宋"/>
          <w:sz w:val="32"/>
          <w:szCs w:val="32"/>
          <w:shd w:val="pct10" w:color="auto" w:fill="FFFFFF"/>
        </w:rPr>
      </w:pPr>
    </w:p>
    <w:p>
      <w:pPr>
        <w:spacing w:line="600" w:lineRule="exact"/>
        <w:ind w:firstLine="640"/>
        <w:rPr>
          <w:rFonts w:ascii="仿宋" w:hAnsi="仿宋" w:eastAsia="仿宋"/>
          <w:sz w:val="32"/>
          <w:szCs w:val="32"/>
          <w:shd w:val="pct10" w:color="auto" w:fill="FFFFFF"/>
        </w:rPr>
      </w:pPr>
    </w:p>
    <w:p>
      <w:pPr>
        <w:spacing w:line="600" w:lineRule="exact"/>
        <w:ind w:firstLine="560" w:firstLineChars="200"/>
        <w:jc w:val="center"/>
        <w:rPr>
          <w:rFonts w:hint="eastAsia" w:ascii="仿宋" w:hAnsi="仿宋" w:eastAsia="仿宋"/>
          <w:sz w:val="28"/>
          <w:szCs w:val="28"/>
        </w:rPr>
      </w:pPr>
      <w:r>
        <w:rPr>
          <w:rFonts w:hint="eastAsia" w:ascii="仿宋" w:hAnsi="仿宋" w:eastAsia="仿宋"/>
          <w:sz w:val="28"/>
          <w:szCs w:val="28"/>
        </w:rPr>
        <w:t>（图3：支出决算结构图）（饼状图）</w:t>
      </w:r>
    </w:p>
    <w:p>
      <w:pPr>
        <w:spacing w:line="600" w:lineRule="exact"/>
        <w:ind w:firstLine="640" w:firstLineChars="200"/>
        <w:outlineLvl w:val="1"/>
        <w:rPr>
          <w:rStyle w:val="28"/>
          <w:rFonts w:ascii="黑体" w:hAnsi="黑体" w:eastAsia="黑体"/>
          <w:b w:val="0"/>
        </w:rPr>
      </w:pPr>
      <w:bookmarkStart w:id="24" w:name="_Toc15377208"/>
      <w:bookmarkStart w:id="25" w:name="_Toc15396606"/>
      <w:r>
        <w:rPr>
          <w:rFonts w:hint="eastAsia" w:ascii="黑体" w:hAnsi="黑体" w:eastAsia="黑体"/>
          <w:sz w:val="32"/>
          <w:szCs w:val="32"/>
        </w:rPr>
        <w:t>四、财</w:t>
      </w:r>
      <w:r>
        <w:rPr>
          <w:rStyle w:val="28"/>
          <w:rFonts w:hint="eastAsia" w:ascii="黑体" w:hAnsi="黑体" w:eastAsia="黑体"/>
          <w:b w:val="0"/>
        </w:rPr>
        <w:t>政拨款收入支出决算总体情况说明</w:t>
      </w:r>
      <w:bookmarkEnd w:id="24"/>
      <w:bookmarkEnd w:id="25"/>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22年财政拨款收、支总计</w:t>
      </w:r>
      <w:r>
        <w:rPr>
          <w:rFonts w:hint="eastAsia" w:ascii="仿宋_GB2312" w:eastAsia="仿宋_GB2312"/>
          <w:bCs/>
          <w:color w:val="000000"/>
          <w:sz w:val="32"/>
          <w:szCs w:val="32"/>
          <w:lang w:val="en-US" w:eastAsia="zh-CN"/>
        </w:rPr>
        <w:t>6838.3</w:t>
      </w:r>
      <w:r>
        <w:rPr>
          <w:rFonts w:hint="eastAsia" w:ascii="仿宋" w:hAnsi="仿宋" w:eastAsia="仿宋"/>
          <w:sz w:val="32"/>
          <w:szCs w:val="32"/>
        </w:rPr>
        <w:t>万元。与</w:t>
      </w:r>
      <w:r>
        <w:rPr>
          <w:rFonts w:ascii="仿宋" w:hAnsi="仿宋" w:eastAsia="仿宋"/>
          <w:sz w:val="32"/>
          <w:szCs w:val="32"/>
        </w:rPr>
        <w:t>20</w:t>
      </w:r>
      <w:r>
        <w:rPr>
          <w:rFonts w:hint="eastAsia" w:ascii="仿宋" w:hAnsi="仿宋" w:eastAsia="仿宋"/>
          <w:sz w:val="32"/>
          <w:szCs w:val="32"/>
        </w:rPr>
        <w:t>21年相比，财政拨款收、支总计各增加</w:t>
      </w:r>
      <w:r>
        <w:rPr>
          <w:rFonts w:hint="eastAsia" w:ascii="仿宋" w:hAnsi="仿宋" w:eastAsia="仿宋"/>
          <w:sz w:val="32"/>
          <w:szCs w:val="32"/>
          <w:lang w:val="en-US" w:eastAsia="zh-CN"/>
        </w:rPr>
        <w:t>869.1</w:t>
      </w:r>
      <w:r>
        <w:rPr>
          <w:rFonts w:hint="eastAsia" w:ascii="仿宋" w:hAnsi="仿宋" w:eastAsia="仿宋"/>
          <w:sz w:val="32"/>
          <w:szCs w:val="32"/>
        </w:rPr>
        <w:t>万元，增长</w:t>
      </w:r>
      <w:r>
        <w:rPr>
          <w:rFonts w:hint="eastAsia" w:ascii="仿宋" w:hAnsi="仿宋" w:eastAsia="仿宋"/>
          <w:sz w:val="32"/>
          <w:szCs w:val="32"/>
          <w:lang w:val="en-US" w:eastAsia="zh-CN"/>
        </w:rPr>
        <w:t>14.56</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cs="仿宋"/>
          <w:color w:val="000000"/>
          <w:sz w:val="32"/>
          <w:szCs w:val="32"/>
        </w:rPr>
        <w:t>教职工工资增长</w:t>
      </w:r>
      <w:r>
        <w:rPr>
          <w:rFonts w:hint="eastAsia" w:ascii="仿宋_GB2312" w:hAnsi="仿宋" w:eastAsia="仿宋_GB2312"/>
          <w:sz w:val="32"/>
          <w:szCs w:val="32"/>
        </w:rPr>
        <w:t>、学生资助</w:t>
      </w:r>
      <w:r>
        <w:rPr>
          <w:rFonts w:hint="eastAsia" w:ascii="仿宋_GB2312" w:hAnsi="仿宋" w:eastAsia="仿宋_GB2312"/>
          <w:sz w:val="32"/>
          <w:szCs w:val="32"/>
          <w:lang w:val="en-US" w:eastAsia="zh-CN"/>
        </w:rPr>
        <w:t>资</w:t>
      </w:r>
      <w:r>
        <w:rPr>
          <w:rFonts w:hint="eastAsia" w:ascii="仿宋_GB2312" w:hAnsi="仿宋" w:eastAsia="仿宋_GB2312"/>
          <w:sz w:val="32"/>
          <w:szCs w:val="32"/>
        </w:rPr>
        <w:t>金</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项目资金</w:t>
      </w:r>
      <w:r>
        <w:rPr>
          <w:rFonts w:hint="eastAsia" w:ascii="仿宋_GB2312" w:hAnsi="仿宋" w:eastAsia="仿宋_GB2312"/>
          <w:sz w:val="32"/>
          <w:szCs w:val="32"/>
        </w:rPr>
        <w:t>增加等。</w:t>
      </w:r>
    </w:p>
    <w:p>
      <w:pPr>
        <w:spacing w:line="600" w:lineRule="exact"/>
        <w:ind w:firstLine="640"/>
        <w:rPr>
          <w:rFonts w:ascii="仿宋" w:hAnsi="仿宋" w:eastAsia="仿宋"/>
          <w:b/>
          <w:sz w:val="32"/>
          <w:szCs w:val="32"/>
        </w:rPr>
      </w:pPr>
      <w:r>
        <w:rPr>
          <w:rFonts w:hint="eastAsia" w:ascii="仿宋" w:hAnsi="仿宋" w:eastAsia="仿宋"/>
          <w:b/>
          <w:sz w:val="32"/>
          <w:szCs w:val="32"/>
        </w:rPr>
        <w:t>（注：数据来源于财决</w:t>
      </w:r>
      <w:r>
        <w:rPr>
          <w:rFonts w:ascii="仿宋" w:hAnsi="仿宋" w:eastAsia="仿宋"/>
          <w:b/>
          <w:sz w:val="32"/>
          <w:szCs w:val="32"/>
        </w:rPr>
        <w:t>01-1</w:t>
      </w:r>
      <w:r>
        <w:rPr>
          <w:rFonts w:hint="eastAsia" w:ascii="仿宋" w:hAnsi="仿宋" w:eastAsia="仿宋"/>
          <w:b/>
          <w:sz w:val="32"/>
          <w:szCs w:val="32"/>
        </w:rPr>
        <w:t>表</w:t>
      </w:r>
      <w:r>
        <w:rPr>
          <w:rFonts w:ascii="仿宋" w:hAnsi="仿宋" w:eastAsia="仿宋"/>
          <w:b/>
          <w:sz w:val="32"/>
          <w:szCs w:val="32"/>
        </w:rPr>
        <w:t>）</w:t>
      </w:r>
    </w:p>
    <w:p>
      <w:pPr>
        <w:spacing w:line="600" w:lineRule="exact"/>
        <w:rPr>
          <w:rFonts w:ascii="仿宋" w:hAnsi="仿宋" w:eastAsia="仿宋"/>
          <w:sz w:val="32"/>
          <w:szCs w:val="32"/>
        </w:rPr>
      </w:pPr>
      <w:r>
        <w:drawing>
          <wp:anchor distT="0" distB="0" distL="114300" distR="114300" simplePos="0" relativeHeight="251662336" behindDoc="1" locked="0" layoutInCell="1" allowOverlap="1">
            <wp:simplePos x="0" y="0"/>
            <wp:positionH relativeFrom="column">
              <wp:posOffset>271145</wp:posOffset>
            </wp:positionH>
            <wp:positionV relativeFrom="paragraph">
              <wp:posOffset>133985</wp:posOffset>
            </wp:positionV>
            <wp:extent cx="4696460" cy="1920240"/>
            <wp:effectExtent l="4445" t="4445" r="8255" b="56515"/>
            <wp:wrapTight wrapText="bothSides">
              <wp:wrapPolygon>
                <wp:start x="-20" y="-50"/>
                <wp:lineTo x="-20" y="21550"/>
                <wp:lineTo x="21568" y="21550"/>
                <wp:lineTo x="21568" y="-50"/>
                <wp:lineTo x="-20" y="-50"/>
              </wp:wrapPolygon>
            </wp:wrapTight>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ind w:firstLine="560" w:firstLineChars="200"/>
        <w:jc w:val="center"/>
        <w:rPr>
          <w:rFonts w:hint="eastAsia" w:ascii="仿宋" w:hAnsi="仿宋" w:eastAsia="仿宋"/>
          <w:sz w:val="28"/>
          <w:szCs w:val="28"/>
        </w:rPr>
      </w:pPr>
      <w:r>
        <w:rPr>
          <w:rFonts w:hint="eastAsia" w:ascii="仿宋" w:hAnsi="仿宋" w:eastAsia="仿宋"/>
          <w:sz w:val="28"/>
          <w:szCs w:val="28"/>
        </w:rPr>
        <w:t>（图4：财政拨款收、支决算总计变动情况）（柱状图）</w:t>
      </w:r>
    </w:p>
    <w:p>
      <w:pPr>
        <w:spacing w:line="600" w:lineRule="exact"/>
        <w:ind w:firstLine="640" w:firstLineChars="200"/>
        <w:outlineLvl w:val="1"/>
        <w:rPr>
          <w:rStyle w:val="28"/>
          <w:rFonts w:ascii="黑体" w:hAnsi="黑体" w:eastAsia="黑体"/>
          <w:b w:val="0"/>
        </w:rPr>
      </w:pPr>
      <w:bookmarkStart w:id="26" w:name="_Toc15377209"/>
      <w:bookmarkStart w:id="27" w:name="_Toc15396607"/>
      <w:r>
        <w:rPr>
          <w:rFonts w:hint="eastAsia" w:ascii="黑体" w:hAnsi="黑体" w:eastAsia="黑体"/>
          <w:sz w:val="32"/>
          <w:szCs w:val="32"/>
        </w:rPr>
        <w:t>五、</w:t>
      </w:r>
      <w:r>
        <w:rPr>
          <w:rFonts w:hint="eastAsia" w:ascii="黑体" w:hAnsi="黑体" w:eastAsia="黑体"/>
          <w:b/>
          <w:sz w:val="32"/>
          <w:szCs w:val="32"/>
        </w:rPr>
        <w:t>一</w:t>
      </w:r>
      <w:r>
        <w:rPr>
          <w:rStyle w:val="28"/>
          <w:rFonts w:hint="eastAsia" w:ascii="黑体" w:hAnsi="黑体" w:eastAsia="黑体"/>
          <w:b w:val="0"/>
        </w:rPr>
        <w:t>般公共预算财政拨款支出决算情况说明</w:t>
      </w:r>
      <w:bookmarkEnd w:id="26"/>
      <w:bookmarkEnd w:id="27"/>
    </w:p>
    <w:p>
      <w:pPr>
        <w:spacing w:line="600" w:lineRule="exact"/>
        <w:ind w:firstLine="643" w:firstLineChars="200"/>
        <w:outlineLvl w:val="2"/>
        <w:rPr>
          <w:rFonts w:ascii="仿宋" w:hAnsi="仿宋" w:eastAsia="仿宋"/>
          <w:b/>
          <w:sz w:val="32"/>
          <w:szCs w:val="32"/>
        </w:rPr>
      </w:pPr>
      <w:bookmarkStart w:id="28" w:name="_Toc15377210"/>
      <w:r>
        <w:rPr>
          <w:rFonts w:hint="eastAsia" w:ascii="仿宋" w:hAnsi="仿宋" w:eastAsia="仿宋"/>
          <w:b/>
          <w:sz w:val="32"/>
          <w:szCs w:val="32"/>
        </w:rPr>
        <w:t>（一）一般公共预算财政拨款支出决算总体情况</w:t>
      </w:r>
      <w:bookmarkEnd w:id="28"/>
    </w:p>
    <w:p>
      <w:pPr>
        <w:spacing w:line="600" w:lineRule="exact"/>
        <w:ind w:firstLine="640" w:firstLineChars="200"/>
        <w:rPr>
          <w:rFonts w:hint="eastAsia" w:ascii="仿宋_GB2312" w:hAnsi="仿宋" w:eastAsia="仿宋_GB2312"/>
          <w:sz w:val="32"/>
          <w:szCs w:val="32"/>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_GB2312" w:eastAsia="仿宋_GB2312"/>
          <w:bCs/>
          <w:color w:val="000000"/>
          <w:sz w:val="32"/>
          <w:szCs w:val="32"/>
          <w:lang w:val="en-US" w:eastAsia="zh-CN"/>
        </w:rPr>
        <w:t>6838.3</w:t>
      </w:r>
      <w:r>
        <w:rPr>
          <w:rFonts w:hint="eastAsia" w:ascii="仿宋" w:hAnsi="仿宋" w:eastAsia="仿宋"/>
          <w:sz w:val="32"/>
          <w:szCs w:val="32"/>
        </w:rPr>
        <w:t>万元，占本年支出合计的</w:t>
      </w:r>
      <w:r>
        <w:rPr>
          <w:rFonts w:hint="eastAsia" w:ascii="仿宋" w:hAnsi="仿宋" w:eastAsia="仿宋"/>
          <w:sz w:val="32"/>
          <w:szCs w:val="32"/>
          <w:lang w:val="en-US" w:eastAsia="zh-CN"/>
        </w:rPr>
        <w:t>93.32</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21年相比，一般公共预算财政拨款支出增加</w:t>
      </w:r>
      <w:r>
        <w:rPr>
          <w:rFonts w:hint="eastAsia" w:ascii="仿宋" w:hAnsi="仿宋" w:eastAsia="仿宋"/>
          <w:sz w:val="32"/>
          <w:szCs w:val="32"/>
          <w:lang w:val="en-US" w:eastAsia="zh-CN"/>
        </w:rPr>
        <w:t>869.1</w:t>
      </w:r>
      <w:r>
        <w:rPr>
          <w:rFonts w:hint="eastAsia" w:ascii="仿宋" w:hAnsi="仿宋" w:eastAsia="仿宋"/>
          <w:sz w:val="32"/>
          <w:szCs w:val="32"/>
        </w:rPr>
        <w:t>万元，增长</w:t>
      </w:r>
      <w:r>
        <w:rPr>
          <w:rFonts w:hint="eastAsia" w:ascii="仿宋" w:hAnsi="仿宋" w:eastAsia="仿宋"/>
          <w:sz w:val="32"/>
          <w:szCs w:val="32"/>
          <w:lang w:val="en-US" w:eastAsia="zh-CN"/>
        </w:rPr>
        <w:t>14.56</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cs="仿宋"/>
          <w:color w:val="000000"/>
          <w:sz w:val="32"/>
          <w:szCs w:val="32"/>
        </w:rPr>
        <w:t>教职工工资增长</w:t>
      </w:r>
      <w:r>
        <w:rPr>
          <w:rFonts w:hint="eastAsia" w:ascii="仿宋_GB2312" w:hAnsi="仿宋" w:eastAsia="仿宋_GB2312"/>
          <w:sz w:val="32"/>
          <w:szCs w:val="32"/>
        </w:rPr>
        <w:t>、学生资助</w:t>
      </w:r>
      <w:r>
        <w:rPr>
          <w:rFonts w:hint="eastAsia" w:ascii="仿宋_GB2312" w:hAnsi="仿宋" w:eastAsia="仿宋_GB2312"/>
          <w:sz w:val="32"/>
          <w:szCs w:val="32"/>
          <w:lang w:val="en-US" w:eastAsia="zh-CN"/>
        </w:rPr>
        <w:t>资</w:t>
      </w:r>
      <w:r>
        <w:rPr>
          <w:rFonts w:hint="eastAsia" w:ascii="仿宋_GB2312" w:hAnsi="仿宋" w:eastAsia="仿宋_GB2312"/>
          <w:sz w:val="32"/>
          <w:szCs w:val="32"/>
        </w:rPr>
        <w:t>金</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项目资金</w:t>
      </w:r>
      <w:r>
        <w:rPr>
          <w:rFonts w:hint="eastAsia" w:ascii="仿宋_GB2312" w:hAnsi="仿宋" w:eastAsia="仿宋_GB2312"/>
          <w:sz w:val="32"/>
          <w:szCs w:val="32"/>
        </w:rPr>
        <w:t>增加等。</w:t>
      </w:r>
    </w:p>
    <w:p>
      <w:pPr>
        <w:spacing w:line="600" w:lineRule="exact"/>
        <w:ind w:firstLine="560" w:firstLineChars="200"/>
        <w:rPr>
          <w:rFonts w:ascii="仿宋" w:hAnsi="仿宋" w:eastAsia="仿宋"/>
          <w:sz w:val="28"/>
          <w:szCs w:val="28"/>
        </w:rPr>
      </w:pPr>
      <w:r>
        <w:rPr>
          <w:sz w:val="28"/>
          <w:szCs w:val="28"/>
        </w:rPr>
        <w:drawing>
          <wp:anchor distT="0" distB="0" distL="114300" distR="114300" simplePos="0" relativeHeight="251663360" behindDoc="0" locked="0" layoutInCell="1" allowOverlap="1">
            <wp:simplePos x="0" y="0"/>
            <wp:positionH relativeFrom="column">
              <wp:posOffset>225425</wp:posOffset>
            </wp:positionH>
            <wp:positionV relativeFrom="paragraph">
              <wp:posOffset>-7767955</wp:posOffset>
            </wp:positionV>
            <wp:extent cx="4826000" cy="2743200"/>
            <wp:effectExtent l="4445" t="4445" r="15875" b="10795"/>
            <wp:wrapSquare wrapText="bothSides"/>
            <wp:docPr id="2"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eastAsia" w:ascii="仿宋" w:hAnsi="仿宋" w:eastAsia="仿宋"/>
          <w:sz w:val="28"/>
          <w:szCs w:val="28"/>
        </w:rPr>
        <w:t>（图5：一般公共预算财政拨款支出决算变动情况）（柱状图）</w:t>
      </w:r>
    </w:p>
    <w:p>
      <w:pPr>
        <w:spacing w:line="600" w:lineRule="exact"/>
        <w:ind w:firstLine="643" w:firstLineChars="200"/>
        <w:outlineLvl w:val="2"/>
        <w:rPr>
          <w:rFonts w:ascii="仿宋" w:hAnsi="仿宋" w:eastAsia="仿宋"/>
          <w:b/>
          <w:sz w:val="32"/>
          <w:szCs w:val="32"/>
        </w:rPr>
      </w:pPr>
      <w:bookmarkStart w:id="29" w:name="_Toc15377211"/>
      <w:r>
        <w:rPr>
          <w:rFonts w:hint="eastAsia" w:ascii="仿宋" w:hAnsi="仿宋" w:eastAsia="仿宋"/>
          <w:b/>
          <w:sz w:val="32"/>
          <w:szCs w:val="32"/>
        </w:rPr>
        <w:t>（二）一般公共预算财政拨款支出决算结构情况</w:t>
      </w:r>
      <w:bookmarkEnd w:id="29"/>
    </w:p>
    <w:p>
      <w:pPr>
        <w:spacing w:line="600" w:lineRule="exact"/>
        <w:ind w:firstLine="64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_GB2312" w:eastAsia="仿宋_GB2312"/>
          <w:bCs/>
          <w:color w:val="000000"/>
          <w:sz w:val="32"/>
          <w:szCs w:val="32"/>
          <w:lang w:val="en-US" w:eastAsia="zh-CN"/>
        </w:rPr>
        <w:t>6838.30</w:t>
      </w:r>
      <w:r>
        <w:rPr>
          <w:rFonts w:hint="eastAsia" w:ascii="仿宋" w:hAnsi="仿宋" w:eastAsia="仿宋"/>
          <w:sz w:val="32"/>
          <w:szCs w:val="32"/>
        </w:rPr>
        <w:t>万元，主要用于以下方面</w:t>
      </w:r>
      <w:r>
        <w:rPr>
          <w:rFonts w:hint="eastAsia" w:ascii="仿宋" w:hAnsi="仿宋" w:eastAsia="仿宋"/>
          <w:sz w:val="32"/>
          <w:szCs w:val="32"/>
          <w:lang w:eastAsia="zh-CN"/>
        </w:rPr>
        <w:t>：</w:t>
      </w:r>
      <w:r>
        <w:rPr>
          <w:rFonts w:hint="eastAsia" w:ascii="仿宋" w:hAnsi="仿宋" w:eastAsia="仿宋"/>
          <w:b/>
          <w:sz w:val="32"/>
          <w:szCs w:val="32"/>
        </w:rPr>
        <w:t>一般公共服务</w:t>
      </w:r>
      <w:r>
        <w:rPr>
          <w:rFonts w:hint="eastAsia" w:ascii="仿宋" w:hAnsi="仿宋" w:eastAsia="仿宋"/>
          <w:b/>
          <w:bCs/>
          <w:sz w:val="32"/>
          <w:szCs w:val="32"/>
        </w:rPr>
        <w:t>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教育支出</w:t>
      </w:r>
      <w:r>
        <w:rPr>
          <w:rFonts w:hint="eastAsia" w:ascii="仿宋" w:hAnsi="仿宋" w:eastAsia="仿宋"/>
          <w:sz w:val="32"/>
          <w:szCs w:val="32"/>
          <w:lang w:val="en-US" w:eastAsia="zh-CN"/>
        </w:rPr>
        <w:t>5739.5</w:t>
      </w:r>
      <w:r>
        <w:rPr>
          <w:rFonts w:hint="eastAsia" w:ascii="仿宋" w:hAnsi="仿宋" w:eastAsia="仿宋"/>
          <w:sz w:val="32"/>
          <w:szCs w:val="32"/>
        </w:rPr>
        <w:t>万元，占</w:t>
      </w:r>
      <w:r>
        <w:rPr>
          <w:rFonts w:hint="eastAsia" w:ascii="仿宋" w:hAnsi="仿宋" w:eastAsia="仿宋"/>
          <w:sz w:val="32"/>
          <w:szCs w:val="32"/>
          <w:lang w:val="en-US" w:eastAsia="zh-CN"/>
        </w:rPr>
        <w:t>83.93</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科学技术</w:t>
      </w:r>
      <w:r>
        <w:rPr>
          <w:rFonts w:hint="eastAsia" w:ascii="仿宋" w:hAnsi="仿宋" w:eastAsia="仿宋"/>
          <w:b/>
          <w:bCs/>
          <w:sz w:val="32"/>
          <w:szCs w:val="32"/>
        </w:rPr>
        <w:t>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文化旅游体育与传媒支出</w:t>
      </w:r>
      <w:r>
        <w:rPr>
          <w:rFonts w:hint="eastAsia" w:ascii="仿宋" w:hAnsi="仿宋" w:eastAsia="仿宋"/>
          <w:b/>
          <w:bCs/>
          <w:sz w:val="32"/>
          <w:szCs w:val="32"/>
          <w:lang w:val="en-US" w:eastAsia="zh-CN"/>
        </w:rPr>
        <w:t>0</w:t>
      </w:r>
      <w:r>
        <w:rPr>
          <w:rFonts w:hint="eastAsia" w:ascii="仿宋" w:hAnsi="仿宋" w:eastAsia="仿宋"/>
          <w:b/>
          <w:bCs/>
          <w:sz w:val="32"/>
          <w:szCs w:val="32"/>
        </w:rPr>
        <w:t>万元，占</w:t>
      </w:r>
      <w:r>
        <w:rPr>
          <w:rFonts w:hint="eastAsia" w:ascii="仿宋" w:hAnsi="仿宋" w:eastAsia="仿宋"/>
          <w:b/>
          <w:bCs/>
          <w:sz w:val="32"/>
          <w:szCs w:val="32"/>
          <w:lang w:val="en-US" w:eastAsia="zh-CN"/>
        </w:rPr>
        <w:t>0</w:t>
      </w:r>
      <w:r>
        <w:rPr>
          <w:rFonts w:ascii="仿宋" w:hAnsi="仿宋" w:eastAsia="仿宋"/>
          <w:b/>
          <w:bCs/>
          <w:sz w:val="32"/>
          <w:szCs w:val="32"/>
        </w:rPr>
        <w:t>%</w:t>
      </w:r>
      <w:r>
        <w:rPr>
          <w:rFonts w:hint="eastAsia" w:ascii="仿宋" w:hAnsi="仿宋" w:eastAsia="仿宋"/>
          <w:sz w:val="32"/>
          <w:szCs w:val="32"/>
        </w:rPr>
        <w:t>；</w:t>
      </w:r>
      <w:r>
        <w:rPr>
          <w:rFonts w:hint="eastAsia" w:ascii="仿宋" w:hAnsi="仿宋" w:eastAsia="仿宋"/>
          <w:b/>
          <w:sz w:val="32"/>
          <w:szCs w:val="32"/>
        </w:rPr>
        <w:t>社会保障和就业</w:t>
      </w:r>
      <w:r>
        <w:rPr>
          <w:rFonts w:hint="eastAsia" w:ascii="仿宋" w:hAnsi="仿宋" w:eastAsia="仿宋"/>
          <w:b/>
          <w:bCs/>
          <w:sz w:val="32"/>
          <w:szCs w:val="32"/>
        </w:rPr>
        <w:t>支出</w:t>
      </w:r>
      <w:r>
        <w:rPr>
          <w:rFonts w:hint="eastAsia" w:ascii="仿宋" w:hAnsi="仿宋" w:eastAsia="仿宋"/>
          <w:sz w:val="32"/>
          <w:szCs w:val="32"/>
          <w:lang w:val="en-US" w:eastAsia="zh-CN"/>
        </w:rPr>
        <w:t>512.91</w:t>
      </w:r>
      <w:r>
        <w:rPr>
          <w:rFonts w:hint="eastAsia" w:ascii="仿宋" w:hAnsi="仿宋" w:eastAsia="仿宋"/>
          <w:sz w:val="32"/>
          <w:szCs w:val="32"/>
        </w:rPr>
        <w:t>万元，占</w:t>
      </w:r>
      <w:r>
        <w:rPr>
          <w:rFonts w:hint="eastAsia" w:ascii="仿宋" w:hAnsi="仿宋" w:eastAsia="仿宋"/>
          <w:sz w:val="32"/>
          <w:szCs w:val="32"/>
          <w:lang w:val="en-US" w:eastAsia="zh-CN"/>
        </w:rPr>
        <w:t>7.5</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sz w:val="32"/>
          <w:szCs w:val="32"/>
          <w:lang w:val="en-US" w:eastAsia="zh-CN"/>
        </w:rPr>
        <w:t>234.36</w:t>
      </w:r>
      <w:r>
        <w:rPr>
          <w:rFonts w:hint="eastAsia" w:ascii="仿宋" w:hAnsi="仿宋" w:eastAsia="仿宋"/>
          <w:sz w:val="32"/>
          <w:szCs w:val="32"/>
        </w:rPr>
        <w:t>万元，占</w:t>
      </w:r>
      <w:r>
        <w:rPr>
          <w:rFonts w:hint="eastAsia" w:ascii="仿宋" w:hAnsi="仿宋" w:eastAsia="仿宋"/>
          <w:sz w:val="32"/>
          <w:szCs w:val="32"/>
          <w:lang w:val="en-US" w:eastAsia="zh-CN"/>
        </w:rPr>
        <w:t>3.43</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住房保障支出</w:t>
      </w:r>
      <w:r>
        <w:rPr>
          <w:rFonts w:hint="eastAsia" w:ascii="仿宋" w:hAnsi="仿宋" w:eastAsia="仿宋"/>
          <w:sz w:val="32"/>
          <w:szCs w:val="32"/>
          <w:lang w:val="en-US" w:eastAsia="zh-CN"/>
        </w:rPr>
        <w:t>351.53</w:t>
      </w:r>
      <w:r>
        <w:rPr>
          <w:rFonts w:hint="eastAsia" w:ascii="仿宋" w:hAnsi="仿宋" w:eastAsia="仿宋"/>
          <w:sz w:val="32"/>
          <w:szCs w:val="32"/>
        </w:rPr>
        <w:t>万元，占</w:t>
      </w:r>
      <w:r>
        <w:rPr>
          <w:rFonts w:hint="eastAsia" w:ascii="仿宋" w:hAnsi="仿宋" w:eastAsia="仿宋"/>
          <w:sz w:val="32"/>
          <w:szCs w:val="32"/>
          <w:lang w:val="en-US" w:eastAsia="zh-CN"/>
        </w:rPr>
        <w:t>5.14</w:t>
      </w:r>
      <w:r>
        <w:rPr>
          <w:rFonts w:ascii="仿宋" w:hAnsi="仿宋" w:eastAsia="仿宋"/>
          <w:sz w:val="32"/>
          <w:szCs w:val="32"/>
        </w:rPr>
        <w:t>%</w:t>
      </w:r>
      <w:r>
        <w:rPr>
          <w:rFonts w:hint="eastAsia" w:ascii="仿宋" w:hAnsi="仿宋" w:eastAsia="仿宋"/>
          <w:sz w:val="32"/>
          <w:szCs w:val="32"/>
        </w:rPr>
        <w:t>。</w:t>
      </w:r>
    </w:p>
    <w:p>
      <w:pPr>
        <w:spacing w:line="600" w:lineRule="exact"/>
        <w:ind w:firstLine="640"/>
        <w:rPr>
          <w:rFonts w:ascii="仿宋" w:hAnsi="仿宋" w:eastAsia="仿宋"/>
          <w:b/>
          <w:sz w:val="32"/>
          <w:szCs w:val="32"/>
        </w:rPr>
      </w:pPr>
      <w:r>
        <w:rPr>
          <w:rFonts w:hint="eastAsia" w:ascii="仿宋" w:hAnsi="仿宋" w:eastAsia="仿宋"/>
          <w:b/>
          <w:sz w:val="32"/>
          <w:szCs w:val="32"/>
        </w:rPr>
        <w:t>（注：数据来源于财决01-1表，仅罗列本单位涉及的全部功能分类科目，至类级。）</w:t>
      </w:r>
    </w:p>
    <w:p>
      <w:pPr>
        <w:spacing w:line="600" w:lineRule="exact"/>
        <w:ind w:firstLine="420" w:firstLineChars="200"/>
        <w:jc w:val="center"/>
        <w:rPr>
          <w:rFonts w:hint="eastAsia" w:ascii="仿宋" w:hAnsi="仿宋" w:eastAsia="仿宋"/>
          <w:b/>
          <w:sz w:val="32"/>
          <w:szCs w:val="32"/>
        </w:rPr>
      </w:pPr>
      <w:r>
        <w:drawing>
          <wp:anchor distT="0" distB="0" distL="114300" distR="114300" simplePos="0" relativeHeight="251664384" behindDoc="0" locked="0" layoutInCell="1" allowOverlap="1">
            <wp:simplePos x="0" y="0"/>
            <wp:positionH relativeFrom="column">
              <wp:posOffset>159385</wp:posOffset>
            </wp:positionH>
            <wp:positionV relativeFrom="paragraph">
              <wp:posOffset>215265</wp:posOffset>
            </wp:positionV>
            <wp:extent cx="4901565" cy="2575560"/>
            <wp:effectExtent l="4445" t="4445" r="16510" b="10795"/>
            <wp:wrapSquare wrapText="bothSides"/>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hint="eastAsia" w:ascii="仿宋" w:hAnsi="仿宋" w:eastAsia="仿宋"/>
          <w:sz w:val="28"/>
          <w:szCs w:val="28"/>
        </w:rPr>
        <w:t>（图6：一般公共预算财政拨款支出决算结构）（饼状图）</w:t>
      </w:r>
      <w:bookmarkStart w:id="30" w:name="_Toc15377212"/>
    </w:p>
    <w:p>
      <w:pPr>
        <w:spacing w:line="600" w:lineRule="exact"/>
        <w:ind w:firstLine="643" w:firstLineChars="200"/>
        <w:outlineLvl w:val="2"/>
        <w:rPr>
          <w:rFonts w:ascii="仿宋" w:hAnsi="仿宋" w:eastAsia="仿宋"/>
          <w:b/>
          <w:sz w:val="32"/>
          <w:szCs w:val="32"/>
        </w:rPr>
      </w:pPr>
      <w:r>
        <w:rPr>
          <w:rFonts w:hint="eastAsia" w:ascii="仿宋" w:hAnsi="仿宋" w:eastAsia="仿宋"/>
          <w:b/>
          <w:sz w:val="32"/>
          <w:szCs w:val="32"/>
        </w:rPr>
        <w:t>（三）一般公共预算财政拨款支出决算具体情况</w:t>
      </w:r>
      <w:bookmarkEnd w:id="30"/>
    </w:p>
    <w:p>
      <w:pPr>
        <w:spacing w:line="600" w:lineRule="exact"/>
        <w:ind w:firstLine="643" w:firstLineChars="200"/>
        <w:outlineLvl w:val="2"/>
        <w:rPr>
          <w:rFonts w:ascii="仿宋" w:hAnsi="仿宋" w:eastAsia="仿宋"/>
          <w:sz w:val="32"/>
          <w:szCs w:val="32"/>
        </w:rPr>
      </w:pPr>
      <w:bookmarkStart w:id="31" w:name="_Toc15378460"/>
      <w:bookmarkStart w:id="32" w:name="_Toc15377213"/>
      <w:bookmarkStart w:id="33" w:name="_Toc15377444"/>
      <w:r>
        <w:rPr>
          <w:rFonts w:hint="eastAsia" w:ascii="仿宋" w:hAnsi="仿宋" w:eastAsia="仿宋"/>
          <w:b/>
          <w:sz w:val="32"/>
          <w:szCs w:val="32"/>
        </w:rPr>
        <w:t>2022年一般公共预算支出决算数为</w:t>
      </w:r>
      <w:r>
        <w:rPr>
          <w:rFonts w:hint="eastAsia" w:ascii="仿宋_GB2312" w:eastAsia="仿宋_GB2312"/>
          <w:bCs/>
          <w:color w:val="000000"/>
          <w:sz w:val="32"/>
          <w:szCs w:val="32"/>
          <w:lang w:val="en-US" w:eastAsia="zh-CN"/>
        </w:rPr>
        <w:t>6838.30</w:t>
      </w:r>
      <w:r>
        <w:rPr>
          <w:rFonts w:hint="eastAsia" w:ascii="仿宋" w:hAnsi="仿宋" w:eastAsia="仿宋"/>
          <w:sz w:val="32"/>
          <w:szCs w:val="32"/>
        </w:rPr>
        <w:t>，</w:t>
      </w:r>
      <w:r>
        <w:rPr>
          <w:rStyle w:val="17"/>
          <w:rFonts w:hint="eastAsia" w:ascii="仿宋" w:hAnsi="仿宋" w:eastAsia="仿宋"/>
          <w:bCs/>
          <w:sz w:val="32"/>
          <w:szCs w:val="32"/>
        </w:rPr>
        <w:t>完成预算</w:t>
      </w:r>
      <w:r>
        <w:rPr>
          <w:rStyle w:val="17"/>
          <w:rFonts w:hint="eastAsia" w:ascii="仿宋" w:hAnsi="仿宋" w:eastAsia="仿宋"/>
          <w:bCs/>
          <w:sz w:val="32"/>
          <w:szCs w:val="32"/>
          <w:lang w:val="en-US" w:eastAsia="zh-CN"/>
        </w:rPr>
        <w:t>100</w:t>
      </w:r>
      <w:r>
        <w:rPr>
          <w:rStyle w:val="17"/>
          <w:rFonts w:ascii="仿宋" w:hAnsi="仿宋" w:eastAsia="仿宋"/>
          <w:bCs/>
          <w:sz w:val="32"/>
          <w:szCs w:val="32"/>
        </w:rPr>
        <w:t>%</w:t>
      </w:r>
      <w:r>
        <w:rPr>
          <w:rStyle w:val="17"/>
          <w:rFonts w:hint="eastAsia" w:ascii="仿宋" w:hAnsi="仿宋" w:eastAsia="仿宋"/>
          <w:bCs/>
          <w:sz w:val="32"/>
          <w:szCs w:val="32"/>
        </w:rPr>
        <w:t>。其中：</w:t>
      </w:r>
      <w:bookmarkEnd w:id="31"/>
      <w:bookmarkEnd w:id="32"/>
      <w:bookmarkEnd w:id="33"/>
    </w:p>
    <w:p>
      <w:pPr>
        <w:numPr>
          <w:ilvl w:val="0"/>
          <w:numId w:val="0"/>
        </w:numPr>
        <w:tabs>
          <w:tab w:val="left" w:pos="420"/>
          <w:tab w:val="left" w:pos="630"/>
        </w:tabs>
        <w:spacing w:line="600" w:lineRule="exact"/>
        <w:ind w:left="0" w:leftChars="0" w:firstLine="643" w:firstLineChars="200"/>
        <w:rPr>
          <w:rStyle w:val="17"/>
          <w:rFonts w:hint="eastAsia" w:ascii="仿宋" w:hAnsi="仿宋" w:eastAsia="仿宋"/>
          <w:b w:val="0"/>
          <w:bCs/>
          <w:sz w:val="32"/>
          <w:szCs w:val="32"/>
        </w:rPr>
      </w:pPr>
      <w:r>
        <w:rPr>
          <w:rStyle w:val="17"/>
          <w:rFonts w:hint="eastAsia" w:ascii="仿宋" w:hAnsi="仿宋" w:eastAsia="仿宋"/>
          <w:bCs/>
          <w:sz w:val="32"/>
          <w:szCs w:val="32"/>
          <w:lang w:val="en-US" w:eastAsia="zh-CN"/>
        </w:rPr>
        <w:t>1.教育支出</w:t>
      </w:r>
      <w:r>
        <w:rPr>
          <w:rStyle w:val="17"/>
          <w:rFonts w:hint="eastAsia" w:ascii="仿宋" w:hAnsi="仿宋" w:eastAsia="仿宋"/>
          <w:bCs/>
          <w:sz w:val="32"/>
          <w:szCs w:val="32"/>
        </w:rPr>
        <w:t>（</w:t>
      </w:r>
      <w:r>
        <w:rPr>
          <w:rStyle w:val="17"/>
          <w:rFonts w:hint="eastAsia" w:ascii="仿宋" w:hAnsi="仿宋" w:eastAsia="仿宋"/>
          <w:bCs/>
          <w:sz w:val="32"/>
          <w:szCs w:val="32"/>
          <w:lang w:val="en-US" w:eastAsia="zh-CN"/>
        </w:rPr>
        <w:t>205</w:t>
      </w:r>
      <w:r>
        <w:rPr>
          <w:rStyle w:val="17"/>
          <w:rFonts w:hint="eastAsia" w:ascii="仿宋" w:hAnsi="仿宋" w:eastAsia="仿宋"/>
          <w:bCs/>
          <w:sz w:val="32"/>
          <w:szCs w:val="32"/>
        </w:rPr>
        <w:t>）</w:t>
      </w:r>
      <w:r>
        <w:rPr>
          <w:rStyle w:val="17"/>
          <w:rFonts w:hint="eastAsia" w:ascii="仿宋" w:hAnsi="仿宋" w:eastAsia="仿宋"/>
          <w:bCs/>
          <w:sz w:val="32"/>
          <w:szCs w:val="32"/>
          <w:lang w:val="en-US" w:eastAsia="zh-CN"/>
        </w:rPr>
        <w:t>普通教育（02</w:t>
      </w:r>
      <w:r>
        <w:rPr>
          <w:rStyle w:val="17"/>
          <w:rFonts w:hint="eastAsia" w:ascii="仿宋" w:hAnsi="仿宋" w:eastAsia="仿宋"/>
          <w:bCs/>
          <w:sz w:val="32"/>
          <w:szCs w:val="32"/>
        </w:rPr>
        <w:t>）</w:t>
      </w:r>
      <w:r>
        <w:rPr>
          <w:rStyle w:val="17"/>
          <w:rFonts w:hint="eastAsia" w:ascii="仿宋" w:hAnsi="仿宋" w:eastAsia="仿宋"/>
          <w:bCs/>
          <w:sz w:val="32"/>
          <w:szCs w:val="32"/>
          <w:lang w:val="en-US" w:eastAsia="zh-CN"/>
        </w:rPr>
        <w:t>初中教育</w:t>
      </w:r>
      <w:r>
        <w:rPr>
          <w:rStyle w:val="17"/>
          <w:rFonts w:hint="eastAsia" w:ascii="仿宋" w:hAnsi="仿宋" w:eastAsia="仿宋"/>
          <w:bCs/>
          <w:sz w:val="32"/>
          <w:szCs w:val="32"/>
        </w:rPr>
        <w:t>（</w:t>
      </w:r>
      <w:r>
        <w:rPr>
          <w:rStyle w:val="17"/>
          <w:rFonts w:hint="eastAsia" w:ascii="仿宋" w:hAnsi="仿宋" w:eastAsia="仿宋"/>
          <w:bCs/>
          <w:sz w:val="32"/>
          <w:szCs w:val="32"/>
          <w:lang w:val="en-US" w:eastAsia="zh-CN"/>
        </w:rPr>
        <w:t>03</w:t>
      </w:r>
      <w:r>
        <w:rPr>
          <w:rStyle w:val="17"/>
          <w:rFonts w:hint="eastAsia" w:ascii="仿宋" w:hAnsi="仿宋" w:eastAsia="仿宋"/>
          <w:bCs/>
          <w:sz w:val="32"/>
          <w:szCs w:val="32"/>
        </w:rPr>
        <w:t>）</w:t>
      </w:r>
      <w:r>
        <w:rPr>
          <w:rStyle w:val="17"/>
          <w:rFonts w:hint="eastAsia" w:ascii="仿宋" w:hAnsi="仿宋" w:eastAsia="仿宋"/>
          <w:bCs/>
          <w:sz w:val="32"/>
          <w:szCs w:val="32"/>
          <w:lang w:eastAsia="zh-CN"/>
        </w:rPr>
        <w:t>：</w:t>
      </w:r>
      <w:r>
        <w:rPr>
          <w:rStyle w:val="17"/>
          <w:rFonts w:ascii="仿宋" w:hAnsi="仿宋" w:eastAsia="仿宋"/>
          <w:b w:val="0"/>
          <w:bCs/>
          <w:sz w:val="32"/>
          <w:szCs w:val="32"/>
        </w:rPr>
        <w:t xml:space="preserve"> </w:t>
      </w:r>
      <w:r>
        <w:rPr>
          <w:rStyle w:val="17"/>
          <w:rFonts w:hint="eastAsia" w:ascii="仿宋" w:hAnsi="仿宋" w:eastAsia="仿宋"/>
          <w:b w:val="0"/>
          <w:bCs/>
          <w:sz w:val="32"/>
          <w:szCs w:val="32"/>
        </w:rPr>
        <w:t>支出决算为</w:t>
      </w:r>
      <w:r>
        <w:rPr>
          <w:rStyle w:val="17"/>
          <w:rFonts w:hint="eastAsia" w:ascii="仿宋" w:hAnsi="仿宋" w:eastAsia="仿宋"/>
          <w:b w:val="0"/>
          <w:bCs/>
          <w:sz w:val="32"/>
          <w:szCs w:val="32"/>
          <w:lang w:val="en-US" w:eastAsia="zh-CN"/>
        </w:rPr>
        <w:t>1308.41</w:t>
      </w:r>
      <w:r>
        <w:rPr>
          <w:rStyle w:val="17"/>
          <w:rFonts w:hint="eastAsia" w:ascii="仿宋" w:hAnsi="仿宋" w:eastAsia="仿宋"/>
          <w:b w:val="0"/>
          <w:bCs/>
          <w:sz w:val="32"/>
          <w:szCs w:val="32"/>
        </w:rPr>
        <w:t>万元，完成预算</w:t>
      </w:r>
      <w:r>
        <w:rPr>
          <w:rStyle w:val="17"/>
          <w:rFonts w:hint="eastAsia" w:ascii="仿宋" w:hAnsi="仿宋" w:eastAsia="仿宋"/>
          <w:b w:val="0"/>
          <w:bCs/>
          <w:sz w:val="32"/>
          <w:szCs w:val="32"/>
          <w:lang w:val="en-US" w:eastAsia="zh-CN"/>
        </w:rPr>
        <w:t>100</w:t>
      </w:r>
      <w:r>
        <w:rPr>
          <w:rStyle w:val="17"/>
          <w:rFonts w:ascii="仿宋" w:hAnsi="仿宋" w:eastAsia="仿宋"/>
          <w:b w:val="0"/>
          <w:bCs/>
          <w:sz w:val="32"/>
          <w:szCs w:val="32"/>
        </w:rPr>
        <w:t>%</w:t>
      </w:r>
      <w:r>
        <w:rPr>
          <w:rStyle w:val="17"/>
          <w:rFonts w:hint="eastAsia" w:ascii="仿宋" w:hAnsi="仿宋" w:eastAsia="仿宋"/>
          <w:b w:val="0"/>
          <w:bCs/>
          <w:sz w:val="32"/>
          <w:szCs w:val="32"/>
        </w:rPr>
        <w:t>。</w:t>
      </w:r>
    </w:p>
    <w:p>
      <w:pPr>
        <w:numPr>
          <w:ilvl w:val="0"/>
          <w:numId w:val="0"/>
        </w:numPr>
        <w:spacing w:line="600" w:lineRule="exact"/>
        <w:ind w:left="0" w:leftChars="0" w:firstLine="643" w:firstLineChars="200"/>
        <w:rPr>
          <w:rStyle w:val="17"/>
          <w:rFonts w:hint="eastAsia" w:ascii="仿宋" w:hAnsi="仿宋" w:eastAsia="仿宋"/>
          <w:b w:val="0"/>
          <w:bCs/>
          <w:sz w:val="32"/>
          <w:szCs w:val="32"/>
        </w:rPr>
      </w:pPr>
      <w:r>
        <w:rPr>
          <w:rStyle w:val="17"/>
          <w:rFonts w:hint="eastAsia" w:ascii="仿宋" w:hAnsi="仿宋" w:eastAsia="仿宋"/>
          <w:bCs/>
          <w:sz w:val="32"/>
          <w:szCs w:val="32"/>
          <w:lang w:val="en-US" w:eastAsia="zh-CN"/>
        </w:rPr>
        <w:t>2.教育支出</w:t>
      </w:r>
      <w:r>
        <w:rPr>
          <w:rStyle w:val="17"/>
          <w:rFonts w:hint="eastAsia" w:ascii="仿宋" w:hAnsi="仿宋" w:eastAsia="仿宋"/>
          <w:bCs/>
          <w:sz w:val="32"/>
          <w:szCs w:val="32"/>
        </w:rPr>
        <w:t>（</w:t>
      </w:r>
      <w:r>
        <w:rPr>
          <w:rStyle w:val="17"/>
          <w:rFonts w:hint="eastAsia" w:ascii="仿宋" w:hAnsi="仿宋" w:eastAsia="仿宋"/>
          <w:bCs/>
          <w:sz w:val="32"/>
          <w:szCs w:val="32"/>
          <w:lang w:val="en-US" w:eastAsia="zh-CN"/>
        </w:rPr>
        <w:t>205</w:t>
      </w:r>
      <w:r>
        <w:rPr>
          <w:rStyle w:val="17"/>
          <w:rFonts w:hint="eastAsia" w:ascii="仿宋" w:hAnsi="仿宋" w:eastAsia="仿宋"/>
          <w:bCs/>
          <w:sz w:val="32"/>
          <w:szCs w:val="32"/>
        </w:rPr>
        <w:t>）</w:t>
      </w:r>
      <w:r>
        <w:rPr>
          <w:rStyle w:val="17"/>
          <w:rFonts w:hint="eastAsia" w:ascii="仿宋" w:hAnsi="仿宋" w:eastAsia="仿宋"/>
          <w:bCs/>
          <w:sz w:val="32"/>
          <w:szCs w:val="32"/>
          <w:lang w:val="en-US" w:eastAsia="zh-CN"/>
        </w:rPr>
        <w:t>普通教育（02</w:t>
      </w:r>
      <w:r>
        <w:rPr>
          <w:rStyle w:val="17"/>
          <w:rFonts w:hint="eastAsia" w:ascii="仿宋" w:hAnsi="仿宋" w:eastAsia="仿宋"/>
          <w:bCs/>
          <w:sz w:val="32"/>
          <w:szCs w:val="32"/>
        </w:rPr>
        <w:t>）</w:t>
      </w:r>
      <w:r>
        <w:rPr>
          <w:rStyle w:val="17"/>
          <w:rFonts w:hint="eastAsia" w:ascii="仿宋" w:hAnsi="仿宋" w:eastAsia="仿宋"/>
          <w:bCs/>
          <w:sz w:val="32"/>
          <w:szCs w:val="32"/>
          <w:lang w:val="en-US" w:eastAsia="zh-CN"/>
        </w:rPr>
        <w:t>高中教育</w:t>
      </w:r>
      <w:r>
        <w:rPr>
          <w:rStyle w:val="17"/>
          <w:rFonts w:hint="eastAsia" w:ascii="仿宋" w:hAnsi="仿宋" w:eastAsia="仿宋"/>
          <w:bCs/>
          <w:sz w:val="32"/>
          <w:szCs w:val="32"/>
        </w:rPr>
        <w:t>（</w:t>
      </w:r>
      <w:r>
        <w:rPr>
          <w:rStyle w:val="17"/>
          <w:rFonts w:hint="eastAsia" w:ascii="仿宋" w:hAnsi="仿宋" w:eastAsia="仿宋"/>
          <w:bCs/>
          <w:sz w:val="32"/>
          <w:szCs w:val="32"/>
          <w:lang w:val="en-US" w:eastAsia="zh-CN"/>
        </w:rPr>
        <w:t>04</w:t>
      </w:r>
      <w:r>
        <w:rPr>
          <w:rStyle w:val="17"/>
          <w:rFonts w:hint="eastAsia" w:ascii="仿宋" w:hAnsi="仿宋" w:eastAsia="仿宋"/>
          <w:bCs/>
          <w:sz w:val="32"/>
          <w:szCs w:val="32"/>
        </w:rPr>
        <w:t>）</w:t>
      </w:r>
      <w:r>
        <w:rPr>
          <w:rStyle w:val="17"/>
          <w:rFonts w:hint="eastAsia" w:ascii="仿宋" w:hAnsi="仿宋" w:eastAsia="仿宋"/>
          <w:bCs/>
          <w:sz w:val="32"/>
          <w:szCs w:val="32"/>
          <w:lang w:eastAsia="zh-CN"/>
        </w:rPr>
        <w:t>：</w:t>
      </w:r>
      <w:r>
        <w:rPr>
          <w:rStyle w:val="17"/>
          <w:rFonts w:ascii="仿宋" w:hAnsi="仿宋" w:eastAsia="仿宋"/>
          <w:b w:val="0"/>
          <w:bCs/>
          <w:sz w:val="32"/>
          <w:szCs w:val="32"/>
        </w:rPr>
        <w:t xml:space="preserve"> </w:t>
      </w:r>
      <w:r>
        <w:rPr>
          <w:rStyle w:val="17"/>
          <w:rFonts w:hint="eastAsia" w:ascii="仿宋" w:hAnsi="仿宋" w:eastAsia="仿宋"/>
          <w:b w:val="0"/>
          <w:bCs/>
          <w:sz w:val="32"/>
          <w:szCs w:val="32"/>
        </w:rPr>
        <w:t>支出决算为</w:t>
      </w:r>
      <w:r>
        <w:rPr>
          <w:rStyle w:val="17"/>
          <w:rFonts w:hint="eastAsia" w:ascii="仿宋" w:hAnsi="仿宋" w:eastAsia="仿宋"/>
          <w:b w:val="0"/>
          <w:bCs/>
          <w:sz w:val="32"/>
          <w:szCs w:val="32"/>
          <w:lang w:val="en-US" w:eastAsia="zh-CN"/>
        </w:rPr>
        <w:t>4431.09</w:t>
      </w:r>
      <w:r>
        <w:rPr>
          <w:rStyle w:val="17"/>
          <w:rFonts w:hint="eastAsia" w:ascii="仿宋" w:hAnsi="仿宋" w:eastAsia="仿宋"/>
          <w:b w:val="0"/>
          <w:bCs/>
          <w:sz w:val="32"/>
          <w:szCs w:val="32"/>
        </w:rPr>
        <w:t>万元，完成预算</w:t>
      </w:r>
      <w:r>
        <w:rPr>
          <w:rStyle w:val="17"/>
          <w:rFonts w:hint="eastAsia" w:ascii="仿宋" w:hAnsi="仿宋" w:eastAsia="仿宋"/>
          <w:b w:val="0"/>
          <w:bCs/>
          <w:sz w:val="32"/>
          <w:szCs w:val="32"/>
          <w:lang w:val="en-US" w:eastAsia="zh-CN"/>
        </w:rPr>
        <w:t>100</w:t>
      </w:r>
      <w:r>
        <w:rPr>
          <w:rStyle w:val="17"/>
          <w:rFonts w:ascii="仿宋" w:hAnsi="仿宋" w:eastAsia="仿宋"/>
          <w:b w:val="0"/>
          <w:bCs/>
          <w:sz w:val="32"/>
          <w:szCs w:val="32"/>
        </w:rPr>
        <w:t>%</w:t>
      </w:r>
      <w:r>
        <w:rPr>
          <w:rStyle w:val="17"/>
          <w:rFonts w:hint="eastAsia" w:ascii="仿宋" w:hAnsi="仿宋" w:eastAsia="仿宋"/>
          <w:b w:val="0"/>
          <w:bCs/>
          <w:sz w:val="32"/>
          <w:szCs w:val="32"/>
        </w:rPr>
        <w:t>。</w:t>
      </w:r>
    </w:p>
    <w:p>
      <w:pPr>
        <w:spacing w:line="600" w:lineRule="exact"/>
        <w:ind w:firstLine="643" w:firstLineChars="200"/>
        <w:rPr>
          <w:rStyle w:val="17"/>
          <w:rFonts w:hint="eastAsia" w:ascii="仿宋" w:hAnsi="仿宋" w:eastAsia="仿宋"/>
          <w:b w:val="0"/>
          <w:bCs/>
          <w:sz w:val="32"/>
          <w:szCs w:val="32"/>
        </w:rPr>
      </w:pPr>
      <w:r>
        <w:rPr>
          <w:rStyle w:val="17"/>
          <w:rFonts w:hint="eastAsia" w:ascii="仿宋" w:hAnsi="仿宋" w:eastAsia="仿宋"/>
          <w:bCs/>
          <w:sz w:val="32"/>
          <w:szCs w:val="32"/>
          <w:lang w:val="en-US" w:eastAsia="zh-CN"/>
        </w:rPr>
        <w:t>3</w:t>
      </w:r>
      <w:r>
        <w:rPr>
          <w:rStyle w:val="17"/>
          <w:rFonts w:ascii="仿宋" w:hAnsi="仿宋" w:eastAsia="仿宋"/>
          <w:bCs/>
          <w:sz w:val="32"/>
          <w:szCs w:val="32"/>
        </w:rPr>
        <w:t>.</w:t>
      </w:r>
      <w:r>
        <w:rPr>
          <w:rStyle w:val="17"/>
          <w:rFonts w:hint="eastAsia" w:ascii="仿宋" w:hAnsi="仿宋" w:eastAsia="仿宋"/>
          <w:bCs/>
          <w:sz w:val="32"/>
          <w:szCs w:val="32"/>
        </w:rPr>
        <w:t>社会保障和就业</w:t>
      </w:r>
      <w:r>
        <w:rPr>
          <w:rStyle w:val="17"/>
          <w:rFonts w:hint="eastAsia" w:ascii="仿宋" w:hAnsi="仿宋" w:eastAsia="仿宋"/>
          <w:bCs/>
          <w:sz w:val="32"/>
          <w:szCs w:val="32"/>
          <w:lang w:val="en-US" w:eastAsia="zh-CN"/>
        </w:rPr>
        <w:t>支出</w:t>
      </w:r>
      <w:r>
        <w:rPr>
          <w:rStyle w:val="17"/>
          <w:rFonts w:hint="eastAsia" w:ascii="仿宋" w:hAnsi="仿宋" w:eastAsia="仿宋"/>
          <w:bCs/>
          <w:sz w:val="32"/>
          <w:szCs w:val="32"/>
        </w:rPr>
        <w:t>（</w:t>
      </w:r>
      <w:r>
        <w:rPr>
          <w:rStyle w:val="17"/>
          <w:rFonts w:hint="eastAsia" w:ascii="仿宋" w:hAnsi="仿宋" w:eastAsia="仿宋"/>
          <w:bCs/>
          <w:sz w:val="32"/>
          <w:szCs w:val="32"/>
          <w:lang w:val="en-US" w:eastAsia="zh-CN"/>
        </w:rPr>
        <w:t>208</w:t>
      </w:r>
      <w:r>
        <w:rPr>
          <w:rStyle w:val="17"/>
          <w:rFonts w:hint="eastAsia" w:ascii="仿宋" w:hAnsi="仿宋" w:eastAsia="仿宋"/>
          <w:bCs/>
          <w:sz w:val="32"/>
          <w:szCs w:val="32"/>
        </w:rPr>
        <w:t>）行政事业单位养老支出（</w:t>
      </w:r>
      <w:r>
        <w:rPr>
          <w:rStyle w:val="17"/>
          <w:rFonts w:hint="eastAsia" w:ascii="仿宋" w:hAnsi="仿宋" w:eastAsia="仿宋"/>
          <w:bCs/>
          <w:sz w:val="32"/>
          <w:szCs w:val="32"/>
          <w:lang w:val="en-US" w:eastAsia="zh-CN"/>
        </w:rPr>
        <w:t>05</w:t>
      </w:r>
      <w:r>
        <w:rPr>
          <w:rStyle w:val="17"/>
          <w:rFonts w:hint="eastAsia" w:ascii="仿宋" w:hAnsi="仿宋" w:eastAsia="仿宋"/>
          <w:bCs/>
          <w:sz w:val="32"/>
          <w:szCs w:val="32"/>
        </w:rPr>
        <w:t>）事业单位离退休（</w:t>
      </w:r>
      <w:r>
        <w:rPr>
          <w:rStyle w:val="17"/>
          <w:rFonts w:hint="eastAsia" w:ascii="仿宋" w:hAnsi="仿宋" w:eastAsia="仿宋"/>
          <w:bCs/>
          <w:sz w:val="32"/>
          <w:szCs w:val="32"/>
          <w:lang w:val="en-US" w:eastAsia="zh-CN"/>
        </w:rPr>
        <w:t>02</w:t>
      </w:r>
      <w:r>
        <w:rPr>
          <w:rStyle w:val="17"/>
          <w:rFonts w:hint="eastAsia" w:ascii="仿宋" w:hAnsi="仿宋" w:eastAsia="仿宋"/>
          <w:bCs/>
          <w:sz w:val="32"/>
          <w:szCs w:val="32"/>
        </w:rPr>
        <w:t>）</w:t>
      </w:r>
      <w:r>
        <w:rPr>
          <w:rStyle w:val="17"/>
          <w:rFonts w:hint="eastAsia" w:ascii="仿宋" w:hAnsi="仿宋" w:eastAsia="仿宋"/>
          <w:bCs/>
          <w:sz w:val="32"/>
          <w:szCs w:val="32"/>
          <w:lang w:eastAsia="zh-CN"/>
        </w:rPr>
        <w:t>：</w:t>
      </w:r>
      <w:r>
        <w:rPr>
          <w:rStyle w:val="17"/>
          <w:rFonts w:ascii="仿宋" w:hAnsi="仿宋" w:eastAsia="仿宋"/>
          <w:b w:val="0"/>
          <w:bCs/>
          <w:sz w:val="32"/>
          <w:szCs w:val="32"/>
        </w:rPr>
        <w:t xml:space="preserve"> </w:t>
      </w:r>
      <w:r>
        <w:rPr>
          <w:rStyle w:val="17"/>
          <w:rFonts w:hint="eastAsia" w:ascii="仿宋" w:hAnsi="仿宋" w:eastAsia="仿宋"/>
          <w:b w:val="0"/>
          <w:bCs/>
          <w:sz w:val="32"/>
          <w:szCs w:val="32"/>
        </w:rPr>
        <w:t>支出决算为44.2万元，完成预算</w:t>
      </w:r>
      <w:r>
        <w:rPr>
          <w:rStyle w:val="17"/>
          <w:rFonts w:hint="eastAsia" w:ascii="仿宋" w:hAnsi="仿宋" w:eastAsia="仿宋"/>
          <w:b w:val="0"/>
          <w:bCs/>
          <w:sz w:val="32"/>
          <w:szCs w:val="32"/>
          <w:lang w:val="en-US" w:eastAsia="zh-CN"/>
        </w:rPr>
        <w:t>100</w:t>
      </w:r>
      <w:r>
        <w:rPr>
          <w:rStyle w:val="17"/>
          <w:rFonts w:ascii="仿宋" w:hAnsi="仿宋" w:eastAsia="仿宋"/>
          <w:b w:val="0"/>
          <w:bCs/>
          <w:sz w:val="32"/>
          <w:szCs w:val="32"/>
        </w:rPr>
        <w:t>%</w:t>
      </w:r>
      <w:r>
        <w:rPr>
          <w:rStyle w:val="17"/>
          <w:rFonts w:hint="eastAsia" w:ascii="仿宋" w:hAnsi="仿宋" w:eastAsia="仿宋"/>
          <w:b w:val="0"/>
          <w:bCs/>
          <w:sz w:val="32"/>
          <w:szCs w:val="32"/>
        </w:rPr>
        <w:t>。</w:t>
      </w:r>
    </w:p>
    <w:p>
      <w:pPr>
        <w:spacing w:line="600" w:lineRule="exact"/>
        <w:ind w:firstLine="640" w:firstLineChars="200"/>
        <w:rPr>
          <w:rStyle w:val="17"/>
          <w:rFonts w:hint="eastAsia" w:ascii="仿宋" w:hAnsi="仿宋" w:eastAsia="仿宋"/>
          <w:b w:val="0"/>
          <w:bCs/>
          <w:sz w:val="32"/>
          <w:szCs w:val="32"/>
        </w:rPr>
      </w:pPr>
      <w:r>
        <w:rPr>
          <w:rStyle w:val="17"/>
          <w:rFonts w:hint="eastAsia" w:ascii="仿宋" w:hAnsi="仿宋" w:eastAsia="仿宋"/>
          <w:b w:val="0"/>
          <w:bCs/>
          <w:sz w:val="32"/>
          <w:szCs w:val="32"/>
          <w:lang w:val="en-US" w:eastAsia="zh-CN"/>
        </w:rPr>
        <w:t>4.</w:t>
      </w:r>
      <w:r>
        <w:rPr>
          <w:rStyle w:val="17"/>
          <w:rFonts w:hint="eastAsia" w:ascii="仿宋" w:hAnsi="仿宋" w:eastAsia="仿宋"/>
          <w:bCs/>
          <w:sz w:val="32"/>
          <w:szCs w:val="32"/>
        </w:rPr>
        <w:t>社会保障和就业</w:t>
      </w:r>
      <w:r>
        <w:rPr>
          <w:rStyle w:val="17"/>
          <w:rFonts w:hint="eastAsia" w:ascii="仿宋" w:hAnsi="仿宋" w:eastAsia="仿宋"/>
          <w:bCs/>
          <w:sz w:val="32"/>
          <w:szCs w:val="32"/>
          <w:lang w:val="en-US" w:eastAsia="zh-CN"/>
        </w:rPr>
        <w:t>支出</w:t>
      </w:r>
      <w:r>
        <w:rPr>
          <w:rStyle w:val="17"/>
          <w:rFonts w:hint="eastAsia" w:ascii="仿宋" w:hAnsi="仿宋" w:eastAsia="仿宋"/>
          <w:bCs/>
          <w:sz w:val="32"/>
          <w:szCs w:val="32"/>
        </w:rPr>
        <w:t>（</w:t>
      </w:r>
      <w:r>
        <w:rPr>
          <w:rStyle w:val="17"/>
          <w:rFonts w:hint="eastAsia" w:ascii="仿宋" w:hAnsi="仿宋" w:eastAsia="仿宋"/>
          <w:bCs/>
          <w:sz w:val="32"/>
          <w:szCs w:val="32"/>
          <w:lang w:val="en-US" w:eastAsia="zh-CN"/>
        </w:rPr>
        <w:t>208</w:t>
      </w:r>
      <w:r>
        <w:rPr>
          <w:rStyle w:val="17"/>
          <w:rFonts w:hint="eastAsia" w:ascii="仿宋" w:hAnsi="仿宋" w:eastAsia="仿宋"/>
          <w:bCs/>
          <w:sz w:val="32"/>
          <w:szCs w:val="32"/>
        </w:rPr>
        <w:t>）行政事业单位养老支出（</w:t>
      </w:r>
      <w:r>
        <w:rPr>
          <w:rStyle w:val="17"/>
          <w:rFonts w:hint="eastAsia" w:ascii="仿宋" w:hAnsi="仿宋" w:eastAsia="仿宋"/>
          <w:bCs/>
          <w:sz w:val="32"/>
          <w:szCs w:val="32"/>
          <w:lang w:val="en-US" w:eastAsia="zh-CN"/>
        </w:rPr>
        <w:t>05</w:t>
      </w:r>
      <w:r>
        <w:rPr>
          <w:rStyle w:val="17"/>
          <w:rFonts w:hint="eastAsia" w:ascii="仿宋" w:hAnsi="仿宋" w:eastAsia="仿宋"/>
          <w:bCs/>
          <w:sz w:val="32"/>
          <w:szCs w:val="32"/>
        </w:rPr>
        <w:t>）机关事业单位基本养老保险缴费支出（</w:t>
      </w:r>
      <w:r>
        <w:rPr>
          <w:rStyle w:val="17"/>
          <w:rFonts w:hint="eastAsia" w:ascii="仿宋" w:hAnsi="仿宋" w:eastAsia="仿宋"/>
          <w:bCs/>
          <w:sz w:val="32"/>
          <w:szCs w:val="32"/>
          <w:lang w:val="en-US" w:eastAsia="zh-CN"/>
        </w:rPr>
        <w:t>05</w:t>
      </w:r>
      <w:r>
        <w:rPr>
          <w:rStyle w:val="17"/>
          <w:rFonts w:hint="eastAsia" w:ascii="仿宋" w:hAnsi="仿宋" w:eastAsia="仿宋"/>
          <w:bCs/>
          <w:sz w:val="32"/>
          <w:szCs w:val="32"/>
        </w:rPr>
        <w:t>）</w:t>
      </w:r>
      <w:r>
        <w:rPr>
          <w:rStyle w:val="17"/>
          <w:rFonts w:hint="eastAsia" w:ascii="仿宋" w:hAnsi="仿宋" w:eastAsia="仿宋"/>
          <w:bCs/>
          <w:sz w:val="32"/>
          <w:szCs w:val="32"/>
          <w:lang w:eastAsia="zh-CN"/>
        </w:rPr>
        <w:t>：</w:t>
      </w:r>
      <w:r>
        <w:rPr>
          <w:rStyle w:val="17"/>
          <w:rFonts w:ascii="仿宋" w:hAnsi="仿宋" w:eastAsia="仿宋"/>
          <w:b w:val="0"/>
          <w:bCs/>
          <w:sz w:val="32"/>
          <w:szCs w:val="32"/>
        </w:rPr>
        <w:t xml:space="preserve"> </w:t>
      </w:r>
      <w:r>
        <w:rPr>
          <w:rStyle w:val="17"/>
          <w:rFonts w:hint="eastAsia" w:ascii="仿宋" w:hAnsi="仿宋" w:eastAsia="仿宋"/>
          <w:b w:val="0"/>
          <w:bCs/>
          <w:sz w:val="32"/>
          <w:szCs w:val="32"/>
        </w:rPr>
        <w:t>支出决算为468.71万元，完成预算</w:t>
      </w:r>
      <w:r>
        <w:rPr>
          <w:rStyle w:val="17"/>
          <w:rFonts w:hint="eastAsia" w:ascii="仿宋" w:hAnsi="仿宋" w:eastAsia="仿宋"/>
          <w:b w:val="0"/>
          <w:bCs/>
          <w:sz w:val="32"/>
          <w:szCs w:val="32"/>
          <w:lang w:val="en-US" w:eastAsia="zh-CN"/>
        </w:rPr>
        <w:t>100</w:t>
      </w:r>
      <w:r>
        <w:rPr>
          <w:rStyle w:val="17"/>
          <w:rFonts w:ascii="仿宋" w:hAnsi="仿宋" w:eastAsia="仿宋"/>
          <w:b w:val="0"/>
          <w:bCs/>
          <w:sz w:val="32"/>
          <w:szCs w:val="32"/>
        </w:rPr>
        <w:t>%</w:t>
      </w:r>
      <w:r>
        <w:rPr>
          <w:rStyle w:val="17"/>
          <w:rFonts w:hint="eastAsia" w:ascii="仿宋" w:hAnsi="仿宋" w:eastAsia="仿宋"/>
          <w:b w:val="0"/>
          <w:bCs/>
          <w:sz w:val="32"/>
          <w:szCs w:val="32"/>
        </w:rPr>
        <w:t>。</w:t>
      </w:r>
    </w:p>
    <w:p>
      <w:pPr>
        <w:spacing w:line="600" w:lineRule="exact"/>
        <w:ind w:firstLine="643" w:firstLineChars="200"/>
        <w:rPr>
          <w:rStyle w:val="17"/>
          <w:rFonts w:hint="eastAsia" w:ascii="仿宋" w:hAnsi="仿宋" w:eastAsia="仿宋"/>
          <w:b w:val="0"/>
          <w:bCs/>
          <w:sz w:val="32"/>
          <w:szCs w:val="32"/>
          <w:lang w:eastAsia="zh-CN"/>
        </w:rPr>
      </w:pPr>
      <w:r>
        <w:rPr>
          <w:rStyle w:val="17"/>
          <w:rFonts w:hint="eastAsia" w:ascii="仿宋" w:hAnsi="仿宋" w:eastAsia="仿宋"/>
          <w:bCs/>
          <w:sz w:val="32"/>
          <w:szCs w:val="32"/>
          <w:lang w:val="en-US" w:eastAsia="zh-CN"/>
        </w:rPr>
        <w:t>5</w:t>
      </w:r>
      <w:r>
        <w:rPr>
          <w:rStyle w:val="17"/>
          <w:rFonts w:ascii="仿宋" w:hAnsi="仿宋" w:eastAsia="仿宋"/>
          <w:bCs/>
          <w:sz w:val="32"/>
          <w:szCs w:val="32"/>
        </w:rPr>
        <w:t>.</w:t>
      </w:r>
      <w:r>
        <w:rPr>
          <w:rFonts w:hint="eastAsia" w:ascii="仿宋" w:hAnsi="仿宋" w:eastAsia="仿宋"/>
          <w:b/>
          <w:bCs/>
          <w:sz w:val="32"/>
          <w:szCs w:val="32"/>
        </w:rPr>
        <w:t>卫生健康支出</w:t>
      </w:r>
      <w:r>
        <w:rPr>
          <w:rStyle w:val="17"/>
          <w:rFonts w:hint="eastAsia" w:ascii="仿宋" w:hAnsi="仿宋" w:eastAsia="仿宋"/>
          <w:bCs/>
          <w:sz w:val="32"/>
          <w:szCs w:val="32"/>
        </w:rPr>
        <w:t>（</w:t>
      </w:r>
      <w:r>
        <w:rPr>
          <w:rStyle w:val="17"/>
          <w:rFonts w:hint="eastAsia" w:ascii="仿宋" w:hAnsi="仿宋" w:eastAsia="仿宋"/>
          <w:bCs/>
          <w:sz w:val="32"/>
          <w:szCs w:val="32"/>
          <w:lang w:val="en-US" w:eastAsia="zh-CN"/>
        </w:rPr>
        <w:t>210</w:t>
      </w:r>
      <w:r>
        <w:rPr>
          <w:rStyle w:val="17"/>
          <w:rFonts w:hint="eastAsia" w:ascii="仿宋" w:hAnsi="仿宋" w:eastAsia="仿宋"/>
          <w:bCs/>
          <w:sz w:val="32"/>
          <w:szCs w:val="32"/>
        </w:rPr>
        <w:t>）</w:t>
      </w:r>
      <w:r>
        <w:rPr>
          <w:rStyle w:val="17"/>
          <w:rFonts w:hint="eastAsia" w:ascii="仿宋" w:hAnsi="仿宋" w:eastAsia="仿宋"/>
          <w:bCs/>
          <w:sz w:val="32"/>
          <w:szCs w:val="32"/>
          <w:lang w:val="en-US" w:eastAsia="zh-CN"/>
        </w:rPr>
        <w:t>行政</w:t>
      </w:r>
      <w:r>
        <w:rPr>
          <w:rStyle w:val="17"/>
          <w:rFonts w:hint="eastAsia" w:ascii="仿宋" w:hAnsi="仿宋" w:eastAsia="仿宋"/>
          <w:bCs/>
          <w:sz w:val="32"/>
          <w:szCs w:val="32"/>
        </w:rPr>
        <w:t>事业单位医疗（</w:t>
      </w:r>
      <w:r>
        <w:rPr>
          <w:rStyle w:val="17"/>
          <w:rFonts w:hint="eastAsia" w:ascii="仿宋" w:hAnsi="仿宋" w:eastAsia="仿宋"/>
          <w:bCs/>
          <w:sz w:val="32"/>
          <w:szCs w:val="32"/>
          <w:lang w:val="en-US" w:eastAsia="zh-CN"/>
        </w:rPr>
        <w:t>11</w:t>
      </w:r>
      <w:r>
        <w:rPr>
          <w:rStyle w:val="17"/>
          <w:rFonts w:hint="eastAsia" w:ascii="仿宋" w:hAnsi="仿宋" w:eastAsia="仿宋"/>
          <w:bCs/>
          <w:sz w:val="32"/>
          <w:szCs w:val="32"/>
        </w:rPr>
        <w:t>）事业单位医疗（</w:t>
      </w:r>
      <w:r>
        <w:rPr>
          <w:rStyle w:val="17"/>
          <w:rFonts w:hint="eastAsia" w:ascii="仿宋" w:hAnsi="仿宋" w:eastAsia="仿宋"/>
          <w:bCs/>
          <w:sz w:val="32"/>
          <w:szCs w:val="32"/>
          <w:lang w:val="en-US" w:eastAsia="zh-CN"/>
        </w:rPr>
        <w:t>02</w:t>
      </w:r>
      <w:r>
        <w:rPr>
          <w:rStyle w:val="17"/>
          <w:rFonts w:hint="eastAsia" w:ascii="仿宋" w:hAnsi="仿宋" w:eastAsia="仿宋"/>
          <w:bCs/>
          <w:sz w:val="32"/>
          <w:szCs w:val="32"/>
        </w:rPr>
        <w:t>）</w:t>
      </w:r>
      <w:r>
        <w:rPr>
          <w:rStyle w:val="17"/>
          <w:rFonts w:hint="eastAsia" w:ascii="仿宋" w:hAnsi="仿宋" w:eastAsia="仿宋"/>
          <w:bCs/>
          <w:sz w:val="32"/>
          <w:szCs w:val="32"/>
          <w:lang w:eastAsia="zh-CN"/>
        </w:rPr>
        <w:t>：</w:t>
      </w:r>
      <w:r>
        <w:rPr>
          <w:rStyle w:val="17"/>
          <w:rFonts w:hint="eastAsia" w:ascii="仿宋" w:hAnsi="仿宋" w:eastAsia="仿宋"/>
          <w:b w:val="0"/>
          <w:bCs/>
          <w:sz w:val="32"/>
          <w:szCs w:val="32"/>
        </w:rPr>
        <w:t>支出决算为234.36万元，完成预算</w:t>
      </w:r>
      <w:r>
        <w:rPr>
          <w:rStyle w:val="17"/>
          <w:rFonts w:hint="eastAsia" w:ascii="仿宋" w:hAnsi="仿宋" w:eastAsia="仿宋"/>
          <w:b w:val="0"/>
          <w:bCs/>
          <w:sz w:val="32"/>
          <w:szCs w:val="32"/>
          <w:lang w:val="en-US" w:eastAsia="zh-CN"/>
        </w:rPr>
        <w:t>100</w:t>
      </w:r>
      <w:r>
        <w:rPr>
          <w:rStyle w:val="17"/>
          <w:rFonts w:ascii="仿宋" w:hAnsi="仿宋" w:eastAsia="仿宋"/>
          <w:b w:val="0"/>
          <w:bCs/>
          <w:sz w:val="32"/>
          <w:szCs w:val="32"/>
        </w:rPr>
        <w:t>%</w:t>
      </w:r>
      <w:r>
        <w:rPr>
          <w:rStyle w:val="17"/>
          <w:rFonts w:hint="eastAsia" w:ascii="仿宋" w:hAnsi="仿宋" w:eastAsia="仿宋"/>
          <w:b w:val="0"/>
          <w:bCs/>
          <w:sz w:val="32"/>
          <w:szCs w:val="32"/>
          <w:lang w:eastAsia="zh-CN"/>
        </w:rPr>
        <w:t>。</w:t>
      </w:r>
    </w:p>
    <w:p>
      <w:pPr>
        <w:spacing w:line="600" w:lineRule="exact"/>
        <w:ind w:firstLine="643" w:firstLineChars="200"/>
        <w:rPr>
          <w:rStyle w:val="17"/>
          <w:rFonts w:hint="eastAsia" w:ascii="仿宋" w:hAnsi="仿宋" w:eastAsia="仿宋"/>
          <w:b w:val="0"/>
          <w:bCs/>
          <w:sz w:val="32"/>
          <w:szCs w:val="32"/>
          <w:lang w:eastAsia="zh-CN"/>
        </w:rPr>
      </w:pPr>
      <w:r>
        <w:rPr>
          <w:rFonts w:hint="eastAsia" w:ascii="仿宋" w:hAnsi="仿宋" w:eastAsia="仿宋"/>
          <w:b/>
          <w:bCs/>
          <w:sz w:val="32"/>
          <w:szCs w:val="32"/>
          <w:lang w:val="en-US" w:eastAsia="zh-CN"/>
        </w:rPr>
        <w:t>6.</w:t>
      </w:r>
      <w:r>
        <w:rPr>
          <w:rStyle w:val="17"/>
          <w:rFonts w:hint="eastAsia" w:ascii="仿宋" w:hAnsi="仿宋" w:eastAsia="仿宋" w:cs="仿宋"/>
          <w:color w:val="000000"/>
          <w:sz w:val="32"/>
          <w:szCs w:val="32"/>
        </w:rPr>
        <w:t>.</w:t>
      </w:r>
      <w:r>
        <w:rPr>
          <w:rFonts w:hint="eastAsia" w:ascii="仿宋" w:hAnsi="仿宋" w:eastAsia="仿宋" w:cs="仿宋"/>
          <w:b/>
          <w:bCs/>
          <w:color w:val="000000"/>
          <w:sz w:val="32"/>
          <w:szCs w:val="32"/>
        </w:rPr>
        <w:t>住房保障</w:t>
      </w:r>
      <w:r>
        <w:rPr>
          <w:rStyle w:val="17"/>
          <w:rFonts w:hint="eastAsia" w:ascii="仿宋" w:hAnsi="仿宋" w:eastAsia="仿宋" w:cs="仿宋"/>
          <w:color w:val="000000"/>
          <w:sz w:val="32"/>
          <w:szCs w:val="32"/>
        </w:rPr>
        <w:t>（</w:t>
      </w:r>
      <w:r>
        <w:rPr>
          <w:rStyle w:val="17"/>
          <w:rFonts w:hint="eastAsia" w:ascii="仿宋" w:hAnsi="仿宋" w:eastAsia="仿宋" w:cs="仿宋"/>
          <w:color w:val="000000"/>
          <w:sz w:val="32"/>
          <w:szCs w:val="32"/>
          <w:lang w:val="en-US" w:eastAsia="zh-CN"/>
        </w:rPr>
        <w:t>221</w:t>
      </w:r>
      <w:r>
        <w:rPr>
          <w:rStyle w:val="17"/>
          <w:rFonts w:hint="eastAsia" w:ascii="仿宋" w:hAnsi="仿宋" w:eastAsia="仿宋" w:cs="仿宋"/>
          <w:color w:val="000000"/>
          <w:sz w:val="32"/>
          <w:szCs w:val="32"/>
        </w:rPr>
        <w:t>）住房改革</w:t>
      </w:r>
      <w:r>
        <w:rPr>
          <w:rStyle w:val="17"/>
          <w:rFonts w:hint="eastAsia" w:ascii="仿宋" w:hAnsi="仿宋" w:eastAsia="仿宋" w:cs="仿宋"/>
          <w:color w:val="000000"/>
          <w:sz w:val="32"/>
          <w:szCs w:val="32"/>
          <w:lang w:val="en-US" w:eastAsia="zh-CN"/>
        </w:rPr>
        <w:t>支出</w:t>
      </w:r>
      <w:r>
        <w:rPr>
          <w:rStyle w:val="17"/>
          <w:rFonts w:hint="eastAsia" w:ascii="仿宋" w:hAnsi="仿宋" w:eastAsia="仿宋" w:cs="仿宋"/>
          <w:color w:val="000000"/>
          <w:sz w:val="32"/>
          <w:szCs w:val="32"/>
        </w:rPr>
        <w:t>（</w:t>
      </w:r>
      <w:r>
        <w:rPr>
          <w:rStyle w:val="17"/>
          <w:rFonts w:hint="eastAsia" w:ascii="仿宋" w:hAnsi="仿宋" w:eastAsia="仿宋" w:cs="仿宋"/>
          <w:color w:val="000000"/>
          <w:sz w:val="32"/>
          <w:szCs w:val="32"/>
          <w:lang w:val="en-US" w:eastAsia="zh-CN"/>
        </w:rPr>
        <w:t>02</w:t>
      </w:r>
      <w:r>
        <w:rPr>
          <w:rStyle w:val="17"/>
          <w:rFonts w:hint="eastAsia" w:ascii="仿宋" w:hAnsi="仿宋" w:eastAsia="仿宋" w:cs="仿宋"/>
          <w:color w:val="000000"/>
          <w:sz w:val="32"/>
          <w:szCs w:val="32"/>
        </w:rPr>
        <w:t>）住房公积金（</w:t>
      </w:r>
      <w:r>
        <w:rPr>
          <w:rStyle w:val="17"/>
          <w:rFonts w:hint="eastAsia" w:ascii="仿宋" w:hAnsi="仿宋" w:eastAsia="仿宋" w:cs="仿宋"/>
          <w:color w:val="000000"/>
          <w:sz w:val="32"/>
          <w:szCs w:val="32"/>
          <w:lang w:val="en-US" w:eastAsia="zh-CN"/>
        </w:rPr>
        <w:t>01</w:t>
      </w:r>
      <w:r>
        <w:rPr>
          <w:rStyle w:val="17"/>
          <w:rFonts w:hint="eastAsia" w:ascii="仿宋" w:hAnsi="仿宋" w:eastAsia="仿宋" w:cs="仿宋"/>
          <w:color w:val="000000"/>
          <w:sz w:val="32"/>
          <w:szCs w:val="32"/>
        </w:rPr>
        <w:t>）</w:t>
      </w:r>
      <w:r>
        <w:rPr>
          <w:rStyle w:val="17"/>
          <w:rFonts w:hint="eastAsia" w:ascii="仿宋" w:hAnsi="仿宋" w:eastAsia="仿宋" w:cs="仿宋"/>
          <w:color w:val="000000"/>
          <w:sz w:val="32"/>
          <w:szCs w:val="32"/>
          <w:lang w:eastAsia="zh-CN"/>
        </w:rPr>
        <w:t>：</w:t>
      </w:r>
      <w:r>
        <w:rPr>
          <w:rStyle w:val="17"/>
          <w:rFonts w:hint="eastAsia" w:ascii="仿宋" w:hAnsi="仿宋" w:eastAsia="仿宋" w:cs="仿宋"/>
          <w:b w:val="0"/>
          <w:bCs w:val="0"/>
          <w:color w:val="000000"/>
          <w:sz w:val="32"/>
          <w:szCs w:val="32"/>
        </w:rPr>
        <w:t>支出决算为</w:t>
      </w:r>
      <w:r>
        <w:rPr>
          <w:rStyle w:val="17"/>
          <w:rFonts w:hint="eastAsia" w:ascii="仿宋" w:hAnsi="仿宋" w:eastAsia="仿宋" w:cs="仿宋"/>
          <w:b w:val="0"/>
          <w:bCs w:val="0"/>
          <w:color w:val="000000"/>
          <w:sz w:val="32"/>
          <w:szCs w:val="32"/>
          <w:lang w:val="en-US" w:eastAsia="zh-CN"/>
        </w:rPr>
        <w:t>351.53</w:t>
      </w:r>
      <w:r>
        <w:rPr>
          <w:rStyle w:val="17"/>
          <w:rFonts w:hint="eastAsia" w:ascii="仿宋" w:hAnsi="仿宋" w:eastAsia="仿宋" w:cs="仿宋"/>
          <w:b w:val="0"/>
          <w:bCs w:val="0"/>
          <w:color w:val="000000"/>
          <w:sz w:val="32"/>
          <w:szCs w:val="32"/>
        </w:rPr>
        <w:t>万元，完成预算100</w:t>
      </w:r>
      <w:r>
        <w:rPr>
          <w:rStyle w:val="17"/>
          <w:rFonts w:ascii="仿宋" w:hAnsi="仿宋" w:eastAsia="仿宋" w:cs="仿宋"/>
          <w:b w:val="0"/>
          <w:bCs w:val="0"/>
          <w:color w:val="000000"/>
          <w:sz w:val="32"/>
          <w:szCs w:val="32"/>
        </w:rPr>
        <w:t>%</w:t>
      </w:r>
      <w:r>
        <w:rPr>
          <w:rStyle w:val="17"/>
          <w:rFonts w:hint="eastAsia" w:ascii="仿宋" w:hAnsi="仿宋" w:eastAsia="仿宋"/>
          <w:b w:val="0"/>
          <w:bCs/>
          <w:sz w:val="32"/>
          <w:szCs w:val="32"/>
          <w:lang w:eastAsia="zh-CN"/>
        </w:rPr>
        <w:t>。</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（注：数据来源于财决</w:t>
      </w:r>
      <w:r>
        <w:rPr>
          <w:rFonts w:ascii="仿宋" w:hAnsi="仿宋" w:eastAsia="仿宋"/>
          <w:b/>
          <w:sz w:val="32"/>
          <w:szCs w:val="32"/>
        </w:rPr>
        <w:t>0</w:t>
      </w:r>
      <w:r>
        <w:rPr>
          <w:rFonts w:hint="eastAsia" w:ascii="仿宋" w:hAnsi="仿宋" w:eastAsia="仿宋"/>
          <w:b/>
          <w:sz w:val="32"/>
          <w:szCs w:val="32"/>
        </w:rPr>
        <w:t>1-1表和财决08表，仅罗列本单位涉及的全部功能分类科目，至项级。上述“预算”口径为全年预算数。增减变动原因为决算数</w:t>
      </w:r>
      <w:r>
        <w:rPr>
          <w:rFonts w:hint="eastAsia" w:ascii="仿宋" w:hAnsi="仿宋" w:eastAsia="仿宋"/>
          <w:b/>
          <w:sz w:val="32"/>
          <w:szCs w:val="32"/>
          <w:lang w:eastAsia="zh-CN"/>
        </w:rPr>
        <w:t>〈</w:t>
      </w:r>
      <w:r>
        <w:rPr>
          <w:rFonts w:hint="eastAsia" w:ascii="仿宋" w:hAnsi="仿宋" w:eastAsia="仿宋"/>
          <w:b/>
          <w:sz w:val="32"/>
          <w:szCs w:val="32"/>
        </w:rPr>
        <w:t>项级</w:t>
      </w:r>
      <w:r>
        <w:rPr>
          <w:rFonts w:hint="eastAsia" w:ascii="仿宋" w:hAnsi="仿宋" w:eastAsia="仿宋"/>
          <w:b/>
          <w:sz w:val="32"/>
          <w:szCs w:val="32"/>
          <w:lang w:eastAsia="zh-CN"/>
        </w:rPr>
        <w:t>〉</w:t>
      </w:r>
      <w:r>
        <w:rPr>
          <w:rFonts w:hint="eastAsia" w:ascii="仿宋" w:hAnsi="仿宋" w:eastAsia="仿宋"/>
          <w:b/>
          <w:sz w:val="32"/>
          <w:szCs w:val="32"/>
        </w:rPr>
        <w:t>和全年预算数</w:t>
      </w:r>
      <w:r>
        <w:rPr>
          <w:rFonts w:hint="eastAsia" w:ascii="仿宋" w:hAnsi="仿宋" w:eastAsia="仿宋"/>
          <w:b/>
          <w:sz w:val="32"/>
          <w:szCs w:val="32"/>
          <w:lang w:eastAsia="zh-CN"/>
        </w:rPr>
        <w:t>〈</w:t>
      </w:r>
      <w:r>
        <w:rPr>
          <w:rFonts w:hint="eastAsia" w:ascii="仿宋" w:hAnsi="仿宋" w:eastAsia="仿宋"/>
          <w:b/>
          <w:sz w:val="32"/>
          <w:szCs w:val="32"/>
        </w:rPr>
        <w:t>项级</w:t>
      </w:r>
      <w:r>
        <w:rPr>
          <w:rFonts w:hint="eastAsia" w:ascii="仿宋" w:hAnsi="仿宋" w:eastAsia="仿宋"/>
          <w:b/>
          <w:sz w:val="32"/>
          <w:szCs w:val="32"/>
          <w:lang w:eastAsia="zh-CN"/>
        </w:rPr>
        <w:t>〉</w:t>
      </w:r>
      <w:r>
        <w:rPr>
          <w:rFonts w:hint="eastAsia" w:ascii="仿宋" w:hAnsi="仿宋" w:eastAsia="仿宋"/>
          <w:b/>
          <w:sz w:val="32"/>
          <w:szCs w:val="32"/>
        </w:rPr>
        <w:t>比较，与预算数持平可以不写原因。）</w:t>
      </w:r>
    </w:p>
    <w:p>
      <w:pPr>
        <w:tabs>
          <w:tab w:val="right" w:pos="8306"/>
        </w:tabs>
        <w:spacing w:line="600" w:lineRule="exact"/>
        <w:ind w:firstLine="640"/>
        <w:outlineLvl w:val="1"/>
        <w:rPr>
          <w:rStyle w:val="28"/>
        </w:rPr>
      </w:pPr>
      <w:bookmarkStart w:id="34" w:name="_Toc15396608"/>
      <w:bookmarkStart w:id="35" w:name="_Toc1537721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8"/>
          <w:rFonts w:hint="eastAsia" w:ascii="黑体" w:hAnsi="黑体" w:eastAsia="黑体"/>
          <w:b w:val="0"/>
        </w:rPr>
        <w:t>般公共预算财政拨款基本支出决算情况说明</w:t>
      </w:r>
      <w:bookmarkEnd w:id="34"/>
      <w:bookmarkEnd w:id="35"/>
      <w:r>
        <w:rPr>
          <w:rStyle w:val="28"/>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w:t>
      </w:r>
      <w:r>
        <w:rPr>
          <w:rFonts w:hint="eastAsia" w:ascii="仿宋" w:hAnsi="仿宋" w:eastAsia="仿宋"/>
          <w:sz w:val="32"/>
          <w:szCs w:val="32"/>
          <w:lang w:val="en-US" w:eastAsia="zh-CN"/>
        </w:rPr>
        <w:t>6345.3</w:t>
      </w:r>
      <w:r>
        <w:rPr>
          <w:rFonts w:hint="eastAsia" w:ascii="仿宋" w:hAnsi="仿宋" w:eastAsia="仿宋"/>
          <w:sz w:val="32"/>
          <w:szCs w:val="32"/>
        </w:rPr>
        <w:t>万元，其中：</w:t>
      </w:r>
    </w:p>
    <w:p>
      <w:pPr>
        <w:spacing w:line="600" w:lineRule="exact"/>
        <w:ind w:firstLine="645"/>
        <w:rPr>
          <w:rFonts w:hint="eastAsia" w:ascii="仿宋" w:hAnsi="仿宋" w:eastAsia="仿宋"/>
          <w:sz w:val="32"/>
          <w:szCs w:val="32"/>
          <w:lang w:eastAsia="zh-CN"/>
        </w:rPr>
      </w:pPr>
      <w:r>
        <w:rPr>
          <w:rFonts w:hint="eastAsia" w:ascii="仿宋" w:hAnsi="仿宋" w:eastAsia="仿宋"/>
          <w:sz w:val="32"/>
          <w:szCs w:val="32"/>
        </w:rPr>
        <w:t>人员经费5850.2</w:t>
      </w:r>
      <w:r>
        <w:rPr>
          <w:rFonts w:hint="eastAsia" w:ascii="仿宋" w:hAnsi="仿宋" w:eastAsia="仿宋"/>
          <w:sz w:val="32"/>
          <w:szCs w:val="32"/>
          <w:lang w:val="en-US" w:eastAsia="zh-CN"/>
        </w:rPr>
        <w:t>1</w:t>
      </w:r>
      <w:r>
        <w:rPr>
          <w:rFonts w:hint="eastAsia" w:ascii="仿宋" w:hAnsi="仿宋" w:eastAsia="仿宋"/>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600" w:lineRule="exact"/>
        <w:ind w:firstLine="645"/>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lang w:val="en-US" w:eastAsia="zh-CN"/>
        </w:rPr>
        <w:t>495.09</w:t>
      </w:r>
      <w:r>
        <w:rPr>
          <w:rFonts w:hint="eastAsia" w:ascii="仿宋" w:hAnsi="仿宋" w:eastAsia="仿宋"/>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5"/>
        <w:rPr>
          <w:rFonts w:ascii="仿宋" w:hAnsi="仿宋" w:eastAsia="仿宋"/>
          <w:b/>
          <w:sz w:val="32"/>
          <w:szCs w:val="32"/>
        </w:rPr>
      </w:pPr>
      <w:r>
        <w:rPr>
          <w:rFonts w:hint="eastAsia" w:ascii="仿宋" w:hAnsi="仿宋" w:eastAsia="仿宋"/>
          <w:b/>
          <w:sz w:val="32"/>
          <w:szCs w:val="32"/>
        </w:rPr>
        <w:t>（注：数据来源于财决</w:t>
      </w:r>
      <w:r>
        <w:rPr>
          <w:rFonts w:ascii="仿宋" w:hAnsi="仿宋" w:eastAsia="仿宋"/>
          <w:b/>
          <w:sz w:val="32"/>
          <w:szCs w:val="32"/>
        </w:rPr>
        <w:t>0</w:t>
      </w:r>
      <w:r>
        <w:rPr>
          <w:rFonts w:hint="eastAsia" w:ascii="仿宋" w:hAnsi="仿宋" w:eastAsia="仿宋"/>
          <w:b/>
          <w:sz w:val="32"/>
          <w:szCs w:val="32"/>
        </w:rPr>
        <w:t>7表和财决08-1表，仅罗列本单位实际支出涉及的经济分类科目。）</w:t>
      </w:r>
    </w:p>
    <w:p>
      <w:pPr>
        <w:spacing w:line="600" w:lineRule="exact"/>
        <w:ind w:firstLine="640"/>
        <w:outlineLvl w:val="1"/>
        <w:rPr>
          <w:rStyle w:val="28"/>
          <w:rFonts w:ascii="黑体" w:hAnsi="黑体" w:eastAsia="黑体"/>
          <w:b w:val="0"/>
        </w:rPr>
      </w:pPr>
      <w:bookmarkStart w:id="36" w:name="_Toc15396609"/>
      <w:bookmarkStart w:id="37" w:name="_Toc15377215"/>
      <w:r>
        <w:rPr>
          <w:rFonts w:hint="eastAsia" w:ascii="黑体" w:eastAsia="黑体"/>
          <w:sz w:val="32"/>
          <w:szCs w:val="32"/>
        </w:rPr>
        <w:t>七、</w:t>
      </w:r>
      <w:r>
        <w:rPr>
          <w:rStyle w:val="28"/>
          <w:rFonts w:hint="eastAsia" w:ascii="黑体" w:hAnsi="黑体" w:eastAsia="黑体"/>
          <w:b w:val="0"/>
        </w:rPr>
        <w:t>财政拨款</w:t>
      </w:r>
      <w:r>
        <w:rPr>
          <w:rStyle w:val="28"/>
          <w:rFonts w:hint="eastAsia" w:ascii="黑体" w:hAnsi="黑体" w:eastAsia="黑体"/>
        </w:rPr>
        <w:t>“</w:t>
      </w:r>
      <w:r>
        <w:rPr>
          <w:rStyle w:val="28"/>
          <w:rFonts w:hint="eastAsia" w:ascii="黑体" w:hAnsi="黑体" w:eastAsia="黑体"/>
          <w:b w:val="0"/>
        </w:rPr>
        <w:t>三公”经费支出决算情况说明</w:t>
      </w:r>
      <w:bookmarkEnd w:id="36"/>
      <w:bookmarkEnd w:id="37"/>
    </w:p>
    <w:p>
      <w:pPr>
        <w:spacing w:line="600" w:lineRule="exact"/>
        <w:ind w:firstLine="640"/>
        <w:outlineLvl w:val="2"/>
        <w:rPr>
          <w:rFonts w:ascii="仿宋" w:hAnsi="仿宋" w:eastAsia="仿宋"/>
          <w:b/>
          <w:sz w:val="32"/>
          <w:szCs w:val="32"/>
        </w:rPr>
      </w:pPr>
      <w:bookmarkStart w:id="38" w:name="_Toc15377216"/>
      <w:r>
        <w:rPr>
          <w:rFonts w:hint="eastAsia" w:ascii="仿宋" w:hAnsi="仿宋" w:eastAsia="仿宋"/>
          <w:b/>
          <w:sz w:val="32"/>
          <w:szCs w:val="32"/>
        </w:rPr>
        <w:t>（一）“三公”经费财政拨款支出决算总体情况说明</w:t>
      </w:r>
      <w:bookmarkEnd w:id="38"/>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22年“三公”经费财政拨款支出决算为</w:t>
      </w:r>
      <w:r>
        <w:rPr>
          <w:rFonts w:hint="eastAsia" w:ascii="仿宋" w:hAnsi="仿宋" w:eastAsia="仿宋"/>
          <w:sz w:val="32"/>
          <w:szCs w:val="32"/>
          <w:lang w:val="en-US" w:eastAsia="zh-CN"/>
        </w:rPr>
        <w:t>1.52</w:t>
      </w:r>
      <w:r>
        <w:rPr>
          <w:rFonts w:hint="eastAsia" w:ascii="仿宋" w:hAnsi="仿宋" w:eastAsia="仿宋"/>
          <w:sz w:val="32"/>
          <w:szCs w:val="32"/>
        </w:rPr>
        <w:t>万元，完成预算</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，决算数与预算数持平。</w:t>
      </w:r>
    </w:p>
    <w:p>
      <w:pPr>
        <w:spacing w:line="600" w:lineRule="exact"/>
        <w:ind w:firstLine="640"/>
        <w:rPr>
          <w:rFonts w:ascii="仿宋" w:hAnsi="仿宋" w:eastAsia="仿宋"/>
          <w:b/>
          <w:sz w:val="32"/>
          <w:szCs w:val="32"/>
        </w:rPr>
      </w:pPr>
      <w:r>
        <w:rPr>
          <w:rFonts w:hint="eastAsia" w:ascii="仿宋" w:hAnsi="仿宋" w:eastAsia="仿宋"/>
          <w:b/>
          <w:sz w:val="32"/>
          <w:szCs w:val="32"/>
        </w:rPr>
        <w:t>（注：上述“预算”口径为全年预算数，包括一般公共预算和政府性基金预算财政拨款支出决算情况。）</w:t>
      </w:r>
    </w:p>
    <w:p>
      <w:pPr>
        <w:spacing w:line="600" w:lineRule="exact"/>
        <w:ind w:firstLine="640"/>
        <w:outlineLvl w:val="2"/>
        <w:rPr>
          <w:rFonts w:ascii="仿宋" w:hAnsi="仿宋" w:eastAsia="仿宋"/>
          <w:b/>
          <w:sz w:val="32"/>
          <w:szCs w:val="32"/>
        </w:rPr>
      </w:pPr>
      <w:bookmarkStart w:id="39" w:name="_Toc15377217"/>
      <w:r>
        <w:rPr>
          <w:rFonts w:hint="eastAsia" w:ascii="仿宋" w:hAnsi="仿宋" w:eastAsia="仿宋"/>
          <w:b/>
          <w:sz w:val="32"/>
          <w:szCs w:val="32"/>
        </w:rPr>
        <w:t>（二）“三公”经费财政拨款支出决算具体情况说明</w:t>
      </w:r>
      <w:bookmarkEnd w:id="39"/>
    </w:p>
    <w:p>
      <w:pPr>
        <w:spacing w:line="600" w:lineRule="exact"/>
        <w:ind w:firstLine="640"/>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；公务用车购置及运行维护费支出决算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；公务接待费支出决算</w:t>
      </w:r>
      <w:r>
        <w:rPr>
          <w:rFonts w:hint="eastAsia" w:ascii="仿宋" w:hAnsi="仿宋" w:eastAsia="仿宋"/>
          <w:sz w:val="32"/>
          <w:szCs w:val="32"/>
          <w:lang w:val="en-US" w:eastAsia="zh-CN"/>
        </w:rPr>
        <w:t>1.52</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。具体情况如下：</w:t>
      </w:r>
    </w:p>
    <w:p>
      <w:pPr>
        <w:spacing w:line="600" w:lineRule="exact"/>
        <w:ind w:firstLine="560" w:firstLineChars="200"/>
        <w:jc w:val="center"/>
        <w:rPr>
          <w:rFonts w:hint="eastAsia" w:ascii="仿宋" w:hAnsi="仿宋" w:eastAsia="仿宋"/>
          <w:sz w:val="28"/>
          <w:szCs w:val="28"/>
        </w:rPr>
      </w:pPr>
      <w:r>
        <w:rPr>
          <w:rFonts w:hint="eastAsia" w:ascii="仿宋" w:hAnsi="仿宋" w:eastAsia="仿宋"/>
          <w:sz w:val="28"/>
          <w:szCs w:val="28"/>
        </w:rPr>
        <w:drawing>
          <wp:anchor distT="0" distB="0" distL="114300" distR="114300" simplePos="0" relativeHeight="251665408" behindDoc="0" locked="0" layoutInCell="1" allowOverlap="1">
            <wp:simplePos x="0" y="0"/>
            <wp:positionH relativeFrom="column">
              <wp:posOffset>113665</wp:posOffset>
            </wp:positionH>
            <wp:positionV relativeFrom="paragraph">
              <wp:posOffset>126365</wp:posOffset>
            </wp:positionV>
            <wp:extent cx="4826000" cy="2484120"/>
            <wp:effectExtent l="4445" t="4445" r="15875" b="10795"/>
            <wp:wrapSquare wrapText="bothSides"/>
            <wp:docPr id="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hint="eastAsia" w:ascii="仿宋" w:hAnsi="仿宋" w:eastAsia="仿宋"/>
          <w:sz w:val="28"/>
          <w:szCs w:val="28"/>
        </w:rPr>
        <w:t>（图7：“三公”经费财政拨款支出结构）（饼状图）</w:t>
      </w:r>
    </w:p>
    <w:p>
      <w:pPr>
        <w:keepNext w:val="0"/>
        <w:keepLines w:val="0"/>
        <w:widowControl/>
        <w:suppressLineNumbers w:val="0"/>
        <w:ind w:firstLine="643" w:firstLineChars="200"/>
        <w:jc w:val="left"/>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Style w:val="17"/>
          <w:rFonts w:hint="eastAsia" w:ascii="仿宋" w:hAnsi="仿宋" w:eastAsia="仿宋"/>
          <w:b w:val="0"/>
          <w:bCs/>
          <w:sz w:val="32"/>
          <w:szCs w:val="32"/>
        </w:rPr>
        <w:t>完成预算</w:t>
      </w:r>
      <w:r>
        <w:rPr>
          <w:rStyle w:val="17"/>
          <w:rFonts w:hint="eastAsia" w:ascii="仿宋" w:hAnsi="仿宋" w:eastAsia="仿宋"/>
          <w:b w:val="0"/>
          <w:bCs/>
          <w:sz w:val="32"/>
          <w:szCs w:val="32"/>
          <w:lang w:val="en-US" w:eastAsia="zh-CN"/>
        </w:rPr>
        <w:t>0</w:t>
      </w:r>
      <w:r>
        <w:rPr>
          <w:rStyle w:val="17"/>
          <w:rFonts w:ascii="仿宋" w:hAnsi="仿宋" w:eastAsia="仿宋"/>
          <w:b w:val="0"/>
          <w:bCs/>
          <w:sz w:val="32"/>
          <w:szCs w:val="32"/>
        </w:rPr>
        <w:t>%</w:t>
      </w:r>
      <w:r>
        <w:rPr>
          <w:rStyle w:val="17"/>
          <w:rFonts w:hint="eastAsia" w:ascii="仿宋" w:hAnsi="仿宋" w:eastAsia="仿宋"/>
          <w:b w:val="0"/>
          <w:bCs/>
          <w:sz w:val="32"/>
          <w:szCs w:val="32"/>
        </w:rPr>
        <w:t>。</w:t>
      </w:r>
      <w:r>
        <w:rPr>
          <w:rFonts w:ascii="仿宋" w:hAnsi="仿宋" w:eastAsia="仿宋" w:cs="仿宋"/>
          <w:color w:val="000000"/>
          <w:kern w:val="0"/>
          <w:sz w:val="31"/>
          <w:szCs w:val="31"/>
          <w:lang w:val="en-US" w:eastAsia="zh-CN" w:bidi="ar"/>
        </w:rPr>
        <w:t xml:space="preserve">全年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安排因公出国（境）团组0次，出国（境）0人。因公出国 </w:t>
      </w:r>
    </w:p>
    <w:p>
      <w:pPr>
        <w:keepNext w:val="0"/>
        <w:keepLines w:val="0"/>
        <w:widowControl/>
        <w:suppressLineNumbers w:val="0"/>
        <w:jc w:val="left"/>
        <w:rPr>
          <w:rFonts w:ascii="仿宋_GB2312" w:eastAsia="仿宋_GB2312"/>
          <w:sz w:val="32"/>
          <w:szCs w:val="32"/>
        </w:rPr>
      </w:pPr>
      <w:r>
        <w:rPr>
          <w:rFonts w:hint="eastAsia" w:ascii="仿宋" w:hAnsi="仿宋" w:eastAsia="仿宋" w:cs="仿宋"/>
          <w:color w:val="000000"/>
          <w:kern w:val="0"/>
          <w:sz w:val="31"/>
          <w:szCs w:val="31"/>
          <w:lang w:val="en-US" w:eastAsia="zh-CN" w:bidi="ar"/>
        </w:rPr>
        <w:t>（境）支出决算比2021年增加0万元，增长0%。</w:t>
      </w:r>
    </w:p>
    <w:p>
      <w:pPr>
        <w:keepNext w:val="0"/>
        <w:keepLines w:val="0"/>
        <w:widowControl/>
        <w:suppressLineNumbers w:val="0"/>
        <w:ind w:firstLine="643" w:firstLineChars="200"/>
        <w:jc w:val="left"/>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eastAsia="zh-CN"/>
        </w:rPr>
        <w:t>，</w:t>
      </w:r>
      <w:r>
        <w:rPr>
          <w:rStyle w:val="17"/>
          <w:rFonts w:hint="eastAsia" w:ascii="仿宋" w:hAnsi="仿宋" w:eastAsia="仿宋"/>
          <w:b w:val="0"/>
          <w:bCs/>
          <w:sz w:val="32"/>
          <w:szCs w:val="32"/>
        </w:rPr>
        <w:t>完成预算</w:t>
      </w:r>
      <w:r>
        <w:rPr>
          <w:rStyle w:val="17"/>
          <w:rFonts w:hint="eastAsia" w:ascii="仿宋" w:hAnsi="仿宋" w:eastAsia="仿宋"/>
          <w:b w:val="0"/>
          <w:bCs/>
          <w:sz w:val="32"/>
          <w:szCs w:val="32"/>
          <w:lang w:val="en-US" w:eastAsia="zh-CN"/>
        </w:rPr>
        <w:t>0</w:t>
      </w:r>
      <w:r>
        <w:rPr>
          <w:rStyle w:val="17"/>
          <w:rFonts w:ascii="仿宋" w:hAnsi="仿宋" w:eastAsia="仿宋"/>
          <w:b w:val="0"/>
          <w:bCs/>
          <w:sz w:val="32"/>
          <w:szCs w:val="32"/>
        </w:rPr>
        <w:t>%</w:t>
      </w:r>
      <w:r>
        <w:rPr>
          <w:rStyle w:val="17"/>
          <w:rFonts w:hint="eastAsia" w:ascii="仿宋" w:hAnsi="仿宋" w:eastAsia="仿宋"/>
          <w:b w:val="0"/>
          <w:bCs/>
          <w:sz w:val="32"/>
          <w:szCs w:val="32"/>
        </w:rPr>
        <w:t>。</w:t>
      </w:r>
      <w:r>
        <w:rPr>
          <w:rFonts w:ascii="仿宋" w:hAnsi="仿宋" w:eastAsia="仿宋" w:cs="仿宋"/>
          <w:color w:val="000000"/>
          <w:kern w:val="0"/>
          <w:sz w:val="31"/>
          <w:szCs w:val="31"/>
          <w:lang w:val="en-US" w:eastAsia="zh-CN" w:bidi="ar"/>
        </w:rPr>
        <w:t>公务用车购置及运行维护费支出决算比 202</w:t>
      </w:r>
      <w:r>
        <w:rPr>
          <w:rFonts w:hint="eastAsia" w:ascii="仿宋" w:hAnsi="仿宋" w:eastAsia="仿宋" w:cs="仿宋"/>
          <w:color w:val="000000"/>
          <w:kern w:val="0"/>
          <w:sz w:val="31"/>
          <w:szCs w:val="31"/>
          <w:lang w:val="en-US" w:eastAsia="zh-CN" w:bidi="ar"/>
        </w:rPr>
        <w:t>1</w:t>
      </w:r>
      <w:r>
        <w:rPr>
          <w:rFonts w:ascii="仿宋" w:hAnsi="仿宋" w:eastAsia="仿宋" w:cs="仿宋"/>
          <w:color w:val="000000"/>
          <w:kern w:val="0"/>
          <w:sz w:val="31"/>
          <w:szCs w:val="31"/>
          <w:lang w:val="en-US" w:eastAsia="zh-CN" w:bidi="ar"/>
        </w:rPr>
        <w:t>年增加</w:t>
      </w:r>
      <w:r>
        <w:rPr>
          <w:rFonts w:hint="eastAsia" w:ascii="仿宋" w:hAnsi="仿宋" w:eastAsia="仿宋" w:cs="仿宋"/>
          <w:color w:val="000000"/>
          <w:kern w:val="0"/>
          <w:sz w:val="31"/>
          <w:szCs w:val="31"/>
          <w:lang w:val="en-US" w:eastAsia="zh-CN" w:bidi="ar"/>
        </w:rPr>
        <w:t>0</w:t>
      </w:r>
      <w:r>
        <w:rPr>
          <w:rFonts w:ascii="仿宋" w:hAnsi="仿宋" w:eastAsia="仿宋" w:cs="仿宋"/>
          <w:color w:val="000000"/>
          <w:kern w:val="0"/>
          <w:sz w:val="31"/>
          <w:szCs w:val="31"/>
          <w:lang w:val="en-US" w:eastAsia="zh-CN" w:bidi="ar"/>
        </w:rPr>
        <w:t xml:space="preserve">万元， </w:t>
      </w:r>
    </w:p>
    <w:p>
      <w:pPr>
        <w:keepNext w:val="0"/>
        <w:keepLines w:val="0"/>
        <w:widowControl/>
        <w:suppressLineNumbers w:val="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增长或下降0%。</w:t>
      </w:r>
    </w:p>
    <w:p>
      <w:pPr>
        <w:keepNext w:val="0"/>
        <w:keepLines w:val="0"/>
        <w:widowControl/>
        <w:suppressLineNumbers w:val="0"/>
        <w:ind w:firstLine="620" w:firstLineChars="200"/>
        <w:jc w:val="left"/>
      </w:pPr>
      <w:r>
        <w:rPr>
          <w:rFonts w:ascii="仿宋" w:hAnsi="仿宋" w:eastAsia="仿宋" w:cs="仿宋"/>
          <w:color w:val="000000"/>
          <w:kern w:val="0"/>
          <w:sz w:val="31"/>
          <w:szCs w:val="31"/>
          <w:lang w:val="en-US" w:eastAsia="zh-CN" w:bidi="ar"/>
        </w:rPr>
        <w:t>其中</w:t>
      </w:r>
      <w:r>
        <w:rPr>
          <w:rFonts w:hint="eastAsia" w:ascii="宋体" w:hAnsi="宋体" w:eastAsia="宋体" w:cs="宋体"/>
          <w:color w:val="000000"/>
          <w:kern w:val="0"/>
          <w:sz w:val="31"/>
          <w:szCs w:val="31"/>
          <w:lang w:val="en-US" w:eastAsia="zh-CN" w:bidi="ar"/>
        </w:rPr>
        <w:t>：</w:t>
      </w:r>
      <w:r>
        <w:rPr>
          <w:rFonts w:hint="eastAsia" w:ascii="仿宋" w:hAnsi="仿宋" w:eastAsia="仿宋" w:cs="仿宋"/>
          <w:b/>
          <w:bCs/>
          <w:color w:val="000000"/>
          <w:kern w:val="0"/>
          <w:sz w:val="31"/>
          <w:szCs w:val="31"/>
          <w:lang w:val="en-US" w:eastAsia="zh-CN" w:bidi="ar"/>
        </w:rPr>
        <w:t>公务用车购置支出</w:t>
      </w:r>
      <w:r>
        <w:rPr>
          <w:rFonts w:hint="eastAsia" w:ascii="仿宋" w:hAnsi="仿宋" w:eastAsia="仿宋" w:cs="仿宋"/>
          <w:b w:val="0"/>
          <w:bCs w:val="0"/>
          <w:color w:val="000000"/>
          <w:kern w:val="0"/>
          <w:sz w:val="31"/>
          <w:szCs w:val="31"/>
          <w:lang w:val="en-US" w:eastAsia="zh-CN" w:bidi="ar"/>
        </w:rPr>
        <w:t>0</w:t>
      </w:r>
      <w:r>
        <w:rPr>
          <w:rFonts w:hint="eastAsia" w:ascii="仿宋" w:hAnsi="仿宋" w:eastAsia="仿宋" w:cs="仿宋"/>
          <w:color w:val="000000"/>
          <w:kern w:val="0"/>
          <w:sz w:val="31"/>
          <w:szCs w:val="31"/>
          <w:lang w:val="en-US" w:eastAsia="zh-CN" w:bidi="ar"/>
        </w:rPr>
        <w:t xml:space="preserve">万元，全年按规定更新购置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公务用车0辆，其中：轿车0辆、金额0万元，越野车0辆、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金额0万元，载客汽车0辆、金额0万元。截至2022年12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月底，单位共有公务用车0辆，其中：轿车0辆、越野车0辆、载客汽车0辆。 </w:t>
      </w:r>
    </w:p>
    <w:p>
      <w:pPr>
        <w:keepNext w:val="0"/>
        <w:keepLines w:val="0"/>
        <w:widowControl/>
        <w:suppressLineNumbers w:val="0"/>
        <w:ind w:firstLine="622" w:firstLineChars="200"/>
        <w:jc w:val="left"/>
        <w:rPr>
          <w:rFonts w:ascii="仿宋_GB2312" w:eastAsia="仿宋_GB2312"/>
          <w:sz w:val="32"/>
          <w:szCs w:val="32"/>
        </w:rPr>
      </w:pPr>
      <w:r>
        <w:rPr>
          <w:rFonts w:hint="eastAsia" w:ascii="仿宋" w:hAnsi="仿宋" w:eastAsia="仿宋" w:cs="仿宋"/>
          <w:b/>
          <w:bCs/>
          <w:color w:val="000000"/>
          <w:kern w:val="0"/>
          <w:sz w:val="31"/>
          <w:szCs w:val="31"/>
          <w:lang w:val="en-US" w:eastAsia="zh-CN" w:bidi="ar"/>
        </w:rPr>
        <w:t>公务用车运行维护费支出</w:t>
      </w:r>
      <w:r>
        <w:rPr>
          <w:rFonts w:hint="eastAsia" w:ascii="仿宋" w:hAnsi="仿宋" w:eastAsia="仿宋" w:cs="仿宋"/>
          <w:b w:val="0"/>
          <w:bCs w:val="0"/>
          <w:color w:val="000000"/>
          <w:kern w:val="0"/>
          <w:sz w:val="31"/>
          <w:szCs w:val="31"/>
          <w:lang w:val="en-US" w:eastAsia="zh-CN" w:bidi="ar"/>
        </w:rPr>
        <w:t>0</w:t>
      </w:r>
      <w:r>
        <w:rPr>
          <w:rFonts w:hint="eastAsia" w:ascii="宋体" w:hAnsi="宋体" w:eastAsia="宋体" w:cs="宋体"/>
          <w:color w:val="000000"/>
          <w:kern w:val="0"/>
          <w:sz w:val="31"/>
          <w:szCs w:val="31"/>
          <w:lang w:val="en-US" w:eastAsia="zh-CN" w:bidi="ar"/>
        </w:rPr>
        <w:t>万元</w:t>
      </w:r>
      <w:r>
        <w:rPr>
          <w:rFonts w:hint="eastAsia" w:ascii="宋体" w:hAnsi="宋体" w:cs="宋体"/>
          <w:color w:val="000000"/>
          <w:kern w:val="0"/>
          <w:sz w:val="31"/>
          <w:szCs w:val="31"/>
          <w:lang w:val="en-US" w:eastAsia="zh-CN" w:bidi="ar"/>
        </w:rPr>
        <w:t>。</w:t>
      </w:r>
    </w:p>
    <w:p>
      <w:pPr>
        <w:keepNext w:val="0"/>
        <w:keepLines w:val="0"/>
        <w:widowControl/>
        <w:numPr>
          <w:ilvl w:val="0"/>
          <w:numId w:val="3"/>
        </w:numPr>
        <w:suppressLineNumbers w:val="0"/>
        <w:ind w:left="0" w:leftChars="0" w:firstLine="643" w:firstLineChars="200"/>
        <w:jc w:val="left"/>
        <w:rPr>
          <w:rFonts w:hint="eastAsia" w:ascii="仿宋_GB2312" w:eastAsia="仿宋_GB2312"/>
          <w:sz w:val="32"/>
          <w:szCs w:val="32"/>
          <w:lang w:val="en-US" w:eastAsia="zh-CN"/>
        </w:rPr>
      </w:pPr>
      <w:r>
        <w:rPr>
          <w:rFonts w:hint="eastAsia" w:ascii="仿宋_GB2312" w:eastAsia="仿宋_GB2312"/>
          <w:b/>
          <w:sz w:val="32"/>
          <w:szCs w:val="32"/>
        </w:rPr>
        <w:t>公务接待费支出</w:t>
      </w:r>
      <w:r>
        <w:rPr>
          <w:rFonts w:hint="eastAsia" w:ascii="仿宋_GB2312" w:eastAsia="仿宋_GB2312"/>
          <w:sz w:val="32"/>
          <w:szCs w:val="32"/>
          <w:lang w:val="en-US" w:eastAsia="zh-CN"/>
        </w:rPr>
        <w:t>1.52</w:t>
      </w:r>
      <w:r>
        <w:rPr>
          <w:rFonts w:hint="eastAsia" w:ascii="仿宋_GB2312" w:eastAsia="仿宋_GB2312"/>
          <w:sz w:val="32"/>
          <w:szCs w:val="32"/>
        </w:rPr>
        <w:t>万元，</w:t>
      </w:r>
      <w:r>
        <w:rPr>
          <w:rStyle w:val="17"/>
          <w:rFonts w:hint="eastAsia" w:ascii="仿宋" w:hAnsi="仿宋" w:eastAsia="仿宋"/>
          <w:b w:val="0"/>
          <w:bCs/>
          <w:sz w:val="32"/>
          <w:szCs w:val="32"/>
        </w:rPr>
        <w:t>完成预算</w:t>
      </w:r>
      <w:r>
        <w:rPr>
          <w:rStyle w:val="17"/>
          <w:rFonts w:hint="eastAsia" w:ascii="仿宋" w:hAnsi="仿宋" w:eastAsia="仿宋"/>
          <w:b w:val="0"/>
          <w:bCs/>
          <w:sz w:val="32"/>
          <w:szCs w:val="32"/>
          <w:lang w:val="en-US" w:eastAsia="zh-CN"/>
        </w:rPr>
        <w:t>100</w:t>
      </w:r>
      <w:r>
        <w:rPr>
          <w:rStyle w:val="17"/>
          <w:rFonts w:ascii="仿宋" w:hAnsi="仿宋" w:eastAsia="仿宋"/>
          <w:b w:val="0"/>
          <w:bCs/>
          <w:sz w:val="32"/>
          <w:szCs w:val="32"/>
        </w:rPr>
        <w:t>%</w:t>
      </w:r>
      <w:r>
        <w:rPr>
          <w:rStyle w:val="17"/>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21年减少</w:t>
      </w:r>
      <w:r>
        <w:rPr>
          <w:rFonts w:hint="eastAsia" w:ascii="仿宋_GB2312" w:eastAsia="仿宋_GB2312"/>
          <w:sz w:val="32"/>
          <w:szCs w:val="32"/>
          <w:lang w:val="en-US" w:eastAsia="zh-CN"/>
        </w:rPr>
        <w:t>0.38</w:t>
      </w:r>
      <w:r>
        <w:rPr>
          <w:rFonts w:hint="eastAsia" w:ascii="仿宋_GB2312" w:eastAsia="仿宋_GB2312"/>
          <w:sz w:val="32"/>
          <w:szCs w:val="32"/>
        </w:rPr>
        <w:t>万元，下降</w:t>
      </w:r>
      <w:r>
        <w:rPr>
          <w:rFonts w:hint="eastAsia" w:ascii="仿宋_GB2312" w:eastAsia="仿宋_GB2312"/>
          <w:sz w:val="32"/>
          <w:szCs w:val="32"/>
          <w:lang w:val="en-US" w:eastAsia="zh-CN"/>
        </w:rPr>
        <w:t>19.79</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sz w:val="32"/>
          <w:szCs w:val="32"/>
          <w:lang w:val="en-US" w:eastAsia="zh-CN"/>
        </w:rPr>
        <w:t>疫情期间兄弟学校之间交流减少。</w:t>
      </w:r>
    </w:p>
    <w:p>
      <w:pPr>
        <w:keepNext w:val="0"/>
        <w:keepLines w:val="0"/>
        <w:widowControl/>
        <w:numPr>
          <w:ilvl w:val="0"/>
          <w:numId w:val="0"/>
        </w:numPr>
        <w:suppressLineNumbers w:val="0"/>
        <w:ind w:left="0" w:leftChars="0" w:firstLine="643" w:firstLineChars="200"/>
        <w:jc w:val="left"/>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lang w:val="en-US" w:eastAsia="zh-CN"/>
        </w:rPr>
        <w:t>1.52</w:t>
      </w:r>
      <w:r>
        <w:rPr>
          <w:rFonts w:hint="eastAsia" w:ascii="仿宋_GB2312" w:eastAsia="仿宋_GB2312"/>
          <w:sz w:val="32"/>
          <w:szCs w:val="32"/>
        </w:rPr>
        <w:t>万元，主要用于</w:t>
      </w:r>
      <w:r>
        <w:rPr>
          <w:rFonts w:hint="eastAsia" w:ascii="仿宋_GB2312" w:eastAsia="仿宋_GB2312"/>
          <w:sz w:val="32"/>
          <w:szCs w:val="32"/>
          <w:lang w:val="en-US" w:eastAsia="zh-CN"/>
        </w:rPr>
        <w:t>公务接待</w:t>
      </w:r>
      <w:r>
        <w:rPr>
          <w:rFonts w:hint="eastAsia" w:ascii="仿宋_GB2312" w:eastAsia="仿宋_GB2312"/>
          <w:sz w:val="32"/>
          <w:szCs w:val="32"/>
        </w:rPr>
        <w:t>。国内公务接待</w:t>
      </w:r>
      <w:r>
        <w:rPr>
          <w:rFonts w:hint="eastAsia" w:ascii="仿宋_GB2312" w:eastAsia="仿宋_GB2312"/>
          <w:sz w:val="32"/>
          <w:szCs w:val="32"/>
          <w:lang w:val="en-US" w:eastAsia="zh-CN"/>
        </w:rPr>
        <w:t>13</w:t>
      </w:r>
      <w:r>
        <w:rPr>
          <w:rFonts w:hint="eastAsia" w:ascii="仿宋_GB2312" w:eastAsia="仿宋_GB2312"/>
          <w:sz w:val="32"/>
          <w:szCs w:val="32"/>
        </w:rPr>
        <w:t>批次，</w:t>
      </w:r>
      <w:r>
        <w:rPr>
          <w:rFonts w:hint="eastAsia" w:ascii="仿宋_GB2312" w:eastAsia="仿宋_GB2312"/>
          <w:sz w:val="32"/>
          <w:szCs w:val="32"/>
          <w:lang w:val="en-US" w:eastAsia="zh-CN"/>
        </w:rPr>
        <w:t>159</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1.52</w:t>
      </w:r>
      <w:r>
        <w:rPr>
          <w:rFonts w:hint="eastAsia" w:ascii="仿宋_GB2312" w:eastAsia="仿宋_GB2312"/>
          <w:sz w:val="32"/>
          <w:szCs w:val="32"/>
        </w:rPr>
        <w:t>万元，具体内容包括：</w:t>
      </w:r>
      <w:r>
        <w:rPr>
          <w:rFonts w:hint="eastAsia" w:ascii="仿宋_GB2312" w:eastAsia="仿宋_GB2312" w:cs="仿宋_GB2312"/>
          <w:color w:val="000000"/>
          <w:sz w:val="32"/>
          <w:szCs w:val="32"/>
          <w:lang w:val="en-US" w:eastAsia="zh-CN"/>
        </w:rPr>
        <w:t>接待兄弟单位调研、考察60人，接待金额0.633万元；</w:t>
      </w:r>
      <w:r>
        <w:rPr>
          <w:rFonts w:hint="eastAsia" w:ascii="仿宋_GB2312" w:eastAsia="仿宋_GB2312" w:cs="仿宋_GB2312"/>
          <w:color w:val="000000"/>
          <w:sz w:val="32"/>
          <w:szCs w:val="32"/>
        </w:rPr>
        <w:t>接待各级部门的</w:t>
      </w:r>
      <w:r>
        <w:rPr>
          <w:rFonts w:hint="eastAsia" w:ascii="仿宋_GB2312" w:eastAsia="仿宋_GB2312" w:cs="仿宋_GB2312"/>
          <w:color w:val="000000"/>
          <w:sz w:val="32"/>
          <w:szCs w:val="32"/>
          <w:lang w:val="en-US" w:eastAsia="zh-CN"/>
        </w:rPr>
        <w:t>检查</w:t>
      </w:r>
      <w:r>
        <w:rPr>
          <w:rFonts w:hint="eastAsia" w:ascii="仿宋_GB2312" w:eastAsia="仿宋_GB2312" w:cs="仿宋_GB2312"/>
          <w:color w:val="000000"/>
          <w:sz w:val="32"/>
          <w:szCs w:val="32"/>
        </w:rPr>
        <w:t>、招生考试</w:t>
      </w:r>
      <w:r>
        <w:rPr>
          <w:rFonts w:hint="eastAsia" w:ascii="仿宋_GB2312" w:eastAsia="仿宋_GB2312" w:cs="仿宋_GB2312"/>
          <w:color w:val="000000"/>
          <w:sz w:val="32"/>
          <w:szCs w:val="32"/>
          <w:lang w:val="en-US" w:eastAsia="zh-CN"/>
        </w:rPr>
        <w:t>监考等91</w:t>
      </w:r>
      <w:r>
        <w:rPr>
          <w:rFonts w:hint="eastAsia" w:ascii="仿宋_GB2312" w:eastAsia="仿宋_GB2312" w:cs="仿宋_GB2312"/>
          <w:color w:val="000000"/>
          <w:sz w:val="32"/>
          <w:szCs w:val="32"/>
        </w:rPr>
        <w:t>人次</w:t>
      </w:r>
      <w:r>
        <w:rPr>
          <w:rFonts w:hint="eastAsia" w:ascii="仿宋_GB2312" w:eastAsia="仿宋_GB2312" w:cs="仿宋_GB2312"/>
          <w:color w:val="000000"/>
          <w:sz w:val="32"/>
          <w:szCs w:val="32"/>
          <w:lang w:eastAsia="zh-CN"/>
        </w:rPr>
        <w:t>，</w:t>
      </w:r>
      <w:r>
        <w:rPr>
          <w:rFonts w:hint="eastAsia" w:ascii="仿宋_GB2312" w:eastAsia="仿宋_GB2312" w:cs="仿宋_GB2312"/>
          <w:color w:val="000000"/>
          <w:sz w:val="32"/>
          <w:szCs w:val="32"/>
          <w:lang w:val="en-US" w:eastAsia="zh-CN"/>
        </w:rPr>
        <w:t>接待金额0.8045万元；与家长交流8人次，接待金额0.0825万元。</w:t>
      </w:r>
    </w:p>
    <w:p>
      <w:pPr>
        <w:spacing w:line="600" w:lineRule="exact"/>
        <w:ind w:firstLine="643" w:firstLineChars="200"/>
        <w:rPr>
          <w:rFonts w:ascii="黑体" w:eastAsia="黑体"/>
          <w:sz w:val="32"/>
          <w:szCs w:val="32"/>
        </w:rPr>
      </w:pPr>
      <w:r>
        <w:rPr>
          <w:rFonts w:hint="eastAsia" w:ascii="仿宋" w:hAnsi="仿宋" w:eastAsia="仿宋"/>
          <w:b/>
          <w:sz w:val="32"/>
          <w:szCs w:val="32"/>
        </w:rPr>
        <w:t>外事接待支出</w:t>
      </w:r>
      <w:r>
        <w:rPr>
          <w:rFonts w:hint="eastAsia" w:ascii="仿宋" w:hAnsi="仿宋" w:eastAsia="仿宋"/>
          <w:b/>
          <w:sz w:val="32"/>
          <w:szCs w:val="32"/>
          <w:lang w:val="en-US" w:eastAsia="zh-CN"/>
        </w:rPr>
        <w:t>0</w:t>
      </w:r>
      <w:r>
        <w:rPr>
          <w:rFonts w:hint="eastAsia" w:ascii="仿宋_GB2312" w:eastAsia="仿宋_GB2312"/>
          <w:sz w:val="32"/>
          <w:szCs w:val="32"/>
        </w:rPr>
        <w:t>万元，外事接待</w:t>
      </w:r>
      <w:r>
        <w:rPr>
          <w:rFonts w:hint="eastAsia" w:ascii="仿宋_GB2312" w:eastAsia="仿宋_GB2312"/>
          <w:sz w:val="32"/>
          <w:szCs w:val="32"/>
          <w:lang w:val="en-US" w:eastAsia="zh-CN"/>
        </w:rPr>
        <w:t>0</w:t>
      </w:r>
      <w:r>
        <w:rPr>
          <w:rFonts w:hint="eastAsia" w:ascii="仿宋_GB2312" w:eastAsia="仿宋_GB2312"/>
          <w:sz w:val="32"/>
          <w:szCs w:val="32"/>
        </w:rPr>
        <w:t>批次，</w:t>
      </w:r>
      <w:r>
        <w:rPr>
          <w:rFonts w:hint="eastAsia" w:ascii="仿宋_GB2312" w:eastAsia="仿宋_GB2312"/>
          <w:sz w:val="32"/>
          <w:szCs w:val="32"/>
          <w:lang w:val="en-US" w:eastAsia="zh-CN"/>
        </w:rPr>
        <w:t>0</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0</w:t>
      </w:r>
      <w:r>
        <w:rPr>
          <w:rFonts w:hint="eastAsia" w:ascii="仿宋_GB2312" w:eastAsia="仿宋_GB2312"/>
          <w:sz w:val="32"/>
          <w:szCs w:val="32"/>
        </w:rPr>
        <w:t>万元。</w:t>
      </w:r>
      <w:bookmarkStart w:id="40" w:name="_Toc15396610"/>
      <w:bookmarkStart w:id="41" w:name="_Toc15377218"/>
    </w:p>
    <w:p>
      <w:pPr>
        <w:spacing w:line="600" w:lineRule="exact"/>
        <w:ind w:firstLine="640"/>
        <w:outlineLvl w:val="1"/>
        <w:rPr>
          <w:rStyle w:val="28"/>
          <w:rFonts w:ascii="黑体" w:hAnsi="黑体" w:eastAsia="黑体"/>
        </w:rPr>
      </w:pPr>
      <w:r>
        <w:rPr>
          <w:rFonts w:hint="eastAsia" w:ascii="黑体" w:eastAsia="黑体"/>
          <w:sz w:val="32"/>
          <w:szCs w:val="32"/>
        </w:rPr>
        <w:t>八、</w:t>
      </w:r>
      <w:r>
        <w:rPr>
          <w:rStyle w:val="28"/>
          <w:rFonts w:hint="eastAsia" w:ascii="黑体" w:hAnsi="黑体" w:eastAsia="黑体"/>
          <w:b w:val="0"/>
        </w:rPr>
        <w:t>政府性基金预算支出决算情况说明</w:t>
      </w:r>
      <w:bookmarkEnd w:id="40"/>
      <w:bookmarkEnd w:id="41"/>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numPr>
          <w:ilvl w:val="0"/>
          <w:numId w:val="4"/>
        </w:numPr>
        <w:spacing w:line="600" w:lineRule="exact"/>
        <w:ind w:firstLine="640"/>
        <w:outlineLvl w:val="1"/>
        <w:rPr>
          <w:rStyle w:val="28"/>
          <w:rFonts w:ascii="黑体" w:hAnsi="黑体" w:eastAsia="黑体"/>
          <w:b w:val="0"/>
        </w:rPr>
      </w:pPr>
      <w:bookmarkStart w:id="42" w:name="_Toc15377219"/>
      <w:bookmarkStart w:id="43" w:name="_Toc15396611"/>
      <w:r>
        <w:rPr>
          <w:rStyle w:val="28"/>
          <w:rFonts w:hint="eastAsia" w:ascii="黑体" w:hAnsi="黑体" w:eastAsia="黑体"/>
          <w:b w:val="0"/>
        </w:rPr>
        <w:t>国有资本经营预算支出决算情况说明</w:t>
      </w:r>
      <w:bookmarkEnd w:id="42"/>
      <w:bookmarkEnd w:id="43"/>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sz w:val="32"/>
          <w:szCs w:val="32"/>
        </w:rPr>
        <w:t>20</w:t>
      </w:r>
      <w:r>
        <w:rPr>
          <w:rFonts w:hint="eastAsia" w:ascii="仿宋_GB2312" w:eastAsia="仿宋_GB2312"/>
          <w:sz w:val="32"/>
          <w:szCs w:val="32"/>
        </w:rPr>
        <w:t>22年国有资本经营预算财政拨款支出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numPr>
          <w:ilvl w:val="0"/>
          <w:numId w:val="4"/>
        </w:numPr>
        <w:spacing w:line="600" w:lineRule="exact"/>
        <w:ind w:firstLine="640"/>
        <w:outlineLvl w:val="1"/>
        <w:rPr>
          <w:rStyle w:val="28"/>
          <w:rFonts w:ascii="黑体" w:hAnsi="黑体" w:eastAsia="黑体"/>
          <w:b w:val="0"/>
        </w:rPr>
      </w:pPr>
      <w:bookmarkStart w:id="44" w:name="_Toc15377221"/>
      <w:bookmarkStart w:id="45" w:name="_Toc15396612"/>
      <w:r>
        <w:rPr>
          <w:rStyle w:val="28"/>
          <w:rFonts w:hint="eastAsia" w:ascii="黑体" w:hAnsi="黑体" w:eastAsia="黑体"/>
          <w:b w:val="0"/>
        </w:rPr>
        <w:t>其他重要事项的情况说明</w:t>
      </w:r>
      <w:bookmarkEnd w:id="44"/>
      <w:bookmarkEnd w:id="45"/>
    </w:p>
    <w:p>
      <w:pPr>
        <w:spacing w:line="600" w:lineRule="exact"/>
        <w:ind w:firstLine="643" w:firstLineChars="200"/>
        <w:outlineLvl w:val="2"/>
        <w:rPr>
          <w:rFonts w:ascii="仿宋" w:hAnsi="仿宋" w:eastAsia="仿宋"/>
          <w:sz w:val="32"/>
          <w:szCs w:val="32"/>
        </w:rPr>
      </w:pPr>
      <w:bookmarkStart w:id="46" w:name="_Toc15377222"/>
      <w:r>
        <w:rPr>
          <w:rFonts w:hint="eastAsia" w:ascii="仿宋" w:hAnsi="仿宋" w:eastAsia="仿宋"/>
          <w:b/>
          <w:sz w:val="32"/>
          <w:szCs w:val="32"/>
        </w:rPr>
        <w:t>（一）机关运行经费支出情况</w:t>
      </w:r>
      <w:bookmarkEnd w:id="46"/>
    </w:p>
    <w:p>
      <w:pPr>
        <w:spacing w:line="600" w:lineRule="exact"/>
        <w:ind w:firstLine="640" w:firstLineChars="200"/>
        <w:rPr>
          <w:rFonts w:hint="eastAsia" w:ascii="仿宋_GB2312" w:eastAsia="仿宋_GB2312"/>
          <w:sz w:val="32"/>
          <w:szCs w:val="32"/>
          <w:lang w:eastAsia="zh-CN"/>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val="en-US" w:eastAsia="zh-CN"/>
        </w:rPr>
        <w:t>四川省剑阁中学校</w:t>
      </w:r>
      <w:r>
        <w:rPr>
          <w:rFonts w:hint="eastAsia" w:ascii="仿宋_GB2312" w:eastAsia="仿宋_GB2312"/>
          <w:sz w:val="32"/>
          <w:szCs w:val="32"/>
        </w:rPr>
        <w:t>机关运行经费支出</w:t>
      </w:r>
      <w:r>
        <w:rPr>
          <w:rFonts w:hint="eastAsia" w:ascii="仿宋_GB2312" w:eastAsia="仿宋_GB2312"/>
          <w:sz w:val="32"/>
          <w:szCs w:val="32"/>
          <w:lang w:val="en-US" w:eastAsia="zh-CN"/>
        </w:rPr>
        <w:t>0</w:t>
      </w:r>
      <w:r>
        <w:rPr>
          <w:rFonts w:hint="eastAsia" w:ascii="仿宋_GB2312" w:eastAsia="仿宋_GB2312"/>
          <w:sz w:val="32"/>
          <w:szCs w:val="32"/>
        </w:rPr>
        <w:t>万元，比</w:t>
      </w:r>
      <w:r>
        <w:rPr>
          <w:rFonts w:ascii="仿宋_GB2312" w:eastAsia="仿宋_GB2312"/>
          <w:sz w:val="32"/>
          <w:szCs w:val="32"/>
        </w:rPr>
        <w:t>20</w:t>
      </w:r>
      <w:r>
        <w:rPr>
          <w:rFonts w:hint="eastAsia" w:ascii="仿宋_GB2312" w:eastAsia="仿宋_GB2312"/>
          <w:sz w:val="32"/>
          <w:szCs w:val="32"/>
        </w:rPr>
        <w:t>21年增加</w:t>
      </w:r>
      <w:r>
        <w:rPr>
          <w:rFonts w:hint="eastAsia" w:ascii="仿宋_GB2312" w:eastAsia="仿宋_GB2312"/>
          <w:sz w:val="32"/>
          <w:szCs w:val="32"/>
          <w:lang w:val="en-US" w:eastAsia="zh-CN"/>
        </w:rPr>
        <w:t>0</w:t>
      </w:r>
      <w:r>
        <w:rPr>
          <w:rFonts w:hint="eastAsia" w:ascii="仿宋_GB2312" w:eastAsia="仿宋_GB2312"/>
          <w:sz w:val="32"/>
          <w:szCs w:val="32"/>
        </w:rPr>
        <w:t>万元，增长</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lang w:eastAsia="zh-CN"/>
        </w:rPr>
        <w:t>。</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（注：数据来源于财决附</w:t>
      </w:r>
      <w:r>
        <w:rPr>
          <w:rFonts w:ascii="仿宋" w:hAnsi="仿宋" w:eastAsia="仿宋"/>
          <w:b/>
          <w:sz w:val="32"/>
          <w:szCs w:val="32"/>
        </w:rPr>
        <w:t>03</w:t>
      </w:r>
      <w:r>
        <w:rPr>
          <w:rFonts w:hint="eastAsia" w:ascii="仿宋" w:hAnsi="仿宋" w:eastAsia="仿宋"/>
          <w:b/>
          <w:sz w:val="32"/>
          <w:szCs w:val="32"/>
        </w:rPr>
        <w:t>表）</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7" w:name="_Toc15377223"/>
      <w:r>
        <w:rPr>
          <w:rFonts w:hint="eastAsia" w:ascii="仿宋" w:hAnsi="仿宋" w:eastAsia="仿宋"/>
          <w:b/>
          <w:sz w:val="32"/>
          <w:szCs w:val="32"/>
        </w:rPr>
        <w:t>（二）政府采购支出情况</w:t>
      </w:r>
      <w:bookmarkEnd w:id="47"/>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val="en-US" w:eastAsia="zh-CN"/>
        </w:rPr>
        <w:t>四川省剑阁中学校</w:t>
      </w:r>
      <w:r>
        <w:rPr>
          <w:rFonts w:hint="eastAsia" w:ascii="仿宋_GB2312" w:eastAsia="仿宋_GB2312"/>
          <w:sz w:val="32"/>
          <w:szCs w:val="32"/>
        </w:rPr>
        <w:t>政府采购支出总额</w:t>
      </w:r>
      <w:r>
        <w:rPr>
          <w:rFonts w:hint="eastAsia" w:ascii="仿宋_GB2312" w:eastAsia="仿宋_GB2312"/>
          <w:sz w:val="32"/>
          <w:szCs w:val="32"/>
          <w:lang w:val="en-US" w:eastAsia="zh-CN"/>
        </w:rPr>
        <w:t>0</w:t>
      </w:r>
      <w:r>
        <w:rPr>
          <w:rFonts w:hint="eastAsia" w:ascii="仿宋_GB2312" w:eastAsia="仿宋_GB2312"/>
          <w:sz w:val="32"/>
          <w:szCs w:val="32"/>
        </w:rPr>
        <w:t>万元，其中：政府采购货物支出</w:t>
      </w:r>
      <w:r>
        <w:rPr>
          <w:rFonts w:hint="eastAsia" w:ascii="仿宋_GB2312" w:eastAsia="仿宋_GB2312"/>
          <w:sz w:val="32"/>
          <w:szCs w:val="32"/>
          <w:lang w:val="en-US" w:eastAsia="zh-CN"/>
        </w:rPr>
        <w:t>0</w:t>
      </w:r>
      <w:r>
        <w:rPr>
          <w:rFonts w:hint="eastAsia" w:ascii="仿宋_GB2312" w:eastAsia="仿宋_GB2312"/>
          <w:sz w:val="32"/>
          <w:szCs w:val="32"/>
        </w:rPr>
        <w:t>万元、政府采购工程支出</w:t>
      </w:r>
      <w:r>
        <w:rPr>
          <w:rFonts w:hint="eastAsia" w:ascii="仿宋_GB2312" w:eastAsia="仿宋_GB2312"/>
          <w:sz w:val="32"/>
          <w:szCs w:val="32"/>
          <w:lang w:val="en-US" w:eastAsia="zh-CN"/>
        </w:rPr>
        <w:t>0</w:t>
      </w:r>
      <w:r>
        <w:rPr>
          <w:rFonts w:hint="eastAsia" w:ascii="仿宋_GB2312" w:eastAsia="仿宋_GB2312"/>
          <w:sz w:val="32"/>
          <w:szCs w:val="32"/>
        </w:rPr>
        <w:t>万元、政府采购服务支出</w:t>
      </w:r>
      <w:r>
        <w:rPr>
          <w:rFonts w:hint="eastAsia" w:ascii="仿宋_GB2312" w:eastAsia="仿宋_GB2312"/>
          <w:sz w:val="32"/>
          <w:szCs w:val="32"/>
          <w:lang w:val="en-US" w:eastAsia="zh-CN"/>
        </w:rPr>
        <w:t>0</w:t>
      </w:r>
      <w:r>
        <w:rPr>
          <w:rFonts w:hint="eastAsia" w:ascii="仿宋_GB2312" w:eastAsia="仿宋_GB2312"/>
          <w:sz w:val="32"/>
          <w:szCs w:val="32"/>
        </w:rPr>
        <w:t>万元。主要用于</w:t>
      </w:r>
      <w:r>
        <w:rPr>
          <w:rFonts w:ascii="仿宋_GB2312" w:eastAsia="仿宋_GB2312"/>
          <w:sz w:val="32"/>
          <w:szCs w:val="32"/>
        </w:rPr>
        <w:t>…</w:t>
      </w:r>
      <w:r>
        <w:rPr>
          <w:rFonts w:hint="eastAsia" w:ascii="仿宋_GB2312" w:eastAsia="仿宋_GB2312"/>
          <w:sz w:val="32"/>
          <w:szCs w:val="32"/>
        </w:rPr>
        <w:t>（具体工作）。授予中小企业合同金额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，其中：授予小微企业合同金额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（注：数据来源于财决附</w:t>
      </w:r>
      <w:r>
        <w:rPr>
          <w:rFonts w:ascii="仿宋" w:hAnsi="仿宋" w:eastAsia="仿宋"/>
          <w:b/>
          <w:sz w:val="32"/>
          <w:szCs w:val="32"/>
        </w:rPr>
        <w:t>03</w:t>
      </w:r>
      <w:r>
        <w:rPr>
          <w:rFonts w:hint="eastAsia" w:ascii="仿宋" w:hAnsi="仿宋" w:eastAsia="仿宋"/>
          <w:b/>
          <w:sz w:val="32"/>
          <w:szCs w:val="32"/>
        </w:rPr>
        <w:t>表）</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8" w:name="_Toc15377224"/>
      <w:r>
        <w:rPr>
          <w:rFonts w:hint="eastAsia" w:ascii="仿宋" w:hAnsi="仿宋" w:eastAsia="仿宋"/>
          <w:b/>
          <w:sz w:val="32"/>
          <w:szCs w:val="32"/>
        </w:rPr>
        <w:t>（三）国有资产占有使用情况</w:t>
      </w:r>
      <w:bookmarkEnd w:id="48"/>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eastAsia" w:ascii="仿宋_GB2312" w:eastAsia="仿宋_GB2312"/>
          <w:sz w:val="32"/>
          <w:szCs w:val="32"/>
          <w:lang w:val="en-US" w:eastAsia="zh-CN"/>
        </w:rPr>
        <w:t>四川省剑阁中学校</w:t>
      </w:r>
      <w:r>
        <w:rPr>
          <w:rFonts w:hint="eastAsia" w:ascii="仿宋_GB2312" w:eastAsia="仿宋_GB2312"/>
          <w:sz w:val="32"/>
          <w:szCs w:val="32"/>
        </w:rPr>
        <w:t>共有车辆</w:t>
      </w:r>
      <w:r>
        <w:rPr>
          <w:rFonts w:hint="eastAsia" w:ascii="仿宋_GB2312" w:eastAsia="仿宋_GB2312"/>
          <w:sz w:val="32"/>
          <w:szCs w:val="32"/>
          <w:lang w:val="en-US" w:eastAsia="zh-CN"/>
        </w:rPr>
        <w:t>0</w:t>
      </w:r>
      <w:r>
        <w:rPr>
          <w:rFonts w:hint="eastAsia" w:ascii="仿宋_GB2312" w:eastAsia="仿宋_GB2312"/>
          <w:sz w:val="32"/>
          <w:szCs w:val="32"/>
        </w:rPr>
        <w:t>辆，其中：主要领导干部用车</w:t>
      </w:r>
      <w:r>
        <w:rPr>
          <w:rFonts w:hint="eastAsia" w:ascii="仿宋_GB2312" w:eastAsia="仿宋_GB2312"/>
          <w:sz w:val="32"/>
          <w:szCs w:val="32"/>
          <w:lang w:val="en-US" w:eastAsia="zh-CN"/>
        </w:rPr>
        <w:t>0</w:t>
      </w:r>
      <w:r>
        <w:rPr>
          <w:rFonts w:hint="eastAsia" w:ascii="仿宋_GB2312" w:eastAsia="仿宋_GB2312"/>
          <w:sz w:val="32"/>
          <w:szCs w:val="32"/>
        </w:rPr>
        <w:t>辆、机要通信用车</w:t>
      </w:r>
      <w:r>
        <w:rPr>
          <w:rFonts w:hint="eastAsia" w:ascii="仿宋_GB2312" w:eastAsia="仿宋_GB2312"/>
          <w:sz w:val="32"/>
          <w:szCs w:val="32"/>
          <w:lang w:val="en-US" w:eastAsia="zh-CN"/>
        </w:rPr>
        <w:t>0</w:t>
      </w:r>
      <w:r>
        <w:rPr>
          <w:rFonts w:hint="eastAsia" w:ascii="仿宋_GB2312" w:eastAsia="仿宋_GB2312"/>
          <w:sz w:val="32"/>
          <w:szCs w:val="32"/>
        </w:rPr>
        <w:t>辆、应急保障用车</w:t>
      </w:r>
      <w:r>
        <w:rPr>
          <w:rFonts w:hint="eastAsia" w:ascii="仿宋_GB2312" w:eastAsia="仿宋_GB2312"/>
          <w:sz w:val="32"/>
          <w:szCs w:val="32"/>
          <w:lang w:val="en-US" w:eastAsia="zh-CN"/>
        </w:rPr>
        <w:t>0</w:t>
      </w:r>
      <w:r>
        <w:rPr>
          <w:rFonts w:hint="eastAsia" w:ascii="仿宋_GB2312" w:eastAsia="仿宋_GB2312"/>
          <w:sz w:val="32"/>
          <w:szCs w:val="32"/>
        </w:rPr>
        <w:t>辆、其他用车</w:t>
      </w:r>
      <w:r>
        <w:rPr>
          <w:rFonts w:hint="eastAsia" w:ascii="仿宋_GB2312" w:eastAsia="仿宋_GB2312"/>
          <w:sz w:val="32"/>
          <w:szCs w:val="32"/>
          <w:lang w:val="en-US" w:eastAsia="zh-CN"/>
        </w:rPr>
        <w:t>0</w:t>
      </w:r>
      <w:r>
        <w:rPr>
          <w:rFonts w:hint="eastAsia" w:ascii="仿宋_GB2312" w:eastAsia="仿宋_GB2312"/>
          <w:sz w:val="32"/>
          <w:szCs w:val="32"/>
        </w:rPr>
        <w:t>辆。单价</w:t>
      </w:r>
      <w:r>
        <w:rPr>
          <w:rFonts w:ascii="仿宋_GB2312" w:eastAsia="仿宋_GB2312"/>
          <w:sz w:val="32"/>
          <w:szCs w:val="32"/>
        </w:rPr>
        <w:t>100</w:t>
      </w:r>
      <w:r>
        <w:rPr>
          <w:rFonts w:hint="eastAsia" w:ascii="仿宋_GB2312" w:eastAsia="仿宋_GB2312"/>
          <w:sz w:val="32"/>
          <w:szCs w:val="32"/>
        </w:rPr>
        <w:t>万元以上专用设备</w:t>
      </w:r>
      <w:r>
        <w:rPr>
          <w:rFonts w:hint="eastAsia" w:ascii="仿宋_GB2312" w:eastAsia="仿宋_GB2312"/>
          <w:sz w:val="32"/>
          <w:szCs w:val="32"/>
          <w:lang w:val="en-US" w:eastAsia="zh-CN"/>
        </w:rPr>
        <w:t>0</w:t>
      </w:r>
      <w:r>
        <w:rPr>
          <w:rFonts w:hint="eastAsia" w:ascii="仿宋_GB2312" w:eastAsia="仿宋_GB2312"/>
          <w:sz w:val="32"/>
          <w:szCs w:val="32"/>
        </w:rPr>
        <w:t>台（套）。</w:t>
      </w:r>
    </w:p>
    <w:p>
      <w:pPr>
        <w:autoSpaceDE w:val="0"/>
        <w:autoSpaceDN w:val="0"/>
        <w:adjustRightInd w:val="0"/>
        <w:spacing w:line="600" w:lineRule="exact"/>
        <w:ind w:firstLine="643" w:firstLineChars="200"/>
        <w:jc w:val="left"/>
        <w:rPr>
          <w:rFonts w:ascii="仿宋" w:hAnsi="仿宋" w:eastAsia="仿宋"/>
          <w:b/>
          <w:sz w:val="32"/>
          <w:szCs w:val="32"/>
        </w:rPr>
      </w:pPr>
      <w:r>
        <w:rPr>
          <w:rFonts w:hint="eastAsia" w:ascii="仿宋" w:hAnsi="仿宋" w:eastAsia="仿宋"/>
          <w:b/>
          <w:sz w:val="32"/>
          <w:szCs w:val="32"/>
        </w:rPr>
        <w:t>（注：数据来源于财决附</w:t>
      </w:r>
      <w:r>
        <w:rPr>
          <w:rFonts w:ascii="仿宋" w:hAnsi="仿宋" w:eastAsia="仿宋"/>
          <w:b/>
          <w:sz w:val="32"/>
          <w:szCs w:val="32"/>
        </w:rPr>
        <w:t>03</w:t>
      </w:r>
      <w:r>
        <w:rPr>
          <w:rFonts w:hint="eastAsia" w:ascii="仿宋" w:hAnsi="仿宋" w:eastAsia="仿宋"/>
          <w:b/>
          <w:sz w:val="32"/>
          <w:szCs w:val="32"/>
        </w:rPr>
        <w:t>表，按单位决算报表填报数据罗列车辆情况。）</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pStyle w:val="7"/>
        <w:spacing w:before="93"/>
        <w:ind w:firstLine="640" w:firstLineChars="200"/>
        <w:rPr>
          <w:highlight w:val="yellow"/>
        </w:rPr>
      </w:pPr>
      <w:r>
        <w:rPr>
          <w:rFonts w:hint="eastAsia" w:hAnsi="仿宋_GB2312" w:cs="仿宋_GB2312"/>
          <w:sz w:val="32"/>
          <w:szCs w:val="32"/>
        </w:rPr>
        <w:t>根据预算绩效管理要求，本单位在2022年度预算编制阶段，组织对</w:t>
      </w:r>
      <w:r>
        <w:rPr>
          <w:rFonts w:hint="eastAsia" w:ascii="仿宋" w:hAnsi="仿宋" w:eastAsia="仿宋" w:cs="仿宋"/>
          <w:sz w:val="32"/>
          <w:szCs w:val="32"/>
          <w:lang w:val="en-US" w:eastAsia="zh-CN"/>
        </w:rPr>
        <w:t>普高助学金</w:t>
      </w:r>
      <w:r>
        <w:rPr>
          <w:rFonts w:hint="eastAsia" w:hAnsi="仿宋_GB2312" w:cs="仿宋_GB2312"/>
          <w:sz w:val="32"/>
          <w:szCs w:val="32"/>
        </w:rPr>
        <w:t>等</w:t>
      </w:r>
      <w:r>
        <w:rPr>
          <w:rFonts w:hint="eastAsia" w:hAnsi="仿宋_GB2312" w:cs="仿宋_GB2312"/>
          <w:sz w:val="32"/>
          <w:szCs w:val="32"/>
          <w:lang w:val="en-US" w:eastAsia="zh-CN"/>
        </w:rPr>
        <w:t>23</w:t>
      </w:r>
      <w:r>
        <w:rPr>
          <w:rFonts w:hint="eastAsia" w:hAnsi="仿宋_GB2312" w:cs="仿宋_GB2312"/>
          <w:sz w:val="32"/>
          <w:szCs w:val="32"/>
        </w:rPr>
        <w:t>个项目开展了预算事前绩效评估，对</w:t>
      </w:r>
      <w:r>
        <w:rPr>
          <w:rFonts w:hint="eastAsia" w:hAnsi="仿宋_GB2312" w:cs="仿宋_GB2312"/>
          <w:sz w:val="32"/>
          <w:szCs w:val="32"/>
          <w:lang w:val="en-US" w:eastAsia="zh-CN"/>
        </w:rPr>
        <w:t>23</w:t>
      </w:r>
      <w:r>
        <w:rPr>
          <w:rFonts w:hint="eastAsia" w:hAnsi="仿宋_GB2312" w:cs="仿宋_GB2312"/>
          <w:sz w:val="32"/>
          <w:szCs w:val="32"/>
        </w:rPr>
        <w:t>个项目编制了绩效目标，预算执行过程中，选取</w:t>
      </w:r>
      <w:r>
        <w:rPr>
          <w:rFonts w:hint="eastAsia" w:hAnsi="仿宋_GB2312" w:cs="仿宋_GB2312"/>
          <w:sz w:val="32"/>
          <w:szCs w:val="32"/>
          <w:lang w:val="en-US" w:eastAsia="zh-CN"/>
        </w:rPr>
        <w:t>了2</w:t>
      </w:r>
      <w:r>
        <w:rPr>
          <w:rFonts w:hint="eastAsia" w:hAnsi="仿宋_GB2312" w:cs="仿宋_GB2312"/>
          <w:sz w:val="32"/>
          <w:szCs w:val="32"/>
        </w:rPr>
        <w:t>个项目开展绩效监控，组织对</w:t>
      </w:r>
      <w:r>
        <w:rPr>
          <w:rFonts w:hint="eastAsia" w:hAnsi="仿宋_GB2312" w:cs="仿宋_GB2312"/>
          <w:sz w:val="32"/>
          <w:szCs w:val="32"/>
          <w:lang w:val="en-US" w:eastAsia="zh-CN"/>
        </w:rPr>
        <w:t>2</w:t>
      </w:r>
      <w:r>
        <w:rPr>
          <w:rFonts w:hint="eastAsia" w:hAnsi="仿宋_GB2312" w:cs="仿宋_GB2312"/>
          <w:sz w:val="32"/>
          <w:szCs w:val="32"/>
        </w:rPr>
        <w:t>个项目开展绩效自评，绩效自评表详见第四部分附件。</w:t>
      </w:r>
    </w:p>
    <w:p>
      <w:pPr>
        <w:spacing w:line="560" w:lineRule="exact"/>
        <w:ind w:firstLine="640" w:firstLineChars="200"/>
        <w:rPr>
          <w:rFonts w:hint="eastAsia" w:ascii="楷体_GB2312" w:hAnsi="楷体_GB2312" w:eastAsia="楷体_GB2312" w:cs="楷体_GB2312"/>
          <w:sz w:val="32"/>
          <w:szCs w:val="32"/>
          <w:lang w:eastAsia="zh-CN"/>
        </w:rPr>
      </w:pPr>
      <w:r>
        <w:rPr>
          <w:rFonts w:ascii="楷体_GB2312" w:hAnsi="楷体_GB2312" w:eastAsia="楷体_GB2312" w:cs="楷体_GB2312"/>
          <w:sz w:val="32"/>
          <w:szCs w:val="32"/>
        </w:rPr>
        <w:t>1.</w:t>
      </w:r>
      <w:r>
        <w:rPr>
          <w:rFonts w:hint="eastAsia" w:ascii="楷体_GB2312" w:hAnsi="楷体_GB2312" w:eastAsia="楷体_GB2312" w:cs="楷体_GB2312"/>
          <w:sz w:val="32"/>
          <w:szCs w:val="32"/>
        </w:rPr>
        <w:t>项目绩效目标完成情况</w:t>
      </w:r>
    </w:p>
    <w:p>
      <w:pPr>
        <w:keepNext w:val="0"/>
        <w:keepLines w:val="0"/>
        <w:pageBreakBefore w:val="0"/>
        <w:widowControl w:val="0"/>
        <w:kinsoku/>
        <w:wordWrap/>
        <w:overflowPunct/>
        <w:topLinePunct w:val="0"/>
        <w:autoSpaceDE w:val="0"/>
        <w:autoSpaceDN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四川省</w:t>
      </w:r>
      <w:r>
        <w:rPr>
          <w:rFonts w:hint="eastAsia" w:ascii="仿宋_GB2312" w:hAnsi="仿宋_GB2312" w:eastAsia="仿宋_GB2312" w:cs="仿宋_GB2312"/>
          <w:sz w:val="32"/>
          <w:szCs w:val="32"/>
        </w:rPr>
        <w:t>剑阁中学在</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年度部门决算中反映“</w:t>
      </w:r>
      <w:r>
        <w:rPr>
          <w:rFonts w:hint="eastAsia" w:ascii="仿宋_GB2312" w:hAnsi="仿宋_GB2312" w:eastAsia="仿宋_GB2312" w:cs="仿宋_GB2312"/>
          <w:sz w:val="32"/>
          <w:szCs w:val="32"/>
          <w:lang w:val="en-US" w:eastAsia="zh-CN"/>
        </w:rPr>
        <w:t>贫困寄宿生生活补助”“普高助学金和普高免学费”</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个项目绩效目标实际完成情况。</w:t>
      </w:r>
    </w:p>
    <w:p>
      <w:pPr>
        <w:keepNext w:val="0"/>
        <w:keepLines w:val="0"/>
        <w:pageBreakBefore w:val="0"/>
        <w:widowControl w:val="0"/>
        <w:numPr>
          <w:ilvl w:val="0"/>
          <w:numId w:val="0"/>
        </w:numPr>
        <w:kinsoku/>
        <w:wordWrap/>
        <w:overflowPunct/>
        <w:topLinePunct w:val="0"/>
        <w:autoSpaceDE w:val="0"/>
        <w:autoSpaceDN w:val="0"/>
        <w:bidi w:val="0"/>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高助学金和普高免学费</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500.49</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其中：普高助学金342.8万元，普高免学费157.69万元）</w:t>
      </w:r>
      <w:r>
        <w:rPr>
          <w:rFonts w:hint="eastAsia" w:ascii="仿宋_GB2312" w:hAnsi="仿宋_GB2312" w:eastAsia="仿宋_GB2312" w:cs="仿宋_GB2312"/>
          <w:sz w:val="32"/>
          <w:szCs w:val="32"/>
        </w:rPr>
        <w:t>，执行数为</w:t>
      </w:r>
      <w:r>
        <w:rPr>
          <w:rFonts w:hint="eastAsia" w:ascii="仿宋_GB2312" w:hAnsi="仿宋_GB2312" w:eastAsia="仿宋_GB2312" w:cs="仿宋_GB2312"/>
          <w:sz w:val="32"/>
          <w:szCs w:val="32"/>
          <w:lang w:val="en-US" w:eastAsia="zh-CN"/>
        </w:rPr>
        <w:t>500.49</w:t>
      </w:r>
      <w:r>
        <w:rPr>
          <w:rFonts w:hint="eastAsia" w:ascii="仿宋_GB2312" w:hAnsi="仿宋_GB2312" w:eastAsia="仿宋_GB2312" w:cs="仿宋_GB2312"/>
          <w:sz w:val="32"/>
          <w:szCs w:val="32"/>
        </w:rPr>
        <w:t>万元，完成预算的100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w:t>
      </w:r>
      <w:r>
        <w:rPr>
          <w:rFonts w:hint="eastAsia" w:ascii="仿宋_GB2312" w:hAnsi="仿宋_GB2312" w:eastAsia="仿宋_GB2312" w:cs="仿宋_GB2312"/>
          <w:sz w:val="32"/>
          <w:szCs w:val="32"/>
          <w:lang w:val="en-US" w:eastAsia="zh-CN"/>
        </w:rPr>
        <w:t>改善普高贫困学生的家庭经济状况，解决困难学生入学问题</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2.部门绩效评价结果</w:t>
      </w:r>
    </w:p>
    <w:p>
      <w:pPr>
        <w:keepNext w:val="0"/>
        <w:keepLines w:val="0"/>
        <w:pageBreakBefore w:val="0"/>
        <w:widowControl w:val="0"/>
        <w:kinsoku/>
        <w:wordWrap/>
        <w:overflowPunct/>
        <w:topLinePunct w:val="0"/>
        <w:autoSpaceDE w:val="0"/>
        <w:autoSpaceDN w:val="0"/>
        <w:bidi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本单位按要求对2022年部门整体支出绩效评价情况开展自评，《四川省剑阁中学校2022年部门整体支出绩效评价报告》见附件。</w:t>
      </w:r>
    </w:p>
    <w:p>
      <w:pPr>
        <w:keepNext w:val="0"/>
        <w:keepLines w:val="0"/>
        <w:pageBreakBefore w:val="0"/>
        <w:widowControl w:val="0"/>
        <w:kinsoku/>
        <w:wordWrap/>
        <w:overflowPunct/>
        <w:topLinePunct w:val="0"/>
        <w:autoSpaceDE w:val="0"/>
        <w:autoSpaceDN w:val="0"/>
        <w:bidi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val="0"/>
        <w:autoSpaceDN w:val="0"/>
        <w:bidi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val="0"/>
        <w:autoSpaceDN w:val="0"/>
        <w:bidi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val="0"/>
        <w:autoSpaceDN w:val="0"/>
        <w:bidi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val="0"/>
        <w:autoSpaceDN w:val="0"/>
        <w:bidi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val="0"/>
        <w:autoSpaceDN w:val="0"/>
        <w:bidi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val="0"/>
        <w:autoSpaceDN w:val="0"/>
        <w:bidi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val="0"/>
        <w:autoSpaceDN w:val="0"/>
        <w:bidi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val="0"/>
        <w:autoSpaceDN w:val="0"/>
        <w:bidi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val="0"/>
        <w:autoSpaceDN w:val="0"/>
        <w:bidi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val="0"/>
        <w:autoSpaceDN w:val="0"/>
        <w:bidi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val="0"/>
        <w:autoSpaceDN w:val="0"/>
        <w:bidi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val="0"/>
        <w:autoSpaceDN w:val="0"/>
        <w:bidi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val="0"/>
        <w:autoSpaceDN w:val="0"/>
        <w:bidi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spacing w:line="600" w:lineRule="exact"/>
        <w:ind w:firstLine="640" w:firstLineChars="200"/>
        <w:jc w:val="center"/>
        <w:rPr>
          <w:rFonts w:hint="eastAsia" w:ascii="仿宋_GB2312" w:hAnsi="仿宋_GB2312" w:eastAsia="仿宋_GB2312" w:cs="仿宋_GB2312"/>
          <w:sz w:val="32"/>
          <w:szCs w:val="32"/>
          <w:lang w:val="en-US" w:eastAsia="zh-CN"/>
        </w:rPr>
      </w:pPr>
    </w:p>
    <w:p>
      <w:pPr>
        <w:pStyle w:val="2"/>
        <w:rPr>
          <w:rFonts w:hint="eastAsia"/>
          <w:lang w:val="en-US" w:eastAsia="zh-CN"/>
        </w:rPr>
      </w:pPr>
    </w:p>
    <w:p>
      <w:pPr>
        <w:numPr>
          <w:ilvl w:val="0"/>
          <w:numId w:val="5"/>
        </w:numPr>
        <w:spacing w:line="600" w:lineRule="exact"/>
        <w:ind w:firstLine="660" w:firstLineChars="150"/>
        <w:jc w:val="center"/>
        <w:outlineLvl w:val="0"/>
        <w:rPr>
          <w:rStyle w:val="27"/>
          <w:rFonts w:ascii="黑体" w:hAnsi="黑体" w:eastAsia="黑体"/>
          <w:b w:val="0"/>
        </w:rPr>
      </w:pPr>
      <w:bookmarkStart w:id="49" w:name="_Toc15396613"/>
      <w:bookmarkStart w:id="50" w:name="_Toc15377225"/>
      <w:r>
        <w:rPr>
          <w:rFonts w:hint="eastAsia" w:ascii="黑体" w:hAnsi="黑体" w:eastAsia="黑体"/>
          <w:sz w:val="44"/>
          <w:szCs w:val="44"/>
        </w:rPr>
        <w:t>名</w:t>
      </w:r>
      <w:r>
        <w:rPr>
          <w:rStyle w:val="27"/>
          <w:rFonts w:hint="eastAsia" w:ascii="黑体" w:hAnsi="黑体" w:eastAsia="黑体"/>
          <w:b w:val="0"/>
        </w:rPr>
        <w:t>词解释</w:t>
      </w:r>
      <w:bookmarkEnd w:id="49"/>
      <w:bookmarkEnd w:id="50"/>
    </w:p>
    <w:p>
      <w:pPr>
        <w:spacing w:line="600" w:lineRule="exact"/>
        <w:jc w:val="left"/>
        <w:rPr>
          <w:rFonts w:ascii="宋体"/>
          <w:b/>
          <w:sz w:val="44"/>
          <w:szCs w:val="44"/>
        </w:rPr>
      </w:pPr>
    </w:p>
    <w:p>
      <w:pPr>
        <w:pStyle w:val="25"/>
        <w:spacing w:line="560" w:lineRule="exact"/>
        <w:ind w:firstLine="640" w:firstLineChars="200"/>
        <w:rPr>
          <w:rFonts w:ascii="仿宋_GB2312" w:eastAsia="仿宋_GB2312"/>
          <w:color w:val="auto"/>
          <w:sz w:val="32"/>
          <w:szCs w:val="32"/>
        </w:rPr>
      </w:pPr>
      <w:bookmarkStart w:id="51" w:name="_Toc15377226"/>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5"/>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事业收入：指事业单位开展专业业务活动及辅助活动取得的收入。</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3.</w:t>
      </w:r>
      <w:r>
        <w:rPr>
          <w:rFonts w:hint="eastAsia" w:ascii="仿宋" w:hAnsi="仿宋" w:eastAsia="仿宋"/>
          <w:sz w:val="32"/>
          <w:szCs w:val="32"/>
        </w:rPr>
        <w:t>一般公共预算财政拨款收入</w:t>
      </w:r>
      <w:r>
        <w:rPr>
          <w:rFonts w:hint="eastAsia" w:ascii="仿宋" w:hAnsi="仿宋" w:eastAsia="仿宋"/>
          <w:sz w:val="32"/>
          <w:szCs w:val="32"/>
          <w:lang w:eastAsia="zh-CN"/>
        </w:rPr>
        <w:t>：</w:t>
      </w:r>
      <w:r>
        <w:rPr>
          <w:rFonts w:hint="eastAsia" w:ascii="仿宋" w:hAnsi="仿宋" w:eastAsia="仿宋"/>
          <w:sz w:val="32"/>
          <w:szCs w:val="32"/>
          <w:lang w:val="en-US" w:eastAsia="zh-CN"/>
        </w:rPr>
        <w:t>指县级财政当年拨付的资金。</w:t>
      </w:r>
    </w:p>
    <w:p>
      <w:pPr>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4</w:t>
      </w:r>
      <w:r>
        <w:rPr>
          <w:rFonts w:ascii="仿宋_GB2312" w:eastAsia="仿宋_GB2312"/>
          <w:color w:val="auto"/>
          <w:sz w:val="32"/>
          <w:szCs w:val="32"/>
        </w:rPr>
        <w:t>.</w:t>
      </w:r>
      <w:r>
        <w:rPr>
          <w:rFonts w:hint="eastAsia" w:ascii="仿宋_GB2312" w:eastAsia="仿宋_GB2312"/>
          <w:color w:val="auto"/>
          <w:sz w:val="32"/>
          <w:szCs w:val="32"/>
        </w:rPr>
        <w:t>基本支出：指为保障机构正常运转、完成日常工作任务而发生的人员支出和公用支出。</w:t>
      </w:r>
    </w:p>
    <w:p>
      <w:pPr>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5</w:t>
      </w:r>
      <w:r>
        <w:rPr>
          <w:rFonts w:ascii="仿宋_GB2312" w:eastAsia="仿宋_GB2312"/>
          <w:color w:val="auto"/>
          <w:sz w:val="32"/>
          <w:szCs w:val="32"/>
        </w:rPr>
        <w:t>.</w:t>
      </w:r>
      <w:r>
        <w:rPr>
          <w:rFonts w:hint="eastAsia" w:ascii="仿宋_GB2312" w:eastAsia="仿宋_GB2312"/>
          <w:color w:val="auto"/>
          <w:sz w:val="32"/>
          <w:szCs w:val="32"/>
        </w:rPr>
        <w:t>项目支出：指在基本支出之外为完成特定行政任务和事业发展目标所发生的支出。</w:t>
      </w:r>
      <w:r>
        <w:rPr>
          <w:rFonts w:ascii="仿宋_GB2312" w:eastAsia="仿宋_GB2312"/>
          <w:color w:val="auto"/>
          <w:sz w:val="32"/>
          <w:szCs w:val="32"/>
        </w:rPr>
        <w:t xml:space="preserve"> </w:t>
      </w:r>
    </w:p>
    <w:p>
      <w:pPr>
        <w:pStyle w:val="25"/>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6</w:t>
      </w:r>
      <w:r>
        <w:rPr>
          <w:rFonts w:ascii="仿宋_GB2312" w:eastAsia="仿宋_GB2312"/>
          <w:color w:val="auto"/>
          <w:sz w:val="32"/>
          <w:szCs w:val="32"/>
        </w:rPr>
        <w:t>.</w:t>
      </w:r>
      <w:r>
        <w:rPr>
          <w:rFonts w:hint="eastAsia" w:ascii="仿宋_GB2312" w:eastAsia="仿宋_GB2312"/>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5"/>
        <w:spacing w:line="560" w:lineRule="exact"/>
        <w:ind w:firstLine="640" w:firstLineChars="200"/>
        <w:rPr>
          <w:rFonts w:ascii="仿宋_GB2312" w:eastAsia="仿宋_GB2312"/>
          <w:color w:val="auto"/>
          <w:sz w:val="32"/>
          <w:szCs w:val="32"/>
        </w:rPr>
      </w:pPr>
      <w:bookmarkStart w:id="52" w:name="_Toc15396614"/>
      <w:r>
        <w:rPr>
          <w:rFonts w:hint="eastAsia" w:ascii="仿宋_GB2312" w:eastAsia="仿宋_GB2312"/>
          <w:color w:val="auto"/>
          <w:sz w:val="32"/>
          <w:szCs w:val="32"/>
          <w:lang w:val="en-US" w:eastAsia="zh-CN"/>
        </w:rPr>
        <w:t>7</w:t>
      </w:r>
      <w:r>
        <w:rPr>
          <w:rFonts w:hint="eastAsia" w:ascii="仿宋_GB2312" w:eastAsia="仿宋_GB2312"/>
          <w:color w:val="auto"/>
          <w:sz w:val="32"/>
          <w:szCs w:val="32"/>
        </w:rPr>
        <w:t>.教育支出</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205）普通教育（02）初中</w:t>
      </w:r>
      <w:r>
        <w:rPr>
          <w:rFonts w:hint="eastAsia" w:ascii="仿宋_GB2312" w:eastAsia="仿宋_GB2312"/>
          <w:color w:val="auto"/>
          <w:sz w:val="32"/>
          <w:szCs w:val="32"/>
        </w:rPr>
        <w:t>教育</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03</w:t>
      </w:r>
      <w:r>
        <w:rPr>
          <w:rFonts w:hint="eastAsia" w:ascii="仿宋_GB2312" w:eastAsia="仿宋_GB2312"/>
          <w:color w:val="auto"/>
          <w:sz w:val="32"/>
          <w:szCs w:val="32"/>
          <w:lang w:eastAsia="zh-CN"/>
        </w:rPr>
        <w:t>）</w:t>
      </w:r>
      <w:r>
        <w:rPr>
          <w:rFonts w:hint="eastAsia" w:ascii="仿宋_GB2312" w:eastAsia="仿宋_GB2312"/>
          <w:color w:val="auto"/>
          <w:sz w:val="32"/>
          <w:szCs w:val="32"/>
        </w:rPr>
        <w:t>：</w:t>
      </w:r>
      <w:r>
        <w:rPr>
          <w:rFonts w:hint="eastAsia" w:ascii="仿宋" w:hAnsi="仿宋" w:eastAsia="仿宋"/>
          <w:color w:val="auto"/>
          <w:sz w:val="32"/>
          <w:szCs w:val="32"/>
          <w:lang w:val="en-US" w:eastAsia="zh-CN"/>
        </w:rPr>
        <w:t>指学校正常运转的基本支出，包括基本工资、津贴补贴等人员经费，工会经费、福利费、办公费、印刷费、水电费等</w:t>
      </w:r>
      <w:r>
        <w:rPr>
          <w:rFonts w:hint="eastAsia" w:hAnsi="仿宋"/>
          <w:color w:val="auto"/>
          <w:sz w:val="32"/>
          <w:szCs w:val="32"/>
          <w:lang w:val="en-US" w:eastAsia="zh-CN"/>
        </w:rPr>
        <w:t>日常</w:t>
      </w:r>
      <w:r>
        <w:rPr>
          <w:rFonts w:hint="eastAsia" w:ascii="仿宋" w:hAnsi="仿宋" w:eastAsia="仿宋"/>
          <w:color w:val="auto"/>
          <w:sz w:val="32"/>
          <w:szCs w:val="32"/>
          <w:lang w:val="en-US" w:eastAsia="zh-CN"/>
        </w:rPr>
        <w:t>公用经费，其他社会保障缴费（失业保险和工伤保险）</w:t>
      </w:r>
      <w:r>
        <w:rPr>
          <w:rFonts w:hint="eastAsia" w:hAnsi="仿宋"/>
          <w:color w:val="auto"/>
          <w:sz w:val="32"/>
          <w:szCs w:val="32"/>
          <w:lang w:val="en-US" w:eastAsia="zh-CN"/>
        </w:rPr>
        <w:t>、</w:t>
      </w:r>
      <w:r>
        <w:rPr>
          <w:rFonts w:hint="eastAsia" w:ascii="仿宋" w:hAnsi="仿宋" w:eastAsia="仿宋"/>
          <w:color w:val="auto"/>
          <w:sz w:val="32"/>
          <w:szCs w:val="32"/>
          <w:lang w:val="en-US" w:eastAsia="zh-CN"/>
        </w:rPr>
        <w:t xml:space="preserve">遗属生活补助及义务教育寄宿生生活补助。 </w:t>
      </w:r>
    </w:p>
    <w:p>
      <w:pPr>
        <w:pStyle w:val="25"/>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8</w:t>
      </w:r>
      <w:r>
        <w:rPr>
          <w:rFonts w:hint="eastAsia" w:ascii="仿宋_GB2312" w:eastAsia="仿宋_GB2312"/>
          <w:color w:val="auto"/>
          <w:sz w:val="32"/>
          <w:szCs w:val="32"/>
        </w:rPr>
        <w:t>.教育支出</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205）普通教育（02）高中</w:t>
      </w:r>
      <w:r>
        <w:rPr>
          <w:rFonts w:hint="eastAsia" w:ascii="仿宋_GB2312" w:eastAsia="仿宋_GB2312"/>
          <w:color w:val="auto"/>
          <w:sz w:val="32"/>
          <w:szCs w:val="32"/>
        </w:rPr>
        <w:t>教育</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04</w:t>
      </w:r>
      <w:r>
        <w:rPr>
          <w:rFonts w:hint="eastAsia" w:ascii="仿宋_GB2312" w:eastAsia="仿宋_GB2312"/>
          <w:color w:val="auto"/>
          <w:sz w:val="32"/>
          <w:szCs w:val="32"/>
          <w:lang w:eastAsia="zh-CN"/>
        </w:rPr>
        <w:t>）</w:t>
      </w:r>
      <w:r>
        <w:rPr>
          <w:rFonts w:hint="eastAsia" w:ascii="仿宋_GB2312" w:eastAsia="仿宋_GB2312"/>
          <w:color w:val="auto"/>
          <w:sz w:val="32"/>
          <w:szCs w:val="32"/>
        </w:rPr>
        <w:t>：</w:t>
      </w:r>
      <w:r>
        <w:rPr>
          <w:rFonts w:hint="eastAsia" w:ascii="仿宋" w:hAnsi="仿宋" w:eastAsia="仿宋"/>
          <w:color w:val="auto"/>
          <w:sz w:val="32"/>
          <w:szCs w:val="32"/>
          <w:lang w:val="en-US" w:eastAsia="zh-CN"/>
        </w:rPr>
        <w:t>指学校正常运转的基本支出，包括基本工资、津贴补贴等人员经费，工会经费、福利费、办公费、印刷费、水电费等</w:t>
      </w:r>
      <w:r>
        <w:rPr>
          <w:rFonts w:hint="eastAsia" w:hAnsi="仿宋"/>
          <w:color w:val="auto"/>
          <w:sz w:val="32"/>
          <w:szCs w:val="32"/>
          <w:lang w:val="en-US" w:eastAsia="zh-CN"/>
        </w:rPr>
        <w:t>日常</w:t>
      </w:r>
      <w:r>
        <w:rPr>
          <w:rFonts w:hint="eastAsia" w:ascii="仿宋" w:hAnsi="仿宋" w:eastAsia="仿宋"/>
          <w:color w:val="auto"/>
          <w:sz w:val="32"/>
          <w:szCs w:val="32"/>
          <w:lang w:val="en-US" w:eastAsia="zh-CN"/>
        </w:rPr>
        <w:t xml:space="preserve">公用经费，其他社会保障缴费（失业保险和工伤保险）、高中贫困学生国家助学金及高中非建档立卡学生免学费等。 </w:t>
      </w:r>
    </w:p>
    <w:p>
      <w:pPr>
        <w:pStyle w:val="25"/>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9</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住房保障支出（221）住房改革支出（02）住房公积金（01）：</w:t>
      </w:r>
      <w:r>
        <w:rPr>
          <w:rFonts w:hint="eastAsia" w:ascii="仿宋_GB2312" w:eastAsia="仿宋_GB2312"/>
          <w:color w:val="auto"/>
          <w:sz w:val="32"/>
          <w:szCs w:val="32"/>
        </w:rPr>
        <w:t>住房公积金反映本单位按人力资源和社会保障部、财政部规定的基本工资和津贴补贴以及规定比例为职工缴纳的住房公积金。</w:t>
      </w:r>
    </w:p>
    <w:p>
      <w:pPr>
        <w:pStyle w:val="25"/>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10</w:t>
      </w:r>
      <w:r>
        <w:rPr>
          <w:rFonts w:hint="eastAsia" w:ascii="仿宋_GB2312" w:eastAsia="仿宋_GB2312"/>
          <w:color w:val="auto"/>
          <w:sz w:val="32"/>
          <w:szCs w:val="32"/>
        </w:rPr>
        <w:t>.社会保障和就业</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208）行政事业单位养老保险支出（05）</w:t>
      </w:r>
      <w:r>
        <w:rPr>
          <w:rFonts w:hint="eastAsia" w:ascii="仿宋" w:hAnsi="仿宋" w:eastAsia="仿宋" w:cs="仿宋"/>
          <w:color w:val="auto"/>
          <w:sz w:val="32"/>
          <w:szCs w:val="32"/>
          <w:lang w:val="en-US" w:eastAsia="zh-CN"/>
        </w:rPr>
        <w:t>机关事业单位基本养老保险缴费支出</w:t>
      </w:r>
      <w:r>
        <w:rPr>
          <w:rFonts w:hint="eastAsia" w:hAnsi="仿宋" w:cs="仿宋"/>
          <w:color w:val="auto"/>
          <w:sz w:val="32"/>
          <w:szCs w:val="32"/>
          <w:lang w:val="en-US" w:eastAsia="zh-CN"/>
        </w:rPr>
        <w:t>（05）</w:t>
      </w:r>
      <w:r>
        <w:rPr>
          <w:rFonts w:hint="eastAsia" w:ascii="仿宋_GB2312" w:eastAsia="仿宋_GB2312"/>
          <w:color w:val="auto"/>
          <w:sz w:val="32"/>
          <w:szCs w:val="32"/>
        </w:rPr>
        <w:t>：机关事业单位基本养老保险缴费支出指机关事业单位实施养老保险制度由单位缴纳的基本养老保险费的支出。</w:t>
      </w:r>
    </w:p>
    <w:p>
      <w:pPr>
        <w:pStyle w:val="25"/>
        <w:spacing w:line="560" w:lineRule="exact"/>
        <w:ind w:firstLine="640" w:firstLineChars="200"/>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11.</w:t>
      </w:r>
      <w:r>
        <w:rPr>
          <w:rFonts w:hint="eastAsia" w:ascii="仿宋_GB2312" w:eastAsia="仿宋_GB2312"/>
          <w:color w:val="auto"/>
          <w:sz w:val="32"/>
          <w:szCs w:val="32"/>
        </w:rPr>
        <w:t>社会保障和就业</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208）行政事业单位养老保险支出（05）</w:t>
      </w:r>
      <w:r>
        <w:rPr>
          <w:rFonts w:hint="eastAsia" w:ascii="仿宋" w:hAnsi="仿宋" w:eastAsia="仿宋" w:cs="仿宋"/>
          <w:color w:val="auto"/>
          <w:sz w:val="32"/>
          <w:szCs w:val="32"/>
          <w:lang w:val="en-US" w:eastAsia="zh-CN"/>
        </w:rPr>
        <w:t>事业单位离退休</w:t>
      </w:r>
      <w:r>
        <w:rPr>
          <w:rFonts w:hint="eastAsia" w:hAnsi="仿宋" w:cs="仿宋"/>
          <w:color w:val="auto"/>
          <w:sz w:val="32"/>
          <w:szCs w:val="32"/>
          <w:lang w:val="en-US" w:eastAsia="zh-CN"/>
        </w:rPr>
        <w:t>（02）</w:t>
      </w:r>
      <w:r>
        <w:rPr>
          <w:rFonts w:hint="eastAsia" w:ascii="仿宋" w:hAnsi="仿宋" w:eastAsia="仿宋" w:cs="仿宋"/>
          <w:color w:val="auto"/>
          <w:sz w:val="32"/>
          <w:szCs w:val="32"/>
          <w:lang w:val="en-US" w:eastAsia="zh-CN"/>
        </w:rPr>
        <w:t>：</w:t>
      </w:r>
      <w:r>
        <w:rPr>
          <w:rFonts w:hint="eastAsia" w:hAnsi="仿宋" w:cs="仿宋"/>
          <w:color w:val="auto"/>
          <w:sz w:val="32"/>
          <w:szCs w:val="32"/>
          <w:lang w:val="en-US" w:eastAsia="zh-CN"/>
        </w:rPr>
        <w:t>指单位退休人员一次性补贴以及抚恤金支出。</w:t>
      </w:r>
    </w:p>
    <w:p>
      <w:pPr>
        <w:pStyle w:val="25"/>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12</w:t>
      </w:r>
      <w:r>
        <w:rPr>
          <w:rFonts w:hint="eastAsia" w:ascii="仿宋_GB2312" w:eastAsia="仿宋_GB2312"/>
          <w:color w:val="auto"/>
          <w:sz w:val="32"/>
          <w:szCs w:val="32"/>
        </w:rPr>
        <w:t>.卫生健康支出</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210）行政事业单位医疗（11）事业单位医疗（02）</w:t>
      </w:r>
      <w:r>
        <w:rPr>
          <w:rFonts w:hint="eastAsia" w:ascii="仿宋_GB2312" w:eastAsia="仿宋_GB2312"/>
          <w:color w:val="auto"/>
          <w:sz w:val="32"/>
          <w:szCs w:val="32"/>
        </w:rPr>
        <w:t>：行政单位医疗指财政部门集中安排的行政单位基本医疗保险缴费经费，未参加医疗保险的行政单位的公费医疗经费，按国家规定享受离休人员、红军老战士待遇人员的医疗经费。</w:t>
      </w:r>
    </w:p>
    <w:p>
      <w:pPr>
        <w:spacing w:line="600" w:lineRule="exact"/>
        <w:jc w:val="center"/>
        <w:outlineLvl w:val="0"/>
        <w:rPr>
          <w:rFonts w:hint="eastAsia" w:ascii="仿宋_GB2312" w:hAnsi="Calibri" w:eastAsia="仿宋_GB2312" w:cs="仿宋"/>
          <w:color w:val="auto"/>
          <w:kern w:val="0"/>
          <w:sz w:val="32"/>
          <w:szCs w:val="32"/>
          <w:lang w:val="en-US" w:eastAsia="zh-CN" w:bidi="ar-SA"/>
        </w:rPr>
      </w:pPr>
    </w:p>
    <w:p>
      <w:pPr>
        <w:pStyle w:val="2"/>
        <w:rPr>
          <w:rFonts w:hint="eastAsia"/>
          <w:lang w:val="en-US" w:eastAsia="zh-CN"/>
        </w:rPr>
      </w:pPr>
    </w:p>
    <w:p>
      <w:pPr>
        <w:spacing w:line="600" w:lineRule="exact"/>
        <w:jc w:val="center"/>
        <w:outlineLvl w:val="0"/>
        <w:rPr>
          <w:rStyle w:val="27"/>
          <w:rFonts w:ascii="黑体" w:hAnsi="黑体" w:eastAsia="黑体"/>
          <w:b w:val="0"/>
        </w:rPr>
      </w:pPr>
      <w:r>
        <w:rPr>
          <w:rFonts w:hint="eastAsia" w:ascii="黑体" w:hAnsi="黑体" w:eastAsia="黑体"/>
          <w:sz w:val="44"/>
          <w:szCs w:val="44"/>
        </w:rPr>
        <w:t>第</w:t>
      </w:r>
      <w:r>
        <w:rPr>
          <w:rStyle w:val="27"/>
          <w:rFonts w:hint="eastAsia" w:ascii="黑体" w:hAnsi="黑体" w:eastAsia="黑体"/>
          <w:b w:val="0"/>
        </w:rPr>
        <w:t>四部分 附件</w:t>
      </w:r>
      <w:bookmarkEnd w:id="52"/>
    </w:p>
    <w:p>
      <w:pPr>
        <w:spacing w:line="572" w:lineRule="exact"/>
        <w:jc w:val="left"/>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w:t>
      </w:r>
    </w:p>
    <w:p>
      <w:pPr>
        <w:keepNext w:val="0"/>
        <w:keepLines w:val="0"/>
        <w:pageBreakBefore w:val="0"/>
        <w:kinsoku/>
        <w:wordWrap/>
        <w:overflowPunct/>
        <w:topLinePunct w:val="0"/>
        <w:autoSpaceDE/>
        <w:autoSpaceDN/>
        <w:bidi w:val="0"/>
        <w:adjustRightInd/>
        <w:snapToGrid/>
        <w:spacing w:line="240" w:lineRule="auto"/>
        <w:jc w:val="center"/>
        <w:textAlignment w:val="auto"/>
        <w:rPr>
          <w:rFonts w:ascii="宋体" w:cs="Times New Roman"/>
          <w:b/>
          <w:bCs/>
          <w:sz w:val="48"/>
          <w:szCs w:val="48"/>
          <w:shd w:val="clear" w:color="auto" w:fill="FFFFFF"/>
        </w:rPr>
      </w:pPr>
      <w:r>
        <w:rPr>
          <w:rFonts w:hint="eastAsia" w:ascii="宋体" w:hAnsi="宋体" w:cs="宋体"/>
          <w:b/>
          <w:bCs/>
          <w:sz w:val="48"/>
          <w:szCs w:val="48"/>
          <w:shd w:val="clear" w:color="auto" w:fill="FFFFFF"/>
          <w:lang w:val="en-US" w:eastAsia="zh-CN"/>
        </w:rPr>
        <w:t>四川省剑阁中学</w:t>
      </w:r>
      <w:r>
        <w:rPr>
          <w:rFonts w:hint="eastAsia" w:ascii="宋体" w:hAnsi="宋体" w:cs="宋体"/>
          <w:b/>
          <w:bCs/>
          <w:sz w:val="48"/>
          <w:szCs w:val="48"/>
          <w:shd w:val="clear" w:color="auto" w:fill="FFFFFF"/>
        </w:rPr>
        <w:t>校</w:t>
      </w:r>
    </w:p>
    <w:p>
      <w:pPr>
        <w:pStyle w:val="14"/>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cs="宋体"/>
          <w:b/>
          <w:bCs/>
          <w:sz w:val="48"/>
          <w:szCs w:val="48"/>
          <w:shd w:val="clear" w:color="auto" w:fill="FFFFFF"/>
        </w:rPr>
      </w:pPr>
      <w:r>
        <w:rPr>
          <w:rFonts w:ascii="宋体" w:hAnsi="宋体" w:cs="宋体"/>
          <w:b/>
          <w:bCs/>
          <w:sz w:val="48"/>
          <w:szCs w:val="48"/>
          <w:shd w:val="clear" w:color="auto" w:fill="FFFFFF"/>
        </w:rPr>
        <w:t>202</w:t>
      </w:r>
      <w:r>
        <w:rPr>
          <w:rFonts w:hint="eastAsia" w:ascii="宋体" w:hAnsi="宋体" w:cs="宋体"/>
          <w:b/>
          <w:bCs/>
          <w:sz w:val="48"/>
          <w:szCs w:val="48"/>
          <w:shd w:val="clear" w:color="auto" w:fill="FFFFFF"/>
          <w:lang w:val="en-US" w:eastAsia="zh-CN"/>
        </w:rPr>
        <w:t>2</w:t>
      </w:r>
      <w:r>
        <w:rPr>
          <w:rFonts w:hint="eastAsia" w:ascii="宋体" w:hAnsi="宋体" w:cs="宋体"/>
          <w:b/>
          <w:bCs/>
          <w:sz w:val="48"/>
          <w:szCs w:val="48"/>
          <w:shd w:val="clear" w:color="auto" w:fill="FFFFFF"/>
        </w:rPr>
        <w:t>年整体支出绩效评价报告</w:t>
      </w:r>
    </w:p>
    <w:p>
      <w:pPr>
        <w:pStyle w:val="14"/>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cs="宋体"/>
          <w:b/>
          <w:bCs/>
          <w:sz w:val="48"/>
          <w:szCs w:val="48"/>
          <w:shd w:val="clear" w:color="auto" w:fill="FFFFFF"/>
        </w:rPr>
      </w:pPr>
    </w:p>
    <w:p>
      <w:pPr>
        <w:keepNext w:val="0"/>
        <w:keepLines w:val="0"/>
        <w:pageBreakBefore w:val="0"/>
        <w:widowControl/>
        <w:numPr>
          <w:ilvl w:val="0"/>
          <w:numId w:val="6"/>
        </w:numPr>
        <w:kinsoku/>
        <w:wordWrap/>
        <w:overflowPunct/>
        <w:topLinePunct w:val="0"/>
        <w:autoSpaceDE/>
        <w:autoSpaceDN/>
        <w:bidi w:val="0"/>
        <w:adjustRightInd w:val="0"/>
        <w:snapToGrid w:val="0"/>
        <w:spacing w:line="288" w:lineRule="auto"/>
        <w:ind w:firstLine="640" w:firstLineChars="200"/>
        <w:contextualSpacing/>
        <w:jc w:val="left"/>
        <w:textAlignment w:val="auto"/>
        <w:rPr>
          <w:rFonts w:hint="eastAsia" w:ascii="黑体" w:hAnsi="宋体" w:eastAsia="黑体" w:cs="宋体"/>
          <w:color w:val="000000"/>
          <w:kern w:val="0"/>
          <w:sz w:val="32"/>
          <w:szCs w:val="32"/>
          <w:highlight w:val="none"/>
          <w:shd w:val="clear" w:color="auto" w:fill="FFFFFF"/>
          <w:lang w:val="zh-CN"/>
        </w:rPr>
      </w:pPr>
      <w:r>
        <w:rPr>
          <w:rFonts w:hint="eastAsia" w:ascii="黑体" w:hAnsi="宋体" w:eastAsia="黑体" w:cs="宋体"/>
          <w:color w:val="000000"/>
          <w:kern w:val="0"/>
          <w:sz w:val="32"/>
          <w:szCs w:val="32"/>
          <w:highlight w:val="none"/>
          <w:shd w:val="clear" w:color="auto" w:fill="FFFFFF"/>
          <w:lang w:val="en-US" w:eastAsia="zh-CN"/>
        </w:rPr>
        <w:t>学校</w:t>
      </w:r>
      <w:r>
        <w:rPr>
          <w:rFonts w:hint="eastAsia" w:ascii="黑体" w:hAnsi="宋体" w:eastAsia="黑体" w:cs="宋体"/>
          <w:color w:val="000000"/>
          <w:kern w:val="0"/>
          <w:sz w:val="32"/>
          <w:szCs w:val="32"/>
          <w:highlight w:val="none"/>
          <w:shd w:val="clear" w:color="auto" w:fill="FFFFFF"/>
          <w:lang w:val="zh-CN"/>
        </w:rPr>
        <w:t>基本情况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firstLine="643" w:firstLineChars="200"/>
        <w:contextualSpacing/>
        <w:jc w:val="left"/>
        <w:textAlignment w:val="auto"/>
        <w:rPr>
          <w:rFonts w:hint="eastAsia" w:ascii="仿宋" w:hAnsi="仿宋" w:eastAsia="仿宋" w:cs="仿宋"/>
          <w:kern w:val="2"/>
          <w:sz w:val="32"/>
          <w:szCs w:val="32"/>
          <w:lang w:val="zh-CN" w:eastAsia="zh-CN" w:bidi="ar-SA"/>
        </w:rPr>
      </w:pPr>
      <w:r>
        <w:rPr>
          <w:rFonts w:hint="eastAsia" w:ascii="楷体_GB2312" w:hAnsi="楷体_GB2312" w:eastAsia="楷体_GB2312" w:cs="楷体_GB2312"/>
          <w:b/>
          <w:bCs/>
          <w:color w:val="000000"/>
          <w:kern w:val="0"/>
          <w:sz w:val="32"/>
          <w:szCs w:val="32"/>
          <w:highlight w:val="none"/>
          <w:shd w:val="clear" w:color="auto" w:fill="FFFFFF"/>
          <w:lang w:val="zh-CN"/>
        </w:rPr>
        <w:t>（一）机构组成。</w:t>
      </w:r>
      <w:r>
        <w:rPr>
          <w:rFonts w:hint="eastAsia" w:ascii="仿宋" w:hAnsi="仿宋" w:eastAsia="仿宋" w:cs="仿宋"/>
          <w:kern w:val="2"/>
          <w:sz w:val="32"/>
          <w:szCs w:val="32"/>
          <w:lang w:val="en-US" w:eastAsia="zh-CN" w:bidi="ar-SA"/>
        </w:rPr>
        <w:t>四川省剑阁中学校</w:t>
      </w:r>
      <w:r>
        <w:rPr>
          <w:rFonts w:hint="eastAsia" w:ascii="仿宋" w:hAnsi="仿宋" w:eastAsia="仿宋" w:cs="仿宋"/>
          <w:kern w:val="2"/>
          <w:sz w:val="32"/>
          <w:szCs w:val="32"/>
          <w:lang w:val="zh-CN" w:eastAsia="zh-CN" w:bidi="ar-SA"/>
        </w:rPr>
        <w:t>独立编制机构数1个，独立核算机构数1个，全年编制机构数和独立核算机构数无变化。</w:t>
      </w:r>
    </w:p>
    <w:p>
      <w:pPr>
        <w:keepNext w:val="0"/>
        <w:keepLines w:val="0"/>
        <w:pageBreakBefore w:val="0"/>
        <w:kinsoku/>
        <w:wordWrap/>
        <w:overflowPunct/>
        <w:topLinePunct w:val="0"/>
        <w:autoSpaceDE/>
        <w:autoSpaceDN/>
        <w:bidi w:val="0"/>
        <w:snapToGrid w:val="0"/>
        <w:spacing w:line="288" w:lineRule="auto"/>
        <w:ind w:firstLine="643" w:firstLineChars="200"/>
        <w:textAlignment w:val="auto"/>
        <w:rPr>
          <w:rFonts w:hint="eastAsia" w:ascii="仿宋" w:hAnsi="仿宋" w:eastAsia="仿宋" w:cs="仿宋"/>
          <w:kern w:val="2"/>
          <w:sz w:val="32"/>
          <w:szCs w:val="32"/>
          <w:lang w:val="zh-CN" w:eastAsia="zh-CN" w:bidi="ar-SA"/>
        </w:rPr>
      </w:pPr>
      <w:r>
        <w:rPr>
          <w:rFonts w:hint="eastAsia" w:ascii="楷体_GB2312" w:hAnsi="楷体_GB2312" w:eastAsia="楷体_GB2312" w:cs="楷体_GB2312"/>
          <w:b/>
          <w:bCs/>
          <w:color w:val="000000"/>
          <w:kern w:val="0"/>
          <w:sz w:val="32"/>
          <w:szCs w:val="32"/>
          <w:highlight w:val="none"/>
          <w:shd w:val="clear" w:color="auto" w:fill="FFFFFF"/>
          <w:lang w:val="zh-CN"/>
        </w:rPr>
        <w:t>（二）机构职能和人员概况。</w:t>
      </w:r>
      <w:r>
        <w:rPr>
          <w:rFonts w:hint="eastAsia" w:ascii="仿宋" w:hAnsi="仿宋" w:eastAsia="仿宋" w:cs="仿宋"/>
          <w:kern w:val="2"/>
          <w:sz w:val="32"/>
          <w:szCs w:val="32"/>
          <w:lang w:val="en-US" w:eastAsia="zh-CN" w:bidi="ar-SA"/>
        </w:rPr>
        <w:t>四川省剑阁中学校，是省二级示范性高完中，设初中和高中两部。学校主要职能为：全面贯彻党的教育方针，扎实推进初中和高中基础教育，为高一级学校培养和输送合格人才。2022年年末在校学生4732人，其中高中学生3508人，初中学生1224人。在职职工编制370人，年末实际在职人数347人。</w:t>
      </w:r>
    </w:p>
    <w:p>
      <w:pPr>
        <w:keepNext w:val="0"/>
        <w:keepLines w:val="0"/>
        <w:pageBreakBefore w:val="0"/>
        <w:widowControl/>
        <w:kinsoku/>
        <w:wordWrap/>
        <w:overflowPunct/>
        <w:topLinePunct w:val="0"/>
        <w:autoSpaceDE/>
        <w:autoSpaceDN/>
        <w:bidi w:val="0"/>
        <w:adjustRightInd w:val="0"/>
        <w:snapToGrid w:val="0"/>
        <w:spacing w:line="288" w:lineRule="auto"/>
        <w:ind w:firstLine="640" w:firstLineChars="200"/>
        <w:contextualSpacing/>
        <w:jc w:val="left"/>
        <w:textAlignment w:val="auto"/>
        <w:rPr>
          <w:rFonts w:ascii="黑体" w:hAnsi="宋体" w:eastAsia="黑体" w:cs="宋体"/>
          <w:color w:val="000000"/>
          <w:kern w:val="0"/>
          <w:sz w:val="32"/>
          <w:szCs w:val="32"/>
          <w:highlight w:val="none"/>
          <w:shd w:val="clear" w:color="auto" w:fill="FFFFFF"/>
        </w:rPr>
      </w:pPr>
      <w:r>
        <w:rPr>
          <w:rFonts w:hint="eastAsia" w:ascii="黑体" w:hAnsi="宋体" w:eastAsia="黑体" w:cs="宋体"/>
          <w:color w:val="000000"/>
          <w:kern w:val="0"/>
          <w:sz w:val="32"/>
          <w:szCs w:val="32"/>
          <w:highlight w:val="none"/>
          <w:shd w:val="clear" w:color="auto" w:fill="FFFFFF"/>
        </w:rPr>
        <w:t>二、</w:t>
      </w:r>
      <w:r>
        <w:rPr>
          <w:rFonts w:hint="eastAsia" w:ascii="黑体" w:hAnsi="宋体" w:eastAsia="黑体" w:cs="宋体"/>
          <w:color w:val="000000"/>
          <w:kern w:val="0"/>
          <w:sz w:val="32"/>
          <w:szCs w:val="32"/>
          <w:highlight w:val="none"/>
          <w:shd w:val="clear" w:color="auto" w:fill="FFFFFF"/>
          <w:lang w:val="en-US" w:eastAsia="zh-CN"/>
        </w:rPr>
        <w:t>学校</w:t>
      </w:r>
      <w:r>
        <w:rPr>
          <w:rFonts w:hint="eastAsia" w:ascii="黑体" w:hAnsi="宋体" w:eastAsia="黑体" w:cs="宋体"/>
          <w:color w:val="000000"/>
          <w:kern w:val="0"/>
          <w:sz w:val="32"/>
          <w:szCs w:val="32"/>
          <w:highlight w:val="none"/>
          <w:shd w:val="clear" w:color="auto" w:fill="FFFFFF"/>
        </w:rPr>
        <w:t>资金收支情况</w:t>
      </w:r>
    </w:p>
    <w:p>
      <w:pPr>
        <w:keepNext w:val="0"/>
        <w:keepLines w:val="0"/>
        <w:pageBreakBefore w:val="0"/>
        <w:widowControl w:val="0"/>
        <w:kinsoku/>
        <w:wordWrap/>
        <w:overflowPunct/>
        <w:topLinePunct w:val="0"/>
        <w:autoSpaceDE/>
        <w:autoSpaceDN/>
        <w:bidi w:val="0"/>
        <w:adjustRightInd/>
        <w:snapToGrid w:val="0"/>
        <w:spacing w:line="288" w:lineRule="auto"/>
        <w:ind w:firstLine="643" w:firstLineChars="200"/>
        <w:textAlignment w:val="auto"/>
        <w:rPr>
          <w:rFonts w:hint="eastAsia" w:ascii="楷体_GB2312" w:hAnsi="楷体_GB2312" w:eastAsia="楷体_GB2312" w:cs="楷体_GB2312"/>
          <w:b/>
          <w:bCs/>
          <w:color w:val="000000"/>
          <w:kern w:val="0"/>
          <w:sz w:val="32"/>
          <w:szCs w:val="32"/>
          <w:highlight w:val="none"/>
          <w:shd w:val="clear" w:color="auto" w:fill="FFFFFF"/>
          <w:lang w:val="zh-CN"/>
        </w:rPr>
      </w:pPr>
      <w:r>
        <w:rPr>
          <w:rFonts w:hint="eastAsia" w:ascii="楷体_GB2312" w:hAnsi="楷体_GB2312" w:eastAsia="楷体_GB2312" w:cs="楷体_GB2312"/>
          <w:b/>
          <w:bCs/>
          <w:color w:val="000000"/>
          <w:kern w:val="0"/>
          <w:sz w:val="32"/>
          <w:szCs w:val="32"/>
          <w:highlight w:val="none"/>
          <w:shd w:val="clear" w:color="auto" w:fill="FFFFFF"/>
          <w:lang w:val="zh-CN"/>
        </w:rPr>
        <w:t>（一）</w:t>
      </w:r>
      <w:r>
        <w:rPr>
          <w:rFonts w:hint="eastAsia" w:ascii="楷体_GB2312" w:hAnsi="楷体_GB2312" w:eastAsia="楷体_GB2312" w:cs="楷体_GB2312"/>
          <w:b/>
          <w:bCs/>
          <w:color w:val="000000"/>
          <w:kern w:val="0"/>
          <w:sz w:val="32"/>
          <w:szCs w:val="32"/>
          <w:highlight w:val="none"/>
          <w:shd w:val="clear" w:color="auto" w:fill="FFFFFF"/>
          <w:lang w:val="en-US" w:eastAsia="zh-CN"/>
        </w:rPr>
        <w:t>学校</w:t>
      </w:r>
      <w:r>
        <w:rPr>
          <w:rFonts w:hint="eastAsia" w:ascii="楷体_GB2312" w:hAnsi="楷体_GB2312" w:eastAsia="楷体_GB2312" w:cs="楷体_GB2312"/>
          <w:b/>
          <w:bCs/>
          <w:color w:val="000000"/>
          <w:kern w:val="0"/>
          <w:sz w:val="32"/>
          <w:szCs w:val="32"/>
          <w:highlight w:val="none"/>
          <w:shd w:val="clear" w:color="auto" w:fill="FFFFFF"/>
          <w:lang w:val="zh-CN"/>
        </w:rPr>
        <w:t>财政拨款收支情况</w:t>
      </w:r>
    </w:p>
    <w:p>
      <w:pPr>
        <w:keepNext w:val="0"/>
        <w:keepLines w:val="0"/>
        <w:pageBreakBefore w:val="0"/>
        <w:kinsoku/>
        <w:wordWrap/>
        <w:overflowPunct/>
        <w:topLinePunct w:val="0"/>
        <w:autoSpaceDE/>
        <w:autoSpaceDN/>
        <w:bidi w:val="0"/>
        <w:snapToGrid w:val="0"/>
        <w:spacing w:line="288" w:lineRule="auto"/>
        <w:ind w:left="0" w:leftChars="0" w:firstLine="640" w:firstLineChars="200"/>
        <w:textAlignment w:val="auto"/>
        <w:rPr>
          <w:rFonts w:hint="eastAsia"/>
          <w:sz w:val="32"/>
          <w:szCs w:val="32"/>
          <w:lang w:val="en-US" w:eastAsia="zh-CN"/>
        </w:rPr>
      </w:pPr>
      <w:r>
        <w:rPr>
          <w:rFonts w:hint="eastAsia" w:ascii="仿宋" w:hAnsi="仿宋" w:eastAsia="仿宋" w:cs="仿宋"/>
          <w:kern w:val="2"/>
          <w:sz w:val="32"/>
          <w:szCs w:val="32"/>
          <w:lang w:val="en-US" w:eastAsia="zh-CN" w:bidi="ar-SA"/>
        </w:rPr>
        <w:t>2022年四川省剑阁中学校财政一般公共预算收入6838.30万元，高中收费收入540万元，全年收入共计7378.30万元。</w:t>
      </w:r>
    </w:p>
    <w:p>
      <w:pPr>
        <w:keepNext w:val="0"/>
        <w:keepLines w:val="0"/>
        <w:pageBreakBefore w:val="0"/>
        <w:kinsoku/>
        <w:wordWrap/>
        <w:overflowPunct/>
        <w:topLinePunct w:val="0"/>
        <w:autoSpaceDE/>
        <w:autoSpaceDN/>
        <w:bidi w:val="0"/>
        <w:snapToGrid w:val="0"/>
        <w:spacing w:line="288" w:lineRule="auto"/>
        <w:ind w:firstLine="643" w:firstLineChars="200"/>
        <w:textAlignment w:val="auto"/>
        <w:rPr>
          <w:rFonts w:hint="eastAsia" w:ascii="仿宋" w:hAnsi="仿宋" w:eastAsia="仿宋" w:cs="仿宋"/>
          <w:b/>
          <w:bCs/>
          <w:sz w:val="32"/>
          <w:szCs w:val="32"/>
          <w:shd w:val="clear" w:color="auto" w:fill="FFFFFF"/>
          <w:lang w:val="zh-CN"/>
        </w:rPr>
      </w:pPr>
      <w:r>
        <w:rPr>
          <w:rFonts w:hint="eastAsia" w:ascii="仿宋" w:hAnsi="仿宋" w:eastAsia="仿宋" w:cs="仿宋"/>
          <w:b/>
          <w:bCs/>
          <w:sz w:val="32"/>
          <w:szCs w:val="32"/>
          <w:shd w:val="clear" w:color="auto" w:fill="FFFFFF"/>
          <w:lang w:val="zh-CN"/>
        </w:rPr>
        <w:t>（</w:t>
      </w:r>
      <w:r>
        <w:rPr>
          <w:rFonts w:hint="eastAsia" w:ascii="仿宋" w:hAnsi="仿宋" w:eastAsia="仿宋" w:cs="仿宋"/>
          <w:b/>
          <w:bCs/>
          <w:sz w:val="32"/>
          <w:szCs w:val="32"/>
          <w:shd w:val="clear" w:color="auto" w:fill="FFFFFF"/>
          <w:lang w:val="en-US" w:eastAsia="zh-CN"/>
        </w:rPr>
        <w:t>二）</w:t>
      </w:r>
      <w:r>
        <w:rPr>
          <w:rFonts w:hint="eastAsia" w:ascii="仿宋" w:hAnsi="仿宋" w:eastAsia="仿宋" w:cs="仿宋"/>
          <w:b/>
          <w:bCs/>
          <w:sz w:val="32"/>
          <w:szCs w:val="32"/>
          <w:shd w:val="clear" w:color="auto" w:fill="FFFFFF"/>
          <w:lang w:val="zh-CN"/>
        </w:rPr>
        <w:t>学校财政资金支出情况</w:t>
      </w:r>
    </w:p>
    <w:p>
      <w:pPr>
        <w:pStyle w:val="33"/>
        <w:keepNext w:val="0"/>
        <w:keepLines w:val="0"/>
        <w:pageBreakBefore w:val="0"/>
        <w:numPr>
          <w:ilvl w:val="0"/>
          <w:numId w:val="0"/>
        </w:numPr>
        <w:kinsoku/>
        <w:wordWrap/>
        <w:overflowPunct/>
        <w:topLinePunct w:val="0"/>
        <w:bidi w:val="0"/>
        <w:spacing w:line="288" w:lineRule="auto"/>
        <w:ind w:left="0" w:leftChars="0" w:firstLine="681" w:firstLineChars="213"/>
        <w:textAlignment w:val="auto"/>
        <w:rPr>
          <w:rFonts w:hint="default" w:ascii="仿宋" w:hAnsi="仿宋" w:eastAsia="仿宋" w:cs="仿宋"/>
          <w:b/>
          <w:bCs/>
          <w:sz w:val="32"/>
          <w:szCs w:val="32"/>
          <w:shd w:val="clear" w:color="auto" w:fill="FFFFFF"/>
          <w:lang w:val="en-US"/>
        </w:rPr>
      </w:pPr>
      <w:r>
        <w:rPr>
          <w:rFonts w:hint="eastAsia" w:ascii="仿宋" w:hAnsi="仿宋" w:eastAsia="仿宋" w:cs="仿宋"/>
          <w:color w:val="000000"/>
          <w:sz w:val="32"/>
          <w:szCs w:val="32"/>
        </w:rPr>
        <w:t>202</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年</w:t>
      </w:r>
      <w:r>
        <w:rPr>
          <w:rFonts w:hint="eastAsia" w:ascii="仿宋" w:hAnsi="仿宋" w:eastAsia="仿宋" w:cs="仿宋"/>
          <w:color w:val="000000"/>
          <w:sz w:val="32"/>
          <w:szCs w:val="32"/>
          <w:lang w:val="en-US" w:eastAsia="zh-CN"/>
        </w:rPr>
        <w:t>四川省剑阁中学校全年财政拨款支出6838.30万元，高中收费支出540万元，全年共计支出7378.30万元。</w:t>
      </w:r>
    </w:p>
    <w:p>
      <w:pPr>
        <w:spacing w:line="600" w:lineRule="exact"/>
        <w:ind w:firstLine="640"/>
        <w:rPr>
          <w:rFonts w:ascii="仿宋" w:hAnsi="仿宋" w:eastAsia="仿宋"/>
          <w:b/>
          <w:sz w:val="32"/>
          <w:szCs w:val="32"/>
        </w:rPr>
      </w:pPr>
      <w:r>
        <w:rPr>
          <w:rFonts w:hint="eastAsia" w:ascii="仿宋" w:hAnsi="仿宋" w:eastAsia="仿宋" w:cs="仿宋"/>
          <w:kern w:val="2"/>
          <w:sz w:val="32"/>
          <w:szCs w:val="32"/>
          <w:lang w:val="en-US" w:eastAsia="zh-CN" w:bidi="ar-SA"/>
        </w:rPr>
        <w:t>1.学校财政拨款支出情况：</w:t>
      </w: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_GB2312" w:eastAsia="仿宋_GB2312"/>
          <w:bCs/>
          <w:color w:val="000000"/>
          <w:sz w:val="32"/>
          <w:szCs w:val="32"/>
          <w:lang w:val="en-US" w:eastAsia="zh-CN"/>
        </w:rPr>
        <w:t>6838.30</w:t>
      </w:r>
      <w:r>
        <w:rPr>
          <w:rFonts w:hint="eastAsia" w:ascii="仿宋" w:hAnsi="仿宋" w:eastAsia="仿宋"/>
          <w:sz w:val="32"/>
          <w:szCs w:val="32"/>
        </w:rPr>
        <w:t>万元，主要用于以下方面</w:t>
      </w:r>
      <w:r>
        <w:rPr>
          <w:rFonts w:hint="eastAsia" w:ascii="仿宋" w:hAnsi="仿宋" w:eastAsia="仿宋"/>
          <w:sz w:val="32"/>
          <w:szCs w:val="32"/>
          <w:lang w:eastAsia="zh-CN"/>
        </w:rPr>
        <w:t>：</w:t>
      </w:r>
      <w:r>
        <w:rPr>
          <w:rFonts w:hint="eastAsia" w:ascii="仿宋" w:hAnsi="仿宋" w:eastAsia="仿宋"/>
          <w:b/>
          <w:sz w:val="32"/>
          <w:szCs w:val="32"/>
        </w:rPr>
        <w:t>教育支出</w:t>
      </w:r>
      <w:r>
        <w:rPr>
          <w:rFonts w:hint="eastAsia" w:ascii="仿宋" w:hAnsi="仿宋" w:eastAsia="仿宋"/>
          <w:sz w:val="32"/>
          <w:szCs w:val="32"/>
          <w:lang w:val="en-US" w:eastAsia="zh-CN"/>
        </w:rPr>
        <w:t>5739.5</w:t>
      </w:r>
      <w:r>
        <w:rPr>
          <w:rFonts w:hint="eastAsia" w:ascii="仿宋" w:hAnsi="仿宋" w:eastAsia="仿宋"/>
          <w:sz w:val="32"/>
          <w:szCs w:val="32"/>
        </w:rPr>
        <w:t>万元，占</w:t>
      </w:r>
      <w:r>
        <w:rPr>
          <w:rFonts w:hint="eastAsia" w:ascii="仿宋" w:hAnsi="仿宋" w:eastAsia="仿宋"/>
          <w:sz w:val="32"/>
          <w:szCs w:val="32"/>
          <w:lang w:val="en-US" w:eastAsia="zh-CN"/>
        </w:rPr>
        <w:t>83.93</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社会保障和就业</w:t>
      </w:r>
      <w:r>
        <w:rPr>
          <w:rFonts w:hint="eastAsia" w:ascii="仿宋" w:hAnsi="仿宋" w:eastAsia="仿宋"/>
          <w:b/>
          <w:bCs/>
          <w:sz w:val="32"/>
          <w:szCs w:val="32"/>
        </w:rPr>
        <w:t>支出</w:t>
      </w:r>
      <w:r>
        <w:rPr>
          <w:rFonts w:hint="eastAsia" w:ascii="仿宋" w:hAnsi="仿宋" w:eastAsia="仿宋"/>
          <w:sz w:val="32"/>
          <w:szCs w:val="32"/>
          <w:lang w:val="en-US" w:eastAsia="zh-CN"/>
        </w:rPr>
        <w:t>512.91</w:t>
      </w:r>
      <w:r>
        <w:rPr>
          <w:rFonts w:hint="eastAsia" w:ascii="仿宋" w:hAnsi="仿宋" w:eastAsia="仿宋"/>
          <w:sz w:val="32"/>
          <w:szCs w:val="32"/>
        </w:rPr>
        <w:t>万元，占</w:t>
      </w:r>
      <w:r>
        <w:rPr>
          <w:rFonts w:hint="eastAsia" w:ascii="仿宋" w:hAnsi="仿宋" w:eastAsia="仿宋"/>
          <w:sz w:val="32"/>
          <w:szCs w:val="32"/>
          <w:lang w:val="en-US" w:eastAsia="zh-CN"/>
        </w:rPr>
        <w:t>7.5</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sz w:val="32"/>
          <w:szCs w:val="32"/>
          <w:lang w:val="en-US" w:eastAsia="zh-CN"/>
        </w:rPr>
        <w:t>234.36</w:t>
      </w:r>
      <w:r>
        <w:rPr>
          <w:rFonts w:hint="eastAsia" w:ascii="仿宋" w:hAnsi="仿宋" w:eastAsia="仿宋"/>
          <w:sz w:val="32"/>
          <w:szCs w:val="32"/>
        </w:rPr>
        <w:t>万元，占</w:t>
      </w:r>
      <w:r>
        <w:rPr>
          <w:rFonts w:hint="eastAsia" w:ascii="仿宋" w:hAnsi="仿宋" w:eastAsia="仿宋"/>
          <w:sz w:val="32"/>
          <w:szCs w:val="32"/>
          <w:lang w:val="en-US" w:eastAsia="zh-CN"/>
        </w:rPr>
        <w:t>3.43</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住房保障支出</w:t>
      </w:r>
      <w:r>
        <w:rPr>
          <w:rFonts w:hint="eastAsia" w:ascii="仿宋" w:hAnsi="仿宋" w:eastAsia="仿宋"/>
          <w:sz w:val="32"/>
          <w:szCs w:val="32"/>
          <w:lang w:val="en-US" w:eastAsia="zh-CN"/>
        </w:rPr>
        <w:t>351.53</w:t>
      </w:r>
      <w:r>
        <w:rPr>
          <w:rFonts w:hint="eastAsia" w:ascii="仿宋" w:hAnsi="仿宋" w:eastAsia="仿宋"/>
          <w:sz w:val="32"/>
          <w:szCs w:val="32"/>
        </w:rPr>
        <w:t>万元，占</w:t>
      </w:r>
      <w:r>
        <w:rPr>
          <w:rFonts w:hint="eastAsia" w:ascii="仿宋" w:hAnsi="仿宋" w:eastAsia="仿宋"/>
          <w:sz w:val="32"/>
          <w:szCs w:val="32"/>
          <w:lang w:val="en-US" w:eastAsia="zh-CN"/>
        </w:rPr>
        <w:t>5.14</w:t>
      </w:r>
      <w:r>
        <w:rPr>
          <w:rFonts w:ascii="仿宋" w:hAnsi="仿宋" w:eastAsia="仿宋"/>
          <w:sz w:val="32"/>
          <w:szCs w:val="32"/>
        </w:rPr>
        <w:t>%</w:t>
      </w:r>
      <w:r>
        <w:rPr>
          <w:rFonts w:hint="eastAsia" w:ascii="仿宋" w:hAnsi="仿宋" w:eastAsia="仿宋"/>
          <w:sz w:val="32"/>
          <w:szCs w:val="32"/>
        </w:rPr>
        <w:t>。</w:t>
      </w:r>
    </w:p>
    <w:p>
      <w:pPr>
        <w:pStyle w:val="2"/>
        <w:keepNext w:val="0"/>
        <w:keepLines w:val="0"/>
        <w:pageBreakBefore w:val="0"/>
        <w:kinsoku/>
        <w:wordWrap/>
        <w:overflowPunct/>
        <w:topLinePunct w:val="0"/>
        <w:bidi w:val="0"/>
        <w:spacing w:line="288" w:lineRule="auto"/>
        <w:ind w:left="0" w:leftChars="0" w:firstLine="681" w:firstLineChars="213"/>
        <w:textAlignment w:val="auto"/>
        <w:rPr>
          <w:rFonts w:hint="default" w:ascii="仿宋" w:hAnsi="仿宋" w:eastAsia="仿宋" w:cs="仿宋"/>
          <w:color w:val="000000"/>
          <w:kern w:val="2"/>
          <w:sz w:val="32"/>
          <w:szCs w:val="32"/>
          <w:lang w:val="en-US" w:eastAsia="zh-CN" w:bidi="ar-SA"/>
        </w:rPr>
      </w:pPr>
      <w:r>
        <w:rPr>
          <w:rFonts w:hint="eastAsia" w:ascii="仿宋" w:hAnsi="仿宋" w:eastAsia="仿宋" w:cs="仿宋"/>
          <w:color w:val="000000"/>
          <w:kern w:val="2"/>
          <w:sz w:val="32"/>
          <w:szCs w:val="32"/>
          <w:lang w:val="en-US" w:eastAsia="zh-CN" w:bidi="ar-SA"/>
        </w:rPr>
        <w:t>2.高中收费支出情况：高中收费支出540万元，主要用于商品和服务支出。</w:t>
      </w:r>
    </w:p>
    <w:p>
      <w:pPr>
        <w:keepNext w:val="0"/>
        <w:keepLines w:val="0"/>
        <w:pageBreakBefore w:val="0"/>
        <w:widowControl/>
        <w:kinsoku/>
        <w:wordWrap/>
        <w:overflowPunct/>
        <w:topLinePunct w:val="0"/>
        <w:autoSpaceDE/>
        <w:autoSpaceDN/>
        <w:bidi w:val="0"/>
        <w:adjustRightInd w:val="0"/>
        <w:snapToGrid w:val="0"/>
        <w:spacing w:line="288" w:lineRule="auto"/>
        <w:ind w:firstLine="640" w:firstLineChars="200"/>
        <w:contextualSpacing/>
        <w:jc w:val="left"/>
        <w:textAlignment w:val="auto"/>
        <w:rPr>
          <w:rFonts w:ascii="黑体" w:hAnsi="宋体" w:eastAsia="黑体" w:cs="宋体"/>
          <w:color w:val="000000" w:themeColor="text1"/>
          <w:kern w:val="0"/>
          <w:sz w:val="32"/>
          <w:szCs w:val="32"/>
          <w:highlight w:val="none"/>
          <w:shd w:val="clear" w:color="auto" w:fill="FFFFFF"/>
          <w14:textFill>
            <w14:solidFill>
              <w14:schemeClr w14:val="tx1"/>
            </w14:solidFill>
          </w14:textFill>
        </w:rPr>
      </w:pPr>
      <w:r>
        <w:rPr>
          <w:rFonts w:hint="eastAsia" w:ascii="黑体" w:hAnsi="宋体" w:eastAsia="黑体" w:cs="宋体"/>
          <w:color w:val="000000"/>
          <w:kern w:val="0"/>
          <w:sz w:val="32"/>
          <w:szCs w:val="32"/>
          <w:highlight w:val="none"/>
          <w:shd w:val="clear" w:color="auto" w:fill="FFFFFF"/>
        </w:rPr>
        <w:t>三、</w:t>
      </w:r>
      <w:r>
        <w:rPr>
          <w:rFonts w:hint="eastAsia" w:ascii="黑体" w:hAnsi="宋体" w:eastAsia="黑体" w:cs="宋体"/>
          <w:color w:val="000000"/>
          <w:kern w:val="0"/>
          <w:sz w:val="32"/>
          <w:szCs w:val="32"/>
          <w:highlight w:val="none"/>
          <w:u w:val="none"/>
          <w:shd w:val="clear" w:color="auto" w:fill="FFFFFF"/>
          <w:lang w:val="en-US" w:eastAsia="zh-CN"/>
        </w:rPr>
        <w:t>学校</w:t>
      </w:r>
      <w:r>
        <w:rPr>
          <w:rFonts w:hint="eastAsia" w:ascii="黑体" w:hAnsi="宋体" w:eastAsia="黑体" w:cs="宋体"/>
          <w:color w:val="000000"/>
          <w:kern w:val="0"/>
          <w:sz w:val="32"/>
          <w:szCs w:val="32"/>
          <w:highlight w:val="none"/>
          <w:u w:val="none"/>
          <w:shd w:val="clear" w:color="auto" w:fill="FFFFFF"/>
        </w:rPr>
        <w:t>整体绩效</w:t>
      </w:r>
      <w:r>
        <w:rPr>
          <w:rFonts w:hint="eastAsia" w:ascii="黑体" w:hAnsi="宋体" w:eastAsia="黑体" w:cs="宋体"/>
          <w:color w:val="000000"/>
          <w:kern w:val="0"/>
          <w:sz w:val="32"/>
          <w:szCs w:val="32"/>
          <w:highlight w:val="none"/>
          <w:u w:val="none"/>
          <w:shd w:val="clear" w:color="auto" w:fill="FFFFFF"/>
          <w:lang w:eastAsia="zh-CN"/>
        </w:rPr>
        <w:t>分析</w:t>
      </w:r>
    </w:p>
    <w:p>
      <w:pPr>
        <w:keepNext w:val="0"/>
        <w:keepLines w:val="0"/>
        <w:pageBreakBefore w:val="0"/>
        <w:widowControl/>
        <w:kinsoku/>
        <w:wordWrap/>
        <w:overflowPunct/>
        <w:topLinePunct w:val="0"/>
        <w:autoSpaceDE/>
        <w:autoSpaceDN/>
        <w:bidi w:val="0"/>
        <w:adjustRightInd w:val="0"/>
        <w:snapToGrid w:val="0"/>
        <w:spacing w:line="288" w:lineRule="auto"/>
        <w:ind w:firstLine="643" w:firstLineChars="200"/>
        <w:contextualSpacing/>
        <w:jc w:val="left"/>
        <w:textAlignment w:val="auto"/>
        <w:rPr>
          <w:rFonts w:hint="eastAsia" w:ascii="仿宋_GB2312" w:hAnsi="宋体" w:cs="宋体"/>
          <w:color w:val="000000"/>
          <w:kern w:val="0"/>
          <w:sz w:val="32"/>
          <w:szCs w:val="32"/>
          <w:highlight w:val="none"/>
          <w:shd w:val="clear" w:color="auto" w:fill="FFFFFF"/>
          <w:lang w:val="zh-CN"/>
        </w:rPr>
      </w:pPr>
      <w:r>
        <w:rPr>
          <w:rFonts w:hint="eastAsia" w:ascii="楷体_GB2312" w:hAnsi="楷体_GB2312" w:eastAsia="楷体_GB2312" w:cs="楷体_GB2312"/>
          <w:b/>
          <w:bCs/>
          <w:color w:val="000000"/>
          <w:kern w:val="0"/>
          <w:sz w:val="32"/>
          <w:szCs w:val="32"/>
          <w:highlight w:val="none"/>
          <w:shd w:val="clear" w:color="auto" w:fill="FFFFFF"/>
          <w:lang w:val="zh-CN"/>
        </w:rPr>
        <w:t>（一）</w:t>
      </w:r>
      <w:r>
        <w:rPr>
          <w:rFonts w:hint="eastAsia" w:ascii="楷体_GB2312" w:hAnsi="楷体_GB2312" w:eastAsia="楷体_GB2312" w:cs="楷体_GB2312"/>
          <w:b/>
          <w:bCs/>
          <w:color w:val="000000"/>
          <w:kern w:val="0"/>
          <w:sz w:val="32"/>
          <w:szCs w:val="32"/>
          <w:highlight w:val="none"/>
          <w:shd w:val="clear" w:color="auto" w:fill="FFFFFF"/>
          <w:lang w:val="en-US" w:eastAsia="zh-CN"/>
        </w:rPr>
        <w:t>学校</w:t>
      </w:r>
      <w:r>
        <w:rPr>
          <w:rFonts w:hint="eastAsia" w:ascii="楷体_GB2312" w:hAnsi="楷体_GB2312" w:eastAsia="楷体_GB2312" w:cs="楷体_GB2312"/>
          <w:b/>
          <w:bCs/>
          <w:color w:val="000000"/>
          <w:kern w:val="0"/>
          <w:sz w:val="32"/>
          <w:szCs w:val="32"/>
          <w:highlight w:val="none"/>
          <w:shd w:val="clear" w:color="auto" w:fill="FFFFFF"/>
          <w:lang w:val="zh-CN"/>
        </w:rPr>
        <w:t>预算项目绩效分析</w:t>
      </w:r>
    </w:p>
    <w:p>
      <w:pPr>
        <w:keepNext w:val="0"/>
        <w:keepLines w:val="0"/>
        <w:pageBreakBefore w:val="0"/>
        <w:kinsoku/>
        <w:wordWrap/>
        <w:overflowPunct/>
        <w:topLinePunct w:val="0"/>
        <w:bidi w:val="0"/>
        <w:spacing w:line="288" w:lineRule="auto"/>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我校严格按照预算管理的相关规定和市级部门预算编制要求， 科学合理编制次年项目预算，按时完成了2022年预算编制工作。并严格按部门绩效目标制定要求，分人员类、运转类和特定项目编制了绩效目标。</w:t>
      </w:r>
    </w:p>
    <w:p>
      <w:pPr>
        <w:keepNext w:val="0"/>
        <w:keepLines w:val="0"/>
        <w:pageBreakBefore w:val="0"/>
        <w:kinsoku/>
        <w:wordWrap/>
        <w:overflowPunct/>
        <w:topLinePunct w:val="0"/>
        <w:bidi w:val="0"/>
        <w:adjustRightInd w:val="0"/>
        <w:snapToGrid w:val="0"/>
        <w:spacing w:line="288" w:lineRule="auto"/>
        <w:ind w:firstLine="643" w:firstLineChars="200"/>
        <w:contextualSpacing/>
        <w:jc w:val="left"/>
        <w:textAlignment w:val="auto"/>
        <w:rPr>
          <w:rFonts w:hint="eastAsia" w:ascii="仿宋" w:hAnsi="仿宋" w:eastAsia="仿宋"/>
          <w:b/>
          <w:color w:val="000000"/>
          <w:sz w:val="32"/>
          <w:szCs w:val="32"/>
        </w:rPr>
      </w:pPr>
      <w:r>
        <w:rPr>
          <w:rFonts w:hint="eastAsia" w:ascii="仿宋" w:hAnsi="仿宋" w:eastAsia="仿宋"/>
          <w:b/>
          <w:color w:val="000000"/>
          <w:sz w:val="32"/>
          <w:szCs w:val="32"/>
        </w:rPr>
        <w:t>1.绩效目标情况</w:t>
      </w:r>
    </w:p>
    <w:p>
      <w:pPr>
        <w:pStyle w:val="14"/>
        <w:keepNext w:val="0"/>
        <w:keepLines w:val="0"/>
        <w:pageBreakBefore w:val="0"/>
        <w:kinsoku/>
        <w:wordWrap/>
        <w:overflowPunct/>
        <w:topLinePunct w:val="0"/>
        <w:bidi w:val="0"/>
        <w:spacing w:beforeAutospacing="0" w:after="0" w:afterAutospacing="0" w:line="288" w:lineRule="auto"/>
        <w:ind w:firstLine="64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人员类和运转类主要用于保障单位正常运转需求，目标中明确了人员数，教师学历达标率，教学任务完成时限等产出指标，确定了学生辍学率等社会效益指标和满意度指标。对特定项目根据各自的目标要求制定了相应的绩效目标。预算编制准确，绩效目标制定科学。强化支出控制，及时处置预算执行过程中出现的问题，加快预算执行进度。预算支出完成率100%，资金结余率为0，无违规记录。</w:t>
      </w:r>
    </w:p>
    <w:p>
      <w:pPr>
        <w:pStyle w:val="14"/>
        <w:keepNext w:val="0"/>
        <w:keepLines w:val="0"/>
        <w:pageBreakBefore w:val="0"/>
        <w:kinsoku/>
        <w:wordWrap/>
        <w:overflowPunct/>
        <w:topLinePunct w:val="0"/>
        <w:bidi w:val="0"/>
        <w:spacing w:beforeAutospacing="0" w:after="0" w:afterAutospacing="0" w:line="288" w:lineRule="auto"/>
        <w:ind w:firstLine="640"/>
        <w:jc w:val="both"/>
        <w:textAlignment w:val="auto"/>
        <w:rPr>
          <w:rFonts w:hint="eastAsia" w:ascii="仿宋" w:hAnsi="仿宋" w:eastAsia="仿宋" w:cs="Times New Roman"/>
          <w:b/>
          <w:color w:val="000000"/>
          <w:kern w:val="2"/>
          <w:sz w:val="32"/>
          <w:szCs w:val="32"/>
          <w:lang w:val="en-US" w:eastAsia="zh-CN" w:bidi="ar-SA"/>
        </w:rPr>
      </w:pPr>
      <w:r>
        <w:rPr>
          <w:rFonts w:hint="eastAsia" w:ascii="仿宋" w:hAnsi="仿宋" w:eastAsia="仿宋" w:cs="Times New Roman"/>
          <w:b/>
          <w:color w:val="000000"/>
          <w:kern w:val="2"/>
          <w:sz w:val="32"/>
          <w:szCs w:val="32"/>
          <w:lang w:val="en-US" w:eastAsia="zh-CN" w:bidi="ar-SA"/>
        </w:rPr>
        <w:t>2.执行管理情况</w:t>
      </w:r>
    </w:p>
    <w:p>
      <w:pPr>
        <w:keepNext w:val="0"/>
        <w:keepLines w:val="0"/>
        <w:pageBreakBefore w:val="0"/>
        <w:kinsoku/>
        <w:wordWrap/>
        <w:overflowPunct/>
        <w:topLinePunct w:val="0"/>
        <w:autoSpaceDE w:val="0"/>
        <w:autoSpaceDN w:val="0"/>
        <w:bidi w:val="0"/>
        <w:adjustRightInd w:val="0"/>
        <w:spacing w:line="288" w:lineRule="auto"/>
        <w:ind w:firstLine="640"/>
        <w:textAlignment w:val="auto"/>
        <w:rPr>
          <w:rFonts w:hint="eastAsia" w:ascii="仿宋" w:hAnsi="仿宋" w:eastAsia="仿宋" w:cs="仿宋"/>
          <w:kern w:val="2"/>
          <w:sz w:val="32"/>
          <w:szCs w:val="32"/>
          <w:lang w:val="zh-CN" w:eastAsia="zh-CN" w:bidi="ar-SA"/>
        </w:rPr>
      </w:pPr>
      <w:r>
        <w:rPr>
          <w:rFonts w:hint="eastAsia" w:ascii="仿宋" w:hAnsi="仿宋" w:eastAsia="仿宋" w:cs="仿宋"/>
          <w:kern w:val="2"/>
          <w:sz w:val="32"/>
          <w:szCs w:val="32"/>
          <w:lang w:val="zh-CN" w:eastAsia="zh-CN" w:bidi="ar-SA"/>
        </w:rPr>
        <w:t>四川省剑阁中学校能根据年初支出预算开支经费，确保公用经费的使用发挥最大效益。严格按照学校经费开支制度执行经费列支。没有随意扩大开支范围、提高开支的标准发生。</w:t>
      </w:r>
    </w:p>
    <w:p>
      <w:pPr>
        <w:pStyle w:val="14"/>
        <w:keepNext w:val="0"/>
        <w:keepLines w:val="0"/>
        <w:pageBreakBefore w:val="0"/>
        <w:kinsoku/>
        <w:wordWrap/>
        <w:overflowPunct/>
        <w:topLinePunct w:val="0"/>
        <w:bidi w:val="0"/>
        <w:spacing w:beforeAutospacing="0" w:after="0" w:afterAutospacing="0" w:line="288" w:lineRule="auto"/>
        <w:ind w:firstLine="64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一是学校运行保障情况。我校严格按照年初预算安排，严格执行中央八项规定和省、市、县规定，厉行节约规范使用预算资金。收入上，严格执行 "收支两条线"管理制度，按规定使用非税票据并直接缴入国库，无隐瞒收入和其他违反国家收费管理规定的行为。在支出管理中，认真执行国库集中支付、政府采购、公务卡报销、重点工作和大额支付上会集体决策等相关财务管理制度。建立预算动态调整机制，认真做好每月与银行、财政国库的对账工作，加强动态监控，保障学校各项工作顺利开展。严格预算执行进度控制，全年预算完成情况好，无违规记录等情况。</w:t>
      </w:r>
    </w:p>
    <w:p>
      <w:pPr>
        <w:pStyle w:val="14"/>
        <w:keepNext w:val="0"/>
        <w:keepLines w:val="0"/>
        <w:pageBreakBefore w:val="0"/>
        <w:kinsoku/>
        <w:wordWrap/>
        <w:overflowPunct/>
        <w:topLinePunct w:val="0"/>
        <w:bidi w:val="0"/>
        <w:spacing w:beforeAutospacing="0" w:after="0" w:afterAutospacing="0" w:line="288" w:lineRule="auto"/>
        <w:ind w:firstLine="64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二是“三公”经费预算执行情况。我校严格按照中央省市的相关文件要求， 严控“三公经费”支出。2022年公务接待费支出1.52万元，完成预算100%，比2021年减少0.38万元，主要原因是贯彻执行中央八项规定和省委省政府十项规定，坚决杜绝奢侈浪费，有效控制公务接待费用。</w:t>
      </w:r>
    </w:p>
    <w:p>
      <w:pPr>
        <w:pStyle w:val="14"/>
        <w:keepNext w:val="0"/>
        <w:keepLines w:val="0"/>
        <w:pageBreakBefore w:val="0"/>
        <w:kinsoku/>
        <w:wordWrap/>
        <w:overflowPunct/>
        <w:topLinePunct w:val="0"/>
        <w:bidi w:val="0"/>
        <w:spacing w:beforeAutospacing="0" w:after="0" w:afterAutospacing="0" w:line="288" w:lineRule="auto"/>
        <w:ind w:firstLine="64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三是依法收费情况。严格执行非税收缴管理办法，认真做好各项征缴工作，确保非税收入规范、有序，依法收缴，及时、足额缴入非税系统，2022年共计非税收入高中学生住宿费和学费540万元。 </w:t>
      </w:r>
    </w:p>
    <w:p>
      <w:pPr>
        <w:keepNext w:val="0"/>
        <w:keepLines w:val="0"/>
        <w:pageBreakBefore w:val="0"/>
        <w:widowControl/>
        <w:kinsoku/>
        <w:wordWrap/>
        <w:overflowPunct/>
        <w:topLinePunct w:val="0"/>
        <w:autoSpaceDE/>
        <w:autoSpaceDN/>
        <w:bidi w:val="0"/>
        <w:adjustRightInd w:val="0"/>
        <w:snapToGrid w:val="0"/>
        <w:spacing w:line="288" w:lineRule="auto"/>
        <w:ind w:firstLine="643" w:firstLineChars="200"/>
        <w:contextualSpacing/>
        <w:jc w:val="left"/>
        <w:textAlignment w:val="auto"/>
        <w:rPr>
          <w:rFonts w:hint="eastAsia" w:ascii="楷体_GB2312" w:hAnsi="楷体_GB2312" w:eastAsia="楷体_GB2312" w:cs="楷体_GB2312"/>
          <w:b/>
          <w:bCs/>
          <w:color w:val="000000"/>
          <w:kern w:val="0"/>
          <w:sz w:val="32"/>
          <w:szCs w:val="32"/>
          <w:highlight w:val="none"/>
          <w:shd w:val="clear" w:color="auto" w:fill="FFFFFF"/>
          <w:lang w:val="zh-CN"/>
        </w:rPr>
      </w:pPr>
      <w:r>
        <w:rPr>
          <w:rFonts w:hint="eastAsia" w:ascii="楷体_GB2312" w:hAnsi="楷体_GB2312" w:eastAsia="楷体_GB2312" w:cs="楷体_GB2312"/>
          <w:b/>
          <w:bCs/>
          <w:color w:val="000000"/>
          <w:kern w:val="0"/>
          <w:sz w:val="32"/>
          <w:szCs w:val="32"/>
          <w:highlight w:val="none"/>
          <w:shd w:val="clear" w:color="auto" w:fill="FFFFFF"/>
          <w:lang w:val="zh-CN"/>
        </w:rPr>
        <w:t>（二）结果应用情况</w:t>
      </w:r>
    </w:p>
    <w:p>
      <w:pPr>
        <w:pStyle w:val="14"/>
        <w:keepNext w:val="0"/>
        <w:keepLines w:val="0"/>
        <w:pageBreakBefore w:val="0"/>
        <w:kinsoku/>
        <w:wordWrap/>
        <w:overflowPunct/>
        <w:topLinePunct w:val="0"/>
        <w:bidi w:val="0"/>
        <w:spacing w:beforeAutospacing="0" w:after="0" w:afterAutospacing="0" w:line="288" w:lineRule="auto"/>
        <w:ind w:firstLine="640"/>
        <w:textAlignment w:val="auto"/>
        <w:rPr>
          <w:rFonts w:hint="eastAsia" w:ascii="仿宋" w:hAnsi="仿宋" w:eastAsia="仿宋" w:cs="仿宋"/>
          <w:kern w:val="2"/>
          <w:sz w:val="32"/>
          <w:szCs w:val="32"/>
          <w:lang w:val="zh-CN" w:eastAsia="zh-CN" w:bidi="ar-SA"/>
        </w:rPr>
      </w:pPr>
      <w:r>
        <w:rPr>
          <w:rFonts w:hint="eastAsia" w:ascii="仿宋" w:hAnsi="仿宋" w:eastAsia="仿宋" w:cs="仿宋"/>
          <w:kern w:val="2"/>
          <w:sz w:val="32"/>
          <w:szCs w:val="32"/>
          <w:lang w:val="en-US" w:eastAsia="zh-CN" w:bidi="ar-SA"/>
        </w:rPr>
        <w:t>我校</w:t>
      </w:r>
      <w:r>
        <w:rPr>
          <w:rFonts w:hint="eastAsia" w:ascii="仿宋" w:hAnsi="仿宋" w:eastAsia="仿宋" w:cs="仿宋"/>
          <w:kern w:val="2"/>
          <w:sz w:val="32"/>
          <w:szCs w:val="32"/>
          <w:lang w:val="zh-CN" w:eastAsia="zh-CN" w:bidi="ar-SA"/>
        </w:rPr>
        <w:t>根据预算编制中设定的绩效目标，认真开展支出绩效评价自评，并将自评结果及时公开，根据评价结果及时整改预算执行情况，并将应用结果及时反馈，确保绩效评价结果的应用与效</w:t>
      </w:r>
      <w:r>
        <w:rPr>
          <w:rFonts w:hint="eastAsia" w:ascii="仿宋" w:hAnsi="仿宋" w:eastAsia="仿宋" w:cs="仿宋"/>
          <w:kern w:val="2"/>
          <w:sz w:val="32"/>
          <w:szCs w:val="32"/>
          <w:lang w:val="en-US" w:eastAsia="zh-CN" w:bidi="ar-SA"/>
        </w:rPr>
        <w:t>率</w:t>
      </w:r>
      <w:r>
        <w:rPr>
          <w:rFonts w:hint="eastAsia" w:ascii="仿宋" w:hAnsi="仿宋" w:eastAsia="仿宋" w:cs="仿宋"/>
          <w:kern w:val="2"/>
          <w:sz w:val="32"/>
          <w:szCs w:val="32"/>
          <w:lang w:val="zh-CN" w:eastAsia="zh-CN" w:bidi="ar-SA"/>
        </w:rPr>
        <w:t>。</w:t>
      </w:r>
    </w:p>
    <w:p>
      <w:pPr>
        <w:pStyle w:val="14"/>
        <w:keepNext w:val="0"/>
        <w:keepLines w:val="0"/>
        <w:pageBreakBefore w:val="0"/>
        <w:kinsoku/>
        <w:wordWrap/>
        <w:overflowPunct/>
        <w:topLinePunct w:val="0"/>
        <w:bidi w:val="0"/>
        <w:spacing w:beforeAutospacing="0" w:after="0" w:afterAutospacing="0" w:line="288" w:lineRule="auto"/>
        <w:ind w:firstLine="640"/>
        <w:textAlignment w:val="auto"/>
        <w:rPr>
          <w:rFonts w:hint="eastAsia" w:ascii="仿宋_GB2312" w:hAnsi="Times New Roman" w:eastAsia="仿宋_GB2312" w:cs="Times New Roman"/>
          <w:color w:val="000000"/>
          <w:sz w:val="32"/>
          <w:szCs w:val="32"/>
        </w:rPr>
      </w:pPr>
      <w:r>
        <w:rPr>
          <w:rFonts w:hint="eastAsia" w:ascii="仿宋" w:hAnsi="仿宋" w:eastAsia="仿宋" w:cs="仿宋"/>
          <w:kern w:val="2"/>
          <w:sz w:val="32"/>
          <w:szCs w:val="32"/>
          <w:lang w:val="zh-CN" w:eastAsia="zh-CN" w:bidi="ar-SA"/>
        </w:rPr>
        <w:t>绩效管理结果：教育经费的使用，力保学校教育教学工作的有</w:t>
      </w:r>
      <w:r>
        <w:rPr>
          <w:rFonts w:hint="eastAsia" w:ascii="仿宋" w:hAnsi="仿宋" w:eastAsia="仿宋" w:cs="仿宋"/>
          <w:kern w:val="2"/>
          <w:sz w:val="32"/>
          <w:szCs w:val="32"/>
          <w:lang w:val="en-US" w:eastAsia="zh-CN" w:bidi="ar-SA"/>
        </w:rPr>
        <w:t>序</w:t>
      </w:r>
      <w:r>
        <w:rPr>
          <w:rFonts w:hint="eastAsia" w:ascii="仿宋" w:hAnsi="仿宋" w:eastAsia="仿宋" w:cs="仿宋"/>
          <w:kern w:val="2"/>
          <w:sz w:val="32"/>
          <w:szCs w:val="32"/>
          <w:lang w:val="zh-CN" w:eastAsia="zh-CN" w:bidi="ar-SA"/>
        </w:rPr>
        <w:t>开展以及学校工作的正常运行。</w:t>
      </w:r>
      <w:r>
        <w:rPr>
          <w:rFonts w:hint="eastAsia" w:ascii="仿宋" w:hAnsi="仿宋" w:eastAsia="仿宋" w:cs="仿宋"/>
          <w:kern w:val="2"/>
          <w:sz w:val="32"/>
          <w:szCs w:val="32"/>
          <w:lang w:val="en-US" w:eastAsia="zh-CN" w:bidi="ar-SA"/>
        </w:rPr>
        <w:t>改善学校办学条件项目资金的投入，使</w:t>
      </w:r>
      <w:r>
        <w:rPr>
          <w:rFonts w:hint="eastAsia" w:ascii="仿宋" w:hAnsi="仿宋" w:eastAsia="仿宋" w:cs="仿宋"/>
          <w:kern w:val="2"/>
          <w:sz w:val="32"/>
          <w:szCs w:val="32"/>
          <w:lang w:val="zh-CN" w:eastAsia="zh-CN" w:bidi="ar-SA"/>
        </w:rPr>
        <w:t>学校办学条件得到</w:t>
      </w:r>
      <w:r>
        <w:rPr>
          <w:rFonts w:hint="eastAsia" w:ascii="仿宋" w:hAnsi="仿宋" w:eastAsia="仿宋" w:cs="仿宋"/>
          <w:kern w:val="2"/>
          <w:sz w:val="32"/>
          <w:szCs w:val="32"/>
          <w:lang w:val="en-US" w:eastAsia="zh-CN" w:bidi="ar-SA"/>
        </w:rPr>
        <w:t>了较大</w:t>
      </w:r>
      <w:r>
        <w:rPr>
          <w:rFonts w:hint="eastAsia" w:ascii="仿宋" w:hAnsi="仿宋" w:eastAsia="仿宋" w:cs="仿宋"/>
          <w:kern w:val="2"/>
          <w:sz w:val="32"/>
          <w:szCs w:val="32"/>
          <w:lang w:val="zh-CN" w:eastAsia="zh-CN" w:bidi="ar-SA"/>
        </w:rPr>
        <w:t>改善，大力推动了学校办学条件达标建设。</w:t>
      </w:r>
      <w:r>
        <w:rPr>
          <w:rFonts w:hint="eastAsia" w:ascii="仿宋" w:hAnsi="仿宋" w:eastAsia="仿宋" w:cs="仿宋"/>
          <w:kern w:val="2"/>
          <w:sz w:val="32"/>
          <w:szCs w:val="32"/>
          <w:lang w:val="en-US" w:eastAsia="zh-CN" w:bidi="ar-SA"/>
        </w:rPr>
        <w:t>学生资助、学生营养餐、免作业本费等民生保障方面，极大地改善了学生生活及减轻了家庭的负担，社会评价非常满意。严格执行中央和上级有关部门出台的财经纪律相关规定，严控"三公经费"、会议费、培训费、差旅费等支出。严格报账程序，严把票据审核关，减少现金支付。认真做好会计核算，做到账账相符、账实相符。强化内控建设，防范防控岗位风险，确保各项工作有序运转。</w:t>
      </w:r>
    </w:p>
    <w:p>
      <w:pPr>
        <w:keepNext w:val="0"/>
        <w:keepLines w:val="0"/>
        <w:pageBreakBefore w:val="0"/>
        <w:widowControl/>
        <w:kinsoku/>
        <w:wordWrap/>
        <w:overflowPunct/>
        <w:topLinePunct w:val="0"/>
        <w:autoSpaceDE/>
        <w:autoSpaceDN/>
        <w:bidi w:val="0"/>
        <w:adjustRightInd w:val="0"/>
        <w:snapToGrid w:val="0"/>
        <w:spacing w:line="288" w:lineRule="auto"/>
        <w:ind w:firstLine="640" w:firstLineChars="200"/>
        <w:contextualSpacing/>
        <w:jc w:val="left"/>
        <w:textAlignment w:val="auto"/>
        <w:rPr>
          <w:rFonts w:ascii="黑体" w:hAnsi="宋体" w:eastAsia="黑体" w:cs="宋体"/>
          <w:color w:val="000000"/>
          <w:kern w:val="0"/>
          <w:sz w:val="32"/>
          <w:szCs w:val="32"/>
          <w:highlight w:val="none"/>
          <w:shd w:val="clear" w:color="auto" w:fill="FFFFFF"/>
        </w:rPr>
      </w:pPr>
      <w:r>
        <w:rPr>
          <w:rFonts w:hint="eastAsia" w:ascii="黑体" w:hAnsi="宋体" w:eastAsia="黑体" w:cs="宋体"/>
          <w:color w:val="000000"/>
          <w:kern w:val="0"/>
          <w:sz w:val="32"/>
          <w:szCs w:val="32"/>
          <w:highlight w:val="none"/>
          <w:shd w:val="clear" w:color="auto" w:fill="FFFFFF"/>
        </w:rPr>
        <w:t>四、评价结论及建议</w:t>
      </w:r>
    </w:p>
    <w:p>
      <w:pPr>
        <w:keepNext w:val="0"/>
        <w:keepLines w:val="0"/>
        <w:pageBreakBefore w:val="0"/>
        <w:widowControl w:val="0"/>
        <w:kinsoku/>
        <w:wordWrap/>
        <w:overflowPunct/>
        <w:topLinePunct w:val="0"/>
        <w:autoSpaceDE/>
        <w:autoSpaceDN/>
        <w:bidi w:val="0"/>
        <w:adjustRightInd/>
        <w:snapToGrid/>
        <w:spacing w:line="288" w:lineRule="auto"/>
        <w:ind w:firstLine="643" w:firstLineChars="200"/>
        <w:contextualSpacing/>
        <w:jc w:val="left"/>
        <w:textAlignment w:val="auto"/>
        <w:rPr>
          <w:rFonts w:hint="eastAsia" w:ascii="楷体_GB2312" w:hAnsi="楷体_GB2312" w:eastAsia="楷体_GB2312" w:cs="楷体_GB2312"/>
          <w:b/>
          <w:bCs/>
          <w:color w:val="000000"/>
          <w:kern w:val="0"/>
          <w:sz w:val="32"/>
          <w:szCs w:val="32"/>
          <w:highlight w:val="none"/>
          <w:shd w:val="clear" w:color="auto" w:fill="FFFFFF"/>
          <w:lang w:val="zh-CN"/>
        </w:rPr>
      </w:pPr>
      <w:r>
        <w:rPr>
          <w:rFonts w:hint="eastAsia" w:ascii="楷体_GB2312" w:hAnsi="楷体_GB2312" w:eastAsia="楷体_GB2312" w:cs="楷体_GB2312"/>
          <w:b/>
          <w:bCs/>
          <w:color w:val="000000"/>
          <w:kern w:val="0"/>
          <w:sz w:val="32"/>
          <w:szCs w:val="32"/>
          <w:highlight w:val="none"/>
          <w:shd w:val="clear" w:color="auto" w:fill="FFFFFF"/>
          <w:lang w:val="zh-CN"/>
        </w:rPr>
        <w:t>（一）评价结论</w:t>
      </w:r>
    </w:p>
    <w:p>
      <w:pPr>
        <w:keepNext w:val="0"/>
        <w:keepLines w:val="0"/>
        <w:pageBreakBefore w:val="0"/>
        <w:widowControl w:val="0"/>
        <w:kinsoku/>
        <w:wordWrap/>
        <w:overflowPunct/>
        <w:topLinePunct w:val="0"/>
        <w:autoSpaceDE/>
        <w:autoSpaceDN/>
        <w:bidi w:val="0"/>
        <w:adjustRightInd/>
        <w:snapToGrid/>
        <w:spacing w:line="288" w:lineRule="auto"/>
        <w:ind w:firstLine="640" w:firstLineChars="200"/>
        <w:contextualSpacing/>
        <w:jc w:val="left"/>
        <w:textAlignment w:val="auto"/>
        <w:rPr>
          <w:rFonts w:hint="eastAsia" w:ascii="仿宋" w:hAnsi="仿宋" w:eastAsia="仿宋" w:cs="仿宋"/>
          <w:kern w:val="2"/>
          <w:sz w:val="32"/>
          <w:szCs w:val="32"/>
          <w:lang w:val="zh-CN" w:eastAsia="zh-CN" w:bidi="ar-SA"/>
        </w:rPr>
      </w:pPr>
      <w:r>
        <w:rPr>
          <w:rFonts w:hint="eastAsia" w:ascii="仿宋" w:hAnsi="仿宋" w:eastAsia="仿宋" w:cs="仿宋"/>
          <w:kern w:val="2"/>
          <w:sz w:val="32"/>
          <w:szCs w:val="32"/>
          <w:lang w:val="zh-CN" w:eastAsia="zh-CN" w:bidi="ar-SA"/>
        </w:rPr>
        <w:t>202</w:t>
      </w:r>
      <w:r>
        <w:rPr>
          <w:rFonts w:hint="eastAsia" w:ascii="仿宋" w:hAnsi="仿宋" w:eastAsia="仿宋" w:cs="仿宋"/>
          <w:kern w:val="2"/>
          <w:sz w:val="32"/>
          <w:szCs w:val="32"/>
          <w:lang w:val="en-US" w:eastAsia="zh-CN" w:bidi="ar-SA"/>
        </w:rPr>
        <w:t>2</w:t>
      </w:r>
      <w:r>
        <w:rPr>
          <w:rFonts w:hint="eastAsia" w:ascii="仿宋" w:hAnsi="仿宋" w:eastAsia="仿宋" w:cs="仿宋"/>
          <w:kern w:val="2"/>
          <w:sz w:val="32"/>
          <w:szCs w:val="32"/>
          <w:lang w:val="zh-CN" w:eastAsia="zh-CN" w:bidi="ar-SA"/>
        </w:rPr>
        <w:t>年，我</w:t>
      </w:r>
      <w:r>
        <w:rPr>
          <w:rFonts w:hint="eastAsia" w:ascii="仿宋" w:hAnsi="仿宋" w:eastAsia="仿宋" w:cs="仿宋"/>
          <w:kern w:val="2"/>
          <w:sz w:val="32"/>
          <w:szCs w:val="32"/>
          <w:lang w:val="en-US" w:eastAsia="zh-CN" w:bidi="ar-SA"/>
        </w:rPr>
        <w:t>校</w:t>
      </w:r>
      <w:r>
        <w:rPr>
          <w:rFonts w:hint="eastAsia" w:ascii="仿宋" w:hAnsi="仿宋" w:eastAsia="仿宋" w:cs="仿宋"/>
          <w:kern w:val="2"/>
          <w:sz w:val="32"/>
          <w:szCs w:val="32"/>
          <w:lang w:val="zh-CN" w:eastAsia="zh-CN" w:bidi="ar-SA"/>
        </w:rPr>
        <w:t>严格按照年初预算批复认真组织实施， 严格执行财经纪律相关管理规定，做到各项收支安排使用符合事业发展计划和财政政策的要求，全年基本支出保证了部门的正常运行和日常工作的正常开展，全年项目支出达到预期绩效目标。在资金使用和管理方面，进一步强化资金统筹，优化资金结构，明确开支范围，细化资金用途，确保单位职责任务顺利完成。资金收支管理及会计核算较规范，能够按照政府制度和财务管理办法进行核算。</w:t>
      </w:r>
    </w:p>
    <w:p>
      <w:pPr>
        <w:keepNext w:val="0"/>
        <w:keepLines w:val="0"/>
        <w:pageBreakBefore w:val="0"/>
        <w:kinsoku/>
        <w:wordWrap/>
        <w:overflowPunct/>
        <w:topLinePunct w:val="0"/>
        <w:autoSpaceDE w:val="0"/>
        <w:autoSpaceDN w:val="0"/>
        <w:bidi w:val="0"/>
        <w:adjustRightInd w:val="0"/>
        <w:spacing w:line="288" w:lineRule="auto"/>
        <w:ind w:firstLine="640"/>
        <w:textAlignment w:val="auto"/>
        <w:rPr>
          <w:rFonts w:hint="eastAsia" w:ascii="仿宋" w:hAnsi="仿宋" w:eastAsia="仿宋" w:cs="仿宋"/>
          <w:kern w:val="2"/>
          <w:sz w:val="32"/>
          <w:szCs w:val="32"/>
          <w:lang w:val="zh-CN" w:eastAsia="zh-CN" w:bidi="ar-SA"/>
        </w:rPr>
      </w:pPr>
      <w:r>
        <w:rPr>
          <w:rFonts w:hint="eastAsia" w:ascii="仿宋" w:hAnsi="仿宋" w:eastAsia="仿宋" w:cs="仿宋"/>
          <w:kern w:val="2"/>
          <w:sz w:val="32"/>
          <w:szCs w:val="32"/>
          <w:lang w:val="zh-CN" w:eastAsia="zh-CN" w:bidi="ar-SA"/>
        </w:rPr>
        <w:t>综合202</w:t>
      </w:r>
      <w:r>
        <w:rPr>
          <w:rFonts w:hint="eastAsia" w:ascii="仿宋" w:hAnsi="仿宋" w:eastAsia="仿宋" w:cs="仿宋"/>
          <w:kern w:val="2"/>
          <w:sz w:val="32"/>
          <w:szCs w:val="32"/>
          <w:lang w:val="en-US" w:eastAsia="zh-CN" w:bidi="ar-SA"/>
        </w:rPr>
        <w:t>2</w:t>
      </w:r>
      <w:r>
        <w:rPr>
          <w:rFonts w:hint="eastAsia" w:ascii="仿宋" w:hAnsi="仿宋" w:eastAsia="仿宋" w:cs="仿宋"/>
          <w:kern w:val="2"/>
          <w:sz w:val="32"/>
          <w:szCs w:val="32"/>
          <w:lang w:val="zh-CN" w:eastAsia="zh-CN" w:bidi="ar-SA"/>
        </w:rPr>
        <w:t>年度财政预决算项目绩效评价情况，我</w:t>
      </w:r>
      <w:r>
        <w:rPr>
          <w:rFonts w:hint="eastAsia" w:ascii="仿宋" w:hAnsi="仿宋" w:eastAsia="仿宋" w:cs="仿宋"/>
          <w:kern w:val="2"/>
          <w:sz w:val="32"/>
          <w:szCs w:val="32"/>
          <w:lang w:val="en-US" w:eastAsia="zh-CN" w:bidi="ar-SA"/>
        </w:rPr>
        <w:t>校</w:t>
      </w:r>
      <w:r>
        <w:rPr>
          <w:rFonts w:hint="eastAsia" w:ascii="仿宋" w:hAnsi="仿宋" w:eastAsia="仿宋" w:cs="仿宋"/>
          <w:kern w:val="2"/>
          <w:sz w:val="32"/>
          <w:szCs w:val="32"/>
          <w:lang w:val="zh-CN" w:eastAsia="zh-CN" w:bidi="ar-SA"/>
        </w:rPr>
        <w:t xml:space="preserve">通过绩效评价树立了绩效理念，加强了对资金的监管，提高了财政资金的使用效率。   </w:t>
      </w:r>
    </w:p>
    <w:p>
      <w:pPr>
        <w:keepNext w:val="0"/>
        <w:keepLines w:val="0"/>
        <w:pageBreakBefore w:val="0"/>
        <w:widowControl/>
        <w:numPr>
          <w:ilvl w:val="0"/>
          <w:numId w:val="7"/>
        </w:numPr>
        <w:kinsoku/>
        <w:wordWrap/>
        <w:overflowPunct/>
        <w:topLinePunct w:val="0"/>
        <w:autoSpaceDE/>
        <w:autoSpaceDN/>
        <w:bidi w:val="0"/>
        <w:adjustRightInd w:val="0"/>
        <w:snapToGrid w:val="0"/>
        <w:spacing w:line="288" w:lineRule="auto"/>
        <w:ind w:firstLine="643" w:firstLineChars="200"/>
        <w:contextualSpacing/>
        <w:jc w:val="left"/>
        <w:textAlignment w:val="auto"/>
        <w:rPr>
          <w:rFonts w:hint="eastAsia" w:ascii="楷体_GB2312" w:hAnsi="楷体_GB2312" w:eastAsia="楷体_GB2312" w:cs="楷体_GB2312"/>
          <w:b/>
          <w:bCs/>
          <w:color w:val="000000"/>
          <w:kern w:val="0"/>
          <w:sz w:val="32"/>
          <w:szCs w:val="32"/>
          <w:highlight w:val="none"/>
          <w:shd w:val="clear" w:color="auto" w:fill="FFFFFF"/>
          <w:lang w:val="zh-CN"/>
        </w:rPr>
      </w:pPr>
      <w:r>
        <w:rPr>
          <w:rFonts w:hint="eastAsia" w:ascii="楷体_GB2312" w:hAnsi="楷体_GB2312" w:eastAsia="楷体_GB2312" w:cs="楷体_GB2312"/>
          <w:b/>
          <w:bCs/>
          <w:color w:val="000000"/>
          <w:kern w:val="0"/>
          <w:sz w:val="32"/>
          <w:szCs w:val="32"/>
          <w:highlight w:val="none"/>
          <w:shd w:val="clear" w:color="auto" w:fill="FFFFFF"/>
          <w:lang w:val="zh-CN"/>
        </w:rPr>
        <w:t>存在问题</w:t>
      </w:r>
    </w:p>
    <w:p>
      <w:pPr>
        <w:pStyle w:val="14"/>
        <w:keepNext w:val="0"/>
        <w:keepLines w:val="0"/>
        <w:pageBreakBefore w:val="0"/>
        <w:kinsoku/>
        <w:wordWrap/>
        <w:overflowPunct/>
        <w:topLinePunct w:val="0"/>
        <w:bidi w:val="0"/>
        <w:spacing w:beforeAutospacing="0" w:after="0" w:afterAutospacing="0" w:line="288" w:lineRule="auto"/>
        <w:ind w:firstLine="640"/>
        <w:textAlignment w:val="auto"/>
        <w:rPr>
          <w:rFonts w:hint="eastAsia" w:ascii="仿宋" w:hAnsi="仿宋" w:eastAsia="仿宋" w:cs="仿宋"/>
          <w:kern w:val="2"/>
          <w:sz w:val="32"/>
          <w:szCs w:val="32"/>
          <w:lang w:val="zh-CN" w:eastAsia="zh-CN" w:bidi="ar-SA"/>
        </w:rPr>
      </w:pPr>
      <w:r>
        <w:rPr>
          <w:rFonts w:hint="eastAsia" w:ascii="仿宋" w:hAnsi="仿宋" w:eastAsia="仿宋" w:cs="仿宋"/>
          <w:kern w:val="2"/>
          <w:sz w:val="32"/>
          <w:szCs w:val="32"/>
          <w:lang w:val="en-US" w:eastAsia="zh-CN" w:bidi="ar-SA"/>
        </w:rPr>
        <w:t>一是</w:t>
      </w:r>
      <w:r>
        <w:rPr>
          <w:rFonts w:hint="eastAsia" w:ascii="仿宋" w:hAnsi="仿宋" w:eastAsia="仿宋" w:cs="仿宋"/>
          <w:kern w:val="2"/>
          <w:sz w:val="32"/>
          <w:szCs w:val="32"/>
          <w:lang w:val="zh-CN" w:eastAsia="zh-CN" w:bidi="ar-SA"/>
        </w:rPr>
        <w:t>存在预算编制不够完善</w:t>
      </w:r>
      <w:r>
        <w:rPr>
          <w:rFonts w:hint="eastAsia" w:ascii="仿宋" w:hAnsi="仿宋" w:eastAsia="仿宋" w:cs="仿宋"/>
          <w:kern w:val="2"/>
          <w:sz w:val="32"/>
          <w:szCs w:val="32"/>
          <w:lang w:val="en-US" w:eastAsia="zh-CN" w:bidi="ar-SA"/>
        </w:rPr>
        <w:t>；二是</w:t>
      </w:r>
      <w:r>
        <w:rPr>
          <w:rFonts w:hint="eastAsia" w:ascii="仿宋" w:hAnsi="仿宋" w:eastAsia="仿宋" w:cs="仿宋"/>
          <w:kern w:val="2"/>
          <w:sz w:val="32"/>
          <w:szCs w:val="32"/>
          <w:lang w:val="zh-CN" w:eastAsia="zh-CN" w:bidi="ar-SA"/>
        </w:rPr>
        <w:t>个别项目进度缓慢、绩效管理工作有待加强</w:t>
      </w:r>
      <w:r>
        <w:rPr>
          <w:rFonts w:hint="eastAsia" w:ascii="仿宋" w:hAnsi="仿宋" w:eastAsia="仿宋" w:cs="仿宋"/>
          <w:kern w:val="2"/>
          <w:sz w:val="32"/>
          <w:szCs w:val="32"/>
          <w:lang w:val="en-US" w:eastAsia="zh-CN" w:bidi="ar-SA"/>
        </w:rPr>
        <w:t>；</w:t>
      </w:r>
      <w:r>
        <w:rPr>
          <w:rFonts w:hint="eastAsia" w:ascii="仿宋" w:eastAsia="仿宋" w:cs="仿宋"/>
          <w:color w:val="000000"/>
          <w:kern w:val="0"/>
          <w:sz w:val="32"/>
          <w:szCs w:val="32"/>
          <w:lang w:val="en-US" w:eastAsia="zh-CN"/>
        </w:rPr>
        <w:t>三</w:t>
      </w:r>
      <w:r>
        <w:rPr>
          <w:rFonts w:hint="eastAsia" w:ascii="仿宋" w:eastAsia="仿宋" w:cs="仿宋"/>
          <w:color w:val="000000"/>
          <w:kern w:val="0"/>
          <w:sz w:val="32"/>
          <w:szCs w:val="32"/>
          <w:lang w:val="zh-CN"/>
        </w:rPr>
        <w:t>是资金支付没有严格按预算进度执行</w:t>
      </w:r>
      <w:r>
        <w:rPr>
          <w:rFonts w:hint="eastAsia" w:ascii="仿宋" w:hAnsi="仿宋" w:eastAsia="仿宋" w:cs="仿宋"/>
          <w:kern w:val="2"/>
          <w:sz w:val="32"/>
          <w:szCs w:val="32"/>
          <w:lang w:val="zh-CN" w:eastAsia="zh-CN" w:bidi="ar-SA"/>
        </w:rPr>
        <w:t>。</w:t>
      </w:r>
    </w:p>
    <w:p>
      <w:pPr>
        <w:keepNext w:val="0"/>
        <w:keepLines w:val="0"/>
        <w:pageBreakBefore w:val="0"/>
        <w:widowControl/>
        <w:kinsoku/>
        <w:wordWrap/>
        <w:overflowPunct/>
        <w:topLinePunct w:val="0"/>
        <w:autoSpaceDE/>
        <w:autoSpaceDN/>
        <w:bidi w:val="0"/>
        <w:adjustRightInd w:val="0"/>
        <w:snapToGrid w:val="0"/>
        <w:spacing w:line="288" w:lineRule="auto"/>
        <w:ind w:firstLine="643" w:firstLineChars="200"/>
        <w:contextualSpacing/>
        <w:jc w:val="left"/>
        <w:textAlignment w:val="auto"/>
        <w:rPr>
          <w:rFonts w:hint="eastAsia" w:ascii="楷体_GB2312" w:hAnsi="楷体_GB2312" w:eastAsia="楷体_GB2312" w:cs="楷体_GB2312"/>
          <w:b/>
          <w:bCs/>
          <w:color w:val="000000"/>
          <w:kern w:val="0"/>
          <w:sz w:val="32"/>
          <w:szCs w:val="32"/>
          <w:highlight w:val="none"/>
          <w:shd w:val="clear" w:color="auto" w:fill="FFFFFF"/>
          <w:lang w:val="zh-CN"/>
        </w:rPr>
      </w:pPr>
      <w:r>
        <w:rPr>
          <w:rFonts w:hint="eastAsia" w:ascii="楷体_GB2312" w:hAnsi="楷体_GB2312" w:eastAsia="楷体_GB2312" w:cs="楷体_GB2312"/>
          <w:b/>
          <w:bCs/>
          <w:color w:val="000000"/>
          <w:kern w:val="0"/>
          <w:sz w:val="32"/>
          <w:szCs w:val="32"/>
          <w:highlight w:val="none"/>
          <w:shd w:val="clear" w:color="auto" w:fill="FFFFFF"/>
          <w:lang w:val="zh-CN"/>
        </w:rPr>
        <w:t>（三）改进建议</w:t>
      </w:r>
    </w:p>
    <w:p>
      <w:pPr>
        <w:pStyle w:val="14"/>
        <w:keepNext w:val="0"/>
        <w:keepLines w:val="0"/>
        <w:pageBreakBefore w:val="0"/>
        <w:kinsoku/>
        <w:wordWrap/>
        <w:overflowPunct/>
        <w:topLinePunct w:val="0"/>
        <w:bidi w:val="0"/>
        <w:spacing w:beforeAutospacing="0" w:after="0" w:afterAutospacing="0" w:line="288" w:lineRule="auto"/>
        <w:ind w:firstLine="640"/>
        <w:jc w:val="both"/>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rPr>
        <w:t>1.加强政策学习</w:t>
      </w:r>
      <w:r>
        <w:rPr>
          <w:rFonts w:hint="eastAsia" w:ascii="仿宋" w:hAnsi="仿宋" w:eastAsia="仿宋" w:cs="仿宋"/>
          <w:color w:val="333333"/>
          <w:sz w:val="32"/>
          <w:szCs w:val="32"/>
          <w:lang w:eastAsia="zh-CN"/>
        </w:rPr>
        <w:t>，</w:t>
      </w:r>
      <w:r>
        <w:rPr>
          <w:rFonts w:hint="eastAsia" w:ascii="仿宋" w:hAnsi="仿宋" w:eastAsia="仿宋" w:cs="仿宋"/>
          <w:color w:val="333333"/>
          <w:sz w:val="32"/>
          <w:szCs w:val="32"/>
        </w:rPr>
        <w:t>提高思想认识。提高单位领导对全面预算管理的重视程度</w:t>
      </w:r>
      <w:r>
        <w:rPr>
          <w:rFonts w:hint="eastAsia" w:ascii="仿宋" w:hAnsi="仿宋" w:eastAsia="仿宋" w:cs="仿宋"/>
          <w:color w:val="333333"/>
          <w:sz w:val="32"/>
          <w:szCs w:val="32"/>
          <w:lang w:eastAsia="zh-CN"/>
        </w:rPr>
        <w:t>，</w:t>
      </w:r>
      <w:r>
        <w:rPr>
          <w:rFonts w:hint="eastAsia" w:ascii="仿宋" w:hAnsi="仿宋" w:eastAsia="仿宋" w:cs="仿宋"/>
          <w:color w:val="333333"/>
          <w:sz w:val="32"/>
          <w:szCs w:val="32"/>
        </w:rPr>
        <w:t>增强财务人员的预算意识</w:t>
      </w:r>
      <w:r>
        <w:rPr>
          <w:rFonts w:hint="eastAsia" w:ascii="仿宋" w:hAnsi="仿宋" w:eastAsia="仿宋" w:cs="仿宋"/>
          <w:color w:val="333333"/>
          <w:sz w:val="32"/>
          <w:szCs w:val="32"/>
          <w:lang w:eastAsia="zh-CN"/>
        </w:rPr>
        <w:t>，</w:t>
      </w:r>
      <w:r>
        <w:rPr>
          <w:rFonts w:hint="eastAsia" w:ascii="仿宋" w:hAnsi="仿宋" w:eastAsia="仿宋" w:cs="仿宋"/>
          <w:color w:val="333333"/>
          <w:sz w:val="32"/>
          <w:szCs w:val="32"/>
        </w:rPr>
        <w:t>坚持先有预算、后有支出</w:t>
      </w:r>
      <w:r>
        <w:rPr>
          <w:rFonts w:hint="eastAsia" w:ascii="仿宋" w:hAnsi="仿宋" w:eastAsia="仿宋" w:cs="仿宋"/>
          <w:color w:val="333333"/>
          <w:sz w:val="32"/>
          <w:szCs w:val="32"/>
          <w:lang w:eastAsia="zh-CN"/>
        </w:rPr>
        <w:t>，</w:t>
      </w:r>
      <w:r>
        <w:rPr>
          <w:rFonts w:hint="eastAsia" w:ascii="仿宋" w:hAnsi="仿宋" w:eastAsia="仿宋" w:cs="仿宋"/>
          <w:color w:val="333333"/>
          <w:sz w:val="32"/>
          <w:szCs w:val="32"/>
        </w:rPr>
        <w:t>没有预算不得支出的支出理念。</w:t>
      </w:r>
    </w:p>
    <w:p>
      <w:pPr>
        <w:pStyle w:val="14"/>
        <w:keepNext w:val="0"/>
        <w:keepLines w:val="0"/>
        <w:pageBreakBefore w:val="0"/>
        <w:kinsoku/>
        <w:wordWrap/>
        <w:overflowPunct/>
        <w:topLinePunct w:val="0"/>
        <w:bidi w:val="0"/>
        <w:spacing w:beforeAutospacing="0" w:after="0" w:afterAutospacing="0" w:line="288" w:lineRule="auto"/>
        <w:ind w:firstLine="640"/>
        <w:jc w:val="both"/>
        <w:textAlignment w:val="auto"/>
        <w:rPr>
          <w:rFonts w:hint="eastAsia" w:ascii="仿宋" w:hAnsi="仿宋" w:eastAsia="仿宋" w:cs="仿宋"/>
          <w:kern w:val="2"/>
          <w:sz w:val="32"/>
          <w:szCs w:val="32"/>
          <w:lang w:val="zh-CN" w:eastAsia="zh-CN" w:bidi="ar-SA"/>
        </w:rPr>
      </w:pPr>
      <w:r>
        <w:rPr>
          <w:rFonts w:hint="eastAsia" w:ascii="仿宋" w:hAnsi="仿宋" w:eastAsia="仿宋" w:cs="仿宋"/>
          <w:color w:val="333333"/>
          <w:sz w:val="32"/>
          <w:szCs w:val="32"/>
          <w:lang w:val="en-US" w:eastAsia="zh-CN"/>
        </w:rPr>
        <w:t>2.</w:t>
      </w:r>
      <w:r>
        <w:rPr>
          <w:rFonts w:hint="eastAsia" w:ascii="仿宋" w:hAnsi="仿宋" w:eastAsia="仿宋" w:cs="仿宋"/>
          <w:kern w:val="2"/>
          <w:sz w:val="32"/>
          <w:szCs w:val="32"/>
          <w:lang w:val="zh-CN" w:eastAsia="zh-CN" w:bidi="ar-SA"/>
        </w:rPr>
        <w:t>加强预算绩效管理，增强预算约束力，做好预算项目支出绩效目标及各项绩效指标的细化、量化工作，用好用活各类财政资金，提高财政资金的使用效益。</w:t>
      </w:r>
    </w:p>
    <w:p>
      <w:pPr>
        <w:pStyle w:val="2"/>
        <w:spacing w:line="240" w:lineRule="auto"/>
        <w:rPr>
          <w:rFonts w:hint="default"/>
          <w:sz w:val="32"/>
          <w:szCs w:val="32"/>
          <w:lang w:val="en-US" w:eastAsia="zh-CN"/>
        </w:rPr>
      </w:pPr>
    </w:p>
    <w:p>
      <w:pPr>
        <w:spacing w:line="240" w:lineRule="auto"/>
        <w:rPr>
          <w:rFonts w:hint="default"/>
          <w:sz w:val="32"/>
          <w:szCs w:val="32"/>
          <w:lang w:val="en-US" w:eastAsia="zh-CN"/>
        </w:rPr>
      </w:pPr>
    </w:p>
    <w:p>
      <w:pPr>
        <w:pStyle w:val="2"/>
        <w:spacing w:line="240" w:lineRule="auto"/>
        <w:rPr>
          <w:rFonts w:hint="default"/>
          <w:sz w:val="32"/>
          <w:szCs w:val="32"/>
          <w:lang w:val="en-US" w:eastAsia="zh-CN"/>
        </w:rPr>
      </w:pPr>
    </w:p>
    <w:p>
      <w:pPr>
        <w:spacing w:line="240" w:lineRule="auto"/>
        <w:rPr>
          <w:rFonts w:hint="default"/>
          <w:sz w:val="32"/>
          <w:szCs w:val="32"/>
          <w:lang w:val="en-US" w:eastAsia="zh-CN"/>
        </w:rPr>
      </w:pPr>
    </w:p>
    <w:p>
      <w:pPr>
        <w:pStyle w:val="2"/>
        <w:spacing w:line="240" w:lineRule="auto"/>
        <w:rPr>
          <w:rFonts w:hint="default"/>
          <w:sz w:val="32"/>
          <w:szCs w:val="32"/>
          <w:lang w:val="en-US" w:eastAsia="zh-CN"/>
        </w:rPr>
      </w:pPr>
    </w:p>
    <w:p>
      <w:pPr>
        <w:spacing w:line="240" w:lineRule="auto"/>
        <w:rPr>
          <w:rFonts w:hint="default"/>
          <w:sz w:val="32"/>
          <w:szCs w:val="32"/>
          <w:lang w:val="en-US" w:eastAsia="zh-CN"/>
        </w:rPr>
      </w:pPr>
    </w:p>
    <w:p>
      <w:pPr>
        <w:pStyle w:val="2"/>
        <w:ind w:left="0" w:leftChars="0" w:firstLine="0" w:firstLineChars="0"/>
        <w:rPr>
          <w:rFonts w:hint="default"/>
          <w:lang w:val="en-US" w:eastAsia="zh-CN"/>
        </w:rPr>
      </w:pPr>
    </w:p>
    <w:p>
      <w:pPr>
        <w:rPr>
          <w:rFonts w:hint="default"/>
          <w:lang w:val="en-US" w:eastAsia="zh-CN"/>
        </w:rPr>
      </w:pPr>
    </w:p>
    <w:p>
      <w:pPr>
        <w:pStyle w:val="2"/>
        <w:ind w:left="0" w:leftChars="0" w:firstLine="0" w:firstLineChars="0"/>
        <w:rPr>
          <w:rFonts w:hint="default"/>
          <w:lang w:val="en-US" w:eastAsia="zh-CN"/>
        </w:rPr>
      </w:pPr>
      <w:r>
        <w:rPr>
          <w:rFonts w:hint="eastAsia"/>
          <w:lang w:val="en-US" w:eastAsia="zh-CN"/>
        </w:rPr>
        <w:t>附件2</w:t>
      </w:r>
    </w:p>
    <w:p>
      <w:pPr>
        <w:keepNext w:val="0"/>
        <w:keepLines w:val="0"/>
        <w:pageBreakBefore w:val="0"/>
        <w:widowControl w:val="0"/>
        <w:kinsoku/>
        <w:overflowPunct/>
        <w:topLinePunct w:val="0"/>
        <w:autoSpaceDE/>
        <w:autoSpaceDN/>
        <w:bidi w:val="0"/>
        <w:spacing w:line="600" w:lineRule="exact"/>
        <w:jc w:val="center"/>
        <w:rPr>
          <w:rFonts w:hint="eastAsia" w:ascii="华文中宋" w:hAnsi="华文中宋" w:eastAsia="华文中宋" w:cs="华文中宋"/>
          <w:b/>
          <w:bCs/>
          <w:sz w:val="40"/>
          <w:szCs w:val="40"/>
          <w:lang w:val="en-US" w:eastAsia="zh-CN"/>
        </w:rPr>
      </w:pPr>
      <w:bookmarkStart w:id="53" w:name="_Toc15396618"/>
      <w:r>
        <w:rPr>
          <w:rFonts w:hint="eastAsia" w:ascii="华文中宋" w:hAnsi="华文中宋" w:eastAsia="华文中宋" w:cs="华文中宋"/>
          <w:b/>
          <w:bCs/>
          <w:sz w:val="40"/>
          <w:szCs w:val="40"/>
          <w:lang w:val="en-US" w:eastAsia="zh-CN"/>
        </w:rPr>
        <w:t>四川省剑阁中学校</w:t>
      </w:r>
    </w:p>
    <w:p>
      <w:pPr>
        <w:keepNext w:val="0"/>
        <w:keepLines w:val="0"/>
        <w:pageBreakBefore w:val="0"/>
        <w:widowControl w:val="0"/>
        <w:kinsoku/>
        <w:overflowPunct/>
        <w:topLinePunct w:val="0"/>
        <w:autoSpaceDE/>
        <w:autoSpaceDN/>
        <w:bidi w:val="0"/>
        <w:spacing w:line="600" w:lineRule="exact"/>
        <w:jc w:val="center"/>
        <w:rPr>
          <w:rFonts w:hint="eastAsia" w:ascii="华文中宋" w:hAnsi="华文中宋" w:eastAsia="华文中宋" w:cs="华文中宋"/>
          <w:b/>
          <w:bCs/>
          <w:sz w:val="40"/>
          <w:szCs w:val="40"/>
          <w:lang w:val="zh-CN"/>
        </w:rPr>
      </w:pPr>
      <w:r>
        <w:rPr>
          <w:rFonts w:hint="eastAsia" w:ascii="华文中宋" w:hAnsi="华文中宋" w:eastAsia="华文中宋" w:cs="华文中宋"/>
          <w:b/>
          <w:bCs/>
          <w:sz w:val="40"/>
          <w:szCs w:val="40"/>
          <w:lang w:val="en-US" w:eastAsia="zh-CN"/>
        </w:rPr>
        <w:t>2022年度普通高中学生资助资金</w:t>
      </w:r>
      <w:r>
        <w:rPr>
          <w:rFonts w:hint="eastAsia" w:ascii="华文中宋" w:hAnsi="华文中宋" w:eastAsia="华文中宋" w:cs="华文中宋"/>
          <w:b/>
          <w:bCs/>
          <w:sz w:val="40"/>
          <w:szCs w:val="40"/>
          <w:lang w:val="zh-CN"/>
        </w:rPr>
        <w:t>项目支出绩效自评报告</w:t>
      </w:r>
    </w:p>
    <w:p>
      <w:pPr>
        <w:rPr>
          <w:rFonts w:hint="eastAsia"/>
          <w:lang w:val="zh-CN"/>
        </w:rPr>
      </w:pPr>
    </w:p>
    <w:p>
      <w:pPr>
        <w:keepNext w:val="0"/>
        <w:keepLines w:val="0"/>
        <w:pageBreakBefore w:val="0"/>
        <w:widowControl w:val="0"/>
        <w:numPr>
          <w:ilvl w:val="0"/>
          <w:numId w:val="8"/>
        </w:numPr>
        <w:kinsoku/>
        <w:wordWrap/>
        <w:overflowPunct/>
        <w:topLinePunct w:val="0"/>
        <w:autoSpaceDE/>
        <w:autoSpaceDN/>
        <w:bidi w:val="0"/>
        <w:adjustRightInd w:val="0"/>
        <w:snapToGrid w:val="0"/>
        <w:spacing w:line="600" w:lineRule="exact"/>
        <w:ind w:firstLine="643" w:firstLineChars="200"/>
        <w:textAlignment w:val="auto"/>
        <w:rPr>
          <w:rFonts w:hint="eastAsia" w:ascii="黑体" w:hAnsi="黑体" w:eastAsia="黑体" w:cs="黑体"/>
          <w:b/>
          <w:bCs/>
          <w:sz w:val="32"/>
          <w:szCs w:val="32"/>
          <w:lang w:val="zh-CN"/>
        </w:rPr>
      </w:pPr>
      <w:r>
        <w:rPr>
          <w:rFonts w:hint="eastAsia" w:ascii="黑体" w:hAnsi="黑体" w:eastAsia="黑体" w:cs="黑体"/>
          <w:b/>
          <w:bCs/>
          <w:sz w:val="32"/>
          <w:szCs w:val="32"/>
          <w:lang w:val="zh-CN"/>
        </w:rPr>
        <w:t>项目概况</w:t>
      </w:r>
    </w:p>
    <w:p>
      <w:pPr>
        <w:pStyle w:val="2"/>
        <w:numPr>
          <w:ilvl w:val="0"/>
          <w:numId w:val="0"/>
        </w:numPr>
        <w:ind w:left="0" w:leftChars="0" w:firstLine="640" w:firstLineChars="200"/>
        <w:rPr>
          <w:rFonts w:hint="default" w:eastAsia="仿宋_GB2312"/>
          <w:lang w:val="en-US" w:eastAsia="zh-CN"/>
        </w:rPr>
      </w:pPr>
      <w:r>
        <w:rPr>
          <w:rFonts w:hint="eastAsia" w:ascii="仿宋_GB2312" w:hAnsi="仿宋_GB2312" w:eastAsia="仿宋_GB2312" w:cs="仿宋_GB2312"/>
          <w:sz w:val="32"/>
          <w:szCs w:val="32"/>
        </w:rPr>
        <w:t>根据（川财教[202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213</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val="en-US" w:eastAsia="zh-CN"/>
        </w:rPr>
        <w:t>文件</w:t>
      </w:r>
      <w:r>
        <w:rPr>
          <w:rFonts w:hint="eastAsia" w:ascii="仿宋_GB2312" w:hAnsi="仿宋_GB2312" w:eastAsia="仿宋_GB2312" w:cs="仿宋_GB2312"/>
          <w:sz w:val="32"/>
          <w:szCs w:val="32"/>
        </w:rPr>
        <w:t>精神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下达我校2022年普通高中学生资助资金500.49万元，其中普高助学金342.8万元，普高免学费157.69万元。</w:t>
      </w:r>
    </w:p>
    <w:p>
      <w:pPr>
        <w:adjustRightInd w:val="0"/>
        <w:snapToGrid w:val="0"/>
        <w:spacing w:line="600" w:lineRule="exact"/>
        <w:ind w:firstLine="720"/>
        <w:rPr>
          <w:rFonts w:hint="default" w:ascii="仿宋" w:hAnsi="仿宋" w:eastAsia="仿宋" w:cs="仿宋"/>
          <w:sz w:val="32"/>
          <w:szCs w:val="32"/>
          <w:lang w:val="en-US" w:eastAsia="zh-CN"/>
        </w:rPr>
      </w:pPr>
      <w:r>
        <w:rPr>
          <w:rFonts w:hint="eastAsia" w:ascii="华文楷体" w:hAnsi="华文楷体" w:eastAsia="华文楷体" w:cs="华文楷体"/>
          <w:b/>
          <w:bCs/>
          <w:sz w:val="32"/>
          <w:szCs w:val="32"/>
          <w:lang w:val="zh-CN"/>
        </w:rPr>
        <w:t>（一）项目资金申报及批复情况。</w:t>
      </w:r>
      <w:r>
        <w:rPr>
          <w:rFonts w:hint="eastAsia" w:ascii="仿宋" w:hAnsi="仿宋" w:eastAsia="仿宋" w:cs="仿宋"/>
          <w:sz w:val="32"/>
          <w:szCs w:val="32"/>
          <w:lang w:val="en-US" w:eastAsia="zh-CN"/>
        </w:rPr>
        <w:t>四川省剑阁中学校2022年申报普通高中学生资助资金500.49</w:t>
      </w:r>
      <w:r>
        <w:rPr>
          <w:rFonts w:hint="eastAsia" w:ascii="仿宋" w:hAnsi="仿宋" w:eastAsia="仿宋" w:cs="仿宋"/>
          <w:sz w:val="32"/>
          <w:szCs w:val="32"/>
          <w:lang w:val="zh-CN"/>
        </w:rPr>
        <w:t>万元（</w:t>
      </w:r>
      <w:r>
        <w:rPr>
          <w:rFonts w:hint="eastAsia" w:ascii="仿宋_GB2312" w:hAnsi="仿宋_GB2312" w:eastAsia="仿宋_GB2312" w:cs="仿宋_GB2312"/>
          <w:sz w:val="32"/>
          <w:szCs w:val="32"/>
          <w:lang w:val="en-US" w:eastAsia="zh-CN"/>
        </w:rPr>
        <w:t>其中普高助学金342.8万元，普高免学费157.69万元）</w:t>
      </w:r>
      <w:r>
        <w:rPr>
          <w:rFonts w:hint="eastAsia" w:ascii="仿宋" w:hAnsi="仿宋" w:eastAsia="仿宋" w:cs="仿宋"/>
          <w:sz w:val="32"/>
          <w:szCs w:val="32"/>
          <w:lang w:val="zh-CN"/>
        </w:rPr>
        <w:t>。</w:t>
      </w:r>
      <w:r>
        <w:rPr>
          <w:rFonts w:hint="eastAsia" w:ascii="仿宋" w:hAnsi="仿宋" w:eastAsia="仿宋" w:cs="仿宋"/>
          <w:sz w:val="32"/>
          <w:szCs w:val="32"/>
          <w:lang w:val="en-US" w:eastAsia="zh-CN"/>
        </w:rPr>
        <w:t>批复我校普通高中学生助学金342.8万元，普高免学费157.69万元，共计批复学生资助资金500.49万元。</w:t>
      </w:r>
    </w:p>
    <w:p>
      <w:pPr>
        <w:adjustRightInd w:val="0"/>
        <w:snapToGrid w:val="0"/>
        <w:spacing w:line="600" w:lineRule="exact"/>
        <w:ind w:firstLine="720"/>
        <w:rPr>
          <w:rFonts w:hint="default" w:ascii="仿宋" w:hAnsi="仿宋" w:eastAsia="仿宋" w:cs="仿宋"/>
          <w:sz w:val="32"/>
          <w:szCs w:val="32"/>
          <w:lang w:val="en-US" w:eastAsia="zh-CN"/>
        </w:rPr>
      </w:pPr>
      <w:r>
        <w:rPr>
          <w:rFonts w:hint="eastAsia" w:ascii="华文楷体" w:hAnsi="华文楷体" w:eastAsia="华文楷体" w:cs="华文楷体"/>
          <w:b/>
          <w:bCs/>
          <w:sz w:val="32"/>
          <w:szCs w:val="32"/>
          <w:lang w:val="zh-CN"/>
        </w:rPr>
        <w:t>（二）项目绩效目标</w:t>
      </w:r>
      <w:r>
        <w:rPr>
          <w:rFonts w:hint="eastAsia" w:ascii="仿宋" w:hAnsi="仿宋" w:eastAsia="仿宋" w:cs="仿宋"/>
          <w:sz w:val="32"/>
          <w:szCs w:val="32"/>
          <w:lang w:val="zh-CN"/>
        </w:rPr>
        <w:t>。</w:t>
      </w:r>
      <w:r>
        <w:rPr>
          <w:rFonts w:hint="eastAsia" w:ascii="仿宋" w:hAnsi="仿宋" w:eastAsia="仿宋" w:cs="仿宋"/>
          <w:sz w:val="32"/>
          <w:szCs w:val="32"/>
          <w:lang w:val="en-US" w:eastAsia="zh-CN"/>
        </w:rPr>
        <w:t>加大宣传力度，落实资助政策，确保13类人员全覆盖；提高贫困家庭经济收入，确保贫困学生享受高中教育，助力家庭脱贫。接受资助贫困学生数大于1700人，资助标准达标率达100%，受助学生和家长满意度大于等于92%。</w:t>
      </w:r>
    </w:p>
    <w:p>
      <w:pPr>
        <w:adjustRightInd w:val="0"/>
        <w:snapToGrid w:val="0"/>
        <w:spacing w:line="600" w:lineRule="exact"/>
        <w:ind w:firstLine="720"/>
        <w:rPr>
          <w:rFonts w:hint="eastAsia" w:ascii="仿宋" w:hAnsi="仿宋" w:eastAsia="仿宋" w:cs="仿宋"/>
          <w:sz w:val="32"/>
          <w:szCs w:val="32"/>
          <w:lang w:val="zh-CN"/>
        </w:rPr>
      </w:pPr>
      <w:r>
        <w:rPr>
          <w:rFonts w:hint="eastAsia" w:ascii="华文楷体" w:hAnsi="华文楷体" w:eastAsia="华文楷体" w:cs="华文楷体"/>
          <w:b/>
          <w:bCs/>
          <w:sz w:val="32"/>
          <w:szCs w:val="32"/>
          <w:lang w:val="zh-CN"/>
        </w:rPr>
        <w:t>（三）项目资金申报相符性。</w:t>
      </w:r>
      <w:r>
        <w:rPr>
          <w:rFonts w:hint="eastAsia" w:ascii="仿宋" w:hAnsi="仿宋" w:eastAsia="仿宋" w:cs="仿宋"/>
          <w:sz w:val="32"/>
          <w:szCs w:val="32"/>
          <w:lang w:val="zh-CN"/>
        </w:rPr>
        <w:t>项目</w:t>
      </w:r>
      <w:r>
        <w:rPr>
          <w:rFonts w:hint="eastAsia" w:ascii="仿宋" w:hAnsi="仿宋" w:eastAsia="仿宋" w:cs="仿宋"/>
          <w:sz w:val="32"/>
          <w:szCs w:val="32"/>
          <w:lang w:val="en-US" w:eastAsia="zh-CN"/>
        </w:rPr>
        <w:t>预</w:t>
      </w:r>
      <w:r>
        <w:rPr>
          <w:rFonts w:hint="eastAsia" w:ascii="仿宋" w:hAnsi="仿宋" w:eastAsia="仿宋" w:cs="仿宋"/>
          <w:sz w:val="32"/>
          <w:szCs w:val="32"/>
          <w:lang w:val="zh-CN"/>
        </w:rPr>
        <w:t>算投资</w:t>
      </w:r>
      <w:r>
        <w:rPr>
          <w:rFonts w:hint="eastAsia" w:ascii="仿宋" w:hAnsi="仿宋" w:eastAsia="仿宋" w:cs="仿宋"/>
          <w:sz w:val="32"/>
          <w:szCs w:val="32"/>
          <w:lang w:val="en-US" w:eastAsia="zh-CN"/>
        </w:rPr>
        <w:t>500.49</w:t>
      </w:r>
      <w:r>
        <w:rPr>
          <w:rFonts w:hint="eastAsia" w:ascii="仿宋" w:hAnsi="仿宋" w:eastAsia="仿宋" w:cs="仿宋"/>
          <w:sz w:val="32"/>
          <w:szCs w:val="32"/>
          <w:lang w:val="zh-CN"/>
        </w:rPr>
        <w:t>万元，资金来源：</w:t>
      </w:r>
      <w:r>
        <w:rPr>
          <w:rFonts w:hint="eastAsia" w:ascii="仿宋_GB2312" w:hAnsi="仿宋_GB2312" w:eastAsia="仿宋_GB2312" w:cs="仿宋_GB2312"/>
          <w:sz w:val="32"/>
          <w:szCs w:val="32"/>
          <w:lang w:val="en-US" w:eastAsia="zh-CN"/>
        </w:rPr>
        <w:t>2022年</w:t>
      </w:r>
      <w:r>
        <w:rPr>
          <w:rFonts w:hint="eastAsia" w:ascii="仿宋" w:hAnsi="仿宋" w:eastAsia="仿宋" w:cs="仿宋"/>
          <w:sz w:val="32"/>
          <w:szCs w:val="32"/>
          <w:lang w:val="en-US" w:eastAsia="zh-CN"/>
        </w:rPr>
        <w:t>普通高中学生助学金342.8万元，普高免学费157.69万元，共计</w:t>
      </w:r>
      <w:r>
        <w:rPr>
          <w:rFonts w:hint="eastAsia" w:ascii="仿宋_GB2312" w:hAnsi="仿宋_GB2312" w:eastAsia="仿宋_GB2312" w:cs="仿宋_GB2312"/>
          <w:sz w:val="32"/>
          <w:szCs w:val="32"/>
          <w:lang w:val="en-US" w:eastAsia="zh-CN"/>
        </w:rPr>
        <w:t>500.49万元</w:t>
      </w:r>
      <w:r>
        <w:rPr>
          <w:rFonts w:hint="eastAsia" w:ascii="仿宋" w:hAnsi="仿宋" w:eastAsia="仿宋" w:cs="仿宋"/>
          <w:sz w:val="32"/>
          <w:szCs w:val="32"/>
          <w:lang w:val="zh-CN"/>
        </w:rPr>
        <w:t>，</w:t>
      </w:r>
      <w:r>
        <w:rPr>
          <w:rFonts w:hint="eastAsia" w:ascii="仿宋" w:hAnsi="仿宋" w:eastAsia="仿宋" w:cs="仿宋"/>
          <w:sz w:val="32"/>
          <w:szCs w:val="32"/>
          <w:lang w:val="en-US" w:eastAsia="zh-CN"/>
        </w:rPr>
        <w:t>该</w:t>
      </w:r>
      <w:r>
        <w:rPr>
          <w:rFonts w:hint="eastAsia" w:ascii="仿宋" w:hAnsi="仿宋" w:eastAsia="仿宋" w:cs="仿宋"/>
          <w:sz w:val="32"/>
          <w:szCs w:val="32"/>
          <w:lang w:val="zh-CN"/>
        </w:rPr>
        <w:t>项目申报内容与项目具体实</w:t>
      </w:r>
      <w:r>
        <w:rPr>
          <w:rFonts w:hint="eastAsia" w:ascii="仿宋" w:hAnsi="仿宋" w:eastAsia="仿宋" w:cs="仿宋"/>
          <w:sz w:val="32"/>
          <w:szCs w:val="32"/>
          <w:lang w:val="en-US" w:eastAsia="zh-CN"/>
        </w:rPr>
        <w:t>施</w:t>
      </w:r>
      <w:r>
        <w:rPr>
          <w:rFonts w:hint="eastAsia" w:ascii="仿宋" w:hAnsi="仿宋" w:eastAsia="仿宋" w:cs="仿宋"/>
          <w:sz w:val="32"/>
          <w:szCs w:val="32"/>
          <w:lang w:val="zh-CN"/>
        </w:rPr>
        <w:t>相符合，申报目标是合理可行的。</w:t>
      </w:r>
    </w:p>
    <w:p>
      <w:pPr>
        <w:adjustRightInd w:val="0"/>
        <w:snapToGrid w:val="0"/>
        <w:spacing w:line="600" w:lineRule="exact"/>
        <w:ind w:firstLine="720"/>
        <w:rPr>
          <w:rFonts w:hint="eastAsia" w:ascii="黑体" w:hAnsi="黑体" w:eastAsia="黑体" w:cs="黑体"/>
          <w:b/>
          <w:bCs/>
          <w:sz w:val="32"/>
          <w:szCs w:val="32"/>
          <w:lang w:val="zh-CN"/>
        </w:rPr>
      </w:pPr>
      <w:r>
        <w:rPr>
          <w:rFonts w:hint="eastAsia" w:ascii="黑体" w:hAnsi="黑体" w:eastAsia="黑体" w:cs="黑体"/>
          <w:b/>
          <w:bCs/>
          <w:sz w:val="32"/>
          <w:szCs w:val="32"/>
          <w:lang w:val="zh-CN"/>
        </w:rPr>
        <w:t>二、项目实施及管理情况</w:t>
      </w:r>
    </w:p>
    <w:p>
      <w:pPr>
        <w:adjustRightInd w:val="0"/>
        <w:snapToGrid w:val="0"/>
        <w:spacing w:line="600" w:lineRule="exact"/>
        <w:ind w:firstLine="720"/>
        <w:rPr>
          <w:rFonts w:hint="eastAsia" w:ascii="华文楷体" w:hAnsi="华文楷体" w:eastAsia="华文楷体" w:cs="华文楷体"/>
          <w:b/>
          <w:bCs/>
          <w:sz w:val="32"/>
          <w:szCs w:val="32"/>
          <w:lang w:val="zh-CN"/>
        </w:rPr>
      </w:pPr>
      <w:r>
        <w:rPr>
          <w:rFonts w:hint="eastAsia" w:ascii="华文楷体" w:hAnsi="华文楷体" w:eastAsia="华文楷体" w:cs="华文楷体"/>
          <w:b/>
          <w:bCs/>
          <w:sz w:val="32"/>
          <w:szCs w:val="32"/>
          <w:lang w:val="zh-CN"/>
        </w:rPr>
        <w:tab/>
      </w:r>
      <w:r>
        <w:rPr>
          <w:rFonts w:hint="eastAsia" w:ascii="华文楷体" w:hAnsi="华文楷体" w:eastAsia="华文楷体" w:cs="华文楷体"/>
          <w:b/>
          <w:bCs/>
          <w:sz w:val="32"/>
          <w:szCs w:val="32"/>
          <w:lang w:val="zh-CN"/>
        </w:rPr>
        <w:t>（一）资金计划、到位及使用情况</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en-US" w:eastAsia="zh-CN"/>
        </w:rPr>
        <w:t>1.</w:t>
      </w:r>
      <w:r>
        <w:rPr>
          <w:rFonts w:hint="eastAsia" w:ascii="仿宋" w:hAnsi="仿宋" w:eastAsia="仿宋" w:cs="仿宋"/>
          <w:sz w:val="32"/>
          <w:szCs w:val="32"/>
          <w:lang w:val="zh-CN"/>
        </w:rPr>
        <w:t>资金计划及到位。截至12月</w:t>
      </w:r>
      <w:r>
        <w:rPr>
          <w:rFonts w:hint="eastAsia" w:ascii="仿宋" w:hAnsi="仿宋" w:eastAsia="仿宋" w:cs="仿宋"/>
          <w:sz w:val="32"/>
          <w:szCs w:val="32"/>
          <w:lang w:val="en-US" w:eastAsia="zh-CN"/>
        </w:rPr>
        <w:t>31日</w:t>
      </w:r>
      <w:r>
        <w:rPr>
          <w:rFonts w:hint="eastAsia" w:ascii="仿宋" w:hAnsi="仿宋" w:eastAsia="仿宋" w:cs="仿宋"/>
          <w:sz w:val="32"/>
          <w:szCs w:val="32"/>
          <w:lang w:val="zh-CN"/>
        </w:rPr>
        <w:t>，</w:t>
      </w:r>
      <w:r>
        <w:rPr>
          <w:rFonts w:ascii="仿宋" w:hAnsi="仿宋" w:eastAsia="仿宋" w:cs="仿宋"/>
          <w:sz w:val="32"/>
          <w:szCs w:val="32"/>
          <w:lang w:val="zh-CN"/>
        </w:rPr>
        <w:t>202</w:t>
      </w:r>
      <w:r>
        <w:rPr>
          <w:rFonts w:hint="eastAsia" w:ascii="仿宋" w:hAnsi="仿宋" w:eastAsia="仿宋" w:cs="仿宋"/>
          <w:sz w:val="32"/>
          <w:szCs w:val="32"/>
          <w:lang w:val="en-US" w:eastAsia="zh-CN"/>
        </w:rPr>
        <w:t>2</w:t>
      </w:r>
      <w:r>
        <w:rPr>
          <w:rFonts w:hint="eastAsia" w:ascii="仿宋" w:hAnsi="仿宋" w:eastAsia="仿宋" w:cs="仿宋"/>
          <w:sz w:val="32"/>
          <w:szCs w:val="32"/>
          <w:lang w:val="zh-CN"/>
        </w:rPr>
        <w:t>年</w:t>
      </w:r>
      <w:r>
        <w:rPr>
          <w:rFonts w:hint="eastAsia" w:ascii="仿宋" w:hAnsi="仿宋" w:eastAsia="仿宋" w:cs="仿宋"/>
          <w:sz w:val="32"/>
          <w:szCs w:val="32"/>
          <w:lang w:val="en-US" w:eastAsia="zh-CN"/>
        </w:rPr>
        <w:t>普高学生资助资金</w:t>
      </w:r>
      <w:r>
        <w:rPr>
          <w:rFonts w:hint="eastAsia" w:ascii="仿宋" w:hAnsi="仿宋" w:eastAsia="仿宋" w:cs="仿宋"/>
          <w:sz w:val="32"/>
          <w:szCs w:val="32"/>
          <w:lang w:val="zh-CN"/>
        </w:rPr>
        <w:t>经费</w:t>
      </w:r>
      <w:r>
        <w:rPr>
          <w:rFonts w:hint="eastAsia" w:ascii="仿宋" w:hAnsi="仿宋" w:eastAsia="仿宋" w:cs="仿宋"/>
          <w:sz w:val="32"/>
          <w:szCs w:val="32"/>
          <w:lang w:val="en-US" w:eastAsia="zh-CN"/>
        </w:rPr>
        <w:t>500.49</w:t>
      </w:r>
      <w:r>
        <w:rPr>
          <w:rFonts w:hint="eastAsia" w:ascii="仿宋" w:hAnsi="仿宋" w:eastAsia="仿宋" w:cs="仿宋"/>
          <w:sz w:val="32"/>
          <w:szCs w:val="32"/>
          <w:lang w:val="zh-CN"/>
        </w:rPr>
        <w:t>万元已下达；资金到位率达到</w:t>
      </w:r>
      <w:r>
        <w:rPr>
          <w:rFonts w:ascii="仿宋" w:hAnsi="仿宋" w:eastAsia="仿宋" w:cs="仿宋"/>
          <w:sz w:val="32"/>
          <w:szCs w:val="32"/>
          <w:lang w:val="zh-CN"/>
        </w:rPr>
        <w:t>100%</w:t>
      </w:r>
      <w:r>
        <w:rPr>
          <w:rFonts w:hint="eastAsia" w:ascii="仿宋" w:hAnsi="仿宋" w:eastAsia="仿宋" w:cs="仿宋"/>
          <w:sz w:val="32"/>
          <w:szCs w:val="32"/>
          <w:lang w:val="zh-CN"/>
        </w:rPr>
        <w:t>、到位及时。</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2．资金使用。截至12月</w:t>
      </w:r>
      <w:r>
        <w:rPr>
          <w:rFonts w:hint="eastAsia" w:ascii="仿宋" w:hAnsi="仿宋" w:eastAsia="仿宋" w:cs="仿宋"/>
          <w:sz w:val="32"/>
          <w:szCs w:val="32"/>
          <w:lang w:val="en-US" w:eastAsia="zh-CN"/>
        </w:rPr>
        <w:t>31日</w:t>
      </w:r>
      <w:r>
        <w:rPr>
          <w:rFonts w:hint="eastAsia" w:ascii="仿宋" w:hAnsi="仿宋" w:eastAsia="仿宋" w:cs="仿宋"/>
          <w:sz w:val="32"/>
          <w:szCs w:val="32"/>
          <w:lang w:val="zh-CN"/>
        </w:rPr>
        <w:t>项目资金的实际支出</w:t>
      </w:r>
      <w:r>
        <w:rPr>
          <w:rFonts w:hint="eastAsia" w:ascii="仿宋" w:hAnsi="仿宋" w:eastAsia="仿宋" w:cs="仿宋"/>
          <w:sz w:val="32"/>
          <w:szCs w:val="32"/>
          <w:lang w:val="en-US" w:eastAsia="zh-CN"/>
        </w:rPr>
        <w:t>500.49万元</w:t>
      </w:r>
      <w:r>
        <w:rPr>
          <w:rFonts w:hint="eastAsia" w:ascii="仿宋" w:hAnsi="仿宋" w:eastAsia="仿宋" w:cs="仿宋"/>
          <w:sz w:val="32"/>
          <w:szCs w:val="32"/>
          <w:lang w:val="zh-CN"/>
        </w:rPr>
        <w:t>，</w:t>
      </w:r>
      <w:r>
        <w:rPr>
          <w:rFonts w:hint="eastAsia" w:ascii="仿宋" w:hAnsi="仿宋" w:eastAsia="仿宋" w:cs="仿宋"/>
          <w:sz w:val="32"/>
          <w:szCs w:val="32"/>
          <w:lang w:val="en-US" w:eastAsia="zh-CN"/>
        </w:rPr>
        <w:t>全额发放到受助学生手中</w:t>
      </w:r>
      <w:r>
        <w:rPr>
          <w:rFonts w:hint="eastAsia" w:ascii="仿宋" w:hAnsi="仿宋" w:eastAsia="仿宋" w:cs="仿宋"/>
          <w:sz w:val="32"/>
          <w:szCs w:val="32"/>
          <w:lang w:val="zh-CN"/>
        </w:rPr>
        <w:t>。</w:t>
      </w:r>
    </w:p>
    <w:p>
      <w:pPr>
        <w:adjustRightInd w:val="0"/>
        <w:snapToGrid w:val="0"/>
        <w:spacing w:line="600" w:lineRule="exact"/>
        <w:ind w:firstLine="720"/>
        <w:rPr>
          <w:rFonts w:hint="eastAsia" w:ascii="华文楷体" w:hAnsi="华文楷体" w:eastAsia="华文楷体" w:cs="华文楷体"/>
          <w:b/>
          <w:bCs/>
          <w:sz w:val="32"/>
          <w:szCs w:val="32"/>
          <w:lang w:val="zh-CN"/>
        </w:rPr>
      </w:pPr>
      <w:r>
        <w:rPr>
          <w:rFonts w:hint="eastAsia" w:ascii="华文楷体" w:hAnsi="华文楷体" w:eastAsia="华文楷体" w:cs="华文楷体"/>
          <w:b/>
          <w:bCs/>
          <w:sz w:val="32"/>
          <w:szCs w:val="32"/>
          <w:lang w:val="zh-CN"/>
        </w:rPr>
        <w:t>（二）项目财务管理情况</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为依法依规积极推进</w:t>
      </w:r>
      <w:r>
        <w:rPr>
          <w:rFonts w:hint="eastAsia" w:ascii="仿宋" w:hAnsi="仿宋" w:eastAsia="仿宋" w:cs="仿宋"/>
          <w:sz w:val="32"/>
          <w:szCs w:val="32"/>
          <w:lang w:val="en-US" w:eastAsia="zh-CN"/>
        </w:rPr>
        <w:t>普通高中学生资助资金</w:t>
      </w:r>
      <w:r>
        <w:rPr>
          <w:rFonts w:hint="eastAsia" w:ascii="仿宋" w:hAnsi="仿宋" w:eastAsia="仿宋" w:cs="仿宋"/>
          <w:sz w:val="32"/>
          <w:szCs w:val="32"/>
          <w:lang w:val="zh-CN"/>
        </w:rPr>
        <w:t>项目，确保合理高效使用项目资金，学校成立</w:t>
      </w:r>
      <w:r>
        <w:rPr>
          <w:rFonts w:hint="eastAsia" w:ascii="仿宋" w:hAnsi="仿宋" w:eastAsia="仿宋" w:cs="仿宋"/>
          <w:sz w:val="32"/>
          <w:szCs w:val="32"/>
          <w:lang w:val="en-US" w:eastAsia="zh-CN"/>
        </w:rPr>
        <w:t>学生资助</w:t>
      </w:r>
      <w:r>
        <w:rPr>
          <w:rFonts w:hint="eastAsia" w:ascii="仿宋" w:hAnsi="仿宋" w:eastAsia="仿宋" w:cs="仿宋"/>
          <w:sz w:val="32"/>
          <w:szCs w:val="32"/>
          <w:lang w:val="zh-CN"/>
        </w:rPr>
        <w:t>领导小组；设立项目专项财务管理制度，项目实施期间严格执行财务管理制度，及时财务处理，会计核算规范化。</w:t>
      </w:r>
    </w:p>
    <w:p>
      <w:pPr>
        <w:adjustRightInd w:val="0"/>
        <w:snapToGrid w:val="0"/>
        <w:spacing w:line="600" w:lineRule="exact"/>
        <w:ind w:firstLine="720"/>
        <w:rPr>
          <w:rFonts w:hint="eastAsia" w:ascii="华文楷体" w:hAnsi="华文楷体" w:eastAsia="华文楷体" w:cs="华文楷体"/>
          <w:b/>
          <w:bCs/>
          <w:sz w:val="32"/>
          <w:szCs w:val="32"/>
          <w:lang w:val="zh-CN"/>
        </w:rPr>
      </w:pPr>
      <w:r>
        <w:rPr>
          <w:rFonts w:hint="eastAsia" w:ascii="华文楷体" w:hAnsi="华文楷体" w:eastAsia="华文楷体" w:cs="华文楷体"/>
          <w:b/>
          <w:bCs/>
          <w:sz w:val="32"/>
          <w:szCs w:val="32"/>
          <w:lang w:val="zh-CN"/>
        </w:rPr>
        <w:t>（三）项目组织实施情况</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en-US" w:eastAsia="zh-CN"/>
        </w:rPr>
        <w:t>学校资助中心</w:t>
      </w:r>
      <w:r>
        <w:rPr>
          <w:rFonts w:hint="eastAsia" w:ascii="仿宋" w:hAnsi="仿宋" w:eastAsia="仿宋" w:cs="仿宋"/>
          <w:sz w:val="32"/>
          <w:szCs w:val="32"/>
          <w:lang w:val="zh-CN"/>
        </w:rPr>
        <w:t>全面组织学校</w:t>
      </w:r>
      <w:r>
        <w:rPr>
          <w:rFonts w:hint="eastAsia" w:ascii="仿宋" w:hAnsi="仿宋" w:eastAsia="仿宋" w:cs="仿宋"/>
          <w:sz w:val="32"/>
          <w:szCs w:val="32"/>
          <w:lang w:val="en-US" w:eastAsia="zh-CN"/>
        </w:rPr>
        <w:t>资助项目实施，从受助人员申请</w:t>
      </w:r>
      <w:r>
        <w:rPr>
          <w:rFonts w:hint="eastAsia" w:ascii="仿宋" w:hAnsi="仿宋" w:eastAsia="仿宋" w:cs="仿宋"/>
          <w:sz w:val="32"/>
          <w:szCs w:val="32"/>
          <w:lang w:val="zh-CN"/>
        </w:rPr>
        <w:t>、</w:t>
      </w:r>
      <w:r>
        <w:rPr>
          <w:rFonts w:hint="eastAsia" w:ascii="仿宋" w:hAnsi="仿宋" w:eastAsia="仿宋" w:cs="仿宋"/>
          <w:sz w:val="32"/>
          <w:szCs w:val="32"/>
          <w:lang w:val="en-US" w:eastAsia="zh-CN"/>
        </w:rPr>
        <w:t>资料筛查、公示等信息</w:t>
      </w:r>
      <w:r>
        <w:rPr>
          <w:rFonts w:hint="eastAsia" w:ascii="仿宋" w:hAnsi="仿宋" w:eastAsia="仿宋" w:cs="仿宋"/>
          <w:sz w:val="32"/>
          <w:szCs w:val="32"/>
          <w:lang w:val="zh-CN"/>
        </w:rPr>
        <w:t>进行全过程的控制与管理，</w:t>
      </w:r>
      <w:r>
        <w:rPr>
          <w:rFonts w:hint="eastAsia" w:ascii="仿宋" w:hAnsi="仿宋" w:eastAsia="仿宋" w:cs="仿宋"/>
          <w:sz w:val="32"/>
          <w:szCs w:val="32"/>
          <w:lang w:val="en-US" w:eastAsia="zh-CN"/>
        </w:rPr>
        <w:t>确保十三类人员全覆盖</w:t>
      </w:r>
      <w:r>
        <w:rPr>
          <w:rFonts w:hint="eastAsia" w:ascii="仿宋" w:hAnsi="仿宋" w:eastAsia="仿宋" w:cs="仿宋"/>
          <w:sz w:val="32"/>
          <w:szCs w:val="32"/>
          <w:lang w:val="zh-CN"/>
        </w:rPr>
        <w:t>。并制定对应环节的相关制度。</w:t>
      </w:r>
    </w:p>
    <w:p>
      <w:pPr>
        <w:adjustRightInd w:val="0"/>
        <w:snapToGrid w:val="0"/>
        <w:spacing w:line="600" w:lineRule="exact"/>
        <w:ind w:firstLine="720"/>
        <w:rPr>
          <w:rFonts w:hint="eastAsia" w:ascii="黑体" w:hAnsi="黑体" w:eastAsia="黑体" w:cs="黑体"/>
          <w:b/>
          <w:bCs/>
          <w:sz w:val="32"/>
          <w:szCs w:val="32"/>
          <w:lang w:val="zh-CN"/>
        </w:rPr>
      </w:pPr>
      <w:r>
        <w:rPr>
          <w:rFonts w:hint="eastAsia" w:ascii="黑体" w:hAnsi="黑体" w:eastAsia="黑体" w:cs="黑体"/>
          <w:b/>
          <w:bCs/>
          <w:sz w:val="32"/>
          <w:szCs w:val="32"/>
          <w:lang w:val="zh-CN"/>
        </w:rPr>
        <w:t>三、项目绩效情况</w:t>
      </w:r>
      <w:r>
        <w:rPr>
          <w:rFonts w:hint="eastAsia" w:ascii="黑体" w:hAnsi="黑体" w:eastAsia="黑体" w:cs="黑体"/>
          <w:b/>
          <w:bCs/>
          <w:sz w:val="32"/>
          <w:szCs w:val="32"/>
          <w:lang w:val="zh-CN"/>
        </w:rPr>
        <w:tab/>
      </w:r>
    </w:p>
    <w:p>
      <w:pPr>
        <w:adjustRightInd w:val="0"/>
        <w:snapToGrid w:val="0"/>
        <w:spacing w:line="600" w:lineRule="exact"/>
        <w:ind w:firstLine="720"/>
        <w:rPr>
          <w:rFonts w:hint="eastAsia" w:ascii="华文楷体" w:hAnsi="华文楷体" w:eastAsia="华文楷体" w:cs="华文楷体"/>
          <w:b/>
          <w:bCs/>
          <w:sz w:val="32"/>
          <w:szCs w:val="32"/>
          <w:lang w:val="zh-CN"/>
        </w:rPr>
      </w:pPr>
      <w:r>
        <w:rPr>
          <w:rFonts w:hint="eastAsia" w:ascii="华文楷体" w:hAnsi="华文楷体" w:eastAsia="华文楷体" w:cs="华文楷体"/>
          <w:b/>
          <w:bCs/>
          <w:sz w:val="32"/>
          <w:szCs w:val="32"/>
          <w:lang w:val="zh-CN"/>
        </w:rPr>
        <w:t>（一）项目完成情况</w:t>
      </w:r>
    </w:p>
    <w:p>
      <w:pPr>
        <w:adjustRightInd w:val="0"/>
        <w:snapToGrid w:val="0"/>
        <w:spacing w:line="600" w:lineRule="exact"/>
        <w:ind w:firstLine="720"/>
        <w:rPr>
          <w:rFonts w:hint="default" w:ascii="仿宋" w:hAnsi="仿宋" w:eastAsia="仿宋" w:cs="仿宋"/>
          <w:sz w:val="32"/>
          <w:szCs w:val="32"/>
          <w:lang w:val="en-US" w:eastAsia="zh-CN"/>
        </w:rPr>
      </w:pPr>
      <w:r>
        <w:rPr>
          <w:rFonts w:hint="eastAsia" w:ascii="仿宋" w:hAnsi="仿宋" w:eastAsia="仿宋" w:cs="仿宋"/>
          <w:sz w:val="32"/>
          <w:szCs w:val="32"/>
          <w:lang w:val="zh-CN"/>
        </w:rPr>
        <w:t>截至12月</w:t>
      </w:r>
      <w:r>
        <w:rPr>
          <w:rFonts w:hint="eastAsia" w:ascii="仿宋" w:hAnsi="仿宋" w:eastAsia="仿宋" w:cs="仿宋"/>
          <w:sz w:val="32"/>
          <w:szCs w:val="32"/>
          <w:lang w:val="en-US" w:eastAsia="zh-CN"/>
        </w:rPr>
        <w:t>31日，享受资助学生达3428人次，</w:t>
      </w:r>
      <w:r>
        <w:rPr>
          <w:rFonts w:hint="eastAsia" w:ascii="仿宋" w:hAnsi="仿宋" w:eastAsia="仿宋" w:cs="仿宋"/>
          <w:sz w:val="32"/>
          <w:szCs w:val="32"/>
          <w:lang w:val="zh-CN"/>
        </w:rPr>
        <w:t>项目资金的实际支出</w:t>
      </w:r>
      <w:r>
        <w:rPr>
          <w:rFonts w:hint="eastAsia" w:ascii="仿宋" w:hAnsi="仿宋" w:eastAsia="仿宋" w:cs="仿宋"/>
          <w:sz w:val="32"/>
          <w:szCs w:val="32"/>
          <w:lang w:val="en-US" w:eastAsia="zh-CN"/>
        </w:rPr>
        <w:t>金额500.49万元</w:t>
      </w:r>
      <w:r>
        <w:rPr>
          <w:rFonts w:hint="eastAsia" w:ascii="仿宋" w:hAnsi="仿宋" w:eastAsia="仿宋" w:cs="仿宋"/>
          <w:sz w:val="32"/>
          <w:szCs w:val="32"/>
          <w:lang w:val="zh-CN"/>
        </w:rPr>
        <w:t>，</w:t>
      </w:r>
      <w:r>
        <w:rPr>
          <w:rFonts w:hint="eastAsia" w:ascii="仿宋" w:hAnsi="仿宋" w:eastAsia="仿宋" w:cs="仿宋"/>
          <w:sz w:val="32"/>
          <w:szCs w:val="32"/>
          <w:lang w:val="en-US" w:eastAsia="zh-CN"/>
        </w:rPr>
        <w:t>全额发放到受助学生手中</w:t>
      </w:r>
      <w:r>
        <w:rPr>
          <w:rFonts w:hint="eastAsia" w:ascii="仿宋" w:hAnsi="仿宋" w:eastAsia="仿宋" w:cs="仿宋"/>
          <w:sz w:val="32"/>
          <w:szCs w:val="32"/>
          <w:lang w:val="zh-CN"/>
        </w:rPr>
        <w:t>。</w:t>
      </w:r>
      <w:r>
        <w:rPr>
          <w:rFonts w:hint="eastAsia" w:ascii="仿宋" w:hAnsi="仿宋" w:eastAsia="仿宋" w:cs="仿宋"/>
          <w:sz w:val="32"/>
          <w:szCs w:val="32"/>
          <w:lang w:val="en-US" w:eastAsia="zh-CN"/>
        </w:rPr>
        <w:t>按要求完成项目目标。</w:t>
      </w:r>
    </w:p>
    <w:p>
      <w:pPr>
        <w:adjustRightInd w:val="0"/>
        <w:snapToGrid w:val="0"/>
        <w:spacing w:line="600" w:lineRule="exact"/>
        <w:ind w:firstLine="720"/>
        <w:rPr>
          <w:rFonts w:hint="eastAsia" w:ascii="华文楷体" w:hAnsi="华文楷体" w:eastAsia="华文楷体" w:cs="华文楷体"/>
          <w:b/>
          <w:bCs/>
          <w:sz w:val="32"/>
          <w:szCs w:val="32"/>
          <w:lang w:val="zh-CN"/>
        </w:rPr>
      </w:pPr>
      <w:r>
        <w:rPr>
          <w:rFonts w:hint="eastAsia" w:ascii="华文楷体" w:hAnsi="华文楷体" w:eastAsia="华文楷体" w:cs="华文楷体"/>
          <w:b/>
          <w:bCs/>
          <w:sz w:val="32"/>
          <w:szCs w:val="32"/>
          <w:lang w:val="zh-CN"/>
        </w:rPr>
        <w:t>（二）项目效益情况</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落实保障了</w:t>
      </w:r>
      <w:r>
        <w:rPr>
          <w:rFonts w:hint="eastAsia" w:ascii="仿宋" w:hAnsi="仿宋" w:eastAsia="仿宋" w:cs="仿宋"/>
          <w:sz w:val="32"/>
          <w:szCs w:val="32"/>
          <w:lang w:val="en-US" w:eastAsia="zh-CN"/>
        </w:rPr>
        <w:t>普通高中学生资助</w:t>
      </w:r>
      <w:r>
        <w:rPr>
          <w:rFonts w:hint="eastAsia" w:ascii="仿宋" w:hAnsi="仿宋" w:eastAsia="仿宋" w:cs="仿宋"/>
          <w:sz w:val="32"/>
          <w:szCs w:val="32"/>
          <w:lang w:val="zh-CN"/>
        </w:rPr>
        <w:t>保障机制，</w:t>
      </w:r>
      <w:r>
        <w:rPr>
          <w:rFonts w:hint="eastAsia" w:ascii="仿宋" w:hAnsi="仿宋" w:eastAsia="仿宋" w:cs="仿宋"/>
          <w:sz w:val="32"/>
          <w:szCs w:val="32"/>
          <w:lang w:val="en-US" w:eastAsia="zh-CN"/>
        </w:rPr>
        <w:t>提高了贫困家庭经济收入，解决了贫困学生上学难问题，学生及家满意度达95%以上</w:t>
      </w:r>
      <w:r>
        <w:rPr>
          <w:rFonts w:hint="eastAsia" w:ascii="仿宋" w:hAnsi="仿宋" w:eastAsia="仿宋" w:cs="仿宋"/>
          <w:sz w:val="32"/>
          <w:szCs w:val="32"/>
          <w:lang w:val="zh-CN"/>
        </w:rPr>
        <w:t>。</w:t>
      </w:r>
    </w:p>
    <w:p>
      <w:pPr>
        <w:adjustRightInd w:val="0"/>
        <w:snapToGrid w:val="0"/>
        <w:spacing w:line="600" w:lineRule="exact"/>
        <w:ind w:firstLine="720"/>
        <w:rPr>
          <w:rFonts w:hint="eastAsia" w:ascii="黑体" w:hAnsi="黑体" w:eastAsia="黑体" w:cs="黑体"/>
          <w:b/>
          <w:bCs/>
          <w:sz w:val="32"/>
          <w:szCs w:val="32"/>
          <w:lang w:val="zh-CN"/>
        </w:rPr>
      </w:pPr>
      <w:r>
        <w:rPr>
          <w:rFonts w:hint="eastAsia" w:ascii="黑体" w:hAnsi="黑体" w:eastAsia="黑体" w:cs="黑体"/>
          <w:b/>
          <w:bCs/>
          <w:sz w:val="32"/>
          <w:szCs w:val="32"/>
          <w:lang w:val="zh-CN"/>
        </w:rPr>
        <w:t>四、问题及建议</w:t>
      </w:r>
    </w:p>
    <w:p>
      <w:pPr>
        <w:adjustRightInd w:val="0"/>
        <w:snapToGrid w:val="0"/>
        <w:spacing w:line="600" w:lineRule="exact"/>
        <w:ind w:firstLine="720"/>
        <w:rPr>
          <w:rFonts w:hint="eastAsia" w:ascii="仿宋" w:hAnsi="仿宋" w:eastAsia="仿宋" w:cs="仿宋"/>
          <w:sz w:val="32"/>
          <w:szCs w:val="32"/>
          <w:lang w:val="zh-CN"/>
        </w:rPr>
      </w:pPr>
      <w:r>
        <w:rPr>
          <w:rFonts w:hint="eastAsia" w:ascii="华文楷体" w:hAnsi="华文楷体" w:eastAsia="华文楷体" w:cs="华文楷体"/>
          <w:b/>
          <w:bCs/>
          <w:sz w:val="32"/>
          <w:szCs w:val="32"/>
          <w:lang w:val="zh-CN"/>
        </w:rPr>
        <w:t>（一）存在的问题</w:t>
      </w:r>
    </w:p>
    <w:p>
      <w:pPr>
        <w:adjustRightInd w:val="0"/>
        <w:snapToGrid w:val="0"/>
        <w:spacing w:line="600" w:lineRule="exact"/>
        <w:ind w:firstLine="720"/>
        <w:rPr>
          <w:rFonts w:hint="eastAsia" w:ascii="仿宋" w:hAnsi="仿宋" w:eastAsia="仿宋" w:cs="仿宋"/>
          <w:sz w:val="32"/>
          <w:szCs w:val="32"/>
          <w:lang w:val="zh-CN" w:eastAsia="zh-CN"/>
        </w:rPr>
      </w:pPr>
      <w:r>
        <w:rPr>
          <w:rFonts w:hint="eastAsia" w:ascii="仿宋" w:hAnsi="仿宋" w:eastAsia="仿宋" w:cs="仿宋"/>
          <w:sz w:val="32"/>
          <w:szCs w:val="32"/>
          <w:lang w:val="zh-CN"/>
        </w:rPr>
        <w:t>项目相关目标内容的量化指标不够准确，不能准确反映项目产出数量与产出效益。</w:t>
      </w:r>
    </w:p>
    <w:p>
      <w:pPr>
        <w:numPr>
          <w:ilvl w:val="0"/>
          <w:numId w:val="9"/>
        </w:numPr>
        <w:adjustRightInd w:val="0"/>
        <w:snapToGrid w:val="0"/>
        <w:spacing w:line="600" w:lineRule="exact"/>
        <w:ind w:firstLine="641" w:firstLineChars="200"/>
        <w:rPr>
          <w:rFonts w:hint="eastAsia" w:ascii="华文楷体" w:hAnsi="华文楷体" w:eastAsia="华文楷体" w:cs="华文楷体"/>
          <w:b/>
          <w:bCs/>
          <w:sz w:val="32"/>
          <w:szCs w:val="32"/>
          <w:lang w:val="zh-CN"/>
        </w:rPr>
      </w:pPr>
      <w:r>
        <w:rPr>
          <w:rFonts w:hint="eastAsia" w:ascii="华文楷体" w:hAnsi="华文楷体" w:eastAsia="华文楷体" w:cs="华文楷体"/>
          <w:b/>
          <w:bCs/>
          <w:sz w:val="32"/>
          <w:szCs w:val="32"/>
          <w:lang w:val="zh-CN"/>
        </w:rPr>
        <w:t>相关建议</w:t>
      </w:r>
    </w:p>
    <w:p>
      <w:pPr>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设置项目的产出目标时要先进行深入、细致地了解项目实施的主要工作及流程，分析项目的用途及效益，最后项目的产出目标设置应能较好地、完整地体现项目的产出情况及社会经济效益。</w:t>
      </w:r>
    </w:p>
    <w:p>
      <w:pPr>
        <w:pStyle w:val="2"/>
        <w:rPr>
          <w:rFonts w:hint="eastAsia" w:ascii="仿宋" w:hAnsi="仿宋" w:eastAsia="仿宋" w:cs="仿宋"/>
          <w:sz w:val="32"/>
          <w:szCs w:val="32"/>
          <w:lang w:val="zh-CN"/>
        </w:rPr>
      </w:pPr>
    </w:p>
    <w:p>
      <w:pPr>
        <w:rPr>
          <w:rFonts w:hint="eastAsia" w:ascii="仿宋" w:hAnsi="仿宋" w:eastAsia="仿宋" w:cs="仿宋"/>
          <w:sz w:val="32"/>
          <w:szCs w:val="32"/>
          <w:lang w:val="zh-CN"/>
        </w:rPr>
      </w:pPr>
    </w:p>
    <w:p>
      <w:pPr>
        <w:pStyle w:val="2"/>
        <w:rPr>
          <w:rFonts w:hint="eastAsia" w:ascii="仿宋" w:hAnsi="仿宋" w:eastAsia="仿宋" w:cs="仿宋"/>
          <w:sz w:val="32"/>
          <w:szCs w:val="32"/>
          <w:lang w:val="zh-CN"/>
        </w:rPr>
      </w:pPr>
    </w:p>
    <w:p>
      <w:pPr>
        <w:rPr>
          <w:rFonts w:hint="eastAsia" w:ascii="仿宋" w:hAnsi="仿宋" w:eastAsia="仿宋" w:cs="仿宋"/>
          <w:sz w:val="32"/>
          <w:szCs w:val="32"/>
          <w:lang w:val="zh-CN"/>
        </w:rPr>
      </w:pPr>
    </w:p>
    <w:p>
      <w:pPr>
        <w:pStyle w:val="2"/>
        <w:rPr>
          <w:rFonts w:hint="eastAsia" w:ascii="仿宋" w:hAnsi="仿宋" w:eastAsia="仿宋" w:cs="仿宋"/>
          <w:sz w:val="32"/>
          <w:szCs w:val="32"/>
          <w:lang w:val="zh-CN"/>
        </w:rPr>
      </w:pPr>
    </w:p>
    <w:p>
      <w:pPr>
        <w:rPr>
          <w:rFonts w:hint="eastAsia" w:ascii="仿宋" w:hAnsi="仿宋" w:eastAsia="仿宋" w:cs="仿宋"/>
          <w:sz w:val="32"/>
          <w:szCs w:val="32"/>
          <w:lang w:val="zh-CN"/>
        </w:rPr>
      </w:pPr>
    </w:p>
    <w:p>
      <w:pPr>
        <w:pStyle w:val="2"/>
        <w:rPr>
          <w:rFonts w:hint="eastAsia" w:ascii="仿宋" w:hAnsi="仿宋" w:eastAsia="仿宋" w:cs="仿宋"/>
          <w:sz w:val="32"/>
          <w:szCs w:val="32"/>
          <w:lang w:val="zh-CN"/>
        </w:rPr>
      </w:pPr>
    </w:p>
    <w:p>
      <w:pPr>
        <w:rPr>
          <w:rFonts w:hint="eastAsia" w:ascii="仿宋" w:hAnsi="仿宋" w:eastAsia="仿宋" w:cs="仿宋"/>
          <w:sz w:val="32"/>
          <w:szCs w:val="32"/>
          <w:lang w:val="zh-CN"/>
        </w:rPr>
      </w:pPr>
    </w:p>
    <w:p>
      <w:pPr>
        <w:pStyle w:val="2"/>
        <w:rPr>
          <w:rFonts w:hint="eastAsia" w:ascii="仿宋" w:hAnsi="仿宋" w:eastAsia="仿宋" w:cs="仿宋"/>
          <w:sz w:val="32"/>
          <w:szCs w:val="32"/>
          <w:lang w:val="zh-CN"/>
        </w:rPr>
      </w:pPr>
    </w:p>
    <w:p>
      <w:pPr>
        <w:rPr>
          <w:rFonts w:hint="eastAsia" w:ascii="仿宋" w:hAnsi="仿宋" w:eastAsia="仿宋" w:cs="仿宋"/>
          <w:sz w:val="32"/>
          <w:szCs w:val="32"/>
          <w:lang w:val="zh-CN"/>
        </w:rPr>
      </w:pPr>
    </w:p>
    <w:p>
      <w:pPr>
        <w:pStyle w:val="2"/>
        <w:rPr>
          <w:rFonts w:hint="eastAsia" w:ascii="仿宋" w:hAnsi="仿宋" w:eastAsia="仿宋" w:cs="仿宋"/>
          <w:sz w:val="32"/>
          <w:szCs w:val="32"/>
          <w:lang w:val="zh-CN"/>
        </w:rPr>
      </w:pPr>
    </w:p>
    <w:p>
      <w:pPr>
        <w:rPr>
          <w:rFonts w:hint="eastAsia" w:ascii="仿宋" w:hAnsi="仿宋" w:eastAsia="仿宋" w:cs="仿宋"/>
          <w:sz w:val="32"/>
          <w:szCs w:val="32"/>
          <w:lang w:val="zh-CN"/>
        </w:rPr>
      </w:pPr>
    </w:p>
    <w:p>
      <w:pPr>
        <w:pStyle w:val="2"/>
        <w:rPr>
          <w:rFonts w:hint="eastAsia" w:ascii="仿宋" w:hAnsi="仿宋" w:eastAsia="仿宋" w:cs="仿宋"/>
          <w:sz w:val="32"/>
          <w:szCs w:val="32"/>
          <w:lang w:val="zh-CN"/>
        </w:rPr>
      </w:pPr>
    </w:p>
    <w:p>
      <w:pPr>
        <w:rPr>
          <w:rFonts w:hint="eastAsia"/>
          <w:lang w:val="zh-CN"/>
        </w:rPr>
      </w:pPr>
    </w:p>
    <w:tbl>
      <w:tblPr>
        <w:tblStyle w:val="15"/>
        <w:tblW w:w="830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27"/>
        <w:gridCol w:w="1596"/>
        <w:gridCol w:w="716"/>
        <w:gridCol w:w="935"/>
        <w:gridCol w:w="476"/>
        <w:gridCol w:w="407"/>
        <w:gridCol w:w="997"/>
        <w:gridCol w:w="498"/>
        <w:gridCol w:w="498"/>
        <w:gridCol w:w="15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4" w:hRule="atLeast"/>
        </w:trPr>
        <w:tc>
          <w:tcPr>
            <w:tcW w:w="830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3" w:hRule="atLeast"/>
        </w:trPr>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607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51082322T000005309558-普高免学费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3" w:hRule="atLeast"/>
        </w:trPr>
        <w:tc>
          <w:tcPr>
            <w:tcW w:w="22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5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剑阁县教育局部门</w:t>
            </w:r>
          </w:p>
        </w:tc>
        <w:tc>
          <w:tcPr>
            <w:tcW w:w="997"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5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四川省剑阁中学校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7"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15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5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54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34"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5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加大宣传力度，落实资助政策，确保13类人员全覆盖；提高贫困家庭经济收入，确保贫困学生享受高中教育，助力家庭脱贫。</w:t>
            </w:r>
          </w:p>
        </w:tc>
        <w:tc>
          <w:tcPr>
            <w:tcW w:w="354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360" w:firstLineChars="20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2022年普高免学费，享受资助学生达3428人次，项目资金的实际支出金额157.69万元，全额发放到受助学生手中。</w:t>
            </w:r>
            <w:r>
              <w:rPr>
                <w:rFonts w:hint="eastAsia" w:ascii="黑体" w:hAnsi="黑体" w:eastAsia="黑体" w:cs="黑体"/>
                <w:i w:val="0"/>
                <w:iCs w:val="0"/>
                <w:color w:val="000000"/>
                <w:kern w:val="0"/>
                <w:sz w:val="18"/>
                <w:szCs w:val="18"/>
                <w:u w:val="none"/>
                <w:lang w:val="zh-CN" w:eastAsia="zh-CN" w:bidi="ar"/>
              </w:rPr>
              <w:t>落实保障了</w:t>
            </w:r>
            <w:r>
              <w:rPr>
                <w:rFonts w:hint="eastAsia" w:ascii="黑体" w:hAnsi="黑体" w:eastAsia="黑体" w:cs="黑体"/>
                <w:i w:val="0"/>
                <w:iCs w:val="0"/>
                <w:color w:val="000000"/>
                <w:kern w:val="0"/>
                <w:sz w:val="18"/>
                <w:szCs w:val="18"/>
                <w:u w:val="none"/>
                <w:lang w:val="en-US" w:eastAsia="zh-CN" w:bidi="ar"/>
              </w:rPr>
              <w:t>普通高中学生资助</w:t>
            </w:r>
            <w:r>
              <w:rPr>
                <w:rFonts w:hint="eastAsia" w:ascii="黑体" w:hAnsi="黑体" w:eastAsia="黑体" w:cs="黑体"/>
                <w:i w:val="0"/>
                <w:iCs w:val="0"/>
                <w:color w:val="000000"/>
                <w:kern w:val="0"/>
                <w:sz w:val="18"/>
                <w:szCs w:val="18"/>
                <w:u w:val="none"/>
                <w:lang w:val="zh-CN" w:eastAsia="zh-CN" w:bidi="ar"/>
              </w:rPr>
              <w:t>保障机制，</w:t>
            </w:r>
            <w:r>
              <w:rPr>
                <w:rFonts w:hint="eastAsia" w:ascii="黑体" w:hAnsi="黑体" w:eastAsia="黑体" w:cs="黑体"/>
                <w:i w:val="0"/>
                <w:iCs w:val="0"/>
                <w:color w:val="000000"/>
                <w:kern w:val="0"/>
                <w:sz w:val="18"/>
                <w:szCs w:val="18"/>
                <w:u w:val="none"/>
                <w:lang w:val="en-US" w:eastAsia="zh-CN" w:bidi="ar"/>
              </w:rPr>
              <w:t>提高了贫困家庭经济收入，解决了贫困学生上学难问题，学生及家满意度达95%以上</w:t>
            </w:r>
            <w:r>
              <w:rPr>
                <w:rFonts w:hint="eastAsia" w:ascii="黑体" w:hAnsi="黑体" w:eastAsia="黑体" w:cs="黑体"/>
                <w:i w:val="0"/>
                <w:iCs w:val="0"/>
                <w:color w:val="000000"/>
                <w:kern w:val="0"/>
                <w:sz w:val="18"/>
                <w:szCs w:val="18"/>
                <w:u w:val="none"/>
                <w:lang w:val="zh-CN"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9"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607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为依法依规积极推进普通高中学生资助资金项目，确保合理高效使用项目资金，学校成立学生资助领导小组；设立项目专项财务管理制度，项目实施期间严格执行财务管理制度，及时财务处理，会计核算规范化。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1"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8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157.69</w:t>
            </w:r>
          </w:p>
        </w:tc>
        <w:tc>
          <w:tcPr>
            <w:tcW w:w="8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157.69</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5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157.69</w:t>
            </w:r>
          </w:p>
        </w:tc>
        <w:tc>
          <w:tcPr>
            <w:tcW w:w="8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157.69</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3"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0"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8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5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5" w:hRule="atLeast"/>
        </w:trPr>
        <w:tc>
          <w:tcPr>
            <w:tcW w:w="6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575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bl>
    <w:p>
      <w:pPr>
        <w:pStyle w:val="7"/>
        <w:spacing w:before="93"/>
        <w:rPr>
          <w:rFonts w:hAnsi="Calibri" w:cs="仿宋"/>
          <w:sz w:val="32"/>
          <w:szCs w:val="32"/>
        </w:rPr>
      </w:pPr>
    </w:p>
    <w:tbl>
      <w:tblPr>
        <w:tblStyle w:val="15"/>
        <w:tblW w:w="796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01"/>
        <w:gridCol w:w="1521"/>
        <w:gridCol w:w="685"/>
        <w:gridCol w:w="896"/>
        <w:gridCol w:w="455"/>
        <w:gridCol w:w="396"/>
        <w:gridCol w:w="955"/>
        <w:gridCol w:w="486"/>
        <w:gridCol w:w="486"/>
        <w:gridCol w:w="14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1" w:hRule="atLeast"/>
        </w:trPr>
        <w:tc>
          <w:tcPr>
            <w:tcW w:w="796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trPr>
        <w:tc>
          <w:tcPr>
            <w:tcW w:w="21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582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51082322T000005309913-普高助学金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9" w:hRule="atLeast"/>
        </w:trPr>
        <w:tc>
          <w:tcPr>
            <w:tcW w:w="21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243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剑阁县教育局部门</w:t>
            </w:r>
          </w:p>
        </w:tc>
        <w:tc>
          <w:tcPr>
            <w:tcW w:w="956"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4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四川省剑阁中学校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trPr>
        <w:tc>
          <w:tcPr>
            <w:tcW w:w="6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15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243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39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2" w:hRule="atLeast"/>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3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加大宣传力度，落实资助政策，确保13类人员全覆盖；提高贫困家庭经济收入，确保贫困学生享受高中教育，助力家庭脱贫。</w:t>
            </w:r>
          </w:p>
        </w:tc>
        <w:tc>
          <w:tcPr>
            <w:tcW w:w="339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360" w:firstLineChars="20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 xml:space="preserve">    2022年普高助学金，享受资助学生达3428人次，项目资金的实际支出金额342.8万元，全额发放到受助学生手中。</w:t>
            </w:r>
            <w:r>
              <w:rPr>
                <w:rFonts w:hint="eastAsia" w:ascii="黑体" w:hAnsi="黑体" w:eastAsia="黑体" w:cs="黑体"/>
                <w:i w:val="0"/>
                <w:iCs w:val="0"/>
                <w:color w:val="000000"/>
                <w:kern w:val="0"/>
                <w:sz w:val="18"/>
                <w:szCs w:val="18"/>
                <w:u w:val="none"/>
                <w:lang w:val="zh-CN" w:eastAsia="zh-CN" w:bidi="ar"/>
              </w:rPr>
              <w:t>落实保障了</w:t>
            </w:r>
            <w:r>
              <w:rPr>
                <w:rFonts w:hint="eastAsia" w:ascii="黑体" w:hAnsi="黑体" w:eastAsia="黑体" w:cs="黑体"/>
                <w:i w:val="0"/>
                <w:iCs w:val="0"/>
                <w:color w:val="000000"/>
                <w:kern w:val="0"/>
                <w:sz w:val="18"/>
                <w:szCs w:val="18"/>
                <w:u w:val="none"/>
                <w:lang w:val="en-US" w:eastAsia="zh-CN" w:bidi="ar"/>
              </w:rPr>
              <w:t>普通高中学生资助</w:t>
            </w:r>
            <w:r>
              <w:rPr>
                <w:rFonts w:hint="eastAsia" w:ascii="黑体" w:hAnsi="黑体" w:eastAsia="黑体" w:cs="黑体"/>
                <w:i w:val="0"/>
                <w:iCs w:val="0"/>
                <w:color w:val="000000"/>
                <w:kern w:val="0"/>
                <w:sz w:val="18"/>
                <w:szCs w:val="18"/>
                <w:u w:val="none"/>
                <w:lang w:val="zh-CN" w:eastAsia="zh-CN" w:bidi="ar"/>
              </w:rPr>
              <w:t>保障机制，</w:t>
            </w:r>
            <w:r>
              <w:rPr>
                <w:rFonts w:hint="eastAsia" w:ascii="黑体" w:hAnsi="黑体" w:eastAsia="黑体" w:cs="黑体"/>
                <w:i w:val="0"/>
                <w:iCs w:val="0"/>
                <w:color w:val="000000"/>
                <w:kern w:val="0"/>
                <w:sz w:val="18"/>
                <w:szCs w:val="18"/>
                <w:u w:val="none"/>
                <w:lang w:val="en-US" w:eastAsia="zh-CN" w:bidi="ar"/>
              </w:rPr>
              <w:t>提高了贫困家庭经济收入，解决了贫困学生上学难问题，学生及家满意度达95%以上</w:t>
            </w:r>
            <w:r>
              <w:rPr>
                <w:rFonts w:hint="eastAsia" w:ascii="黑体" w:hAnsi="黑体" w:eastAsia="黑体" w:cs="黑体"/>
                <w:i w:val="0"/>
                <w:iCs w:val="0"/>
                <w:color w:val="000000"/>
                <w:kern w:val="0"/>
                <w:sz w:val="18"/>
                <w:szCs w:val="18"/>
                <w:u w:val="none"/>
                <w:lang w:val="zh-CN"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67" w:hRule="atLeast"/>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582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为依法依规积极推进普通高中学生资助资金项目，确保合理高效使用项目资金，学校成立学生资助领导小组；设立项目专项财务管理制度，项目实施期间严格执行财务管理制度，及时财务处理，会计核算规范化。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9" w:hRule="atLeast"/>
        </w:trPr>
        <w:tc>
          <w:tcPr>
            <w:tcW w:w="6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8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3" w:hRule="atLeast"/>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342.80</w:t>
            </w:r>
          </w:p>
        </w:tc>
        <w:tc>
          <w:tcPr>
            <w:tcW w:w="8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342.80</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342.80</w:t>
            </w:r>
          </w:p>
        </w:tc>
        <w:tc>
          <w:tcPr>
            <w:tcW w:w="8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342.80</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9" w:hRule="atLeast"/>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8" w:hRule="atLeast"/>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69" w:hRule="atLeast"/>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8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8" w:hRule="atLeast"/>
        </w:trPr>
        <w:tc>
          <w:tcPr>
            <w:tcW w:w="6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51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bl>
    <w:p>
      <w:pPr>
        <w:pStyle w:val="7"/>
        <w:spacing w:before="93"/>
        <w:rPr>
          <w:rFonts w:hAnsi="Calibri" w:cs="仿宋"/>
          <w:sz w:val="32"/>
          <w:szCs w:val="32"/>
        </w:rPr>
      </w:pPr>
    </w:p>
    <w:p>
      <w:pPr>
        <w:spacing w:line="600" w:lineRule="exact"/>
        <w:jc w:val="center"/>
        <w:outlineLvl w:val="0"/>
        <w:rPr>
          <w:rFonts w:ascii="仿宋" w:hAnsi="仿宋" w:eastAsia="仿宋"/>
        </w:rPr>
      </w:pPr>
      <w:r>
        <w:rPr>
          <w:rFonts w:hint="eastAsia" w:ascii="黑体" w:hAnsi="黑体" w:eastAsia="黑体"/>
          <w:sz w:val="44"/>
          <w:szCs w:val="44"/>
        </w:rPr>
        <w:t>第</w:t>
      </w:r>
      <w:r>
        <w:rPr>
          <w:rStyle w:val="27"/>
          <w:rFonts w:hint="eastAsia" w:ascii="黑体" w:hAnsi="黑体" w:eastAsia="黑体"/>
          <w:b w:val="0"/>
        </w:rPr>
        <w:t>五部分 附表</w:t>
      </w:r>
      <w:bookmarkEnd w:id="51"/>
      <w:bookmarkEnd w:id="53"/>
      <w:bookmarkStart w:id="54" w:name="_Toc15396619"/>
    </w:p>
    <w:p>
      <w:pPr>
        <w:pStyle w:val="5"/>
        <w:rPr>
          <w:rFonts w:ascii="仿宋" w:hAnsi="仿宋" w:eastAsia="仿宋"/>
        </w:rPr>
      </w:pPr>
      <w:r>
        <w:rPr>
          <w:rFonts w:hint="eastAsia" w:ascii="仿宋" w:hAnsi="仿宋" w:eastAsia="仿宋"/>
          <w:b w:val="0"/>
        </w:rPr>
        <w:t>一、收</w:t>
      </w:r>
      <w:r>
        <w:rPr>
          <w:rStyle w:val="28"/>
          <w:rFonts w:hint="eastAsia" w:ascii="仿宋" w:hAnsi="仿宋" w:eastAsia="仿宋"/>
          <w:b w:val="0"/>
          <w:bCs w:val="0"/>
        </w:rPr>
        <w:t>入支出决算总表</w:t>
      </w:r>
      <w:bookmarkEnd w:id="54"/>
    </w:p>
    <w:p>
      <w:pPr>
        <w:pStyle w:val="5"/>
        <w:rPr>
          <w:rFonts w:ascii="仿宋" w:hAnsi="仿宋" w:eastAsia="仿宋"/>
        </w:rPr>
      </w:pPr>
      <w:bookmarkStart w:id="55" w:name="_Toc15396620"/>
      <w:r>
        <w:rPr>
          <w:rFonts w:hint="eastAsia" w:ascii="仿宋" w:hAnsi="仿宋" w:eastAsia="仿宋"/>
          <w:b w:val="0"/>
        </w:rPr>
        <w:t>二、收</w:t>
      </w:r>
      <w:r>
        <w:rPr>
          <w:rStyle w:val="28"/>
          <w:rFonts w:hint="eastAsia" w:ascii="仿宋" w:hAnsi="仿宋" w:eastAsia="仿宋"/>
          <w:b w:val="0"/>
          <w:bCs w:val="0"/>
        </w:rPr>
        <w:t>入决算表</w:t>
      </w:r>
      <w:bookmarkEnd w:id="55"/>
    </w:p>
    <w:p>
      <w:pPr>
        <w:pStyle w:val="5"/>
        <w:rPr>
          <w:rFonts w:ascii="仿宋" w:hAnsi="仿宋" w:eastAsia="仿宋"/>
        </w:rPr>
      </w:pPr>
      <w:bookmarkStart w:id="56" w:name="_Toc15396621"/>
      <w:r>
        <w:rPr>
          <w:rStyle w:val="28"/>
          <w:rFonts w:hint="eastAsia" w:ascii="仿宋" w:hAnsi="仿宋" w:eastAsia="仿宋"/>
          <w:b w:val="0"/>
          <w:bCs w:val="0"/>
        </w:rPr>
        <w:t>三、</w:t>
      </w:r>
      <w:r>
        <w:rPr>
          <w:rFonts w:hint="eastAsia" w:ascii="仿宋" w:hAnsi="仿宋" w:eastAsia="仿宋"/>
          <w:b w:val="0"/>
        </w:rPr>
        <w:t>支</w:t>
      </w:r>
      <w:r>
        <w:rPr>
          <w:rStyle w:val="28"/>
          <w:rFonts w:hint="eastAsia" w:ascii="仿宋" w:hAnsi="仿宋" w:eastAsia="仿宋"/>
          <w:b w:val="0"/>
          <w:bCs w:val="0"/>
        </w:rPr>
        <w:t>出决算表</w:t>
      </w:r>
      <w:bookmarkEnd w:id="56"/>
    </w:p>
    <w:p>
      <w:pPr>
        <w:pStyle w:val="5"/>
        <w:rPr>
          <w:rFonts w:ascii="仿宋" w:hAnsi="仿宋" w:eastAsia="仿宋"/>
          <w:b w:val="0"/>
        </w:rPr>
      </w:pPr>
      <w:bookmarkStart w:id="57" w:name="_Toc15396622"/>
      <w:r>
        <w:rPr>
          <w:rStyle w:val="28"/>
          <w:rFonts w:hint="eastAsia" w:ascii="仿宋" w:hAnsi="仿宋" w:eastAsia="仿宋"/>
          <w:b w:val="0"/>
          <w:bCs w:val="0"/>
        </w:rPr>
        <w:t>四、</w:t>
      </w:r>
      <w:r>
        <w:rPr>
          <w:rFonts w:hint="eastAsia" w:ascii="仿宋" w:hAnsi="仿宋" w:eastAsia="仿宋"/>
          <w:b w:val="0"/>
        </w:rPr>
        <w:t>财</w:t>
      </w:r>
      <w:r>
        <w:rPr>
          <w:rStyle w:val="28"/>
          <w:rFonts w:hint="eastAsia" w:ascii="仿宋" w:hAnsi="仿宋" w:eastAsia="仿宋"/>
          <w:b w:val="0"/>
          <w:bCs w:val="0"/>
        </w:rPr>
        <w:t>政拨款收入支出决算总表</w:t>
      </w:r>
      <w:bookmarkEnd w:id="57"/>
    </w:p>
    <w:p>
      <w:pPr>
        <w:pStyle w:val="5"/>
        <w:rPr>
          <w:rStyle w:val="28"/>
          <w:rFonts w:ascii="仿宋" w:hAnsi="仿宋" w:eastAsia="仿宋"/>
          <w:b w:val="0"/>
          <w:bCs w:val="0"/>
        </w:rPr>
      </w:pPr>
      <w:bookmarkStart w:id="58" w:name="_Toc15396623"/>
      <w:r>
        <w:rPr>
          <w:rStyle w:val="28"/>
          <w:rFonts w:hint="eastAsia" w:ascii="仿宋" w:hAnsi="仿宋" w:eastAsia="仿宋"/>
          <w:b w:val="0"/>
          <w:bCs w:val="0"/>
        </w:rPr>
        <w:t>五、</w:t>
      </w:r>
      <w:r>
        <w:rPr>
          <w:rFonts w:hint="eastAsia" w:ascii="仿宋" w:hAnsi="仿宋" w:eastAsia="仿宋"/>
          <w:b w:val="0"/>
        </w:rPr>
        <w:t>财</w:t>
      </w:r>
      <w:r>
        <w:rPr>
          <w:rStyle w:val="28"/>
          <w:rFonts w:hint="eastAsia" w:ascii="仿宋" w:hAnsi="仿宋" w:eastAsia="仿宋"/>
          <w:b w:val="0"/>
          <w:bCs w:val="0"/>
        </w:rPr>
        <w:t>政拨款支出决算明细表</w:t>
      </w:r>
      <w:bookmarkEnd w:id="58"/>
      <w:bookmarkStart w:id="59" w:name="_Toc15396624"/>
    </w:p>
    <w:p>
      <w:pPr>
        <w:pStyle w:val="5"/>
        <w:rPr>
          <w:rFonts w:ascii="仿宋" w:hAnsi="仿宋" w:eastAsia="仿宋"/>
        </w:rPr>
      </w:pPr>
      <w:r>
        <w:rPr>
          <w:rStyle w:val="28"/>
          <w:rFonts w:hint="eastAsia" w:ascii="仿宋" w:hAnsi="仿宋" w:eastAsia="仿宋"/>
          <w:b w:val="0"/>
          <w:bCs w:val="0"/>
        </w:rPr>
        <w:t>六、</w:t>
      </w:r>
      <w:r>
        <w:rPr>
          <w:rFonts w:hint="eastAsia" w:ascii="仿宋" w:hAnsi="仿宋" w:eastAsia="仿宋"/>
          <w:b w:val="0"/>
        </w:rPr>
        <w:t>一</w:t>
      </w:r>
      <w:r>
        <w:rPr>
          <w:rStyle w:val="28"/>
          <w:rFonts w:hint="eastAsia" w:ascii="仿宋" w:hAnsi="仿宋" w:eastAsia="仿宋"/>
          <w:b w:val="0"/>
          <w:bCs w:val="0"/>
        </w:rPr>
        <w:t>般公共预算财政拨款支出决算表</w:t>
      </w:r>
      <w:bookmarkEnd w:id="59"/>
    </w:p>
    <w:p>
      <w:pPr>
        <w:pStyle w:val="5"/>
        <w:rPr>
          <w:rFonts w:ascii="仿宋" w:hAnsi="仿宋" w:eastAsia="仿宋"/>
        </w:rPr>
      </w:pPr>
      <w:bookmarkStart w:id="60" w:name="_Toc15396625"/>
      <w:r>
        <w:rPr>
          <w:rStyle w:val="28"/>
          <w:rFonts w:hint="eastAsia" w:ascii="仿宋" w:hAnsi="仿宋" w:eastAsia="仿宋"/>
          <w:b w:val="0"/>
          <w:bCs w:val="0"/>
        </w:rPr>
        <w:t>七、</w:t>
      </w:r>
      <w:r>
        <w:rPr>
          <w:rFonts w:hint="eastAsia" w:ascii="仿宋" w:hAnsi="仿宋" w:eastAsia="仿宋"/>
          <w:b w:val="0"/>
        </w:rPr>
        <w:t>一</w:t>
      </w:r>
      <w:r>
        <w:rPr>
          <w:rStyle w:val="28"/>
          <w:rFonts w:hint="eastAsia" w:ascii="仿宋" w:hAnsi="仿宋" w:eastAsia="仿宋"/>
          <w:b w:val="0"/>
          <w:bCs w:val="0"/>
        </w:rPr>
        <w:t>般公共预算财政拨款支出决算明细表</w:t>
      </w:r>
      <w:bookmarkEnd w:id="60"/>
    </w:p>
    <w:p>
      <w:pPr>
        <w:pStyle w:val="5"/>
        <w:rPr>
          <w:rFonts w:ascii="仿宋" w:hAnsi="仿宋" w:eastAsia="仿宋"/>
        </w:rPr>
      </w:pPr>
      <w:bookmarkStart w:id="61" w:name="_Toc15396626"/>
      <w:r>
        <w:rPr>
          <w:rStyle w:val="28"/>
          <w:rFonts w:hint="eastAsia" w:ascii="仿宋" w:hAnsi="仿宋" w:eastAsia="仿宋"/>
          <w:b w:val="0"/>
          <w:bCs w:val="0"/>
        </w:rPr>
        <w:t>八、</w:t>
      </w:r>
      <w:r>
        <w:rPr>
          <w:rFonts w:hint="eastAsia" w:ascii="仿宋" w:hAnsi="仿宋" w:eastAsia="仿宋"/>
          <w:b w:val="0"/>
        </w:rPr>
        <w:t>一</w:t>
      </w:r>
      <w:r>
        <w:rPr>
          <w:rStyle w:val="28"/>
          <w:rFonts w:hint="eastAsia" w:ascii="仿宋" w:hAnsi="仿宋" w:eastAsia="仿宋"/>
          <w:b w:val="0"/>
          <w:bCs w:val="0"/>
        </w:rPr>
        <w:t>般公共预算财政拨款基本支出决算表</w:t>
      </w:r>
      <w:bookmarkEnd w:id="61"/>
    </w:p>
    <w:p>
      <w:pPr>
        <w:pStyle w:val="5"/>
        <w:rPr>
          <w:rFonts w:ascii="仿宋" w:hAnsi="仿宋" w:eastAsia="仿宋"/>
        </w:rPr>
      </w:pPr>
      <w:bookmarkStart w:id="62" w:name="_Toc15396627"/>
      <w:r>
        <w:rPr>
          <w:rStyle w:val="28"/>
          <w:rFonts w:hint="eastAsia" w:ascii="仿宋" w:hAnsi="仿宋" w:eastAsia="仿宋"/>
          <w:b w:val="0"/>
          <w:bCs w:val="0"/>
        </w:rPr>
        <w:t>九、</w:t>
      </w:r>
      <w:r>
        <w:rPr>
          <w:rFonts w:hint="eastAsia" w:ascii="仿宋" w:hAnsi="仿宋" w:eastAsia="仿宋"/>
          <w:b w:val="0"/>
        </w:rPr>
        <w:t>一</w:t>
      </w:r>
      <w:r>
        <w:rPr>
          <w:rStyle w:val="28"/>
          <w:rFonts w:hint="eastAsia" w:ascii="仿宋" w:hAnsi="仿宋" w:eastAsia="仿宋"/>
          <w:b w:val="0"/>
          <w:bCs w:val="0"/>
        </w:rPr>
        <w:t>般公共预算财政拨款项目支出决算表</w:t>
      </w:r>
      <w:bookmarkEnd w:id="62"/>
    </w:p>
    <w:p>
      <w:pPr>
        <w:pStyle w:val="5"/>
        <w:rPr>
          <w:rFonts w:ascii="仿宋" w:hAnsi="仿宋" w:eastAsia="仿宋"/>
        </w:rPr>
      </w:pPr>
      <w:bookmarkStart w:id="63" w:name="_Toc15396628"/>
      <w:r>
        <w:rPr>
          <w:rStyle w:val="28"/>
          <w:rFonts w:hint="eastAsia" w:ascii="仿宋" w:hAnsi="仿宋" w:eastAsia="仿宋"/>
          <w:b w:val="0"/>
          <w:bCs w:val="0"/>
        </w:rPr>
        <w:t>十、</w:t>
      </w:r>
      <w:bookmarkEnd w:id="63"/>
      <w:r>
        <w:rPr>
          <w:rFonts w:hint="eastAsia" w:ascii="仿宋" w:hAnsi="仿宋" w:eastAsia="仿宋"/>
          <w:b w:val="0"/>
        </w:rPr>
        <w:t>政</w:t>
      </w:r>
      <w:r>
        <w:rPr>
          <w:rStyle w:val="28"/>
          <w:rFonts w:hint="eastAsia" w:ascii="仿宋" w:hAnsi="仿宋" w:eastAsia="仿宋"/>
          <w:b w:val="0"/>
          <w:bCs w:val="0"/>
        </w:rPr>
        <w:t>府性基金预算财政拨款收入支出决算表</w:t>
      </w:r>
    </w:p>
    <w:p>
      <w:pPr>
        <w:pStyle w:val="5"/>
        <w:rPr>
          <w:rFonts w:ascii="仿宋" w:hAnsi="仿宋" w:eastAsia="仿宋"/>
        </w:rPr>
      </w:pPr>
      <w:bookmarkStart w:id="64" w:name="_Toc15396629"/>
      <w:r>
        <w:rPr>
          <w:rStyle w:val="28"/>
          <w:rFonts w:hint="eastAsia" w:ascii="仿宋" w:hAnsi="仿宋" w:eastAsia="仿宋"/>
          <w:b w:val="0"/>
          <w:bCs w:val="0"/>
        </w:rPr>
        <w:t>十一、</w:t>
      </w:r>
      <w:bookmarkEnd w:id="64"/>
      <w:r>
        <w:rPr>
          <w:rFonts w:hint="eastAsia" w:ascii="仿宋" w:hAnsi="仿宋" w:eastAsia="仿宋"/>
          <w:b w:val="0"/>
        </w:rPr>
        <w:t>国</w:t>
      </w:r>
      <w:r>
        <w:rPr>
          <w:rStyle w:val="28"/>
          <w:rFonts w:hint="eastAsia" w:ascii="仿宋" w:hAnsi="仿宋" w:eastAsia="仿宋"/>
          <w:b w:val="0"/>
          <w:bCs w:val="0"/>
        </w:rPr>
        <w:t>有资本经营预算财政拨款收入支出决算表</w:t>
      </w:r>
    </w:p>
    <w:p>
      <w:pPr>
        <w:pStyle w:val="5"/>
        <w:rPr>
          <w:rFonts w:ascii="仿宋" w:hAnsi="仿宋" w:eastAsia="仿宋"/>
        </w:rPr>
      </w:pPr>
      <w:bookmarkStart w:id="65" w:name="_Toc15396630"/>
      <w:r>
        <w:rPr>
          <w:rStyle w:val="28"/>
          <w:rFonts w:hint="eastAsia" w:ascii="仿宋" w:hAnsi="仿宋" w:eastAsia="仿宋"/>
          <w:b w:val="0"/>
          <w:bCs w:val="0"/>
        </w:rPr>
        <w:t>十二、</w:t>
      </w:r>
      <w:bookmarkEnd w:id="65"/>
      <w:r>
        <w:rPr>
          <w:rStyle w:val="28"/>
          <w:rFonts w:hint="eastAsia" w:ascii="仿宋" w:hAnsi="仿宋" w:eastAsia="仿宋"/>
          <w:b w:val="0"/>
          <w:bCs w:val="0"/>
        </w:rPr>
        <w:t>国有资本经营预算财政拨款支出决算表</w:t>
      </w:r>
    </w:p>
    <w:p>
      <w:pPr>
        <w:pStyle w:val="5"/>
        <w:rPr>
          <w:rFonts w:eastAsia="仿宋"/>
        </w:rPr>
      </w:pPr>
      <w:bookmarkStart w:id="66" w:name="_Toc15396631"/>
      <w:r>
        <w:rPr>
          <w:rStyle w:val="28"/>
          <w:rFonts w:hint="eastAsia" w:ascii="仿宋" w:hAnsi="仿宋" w:eastAsia="仿宋"/>
          <w:b w:val="0"/>
          <w:bCs w:val="0"/>
        </w:rPr>
        <w:t>十三、</w:t>
      </w:r>
      <w:bookmarkEnd w:id="66"/>
      <w:r>
        <w:rPr>
          <w:rStyle w:val="28"/>
          <w:rFonts w:hint="eastAsia" w:ascii="仿宋" w:hAnsi="仿宋" w:eastAsia="仿宋"/>
          <w:b w:val="0"/>
          <w:bCs w:val="0"/>
        </w:rPr>
        <w:t>财政拨款“三公”经费支出决算表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5407816-DEDF-44D0-9312-34B3174D64B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B42FD447-513E-45D0-A97B-78A97CBE8D96}"/>
  </w:font>
  <w:font w:name="Cambria">
    <w:panose1 w:val="02040503050406030204"/>
    <w:charset w:val="00"/>
    <w:family w:val="roman"/>
    <w:pitch w:val="default"/>
    <w:sig w:usb0="E00006FF" w:usb1="420024FF" w:usb2="02000000" w:usb3="00000000" w:csb0="2000019F" w:csb1="00000000"/>
    <w:embedRegular r:id="rId3" w:fontKey="{B44870D7-51C6-4A9C-8F30-420A969DE33B}"/>
  </w:font>
  <w:font w:name="仿宋_GB2312">
    <w:altName w:val="仿宋"/>
    <w:panose1 w:val="00000000000000000000"/>
    <w:charset w:val="86"/>
    <w:family w:val="modern"/>
    <w:pitch w:val="default"/>
    <w:sig w:usb0="00000000" w:usb1="00000000" w:usb2="00000000" w:usb3="00000000" w:csb0="00040000" w:csb1="00000000"/>
    <w:embedRegular r:id="rId4" w:fontKey="{8DE1E4B5-692B-4C5C-A19E-5012833D1ECE}"/>
  </w:font>
  <w:font w:name="仿宋">
    <w:panose1 w:val="02010609060101010101"/>
    <w:charset w:val="86"/>
    <w:family w:val="modern"/>
    <w:pitch w:val="default"/>
    <w:sig w:usb0="800002BF" w:usb1="38CF7CFA" w:usb2="00000016" w:usb3="00000000" w:csb0="00040001" w:csb1="00000000"/>
    <w:embedRegular r:id="rId5" w:fontKey="{3959E674-DE0E-4E18-8BD9-8757F22DA36A}"/>
  </w:font>
  <w:font w:name="方正小标宋简体">
    <w:panose1 w:val="02000000000000000000"/>
    <w:charset w:val="86"/>
    <w:family w:val="script"/>
    <w:pitch w:val="default"/>
    <w:sig w:usb0="00000001" w:usb1="08000000" w:usb2="00000000" w:usb3="00000000" w:csb0="00040000" w:csb1="00000000"/>
    <w:embedRegular r:id="rId6" w:fontKey="{9DF3BE2F-5779-4012-BB44-27A00886403A}"/>
  </w:font>
  <w:font w:name="楷体_GB2312">
    <w:altName w:val="楷体"/>
    <w:panose1 w:val="00000000000000000000"/>
    <w:charset w:val="86"/>
    <w:family w:val="auto"/>
    <w:pitch w:val="default"/>
    <w:sig w:usb0="00000000" w:usb1="00000000" w:usb2="00000000" w:usb3="00000000" w:csb0="00040000" w:csb1="00000000"/>
    <w:embedRegular r:id="rId7" w:fontKey="{1DE31281-9DFE-4E85-93C3-D11CA5CD2A21}"/>
  </w:font>
  <w:font w:name="华文中宋">
    <w:panose1 w:val="02010600040101010101"/>
    <w:charset w:val="86"/>
    <w:family w:val="auto"/>
    <w:pitch w:val="default"/>
    <w:sig w:usb0="00000287" w:usb1="080F0000" w:usb2="00000000" w:usb3="00000000" w:csb0="0004009F" w:csb1="DFD70000"/>
    <w:embedRegular r:id="rId8" w:fontKey="{24DFD47E-F3C5-4FE5-A51F-E095D23DEC7E}"/>
  </w:font>
  <w:font w:name="华文楷体">
    <w:panose1 w:val="02010600040101010101"/>
    <w:charset w:val="86"/>
    <w:family w:val="auto"/>
    <w:pitch w:val="default"/>
    <w:sig w:usb0="00000287" w:usb1="080F0000" w:usb2="00000000" w:usb3="00000000" w:csb0="0004009F" w:csb1="DFD70000"/>
    <w:embedRegular r:id="rId9" w:fontKey="{22E7B3CC-9B11-40F0-A591-EDA97472ABEC}"/>
  </w:font>
  <w:font w:name="微软雅黑">
    <w:panose1 w:val="020B0503020204020204"/>
    <w:charset w:val="86"/>
    <w:family w:val="auto"/>
    <w:pitch w:val="default"/>
    <w:sig w:usb0="80000287" w:usb1="2ACF3C50" w:usb2="00000016" w:usb3="00000000" w:csb0="0004001F" w:csb1="00000000"/>
    <w:embedRegular r:id="rId10" w:fontKey="{CA784E11-6DD1-4D4A-A2FD-ABC36EFAFA98}"/>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0"/>
          <w:jc w:val="center"/>
        </w:pPr>
        <w:r>
          <w:fldChar w:fldCharType="begin"/>
        </w:r>
        <w:r>
          <w:instrText xml:space="preserve">PAGE   \* MERGEFORMAT</w:instrText>
        </w:r>
        <w:r>
          <w:fldChar w:fldCharType="separate"/>
        </w:r>
        <w:r>
          <w:rPr>
            <w:lang w:val="zh-CN"/>
          </w:rPr>
          <w:t>2</w:t>
        </w:r>
        <w: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EE4541"/>
    <w:multiLevelType w:val="singleLevel"/>
    <w:tmpl w:val="93EE4541"/>
    <w:lvl w:ilvl="0" w:tentative="0">
      <w:start w:val="1"/>
      <w:numFmt w:val="chineseCounting"/>
      <w:suff w:val="nothing"/>
      <w:lvlText w:val="%1、"/>
      <w:lvlJc w:val="left"/>
      <w:rPr>
        <w:rFonts w:hint="eastAsia"/>
      </w:rPr>
    </w:lvl>
  </w:abstractNum>
  <w:abstractNum w:abstractNumId="1">
    <w:nsid w:val="9EE6C132"/>
    <w:multiLevelType w:val="singleLevel"/>
    <w:tmpl w:val="9EE6C132"/>
    <w:lvl w:ilvl="0" w:tentative="0">
      <w:start w:val="2"/>
      <w:numFmt w:val="chineseCounting"/>
      <w:suff w:val="nothing"/>
      <w:lvlText w:val="（%1）"/>
      <w:lvlJc w:val="left"/>
      <w:rPr>
        <w:rFonts w:hint="eastAsia"/>
      </w:rPr>
    </w:lvl>
  </w:abstractNum>
  <w:abstractNum w:abstractNumId="2">
    <w:nsid w:val="CF652CEC"/>
    <w:multiLevelType w:val="singleLevel"/>
    <w:tmpl w:val="CF652CEC"/>
    <w:lvl w:ilvl="0" w:tentative="0">
      <w:start w:val="9"/>
      <w:numFmt w:val="chineseCounting"/>
      <w:suff w:val="nothing"/>
      <w:lvlText w:val="%1、"/>
      <w:lvlJc w:val="left"/>
      <w:rPr>
        <w:rFonts w:hint="eastAsia"/>
      </w:rPr>
    </w:lvl>
  </w:abstractNum>
  <w:abstractNum w:abstractNumId="3">
    <w:nsid w:val="DAF9C5CE"/>
    <w:multiLevelType w:val="singleLevel"/>
    <w:tmpl w:val="DAF9C5CE"/>
    <w:lvl w:ilvl="0" w:tentative="0">
      <w:start w:val="3"/>
      <w:numFmt w:val="decimal"/>
      <w:lvlText w:val="%1."/>
      <w:lvlJc w:val="left"/>
      <w:pPr>
        <w:tabs>
          <w:tab w:val="left" w:pos="312"/>
        </w:tabs>
      </w:pPr>
    </w:lvl>
  </w:abstractNum>
  <w:abstractNum w:abstractNumId="4">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5">
    <w:nsid w:val="FFF674BC"/>
    <w:multiLevelType w:val="singleLevel"/>
    <w:tmpl w:val="FFF674BC"/>
    <w:lvl w:ilvl="0" w:tentative="0">
      <w:start w:val="1"/>
      <w:numFmt w:val="chineseCounting"/>
      <w:suff w:val="nothing"/>
      <w:lvlText w:val="%1、"/>
      <w:lvlJc w:val="left"/>
      <w:rPr>
        <w:rFonts w:hint="eastAsia"/>
      </w:rPr>
    </w:lvl>
  </w:abstractNum>
  <w:abstractNum w:abstractNumId="6">
    <w:nsid w:val="0376FCE7"/>
    <w:multiLevelType w:val="singleLevel"/>
    <w:tmpl w:val="0376FCE7"/>
    <w:lvl w:ilvl="0" w:tentative="0">
      <w:start w:val="2"/>
      <w:numFmt w:val="chineseCounting"/>
      <w:suff w:val="nothing"/>
      <w:lvlText w:val="（%1）"/>
      <w:lvlJc w:val="left"/>
      <w:rPr>
        <w:rFonts w:hint="eastAsia"/>
      </w:rPr>
    </w:lvl>
  </w:abstractNum>
  <w:abstractNum w:abstractNumId="7">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8">
    <w:nsid w:val="3818A09A"/>
    <w:multiLevelType w:val="singleLevel"/>
    <w:tmpl w:val="3818A09A"/>
    <w:lvl w:ilvl="0" w:tentative="0">
      <w:start w:val="1"/>
      <w:numFmt w:val="chineseCounting"/>
      <w:suff w:val="nothing"/>
      <w:lvlText w:val="%1、"/>
      <w:lvlJc w:val="left"/>
      <w:rPr>
        <w:rFonts w:hint="eastAsia"/>
      </w:rPr>
    </w:lvl>
  </w:abstractNum>
  <w:num w:numId="1">
    <w:abstractNumId w:val="8"/>
  </w:num>
  <w:num w:numId="2">
    <w:abstractNumId w:val="7"/>
  </w:num>
  <w:num w:numId="3">
    <w:abstractNumId w:val="3"/>
  </w:num>
  <w:num w:numId="4">
    <w:abstractNumId w:val="2"/>
  </w:num>
  <w:num w:numId="5">
    <w:abstractNumId w:val="4"/>
  </w:num>
  <w:num w:numId="6">
    <w:abstractNumId w:val="5"/>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1M2VjZDNkNmI4OWZkMThmMzE1MjhjOWI3MzQzN2E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A3C1B"/>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C7CD4"/>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87AA4"/>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0E31"/>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575B9"/>
    <w:rsid w:val="0096294D"/>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873A9"/>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A67974"/>
    <w:rsid w:val="053A62B5"/>
    <w:rsid w:val="06543A34"/>
    <w:rsid w:val="092B1BC6"/>
    <w:rsid w:val="0A2032A3"/>
    <w:rsid w:val="0B8A37D8"/>
    <w:rsid w:val="0E1526CF"/>
    <w:rsid w:val="10BB6C54"/>
    <w:rsid w:val="10C055FF"/>
    <w:rsid w:val="118107EC"/>
    <w:rsid w:val="11DD6519"/>
    <w:rsid w:val="16BB723D"/>
    <w:rsid w:val="18015F3F"/>
    <w:rsid w:val="1A4E4275"/>
    <w:rsid w:val="1BE8440E"/>
    <w:rsid w:val="1D155CEE"/>
    <w:rsid w:val="20F57F95"/>
    <w:rsid w:val="223C6316"/>
    <w:rsid w:val="240371BF"/>
    <w:rsid w:val="25711CC6"/>
    <w:rsid w:val="25C741E6"/>
    <w:rsid w:val="27842671"/>
    <w:rsid w:val="27DE71E0"/>
    <w:rsid w:val="29A22FC4"/>
    <w:rsid w:val="29FD04D3"/>
    <w:rsid w:val="2ABE7A3E"/>
    <w:rsid w:val="2B08576B"/>
    <w:rsid w:val="2CA234A8"/>
    <w:rsid w:val="2DF839B9"/>
    <w:rsid w:val="2EFA178C"/>
    <w:rsid w:val="30B46D73"/>
    <w:rsid w:val="319F7F4E"/>
    <w:rsid w:val="32FC6E90"/>
    <w:rsid w:val="331A7ACF"/>
    <w:rsid w:val="383D272C"/>
    <w:rsid w:val="39AE70AB"/>
    <w:rsid w:val="3C0C0783"/>
    <w:rsid w:val="3E75078E"/>
    <w:rsid w:val="3E852F01"/>
    <w:rsid w:val="3F9F3A96"/>
    <w:rsid w:val="40516461"/>
    <w:rsid w:val="417568A7"/>
    <w:rsid w:val="42C27D1A"/>
    <w:rsid w:val="4435587C"/>
    <w:rsid w:val="479D458B"/>
    <w:rsid w:val="48BF60AB"/>
    <w:rsid w:val="493C27E9"/>
    <w:rsid w:val="496F39ED"/>
    <w:rsid w:val="49FF41D3"/>
    <w:rsid w:val="4A395D93"/>
    <w:rsid w:val="4BE068DB"/>
    <w:rsid w:val="4BF6002B"/>
    <w:rsid w:val="4C5940FC"/>
    <w:rsid w:val="4ECE2238"/>
    <w:rsid w:val="4FE6773D"/>
    <w:rsid w:val="51DB4B86"/>
    <w:rsid w:val="51DD6BC9"/>
    <w:rsid w:val="55333C3E"/>
    <w:rsid w:val="55970E92"/>
    <w:rsid w:val="56E311CA"/>
    <w:rsid w:val="56F6723B"/>
    <w:rsid w:val="58975A79"/>
    <w:rsid w:val="58A34F2D"/>
    <w:rsid w:val="59123351"/>
    <w:rsid w:val="5B6B4F9B"/>
    <w:rsid w:val="621C4EBB"/>
    <w:rsid w:val="64CA39A1"/>
    <w:rsid w:val="67670D0C"/>
    <w:rsid w:val="684352D5"/>
    <w:rsid w:val="69630ADE"/>
    <w:rsid w:val="697A612D"/>
    <w:rsid w:val="6AF53BD0"/>
    <w:rsid w:val="6C4A05C8"/>
    <w:rsid w:val="6D3B1A89"/>
    <w:rsid w:val="71BF4EC2"/>
    <w:rsid w:val="72734D90"/>
    <w:rsid w:val="7412278C"/>
    <w:rsid w:val="75E84F51"/>
    <w:rsid w:val="77497EFA"/>
    <w:rsid w:val="79AB3BA5"/>
    <w:rsid w:val="79E7B28D"/>
    <w:rsid w:val="7A904E88"/>
    <w:rsid w:val="7D7240DD"/>
    <w:rsid w:val="7F461050"/>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31"/>
    <w:unhideWhenUsed/>
    <w:qFormat/>
    <w:uiPriority w:val="9"/>
    <w:pPr>
      <w:keepNext/>
      <w:keepLines/>
      <w:spacing w:before="260" w:after="260" w:line="416" w:lineRule="auto"/>
      <w:outlineLvl w:val="2"/>
    </w:pPr>
    <w:rPr>
      <w:b/>
      <w:bCs/>
      <w:sz w:val="32"/>
      <w:szCs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ascii="Times New Roman" w:hAnsi="Times New Roman" w:eastAsia="宋体" w:cs="Times New Roman"/>
    </w:rPr>
  </w:style>
  <w:style w:type="paragraph" w:styleId="3">
    <w:name w:val="Body Text Indent"/>
    <w:basedOn w:val="1"/>
    <w:qFormat/>
    <w:uiPriority w:val="0"/>
    <w:pPr>
      <w:spacing w:line="560" w:lineRule="exact"/>
      <w:ind w:firstLine="640" w:firstLineChars="200"/>
      <w:jc w:val="left"/>
    </w:pPr>
    <w:rPr>
      <w:rFonts w:ascii="仿宋_GB2312" w:eastAsia="仿宋_GB2312"/>
      <w:sz w:val="32"/>
    </w:rPr>
  </w:style>
  <w:style w:type="paragraph" w:styleId="7">
    <w:name w:val="Body Text"/>
    <w:basedOn w:val="1"/>
    <w:link w:val="24"/>
    <w:qFormat/>
    <w:uiPriority w:val="99"/>
    <w:pPr>
      <w:spacing w:beforeLines="30"/>
    </w:pPr>
    <w:rPr>
      <w:rFonts w:ascii="仿宋_GB2312" w:eastAsia="仿宋_GB2312"/>
      <w:kern w:val="0"/>
      <w:sz w:val="30"/>
    </w:r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30"/>
    <w:semiHidden/>
    <w:unhideWhenUsed/>
    <w:qFormat/>
    <w:uiPriority w:val="99"/>
    <w:rPr>
      <w:sz w:val="18"/>
      <w:szCs w:val="18"/>
    </w:rPr>
  </w:style>
  <w:style w:type="paragraph" w:styleId="10">
    <w:name w:val="footer"/>
    <w:basedOn w:val="1"/>
    <w:link w:val="22"/>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0"/>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paragraph" w:styleId="14">
    <w:name w:val="Normal (Web)"/>
    <w:basedOn w:val="1"/>
    <w:qFormat/>
    <w:uiPriority w:val="99"/>
    <w:pPr>
      <w:spacing w:beforeAutospacing="1" w:afterAutospacing="1"/>
      <w:jc w:val="left"/>
    </w:pPr>
    <w:rPr>
      <w:kern w:val="0"/>
      <w:sz w:val="24"/>
      <w:szCs w:val="24"/>
    </w:rPr>
  </w:style>
  <w:style w:type="character" w:styleId="17">
    <w:name w:val="Strong"/>
    <w:basedOn w:val="16"/>
    <w:qFormat/>
    <w:uiPriority w:val="99"/>
    <w:rPr>
      <w:b/>
    </w:rPr>
  </w:style>
  <w:style w:type="character" w:styleId="18">
    <w:name w:val="Hyperlink"/>
    <w:basedOn w:val="16"/>
    <w:unhideWhenUsed/>
    <w:qFormat/>
    <w:uiPriority w:val="99"/>
    <w:rPr>
      <w:color w:val="0000FF" w:themeColor="hyperlink"/>
      <w:u w:val="single"/>
      <w14:textFill>
        <w14:solidFill>
          <w14:schemeClr w14:val="hlink"/>
        </w14:solidFill>
      </w14:textFill>
    </w:rPr>
  </w:style>
  <w:style w:type="character" w:customStyle="1" w:styleId="19">
    <w:name w:val="Header Char"/>
    <w:basedOn w:val="16"/>
    <w:semiHidden/>
    <w:qFormat/>
    <w:uiPriority w:val="99"/>
    <w:rPr>
      <w:rFonts w:ascii="Times New Roman" w:hAnsi="Times New Roman"/>
      <w:sz w:val="18"/>
      <w:szCs w:val="18"/>
    </w:rPr>
  </w:style>
  <w:style w:type="character" w:customStyle="1" w:styleId="20">
    <w:name w:val="页眉 字符"/>
    <w:link w:val="11"/>
    <w:semiHidden/>
    <w:qFormat/>
    <w:locked/>
    <w:uiPriority w:val="99"/>
    <w:rPr>
      <w:sz w:val="18"/>
    </w:rPr>
  </w:style>
  <w:style w:type="character" w:customStyle="1" w:styleId="21">
    <w:name w:val="Footer Char"/>
    <w:basedOn w:val="16"/>
    <w:semiHidden/>
    <w:qFormat/>
    <w:uiPriority w:val="99"/>
    <w:rPr>
      <w:rFonts w:ascii="Times New Roman" w:hAnsi="Times New Roman"/>
      <w:sz w:val="18"/>
      <w:szCs w:val="18"/>
    </w:rPr>
  </w:style>
  <w:style w:type="character" w:customStyle="1" w:styleId="22">
    <w:name w:val="页脚 字符"/>
    <w:link w:val="10"/>
    <w:qFormat/>
    <w:locked/>
    <w:uiPriority w:val="99"/>
    <w:rPr>
      <w:sz w:val="18"/>
    </w:rPr>
  </w:style>
  <w:style w:type="character" w:customStyle="1" w:styleId="23">
    <w:name w:val="Body Text Char"/>
    <w:basedOn w:val="16"/>
    <w:semiHidden/>
    <w:qFormat/>
    <w:uiPriority w:val="99"/>
    <w:rPr>
      <w:rFonts w:ascii="Times New Roman" w:hAnsi="Times New Roman"/>
      <w:szCs w:val="24"/>
    </w:rPr>
  </w:style>
  <w:style w:type="character" w:customStyle="1" w:styleId="24">
    <w:name w:val="正文文本 字符"/>
    <w:link w:val="7"/>
    <w:qFormat/>
    <w:locked/>
    <w:uiPriority w:val="99"/>
    <w:rPr>
      <w:rFonts w:ascii="仿宋_GB2312" w:hAnsi="Times New Roman" w:eastAsia="仿宋_GB2312"/>
      <w:sz w:val="24"/>
    </w:rPr>
  </w:style>
  <w:style w:type="paragraph" w:customStyle="1" w:styleId="25">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6">
    <w:name w:val="List Paragraph"/>
    <w:basedOn w:val="1"/>
    <w:qFormat/>
    <w:uiPriority w:val="34"/>
    <w:pPr>
      <w:ind w:firstLine="420" w:firstLineChars="200"/>
    </w:pPr>
  </w:style>
  <w:style w:type="character" w:customStyle="1" w:styleId="27">
    <w:name w:val="标题 1 字符"/>
    <w:basedOn w:val="16"/>
    <w:link w:val="4"/>
    <w:qFormat/>
    <w:uiPriority w:val="9"/>
    <w:rPr>
      <w:rFonts w:ascii="Times New Roman" w:hAnsi="Times New Roman"/>
      <w:b/>
      <w:bCs/>
      <w:kern w:val="44"/>
      <w:sz w:val="44"/>
      <w:szCs w:val="44"/>
    </w:rPr>
  </w:style>
  <w:style w:type="character" w:customStyle="1" w:styleId="28">
    <w:name w:val="标题 2 字符"/>
    <w:basedOn w:val="16"/>
    <w:link w:val="5"/>
    <w:qFormat/>
    <w:uiPriority w:val="9"/>
    <w:rPr>
      <w:rFonts w:asciiTheme="majorHAnsi" w:hAnsiTheme="majorHAnsi" w:eastAsiaTheme="majorEastAsia" w:cstheme="majorBidi"/>
      <w:b/>
      <w:bCs/>
      <w:kern w:val="2"/>
      <w:sz w:val="32"/>
      <w:szCs w:val="32"/>
    </w:rPr>
  </w:style>
  <w:style w:type="paragraph" w:customStyle="1" w:styleId="29">
    <w:name w:val="TOC 标题1"/>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0">
    <w:name w:val="批注框文本 字符"/>
    <w:basedOn w:val="16"/>
    <w:link w:val="9"/>
    <w:semiHidden/>
    <w:qFormat/>
    <w:uiPriority w:val="99"/>
    <w:rPr>
      <w:rFonts w:ascii="Times New Roman" w:hAnsi="Times New Roman"/>
      <w:kern w:val="2"/>
      <w:sz w:val="18"/>
      <w:szCs w:val="18"/>
    </w:rPr>
  </w:style>
  <w:style w:type="character" w:customStyle="1" w:styleId="31">
    <w:name w:val="标题 3 字符"/>
    <w:basedOn w:val="16"/>
    <w:link w:val="6"/>
    <w:qFormat/>
    <w:uiPriority w:val="9"/>
    <w:rPr>
      <w:rFonts w:ascii="Times New Roman" w:hAnsi="Times New Roman"/>
      <w:b/>
      <w:bCs/>
      <w:kern w:val="2"/>
      <w:sz w:val="32"/>
      <w:szCs w:val="32"/>
    </w:rPr>
  </w:style>
  <w:style w:type="paragraph" w:customStyle="1" w:styleId="32">
    <w:name w:val="TOC 标题2"/>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styleId="33">
    <w:name w:val="No Spacing"/>
    <w:qFormat/>
    <w:uiPriority w:val="99"/>
    <w:pPr>
      <w:widowControl w:val="0"/>
      <w:jc w:val="both"/>
    </w:pPr>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24037;&#20316;&#31807;1"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24037;&#20316;&#31807;1"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24037;&#20316;&#31807;1"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收、支决算总计变动图</a:t>
            </a:r>
          </a:p>
        </c:rich>
      </c:tx>
      <c:layout>
        <c:manualLayout>
          <c:xMode val="edge"/>
          <c:yMode val="edge"/>
          <c:x val="0.288947368421053"/>
          <c:y val="0.0527777777777778"/>
        </c:manualLayout>
      </c:layout>
      <c:overlay val="0"/>
      <c:spPr>
        <a:noFill/>
        <a:ln>
          <a:noFill/>
        </a:ln>
        <a:effectLst/>
      </c:spPr>
    </c:title>
    <c:autoTitleDeleted val="0"/>
    <c:plotArea>
      <c:layout/>
      <c:barChart>
        <c:barDir val="col"/>
        <c:grouping val="clustered"/>
        <c:varyColors val="0"/>
        <c:ser>
          <c:idx val="0"/>
          <c:order val="0"/>
          <c:tx>
            <c:strRef>
              <c:f>"2022年"</c:f>
              <c:strCache>
                <c:ptCount val="1"/>
                <c:pt idx="0">
                  <c:v>2022年</c:v>
                </c:pt>
              </c:strCache>
            </c:strRef>
          </c:tx>
          <c:spPr>
            <a:solidFill>
              <a:schemeClr val="accent1"/>
            </a:solidFill>
            <a:ln>
              <a:noFill/>
            </a:ln>
            <a:effectLst/>
          </c:spPr>
          <c:invertIfNegative val="0"/>
          <c:dLbls>
            <c:delete val="1"/>
          </c:dLbls>
          <c:cat>
            <c:strRef>
              <c:f>[工作簿1]Sheet1!$B$1:$C$1</c:f>
              <c:strCache>
                <c:ptCount val="2"/>
                <c:pt idx="0">
                  <c:v>收入</c:v>
                </c:pt>
                <c:pt idx="1">
                  <c:v>支出</c:v>
                </c:pt>
              </c:strCache>
            </c:strRef>
          </c:cat>
          <c:val>
            <c:numRef>
              <c:f>[工作簿1]Sheet1!$B$2:$C$2</c:f>
              <c:numCache>
                <c:formatCode>0.00_ </c:formatCode>
                <c:ptCount val="2"/>
                <c:pt idx="0">
                  <c:v>7378.29</c:v>
                </c:pt>
                <c:pt idx="1" c:formatCode="General">
                  <c:v>7378.29</c:v>
                </c:pt>
              </c:numCache>
            </c:numRef>
          </c:val>
        </c:ser>
        <c:ser>
          <c:idx val="1"/>
          <c:order val="1"/>
          <c:tx>
            <c:strRef>
              <c:f>"2021年"</c:f>
              <c:strCache>
                <c:ptCount val="1"/>
                <c:pt idx="0">
                  <c:v>2021年</c:v>
                </c:pt>
              </c:strCache>
            </c:strRef>
          </c:tx>
          <c:spPr>
            <a:solidFill>
              <a:schemeClr val="accent2"/>
            </a:solidFill>
            <a:ln>
              <a:noFill/>
            </a:ln>
            <a:effectLst/>
          </c:spPr>
          <c:invertIfNegative val="0"/>
          <c:dLbls>
            <c:delete val="1"/>
          </c:dLbls>
          <c:cat>
            <c:strRef>
              <c:f>[工作簿1]Sheet1!$B$1:$C$1</c:f>
              <c:strCache>
                <c:ptCount val="2"/>
                <c:pt idx="0">
                  <c:v>收入</c:v>
                </c:pt>
                <c:pt idx="1">
                  <c:v>支出</c:v>
                </c:pt>
              </c:strCache>
            </c:strRef>
          </c:cat>
          <c:val>
            <c:numRef>
              <c:f>[工作簿1]Sheet1!$B$3:$C$3</c:f>
              <c:numCache>
                <c:formatCode>General</c:formatCode>
                <c:ptCount val="2"/>
                <c:pt idx="0">
                  <c:v>6505.2</c:v>
                </c:pt>
                <c:pt idx="1">
                  <c:v>6505.2</c:v>
                </c:pt>
              </c:numCache>
            </c:numRef>
          </c:val>
        </c:ser>
        <c:dLbls>
          <c:showLegendKey val="0"/>
          <c:showVal val="0"/>
          <c:showCatName val="0"/>
          <c:showSerName val="0"/>
          <c:showPercent val="0"/>
          <c:showBubbleSize val="0"/>
        </c:dLbls>
        <c:gapWidth val="246"/>
        <c:overlap val="-28"/>
        <c:axId val="371063617"/>
        <c:axId val="641457053"/>
      </c:barChart>
      <c:catAx>
        <c:axId val="37106361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41457053"/>
        <c:crosses val="autoZero"/>
        <c:auto val="1"/>
        <c:lblAlgn val="ctr"/>
        <c:lblOffset val="100"/>
        <c:noMultiLvlLbl val="0"/>
      </c:catAx>
      <c:valAx>
        <c:axId val="641457053"/>
        <c:scaling>
          <c:orientation val="minMax"/>
        </c:scaling>
        <c:delete val="0"/>
        <c:axPos val="l"/>
        <c:majorGridlines>
          <c:spPr>
            <a:ln w="9525" cap="flat" cmpd="sng" algn="ctr">
              <a:solidFill>
                <a:schemeClr val="bg1">
                  <a:lumMod val="90200"/>
                </a:schemeClr>
              </a:solidFill>
              <a:round/>
            </a:ln>
            <a:effectLst/>
          </c:spPr>
        </c:majorGridlines>
        <c:numFmt formatCode="0.00_ "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106361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收入决算结构图</a:t>
            </a:r>
          </a:p>
        </c:rich>
      </c:tx>
      <c:layout/>
      <c:overlay val="0"/>
      <c:spPr>
        <a:noFill/>
        <a:ln>
          <a:noFill/>
        </a:ln>
        <a:effectLst/>
      </c:spPr>
    </c:title>
    <c:autoTitleDeleted val="0"/>
    <c:plotArea>
      <c:layout>
        <c:manualLayout>
          <c:layoutTarget val="inner"/>
          <c:xMode val="edge"/>
          <c:yMode val="edge"/>
          <c:x val="0.314934210526316"/>
          <c:y val="0.284027777777778"/>
          <c:w val="0.379605263157895"/>
          <c:h val="0.667824074074074"/>
        </c:manualLayout>
      </c:layout>
      <c:pieChart>
        <c:varyColors val="1"/>
        <c:ser>
          <c:idx val="0"/>
          <c:order val="0"/>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Lbls>
            <c:dLbl>
              <c:idx val="0"/>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t>9</a:t>
                    </a:r>
                    <a:r>
                      <a:rPr lang="en-US" altLang="zh-CN"/>
                      <a:t>2.68</a:t>
                    </a:r>
                    <a:r>
                      <a:t>%</a:t>
                    </a:r>
                  </a:p>
                </c:rich>
              </c:tx>
              <c:dLblPos val="inEnd"/>
              <c:showLegendKey val="0"/>
              <c:showVal val="0"/>
              <c:showCatName val="0"/>
              <c:showSerName val="0"/>
              <c:showPercent val="1"/>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t>7</a:t>
                    </a:r>
                    <a:r>
                      <a:rPr lang="en-US" altLang="zh-CN"/>
                      <a:t>.32</a:t>
                    </a:r>
                    <a:r>
                      <a:t>%</a:t>
                    </a:r>
                  </a:p>
                </c:rich>
              </c:tx>
              <c:dLblPos val="inEnd"/>
              <c:showLegendKey val="0"/>
              <c:showVal val="0"/>
              <c:showCatName val="0"/>
              <c:showSerName val="0"/>
              <c:showPercent val="1"/>
              <c:showBubbleSize val="0"/>
              <c:extLst>
                <c:ext xmlns:c15="http://schemas.microsoft.com/office/drawing/2012/chart" uri="{CE6537A1-D6FC-4f65-9D91-7224C49458BB}"/>
              </c:extLst>
            </c:dLbl>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[工作簿1]Sheet1!$B$1:$C$1</c:f>
              <c:strCache>
                <c:ptCount val="2"/>
                <c:pt idx="0">
                  <c:v>一般公共预算财政拨款收入</c:v>
                </c:pt>
                <c:pt idx="1">
                  <c:v>事业收入</c:v>
                </c:pt>
              </c:strCache>
            </c:strRef>
          </c:cat>
          <c:val>
            <c:numRef>
              <c:f>[工作簿1]Sheet1!$B$2:$C$2</c:f>
              <c:numCache>
                <c:formatCode>General</c:formatCode>
                <c:ptCount val="2"/>
                <c:pt idx="0">
                  <c:v>6838.29</c:v>
                </c:pt>
                <c:pt idx="1">
                  <c:v>540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支出决算结构图</a:t>
            </a:r>
          </a:p>
        </c:rich>
      </c:tx>
      <c:layout/>
      <c:overlay val="0"/>
      <c:spPr>
        <a:noFill/>
        <a:ln>
          <a:noFill/>
        </a:ln>
        <a:effectLst/>
      </c:spPr>
    </c:title>
    <c:autoTitleDeleted val="0"/>
    <c:plotArea>
      <c:layout/>
      <c:pieChart>
        <c:varyColors val="1"/>
        <c:ser>
          <c:idx val="0"/>
          <c:order val="0"/>
          <c:spPr/>
          <c:explosion val="0"/>
          <c:dPt>
            <c:idx val="0"/>
            <c:bubble3D val="0"/>
            <c:spPr>
              <a:gradFill>
                <a:gsLst>
                  <a:gs pos="0">
                    <a:schemeClr val="accent1">
                      <a:lumMod val="40000"/>
                      <a:lumOff val="60000"/>
                    </a:schemeClr>
                  </a:gs>
                  <a:gs pos="90000">
                    <a:schemeClr val="accent1"/>
                  </a:gs>
                </a:gsLst>
                <a:lin ang="5400000" scaled="0"/>
              </a:gradFill>
              <a:ln>
                <a:gradFill>
                  <a:gsLst>
                    <a:gs pos="0">
                      <a:schemeClr val="accent1"/>
                    </a:gs>
                    <a:gs pos="100000">
                      <a:schemeClr val="accent1">
                        <a:lumMod val="75000"/>
                      </a:schemeClr>
                    </a:gs>
                  </a:gsLst>
                  <a:lin ang="5400000" scaled="1"/>
                </a:gradFill>
              </a:ln>
              <a:effectLst>
                <a:outerShdw blurRad="76200" dist="25400" dir="2700000" algn="tl" rotWithShape="0">
                  <a:schemeClr val="accent1">
                    <a:lumMod val="50000"/>
                    <a:alpha val="30000"/>
                  </a:schemeClr>
                </a:outerShdw>
              </a:effectLst>
            </c:spPr>
          </c:dPt>
          <c:dPt>
            <c:idx val="1"/>
            <c:bubble3D val="0"/>
            <c:spPr>
              <a:gradFill>
                <a:gsLst>
                  <a:gs pos="0">
                    <a:schemeClr val="accent2">
                      <a:lumMod val="40000"/>
                      <a:lumOff val="60000"/>
                    </a:schemeClr>
                  </a:gs>
                  <a:gs pos="90000">
                    <a:schemeClr val="accent2"/>
                  </a:gs>
                </a:gsLst>
                <a:lin ang="5400000" scaled="0"/>
              </a:gradFill>
              <a:ln>
                <a:gradFill>
                  <a:gsLst>
                    <a:gs pos="0">
                      <a:schemeClr val="accent2"/>
                    </a:gs>
                    <a:gs pos="100000">
                      <a:schemeClr val="accent2">
                        <a:lumMod val="75000"/>
                      </a:schemeClr>
                    </a:gs>
                  </a:gsLst>
                  <a:lin ang="5400000" scaled="1"/>
                </a:gradFill>
              </a:ln>
              <a:effectLst>
                <a:outerShdw blurRad="76200" dist="25400" dir="2700000" algn="tl" rotWithShape="0">
                  <a:schemeClr val="accent2">
                    <a:lumMod val="50000"/>
                    <a:alpha val="30000"/>
                  </a:schemeClr>
                </a:outerShdw>
              </a:effectLst>
            </c:spPr>
          </c:dPt>
          <c:dLbls>
            <c:dLbl>
              <c:idx val="0"/>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t>基本支出93</a:t>
                    </a:r>
                    <a:r>
                      <a:rPr lang="en-US" altLang="zh-CN"/>
                      <a:t>.32</a:t>
                    </a:r>
                    <a:r>
                      <a:t>%</a:t>
                    </a:r>
                  </a:p>
                </c:rich>
              </c:tx>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t>项目支出</a:t>
                    </a:r>
                  </a:p>
                  <a:p>
                    <a:pPr defTabSz="914400">
                      <a:defRPr lang="zh-CN" sz="1000" b="0" i="0" u="none" strike="noStrike" kern="1200" baseline="0">
                        <a:solidFill>
                          <a:schemeClr val="tx1">
                            <a:lumMod val="75000"/>
                            <a:lumOff val="25000"/>
                          </a:schemeClr>
                        </a:solidFill>
                        <a:latin typeface="+mn-lt"/>
                        <a:ea typeface="+mn-ea"/>
                        <a:cs typeface="+mn-cs"/>
                      </a:defRPr>
                    </a:pPr>
                    <a:r>
                      <a:rPr lang="en-US" altLang="zh-CN"/>
                      <a:t>6.68</a:t>
                    </a:r>
                    <a:r>
                      <a:t>%</a:t>
                    </a:r>
                  </a:p>
                </c:rich>
              </c:tx>
              <c:dLblPos val="inEnd"/>
              <c:showLegendKey val="0"/>
              <c:showVal val="0"/>
              <c:showCatName val="1"/>
              <c:showSerName val="0"/>
              <c:showPercent val="1"/>
              <c:showBubbleSize val="0"/>
              <c:separator>
</c:separator>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[工作簿1]Sheet1!$B$1:$C$1</c:f>
              <c:strCache>
                <c:ptCount val="2"/>
                <c:pt idx="0">
                  <c:v>基本支出</c:v>
                </c:pt>
                <c:pt idx="1">
                  <c:v>项目支出</c:v>
                </c:pt>
              </c:strCache>
            </c:strRef>
          </c:cat>
          <c:val>
            <c:numRef>
              <c:f>[工作簿1]Sheet1!$B$2:$C$2</c:f>
              <c:numCache>
                <c:formatCode>General</c:formatCode>
                <c:ptCount val="2"/>
                <c:pt idx="0">
                  <c:v>6885.29</c:v>
                </c:pt>
                <c:pt idx="1">
                  <c:v>493</c:v>
                </c:pt>
              </c:numCache>
            </c:numRef>
          </c:val>
        </c:ser>
        <c:dLbls>
          <c:showLegendKey val="0"/>
          <c:showVal val="0"/>
          <c:showCatName val="1"/>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财政拨款收、支决算总计变动情况</a:t>
            </a:r>
          </a:p>
        </c:rich>
      </c:tx>
      <c:layout/>
      <c:overlay val="0"/>
      <c:spPr>
        <a:noFill/>
        <a:ln>
          <a:noFill/>
        </a:ln>
        <a:effectLst/>
      </c:spPr>
    </c:title>
    <c:autoTitleDeleted val="0"/>
    <c:plotArea>
      <c:layout/>
      <c:barChart>
        <c:barDir val="col"/>
        <c:grouping val="clustered"/>
        <c:varyColors val="0"/>
        <c:ser>
          <c:idx val="0"/>
          <c:order val="0"/>
          <c:tx>
            <c:strRef>
              <c:f>"2022年"</c:f>
              <c:strCache>
                <c:ptCount val="1"/>
                <c:pt idx="0">
                  <c:v>2022年</c:v>
                </c:pt>
              </c:strCache>
            </c:strRef>
          </c:tx>
          <c:spPr>
            <a:solidFill>
              <a:schemeClr val="accent1"/>
            </a:solidFill>
            <a:ln>
              <a:noFill/>
            </a:ln>
            <a:effectLst/>
          </c:spPr>
          <c:invertIfNegative val="0"/>
          <c:dLbls>
            <c:delete val="1"/>
          </c:dLbls>
          <c:cat>
            <c:strRef>
              <c:f>[工作簿1]Sheet1!$B$1:$C$1</c:f>
              <c:strCache>
                <c:ptCount val="2"/>
                <c:pt idx="0">
                  <c:v>收入</c:v>
                </c:pt>
                <c:pt idx="1">
                  <c:v>支出</c:v>
                </c:pt>
              </c:strCache>
            </c:strRef>
          </c:cat>
          <c:val>
            <c:numRef>
              <c:f>[工作簿1]Sheet1!$B$2:$C$2</c:f>
              <c:numCache>
                <c:formatCode>General</c:formatCode>
                <c:ptCount val="2"/>
                <c:pt idx="0">
                  <c:v>6838.29</c:v>
                </c:pt>
                <c:pt idx="1" c:formatCode="0.00_ ">
                  <c:v>6838.29</c:v>
                </c:pt>
              </c:numCache>
            </c:numRef>
          </c:val>
        </c:ser>
        <c:ser>
          <c:idx val="1"/>
          <c:order val="1"/>
          <c:tx>
            <c:strRef>
              <c:f>"2021年"</c:f>
              <c:strCache>
                <c:ptCount val="1"/>
                <c:pt idx="0">
                  <c:v>2021年</c:v>
                </c:pt>
              </c:strCache>
            </c:strRef>
          </c:tx>
          <c:spPr>
            <a:solidFill>
              <a:schemeClr val="accent2"/>
            </a:solidFill>
            <a:ln>
              <a:noFill/>
            </a:ln>
            <a:effectLst/>
          </c:spPr>
          <c:invertIfNegative val="0"/>
          <c:dLbls>
            <c:delete val="1"/>
          </c:dLbls>
          <c:cat>
            <c:strRef>
              <c:f>[工作簿1]Sheet1!$B$1:$C$1</c:f>
              <c:strCache>
                <c:ptCount val="2"/>
                <c:pt idx="0">
                  <c:v>收入</c:v>
                </c:pt>
                <c:pt idx="1">
                  <c:v>支出</c:v>
                </c:pt>
              </c:strCache>
            </c:strRef>
          </c:cat>
          <c:val>
            <c:numRef>
              <c:f>[工作簿1]Sheet1!$B$3:$C$3</c:f>
              <c:numCache>
                <c:formatCode>General</c:formatCode>
                <c:ptCount val="2"/>
                <c:pt idx="0">
                  <c:v>5969.2</c:v>
                </c:pt>
                <c:pt idx="1">
                  <c:v>5969.2</c:v>
                </c:pt>
              </c:numCache>
            </c:numRef>
          </c:val>
        </c:ser>
        <c:dLbls>
          <c:showLegendKey val="0"/>
          <c:showVal val="0"/>
          <c:showCatName val="0"/>
          <c:showSerName val="0"/>
          <c:showPercent val="0"/>
          <c:showBubbleSize val="0"/>
        </c:dLbls>
        <c:gapWidth val="246"/>
        <c:overlap val="-28"/>
        <c:axId val="372615997"/>
        <c:axId val="122132693"/>
      </c:barChart>
      <c:catAx>
        <c:axId val="37261599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2132693"/>
        <c:crosses val="autoZero"/>
        <c:auto val="1"/>
        <c:lblAlgn val="ctr"/>
        <c:lblOffset val="100"/>
        <c:noMultiLvlLbl val="0"/>
      </c:catAx>
      <c:valAx>
        <c:axId val="122132693"/>
        <c:scaling>
          <c:orientation val="minMax"/>
        </c:scaling>
        <c:delete val="0"/>
        <c:axPos val="l"/>
        <c:majorGridlines>
          <c:spPr>
            <a:ln w="9525" cap="flat" cmpd="sng" algn="ctr">
              <a:solidFill>
                <a:schemeClr val="bg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261599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一般公共预算财政拨款支出决算变动情况</a:t>
            </a:r>
          </a:p>
        </c:rich>
      </c:tx>
      <c:layout/>
      <c:overlay val="0"/>
      <c:spPr>
        <a:noFill/>
        <a:ln>
          <a:noFill/>
        </a:ln>
        <a:effectLst/>
      </c:spPr>
    </c:title>
    <c:autoTitleDeleted val="0"/>
    <c:plotArea>
      <c:layout/>
      <c:barChart>
        <c:barDir val="col"/>
        <c:grouping val="clustered"/>
        <c:varyColors val="0"/>
        <c:ser>
          <c:idx val="0"/>
          <c:order val="0"/>
          <c:tx>
            <c:strRef>
              <c:f>"2022年"</c:f>
              <c:strCache>
                <c:ptCount val="1"/>
                <c:pt idx="0">
                  <c:v>2022年</c:v>
                </c:pt>
              </c:strCache>
            </c:strRef>
          </c:tx>
          <c:spPr>
            <a:solidFill>
              <a:schemeClr val="accent1"/>
            </a:solidFill>
            <a:ln>
              <a:noFill/>
            </a:ln>
            <a:effectLst/>
          </c:spPr>
          <c:invertIfNegative val="0"/>
          <c:dLbls>
            <c:delete val="1"/>
          </c:dLbls>
          <c:cat>
            <c:strRef>
              <c:f>[工作簿1]Sheet1!$B$1</c:f>
              <c:strCache>
                <c:ptCount val="1"/>
                <c:pt idx="0">
                  <c:v>支出</c:v>
                </c:pt>
              </c:strCache>
            </c:strRef>
          </c:cat>
          <c:val>
            <c:numRef>
              <c:f>[工作簿1]Sheet1!$B$2</c:f>
              <c:numCache>
                <c:formatCode>0.00_ </c:formatCode>
                <c:ptCount val="1"/>
                <c:pt idx="0">
                  <c:v>6838.29</c:v>
                </c:pt>
              </c:numCache>
            </c:numRef>
          </c:val>
        </c:ser>
        <c:ser>
          <c:idx val="1"/>
          <c:order val="1"/>
          <c:tx>
            <c:strRef>
              <c:f>"2021年"</c:f>
              <c:strCache>
                <c:ptCount val="1"/>
                <c:pt idx="0">
                  <c:v>2021年</c:v>
                </c:pt>
              </c:strCache>
            </c:strRef>
          </c:tx>
          <c:spPr>
            <a:solidFill>
              <a:schemeClr val="accent2"/>
            </a:solidFill>
            <a:ln>
              <a:noFill/>
            </a:ln>
            <a:effectLst/>
          </c:spPr>
          <c:invertIfNegative val="0"/>
          <c:dLbls>
            <c:delete val="1"/>
          </c:dLbls>
          <c:cat>
            <c:strRef>
              <c:f>[工作簿1]Sheet1!$B$1</c:f>
              <c:strCache>
                <c:ptCount val="1"/>
                <c:pt idx="0">
                  <c:v>支出</c:v>
                </c:pt>
              </c:strCache>
            </c:strRef>
          </c:cat>
          <c:val>
            <c:numRef>
              <c:f>[工作簿1]Sheet1!$B$3</c:f>
              <c:numCache>
                <c:formatCode>General</c:formatCode>
                <c:ptCount val="1"/>
                <c:pt idx="0">
                  <c:v>5969.2</c:v>
                </c:pt>
              </c:numCache>
            </c:numRef>
          </c:val>
        </c:ser>
        <c:dLbls>
          <c:showLegendKey val="0"/>
          <c:showVal val="0"/>
          <c:showCatName val="0"/>
          <c:showSerName val="0"/>
          <c:showPercent val="0"/>
          <c:showBubbleSize val="0"/>
        </c:dLbls>
        <c:gapWidth val="246"/>
        <c:overlap val="-28"/>
        <c:axId val="372615997"/>
        <c:axId val="122132693"/>
      </c:barChart>
      <c:catAx>
        <c:axId val="37261599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2132693"/>
        <c:crosses val="autoZero"/>
        <c:auto val="1"/>
        <c:lblAlgn val="ctr"/>
        <c:lblOffset val="100"/>
        <c:noMultiLvlLbl val="0"/>
      </c:catAx>
      <c:valAx>
        <c:axId val="122132693"/>
        <c:scaling>
          <c:orientation val="minMax"/>
        </c:scaling>
        <c:delete val="0"/>
        <c:axPos val="l"/>
        <c:majorGridlines>
          <c:spPr>
            <a:ln w="9525" cap="flat" cmpd="sng" algn="ctr">
              <a:solidFill>
                <a:schemeClr val="bg1">
                  <a:lumMod val="90200"/>
                </a:schemeClr>
              </a:solidFill>
              <a:round/>
            </a:ln>
            <a:effectLst/>
          </c:spPr>
        </c:majorGridlines>
        <c:numFmt formatCode="0.00_ "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261599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一般公共预算财政拨款支出决算结构</a:t>
            </a:r>
          </a:p>
        </c:rich>
      </c:tx>
      <c:layout>
        <c:manualLayout>
          <c:xMode val="edge"/>
          <c:yMode val="edge"/>
          <c:x val="0.182601373234875"/>
          <c:y val="0.0263157894736842"/>
        </c:manualLayout>
      </c:layout>
      <c:overlay val="0"/>
      <c:spPr>
        <a:noFill/>
        <a:ln>
          <a:noFill/>
        </a:ln>
        <a:effectLst/>
      </c:spPr>
    </c:title>
    <c:autoTitleDeleted val="0"/>
    <c:plotArea>
      <c:layout/>
      <c:pieChart>
        <c:varyColors val="1"/>
        <c:ser>
          <c:idx val="0"/>
          <c:order val="0"/>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Pt>
            <c:idx val="3"/>
            <c:bubble3D val="0"/>
            <c:spPr>
              <a:solidFill>
                <a:schemeClr val="accent4"/>
              </a:solidFill>
              <a:ln>
                <a:solidFill>
                  <a:schemeClr val="bg1"/>
                </a:solidFill>
              </a:ln>
              <a:effectLst/>
            </c:spPr>
          </c:dPt>
          <c:dLbls>
            <c:dLbl>
              <c:idx val="0"/>
              <c:layout>
                <c:manualLayout>
                  <c:x val="-0.0663952715338342"/>
                  <c:y val="-0.133838022476847"/>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rPr lang="en-US" altLang="zh-CN"/>
                      <a:t>83.93</a:t>
                    </a:r>
                    <a:r>
                      <a:t>%</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rPr lang="en-US" altLang="zh-CN"/>
                      <a:t>7.5</a:t>
                    </a:r>
                    <a:r>
                      <a:t>%</a:t>
                    </a:r>
                  </a:p>
                </c:rich>
              </c:tx>
              <c:dLblPos val="inEnd"/>
              <c:showLegendKey val="0"/>
              <c:showVal val="0"/>
              <c:showCatName val="0"/>
              <c:showSerName val="0"/>
              <c:showPercent val="1"/>
              <c:showBubbleSize val="0"/>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t>3</a:t>
                    </a:r>
                    <a:r>
                      <a:rPr lang="en-US" altLang="zh-CN"/>
                      <a:t>.43</a:t>
                    </a:r>
                    <a:r>
                      <a:t>%</a:t>
                    </a:r>
                  </a:p>
                </c:rich>
              </c:tx>
              <c:dLblPos val="inEnd"/>
              <c:showLegendKey val="0"/>
              <c:showVal val="0"/>
              <c:showCatName val="0"/>
              <c:showSerName val="0"/>
              <c:showPercent val="1"/>
              <c:showBubbleSize val="0"/>
              <c:extLst>
                <c:ext xmlns:c15="http://schemas.microsoft.com/office/drawing/2012/chart" uri="{CE6537A1-D6FC-4f65-9D91-7224C49458BB}"/>
              </c:extLst>
            </c:dLbl>
            <c:dLbl>
              <c:idx val="3"/>
              <c:layout>
                <c:manualLayout>
                  <c:x val="0.0121180333857946"/>
                  <c:y val="0.0777991311993268"/>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t>5</a:t>
                    </a:r>
                    <a:r>
                      <a:rPr lang="en-US" altLang="zh-CN"/>
                      <a:t>.14</a:t>
                    </a:r>
                    <a:r>
                      <a:t>%</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[工作簿1]Sheet1!$A$1:$D$1</c:f>
              <c:strCache>
                <c:ptCount val="4"/>
                <c:pt idx="0">
                  <c:v>教育支出</c:v>
                </c:pt>
                <c:pt idx="1">
                  <c:v>社会保障和就业支出</c:v>
                </c:pt>
                <c:pt idx="2">
                  <c:v>卫生健康支出</c:v>
                </c:pt>
                <c:pt idx="3">
                  <c:v>住房保障支出</c:v>
                </c:pt>
              </c:strCache>
            </c:strRef>
          </c:cat>
          <c:val>
            <c:numRef>
              <c:f>[工作簿1]Sheet1!$A$2:$D$2</c:f>
              <c:numCache>
                <c:formatCode>0.00_ </c:formatCode>
                <c:ptCount val="4"/>
                <c:pt idx="0">
                  <c:v>5739.5</c:v>
                </c:pt>
                <c:pt idx="1">
                  <c:v>512.91</c:v>
                </c:pt>
                <c:pt idx="2" c:formatCode="General">
                  <c:v>234.36</c:v>
                </c:pt>
                <c:pt idx="3" c:formatCode="General">
                  <c:v>351.53</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rPr lang="en-US" altLang="zh-CN"/>
              <a:t>“</a:t>
            </a:r>
            <a:r>
              <a:rPr altLang="en-US"/>
              <a:t>三公</a:t>
            </a:r>
            <a:r>
              <a:rPr lang="en-US" altLang="zh-CN"/>
              <a:t>”</a:t>
            </a:r>
            <a:r>
              <a:rPr altLang="en-US"/>
              <a:t>经费财政拨款支出结构图</a:t>
            </a:r>
            <a:endParaRPr altLang="en-US"/>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Lbls>
            <c:delete val="1"/>
          </c:dLbls>
          <c:cat>
            <c:strRef>
              <c:f>[工作簿1]Sheet1!$A$1:$C$1</c:f>
              <c:strCache>
                <c:ptCount val="3"/>
                <c:pt idx="0">
                  <c:v>因公出国（境）费支出</c:v>
                </c:pt>
                <c:pt idx="1">
                  <c:v>公务用车购置及运行维护费支出</c:v>
                </c:pt>
                <c:pt idx="2">
                  <c:v>公务接待费支出</c:v>
                </c:pt>
              </c:strCache>
            </c:strRef>
          </c:cat>
          <c:val>
            <c:numRef>
              <c:f>[工作簿1]Sheet1!$A$2:$C$2</c:f>
              <c:numCache>
                <c:formatCode>0.00_ </c:formatCode>
                <c:ptCount val="3"/>
                <c:pt idx="0">
                  <c:v>0</c:v>
                </c:pt>
                <c:pt idx="1">
                  <c:v>0</c:v>
                </c:pt>
                <c:pt idx="2" c:formatCode="General">
                  <c:v>1.52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10085">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styleClr val="auto"/>
    </cs:effectRef>
    <cs:fontRef idx="minor">
      <a:schemeClr val="dk1"/>
    </cs:fontRef>
    <cs:spPr>
      <a:gradFill>
        <a:gsLst>
          <a:gs pos="0">
            <a:schemeClr val="phClr">
              <a:lumMod val="40000"/>
              <a:lumOff val="60000"/>
            </a:schemeClr>
          </a:gs>
          <a:gs pos="90000">
            <a:schemeClr val="phClr"/>
          </a:gs>
        </a:gsLst>
        <a:lin ang="5400000" scaled="0"/>
      </a:gradFill>
      <a:ln>
        <a:gradFill>
          <a:gsLst>
            <a:gs pos="0">
              <a:schemeClr val="phClr"/>
            </a:gs>
            <a:gs pos="100000">
              <a:schemeClr val="phClr">
                <a:lumMod val="75000"/>
              </a:schemeClr>
            </a:gs>
          </a:gsLst>
          <a:lin ang="5400000" scaled="1"/>
        </a:gradFill>
      </a:ln>
      <a:effectLst>
        <a:outerShdw blurRad="76200" dist="25400" dir="2700000" algn="tl" rotWithShape="0">
          <a:schemeClr val="phClr">
            <a:lumMod val="50000"/>
            <a:alpha val="30000"/>
          </a:schemeClr>
        </a:outerShdw>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四川省财政厅</Company>
  <Pages>17</Pages>
  <Words>880</Words>
  <Characters>5021</Characters>
  <Lines>41</Lines>
  <Paragraphs>11</Paragraphs>
  <TotalTime>15</TotalTime>
  <ScaleCrop>false</ScaleCrop>
  <LinksUpToDate>false</LinksUpToDate>
  <CharactersWithSpaces>5890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罗汉</cp:lastModifiedBy>
  <cp:lastPrinted>2023-07-31T02:35:00Z</cp:lastPrinted>
  <dcterms:modified xsi:type="dcterms:W3CDTF">2023-12-12T03:43:11Z</dcterms:modified>
  <dc:title>四川省***</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261AFF563648484CAE900F999330A4C4_13</vt:lpwstr>
  </property>
</Properties>
</file>