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96475"/>
      <w:bookmarkStart w:id="4" w:name="_Toc15378441"/>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78442"/>
      <w:bookmarkStart w:id="8" w:name="_Toc15377194"/>
      <w:bookmarkStart w:id="9" w:name="_Toc15377426"/>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交通运输综合行政执法大队</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w:t>
      </w:r>
      <w:bookmarkStart w:id="67" w:name="_GoBack"/>
      <w:bookmarkEnd w:id="67"/>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0"/>
        <w:adjustRightInd w:val="0"/>
        <w:snapToGrid w:val="0"/>
        <w:spacing w:before="0" w:line="440" w:lineRule="exact"/>
        <w:jc w:val="left"/>
        <w:rPr>
          <w:rFonts w:hint="eastAsia" w:ascii="宋体" w:hAnsi="宋体" w:eastAsia="宋体" w:cs="宋体"/>
          <w:b/>
          <w:bCs/>
          <w:sz w:val="21"/>
          <w:szCs w:val="21"/>
        </w:rPr>
      </w:pPr>
      <w:r>
        <w:rPr>
          <w:rFonts w:hint="eastAsia" w:ascii="宋体" w:hAnsi="宋体" w:eastAsia="宋体" w:cs="宋体"/>
          <w:b/>
          <w:bCs/>
          <w:sz w:val="21"/>
          <w:szCs w:val="21"/>
        </w:rPr>
        <w:t>第一部分 单位概况</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一、主要职责及重点工作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_Toc19097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（一）单位职责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_Toc19097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（二）2022年重点工作完成情况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_Toc19097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二、机构设置</w:t>
      </w:r>
      <w:r>
        <w:rPr>
          <w:rFonts w:hint="eastAsia" w:ascii="宋体" w:hAnsi="宋体" w:eastAsia="宋体" w:cs="宋体"/>
          <w:sz w:val="21"/>
          <w:szCs w:val="21"/>
        </w:rPr>
        <w:tab/>
      </w:r>
      <w:r>
        <w:rPr>
          <w:rFonts w:hint="eastAsia" w:ascii="宋体" w:hAnsi="宋体" w:eastAsia="宋体" w:cs="宋体"/>
          <w:sz w:val="21"/>
          <w:szCs w:val="21"/>
          <w:lang w:val="en-US" w:eastAsia="zh-CN"/>
        </w:rPr>
        <w:t>5</w:t>
      </w:r>
    </w:p>
    <w:p>
      <w:pPr>
        <w:pStyle w:val="10"/>
        <w:adjustRightInd w:val="0"/>
        <w:snapToGrid w:val="0"/>
        <w:spacing w:before="0" w:line="440" w:lineRule="exact"/>
        <w:jc w:val="left"/>
        <w:rPr>
          <w:rFonts w:hint="eastAsia" w:ascii="宋体" w:hAnsi="宋体" w:eastAsia="宋体" w:cs="宋体"/>
          <w:b/>
          <w:bCs/>
          <w:sz w:val="21"/>
          <w:szCs w:val="21"/>
        </w:rPr>
      </w:pPr>
      <w:r>
        <w:rPr>
          <w:rFonts w:hint="eastAsia" w:ascii="宋体" w:hAnsi="宋体" w:eastAsia="宋体" w:cs="宋体"/>
          <w:b/>
          <w:bCs/>
          <w:sz w:val="21"/>
          <w:szCs w:val="21"/>
        </w:rPr>
        <w:t>第二部分 2022年度单位决算情况说明</w:t>
      </w:r>
    </w:p>
    <w:p>
      <w:pPr>
        <w:pStyle w:val="11"/>
        <w:adjustRightInd w:val="0"/>
        <w:snapToGrid w:val="0"/>
        <w:spacing w:line="440" w:lineRule="exact"/>
        <w:jc w:val="left"/>
        <w:rPr>
          <w:rFonts w:hint="eastAsia" w:ascii="宋体" w:hAnsi="宋体" w:eastAsia="宋体" w:cs="宋体"/>
          <w:sz w:val="21"/>
          <w:szCs w:val="21"/>
          <w:lang w:eastAsia="zh-CN"/>
        </w:rPr>
      </w:pPr>
      <w:r>
        <w:rPr>
          <w:rFonts w:hint="eastAsia" w:ascii="宋体" w:hAnsi="宋体" w:eastAsia="宋体" w:cs="宋体"/>
          <w:sz w:val="21"/>
          <w:szCs w:val="21"/>
        </w:rPr>
        <w:t>一、收入支出决算总体情况说明</w:t>
      </w:r>
      <w:r>
        <w:rPr>
          <w:rFonts w:hint="eastAsia" w:ascii="宋体" w:hAnsi="宋体" w:eastAsia="宋体" w:cs="宋体"/>
          <w:sz w:val="21"/>
          <w:szCs w:val="21"/>
        </w:rPr>
        <w:tab/>
      </w:r>
      <w:r>
        <w:rPr>
          <w:rFonts w:hint="eastAsia" w:ascii="宋体" w:hAnsi="宋体" w:eastAsia="宋体" w:cs="宋体"/>
          <w:sz w:val="21"/>
          <w:szCs w:val="21"/>
          <w:lang w:val="en-US" w:eastAsia="zh-CN"/>
        </w:rPr>
        <w:t>6</w:t>
      </w:r>
    </w:p>
    <w:p>
      <w:pPr>
        <w:pStyle w:val="11"/>
        <w:adjustRightInd w:val="0"/>
        <w:snapToGrid w:val="0"/>
        <w:spacing w:line="440" w:lineRule="exact"/>
        <w:jc w:val="left"/>
        <w:rPr>
          <w:rFonts w:hint="eastAsia" w:ascii="宋体" w:hAnsi="宋体" w:eastAsia="宋体" w:cs="宋体"/>
          <w:sz w:val="21"/>
          <w:szCs w:val="21"/>
          <w:lang w:eastAsia="zh-CN"/>
        </w:rPr>
      </w:pPr>
      <w:r>
        <w:rPr>
          <w:rFonts w:hint="eastAsia" w:ascii="宋体" w:hAnsi="宋体" w:eastAsia="宋体" w:cs="宋体"/>
          <w:sz w:val="21"/>
          <w:szCs w:val="21"/>
        </w:rPr>
        <w:t>二、收入决算情况说明</w:t>
      </w:r>
      <w:r>
        <w:rPr>
          <w:rFonts w:hint="eastAsia" w:ascii="宋体" w:hAnsi="宋体" w:eastAsia="宋体" w:cs="宋体"/>
          <w:sz w:val="21"/>
          <w:szCs w:val="21"/>
        </w:rPr>
        <w:tab/>
      </w:r>
      <w:r>
        <w:rPr>
          <w:rFonts w:hint="eastAsia" w:ascii="宋体" w:hAnsi="宋体" w:eastAsia="宋体" w:cs="宋体"/>
          <w:sz w:val="21"/>
          <w:szCs w:val="21"/>
          <w:lang w:val="en-US" w:eastAsia="zh-CN"/>
        </w:rPr>
        <w:t>6</w:t>
      </w:r>
    </w:p>
    <w:p>
      <w:pPr>
        <w:pStyle w:val="11"/>
        <w:adjustRightInd w:val="0"/>
        <w:snapToGrid w:val="0"/>
        <w:spacing w:line="440" w:lineRule="exact"/>
        <w:jc w:val="left"/>
        <w:rPr>
          <w:rFonts w:hint="eastAsia" w:ascii="宋体" w:hAnsi="宋体" w:eastAsia="宋体" w:cs="宋体"/>
          <w:sz w:val="21"/>
          <w:szCs w:val="21"/>
          <w:lang w:eastAsia="zh-CN"/>
        </w:rPr>
      </w:pPr>
      <w:r>
        <w:rPr>
          <w:rFonts w:hint="eastAsia" w:ascii="宋体" w:hAnsi="宋体" w:eastAsia="宋体" w:cs="宋体"/>
          <w:sz w:val="21"/>
          <w:szCs w:val="21"/>
        </w:rPr>
        <w:t>三、支出决算情况说明</w:t>
      </w:r>
      <w:r>
        <w:rPr>
          <w:rFonts w:hint="eastAsia" w:ascii="宋体" w:hAnsi="宋体" w:eastAsia="宋体" w:cs="宋体"/>
          <w:sz w:val="21"/>
          <w:szCs w:val="21"/>
        </w:rPr>
        <w:tab/>
      </w:r>
      <w:r>
        <w:rPr>
          <w:rFonts w:hint="eastAsia" w:ascii="宋体" w:hAnsi="宋体" w:eastAsia="宋体" w:cs="宋体"/>
          <w:sz w:val="21"/>
          <w:szCs w:val="21"/>
          <w:lang w:val="en-US" w:eastAsia="zh-CN"/>
        </w:rPr>
        <w:t>7</w:t>
      </w:r>
    </w:p>
    <w:p>
      <w:pPr>
        <w:pStyle w:val="11"/>
        <w:adjustRightInd w:val="0"/>
        <w:snapToGrid w:val="0"/>
        <w:spacing w:line="440" w:lineRule="exact"/>
        <w:jc w:val="left"/>
        <w:rPr>
          <w:rFonts w:hint="eastAsia" w:ascii="宋体" w:hAnsi="宋体" w:eastAsia="宋体" w:cs="宋体"/>
          <w:sz w:val="21"/>
          <w:szCs w:val="21"/>
          <w:lang w:eastAsia="zh-CN"/>
        </w:rPr>
      </w:pPr>
      <w:r>
        <w:rPr>
          <w:rFonts w:hint="eastAsia" w:ascii="宋体" w:hAnsi="宋体" w:eastAsia="宋体" w:cs="宋体"/>
          <w:sz w:val="21"/>
          <w:szCs w:val="21"/>
        </w:rPr>
        <w:t>四、财政拨款收入支出决算总体情况说明</w:t>
      </w:r>
      <w:r>
        <w:rPr>
          <w:rFonts w:hint="eastAsia" w:ascii="宋体" w:hAnsi="宋体" w:eastAsia="宋体" w:cs="宋体"/>
          <w:sz w:val="21"/>
          <w:szCs w:val="21"/>
        </w:rPr>
        <w:tab/>
      </w:r>
      <w:r>
        <w:rPr>
          <w:rFonts w:hint="eastAsia" w:ascii="宋体" w:hAnsi="宋体" w:eastAsia="宋体" w:cs="宋体"/>
          <w:sz w:val="21"/>
          <w:szCs w:val="21"/>
          <w:lang w:val="en-US" w:eastAsia="zh-CN"/>
        </w:rPr>
        <w:t>7</w:t>
      </w:r>
    </w:p>
    <w:p>
      <w:pPr>
        <w:pStyle w:val="11"/>
        <w:adjustRightInd w:val="0"/>
        <w:snapToGrid w:val="0"/>
        <w:spacing w:line="440" w:lineRule="exact"/>
        <w:jc w:val="left"/>
        <w:rPr>
          <w:rFonts w:hint="eastAsia" w:ascii="宋体" w:hAnsi="宋体" w:eastAsia="宋体" w:cs="宋体"/>
          <w:sz w:val="21"/>
          <w:szCs w:val="21"/>
          <w:lang w:eastAsia="zh-CN"/>
        </w:rPr>
      </w:pPr>
      <w:r>
        <w:rPr>
          <w:rFonts w:hint="eastAsia" w:ascii="宋体" w:hAnsi="宋体" w:eastAsia="宋体" w:cs="宋体"/>
          <w:sz w:val="21"/>
          <w:szCs w:val="21"/>
        </w:rPr>
        <w:t>五、一般公共预算财政拨款支出决算情况说明</w:t>
      </w:r>
      <w:r>
        <w:rPr>
          <w:rFonts w:hint="eastAsia" w:ascii="宋体" w:hAnsi="宋体" w:eastAsia="宋体" w:cs="宋体"/>
          <w:sz w:val="21"/>
          <w:szCs w:val="21"/>
        </w:rPr>
        <w:tab/>
      </w:r>
      <w:r>
        <w:rPr>
          <w:rFonts w:hint="eastAsia" w:ascii="宋体" w:hAnsi="宋体" w:eastAsia="宋体" w:cs="宋体"/>
          <w:sz w:val="21"/>
          <w:szCs w:val="21"/>
          <w:lang w:val="en-US" w:eastAsia="zh-CN"/>
        </w:rPr>
        <w:t>7</w:t>
      </w:r>
    </w:p>
    <w:p>
      <w:pPr>
        <w:pStyle w:val="11"/>
        <w:adjustRightInd w:val="0"/>
        <w:snapToGrid w:val="0"/>
        <w:spacing w:line="440" w:lineRule="exact"/>
        <w:jc w:val="left"/>
        <w:rPr>
          <w:rFonts w:hint="eastAsia" w:ascii="宋体" w:hAnsi="宋体" w:eastAsia="宋体" w:cs="宋体"/>
          <w:sz w:val="21"/>
          <w:szCs w:val="21"/>
          <w:lang w:eastAsia="zh-CN"/>
        </w:rPr>
      </w:pPr>
      <w:r>
        <w:rPr>
          <w:rFonts w:hint="eastAsia" w:ascii="宋体" w:hAnsi="宋体" w:eastAsia="宋体" w:cs="宋体"/>
          <w:sz w:val="21"/>
          <w:szCs w:val="21"/>
        </w:rPr>
        <w:t>六、一般公共预算财政拨款基本支出决算情况说明</w:t>
      </w:r>
      <w:r>
        <w:rPr>
          <w:rFonts w:hint="eastAsia" w:ascii="宋体" w:hAnsi="宋体" w:eastAsia="宋体" w:cs="宋体"/>
          <w:sz w:val="21"/>
          <w:szCs w:val="21"/>
        </w:rPr>
        <w:tab/>
      </w:r>
      <w:r>
        <w:rPr>
          <w:rFonts w:hint="eastAsia" w:ascii="宋体" w:hAnsi="宋体" w:eastAsia="宋体" w:cs="宋体"/>
          <w:sz w:val="21"/>
          <w:szCs w:val="21"/>
          <w:lang w:val="en-US" w:eastAsia="zh-CN"/>
        </w:rPr>
        <w:t>9</w:t>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七、财政拨款“三公”经费支出决算情况说明</w:t>
      </w:r>
      <w:r>
        <w:rPr>
          <w:rFonts w:hint="eastAsia" w:ascii="宋体" w:hAnsi="宋体" w:eastAsia="宋体" w:cs="宋体"/>
          <w:sz w:val="21"/>
          <w:szCs w:val="21"/>
        </w:rPr>
        <w:tab/>
      </w:r>
      <w:r>
        <w:rPr>
          <w:rFonts w:hint="eastAsia" w:ascii="宋体" w:hAnsi="宋体" w:eastAsia="宋体" w:cs="宋体"/>
          <w:sz w:val="21"/>
          <w:szCs w:val="21"/>
          <w:lang w:val="en-US" w:eastAsia="zh-CN"/>
        </w:rPr>
        <w:t>10</w:t>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八、政府性基金预算支出决算情况说明</w:t>
      </w:r>
      <w:r>
        <w:rPr>
          <w:rFonts w:hint="eastAsia" w:ascii="宋体" w:hAnsi="宋体" w:eastAsia="宋体" w:cs="宋体"/>
          <w:sz w:val="21"/>
          <w:szCs w:val="21"/>
        </w:rPr>
        <w:tab/>
      </w:r>
      <w:r>
        <w:rPr>
          <w:rFonts w:hint="eastAsia" w:ascii="宋体" w:hAnsi="宋体" w:eastAsia="宋体" w:cs="宋体"/>
          <w:sz w:val="21"/>
          <w:szCs w:val="21"/>
          <w:lang w:val="en-US" w:eastAsia="zh-CN"/>
        </w:rPr>
        <w:t>11</w:t>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九、国有资本经营预算支出决算情况说明</w:t>
      </w:r>
      <w:r>
        <w:rPr>
          <w:rFonts w:hint="eastAsia" w:ascii="宋体" w:hAnsi="宋体" w:eastAsia="宋体" w:cs="宋体"/>
          <w:sz w:val="21"/>
          <w:szCs w:val="21"/>
        </w:rPr>
        <w:tab/>
      </w:r>
      <w:r>
        <w:rPr>
          <w:rFonts w:hint="eastAsia" w:ascii="宋体" w:hAnsi="宋体" w:eastAsia="宋体" w:cs="宋体"/>
          <w:sz w:val="21"/>
          <w:szCs w:val="21"/>
          <w:lang w:val="en-US" w:eastAsia="zh-CN"/>
        </w:rPr>
        <w:t>11</w:t>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十、其他重要事项的情况说明</w:t>
      </w:r>
      <w:r>
        <w:rPr>
          <w:rFonts w:hint="eastAsia" w:ascii="宋体" w:hAnsi="宋体" w:eastAsia="宋体" w:cs="宋体"/>
          <w:sz w:val="21"/>
          <w:szCs w:val="21"/>
        </w:rPr>
        <w:tab/>
      </w:r>
      <w:r>
        <w:rPr>
          <w:rFonts w:hint="eastAsia" w:ascii="宋体" w:hAnsi="宋体" w:eastAsia="宋体" w:cs="宋体"/>
          <w:sz w:val="21"/>
          <w:szCs w:val="21"/>
          <w:lang w:val="en-US" w:eastAsia="zh-CN"/>
        </w:rPr>
        <w:t>11</w:t>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b/>
          <w:bCs/>
          <w:sz w:val="21"/>
          <w:szCs w:val="21"/>
        </w:rPr>
        <w:t>第三部分 名词解释</w:t>
      </w:r>
      <w:r>
        <w:rPr>
          <w:rFonts w:hint="eastAsia" w:ascii="宋体" w:hAnsi="宋体" w:eastAsia="宋体" w:cs="宋体"/>
          <w:sz w:val="21"/>
          <w:szCs w:val="21"/>
        </w:rPr>
        <w:tab/>
      </w:r>
      <w:r>
        <w:rPr>
          <w:rFonts w:hint="eastAsia" w:ascii="宋体" w:hAnsi="宋体" w:eastAsia="宋体" w:cs="宋体"/>
          <w:sz w:val="21"/>
          <w:szCs w:val="21"/>
          <w:lang w:val="en-US" w:eastAsia="zh-CN"/>
        </w:rPr>
        <w:t>13</w:t>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b/>
          <w:bCs/>
          <w:sz w:val="21"/>
          <w:szCs w:val="21"/>
        </w:rPr>
        <w:t>第四部分 附件</w:t>
      </w:r>
      <w:r>
        <w:rPr>
          <w:rFonts w:hint="eastAsia" w:ascii="宋体" w:hAnsi="宋体" w:eastAsia="宋体" w:cs="宋体"/>
          <w:sz w:val="21"/>
          <w:szCs w:val="21"/>
        </w:rPr>
        <w:tab/>
      </w:r>
      <w:r>
        <w:rPr>
          <w:rFonts w:hint="eastAsia" w:ascii="宋体" w:hAnsi="宋体" w:eastAsia="宋体" w:cs="宋体"/>
          <w:sz w:val="21"/>
          <w:szCs w:val="21"/>
          <w:lang w:val="en-US" w:eastAsia="zh-CN"/>
        </w:rPr>
        <w:t>15</w:t>
      </w:r>
    </w:p>
    <w:p>
      <w:pPr>
        <w:pStyle w:val="11"/>
        <w:adjustRightInd w:val="0"/>
        <w:snapToGrid w:val="0"/>
        <w:spacing w:line="440" w:lineRule="exact"/>
        <w:jc w:val="left"/>
        <w:rPr>
          <w:rFonts w:hint="eastAsia" w:ascii="宋体" w:hAnsi="宋体" w:eastAsia="宋体" w:cs="宋体"/>
          <w:sz w:val="21"/>
          <w:szCs w:val="21"/>
          <w:lang w:val="en-US" w:eastAsia="zh-CN"/>
        </w:rPr>
      </w:pPr>
      <w:r>
        <w:rPr>
          <w:rFonts w:hint="eastAsia" w:ascii="宋体" w:hAnsi="宋体" w:eastAsia="宋体" w:cs="宋体"/>
          <w:b/>
          <w:bCs/>
          <w:sz w:val="21"/>
          <w:szCs w:val="21"/>
        </w:rPr>
        <w:t>第五部分 附表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一、收入支出决算总表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二、收入决算表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三、支出决算表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四、财政拨款收入支出决算总表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五、财政拨款支出决算明细表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六、一般公共预算财政拨款支出决算表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七、一般公共预算财政拨款支出决算明细表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八、一般公共预算财政拨款基本支出决算明细表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九、一般公共预算财政拨款项目支出决算表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十、政府性基金预算财政拨款收入支出决算表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十一、国有资本经营预算财政拨款收入支出决算表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十二、国有资本经营预算财政拨款支出决算表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rFonts w:hint="eastAsia" w:ascii="宋体" w:hAnsi="宋体" w:eastAsia="宋体" w:cs="宋体"/>
          <w:sz w:val="21"/>
          <w:szCs w:val="21"/>
        </w:rPr>
      </w:pPr>
      <w:r>
        <w:rPr>
          <w:rFonts w:hint="eastAsia" w:ascii="宋体" w:hAnsi="宋体" w:eastAsia="宋体" w:cs="宋体"/>
          <w:sz w:val="21"/>
          <w:szCs w:val="21"/>
        </w:rPr>
        <w:t>十三、财政拨款“三公”经费支出决算表</w:t>
      </w:r>
      <w:r>
        <w:rPr>
          <w:rFonts w:hint="eastAsia" w:ascii="宋体" w:hAnsi="宋体" w:eastAsia="宋体" w:cs="宋体"/>
          <w:sz w:val="21"/>
          <w:szCs w:val="21"/>
        </w:rPr>
        <w:tab/>
      </w:r>
      <w:r>
        <w:rPr>
          <w:rFonts w:hint="eastAsia" w:ascii="宋体" w:hAnsi="宋体" w:eastAsia="宋体" w:cs="宋体"/>
          <w:sz w:val="21"/>
          <w:szCs w:val="21"/>
          <w:lang w:val="en-US" w:eastAsia="zh-CN"/>
        </w:rPr>
        <w:t>17</w:t>
      </w:r>
    </w:p>
    <w:p>
      <w:pPr>
        <w:pStyle w:val="11"/>
        <w:adjustRightInd w:val="0"/>
        <w:snapToGrid w:val="0"/>
        <w:spacing w:line="440" w:lineRule="exact"/>
        <w:jc w:val="left"/>
        <w:rPr>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ind w:firstLine="640" w:firstLineChars="200"/>
        <w:rPr>
          <w:rFonts w:hint="eastAsia" w:ascii="仿宋_GB2312" w:eastAsia="仿宋_GB2312"/>
          <w:sz w:val="32"/>
          <w:szCs w:val="32"/>
        </w:rPr>
      </w:pPr>
      <w:r>
        <w:rPr>
          <w:rFonts w:hint="eastAsia" w:ascii="仿宋_GB2312" w:eastAsia="仿宋_GB2312"/>
          <w:sz w:val="32"/>
          <w:szCs w:val="32"/>
        </w:rPr>
        <w:t>1.承担全县道路旅客运输、道路货物运输（物流）、出租汽车客运、城市公交客运、机动车维修、机动车驾驶员培训、机动车综合性能检测及道路运输相关业务经营秩序等执法门类的行政处罚、行政检查、行政强制。</w:t>
      </w:r>
    </w:p>
    <w:p>
      <w:pPr>
        <w:ind w:firstLine="640" w:firstLineChars="200"/>
        <w:rPr>
          <w:rFonts w:hint="eastAsia" w:ascii="仿宋_GB2312" w:eastAsia="仿宋_GB2312"/>
          <w:sz w:val="32"/>
          <w:szCs w:val="32"/>
        </w:rPr>
      </w:pPr>
      <w:r>
        <w:rPr>
          <w:rFonts w:hint="eastAsia" w:ascii="仿宋_GB2312" w:eastAsia="仿宋_GB2312"/>
          <w:sz w:val="32"/>
          <w:szCs w:val="32"/>
        </w:rPr>
        <w:t>2.承担全县通航水域的水路交通安全、水路运输及辅助业、航道、港口、船舶设计及修造等执法门类的行政处罚、行政检查、行政强制。</w:t>
      </w:r>
    </w:p>
    <w:p>
      <w:pPr>
        <w:ind w:firstLine="640" w:firstLineChars="200"/>
        <w:rPr>
          <w:rFonts w:hint="eastAsia" w:ascii="仿宋_GB2312" w:eastAsia="仿宋_GB2312"/>
          <w:sz w:val="32"/>
          <w:szCs w:val="32"/>
        </w:rPr>
      </w:pPr>
      <w:r>
        <w:rPr>
          <w:rFonts w:hint="eastAsia" w:ascii="仿宋_GB2312" w:eastAsia="仿宋_GB2312"/>
          <w:sz w:val="32"/>
          <w:szCs w:val="32"/>
        </w:rPr>
        <w:t>3.承担全县国、省、县道公路路政执法，对各类违反公路路政管理</w:t>
      </w:r>
      <w:r>
        <w:rPr>
          <w:rFonts w:hint="eastAsia" w:ascii="仿宋_GB2312" w:eastAsia="仿宋_GB2312"/>
          <w:sz w:val="32"/>
          <w:szCs w:val="32"/>
          <w:lang w:eastAsia="zh-CN"/>
        </w:rPr>
        <w:t>法律法规</w:t>
      </w:r>
      <w:r>
        <w:rPr>
          <w:rFonts w:hint="eastAsia" w:ascii="仿宋_GB2312" w:eastAsia="仿宋_GB2312"/>
          <w:sz w:val="32"/>
          <w:szCs w:val="32"/>
        </w:rPr>
        <w:t>和规章等行为实施行政处罚、行政检查、行政强制。</w:t>
      </w:r>
    </w:p>
    <w:p>
      <w:pPr>
        <w:ind w:firstLine="640" w:firstLineChars="200"/>
        <w:rPr>
          <w:rFonts w:hint="eastAsia" w:ascii="仿宋_GB2312" w:eastAsia="仿宋_GB2312"/>
          <w:sz w:val="32"/>
          <w:szCs w:val="32"/>
        </w:rPr>
      </w:pPr>
      <w:r>
        <w:rPr>
          <w:rFonts w:hint="eastAsia" w:ascii="仿宋_GB2312" w:eastAsia="仿宋_GB2312"/>
          <w:sz w:val="32"/>
          <w:szCs w:val="32"/>
        </w:rPr>
        <w:t>4.负责对职责范围内公路、水运工程质量和安全违法违规行为实施行政处罚、行政检查、行政强制。</w:t>
      </w:r>
    </w:p>
    <w:p>
      <w:pPr>
        <w:ind w:firstLine="640" w:firstLineChars="200"/>
        <w:rPr>
          <w:rFonts w:hint="eastAsia" w:ascii="仿宋_GB2312" w:eastAsia="仿宋_GB2312"/>
          <w:sz w:val="32"/>
          <w:szCs w:val="32"/>
        </w:rPr>
      </w:pPr>
      <w:r>
        <w:rPr>
          <w:rFonts w:hint="eastAsia" w:ascii="仿宋_GB2312" w:eastAsia="仿宋_GB2312"/>
          <w:sz w:val="32"/>
          <w:szCs w:val="32"/>
        </w:rPr>
        <w:t>5.按规定负责通航水域的水上交通事故的调查处理；按规定组织或参与交通运输行业安全生产事故调查处理。</w:t>
      </w:r>
    </w:p>
    <w:p>
      <w:pPr>
        <w:ind w:firstLine="640" w:firstLineChars="200"/>
      </w:pPr>
      <w:r>
        <w:rPr>
          <w:rFonts w:hint="eastAsia" w:ascii="仿宋_GB2312" w:eastAsia="仿宋_GB2312"/>
          <w:sz w:val="32"/>
          <w:szCs w:val="32"/>
        </w:rPr>
        <w:t>6.负责职责范围内交通运输行业安全生产执法监督及违法案件查处；负责运输服务质量投诉的调查处理工作。</w:t>
      </w:r>
    </w:p>
    <w:p>
      <w:pPr>
        <w:pStyle w:val="4"/>
        <w:rPr>
          <w:rFonts w:hint="eastAsia" w:ascii="黑体" w:hAnsi="黑体" w:eastAsia="黑体"/>
          <w:b w:val="0"/>
        </w:rPr>
      </w:pPr>
      <w:r>
        <w:rPr>
          <w:rFonts w:hint="eastAsia" w:ascii="黑体" w:hAnsi="黑体" w:eastAsia="黑体"/>
          <w:b w:val="0"/>
        </w:rPr>
        <w:t>二、机构设置</w:t>
      </w:r>
    </w:p>
    <w:p>
      <w:pPr>
        <w:ind w:firstLine="640" w:firstLineChars="200"/>
        <w:rPr>
          <w:rFonts w:hint="eastAsia" w:ascii="仿宋_GB2312" w:eastAsia="仿宋_GB2312"/>
          <w:sz w:val="32"/>
          <w:szCs w:val="32"/>
        </w:rPr>
      </w:pPr>
      <w:r>
        <w:rPr>
          <w:rFonts w:hint="eastAsia" w:ascii="仿宋_GB2312" w:eastAsia="仿宋_GB2312"/>
          <w:sz w:val="32"/>
          <w:szCs w:val="32"/>
        </w:rPr>
        <w:t>剑阁县交通运输综合行政执法大队下属二级单位0个。</w:t>
      </w:r>
    </w:p>
    <w:p>
      <w:r>
        <w:rPr>
          <w:rFonts w:hint="eastAsia" w:ascii="仿宋_GB2312" w:eastAsia="仿宋_GB2312"/>
          <w:sz w:val="32"/>
          <w:szCs w:val="32"/>
        </w:rPr>
        <w:t>剑阁县交通运输综合行政执法大队总编制155名，其中参公编制42名，执法辅助人员编制113名。在职人员总数</w:t>
      </w:r>
      <w:r>
        <w:rPr>
          <w:rFonts w:hint="eastAsia" w:ascii="仿宋_GB2312" w:eastAsia="仿宋_GB2312"/>
          <w:sz w:val="32"/>
          <w:szCs w:val="32"/>
          <w:lang w:val="en-US" w:eastAsia="zh-CN"/>
        </w:rPr>
        <w:t>147</w:t>
      </w:r>
      <w:r>
        <w:rPr>
          <w:rFonts w:hint="eastAsia" w:ascii="仿宋_GB2312" w:eastAsia="仿宋_GB2312"/>
          <w:sz w:val="32"/>
          <w:szCs w:val="32"/>
        </w:rPr>
        <w:t>人，其中参公人员34人，执法辅助人员113人；离休人员0人，退休人员14人。</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1247.98</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92.56</w:t>
      </w:r>
      <w:r>
        <w:rPr>
          <w:rFonts w:hint="eastAsia" w:ascii="仿宋" w:hAnsi="仿宋" w:eastAsia="仿宋"/>
          <w:sz w:val="32"/>
          <w:szCs w:val="32"/>
        </w:rPr>
        <w:t>万元，增长</w:t>
      </w:r>
      <w:r>
        <w:rPr>
          <w:rFonts w:hint="eastAsia" w:ascii="仿宋" w:hAnsi="仿宋" w:eastAsia="仿宋"/>
          <w:sz w:val="32"/>
          <w:szCs w:val="32"/>
          <w:lang w:val="en-US" w:eastAsia="zh-CN"/>
        </w:rPr>
        <w:t>8.01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人员增加及上年度结转资金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rPr>
          <w:rFonts w:hint="eastAsia" w:eastAsia="仿宋_GB2312"/>
          <w:lang w:eastAsia="zh-CN"/>
        </w:rPr>
      </w:pPr>
      <w:r>
        <w:rPr>
          <w:rFonts w:hint="eastAsia" w:eastAsia="仿宋_GB2312"/>
          <w:lang w:eastAsia="zh-CN"/>
        </w:rPr>
        <w:drawing>
          <wp:inline distT="0" distB="0" distL="114300" distR="114300">
            <wp:extent cx="4959350" cy="2277745"/>
            <wp:effectExtent l="4445" t="4445" r="8255"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1247.98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1247.98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w:t>
      </w:r>
    </w:p>
    <w:p>
      <w:pPr>
        <w:pStyle w:val="2"/>
        <w:rPr>
          <w:rFonts w:hint="eastAsia" w:eastAsia="仿宋_GB2312"/>
          <w:lang w:eastAsia="zh-CN"/>
        </w:rPr>
      </w:pPr>
      <w:r>
        <w:rPr>
          <w:rFonts w:hint="eastAsia" w:eastAsia="仿宋_GB2312"/>
          <w:lang w:eastAsia="zh-CN"/>
        </w:rPr>
        <w:drawing>
          <wp:inline distT="0" distB="0" distL="114300" distR="114300">
            <wp:extent cx="3832860" cy="1903730"/>
            <wp:effectExtent l="0" t="0" r="15240" b="12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1247.98</w:t>
      </w:r>
      <w:r>
        <w:rPr>
          <w:rFonts w:hint="eastAsia" w:ascii="仿宋" w:hAnsi="仿宋" w:eastAsia="仿宋"/>
          <w:sz w:val="32"/>
          <w:szCs w:val="32"/>
        </w:rPr>
        <w:t>万元，其中：基本支出</w:t>
      </w:r>
      <w:r>
        <w:rPr>
          <w:rFonts w:hint="eastAsia" w:ascii="仿宋" w:hAnsi="仿宋" w:eastAsia="仿宋"/>
          <w:sz w:val="32"/>
          <w:szCs w:val="32"/>
          <w:lang w:val="en-US" w:eastAsia="zh-CN"/>
        </w:rPr>
        <w:t>907.13</w:t>
      </w:r>
      <w:r>
        <w:rPr>
          <w:rFonts w:hint="eastAsia" w:ascii="仿宋" w:hAnsi="仿宋" w:eastAsia="仿宋"/>
          <w:sz w:val="32"/>
          <w:szCs w:val="32"/>
        </w:rPr>
        <w:t>万元，占</w:t>
      </w:r>
      <w:r>
        <w:rPr>
          <w:rFonts w:hint="eastAsia" w:ascii="仿宋" w:hAnsi="仿宋" w:eastAsia="仿宋"/>
          <w:sz w:val="32"/>
          <w:szCs w:val="32"/>
          <w:lang w:val="en-US" w:eastAsia="zh-CN"/>
        </w:rPr>
        <w:t>72.69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340.85</w:t>
      </w:r>
      <w:r>
        <w:rPr>
          <w:rFonts w:hint="eastAsia" w:ascii="仿宋" w:hAnsi="仿宋" w:eastAsia="仿宋"/>
          <w:sz w:val="32"/>
          <w:szCs w:val="32"/>
        </w:rPr>
        <w:t>万元，占</w:t>
      </w:r>
      <w:r>
        <w:rPr>
          <w:rFonts w:hint="eastAsia" w:ascii="仿宋" w:hAnsi="仿宋" w:eastAsia="仿宋"/>
          <w:sz w:val="32"/>
          <w:szCs w:val="32"/>
          <w:lang w:val="en-US" w:eastAsia="zh-CN"/>
        </w:rPr>
        <w:t>27.31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w:t>
      </w:r>
    </w:p>
    <w:p>
      <w:pPr>
        <w:pStyle w:val="2"/>
        <w:rPr>
          <w:rFonts w:hint="eastAsia" w:eastAsia="仿宋_GB2312"/>
          <w:lang w:eastAsia="zh-CN"/>
        </w:rPr>
      </w:pPr>
      <w:r>
        <w:rPr>
          <w:rFonts w:hint="eastAsia" w:eastAsia="仿宋_GB2312"/>
          <w:lang w:eastAsia="zh-CN"/>
        </w:rPr>
        <w:drawing>
          <wp:inline distT="0" distB="0" distL="114300" distR="114300">
            <wp:extent cx="3914775" cy="1890395"/>
            <wp:effectExtent l="0" t="0" r="952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1247.98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92.56</w:t>
      </w:r>
      <w:r>
        <w:rPr>
          <w:rFonts w:hint="eastAsia" w:ascii="仿宋" w:hAnsi="仿宋" w:eastAsia="仿宋"/>
          <w:sz w:val="32"/>
          <w:szCs w:val="32"/>
        </w:rPr>
        <w:t>万元，增长</w:t>
      </w:r>
      <w:r>
        <w:rPr>
          <w:rFonts w:hint="eastAsia" w:ascii="仿宋" w:hAnsi="仿宋" w:eastAsia="仿宋"/>
          <w:sz w:val="32"/>
          <w:szCs w:val="32"/>
          <w:lang w:val="en-US" w:eastAsia="zh-CN"/>
        </w:rPr>
        <w:t>8.01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人员增加及上年度结转资金。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Style w:val="25"/>
          <w:rFonts w:ascii="黑体" w:hAnsi="黑体" w:eastAsia="黑体"/>
          <w:b w:val="0"/>
        </w:rPr>
      </w:pPr>
      <w:r>
        <w:rPr>
          <w:rFonts w:hint="eastAsia" w:eastAsia="仿宋_GB2312"/>
          <w:lang w:eastAsia="zh-CN"/>
        </w:rPr>
        <w:drawing>
          <wp:anchor distT="0" distB="0" distL="114300" distR="114300" simplePos="0" relativeHeight="251659264" behindDoc="0" locked="0" layoutInCell="1" allowOverlap="1">
            <wp:simplePos x="0" y="0"/>
            <wp:positionH relativeFrom="column">
              <wp:posOffset>194310</wp:posOffset>
            </wp:positionH>
            <wp:positionV relativeFrom="paragraph">
              <wp:posOffset>142875</wp:posOffset>
            </wp:positionV>
            <wp:extent cx="4925060" cy="2148840"/>
            <wp:effectExtent l="5080" t="4445" r="22860" b="184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1247.98</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92.56</w:t>
      </w:r>
      <w:r>
        <w:rPr>
          <w:rFonts w:hint="eastAsia" w:ascii="仿宋" w:hAnsi="仿宋" w:eastAsia="仿宋"/>
          <w:sz w:val="32"/>
          <w:szCs w:val="32"/>
        </w:rPr>
        <w:t>万元，增长</w:t>
      </w:r>
      <w:r>
        <w:rPr>
          <w:rFonts w:hint="eastAsia" w:ascii="仿宋" w:hAnsi="仿宋" w:eastAsia="仿宋"/>
          <w:sz w:val="32"/>
          <w:szCs w:val="32"/>
          <w:lang w:val="en-US" w:eastAsia="zh-CN"/>
        </w:rPr>
        <w:t>8.01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人员增加及上年度结转资金。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pStyle w:val="2"/>
        <w:rPr>
          <w:rFonts w:ascii="仿宋" w:hAnsi="仿宋" w:eastAsia="仿宋"/>
          <w:b/>
          <w:sz w:val="32"/>
          <w:szCs w:val="32"/>
        </w:rPr>
      </w:pPr>
      <w:r>
        <w:rPr>
          <w:rFonts w:hint="eastAsia" w:eastAsia="仿宋_GB2312"/>
          <w:lang w:eastAsia="zh-CN"/>
        </w:rPr>
        <w:drawing>
          <wp:anchor distT="0" distB="0" distL="114300" distR="114300" simplePos="0" relativeHeight="251660288" behindDoc="0" locked="0" layoutInCell="1" allowOverlap="1">
            <wp:simplePos x="0" y="0"/>
            <wp:positionH relativeFrom="column">
              <wp:posOffset>220980</wp:posOffset>
            </wp:positionH>
            <wp:positionV relativeFrom="paragraph">
              <wp:posOffset>107950</wp:posOffset>
            </wp:positionV>
            <wp:extent cx="4803775" cy="2173605"/>
            <wp:effectExtent l="4445" t="5080" r="11430" b="1206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1247.98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交通运输支出（类）</w:t>
      </w:r>
      <w:r>
        <w:rPr>
          <w:rFonts w:hint="eastAsia" w:ascii="仿宋" w:hAnsi="仿宋" w:eastAsia="仿宋"/>
          <w:sz w:val="32"/>
          <w:szCs w:val="32"/>
        </w:rPr>
        <w:t>支出</w:t>
      </w:r>
      <w:r>
        <w:rPr>
          <w:rFonts w:hint="eastAsia" w:ascii="仿宋" w:hAnsi="仿宋" w:eastAsia="仿宋"/>
          <w:sz w:val="32"/>
          <w:szCs w:val="32"/>
          <w:lang w:val="en-US" w:eastAsia="zh-CN"/>
        </w:rPr>
        <w:t>1176.72</w:t>
      </w:r>
      <w:r>
        <w:rPr>
          <w:rFonts w:hint="eastAsia" w:ascii="仿宋" w:hAnsi="仿宋" w:eastAsia="仿宋"/>
          <w:sz w:val="32"/>
          <w:szCs w:val="32"/>
        </w:rPr>
        <w:t>万元，占94.</w:t>
      </w:r>
      <w:r>
        <w:rPr>
          <w:rFonts w:hint="eastAsia" w:ascii="仿宋" w:hAnsi="仿宋" w:eastAsia="仿宋"/>
          <w:sz w:val="32"/>
          <w:szCs w:val="32"/>
          <w:lang w:val="en-US" w:eastAsia="zh-CN"/>
        </w:rPr>
        <w:t>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31.67</w:t>
      </w:r>
      <w:r>
        <w:rPr>
          <w:rFonts w:hint="eastAsia" w:ascii="仿宋" w:hAnsi="仿宋" w:eastAsia="仿宋"/>
          <w:sz w:val="32"/>
          <w:szCs w:val="32"/>
        </w:rPr>
        <w:t>万元，占</w:t>
      </w:r>
      <w:r>
        <w:rPr>
          <w:rFonts w:hint="eastAsia" w:ascii="仿宋" w:hAnsi="仿宋" w:eastAsia="仿宋"/>
          <w:sz w:val="32"/>
          <w:szCs w:val="32"/>
          <w:lang w:val="en-US" w:eastAsia="zh-CN"/>
        </w:rPr>
        <w:t>2.54</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15.84</w:t>
      </w:r>
      <w:r>
        <w:rPr>
          <w:rFonts w:hint="eastAsia" w:ascii="仿宋" w:hAnsi="仿宋" w:eastAsia="仿宋"/>
          <w:sz w:val="32"/>
          <w:szCs w:val="32"/>
        </w:rPr>
        <w:t>万元，占1.27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23.75</w:t>
      </w:r>
      <w:r>
        <w:rPr>
          <w:rFonts w:hint="eastAsia" w:ascii="仿宋" w:hAnsi="仿宋" w:eastAsia="仿宋"/>
          <w:sz w:val="32"/>
          <w:szCs w:val="32"/>
        </w:rPr>
        <w:t>万元，占1.</w:t>
      </w: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b/>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hint="eastAsia"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307975</wp:posOffset>
            </wp:positionH>
            <wp:positionV relativeFrom="paragraph">
              <wp:posOffset>108585</wp:posOffset>
            </wp:positionV>
            <wp:extent cx="4646930" cy="1412240"/>
            <wp:effectExtent l="0" t="0" r="1270" b="1651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rPr>
          <w:rFonts w:hint="eastAsia" w:ascii="仿宋" w:hAnsi="仿宋" w:eastAsia="仿宋"/>
          <w:b/>
          <w:sz w:val="32"/>
          <w:szCs w:val="32"/>
        </w:rPr>
      </w:pPr>
    </w:p>
    <w:p>
      <w:pPr>
        <w:spacing w:line="600" w:lineRule="exact"/>
        <w:ind w:firstLine="643" w:firstLineChars="200"/>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Style w:val="14"/>
          <w:rFonts w:hint="eastAsia" w:ascii="仿宋" w:hAnsi="仿宋" w:eastAsia="仿宋"/>
          <w:bCs/>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1247.98</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Fonts w:hint="eastAsia" w:ascii="仿宋" w:hAnsi="仿宋" w:eastAsia="仿宋"/>
          <w:b/>
          <w:sz w:val="32"/>
          <w:szCs w:val="32"/>
        </w:rPr>
        <w:t>交通运输支出</w:t>
      </w:r>
      <w:r>
        <w:rPr>
          <w:rStyle w:val="14"/>
          <w:rFonts w:hint="eastAsia" w:ascii="仿宋" w:hAnsi="仿宋" w:eastAsia="仿宋"/>
          <w:bCs/>
          <w:sz w:val="32"/>
          <w:szCs w:val="32"/>
        </w:rPr>
        <w:t>（类）公路水路运输（款）公路运输管理（项）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1176.72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社会保障和就业（类）行政事业单位养老支出（款）机关事业单位基本养老（项）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31.67</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15.84</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23.75</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907.13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880.32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26.81</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46.52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22年“三公”经费财政拨款支出决算中，公务用车购置及运行维护费支出决算</w:t>
      </w:r>
      <w:r>
        <w:rPr>
          <w:rFonts w:hint="eastAsia" w:ascii="仿宋" w:hAnsi="仿宋" w:eastAsia="仿宋"/>
          <w:sz w:val="32"/>
          <w:szCs w:val="32"/>
          <w:lang w:val="en-US" w:eastAsia="zh-CN"/>
        </w:rPr>
        <w:t>45</w:t>
      </w:r>
      <w:r>
        <w:rPr>
          <w:rFonts w:hint="eastAsia" w:ascii="仿宋" w:hAnsi="仿宋" w:eastAsia="仿宋"/>
          <w:sz w:val="32"/>
          <w:szCs w:val="32"/>
        </w:rPr>
        <w:t>万元，占</w:t>
      </w:r>
      <w:r>
        <w:rPr>
          <w:rFonts w:hint="eastAsia" w:ascii="仿宋" w:hAnsi="仿宋" w:eastAsia="仿宋"/>
          <w:sz w:val="32"/>
          <w:szCs w:val="32"/>
          <w:lang w:val="en-US" w:eastAsia="zh-CN"/>
        </w:rPr>
        <w:t>96.73</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1.52</w:t>
      </w:r>
      <w:r>
        <w:rPr>
          <w:rFonts w:hint="eastAsia" w:ascii="仿宋" w:hAnsi="仿宋" w:eastAsia="仿宋"/>
          <w:sz w:val="32"/>
          <w:szCs w:val="32"/>
        </w:rPr>
        <w:t>万元，占</w:t>
      </w:r>
      <w:r>
        <w:rPr>
          <w:rFonts w:hint="eastAsia" w:ascii="仿宋" w:hAnsi="仿宋" w:eastAsia="仿宋"/>
          <w:sz w:val="32"/>
          <w:szCs w:val="32"/>
          <w:lang w:val="en-US" w:eastAsia="zh-CN"/>
        </w:rPr>
        <w:t>3.27</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pStyle w:val="2"/>
        <w:rPr>
          <w:rFonts w:hint="eastAsia" w:eastAsia="仿宋_GB2312"/>
          <w:lang w:eastAsia="zh-CN"/>
        </w:rPr>
      </w:pPr>
      <w:r>
        <w:rPr>
          <w:rFonts w:hint="eastAsia" w:eastAsia="仿宋_GB2312"/>
          <w:lang w:eastAsia="zh-CN"/>
        </w:rPr>
        <w:drawing>
          <wp:inline distT="0" distB="0" distL="114300" distR="114300">
            <wp:extent cx="3764280" cy="2060575"/>
            <wp:effectExtent l="0" t="0" r="7620" b="158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hint="eastAsia" w:ascii="仿宋_GB2312" w:eastAsia="仿宋_GB2312"/>
          <w:b/>
          <w:sz w:val="32"/>
          <w:szCs w:val="32"/>
          <w:lang w:val="en-US" w:eastAsia="zh-CN"/>
        </w:rPr>
        <w:t>1</w:t>
      </w:r>
      <w:r>
        <w:rPr>
          <w:rFonts w:ascii="仿宋_GB2312" w:eastAsia="仿宋_GB2312"/>
          <w:b/>
          <w:sz w:val="32"/>
          <w:szCs w:val="32"/>
        </w:rPr>
        <w:t>.</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45</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2021年持平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15</w:t>
      </w:r>
      <w:r>
        <w:rPr>
          <w:rFonts w:hint="eastAsia" w:ascii="仿宋_GB2312" w:eastAsia="仿宋_GB2312"/>
          <w:sz w:val="32"/>
          <w:szCs w:val="32"/>
        </w:rPr>
        <w:t>辆，其中：轿车9辆、越野车1辆、皮卡车5辆。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45</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eastAsia" w:ascii="仿宋_GB2312" w:eastAsia="仿宋_GB2312"/>
          <w:sz w:val="32"/>
          <w:szCs w:val="32"/>
        </w:rPr>
        <w:t>交通运输综合执法工作等所需的公务用车燃料费、维修费、过路过桥费、保险费等支出。</w:t>
      </w:r>
    </w:p>
    <w:p>
      <w:pPr>
        <w:spacing w:line="600" w:lineRule="exact"/>
        <w:ind w:firstLine="640"/>
        <w:rPr>
          <w:rFonts w:ascii="仿宋_GB2312" w:eastAsia="仿宋_GB2312"/>
          <w:sz w:val="32"/>
          <w:szCs w:val="32"/>
        </w:rPr>
      </w:pPr>
      <w:r>
        <w:rPr>
          <w:rFonts w:hint="eastAsia" w:ascii="仿宋_GB2312" w:eastAsia="仿宋_GB2312"/>
          <w:b/>
          <w:sz w:val="32"/>
          <w:szCs w:val="32"/>
          <w:lang w:val="en-US" w:eastAsia="zh-CN"/>
        </w:rPr>
        <w:t>2</w:t>
      </w:r>
      <w:r>
        <w:rPr>
          <w:rFonts w:ascii="仿宋_GB2312" w:eastAsia="仿宋_GB2312"/>
          <w:b/>
          <w:sz w:val="32"/>
          <w:szCs w:val="32"/>
        </w:rPr>
        <w:t>.</w:t>
      </w:r>
      <w:r>
        <w:rPr>
          <w:rFonts w:hint="eastAsia" w:ascii="仿宋_GB2312" w:eastAsia="仿宋_GB2312"/>
          <w:b/>
          <w:sz w:val="32"/>
          <w:szCs w:val="32"/>
        </w:rPr>
        <w:t>公务接待费支出</w:t>
      </w:r>
      <w:r>
        <w:rPr>
          <w:rFonts w:hint="eastAsia" w:ascii="仿宋_GB2312" w:eastAsia="仿宋_GB2312"/>
          <w:sz w:val="32"/>
          <w:szCs w:val="32"/>
          <w:lang w:val="en-US" w:eastAsia="zh-CN"/>
        </w:rPr>
        <w:t>1.52</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2021年持平</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1.52</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42</w:t>
      </w:r>
      <w:r>
        <w:rPr>
          <w:rFonts w:hint="eastAsia" w:ascii="仿宋_GB2312" w:eastAsia="仿宋_GB2312"/>
          <w:sz w:val="32"/>
          <w:szCs w:val="32"/>
        </w:rPr>
        <w:t>批次，</w:t>
      </w:r>
      <w:r>
        <w:rPr>
          <w:rFonts w:hint="eastAsia" w:ascii="仿宋_GB2312" w:eastAsia="仿宋_GB2312"/>
          <w:sz w:val="32"/>
          <w:szCs w:val="32"/>
          <w:lang w:val="en-US" w:eastAsia="zh-CN"/>
        </w:rPr>
        <w:t>179</w:t>
      </w:r>
      <w:r>
        <w:rPr>
          <w:rFonts w:hint="eastAsia" w:ascii="仿宋_GB2312" w:eastAsia="仿宋_GB2312"/>
          <w:sz w:val="32"/>
          <w:szCs w:val="32"/>
        </w:rPr>
        <w:t>人次，共计支出</w:t>
      </w:r>
      <w:r>
        <w:rPr>
          <w:rFonts w:hint="eastAsia" w:ascii="仿宋_GB2312" w:eastAsia="仿宋_GB2312"/>
          <w:sz w:val="32"/>
          <w:szCs w:val="32"/>
          <w:lang w:val="en-US" w:eastAsia="zh-CN"/>
        </w:rPr>
        <w:t>1.52</w:t>
      </w:r>
      <w:r>
        <w:rPr>
          <w:rFonts w:hint="eastAsia" w:ascii="仿宋_GB2312" w:eastAsia="仿宋_GB2312"/>
          <w:sz w:val="32"/>
          <w:szCs w:val="32"/>
        </w:rPr>
        <w:t>万元，具体内容包括：</w:t>
      </w:r>
      <w:r>
        <w:rPr>
          <w:rFonts w:hint="eastAsia" w:ascii="宋体" w:hAnsi="宋体" w:cs="宋体"/>
          <w:color w:val="333333"/>
          <w:sz w:val="28"/>
          <w:szCs w:val="28"/>
        </w:rPr>
        <w:t>执行接待等公务活动开支的交通费、住宿费、用餐费等</w:t>
      </w:r>
      <w:r>
        <w:rPr>
          <w:rFonts w:hint="eastAsia" w:ascii="仿宋_GB2312" w:eastAsia="仿宋_GB2312"/>
          <w:sz w:val="32"/>
          <w:szCs w:val="32"/>
        </w:rPr>
        <w:t>。</w:t>
      </w:r>
    </w:p>
    <w:p>
      <w:pPr>
        <w:spacing w:line="600" w:lineRule="exact"/>
        <w:ind w:firstLine="640"/>
        <w:outlineLvl w:val="1"/>
        <w:rPr>
          <w:rStyle w:val="25"/>
          <w:rFonts w:ascii="黑体" w:hAnsi="黑体" w:eastAsia="黑体"/>
        </w:rPr>
      </w:pPr>
      <w:bookmarkStart w:id="40" w:name="_Toc15377218"/>
      <w:bookmarkStart w:id="41" w:name="_Toc15396610"/>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22年，剑阁县交通运输综合行政执法大队机关运行经费支出</w:t>
      </w:r>
      <w:r>
        <w:rPr>
          <w:rFonts w:hint="eastAsia" w:ascii="仿宋_GB2312" w:eastAsia="仿宋_GB2312"/>
          <w:sz w:val="32"/>
          <w:szCs w:val="32"/>
          <w:lang w:val="en-US" w:eastAsia="zh-CN"/>
        </w:rPr>
        <w:t>26.81</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61.43</w:t>
      </w:r>
      <w:r>
        <w:rPr>
          <w:rFonts w:hint="eastAsia" w:ascii="仿宋_GB2312" w:eastAsia="仿宋_GB2312"/>
          <w:sz w:val="32"/>
          <w:szCs w:val="32"/>
        </w:rPr>
        <w:t>万元，下降</w:t>
      </w:r>
      <w:r>
        <w:rPr>
          <w:rFonts w:hint="eastAsia" w:ascii="仿宋_GB2312" w:eastAsia="仿宋_GB2312"/>
          <w:sz w:val="32"/>
          <w:szCs w:val="32"/>
          <w:lang w:val="en-US" w:eastAsia="zh-CN"/>
        </w:rPr>
        <w:t>69.62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人员结构调整，缩减开支。</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22年，剑阁县交通运输综合行政执法大队政府采购支出总额64</w:t>
      </w:r>
      <w:r>
        <w:rPr>
          <w:rFonts w:hint="eastAsia" w:ascii="仿宋_GB2312" w:eastAsia="仿宋_GB2312"/>
          <w:sz w:val="32"/>
          <w:szCs w:val="32"/>
          <w:lang w:val="en-US" w:eastAsia="zh-CN"/>
        </w:rPr>
        <w:t>.88</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日，剑阁县交通运输综合行政执法大队共有车辆</w:t>
      </w:r>
      <w:r>
        <w:rPr>
          <w:rFonts w:hint="eastAsia" w:ascii="仿宋_GB2312" w:eastAsia="仿宋_GB2312"/>
          <w:sz w:val="32"/>
          <w:szCs w:val="32"/>
          <w:lang w:val="en-US" w:eastAsia="zh-CN"/>
        </w:rPr>
        <w:t>15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15</w:t>
      </w:r>
      <w:r>
        <w:rPr>
          <w:rFonts w:hint="eastAsia" w:ascii="仿宋_GB2312" w:eastAsia="仿宋_GB2312"/>
          <w:sz w:val="32"/>
          <w:szCs w:val="32"/>
        </w:rPr>
        <w:t>辆，其他用车主要是用于</w:t>
      </w:r>
      <w:r>
        <w:rPr>
          <w:rFonts w:hint="eastAsia" w:ascii="仿宋_GB2312" w:eastAsia="仿宋_GB2312"/>
          <w:sz w:val="32"/>
          <w:szCs w:val="32"/>
          <w:lang w:eastAsia="zh-CN"/>
        </w:rPr>
        <w:t>交通运输综合行政执法执勤用车</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“剑阁县事故多发路段安全隐患整治</w:t>
      </w:r>
      <w:r>
        <w:rPr>
          <w:rFonts w:hint="eastAsia" w:hAnsi="仿宋_GB2312" w:cs="仿宋_GB2312"/>
          <w:sz w:val="32"/>
          <w:szCs w:val="32"/>
        </w:rPr>
        <w:t>项目</w:t>
      </w:r>
      <w:r>
        <w:rPr>
          <w:rFonts w:hint="eastAsia" w:hAnsi="仿宋_GB2312" w:cs="仿宋_GB2312"/>
          <w:sz w:val="32"/>
          <w:szCs w:val="32"/>
          <w:lang w:eastAsia="zh-CN"/>
        </w:rPr>
        <w:t>”“</w:t>
      </w:r>
      <w:r>
        <w:rPr>
          <w:rFonts w:hint="eastAsia" w:hAnsi="仿宋_GB2312" w:cs="仿宋_GB2312"/>
          <w:sz w:val="32"/>
          <w:szCs w:val="32"/>
        </w:rPr>
        <w:t>普通公路超限电子</w:t>
      </w:r>
      <w:r>
        <w:rPr>
          <w:rFonts w:hint="eastAsia" w:hAnsi="仿宋_GB2312" w:cs="仿宋_GB2312"/>
          <w:sz w:val="32"/>
          <w:szCs w:val="32"/>
          <w:lang w:eastAsia="zh-CN"/>
        </w:rPr>
        <w:t>抓拍</w:t>
      </w:r>
      <w:r>
        <w:rPr>
          <w:rFonts w:hint="eastAsia" w:hAnsi="仿宋_GB2312" w:cs="仿宋_GB2312"/>
          <w:sz w:val="32"/>
          <w:szCs w:val="32"/>
        </w:rPr>
        <w:t>系统</w:t>
      </w:r>
      <w:r>
        <w:rPr>
          <w:rFonts w:hint="eastAsia" w:hAnsi="仿宋_GB2312" w:cs="仿宋_GB2312"/>
          <w:sz w:val="32"/>
          <w:szCs w:val="32"/>
          <w:lang w:eastAsia="zh-CN"/>
        </w:rPr>
        <w:t>”</w:t>
      </w:r>
      <w:r>
        <w:rPr>
          <w:rFonts w:hint="eastAsia" w:hAnsi="仿宋_GB2312" w:cs="仿宋_GB2312"/>
          <w:sz w:val="32"/>
          <w:szCs w:val="32"/>
        </w:rPr>
        <w:t>等项目开展了预算事前绩效评估，对</w:t>
      </w:r>
      <w:r>
        <w:rPr>
          <w:rFonts w:hint="eastAsia" w:hAnsi="仿宋_GB2312" w:cs="仿宋_GB2312"/>
          <w:sz w:val="32"/>
          <w:szCs w:val="32"/>
          <w:lang w:val="en-US" w:eastAsia="zh-CN"/>
        </w:rPr>
        <w:t>2</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w:t>
      </w:r>
      <w:r>
        <w:rPr>
          <w:rFonts w:hint="eastAsia" w:hAnsi="仿宋_GB2312" w:cs="仿宋_GB2312"/>
          <w:sz w:val="32"/>
          <w:szCs w:val="32"/>
        </w:rPr>
        <w:t>个项目开展绩效监控，组织对</w:t>
      </w:r>
      <w:r>
        <w:rPr>
          <w:rFonts w:hint="eastAsia" w:hAnsi="仿宋_GB2312" w:cs="仿宋_GB2312"/>
          <w:sz w:val="32"/>
          <w:szCs w:val="32"/>
          <w:lang w:val="en-US" w:eastAsia="zh-CN"/>
        </w:rPr>
        <w:t>2</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7.结余分配：指事业单位按照会计制度规定缴纳的所得税、提取的专用结余以及转入非财政拨款结余的金额等。</w:t>
      </w:r>
    </w:p>
    <w:p>
      <w:pPr>
        <w:pStyle w:val="22"/>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8、年末结转和结余：指单位按有关规定结转到下年或以后年度继续使用的资金。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9.交通运输支出（类）公路水路运输（款）公路运输管理（项）：指反映公路运输管理支出和公路路政管理支出。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10.社会保障和就业支出（类）行政事业单位养老支出（款）机关事业单位基本养老（项）</w:t>
      </w:r>
      <w:r>
        <w:rPr>
          <w:rFonts w:hint="eastAsia" w:ascii="仿宋_GB2312" w:eastAsia="仿宋_GB2312"/>
          <w:sz w:val="32"/>
          <w:szCs w:val="32"/>
          <w:lang w:eastAsia="zh-CN"/>
        </w:rPr>
        <w:t>：</w:t>
      </w:r>
      <w:r>
        <w:rPr>
          <w:rFonts w:hint="eastAsia" w:ascii="仿宋_GB2312" w:eastAsia="仿宋_GB2312"/>
          <w:sz w:val="32"/>
          <w:szCs w:val="32"/>
        </w:rPr>
        <w:t>指反映机关事业单位实施养老保险制度由单位缴纳的基本养老保险费支出。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11.卫生健康支出（类）行政事业单位医疗（款）事业单位医疗（项）</w:t>
      </w:r>
      <w:r>
        <w:rPr>
          <w:rFonts w:hint="eastAsia" w:ascii="仿宋_GB2312" w:eastAsia="仿宋_GB2312"/>
          <w:sz w:val="32"/>
          <w:szCs w:val="32"/>
          <w:lang w:eastAsia="zh-CN"/>
        </w:rPr>
        <w:t>：</w:t>
      </w:r>
      <w:r>
        <w:rPr>
          <w:rFonts w:hint="eastAsia" w:ascii="仿宋_GB2312" w:eastAsia="仿宋_GB2312"/>
          <w:sz w:val="32"/>
          <w:szCs w:val="32"/>
        </w:rPr>
        <w:t>指反映财政部门安排的事业单位基本医疗保险缴纳经费。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公务用车购置及运行费和公务接待费。其中，公务用车购置及运行费反映单位公务用车车辆燃料费、维修费、过路过桥费、保险费等支出；公务接待费反映单位按规定开支的各类公务接待支出。</w:t>
      </w:r>
    </w:p>
    <w:p>
      <w:pPr>
        <w:ind w:firstLine="640" w:firstLineChars="200"/>
        <w:rPr>
          <w:rFonts w:ascii="仿宋_GB2312" w:eastAsia="仿宋_GB2312"/>
          <w:sz w:val="32"/>
          <w:szCs w:val="32"/>
        </w:rPr>
      </w:pPr>
      <w:r>
        <w:rPr>
          <w:rFonts w:hint="eastAsia" w:ascii="仿宋_GB2312" w:eastAsia="仿宋_GB2312"/>
          <w:color w:val="auto"/>
          <w:sz w:val="32"/>
          <w:szCs w:val="32"/>
        </w:rPr>
        <w:t>16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24"/>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4"/>
          <w:rFonts w:hint="eastAsia" w:ascii="黑体" w:hAnsi="黑体" w:eastAsia="黑体"/>
          <w:b w:val="0"/>
        </w:rPr>
        <w:t>四部分 附件</w:t>
      </w:r>
      <w:bookmarkEnd w:id="52"/>
    </w:p>
    <w:tbl>
      <w:tblPr>
        <w:tblStyle w:val="12"/>
        <w:tblpPr w:leftFromText="180" w:rightFromText="180" w:vertAnchor="text" w:horzAnchor="page" w:tblpX="1406" w:tblpY="341"/>
        <w:tblOverlap w:val="never"/>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183"/>
        <w:gridCol w:w="1267"/>
        <w:gridCol w:w="1243"/>
        <w:gridCol w:w="468"/>
        <w:gridCol w:w="647"/>
        <w:gridCol w:w="456"/>
        <w:gridCol w:w="981"/>
        <w:gridCol w:w="486"/>
        <w:gridCol w:w="410"/>
        <w:gridCol w:w="2289"/>
      </w:tblGrid>
      <w:tr>
        <w:tblPrEx>
          <w:tblCellMar>
            <w:top w:w="0" w:type="dxa"/>
            <w:left w:w="108" w:type="dxa"/>
            <w:bottom w:w="0" w:type="dxa"/>
            <w:right w:w="108" w:type="dxa"/>
          </w:tblCellMar>
        </w:tblPrEx>
        <w:trPr>
          <w:trHeight w:val="904" w:hRule="atLeast"/>
        </w:trPr>
        <w:tc>
          <w:tcPr>
            <w:tcW w:w="10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51082322T000006102210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事故多发路段安全隐患整治经费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剑阁县交通运输局部门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完成事故多发路段安全隐患治理</w:t>
            </w: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治理路段</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段</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事故明显下降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CellMar>
            <w:top w:w="0" w:type="dxa"/>
            <w:left w:w="108" w:type="dxa"/>
            <w:bottom w:w="0" w:type="dxa"/>
            <w:right w:w="108" w:type="dxa"/>
          </w:tblCellMar>
        </w:tblPrEx>
        <w:trPr>
          <w:trHeight w:val="286" w:hRule="atLeast"/>
        </w:trPr>
        <w:tc>
          <w:tcPr>
            <w:tcW w:w="6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项目负责人：朱庆华</w:t>
            </w:r>
          </w:p>
        </w:tc>
        <w:tc>
          <w:tcPr>
            <w:tcW w:w="5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4" w:hRule="atLeast"/>
        </w:trPr>
        <w:tc>
          <w:tcPr>
            <w:tcW w:w="10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51082322T000007275599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普通公路超限电子</w:t>
            </w:r>
            <w:r>
              <w:rPr>
                <w:rFonts w:hint="eastAsia" w:ascii="宋体" w:hAnsi="宋体" w:cs="宋体"/>
                <w:i w:val="0"/>
                <w:iCs w:val="0"/>
                <w:color w:val="000000"/>
                <w:kern w:val="0"/>
                <w:sz w:val="18"/>
                <w:szCs w:val="18"/>
                <w:u w:val="none"/>
                <w:lang w:val="en-US" w:eastAsia="zh-CN" w:bidi="ar"/>
              </w:rPr>
              <w:t>抓拍</w:t>
            </w:r>
            <w:r>
              <w:rPr>
                <w:rFonts w:ascii="宋体" w:hAnsi="宋体" w:eastAsia="宋体" w:cs="宋体"/>
                <w:i w:val="0"/>
                <w:iCs w:val="0"/>
                <w:color w:val="000000"/>
                <w:kern w:val="0"/>
                <w:sz w:val="18"/>
                <w:szCs w:val="18"/>
                <w:u w:val="none"/>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剑阁县交通运输局部门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项目负责人：高永强</w:t>
            </w:r>
          </w:p>
        </w:tc>
        <w:tc>
          <w:tcPr>
            <w:tcW w:w="5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财务负责人：杨彪</w:t>
            </w:r>
          </w:p>
        </w:tc>
      </w:tr>
    </w:tbl>
    <w:p>
      <w:pPr>
        <w:spacing w:line="572" w:lineRule="exact"/>
        <w:jc w:val="left"/>
        <w:outlineLvl w:val="0"/>
        <w:rPr>
          <w:rFonts w:ascii="仿宋_GB2312" w:hAnsi="仿宋_GB2312" w:eastAsia="仿宋_GB2312" w:cs="仿宋_GB2312"/>
          <w:sz w:val="32"/>
          <w:szCs w:val="32"/>
        </w:rPr>
      </w:pPr>
    </w:p>
    <w:p>
      <w:pPr>
        <w:spacing w:line="600" w:lineRule="exact"/>
        <w:jc w:val="left"/>
        <w:outlineLvl w:val="0"/>
        <w:rPr>
          <w:rFonts w:ascii="仿宋_GB2312" w:hAnsi="Calibri" w:eastAsia="仿宋_GB2312" w:cs="仿宋"/>
          <w:kern w:val="0"/>
          <w:sz w:val="32"/>
          <w:szCs w:val="32"/>
        </w:rPr>
      </w:pPr>
      <w:bookmarkStart w:id="53" w:name="_Toc15396618"/>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4CCC02-C2E0-4F91-8F7B-2543198CD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D8276C-B526-4EA1-B017-B7CD3742D990}"/>
  </w:font>
  <w:font w:name="Cambria">
    <w:panose1 w:val="02040503050406030204"/>
    <w:charset w:val="00"/>
    <w:family w:val="roman"/>
    <w:pitch w:val="default"/>
    <w:sig w:usb0="E00006FF" w:usb1="420024FF" w:usb2="02000000" w:usb3="00000000" w:csb0="2000019F" w:csb1="00000000"/>
    <w:embedRegular r:id="rId3" w:fontKey="{1B106FD3-85DE-4EF4-B74A-3923DEFC7CBD}"/>
  </w:font>
  <w:font w:name="仿宋_GB2312">
    <w:altName w:val="仿宋"/>
    <w:panose1 w:val="00000000000000000000"/>
    <w:charset w:val="86"/>
    <w:family w:val="modern"/>
    <w:pitch w:val="default"/>
    <w:sig w:usb0="00000000" w:usb1="00000000" w:usb2="00000000" w:usb3="00000000" w:csb0="00040000" w:csb1="00000000"/>
    <w:embedRegular r:id="rId4" w:fontKey="{350A120D-0A00-4057-AB1E-1EB8D6C97D6F}"/>
  </w:font>
  <w:font w:name="仿宋">
    <w:panose1 w:val="02010609060101010101"/>
    <w:charset w:val="86"/>
    <w:family w:val="modern"/>
    <w:pitch w:val="default"/>
    <w:sig w:usb0="800002BF" w:usb1="38CF7CFA" w:usb2="00000016" w:usb3="00000000" w:csb0="00040001" w:csb1="00000000"/>
    <w:embedRegular r:id="rId5" w:fontKey="{777A628C-423B-42A1-A416-69DE5EE9DBC1}"/>
  </w:font>
  <w:font w:name="方正小标宋简体">
    <w:panose1 w:val="02000000000000000000"/>
    <w:charset w:val="86"/>
    <w:family w:val="script"/>
    <w:pitch w:val="default"/>
    <w:sig w:usb0="00000001" w:usb1="08000000" w:usb2="00000000" w:usb3="00000000" w:csb0="00040000" w:csb1="00000000"/>
    <w:embedRegular r:id="rId6" w:fontKey="{EFB2E46F-8DDC-4219-ABC2-43C25113A726}"/>
  </w:font>
  <w:font w:name="微软雅黑">
    <w:panose1 w:val="020B0503020204020204"/>
    <w:charset w:val="86"/>
    <w:family w:val="auto"/>
    <w:pitch w:val="default"/>
    <w:sig w:usb0="80000287" w:usb1="2ACF3C50" w:usb2="00000016" w:usb3="00000000" w:csb0="0004001F" w:csb1="00000000"/>
    <w:embedRegular r:id="rId7" w:fontKey="{0868E944-A49D-495A-85D3-12C11BF2D3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A747CC4"/>
    <w:rsid w:val="0B8A37D8"/>
    <w:rsid w:val="10C055FF"/>
    <w:rsid w:val="118107EC"/>
    <w:rsid w:val="11DD6519"/>
    <w:rsid w:val="123F3D41"/>
    <w:rsid w:val="16BB723D"/>
    <w:rsid w:val="18015F3F"/>
    <w:rsid w:val="18491C92"/>
    <w:rsid w:val="1BE8440E"/>
    <w:rsid w:val="1D155CEE"/>
    <w:rsid w:val="1E7F53F6"/>
    <w:rsid w:val="1F3C6CCC"/>
    <w:rsid w:val="1F8064E8"/>
    <w:rsid w:val="20F57F95"/>
    <w:rsid w:val="240371BF"/>
    <w:rsid w:val="25711CC6"/>
    <w:rsid w:val="25C741E6"/>
    <w:rsid w:val="27842671"/>
    <w:rsid w:val="27E52D7C"/>
    <w:rsid w:val="29FD04D3"/>
    <w:rsid w:val="2ABE7A3E"/>
    <w:rsid w:val="2CA234A8"/>
    <w:rsid w:val="2EFA178C"/>
    <w:rsid w:val="30B46D73"/>
    <w:rsid w:val="319F7F4E"/>
    <w:rsid w:val="34F36D08"/>
    <w:rsid w:val="383D272C"/>
    <w:rsid w:val="39AE70AB"/>
    <w:rsid w:val="3C0C0783"/>
    <w:rsid w:val="3F9F3A96"/>
    <w:rsid w:val="42A77857"/>
    <w:rsid w:val="4705455B"/>
    <w:rsid w:val="48BF60AB"/>
    <w:rsid w:val="493C27E9"/>
    <w:rsid w:val="496F39ED"/>
    <w:rsid w:val="49FF41D3"/>
    <w:rsid w:val="4BE068DB"/>
    <w:rsid w:val="4BF6002B"/>
    <w:rsid w:val="4ECE2238"/>
    <w:rsid w:val="517C0CB4"/>
    <w:rsid w:val="51DB4B86"/>
    <w:rsid w:val="55333C3E"/>
    <w:rsid w:val="5F927576"/>
    <w:rsid w:val="62FD20B8"/>
    <w:rsid w:val="64CA39A1"/>
    <w:rsid w:val="66AD7E62"/>
    <w:rsid w:val="69630ADE"/>
    <w:rsid w:val="6C4A05C8"/>
    <w:rsid w:val="6D3B1A89"/>
    <w:rsid w:val="71BF4EC2"/>
    <w:rsid w:val="72734D90"/>
    <w:rsid w:val="7412278C"/>
    <w:rsid w:val="75131343"/>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autoRedefine/>
    <w:unhideWhenUsed/>
    <w:qFormat/>
    <w:uiPriority w:val="39"/>
    <w:pPr>
      <w:tabs>
        <w:tab w:val="right" w:leader="dot" w:pos="8296"/>
      </w:tabs>
      <w:ind w:left="840" w:leftChars="400"/>
    </w:pPr>
  </w:style>
  <w:style w:type="paragraph" w:styleId="7">
    <w:name w:val="Balloon Text"/>
    <w:basedOn w:val="1"/>
    <w:link w:val="27"/>
    <w:autoRedefine/>
    <w:semiHidden/>
    <w:unhideWhenUsed/>
    <w:qFormat/>
    <w:uiPriority w:val="99"/>
    <w:rPr>
      <w:sz w:val="18"/>
      <w:szCs w:val="18"/>
    </w:rPr>
  </w:style>
  <w:style w:type="paragraph" w:styleId="8">
    <w:name w:val="footer"/>
    <w:basedOn w:val="1"/>
    <w:link w:val="19"/>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autoRedefine/>
    <w:unhideWhenUsed/>
    <w:qFormat/>
    <w:uiPriority w:val="39"/>
    <w:pPr>
      <w:tabs>
        <w:tab w:val="right" w:leader="dot" w:pos="8296"/>
      </w:tabs>
      <w:ind w:left="420" w:leftChars="200"/>
    </w:pPr>
  </w:style>
  <w:style w:type="character" w:styleId="14">
    <w:name w:val="Strong"/>
    <w:basedOn w:val="13"/>
    <w:autoRedefine/>
    <w:qFormat/>
    <w:uiPriority w:val="99"/>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Header Char"/>
    <w:basedOn w:val="13"/>
    <w:autoRedefine/>
    <w:semiHidden/>
    <w:qFormat/>
    <w:uiPriority w:val="99"/>
    <w:rPr>
      <w:rFonts w:ascii="Times New Roman" w:hAnsi="Times New Roman"/>
      <w:sz w:val="18"/>
      <w:szCs w:val="18"/>
    </w:rPr>
  </w:style>
  <w:style w:type="character" w:customStyle="1" w:styleId="17">
    <w:name w:val="页眉 字符"/>
    <w:link w:val="9"/>
    <w:autoRedefine/>
    <w:semiHidden/>
    <w:qFormat/>
    <w:locked/>
    <w:uiPriority w:val="99"/>
    <w:rPr>
      <w:sz w:val="18"/>
    </w:rPr>
  </w:style>
  <w:style w:type="character" w:customStyle="1" w:styleId="18">
    <w:name w:val="Footer Char"/>
    <w:basedOn w:val="13"/>
    <w:autoRedefine/>
    <w:semiHidden/>
    <w:qFormat/>
    <w:uiPriority w:val="99"/>
    <w:rPr>
      <w:rFonts w:ascii="Times New Roman" w:hAnsi="Times New Roman"/>
      <w:sz w:val="18"/>
      <w:szCs w:val="18"/>
    </w:rPr>
  </w:style>
  <w:style w:type="character" w:customStyle="1" w:styleId="19">
    <w:name w:val="页脚 字符"/>
    <w:link w:val="8"/>
    <w:autoRedefine/>
    <w:qFormat/>
    <w:locked/>
    <w:uiPriority w:val="99"/>
    <w:rPr>
      <w:sz w:val="18"/>
    </w:rPr>
  </w:style>
  <w:style w:type="character" w:customStyle="1" w:styleId="20">
    <w:name w:val="Body Text Char"/>
    <w:basedOn w:val="13"/>
    <w:autoRedefine/>
    <w:semiHidden/>
    <w:qFormat/>
    <w:uiPriority w:val="99"/>
    <w:rPr>
      <w:rFonts w:ascii="Times New Roman" w:hAnsi="Times New Roman"/>
      <w:szCs w:val="24"/>
    </w:rPr>
  </w:style>
  <w:style w:type="character" w:customStyle="1" w:styleId="21">
    <w:name w:val="正文文本 字符"/>
    <w:link w:val="2"/>
    <w:autoRedefine/>
    <w:qFormat/>
    <w:locked/>
    <w:uiPriority w:val="99"/>
    <w:rPr>
      <w:rFonts w:ascii="仿宋_GB2312" w:hAnsi="Times New Roman" w:eastAsia="仿宋_GB2312"/>
      <w:sz w:val="24"/>
    </w:rPr>
  </w:style>
  <w:style w:type="paragraph" w:customStyle="1" w:styleId="22">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autoRedefine/>
    <w:qFormat/>
    <w:uiPriority w:val="34"/>
    <w:pPr>
      <w:ind w:firstLine="420" w:firstLineChars="200"/>
    </w:pPr>
  </w:style>
  <w:style w:type="character" w:customStyle="1" w:styleId="24">
    <w:name w:val="标题 1 字符"/>
    <w:basedOn w:val="13"/>
    <w:link w:val="3"/>
    <w:autoRedefine/>
    <w:qFormat/>
    <w:uiPriority w:val="9"/>
    <w:rPr>
      <w:rFonts w:ascii="Times New Roman" w:hAnsi="Times New Roman"/>
      <w:b/>
      <w:bCs/>
      <w:kern w:val="44"/>
      <w:sz w:val="44"/>
      <w:szCs w:val="44"/>
    </w:rPr>
  </w:style>
  <w:style w:type="character" w:customStyle="1" w:styleId="25">
    <w:name w:val="标题 2 字符"/>
    <w:basedOn w:val="13"/>
    <w:link w:val="4"/>
    <w:autoRedefine/>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autoRedefine/>
    <w:semiHidden/>
    <w:qFormat/>
    <w:uiPriority w:val="99"/>
    <w:rPr>
      <w:rFonts w:ascii="Times New Roman" w:hAnsi="Times New Roman"/>
      <w:kern w:val="2"/>
      <w:sz w:val="18"/>
      <w:szCs w:val="18"/>
    </w:rPr>
  </w:style>
  <w:style w:type="character" w:customStyle="1" w:styleId="28">
    <w:name w:val="标题 3 字符"/>
    <w:basedOn w:val="13"/>
    <w:link w:val="5"/>
    <w:autoRedefine/>
    <w:qFormat/>
    <w:uiPriority w:val="9"/>
    <w:rPr>
      <w:rFonts w:ascii="Times New Roman" w:hAnsi="Times New Roman"/>
      <w:b/>
      <w:bCs/>
      <w:kern w:val="2"/>
      <w:sz w:val="32"/>
      <w:szCs w:val="32"/>
    </w:rPr>
  </w:style>
  <w:style w:type="paragraph" w:customStyle="1" w:styleId="29">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收支总计（万元）</a:t>
            </a:r>
          </a:p>
        </c:rich>
      </c:tx>
      <c:layout/>
      <c:overlay val="0"/>
      <c:spPr>
        <a:noFill/>
        <a:ln>
          <a:noFill/>
        </a:ln>
        <a:effectLst/>
      </c:spPr>
    </c:title>
    <c:autoTitleDeleted val="0"/>
    <c:plotArea>
      <c:layout/>
      <c:barChart>
        <c:barDir val="col"/>
        <c:grouping val="clustered"/>
        <c:varyColors val="0"/>
        <c:ser>
          <c:idx val="0"/>
          <c:order val="0"/>
          <c:tx>
            <c:strRef>
              <c:f>Sheet1!$A$3</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Sheet1!$B$3:$C$3</c:f>
              <c:numCache>
                <c:formatCode>General</c:formatCode>
                <c:ptCount val="2"/>
                <c:pt idx="0">
                  <c:v>1155.42</c:v>
                </c:pt>
                <c:pt idx="1">
                  <c:v>1247.98</c:v>
                </c:pt>
              </c:numCache>
            </c:numRef>
          </c:val>
        </c:ser>
        <c:dLbls>
          <c:showLegendKey val="0"/>
          <c:showVal val="1"/>
          <c:showCatName val="0"/>
          <c:showSerName val="0"/>
          <c:showPercent val="0"/>
          <c:showBubbleSize val="0"/>
        </c:dLbls>
        <c:gapWidth val="219"/>
        <c:overlap val="-27"/>
        <c:axId val="541918382"/>
        <c:axId val="24141911"/>
      </c:barChart>
      <c:catAx>
        <c:axId val="5419183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41911"/>
        <c:crosses val="autoZero"/>
        <c:auto val="1"/>
        <c:lblAlgn val="ctr"/>
        <c:lblOffset val="100"/>
        <c:noMultiLvlLbl val="0"/>
      </c:catAx>
      <c:valAx>
        <c:axId val="24141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9183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Lbls>
            <c:dLbl>
              <c:idx val="0"/>
              <c:layout>
                <c:manualLayout>
                  <c:x val="-0.00220989676608618"/>
                  <c:y val="-0.2048410757941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69823232323232"/>
                      <c:h val="0.22684053246400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0.7269</c:v>
                </c:pt>
                <c:pt idx="1">
                  <c:v>0.2731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收支总计（万元）</a:t>
            </a:r>
          </a:p>
        </c:rich>
      </c:tx>
      <c:layout>
        <c:manualLayout>
          <c:xMode val="edge"/>
          <c:yMode val="edge"/>
          <c:x val="0.354545454545455"/>
          <c:y val="0.0259269584611096"/>
        </c:manualLayout>
      </c:layout>
      <c:overlay val="0"/>
      <c:spPr>
        <a:noFill/>
        <a:ln>
          <a:noFill/>
        </a:ln>
        <a:effectLst/>
      </c:spPr>
    </c:title>
    <c:autoTitleDeleted val="0"/>
    <c:plotArea>
      <c:layout/>
      <c:barChart>
        <c:barDir val="col"/>
        <c:grouping val="clustered"/>
        <c:varyColors val="0"/>
        <c:ser>
          <c:idx val="0"/>
          <c:order val="0"/>
          <c:tx>
            <c:strRef>
              <c:f>Sheet1!$A$3</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Sheet1!$B$3:$C$3</c:f>
              <c:numCache>
                <c:formatCode>General</c:formatCode>
                <c:ptCount val="2"/>
                <c:pt idx="0">
                  <c:v>1155.42</c:v>
                </c:pt>
                <c:pt idx="1">
                  <c:v>1247.98</c:v>
                </c:pt>
              </c:numCache>
            </c:numRef>
          </c:val>
        </c:ser>
        <c:dLbls>
          <c:showLegendKey val="0"/>
          <c:showVal val="1"/>
          <c:showCatName val="0"/>
          <c:showSerName val="0"/>
          <c:showPercent val="0"/>
          <c:showBubbleSize val="0"/>
        </c:dLbls>
        <c:gapWidth val="219"/>
        <c:overlap val="-27"/>
        <c:axId val="541918382"/>
        <c:axId val="24141911"/>
      </c:barChart>
      <c:catAx>
        <c:axId val="5419183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41911"/>
        <c:crosses val="autoZero"/>
        <c:auto val="1"/>
        <c:lblAlgn val="ctr"/>
        <c:lblOffset val="100"/>
        <c:noMultiLvlLbl val="0"/>
      </c:catAx>
      <c:valAx>
        <c:axId val="24141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9183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收支总计（万元）</a:t>
            </a:r>
          </a:p>
        </c:rich>
      </c:tx>
      <c:layout/>
      <c:overlay val="0"/>
      <c:spPr>
        <a:noFill/>
        <a:ln>
          <a:noFill/>
        </a:ln>
        <a:effectLst/>
      </c:spPr>
    </c:title>
    <c:autoTitleDeleted val="0"/>
    <c:plotArea>
      <c:layout/>
      <c:barChart>
        <c:barDir val="col"/>
        <c:grouping val="clustered"/>
        <c:varyColors val="0"/>
        <c:ser>
          <c:idx val="0"/>
          <c:order val="0"/>
          <c:tx>
            <c:strRef>
              <c:f>Sheet1!$A$3</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Sheet1!$B$3:$C$3</c:f>
              <c:numCache>
                <c:formatCode>General</c:formatCode>
                <c:ptCount val="2"/>
                <c:pt idx="0">
                  <c:v>1155.42</c:v>
                </c:pt>
                <c:pt idx="1">
                  <c:v>1247.98</c:v>
                </c:pt>
              </c:numCache>
            </c:numRef>
          </c:val>
        </c:ser>
        <c:dLbls>
          <c:showLegendKey val="0"/>
          <c:showVal val="1"/>
          <c:showCatName val="0"/>
          <c:showSerName val="0"/>
          <c:showPercent val="0"/>
          <c:showBubbleSize val="0"/>
        </c:dLbls>
        <c:gapWidth val="219"/>
        <c:overlap val="-27"/>
        <c:axId val="541918382"/>
        <c:axId val="24141911"/>
      </c:barChart>
      <c:catAx>
        <c:axId val="5419183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41911"/>
        <c:crosses val="autoZero"/>
        <c:auto val="1"/>
        <c:lblAlgn val="ctr"/>
        <c:lblOffset val="100"/>
        <c:noMultiLvlLbl val="0"/>
      </c:catAx>
      <c:valAx>
        <c:axId val="24141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9183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521739130434783"/>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6482213438735"/>
                  <c:y val="-0.02602026841961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14888010540184"/>
                  <c:y val="0.02023301548886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交通运输支出</c:v>
                </c:pt>
                <c:pt idx="1">
                  <c:v>社会保障和就业支出</c:v>
                </c:pt>
                <c:pt idx="2">
                  <c:v>卫生健康支出</c:v>
                </c:pt>
                <c:pt idx="3">
                  <c:v>住房保障支出</c:v>
                </c:pt>
              </c:strCache>
            </c:strRef>
          </c:cat>
          <c:val>
            <c:numRef>
              <c:f>Sheet1!$B$2:$B$5</c:f>
              <c:numCache>
                <c:formatCode>0.00%</c:formatCode>
                <c:ptCount val="4"/>
                <c:pt idx="0">
                  <c:v>0.9429</c:v>
                </c:pt>
                <c:pt idx="1">
                  <c:v>0.0254</c:v>
                </c:pt>
                <c:pt idx="2">
                  <c:v>0.0127</c:v>
                </c:pt>
                <c:pt idx="3">
                  <c:v>0.019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617168632509"/>
          <c:y val="0.344659440894285"/>
          <c:w val="0.252173913043478"/>
          <c:h val="0.344015338263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0.9673</c:v>
                </c:pt>
                <c:pt idx="1">
                  <c:v>0.0327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5227</Words>
  <Characters>5842</Characters>
  <Lines>5</Lines>
  <Paragraphs>11</Paragraphs>
  <TotalTime>0</TotalTime>
  <ScaleCrop>false</ScaleCrop>
  <LinksUpToDate>false</LinksUpToDate>
  <CharactersWithSpaces>5891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2023-12-21T08:07:04Z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CAADB38052B64B8BA9A583AF390F253E_13</vt:lpwstr>
  </property>
</Properties>
</file>