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425"/>
      <w:bookmarkStart w:id="2" w:name="_Toc15396597"/>
      <w:bookmarkStart w:id="3" w:name="_Toc15396475"/>
      <w:bookmarkStart w:id="4" w:name="_Toc15377193"/>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6" w:name="_Toc15396476"/>
      <w:bookmarkStart w:id="7" w:name="_Toc15377426"/>
      <w:bookmarkStart w:id="8" w:name="_Toc15377194"/>
      <w:bookmarkStart w:id="9" w:name="_Toc15378442"/>
      <w:bookmarkStart w:id="10" w:name="_Toc15396598"/>
      <w:r>
        <w:rPr>
          <w:rFonts w:hint="eastAsia" w:ascii="方正小标宋简体" w:hAnsi="方正小标宋简体" w:eastAsia="方正小标宋简体" w:cs="方正小标宋简体"/>
          <w:sz w:val="72"/>
          <w:szCs w:val="72"/>
        </w:rPr>
        <w:t>剑阁</w:t>
      </w:r>
      <w:bookmarkEnd w:id="5"/>
      <w:bookmarkStart w:id="11" w:name="_Toc15306268"/>
      <w:r>
        <w:rPr>
          <w:rFonts w:hint="eastAsia" w:ascii="方正小标宋简体" w:hAnsi="方正小标宋简体" w:eastAsia="方正小标宋简体" w:cs="方正小标宋简体"/>
          <w:sz w:val="72"/>
          <w:szCs w:val="72"/>
          <w:lang w:eastAsia="zh-CN"/>
        </w:rPr>
        <w:t>县</w:t>
      </w:r>
      <w:r>
        <w:rPr>
          <w:rFonts w:hint="eastAsia" w:ascii="方正小标宋简体" w:hAnsi="方正小标宋简体" w:eastAsia="方正小标宋简体" w:cs="方正小标宋简体"/>
          <w:sz w:val="72"/>
          <w:szCs w:val="72"/>
          <w:lang w:val="en-US" w:eastAsia="zh-CN"/>
        </w:rPr>
        <w:t>演圣</w:t>
      </w:r>
      <w:r>
        <w:rPr>
          <w:rFonts w:hint="eastAsia" w:ascii="方正小标宋简体" w:hAnsi="方正小标宋简体" w:eastAsia="方正小标宋简体" w:cs="方正小标宋简体"/>
          <w:sz w:val="72"/>
          <w:szCs w:val="72"/>
          <w:lang w:eastAsia="zh-CN"/>
        </w:rPr>
        <w:t>镇人民政府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3"/>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bookmarkStart w:id="12" w:name="_Toc15377196"/>
      <w:bookmarkStart w:id="13" w:name="_Toc15396599"/>
    </w:p>
    <w:p>
      <w:pPr>
        <w:pStyle w:val="41"/>
        <w:tabs>
          <w:tab w:val="right" w:leader="dot" w:pos="8306"/>
        </w:tabs>
        <w:rPr>
          <w:b/>
        </w:rPr>
      </w:pPr>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42"/>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42"/>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5</w:t>
      </w:r>
      <w:r>
        <w:fldChar w:fldCharType="end"/>
      </w:r>
    </w:p>
    <w:p>
      <w:pPr>
        <w:pStyle w:val="41"/>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6</w:t>
      </w:r>
      <w:r>
        <w:rPr>
          <w:b/>
        </w:rPr>
        <w:fldChar w:fldCharType="end"/>
      </w:r>
    </w:p>
    <w:p>
      <w:pPr>
        <w:pStyle w:val="42"/>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6</w:t>
      </w:r>
      <w:r>
        <w:fldChar w:fldCharType="end"/>
      </w:r>
    </w:p>
    <w:p>
      <w:pPr>
        <w:pStyle w:val="42"/>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7</w:t>
      </w:r>
      <w:r>
        <w:fldChar w:fldCharType="end"/>
      </w:r>
    </w:p>
    <w:p>
      <w:pPr>
        <w:pStyle w:val="42"/>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8</w:t>
      </w:r>
      <w:r>
        <w:fldChar w:fldCharType="end"/>
      </w:r>
    </w:p>
    <w:p>
      <w:pPr>
        <w:pStyle w:val="42"/>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3</w:t>
      </w:r>
    </w:p>
    <w:p>
      <w:pPr>
        <w:pStyle w:val="42"/>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4</w:t>
      </w:r>
    </w:p>
    <w:p>
      <w:pPr>
        <w:pStyle w:val="42"/>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42"/>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41"/>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9</w:t>
      </w:r>
    </w:p>
    <w:p>
      <w:pPr>
        <w:pStyle w:val="41"/>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5</w:t>
      </w:r>
    </w:p>
    <w:p>
      <w:pPr>
        <w:pStyle w:val="41"/>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34</w:t>
      </w:r>
    </w:p>
    <w:p>
      <w:pPr>
        <w:pStyle w:val="42"/>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34</w:t>
      </w:r>
      <w:r>
        <w:fldChar w:fldCharType="end"/>
      </w:r>
    </w:p>
    <w:p>
      <w:pPr>
        <w:pStyle w:val="42"/>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widowControl/>
        <w:spacing w:line="440" w:lineRule="exact"/>
        <w:jc w:val="left"/>
        <w:rPr>
          <w:rFonts w:ascii="仿宋" w:hAnsi="仿宋" w:eastAsia="仿宋"/>
          <w:bCs/>
          <w:kern w:val="44"/>
          <w:sz w:val="24"/>
        </w:rPr>
      </w:pPr>
      <w:r>
        <w:rPr>
          <w:rFonts w:ascii="仿宋" w:hAnsi="仿宋" w:eastAsia="仿宋"/>
          <w:b/>
          <w:sz w:val="24"/>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31"/>
          <w:rFonts w:hint="eastAsia" w:ascii="黑体" w:hAnsi="黑体" w:eastAsia="黑体"/>
          <w:b w:val="0"/>
          <w:bCs w:val="0"/>
        </w:rPr>
        <w:t>部门概况</w:t>
      </w:r>
      <w:bookmarkEnd w:id="12"/>
      <w:bookmarkEnd w:id="13"/>
    </w:p>
    <w:p>
      <w:pPr>
        <w:pStyle w:val="4"/>
        <w:rPr>
          <w:rFonts w:hint="eastAsia" w:ascii="黑体" w:hAnsi="黑体" w:eastAsia="黑体"/>
          <w:b w:val="0"/>
        </w:rPr>
      </w:pPr>
      <w:bookmarkStart w:id="14" w:name="_Toc15396600"/>
      <w:bookmarkStart w:id="15" w:name="_Toc15377197"/>
      <w:r>
        <w:rPr>
          <w:rFonts w:hint="eastAsia" w:ascii="黑体" w:hAnsi="黑体" w:eastAsia="黑体"/>
          <w:b w:val="0"/>
        </w:rPr>
        <w:t>一、</w:t>
      </w:r>
      <w:bookmarkEnd w:id="14"/>
      <w:bookmarkEnd w:id="15"/>
      <w:r>
        <w:rPr>
          <w:rFonts w:hint="eastAsia" w:ascii="黑体" w:hAnsi="黑体" w:eastAsia="黑体"/>
          <w:b w:val="0"/>
        </w:rPr>
        <w:t>部门职责</w:t>
      </w:r>
      <w:bookmarkStart w:id="16" w:name="_Toc15377198"/>
      <w:bookmarkStart w:id="17" w:name="_Toc15378445"/>
      <w:bookmarkStart w:id="18" w:name="_Toc15377200"/>
      <w:bookmarkStart w:id="19" w:name="_Toc15396601"/>
    </w:p>
    <w:p>
      <w:pPr>
        <w:pStyle w:val="4"/>
        <w:rPr>
          <w:rFonts w:hint="eastAsia" w:ascii="仿宋" w:hAnsi="仿宋" w:eastAsia="仿宋"/>
          <w:bCs/>
          <w:sz w:val="32"/>
          <w:szCs w:val="32"/>
        </w:rPr>
      </w:pPr>
      <w:r>
        <w:rPr>
          <w:rFonts w:hint="eastAsia" w:ascii="仿宋" w:hAnsi="仿宋" w:eastAsia="仿宋"/>
          <w:bCs/>
          <w:sz w:val="32"/>
          <w:szCs w:val="32"/>
        </w:rPr>
        <w:t>（一）主要职能</w:t>
      </w:r>
      <w:bookmarkEnd w:id="16"/>
      <w:bookmarkEnd w:id="17"/>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制定和组织实施经济、科技和社会发展计划，制定资源开发技术改造和产业结构调整方案，组织指导好各业生产，搞好商品流通，协调好本镇与外地区的经济交流与合作，抓好招商引资，人才引进项目开发，不断培育市场体系，组织经济运行，促进经济发展。</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2、制定并组织实施村镇建设规划，部署重点工程建设，地方道路建设及公共设施，水利设施的管理，负责土地、林木、水等自然资源和生态环境的保护，做好护林防火工作。</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p>
    <w:p>
      <w:pPr>
        <w:pStyle w:val="16"/>
        <w:shd w:val="clear" w:color="auto" w:fill="FFFFFF"/>
        <w:spacing w:before="0" w:beforeAutospacing="0" w:after="0" w:afterAutospacing="0" w:line="360" w:lineRule="auto"/>
        <w:ind w:firstLine="640" w:firstLineChars="200"/>
        <w:jc w:val="both"/>
        <w:rPr>
          <w:rFonts w:hint="eastAsia" w:ascii="仿宋" w:hAnsi="仿宋" w:eastAsia="仿宋"/>
          <w:bCs/>
          <w:sz w:val="32"/>
          <w:szCs w:val="32"/>
        </w:rPr>
      </w:pPr>
      <w:bookmarkStart w:id="20" w:name="_Toc15377199"/>
      <w:bookmarkStart w:id="21" w:name="_Toc15378446"/>
    </w:p>
    <w:p>
      <w:pPr>
        <w:pStyle w:val="16"/>
        <w:shd w:val="clear" w:color="auto" w:fill="FFFFFF"/>
        <w:spacing w:before="0" w:beforeAutospacing="0" w:after="0" w:afterAutospacing="0" w:line="360" w:lineRule="auto"/>
        <w:ind w:firstLine="640" w:firstLineChars="200"/>
        <w:jc w:val="both"/>
        <w:rPr>
          <w:rFonts w:hint="eastAsia" w:ascii="仿宋_GB2312" w:hAnsi="仿宋_GB2312" w:eastAsia="仿宋_GB2312" w:cs="仿宋_GB2312"/>
          <w:b w:val="0"/>
          <w:bCs/>
          <w:kern w:val="2"/>
          <w:sz w:val="32"/>
          <w:szCs w:val="32"/>
          <w:highlight w:val="none"/>
          <w:lang w:val="en-US" w:eastAsia="zh-CN" w:bidi="ar-SA"/>
        </w:rPr>
      </w:pPr>
      <w:r>
        <w:rPr>
          <w:rFonts w:hint="eastAsia" w:ascii="仿宋" w:hAnsi="仿宋" w:eastAsia="仿宋"/>
          <w:bCs/>
          <w:sz w:val="32"/>
          <w:szCs w:val="32"/>
        </w:rPr>
        <w:t>（二）</w:t>
      </w:r>
      <w:r>
        <w:rPr>
          <w:rFonts w:hint="eastAsia" w:ascii="仿宋_GB2312" w:hAnsi="仿宋_GB2312" w:eastAsia="仿宋_GB2312" w:cs="仿宋_GB2312"/>
          <w:b w:val="0"/>
          <w:bCs/>
          <w:kern w:val="2"/>
          <w:sz w:val="32"/>
          <w:szCs w:val="32"/>
          <w:highlight w:val="none"/>
          <w:lang w:val="en-US" w:eastAsia="zh-CN" w:bidi="ar-SA"/>
        </w:rPr>
        <w:t>2022年重点工作完成情况</w:t>
      </w:r>
      <w:bookmarkEnd w:id="20"/>
      <w:bookmarkEnd w:id="21"/>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基层党建根基日益夯实。认真履行“三会一课”、党员组织生活会等制度，坚持开展“周三夜学”活动。2022年发展党员5名；“七一”走访慰问困难老党员14人，发放“光荣在党50年”纪念章1枚；评选表彰演圣镇“先进基层党组织”1个，“优秀共产党员”24人；关心关爱离职干部，发放离职补贴76人；开展书记讲党课4次，选聘“名誉村长”7人。</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党风廉政建设纵深推进。严格落实全面从严治党要求，2022年，镇纪委共处置问题线索2条，查处违纪案件2件，现已全部结案，给予党内警告2人。持续深化干部纪律作风整顿，开展“百姓问廉”3次。“纪检监察小分队”开展入户走访，走访群众300余人，收集问题41个，现已整改到位。</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乡村振兴战略全面实施。分析研判返贫风险点，在健全防止返贫监测和帮扶机制、落实农村社会保障和救助制度等方面接续用力。在库返贫风险监测对象22户54人（2022年新增监测对象5户15人），通过持续帮扶、精准施策，已消除风险对象9户24人。实施巩固拓展</w:t>
      </w:r>
      <w:bookmarkStart w:id="73" w:name="_GoBack"/>
      <w:bookmarkEnd w:id="73"/>
      <w:r>
        <w:rPr>
          <w:rFonts w:hint="eastAsia" w:ascii="仿宋" w:hAnsi="仿宋" w:eastAsia="仿宋" w:cs="Times New Roman"/>
          <w:sz w:val="32"/>
          <w:szCs w:val="32"/>
          <w:lang w:val="en-US" w:eastAsia="zh-CN"/>
        </w:rPr>
        <w:t>脱贫攻坚成果同乡村振兴有效衔接</w:t>
      </w:r>
      <w:r>
        <w:rPr>
          <w:rFonts w:hint="eastAsia" w:ascii="仿宋" w:hAnsi="仿宋" w:eastAsia="仿宋" w:cs="Times New Roman"/>
          <w:sz w:val="32"/>
          <w:szCs w:val="32"/>
          <w:lang w:val="en-US" w:eastAsia="zh-CN"/>
        </w:rPr>
        <w:t>项目11个，总投资276.73万元，在乡村振兴重点村龙滩村实施农村“厕所革命”新（改）建150户。</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4、产业发展潜力有序释放。一是优化产业布局，高质量完成大豆玉米带状复合种植3415.1亩，其中县级示范片1295.8亩，带动480户村民创收增效；种植越冬蔬菜700亩，打造升钟湖库区精品越冬蔬菜产业园。二是依托寅圣、亭坝、金刚地理位置优势，建设高标准农田核心区3000亩，辐射面积达2.1万亩，发展稻渔综合种养1000亩，不断提高粮食综合生产能力。三是大力发展畜禽养殖。天马村剑门关土鸡产业园完成养殖规模化扩建180亩，新增圈舍30个，年存栏可达50000羽；新建天马肉牛标准化养殖场1000平方米并配套相关设施；改扩建梁垭山羊标准化养殖场，新建羊舍500平方米，改建圈舍500平方米。</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项目投资力度不断加大。牢固树立“项目为王”的工作理念，落实专人、组建专班，全力做好项目投资工作。截至目前，我镇完成固定项目投资入库4074万元、调度2192万元，完成签约4000万元、完成到位资金2212万元，党政主要领导外出到重庆、广安、成都、绵阳、广元等地招商8次，在演接待客商6次。</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6、民生保障水平稳步提升。一是积极扩大医疗、养老、就业等服务供给。新增低保63户79人，发放残疾人补贴147人，实施大病救助11人，敬老院集中供养21人；成立劳务专业合作社，提升938名社员劳动就业水平；设置公益性岗位67个，助力困难群体实现就业。二是基础设施不断夯实，实施天马村道路加宽3.5公里和道路硬化1.2公里、金刚村道路加宽5公里；整治山坪塘2口、修建提灌站2处、修建冻库1个。三是扎实推进“村能办”“家门办”便民服务体系建设，提升群众办事效率。</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社会治理效能显著增强。一是落实群众工作法，紧紧围绕“信访摘帽年”目标，开展“党员干部进千家活动”，摸排信访矛盾和不稳定因素37个。落实信访“专班化解法”，一月一督办，化解信访矛盾34件，信访化解率达92%，信访化解满意度达100%。二是转作风增强为民情怀，办理“12345”热线118件，满意度达100%。三是防范化解重大风险，压实安全生产责任，开展宣传培训8次、集中排查11次、交通劝导100余次，全年无重大安全事故发生。</w:t>
      </w:r>
    </w:p>
    <w:p>
      <w:pPr>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疫情防控成果持续巩固。一是网格化管理到位。充分发挥148名网格员作用，切实做好拟返乡人员、返乡人员排查上报工作，截至目前，共排查返乡人员3019人次。二是疫苗接种到位。截至目前，共接种疫苗9590剂，构建全民免疫屏障。三是措施管控到位。截至目前，共集中隔离28人，居家隔离225人，居家健康监测216人。四是宣传引导到位。今年以来，发放宣传资料2万多份，悬挂宣传横幅48条。</w:t>
      </w:r>
    </w:p>
    <w:p>
      <w:pPr>
        <w:pStyle w:val="4"/>
        <w:ind w:firstLine="640" w:firstLineChars="200"/>
        <w:rPr>
          <w:rStyle w:val="32"/>
          <w:b w:val="0"/>
          <w:bCs w:val="0"/>
        </w:rPr>
      </w:pPr>
      <w:r>
        <w:rPr>
          <w:rFonts w:hint="eastAsia" w:ascii="黑体" w:eastAsia="黑体"/>
          <w:b w:val="0"/>
        </w:rPr>
        <w:t>二、</w:t>
      </w:r>
      <w:r>
        <w:rPr>
          <w:rFonts w:hint="eastAsia" w:ascii="黑体" w:hAnsi="黑体" w:eastAsia="黑体"/>
          <w:b w:val="0"/>
        </w:rPr>
        <w:t>机</w:t>
      </w:r>
      <w:r>
        <w:rPr>
          <w:rStyle w:val="32"/>
          <w:rFonts w:hint="eastAsia" w:ascii="黑体" w:hAnsi="黑体" w:eastAsia="黑体"/>
          <w:b w:val="0"/>
          <w:bCs w:val="0"/>
        </w:rPr>
        <w:t>构设置</w:t>
      </w:r>
      <w:bookmarkEnd w:id="18"/>
      <w:bookmarkEnd w:id="19"/>
    </w:p>
    <w:p>
      <w:pPr>
        <w:ind w:firstLine="800" w:firstLineChars="250"/>
        <w:rPr>
          <w:rFonts w:ascii="仿宋" w:hAnsi="仿宋" w:eastAsia="仿宋"/>
          <w:sz w:val="32"/>
          <w:szCs w:val="32"/>
        </w:rPr>
      </w:pPr>
      <w:r>
        <w:rPr>
          <w:rFonts w:hint="eastAsia" w:ascii="仿宋" w:hAnsi="仿宋" w:eastAsia="仿宋"/>
          <w:sz w:val="32"/>
          <w:szCs w:val="32"/>
          <w:lang w:eastAsia="zh-CN"/>
        </w:rPr>
        <w:t>剑阁县</w:t>
      </w:r>
      <w:r>
        <w:rPr>
          <w:rFonts w:hint="eastAsia" w:ascii="仿宋" w:hAnsi="仿宋" w:eastAsia="仿宋"/>
          <w:sz w:val="32"/>
          <w:szCs w:val="32"/>
          <w:lang w:val="en-US" w:eastAsia="zh-CN"/>
        </w:rPr>
        <w:t>演圣</w:t>
      </w:r>
      <w:r>
        <w:rPr>
          <w:rFonts w:hint="eastAsia" w:ascii="仿宋" w:hAnsi="仿宋" w:eastAsia="仿宋"/>
          <w:sz w:val="32"/>
          <w:szCs w:val="32"/>
          <w:lang w:eastAsia="zh-CN"/>
        </w:rPr>
        <w:t>镇人民政府</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hint="eastAsia" w:ascii="仿宋" w:hAnsi="仿宋" w:eastAsia="仿宋"/>
          <w:sz w:val="32"/>
          <w:szCs w:val="32"/>
          <w:lang w:eastAsia="zh-CN"/>
        </w:rPr>
      </w:pPr>
      <w:r>
        <w:rPr>
          <w:rFonts w:hint="eastAsia" w:ascii="仿宋" w:hAnsi="仿宋" w:eastAsia="仿宋"/>
          <w:sz w:val="32"/>
          <w:szCs w:val="32"/>
          <w:lang w:eastAsia="zh-CN"/>
        </w:rPr>
        <w:t>无</w:t>
      </w:r>
      <w:r>
        <w:rPr>
          <w:rFonts w:hint="eastAsia" w:ascii="仿宋" w:hAnsi="仿宋" w:eastAsia="仿宋"/>
          <w:sz w:val="32"/>
          <w:szCs w:val="32"/>
        </w:rPr>
        <w:t>纳入</w:t>
      </w:r>
      <w:r>
        <w:rPr>
          <w:rFonts w:hint="eastAsia" w:ascii="仿宋" w:hAnsi="仿宋" w:eastAsia="仿宋"/>
          <w:sz w:val="32"/>
          <w:szCs w:val="32"/>
          <w:lang w:eastAsia="zh-CN"/>
        </w:rPr>
        <w:t>剑阁县</w:t>
      </w:r>
      <w:r>
        <w:rPr>
          <w:rFonts w:hint="eastAsia" w:ascii="仿宋" w:hAnsi="仿宋" w:eastAsia="仿宋"/>
          <w:sz w:val="32"/>
          <w:szCs w:val="32"/>
          <w:lang w:val="en-US" w:eastAsia="zh-CN"/>
        </w:rPr>
        <w:t>演圣</w:t>
      </w:r>
      <w:r>
        <w:rPr>
          <w:rFonts w:hint="eastAsia" w:ascii="仿宋" w:hAnsi="仿宋" w:eastAsia="仿宋"/>
          <w:sz w:val="32"/>
          <w:szCs w:val="32"/>
          <w:lang w:eastAsia="zh-CN"/>
        </w:rPr>
        <w:t>镇人民政府</w:t>
      </w:r>
      <w:r>
        <w:rPr>
          <w:rFonts w:hint="eastAsia" w:ascii="仿宋" w:hAnsi="仿宋" w:eastAsia="仿宋"/>
          <w:sz w:val="32"/>
          <w:szCs w:val="32"/>
        </w:rPr>
        <w:t>2022年度部门决算编制范围的二级预算单位</w:t>
      </w:r>
      <w:r>
        <w:rPr>
          <w:rFonts w:hint="eastAsia" w:ascii="仿宋" w:hAnsi="仿宋" w:eastAsia="仿宋"/>
          <w:sz w:val="32"/>
          <w:szCs w:val="32"/>
          <w:lang w:eastAsia="zh-CN"/>
        </w:rPr>
        <w:t>。</w:t>
      </w:r>
    </w:p>
    <w:p>
      <w:pPr>
        <w:pStyle w:val="2"/>
        <w:adjustRightInd w:val="0"/>
        <w:snapToGrid w:val="0"/>
        <w:spacing w:before="93" w:line="600" w:lineRule="exact"/>
        <w:ind w:firstLine="672" w:firstLineChars="210"/>
        <w:rPr>
          <w:rFonts w:hint="eastAsia" w:ascii="仿宋" w:hAnsi="仿宋" w:eastAsia="仿宋"/>
          <w:sz w:val="32"/>
          <w:szCs w:val="32"/>
          <w:lang w:eastAsia="zh-CN"/>
        </w:rPr>
      </w:pPr>
    </w:p>
    <w:p>
      <w:pPr>
        <w:pStyle w:val="3"/>
        <w:ind w:right="440"/>
        <w:jc w:val="center"/>
      </w:pPr>
      <w:bookmarkStart w:id="22" w:name="_Toc15377204"/>
      <w:bookmarkStart w:id="23" w:name="_Toc15396602"/>
      <w:r>
        <w:rPr>
          <w:rFonts w:hint="eastAsia" w:ascii="黑体" w:hAnsi="黑体" w:eastAsia="黑体"/>
          <w:b w:val="0"/>
        </w:rPr>
        <w:t>第二部分 2022年度</w:t>
      </w:r>
      <w:r>
        <w:rPr>
          <w:rStyle w:val="31"/>
          <w:rFonts w:hint="eastAsia" w:ascii="黑体" w:hAnsi="黑体" w:eastAsia="黑体"/>
          <w:b w:val="0"/>
          <w:bCs/>
        </w:rPr>
        <w:t>部门决算情况说明</w:t>
      </w:r>
      <w:bookmarkEnd w:id="22"/>
      <w:bookmarkEnd w:id="23"/>
    </w:p>
    <w:p>
      <w:pPr>
        <w:pStyle w:val="30"/>
        <w:numPr>
          <w:ilvl w:val="0"/>
          <w:numId w:val="1"/>
        </w:numPr>
        <w:spacing w:line="600" w:lineRule="exact"/>
        <w:ind w:firstLineChars="0"/>
        <w:outlineLvl w:val="1"/>
        <w:rPr>
          <w:rStyle w:val="32"/>
          <w:rFonts w:ascii="黑体" w:hAnsi="黑体" w:eastAsia="黑体"/>
          <w:b w:val="0"/>
        </w:rPr>
      </w:pPr>
      <w:bookmarkStart w:id="24" w:name="_Toc15396603"/>
      <w:bookmarkStart w:id="25" w:name="_Toc15377205"/>
      <w:r>
        <w:rPr>
          <w:rFonts w:hint="eastAsia" w:ascii="黑体" w:hAnsi="黑体" w:eastAsia="黑体"/>
          <w:sz w:val="32"/>
          <w:szCs w:val="32"/>
        </w:rPr>
        <w:t>收</w:t>
      </w:r>
      <w:r>
        <w:rPr>
          <w:rStyle w:val="32"/>
          <w:rFonts w:hint="eastAsia" w:ascii="黑体" w:hAnsi="黑体" w:eastAsia="黑体"/>
          <w:b w:val="0"/>
        </w:rPr>
        <w:t>入支出决算总体情况说明</w:t>
      </w:r>
      <w:bookmarkEnd w:id="24"/>
      <w:bookmarkEnd w:id="2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798.54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798.54</w:t>
      </w:r>
      <w:r>
        <w:rPr>
          <w:rFonts w:hint="eastAsia" w:ascii="仿宋" w:hAnsi="仿宋" w:eastAsia="仿宋"/>
          <w:sz w:val="32"/>
          <w:szCs w:val="32"/>
        </w:rPr>
        <w:t>万元。与2021年</w:t>
      </w:r>
      <w:r>
        <w:rPr>
          <w:rFonts w:hint="eastAsia" w:ascii="仿宋" w:hAnsi="仿宋" w:eastAsia="仿宋"/>
          <w:sz w:val="32"/>
          <w:szCs w:val="32"/>
          <w:lang w:eastAsia="zh-CN"/>
        </w:rPr>
        <w:t>度收入</w:t>
      </w:r>
      <w:r>
        <w:rPr>
          <w:rFonts w:hint="eastAsia" w:ascii="仿宋" w:hAnsi="仿宋" w:eastAsia="仿宋"/>
          <w:sz w:val="32"/>
          <w:szCs w:val="32"/>
        </w:rPr>
        <w:t>总计</w:t>
      </w:r>
      <w:r>
        <w:rPr>
          <w:rFonts w:hint="eastAsia" w:ascii="仿宋" w:hAnsi="仿宋" w:eastAsia="仿宋"/>
          <w:sz w:val="32"/>
          <w:szCs w:val="32"/>
          <w:lang w:val="en-US" w:eastAsia="zh-CN"/>
        </w:rPr>
        <w:t>911.73</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减少113.19</w:t>
      </w:r>
      <w:r>
        <w:rPr>
          <w:rFonts w:hint="eastAsia" w:ascii="仿宋" w:hAnsi="仿宋" w:eastAsia="仿宋"/>
          <w:sz w:val="32"/>
          <w:szCs w:val="32"/>
        </w:rPr>
        <w:t>万元，</w:t>
      </w:r>
      <w:r>
        <w:rPr>
          <w:rFonts w:hint="eastAsia" w:ascii="仿宋" w:hAnsi="仿宋" w:eastAsia="仿宋"/>
          <w:sz w:val="32"/>
          <w:szCs w:val="32"/>
          <w:lang w:val="en-US" w:eastAsia="zh-CN"/>
        </w:rPr>
        <w:t>减少12.41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度支出</w:t>
      </w:r>
      <w:r>
        <w:rPr>
          <w:rFonts w:hint="eastAsia" w:ascii="仿宋" w:hAnsi="仿宋" w:eastAsia="仿宋"/>
          <w:sz w:val="32"/>
          <w:szCs w:val="32"/>
        </w:rPr>
        <w:t>总计</w:t>
      </w:r>
      <w:r>
        <w:rPr>
          <w:rFonts w:hint="eastAsia" w:ascii="仿宋" w:hAnsi="仿宋" w:eastAsia="仿宋"/>
          <w:sz w:val="32"/>
          <w:szCs w:val="32"/>
          <w:lang w:val="en-US" w:eastAsia="zh-CN"/>
        </w:rPr>
        <w:t>911.73</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减少113.19</w:t>
      </w:r>
      <w:r>
        <w:rPr>
          <w:rFonts w:hint="eastAsia" w:ascii="仿宋" w:hAnsi="仿宋" w:eastAsia="仿宋"/>
          <w:sz w:val="32"/>
          <w:szCs w:val="32"/>
        </w:rPr>
        <w:t>万元，</w:t>
      </w:r>
      <w:r>
        <w:rPr>
          <w:rFonts w:hint="eastAsia" w:ascii="仿宋" w:hAnsi="仿宋" w:eastAsia="仿宋"/>
          <w:sz w:val="32"/>
          <w:szCs w:val="32"/>
          <w:lang w:val="en-US" w:eastAsia="zh-CN"/>
        </w:rPr>
        <w:t>减少12.41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职工人员变动及上年度有结转资金，项目变动资金预算减少</w:t>
      </w:r>
      <w:r>
        <w:rPr>
          <w:rFonts w:hint="eastAsia" w:ascii="仿宋" w:hAnsi="仿宋" w:eastAsia="仿宋"/>
          <w:sz w:val="32"/>
          <w:szCs w:val="32"/>
        </w:rPr>
        <w:t>。</w:t>
      </w:r>
    </w:p>
    <w:p>
      <w:pPr>
        <w:pStyle w:val="17"/>
        <w:rPr>
          <w:rFonts w:hint="eastAsia"/>
        </w:rPr>
      </w:pPr>
    </w:p>
    <w:p>
      <w:pPr>
        <w:pStyle w:val="17"/>
        <w:ind w:firstLine="1280" w:firstLineChars="400"/>
        <w:rPr>
          <w:rFonts w:hint="eastAsia"/>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pPr>
        <w:pStyle w:val="17"/>
        <w:jc w:val="center"/>
        <w:rPr>
          <w:rFonts w:hint="eastAsia" w:ascii="仿宋" w:hAnsi="仿宋" w:eastAsia="仿宋"/>
          <w:sz w:val="32"/>
          <w:szCs w:val="32"/>
        </w:rPr>
      </w:pPr>
      <w:r>
        <w:drawing>
          <wp:inline distT="0" distB="0" distL="114300" distR="114300">
            <wp:extent cx="4572000" cy="2743200"/>
            <wp:effectExtent l="4445" t="4445" r="14605" b="14605"/>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6" w:name="_Toc15377206"/>
      <w:bookmarkStart w:id="27" w:name="_Toc15396604"/>
      <w:r>
        <w:rPr>
          <w:rFonts w:hint="eastAsia" w:ascii="黑体" w:hAnsi="黑体" w:eastAsia="黑体"/>
          <w:sz w:val="32"/>
          <w:szCs w:val="32"/>
        </w:rPr>
        <w:t>收</w:t>
      </w:r>
      <w:r>
        <w:rPr>
          <w:rStyle w:val="32"/>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798.54</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795.54</w:t>
      </w:r>
      <w:r>
        <w:rPr>
          <w:rFonts w:hint="eastAsia" w:ascii="仿宋" w:hAnsi="仿宋" w:eastAsia="仿宋"/>
          <w:sz w:val="32"/>
          <w:szCs w:val="32"/>
        </w:rPr>
        <w:t>万元，占</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3</w:t>
      </w:r>
      <w:r>
        <w:rPr>
          <w:rFonts w:hint="eastAsia" w:ascii="仿宋" w:hAnsi="仿宋" w:eastAsia="仿宋"/>
          <w:sz w:val="32"/>
          <w:szCs w:val="32"/>
        </w:rPr>
        <w:t>万元，占</w:t>
      </w:r>
      <w:r>
        <w:rPr>
          <w:rFonts w:hint="eastAsia" w:ascii="仿宋" w:hAnsi="仿宋" w:eastAsia="仿宋"/>
          <w:sz w:val="32"/>
          <w:szCs w:val="32"/>
          <w:lang w:val="en-US" w:eastAsia="zh-CN"/>
        </w:rPr>
        <w:t>0.3</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jc w:val="center"/>
      </w:pPr>
    </w:p>
    <w:p>
      <w:pPr>
        <w:spacing w:line="600" w:lineRule="exact"/>
        <w:ind w:firstLine="640" w:firstLineChars="200"/>
        <w:outlineLvl w:val="1"/>
        <w:rPr>
          <w:rFonts w:ascii="仿宋" w:hAnsi="仿宋" w:eastAsia="仿宋"/>
          <w:sz w:val="32"/>
          <w:szCs w:val="32"/>
        </w:rPr>
      </w:pPr>
    </w:p>
    <w:p>
      <w:pPr>
        <w:pStyle w:val="17"/>
        <w:rPr>
          <w:rFonts w:ascii="仿宋" w:hAnsi="仿宋" w:eastAsia="仿宋"/>
          <w:sz w:val="32"/>
          <w:szCs w:val="32"/>
        </w:rPr>
      </w:pPr>
    </w:p>
    <w:p>
      <w:pPr>
        <w:rPr>
          <w:rFonts w:ascii="仿宋" w:hAnsi="仿宋" w:eastAsia="仿宋"/>
          <w:sz w:val="32"/>
          <w:szCs w:val="32"/>
        </w:rPr>
      </w:pPr>
    </w:p>
    <w:p>
      <w:pPr>
        <w:pStyle w:val="17"/>
        <w:rPr>
          <w:rFonts w:ascii="仿宋" w:hAnsi="仿宋" w:eastAsia="仿宋"/>
          <w:sz w:val="32"/>
          <w:szCs w:val="32"/>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rPr>
          <w:rFonts w:ascii="仿宋" w:hAnsi="仿宋" w:eastAsia="仿宋"/>
          <w:sz w:val="32"/>
          <w:szCs w:val="32"/>
        </w:rPr>
      </w:pPr>
    </w:p>
    <w:p>
      <w:pPr>
        <w:pStyle w:val="17"/>
        <w:rPr>
          <w:rFonts w:ascii="仿宋" w:hAnsi="仿宋" w:eastAsia="仿宋"/>
          <w:sz w:val="32"/>
          <w:szCs w:val="32"/>
        </w:rPr>
      </w:pPr>
    </w:p>
    <w:p>
      <w:pPr>
        <w:rPr>
          <w:rFonts w:ascii="仿宋" w:hAnsi="仿宋" w:eastAsia="仿宋"/>
          <w:sz w:val="32"/>
          <w:szCs w:val="32"/>
        </w:rPr>
      </w:pPr>
    </w:p>
    <w:p>
      <w:pPr>
        <w:pStyle w:val="17"/>
      </w:pPr>
    </w:p>
    <w:p>
      <w:pPr>
        <w:pStyle w:val="17"/>
      </w:pPr>
    </w:p>
    <w:p>
      <w:pPr>
        <w:spacing w:line="600" w:lineRule="exact"/>
        <w:ind w:firstLine="640" w:firstLineChars="200"/>
        <w:jc w:val="center"/>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30"/>
        <w:numPr>
          <w:ilvl w:val="0"/>
          <w:numId w:val="1"/>
        </w:numPr>
        <w:spacing w:line="600" w:lineRule="exact"/>
        <w:ind w:firstLineChars="0"/>
        <w:outlineLvl w:val="1"/>
        <w:rPr>
          <w:rStyle w:val="32"/>
          <w:rFonts w:ascii="黑体" w:hAnsi="黑体" w:eastAsia="黑体"/>
          <w:b w:val="0"/>
        </w:rPr>
      </w:pPr>
      <w:bookmarkStart w:id="28" w:name="_Toc15377207"/>
      <w:bookmarkStart w:id="29" w:name="_Toc15396605"/>
      <w:r>
        <w:rPr>
          <w:rFonts w:hint="eastAsia" w:ascii="黑体" w:hAnsi="黑体" w:eastAsia="黑体"/>
          <w:sz w:val="32"/>
          <w:szCs w:val="32"/>
        </w:rPr>
        <w:t>支</w:t>
      </w:r>
      <w:r>
        <w:rPr>
          <w:rStyle w:val="32"/>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798.54</w:t>
      </w:r>
      <w:r>
        <w:rPr>
          <w:rFonts w:hint="eastAsia" w:ascii="仿宋" w:hAnsi="仿宋" w:eastAsia="仿宋"/>
          <w:sz w:val="32"/>
          <w:szCs w:val="32"/>
        </w:rPr>
        <w:t>万元，其中：基本支出</w:t>
      </w:r>
      <w:r>
        <w:rPr>
          <w:rFonts w:hint="eastAsia" w:ascii="仿宋" w:hAnsi="仿宋" w:eastAsia="仿宋"/>
          <w:sz w:val="32"/>
          <w:szCs w:val="32"/>
          <w:lang w:val="en-US" w:eastAsia="zh-CN"/>
        </w:rPr>
        <w:t>583.75</w:t>
      </w:r>
      <w:r>
        <w:rPr>
          <w:rFonts w:hint="eastAsia" w:ascii="仿宋" w:hAnsi="仿宋" w:eastAsia="仿宋"/>
          <w:sz w:val="32"/>
          <w:szCs w:val="32"/>
        </w:rPr>
        <w:t>万元，占</w:t>
      </w:r>
      <w:r>
        <w:rPr>
          <w:rFonts w:hint="eastAsia" w:ascii="仿宋" w:hAnsi="仿宋" w:eastAsia="仿宋"/>
          <w:sz w:val="32"/>
          <w:szCs w:val="32"/>
          <w:lang w:val="en-US" w:eastAsia="zh-CN"/>
        </w:rPr>
        <w:t>73.06</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214.79</w:t>
      </w:r>
      <w:r>
        <w:rPr>
          <w:rFonts w:hint="eastAsia" w:ascii="仿宋" w:hAnsi="仿宋" w:eastAsia="仿宋"/>
          <w:sz w:val="32"/>
          <w:szCs w:val="32"/>
        </w:rPr>
        <w:t>万元，占</w:t>
      </w:r>
      <w:r>
        <w:rPr>
          <w:rFonts w:hint="eastAsia" w:ascii="仿宋" w:hAnsi="仿宋" w:eastAsia="仿宋"/>
          <w:sz w:val="32"/>
          <w:szCs w:val="32"/>
          <w:lang w:val="en-US" w:eastAsia="zh-CN"/>
        </w:rPr>
        <w:t>26.82</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7"/>
        <w:ind w:left="0" w:leftChars="0" w:firstLine="0" w:firstLineChars="0"/>
      </w:pPr>
    </w:p>
    <w:p>
      <w:pPr>
        <w:pStyle w:val="17"/>
      </w:pPr>
    </w:p>
    <w:p>
      <w:pPr>
        <w:pStyle w:val="17"/>
      </w:pPr>
    </w:p>
    <w:p>
      <w:pPr>
        <w:pStyle w:val="17"/>
        <w:rPr>
          <w:rFonts w:hint="eastAsia" w:ascii="仿宋" w:hAnsi="仿宋" w:eastAsia="仿宋"/>
          <w:sz w:val="32"/>
          <w:szCs w:val="32"/>
        </w:rPr>
      </w:pPr>
      <w:r>
        <w:drawing>
          <wp:inline distT="0" distB="0" distL="114300" distR="114300">
            <wp:extent cx="4572000" cy="2743200"/>
            <wp:effectExtent l="4445" t="4445" r="14605"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2"/>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30"/>
      <w:bookmarkEnd w:id="3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w:t>
      </w:r>
      <w:r>
        <w:rPr>
          <w:rFonts w:hint="eastAsia" w:ascii="仿宋" w:hAnsi="仿宋" w:eastAsia="仿宋"/>
          <w:sz w:val="32"/>
          <w:szCs w:val="32"/>
          <w:lang w:eastAsia="zh-CN"/>
        </w:rPr>
        <w:t>财政拨款</w:t>
      </w:r>
      <w:r>
        <w:rPr>
          <w:rFonts w:hint="eastAsia" w:ascii="仿宋" w:hAnsi="仿宋" w:eastAsia="仿宋"/>
          <w:sz w:val="32"/>
          <w:szCs w:val="32"/>
        </w:rPr>
        <w:t>收</w:t>
      </w:r>
      <w:r>
        <w:rPr>
          <w:rFonts w:hint="eastAsia" w:ascii="仿宋" w:hAnsi="仿宋" w:eastAsia="仿宋"/>
          <w:sz w:val="32"/>
          <w:szCs w:val="32"/>
          <w:lang w:eastAsia="zh-CN"/>
        </w:rPr>
        <w:t>入</w:t>
      </w:r>
      <w:r>
        <w:rPr>
          <w:rFonts w:hint="eastAsia" w:ascii="仿宋" w:hAnsi="仿宋" w:eastAsia="仿宋"/>
          <w:sz w:val="32"/>
          <w:szCs w:val="32"/>
        </w:rPr>
        <w:t>总计</w:t>
      </w:r>
      <w:r>
        <w:rPr>
          <w:rFonts w:hint="eastAsia" w:ascii="仿宋" w:hAnsi="仿宋" w:eastAsia="仿宋"/>
          <w:sz w:val="32"/>
          <w:szCs w:val="32"/>
          <w:lang w:val="en-US" w:eastAsia="zh-CN"/>
        </w:rPr>
        <w:t>798.54</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总计</w:t>
      </w:r>
      <w:r>
        <w:rPr>
          <w:rFonts w:hint="eastAsia" w:ascii="仿宋" w:hAnsi="仿宋" w:eastAsia="仿宋"/>
          <w:sz w:val="32"/>
          <w:szCs w:val="32"/>
          <w:lang w:val="en-US" w:eastAsia="zh-CN"/>
        </w:rPr>
        <w:t>798.54</w:t>
      </w:r>
      <w:r>
        <w:rPr>
          <w:rFonts w:hint="eastAsia" w:ascii="仿宋" w:hAnsi="仿宋" w:eastAsia="仿宋"/>
          <w:sz w:val="32"/>
          <w:szCs w:val="32"/>
        </w:rPr>
        <w:t>万元。与2021年</w:t>
      </w:r>
      <w:r>
        <w:rPr>
          <w:rFonts w:hint="eastAsia" w:ascii="仿宋" w:hAnsi="仿宋" w:eastAsia="仿宋"/>
          <w:sz w:val="32"/>
          <w:szCs w:val="32"/>
          <w:lang w:eastAsia="zh-CN"/>
        </w:rPr>
        <w:t>财政拨款收入</w:t>
      </w:r>
      <w:r>
        <w:rPr>
          <w:rFonts w:hint="eastAsia" w:ascii="仿宋" w:hAnsi="仿宋" w:eastAsia="仿宋"/>
          <w:sz w:val="32"/>
          <w:szCs w:val="32"/>
        </w:rPr>
        <w:t>总计</w:t>
      </w:r>
      <w:r>
        <w:rPr>
          <w:rFonts w:hint="eastAsia" w:ascii="仿宋" w:hAnsi="仿宋" w:eastAsia="仿宋"/>
          <w:sz w:val="32"/>
          <w:szCs w:val="32"/>
          <w:lang w:val="en-US" w:eastAsia="zh-CN"/>
        </w:rPr>
        <w:t>911.73</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收入</w:t>
      </w:r>
      <w:r>
        <w:rPr>
          <w:rFonts w:hint="eastAsia" w:ascii="仿宋" w:hAnsi="仿宋" w:eastAsia="仿宋"/>
          <w:sz w:val="32"/>
          <w:szCs w:val="32"/>
        </w:rPr>
        <w:t>总计</w:t>
      </w:r>
      <w:r>
        <w:rPr>
          <w:rFonts w:hint="eastAsia" w:ascii="仿宋" w:hAnsi="仿宋" w:eastAsia="仿宋"/>
          <w:sz w:val="32"/>
          <w:szCs w:val="32"/>
          <w:lang w:val="en-US" w:eastAsia="zh-CN"/>
        </w:rPr>
        <w:t>减少113.19</w:t>
      </w:r>
      <w:r>
        <w:rPr>
          <w:rFonts w:hint="eastAsia" w:ascii="仿宋" w:hAnsi="仿宋" w:eastAsia="仿宋"/>
          <w:sz w:val="32"/>
          <w:szCs w:val="32"/>
        </w:rPr>
        <w:t>万元，</w:t>
      </w:r>
      <w:r>
        <w:rPr>
          <w:rFonts w:hint="eastAsia" w:ascii="仿宋" w:hAnsi="仿宋" w:eastAsia="仿宋"/>
          <w:sz w:val="32"/>
          <w:szCs w:val="32"/>
          <w:lang w:val="en-US" w:eastAsia="zh-CN"/>
        </w:rPr>
        <w:t>减少12.41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与2021年</w:t>
      </w:r>
      <w:r>
        <w:rPr>
          <w:rFonts w:hint="eastAsia" w:ascii="仿宋" w:hAnsi="仿宋" w:eastAsia="仿宋"/>
          <w:sz w:val="32"/>
          <w:szCs w:val="32"/>
          <w:lang w:eastAsia="zh-CN"/>
        </w:rPr>
        <w:t>财政拨款支出</w:t>
      </w:r>
      <w:r>
        <w:rPr>
          <w:rFonts w:hint="eastAsia" w:ascii="仿宋" w:hAnsi="仿宋" w:eastAsia="仿宋"/>
          <w:sz w:val="32"/>
          <w:szCs w:val="32"/>
        </w:rPr>
        <w:t>总计</w:t>
      </w:r>
      <w:r>
        <w:rPr>
          <w:rFonts w:hint="eastAsia" w:ascii="仿宋" w:hAnsi="仿宋" w:eastAsia="仿宋"/>
          <w:sz w:val="32"/>
          <w:szCs w:val="32"/>
          <w:lang w:val="en-US" w:eastAsia="zh-CN"/>
        </w:rPr>
        <w:t>911.73</w:t>
      </w:r>
      <w:r>
        <w:rPr>
          <w:rFonts w:hint="eastAsia" w:ascii="仿宋" w:hAnsi="仿宋" w:eastAsia="仿宋"/>
          <w:sz w:val="32"/>
          <w:szCs w:val="32"/>
        </w:rPr>
        <w:t>万元</w:t>
      </w:r>
      <w:r>
        <w:rPr>
          <w:rFonts w:hint="eastAsia" w:ascii="仿宋" w:hAnsi="仿宋" w:eastAsia="仿宋"/>
          <w:sz w:val="32"/>
          <w:szCs w:val="32"/>
          <w:lang w:eastAsia="zh-CN"/>
        </w:rPr>
        <w:t>相比</w:t>
      </w:r>
      <w:r>
        <w:rPr>
          <w:rFonts w:hint="eastAsia" w:ascii="仿宋" w:hAnsi="仿宋" w:eastAsia="仿宋"/>
          <w:sz w:val="32"/>
          <w:szCs w:val="32"/>
        </w:rPr>
        <w:t>，</w:t>
      </w:r>
      <w:r>
        <w:rPr>
          <w:rFonts w:hint="eastAsia" w:ascii="仿宋" w:hAnsi="仿宋" w:eastAsia="仿宋"/>
          <w:sz w:val="32"/>
          <w:szCs w:val="32"/>
          <w:lang w:eastAsia="zh-CN"/>
        </w:rPr>
        <w:t>支出</w:t>
      </w:r>
      <w:r>
        <w:rPr>
          <w:rFonts w:hint="eastAsia" w:ascii="仿宋" w:hAnsi="仿宋" w:eastAsia="仿宋"/>
          <w:sz w:val="32"/>
          <w:szCs w:val="32"/>
        </w:rPr>
        <w:t>总计</w:t>
      </w:r>
      <w:r>
        <w:rPr>
          <w:rFonts w:hint="eastAsia" w:ascii="仿宋" w:hAnsi="仿宋" w:eastAsia="仿宋"/>
          <w:sz w:val="32"/>
          <w:szCs w:val="32"/>
          <w:lang w:val="en-US" w:eastAsia="zh-CN"/>
        </w:rPr>
        <w:t>减少113.19</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12.41</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主要变动原因是</w:t>
      </w:r>
      <w:r>
        <w:rPr>
          <w:rFonts w:hint="eastAsia" w:ascii="仿宋" w:hAnsi="仿宋" w:eastAsia="仿宋"/>
          <w:sz w:val="32"/>
          <w:szCs w:val="32"/>
          <w:lang w:val="en-US" w:eastAsia="zh-CN"/>
        </w:rPr>
        <w:t>职工人员变动及上年度有结转资金，项目变动资金预算减少</w:t>
      </w:r>
      <w:r>
        <w:rPr>
          <w:rFonts w:hint="eastAsia" w:ascii="仿宋" w:hAnsi="仿宋" w:eastAsia="仿宋"/>
          <w:sz w:val="32"/>
          <w:szCs w:val="32"/>
        </w:rPr>
        <w:t>。</w:t>
      </w:r>
    </w:p>
    <w:p>
      <w:pPr>
        <w:pStyle w:val="17"/>
        <w:ind w:left="0" w:leftChars="0" w:firstLine="0" w:firstLineChars="0"/>
        <w:rPr>
          <w:rFonts w:hint="eastAsia" w:ascii="仿宋" w:hAnsi="仿宋" w:eastAsia="仿宋"/>
          <w:sz w:val="32"/>
          <w:szCs w:val="32"/>
        </w:rPr>
      </w:pPr>
    </w:p>
    <w:p>
      <w:pPr>
        <w:pStyle w:val="17"/>
        <w:rPr>
          <w:rFonts w:hint="eastAsia" w:ascii="仿宋" w:hAnsi="仿宋" w:eastAsia="仿宋"/>
          <w:sz w:val="32"/>
          <w:szCs w:val="32"/>
        </w:rPr>
      </w:pPr>
    </w:p>
    <w:p>
      <w:pPr>
        <w:pStyle w:val="17"/>
        <w:rPr>
          <w:rFonts w:hint="eastAsia" w:ascii="仿宋" w:hAnsi="仿宋" w:eastAsia="仿宋"/>
          <w:sz w:val="32"/>
          <w:szCs w:val="32"/>
        </w:rPr>
      </w:pPr>
    </w:p>
    <w:p>
      <w:pPr>
        <w:pStyle w:val="17"/>
      </w:pPr>
      <w:r>
        <w:rPr>
          <w:rFonts w:hint="eastAsia" w:ascii="仿宋" w:hAnsi="仿宋" w:eastAsia="仿宋"/>
          <w:sz w:val="32"/>
          <w:szCs w:val="32"/>
        </w:rPr>
        <w:t>图4：财政拨款收、支决算总计变动情况</w:t>
      </w:r>
    </w:p>
    <w:p>
      <w:pPr>
        <w:pStyle w:val="17"/>
        <w:rPr>
          <w:rFonts w:ascii="仿宋" w:hAnsi="仿宋" w:eastAsia="仿宋"/>
          <w:sz w:val="32"/>
          <w:szCs w:val="32"/>
        </w:rPr>
      </w:pPr>
      <w:r>
        <w:drawing>
          <wp:inline distT="0" distB="0" distL="114300" distR="114300">
            <wp:extent cx="4572000" cy="2743200"/>
            <wp:effectExtent l="4445" t="4445" r="14605"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pStyle w:val="17"/>
      </w:pPr>
    </w:p>
    <w:p>
      <w:pPr>
        <w:spacing w:line="600" w:lineRule="exact"/>
        <w:ind w:firstLine="640" w:firstLineChars="200"/>
        <w:outlineLvl w:val="1"/>
        <w:rPr>
          <w:rStyle w:val="32"/>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795.54</w:t>
      </w:r>
      <w:r>
        <w:rPr>
          <w:rFonts w:hint="eastAsia" w:ascii="仿宋" w:hAnsi="仿宋" w:eastAsia="仿宋"/>
          <w:sz w:val="32"/>
          <w:szCs w:val="32"/>
        </w:rPr>
        <w:t>万元，占本年支出合计的</w:t>
      </w:r>
      <w:r>
        <w:rPr>
          <w:rFonts w:hint="eastAsia" w:ascii="仿宋" w:hAnsi="仿宋" w:eastAsia="仿宋"/>
          <w:sz w:val="32"/>
          <w:szCs w:val="32"/>
          <w:lang w:val="en-US" w:eastAsia="zh-CN"/>
        </w:rPr>
        <w:t>99.6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减少116.19</w:t>
      </w:r>
      <w:r>
        <w:rPr>
          <w:rFonts w:hint="eastAsia" w:ascii="仿宋" w:hAnsi="仿宋" w:eastAsia="仿宋"/>
          <w:sz w:val="32"/>
          <w:szCs w:val="32"/>
        </w:rPr>
        <w:t>万元，</w:t>
      </w:r>
      <w:r>
        <w:rPr>
          <w:rFonts w:hint="eastAsia" w:ascii="仿宋" w:hAnsi="仿宋" w:eastAsia="仿宋"/>
          <w:sz w:val="32"/>
          <w:szCs w:val="32"/>
          <w:lang w:val="en-US" w:eastAsia="zh-CN"/>
        </w:rPr>
        <w:t>减少12.74</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职工人员变动及上年度有结转资金，项目变动资金预算减少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pStyle w:val="17"/>
        <w:rPr>
          <w:rFonts w:hint="eastAsia" w:ascii="仿宋" w:hAnsi="仿宋" w:eastAsia="仿宋"/>
          <w:sz w:val="32"/>
          <w:szCs w:val="32"/>
        </w:rPr>
      </w:pPr>
    </w:p>
    <w:p>
      <w:pPr>
        <w:pStyle w:val="17"/>
        <w:rPr>
          <w:rFonts w:hint="eastAsia" w:ascii="仿宋" w:hAnsi="仿宋" w:eastAsia="仿宋"/>
          <w:sz w:val="32"/>
          <w:szCs w:val="32"/>
        </w:rPr>
      </w:pPr>
    </w:p>
    <w:p>
      <w:pPr>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17"/>
        <w:ind w:left="0" w:leftChars="0"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图5：一般公共预算财政拨款支出决算变动情况图</w:t>
      </w:r>
    </w:p>
    <w:p>
      <w:pPr>
        <w:jc w:val="center"/>
        <w:rPr>
          <w:rFonts w:hint="eastAsia" w:ascii="仿宋" w:hAnsi="仿宋" w:eastAsia="仿宋"/>
          <w:sz w:val="32"/>
          <w:szCs w:val="32"/>
        </w:rPr>
      </w:pPr>
      <w:r>
        <w:drawing>
          <wp:inline distT="0" distB="0" distL="114300" distR="114300">
            <wp:extent cx="4572000" cy="2743200"/>
            <wp:effectExtent l="4445" t="4445" r="14605" b="14605"/>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
      <w:pPr>
        <w:spacing w:line="600"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napToGrid w:val="0"/>
        <w:spacing w:line="520" w:lineRule="exact"/>
        <w:ind w:firstLine="640" w:firstLineChars="200"/>
        <w:rPr>
          <w:rFonts w:hint="eastAsia" w:ascii="仿宋" w:hAnsi="仿宋" w:eastAsia="仿宋" w:cs="Times New Roman"/>
          <w:sz w:val="32"/>
          <w:szCs w:val="32"/>
          <w:lang w:eastAsia="zh-CN"/>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795.54</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319.27</w:t>
      </w:r>
      <w:r>
        <w:rPr>
          <w:rFonts w:hint="eastAsia" w:ascii="仿宋" w:hAnsi="仿宋" w:eastAsia="仿宋"/>
          <w:sz w:val="32"/>
          <w:szCs w:val="32"/>
        </w:rPr>
        <w:t>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40.13</w:t>
      </w:r>
      <w:r>
        <w:rPr>
          <w:rFonts w:hint="eastAsia" w:ascii="仿宋" w:hAnsi="仿宋" w:eastAsia="仿宋" w:cs="Times New Roman"/>
          <w:sz w:val="32"/>
          <w:szCs w:val="32"/>
        </w:rPr>
        <w:t>%；</w:t>
      </w:r>
      <w:r>
        <w:rPr>
          <w:rFonts w:hint="eastAsia" w:ascii="仿宋" w:hAnsi="仿宋" w:eastAsia="仿宋" w:cs="Times New Roman"/>
          <w:b/>
          <w:sz w:val="32"/>
          <w:szCs w:val="32"/>
          <w:lang w:val="en-US" w:eastAsia="zh-CN"/>
        </w:rPr>
        <w:t>国防支出</w:t>
      </w:r>
      <w:r>
        <w:rPr>
          <w:rFonts w:hint="eastAsia" w:ascii="仿宋" w:hAnsi="仿宋" w:eastAsia="仿宋" w:cs="Times New Roman"/>
          <w:sz w:val="32"/>
          <w:szCs w:val="32"/>
          <w:lang w:val="en-US" w:eastAsia="zh-CN"/>
        </w:rPr>
        <w:t>0.5万元，占0.01%；</w:t>
      </w:r>
      <w:r>
        <w:rPr>
          <w:rFonts w:hint="eastAsia" w:ascii="仿宋" w:hAnsi="仿宋" w:eastAsia="仿宋" w:cs="Times New Roman"/>
          <w:b/>
          <w:sz w:val="32"/>
          <w:szCs w:val="32"/>
        </w:rPr>
        <w:t>文化旅游体育与传媒支出</w:t>
      </w:r>
      <w:r>
        <w:rPr>
          <w:rFonts w:hint="eastAsia" w:ascii="仿宋" w:hAnsi="仿宋" w:eastAsia="仿宋" w:cs="Times New Roman"/>
          <w:sz w:val="32"/>
          <w:szCs w:val="32"/>
          <w:lang w:val="en-US" w:eastAsia="zh-CN"/>
        </w:rPr>
        <w:t>22.12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2.78</w:t>
      </w:r>
      <w:r>
        <w:rPr>
          <w:rFonts w:hint="eastAsia" w:ascii="仿宋" w:hAnsi="仿宋" w:eastAsia="仿宋" w:cs="Times New Roman"/>
          <w:sz w:val="32"/>
          <w:szCs w:val="32"/>
        </w:rPr>
        <w:t>％；</w:t>
      </w:r>
      <w:r>
        <w:rPr>
          <w:rFonts w:hint="eastAsia" w:ascii="仿宋" w:hAnsi="仿宋" w:eastAsia="仿宋" w:cs="Times New Roman"/>
          <w:b/>
          <w:sz w:val="32"/>
          <w:szCs w:val="32"/>
        </w:rPr>
        <w:t>社会保障和就业支出</w:t>
      </w:r>
      <w:r>
        <w:rPr>
          <w:rFonts w:hint="eastAsia" w:ascii="仿宋" w:hAnsi="仿宋" w:eastAsia="仿宋" w:cs="Times New Roman"/>
          <w:sz w:val="32"/>
          <w:szCs w:val="32"/>
          <w:lang w:val="en-US" w:eastAsia="zh-CN"/>
        </w:rPr>
        <w:t>137.42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15.91</w:t>
      </w:r>
      <w:r>
        <w:rPr>
          <w:rFonts w:hint="eastAsia" w:ascii="仿宋" w:hAnsi="仿宋" w:eastAsia="仿宋" w:cs="Times New Roman"/>
          <w:sz w:val="32"/>
          <w:szCs w:val="32"/>
        </w:rPr>
        <w:t>％；</w:t>
      </w:r>
      <w:r>
        <w:rPr>
          <w:rFonts w:hint="eastAsia" w:ascii="仿宋" w:hAnsi="仿宋" w:eastAsia="仿宋" w:cs="Times New Roman"/>
          <w:b/>
          <w:sz w:val="32"/>
          <w:szCs w:val="32"/>
        </w:rPr>
        <w:t>卫生健康支出</w:t>
      </w:r>
      <w:r>
        <w:rPr>
          <w:rFonts w:hint="eastAsia" w:ascii="仿宋" w:hAnsi="仿宋" w:eastAsia="仿宋" w:cs="Times New Roman"/>
          <w:sz w:val="32"/>
          <w:szCs w:val="32"/>
          <w:lang w:val="en-US" w:eastAsia="zh-CN"/>
        </w:rPr>
        <w:t>21.03</w:t>
      </w:r>
      <w:r>
        <w:rPr>
          <w:rFonts w:hint="eastAsia" w:ascii="仿宋" w:hAnsi="仿宋" w:eastAsia="仿宋" w:cs="Times New Roman"/>
          <w:sz w:val="32"/>
          <w:szCs w:val="32"/>
        </w:rPr>
        <w:t>万元，</w:t>
      </w:r>
      <w:r>
        <w:rPr>
          <w:rFonts w:hint="eastAsia" w:ascii="仿宋" w:hAnsi="仿宋" w:eastAsia="仿宋" w:cs="Times New Roman"/>
          <w:sz w:val="32"/>
          <w:szCs w:val="32"/>
          <w:lang w:eastAsia="zh-CN"/>
        </w:rPr>
        <w:t>占</w:t>
      </w:r>
      <w:r>
        <w:rPr>
          <w:rFonts w:hint="eastAsia" w:ascii="仿宋" w:hAnsi="仿宋" w:eastAsia="仿宋" w:cs="Times New Roman"/>
          <w:sz w:val="32"/>
          <w:szCs w:val="32"/>
          <w:lang w:val="en-US" w:eastAsia="zh-CN"/>
        </w:rPr>
        <w:t>17.27</w:t>
      </w:r>
      <w:r>
        <w:rPr>
          <w:rFonts w:hint="eastAsia" w:ascii="仿宋" w:hAnsi="仿宋" w:eastAsia="仿宋" w:cs="Times New Roman"/>
          <w:sz w:val="32"/>
          <w:szCs w:val="32"/>
        </w:rPr>
        <w:t>％；</w:t>
      </w:r>
      <w:r>
        <w:rPr>
          <w:rFonts w:hint="eastAsia" w:ascii="仿宋" w:hAnsi="仿宋" w:eastAsia="仿宋" w:cs="Times New Roman"/>
          <w:b/>
          <w:sz w:val="32"/>
          <w:szCs w:val="32"/>
        </w:rPr>
        <w:t>城乡社区支出</w:t>
      </w:r>
      <w:r>
        <w:rPr>
          <w:rFonts w:hint="eastAsia" w:ascii="仿宋" w:hAnsi="仿宋" w:eastAsia="仿宋" w:cs="Times New Roman"/>
          <w:sz w:val="32"/>
          <w:szCs w:val="32"/>
          <w:lang w:val="en-US" w:eastAsia="zh-CN"/>
        </w:rPr>
        <w:t>7.71</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0.97</w:t>
      </w:r>
      <w:r>
        <w:rPr>
          <w:rFonts w:hint="eastAsia" w:ascii="仿宋" w:hAnsi="仿宋" w:eastAsia="仿宋" w:cs="Times New Roman"/>
          <w:sz w:val="32"/>
          <w:szCs w:val="32"/>
        </w:rPr>
        <w:t>％；</w:t>
      </w:r>
      <w:r>
        <w:rPr>
          <w:rFonts w:hint="eastAsia" w:ascii="仿宋" w:hAnsi="仿宋" w:eastAsia="仿宋" w:cs="Times New Roman"/>
          <w:b/>
          <w:sz w:val="32"/>
          <w:szCs w:val="32"/>
        </w:rPr>
        <w:t>农林水支出</w:t>
      </w:r>
      <w:r>
        <w:rPr>
          <w:rFonts w:hint="eastAsia" w:ascii="仿宋" w:hAnsi="仿宋" w:eastAsia="仿宋" w:cs="Times New Roman"/>
          <w:sz w:val="32"/>
          <w:szCs w:val="32"/>
          <w:lang w:val="en-US" w:eastAsia="zh-CN"/>
        </w:rPr>
        <w:t>256.07</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32.19</w:t>
      </w:r>
      <w:r>
        <w:rPr>
          <w:rFonts w:hint="eastAsia" w:ascii="仿宋" w:hAnsi="仿宋" w:eastAsia="仿宋" w:cs="Times New Roman"/>
          <w:sz w:val="32"/>
          <w:szCs w:val="32"/>
        </w:rPr>
        <w:t>％；</w:t>
      </w:r>
      <w:r>
        <w:rPr>
          <w:rFonts w:hint="eastAsia" w:ascii="仿宋" w:hAnsi="仿宋" w:eastAsia="仿宋" w:cs="Times New Roman"/>
          <w:b/>
          <w:sz w:val="32"/>
          <w:szCs w:val="32"/>
        </w:rPr>
        <w:t>住房保障支出</w:t>
      </w:r>
      <w:r>
        <w:rPr>
          <w:rFonts w:hint="eastAsia" w:ascii="仿宋" w:hAnsi="仿宋" w:eastAsia="仿宋" w:cs="Times New Roman"/>
          <w:sz w:val="32"/>
          <w:szCs w:val="32"/>
          <w:lang w:val="en-US" w:eastAsia="zh-CN"/>
        </w:rPr>
        <w:t>31.2</w:t>
      </w:r>
      <w:r>
        <w:rPr>
          <w:rFonts w:hint="eastAsia" w:ascii="仿宋" w:hAnsi="仿宋" w:eastAsia="仿宋" w:cs="Times New Roman"/>
          <w:sz w:val="32"/>
          <w:szCs w:val="32"/>
        </w:rPr>
        <w:t>万元，占</w:t>
      </w:r>
      <w:r>
        <w:rPr>
          <w:rFonts w:hint="eastAsia" w:ascii="仿宋" w:hAnsi="仿宋" w:eastAsia="仿宋" w:cs="Times New Roman"/>
          <w:sz w:val="32"/>
          <w:szCs w:val="32"/>
          <w:lang w:val="en-US" w:eastAsia="zh-CN"/>
        </w:rPr>
        <w:t>3.92</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r>
        <w:rPr>
          <w:rFonts w:hint="eastAsia" w:ascii="仿宋" w:hAnsi="仿宋" w:eastAsia="仿宋" w:cs="Times New Roman"/>
          <w:b/>
          <w:bCs/>
          <w:sz w:val="32"/>
          <w:szCs w:val="32"/>
        </w:rPr>
        <w:t>灾害防治及应急管理支出</w:t>
      </w:r>
      <w:r>
        <w:rPr>
          <w:rFonts w:hint="eastAsia" w:ascii="仿宋" w:hAnsi="仿宋" w:eastAsia="仿宋" w:cs="Times New Roman"/>
          <w:sz w:val="32"/>
          <w:szCs w:val="32"/>
          <w:lang w:val="en-US" w:eastAsia="zh-CN"/>
        </w:rPr>
        <w:t>0.2万元，</w:t>
      </w:r>
      <w:r>
        <w:rPr>
          <w:rFonts w:hint="eastAsia" w:ascii="仿宋" w:hAnsi="仿宋" w:eastAsia="仿宋" w:cs="Times New Roman"/>
          <w:sz w:val="32"/>
          <w:szCs w:val="32"/>
        </w:rPr>
        <w:t>占</w:t>
      </w:r>
      <w:r>
        <w:rPr>
          <w:rFonts w:hint="eastAsia" w:ascii="仿宋" w:hAnsi="仿宋" w:eastAsia="仿宋" w:cs="Times New Roman"/>
          <w:sz w:val="32"/>
          <w:szCs w:val="32"/>
          <w:lang w:val="en-US" w:eastAsia="zh-CN"/>
        </w:rPr>
        <w:t>0.025</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pPr>
        <w:pStyle w:val="17"/>
        <w:rPr>
          <w:rFonts w:hint="eastAsia"/>
          <w:lang w:val="en-US" w:eastAsia="zh-CN"/>
        </w:rPr>
      </w:pPr>
    </w:p>
    <w:p>
      <w:pPr>
        <w:pStyle w:val="17"/>
        <w:rPr>
          <w:rFonts w:hint="eastAsia" w:ascii="仿宋" w:hAnsi="仿宋" w:eastAsia="仿宋" w:cs="Times New Roman"/>
          <w:sz w:val="32"/>
          <w:szCs w:val="32"/>
        </w:rPr>
      </w:pPr>
      <w:r>
        <w:drawing>
          <wp:inline distT="0" distB="0" distL="114300" distR="114300">
            <wp:extent cx="4262755" cy="4112260"/>
            <wp:effectExtent l="4445" t="4445" r="19050" b="17145"/>
            <wp:docPr id="1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3" w:firstLineChars="200"/>
        <w:outlineLvl w:val="2"/>
        <w:rPr>
          <w:rFonts w:ascii="仿宋" w:hAnsi="仿宋" w:eastAsia="仿宋"/>
          <w:sz w:val="32"/>
          <w:szCs w:val="32"/>
        </w:rPr>
      </w:pPr>
      <w:bookmarkStart w:id="37" w:name="_Toc15378460"/>
      <w:bookmarkStart w:id="38" w:name="_Toc15377213"/>
      <w:bookmarkStart w:id="39" w:name="_Toc15377444"/>
      <w:r>
        <w:rPr>
          <w:rFonts w:hint="eastAsia" w:ascii="仿宋" w:hAnsi="仿宋" w:eastAsia="仿宋"/>
          <w:b/>
          <w:sz w:val="32"/>
          <w:szCs w:val="32"/>
        </w:rPr>
        <w:t>2022年一般公共预算支出决算数为</w:t>
      </w:r>
      <w:r>
        <w:rPr>
          <w:rFonts w:hint="eastAsia" w:ascii="仿宋" w:hAnsi="仿宋" w:eastAsia="仿宋"/>
          <w:sz w:val="32"/>
          <w:szCs w:val="32"/>
          <w:lang w:val="en-US" w:eastAsia="zh-CN"/>
        </w:rPr>
        <w:t>795.54</w:t>
      </w:r>
      <w:r>
        <w:rPr>
          <w:rFonts w:hint="eastAsia" w:ascii="仿宋" w:hAnsi="仿宋" w:eastAsia="仿宋"/>
          <w:b/>
          <w:sz w:val="32"/>
          <w:szCs w:val="32"/>
          <w:lang w:val="en-US" w:eastAsia="zh-CN"/>
        </w:rPr>
        <w:t>万元</w:t>
      </w:r>
      <w:r>
        <w:rPr>
          <w:rFonts w:hint="eastAsia" w:ascii="仿宋" w:hAnsi="仿宋" w:eastAsia="仿宋"/>
          <w:sz w:val="32"/>
          <w:szCs w:val="32"/>
        </w:rPr>
        <w:t>，</w:t>
      </w:r>
      <w:r>
        <w:rPr>
          <w:rStyle w:val="20"/>
          <w:rFonts w:hint="eastAsia" w:ascii="仿宋" w:hAnsi="仿宋" w:eastAsia="仿宋"/>
          <w:bCs/>
          <w:sz w:val="32"/>
          <w:szCs w:val="32"/>
        </w:rPr>
        <w:t>完成预算</w:t>
      </w:r>
      <w:r>
        <w:rPr>
          <w:rStyle w:val="20"/>
          <w:rFonts w:hint="eastAsia" w:ascii="仿宋" w:hAnsi="仿宋" w:eastAsia="仿宋"/>
          <w:bCs/>
          <w:sz w:val="32"/>
          <w:szCs w:val="32"/>
          <w:lang w:val="en-US" w:eastAsia="zh-CN"/>
        </w:rPr>
        <w:t>100</w:t>
      </w:r>
      <w:r>
        <w:rPr>
          <w:rStyle w:val="20"/>
          <w:rFonts w:ascii="仿宋" w:hAnsi="仿宋" w:eastAsia="仿宋"/>
          <w:bCs/>
          <w:sz w:val="32"/>
          <w:szCs w:val="32"/>
        </w:rPr>
        <w:t>%</w:t>
      </w:r>
      <w:r>
        <w:rPr>
          <w:rStyle w:val="20"/>
          <w:rFonts w:hint="eastAsia" w:ascii="仿宋" w:hAnsi="仿宋" w:eastAsia="仿宋"/>
          <w:bCs/>
          <w:sz w:val="32"/>
          <w:szCs w:val="32"/>
        </w:rPr>
        <w:t>。其中：</w:t>
      </w:r>
      <w:bookmarkEnd w:id="37"/>
      <w:bookmarkEnd w:id="38"/>
      <w:bookmarkEnd w:id="39"/>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w:t>
      </w:r>
      <w:r>
        <w:rPr>
          <w:rStyle w:val="20"/>
          <w:rFonts w:hint="eastAsia" w:ascii="仿宋" w:hAnsi="仿宋" w:eastAsia="仿宋"/>
          <w:b w:val="0"/>
          <w:bCs/>
          <w:color w:val="000000"/>
          <w:sz w:val="32"/>
          <w:szCs w:val="32"/>
        </w:rPr>
        <w:t>一般公共服务（类）人大事务（款）代表工作（项）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1.56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2.</w:t>
      </w:r>
      <w:r>
        <w:rPr>
          <w:rStyle w:val="20"/>
          <w:rFonts w:hint="eastAsia" w:ascii="仿宋" w:hAnsi="仿宋" w:eastAsia="仿宋"/>
          <w:b w:val="0"/>
          <w:bCs/>
          <w:color w:val="000000"/>
          <w:sz w:val="32"/>
          <w:szCs w:val="32"/>
        </w:rPr>
        <w:t>一般公共服务（类）人大事务（款）</w:t>
      </w:r>
      <w:r>
        <w:rPr>
          <w:rStyle w:val="20"/>
          <w:rFonts w:hint="eastAsia" w:ascii="仿宋" w:hAnsi="仿宋" w:eastAsia="仿宋"/>
          <w:b w:val="0"/>
          <w:bCs/>
          <w:color w:val="000000"/>
          <w:sz w:val="32"/>
          <w:szCs w:val="32"/>
          <w:lang w:val="en-US" w:eastAsia="zh-CN"/>
        </w:rPr>
        <w:t>其他人大事务支出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3.</w:t>
      </w:r>
      <w:r>
        <w:rPr>
          <w:rStyle w:val="20"/>
          <w:rFonts w:hint="eastAsia" w:ascii="仿宋" w:hAnsi="仿宋" w:eastAsia="仿宋"/>
          <w:b w:val="0"/>
          <w:bCs/>
          <w:color w:val="000000"/>
          <w:sz w:val="32"/>
          <w:szCs w:val="32"/>
        </w:rPr>
        <w:t>一般公共服务（类）政府办公厅（室）及相关机构事务（款）行政运行（项）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w:t>
      </w:r>
      <w:r>
        <w:rPr>
          <w:rStyle w:val="20"/>
          <w:rFonts w:hint="eastAsia" w:ascii="仿宋" w:hAnsi="仿宋" w:eastAsia="仿宋"/>
          <w:b w:val="0"/>
          <w:bCs/>
          <w:color w:val="000000"/>
          <w:sz w:val="32"/>
          <w:szCs w:val="32"/>
          <w:lang w:val="en-US" w:eastAsia="zh-CN"/>
        </w:rPr>
        <w:t>292.6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4.</w:t>
      </w:r>
      <w:r>
        <w:rPr>
          <w:rStyle w:val="20"/>
          <w:rFonts w:hint="eastAsia" w:ascii="仿宋" w:hAnsi="仿宋" w:eastAsia="仿宋"/>
          <w:b w:val="0"/>
          <w:bCs/>
          <w:color w:val="000000"/>
          <w:sz w:val="32"/>
          <w:szCs w:val="32"/>
        </w:rPr>
        <w:t>一般公共服务（类）政府办公厅（室）及相关机构事务（款）一般行政管理事务（项）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14.79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5.</w:t>
      </w:r>
      <w:r>
        <w:rPr>
          <w:rStyle w:val="20"/>
          <w:rFonts w:hint="eastAsia" w:ascii="仿宋" w:hAnsi="仿宋" w:eastAsia="仿宋"/>
          <w:b w:val="0"/>
          <w:bCs/>
          <w:color w:val="000000"/>
          <w:sz w:val="32"/>
          <w:szCs w:val="32"/>
        </w:rPr>
        <w:t>一般公共服务（类）政府办公厅（室）及相关机构事务（款）</w:t>
      </w:r>
      <w:r>
        <w:rPr>
          <w:rStyle w:val="20"/>
          <w:rFonts w:hint="eastAsia" w:ascii="仿宋" w:hAnsi="仿宋" w:eastAsia="仿宋"/>
          <w:b w:val="0"/>
          <w:bCs/>
          <w:color w:val="000000"/>
          <w:sz w:val="32"/>
          <w:szCs w:val="32"/>
          <w:lang w:val="en-US" w:eastAsia="zh-CN"/>
        </w:rPr>
        <w:t>信访</w:t>
      </w:r>
      <w:r>
        <w:rPr>
          <w:rStyle w:val="20"/>
          <w:rFonts w:hint="eastAsia" w:ascii="仿宋" w:hAnsi="仿宋" w:eastAsia="仿宋"/>
          <w:b w:val="0"/>
          <w:bCs/>
          <w:color w:val="000000"/>
          <w:sz w:val="32"/>
          <w:szCs w:val="32"/>
        </w:rPr>
        <w:t>事务（项）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0.98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6.</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eastAsia="zh-CN"/>
        </w:rPr>
        <w:t>统计信息事务</w:t>
      </w:r>
      <w:r>
        <w:rPr>
          <w:rStyle w:val="20"/>
          <w:rFonts w:hint="eastAsia" w:ascii="仿宋" w:hAnsi="仿宋" w:eastAsia="仿宋"/>
          <w:b w:val="0"/>
          <w:bCs/>
          <w:color w:val="000000"/>
          <w:sz w:val="32"/>
          <w:szCs w:val="32"/>
        </w:rPr>
        <w:t xml:space="preserve">（款） </w:t>
      </w:r>
      <w:r>
        <w:rPr>
          <w:rStyle w:val="20"/>
          <w:rFonts w:hint="eastAsia" w:ascii="仿宋" w:hAnsi="仿宋" w:eastAsia="仿宋"/>
          <w:b w:val="0"/>
          <w:bCs/>
          <w:color w:val="000000"/>
          <w:sz w:val="32"/>
          <w:szCs w:val="32"/>
          <w:lang w:eastAsia="zh-CN"/>
        </w:rPr>
        <w:t>其他统计信息事务支出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0.14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7.</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0.36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一般公共服务（类）纪检监察事务（款</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其他纪检监察事务支出（项）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4.6</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9.</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群众团体</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其他群众团体事务支出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0.43</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10.</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党委办公厅（室）及相关机构事务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一般行政管理事务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2.81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auto"/>
          <w:sz w:val="32"/>
          <w:szCs w:val="32"/>
        </w:rPr>
      </w:pPr>
      <w:r>
        <w:rPr>
          <w:rStyle w:val="20"/>
          <w:rFonts w:hint="eastAsia" w:ascii="仿宋" w:hAnsi="仿宋" w:eastAsia="仿宋"/>
          <w:b w:val="0"/>
          <w:bCs/>
          <w:color w:val="auto"/>
          <w:sz w:val="32"/>
          <w:szCs w:val="32"/>
          <w:lang w:val="en-US" w:eastAsia="zh-CN"/>
        </w:rPr>
        <w:t>11.</w:t>
      </w:r>
      <w:r>
        <w:rPr>
          <w:rStyle w:val="20"/>
          <w:rFonts w:hint="eastAsia" w:ascii="仿宋" w:hAnsi="仿宋" w:eastAsia="仿宋"/>
          <w:b w:val="0"/>
          <w:bCs/>
          <w:color w:val="000000"/>
          <w:sz w:val="32"/>
          <w:szCs w:val="32"/>
        </w:rPr>
        <w:t>一般公共服务（类）</w:t>
      </w:r>
      <w:r>
        <w:rPr>
          <w:rStyle w:val="20"/>
          <w:rFonts w:hint="eastAsia" w:ascii="仿宋" w:hAnsi="仿宋" w:eastAsia="仿宋"/>
          <w:b w:val="0"/>
          <w:bCs/>
          <w:color w:val="000000"/>
          <w:sz w:val="32"/>
          <w:szCs w:val="32"/>
          <w:lang w:val="en-US" w:eastAsia="zh-CN"/>
        </w:rPr>
        <w:t>宣传</w:t>
      </w:r>
      <w:r>
        <w:rPr>
          <w:rStyle w:val="20"/>
          <w:rFonts w:hint="eastAsia" w:ascii="仿宋" w:hAnsi="仿宋" w:eastAsia="仿宋"/>
          <w:b w:val="0"/>
          <w:bCs/>
          <w:color w:val="000000"/>
          <w:sz w:val="32"/>
          <w:szCs w:val="32"/>
        </w:rPr>
        <w:t>事务（款）</w:t>
      </w:r>
      <w:r>
        <w:rPr>
          <w:rStyle w:val="20"/>
          <w:rFonts w:hint="eastAsia" w:ascii="仿宋" w:hAnsi="仿宋" w:eastAsia="仿宋"/>
          <w:b w:val="0"/>
          <w:bCs/>
          <w:color w:val="000000"/>
          <w:sz w:val="32"/>
          <w:szCs w:val="32"/>
          <w:lang w:val="en-US" w:eastAsia="zh-CN"/>
        </w:rPr>
        <w:t>其他宣传事务支出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12.</w:t>
      </w:r>
      <w:r>
        <w:rPr>
          <w:rStyle w:val="20"/>
          <w:rFonts w:hint="eastAsia" w:ascii="仿宋" w:hAnsi="仿宋" w:eastAsia="仿宋"/>
          <w:b w:val="0"/>
          <w:bCs/>
          <w:color w:val="000000"/>
          <w:sz w:val="32"/>
          <w:szCs w:val="32"/>
          <w:lang w:val="en-US" w:eastAsia="zh-CN"/>
        </w:rPr>
        <w:t>国防支出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国防动员</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兵役征集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0.5</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auto"/>
          <w:sz w:val="32"/>
          <w:szCs w:val="32"/>
          <w:lang w:val="en-US" w:eastAsia="zh-CN"/>
        </w:rPr>
        <w:t>13.</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群众文化</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0.42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numPr>
          <w:ilvl w:val="0"/>
          <w:numId w:val="0"/>
        </w:numPr>
        <w:spacing w:line="600" w:lineRule="exact"/>
        <w:ind w:firstLine="640" w:firstLineChars="200"/>
        <w:rPr>
          <w:rStyle w:val="20"/>
          <w:rFonts w:hint="default" w:ascii="仿宋" w:hAnsi="仿宋" w:eastAsia="仿宋"/>
          <w:b w:val="0"/>
          <w:bCs/>
          <w:color w:val="auto"/>
          <w:sz w:val="32"/>
          <w:szCs w:val="32"/>
          <w:lang w:val="en-US" w:eastAsia="zh-CN"/>
        </w:rPr>
      </w:pPr>
      <w:r>
        <w:rPr>
          <w:rStyle w:val="20"/>
          <w:rFonts w:hint="eastAsia" w:ascii="仿宋" w:hAnsi="仿宋" w:eastAsia="仿宋"/>
          <w:b w:val="0"/>
          <w:bCs/>
          <w:color w:val="auto"/>
          <w:sz w:val="32"/>
          <w:szCs w:val="32"/>
          <w:lang w:val="en-US" w:eastAsia="zh-CN"/>
        </w:rPr>
        <w:t>14.</w:t>
      </w:r>
      <w:r>
        <w:rPr>
          <w:rStyle w:val="20"/>
          <w:rFonts w:hint="eastAsia" w:ascii="仿宋" w:hAnsi="仿宋" w:eastAsia="仿宋"/>
          <w:b w:val="0"/>
          <w:bCs/>
          <w:color w:val="000000"/>
          <w:sz w:val="32"/>
          <w:szCs w:val="32"/>
        </w:rPr>
        <w:t>文化旅游体育与传媒</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（类）文化和旅游（款）</w:t>
      </w:r>
      <w:r>
        <w:rPr>
          <w:rStyle w:val="20"/>
          <w:rFonts w:hint="eastAsia" w:ascii="仿宋" w:hAnsi="仿宋" w:eastAsia="仿宋"/>
          <w:b w:val="0"/>
          <w:bCs/>
          <w:color w:val="000000"/>
          <w:sz w:val="32"/>
          <w:szCs w:val="32"/>
          <w:lang w:val="en-US" w:eastAsia="zh-CN"/>
        </w:rPr>
        <w:t>文化和旅游管理事务</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21.7</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15</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（类）民政管理事务（款）基层政权建设和社区治理（项）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95.78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16</w:t>
      </w:r>
      <w:r>
        <w:rPr>
          <w:rStyle w:val="20"/>
          <w:rFonts w:ascii="仿宋" w:hAnsi="仿宋" w:eastAsia="仿宋"/>
          <w:b w:val="0"/>
          <w:bCs/>
          <w:color w:val="000000"/>
          <w:sz w:val="32"/>
          <w:szCs w:val="32"/>
        </w:rPr>
        <w:t>.</w:t>
      </w:r>
      <w:r>
        <w:rPr>
          <w:rStyle w:val="20"/>
          <w:rFonts w:hint="eastAsia" w:ascii="仿宋" w:hAnsi="仿宋" w:eastAsia="仿宋"/>
          <w:b w:val="0"/>
          <w:bCs/>
          <w:color w:val="000000"/>
          <w:sz w:val="32"/>
          <w:szCs w:val="32"/>
        </w:rPr>
        <w:t>社会保障和就业</w:t>
      </w:r>
      <w:r>
        <w:rPr>
          <w:rStyle w:val="20"/>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（类）行政事业单位养老支出（款）机关事业单位基本养老保险缴费支出（项）</w:t>
      </w:r>
      <w:r>
        <w:rPr>
          <w:rStyle w:val="20"/>
          <w:rFonts w:hint="eastAsia" w:ascii="仿宋" w:hAnsi="仿宋" w:eastAsia="仿宋"/>
          <w:b w:val="0"/>
          <w:bCs/>
          <w:color w:val="000000"/>
          <w:sz w:val="32"/>
          <w:szCs w:val="32"/>
          <w:lang w:eastAsia="zh-CN"/>
        </w:rPr>
        <w:t>：</w:t>
      </w:r>
      <w:r>
        <w:rPr>
          <w:rStyle w:val="20"/>
          <w:rFonts w:ascii="仿宋" w:hAnsi="仿宋" w:eastAsia="仿宋"/>
          <w:b w:val="0"/>
          <w:bCs/>
          <w:color w:val="000000"/>
          <w:sz w:val="32"/>
          <w:szCs w:val="32"/>
        </w:rPr>
        <w:t xml:space="preserve"> </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41.64</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p>
    <w:p>
      <w:pPr>
        <w:spacing w:line="600" w:lineRule="exact"/>
        <w:ind w:firstLine="640" w:firstLineChars="200"/>
        <w:rPr>
          <w:rStyle w:val="20"/>
          <w:rFonts w:hint="eastAsia"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卫生健康</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（类）行政事业单位医疗（款）行政单位医疗（项）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20.82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ascii="仿宋" w:hAnsi="仿宋" w:eastAsia="仿宋"/>
          <w:b w:val="0"/>
          <w:bCs/>
          <w:color w:val="000000"/>
          <w:sz w:val="32"/>
          <w:szCs w:val="32"/>
        </w:rPr>
      </w:pPr>
      <w:r>
        <w:rPr>
          <w:rStyle w:val="20"/>
          <w:rFonts w:hint="eastAsia" w:ascii="仿宋" w:hAnsi="仿宋" w:eastAsia="仿宋"/>
          <w:b w:val="0"/>
          <w:bCs/>
          <w:color w:val="000000"/>
          <w:sz w:val="32"/>
          <w:szCs w:val="32"/>
          <w:lang w:val="en-US" w:eastAsia="zh-CN"/>
        </w:rPr>
        <w:t>18</w:t>
      </w:r>
      <w:r>
        <w:rPr>
          <w:rStyle w:val="20"/>
          <w:rFonts w:ascii="仿宋" w:hAnsi="仿宋" w:eastAsia="仿宋"/>
          <w:b w:val="0"/>
          <w:bCs/>
          <w:color w:val="000000"/>
          <w:sz w:val="32"/>
          <w:szCs w:val="32"/>
        </w:rPr>
        <w:t>.</w:t>
      </w:r>
      <w:r>
        <w:rPr>
          <w:rFonts w:hint="eastAsia" w:ascii="仿宋" w:hAnsi="仿宋" w:eastAsia="仿宋"/>
          <w:b w:val="0"/>
          <w:bCs/>
          <w:color w:val="000000"/>
          <w:sz w:val="32"/>
          <w:szCs w:val="32"/>
          <w:lang w:eastAsia="zh-CN"/>
        </w:rPr>
        <w:t>卫生健康支出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eastAsia="zh-CN"/>
        </w:rPr>
        <w:t>其他卫生健康支出</w:t>
      </w:r>
      <w:r>
        <w:rPr>
          <w:rStyle w:val="20"/>
          <w:rFonts w:hint="eastAsia" w:ascii="仿宋" w:hAnsi="仿宋" w:eastAsia="仿宋"/>
          <w:b w:val="0"/>
          <w:bCs/>
          <w:color w:val="000000"/>
          <w:sz w:val="32"/>
          <w:szCs w:val="32"/>
        </w:rPr>
        <w:t>（款）其他卫生健康</w:t>
      </w:r>
      <w:r>
        <w:rPr>
          <w:rStyle w:val="20"/>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19</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城乡社区</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（类）城乡社区环境卫生（款）城乡社区环境卫生（项）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7.71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20</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事业运行</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21</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防灾救灾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420" w:firstLineChars="200"/>
        <w:rPr>
          <w:rStyle w:val="20"/>
          <w:rFonts w:hint="eastAsia" w:ascii="仿宋" w:hAnsi="仿宋" w:eastAsia="仿宋"/>
          <w:b w:val="0"/>
          <w:bCs/>
          <w:sz w:val="32"/>
          <w:szCs w:val="32"/>
          <w:lang w:eastAsia="zh-CN"/>
        </w:rPr>
      </w:pPr>
      <w:r>
        <w:rPr>
          <w:rFonts w:hint="eastAsia"/>
          <w:lang w:eastAsia="zh-CN"/>
        </w:rPr>
        <w:t xml:space="preserve"> </w:t>
      </w:r>
      <w:r>
        <w:rPr>
          <w:rFonts w:hint="eastAsia"/>
          <w:lang w:val="en-US" w:eastAsia="zh-CN"/>
        </w:rPr>
        <w:t xml:space="preserve"> </w:t>
      </w:r>
      <w:r>
        <w:rPr>
          <w:rStyle w:val="20"/>
          <w:rFonts w:hint="eastAsia" w:ascii="仿宋" w:hAnsi="仿宋" w:eastAsia="仿宋"/>
          <w:b w:val="0"/>
          <w:bCs/>
          <w:color w:val="000000"/>
          <w:sz w:val="32"/>
          <w:szCs w:val="32"/>
          <w:lang w:val="en-US" w:eastAsia="zh-CN"/>
        </w:rPr>
        <w:t>22.</w:t>
      </w:r>
      <w:r>
        <w:rPr>
          <w:rFonts w:hint="eastAsia"/>
          <w:lang w:val="en-US" w:eastAsia="zh-CN"/>
        </w:rPr>
        <w:t xml:space="preserve"> </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农业农村</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eastAsia="zh-CN"/>
        </w:rPr>
        <w:t xml:space="preserve"> 农村道路建设</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20</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23</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（类）林业和草原（款）林业草原防灾减灾（项）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支出决算1.87万元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lang w:val="en-US" w:eastAsia="zh-CN"/>
        </w:rPr>
      </w:pPr>
      <w:r>
        <w:rPr>
          <w:rStyle w:val="20"/>
          <w:rFonts w:hint="eastAsia" w:ascii="仿宋" w:hAnsi="仿宋" w:eastAsia="仿宋"/>
          <w:b w:val="0"/>
          <w:bCs/>
          <w:color w:val="000000"/>
          <w:sz w:val="32"/>
          <w:szCs w:val="32"/>
          <w:lang w:val="en-US" w:eastAsia="zh-CN"/>
        </w:rPr>
        <w:t>24</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水利</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抗旱</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8</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Fonts w:hint="eastAsia"/>
        </w:rPr>
      </w:pPr>
      <w:r>
        <w:rPr>
          <w:rStyle w:val="20"/>
          <w:rFonts w:hint="eastAsia" w:ascii="仿宋" w:hAnsi="仿宋" w:eastAsia="仿宋"/>
          <w:b w:val="0"/>
          <w:bCs/>
          <w:color w:val="000000"/>
          <w:sz w:val="32"/>
          <w:szCs w:val="32"/>
          <w:lang w:val="en-US" w:eastAsia="zh-CN"/>
        </w:rPr>
        <w:t>25</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val="en-US" w:eastAsia="zh-CN"/>
        </w:rPr>
        <w:t>支出</w:t>
      </w:r>
      <w:r>
        <w:rPr>
          <w:rStyle w:val="20"/>
          <w:rFonts w:hint="eastAsia" w:ascii="仿宋" w:hAnsi="仿宋" w:eastAsia="仿宋"/>
          <w:b w:val="0"/>
          <w:bCs/>
          <w:color w:val="000000"/>
          <w:sz w:val="32"/>
          <w:szCs w:val="32"/>
        </w:rPr>
        <w:t>（类）</w:t>
      </w:r>
      <w:r>
        <w:rPr>
          <w:rFonts w:hint="eastAsia" w:ascii="仿宋" w:hAnsi="仿宋" w:eastAsia="仿宋" w:cs="Times New Roman"/>
          <w:sz w:val="32"/>
          <w:szCs w:val="32"/>
          <w:lang w:val="en-US" w:eastAsia="zh-CN"/>
        </w:rPr>
        <w:t>巩固拓展脱贫攻坚成果同乡村振兴有效衔接</w:t>
      </w:r>
      <w:r>
        <w:rPr>
          <w:rStyle w:val="20"/>
          <w:rFonts w:hint="eastAsia" w:ascii="仿宋" w:hAnsi="仿宋" w:eastAsia="仿宋"/>
          <w:b w:val="0"/>
          <w:bCs/>
          <w:color w:val="000000"/>
          <w:sz w:val="32"/>
          <w:szCs w:val="32"/>
        </w:rPr>
        <w:t>（款）其他</w:t>
      </w:r>
      <w:r>
        <w:rPr>
          <w:rFonts w:hint="eastAsia" w:ascii="仿宋" w:hAnsi="仿宋" w:eastAsia="仿宋" w:cs="Times New Roman"/>
          <w:sz w:val="32"/>
          <w:szCs w:val="32"/>
          <w:lang w:val="en-US" w:eastAsia="zh-CN"/>
        </w:rPr>
        <w:t>巩固拓展脱贫攻坚成果同乡村振兴有效衔接</w:t>
      </w:r>
      <w:r>
        <w:rPr>
          <w:rStyle w:val="20"/>
          <w:rFonts w:hint="eastAsia" w:ascii="仿宋" w:hAnsi="仿宋" w:eastAsia="仿宋"/>
          <w:b w:val="0"/>
          <w:bCs/>
          <w:color w:val="000000"/>
          <w:sz w:val="32"/>
          <w:szCs w:val="32"/>
        </w:rPr>
        <w:t>支出（项）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11.11</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26</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农林水</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（类）农村综合改革（款）对村民委员会和村党支部的补助（项）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116.09</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27</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住房保障</w:t>
      </w:r>
      <w:r>
        <w:rPr>
          <w:rFonts w:hint="eastAsia" w:ascii="仿宋" w:hAnsi="仿宋" w:eastAsia="仿宋"/>
          <w:b w:val="0"/>
          <w:bCs/>
          <w:color w:val="000000"/>
          <w:sz w:val="32"/>
          <w:szCs w:val="32"/>
          <w:lang w:eastAsia="zh-CN"/>
        </w:rPr>
        <w:t>支出</w:t>
      </w:r>
      <w:r>
        <w:rPr>
          <w:rStyle w:val="20"/>
          <w:rFonts w:hint="eastAsia" w:ascii="仿宋" w:hAnsi="仿宋" w:eastAsia="仿宋"/>
          <w:b w:val="0"/>
          <w:bCs/>
          <w:color w:val="000000"/>
          <w:sz w:val="32"/>
          <w:szCs w:val="32"/>
        </w:rPr>
        <w:t>（类）住房改革支出（款）住房公积金（项）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31.2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firstLineChars="200"/>
        <w:rPr>
          <w:rStyle w:val="20"/>
          <w:rFonts w:hint="eastAsia" w:ascii="仿宋" w:hAnsi="仿宋" w:eastAsia="仿宋"/>
          <w:b w:val="0"/>
          <w:bCs/>
          <w:sz w:val="32"/>
          <w:szCs w:val="32"/>
          <w:lang w:eastAsia="zh-CN"/>
        </w:rPr>
      </w:pPr>
      <w:r>
        <w:rPr>
          <w:rStyle w:val="20"/>
          <w:rFonts w:hint="eastAsia" w:ascii="仿宋" w:hAnsi="仿宋" w:eastAsia="仿宋"/>
          <w:b w:val="0"/>
          <w:bCs/>
          <w:color w:val="000000"/>
          <w:sz w:val="32"/>
          <w:szCs w:val="32"/>
          <w:lang w:val="en-US" w:eastAsia="zh-CN"/>
        </w:rPr>
        <w:t>28</w:t>
      </w:r>
      <w:r>
        <w:rPr>
          <w:rStyle w:val="20"/>
          <w:rFonts w:ascii="仿宋" w:hAnsi="仿宋" w:eastAsia="仿宋"/>
          <w:b w:val="0"/>
          <w:bCs/>
          <w:color w:val="000000"/>
          <w:sz w:val="32"/>
          <w:szCs w:val="32"/>
        </w:rPr>
        <w:t>.</w:t>
      </w:r>
      <w:r>
        <w:rPr>
          <w:rFonts w:hint="eastAsia" w:ascii="仿宋" w:hAnsi="仿宋" w:eastAsia="仿宋"/>
          <w:b w:val="0"/>
          <w:bCs/>
          <w:color w:val="000000"/>
          <w:sz w:val="32"/>
          <w:szCs w:val="32"/>
        </w:rPr>
        <w:t>灾害防治及应急管理支出</w:t>
      </w:r>
      <w:r>
        <w:rPr>
          <w:rStyle w:val="20"/>
          <w:rFonts w:hint="eastAsia" w:ascii="仿宋" w:hAnsi="仿宋" w:eastAsia="仿宋"/>
          <w:b w:val="0"/>
          <w:bCs/>
          <w:color w:val="000000"/>
          <w:sz w:val="32"/>
          <w:szCs w:val="32"/>
        </w:rPr>
        <w:t>（类）</w:t>
      </w:r>
      <w:r>
        <w:rPr>
          <w:rStyle w:val="20"/>
          <w:rFonts w:hint="eastAsia" w:ascii="仿宋" w:hAnsi="仿宋" w:eastAsia="仿宋"/>
          <w:b w:val="0"/>
          <w:bCs/>
          <w:color w:val="000000"/>
          <w:sz w:val="32"/>
          <w:szCs w:val="32"/>
          <w:lang w:val="en-US" w:eastAsia="zh-CN"/>
        </w:rPr>
        <w:t>应急管理事务</w:t>
      </w:r>
      <w:r>
        <w:rPr>
          <w:rStyle w:val="20"/>
          <w:rFonts w:hint="eastAsia" w:ascii="仿宋" w:hAnsi="仿宋" w:eastAsia="仿宋"/>
          <w:b w:val="0"/>
          <w:bCs/>
          <w:color w:val="000000"/>
          <w:sz w:val="32"/>
          <w:szCs w:val="32"/>
        </w:rPr>
        <w:t>（款）</w:t>
      </w:r>
      <w:r>
        <w:rPr>
          <w:rStyle w:val="20"/>
          <w:rFonts w:hint="eastAsia" w:ascii="仿宋" w:hAnsi="仿宋" w:eastAsia="仿宋"/>
          <w:b w:val="0"/>
          <w:bCs/>
          <w:color w:val="000000"/>
          <w:sz w:val="32"/>
          <w:szCs w:val="32"/>
          <w:lang w:val="en-US" w:eastAsia="zh-CN"/>
        </w:rPr>
        <w:t xml:space="preserve">  应急管理</w:t>
      </w:r>
      <w:r>
        <w:rPr>
          <w:rStyle w:val="20"/>
          <w:rFonts w:hint="eastAsia" w:ascii="仿宋" w:hAnsi="仿宋" w:eastAsia="仿宋"/>
          <w:b w:val="0"/>
          <w:bCs/>
          <w:color w:val="000000"/>
          <w:sz w:val="32"/>
          <w:szCs w:val="32"/>
        </w:rPr>
        <w:t>（项）</w:t>
      </w:r>
      <w:r>
        <w:rPr>
          <w:rStyle w:val="20"/>
          <w:rFonts w:hint="eastAsia" w:ascii="仿宋" w:hAnsi="仿宋" w:eastAsia="仿宋"/>
          <w:b w:val="0"/>
          <w:bCs/>
          <w:color w:val="000000"/>
          <w:sz w:val="32"/>
          <w:szCs w:val="32"/>
          <w:lang w:eastAsia="zh-CN"/>
        </w:rPr>
        <w:t>：</w:t>
      </w:r>
      <w:r>
        <w:rPr>
          <w:rStyle w:val="20"/>
          <w:rFonts w:hint="eastAsia" w:ascii="仿宋" w:hAnsi="仿宋" w:eastAsia="仿宋"/>
          <w:b w:val="0"/>
          <w:bCs/>
          <w:color w:val="000000"/>
          <w:sz w:val="32"/>
          <w:szCs w:val="32"/>
        </w:rPr>
        <w:t>支出决算为</w:t>
      </w:r>
      <w:r>
        <w:rPr>
          <w:rStyle w:val="20"/>
          <w:rFonts w:hint="eastAsia" w:ascii="仿宋" w:hAnsi="仿宋" w:eastAsia="仿宋"/>
          <w:b w:val="0"/>
          <w:bCs/>
          <w:color w:val="000000"/>
          <w:sz w:val="32"/>
          <w:szCs w:val="32"/>
          <w:lang w:val="en-US" w:eastAsia="zh-CN"/>
        </w:rPr>
        <w:t>0.2</w:t>
      </w:r>
      <w:r>
        <w:rPr>
          <w:rStyle w:val="20"/>
          <w:rFonts w:hint="eastAsia" w:ascii="仿宋" w:hAnsi="仿宋" w:eastAsia="仿宋"/>
          <w:b w:val="0"/>
          <w:bCs/>
          <w:color w:val="000000"/>
          <w:sz w:val="32"/>
          <w:szCs w:val="32"/>
        </w:rPr>
        <w:t>万元</w:t>
      </w:r>
      <w:r>
        <w:rPr>
          <w:rStyle w:val="20"/>
          <w:rFonts w:hint="eastAsia" w:ascii="仿宋" w:hAnsi="仿宋" w:eastAsia="仿宋"/>
          <w:b w:val="0"/>
          <w:bCs/>
          <w:color w:val="000000"/>
          <w:sz w:val="32"/>
          <w:szCs w:val="32"/>
          <w:lang w:eastAsia="zh-CN"/>
        </w:rPr>
        <w:t>，完成预算</w:t>
      </w:r>
      <w:r>
        <w:rPr>
          <w:rStyle w:val="20"/>
          <w:rFonts w:hint="eastAsia" w:ascii="仿宋" w:hAnsi="仿宋" w:eastAsia="仿宋"/>
          <w:b w:val="0"/>
          <w:bCs/>
          <w:color w:val="000000"/>
          <w:sz w:val="32"/>
          <w:szCs w:val="32"/>
          <w:lang w:val="en-US" w:eastAsia="zh-CN"/>
        </w:rPr>
        <w:t>100%</w:t>
      </w:r>
      <w:r>
        <w:rPr>
          <w:rStyle w:val="20"/>
          <w:rFonts w:hint="eastAsia" w:ascii="仿宋" w:hAnsi="仿宋" w:eastAsia="仿宋"/>
          <w:b w:val="0"/>
          <w:bCs/>
          <w:sz w:val="32"/>
          <w:szCs w:val="32"/>
          <w:lang w:eastAsia="zh-CN"/>
        </w:rPr>
        <w:t>。</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32"/>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r>
        <w:rPr>
          <w:rStyle w:val="32"/>
          <w:rFonts w:ascii="黑体" w:hAnsi="黑体" w:eastAsia="黑体"/>
          <w:b w:val="0"/>
        </w:rPr>
        <w:tab/>
      </w:r>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583.75</w:t>
      </w:r>
      <w:r>
        <w:rPr>
          <w:rFonts w:hint="eastAsia" w:ascii="仿宋" w:hAnsi="仿宋" w:eastAsia="仿宋"/>
          <w:sz w:val="32"/>
          <w:szCs w:val="32"/>
        </w:rPr>
        <w:t>万元，其中：</w:t>
      </w:r>
    </w:p>
    <w:p>
      <w:pPr>
        <w:spacing w:line="60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518.02</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奖励金、住房公积金、其他对个人和家庭的补助支出等。</w:t>
      </w:r>
    </w:p>
    <w:p>
      <w:pPr>
        <w:spacing w:line="600" w:lineRule="exact"/>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65.73</w:t>
      </w:r>
      <w:r>
        <w:rPr>
          <w:rFonts w:hint="eastAsia" w:ascii="仿宋" w:hAnsi="仿宋" w:eastAsia="仿宋"/>
          <w:sz w:val="32"/>
          <w:szCs w:val="32"/>
        </w:rPr>
        <w:t>万元，主要包括：办公费、印刷费、手续费、水费、电费、邮电费、差旅费、维修（护）费、会议费、培训费、公务接待费、劳务费、委托业务费、工会经费、福利费、其他交通费、其他商品和服务支出、其他资本性支出等。</w:t>
      </w:r>
    </w:p>
    <w:p>
      <w:pPr>
        <w:spacing w:line="600" w:lineRule="exact"/>
        <w:ind w:firstLine="640"/>
        <w:rPr>
          <w:rFonts w:ascii="仿宋" w:hAnsi="仿宋" w:eastAsia="仿宋"/>
          <w:b/>
          <w:sz w:val="32"/>
          <w:szCs w:val="32"/>
        </w:rPr>
      </w:pPr>
    </w:p>
    <w:p>
      <w:pPr>
        <w:spacing w:line="600" w:lineRule="exact"/>
        <w:ind w:firstLine="640"/>
        <w:outlineLvl w:val="1"/>
        <w:rPr>
          <w:rStyle w:val="32"/>
          <w:rFonts w:ascii="黑体" w:hAnsi="黑体" w:eastAsia="黑体"/>
          <w:b w:val="0"/>
        </w:rPr>
      </w:pPr>
      <w:bookmarkStart w:id="42" w:name="_Toc15396609"/>
      <w:bookmarkStart w:id="43"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2.4</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w:t>
      </w:r>
      <w:r>
        <w:rPr>
          <w:rFonts w:hint="eastAsia" w:ascii="仿宋" w:hAnsi="仿宋" w:eastAsia="仿宋"/>
          <w:sz w:val="32"/>
          <w:szCs w:val="32"/>
          <w:lang w:val="en-US" w:eastAsia="zh-CN"/>
        </w:rPr>
        <w:t>减少1.9795</w:t>
      </w:r>
      <w:r>
        <w:rPr>
          <w:rFonts w:hint="eastAsia" w:ascii="仿宋" w:hAnsi="仿宋" w:eastAsia="仿宋"/>
          <w:sz w:val="32"/>
          <w:szCs w:val="32"/>
        </w:rPr>
        <w:t>万元，</w:t>
      </w:r>
      <w:r>
        <w:rPr>
          <w:rFonts w:hint="eastAsia" w:ascii="仿宋" w:hAnsi="仿宋" w:eastAsia="仿宋"/>
          <w:sz w:val="32"/>
          <w:szCs w:val="32"/>
          <w:lang w:val="en-US" w:eastAsia="zh-CN"/>
        </w:rPr>
        <w:t>减少45.2</w:t>
      </w:r>
      <w:r>
        <w:rPr>
          <w:rFonts w:hint="eastAsia" w:ascii="仿宋" w:hAnsi="仿宋" w:eastAsia="仿宋"/>
          <w:sz w:val="32"/>
          <w:szCs w:val="32"/>
        </w:rPr>
        <w:t>%。决算数与预算数持平的主要原因是</w:t>
      </w:r>
      <w:r>
        <w:rPr>
          <w:rFonts w:hint="eastAsia" w:ascii="仿宋" w:hAnsi="仿宋" w:eastAsia="仿宋"/>
          <w:sz w:val="32"/>
          <w:szCs w:val="32"/>
          <w:lang w:eastAsia="zh-CN"/>
        </w:rPr>
        <w:t>厉行节约，合理开支</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2.4</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17"/>
        <w:rPr>
          <w:rFonts w:hint="eastAsia" w:ascii="仿宋" w:hAnsi="仿宋" w:eastAsia="仿宋"/>
          <w:sz w:val="32"/>
          <w:szCs w:val="32"/>
        </w:rPr>
      </w:pPr>
      <w:r>
        <w:drawing>
          <wp:inline distT="0" distB="0" distL="114300" distR="114300">
            <wp:extent cx="4826000" cy="2743200"/>
            <wp:effectExtent l="4445" t="4445" r="8255" b="14605"/>
            <wp:docPr id="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w:t>
      </w:r>
      <w:r>
        <w:rPr>
          <w:rFonts w:hint="eastAsia" w:ascii="仿宋" w:hAnsi="仿宋" w:eastAsia="仿宋"/>
          <w:sz w:val="32"/>
          <w:szCs w:val="32"/>
        </w:rPr>
        <w:t>主要原因是无因公出国（境）安排</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持平</w:t>
      </w:r>
      <w:r>
        <w:rPr>
          <w:rFonts w:hint="eastAsia" w:ascii="仿宋_GB2312" w:eastAsia="仿宋_GB2312"/>
          <w:sz w:val="32"/>
          <w:szCs w:val="32"/>
        </w:rPr>
        <w:t>。主要原因是</w:t>
      </w:r>
      <w:r>
        <w:rPr>
          <w:rFonts w:hint="eastAsia" w:ascii="仿宋_GB2312" w:eastAsia="仿宋_GB2312"/>
          <w:sz w:val="32"/>
          <w:szCs w:val="32"/>
          <w:lang w:eastAsia="zh-CN"/>
        </w:rPr>
        <w:t>无公务用车</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宋体" w:hAnsi="宋体" w:cs="宋体"/>
          <w:color w:val="000000"/>
          <w:sz w:val="32"/>
          <w:szCs w:val="32"/>
          <w:lang w:val="en-US" w:eastAsia="zh-CN"/>
        </w:rPr>
        <w:t>2.4</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减少</w:t>
      </w:r>
      <w:r>
        <w:rPr>
          <w:rFonts w:hint="eastAsia" w:ascii="仿宋" w:hAnsi="仿宋" w:eastAsia="仿宋"/>
          <w:sz w:val="32"/>
          <w:szCs w:val="32"/>
          <w:lang w:val="en-US" w:eastAsia="zh-CN"/>
        </w:rPr>
        <w:t>1.9795</w:t>
      </w:r>
      <w:r>
        <w:rPr>
          <w:rFonts w:hint="eastAsia" w:ascii="仿宋" w:hAnsi="仿宋" w:eastAsia="仿宋"/>
          <w:sz w:val="32"/>
          <w:szCs w:val="32"/>
        </w:rPr>
        <w:t>万元，</w:t>
      </w:r>
      <w:r>
        <w:rPr>
          <w:rFonts w:hint="eastAsia" w:ascii="仿宋" w:hAnsi="仿宋" w:eastAsia="仿宋"/>
          <w:sz w:val="32"/>
          <w:szCs w:val="32"/>
          <w:lang w:val="en-US" w:eastAsia="zh-CN"/>
        </w:rPr>
        <w:t>减少45.2</w:t>
      </w:r>
      <w:r>
        <w:rPr>
          <w:rFonts w:hint="eastAsia" w:ascii="仿宋" w:hAnsi="仿宋" w:eastAsia="仿宋"/>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厉行节约，合理开支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2.4</w:t>
      </w:r>
      <w:r>
        <w:rPr>
          <w:rFonts w:hint="eastAsia" w:ascii="仿宋_GB2312" w:eastAsia="仿宋_GB2312"/>
          <w:sz w:val="32"/>
          <w:szCs w:val="32"/>
        </w:rPr>
        <w:t>万元，主要用于执行公务、开展业务活动开支住宿费、用餐费等。国内公务接待</w:t>
      </w:r>
      <w:r>
        <w:rPr>
          <w:rFonts w:hint="eastAsia" w:ascii="仿宋" w:hAnsi="仿宋" w:eastAsia="仿宋"/>
          <w:sz w:val="32"/>
          <w:szCs w:val="32"/>
        </w:rPr>
        <w:t xml:space="preserve"> </w:t>
      </w:r>
      <w:r>
        <w:rPr>
          <w:rFonts w:hint="eastAsia" w:ascii="仿宋" w:hAnsi="仿宋" w:eastAsia="仿宋"/>
          <w:sz w:val="32"/>
          <w:szCs w:val="32"/>
          <w:lang w:val="en-US" w:eastAsia="zh-CN"/>
        </w:rPr>
        <w:t>71</w:t>
      </w:r>
      <w:r>
        <w:rPr>
          <w:rFonts w:hint="eastAsia" w:ascii="仿宋" w:hAnsi="仿宋" w:eastAsia="仿宋"/>
          <w:sz w:val="32"/>
          <w:szCs w:val="32"/>
        </w:rPr>
        <w:t>批次，</w:t>
      </w:r>
      <w:r>
        <w:rPr>
          <w:rFonts w:hint="eastAsia" w:ascii="仿宋" w:hAnsi="仿宋" w:eastAsia="仿宋"/>
          <w:sz w:val="32"/>
          <w:szCs w:val="32"/>
          <w:lang w:val="en-US" w:eastAsia="zh-CN"/>
        </w:rPr>
        <w:t>301</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2.4</w:t>
      </w:r>
      <w:r>
        <w:rPr>
          <w:rFonts w:hint="eastAsia" w:ascii="仿宋_GB2312" w:eastAsia="仿宋_GB2312"/>
          <w:sz w:val="32"/>
          <w:szCs w:val="32"/>
        </w:rPr>
        <w:t>万元，具体内容包括：</w:t>
      </w:r>
      <w:r>
        <w:rPr>
          <w:rFonts w:hint="eastAsia" w:ascii="仿宋_GB2312" w:eastAsia="仿宋_GB2312"/>
          <w:sz w:val="32"/>
          <w:szCs w:val="32"/>
          <w:lang w:eastAsia="zh-CN"/>
        </w:rPr>
        <w:t>接待上级部门检查工作开支的住宿费、用餐费共计</w:t>
      </w:r>
      <w:r>
        <w:rPr>
          <w:rFonts w:hint="eastAsia" w:ascii="仿宋_GB2312" w:eastAsia="仿宋_GB2312"/>
          <w:sz w:val="32"/>
          <w:szCs w:val="32"/>
          <w:lang w:val="en-US" w:eastAsia="zh-CN"/>
        </w:rPr>
        <w:t>2.4万元</w:t>
      </w:r>
      <w:r>
        <w:rPr>
          <w:rFonts w:hint="eastAsia" w:ascii="仿宋_GB2312" w:eastAsia="仿宋_GB2312"/>
          <w:sz w:val="32"/>
          <w:szCs w:val="32"/>
        </w:rPr>
        <w:t>。</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6" w:name="_Toc15377218"/>
      <w:bookmarkStart w:id="47" w:name="_Toc15396610"/>
    </w:p>
    <w:p>
      <w:pPr>
        <w:spacing w:line="600" w:lineRule="exact"/>
        <w:ind w:firstLine="640"/>
        <w:outlineLvl w:val="1"/>
        <w:rPr>
          <w:rStyle w:val="32"/>
          <w:rFonts w:ascii="黑体" w:hAnsi="黑体" w:eastAsia="黑体"/>
        </w:rPr>
      </w:pPr>
      <w:r>
        <w:rPr>
          <w:rFonts w:hint="eastAsia" w:ascii="黑体" w:eastAsia="黑体"/>
          <w:sz w:val="32"/>
          <w:szCs w:val="32"/>
        </w:rPr>
        <w:t>八、</w:t>
      </w:r>
      <w:r>
        <w:rPr>
          <w:rStyle w:val="32"/>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3</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2"/>
          <w:rFonts w:ascii="黑体" w:hAnsi="黑体" w:eastAsia="黑体"/>
          <w:b w:val="0"/>
        </w:rPr>
      </w:pPr>
      <w:bookmarkStart w:id="48" w:name="_Toc15396611"/>
      <w:bookmarkStart w:id="49" w:name="_Toc15377219"/>
      <w:r>
        <w:rPr>
          <w:rStyle w:val="32"/>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2"/>
          <w:rFonts w:ascii="黑体" w:hAnsi="黑体" w:eastAsia="黑体"/>
          <w:b w:val="0"/>
        </w:rPr>
      </w:pPr>
      <w:bookmarkStart w:id="50" w:name="_Toc15396612"/>
      <w:bookmarkStart w:id="51" w:name="_Toc15377221"/>
      <w:r>
        <w:rPr>
          <w:rStyle w:val="32"/>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sz w:val="32"/>
          <w:szCs w:val="32"/>
        </w:rPr>
      </w:pPr>
      <w:bookmarkStart w:id="52" w:name="_Toc15377222"/>
      <w:r>
        <w:rPr>
          <w:rFonts w:hint="eastAsia" w:ascii="仿宋" w:hAnsi="仿宋" w:eastAsia="仿宋"/>
          <w:b/>
          <w:sz w:val="32"/>
          <w:szCs w:val="32"/>
        </w:rPr>
        <w:t>（一）机关运行经费支出情况</w:t>
      </w:r>
      <w:bookmarkEnd w:id="52"/>
    </w:p>
    <w:p>
      <w:pPr>
        <w:spacing w:line="600" w:lineRule="exact"/>
        <w:ind w:firstLine="640" w:firstLineChars="200"/>
        <w:rPr>
          <w:rFonts w:hint="eastAsia" w:ascii="仿宋_GB2312" w:eastAsia="仿宋_GB2312"/>
          <w:sz w:val="32"/>
          <w:szCs w:val="32"/>
          <w:lang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w:t>
      </w:r>
      <w:r>
        <w:rPr>
          <w:rFonts w:hint="eastAsia" w:ascii="仿宋_GB2312" w:eastAsia="仿宋_GB2312"/>
          <w:sz w:val="32"/>
          <w:szCs w:val="32"/>
          <w:lang w:val="en-US" w:eastAsia="zh-CN"/>
        </w:rPr>
        <w:t>演圣</w:t>
      </w:r>
      <w:r>
        <w:rPr>
          <w:rFonts w:hint="eastAsia" w:ascii="仿宋_GB2312" w:eastAsia="仿宋_GB2312"/>
          <w:sz w:val="32"/>
          <w:szCs w:val="32"/>
          <w:lang w:eastAsia="zh-CN"/>
        </w:rPr>
        <w:t>镇人民政府</w:t>
      </w:r>
      <w:r>
        <w:rPr>
          <w:rFonts w:hint="eastAsia" w:ascii="仿宋_GB2312" w:eastAsia="仿宋_GB2312"/>
          <w:sz w:val="32"/>
          <w:szCs w:val="32"/>
        </w:rPr>
        <w:t>机关运行经费支出</w:t>
      </w:r>
      <w:r>
        <w:rPr>
          <w:rFonts w:hint="eastAsia" w:ascii="仿宋_GB2312" w:eastAsia="仿宋_GB2312"/>
          <w:sz w:val="32"/>
          <w:szCs w:val="32"/>
          <w:lang w:val="en-US" w:eastAsia="zh-CN"/>
        </w:rPr>
        <w:t>65.73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33.91</w:t>
      </w:r>
      <w:r>
        <w:rPr>
          <w:rFonts w:hint="eastAsia" w:ascii="仿宋_GB2312" w:eastAsia="仿宋_GB2312"/>
          <w:sz w:val="32"/>
          <w:szCs w:val="32"/>
        </w:rPr>
        <w:t>万元，下降</w:t>
      </w:r>
      <w:r>
        <w:rPr>
          <w:rFonts w:hint="eastAsia" w:ascii="仿宋_GB2312" w:eastAsia="仿宋_GB2312"/>
          <w:sz w:val="32"/>
          <w:szCs w:val="32"/>
          <w:lang w:val="en-US" w:eastAsia="zh-CN"/>
        </w:rPr>
        <w:t>34.03</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厉行节约，机关节能运转。</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剑阁县</w:t>
      </w:r>
      <w:r>
        <w:rPr>
          <w:rFonts w:hint="eastAsia" w:ascii="仿宋_GB2312" w:eastAsia="仿宋_GB2312"/>
          <w:sz w:val="32"/>
          <w:szCs w:val="32"/>
          <w:lang w:val="en-US" w:eastAsia="zh-CN"/>
        </w:rPr>
        <w:t>演圣</w:t>
      </w:r>
      <w:r>
        <w:rPr>
          <w:rFonts w:hint="eastAsia" w:ascii="仿宋_GB2312" w:eastAsia="仿宋_GB2312"/>
          <w:sz w:val="32"/>
          <w:szCs w:val="32"/>
          <w:lang w:eastAsia="zh-CN"/>
        </w:rPr>
        <w:t>镇人民政府</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剑阁县</w:t>
      </w:r>
      <w:r>
        <w:rPr>
          <w:rFonts w:hint="eastAsia" w:ascii="仿宋_GB2312" w:eastAsia="仿宋_GB2312"/>
          <w:sz w:val="32"/>
          <w:szCs w:val="32"/>
          <w:lang w:val="en-US" w:eastAsia="zh-CN"/>
        </w:rPr>
        <w:t>演圣</w:t>
      </w:r>
      <w:r>
        <w:rPr>
          <w:rFonts w:hint="eastAsia" w:ascii="仿宋_GB2312" w:eastAsia="仿宋_GB2312"/>
          <w:sz w:val="32"/>
          <w:szCs w:val="32"/>
          <w:lang w:eastAsia="zh-CN"/>
        </w:rPr>
        <w:t>镇人民政府</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老促会工作经费、</w:t>
      </w:r>
      <w:r>
        <w:rPr>
          <w:rFonts w:hint="eastAsia" w:ascii="仿宋_GB2312" w:hAnsi="仿宋_GB2312" w:eastAsia="仿宋_GB2312" w:cs="仿宋_GB2312"/>
          <w:sz w:val="32"/>
          <w:szCs w:val="32"/>
        </w:rPr>
        <w:t>安全经费、人大会议经费、</w:t>
      </w:r>
      <w:r>
        <w:rPr>
          <w:rFonts w:hint="eastAsia" w:ascii="仿宋_GB2312" w:hAnsi="仿宋_GB2312" w:eastAsia="仿宋_GB2312" w:cs="仿宋_GB2312"/>
          <w:sz w:val="32"/>
          <w:szCs w:val="32"/>
          <w:lang w:val="en-US" w:eastAsia="zh-CN"/>
        </w:rPr>
        <w:t>人大办公费、文化配套、</w:t>
      </w:r>
      <w:r>
        <w:rPr>
          <w:rFonts w:hint="eastAsia" w:ascii="仿宋_GB2312" w:hAnsi="仿宋_GB2312" w:eastAsia="仿宋_GB2312" w:cs="仿宋_GB2312"/>
          <w:sz w:val="32"/>
          <w:szCs w:val="32"/>
        </w:rPr>
        <w:t>垃圾清运及处置项目</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lang w:val="en-US" w:eastAsia="zh-CN"/>
        </w:rPr>
        <w:t>6个项目</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ascii="仿宋_GB2312" w:eastAsia="仿宋_GB2312"/>
          <w:b/>
          <w:sz w:val="32"/>
          <w:szCs w:val="32"/>
        </w:rPr>
      </w:pPr>
      <w:r>
        <w:rPr>
          <w:rFonts w:hint="eastAsia" w:ascii="仿宋_GB2312" w:hAnsi="仿宋_GB2312" w:eastAsia="仿宋_GB2312" w:cs="仿宋_GB2312"/>
          <w:sz w:val="32"/>
          <w:szCs w:val="32"/>
          <w:lang w:val="en-US" w:eastAsia="zh-CN"/>
        </w:rPr>
        <w:t>组织对2022年度一般公共预算、政府性基金预算、国有资本经营预算、社会保险基金预算以及资本资产、债券资金等全面开展绩效自评，形成剑阁县演圣镇人民政府部门整体（含部门预算项目）绩效自评报告、</w:t>
      </w:r>
      <w:r>
        <w:rPr>
          <w:rFonts w:hint="eastAsia" w:ascii="仿宋_GB2312" w:hAnsi="仿宋_GB2312" w:eastAsia="仿宋_GB2312" w:cs="仿宋_GB2312"/>
          <w:sz w:val="32"/>
          <w:szCs w:val="32"/>
          <w:lang w:val="zh-CN" w:eastAsia="zh-CN"/>
        </w:rPr>
        <w:t>垃圾</w:t>
      </w:r>
      <w:r>
        <w:rPr>
          <w:rFonts w:hint="eastAsia" w:ascii="仿宋_GB2312" w:hAnsi="仿宋_GB2312" w:eastAsia="仿宋_GB2312" w:cs="仿宋_GB2312"/>
          <w:sz w:val="32"/>
          <w:szCs w:val="32"/>
          <w:lang w:val="en-US" w:eastAsia="zh-CN"/>
        </w:rPr>
        <w:t>清运费</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等专项预算项目绩效自评报告，其中，剑阁县演圣镇人民政部门整体（含部门预算项目）绩效自评得分为95分，绩效自评综述：我镇预算安排的基本支出保障了正常的工作运转，在预算执行上是严格遵守各项财经纪律的；在资金的管理和使用上，严守法律底线、纪律底线、道德底线。</w:t>
      </w:r>
      <w:r>
        <w:rPr>
          <w:rFonts w:hint="eastAsia" w:ascii="仿宋_GB2312" w:hAnsi="仿宋_GB2312" w:eastAsia="仿宋_GB2312" w:cs="仿宋_GB2312"/>
          <w:sz w:val="32"/>
          <w:szCs w:val="32"/>
          <w:lang w:val="zh-CN" w:eastAsia="zh-CN"/>
        </w:rPr>
        <w:t>垃圾</w:t>
      </w:r>
      <w:r>
        <w:rPr>
          <w:rFonts w:hint="eastAsia" w:ascii="仿宋_GB2312" w:hAnsi="仿宋_GB2312" w:eastAsia="仿宋_GB2312" w:cs="仿宋_GB2312"/>
          <w:sz w:val="32"/>
          <w:szCs w:val="32"/>
          <w:lang w:val="en-US" w:eastAsia="zh-CN"/>
        </w:rPr>
        <w:t>清运费</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专项预算项目绩效自评得分为90分，绩效自评综述：通过预算执行全过程绩效监控，保障了垃圾清运工作的有效进行。绩效自评报告详见附件。</w:t>
      </w:r>
      <w:r>
        <w:rPr>
          <w:rFonts w:ascii="仿宋_GB2312" w:eastAsia="仿宋_GB2312"/>
          <w:b/>
          <w:sz w:val="32"/>
          <w:szCs w:val="32"/>
        </w:rPr>
        <w:br w:type="page"/>
      </w:r>
    </w:p>
    <w:p>
      <w:pPr>
        <w:numPr>
          <w:ilvl w:val="0"/>
          <w:numId w:val="3"/>
        </w:numPr>
        <w:spacing w:line="600" w:lineRule="exact"/>
        <w:ind w:firstLine="660" w:firstLineChars="150"/>
        <w:jc w:val="center"/>
        <w:outlineLvl w:val="0"/>
        <w:rPr>
          <w:rStyle w:val="31"/>
          <w:rFonts w:ascii="黑体" w:hAnsi="黑体" w:eastAsia="黑体"/>
          <w:b w:val="0"/>
        </w:rPr>
      </w:pPr>
      <w:bookmarkStart w:id="55" w:name="_Toc15396613"/>
      <w:bookmarkStart w:id="56" w:name="_Toc15377225"/>
      <w:r>
        <w:rPr>
          <w:rFonts w:hint="eastAsia" w:ascii="黑体" w:hAnsi="黑体" w:eastAsia="黑体"/>
          <w:sz w:val="44"/>
          <w:szCs w:val="44"/>
        </w:rPr>
        <w:t>名</w:t>
      </w:r>
      <w:r>
        <w:rPr>
          <w:rStyle w:val="31"/>
          <w:rFonts w:hint="eastAsia" w:ascii="黑体" w:hAnsi="黑体" w:eastAsia="黑体"/>
          <w:b w:val="0"/>
        </w:rPr>
        <w:t>词解释</w:t>
      </w:r>
      <w:bookmarkEnd w:id="55"/>
      <w:bookmarkEnd w:id="56"/>
    </w:p>
    <w:p>
      <w:pPr>
        <w:spacing w:line="600" w:lineRule="exact"/>
        <w:jc w:val="left"/>
        <w:rPr>
          <w:rFonts w:ascii="宋体"/>
          <w:b/>
          <w:sz w:val="44"/>
          <w:szCs w:val="44"/>
        </w:rPr>
      </w:pPr>
    </w:p>
    <w:p>
      <w:pPr>
        <w:pStyle w:val="9"/>
        <w:numPr>
          <w:ilvl w:val="0"/>
          <w:numId w:val="0"/>
        </w:numPr>
        <w:ind w:firstLine="640" w:firstLineChars="200"/>
        <w:rPr>
          <w:rFonts w:hint="default" w:ascii="仿宋_GB2312" w:hAnsi="仿宋_GB2312" w:cs="仿宋_GB2312"/>
          <w:b w:val="0"/>
          <w:bCs/>
          <w:sz w:val="32"/>
          <w:szCs w:val="32"/>
          <w:lang w:val="en-US" w:eastAsia="zh-CN"/>
        </w:rPr>
      </w:pPr>
      <w:bookmarkStart w:id="57" w:name="_Toc15396614"/>
      <w:bookmarkStart w:id="58" w:name="_Toc15377226"/>
      <w:r>
        <w:rPr>
          <w:rFonts w:hint="default" w:ascii="仿宋_GB2312" w:hAnsi="仿宋_GB2312" w:cs="仿宋_GB2312"/>
          <w:b w:val="0"/>
          <w:bCs/>
          <w:sz w:val="32"/>
          <w:szCs w:val="32"/>
          <w:lang w:val="en-US" w:eastAsia="zh-CN"/>
        </w:rPr>
        <w:t>（一）一般公共预算拨款收入：指县级财政当年拨付的资金。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代表工作</w:t>
      </w:r>
      <w:r>
        <w:rPr>
          <w:rFonts w:hint="default" w:ascii="仿宋_GB2312" w:hAnsi="仿宋_GB2312" w:cs="仿宋_GB2312"/>
          <w:b w:val="0"/>
          <w:bCs/>
          <w:sz w:val="32"/>
          <w:szCs w:val="32"/>
          <w:lang w:val="en-US" w:eastAsia="zh-CN"/>
        </w:rPr>
        <w:t>（项）：指</w:t>
      </w:r>
      <w:r>
        <w:rPr>
          <w:rFonts w:hint="eastAsia" w:ascii="仿宋_GB2312" w:hAnsi="仿宋_GB2312" w:cs="仿宋_GB2312"/>
          <w:b w:val="0"/>
          <w:bCs/>
          <w:sz w:val="32"/>
          <w:szCs w:val="32"/>
          <w:lang w:val="en-US" w:eastAsia="zh-CN"/>
        </w:rPr>
        <w:t>反映人大代表开展各类视察等方面的支出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）人大事务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其他人大事务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指除上述项目以外的其他人大事务支出。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行政运行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指反映行政单位（包括实行公务员管理的事业单位）的基本支出。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）政府办公厅（室）及相关机构事务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信访事务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指反映各级政府用于接待群众来信来访方面的支出。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七</w:t>
      </w:r>
      <w:r>
        <w:rPr>
          <w:rFonts w:hint="default" w:ascii="仿宋_GB2312" w:hAnsi="仿宋_GB2312" w:cs="仿宋_GB2312"/>
          <w:b w:val="0"/>
          <w:bCs/>
          <w:sz w:val="32"/>
          <w:szCs w:val="32"/>
          <w:lang w:val="en-US" w:eastAsia="zh-CN"/>
        </w:rPr>
        <w:t>）一般公共服务支出（类</w:t>
      </w:r>
      <w:r>
        <w:rPr>
          <w:rFonts w:hint="eastAsia" w:ascii="仿宋_GB2312" w:hAnsi="仿宋_GB2312" w:cs="仿宋_GB2312"/>
          <w:b w:val="0"/>
          <w:bCs/>
          <w:sz w:val="32"/>
          <w:szCs w:val="32"/>
          <w:lang w:val="en-US" w:eastAsia="zh-CN"/>
        </w:rPr>
        <w:t>）统计信息事务</w:t>
      </w:r>
      <w:r>
        <w:rPr>
          <w:rFonts w:hint="default" w:ascii="仿宋_GB2312" w:hAnsi="仿宋_GB2312" w:cs="仿宋_GB2312"/>
          <w:b w:val="0"/>
          <w:bCs/>
          <w:sz w:val="32"/>
          <w:szCs w:val="32"/>
          <w:lang w:val="en-US" w:eastAsia="zh-CN"/>
        </w:rPr>
        <w:t>（款）其他统计信息事务支出（项）：</w:t>
      </w:r>
      <w:r>
        <w:rPr>
          <w:rFonts w:hint="eastAsia" w:ascii="仿宋_GB2312" w:hAnsi="仿宋_GB2312" w:cs="仿宋_GB2312"/>
          <w:b w:val="0"/>
          <w:bCs/>
          <w:sz w:val="32"/>
          <w:szCs w:val="32"/>
          <w:lang w:val="en-US" w:eastAsia="zh-CN"/>
        </w:rPr>
        <w:t>反映除上述项目以外的其他统计信息事务支出。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八</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九</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）纪检监察事务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其他纪检监察事务支出</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指反映除上述项目以外其他纪检监察事务方面的支出。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）群众团体事务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其他群众团体事务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指反映除上述项目以外其他用于群众团体事务方面的支出。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）党委办公厅（室）及相关机构事务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一般行政管理事务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指反映行政单位（包括实行公务员管理的事业单位）未单独设置项级科目的其他项目支出。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一般公共服务</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）宣传事务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其他宣传事务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指反映除上述项目以外其他用于中国共产党宣传部门的事务支出。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十三</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国防</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）国防动员</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兵役征集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指反映用于兵役征集等方面的支出。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群众文化</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指反映群众文化方面的支出，包括基层文化馆（站）、群众艺术馆支出等。</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文化旅游体育与传媒</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）文化和旅游</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文化和旅游管理事务</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指反映文化和旅游管理事务支出。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十六</w:t>
      </w:r>
      <w:r>
        <w:rPr>
          <w:rFonts w:hint="default" w:ascii="仿宋_GB2312" w:hAnsi="仿宋_GB2312" w:cs="仿宋_GB2312"/>
          <w:b w:val="0"/>
          <w:bCs/>
          <w:sz w:val="32"/>
          <w:szCs w:val="32"/>
          <w:lang w:val="en-US" w:eastAsia="zh-CN"/>
        </w:rPr>
        <w:t>）社会保障和就业（类</w:t>
      </w:r>
      <w:r>
        <w:rPr>
          <w:rFonts w:hint="eastAsia" w:ascii="仿宋_GB2312" w:hAnsi="仿宋_GB2312" w:cs="仿宋_GB2312"/>
          <w:b w:val="0"/>
          <w:bCs/>
          <w:sz w:val="32"/>
          <w:szCs w:val="32"/>
          <w:lang w:val="en-US" w:eastAsia="zh-CN"/>
        </w:rPr>
        <w:t>）民政管理事务</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基层政权建设和社区治理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指反映开展城乡社区治理、城乡社区服务（乡村便民服务）、村（居）民自治、村（居）务公开、乡镇（街道）服务能力建设等基层政权建设和社区治理工作的支出。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十七</w:t>
      </w:r>
      <w:r>
        <w:rPr>
          <w:rFonts w:hint="default" w:ascii="仿宋_GB2312" w:hAnsi="仿宋_GB2312" w:cs="仿宋_GB2312"/>
          <w:b w:val="0"/>
          <w:bCs/>
          <w:sz w:val="32"/>
          <w:szCs w:val="32"/>
          <w:lang w:val="en-US" w:eastAsia="zh-CN"/>
        </w:rPr>
        <w:t>）社会保障和就业（类）行政事业单位离退休（款）机关事业单位基本养老保险缴费支出（项）：指部门实施养老保险制度由单位缴纳的养老保险费的支出。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十八</w:t>
      </w:r>
      <w:r>
        <w:rPr>
          <w:rFonts w:hint="default" w:ascii="仿宋_GB2312" w:hAnsi="仿宋_GB2312" w:cs="仿宋_GB2312"/>
          <w:b w:val="0"/>
          <w:bCs/>
          <w:sz w:val="32"/>
          <w:szCs w:val="32"/>
          <w:lang w:val="en-US" w:eastAsia="zh-CN"/>
        </w:rPr>
        <w:t>）卫生健康</w:t>
      </w:r>
      <w:r>
        <w:rPr>
          <w:rFonts w:hint="eastAsia" w:ascii="仿宋_GB2312" w:hAnsi="仿宋_GB2312" w:cs="仿宋_GB2312"/>
          <w:b w:val="0"/>
          <w:bCs/>
          <w:sz w:val="32"/>
          <w:szCs w:val="32"/>
          <w:lang w:val="en-US" w:eastAsia="zh-CN"/>
        </w:rPr>
        <w:t>支出</w:t>
      </w:r>
      <w:r>
        <w:rPr>
          <w:rFonts w:hint="default" w:ascii="仿宋_GB2312" w:hAnsi="仿宋_GB2312" w:cs="仿宋_GB2312"/>
          <w:b w:val="0"/>
          <w:bCs/>
          <w:sz w:val="32"/>
          <w:szCs w:val="32"/>
          <w:lang w:val="en-US" w:eastAsia="zh-CN"/>
        </w:rPr>
        <w:t>（类）行政事业单位医疗（款）行政单位医疗（项）：指局机关及参公管理事业单位用于缴纳单位基本医疗保险支出。</w:t>
      </w:r>
    </w:p>
    <w:p>
      <w:pPr>
        <w:pStyle w:val="9"/>
        <w:numPr>
          <w:ilvl w:val="0"/>
          <w:numId w:val="0"/>
        </w:numPr>
        <w:ind w:firstLine="640" w:firstLineChars="200"/>
        <w:rPr>
          <w:rFonts w:hint="default" w:ascii="仿宋_GB2312" w:hAnsi="仿宋_GB2312" w:cs="仿宋_GB2312"/>
          <w:b w:val="0"/>
          <w:bCs/>
          <w:color w:val="auto"/>
          <w:sz w:val="32"/>
          <w:szCs w:val="32"/>
          <w:lang w:val="en-US" w:eastAsia="zh-CN"/>
        </w:rPr>
      </w:pP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十九</w:t>
      </w:r>
      <w:r>
        <w:rPr>
          <w:rFonts w:hint="default" w:ascii="仿宋_GB2312" w:hAnsi="仿宋_GB2312" w:cs="仿宋_GB2312"/>
          <w:b w:val="0"/>
          <w:bCs/>
          <w:color w:val="auto"/>
          <w:sz w:val="32"/>
          <w:szCs w:val="32"/>
          <w:lang w:val="en-US" w:eastAsia="zh-CN"/>
        </w:rPr>
        <w:t>）</w:t>
      </w:r>
      <w:r>
        <w:rPr>
          <w:rFonts w:hint="eastAsia" w:ascii="仿宋_GB2312" w:hAnsi="仿宋_GB2312" w:cs="仿宋_GB2312"/>
          <w:b w:val="0"/>
          <w:bCs/>
          <w:color w:val="auto"/>
          <w:sz w:val="32"/>
          <w:szCs w:val="32"/>
          <w:lang w:val="en-US" w:eastAsia="zh-CN"/>
        </w:rPr>
        <w:t>卫生健康支出</w:t>
      </w:r>
      <w:r>
        <w:rPr>
          <w:rFonts w:hint="default" w:ascii="仿宋_GB2312" w:hAnsi="仿宋_GB2312" w:cs="仿宋_GB2312"/>
          <w:b w:val="0"/>
          <w:bCs/>
          <w:color w:val="auto"/>
          <w:sz w:val="32"/>
          <w:szCs w:val="32"/>
          <w:lang w:val="en-US" w:eastAsia="zh-CN"/>
        </w:rPr>
        <w:t>（类）</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（款）</w:t>
      </w:r>
      <w:r>
        <w:rPr>
          <w:rFonts w:hint="eastAsia" w:ascii="仿宋_GB2312" w:hAnsi="仿宋_GB2312" w:cs="仿宋_GB2312"/>
          <w:b w:val="0"/>
          <w:bCs/>
          <w:color w:val="auto"/>
          <w:sz w:val="32"/>
          <w:szCs w:val="32"/>
          <w:lang w:val="en-US" w:eastAsia="zh-CN"/>
        </w:rPr>
        <w:t>其他卫生健康支出</w:t>
      </w:r>
      <w:r>
        <w:rPr>
          <w:rFonts w:hint="default" w:ascii="仿宋_GB2312" w:hAnsi="仿宋_GB2312" w:cs="仿宋_GB2312"/>
          <w:b w:val="0"/>
          <w:bCs/>
          <w:color w:val="auto"/>
          <w:sz w:val="32"/>
          <w:szCs w:val="32"/>
          <w:lang w:val="en-US" w:eastAsia="zh-CN"/>
        </w:rPr>
        <w:t>（项）：</w:t>
      </w:r>
      <w:r>
        <w:rPr>
          <w:rFonts w:hint="eastAsia" w:ascii="仿宋_GB2312" w:hAnsi="仿宋_GB2312" w:cs="仿宋_GB2312"/>
          <w:b w:val="0"/>
          <w:bCs/>
          <w:color w:val="auto"/>
          <w:sz w:val="32"/>
          <w:szCs w:val="32"/>
          <w:lang w:val="en-US" w:eastAsia="zh-CN"/>
        </w:rPr>
        <w:t>反映除上述项目以外其他用于卫生健康方面的支出。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城乡社区</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城乡社区规划和管理</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城乡社区环境卫生</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反映城乡社区道路清扫、垃圾清运与处理、公厕建设与维护、园林绿化等方面的支出。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二十一</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事业运行</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反映用于农业事业单位基本支出，事业单位设施、系统运行与资产维护等方面的支出。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二十二</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防灾减灾（项）：反映对农业生产因遭受自然、生物灾害损失给予的补助，促进农业防灾增产措施补助，海难救助补助，因其他灾害导致农牧渔业生产者损失给予的补贴。</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（二十三）农林水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农业农村</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农村道路建设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反映用于农村公路、乡村道路建设方面的支出。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（二十四</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林业和草原</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林业草原防灾减灾</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反映用于病虫害等有害生物灾害、森林草原防火、野生动物疫病灾害等方面的支出。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（二十五</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水利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防汛</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反映防汛业务支出。</w:t>
      </w:r>
    </w:p>
    <w:p>
      <w:pPr>
        <w:pStyle w:val="9"/>
        <w:numPr>
          <w:ilvl w:val="0"/>
          <w:numId w:val="0"/>
        </w:numPr>
        <w:ind w:firstLine="640" w:firstLineChars="200"/>
        <w:jc w:val="both"/>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w:t>
      </w:r>
      <w:r>
        <w:rPr>
          <w:rFonts w:hint="default" w:ascii="仿宋_GB2312" w:hAnsi="仿宋_GB2312" w:cs="仿宋_GB2312"/>
          <w:b w:val="0"/>
          <w:bCs/>
          <w:sz w:val="32"/>
          <w:szCs w:val="32"/>
          <w:lang w:val="en-US" w:eastAsia="zh-CN"/>
        </w:rPr>
        <w:t>十</w:t>
      </w:r>
      <w:r>
        <w:rPr>
          <w:rFonts w:hint="eastAsia" w:ascii="仿宋_GB2312" w:hAnsi="仿宋_GB2312" w:cs="仿宋_GB2312"/>
          <w:b w:val="0"/>
          <w:bCs/>
          <w:sz w:val="32"/>
          <w:szCs w:val="32"/>
          <w:lang w:val="en-US" w:eastAsia="zh-CN"/>
        </w:rPr>
        <w:t>六</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eastAsia="宋体" w:cs="仿宋_GB2312"/>
          <w:b w:val="0"/>
          <w:bCs/>
          <w:sz w:val="32"/>
          <w:szCs w:val="32"/>
          <w:lang w:val="en-US" w:eastAsia="zh-CN"/>
        </w:rPr>
        <w:t>（类）</w:t>
      </w:r>
      <w:r>
        <w:rPr>
          <w:rFonts w:hint="eastAsia" w:ascii="仿宋_GB2312" w:hAnsi="仿宋_GB2312" w:eastAsia="宋体" w:cs="仿宋_GB2312"/>
          <w:b w:val="0"/>
          <w:bCs/>
          <w:sz w:val="32"/>
          <w:szCs w:val="32"/>
          <w:lang w:val="en-US" w:eastAsia="zh-CN"/>
        </w:rPr>
        <w:t>巩固拓展脱贫攻坚成果同乡村振兴有效衔接</w:t>
      </w:r>
      <w:r>
        <w:rPr>
          <w:rFonts w:hint="default" w:ascii="仿宋_GB2312" w:hAnsi="仿宋_GB2312" w:eastAsia="宋体" w:cs="仿宋_GB2312"/>
          <w:b w:val="0"/>
          <w:bCs/>
          <w:sz w:val="32"/>
          <w:szCs w:val="32"/>
          <w:lang w:val="en-US" w:eastAsia="zh-CN"/>
        </w:rPr>
        <w:t>（款）</w:t>
      </w:r>
      <w:r>
        <w:rPr>
          <w:rFonts w:hint="eastAsia" w:ascii="仿宋_GB2312" w:hAnsi="仿宋_GB2312" w:eastAsia="宋体" w:cs="仿宋_GB2312"/>
          <w:b w:val="0"/>
          <w:bCs/>
          <w:sz w:val="32"/>
          <w:szCs w:val="32"/>
          <w:lang w:val="en-US" w:eastAsia="zh-CN"/>
        </w:rPr>
        <w:t>其他巩固拓展脱贫攻坚成果同乡村振兴有效衔接支出</w:t>
      </w:r>
      <w:r>
        <w:rPr>
          <w:rFonts w:hint="default" w:ascii="仿宋_GB2312" w:hAnsi="仿宋_GB2312" w:eastAsia="宋体" w:cs="仿宋_GB2312"/>
          <w:b w:val="0"/>
          <w:bCs/>
          <w:sz w:val="32"/>
          <w:szCs w:val="32"/>
          <w:lang w:val="en-US" w:eastAsia="zh-CN"/>
        </w:rPr>
        <w:t>（项）：</w:t>
      </w:r>
      <w:r>
        <w:rPr>
          <w:rFonts w:hint="eastAsia" w:ascii="仿宋_GB2312" w:hAnsi="仿宋_GB2312" w:eastAsia="宋体" w:cs="仿宋_GB2312"/>
          <w:b w:val="0"/>
          <w:bCs/>
          <w:sz w:val="32"/>
          <w:szCs w:val="32"/>
          <w:lang w:val="en-US" w:eastAsia="zh-CN"/>
        </w:rPr>
        <w:t>反</w:t>
      </w:r>
      <w:r>
        <w:rPr>
          <w:rFonts w:hint="eastAsia" w:ascii="仿宋_GB2312" w:hAnsi="仿宋_GB2312" w:cs="仿宋_GB2312"/>
          <w:b w:val="0"/>
          <w:bCs/>
          <w:sz w:val="32"/>
          <w:szCs w:val="32"/>
          <w:lang w:val="en-US" w:eastAsia="zh-CN"/>
        </w:rPr>
        <w:t>映除上述项目以外其他用于巩固拓展脱贫攻坚成果同乡村振兴有效衔接方面的支出。</w:t>
      </w:r>
    </w:p>
    <w:p>
      <w:pPr>
        <w:pStyle w:val="9"/>
        <w:numPr>
          <w:ilvl w:val="0"/>
          <w:numId w:val="0"/>
        </w:numPr>
        <w:ind w:firstLine="640" w:firstLineChars="200"/>
        <w:rPr>
          <w:rFonts w:hint="eastAsia"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（二十七</w:t>
      </w: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农林水</w:t>
      </w:r>
      <w:r>
        <w:rPr>
          <w:rFonts w:hint="default" w:ascii="仿宋_GB2312" w:hAnsi="仿宋_GB2312" w:cs="仿宋_GB2312"/>
          <w:b w:val="0"/>
          <w:bCs/>
          <w:sz w:val="32"/>
          <w:szCs w:val="32"/>
          <w:lang w:val="en-US" w:eastAsia="zh-CN"/>
        </w:rPr>
        <w:t>（类）</w:t>
      </w:r>
      <w:r>
        <w:rPr>
          <w:rFonts w:hint="eastAsia" w:ascii="仿宋_GB2312" w:hAnsi="仿宋_GB2312" w:cs="仿宋_GB2312"/>
          <w:b w:val="0"/>
          <w:bCs/>
          <w:sz w:val="32"/>
          <w:szCs w:val="32"/>
          <w:lang w:val="en-US" w:eastAsia="zh-CN"/>
        </w:rPr>
        <w:t>农村综合改革</w:t>
      </w:r>
      <w:r>
        <w:rPr>
          <w:rFonts w:hint="default" w:ascii="仿宋_GB2312" w:hAnsi="仿宋_GB2312" w:cs="仿宋_GB2312"/>
          <w:b w:val="0"/>
          <w:bCs/>
          <w:sz w:val="32"/>
          <w:szCs w:val="32"/>
          <w:lang w:val="en-US" w:eastAsia="zh-CN"/>
        </w:rPr>
        <w:t>（款）</w:t>
      </w:r>
      <w:r>
        <w:rPr>
          <w:rFonts w:hint="eastAsia" w:ascii="仿宋_GB2312" w:hAnsi="仿宋_GB2312" w:cs="仿宋_GB2312"/>
          <w:b w:val="0"/>
          <w:bCs/>
          <w:sz w:val="32"/>
          <w:szCs w:val="32"/>
          <w:lang w:val="en-US" w:eastAsia="zh-CN"/>
        </w:rPr>
        <w:t>对村民委员会和村党支部的补助</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反映各级财政对村民委员会和村党支部的补助支出，以及支持建立县级基本财力保障机制安排的村级组织运转奖补资金。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（二十八</w:t>
      </w:r>
      <w:r>
        <w:rPr>
          <w:rFonts w:hint="default" w:ascii="仿宋_GB2312" w:hAnsi="仿宋_GB2312" w:cs="仿宋_GB2312"/>
          <w:b w:val="0"/>
          <w:bCs/>
          <w:sz w:val="32"/>
          <w:szCs w:val="32"/>
          <w:lang w:val="en-US" w:eastAsia="zh-CN"/>
        </w:rPr>
        <w:t>）住房保障（类）住房改革支出（款）住房公积金（项）：指按照《住房公积金管理条例》的规定，由单位及其在职职工缴存的长期住房储金。</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eastAsia" w:ascii="仿宋_GB2312" w:hAnsi="仿宋_GB2312" w:cs="仿宋_GB2312"/>
          <w:b w:val="0"/>
          <w:bCs/>
          <w:sz w:val="32"/>
          <w:szCs w:val="32"/>
          <w:lang w:val="en-US" w:eastAsia="zh-CN"/>
        </w:rPr>
        <w:t>（二十九</w:t>
      </w:r>
      <w:r>
        <w:rPr>
          <w:rFonts w:hint="default" w:ascii="仿宋_GB2312" w:hAnsi="仿宋_GB2312" w:cs="仿宋_GB2312"/>
          <w:b w:val="0"/>
          <w:bCs/>
          <w:sz w:val="32"/>
          <w:szCs w:val="32"/>
          <w:lang w:val="en-US" w:eastAsia="zh-CN"/>
        </w:rPr>
        <w:t>）灾害防治及应急管理支出（类）应急管理事务（款）</w:t>
      </w:r>
      <w:r>
        <w:rPr>
          <w:rFonts w:hint="eastAsia" w:ascii="仿宋_GB2312" w:hAnsi="仿宋_GB2312" w:cs="仿宋_GB2312"/>
          <w:b w:val="0"/>
          <w:bCs/>
          <w:sz w:val="32"/>
          <w:szCs w:val="32"/>
          <w:lang w:val="en-US" w:eastAsia="zh-CN"/>
        </w:rPr>
        <w:t>应急管理</w:t>
      </w:r>
      <w:r>
        <w:rPr>
          <w:rFonts w:hint="default" w:ascii="仿宋_GB2312" w:hAnsi="仿宋_GB2312" w:cs="仿宋_GB2312"/>
          <w:b w:val="0"/>
          <w:bCs/>
          <w:sz w:val="32"/>
          <w:szCs w:val="32"/>
          <w:lang w:val="en-US" w:eastAsia="zh-CN"/>
        </w:rPr>
        <w:t>（项）：</w:t>
      </w:r>
      <w:r>
        <w:rPr>
          <w:rFonts w:hint="eastAsia" w:ascii="仿宋_GB2312" w:hAnsi="仿宋_GB2312" w:cs="仿宋_GB2312"/>
          <w:b w:val="0"/>
          <w:bCs/>
          <w:sz w:val="32"/>
          <w:szCs w:val="32"/>
          <w:lang w:val="en-US" w:eastAsia="zh-CN"/>
        </w:rPr>
        <w:t>反映用于应急管理的法律法规修订制定，应急预案演练、协调保障等方面的支出</w:t>
      </w:r>
      <w:r>
        <w:rPr>
          <w:rFonts w:hint="default" w:ascii="仿宋_GB2312" w:hAnsi="仿宋_GB2312" w:cs="仿宋_GB2312"/>
          <w:b w:val="0"/>
          <w:bCs/>
          <w:sz w:val="32"/>
          <w:szCs w:val="32"/>
          <w:lang w:val="en-US" w:eastAsia="zh-CN"/>
        </w:rPr>
        <w:t>。</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w:t>
      </w:r>
      <w:r>
        <w:rPr>
          <w:rFonts w:hint="default" w:ascii="仿宋_GB2312" w:hAnsi="仿宋_GB2312" w:cs="仿宋_GB2312"/>
          <w:b w:val="0"/>
          <w:bCs/>
          <w:sz w:val="32"/>
          <w:szCs w:val="32"/>
          <w:lang w:val="en-US" w:eastAsia="zh-CN"/>
        </w:rPr>
        <w:t>）基本支出：指为保证机构正常运转，完成日常工作任务而发生的人员支出和公用支出。</w:t>
      </w:r>
    </w:p>
    <w:p>
      <w:pPr>
        <w:pStyle w:val="9"/>
        <w:numPr>
          <w:ilvl w:val="0"/>
          <w:numId w:val="0"/>
        </w:numPr>
        <w:ind w:firstLine="640" w:firstLineChars="200"/>
        <w:rPr>
          <w:rFonts w:hint="default" w:ascii="仿宋_GB2312" w:hAnsi="仿宋_GB2312" w:cs="仿宋_GB2312"/>
          <w:b w:val="0"/>
          <w:bCs/>
          <w:sz w:val="32"/>
          <w:szCs w:val="32"/>
          <w:lang w:val="en-US" w:eastAsia="zh-CN"/>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三十一</w:t>
      </w:r>
      <w:r>
        <w:rPr>
          <w:rFonts w:hint="default" w:ascii="仿宋_GB2312" w:hAnsi="仿宋_GB2312" w:cs="仿宋_GB2312"/>
          <w:b w:val="0"/>
          <w:bCs/>
          <w:sz w:val="32"/>
          <w:szCs w:val="32"/>
          <w:lang w:val="en-US" w:eastAsia="zh-CN"/>
        </w:rPr>
        <w:t>）项目支出：指在基本支出之外为完成特定行政任务和事业发展目标所发生的支出。</w:t>
      </w:r>
    </w:p>
    <w:p>
      <w:pPr>
        <w:pStyle w:val="9"/>
        <w:numPr>
          <w:ilvl w:val="0"/>
          <w:numId w:val="0"/>
        </w:numPr>
        <w:ind w:firstLine="640" w:firstLineChars="200"/>
        <w:rPr>
          <w:rFonts w:hint="eastAsia" w:ascii="黑体" w:hAnsi="黑体" w:eastAsia="黑体"/>
          <w:sz w:val="44"/>
          <w:szCs w:val="44"/>
        </w:rPr>
      </w:pPr>
      <w:r>
        <w:rPr>
          <w:rFonts w:hint="default" w:ascii="仿宋_GB2312" w:hAnsi="仿宋_GB2312" w:cs="仿宋_GB2312"/>
          <w:b w:val="0"/>
          <w:bCs/>
          <w:sz w:val="32"/>
          <w:szCs w:val="32"/>
          <w:lang w:val="en-US" w:eastAsia="zh-CN"/>
        </w:rPr>
        <w:t>（</w:t>
      </w:r>
      <w:r>
        <w:rPr>
          <w:rFonts w:hint="eastAsia" w:ascii="仿宋_GB2312" w:hAnsi="仿宋_GB2312" w:cs="仿宋_GB2312"/>
          <w:b w:val="0"/>
          <w:bCs/>
          <w:sz w:val="32"/>
          <w:szCs w:val="32"/>
          <w:lang w:val="en-US" w:eastAsia="zh-CN"/>
        </w:rPr>
        <w:t>三十二</w:t>
      </w:r>
      <w:r>
        <w:rPr>
          <w:rFonts w:hint="default" w:ascii="仿宋_GB2312" w:hAnsi="仿宋_GB2312" w:cs="仿宋_GB2312"/>
          <w:b w:val="0"/>
          <w:bCs/>
          <w:sz w:val="32"/>
          <w:szCs w:val="32"/>
          <w:lang w:val="en-US" w:eastAsia="zh-CN"/>
        </w:rPr>
        <w:t>）“三公”经费：纳入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both"/>
        <w:outlineLvl w:val="0"/>
        <w:rPr>
          <w:rFonts w:hint="eastAsia" w:ascii="黑体" w:hAnsi="黑体" w:eastAsia="黑体"/>
          <w:sz w:val="44"/>
          <w:szCs w:val="44"/>
        </w:rPr>
      </w:pPr>
    </w:p>
    <w:p>
      <w:pPr>
        <w:spacing w:line="600" w:lineRule="exact"/>
        <w:jc w:val="center"/>
        <w:outlineLvl w:val="0"/>
        <w:rPr>
          <w:rStyle w:val="31"/>
          <w:rFonts w:ascii="黑体" w:hAnsi="黑体" w:eastAsia="黑体"/>
          <w:b w:val="0"/>
        </w:rPr>
      </w:pPr>
      <w:r>
        <w:rPr>
          <w:rFonts w:hint="eastAsia" w:ascii="黑体" w:hAnsi="黑体" w:eastAsia="黑体"/>
          <w:sz w:val="44"/>
          <w:szCs w:val="44"/>
        </w:rPr>
        <w:t>第</w:t>
      </w:r>
      <w:r>
        <w:rPr>
          <w:rStyle w:val="31"/>
          <w:rFonts w:hint="eastAsia" w:ascii="黑体" w:hAnsi="黑体" w:eastAsia="黑体"/>
          <w:b w:val="0"/>
        </w:rPr>
        <w:t>四部分 附件</w:t>
      </w:r>
      <w:bookmarkEnd w:id="57"/>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w:t>
      </w:r>
      <w:r>
        <w:rPr>
          <w:rFonts w:hint="eastAsia" w:ascii="宋体" w:hAnsi="宋体"/>
          <w:b/>
          <w:sz w:val="44"/>
          <w:szCs w:val="44"/>
          <w:highlight w:val="none"/>
          <w:shd w:val="clear" w:color="auto" w:fill="FFFFFF"/>
          <w:lang w:val="en-US" w:eastAsia="zh-CN"/>
        </w:rPr>
        <w:t>演圣</w:t>
      </w:r>
      <w:r>
        <w:rPr>
          <w:rFonts w:hint="eastAsia" w:ascii="宋体" w:hAnsi="宋体" w:eastAsia="宋体"/>
          <w:b/>
          <w:sz w:val="44"/>
          <w:szCs w:val="44"/>
          <w:highlight w:val="none"/>
          <w:shd w:val="clear" w:color="auto" w:fill="FFFFFF"/>
          <w:lang w:eastAsia="zh-CN"/>
        </w:rPr>
        <w:t>镇人民政府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ascii="黑体" w:hAnsi="宋体" w:eastAsia="黑体" w:cs="宋体"/>
          <w:color w:val="000000"/>
          <w:kern w:val="0"/>
          <w:sz w:val="24"/>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lang w:val="zh-CN"/>
        </w:rPr>
      </w:pPr>
      <w:r>
        <w:rPr>
          <w:rFonts w:hint="eastAsia" w:ascii="黑体" w:hAnsi="黑体" w:eastAsia="黑体" w:cs="黑体"/>
          <w:b/>
          <w:bCs/>
          <w:color w:val="000000"/>
          <w:kern w:val="0"/>
          <w:sz w:val="32"/>
          <w:szCs w:val="32"/>
          <w:shd w:val="clear" w:color="auto" w:fill="FFFFFF"/>
        </w:rPr>
        <w:t>一、</w:t>
      </w:r>
      <w:r>
        <w:rPr>
          <w:rFonts w:hint="eastAsia" w:ascii="黑体" w:hAnsi="黑体" w:eastAsia="黑体" w:cs="黑体"/>
          <w:b/>
          <w:bCs/>
          <w:color w:val="000000"/>
          <w:kern w:val="0"/>
          <w:sz w:val="32"/>
          <w:szCs w:val="32"/>
          <w:shd w:val="clear" w:color="auto" w:fill="FFFFFF"/>
          <w:lang w:val="zh-CN"/>
        </w:rPr>
        <w:t>部门（单位）概况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lang w:val="zh-CN"/>
        </w:rPr>
      </w:pPr>
      <w:r>
        <w:rPr>
          <w:rFonts w:hint="eastAsia" w:ascii="仿宋" w:hAnsi="仿宋" w:eastAsia="仿宋" w:cs="仿宋"/>
          <w:color w:val="000000"/>
          <w:kern w:val="0"/>
          <w:sz w:val="32"/>
          <w:szCs w:val="32"/>
          <w:shd w:val="clear" w:color="auto" w:fill="FFFFFF"/>
          <w:lang w:val="en-US" w:eastAsia="zh-CN" w:bidi="ar-SA"/>
        </w:rPr>
        <w:t>演圣镇内设机构（五办四中心）：党政综合与乡村振兴办公室、党建工作办公室、综合行政执法办公室、社会事务办公室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2、制定并组织实施乡村建设规划，部署重点工程建设，地方道路建设及公共设施，水利设施的管理，负责土地、林木、水等自然资源和生态环境的保护，做好护林防火工作。</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en-US" w:eastAsia="zh-CN" w:bidi="ar-SA"/>
        </w:rPr>
      </w:pPr>
      <w:r>
        <w:rPr>
          <w:rFonts w:hint="eastAsia" w:ascii="仿宋" w:hAnsi="仿宋" w:eastAsia="仿宋" w:cs="仿宋"/>
          <w:color w:val="000000"/>
          <w:kern w:val="0"/>
          <w:sz w:val="32"/>
          <w:szCs w:val="32"/>
          <w:shd w:val="clear" w:color="auto" w:fill="FFFFFF"/>
          <w:lang w:val="en-US" w:eastAsia="zh-CN" w:bidi="ar-SA"/>
        </w:rPr>
        <w:t>3、负责本行政区域内的民政、计划生育、文化教育、卫生、体育等社会公益事业的综合性工作，维护一切经济单位和个人的正当经济权益，取缔非法经济活动，调解和处理民事纠纷，打击刑事犯罪维护社会稳定。   </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bidi="ar-SA"/>
        </w:rPr>
        <w:cr/>
      </w:r>
      <w:r>
        <w:rPr>
          <w:rFonts w:hint="eastAsia" w:ascii="仿宋" w:hAnsi="仿宋" w:eastAsia="仿宋" w:cs="仿宋"/>
          <w:color w:val="000000"/>
          <w:kern w:val="0"/>
          <w:sz w:val="32"/>
          <w:szCs w:val="32"/>
          <w:shd w:val="clear" w:color="auto" w:fill="FFFFFF"/>
          <w:lang w:val="en-US" w:eastAsia="zh-CN" w:bidi="ar-SA"/>
        </w:rPr>
        <w:t xml:space="preserve">    5、完成上级政府交办的其他事项。</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rPr>
          <w:rFonts w:hint="eastAsia" w:ascii="仿宋" w:hAnsi="仿宋" w:eastAsia="仿宋" w:cs="仿宋"/>
          <w:color w:val="000000"/>
          <w:kern w:val="0"/>
          <w:sz w:val="32"/>
          <w:szCs w:val="32"/>
          <w:shd w:val="clear" w:color="auto" w:fill="FFFFFF"/>
          <w:lang w:val="zh-CN"/>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w:t>
      </w:r>
      <w:r>
        <w:rPr>
          <w:rFonts w:hint="eastAsia" w:ascii="仿宋" w:hAnsi="仿宋" w:eastAsia="仿宋" w:cs="仿宋"/>
          <w:color w:val="000000"/>
          <w:kern w:val="0"/>
          <w:sz w:val="32"/>
          <w:szCs w:val="32"/>
          <w:shd w:val="clear" w:color="auto" w:fill="FFFFFF"/>
          <w:lang w:val="en-US" w:eastAsia="zh-CN"/>
        </w:rPr>
        <w:t>三</w:t>
      </w:r>
      <w:r>
        <w:rPr>
          <w:rFonts w:hint="eastAsia" w:ascii="仿宋" w:hAnsi="仿宋" w:eastAsia="仿宋" w:cs="仿宋"/>
          <w:color w:val="000000"/>
          <w:kern w:val="0"/>
          <w:sz w:val="32"/>
          <w:szCs w:val="32"/>
          <w:shd w:val="clear" w:color="auto" w:fill="FFFFFF"/>
          <w:lang w:val="zh-CN"/>
        </w:rPr>
        <w:t>）人员概况</w:t>
      </w:r>
    </w:p>
    <w:p>
      <w:pPr>
        <w:spacing w:line="560" w:lineRule="exact"/>
        <w:ind w:firstLine="640" w:firstLineChars="200"/>
        <w:rPr>
          <w:rFonts w:hint="eastAsia" w:ascii="仿宋" w:hAnsi="仿宋" w:eastAsia="仿宋"/>
          <w:b/>
          <w:bCs/>
          <w:sz w:val="32"/>
          <w:szCs w:val="32"/>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2</w:t>
      </w:r>
      <w:r>
        <w:rPr>
          <w:rFonts w:hint="eastAsia" w:ascii="仿宋" w:hAnsi="仿宋" w:eastAsia="仿宋"/>
          <w:sz w:val="32"/>
          <w:szCs w:val="32"/>
        </w:rPr>
        <w:t xml:space="preserve"> 年总编制</w:t>
      </w:r>
      <w:r>
        <w:rPr>
          <w:rFonts w:hint="eastAsia" w:ascii="仿宋" w:hAnsi="仿宋" w:eastAsia="仿宋"/>
          <w:sz w:val="32"/>
          <w:szCs w:val="32"/>
          <w:lang w:val="en-US" w:eastAsia="zh-CN"/>
        </w:rPr>
        <w:t xml:space="preserve"> 37 </w:t>
      </w:r>
      <w:r>
        <w:rPr>
          <w:rFonts w:hint="eastAsia" w:ascii="仿宋" w:hAnsi="仿宋" w:eastAsia="仿宋"/>
          <w:sz w:val="32"/>
          <w:szCs w:val="32"/>
        </w:rPr>
        <w:t>名，其中行政编制</w:t>
      </w:r>
      <w:r>
        <w:rPr>
          <w:rFonts w:hint="eastAsia" w:ascii="仿宋" w:hAnsi="仿宋" w:eastAsia="仿宋"/>
          <w:sz w:val="32"/>
          <w:szCs w:val="32"/>
          <w:lang w:val="en-US" w:eastAsia="zh-CN"/>
        </w:rPr>
        <w:t xml:space="preserve"> 17</w:t>
      </w:r>
      <w:r>
        <w:rPr>
          <w:rFonts w:hint="eastAsia" w:ascii="仿宋" w:hAnsi="仿宋" w:eastAsia="仿宋"/>
          <w:sz w:val="32"/>
          <w:szCs w:val="32"/>
        </w:rPr>
        <w:t xml:space="preserve">名，行政工勤编制  </w:t>
      </w:r>
      <w:r>
        <w:rPr>
          <w:rFonts w:hint="eastAsia" w:ascii="仿宋" w:hAnsi="仿宋" w:eastAsia="仿宋"/>
          <w:sz w:val="32"/>
          <w:szCs w:val="32"/>
          <w:lang w:val="en-US" w:eastAsia="zh-CN"/>
        </w:rPr>
        <w:t>1</w:t>
      </w:r>
      <w:r>
        <w:rPr>
          <w:rFonts w:hint="eastAsia" w:ascii="仿宋" w:hAnsi="仿宋" w:eastAsia="仿宋"/>
          <w:sz w:val="32"/>
          <w:szCs w:val="32"/>
        </w:rPr>
        <w:t xml:space="preserve">名，事业编制 </w:t>
      </w:r>
      <w:r>
        <w:rPr>
          <w:rFonts w:hint="eastAsia" w:ascii="仿宋" w:hAnsi="仿宋" w:eastAsia="仿宋"/>
          <w:sz w:val="32"/>
          <w:szCs w:val="32"/>
          <w:lang w:val="en-US" w:eastAsia="zh-CN"/>
        </w:rPr>
        <w:t>24</w:t>
      </w:r>
      <w:r>
        <w:rPr>
          <w:rFonts w:hint="eastAsia" w:ascii="仿宋" w:hAnsi="仿宋" w:eastAsia="仿宋"/>
          <w:sz w:val="32"/>
          <w:szCs w:val="32"/>
        </w:rPr>
        <w:t xml:space="preserve"> 名。</w:t>
      </w:r>
      <w:r>
        <w:rPr>
          <w:rFonts w:hint="eastAsia" w:ascii="仿宋" w:hAnsi="仿宋" w:eastAsia="仿宋" w:cs="仿宋"/>
          <w:color w:val="000000"/>
          <w:kern w:val="0"/>
          <w:sz w:val="32"/>
          <w:szCs w:val="32"/>
          <w:shd w:val="clear" w:color="auto" w:fill="FFFFFF"/>
          <w:lang w:val="zh-CN"/>
        </w:rPr>
        <w:t>演圣镇2022年末实有干部职工38人，其中：行政人员17人，事业人员2</w:t>
      </w:r>
      <w:r>
        <w:rPr>
          <w:rFonts w:hint="eastAsia" w:ascii="仿宋" w:hAnsi="仿宋" w:eastAsia="仿宋" w:cs="仿宋"/>
          <w:color w:val="000000"/>
          <w:kern w:val="0"/>
          <w:sz w:val="32"/>
          <w:szCs w:val="32"/>
          <w:shd w:val="clear" w:color="auto" w:fill="FFFFFF"/>
          <w:lang w:val="en-US" w:eastAsia="zh-CN"/>
        </w:rPr>
        <w:t>0</w:t>
      </w:r>
      <w:r>
        <w:rPr>
          <w:rFonts w:hint="eastAsia" w:ascii="仿宋" w:hAnsi="仿宋" w:eastAsia="仿宋" w:cs="仿宋"/>
          <w:color w:val="000000"/>
          <w:kern w:val="0"/>
          <w:sz w:val="32"/>
          <w:szCs w:val="32"/>
          <w:shd w:val="clear" w:color="auto" w:fill="FFFFFF"/>
          <w:lang w:val="zh-CN"/>
        </w:rPr>
        <w:t>人，</w:t>
      </w:r>
      <w:r>
        <w:rPr>
          <w:rFonts w:hint="eastAsia" w:ascii="仿宋" w:hAnsi="仿宋" w:eastAsia="仿宋"/>
          <w:sz w:val="32"/>
          <w:szCs w:val="32"/>
        </w:rPr>
        <w:t>行政工勤人员</w:t>
      </w:r>
      <w:r>
        <w:rPr>
          <w:rFonts w:hint="eastAsia" w:ascii="仿宋" w:hAnsi="仿宋" w:eastAsia="仿宋"/>
          <w:sz w:val="32"/>
          <w:szCs w:val="32"/>
          <w:lang w:val="en-US" w:eastAsia="zh-CN"/>
        </w:rPr>
        <w:t>1</w:t>
      </w:r>
      <w:r>
        <w:rPr>
          <w:rFonts w:hint="eastAsia" w:ascii="仿宋" w:hAnsi="仿宋" w:eastAsia="仿宋"/>
          <w:sz w:val="32"/>
          <w:szCs w:val="32"/>
        </w:rPr>
        <w:t>人</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二、部门财政资金收支情况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en-US" w:eastAsia="zh-CN" w:bidi="ar-SA"/>
        </w:rPr>
        <w:t>2022年演圣镇人民政府收入总额为</w:t>
      </w:r>
      <w:r>
        <w:rPr>
          <w:rFonts w:hint="eastAsia" w:ascii="仿宋" w:hAnsi="仿宋" w:eastAsia="仿宋" w:cs="仿宋"/>
          <w:color w:val="000000"/>
          <w:kern w:val="0"/>
          <w:sz w:val="32"/>
          <w:szCs w:val="32"/>
          <w:shd w:val="clear" w:color="auto" w:fill="FFFFFF"/>
          <w:lang w:val="zh-CN"/>
        </w:rPr>
        <w:t>798.5</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lang w:val="en-US" w:eastAsia="zh-CN" w:bidi="ar-SA"/>
        </w:rPr>
        <w:t>万元，其中：一般公共预算财政拨款收入</w:t>
      </w:r>
      <w:r>
        <w:rPr>
          <w:rFonts w:hint="eastAsia" w:ascii="仿宋" w:hAnsi="仿宋" w:eastAsia="仿宋" w:cs="仿宋"/>
          <w:color w:val="000000"/>
          <w:kern w:val="0"/>
          <w:sz w:val="32"/>
          <w:szCs w:val="32"/>
          <w:shd w:val="clear" w:color="auto" w:fill="FFFFFF"/>
          <w:lang w:val="zh-CN"/>
        </w:rPr>
        <w:t>798.5</w:t>
      </w:r>
      <w:r>
        <w:rPr>
          <w:rFonts w:hint="eastAsia" w:ascii="仿宋" w:hAnsi="仿宋" w:eastAsia="仿宋" w:cs="仿宋"/>
          <w:color w:val="000000"/>
          <w:kern w:val="0"/>
          <w:sz w:val="32"/>
          <w:szCs w:val="32"/>
          <w:shd w:val="clear" w:color="auto" w:fill="FFFFFF"/>
          <w:lang w:val="en-US" w:eastAsia="zh-CN"/>
        </w:rPr>
        <w:t>4</w:t>
      </w:r>
      <w:r>
        <w:rPr>
          <w:rFonts w:hint="eastAsia" w:ascii="仿宋" w:hAnsi="仿宋" w:eastAsia="仿宋" w:cs="仿宋"/>
          <w:color w:val="000000"/>
          <w:kern w:val="0"/>
          <w:sz w:val="32"/>
          <w:szCs w:val="32"/>
          <w:shd w:val="clear" w:color="auto" w:fill="FFFFFF"/>
          <w:lang w:val="en-US" w:eastAsia="zh-CN" w:bidi="ar-SA"/>
        </w:rPr>
        <w:t>万元。</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w:t>
      </w:r>
      <w:r>
        <w:rPr>
          <w:rFonts w:hint="eastAsia" w:ascii="仿宋" w:hAnsi="仿宋" w:eastAsia="仿宋" w:cs="仿宋"/>
          <w:color w:val="000000"/>
          <w:kern w:val="0"/>
          <w:sz w:val="32"/>
          <w:szCs w:val="32"/>
          <w:shd w:val="clear" w:color="auto" w:fill="FFFFFF"/>
          <w:lang w:val="en-US" w:eastAsia="zh-CN" w:bidi="ar-SA"/>
        </w:rPr>
        <w:t>二</w:t>
      </w:r>
      <w:r>
        <w:rPr>
          <w:rFonts w:hint="eastAsia" w:ascii="仿宋" w:hAnsi="仿宋" w:eastAsia="仿宋" w:cs="仿宋"/>
          <w:color w:val="000000"/>
          <w:kern w:val="0"/>
          <w:sz w:val="32"/>
          <w:szCs w:val="32"/>
          <w:shd w:val="clear" w:color="auto" w:fill="FFFFFF"/>
          <w:lang w:val="zh-CN" w:eastAsia="zh-CN" w:bidi="ar-SA"/>
        </w:rPr>
        <w:t>）部门财政资金支出情况</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eastAsia="zh-CN" w:bidi="ar-SA"/>
        </w:rPr>
      </w:pPr>
      <w:r>
        <w:rPr>
          <w:rFonts w:hint="eastAsia" w:ascii="仿宋" w:hAnsi="仿宋" w:eastAsia="仿宋" w:cs="仿宋"/>
          <w:color w:val="000000"/>
          <w:kern w:val="0"/>
          <w:sz w:val="32"/>
          <w:szCs w:val="32"/>
          <w:shd w:val="clear" w:color="auto" w:fill="FFFFFF"/>
          <w:lang w:val="zh-CN" w:eastAsia="zh-CN" w:bidi="ar-SA"/>
        </w:rPr>
        <w:t>2022年财政拨款实际支出总计798.5</w:t>
      </w:r>
      <w:r>
        <w:rPr>
          <w:rFonts w:hint="eastAsia" w:ascii="仿宋" w:hAnsi="仿宋" w:eastAsia="仿宋" w:cs="仿宋"/>
          <w:color w:val="000000"/>
          <w:kern w:val="0"/>
          <w:sz w:val="32"/>
          <w:szCs w:val="32"/>
          <w:shd w:val="clear" w:color="auto" w:fill="FFFFFF"/>
          <w:lang w:val="en-US" w:eastAsia="zh-CN" w:bidi="ar-SA"/>
        </w:rPr>
        <w:t>4</w:t>
      </w:r>
      <w:r>
        <w:rPr>
          <w:rFonts w:hint="eastAsia" w:ascii="仿宋" w:hAnsi="仿宋" w:eastAsia="仿宋" w:cs="仿宋"/>
          <w:color w:val="000000"/>
          <w:kern w:val="0"/>
          <w:sz w:val="32"/>
          <w:szCs w:val="32"/>
          <w:shd w:val="clear" w:color="auto" w:fill="FFFFFF"/>
          <w:lang w:val="zh-CN" w:eastAsia="zh-CN" w:bidi="ar-SA"/>
        </w:rPr>
        <w:t>万元；其中：人员经费518.02万元，主要包括：基本工资139.4万元、津贴补贴74.18万元、奖金145.86万元、绩效工资53.03万元、机关事业单位基本养老保险缴费41.64万元、职工基本医疗保险缴费20.82万元、其他社会保障缴费1.76万元、其他工资福利支出5.44万，生活补助88.86万元、住房公积金31.2万元，对个人和家庭的补助生活补助0万元。公用经费65.72万元，主要包括：办公费46.41万元、印刷费3万元、咨询费0.28万元、手续费0万元、水费0.5万元、电费3万元、邮电费5万元、取暖费0万元、差旅费13万元、维修费35.13万元、会议费1.29万元、培训费1.74万元、公务接待费2.4万元、工会经费1.72万元、福利费2.88万元、其他交通费用14.28万元。2022年一般公共预算财政拨款项目支出214.79万元，其中：办公费35.97万元、维修（护）费32.32万元、劳务费10.69万元、其他商品和服务支出12.6万元、对个人和家庭的生活补助84.20万元、土地补偿14万元、基础设施建设20万元、其他资本性支出5万元。</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color w:val="000000"/>
          <w:kern w:val="0"/>
          <w:sz w:val="32"/>
          <w:szCs w:val="32"/>
          <w:shd w:val="clear" w:color="auto" w:fill="FFFFFF"/>
          <w:lang w:val="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仿宋" w:hAnsi="仿宋" w:eastAsia="仿宋" w:cs="仿宋"/>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三、部门整体预算绩效管理情况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（一）部门预算项目绩效管理。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2022年人员类项目预算518.02万元，实际支付518.02万元，资金执行率100%，执行情况较好。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2022年运转类项目预算65.73万元，实际支付65.73万元，资金执行率100%，机关日常事务运转得到充分保障，预算执行情况较好。</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特定目标类</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2022年特定目标类项目预算211.79万元，实际支付211.79万元，资金执行率100%，执行情况较好。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w:t>
      </w:r>
      <w:r>
        <w:rPr>
          <w:rFonts w:hint="eastAsia" w:ascii="仿宋" w:hAnsi="仿宋" w:eastAsia="仿宋" w:cs="仿宋"/>
          <w:color w:val="000000"/>
          <w:kern w:val="0"/>
          <w:sz w:val="32"/>
          <w:szCs w:val="32"/>
          <w:shd w:val="clear" w:color="auto" w:fill="FFFFFF"/>
          <w:lang w:val="zh-CN"/>
        </w:rPr>
        <w:t>结果应用情况</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pStyle w:val="16"/>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leftChars="0"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自评质量</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contextualSpacing/>
        <w:jc w:val="left"/>
        <w:textAlignment w:val="auto"/>
        <w:rPr>
          <w:rFonts w:hint="eastAsia" w:ascii="黑体" w:hAnsi="黑体" w:eastAsia="黑体" w:cs="黑体"/>
          <w:b/>
          <w:bCs/>
          <w:color w:val="000000"/>
          <w:kern w:val="0"/>
          <w:sz w:val="32"/>
          <w:szCs w:val="32"/>
          <w:shd w:val="clear" w:color="auto" w:fill="FFFFFF"/>
        </w:rPr>
      </w:pPr>
      <w:r>
        <w:rPr>
          <w:rFonts w:hint="eastAsia" w:ascii="黑体" w:hAnsi="黑体" w:eastAsia="黑体" w:cs="黑体"/>
          <w:b/>
          <w:bCs/>
          <w:color w:val="000000"/>
          <w:kern w:val="0"/>
          <w:sz w:val="32"/>
          <w:szCs w:val="32"/>
          <w:shd w:val="clear" w:color="auto" w:fill="FFFFFF"/>
        </w:rPr>
        <w:t>四、评价结论及建议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（一）评价结论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根据部门整体支出绩效评价指标体系的自评结果，我镇2022年度部门整体支出绩效自评得分为</w:t>
      </w:r>
      <w:r>
        <w:rPr>
          <w:rFonts w:hint="eastAsia" w:ascii="仿宋" w:hAnsi="仿宋" w:eastAsia="仿宋" w:cs="仿宋"/>
          <w:b w:val="0"/>
          <w:bCs w:val="0"/>
          <w:i w:val="0"/>
          <w:iCs w:val="0"/>
          <w:caps w:val="0"/>
          <w:color w:val="000000"/>
          <w:spacing w:val="0"/>
          <w:sz w:val="32"/>
          <w:szCs w:val="32"/>
          <w:highlight w:val="none"/>
          <w:shd w:val="clear" w:fill="FFFFFF"/>
          <w:lang w:val="en-US" w:eastAsia="zh-CN"/>
        </w:rPr>
        <w:t>95</w:t>
      </w:r>
      <w:r>
        <w:rPr>
          <w:rFonts w:hint="eastAsia" w:ascii="仿宋" w:hAnsi="仿宋" w:eastAsia="仿宋" w:cs="仿宋"/>
          <w:b w:val="0"/>
          <w:bCs w:val="0"/>
          <w:i w:val="0"/>
          <w:iCs w:val="0"/>
          <w:caps w:val="0"/>
          <w:color w:val="000000"/>
          <w:spacing w:val="0"/>
          <w:sz w:val="32"/>
          <w:szCs w:val="32"/>
          <w:shd w:val="clear" w:fill="FFFFFF"/>
          <w:lang w:val="en-US" w:eastAsia="zh-CN"/>
        </w:rPr>
        <w:t>分。</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本年我镇预算配置控制较好。财政供养人员控制在预算编制以内，编制内在职人员控制率小于100%。</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 预算执行方面。支出总额控制在预算总额以内，预算管理方面，制度执行总体较为有效，仍需进一步强化；资金使用管理需进一步加强。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3、资产管理方面，建立了资产管理制度，指定了专人对资产进行管理，定期对资产进行盘点和清理，总体执行较好。</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效率性评价和有效性评价。我镇预算安排的基本支出保障了正常的工作运转，在预算执行上是严格遵守各项财经纪律的；在资金的管理和使用上，严守法律底线、纪律底线、道德底线。</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（二）存在问题。</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lang w:val="zh-CN"/>
        </w:rPr>
      </w:pPr>
      <w:r>
        <w:rPr>
          <w:rFonts w:hint="eastAsia" w:ascii="仿宋" w:hAnsi="仿宋" w:eastAsia="仿宋" w:cs="仿宋"/>
          <w:b w:val="0"/>
          <w:bCs w:val="0"/>
          <w:i w:val="0"/>
          <w:iCs w:val="0"/>
          <w:caps w:val="0"/>
          <w:color w:val="000000"/>
          <w:spacing w:val="0"/>
          <w:sz w:val="32"/>
          <w:szCs w:val="32"/>
          <w:shd w:val="clear" w:fill="FFFFFF"/>
          <w:lang w:val="en-US" w:eastAsia="zh-CN"/>
        </w:rPr>
        <w:t>通过绩效评价工作的逐步推进，我镇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outlineLvl w:val="9"/>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（三）改进建议。</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1、 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2、加强财务管理，严格财务审核。在费用报账支付时，按照预算规定的费用项目和用途进行资金使用审核、列报支付、财务核算，杜绝超支现象的发生。</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4、加强项目开展进度的跟踪，开展项目绩效评价，确保项目绩效目标的完成。</w:t>
      </w: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rPr>
          <w:rFonts w:hint="eastAsia" w:ascii="仿宋" w:hAnsi="仿宋" w:eastAsia="仿宋" w:cs="仿宋"/>
          <w:b w:val="0"/>
          <w:bCs w:val="0"/>
          <w:i w:val="0"/>
          <w:iCs w:val="0"/>
          <w:caps w:val="0"/>
          <w:color w:val="000000"/>
          <w:spacing w:val="0"/>
          <w:sz w:val="32"/>
          <w:szCs w:val="32"/>
          <w:shd w:val="clear" w:fill="FFFFFF"/>
          <w:lang w:val="en-US" w:eastAsia="zh-CN"/>
        </w:rPr>
      </w:pPr>
    </w:p>
    <w:p>
      <w:pPr>
        <w:pStyle w:val="17"/>
        <w:rPr>
          <w:rFonts w:hint="eastAsia" w:ascii="黑体" w:hAnsi="黑体" w:eastAsia="黑体" w:cs="黑体"/>
          <w:sz w:val="32"/>
          <w:szCs w:val="32"/>
        </w:rPr>
      </w:pPr>
    </w:p>
    <w:tbl>
      <w:tblPr>
        <w:tblStyle w:val="18"/>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438"/>
        <w:gridCol w:w="451"/>
        <w:gridCol w:w="770"/>
        <w:gridCol w:w="938"/>
        <w:gridCol w:w="266"/>
        <w:gridCol w:w="940"/>
        <w:gridCol w:w="237"/>
        <w:gridCol w:w="979"/>
        <w:gridCol w:w="268"/>
        <w:gridCol w:w="1043"/>
        <w:gridCol w:w="697"/>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962" w:type="pct"/>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lang w:val="en-US"/>
              </w:rPr>
            </w:pPr>
            <w:r>
              <w:rPr>
                <w:rFonts w:hint="eastAsia" w:ascii="黑体" w:hAnsi="宋体" w:eastAsia="黑体" w:cs="黑体"/>
                <w:i w:val="0"/>
                <w:iCs w:val="0"/>
                <w:color w:val="000000"/>
                <w:kern w:val="0"/>
                <w:sz w:val="21"/>
                <w:szCs w:val="21"/>
                <w:u w:val="none"/>
                <w:lang w:val="en-US" w:eastAsia="zh-CN" w:bidi="ar"/>
              </w:rPr>
              <w:t>附件2</w:t>
            </w:r>
          </w:p>
        </w:tc>
        <w:tc>
          <w:tcPr>
            <w:tcW w:w="454" w:type="pct"/>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58"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53"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41"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577"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15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614"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389"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c>
          <w:tcPr>
            <w:tcW w:w="436" w:type="pct"/>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000" w:type="pct"/>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部门（单位）名称</w:t>
            </w:r>
          </w:p>
        </w:tc>
        <w:tc>
          <w:tcPr>
            <w:tcW w:w="4037"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剑阁县</w:t>
            </w:r>
            <w:r>
              <w:rPr>
                <w:rFonts w:hint="eastAsia" w:ascii="宋体" w:hAnsi="宋体" w:cs="宋体"/>
                <w:i w:val="0"/>
                <w:iCs w:val="0"/>
                <w:color w:val="000000"/>
                <w:kern w:val="0"/>
                <w:sz w:val="16"/>
                <w:szCs w:val="16"/>
                <w:u w:val="none"/>
                <w:lang w:val="en-US" w:eastAsia="zh-CN" w:bidi="ar"/>
              </w:rPr>
              <w:t>演圣</w:t>
            </w:r>
            <w:r>
              <w:rPr>
                <w:rFonts w:hint="eastAsia" w:ascii="宋体" w:hAnsi="宋体" w:eastAsia="宋体" w:cs="宋体"/>
                <w:i w:val="0"/>
                <w:iCs w:val="0"/>
                <w:color w:val="000000"/>
                <w:kern w:val="0"/>
                <w:sz w:val="16"/>
                <w:szCs w:val="16"/>
                <w:u w:val="none"/>
                <w:lang w:val="en-US" w:eastAsia="zh-CN" w:bidi="ar"/>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年度主要</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年初任务目标</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任务</w:t>
            </w: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按时足额发放镇干部和村干部工资、足额缴纳保险，开展基层党组织活动，保障民生，宣传党的方针、政策，完成上级交办的各项工作。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预算执行情况（万元）</w:t>
            </w: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执行率（B/A)</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798.54</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798.54</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Style w:val="38"/>
                <w:sz w:val="16"/>
                <w:szCs w:val="16"/>
                <w:lang w:val="en-US" w:eastAsia="zh-CN" w:bidi="ar"/>
              </w:rPr>
              <w:t xml:space="preserve"> 其中：财政拨款</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798.54</w:t>
            </w: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cs="宋体"/>
                <w:i w:val="0"/>
                <w:iCs w:val="0"/>
                <w:color w:val="000000"/>
                <w:kern w:val="0"/>
                <w:sz w:val="16"/>
                <w:szCs w:val="16"/>
                <w:u w:val="none"/>
                <w:lang w:val="en-US" w:eastAsia="zh-CN" w:bidi="ar"/>
              </w:rPr>
              <w:t>798.54</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5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171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8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1691" w:type="pct"/>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871" w:type="pct"/>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871"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69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c>
          <w:tcPr>
            <w:tcW w:w="2871"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保障机关运转，完成全年预算支出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年度绩效指标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预期指标值（包含数字及文字描述）</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实际完成指标值（包含数字及文字描述）</w:t>
            </w:r>
          </w:p>
        </w:tc>
        <w:tc>
          <w:tcPr>
            <w:tcW w:w="6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未完成原因及拟采取的改进措施</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自评得分</w:t>
            </w:r>
          </w:p>
        </w:tc>
        <w:tc>
          <w:tcPr>
            <w:tcW w:w="4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在职职工工资保险保障率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村社干部报酬支付率</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全镇运转经费保障</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完成时间</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2022年度内</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经费成本</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795.54</w:t>
            </w:r>
            <w:r>
              <w:rPr>
                <w:rFonts w:hint="eastAsia" w:ascii="宋体" w:hAnsi="宋体" w:eastAsia="宋体" w:cs="宋体"/>
                <w:i w:val="0"/>
                <w:iCs w:val="0"/>
                <w:color w:val="000000"/>
                <w:kern w:val="0"/>
                <w:sz w:val="13"/>
                <w:szCs w:val="13"/>
                <w:u w:val="none"/>
                <w:lang w:val="en-US" w:eastAsia="zh-CN" w:bidi="ar"/>
              </w:rPr>
              <w:t>万元</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r>
              <w:rPr>
                <w:rFonts w:hint="eastAsia" w:ascii="宋体" w:hAnsi="宋体" w:cs="宋体"/>
                <w:i w:val="0"/>
                <w:iCs w:val="0"/>
                <w:color w:val="000000"/>
                <w:kern w:val="0"/>
                <w:sz w:val="13"/>
                <w:szCs w:val="13"/>
                <w:u w:val="none"/>
                <w:lang w:val="en-US" w:eastAsia="zh-CN" w:bidi="ar"/>
              </w:rPr>
              <w:t>795.54</w:t>
            </w:r>
            <w:r>
              <w:rPr>
                <w:rFonts w:hint="eastAsia" w:ascii="宋体" w:hAnsi="宋体" w:eastAsia="宋体" w:cs="宋体"/>
                <w:i w:val="0"/>
                <w:iCs w:val="0"/>
                <w:color w:val="000000"/>
                <w:kern w:val="0"/>
                <w:sz w:val="13"/>
                <w:szCs w:val="13"/>
                <w:u w:val="none"/>
                <w:lang w:val="en-US" w:eastAsia="zh-CN" w:bidi="ar"/>
              </w:rPr>
              <w:t>万元</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经济效益</w:t>
            </w:r>
          </w:p>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保障政府正常运转和辖区安全稳定</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改善辖区内人居环境</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可持续影响</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重点工作实施效果可持续影响</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定性优良中低差</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优</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群众满意度</w:t>
            </w: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0"/>
                <w:szCs w:val="20"/>
                <w:u w:val="none"/>
              </w:rPr>
            </w:pPr>
          </w:p>
        </w:tc>
        <w:tc>
          <w:tcPr>
            <w:tcW w:w="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7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16"/>
                <w:szCs w:val="16"/>
                <w:u w:val="none"/>
              </w:rPr>
            </w:pPr>
          </w:p>
        </w:tc>
        <w:tc>
          <w:tcPr>
            <w:tcW w:w="7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4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16"/>
                <w:szCs w:val="16"/>
                <w:u w:val="none"/>
              </w:rPr>
            </w:pPr>
          </w:p>
        </w:tc>
      </w:tr>
    </w:tbl>
    <w:p>
      <w:pPr>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spacing w:line="578" w:lineRule="exact"/>
        <w:textAlignment w:val="auto"/>
        <w:rPr>
          <w:rFonts w:hint="eastAsia" w:ascii="方正小标宋简体" w:hAnsi="方正小标宋简体" w:eastAsia="黑体" w:cs="方正小标宋简体"/>
          <w:color w:val="auto"/>
          <w:kern w:val="2"/>
          <w:sz w:val="44"/>
          <w:szCs w:val="44"/>
          <w:highlight w:val="none"/>
          <w:lang w:val="en-US" w:eastAsia="zh-CN"/>
        </w:rPr>
      </w:pPr>
      <w:r>
        <w:rPr>
          <w:rFonts w:hint="eastAsia" w:ascii="黑体" w:hAnsi="黑体" w:eastAsia="黑体"/>
          <w:sz w:val="30"/>
          <w:szCs w:val="30"/>
          <w:highlight w:val="none"/>
        </w:rPr>
        <w:t>附件</w:t>
      </w:r>
      <w:r>
        <w:rPr>
          <w:rFonts w:hint="eastAsia" w:ascii="黑体" w:hAnsi="黑体" w:eastAsia="黑体"/>
          <w:sz w:val="30"/>
          <w:szCs w:val="30"/>
          <w:highlight w:val="none"/>
          <w:lang w:val="en-US" w:eastAsia="zh-CN"/>
        </w:rPr>
        <w:t>3</w:t>
      </w:r>
    </w:p>
    <w:p>
      <w:pPr>
        <w:keepNext w:val="0"/>
        <w:keepLines w:val="0"/>
        <w:pageBreakBefore w:val="0"/>
        <w:widowControl w:val="0"/>
        <w:kinsoku/>
        <w:wordWrap/>
        <w:overflowPunct w:val="0"/>
        <w:topLinePunct w:val="0"/>
        <w:autoSpaceDE/>
        <w:autoSpaceDN/>
        <w:bidi w:val="0"/>
        <w:adjustRightInd/>
        <w:snapToGrid w:val="0"/>
        <w:spacing w:beforeAutospacing="0" w:after="0" w:afterAutospacing="0" w:line="576" w:lineRule="exact"/>
        <w:ind w:left="0"/>
        <w:jc w:val="center"/>
        <w:textAlignment w:val="auto"/>
        <w:rPr>
          <w:rFonts w:hint="eastAsia" w:ascii="方正小标宋_GBK" w:hAnsi="方正小标宋简体" w:eastAsia="方正小标宋_GBK" w:cs="方正小标宋简体"/>
          <w:b/>
          <w:bCs/>
          <w:kern w:val="2"/>
          <w:sz w:val="44"/>
          <w:szCs w:val="44"/>
          <w:lang w:eastAsia="zh-CN"/>
        </w:rPr>
      </w:pPr>
    </w:p>
    <w:p>
      <w:pPr>
        <w:keepNext w:val="0"/>
        <w:keepLines w:val="0"/>
        <w:pageBreakBefore w:val="0"/>
        <w:widowControl w:val="0"/>
        <w:kinsoku/>
        <w:wordWrap/>
        <w:overflowPunct w:val="0"/>
        <w:topLinePunct w:val="0"/>
        <w:autoSpaceDE/>
        <w:autoSpaceDN/>
        <w:bidi w:val="0"/>
        <w:adjustRightInd/>
        <w:snapToGrid w:val="0"/>
        <w:spacing w:beforeAutospacing="0" w:after="0" w:afterAutospacing="0" w:line="576" w:lineRule="exact"/>
        <w:ind w:left="0"/>
        <w:jc w:val="center"/>
        <w:textAlignment w:val="auto"/>
        <w:rPr>
          <w:rFonts w:hint="eastAsia" w:ascii="方正小标宋_GBK" w:hAnsi="方正小标宋简体" w:eastAsia="方正小标宋_GBK" w:cs="方正小标宋简体"/>
          <w:b/>
          <w:bCs/>
          <w:kern w:val="2"/>
          <w:sz w:val="44"/>
          <w:szCs w:val="44"/>
          <w:lang w:eastAsia="zh-CN"/>
        </w:rPr>
      </w:pPr>
      <w:r>
        <w:rPr>
          <w:rFonts w:hint="eastAsia" w:ascii="方正小标宋_GBK" w:hAnsi="方正小标宋简体" w:eastAsia="方正小标宋_GBK" w:cs="方正小标宋简体"/>
          <w:b/>
          <w:bCs/>
          <w:kern w:val="2"/>
          <w:sz w:val="44"/>
          <w:szCs w:val="44"/>
          <w:lang w:eastAsia="zh-CN"/>
        </w:rPr>
        <w:t>202</w:t>
      </w:r>
      <w:r>
        <w:rPr>
          <w:rFonts w:hint="eastAsia" w:ascii="方正小标宋_GBK" w:hAnsi="方正小标宋简体" w:eastAsia="方正小标宋_GBK" w:cs="方正小标宋简体"/>
          <w:b/>
          <w:bCs/>
          <w:kern w:val="2"/>
          <w:sz w:val="44"/>
          <w:szCs w:val="44"/>
          <w:lang w:val="en-US" w:eastAsia="zh-CN"/>
        </w:rPr>
        <w:t>2</w:t>
      </w:r>
      <w:r>
        <w:rPr>
          <w:rFonts w:hint="eastAsia" w:ascii="方正小标宋_GBK" w:hAnsi="方正小标宋简体" w:eastAsia="方正小标宋_GBK" w:cs="方正小标宋简体"/>
          <w:b/>
          <w:bCs/>
          <w:kern w:val="2"/>
          <w:sz w:val="44"/>
          <w:szCs w:val="44"/>
          <w:lang w:eastAsia="zh-CN"/>
        </w:rPr>
        <w:t xml:space="preserve"> 年垃圾清运及处置费项目支出绩效</w:t>
      </w:r>
    </w:p>
    <w:p>
      <w:pPr>
        <w:keepNext w:val="0"/>
        <w:keepLines w:val="0"/>
        <w:pageBreakBefore w:val="0"/>
        <w:widowControl w:val="0"/>
        <w:kinsoku/>
        <w:wordWrap/>
        <w:overflowPunct w:val="0"/>
        <w:topLinePunct w:val="0"/>
        <w:autoSpaceDE/>
        <w:autoSpaceDN/>
        <w:bidi w:val="0"/>
        <w:adjustRightInd/>
        <w:snapToGrid w:val="0"/>
        <w:spacing w:beforeAutospacing="0" w:after="0" w:afterAutospacing="0" w:line="576" w:lineRule="exact"/>
        <w:ind w:left="0"/>
        <w:jc w:val="center"/>
        <w:textAlignment w:val="auto"/>
        <w:rPr>
          <w:rFonts w:hint="eastAsia" w:ascii="方正小标宋_GBK" w:hAnsi="方正小标宋简体" w:eastAsia="方正小标宋_GBK" w:cs="方正小标宋简体"/>
          <w:b/>
          <w:bCs/>
          <w:kern w:val="2"/>
          <w:sz w:val="44"/>
          <w:szCs w:val="44"/>
          <w:lang w:eastAsia="zh-CN"/>
        </w:rPr>
      </w:pPr>
      <w:r>
        <w:rPr>
          <w:rFonts w:hint="eastAsia" w:ascii="方正小标宋_GBK" w:hAnsi="方正小标宋简体" w:eastAsia="方正小标宋_GBK" w:cs="方正小标宋简体"/>
          <w:b/>
          <w:bCs/>
          <w:kern w:val="2"/>
          <w:sz w:val="44"/>
          <w:szCs w:val="44"/>
          <w:lang w:eastAsia="zh-CN"/>
        </w:rPr>
        <w:t>自评报告</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一、项目概况</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（一）项目基本情况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为保障场镇及周边的环境干净整洁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给百姓和居民有一 个优美的工作和生活环境提升</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城乡环境卫生质量，完善市政环保、公用基础设施体系，加快城市环境保护基础设施建设，促进环境保护与经济建设协调发展，加快建设两型社会。根据住房和城乡建设部《关于加快市政公用行业市场化进程的意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关于加强市政公用事业监管的意见》等有关文件精神，结合剑阁县委、县政府统筹城乡发展的整体思路要求，</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镇人民政府与剑阁县洁净保洁有限公司</w:t>
      </w:r>
      <w:r>
        <w:rPr>
          <w:rFonts w:hint="eastAsia" w:hAnsi="仿宋_GB2312" w:cs="仿宋_GB2312"/>
          <w:b w:val="0"/>
          <w:bCs w:val="0"/>
          <w:color w:val="000000"/>
          <w:sz w:val="32"/>
          <w:szCs w:val="32"/>
          <w:lang w:val="en-US" w:eastAsia="zh-CN" w:bidi="ar-SA"/>
        </w:rPr>
        <w:t>签订了演圣</w:t>
      </w:r>
      <w:r>
        <w:rPr>
          <w:rFonts w:hint="eastAsia" w:ascii="仿宋_GB2312" w:hAnsi="仿宋_GB2312" w:eastAsia="仿宋_GB2312" w:cs="仿宋_GB2312"/>
          <w:b w:val="0"/>
          <w:bCs w:val="0"/>
          <w:color w:val="000000"/>
          <w:sz w:val="32"/>
          <w:szCs w:val="32"/>
          <w:lang w:val="en-US" w:eastAsia="zh-CN" w:bidi="ar-SA"/>
        </w:rPr>
        <w:t>镇城乡生活垃圾转运及处置合同，将城区生活垃圾收集转运至广元垃圾填埋场进行垃圾处理。</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（二）项目绩效目标</w:t>
      </w:r>
    </w:p>
    <w:p>
      <w:pPr>
        <w:pStyle w:val="30"/>
        <w:keepNext w:val="0"/>
        <w:keepLines w:val="0"/>
        <w:pageBreakBefore w:val="0"/>
        <w:widowControl w:val="0"/>
        <w:numPr>
          <w:ilvl w:val="0"/>
          <w:numId w:val="0"/>
        </w:numPr>
        <w:tabs>
          <w:tab w:val="left" w:pos="1945"/>
        </w:tabs>
        <w:kinsoku/>
        <w:wordWrap/>
        <w:overflowPunct/>
        <w:topLinePunct w:val="0"/>
        <w:autoSpaceDE w:val="0"/>
        <w:autoSpaceDN w:val="0"/>
        <w:bidi w:val="0"/>
        <w:adjustRightInd/>
        <w:snapToGrid/>
        <w:spacing w:before="0"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项目主要内容：保障场镇及周边的优美环境，完成场镇垃圾清运，配备专职人员，对垃圾收集、清运实施日常监督和考核。演圣镇人民政府生活垃圾无害化处理场配备专职人员，对垃圾处理实施日常监督和考核。</w:t>
      </w:r>
    </w:p>
    <w:p>
      <w:pPr>
        <w:pStyle w:val="30"/>
        <w:keepNext w:val="0"/>
        <w:keepLines w:val="0"/>
        <w:pageBreakBefore w:val="0"/>
        <w:widowControl w:val="0"/>
        <w:numPr>
          <w:ilvl w:val="0"/>
          <w:numId w:val="0"/>
        </w:numPr>
        <w:tabs>
          <w:tab w:val="left" w:pos="1945"/>
        </w:tabs>
        <w:kinsoku/>
        <w:wordWrap/>
        <w:overflowPunct/>
        <w:topLinePunct w:val="0"/>
        <w:autoSpaceDE w:val="0"/>
        <w:autoSpaceDN w:val="0"/>
        <w:bidi w:val="0"/>
        <w:adjustRightInd/>
        <w:snapToGrid/>
        <w:spacing w:before="0"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2.项目应实现的具体绩效目标：产出指标：完成场镇及周边垃圾清运（车）不少于80车；环境卫生质量达到优；</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项目成果时效为202</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年度；转运成本（元/车）小于等于</w:t>
      </w:r>
      <w:r>
        <w:rPr>
          <w:rFonts w:hint="eastAsia" w:hAnsi="仿宋_GB2312" w:cs="仿宋_GB2312"/>
          <w:b w:val="0"/>
          <w:bCs w:val="0"/>
          <w:color w:val="000000"/>
          <w:sz w:val="32"/>
          <w:szCs w:val="32"/>
          <w:lang w:val="en-US" w:eastAsia="zh-CN" w:bidi="ar-SA"/>
        </w:rPr>
        <w:t>750</w:t>
      </w:r>
      <w:r>
        <w:rPr>
          <w:rFonts w:hint="eastAsia" w:ascii="仿宋_GB2312" w:hAnsi="仿宋_GB2312" w:eastAsia="仿宋_GB2312" w:cs="仿宋_GB2312"/>
          <w:b w:val="0"/>
          <w:bCs w:val="0"/>
          <w:color w:val="000000"/>
          <w:sz w:val="32"/>
          <w:szCs w:val="32"/>
          <w:lang w:val="en-US" w:eastAsia="zh-CN" w:bidi="ar-SA"/>
        </w:rPr>
        <w:t>元/车。</w:t>
      </w:r>
      <w:r>
        <w:rPr>
          <w:rFonts w:hint="eastAsia" w:hAnsi="仿宋_GB2312" w:cs="仿宋_GB2312"/>
          <w:b w:val="0"/>
          <w:bCs w:val="0"/>
          <w:color w:val="000000"/>
          <w:sz w:val="32"/>
          <w:szCs w:val="32"/>
          <w:lang w:val="en-US" w:eastAsia="zh-CN" w:bidi="ar-SA"/>
        </w:rPr>
        <w:t>绩效</w:t>
      </w:r>
      <w:r>
        <w:rPr>
          <w:rFonts w:hint="eastAsia" w:ascii="仿宋_GB2312" w:hAnsi="仿宋_GB2312" w:eastAsia="仿宋_GB2312" w:cs="仿宋_GB2312"/>
          <w:b w:val="0"/>
          <w:bCs w:val="0"/>
          <w:color w:val="000000"/>
          <w:sz w:val="32"/>
          <w:szCs w:val="32"/>
          <w:lang w:val="en-US" w:eastAsia="zh-CN" w:bidi="ar-SA"/>
        </w:rPr>
        <w:t>指标：城乡环境，有效改善城乡环境，提升群众生活幸福指数。满意度指标：群众满意度大于等于95%。</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3.本项目是一项环境综合治理的公益性工程，项目实施后社会效益经济效益、环境效益凸显，具有可持续性。申报目标设定合理。</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（三）项目自评步骤及方法</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部门对垃圾收集、清运、处理的监督考核建立了考核监督制度，考核细则健全，扣分项目、处罚措施明确。根据综合得分，组织分管领导及部门负责人对本年度垃圾清运及处置费项目进行评估，评价项目效益，并提出改进措施。</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二、项目资金申报及使用情况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（一）项目资金申报及批复情况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在规定时间内，由部门进行申报，财政局统一批复。</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11" w:firstLineChars="200"/>
        <w:jc w:val="both"/>
        <w:textAlignment w:val="auto"/>
        <w:rPr>
          <w:rFonts w:hint="eastAsia" w:ascii="楷体_GB2312" w:hAnsi="楷体_GB2312" w:eastAsia="楷体_GB2312" w:cs="楷体_GB2312"/>
          <w:b/>
          <w:bCs/>
          <w:w w:val="95"/>
          <w:kern w:val="2"/>
          <w:sz w:val="32"/>
          <w:szCs w:val="32"/>
          <w:lang w:val="en-US" w:eastAsia="zh-CN" w:bidi="ar-SA"/>
        </w:rPr>
      </w:pPr>
      <w:r>
        <w:rPr>
          <w:rFonts w:hint="eastAsia" w:ascii="楷体_GB2312" w:hAnsi="楷体_GB2312" w:eastAsia="楷体_GB2312" w:cs="楷体_GB2312"/>
          <w:b/>
          <w:bCs/>
          <w:w w:val="95"/>
          <w:kern w:val="2"/>
          <w:sz w:val="32"/>
          <w:szCs w:val="32"/>
          <w:lang w:val="en-US" w:eastAsia="zh-CN" w:bidi="ar-SA"/>
        </w:rPr>
        <w:t>（二）资金计划、到位及使用情况（可用表格形式反映）</w:t>
      </w:r>
    </w:p>
    <w:tbl>
      <w:tblPr>
        <w:tblStyle w:val="18"/>
        <w:tblpPr w:leftFromText="180" w:rightFromText="180" w:vertAnchor="text" w:horzAnchor="page" w:tblpXSpec="center" w:tblpY="586"/>
        <w:tblOverlap w:val="never"/>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8"/>
        <w:gridCol w:w="2722"/>
        <w:gridCol w:w="1506"/>
        <w:gridCol w:w="1440"/>
        <w:gridCol w:w="633"/>
        <w:gridCol w:w="1080"/>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1138" w:type="dxa"/>
            <w:vAlign w:val="center"/>
          </w:tcPr>
          <w:p>
            <w:pPr>
              <w:pStyle w:val="47"/>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lang w:val="en-US" w:eastAsia="zh-CN"/>
              </w:rPr>
              <w:t xml:space="preserve"> </w:t>
            </w:r>
            <w:r>
              <w:rPr>
                <w:rFonts w:hint="eastAsia" w:ascii="仿宋_GB2312" w:hAnsi="仿宋_GB2312" w:eastAsia="仿宋_GB2312" w:cs="仿宋_GB2312"/>
                <w:w w:val="95"/>
                <w:sz w:val="20"/>
                <w:szCs w:val="20"/>
              </w:rPr>
              <w:t>项目名称</w:t>
            </w:r>
          </w:p>
        </w:tc>
        <w:tc>
          <w:tcPr>
            <w:tcW w:w="4228" w:type="dxa"/>
            <w:gridSpan w:val="2"/>
            <w:vAlign w:val="center"/>
          </w:tcPr>
          <w:p>
            <w:pPr>
              <w:pStyle w:val="47"/>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垃圾清运及处置费</w:t>
            </w:r>
          </w:p>
        </w:tc>
        <w:tc>
          <w:tcPr>
            <w:tcW w:w="1440" w:type="dxa"/>
            <w:vAlign w:val="center"/>
          </w:tcPr>
          <w:p>
            <w:pPr>
              <w:pStyle w:val="47"/>
              <w:spacing w:before="28"/>
              <w:ind w:left="28" w:right="1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项目负责人及电</w:t>
            </w:r>
            <w:r>
              <w:rPr>
                <w:rFonts w:hint="eastAsia" w:ascii="仿宋_GB2312" w:hAnsi="仿宋_GB2312" w:eastAsia="仿宋_GB2312" w:cs="仿宋_GB2312"/>
                <w:w w:val="99"/>
                <w:sz w:val="20"/>
                <w:szCs w:val="20"/>
              </w:rPr>
              <w:t>话</w:t>
            </w:r>
          </w:p>
        </w:tc>
        <w:tc>
          <w:tcPr>
            <w:tcW w:w="2793" w:type="dxa"/>
            <w:gridSpan w:val="3"/>
            <w:vAlign w:val="center"/>
          </w:tcPr>
          <w:p>
            <w:pPr>
              <w:pStyle w:val="47"/>
              <w:jc w:val="center"/>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敬天斌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38" w:type="dxa"/>
            <w:vAlign w:val="center"/>
          </w:tcPr>
          <w:p>
            <w:pPr>
              <w:pStyle w:val="47"/>
              <w:spacing w:before="25"/>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lang w:val="en-US" w:eastAsia="zh-CN"/>
              </w:rPr>
              <w:t xml:space="preserve"> </w:t>
            </w:r>
            <w:r>
              <w:rPr>
                <w:rFonts w:hint="eastAsia" w:ascii="仿宋_GB2312" w:hAnsi="仿宋_GB2312" w:eastAsia="仿宋_GB2312" w:cs="仿宋_GB2312"/>
                <w:w w:val="95"/>
                <w:sz w:val="20"/>
                <w:szCs w:val="20"/>
              </w:rPr>
              <w:t>主管部门</w:t>
            </w:r>
          </w:p>
        </w:tc>
        <w:tc>
          <w:tcPr>
            <w:tcW w:w="4228" w:type="dxa"/>
            <w:gridSpan w:val="2"/>
            <w:vAlign w:val="center"/>
          </w:tcPr>
          <w:p>
            <w:pPr>
              <w:pStyle w:val="47"/>
              <w:spacing w:before="25"/>
              <w:ind w:left="1336" w:right="1330"/>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剑阁县财政局</w:t>
            </w:r>
          </w:p>
        </w:tc>
        <w:tc>
          <w:tcPr>
            <w:tcW w:w="1440" w:type="dxa"/>
            <w:vAlign w:val="center"/>
          </w:tcPr>
          <w:p>
            <w:pPr>
              <w:pStyle w:val="47"/>
              <w:spacing w:before="25"/>
              <w:ind w:left="28" w:right="1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实施单位</w:t>
            </w:r>
          </w:p>
        </w:tc>
        <w:tc>
          <w:tcPr>
            <w:tcW w:w="2793" w:type="dxa"/>
            <w:gridSpan w:val="3"/>
            <w:vAlign w:val="center"/>
          </w:tcPr>
          <w:p>
            <w:pPr>
              <w:pStyle w:val="47"/>
              <w:spacing w:before="25"/>
              <w:ind w:left="346"/>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剑阁县</w:t>
            </w:r>
            <w:r>
              <w:rPr>
                <w:rFonts w:hint="eastAsia" w:ascii="仿宋_GB2312" w:hAnsi="仿宋_GB2312" w:eastAsia="仿宋_GB2312" w:cs="仿宋_GB2312"/>
                <w:sz w:val="20"/>
                <w:szCs w:val="20"/>
                <w:lang w:eastAsia="zh-CN"/>
              </w:rPr>
              <w:t>演圣镇</w:t>
            </w:r>
            <w:r>
              <w:rPr>
                <w:rFonts w:hint="eastAsia" w:ascii="仿宋_GB2312" w:hAnsi="仿宋_GB2312" w:eastAsia="仿宋_GB2312" w:cs="仿宋_GB2312"/>
                <w:sz w:val="20"/>
                <w:szCs w:val="20"/>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38" w:type="dxa"/>
            <w:vAlign w:val="center"/>
          </w:tcPr>
          <w:p>
            <w:pPr>
              <w:pStyle w:val="47"/>
              <w:spacing w:before="2"/>
              <w:jc w:val="center"/>
              <w:rPr>
                <w:rFonts w:hint="eastAsia" w:ascii="仿宋_GB2312" w:hAnsi="仿宋_GB2312" w:eastAsia="仿宋_GB2312" w:cs="仿宋_GB2312"/>
                <w:b/>
                <w:sz w:val="14"/>
                <w:szCs w:val="20"/>
              </w:rPr>
            </w:pPr>
          </w:p>
          <w:p>
            <w:pPr>
              <w:pStyle w:val="47"/>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lang w:val="en-US" w:eastAsia="zh-CN"/>
              </w:rPr>
              <w:t xml:space="preserve"> </w:t>
            </w:r>
            <w:r>
              <w:rPr>
                <w:rFonts w:hint="eastAsia" w:ascii="仿宋_GB2312" w:hAnsi="仿宋_GB2312" w:eastAsia="仿宋_GB2312" w:cs="仿宋_GB2312"/>
                <w:w w:val="95"/>
                <w:sz w:val="20"/>
                <w:szCs w:val="20"/>
              </w:rPr>
              <w:t>资金情况</w:t>
            </w:r>
          </w:p>
        </w:tc>
        <w:tc>
          <w:tcPr>
            <w:tcW w:w="2722" w:type="dxa"/>
            <w:vAlign w:val="center"/>
          </w:tcPr>
          <w:p>
            <w:pPr>
              <w:pStyle w:val="47"/>
              <w:jc w:val="center"/>
              <w:rPr>
                <w:rFonts w:hint="eastAsia" w:ascii="仿宋_GB2312" w:hAnsi="仿宋_GB2312" w:eastAsia="仿宋_GB2312" w:cs="仿宋_GB2312"/>
                <w:sz w:val="28"/>
                <w:szCs w:val="20"/>
              </w:rPr>
            </w:pPr>
          </w:p>
        </w:tc>
        <w:tc>
          <w:tcPr>
            <w:tcW w:w="1506" w:type="dxa"/>
            <w:vAlign w:val="center"/>
          </w:tcPr>
          <w:p>
            <w:pPr>
              <w:pStyle w:val="47"/>
              <w:spacing w:before="25"/>
              <w:ind w:left="15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全年预算（A）</w:t>
            </w:r>
          </w:p>
        </w:tc>
        <w:tc>
          <w:tcPr>
            <w:tcW w:w="1440" w:type="dxa"/>
            <w:vAlign w:val="center"/>
          </w:tcPr>
          <w:p>
            <w:pPr>
              <w:pStyle w:val="47"/>
              <w:ind w:right="19"/>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全年执行数（B）</w:t>
            </w:r>
          </w:p>
        </w:tc>
        <w:tc>
          <w:tcPr>
            <w:tcW w:w="633" w:type="dxa"/>
            <w:vAlign w:val="center"/>
          </w:tcPr>
          <w:p>
            <w:pPr>
              <w:pStyle w:val="47"/>
              <w:spacing w:before="25"/>
              <w:jc w:val="center"/>
              <w:rPr>
                <w:rFonts w:hint="eastAsia" w:ascii="仿宋_GB2312" w:hAnsi="仿宋_GB2312" w:eastAsia="仿宋_GB2312" w:cs="仿宋_GB2312"/>
                <w:sz w:val="20"/>
                <w:szCs w:val="20"/>
              </w:rPr>
            </w:pPr>
            <w:r>
              <w:rPr>
                <w:rFonts w:hint="eastAsia" w:ascii="仿宋_GB2312" w:hAnsi="仿宋_GB2312" w:eastAsia="仿宋_GB2312" w:cs="仿宋_GB2312"/>
                <w:w w:val="99"/>
                <w:sz w:val="20"/>
                <w:szCs w:val="20"/>
              </w:rPr>
              <w:t>分值</w:t>
            </w:r>
          </w:p>
        </w:tc>
        <w:tc>
          <w:tcPr>
            <w:tcW w:w="1080" w:type="dxa"/>
            <w:vAlign w:val="center"/>
          </w:tcPr>
          <w:p>
            <w:pPr>
              <w:pStyle w:val="47"/>
              <w:spacing w:before="25"/>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rPr>
              <w:t>执行率</w:t>
            </w:r>
          </w:p>
          <w:p>
            <w:pPr>
              <w:pStyle w:val="47"/>
              <w:spacing w:before="56"/>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sz w:val="20"/>
                <w:szCs w:val="20"/>
              </w:rPr>
              <w:t>B/A)</w:t>
            </w:r>
          </w:p>
        </w:tc>
        <w:tc>
          <w:tcPr>
            <w:tcW w:w="1080" w:type="dxa"/>
            <w:vAlign w:val="center"/>
          </w:tcPr>
          <w:p>
            <w:pPr>
              <w:pStyle w:val="47"/>
              <w:ind w:right="312"/>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 xml:space="preserve">   </w:t>
            </w:r>
            <w:r>
              <w:rPr>
                <w:rFonts w:hint="eastAsia" w:ascii="仿宋_GB2312" w:hAnsi="仿宋_GB2312" w:eastAsia="仿宋_GB2312" w:cs="仿宋_GB2312"/>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138" w:type="dxa"/>
            <w:vAlign w:val="center"/>
          </w:tcPr>
          <w:p>
            <w:pPr>
              <w:pStyle w:val="47"/>
              <w:spacing w:before="28"/>
              <w:ind w:right="256"/>
              <w:jc w:val="center"/>
              <w:rPr>
                <w:rFonts w:hint="eastAsia" w:ascii="仿宋_GB2312" w:hAnsi="仿宋_GB2312" w:eastAsia="仿宋_GB2312" w:cs="仿宋_GB2312"/>
                <w:sz w:val="20"/>
                <w:szCs w:val="20"/>
              </w:rPr>
            </w:pPr>
            <w:r>
              <w:rPr>
                <w:rFonts w:hint="eastAsia" w:ascii="仿宋_GB2312" w:hAnsi="仿宋_GB2312" w:eastAsia="仿宋_GB2312" w:cs="仿宋_GB2312"/>
                <w:w w:val="95"/>
                <w:sz w:val="20"/>
                <w:szCs w:val="20"/>
              </w:rPr>
              <w:t>（万元）</w:t>
            </w:r>
          </w:p>
        </w:tc>
        <w:tc>
          <w:tcPr>
            <w:tcW w:w="2722" w:type="dxa"/>
            <w:vAlign w:val="center"/>
          </w:tcPr>
          <w:p>
            <w:pPr>
              <w:pStyle w:val="47"/>
              <w:spacing w:before="28"/>
              <w:ind w:left="696"/>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年度资金总额：</w:t>
            </w:r>
          </w:p>
        </w:tc>
        <w:tc>
          <w:tcPr>
            <w:tcW w:w="1506" w:type="dxa"/>
            <w:vAlign w:val="center"/>
          </w:tcPr>
          <w:p>
            <w:pPr>
              <w:pStyle w:val="47"/>
              <w:spacing w:before="28"/>
              <w:ind w:left="340" w:right="332"/>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7.71</w:t>
            </w:r>
          </w:p>
        </w:tc>
        <w:tc>
          <w:tcPr>
            <w:tcW w:w="1440" w:type="dxa"/>
            <w:vAlign w:val="center"/>
          </w:tcPr>
          <w:p>
            <w:pPr>
              <w:pStyle w:val="47"/>
              <w:spacing w:before="28"/>
              <w:ind w:left="27" w:right="19"/>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7.71</w:t>
            </w:r>
          </w:p>
        </w:tc>
        <w:tc>
          <w:tcPr>
            <w:tcW w:w="633" w:type="dxa"/>
            <w:vAlign w:val="center"/>
          </w:tcPr>
          <w:p>
            <w:pPr>
              <w:pStyle w:val="47"/>
              <w:spacing w:before="28"/>
              <w:ind w:left="166"/>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1080" w:type="dxa"/>
            <w:vAlign w:val="center"/>
          </w:tcPr>
          <w:p>
            <w:pPr>
              <w:pStyle w:val="47"/>
              <w:spacing w:before="28"/>
              <w:ind w:left="339"/>
              <w:jc w:val="both"/>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080" w:type="dxa"/>
            <w:vAlign w:val="center"/>
          </w:tcPr>
          <w:p>
            <w:pPr>
              <w:pStyle w:val="47"/>
              <w:spacing w:before="28"/>
              <w:ind w:left="318" w:right="30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jc w:val="center"/>
        </w:trPr>
        <w:tc>
          <w:tcPr>
            <w:tcW w:w="1138" w:type="dxa"/>
            <w:vAlign w:val="center"/>
          </w:tcPr>
          <w:p>
            <w:pPr>
              <w:pStyle w:val="47"/>
              <w:jc w:val="center"/>
              <w:rPr>
                <w:rFonts w:hint="eastAsia" w:ascii="仿宋_GB2312" w:hAnsi="仿宋_GB2312" w:eastAsia="仿宋_GB2312" w:cs="仿宋_GB2312"/>
                <w:sz w:val="28"/>
                <w:szCs w:val="20"/>
              </w:rPr>
            </w:pPr>
          </w:p>
        </w:tc>
        <w:tc>
          <w:tcPr>
            <w:tcW w:w="2722" w:type="dxa"/>
            <w:vAlign w:val="center"/>
          </w:tcPr>
          <w:p>
            <w:pPr>
              <w:pStyle w:val="47"/>
              <w:spacing w:before="27"/>
              <w:ind w:left="224" w:right="11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其中：中央、省、市财政资</w:t>
            </w:r>
            <w:r>
              <w:rPr>
                <w:rFonts w:hint="eastAsia" w:ascii="仿宋_GB2312" w:hAnsi="仿宋_GB2312" w:eastAsia="仿宋_GB2312" w:cs="仿宋_GB2312"/>
                <w:w w:val="99"/>
                <w:sz w:val="20"/>
                <w:szCs w:val="20"/>
              </w:rPr>
              <w:t>金</w:t>
            </w:r>
          </w:p>
        </w:tc>
        <w:tc>
          <w:tcPr>
            <w:tcW w:w="1506" w:type="dxa"/>
            <w:vAlign w:val="center"/>
          </w:tcPr>
          <w:p>
            <w:pPr>
              <w:pStyle w:val="47"/>
              <w:jc w:val="center"/>
              <w:rPr>
                <w:rFonts w:hint="eastAsia" w:ascii="仿宋_GB2312" w:hAnsi="仿宋_GB2312" w:eastAsia="仿宋_GB2312" w:cs="仿宋_GB2312"/>
                <w:sz w:val="28"/>
                <w:szCs w:val="20"/>
              </w:rPr>
            </w:pPr>
          </w:p>
        </w:tc>
        <w:tc>
          <w:tcPr>
            <w:tcW w:w="1440" w:type="dxa"/>
            <w:vAlign w:val="center"/>
          </w:tcPr>
          <w:p>
            <w:pPr>
              <w:pStyle w:val="47"/>
              <w:jc w:val="center"/>
              <w:rPr>
                <w:rFonts w:hint="eastAsia" w:ascii="仿宋_GB2312" w:hAnsi="仿宋_GB2312" w:eastAsia="仿宋_GB2312" w:cs="仿宋_GB2312"/>
                <w:sz w:val="28"/>
                <w:szCs w:val="20"/>
              </w:rPr>
            </w:pPr>
          </w:p>
        </w:tc>
        <w:tc>
          <w:tcPr>
            <w:tcW w:w="633" w:type="dxa"/>
            <w:vAlign w:val="center"/>
          </w:tcPr>
          <w:p>
            <w:pPr>
              <w:pStyle w:val="47"/>
              <w:jc w:val="center"/>
              <w:rPr>
                <w:rFonts w:hint="eastAsia" w:ascii="仿宋_GB2312" w:hAnsi="仿宋_GB2312" w:eastAsia="仿宋_GB2312" w:cs="仿宋_GB2312"/>
                <w:sz w:val="28"/>
                <w:szCs w:val="20"/>
              </w:rPr>
            </w:pPr>
          </w:p>
        </w:tc>
        <w:tc>
          <w:tcPr>
            <w:tcW w:w="1080" w:type="dxa"/>
            <w:vAlign w:val="center"/>
          </w:tcPr>
          <w:p>
            <w:pPr>
              <w:pStyle w:val="47"/>
              <w:jc w:val="center"/>
              <w:rPr>
                <w:rFonts w:hint="eastAsia" w:ascii="仿宋_GB2312" w:hAnsi="仿宋_GB2312" w:eastAsia="仿宋_GB2312" w:cs="仿宋_GB2312"/>
                <w:sz w:val="28"/>
                <w:szCs w:val="20"/>
              </w:rPr>
            </w:pPr>
          </w:p>
        </w:tc>
        <w:tc>
          <w:tcPr>
            <w:tcW w:w="1080" w:type="dxa"/>
            <w:vAlign w:val="center"/>
          </w:tcPr>
          <w:p>
            <w:pPr>
              <w:pStyle w:val="47"/>
              <w:jc w:val="center"/>
              <w:rPr>
                <w:rFonts w:hint="eastAsia" w:ascii="仿宋_GB2312" w:hAnsi="仿宋_GB2312" w:eastAsia="仿宋_GB2312" w:cs="仿宋_GB2312"/>
                <w:sz w:val="28"/>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1138" w:type="dxa"/>
            <w:vAlign w:val="center"/>
          </w:tcPr>
          <w:p>
            <w:pPr>
              <w:pStyle w:val="47"/>
              <w:jc w:val="center"/>
              <w:rPr>
                <w:rFonts w:hint="eastAsia" w:ascii="仿宋_GB2312" w:hAnsi="仿宋_GB2312" w:eastAsia="仿宋_GB2312" w:cs="仿宋_GB2312"/>
                <w:szCs w:val="20"/>
              </w:rPr>
            </w:pPr>
          </w:p>
        </w:tc>
        <w:tc>
          <w:tcPr>
            <w:tcW w:w="2722" w:type="dxa"/>
            <w:vAlign w:val="center"/>
          </w:tcPr>
          <w:p>
            <w:pPr>
              <w:pStyle w:val="47"/>
              <w:spacing w:before="2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县级财政资金</w:t>
            </w:r>
          </w:p>
        </w:tc>
        <w:tc>
          <w:tcPr>
            <w:tcW w:w="1506" w:type="dxa"/>
            <w:vAlign w:val="center"/>
          </w:tcPr>
          <w:p>
            <w:pPr>
              <w:pStyle w:val="47"/>
              <w:spacing w:before="28"/>
              <w:ind w:left="340" w:right="332"/>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7.71</w:t>
            </w:r>
          </w:p>
        </w:tc>
        <w:tc>
          <w:tcPr>
            <w:tcW w:w="1440" w:type="dxa"/>
            <w:vAlign w:val="center"/>
          </w:tcPr>
          <w:p>
            <w:pPr>
              <w:pStyle w:val="47"/>
              <w:jc w:val="center"/>
              <w:rPr>
                <w:rFonts w:hint="eastAsia" w:ascii="仿宋_GB2312" w:hAnsi="仿宋_GB2312" w:eastAsia="仿宋_GB2312" w:cs="仿宋_GB2312"/>
                <w:szCs w:val="20"/>
              </w:rPr>
            </w:pPr>
          </w:p>
        </w:tc>
        <w:tc>
          <w:tcPr>
            <w:tcW w:w="633"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jc w:val="center"/>
        </w:trPr>
        <w:tc>
          <w:tcPr>
            <w:tcW w:w="1138" w:type="dxa"/>
            <w:vAlign w:val="center"/>
          </w:tcPr>
          <w:p>
            <w:pPr>
              <w:pStyle w:val="47"/>
              <w:jc w:val="center"/>
              <w:rPr>
                <w:rFonts w:hint="eastAsia" w:ascii="仿宋_GB2312" w:hAnsi="仿宋_GB2312" w:eastAsia="仿宋_GB2312" w:cs="仿宋_GB2312"/>
                <w:szCs w:val="20"/>
              </w:rPr>
            </w:pPr>
          </w:p>
        </w:tc>
        <w:tc>
          <w:tcPr>
            <w:tcW w:w="2722" w:type="dxa"/>
            <w:vAlign w:val="center"/>
          </w:tcPr>
          <w:p>
            <w:pPr>
              <w:pStyle w:val="47"/>
              <w:spacing w:before="28"/>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其他资金</w:t>
            </w:r>
          </w:p>
        </w:tc>
        <w:tc>
          <w:tcPr>
            <w:tcW w:w="1506" w:type="dxa"/>
            <w:vAlign w:val="center"/>
          </w:tcPr>
          <w:p>
            <w:pPr>
              <w:pStyle w:val="47"/>
              <w:spacing w:before="28"/>
              <w:ind w:left="5"/>
              <w:jc w:val="center"/>
              <w:rPr>
                <w:rFonts w:hint="eastAsia" w:ascii="仿宋_GB2312" w:hAnsi="仿宋_GB2312" w:eastAsia="仿宋_GB2312" w:cs="仿宋_GB2312"/>
                <w:sz w:val="20"/>
                <w:szCs w:val="20"/>
              </w:rPr>
            </w:pPr>
            <w:r>
              <w:rPr>
                <w:rFonts w:hint="eastAsia" w:ascii="仿宋_GB2312" w:hAnsi="仿宋_GB2312" w:eastAsia="仿宋_GB2312" w:cs="仿宋_GB2312"/>
                <w:w w:val="99"/>
                <w:sz w:val="20"/>
                <w:szCs w:val="20"/>
              </w:rPr>
              <w:t>0</w:t>
            </w:r>
          </w:p>
        </w:tc>
        <w:tc>
          <w:tcPr>
            <w:tcW w:w="1440" w:type="dxa"/>
            <w:vAlign w:val="center"/>
          </w:tcPr>
          <w:p>
            <w:pPr>
              <w:pStyle w:val="47"/>
              <w:jc w:val="center"/>
              <w:rPr>
                <w:rFonts w:hint="eastAsia" w:ascii="仿宋_GB2312" w:hAnsi="仿宋_GB2312" w:eastAsia="仿宋_GB2312" w:cs="仿宋_GB2312"/>
                <w:szCs w:val="20"/>
              </w:rPr>
            </w:pPr>
          </w:p>
        </w:tc>
        <w:tc>
          <w:tcPr>
            <w:tcW w:w="633"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c>
          <w:tcPr>
            <w:tcW w:w="1080" w:type="dxa"/>
            <w:vAlign w:val="center"/>
          </w:tcPr>
          <w:p>
            <w:pPr>
              <w:pStyle w:val="47"/>
              <w:jc w:val="center"/>
              <w:rPr>
                <w:rFonts w:hint="eastAsia" w:ascii="仿宋_GB2312" w:hAnsi="仿宋_GB2312" w:eastAsia="仿宋_GB2312" w:cs="仿宋_GB2312"/>
                <w:szCs w:val="20"/>
              </w:rPr>
            </w:pPr>
          </w:p>
        </w:tc>
      </w:tr>
    </w:tbl>
    <w:p>
      <w:pPr>
        <w:keepNext w:val="0"/>
        <w:keepLines w:val="0"/>
        <w:pageBreakBefore w:val="0"/>
        <w:kinsoku/>
        <w:wordWrap/>
        <w:overflowPunct/>
        <w:topLinePunct w:val="0"/>
        <w:bidi w:val="0"/>
        <w:spacing w:after="0" w:line="576" w:lineRule="exact"/>
        <w:ind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（三）项目财务管理情况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各项目实施单位财务管理制度健全，严格执行财务管理制度，账务处理及时，会计核算规范。</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三、项目实施及管理情况</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（一）项目组织架构及实施流程</w:t>
      </w:r>
    </w:p>
    <w:p>
      <w:pPr>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申报项目－项目执行－项目监督－项目评价</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（二）项目管理情况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结合项目特点，总体评价各项目实施单位执行相关法律法规及项目管理制度等情况，如招投标、政府采购、项目公示制等相关规定。</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（三）项目监管情况</w:t>
      </w:r>
    </w:p>
    <w:p>
      <w:pPr>
        <w:keepNext w:val="0"/>
        <w:keepLines w:val="0"/>
        <w:pageBreakBefore w:val="0"/>
        <w:numPr>
          <w:ilvl w:val="0"/>
          <w:numId w:val="0"/>
        </w:numPr>
        <w:kinsoku/>
        <w:wordWrap/>
        <w:overflowPunct/>
        <w:topLinePunct w:val="0"/>
        <w:bidi w:val="0"/>
        <w:spacing w:after="0" w:line="576" w:lineRule="exact"/>
        <w:ind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演圣镇人民政府清运项目的实施，确保城乡垃圾日产日清，改善城乡卫生环境，同时项目实施监督到位，产生良好的社会环境效益。</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四、项目绩效情况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（一）项目完成情况</w:t>
      </w:r>
    </w:p>
    <w:p>
      <w:pPr>
        <w:pStyle w:val="2"/>
        <w:keepNext w:val="0"/>
        <w:keepLines w:val="0"/>
        <w:pageBreakBefore w:val="0"/>
        <w:kinsoku/>
        <w:wordWrap/>
        <w:overflowPunct/>
        <w:topLinePunct w:val="0"/>
        <w:bidi w:val="0"/>
        <w:spacing w:after="0" w:line="576" w:lineRule="exact"/>
        <w:ind w:left="0" w:leftChars="0" w:right="0" w:firstLine="640" w:firstLineChars="200"/>
        <w:jc w:val="both"/>
        <w:textAlignment w:val="auto"/>
      </w:pPr>
      <w:r>
        <w:rPr>
          <w:rFonts w:hint="eastAsia" w:ascii="仿宋_GB2312" w:hAnsi="仿宋_GB2312" w:eastAsia="仿宋_GB2312" w:cs="仿宋_GB2312"/>
          <w:b w:val="0"/>
          <w:bCs w:val="0"/>
          <w:color w:val="000000"/>
          <w:sz w:val="32"/>
          <w:szCs w:val="32"/>
          <w:lang w:val="en-US" w:eastAsia="zh-CN" w:bidi="ar-SA"/>
        </w:rPr>
        <w:t>本项目实施组织严密，管理规范有序，资金使用管理到位，实施后社会经济效益凸显。县环卫处成立专门机构考核办，配备专职人员，对垃圾收集、清运实施日常监督和考核。</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生活垃圾无害化处理场配备专职人员，对垃圾处理实施日常监督和考核。为加强项目的资金管理，我镇制定了重点工程项目建设管理和财务管理制度，并将该项目纳入县级重点工程财务核算，实行集中支付和报账制，确保资金封闭运行，项目实施中县财政、县审计以及监察部门定期或不定期</w:t>
      </w:r>
      <w:r>
        <w:rPr>
          <w:rFonts w:hint="eastAsia" w:hAnsi="仿宋_GB2312" w:cs="仿宋_GB2312"/>
          <w:b w:val="0"/>
          <w:bCs w:val="0"/>
          <w:color w:val="000000"/>
          <w:sz w:val="32"/>
          <w:szCs w:val="32"/>
          <w:lang w:val="en-US" w:eastAsia="zh-CN" w:bidi="ar-SA"/>
        </w:rPr>
        <w:t>地</w:t>
      </w:r>
      <w:r>
        <w:rPr>
          <w:rFonts w:hint="eastAsia" w:ascii="仿宋_GB2312" w:hAnsi="仿宋_GB2312" w:eastAsia="仿宋_GB2312" w:cs="仿宋_GB2312"/>
          <w:b w:val="0"/>
          <w:bCs w:val="0"/>
          <w:color w:val="000000"/>
          <w:sz w:val="32"/>
          <w:szCs w:val="32"/>
          <w:lang w:val="en-US" w:eastAsia="zh-CN" w:bidi="ar-SA"/>
        </w:rPr>
        <w:t>实行检查、督察，确保项目资金的安全运行。资金使用过程中，严把监督审核关，建立健全内部审批制度。对每笔用款申请，在所附资料齐备的情况下，经审核确认后再报县财政局审批后付款。确保了城乡垃圾的日产日清，改善了城乡卫生环境，项目实施到位，产生了良好的社会环境效益。</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（二）项目效益情况</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1.社会效益。</w:t>
      </w:r>
      <w:r>
        <w:rPr>
          <w:rFonts w:hint="eastAsia" w:ascii="仿宋_GB2312" w:hAnsi="仿宋_GB2312" w:eastAsia="仿宋_GB2312" w:cs="仿宋_GB2312"/>
          <w:b w:val="0"/>
          <w:bCs w:val="0"/>
          <w:color w:val="000000"/>
          <w:sz w:val="32"/>
          <w:szCs w:val="32"/>
          <w:lang w:val="en-US" w:eastAsia="zh-CN" w:bidi="ar-SA"/>
        </w:rPr>
        <w:t>通过项目的实施，可改善居民的生活和生态环境，进而提高居民的生活水平和健康水平，保护</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镇整体环境和恢复生态平衡，保证整个</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镇社会经济又好又快发展。</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2.环境效益。</w:t>
      </w:r>
      <w:r>
        <w:rPr>
          <w:rFonts w:hint="eastAsia" w:ascii="仿宋_GB2312" w:hAnsi="仿宋_GB2312" w:eastAsia="仿宋_GB2312" w:cs="仿宋_GB2312"/>
          <w:b w:val="0"/>
          <w:bCs w:val="0"/>
          <w:color w:val="000000"/>
          <w:sz w:val="32"/>
          <w:szCs w:val="32"/>
          <w:lang w:val="en-US" w:eastAsia="zh-CN" w:bidi="ar-SA"/>
        </w:rPr>
        <w:t>通过项目的实施，将</w:t>
      </w:r>
      <w:r>
        <w:rPr>
          <w:rFonts w:hint="eastAsia" w:hAnsi="仿宋_GB2312" w:cs="仿宋_GB2312"/>
          <w:b w:val="0"/>
          <w:bCs w:val="0"/>
          <w:color w:val="000000"/>
          <w:sz w:val="32"/>
          <w:szCs w:val="32"/>
          <w:lang w:val="en-US" w:eastAsia="zh-CN" w:bidi="ar-SA"/>
        </w:rPr>
        <w:t>能够有力地的</w:t>
      </w:r>
      <w:r>
        <w:rPr>
          <w:rFonts w:hint="eastAsia" w:ascii="仿宋_GB2312" w:hAnsi="仿宋_GB2312" w:eastAsia="仿宋_GB2312" w:cs="仿宋_GB2312"/>
          <w:b w:val="0"/>
          <w:bCs w:val="0"/>
          <w:color w:val="000000"/>
          <w:sz w:val="32"/>
          <w:szCs w:val="32"/>
          <w:lang w:val="en-US" w:eastAsia="zh-CN" w:bidi="ar-SA"/>
        </w:rPr>
        <w:t>缓解生活垃圾带来的环境污染和各种社会、经济问题，改善全县大气环境质量，消除和减少疾病传播，从而改善</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镇城市容貌和环境卫生条件，提高</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 xml:space="preserve">镇的招商引资能力。 </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3.经济效益。</w:t>
      </w:r>
      <w:r>
        <w:rPr>
          <w:rFonts w:hint="eastAsia" w:ascii="仿宋_GB2312" w:hAnsi="仿宋_GB2312" w:eastAsia="仿宋_GB2312" w:cs="仿宋_GB2312"/>
          <w:b w:val="0"/>
          <w:bCs w:val="0"/>
          <w:color w:val="000000"/>
          <w:sz w:val="32"/>
          <w:szCs w:val="32"/>
          <w:lang w:val="en-US" w:eastAsia="zh-CN" w:bidi="ar-SA"/>
        </w:rPr>
        <w:t>每吨生活垃圾可以分选出48.8%的替代煤作为水泥窑燃料。按照RDF的低位热值1800Kcal/吨RDF，通过项目的实施可以每年节约一定数量标煤，具有显著的经济效益。</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kern w:val="2"/>
          <w:sz w:val="32"/>
          <w:szCs w:val="32"/>
          <w:lang w:val="en-US" w:eastAsia="zh-CN" w:bidi="ar-SA"/>
        </w:rPr>
        <w:t>4.可持续影响。</w:t>
      </w:r>
      <w:r>
        <w:rPr>
          <w:rFonts w:hint="eastAsia" w:ascii="仿宋_GB2312" w:hAnsi="仿宋_GB2312" w:eastAsia="仿宋_GB2312" w:cs="仿宋_GB2312"/>
          <w:b w:val="0"/>
          <w:bCs w:val="0"/>
          <w:color w:val="000000"/>
          <w:sz w:val="32"/>
          <w:szCs w:val="32"/>
          <w:lang w:val="en-US" w:eastAsia="zh-CN" w:bidi="ar-SA"/>
        </w:rPr>
        <w:t>通过项目的实施，可持续地改善垃圾 收集转运及处理效率，加强再生资源利用、垃圾分类回收仓储，可持续提高人民生活质量，并可取得良好的社会、经济和环境效益，具有可持续影响。</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五、评价结论及建议</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（一）评价结论</w:t>
      </w:r>
    </w:p>
    <w:p>
      <w:pPr>
        <w:pStyle w:val="2"/>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我们认为：</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镇人民政府的清运项目实施，确保了城乡垃圾的日产日清，改善了城乡卫生环境，项目实施到位，产生了良好的社会环境效益。</w:t>
      </w:r>
    </w:p>
    <w:p>
      <w:pPr>
        <w:pStyle w:val="2"/>
        <w:keepNext w:val="0"/>
        <w:keepLines w:val="0"/>
        <w:pageBreakBefore w:val="0"/>
        <w:kinsoku/>
        <w:wordWrap/>
        <w:overflowPunct/>
        <w:topLinePunct w:val="0"/>
        <w:bidi w:val="0"/>
        <w:spacing w:after="0" w:line="576" w:lineRule="exact"/>
        <w:ind w:left="0" w:leftChars="0" w:right="0" w:firstLine="640" w:firstLineChars="200"/>
        <w:jc w:val="both"/>
        <w:textAlignment w:val="auto"/>
      </w:pPr>
      <w:r>
        <w:rPr>
          <w:rFonts w:hint="eastAsia" w:ascii="仿宋_GB2312" w:hAnsi="仿宋_GB2312" w:eastAsia="仿宋_GB2312" w:cs="仿宋_GB2312"/>
          <w:b w:val="0"/>
          <w:bCs w:val="0"/>
          <w:color w:val="000000"/>
          <w:sz w:val="32"/>
          <w:szCs w:val="32"/>
          <w:lang w:val="en-US" w:eastAsia="zh-CN" w:bidi="ar-SA"/>
        </w:rPr>
        <w:t>根据</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镇人民政府清运项目绩效评价指标表考评，此次评价指标总分值98分，综合得分为90分，其中：产出指标总分值50分，评价得分50分，效益指标总分值30分，评价得分30分，满意度指标分值10分，评价得分10分，</w:t>
      </w:r>
    </w:p>
    <w:p>
      <w:pPr>
        <w:pStyle w:val="44"/>
        <w:keepNext w:val="0"/>
        <w:keepLines w:val="0"/>
        <w:pageBreakBefore w:val="0"/>
        <w:kinsoku/>
        <w:wordWrap/>
        <w:overflowPunct/>
        <w:topLinePunct w:val="0"/>
        <w:bidi w:val="0"/>
        <w:spacing w:before="0" w:after="0" w:line="576" w:lineRule="exact"/>
        <w:ind w:left="0" w:leftChars="0" w:right="0" w:firstLine="640" w:firstLineChars="200"/>
        <w:jc w:val="both"/>
        <w:textAlignment w:val="auto"/>
        <w:rPr>
          <w:b w:val="0"/>
        </w:rPr>
      </w:pPr>
      <w:r>
        <w:rPr>
          <w:b w:val="0"/>
        </w:rPr>
        <w:t>财务指标分值10分，评价得分8分。评价等次：优。</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（二）存在问题</w:t>
      </w:r>
    </w:p>
    <w:p>
      <w:pPr>
        <w:pStyle w:val="2"/>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未严格执行考核制度。垃圾收集、清运、处理的监督考核部门虽然建立了对项目实施单位垃圾收集、清运、处理的考核监督制度，考核细则健全，扣分项目、处罚措施明确。但是，</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镇生活垃圾无害化处理场未执行考核制度，即未对项目实施方的垃圾处理过程和结果进行考核。</w:t>
      </w:r>
    </w:p>
    <w:p>
      <w:pPr>
        <w:pStyle w:val="44"/>
        <w:keepNext w:val="0"/>
        <w:keepLines w:val="0"/>
        <w:pageBreakBefore w:val="0"/>
        <w:kinsoku/>
        <w:wordWrap/>
        <w:overflowPunct/>
        <w:topLinePunct w:val="0"/>
        <w:bidi w:val="0"/>
        <w:spacing w:before="0"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（三）相关建议</w:t>
      </w:r>
    </w:p>
    <w:p>
      <w:pPr>
        <w:pStyle w:val="2"/>
        <w:keepNext w:val="0"/>
        <w:keepLines w:val="0"/>
        <w:pageBreakBefore w:val="0"/>
        <w:kinsoku/>
        <w:wordWrap/>
        <w:overflowPunct/>
        <w:topLinePunct w:val="0"/>
        <w:bidi w:val="0"/>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环境卫生项目建设完成后，要经常监督检查其使用情况， 并做好后期维护和保养工作；</w:t>
      </w:r>
      <w:r>
        <w:rPr>
          <w:rFonts w:hint="eastAsia" w:hAnsi="仿宋_GB2312" w:cs="仿宋_GB2312"/>
          <w:b w:val="0"/>
          <w:bCs w:val="0"/>
          <w:color w:val="000000"/>
          <w:sz w:val="32"/>
          <w:szCs w:val="32"/>
          <w:lang w:val="en-US" w:eastAsia="zh-CN" w:bidi="ar-SA"/>
        </w:rPr>
        <w:t>重视</w:t>
      </w:r>
      <w:r>
        <w:rPr>
          <w:rFonts w:hint="eastAsia" w:ascii="仿宋_GB2312" w:hAnsi="仿宋_GB2312" w:eastAsia="仿宋_GB2312" w:cs="仿宋_GB2312"/>
          <w:b w:val="0"/>
          <w:bCs w:val="0"/>
          <w:color w:val="000000"/>
          <w:sz w:val="32"/>
          <w:szCs w:val="32"/>
          <w:lang w:val="en-US" w:eastAsia="zh-CN" w:bidi="ar-SA"/>
        </w:rPr>
        <w:t>环卫设施的保洁除味工作</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 xml:space="preserve"> 及时清理垃圾，多用清洁垃圾桶；及时维修环卫设备，尽量避免垃圾车漏水污染环境；加强垃圾中转站、垃圾压缩站的管理，防止“跑、冒、滴、臭”，改善周边环境，防止二次污染。</w:t>
      </w:r>
    </w:p>
    <w:p>
      <w:pPr>
        <w:keepNext w:val="0"/>
        <w:keepLines w:val="0"/>
        <w:pageBreakBefore w:val="0"/>
        <w:kinsoku/>
        <w:wordWrap/>
        <w:overflowPunct/>
        <w:topLinePunct w:val="0"/>
        <w:bidi w:val="0"/>
        <w:spacing w:after="0" w:line="576" w:lineRule="exact"/>
        <w:ind w:left="0" w:leftChars="0" w:right="0" w:firstLine="420" w:firstLineChars="200"/>
        <w:jc w:val="both"/>
        <w:textAlignment w:val="auto"/>
        <w:sectPr>
          <w:footerReference r:id="rId3" w:type="default"/>
          <w:pgSz w:w="11910" w:h="16840"/>
          <w:pgMar w:top="1440" w:right="1803" w:bottom="1440" w:left="1803" w:header="0" w:footer="1197" w:gutter="0"/>
          <w:pgNumType w:fmt="decimal"/>
          <w:cols w:space="720" w:num="1"/>
        </w:sectPr>
      </w:pPr>
    </w:p>
    <w:p>
      <w:pPr>
        <w:pStyle w:val="2"/>
        <w:spacing w:before="29"/>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附表</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2022年垃圾清运及处置费项目绩效目标</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自评</w:t>
      </w:r>
    </w:p>
    <w:p>
      <w:pPr>
        <w:pStyle w:val="2"/>
        <w:spacing w:before="7" w:after="1"/>
        <w:ind w:left="0"/>
        <w:rPr>
          <w:rFonts w:ascii="宋体"/>
          <w:b/>
          <w:sz w:val="10"/>
        </w:rPr>
      </w:pPr>
    </w:p>
    <w:tbl>
      <w:tblPr>
        <w:tblStyle w:val="18"/>
        <w:tblW w:w="10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1157"/>
        <w:gridCol w:w="1891"/>
        <w:gridCol w:w="1484"/>
        <w:gridCol w:w="1575"/>
        <w:gridCol w:w="27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jc w:val="center"/>
        </w:trPr>
        <w:tc>
          <w:tcPr>
            <w:tcW w:w="2406" w:type="dxa"/>
            <w:gridSpan w:val="2"/>
            <w:vAlign w:val="center"/>
          </w:tcPr>
          <w:p>
            <w:pPr>
              <w:pStyle w:val="47"/>
              <w:spacing w:before="16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主管部门及代码</w:t>
            </w:r>
          </w:p>
        </w:tc>
        <w:tc>
          <w:tcPr>
            <w:tcW w:w="3375" w:type="dxa"/>
            <w:gridSpan w:val="2"/>
          </w:tcPr>
          <w:p>
            <w:pPr>
              <w:pStyle w:val="47"/>
              <w:spacing w:before="165"/>
              <w:ind w:left="10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剑阁县财政局</w:t>
            </w:r>
          </w:p>
        </w:tc>
        <w:tc>
          <w:tcPr>
            <w:tcW w:w="1575" w:type="dxa"/>
          </w:tcPr>
          <w:p>
            <w:pPr>
              <w:pStyle w:val="47"/>
              <w:spacing w:before="165"/>
              <w:ind w:left="12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实施单位</w:t>
            </w:r>
          </w:p>
        </w:tc>
        <w:tc>
          <w:tcPr>
            <w:tcW w:w="2711" w:type="dxa"/>
            <w:vAlign w:val="center"/>
          </w:tcPr>
          <w:p>
            <w:pPr>
              <w:pStyle w:val="47"/>
              <w:spacing w:before="4"/>
              <w:ind w:left="100"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eastAsia="zh-CN"/>
              </w:rPr>
              <w:t>演圣镇</w:t>
            </w:r>
            <w:r>
              <w:rPr>
                <w:rFonts w:hint="eastAsia" w:ascii="仿宋_GB2312" w:hAnsi="仿宋_GB2312" w:eastAsia="仿宋_GB2312" w:cs="仿宋_GB2312"/>
                <w:sz w:val="24"/>
                <w:szCs w:val="24"/>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06" w:type="dxa"/>
            <w:gridSpan w:val="2"/>
            <w:vMerge w:val="restart"/>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项目预算执行情况</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891" w:type="dxa"/>
          </w:tcPr>
          <w:p>
            <w:pPr>
              <w:pStyle w:val="47"/>
              <w:spacing w:before="14" w:line="306"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预算数：</w:t>
            </w:r>
          </w:p>
        </w:tc>
        <w:tc>
          <w:tcPr>
            <w:tcW w:w="1484" w:type="dxa"/>
          </w:tcPr>
          <w:p>
            <w:pPr>
              <w:pStyle w:val="47"/>
              <w:spacing w:before="14" w:line="306" w:lineRule="exact"/>
              <w:ind w:left="10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0"/>
                <w:szCs w:val="20"/>
                <w:lang w:val="en-US" w:eastAsia="zh-CN"/>
              </w:rPr>
              <w:t>7.71</w:t>
            </w:r>
          </w:p>
        </w:tc>
        <w:tc>
          <w:tcPr>
            <w:tcW w:w="1575" w:type="dxa"/>
          </w:tcPr>
          <w:p>
            <w:pPr>
              <w:pStyle w:val="47"/>
              <w:spacing w:before="14" w:line="306"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执数：</w:t>
            </w:r>
          </w:p>
        </w:tc>
        <w:tc>
          <w:tcPr>
            <w:tcW w:w="2711" w:type="dxa"/>
          </w:tcPr>
          <w:p>
            <w:pPr>
              <w:pStyle w:val="47"/>
              <w:spacing w:before="14" w:line="306" w:lineRule="exact"/>
              <w:ind w:right="10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0"/>
                <w:szCs w:val="20"/>
                <w:lang w:val="en-US" w:eastAsia="zh-CN"/>
              </w:rPr>
              <w:t>7.71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2406" w:type="dxa"/>
            <w:gridSpan w:val="2"/>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before="4"/>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1484" w:type="dxa"/>
          </w:tcPr>
          <w:p>
            <w:pPr>
              <w:pStyle w:val="47"/>
              <w:spacing w:before="165"/>
              <w:ind w:left="103"/>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0"/>
                <w:szCs w:val="20"/>
                <w:lang w:val="en-US" w:eastAsia="zh-CN"/>
              </w:rPr>
              <w:t>7.71</w:t>
            </w:r>
          </w:p>
        </w:tc>
        <w:tc>
          <w:tcPr>
            <w:tcW w:w="1575" w:type="dxa"/>
          </w:tcPr>
          <w:p>
            <w:pPr>
              <w:pStyle w:val="47"/>
              <w:spacing w:before="4"/>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2711" w:type="dxa"/>
          </w:tcPr>
          <w:p>
            <w:pPr>
              <w:pStyle w:val="47"/>
              <w:spacing w:before="165"/>
              <w:ind w:left="104" w:firstLine="800" w:firstLineChars="4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0"/>
                <w:szCs w:val="20"/>
                <w:lang w:val="en-US" w:eastAsia="zh-CN"/>
              </w:rPr>
              <w:t>7.71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2406" w:type="dxa"/>
            <w:gridSpan w:val="2"/>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before="14" w:line="306" w:lineRule="exact"/>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484" w:type="dxa"/>
          </w:tcPr>
          <w:p>
            <w:pPr>
              <w:pStyle w:val="47"/>
              <w:spacing w:before="14" w:line="306" w:lineRule="exact"/>
              <w:ind w:lef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575" w:type="dxa"/>
          </w:tcPr>
          <w:p>
            <w:pPr>
              <w:pStyle w:val="47"/>
              <w:spacing w:before="14" w:line="306"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2711" w:type="dxa"/>
          </w:tcPr>
          <w:p>
            <w:pPr>
              <w:pStyle w:val="47"/>
              <w:spacing w:before="14" w:line="306" w:lineRule="exact"/>
              <w:ind w:righ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249" w:type="dxa"/>
            <w:vMerge w:val="restart"/>
          </w:tcPr>
          <w:p>
            <w:pPr>
              <w:pStyle w:val="47"/>
              <w:spacing w:before="3"/>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年度总体目标完成情况</w:t>
            </w:r>
          </w:p>
        </w:tc>
        <w:tc>
          <w:tcPr>
            <w:tcW w:w="4532" w:type="dxa"/>
            <w:gridSpan w:val="3"/>
          </w:tcPr>
          <w:p>
            <w:pPr>
              <w:pStyle w:val="47"/>
              <w:spacing w:before="4" w:line="294" w:lineRule="exact"/>
              <w:ind w:left="1479" w:right="14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预期目标</w:t>
            </w:r>
          </w:p>
        </w:tc>
        <w:tc>
          <w:tcPr>
            <w:tcW w:w="4286" w:type="dxa"/>
            <w:gridSpan w:val="2"/>
            <w:vAlign w:val="center"/>
          </w:tcPr>
          <w:p>
            <w:pPr>
              <w:pStyle w:val="47"/>
              <w:spacing w:before="4" w:line="29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4532" w:type="dxa"/>
            <w:gridSpan w:val="3"/>
            <w:vAlign w:val="center"/>
          </w:tcPr>
          <w:p>
            <w:pPr>
              <w:pStyle w:val="47"/>
              <w:spacing w:before="31" w:line="249" w:lineRule="auto"/>
              <w:ind w:left="105" w:right="98"/>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保障场镇及周边的优美环境，清运垃</w:t>
            </w:r>
            <w:r>
              <w:rPr>
                <w:rFonts w:hint="eastAsia" w:ascii="仿宋_GB2312" w:hAnsi="仿宋_GB2312" w:eastAsia="仿宋_GB2312" w:cs="仿宋_GB2312"/>
                <w:sz w:val="24"/>
                <w:szCs w:val="24"/>
              </w:rPr>
              <w:t>圾。</w:t>
            </w:r>
          </w:p>
        </w:tc>
        <w:tc>
          <w:tcPr>
            <w:tcW w:w="4286" w:type="dxa"/>
            <w:gridSpan w:val="2"/>
            <w:vAlign w:val="center"/>
          </w:tcPr>
          <w:p>
            <w:pPr>
              <w:pStyle w:val="47"/>
              <w:spacing w:before="31" w:line="249" w:lineRule="auto"/>
              <w:ind w:left="105" w:right="15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做到场镇及周边的优美环境，清运垃圾及时到位。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249" w:type="dxa"/>
            <w:vMerge w:val="restart"/>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textAlignment w:val="auto"/>
              <w:rPr>
                <w:rFonts w:hint="eastAsia" w:ascii="仿宋_GB2312" w:hAnsi="仿宋_GB2312" w:eastAsia="仿宋_GB2312" w:cs="仿宋_GB2312"/>
                <w:b/>
                <w:sz w:val="24"/>
                <w:szCs w:val="24"/>
              </w:rPr>
            </w:pP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2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年度绩效</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2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指标</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27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完成情况</w:t>
            </w:r>
          </w:p>
        </w:tc>
        <w:tc>
          <w:tcPr>
            <w:tcW w:w="1157" w:type="dxa"/>
            <w:vAlign w:val="center"/>
          </w:tcPr>
          <w:p>
            <w:pPr>
              <w:pStyle w:val="47"/>
              <w:spacing w:before="29" w:line="320" w:lineRule="exact"/>
              <w:ind w:left="287" w:right="28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w:t>
            </w:r>
          </w:p>
          <w:p>
            <w:pPr>
              <w:pStyle w:val="47"/>
              <w:spacing w:before="29" w:line="320" w:lineRule="exact"/>
              <w:ind w:left="287" w:right="28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二级</w:t>
            </w:r>
          </w:p>
          <w:p>
            <w:pPr>
              <w:pStyle w:val="47"/>
              <w:keepNext w:val="0"/>
              <w:keepLines w:val="0"/>
              <w:pageBreakBefore w:val="0"/>
              <w:widowControl w:val="0"/>
              <w:kinsoku/>
              <w:wordWrap/>
              <w:overflowPunct/>
              <w:topLinePunct w:val="0"/>
              <w:autoSpaceDE w:val="0"/>
              <w:autoSpaceDN w:val="0"/>
              <w:bidi w:val="0"/>
              <w:adjustRightInd/>
              <w:snapToGrid/>
              <w:spacing w:line="320" w:lineRule="exact"/>
              <w:ind w:left="0"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指标</w:t>
            </w:r>
          </w:p>
        </w:tc>
        <w:tc>
          <w:tcPr>
            <w:tcW w:w="1484" w:type="dxa"/>
            <w:vAlign w:val="center"/>
          </w:tcPr>
          <w:p>
            <w:pPr>
              <w:pStyle w:val="47"/>
              <w:spacing w:before="29" w:line="320" w:lineRule="exact"/>
              <w:ind w:left="310"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w:t>
            </w:r>
          </w:p>
          <w:p>
            <w:pPr>
              <w:pStyle w:val="47"/>
              <w:spacing w:before="29" w:line="320" w:lineRule="exact"/>
              <w:ind w:left="310"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575" w:type="dxa"/>
            <w:vAlign w:val="center"/>
          </w:tcPr>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w:t>
            </w:r>
          </w:p>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c>
          <w:tcPr>
            <w:tcW w:w="2711" w:type="dxa"/>
            <w:vAlign w:val="center"/>
          </w:tcPr>
          <w:p>
            <w:pPr>
              <w:pStyle w:val="47"/>
              <w:spacing w:before="16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8"/>
              <w:rPr>
                <w:rFonts w:hint="eastAsia" w:ascii="仿宋_GB2312" w:hAnsi="仿宋_GB2312" w:eastAsia="仿宋_GB2312" w:cs="仿宋_GB2312"/>
                <w:b/>
                <w:sz w:val="24"/>
                <w:szCs w:val="24"/>
              </w:rPr>
            </w:pPr>
          </w:p>
          <w:p>
            <w:pPr>
              <w:pStyle w:val="47"/>
              <w:spacing w:line="213"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完成指标</w:t>
            </w: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场镇及</w:t>
            </w:r>
            <w:r>
              <w:rPr>
                <w:rFonts w:hint="eastAsia" w:ascii="仿宋_GB2312" w:hAnsi="仿宋_GB2312" w:eastAsia="仿宋_GB2312" w:cs="仿宋_GB2312"/>
                <w:spacing w:val="-7"/>
                <w:sz w:val="24"/>
                <w:szCs w:val="24"/>
              </w:rPr>
              <w:t>周边垃圾清运</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5"/>
                <w:sz w:val="24"/>
                <w:szCs w:val="24"/>
              </w:rPr>
              <w:t>车</w:t>
            </w:r>
            <w:r>
              <w:rPr>
                <w:rFonts w:hint="eastAsia" w:ascii="仿宋_GB2312" w:hAnsi="仿宋_GB2312" w:eastAsia="仿宋_GB2312" w:cs="仿宋_GB2312"/>
                <w:sz w:val="24"/>
                <w:szCs w:val="24"/>
              </w:rPr>
              <w:t>）</w:t>
            </w:r>
          </w:p>
        </w:tc>
        <w:tc>
          <w:tcPr>
            <w:tcW w:w="1575" w:type="dxa"/>
            <w:vAlign w:val="center"/>
          </w:tcPr>
          <w:p>
            <w:pPr>
              <w:pStyle w:val="47"/>
              <w:spacing w:before="2"/>
              <w:jc w:val="center"/>
              <w:rPr>
                <w:rFonts w:hint="eastAsia" w:ascii="仿宋_GB2312" w:hAnsi="仿宋_GB2312" w:eastAsia="仿宋_GB2312" w:cs="仿宋_GB2312"/>
                <w:b/>
                <w:sz w:val="24"/>
                <w:szCs w:val="24"/>
              </w:rPr>
            </w:pPr>
          </w:p>
          <w:p>
            <w:pPr>
              <w:pStyle w:val="47"/>
              <w:ind w:left="328"/>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w:t>
            </w:r>
          </w:p>
        </w:tc>
        <w:tc>
          <w:tcPr>
            <w:tcW w:w="2711" w:type="dxa"/>
            <w:vAlign w:val="center"/>
          </w:tcPr>
          <w:p>
            <w:pPr>
              <w:pStyle w:val="47"/>
              <w:spacing w:before="2"/>
              <w:jc w:val="center"/>
              <w:rPr>
                <w:rFonts w:hint="eastAsia" w:ascii="仿宋_GB2312" w:hAnsi="仿宋_GB2312" w:eastAsia="仿宋_GB2312" w:cs="仿宋_GB2312"/>
                <w:b/>
                <w:sz w:val="24"/>
                <w:szCs w:val="24"/>
              </w:rPr>
            </w:pPr>
          </w:p>
          <w:p>
            <w:pPr>
              <w:pStyle w:val="47"/>
              <w:ind w:left="100" w:right="1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质量</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环境卫</w:t>
            </w:r>
          </w:p>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生质量</w:t>
            </w:r>
          </w:p>
        </w:tc>
        <w:tc>
          <w:tcPr>
            <w:tcW w:w="1575" w:type="dxa"/>
            <w:vAlign w:val="center"/>
          </w:tcPr>
          <w:p>
            <w:pPr>
              <w:pStyle w:val="47"/>
              <w:spacing w:before="106"/>
              <w:ind w:lef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p>
        </w:tc>
        <w:tc>
          <w:tcPr>
            <w:tcW w:w="2711" w:type="dxa"/>
            <w:vAlign w:val="center"/>
          </w:tcPr>
          <w:p>
            <w:pPr>
              <w:pStyle w:val="47"/>
              <w:spacing w:before="106"/>
              <w:ind w:righ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时效</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pacing w:val="-2"/>
                <w:sz w:val="24"/>
                <w:szCs w:val="24"/>
              </w:rPr>
            </w:pPr>
            <w:r>
              <w:rPr>
                <w:rFonts w:hint="eastAsia" w:ascii="仿宋_GB2312" w:hAnsi="仿宋_GB2312" w:eastAsia="仿宋_GB2312" w:cs="仿宋_GB2312"/>
                <w:spacing w:val="-2"/>
                <w:sz w:val="24"/>
                <w:szCs w:val="24"/>
              </w:rPr>
              <w:t>项目成果</w:t>
            </w:r>
          </w:p>
          <w:p>
            <w:pPr>
              <w:pStyle w:val="47"/>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时效</w:t>
            </w:r>
          </w:p>
        </w:tc>
        <w:tc>
          <w:tcPr>
            <w:tcW w:w="1575" w:type="dxa"/>
            <w:vAlign w:val="center"/>
          </w:tcPr>
          <w:p>
            <w:pPr>
              <w:pStyle w:val="47"/>
              <w:spacing w:line="284" w:lineRule="exact"/>
              <w:ind w:left="99" w:right="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w:t>
            </w:r>
          </w:p>
        </w:tc>
        <w:tc>
          <w:tcPr>
            <w:tcW w:w="2711" w:type="dxa"/>
            <w:vAlign w:val="center"/>
          </w:tcPr>
          <w:p>
            <w:pPr>
              <w:pStyle w:val="47"/>
              <w:spacing w:before="1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成本</w:t>
            </w:r>
          </w:p>
          <w:p>
            <w:pPr>
              <w:pStyle w:val="47"/>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转运成本</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（元/车）</w:t>
            </w:r>
          </w:p>
        </w:tc>
        <w:tc>
          <w:tcPr>
            <w:tcW w:w="1575" w:type="dxa"/>
            <w:vAlign w:val="center"/>
          </w:tcPr>
          <w:p>
            <w:pPr>
              <w:pStyle w:val="47"/>
              <w:jc w:val="center"/>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750</w:t>
            </w:r>
          </w:p>
        </w:tc>
        <w:tc>
          <w:tcPr>
            <w:tcW w:w="2711" w:type="dxa"/>
            <w:vAlign w:val="center"/>
          </w:tcPr>
          <w:p>
            <w:pPr>
              <w:pStyle w:val="47"/>
              <w:ind w:right="100"/>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2"/>
              <w:rPr>
                <w:rFonts w:hint="eastAsia" w:ascii="仿宋_GB2312" w:hAnsi="仿宋_GB2312" w:eastAsia="仿宋_GB2312" w:cs="仿宋_GB2312"/>
                <w:b/>
                <w:sz w:val="24"/>
                <w:szCs w:val="24"/>
              </w:rPr>
            </w:pPr>
          </w:p>
          <w:p>
            <w:pPr>
              <w:pStyle w:val="47"/>
              <w:spacing w:line="213"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891" w:type="dxa"/>
          </w:tcPr>
          <w:p>
            <w:pPr>
              <w:pStyle w:val="47"/>
              <w:spacing w:line="284" w:lineRule="exact"/>
              <w:ind w:left="92"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w:t>
            </w:r>
          </w:p>
          <w:p>
            <w:pPr>
              <w:pStyle w:val="47"/>
              <w:spacing w:line="336"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484" w:type="dxa"/>
          </w:tcPr>
          <w:p>
            <w:pPr>
              <w:pStyle w:val="47"/>
              <w:rPr>
                <w:rFonts w:hint="eastAsia" w:ascii="仿宋_GB2312" w:hAnsi="仿宋_GB2312" w:eastAsia="仿宋_GB2312" w:cs="仿宋_GB2312"/>
                <w:sz w:val="24"/>
                <w:szCs w:val="24"/>
              </w:rPr>
            </w:pPr>
          </w:p>
        </w:tc>
        <w:tc>
          <w:tcPr>
            <w:tcW w:w="1575" w:type="dxa"/>
          </w:tcPr>
          <w:p>
            <w:pPr>
              <w:pStyle w:val="47"/>
              <w:rPr>
                <w:rFonts w:hint="eastAsia" w:ascii="仿宋_GB2312" w:hAnsi="仿宋_GB2312" w:eastAsia="仿宋_GB2312" w:cs="仿宋_GB2312"/>
                <w:sz w:val="24"/>
                <w:szCs w:val="24"/>
              </w:rPr>
            </w:pPr>
          </w:p>
        </w:tc>
        <w:tc>
          <w:tcPr>
            <w:tcW w:w="2711"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98"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14"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484" w:type="dxa"/>
            <w:vAlign w:val="center"/>
          </w:tcPr>
          <w:p>
            <w:pPr>
              <w:pStyle w:val="47"/>
              <w:spacing w:line="213" w:lineRule="auto"/>
              <w:ind w:right="165"/>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城乡环境</w:t>
            </w:r>
          </w:p>
        </w:tc>
        <w:tc>
          <w:tcPr>
            <w:tcW w:w="1575" w:type="dxa"/>
            <w:vAlign w:val="center"/>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有效改</w:t>
            </w:r>
            <w:r>
              <w:rPr>
                <w:rFonts w:hint="eastAsia" w:ascii="仿宋_GB2312" w:hAnsi="仿宋_GB2312" w:eastAsia="仿宋_GB2312" w:cs="仿宋_GB2312"/>
                <w:spacing w:val="-2"/>
                <w:sz w:val="24"/>
                <w:szCs w:val="24"/>
              </w:rPr>
              <w:t>善城乡</w:t>
            </w:r>
            <w:r>
              <w:rPr>
                <w:rFonts w:hint="eastAsia" w:ascii="仿宋_GB2312" w:hAnsi="仿宋_GB2312" w:eastAsia="仿宋_GB2312" w:cs="仿宋_GB2312"/>
                <w:spacing w:val="-34"/>
                <w:sz w:val="24"/>
                <w:szCs w:val="24"/>
              </w:rPr>
              <w:t>环境，提</w:t>
            </w:r>
            <w:r>
              <w:rPr>
                <w:rFonts w:hint="eastAsia" w:ascii="仿宋_GB2312" w:hAnsi="仿宋_GB2312" w:eastAsia="仿宋_GB2312" w:cs="仿宋_GB2312"/>
                <w:spacing w:val="-2"/>
                <w:sz w:val="24"/>
                <w:szCs w:val="24"/>
              </w:rPr>
              <w:t>升群众生活幸福指数</w:t>
            </w:r>
          </w:p>
        </w:tc>
        <w:tc>
          <w:tcPr>
            <w:tcW w:w="2711" w:type="dxa"/>
            <w:vAlign w:val="center"/>
          </w:tcPr>
          <w:p>
            <w:pPr>
              <w:pStyle w:val="47"/>
              <w:spacing w:line="213" w:lineRule="auto"/>
              <w:ind w:right="10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有效改善城乡环</w:t>
            </w:r>
            <w:r>
              <w:rPr>
                <w:rFonts w:hint="eastAsia" w:ascii="仿宋_GB2312" w:hAnsi="仿宋_GB2312" w:eastAsia="仿宋_GB2312" w:cs="仿宋_GB2312"/>
                <w:spacing w:val="-10"/>
                <w:sz w:val="24"/>
                <w:szCs w:val="24"/>
              </w:rPr>
              <w:t>境，提升群众生活</w:t>
            </w:r>
            <w:r>
              <w:rPr>
                <w:rFonts w:hint="eastAsia" w:ascii="仿宋_GB2312" w:hAnsi="仿宋_GB2312" w:eastAsia="仿宋_GB2312" w:cs="仿宋_GB2312"/>
                <w:spacing w:val="-2"/>
                <w:sz w:val="24"/>
                <w:szCs w:val="24"/>
              </w:rPr>
              <w:t>幸福指数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484" w:type="dxa"/>
          </w:tcPr>
          <w:p>
            <w:pPr>
              <w:pStyle w:val="47"/>
              <w:rPr>
                <w:rFonts w:hint="eastAsia" w:ascii="仿宋_GB2312" w:hAnsi="仿宋_GB2312" w:eastAsia="仿宋_GB2312" w:cs="仿宋_GB2312"/>
                <w:sz w:val="24"/>
                <w:szCs w:val="24"/>
              </w:rPr>
            </w:pPr>
          </w:p>
        </w:tc>
        <w:tc>
          <w:tcPr>
            <w:tcW w:w="1575" w:type="dxa"/>
          </w:tcPr>
          <w:p>
            <w:pPr>
              <w:pStyle w:val="47"/>
              <w:rPr>
                <w:rFonts w:hint="eastAsia" w:ascii="仿宋_GB2312" w:hAnsi="仿宋_GB2312" w:eastAsia="仿宋_GB2312" w:cs="仿宋_GB2312"/>
                <w:sz w:val="24"/>
                <w:szCs w:val="24"/>
              </w:rPr>
            </w:pPr>
          </w:p>
        </w:tc>
        <w:tc>
          <w:tcPr>
            <w:tcW w:w="2711"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Merge w:val="continue"/>
            <w:tcBorders>
              <w:top w:val="nil"/>
            </w:tcBorders>
          </w:tcPr>
          <w:p>
            <w:pPr>
              <w:rPr>
                <w:rFonts w:hint="eastAsia" w:ascii="仿宋_GB2312" w:hAnsi="仿宋_GB2312" w:eastAsia="仿宋_GB2312" w:cs="仿宋_GB2312"/>
                <w:sz w:val="24"/>
                <w:szCs w:val="24"/>
              </w:rPr>
            </w:pPr>
          </w:p>
        </w:tc>
        <w:tc>
          <w:tcPr>
            <w:tcW w:w="1891" w:type="dxa"/>
          </w:tcPr>
          <w:p>
            <w:pPr>
              <w:pStyle w:val="47"/>
              <w:spacing w:line="284" w:lineRule="exact"/>
              <w:ind w:left="94" w:right="9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可持续影响指标</w:t>
            </w:r>
          </w:p>
        </w:tc>
        <w:tc>
          <w:tcPr>
            <w:tcW w:w="1484" w:type="dxa"/>
          </w:tcPr>
          <w:p>
            <w:pPr>
              <w:pStyle w:val="47"/>
              <w:rPr>
                <w:rFonts w:hint="eastAsia" w:ascii="仿宋_GB2312" w:hAnsi="仿宋_GB2312" w:eastAsia="仿宋_GB2312" w:cs="仿宋_GB2312"/>
                <w:sz w:val="24"/>
                <w:szCs w:val="24"/>
              </w:rPr>
            </w:pPr>
          </w:p>
        </w:tc>
        <w:tc>
          <w:tcPr>
            <w:tcW w:w="1575" w:type="dxa"/>
          </w:tcPr>
          <w:p>
            <w:pPr>
              <w:pStyle w:val="47"/>
              <w:rPr>
                <w:rFonts w:hint="eastAsia" w:ascii="仿宋_GB2312" w:hAnsi="仿宋_GB2312" w:eastAsia="仿宋_GB2312" w:cs="仿宋_GB2312"/>
                <w:sz w:val="24"/>
                <w:szCs w:val="24"/>
              </w:rPr>
            </w:pPr>
          </w:p>
        </w:tc>
        <w:tc>
          <w:tcPr>
            <w:tcW w:w="2711"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1249" w:type="dxa"/>
            <w:vMerge w:val="continue"/>
            <w:tcBorders>
              <w:top w:val="nil"/>
            </w:tcBorders>
          </w:tcPr>
          <w:p>
            <w:pPr>
              <w:rPr>
                <w:rFonts w:hint="eastAsia" w:ascii="仿宋_GB2312" w:hAnsi="仿宋_GB2312" w:eastAsia="仿宋_GB2312" w:cs="仿宋_GB2312"/>
                <w:sz w:val="24"/>
                <w:szCs w:val="24"/>
              </w:rPr>
            </w:pPr>
          </w:p>
        </w:tc>
        <w:tc>
          <w:tcPr>
            <w:tcW w:w="1157" w:type="dxa"/>
            <w:vAlign w:val="center"/>
          </w:tcPr>
          <w:p>
            <w:pPr>
              <w:pStyle w:val="47"/>
              <w:spacing w:line="213" w:lineRule="auto"/>
              <w:ind w:right="14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w:t>
            </w:r>
          </w:p>
          <w:p>
            <w:pPr>
              <w:pStyle w:val="47"/>
              <w:spacing w:line="213" w:lineRule="auto"/>
              <w:ind w:right="142"/>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9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hanging="14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48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群众满意度</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575"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2711"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bl>
    <w:p>
      <w:pPr>
        <w:jc w:val="center"/>
        <w:rPr>
          <w:sz w:val="28"/>
        </w:rPr>
        <w:sectPr>
          <w:pgSz w:w="11910" w:h="16840"/>
          <w:pgMar w:top="1440" w:right="1803" w:bottom="1440" w:left="1803" w:header="0" w:footer="1197" w:gutter="0"/>
          <w:pgNumType w:fmt="decimal"/>
          <w:cols w:space="720" w:num="1"/>
        </w:sectPr>
      </w:pPr>
    </w:p>
    <w:p>
      <w:pPr>
        <w:pStyle w:val="2"/>
        <w:spacing w:before="29"/>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w:t>
      </w:r>
    </w:p>
    <w:p>
      <w:pPr>
        <w:pStyle w:val="4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2022年安全经费（森林防火）项目支出</w:t>
      </w:r>
    </w:p>
    <w:p>
      <w:pPr>
        <w:pStyle w:val="48"/>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绩效自评报告</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一、项目概况</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（一）项目基本情况</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以“预防为主、积极消灭”的森林防火方针，大力开展森林防火宣传教育、严格管控野外火源</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确保全镇森林生态资源安全及保护社会稳定促进经济的可持续发展。全年制作、悬挂森林防火宣传标语</w:t>
      </w:r>
      <w:r>
        <w:rPr>
          <w:rFonts w:hint="eastAsia" w:hAnsi="仿宋_GB2312" w:cs="仿宋_GB2312"/>
          <w:b w:val="0"/>
          <w:bCs w:val="0"/>
          <w:color w:val="000000"/>
          <w:sz w:val="32"/>
          <w:szCs w:val="32"/>
          <w:lang w:val="en-US" w:eastAsia="zh-CN" w:bidi="ar-SA"/>
        </w:rPr>
        <w:t>152</w:t>
      </w:r>
      <w:r>
        <w:rPr>
          <w:rFonts w:hint="eastAsia" w:ascii="仿宋_GB2312" w:hAnsi="仿宋_GB2312" w:eastAsia="仿宋_GB2312" w:cs="仿宋_GB2312"/>
          <w:b w:val="0"/>
          <w:bCs w:val="0"/>
          <w:color w:val="000000"/>
          <w:sz w:val="32"/>
          <w:szCs w:val="32"/>
          <w:lang w:val="en-US" w:eastAsia="zh-CN" w:bidi="ar-SA"/>
        </w:rPr>
        <w:t>条；发放各类宣传单位及宣传物品</w:t>
      </w:r>
      <w:r>
        <w:rPr>
          <w:rFonts w:hint="eastAsia" w:hAnsi="仿宋_GB2312" w:cs="仿宋_GB2312"/>
          <w:b w:val="0"/>
          <w:bCs w:val="0"/>
          <w:color w:val="000000"/>
          <w:sz w:val="32"/>
          <w:szCs w:val="32"/>
          <w:lang w:val="en-US" w:eastAsia="zh-CN" w:bidi="ar-SA"/>
        </w:rPr>
        <w:t>2</w:t>
      </w:r>
      <w:r>
        <w:rPr>
          <w:rFonts w:hint="eastAsia" w:ascii="仿宋_GB2312" w:hAnsi="仿宋_GB2312" w:eastAsia="仿宋_GB2312" w:cs="仿宋_GB2312"/>
          <w:b w:val="0"/>
          <w:bCs w:val="0"/>
          <w:color w:val="000000"/>
          <w:sz w:val="32"/>
          <w:szCs w:val="32"/>
          <w:lang w:val="en-US" w:eastAsia="zh-CN" w:bidi="ar-SA"/>
        </w:rPr>
        <w:t>000份；出动89台次；</w:t>
      </w:r>
      <w:r>
        <w:rPr>
          <w:rFonts w:hint="eastAsia" w:hAnsi="仿宋_GB2312" w:cs="仿宋_GB2312"/>
          <w:b w:val="0"/>
          <w:bCs w:val="0"/>
          <w:color w:val="000000"/>
          <w:sz w:val="32"/>
          <w:szCs w:val="32"/>
          <w:lang w:val="en-US" w:eastAsia="zh-CN" w:bidi="ar-SA"/>
        </w:rPr>
        <w:t>召开</w:t>
      </w:r>
      <w:r>
        <w:rPr>
          <w:rFonts w:hint="eastAsia" w:ascii="仿宋_GB2312" w:hAnsi="仿宋_GB2312" w:eastAsia="仿宋_GB2312" w:cs="仿宋_GB2312"/>
          <w:b w:val="0"/>
          <w:bCs w:val="0"/>
          <w:color w:val="000000"/>
          <w:sz w:val="32"/>
          <w:szCs w:val="32"/>
          <w:lang w:val="en-US" w:eastAsia="zh-CN" w:bidi="ar-SA"/>
        </w:rPr>
        <w:t>森林防火专题会议</w:t>
      </w:r>
      <w:r>
        <w:rPr>
          <w:rFonts w:hint="eastAsia" w:hAnsi="仿宋_GB2312" w:cs="仿宋_GB2312"/>
          <w:b w:val="0"/>
          <w:bCs w:val="0"/>
          <w:color w:val="000000"/>
          <w:sz w:val="32"/>
          <w:szCs w:val="32"/>
          <w:lang w:val="en-US" w:eastAsia="zh-CN" w:bidi="ar-SA"/>
        </w:rPr>
        <w:t>15</w:t>
      </w:r>
      <w:r>
        <w:rPr>
          <w:rFonts w:hint="eastAsia" w:ascii="仿宋_GB2312" w:hAnsi="仿宋_GB2312" w:eastAsia="仿宋_GB2312" w:cs="仿宋_GB2312"/>
          <w:b w:val="0"/>
          <w:bCs w:val="0"/>
          <w:color w:val="000000"/>
          <w:sz w:val="32"/>
          <w:szCs w:val="32"/>
          <w:lang w:val="en-US" w:eastAsia="zh-CN" w:bidi="ar-SA"/>
        </w:rPr>
        <w:t>余场。</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（二）项目绩效目标</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在运用各类宣传平台和宣传资源的基础上，创新宣传方式</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加大对责任落实、火源管控案查处的宣传力度；加强对社会舆论信息的引导和收集</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注重对森林防火法律法规和警示案例的宣传，强化全民防火重识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w:t>
      </w:r>
      <w:r>
        <w:rPr>
          <w:rFonts w:hint="eastAsia" w:hAnsi="仿宋_GB2312" w:cs="仿宋_GB2312"/>
          <w:b w:val="0"/>
          <w:bCs w:val="0"/>
          <w:color w:val="000000"/>
          <w:sz w:val="32"/>
          <w:szCs w:val="32"/>
          <w:lang w:val="en-US" w:eastAsia="zh-CN" w:bidi="ar-SA"/>
        </w:rPr>
        <w:t>，维护</w:t>
      </w:r>
      <w:r>
        <w:rPr>
          <w:rFonts w:hint="eastAsia" w:ascii="仿宋_GB2312" w:hAnsi="仿宋_GB2312" w:eastAsia="仿宋_GB2312" w:cs="仿宋_GB2312"/>
          <w:b w:val="0"/>
          <w:bCs w:val="0"/>
          <w:color w:val="000000"/>
          <w:sz w:val="32"/>
          <w:szCs w:val="32"/>
          <w:lang w:val="en-US" w:eastAsia="zh-CN" w:bidi="ar-SA"/>
        </w:rPr>
        <w:t>社会稳定的需要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 xml:space="preserve"> 改善生态环境，促进经济可持续发展的需要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使</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的山更绿、水更清、天更蓝。</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（三）项目自评步骤及方法</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部门对各村森林防火宣传落实的监督考核建立了考核监督制度，考核细则健全，扣分项目、处罚措施明确。根据综合得分，组织分管领导及部门负责人对本年度森林防火项目进行评估，评价项目效益，并提出改进措施。</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二、项目资金申报及使用情况</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（一）项目资金申报及批复情况</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在规定时间内，由部门进行申报，财政局统一批复。</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29" w:firstLineChars="200"/>
        <w:jc w:val="both"/>
        <w:textAlignment w:val="auto"/>
        <w:rPr>
          <w:rFonts w:hint="eastAsia" w:ascii="楷体_GB2312" w:hAnsi="楷体_GB2312" w:eastAsia="楷体_GB2312" w:cs="楷体_GB2312"/>
          <w:b/>
          <w:bCs/>
          <w:w w:val="98"/>
          <w:kern w:val="2"/>
          <w:sz w:val="32"/>
          <w:szCs w:val="32"/>
          <w:lang w:val="en-US" w:eastAsia="zh-CN" w:bidi="ar-SA"/>
        </w:rPr>
      </w:pPr>
      <w:r>
        <w:rPr>
          <w:rFonts w:hint="eastAsia" w:ascii="楷体_GB2312" w:hAnsi="楷体_GB2312" w:eastAsia="楷体_GB2312" w:cs="楷体_GB2312"/>
          <w:b/>
          <w:bCs/>
          <w:w w:val="98"/>
          <w:kern w:val="2"/>
          <w:sz w:val="32"/>
          <w:szCs w:val="32"/>
          <w:lang w:val="en-US" w:eastAsia="zh-CN" w:bidi="ar-SA"/>
        </w:rPr>
        <w:t>（二）资金计划、到位及使用情况（可用表格形式反映）</w:t>
      </w:r>
    </w:p>
    <w:tbl>
      <w:tblPr>
        <w:tblStyle w:val="18"/>
        <w:tblW w:w="9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518"/>
        <w:gridCol w:w="1307"/>
        <w:gridCol w:w="2157"/>
        <w:gridCol w:w="736"/>
        <w:gridCol w:w="877"/>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6"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w w:val="95"/>
                <w:sz w:val="24"/>
                <w:szCs w:val="24"/>
              </w:rPr>
            </w:pPr>
            <w:r>
              <w:rPr>
                <w:rFonts w:hint="eastAsia" w:ascii="仿宋_GB2312" w:hAnsi="仿宋_GB2312" w:eastAsia="仿宋_GB2312" w:cs="仿宋_GB2312"/>
                <w:w w:val="95"/>
                <w:sz w:val="24"/>
                <w:szCs w:val="24"/>
              </w:rPr>
              <w:t>项目</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名称</w:t>
            </w:r>
          </w:p>
        </w:tc>
        <w:tc>
          <w:tcPr>
            <w:tcW w:w="3825" w:type="dxa"/>
            <w:gridSpan w:val="2"/>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安全经费（森林防火）</w:t>
            </w:r>
          </w:p>
        </w:tc>
        <w:tc>
          <w:tcPr>
            <w:tcW w:w="215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项目负责人及电</w:t>
            </w:r>
            <w:r>
              <w:rPr>
                <w:rFonts w:hint="eastAsia" w:ascii="仿宋_GB2312" w:hAnsi="仿宋_GB2312" w:eastAsia="仿宋_GB2312" w:cs="仿宋_GB2312"/>
                <w:w w:val="99"/>
                <w:sz w:val="24"/>
                <w:szCs w:val="24"/>
              </w:rPr>
              <w:t>话</w:t>
            </w:r>
          </w:p>
        </w:tc>
        <w:tc>
          <w:tcPr>
            <w:tcW w:w="2693" w:type="dxa"/>
            <w:gridSpan w:val="3"/>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白玉龙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w w:val="95"/>
                <w:sz w:val="24"/>
                <w:szCs w:val="24"/>
              </w:rPr>
            </w:pPr>
            <w:r>
              <w:rPr>
                <w:rFonts w:hint="eastAsia" w:ascii="仿宋_GB2312" w:hAnsi="仿宋_GB2312" w:eastAsia="仿宋_GB2312" w:cs="仿宋_GB2312"/>
                <w:w w:val="95"/>
                <w:sz w:val="24"/>
                <w:szCs w:val="24"/>
              </w:rPr>
              <w:t>主管</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部门</w:t>
            </w:r>
          </w:p>
        </w:tc>
        <w:tc>
          <w:tcPr>
            <w:tcW w:w="3825" w:type="dxa"/>
            <w:gridSpan w:val="2"/>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val="en-US" w:eastAsia="zh-CN"/>
              </w:rPr>
              <w:t>财政局</w:t>
            </w:r>
          </w:p>
        </w:tc>
        <w:tc>
          <w:tcPr>
            <w:tcW w:w="215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实施单位</w:t>
            </w:r>
          </w:p>
        </w:tc>
        <w:tc>
          <w:tcPr>
            <w:tcW w:w="2693" w:type="dxa"/>
            <w:gridSpan w:val="3"/>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eastAsia="zh-CN"/>
              </w:rPr>
              <w:t>演圣镇</w:t>
            </w:r>
            <w:r>
              <w:rPr>
                <w:rFonts w:hint="eastAsia" w:ascii="仿宋_GB2312" w:hAnsi="仿宋_GB2312" w:eastAsia="仿宋_GB2312" w:cs="仿宋_GB2312"/>
                <w:sz w:val="24"/>
                <w:szCs w:val="24"/>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w w:val="95"/>
                <w:sz w:val="24"/>
                <w:szCs w:val="24"/>
              </w:rPr>
            </w:pPr>
            <w:r>
              <w:rPr>
                <w:rFonts w:hint="eastAsia" w:ascii="仿宋_GB2312" w:hAnsi="仿宋_GB2312" w:eastAsia="仿宋_GB2312" w:cs="仿宋_GB2312"/>
                <w:w w:val="95"/>
                <w:sz w:val="24"/>
                <w:szCs w:val="24"/>
              </w:rPr>
              <w:t>资金</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情况</w:t>
            </w:r>
          </w:p>
        </w:tc>
        <w:tc>
          <w:tcPr>
            <w:tcW w:w="2518"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全年预算数（A）</w:t>
            </w:r>
          </w:p>
        </w:tc>
        <w:tc>
          <w:tcPr>
            <w:tcW w:w="215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全年执行数（B）</w:t>
            </w:r>
          </w:p>
        </w:tc>
        <w:tc>
          <w:tcPr>
            <w:tcW w:w="736"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分</w:t>
            </w:r>
          </w:p>
          <w:p>
            <w:pPr>
              <w:pStyle w:val="47"/>
              <w:keepNext w:val="0"/>
              <w:keepLines w:val="0"/>
              <w:pageBreakBefore w:val="0"/>
              <w:widowControl w:val="0"/>
              <w:kinsoku/>
              <w:wordWrap/>
              <w:overflowPunct/>
              <w:topLinePunct w:val="0"/>
              <w:autoSpaceDE w:val="0"/>
              <w:autoSpaceDN w:val="0"/>
              <w:bidi w:val="0"/>
              <w:adjustRightInd/>
              <w:snapToGrid/>
              <w:spacing w:line="240" w:lineRule="auto"/>
              <w:ind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rPr>
              <w:t>值</w:t>
            </w:r>
          </w:p>
        </w:tc>
        <w:tc>
          <w:tcPr>
            <w:tcW w:w="877"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执行率</w:t>
            </w:r>
          </w:p>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B/A)</w:t>
            </w:r>
          </w:p>
        </w:tc>
        <w:tc>
          <w:tcPr>
            <w:tcW w:w="1080"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4"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5"/>
                <w:sz w:val="24"/>
                <w:szCs w:val="24"/>
              </w:rPr>
              <w:t>（万元）</w:t>
            </w:r>
          </w:p>
        </w:tc>
        <w:tc>
          <w:tcPr>
            <w:tcW w:w="2518"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年度资金总额：</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99"/>
                <w:sz w:val="24"/>
                <w:szCs w:val="24"/>
                <w:lang w:val="en-US" w:eastAsia="zh-CN"/>
              </w:rPr>
              <w:t>1.87</w:t>
            </w: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lang w:val="en-US" w:eastAsia="zh-CN"/>
              </w:rPr>
              <w:t>1.87</w:t>
            </w: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924"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518"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其中：中央、省、市财政资</w:t>
            </w:r>
            <w:r>
              <w:rPr>
                <w:rFonts w:hint="eastAsia" w:ascii="仿宋_GB2312" w:hAnsi="仿宋_GB2312" w:eastAsia="仿宋_GB2312" w:cs="仿宋_GB2312"/>
                <w:w w:val="99"/>
                <w:sz w:val="24"/>
                <w:szCs w:val="24"/>
              </w:rPr>
              <w:t>金</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924"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518"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县级财政资金</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lang w:val="en-US" w:eastAsia="zh-CN"/>
              </w:rPr>
              <w:t>1.87</w:t>
            </w: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99"/>
                <w:sz w:val="24"/>
                <w:szCs w:val="24"/>
                <w:lang w:val="en-US" w:eastAsia="zh-CN"/>
              </w:rPr>
              <w:t>1.87</w:t>
            </w: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924"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518"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40"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30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215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736"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877"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c>
          <w:tcPr>
            <w:tcW w:w="1080" w:type="dxa"/>
          </w:tcPr>
          <w:p>
            <w:pPr>
              <w:pStyle w:val="47"/>
              <w:keepNext w:val="0"/>
              <w:keepLines w:val="0"/>
              <w:pageBreakBefore w:val="0"/>
              <w:widowControl w:val="0"/>
              <w:kinsoku/>
              <w:wordWrap/>
              <w:overflowPunct/>
              <w:topLinePunct w:val="0"/>
              <w:autoSpaceDE w:val="0"/>
              <w:autoSpaceDN w:val="0"/>
              <w:bidi w:val="0"/>
              <w:adjustRightInd/>
              <w:snapToGrid/>
              <w:spacing w:line="240" w:lineRule="auto"/>
              <w:ind w:left="0" w:right="0" w:firstLine="480" w:firstLineChars="200"/>
              <w:jc w:val="center"/>
              <w:textAlignment w:val="auto"/>
              <w:rPr>
                <w:rFonts w:hint="eastAsia" w:ascii="仿宋_GB2312" w:hAnsi="仿宋_GB2312" w:eastAsia="仿宋_GB2312" w:cs="仿宋_GB2312"/>
                <w:sz w:val="24"/>
                <w:szCs w:val="24"/>
              </w:rPr>
            </w:pPr>
          </w:p>
        </w:tc>
      </w:tr>
    </w:tbl>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（三）项目财务管理情况</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各项目实施单位财务管理制度健全，严格执行财务管理制度，账务处理及时，会计核算规范。</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三、项目实施及管理情况</w:t>
      </w:r>
    </w:p>
    <w:p>
      <w:pPr>
        <w:pStyle w:val="44"/>
        <w:keepNext w:val="0"/>
        <w:keepLines w:val="0"/>
        <w:pageBreakBefore w:val="0"/>
        <w:kinsoku/>
        <w:wordWrap/>
        <w:overflowPunct/>
        <w:topLinePunct w:val="0"/>
        <w:bidi w:val="0"/>
        <w:spacing w:before="0"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（一）项目组织架构及实施流程</w:t>
      </w:r>
    </w:p>
    <w:p>
      <w:pPr>
        <w:keepNext w:val="0"/>
        <w:keepLines w:val="0"/>
        <w:pageBreakBefore w:val="0"/>
        <w:widowControl/>
        <w:kinsoku/>
        <w:wordWrap/>
        <w:overflowPunct/>
        <w:topLinePunct w:val="0"/>
        <w:autoSpaceDE/>
        <w:autoSpaceDN/>
        <w:bidi w:val="0"/>
        <w:adjustRightInd w:val="0"/>
        <w:snapToGrid w:val="0"/>
        <w:spacing w:after="0" w:line="576" w:lineRule="exact"/>
        <w:ind w:left="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申报项目－项目执行－项目监督－项目评价</w:t>
      </w:r>
    </w:p>
    <w:p>
      <w:pPr>
        <w:pStyle w:val="2"/>
        <w:keepNext w:val="0"/>
        <w:keepLines w:val="0"/>
        <w:pageBreakBefore w:val="0"/>
        <w:kinsoku/>
        <w:wordWrap/>
        <w:overflowPunct/>
        <w:topLinePunct w:val="0"/>
        <w:bidi w:val="0"/>
        <w:spacing w:line="576" w:lineRule="exact"/>
        <w:ind w:left="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（二）项目管理情况</w:t>
      </w:r>
    </w:p>
    <w:p>
      <w:pPr>
        <w:pStyle w:val="2"/>
        <w:keepNext w:val="0"/>
        <w:keepLines w:val="0"/>
        <w:pageBreakBefore w:val="0"/>
        <w:kinsoku/>
        <w:wordWrap/>
        <w:overflowPunct/>
        <w:topLinePunct w:val="0"/>
        <w:bidi w:val="0"/>
        <w:spacing w:after="0" w:line="576" w:lineRule="exact"/>
        <w:ind w:left="0" w:right="0" w:firstLine="640" w:firstLineChars="200"/>
        <w:jc w:val="both"/>
        <w:textAlignment w:val="auto"/>
      </w:pPr>
      <w:r>
        <w:rPr>
          <w:rFonts w:hint="eastAsia" w:ascii="仿宋_GB2312" w:hAnsi="仿宋_GB2312" w:eastAsia="仿宋_GB2312" w:cs="仿宋_GB2312"/>
          <w:b w:val="0"/>
          <w:bCs w:val="0"/>
          <w:color w:val="000000"/>
          <w:sz w:val="32"/>
          <w:szCs w:val="32"/>
          <w:lang w:val="en-US" w:eastAsia="zh-CN" w:bidi="ar-SA"/>
        </w:rPr>
        <w:t>结合项目特点，总体评价各项目实施单位执行相关法律法规及项目管理制度等情况，如招投标、政府采购、项目公示制等相关规定。</w:t>
      </w:r>
    </w:p>
    <w:p>
      <w:pPr>
        <w:keepNext w:val="0"/>
        <w:keepLines w:val="0"/>
        <w:pageBreakBefore w:val="0"/>
        <w:numPr>
          <w:ilvl w:val="0"/>
          <w:numId w:val="0"/>
        </w:numPr>
        <w:kinsoku/>
        <w:wordWrap/>
        <w:overflowPunct/>
        <w:topLinePunct w:val="0"/>
        <w:bidi w:val="0"/>
        <w:spacing w:after="0" w:line="576" w:lineRule="exact"/>
        <w:ind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（三）项目监管情况</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576"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演圣镇人民政府的森林防火项目的实施，切实减少了辖区内火灾隐患，国有森林资源和群众生命财产安全得到有效保障，同时项目实施监督到位，产生了良好的社会环境效益。</w:t>
      </w:r>
    </w:p>
    <w:p>
      <w:pPr>
        <w:pStyle w:val="2"/>
        <w:keepNext w:val="0"/>
        <w:keepLines w:val="0"/>
        <w:pageBreakBefore w:val="0"/>
        <w:kinsoku/>
        <w:wordWrap/>
        <w:overflowPunct/>
        <w:topLinePunct w:val="0"/>
        <w:bidi w:val="0"/>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四、项目绩效情况</w:t>
      </w:r>
    </w:p>
    <w:p>
      <w:pPr>
        <w:pStyle w:val="44"/>
        <w:ind w:left="0"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（一）项目完成情况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本项目实施组织严密，管理规范有序，资金使用管理到位，实施后社会经济效益凸显。主管部门专门考核，配备专职人员，对森林防火工作实施日常监督和考核。</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林业站配备专职人员，对森林防火工作实施日常监督和考核。为加强项目的资金管理，我镇制定了重点工程项目建设管理和财务管理制度，并将该项目纳入重点项目财务核算，实行集中支付和报账制，确保资金封闭运行，项目实施中县财政、县审计以及监察部门定期或不定期</w:t>
      </w:r>
      <w:r>
        <w:rPr>
          <w:rFonts w:hint="eastAsia" w:hAnsi="仿宋_GB2312" w:cs="仿宋_GB2312"/>
          <w:b w:val="0"/>
          <w:bCs w:val="0"/>
          <w:color w:val="000000"/>
          <w:sz w:val="32"/>
          <w:szCs w:val="32"/>
          <w:lang w:val="en-US" w:eastAsia="zh-CN" w:bidi="ar-SA"/>
        </w:rPr>
        <w:t>地</w:t>
      </w:r>
      <w:r>
        <w:rPr>
          <w:rFonts w:hint="eastAsia" w:ascii="仿宋_GB2312" w:hAnsi="仿宋_GB2312" w:eastAsia="仿宋_GB2312" w:cs="仿宋_GB2312"/>
          <w:b w:val="0"/>
          <w:bCs w:val="0"/>
          <w:color w:val="000000"/>
          <w:sz w:val="32"/>
          <w:szCs w:val="32"/>
          <w:lang w:val="en-US" w:eastAsia="zh-CN" w:bidi="ar-SA"/>
        </w:rPr>
        <w:t>实行检查、督察，确保项目资金的安全运行。</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资金使用过程中，严把监督审核关，建立健全内部审批制度。对每笔用款申请，在所附资料齐备的情况下，经审核确认后再报县财政局审批后付款。确保国有森林资源和群众生命财产安全得到有效保障，项目实施到位，产生了良好的社会环境效益。</w:t>
      </w:r>
    </w:p>
    <w:p>
      <w:pPr>
        <w:pStyle w:val="44"/>
        <w:ind w:left="0" w:leftChars="0"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（二）项目效益情况</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1.社会效益。通过项目的实施，有效保护森林资源，</w:t>
      </w:r>
      <w:r>
        <w:rPr>
          <w:rFonts w:hint="eastAsia" w:hAnsi="仿宋_GB2312" w:cs="仿宋_GB2312"/>
          <w:b w:val="0"/>
          <w:bCs w:val="0"/>
          <w:color w:val="000000"/>
          <w:sz w:val="32"/>
          <w:szCs w:val="32"/>
          <w:lang w:val="en-US" w:eastAsia="zh-CN" w:bidi="ar-SA"/>
        </w:rPr>
        <w:t>增强</w:t>
      </w:r>
      <w:r>
        <w:rPr>
          <w:rFonts w:hint="eastAsia" w:ascii="仿宋_GB2312" w:hAnsi="仿宋_GB2312" w:eastAsia="仿宋_GB2312" w:cs="仿宋_GB2312"/>
          <w:b w:val="0"/>
          <w:bCs w:val="0"/>
          <w:color w:val="000000"/>
          <w:sz w:val="32"/>
          <w:szCs w:val="32"/>
          <w:lang w:val="en-US" w:eastAsia="zh-CN" w:bidi="ar-SA"/>
        </w:rPr>
        <w:t>全民森林防灭火意识，国家资源与人民群众生命财产安全得到有效保护。</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2.环境效益。通过项目的实施，强化全民防火</w:t>
      </w:r>
      <w:r>
        <w:rPr>
          <w:rFonts w:hint="eastAsia" w:hAnsi="仿宋_GB2312" w:cs="仿宋_GB2312"/>
          <w:b w:val="0"/>
          <w:bCs w:val="0"/>
          <w:color w:val="000000"/>
          <w:sz w:val="32"/>
          <w:szCs w:val="32"/>
          <w:lang w:val="en-US" w:eastAsia="zh-CN" w:bidi="ar-SA"/>
        </w:rPr>
        <w:t>重视</w:t>
      </w:r>
      <w:r>
        <w:rPr>
          <w:rFonts w:hint="eastAsia" w:ascii="仿宋_GB2312" w:hAnsi="仿宋_GB2312" w:eastAsia="仿宋_GB2312" w:cs="仿宋_GB2312"/>
          <w:b w:val="0"/>
          <w:bCs w:val="0"/>
          <w:color w:val="000000"/>
          <w:sz w:val="32"/>
          <w:szCs w:val="32"/>
          <w:lang w:val="en-US" w:eastAsia="zh-CN" w:bidi="ar-SA"/>
        </w:rPr>
        <w:t>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 xml:space="preserve"> </w:t>
      </w:r>
      <w:r>
        <w:rPr>
          <w:rFonts w:hint="eastAsia" w:hAnsi="仿宋_GB2312" w:cs="仿宋_GB2312"/>
          <w:b w:val="0"/>
          <w:bCs w:val="0"/>
          <w:color w:val="000000"/>
          <w:sz w:val="32"/>
          <w:szCs w:val="32"/>
          <w:lang w:val="en-US" w:eastAsia="zh-CN" w:bidi="ar-SA"/>
        </w:rPr>
        <w:t>维护</w:t>
      </w:r>
      <w:r>
        <w:rPr>
          <w:rFonts w:hint="eastAsia" w:ascii="仿宋_GB2312" w:hAnsi="仿宋_GB2312" w:eastAsia="仿宋_GB2312" w:cs="仿宋_GB2312"/>
          <w:b w:val="0"/>
          <w:bCs w:val="0"/>
          <w:color w:val="000000"/>
          <w:sz w:val="32"/>
          <w:szCs w:val="32"/>
          <w:lang w:val="en-US" w:eastAsia="zh-CN" w:bidi="ar-SA"/>
        </w:rPr>
        <w:t>社会稳定的需要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改善生态环境，促进经济可持续发展的需要</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使</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的山更绿、水更清、天更蓝。</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3.经济效益。森林火灾的有效控制，大幅降低救火救灾以及生态修复支出，防患于未</w:t>
      </w:r>
      <w:r>
        <w:rPr>
          <w:rFonts w:hint="eastAsia" w:hAnsi="仿宋_GB2312" w:cs="仿宋_GB2312"/>
          <w:b w:val="0"/>
          <w:bCs w:val="0"/>
          <w:color w:val="000000"/>
          <w:sz w:val="32"/>
          <w:szCs w:val="32"/>
          <w:lang w:val="en-US" w:eastAsia="zh-CN" w:bidi="ar-SA"/>
        </w:rPr>
        <w:t>然</w:t>
      </w:r>
      <w:r>
        <w:rPr>
          <w:rFonts w:hint="eastAsia" w:ascii="仿宋_GB2312" w:hAnsi="仿宋_GB2312" w:eastAsia="仿宋_GB2312" w:cs="仿宋_GB2312"/>
          <w:b w:val="0"/>
          <w:bCs w:val="0"/>
          <w:color w:val="000000"/>
          <w:sz w:val="32"/>
          <w:szCs w:val="32"/>
          <w:lang w:val="en-US" w:eastAsia="zh-CN" w:bidi="ar-SA"/>
        </w:rPr>
        <w:t>，有效预防各种灾情及相关支出。</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黑体" w:hAnsi="黑体" w:eastAsia="黑体"/>
          <w:b/>
        </w:rPr>
      </w:pPr>
      <w:r>
        <w:rPr>
          <w:rFonts w:hint="eastAsia" w:ascii="仿宋_GB2312" w:hAnsi="仿宋_GB2312" w:eastAsia="仿宋_GB2312" w:cs="仿宋_GB2312"/>
          <w:b w:val="0"/>
          <w:bCs w:val="0"/>
          <w:color w:val="000000"/>
          <w:sz w:val="32"/>
          <w:szCs w:val="32"/>
          <w:lang w:val="en-US" w:eastAsia="zh-CN" w:bidi="ar-SA"/>
        </w:rPr>
        <w:t>4.可持续影响：通过项目的实施，强化全民防火</w:t>
      </w:r>
      <w:r>
        <w:rPr>
          <w:rFonts w:hint="eastAsia" w:hAnsi="仿宋_GB2312" w:cs="仿宋_GB2312"/>
          <w:b w:val="0"/>
          <w:bCs w:val="0"/>
          <w:color w:val="000000"/>
          <w:sz w:val="32"/>
          <w:szCs w:val="32"/>
          <w:lang w:val="en-US" w:eastAsia="zh-CN" w:bidi="ar-SA"/>
        </w:rPr>
        <w:t>重视</w:t>
      </w:r>
      <w:r>
        <w:rPr>
          <w:rFonts w:hint="eastAsia" w:ascii="仿宋_GB2312" w:hAnsi="仿宋_GB2312" w:eastAsia="仿宋_GB2312" w:cs="仿宋_GB2312"/>
          <w:b w:val="0"/>
          <w:bCs w:val="0"/>
          <w:color w:val="000000"/>
          <w:sz w:val="32"/>
          <w:szCs w:val="32"/>
          <w:lang w:val="en-US" w:eastAsia="zh-CN" w:bidi="ar-SA"/>
        </w:rPr>
        <w:t>和责任意识，为全镇森林防火工作开展创造良好的社会舆论和法治氛围，人民群众森林防火意识增强，提高全镇森林火灾预防控能力，森林火灾发生次数明显下降减少，野外用火得到有效控制，巩固现有绿化造林成果及维护林区长治久安，可持续提高人民生活质量，并可取得良好的社会、经济和环境效益，具有可持续影响。</w:t>
      </w:r>
    </w:p>
    <w:p>
      <w:pPr>
        <w:pStyle w:val="2"/>
        <w:keepNext w:val="0"/>
        <w:keepLines w:val="0"/>
        <w:pageBreakBefore w:val="0"/>
        <w:widowControl w:val="0"/>
        <w:kinsoku/>
        <w:wordWrap/>
        <w:overflowPunct/>
        <w:topLinePunct w:val="0"/>
        <w:autoSpaceDE w:val="0"/>
        <w:autoSpaceDN w:val="0"/>
        <w:bidi w:val="0"/>
        <w:adjustRightInd/>
        <w:snapToGrid/>
        <w:spacing w:after="0" w:line="576" w:lineRule="exact"/>
        <w:ind w:left="0" w:leftChars="0" w:right="0" w:firstLine="643" w:firstLineChars="200"/>
        <w:jc w:val="both"/>
        <w:textAlignment w:val="auto"/>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五、评价结论及建议</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（一）评价结论</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我们认为：</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镇人民政府的森林防火项目的实施，森林火灾发生次数明显下降减少，野外用火得到有效控制，项目实施到位，产生了良好的社会环境效益。</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根据</w:t>
      </w:r>
      <w:r>
        <w:rPr>
          <w:rFonts w:hint="eastAsia" w:hAnsi="仿宋_GB2312" w:cs="仿宋_GB2312"/>
          <w:b w:val="0"/>
          <w:bCs w:val="0"/>
          <w:color w:val="000000"/>
          <w:sz w:val="32"/>
          <w:szCs w:val="32"/>
          <w:lang w:val="en-US" w:eastAsia="zh-CN" w:bidi="ar-SA"/>
        </w:rPr>
        <w:t>演圣</w:t>
      </w:r>
      <w:r>
        <w:rPr>
          <w:rFonts w:hint="eastAsia" w:ascii="仿宋_GB2312" w:hAnsi="仿宋_GB2312" w:eastAsia="仿宋_GB2312" w:cs="仿宋_GB2312"/>
          <w:b w:val="0"/>
          <w:bCs w:val="0"/>
          <w:color w:val="000000"/>
          <w:sz w:val="32"/>
          <w:szCs w:val="32"/>
          <w:lang w:val="en-US" w:eastAsia="zh-CN" w:bidi="ar-SA"/>
        </w:rPr>
        <w:t>镇人民政府森林防火项目绩效评价指标表考评，此次评价指标总分值98分，综合得分为90分，其中：产出指标总分值50分，评价得分50分，效益指标总分值30分，评价得分 30分，满意度指标分值10分，评价得分10分，财务指标分值10分，评价得分8分。评价等次：优。</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（二）存在问题</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val="0"/>
          <w:bCs w:val="0"/>
          <w:color w:val="000000"/>
          <w:sz w:val="32"/>
          <w:szCs w:val="32"/>
          <w:lang w:val="en-US" w:eastAsia="zh-CN" w:bidi="ar-SA"/>
        </w:rPr>
        <w:t>我镇森林覆盖率较高，森林防火形势十分严峻。</w:t>
      </w:r>
      <w:r>
        <w:rPr>
          <w:rFonts w:hint="eastAsia" w:ascii="仿宋_GB2312" w:hAnsi="仿宋_GB2312" w:eastAsia="仿宋_GB2312" w:cs="仿宋_GB2312"/>
          <w:b/>
          <w:bCs/>
          <w:color w:val="000000"/>
          <w:sz w:val="32"/>
          <w:szCs w:val="32"/>
          <w:lang w:val="en-US" w:eastAsia="zh-CN" w:bidi="ar-SA"/>
        </w:rPr>
        <w:t>一是</w:t>
      </w:r>
      <w:r>
        <w:rPr>
          <w:rFonts w:hint="eastAsia" w:ascii="仿宋_GB2312" w:hAnsi="仿宋_GB2312" w:eastAsia="仿宋_GB2312" w:cs="仿宋_GB2312"/>
          <w:b w:val="0"/>
          <w:bCs w:val="0"/>
          <w:color w:val="000000"/>
          <w:sz w:val="32"/>
          <w:szCs w:val="32"/>
          <w:lang w:val="en-US" w:eastAsia="zh-CN" w:bidi="ar-SA"/>
        </w:rPr>
        <w:t>我镇山区面积较多，频繁的农事活动，给森林防火带来了一定困难。野外游玩休闲的人多，极易引发森林火灾。</w:t>
      </w:r>
      <w:r>
        <w:rPr>
          <w:rFonts w:hint="eastAsia" w:ascii="仿宋_GB2312" w:hAnsi="仿宋_GB2312" w:eastAsia="仿宋_GB2312" w:cs="仿宋_GB2312"/>
          <w:b/>
          <w:bCs/>
          <w:color w:val="000000"/>
          <w:sz w:val="32"/>
          <w:szCs w:val="32"/>
          <w:lang w:val="en-US" w:eastAsia="zh-CN" w:bidi="ar-SA"/>
        </w:rPr>
        <w:t>二是</w:t>
      </w:r>
      <w:r>
        <w:rPr>
          <w:rFonts w:hint="eastAsia" w:ascii="仿宋_GB2312" w:hAnsi="仿宋_GB2312" w:eastAsia="仿宋_GB2312" w:cs="仿宋_GB2312"/>
          <w:b w:val="0"/>
          <w:bCs w:val="0"/>
          <w:color w:val="000000"/>
          <w:sz w:val="32"/>
          <w:szCs w:val="32"/>
          <w:lang w:val="en-US" w:eastAsia="zh-CN" w:bidi="ar-SA"/>
        </w:rPr>
        <w:t>森林防火基础设施比较薄弱。特别是各主要林区，无监控瞭望设施，通讯信号不强，无有效阻隔系统，不具备抵御森林大火的能力，与当前的防火需要不相适应。</w:t>
      </w:r>
      <w:r>
        <w:rPr>
          <w:rFonts w:hint="eastAsia" w:ascii="仿宋_GB2312" w:hAnsi="仿宋_GB2312" w:eastAsia="仿宋_GB2312" w:cs="仿宋_GB2312"/>
          <w:b/>
          <w:bCs/>
          <w:color w:val="000000"/>
          <w:sz w:val="32"/>
          <w:szCs w:val="32"/>
          <w:lang w:val="en-US" w:eastAsia="zh-CN" w:bidi="ar-SA"/>
        </w:rPr>
        <w:t>三是</w:t>
      </w:r>
      <w:r>
        <w:rPr>
          <w:rFonts w:hint="eastAsia" w:ascii="仿宋_GB2312" w:hAnsi="仿宋_GB2312" w:eastAsia="仿宋_GB2312" w:cs="仿宋_GB2312"/>
          <w:b w:val="0"/>
          <w:bCs w:val="0"/>
          <w:color w:val="000000"/>
          <w:sz w:val="32"/>
          <w:szCs w:val="32"/>
          <w:lang w:val="en-US" w:eastAsia="zh-CN" w:bidi="ar-SA"/>
        </w:rPr>
        <w:t>由于林区的开发利用，林区施工、流动人员、旅游人员增多，管理难度加大， 已成为新形势下引发森林火灾的一大隐患。</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楷体_GB2312" w:hAnsi="楷体_GB2312" w:eastAsia="楷体_GB2312" w:cs="楷体_GB2312"/>
          <w:b/>
          <w:bCs/>
          <w:kern w:val="2"/>
          <w:sz w:val="32"/>
          <w:szCs w:val="32"/>
          <w:lang w:val="en-US" w:eastAsia="zh-CN" w:bidi="ar-SA"/>
        </w:rPr>
        <w:t>（三）相关建议</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3" w:firstLineChars="200"/>
        <w:jc w:val="both"/>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color w:val="000000"/>
          <w:sz w:val="32"/>
          <w:szCs w:val="32"/>
          <w:lang w:val="en-US" w:eastAsia="zh-CN" w:bidi="ar-SA"/>
        </w:rPr>
        <w:t>一是</w:t>
      </w:r>
      <w:r>
        <w:rPr>
          <w:rFonts w:hint="eastAsia" w:ascii="仿宋_GB2312" w:hAnsi="仿宋_GB2312" w:eastAsia="仿宋_GB2312" w:cs="仿宋_GB2312"/>
          <w:b w:val="0"/>
          <w:bCs w:val="0"/>
          <w:color w:val="000000"/>
          <w:sz w:val="32"/>
          <w:szCs w:val="32"/>
          <w:lang w:val="en-US" w:eastAsia="zh-CN" w:bidi="ar-SA"/>
        </w:rPr>
        <w:t>强化责任落实</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严控火源管理。</w:t>
      </w:r>
      <w:r>
        <w:rPr>
          <w:rFonts w:hint="eastAsia" w:ascii="仿宋_GB2312" w:hAnsi="仿宋_GB2312" w:eastAsia="仿宋_GB2312" w:cs="仿宋_GB2312"/>
          <w:b/>
          <w:bCs/>
          <w:color w:val="000000"/>
          <w:sz w:val="32"/>
          <w:szCs w:val="32"/>
          <w:lang w:val="en-US" w:eastAsia="zh-CN" w:bidi="ar-SA"/>
        </w:rPr>
        <w:t>二是</w:t>
      </w:r>
      <w:r>
        <w:rPr>
          <w:rFonts w:hint="eastAsia" w:ascii="仿宋_GB2312" w:hAnsi="仿宋_GB2312" w:eastAsia="仿宋_GB2312" w:cs="仿宋_GB2312"/>
          <w:b w:val="0"/>
          <w:bCs w:val="0"/>
          <w:color w:val="000000"/>
          <w:sz w:val="32"/>
          <w:szCs w:val="32"/>
          <w:lang w:val="en-US" w:eastAsia="zh-CN" w:bidi="ar-SA"/>
        </w:rPr>
        <w:t>持续加强森林防火工作的宣传教育</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转变农户思想</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强化农户的防火意识。</w:t>
      </w:r>
      <w:r>
        <w:rPr>
          <w:rFonts w:hint="eastAsia" w:ascii="仿宋_GB2312" w:hAnsi="仿宋_GB2312" w:eastAsia="仿宋_GB2312" w:cs="仿宋_GB2312"/>
          <w:b/>
          <w:bCs/>
          <w:color w:val="000000"/>
          <w:sz w:val="32"/>
          <w:szCs w:val="32"/>
          <w:lang w:val="en-US" w:eastAsia="zh-CN" w:bidi="ar-SA"/>
        </w:rPr>
        <w:t>三是</w:t>
      </w:r>
      <w:r>
        <w:rPr>
          <w:rFonts w:hint="eastAsia" w:hAnsi="仿宋_GB2312" w:cs="仿宋_GB2312"/>
          <w:b/>
          <w:bCs/>
          <w:color w:val="000000"/>
          <w:sz w:val="32"/>
          <w:szCs w:val="32"/>
          <w:lang w:val="en-US" w:eastAsia="zh-CN" w:bidi="ar-SA"/>
        </w:rPr>
        <w:t>加大</w:t>
      </w:r>
      <w:r>
        <w:rPr>
          <w:rFonts w:hint="eastAsia" w:ascii="仿宋_GB2312" w:hAnsi="仿宋_GB2312" w:eastAsia="仿宋_GB2312" w:cs="仿宋_GB2312"/>
          <w:b w:val="0"/>
          <w:bCs w:val="0"/>
          <w:color w:val="000000"/>
          <w:sz w:val="32"/>
          <w:szCs w:val="32"/>
          <w:lang w:val="en-US" w:eastAsia="zh-CN" w:bidi="ar-SA"/>
        </w:rPr>
        <w:t>联合巡查执法力度</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环保、农业、派出所、林业公安等部门进一步加大处置力度</w:t>
      </w:r>
      <w:r>
        <w:rPr>
          <w:rFonts w:hint="eastAsia" w:hAnsi="仿宋_GB2312" w:cs="仿宋_GB2312"/>
          <w:b w:val="0"/>
          <w:bCs w:val="0"/>
          <w:color w:val="000000"/>
          <w:sz w:val="32"/>
          <w:szCs w:val="32"/>
          <w:lang w:val="en-US" w:eastAsia="zh-CN" w:bidi="ar-SA"/>
        </w:rPr>
        <w:t>，</w:t>
      </w:r>
      <w:r>
        <w:rPr>
          <w:rFonts w:hint="eastAsia" w:ascii="仿宋_GB2312" w:hAnsi="仿宋_GB2312" w:eastAsia="仿宋_GB2312" w:cs="仿宋_GB2312"/>
          <w:b w:val="0"/>
          <w:bCs w:val="0"/>
          <w:color w:val="000000"/>
          <w:sz w:val="32"/>
          <w:szCs w:val="32"/>
          <w:lang w:val="en-US" w:eastAsia="zh-CN" w:bidi="ar-SA"/>
        </w:rPr>
        <w:t>发现一起处置一起，形成威慑。</w:t>
      </w:r>
      <w:r>
        <w:rPr>
          <w:rFonts w:hint="eastAsia" w:ascii="仿宋_GB2312" w:hAnsi="仿宋_GB2312" w:eastAsia="仿宋_GB2312" w:cs="仿宋_GB2312"/>
          <w:b/>
          <w:bCs/>
          <w:color w:val="000000"/>
          <w:sz w:val="32"/>
          <w:szCs w:val="32"/>
          <w:lang w:val="en-US" w:eastAsia="zh-CN" w:bidi="ar-SA"/>
        </w:rPr>
        <w:t>四是</w:t>
      </w:r>
      <w:r>
        <w:rPr>
          <w:rFonts w:hint="eastAsia" w:ascii="仿宋_GB2312" w:hAnsi="仿宋_GB2312" w:eastAsia="仿宋_GB2312" w:cs="仿宋_GB2312"/>
          <w:b w:val="0"/>
          <w:bCs w:val="0"/>
          <w:color w:val="000000"/>
          <w:sz w:val="32"/>
          <w:szCs w:val="32"/>
          <w:lang w:val="en-US" w:eastAsia="zh-CN" w:bidi="ar-SA"/>
        </w:rPr>
        <w:t>加强森林防火信息化建设上的投入，使森林防火工作更加高效、便捷。</w:t>
      </w:r>
    </w:p>
    <w:p>
      <w:pPr>
        <w:pStyle w:val="2"/>
        <w:keepNext w:val="0"/>
        <w:keepLines w:val="0"/>
        <w:pageBreakBefore w:val="0"/>
        <w:widowControl w:val="0"/>
        <w:kinsoku/>
        <w:wordWrap/>
        <w:overflowPunct/>
        <w:topLinePunct w:val="0"/>
        <w:autoSpaceDE w:val="0"/>
        <w:autoSpaceDN w:val="0"/>
        <w:bidi w:val="0"/>
        <w:adjustRightInd/>
        <w:snapToGrid/>
        <w:spacing w:line="576" w:lineRule="exact"/>
        <w:ind w:left="0" w:leftChars="0" w:right="0" w:firstLine="640" w:firstLineChars="200"/>
        <w:jc w:val="both"/>
        <w:textAlignment w:val="auto"/>
        <w:rPr>
          <w:rFonts w:hint="eastAsia" w:ascii="仿宋_GB2312" w:hAnsi="仿宋_GB2312" w:eastAsia="仿宋_GB2312" w:cs="仿宋_GB2312"/>
          <w:b w:val="0"/>
          <w:bCs w:val="0"/>
          <w:color w:val="000000"/>
          <w:sz w:val="32"/>
          <w:szCs w:val="32"/>
          <w:lang w:val="en-US" w:eastAsia="zh-CN" w:bidi="ar-SA"/>
        </w:rPr>
        <w:sectPr>
          <w:pgSz w:w="11910" w:h="16840"/>
          <w:pgMar w:top="1440" w:right="1803" w:bottom="1440" w:left="1803" w:header="0" w:footer="1197" w:gutter="0"/>
          <w:pgNumType w:fmt="decimal"/>
          <w:cols w:space="720" w:num="1"/>
        </w:sectPr>
      </w:pPr>
    </w:p>
    <w:p>
      <w:pPr>
        <w:pStyle w:val="2"/>
        <w:spacing w:before="25"/>
        <w:ind w:left="0" w:leftChars="0" w:firstLine="0" w:firstLineChars="0"/>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附表</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2022年安全经费（森林防火）项目绩效</w:t>
      </w:r>
    </w:p>
    <w:p>
      <w:pPr>
        <w:pStyle w:val="44"/>
        <w:keepNext w:val="0"/>
        <w:keepLines w:val="0"/>
        <w:pageBreakBefore w:val="0"/>
        <w:widowControl w:val="0"/>
        <w:kinsoku/>
        <w:wordWrap/>
        <w:overflowPunct/>
        <w:topLinePunct w:val="0"/>
        <w:autoSpaceDE w:val="0"/>
        <w:autoSpaceDN w:val="0"/>
        <w:bidi w:val="0"/>
        <w:adjustRightInd/>
        <w:snapToGrid/>
        <w:spacing w:before="0" w:line="576" w:lineRule="exact"/>
        <w:ind w:left="0" w:leftChars="0" w:firstLine="0" w:firstLineChars="0"/>
        <w:jc w:val="center"/>
        <w:textAlignment w:val="auto"/>
        <w:rPr>
          <w:rFonts w:hint="eastAsia" w:ascii="方正小标宋_GBK" w:hAnsi="方正小标宋简体" w:eastAsia="方正小标宋_GBK" w:cs="方正小标宋简体"/>
          <w:b/>
          <w:bCs/>
          <w:kern w:val="2"/>
          <w:sz w:val="44"/>
          <w:szCs w:val="44"/>
          <w:lang w:val="en-US" w:eastAsia="zh-CN" w:bidi="ar-SA"/>
        </w:rPr>
      </w:pPr>
      <w:r>
        <w:rPr>
          <w:rFonts w:hint="eastAsia" w:ascii="方正小标宋_GBK" w:hAnsi="方正小标宋简体" w:eastAsia="方正小标宋_GBK" w:cs="方正小标宋简体"/>
          <w:b/>
          <w:bCs/>
          <w:kern w:val="2"/>
          <w:sz w:val="44"/>
          <w:szCs w:val="44"/>
          <w:lang w:val="en-US" w:eastAsia="zh-CN" w:bidi="ar-SA"/>
        </w:rPr>
        <w:t>目标自评</w:t>
      </w:r>
    </w:p>
    <w:p>
      <w:pPr>
        <w:pStyle w:val="2"/>
        <w:spacing w:before="7" w:after="1"/>
        <w:ind w:left="0"/>
        <w:rPr>
          <w:rFonts w:ascii="宋体"/>
          <w:b/>
          <w:sz w:val="10"/>
        </w:rPr>
      </w:pPr>
    </w:p>
    <w:tbl>
      <w:tblPr>
        <w:tblStyle w:val="18"/>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78"/>
        <w:gridCol w:w="1143"/>
        <w:gridCol w:w="1725"/>
        <w:gridCol w:w="1864"/>
        <w:gridCol w:w="1682"/>
        <w:gridCol w:w="19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121" w:type="dxa"/>
            <w:gridSpan w:val="2"/>
          </w:tcPr>
          <w:p>
            <w:pPr>
              <w:pStyle w:val="47"/>
              <w:spacing w:before="165"/>
              <w:ind w:left="71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主管部门及代码</w:t>
            </w:r>
          </w:p>
        </w:tc>
        <w:tc>
          <w:tcPr>
            <w:tcW w:w="3589" w:type="dxa"/>
            <w:gridSpan w:val="2"/>
          </w:tcPr>
          <w:p>
            <w:pPr>
              <w:pStyle w:val="47"/>
              <w:spacing w:before="165"/>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剑阁县财政局</w:t>
            </w:r>
          </w:p>
        </w:tc>
        <w:tc>
          <w:tcPr>
            <w:tcW w:w="1682" w:type="dxa"/>
          </w:tcPr>
          <w:p>
            <w:pPr>
              <w:pStyle w:val="47"/>
              <w:spacing w:before="165"/>
              <w:ind w:left="12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实施单位</w:t>
            </w:r>
          </w:p>
        </w:tc>
        <w:tc>
          <w:tcPr>
            <w:tcW w:w="1972" w:type="dxa"/>
            <w:vAlign w:val="center"/>
          </w:tcPr>
          <w:p>
            <w:pPr>
              <w:pStyle w:val="47"/>
              <w:spacing w:before="4"/>
              <w:ind w:left="100" w:right="10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剑阁县</w:t>
            </w:r>
            <w:r>
              <w:rPr>
                <w:rFonts w:hint="eastAsia" w:ascii="仿宋_GB2312" w:hAnsi="仿宋_GB2312" w:eastAsia="仿宋_GB2312" w:cs="仿宋_GB2312"/>
                <w:sz w:val="24"/>
                <w:szCs w:val="24"/>
                <w:lang w:eastAsia="zh-CN"/>
              </w:rPr>
              <w:t>演圣镇</w:t>
            </w:r>
          </w:p>
          <w:p>
            <w:pPr>
              <w:pStyle w:val="47"/>
              <w:spacing w:before="4"/>
              <w:ind w:left="100"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21" w:type="dxa"/>
            <w:gridSpan w:val="2"/>
            <w:vMerge w:val="restart"/>
          </w:tcPr>
          <w:p>
            <w:pPr>
              <w:pStyle w:val="47"/>
              <w:spacing w:before="194" w:line="252" w:lineRule="auto"/>
              <w:ind w:left="1077" w:right="1071"/>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项目预算执行情况</w:t>
            </w:r>
          </w:p>
          <w:p>
            <w:pPr>
              <w:pStyle w:val="47"/>
              <w:spacing w:line="303" w:lineRule="exact"/>
              <w:ind w:left="1057" w:right="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（万元）</w:t>
            </w:r>
          </w:p>
        </w:tc>
        <w:tc>
          <w:tcPr>
            <w:tcW w:w="1725" w:type="dxa"/>
          </w:tcPr>
          <w:p>
            <w:pPr>
              <w:pStyle w:val="47"/>
              <w:spacing w:before="14" w:line="306" w:lineRule="exact"/>
              <w:ind w:left="22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预算数：</w:t>
            </w:r>
          </w:p>
        </w:tc>
        <w:tc>
          <w:tcPr>
            <w:tcW w:w="1864" w:type="dxa"/>
          </w:tcPr>
          <w:p>
            <w:pPr>
              <w:pStyle w:val="47"/>
              <w:spacing w:before="14" w:line="306" w:lineRule="exact"/>
              <w:ind w:lef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99"/>
                <w:sz w:val="24"/>
                <w:szCs w:val="24"/>
                <w:lang w:val="en-US" w:eastAsia="zh-CN"/>
              </w:rPr>
              <w:t>1.87</w:t>
            </w:r>
          </w:p>
        </w:tc>
        <w:tc>
          <w:tcPr>
            <w:tcW w:w="1682" w:type="dxa"/>
          </w:tcPr>
          <w:p>
            <w:pPr>
              <w:pStyle w:val="47"/>
              <w:spacing w:before="14" w:line="306" w:lineRule="exact"/>
              <w:ind w:left="22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执行数：</w:t>
            </w:r>
          </w:p>
        </w:tc>
        <w:tc>
          <w:tcPr>
            <w:tcW w:w="1972" w:type="dxa"/>
          </w:tcPr>
          <w:p>
            <w:pPr>
              <w:pStyle w:val="47"/>
              <w:spacing w:before="14" w:line="306" w:lineRule="exact"/>
              <w:ind w:right="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99"/>
                <w:sz w:val="24"/>
                <w:szCs w:val="24"/>
                <w:lang w:val="en-US" w:eastAsia="zh-CN"/>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3121" w:type="dxa"/>
            <w:gridSpan w:val="2"/>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4"/>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1864" w:type="dxa"/>
          </w:tcPr>
          <w:p>
            <w:pPr>
              <w:pStyle w:val="47"/>
              <w:spacing w:before="165"/>
              <w:ind w:left="103"/>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99"/>
                <w:sz w:val="24"/>
                <w:szCs w:val="24"/>
                <w:lang w:val="en-US" w:eastAsia="zh-CN"/>
              </w:rPr>
              <w:t>1.87</w:t>
            </w:r>
          </w:p>
        </w:tc>
        <w:tc>
          <w:tcPr>
            <w:tcW w:w="1682" w:type="dxa"/>
          </w:tcPr>
          <w:p>
            <w:pPr>
              <w:pStyle w:val="47"/>
              <w:spacing w:before="4"/>
              <w:ind w:left="10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其中：</w:t>
            </w:r>
          </w:p>
          <w:p>
            <w:pPr>
              <w:pStyle w:val="47"/>
              <w:spacing w:before="12" w:line="297" w:lineRule="exact"/>
              <w:ind w:left="10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财政拨款</w:t>
            </w:r>
          </w:p>
        </w:tc>
        <w:tc>
          <w:tcPr>
            <w:tcW w:w="1972" w:type="dxa"/>
          </w:tcPr>
          <w:p>
            <w:pPr>
              <w:pStyle w:val="47"/>
              <w:spacing w:before="165"/>
              <w:ind w:right="1"/>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99"/>
                <w:sz w:val="24"/>
                <w:szCs w:val="24"/>
                <w:lang w:val="en-US" w:eastAsia="zh-CN"/>
              </w:rPr>
              <w:t>1.87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121" w:type="dxa"/>
            <w:gridSpan w:val="2"/>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14" w:line="306" w:lineRule="exact"/>
              <w:ind w:left="1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864" w:type="dxa"/>
          </w:tcPr>
          <w:p>
            <w:pPr>
              <w:pStyle w:val="47"/>
              <w:spacing w:before="14" w:line="306" w:lineRule="exact"/>
              <w:ind w:left="10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c>
          <w:tcPr>
            <w:tcW w:w="1682" w:type="dxa"/>
          </w:tcPr>
          <w:p>
            <w:pPr>
              <w:pStyle w:val="47"/>
              <w:spacing w:before="14" w:line="306" w:lineRule="exact"/>
              <w:ind w:left="10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其他资金</w:t>
            </w:r>
          </w:p>
        </w:tc>
        <w:tc>
          <w:tcPr>
            <w:tcW w:w="1972" w:type="dxa"/>
          </w:tcPr>
          <w:p>
            <w:pPr>
              <w:pStyle w:val="47"/>
              <w:spacing w:before="14" w:line="306" w:lineRule="exact"/>
              <w:ind w:right="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jc w:val="center"/>
        </w:trPr>
        <w:tc>
          <w:tcPr>
            <w:tcW w:w="1978" w:type="dxa"/>
            <w:vMerge w:val="restart"/>
          </w:tcPr>
          <w:p>
            <w:pPr>
              <w:pStyle w:val="47"/>
              <w:spacing w:before="3"/>
              <w:rPr>
                <w:rFonts w:hint="eastAsia" w:ascii="仿宋_GB2312" w:hAnsi="仿宋_GB2312" w:eastAsia="仿宋_GB2312" w:cs="仿宋_GB2312"/>
                <w:b/>
                <w:sz w:val="24"/>
                <w:szCs w:val="24"/>
              </w:rPr>
            </w:pPr>
          </w:p>
          <w:p>
            <w:pPr>
              <w:pStyle w:val="47"/>
              <w:spacing w:line="252" w:lineRule="auto"/>
              <w:ind w:left="508" w:right="257" w:hanging="24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年度总体目标完成情况</w:t>
            </w:r>
          </w:p>
        </w:tc>
        <w:tc>
          <w:tcPr>
            <w:tcW w:w="4732" w:type="dxa"/>
            <w:gridSpan w:val="3"/>
          </w:tcPr>
          <w:p>
            <w:pPr>
              <w:pStyle w:val="47"/>
              <w:spacing w:before="4" w:line="294" w:lineRule="exact"/>
              <w:ind w:left="1479" w:right="147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预期目标</w:t>
            </w:r>
          </w:p>
        </w:tc>
        <w:tc>
          <w:tcPr>
            <w:tcW w:w="3654" w:type="dxa"/>
            <w:gridSpan w:val="2"/>
          </w:tcPr>
          <w:p>
            <w:pPr>
              <w:pStyle w:val="47"/>
              <w:spacing w:before="4" w:line="294" w:lineRule="exact"/>
              <w:ind w:left="85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目标实际完成情况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4732" w:type="dxa"/>
            <w:gridSpan w:val="3"/>
          </w:tcPr>
          <w:p>
            <w:pPr>
              <w:pStyle w:val="47"/>
              <w:spacing w:before="31" w:line="249" w:lineRule="auto"/>
              <w:ind w:left="105" w:right="98"/>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切实减少辖区内火灾隐患，有效预防</w:t>
            </w:r>
            <w:r>
              <w:rPr>
                <w:rFonts w:hint="eastAsia" w:ascii="仿宋_GB2312" w:hAnsi="仿宋_GB2312" w:eastAsia="仿宋_GB2312" w:cs="仿宋_GB2312"/>
                <w:sz w:val="24"/>
                <w:szCs w:val="24"/>
              </w:rPr>
              <w:t>森林火灾</w:t>
            </w:r>
          </w:p>
        </w:tc>
        <w:tc>
          <w:tcPr>
            <w:tcW w:w="3654" w:type="dxa"/>
            <w:gridSpan w:val="2"/>
          </w:tcPr>
          <w:p>
            <w:pPr>
              <w:pStyle w:val="47"/>
              <w:spacing w:before="31" w:line="249" w:lineRule="auto"/>
              <w:ind w:left="105" w:right="3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有效预防森林火灾，202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 xml:space="preserve"> 年镇内未发生火灾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jc w:val="center"/>
        </w:trPr>
        <w:tc>
          <w:tcPr>
            <w:tcW w:w="1978"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215" w:line="213" w:lineRule="auto"/>
              <w:ind w:left="427" w:right="137" w:hanging="27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年度绩效指标完成情况</w:t>
            </w:r>
          </w:p>
        </w:tc>
        <w:tc>
          <w:tcPr>
            <w:tcW w:w="1143" w:type="dxa"/>
          </w:tcPr>
          <w:p>
            <w:pPr>
              <w:pStyle w:val="47"/>
              <w:spacing w:before="29" w:line="320" w:lineRule="exact"/>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一级指标</w:t>
            </w:r>
          </w:p>
        </w:tc>
        <w:tc>
          <w:tcPr>
            <w:tcW w:w="1725" w:type="dxa"/>
            <w:vAlign w:val="center"/>
          </w:tcPr>
          <w:p>
            <w:pPr>
              <w:pStyle w:val="47"/>
              <w:spacing w:before="29" w:line="320" w:lineRule="exact"/>
              <w:ind w:right="52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二级</w:t>
            </w:r>
          </w:p>
          <w:p>
            <w:pPr>
              <w:pStyle w:val="47"/>
              <w:spacing w:before="29" w:line="320" w:lineRule="exact"/>
              <w:ind w:right="52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指标</w:t>
            </w:r>
          </w:p>
        </w:tc>
        <w:tc>
          <w:tcPr>
            <w:tcW w:w="1864" w:type="dxa"/>
          </w:tcPr>
          <w:p>
            <w:pPr>
              <w:pStyle w:val="47"/>
              <w:spacing w:before="29" w:line="320" w:lineRule="exact"/>
              <w:ind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三级</w:t>
            </w:r>
          </w:p>
          <w:p>
            <w:pPr>
              <w:pStyle w:val="47"/>
              <w:spacing w:before="29" w:line="320" w:lineRule="exact"/>
              <w:ind w:right="3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682" w:type="dxa"/>
          </w:tcPr>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预期</w:t>
            </w:r>
          </w:p>
          <w:p>
            <w:pPr>
              <w:pStyle w:val="47"/>
              <w:spacing w:before="29" w:line="320" w:lineRule="exact"/>
              <w:ind w:left="328" w:right="183" w:hanging="1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指标值</w:t>
            </w:r>
          </w:p>
        </w:tc>
        <w:tc>
          <w:tcPr>
            <w:tcW w:w="1972" w:type="dxa"/>
          </w:tcPr>
          <w:p>
            <w:pPr>
              <w:pStyle w:val="47"/>
              <w:spacing w:before="166"/>
              <w:ind w:left="100"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实际完成指标值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6"/>
              <w:rPr>
                <w:rFonts w:hint="eastAsia" w:ascii="仿宋_GB2312" w:hAnsi="仿宋_GB2312" w:eastAsia="仿宋_GB2312" w:cs="仿宋_GB2312"/>
                <w:b/>
                <w:sz w:val="24"/>
                <w:szCs w:val="24"/>
              </w:rPr>
            </w:pPr>
          </w:p>
          <w:p>
            <w:pPr>
              <w:pStyle w:val="47"/>
              <w:spacing w:line="213"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完成指标</w:t>
            </w:r>
          </w:p>
        </w:tc>
        <w:tc>
          <w:tcPr>
            <w:tcW w:w="1725" w:type="dxa"/>
            <w:vAlign w:val="center"/>
          </w:tcPr>
          <w:p>
            <w:pPr>
              <w:pStyle w:val="47"/>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数量指标</w:t>
            </w:r>
          </w:p>
        </w:tc>
        <w:tc>
          <w:tcPr>
            <w:tcW w:w="1864" w:type="dxa"/>
          </w:tcPr>
          <w:p>
            <w:pPr>
              <w:pStyle w:val="47"/>
              <w:spacing w:line="284"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日常防火宣传及巡逻次数</w:t>
            </w:r>
          </w:p>
        </w:tc>
        <w:tc>
          <w:tcPr>
            <w:tcW w:w="1682"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c>
          <w:tcPr>
            <w:tcW w:w="1972" w:type="dxa"/>
            <w:vAlign w:val="center"/>
          </w:tcPr>
          <w:p>
            <w:pPr>
              <w:pStyle w:val="47"/>
              <w:ind w:right="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vAlign w:val="center"/>
          </w:tcPr>
          <w:p>
            <w:pPr>
              <w:pStyle w:val="47"/>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质量指标</w:t>
            </w:r>
          </w:p>
        </w:tc>
        <w:tc>
          <w:tcPr>
            <w:tcW w:w="1864" w:type="dxa"/>
            <w:vAlign w:val="center"/>
          </w:tcPr>
          <w:p>
            <w:pPr>
              <w:pStyle w:val="47"/>
              <w:spacing w:line="286" w:lineRule="exact"/>
              <w:ind w:left="171"/>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物质合格率(%)</w:t>
            </w:r>
          </w:p>
        </w:tc>
        <w:tc>
          <w:tcPr>
            <w:tcW w:w="1682"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c>
          <w:tcPr>
            <w:tcW w:w="1972" w:type="dxa"/>
            <w:vAlign w:val="center"/>
          </w:tcPr>
          <w:p>
            <w:pPr>
              <w:pStyle w:val="47"/>
              <w:ind w:right="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106"/>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时效指标</w:t>
            </w:r>
          </w:p>
        </w:tc>
        <w:tc>
          <w:tcPr>
            <w:tcW w:w="1864" w:type="dxa"/>
            <w:vAlign w:val="center"/>
          </w:tcPr>
          <w:p>
            <w:pPr>
              <w:pStyle w:val="47"/>
              <w:spacing w:line="286" w:lineRule="exact"/>
              <w:ind w:left="171"/>
              <w:jc w:val="both"/>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工作持续时间</w:t>
            </w:r>
          </w:p>
        </w:tc>
        <w:tc>
          <w:tcPr>
            <w:tcW w:w="1682" w:type="dxa"/>
            <w:vAlign w:val="center"/>
          </w:tcPr>
          <w:p>
            <w:pPr>
              <w:pStyle w:val="47"/>
              <w:spacing w:line="286" w:lineRule="exact"/>
              <w:ind w:left="99" w:right="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年度内</w:t>
            </w:r>
          </w:p>
        </w:tc>
        <w:tc>
          <w:tcPr>
            <w:tcW w:w="1972" w:type="dxa"/>
            <w:vAlign w:val="center"/>
          </w:tcPr>
          <w:p>
            <w:pPr>
              <w:pStyle w:val="47"/>
              <w:spacing w:before="106"/>
              <w:ind w:right="10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年度内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before="27"/>
              <w:ind w:right="248"/>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成本指标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restart"/>
          </w:tcPr>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rPr>
                <w:rFonts w:hint="eastAsia" w:ascii="仿宋_GB2312" w:hAnsi="仿宋_GB2312" w:eastAsia="仿宋_GB2312" w:cs="仿宋_GB2312"/>
                <w:b/>
                <w:sz w:val="24"/>
                <w:szCs w:val="24"/>
              </w:rPr>
            </w:pPr>
          </w:p>
          <w:p>
            <w:pPr>
              <w:pStyle w:val="47"/>
              <w:spacing w:before="12"/>
              <w:rPr>
                <w:rFonts w:hint="eastAsia" w:ascii="仿宋_GB2312" w:hAnsi="仿宋_GB2312" w:eastAsia="仿宋_GB2312" w:cs="仿宋_GB2312"/>
                <w:b/>
                <w:sz w:val="24"/>
                <w:szCs w:val="24"/>
              </w:rPr>
            </w:pPr>
          </w:p>
          <w:p>
            <w:pPr>
              <w:pStyle w:val="47"/>
              <w:spacing w:line="216" w:lineRule="auto"/>
              <w:ind w:left="287" w:right="28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效益指标</w:t>
            </w:r>
          </w:p>
        </w:tc>
        <w:tc>
          <w:tcPr>
            <w:tcW w:w="1725" w:type="dxa"/>
          </w:tcPr>
          <w:p>
            <w:pPr>
              <w:pStyle w:val="47"/>
              <w:spacing w:line="286" w:lineRule="exact"/>
              <w:ind w:left="92"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经济效益</w:t>
            </w:r>
          </w:p>
          <w:p>
            <w:pPr>
              <w:pStyle w:val="47"/>
              <w:spacing w:line="335"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4"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vAlign w:val="center"/>
          </w:tcPr>
          <w:p>
            <w:pPr>
              <w:pStyle w:val="47"/>
              <w:keepNext w:val="0"/>
              <w:keepLines w:val="0"/>
              <w:pageBreakBefore w:val="0"/>
              <w:widowControl w:val="0"/>
              <w:kinsoku/>
              <w:wordWrap/>
              <w:overflowPunct/>
              <w:topLinePunct w:val="0"/>
              <w:autoSpaceDE w:val="0"/>
              <w:autoSpaceDN w:val="0"/>
              <w:bidi w:val="0"/>
              <w:adjustRightInd/>
              <w:snapToGrid/>
              <w:spacing w:line="252" w:lineRule="auto"/>
              <w:ind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社会效益指标</w:t>
            </w:r>
          </w:p>
        </w:tc>
        <w:tc>
          <w:tcPr>
            <w:tcW w:w="1864" w:type="dxa"/>
            <w:vAlign w:val="center"/>
          </w:tcPr>
          <w:p>
            <w:pPr>
              <w:pStyle w:val="47"/>
              <w:spacing w:before="162" w:line="249" w:lineRule="auto"/>
              <w:ind w:right="107"/>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切实减少辖区内火灾隐患</w:t>
            </w:r>
          </w:p>
        </w:tc>
        <w:tc>
          <w:tcPr>
            <w:tcW w:w="1682" w:type="dxa"/>
            <w:vAlign w:val="center"/>
          </w:tcPr>
          <w:p>
            <w:pPr>
              <w:pStyle w:val="47"/>
              <w:spacing w:line="249" w:lineRule="auto"/>
              <w:ind w:left="129" w:right="123"/>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确保国有森林资源和群众生命财产安全得到有</w:t>
            </w:r>
            <w:r>
              <w:rPr>
                <w:rFonts w:hint="eastAsia" w:ascii="仿宋_GB2312" w:hAnsi="仿宋_GB2312" w:eastAsia="仿宋_GB2312" w:cs="仿宋_GB2312"/>
                <w:sz w:val="24"/>
                <w:szCs w:val="24"/>
              </w:rPr>
              <w:t>效保障</w:t>
            </w:r>
          </w:p>
        </w:tc>
        <w:tc>
          <w:tcPr>
            <w:tcW w:w="1972" w:type="dxa"/>
            <w:vAlign w:val="center"/>
          </w:tcPr>
          <w:p>
            <w:pPr>
              <w:pStyle w:val="47"/>
              <w:spacing w:before="162" w:line="249" w:lineRule="auto"/>
              <w:ind w:right="12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确保国有森林资源和群众生命财产安全得到有效保障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line="286" w:lineRule="exact"/>
              <w:ind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生态效益指标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vMerge w:val="continue"/>
            <w:tcBorders>
              <w:top w:val="nil"/>
            </w:tcBorders>
          </w:tcPr>
          <w:p>
            <w:pPr>
              <w:rPr>
                <w:rFonts w:hint="eastAsia" w:ascii="仿宋_GB2312" w:hAnsi="仿宋_GB2312" w:eastAsia="仿宋_GB2312" w:cs="仿宋_GB2312"/>
                <w:sz w:val="24"/>
                <w:szCs w:val="24"/>
              </w:rPr>
            </w:pPr>
          </w:p>
        </w:tc>
        <w:tc>
          <w:tcPr>
            <w:tcW w:w="1725" w:type="dxa"/>
          </w:tcPr>
          <w:p>
            <w:pPr>
              <w:pStyle w:val="47"/>
              <w:spacing w:line="286"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可持续影响</w:t>
            </w:r>
          </w:p>
          <w:p>
            <w:pPr>
              <w:pStyle w:val="47"/>
              <w:spacing w:line="335" w:lineRule="exact"/>
              <w:ind w:left="94" w:right="9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1864" w:type="dxa"/>
          </w:tcPr>
          <w:p>
            <w:pPr>
              <w:pStyle w:val="47"/>
              <w:rPr>
                <w:rFonts w:hint="eastAsia" w:ascii="仿宋_GB2312" w:hAnsi="仿宋_GB2312" w:eastAsia="仿宋_GB2312" w:cs="仿宋_GB2312"/>
                <w:sz w:val="24"/>
                <w:szCs w:val="24"/>
              </w:rPr>
            </w:pPr>
          </w:p>
        </w:tc>
        <w:tc>
          <w:tcPr>
            <w:tcW w:w="1682" w:type="dxa"/>
          </w:tcPr>
          <w:p>
            <w:pPr>
              <w:pStyle w:val="47"/>
              <w:rPr>
                <w:rFonts w:hint="eastAsia" w:ascii="仿宋_GB2312" w:hAnsi="仿宋_GB2312" w:eastAsia="仿宋_GB2312" w:cs="仿宋_GB2312"/>
                <w:sz w:val="24"/>
                <w:szCs w:val="24"/>
              </w:rPr>
            </w:pPr>
          </w:p>
        </w:tc>
        <w:tc>
          <w:tcPr>
            <w:tcW w:w="1972" w:type="dxa"/>
          </w:tcPr>
          <w:p>
            <w:pPr>
              <w:pStyle w:val="47"/>
              <w:rPr>
                <w:rFonts w:hint="eastAsia" w:ascii="仿宋_GB2312" w:hAnsi="仿宋_GB2312" w:eastAsia="仿宋_GB2312" w:cs="仿宋_GB2312"/>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jc w:val="center"/>
        </w:trPr>
        <w:tc>
          <w:tcPr>
            <w:tcW w:w="1978" w:type="dxa"/>
            <w:vMerge w:val="continue"/>
            <w:tcBorders>
              <w:top w:val="nil"/>
            </w:tcBorders>
          </w:tcPr>
          <w:p>
            <w:pPr>
              <w:rPr>
                <w:rFonts w:hint="eastAsia" w:ascii="仿宋_GB2312" w:hAnsi="仿宋_GB2312" w:eastAsia="仿宋_GB2312" w:cs="仿宋_GB2312"/>
                <w:sz w:val="24"/>
                <w:szCs w:val="24"/>
              </w:rPr>
            </w:pPr>
          </w:p>
        </w:tc>
        <w:tc>
          <w:tcPr>
            <w:tcW w:w="1143" w:type="dxa"/>
          </w:tcPr>
          <w:p>
            <w:pPr>
              <w:pStyle w:val="47"/>
              <w:spacing w:before="137" w:line="213" w:lineRule="auto"/>
              <w:ind w:left="148" w:right="142" w:firstLine="13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725" w:type="dxa"/>
          </w:tcPr>
          <w:p>
            <w:pPr>
              <w:pStyle w:val="47"/>
              <w:spacing w:before="137" w:line="213" w:lineRule="auto"/>
              <w:ind w:left="533" w:right="390" w:hanging="14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满意度指标</w:t>
            </w:r>
          </w:p>
        </w:tc>
        <w:tc>
          <w:tcPr>
            <w:tcW w:w="1864" w:type="dxa"/>
            <w:vAlign w:val="center"/>
          </w:tcPr>
          <w:p>
            <w:pPr>
              <w:pStyle w:val="47"/>
              <w:spacing w:line="284" w:lineRule="exact"/>
              <w:ind w:left="17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群众满意度</w:t>
            </w:r>
          </w:p>
          <w:p>
            <w:pPr>
              <w:pStyle w:val="47"/>
              <w:spacing w:line="335" w:lineRule="exact"/>
              <w:ind w:left="24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tc>
        <w:tc>
          <w:tcPr>
            <w:tcW w:w="1682" w:type="dxa"/>
            <w:vAlign w:val="center"/>
          </w:tcPr>
          <w:p>
            <w:pPr>
              <w:pStyle w:val="47"/>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c>
          <w:tcPr>
            <w:tcW w:w="1972" w:type="dxa"/>
            <w:vAlign w:val="center"/>
          </w:tcPr>
          <w:p>
            <w:pPr>
              <w:pStyle w:val="47"/>
              <w:ind w:right="10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≥95</w:t>
            </w:r>
          </w:p>
        </w:tc>
      </w:tr>
    </w:tbl>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right="0" w:rightChars="0"/>
        <w:jc w:val="both"/>
        <w:textAlignment w:val="auto"/>
        <w:outlineLvl w:val="9"/>
        <w:rPr>
          <w:rFonts w:hint="eastAsia" w:ascii="仿宋" w:hAnsi="仿宋" w:eastAsia="仿宋" w:cs="仿宋"/>
          <w:color w:val="000000"/>
          <w:kern w:val="0"/>
          <w:sz w:val="32"/>
          <w:szCs w:val="32"/>
          <w:shd w:val="clear" w:color="auto" w:fill="FFFFFF"/>
          <w:lang w:val="zh-CN" w:eastAsia="zh-CN" w:bidi="ar-SA"/>
        </w:rPr>
      </w:pPr>
    </w:p>
    <w:p>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right="0"/>
        <w:jc w:val="both"/>
        <w:rPr>
          <w:rFonts w:hint="default" w:ascii="仿宋" w:hAnsi="仿宋" w:eastAsia="仿宋" w:cs="仿宋"/>
          <w:b w:val="0"/>
          <w:bCs w:val="0"/>
          <w:i w:val="0"/>
          <w:iCs w:val="0"/>
          <w:caps w:val="0"/>
          <w:color w:val="000000"/>
          <w:spacing w:val="0"/>
          <w:sz w:val="32"/>
          <w:szCs w:val="32"/>
          <w:shd w:val="clear" w:fill="FFFFFF"/>
          <w:lang w:val="en-US" w:eastAsia="zh-CN"/>
        </w:rPr>
        <w:sectPr>
          <w:footerReference r:id="rId5" w:type="first"/>
          <w:footerReference r:id="rId4" w:type="default"/>
          <w:pgSz w:w="11907" w:h="16840"/>
          <w:pgMar w:top="1587" w:right="1587" w:bottom="1587" w:left="1587" w:header="907" w:footer="1020" w:gutter="0"/>
          <w:pgNumType w:fmt="decimal"/>
          <w:cols w:space="720" w:num="1"/>
          <w:docGrid w:linePitch="312" w:charSpace="0"/>
        </w:sectPr>
      </w:pPr>
    </w:p>
    <w:p>
      <w:pPr>
        <w:spacing w:line="600" w:lineRule="exact"/>
        <w:jc w:val="center"/>
        <w:outlineLvl w:val="0"/>
        <w:rPr>
          <w:rFonts w:ascii="仿宋" w:hAnsi="仿宋" w:eastAsia="仿宋"/>
        </w:rPr>
      </w:pPr>
      <w:bookmarkStart w:id="59" w:name="_Toc15396618"/>
      <w:r>
        <w:rPr>
          <w:rFonts w:hint="eastAsia" w:ascii="黑体" w:hAnsi="黑体" w:eastAsia="黑体"/>
          <w:sz w:val="44"/>
          <w:szCs w:val="44"/>
        </w:rPr>
        <w:t>第</w:t>
      </w:r>
      <w:r>
        <w:rPr>
          <w:rStyle w:val="31"/>
          <w:rFonts w:hint="eastAsia" w:ascii="黑体" w:hAnsi="黑体" w:eastAsia="黑体"/>
          <w:b w:val="0"/>
        </w:rPr>
        <w:t>五部分 附表</w:t>
      </w:r>
      <w:bookmarkEnd w:id="58"/>
      <w:bookmarkEnd w:id="59"/>
      <w:bookmarkStart w:id="60" w:name="_Toc15396619"/>
    </w:p>
    <w:p>
      <w:pPr>
        <w:pStyle w:val="4"/>
        <w:rPr>
          <w:rFonts w:ascii="仿宋" w:hAnsi="仿宋" w:eastAsia="仿宋"/>
        </w:rPr>
      </w:pPr>
      <w:r>
        <w:rPr>
          <w:rFonts w:hint="eastAsia" w:ascii="仿宋" w:hAnsi="仿宋" w:eastAsia="仿宋"/>
          <w:b w:val="0"/>
        </w:rPr>
        <w:t>一、收</w:t>
      </w:r>
      <w:r>
        <w:rPr>
          <w:rStyle w:val="32"/>
          <w:rFonts w:hint="eastAsia" w:ascii="仿宋" w:hAnsi="仿宋" w:eastAsia="仿宋"/>
          <w:b w:val="0"/>
          <w:bCs w:val="0"/>
        </w:rPr>
        <w:t>入支出决算总表</w:t>
      </w:r>
      <w:bookmarkEnd w:id="60"/>
    </w:p>
    <w:p>
      <w:pPr>
        <w:pStyle w:val="4"/>
        <w:rPr>
          <w:rFonts w:ascii="仿宋" w:hAnsi="仿宋" w:eastAsia="仿宋"/>
        </w:rPr>
      </w:pPr>
      <w:bookmarkStart w:id="61" w:name="_Toc15396620"/>
      <w:r>
        <w:rPr>
          <w:rFonts w:hint="eastAsia" w:ascii="仿宋" w:hAnsi="仿宋" w:eastAsia="仿宋"/>
          <w:b w:val="0"/>
        </w:rPr>
        <w:t>二、收</w:t>
      </w:r>
      <w:r>
        <w:rPr>
          <w:rStyle w:val="32"/>
          <w:rFonts w:hint="eastAsia" w:ascii="仿宋" w:hAnsi="仿宋" w:eastAsia="仿宋"/>
          <w:b w:val="0"/>
          <w:bCs w:val="0"/>
        </w:rPr>
        <w:t>入决算表</w:t>
      </w:r>
      <w:bookmarkEnd w:id="61"/>
    </w:p>
    <w:p>
      <w:pPr>
        <w:pStyle w:val="4"/>
        <w:rPr>
          <w:rFonts w:ascii="仿宋" w:hAnsi="仿宋" w:eastAsia="仿宋"/>
        </w:rPr>
      </w:pPr>
      <w:bookmarkStart w:id="62" w:name="_Toc15396621"/>
      <w:r>
        <w:rPr>
          <w:rStyle w:val="32"/>
          <w:rFonts w:hint="eastAsia" w:ascii="仿宋" w:hAnsi="仿宋" w:eastAsia="仿宋"/>
          <w:b w:val="0"/>
          <w:bCs w:val="0"/>
        </w:rPr>
        <w:t>三、</w:t>
      </w:r>
      <w:r>
        <w:rPr>
          <w:rFonts w:hint="eastAsia" w:ascii="仿宋" w:hAnsi="仿宋" w:eastAsia="仿宋"/>
          <w:b w:val="0"/>
        </w:rPr>
        <w:t>支</w:t>
      </w:r>
      <w:r>
        <w:rPr>
          <w:rStyle w:val="32"/>
          <w:rFonts w:hint="eastAsia" w:ascii="仿宋" w:hAnsi="仿宋" w:eastAsia="仿宋"/>
          <w:b w:val="0"/>
          <w:bCs w:val="0"/>
        </w:rPr>
        <w:t>出决算表</w:t>
      </w:r>
      <w:bookmarkEnd w:id="62"/>
    </w:p>
    <w:p>
      <w:pPr>
        <w:pStyle w:val="4"/>
        <w:rPr>
          <w:rFonts w:ascii="仿宋" w:hAnsi="仿宋" w:eastAsia="仿宋"/>
          <w:b w:val="0"/>
        </w:rPr>
      </w:pPr>
      <w:bookmarkStart w:id="63" w:name="_Toc15396622"/>
      <w:r>
        <w:rPr>
          <w:rStyle w:val="32"/>
          <w:rFonts w:hint="eastAsia" w:ascii="仿宋" w:hAnsi="仿宋" w:eastAsia="仿宋"/>
          <w:b w:val="0"/>
          <w:bCs w:val="0"/>
        </w:rPr>
        <w:t>四、</w:t>
      </w:r>
      <w:r>
        <w:rPr>
          <w:rFonts w:hint="eastAsia" w:ascii="仿宋" w:hAnsi="仿宋" w:eastAsia="仿宋"/>
          <w:b w:val="0"/>
        </w:rPr>
        <w:t>财</w:t>
      </w:r>
      <w:r>
        <w:rPr>
          <w:rStyle w:val="32"/>
          <w:rFonts w:hint="eastAsia" w:ascii="仿宋" w:hAnsi="仿宋" w:eastAsia="仿宋"/>
          <w:b w:val="0"/>
          <w:bCs w:val="0"/>
        </w:rPr>
        <w:t>政拨款收入支出决算总表</w:t>
      </w:r>
      <w:bookmarkEnd w:id="63"/>
    </w:p>
    <w:p>
      <w:pPr>
        <w:pStyle w:val="4"/>
        <w:rPr>
          <w:rStyle w:val="32"/>
          <w:rFonts w:ascii="仿宋" w:hAnsi="仿宋" w:eastAsia="仿宋"/>
          <w:b w:val="0"/>
          <w:bCs w:val="0"/>
        </w:rPr>
      </w:pPr>
      <w:bookmarkStart w:id="64" w:name="_Toc15396623"/>
      <w:r>
        <w:rPr>
          <w:rStyle w:val="32"/>
          <w:rFonts w:hint="eastAsia" w:ascii="仿宋" w:hAnsi="仿宋" w:eastAsia="仿宋"/>
          <w:b w:val="0"/>
          <w:bCs w:val="0"/>
        </w:rPr>
        <w:t>五、</w:t>
      </w:r>
      <w:r>
        <w:rPr>
          <w:rFonts w:hint="eastAsia" w:ascii="仿宋" w:hAnsi="仿宋" w:eastAsia="仿宋"/>
          <w:b w:val="0"/>
        </w:rPr>
        <w:t>财</w:t>
      </w:r>
      <w:r>
        <w:rPr>
          <w:rStyle w:val="32"/>
          <w:rFonts w:hint="eastAsia" w:ascii="仿宋" w:hAnsi="仿宋" w:eastAsia="仿宋"/>
          <w:b w:val="0"/>
          <w:bCs w:val="0"/>
        </w:rPr>
        <w:t>政拨款支出决算明细表</w:t>
      </w:r>
      <w:bookmarkEnd w:id="64"/>
      <w:bookmarkStart w:id="65" w:name="_Toc15396624"/>
    </w:p>
    <w:p>
      <w:pPr>
        <w:pStyle w:val="4"/>
        <w:rPr>
          <w:rFonts w:ascii="仿宋" w:hAnsi="仿宋" w:eastAsia="仿宋"/>
        </w:rPr>
      </w:pPr>
      <w:r>
        <w:rPr>
          <w:rStyle w:val="32"/>
          <w:rFonts w:hint="eastAsia" w:ascii="仿宋" w:hAnsi="仿宋" w:eastAsia="仿宋"/>
          <w:b w:val="0"/>
          <w:bCs w:val="0"/>
        </w:rPr>
        <w:t>六、</w:t>
      </w:r>
      <w:r>
        <w:rPr>
          <w:rFonts w:hint="eastAsia" w:ascii="仿宋" w:hAnsi="仿宋" w:eastAsia="仿宋"/>
          <w:b w:val="0"/>
        </w:rPr>
        <w:t>一</w:t>
      </w:r>
      <w:r>
        <w:rPr>
          <w:rStyle w:val="32"/>
          <w:rFonts w:hint="eastAsia" w:ascii="仿宋" w:hAnsi="仿宋" w:eastAsia="仿宋"/>
          <w:b w:val="0"/>
          <w:bCs w:val="0"/>
        </w:rPr>
        <w:t>般公共预算财政拨款支出决算表</w:t>
      </w:r>
      <w:bookmarkEnd w:id="65"/>
    </w:p>
    <w:p>
      <w:pPr>
        <w:pStyle w:val="4"/>
        <w:rPr>
          <w:rFonts w:ascii="仿宋" w:hAnsi="仿宋" w:eastAsia="仿宋"/>
        </w:rPr>
      </w:pPr>
      <w:bookmarkStart w:id="66" w:name="_Toc15396625"/>
      <w:r>
        <w:rPr>
          <w:rStyle w:val="32"/>
          <w:rFonts w:hint="eastAsia" w:ascii="仿宋" w:hAnsi="仿宋" w:eastAsia="仿宋"/>
          <w:b w:val="0"/>
          <w:bCs w:val="0"/>
        </w:rPr>
        <w:t>七、</w:t>
      </w:r>
      <w:r>
        <w:rPr>
          <w:rFonts w:hint="eastAsia" w:ascii="仿宋" w:hAnsi="仿宋" w:eastAsia="仿宋"/>
          <w:b w:val="0"/>
        </w:rPr>
        <w:t>一</w:t>
      </w:r>
      <w:r>
        <w:rPr>
          <w:rStyle w:val="32"/>
          <w:rFonts w:hint="eastAsia" w:ascii="仿宋" w:hAnsi="仿宋" w:eastAsia="仿宋"/>
          <w:b w:val="0"/>
          <w:bCs w:val="0"/>
        </w:rPr>
        <w:t>般公共预算财政拨款支出决算明细表</w:t>
      </w:r>
      <w:bookmarkEnd w:id="66"/>
    </w:p>
    <w:p>
      <w:pPr>
        <w:pStyle w:val="4"/>
        <w:rPr>
          <w:rFonts w:ascii="仿宋" w:hAnsi="仿宋" w:eastAsia="仿宋"/>
        </w:rPr>
      </w:pPr>
      <w:bookmarkStart w:id="67" w:name="_Toc15396626"/>
      <w:r>
        <w:rPr>
          <w:rStyle w:val="32"/>
          <w:rFonts w:hint="eastAsia" w:ascii="仿宋" w:hAnsi="仿宋" w:eastAsia="仿宋"/>
          <w:b w:val="0"/>
          <w:bCs w:val="0"/>
        </w:rPr>
        <w:t>八、</w:t>
      </w:r>
      <w:r>
        <w:rPr>
          <w:rFonts w:hint="eastAsia" w:ascii="仿宋" w:hAnsi="仿宋" w:eastAsia="仿宋"/>
          <w:b w:val="0"/>
        </w:rPr>
        <w:t>一</w:t>
      </w:r>
      <w:r>
        <w:rPr>
          <w:rStyle w:val="32"/>
          <w:rFonts w:hint="eastAsia" w:ascii="仿宋" w:hAnsi="仿宋" w:eastAsia="仿宋"/>
          <w:b w:val="0"/>
          <w:bCs w:val="0"/>
        </w:rPr>
        <w:t>般公共预算财政拨款基本支出决算表</w:t>
      </w:r>
      <w:bookmarkEnd w:id="67"/>
    </w:p>
    <w:p>
      <w:pPr>
        <w:pStyle w:val="4"/>
        <w:rPr>
          <w:rFonts w:ascii="仿宋" w:hAnsi="仿宋" w:eastAsia="仿宋"/>
        </w:rPr>
      </w:pPr>
      <w:bookmarkStart w:id="68" w:name="_Toc15396627"/>
      <w:r>
        <w:rPr>
          <w:rStyle w:val="32"/>
          <w:rFonts w:hint="eastAsia" w:ascii="仿宋" w:hAnsi="仿宋" w:eastAsia="仿宋"/>
          <w:b w:val="0"/>
          <w:bCs w:val="0"/>
        </w:rPr>
        <w:t>九、</w:t>
      </w:r>
      <w:r>
        <w:rPr>
          <w:rFonts w:hint="eastAsia" w:ascii="仿宋" w:hAnsi="仿宋" w:eastAsia="仿宋"/>
          <w:b w:val="0"/>
        </w:rPr>
        <w:t>一</w:t>
      </w:r>
      <w:r>
        <w:rPr>
          <w:rStyle w:val="32"/>
          <w:rFonts w:hint="eastAsia" w:ascii="仿宋" w:hAnsi="仿宋" w:eastAsia="仿宋"/>
          <w:b w:val="0"/>
          <w:bCs w:val="0"/>
        </w:rPr>
        <w:t>般公共预算财政拨款项目支出决算表</w:t>
      </w:r>
      <w:bookmarkEnd w:id="68"/>
    </w:p>
    <w:p>
      <w:pPr>
        <w:pStyle w:val="4"/>
        <w:rPr>
          <w:rFonts w:ascii="仿宋" w:hAnsi="仿宋" w:eastAsia="仿宋"/>
        </w:rPr>
      </w:pPr>
      <w:bookmarkStart w:id="69" w:name="_Toc15396628"/>
      <w:r>
        <w:rPr>
          <w:rStyle w:val="32"/>
          <w:rFonts w:hint="eastAsia" w:ascii="仿宋" w:hAnsi="仿宋" w:eastAsia="仿宋"/>
          <w:b w:val="0"/>
          <w:bCs w:val="0"/>
        </w:rPr>
        <w:t>十、</w:t>
      </w:r>
      <w:bookmarkEnd w:id="69"/>
      <w:r>
        <w:rPr>
          <w:rFonts w:hint="eastAsia" w:ascii="仿宋" w:hAnsi="仿宋" w:eastAsia="仿宋"/>
          <w:b w:val="0"/>
        </w:rPr>
        <w:t>政</w:t>
      </w:r>
      <w:r>
        <w:rPr>
          <w:rStyle w:val="32"/>
          <w:rFonts w:hint="eastAsia" w:ascii="仿宋" w:hAnsi="仿宋" w:eastAsia="仿宋"/>
          <w:b w:val="0"/>
          <w:bCs w:val="0"/>
        </w:rPr>
        <w:t>府性基金预算财政拨款收入支出决算表</w:t>
      </w:r>
    </w:p>
    <w:p>
      <w:pPr>
        <w:pStyle w:val="4"/>
        <w:rPr>
          <w:rFonts w:ascii="仿宋" w:hAnsi="仿宋" w:eastAsia="仿宋"/>
        </w:rPr>
      </w:pPr>
      <w:bookmarkStart w:id="70" w:name="_Toc15396629"/>
      <w:r>
        <w:rPr>
          <w:rStyle w:val="32"/>
          <w:rFonts w:hint="eastAsia" w:ascii="仿宋" w:hAnsi="仿宋" w:eastAsia="仿宋"/>
          <w:b w:val="0"/>
          <w:bCs w:val="0"/>
        </w:rPr>
        <w:t>十一、</w:t>
      </w:r>
      <w:bookmarkEnd w:id="70"/>
      <w:r>
        <w:rPr>
          <w:rFonts w:hint="eastAsia" w:ascii="仿宋" w:hAnsi="仿宋" w:eastAsia="仿宋"/>
          <w:b w:val="0"/>
        </w:rPr>
        <w:t>国</w:t>
      </w:r>
      <w:r>
        <w:rPr>
          <w:rStyle w:val="32"/>
          <w:rFonts w:hint="eastAsia" w:ascii="仿宋" w:hAnsi="仿宋" w:eastAsia="仿宋"/>
          <w:b w:val="0"/>
          <w:bCs w:val="0"/>
        </w:rPr>
        <w:t>有资本经营预算财政拨款收入支出决算表</w:t>
      </w:r>
    </w:p>
    <w:p>
      <w:pPr>
        <w:pStyle w:val="4"/>
        <w:rPr>
          <w:rFonts w:ascii="仿宋" w:hAnsi="仿宋" w:eastAsia="仿宋"/>
        </w:rPr>
      </w:pPr>
      <w:bookmarkStart w:id="71" w:name="_Toc15396630"/>
      <w:r>
        <w:rPr>
          <w:rStyle w:val="32"/>
          <w:rFonts w:hint="eastAsia" w:ascii="仿宋" w:hAnsi="仿宋" w:eastAsia="仿宋"/>
          <w:b w:val="0"/>
          <w:bCs w:val="0"/>
        </w:rPr>
        <w:t>十二、</w:t>
      </w:r>
      <w:bookmarkEnd w:id="71"/>
      <w:r>
        <w:rPr>
          <w:rStyle w:val="32"/>
          <w:rFonts w:hint="eastAsia" w:ascii="仿宋" w:hAnsi="仿宋" w:eastAsia="仿宋"/>
          <w:b w:val="0"/>
          <w:bCs w:val="0"/>
        </w:rPr>
        <w:t>国有资本经营预算财政拨款支出决算表</w:t>
      </w:r>
    </w:p>
    <w:p>
      <w:pPr>
        <w:pStyle w:val="4"/>
        <w:rPr>
          <w:rFonts w:eastAsia="仿宋"/>
        </w:rPr>
      </w:pPr>
      <w:bookmarkStart w:id="72" w:name="_Toc15396631"/>
      <w:r>
        <w:rPr>
          <w:rStyle w:val="32"/>
          <w:rFonts w:hint="eastAsia" w:ascii="仿宋" w:hAnsi="仿宋" w:eastAsia="仿宋"/>
          <w:b w:val="0"/>
          <w:bCs w:val="0"/>
        </w:rPr>
        <w:t>十三、</w:t>
      </w:r>
      <w:bookmarkEnd w:id="72"/>
      <w:r>
        <w:rPr>
          <w:rStyle w:val="32"/>
          <w:rFonts w:hint="eastAsia" w:ascii="仿宋" w:hAnsi="仿宋" w:eastAsia="仿宋"/>
          <w:b w:val="0"/>
          <w:bCs w:val="0"/>
        </w:rPr>
        <w:t>财政拨款“三公”经费支出决算表</w:t>
      </w:r>
    </w:p>
    <w:sectPr>
      <w:headerReference r:id="rId6" w:type="default"/>
      <w:footerReference r:id="rId7"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9792335</wp:posOffset>
              </wp:positionV>
              <wp:extent cx="1670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42</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05pt;margin-top:771.05pt;height:11pt;width:13.15pt;mso-position-horizontal-relative:page;mso-position-vertical-relative:page;z-index:-251656192;mso-width-relative:page;mso-height-relative:page;" filled="f" stroked="f" coordsize="21600,21600" o:gfxdata="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UnUHXaAAAADQEAAA8AAAAAAAAAAQAgAAAAIgAAAGRycy9kb3ducmV2LnhtbFBLAQIU&#10;ABQAAAAIAIdO4kDsDQyRuAEAAHEDAAAOAAAAAAAAAAEAIAAAACkBAABkcnMvZTJvRG9jLnhtbFBL&#10;BQYAAAAABgAGAFkBAABTBQ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42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23</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hint="default" w:eastAsia="宋体"/>
        <w:lang w:val="en-US" w:eastAsia="zh-CN"/>
      </w:rPr>
    </w:pPr>
    <w:r>
      <w:rPr>
        <w:rFonts w:hint="eastAsia"/>
        <w:lang w:val="en-US" w:eastAsia="zh-CN"/>
      </w:rPr>
      <w:t>34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2</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AA2C112"/>
    <w:multiLevelType w:val="singleLevel"/>
    <w:tmpl w:val="7AA2C112"/>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F1E02"/>
    <w:rsid w:val="00FF30B4"/>
    <w:rsid w:val="01347A59"/>
    <w:rsid w:val="015975B8"/>
    <w:rsid w:val="01E87223"/>
    <w:rsid w:val="020D46ED"/>
    <w:rsid w:val="02143E91"/>
    <w:rsid w:val="027B4DDD"/>
    <w:rsid w:val="045E2683"/>
    <w:rsid w:val="050462CD"/>
    <w:rsid w:val="050F6516"/>
    <w:rsid w:val="05FF4ED9"/>
    <w:rsid w:val="066E0107"/>
    <w:rsid w:val="06E415DA"/>
    <w:rsid w:val="06FA704F"/>
    <w:rsid w:val="07996F6E"/>
    <w:rsid w:val="07D67688"/>
    <w:rsid w:val="07E7254C"/>
    <w:rsid w:val="087A5757"/>
    <w:rsid w:val="08E515F0"/>
    <w:rsid w:val="098E0FB4"/>
    <w:rsid w:val="0A051F93"/>
    <w:rsid w:val="0A180D2D"/>
    <w:rsid w:val="0A2032A3"/>
    <w:rsid w:val="0A6D1E96"/>
    <w:rsid w:val="0A743262"/>
    <w:rsid w:val="0AFA3A82"/>
    <w:rsid w:val="0B0310B9"/>
    <w:rsid w:val="0B206D86"/>
    <w:rsid w:val="0B416C60"/>
    <w:rsid w:val="0B5E3D87"/>
    <w:rsid w:val="0B9E0212"/>
    <w:rsid w:val="0BB722F8"/>
    <w:rsid w:val="0C640AF0"/>
    <w:rsid w:val="0D6E7B4E"/>
    <w:rsid w:val="0F98263C"/>
    <w:rsid w:val="101860EC"/>
    <w:rsid w:val="10635A26"/>
    <w:rsid w:val="10C055FF"/>
    <w:rsid w:val="118107EC"/>
    <w:rsid w:val="11B4305C"/>
    <w:rsid w:val="11C630FB"/>
    <w:rsid w:val="120D3BD0"/>
    <w:rsid w:val="13D50BC4"/>
    <w:rsid w:val="14072ECC"/>
    <w:rsid w:val="141959C7"/>
    <w:rsid w:val="14720225"/>
    <w:rsid w:val="15A907FB"/>
    <w:rsid w:val="15AD4D1E"/>
    <w:rsid w:val="163E5C72"/>
    <w:rsid w:val="168C6A13"/>
    <w:rsid w:val="16BB723D"/>
    <w:rsid w:val="19C81C35"/>
    <w:rsid w:val="1A3C42C1"/>
    <w:rsid w:val="1A410184"/>
    <w:rsid w:val="1AF95907"/>
    <w:rsid w:val="1B2A1722"/>
    <w:rsid w:val="1BE8440E"/>
    <w:rsid w:val="1C011584"/>
    <w:rsid w:val="1D155CEE"/>
    <w:rsid w:val="1D3C7281"/>
    <w:rsid w:val="1D8214EC"/>
    <w:rsid w:val="1D8517ED"/>
    <w:rsid w:val="1DDD4049"/>
    <w:rsid w:val="1F2E1684"/>
    <w:rsid w:val="1FF35744"/>
    <w:rsid w:val="20120B0E"/>
    <w:rsid w:val="208632DD"/>
    <w:rsid w:val="20B51D51"/>
    <w:rsid w:val="20FD58AB"/>
    <w:rsid w:val="211D11AB"/>
    <w:rsid w:val="222834B9"/>
    <w:rsid w:val="223547BC"/>
    <w:rsid w:val="22A4237C"/>
    <w:rsid w:val="2309269C"/>
    <w:rsid w:val="23782EB8"/>
    <w:rsid w:val="23860B96"/>
    <w:rsid w:val="23AB640F"/>
    <w:rsid w:val="240371BF"/>
    <w:rsid w:val="25207DED"/>
    <w:rsid w:val="255E7B71"/>
    <w:rsid w:val="25B2697E"/>
    <w:rsid w:val="25B57B57"/>
    <w:rsid w:val="25BD311B"/>
    <w:rsid w:val="276C5FC2"/>
    <w:rsid w:val="28D30DFB"/>
    <w:rsid w:val="290A7EA2"/>
    <w:rsid w:val="29FD04D3"/>
    <w:rsid w:val="2AE25278"/>
    <w:rsid w:val="2B481888"/>
    <w:rsid w:val="2B9C3DCE"/>
    <w:rsid w:val="2BBB5F01"/>
    <w:rsid w:val="2C814226"/>
    <w:rsid w:val="2C8A61B5"/>
    <w:rsid w:val="2D6E6FC1"/>
    <w:rsid w:val="2D9047DE"/>
    <w:rsid w:val="2DF04E50"/>
    <w:rsid w:val="2DF6381D"/>
    <w:rsid w:val="2E4A0D0C"/>
    <w:rsid w:val="2E865FD4"/>
    <w:rsid w:val="2EC1011E"/>
    <w:rsid w:val="2F040D46"/>
    <w:rsid w:val="2FB42C7F"/>
    <w:rsid w:val="2FBA2606"/>
    <w:rsid w:val="319F7F4E"/>
    <w:rsid w:val="31D845F3"/>
    <w:rsid w:val="323A19B8"/>
    <w:rsid w:val="3304709D"/>
    <w:rsid w:val="334C66DA"/>
    <w:rsid w:val="34215773"/>
    <w:rsid w:val="34901165"/>
    <w:rsid w:val="35136443"/>
    <w:rsid w:val="353E5C09"/>
    <w:rsid w:val="359613EA"/>
    <w:rsid w:val="362C42D4"/>
    <w:rsid w:val="36AA5135"/>
    <w:rsid w:val="376D39B2"/>
    <w:rsid w:val="37E16F03"/>
    <w:rsid w:val="384653A1"/>
    <w:rsid w:val="38D469F0"/>
    <w:rsid w:val="38DE4A97"/>
    <w:rsid w:val="3902751A"/>
    <w:rsid w:val="3A5C7825"/>
    <w:rsid w:val="3A7E74C7"/>
    <w:rsid w:val="3A88215A"/>
    <w:rsid w:val="3A966F2E"/>
    <w:rsid w:val="3B0A5CC8"/>
    <w:rsid w:val="3BD17C22"/>
    <w:rsid w:val="3C063039"/>
    <w:rsid w:val="3C4338BB"/>
    <w:rsid w:val="3C561A2F"/>
    <w:rsid w:val="3C8641D0"/>
    <w:rsid w:val="3D98207C"/>
    <w:rsid w:val="3DC84BCA"/>
    <w:rsid w:val="3E5720B6"/>
    <w:rsid w:val="3E5D51F2"/>
    <w:rsid w:val="3E78745D"/>
    <w:rsid w:val="3F2F2574"/>
    <w:rsid w:val="3F733727"/>
    <w:rsid w:val="404C1B24"/>
    <w:rsid w:val="407C4481"/>
    <w:rsid w:val="416F3A06"/>
    <w:rsid w:val="426816D5"/>
    <w:rsid w:val="427972F7"/>
    <w:rsid w:val="42984A4B"/>
    <w:rsid w:val="43084C90"/>
    <w:rsid w:val="4316134E"/>
    <w:rsid w:val="44342B13"/>
    <w:rsid w:val="44E16FED"/>
    <w:rsid w:val="44E268DA"/>
    <w:rsid w:val="456853EA"/>
    <w:rsid w:val="46931164"/>
    <w:rsid w:val="46D400BF"/>
    <w:rsid w:val="47CE3D1E"/>
    <w:rsid w:val="483B5E5A"/>
    <w:rsid w:val="48A92A01"/>
    <w:rsid w:val="498777EC"/>
    <w:rsid w:val="4A20349D"/>
    <w:rsid w:val="4A627F82"/>
    <w:rsid w:val="4B0E749A"/>
    <w:rsid w:val="4B4F25DA"/>
    <w:rsid w:val="4B62096E"/>
    <w:rsid w:val="4B8E7B5F"/>
    <w:rsid w:val="4BE068DB"/>
    <w:rsid w:val="4C147838"/>
    <w:rsid w:val="4C8B2AFF"/>
    <w:rsid w:val="4C9A39D3"/>
    <w:rsid w:val="4D577224"/>
    <w:rsid w:val="4DC3171D"/>
    <w:rsid w:val="4DE1199C"/>
    <w:rsid w:val="4E1F7B9F"/>
    <w:rsid w:val="4EAB630A"/>
    <w:rsid w:val="4ECE2238"/>
    <w:rsid w:val="532742F5"/>
    <w:rsid w:val="535F3520"/>
    <w:rsid w:val="53630430"/>
    <w:rsid w:val="53776A30"/>
    <w:rsid w:val="537E6D0A"/>
    <w:rsid w:val="55AC6D5D"/>
    <w:rsid w:val="56232EAE"/>
    <w:rsid w:val="56F03F3A"/>
    <w:rsid w:val="5742473D"/>
    <w:rsid w:val="57E36310"/>
    <w:rsid w:val="57FE08E0"/>
    <w:rsid w:val="584119B5"/>
    <w:rsid w:val="58670CF0"/>
    <w:rsid w:val="58B24661"/>
    <w:rsid w:val="58F033DB"/>
    <w:rsid w:val="5AF83D54"/>
    <w:rsid w:val="5AF92295"/>
    <w:rsid w:val="5BBC75A4"/>
    <w:rsid w:val="5BE57BC5"/>
    <w:rsid w:val="5CD71FC4"/>
    <w:rsid w:val="5D404179"/>
    <w:rsid w:val="5D7043DB"/>
    <w:rsid w:val="5D813BB8"/>
    <w:rsid w:val="5E7B72A3"/>
    <w:rsid w:val="5F286984"/>
    <w:rsid w:val="5FA25FED"/>
    <w:rsid w:val="5FD41F4A"/>
    <w:rsid w:val="601E1C57"/>
    <w:rsid w:val="62CF1F42"/>
    <w:rsid w:val="63937CB6"/>
    <w:rsid w:val="64332F57"/>
    <w:rsid w:val="65C9557F"/>
    <w:rsid w:val="66BF425F"/>
    <w:rsid w:val="67313CD0"/>
    <w:rsid w:val="67681075"/>
    <w:rsid w:val="684E2D3F"/>
    <w:rsid w:val="68DF3E0E"/>
    <w:rsid w:val="6989537F"/>
    <w:rsid w:val="698C05B6"/>
    <w:rsid w:val="69CF7354"/>
    <w:rsid w:val="6AC02C0D"/>
    <w:rsid w:val="6B304304"/>
    <w:rsid w:val="6B4B3950"/>
    <w:rsid w:val="6B7E182D"/>
    <w:rsid w:val="6BB11992"/>
    <w:rsid w:val="6C271881"/>
    <w:rsid w:val="6C2A53F2"/>
    <w:rsid w:val="6C4A05C8"/>
    <w:rsid w:val="6D226173"/>
    <w:rsid w:val="6D5C6F3F"/>
    <w:rsid w:val="6D8D06B8"/>
    <w:rsid w:val="6DBE6CA9"/>
    <w:rsid w:val="6DC9472E"/>
    <w:rsid w:val="6E6B5D5A"/>
    <w:rsid w:val="6E7E3605"/>
    <w:rsid w:val="6F5015C2"/>
    <w:rsid w:val="6FEE246B"/>
    <w:rsid w:val="6FF5CC65"/>
    <w:rsid w:val="705272D9"/>
    <w:rsid w:val="71193DEA"/>
    <w:rsid w:val="715C0E4B"/>
    <w:rsid w:val="72440634"/>
    <w:rsid w:val="72734D90"/>
    <w:rsid w:val="73350ED3"/>
    <w:rsid w:val="738E37DC"/>
    <w:rsid w:val="73AD73D5"/>
    <w:rsid w:val="73B6EB34"/>
    <w:rsid w:val="744731E5"/>
    <w:rsid w:val="74E052A5"/>
    <w:rsid w:val="75ED6A00"/>
    <w:rsid w:val="76E3355F"/>
    <w:rsid w:val="76EC401C"/>
    <w:rsid w:val="770370E2"/>
    <w:rsid w:val="778769C8"/>
    <w:rsid w:val="78A551F0"/>
    <w:rsid w:val="795310F0"/>
    <w:rsid w:val="79C52BAD"/>
    <w:rsid w:val="79E85D52"/>
    <w:rsid w:val="79EE5BA4"/>
    <w:rsid w:val="7A1A0980"/>
    <w:rsid w:val="7A227C1D"/>
    <w:rsid w:val="7A4822D7"/>
    <w:rsid w:val="7A792DD8"/>
    <w:rsid w:val="7A894339"/>
    <w:rsid w:val="7B486307"/>
    <w:rsid w:val="7B5B0F6A"/>
    <w:rsid w:val="7B6B320F"/>
    <w:rsid w:val="7B9D48A5"/>
    <w:rsid w:val="7C0533EB"/>
    <w:rsid w:val="7C200C92"/>
    <w:rsid w:val="7D044A3D"/>
    <w:rsid w:val="7D8863BB"/>
    <w:rsid w:val="7DBB2719"/>
    <w:rsid w:val="7DC63007"/>
    <w:rsid w:val="7E60299F"/>
    <w:rsid w:val="7E8A4148"/>
    <w:rsid w:val="7E9975A5"/>
    <w:rsid w:val="7EEF11D3"/>
    <w:rsid w:val="7F612EE7"/>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beforeLines="30"/>
    </w:pPr>
    <w:rPr>
      <w:rFonts w:ascii="仿宋_GB2312" w:eastAsia="仿宋_GB2312"/>
      <w:kern w:val="0"/>
      <w:sz w:val="30"/>
    </w:rPr>
  </w:style>
  <w:style w:type="paragraph" w:styleId="6">
    <w:name w:val="Normal Indent"/>
    <w:basedOn w:val="1"/>
    <w:qFormat/>
    <w:uiPriority w:val="0"/>
    <w:pPr>
      <w:spacing w:line="560" w:lineRule="exact"/>
      <w:ind w:firstLine="420" w:firstLineChars="200"/>
    </w:pPr>
    <w:rPr>
      <w:rFonts w:ascii="Times New Roman" w:hAnsi="Times New Roman" w:eastAsia="仿宋" w:cs="Times New Roman"/>
      <w:sz w:val="32"/>
      <w:szCs w:val="24"/>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unhideWhenUsed/>
    <w:qFormat/>
    <w:uiPriority w:val="99"/>
    <w:pPr>
      <w:spacing w:line="620" w:lineRule="exact"/>
    </w:pPr>
    <w:rPr>
      <w:rFonts w:ascii="宋体" w:hAnsi="Courier New" w:cs="Courier New"/>
      <w:szCs w:val="21"/>
    </w:r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99"/>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Body Text First Indent 2"/>
    <w:basedOn w:val="7"/>
    <w:next w:val="1"/>
    <w:unhideWhenUsed/>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字符"/>
    <w:link w:val="2"/>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字符"/>
    <w:basedOn w:val="19"/>
    <w:link w:val="3"/>
    <w:qFormat/>
    <w:uiPriority w:val="9"/>
    <w:rPr>
      <w:rFonts w:ascii="Times New Roman" w:hAnsi="Times New Roman"/>
      <w:b/>
      <w:bCs/>
      <w:kern w:val="44"/>
      <w:sz w:val="44"/>
      <w:szCs w:val="44"/>
    </w:rPr>
  </w:style>
  <w:style w:type="character" w:customStyle="1" w:styleId="32">
    <w:name w:val="标题 2 字符"/>
    <w:basedOn w:val="19"/>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字符"/>
    <w:basedOn w:val="19"/>
    <w:link w:val="10"/>
    <w:semiHidden/>
    <w:qFormat/>
    <w:uiPriority w:val="99"/>
    <w:rPr>
      <w:rFonts w:ascii="Times New Roman" w:hAnsi="Times New Roman"/>
      <w:kern w:val="2"/>
      <w:sz w:val="18"/>
      <w:szCs w:val="18"/>
    </w:rPr>
  </w:style>
  <w:style w:type="character" w:customStyle="1" w:styleId="35">
    <w:name w:val="标题 3 字符"/>
    <w:basedOn w:val="19"/>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 w:type="character" w:customStyle="1" w:styleId="38">
    <w:name w:val="font41"/>
    <w:basedOn w:val="19"/>
    <w:qFormat/>
    <w:uiPriority w:val="0"/>
    <w:rPr>
      <w:rFonts w:hint="eastAsia" w:ascii="宋体" w:hAnsi="宋体" w:eastAsia="宋体" w:cs="宋体"/>
      <w:color w:val="000000"/>
      <w:sz w:val="20"/>
      <w:szCs w:val="20"/>
      <w:u w:val="none"/>
    </w:rPr>
  </w:style>
  <w:style w:type="character" w:customStyle="1" w:styleId="39">
    <w:name w:val="font51"/>
    <w:basedOn w:val="19"/>
    <w:qFormat/>
    <w:uiPriority w:val="0"/>
    <w:rPr>
      <w:rFonts w:hint="eastAsia" w:ascii="宋体" w:hAnsi="宋体" w:eastAsia="宋体" w:cs="宋体"/>
      <w:color w:val="000000"/>
      <w:sz w:val="20"/>
      <w:szCs w:val="20"/>
      <w:u w:val="none"/>
    </w:rPr>
  </w:style>
  <w:style w:type="character" w:customStyle="1" w:styleId="40">
    <w:name w:val="font61"/>
    <w:basedOn w:val="19"/>
    <w:qFormat/>
    <w:uiPriority w:val="0"/>
    <w:rPr>
      <w:rFonts w:hint="eastAsia" w:ascii="宋体" w:hAnsi="宋体" w:eastAsia="宋体" w:cs="宋体"/>
      <w:color w:val="000000"/>
      <w:sz w:val="16"/>
      <w:szCs w:val="16"/>
      <w:u w:val="none"/>
    </w:rPr>
  </w:style>
  <w:style w:type="paragraph" w:customStyle="1" w:styleId="41">
    <w:name w:val="WPSOffice手动目录 1"/>
    <w:qFormat/>
    <w:uiPriority w:val="0"/>
    <w:pPr>
      <w:ind w:leftChars="0"/>
    </w:pPr>
    <w:rPr>
      <w:rFonts w:asciiTheme="minorHAnsi" w:hAnsiTheme="minorHAnsi" w:eastAsiaTheme="minorEastAsia" w:cstheme="minorBidi"/>
      <w:sz w:val="20"/>
      <w:szCs w:val="20"/>
    </w:rPr>
  </w:style>
  <w:style w:type="paragraph" w:customStyle="1" w:styleId="42">
    <w:name w:val="WPSOffice手动目录 2"/>
    <w:qFormat/>
    <w:uiPriority w:val="0"/>
    <w:pPr>
      <w:ind w:leftChars="200"/>
    </w:pPr>
    <w:rPr>
      <w:rFonts w:asciiTheme="minorHAnsi" w:hAnsiTheme="minorHAnsi" w:eastAsiaTheme="minorEastAsia" w:cstheme="minorBidi"/>
      <w:sz w:val="20"/>
      <w:szCs w:val="20"/>
    </w:rPr>
  </w:style>
  <w:style w:type="character" w:customStyle="1" w:styleId="43">
    <w:name w:val="NormalCharacter"/>
    <w:link w:val="1"/>
    <w:qFormat/>
    <w:uiPriority w:val="0"/>
    <w:rPr>
      <w:rFonts w:ascii="Times New Roman" w:hAnsi="Times New Roman" w:eastAsia="宋体" w:cs="Times New Roman"/>
      <w:kern w:val="2"/>
      <w:sz w:val="21"/>
      <w:szCs w:val="24"/>
      <w:lang w:val="en-US" w:eastAsia="zh-CN" w:bidi="ar-SA"/>
    </w:rPr>
  </w:style>
  <w:style w:type="paragraph" w:customStyle="1" w:styleId="44">
    <w:name w:val="Heading 3"/>
    <w:basedOn w:val="1"/>
    <w:qFormat/>
    <w:uiPriority w:val="1"/>
    <w:pPr>
      <w:widowControl w:val="0"/>
      <w:autoSpaceDE w:val="0"/>
      <w:autoSpaceDN w:val="0"/>
      <w:adjustRightInd/>
      <w:snapToGrid/>
      <w:spacing w:before="190" w:after="0"/>
      <w:ind w:left="1460"/>
      <w:outlineLvl w:val="3"/>
    </w:pPr>
    <w:rPr>
      <w:rFonts w:ascii="楷体" w:hAnsi="楷体" w:eastAsia="楷体" w:cs="楷体"/>
      <w:b/>
      <w:bCs/>
      <w:sz w:val="32"/>
      <w:szCs w:val="32"/>
      <w:lang w:val="zh-CN" w:bidi="zh-CN"/>
    </w:rPr>
  </w:style>
  <w:style w:type="character" w:customStyle="1" w:styleId="45">
    <w:name w:val="font21"/>
    <w:basedOn w:val="19"/>
    <w:qFormat/>
    <w:uiPriority w:val="0"/>
    <w:rPr>
      <w:rFonts w:ascii="宋体" w:hAnsi="宋体" w:eastAsia="宋体" w:cs="宋体"/>
      <w:color w:val="000000"/>
      <w:sz w:val="20"/>
      <w:szCs w:val="20"/>
      <w:u w:val="none"/>
    </w:rPr>
  </w:style>
  <w:style w:type="character" w:customStyle="1" w:styleId="46">
    <w:name w:val="font31"/>
    <w:basedOn w:val="19"/>
    <w:qFormat/>
    <w:uiPriority w:val="0"/>
    <w:rPr>
      <w:rFonts w:hint="eastAsia" w:ascii="宋体" w:hAnsi="宋体" w:eastAsia="宋体" w:cs="宋体"/>
      <w:color w:val="000000"/>
      <w:sz w:val="16"/>
      <w:szCs w:val="16"/>
      <w:u w:val="none"/>
    </w:rPr>
  </w:style>
  <w:style w:type="paragraph" w:customStyle="1" w:styleId="47">
    <w:name w:val="Table Paragraph"/>
    <w:basedOn w:val="1"/>
    <w:qFormat/>
    <w:uiPriority w:val="1"/>
    <w:pPr>
      <w:widowControl w:val="0"/>
      <w:autoSpaceDE w:val="0"/>
      <w:autoSpaceDN w:val="0"/>
      <w:adjustRightInd/>
      <w:snapToGrid/>
      <w:spacing w:after="0"/>
    </w:pPr>
    <w:rPr>
      <w:rFonts w:ascii="宋体" w:hAnsi="宋体" w:eastAsia="宋体" w:cs="宋体"/>
      <w:lang w:val="zh-CN" w:bidi="zh-CN"/>
    </w:rPr>
  </w:style>
  <w:style w:type="paragraph" w:customStyle="1" w:styleId="48">
    <w:name w:val="Heading 2"/>
    <w:basedOn w:val="1"/>
    <w:qFormat/>
    <w:uiPriority w:val="1"/>
    <w:pPr>
      <w:widowControl w:val="0"/>
      <w:autoSpaceDE w:val="0"/>
      <w:autoSpaceDN w:val="0"/>
      <w:adjustRightInd/>
      <w:snapToGrid/>
      <w:spacing w:before="119" w:after="0"/>
      <w:ind w:left="2892" w:right="1396" w:hanging="3552"/>
      <w:outlineLvl w:val="2"/>
    </w:pPr>
    <w:rPr>
      <w:rFonts w:ascii="微软雅黑" w:hAnsi="微软雅黑" w:cs="微软雅黑"/>
      <w:sz w:val="40"/>
      <w:szCs w:val="40"/>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E:\&#39759;&#32418;&#26757;\&#36130;&#25919;&#23616;\&#20065;&#36130;&#32929;&#32929;\&#39044;&#20915;&#31639;&#36164;&#26009;\2022&#24180;&#20915;&#31639;\&#20915;&#31639;&#20844;&#24320;\&#26032;&#24314;&#25991;&#20214;&#22841;\&#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39759;&#32418;&#26757;\&#36130;&#25919;&#23616;\&#20065;&#36130;&#32929;&#32929;\&#39044;&#20915;&#31639;&#36164;&#26009;\2022&#24180;&#20915;&#31639;\&#20915;&#31639;&#20844;&#24320;\&#26032;&#24314;&#25991;&#20214;&#22841;\&#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39759;&#32418;&#26757;\&#36130;&#25919;&#23616;\&#20065;&#36130;&#32929;&#32929;\&#39044;&#20915;&#31639;&#36164;&#26009;\2022&#24180;&#20915;&#31639;\&#20915;&#31639;&#20844;&#24320;\&#26032;&#24314;&#25991;&#20214;&#22841;\&#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39759;&#32418;&#26757;\&#36130;&#25919;&#23616;\&#20065;&#36130;&#32929;&#32929;\&#39044;&#20915;&#31639;&#36164;&#26009;\2022&#24180;&#20915;&#31639;\&#20915;&#31639;&#20844;&#24320;\&#26032;&#24314;&#25991;&#20214;&#22841;\&#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39759;&#32418;&#26757;\&#36130;&#25919;&#23616;\&#20065;&#36130;&#32929;&#32929;\&#39044;&#20915;&#31639;&#36164;&#26009;\2022&#24180;&#20915;&#31639;\&#20915;&#31639;&#20844;&#24320;\&#26032;&#24314;&#25991;&#20214;&#22841;\&#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915;&#31639;&#20844;&#24320;&#25554;&#22270;&#21046;&#20316;&#31034;&#20363;.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911.73</c:v>
                </c:pt>
                <c:pt idx="1">
                  <c:v>798.54</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Cache>
                <c:formatCode>General</c:formatCode>
                <c:ptCount val="6"/>
                <c:pt idx="0">
                  <c:v>795.54</c:v>
                </c:pt>
                <c:pt idx="1">
                  <c:v>3</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0.996243143737321</c:v>
                </c:pt>
                <c:pt idx="1">
                  <c:v>0.00375685626267939</c:v>
                </c:pt>
                <c:pt idx="2" c:formatCode="General">
                  <c:v>0</c:v>
                </c:pt>
                <c:pt idx="3" c:formatCode="General">
                  <c:v>0</c:v>
                </c:pt>
                <c:pt idx="4" c:formatCode="General">
                  <c:v>0</c:v>
                </c:pt>
                <c:pt idx="5" c:formatCode="General">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0.7306</c:v>
                </c:pt>
                <c:pt idx="1">
                  <c:v>0.2682</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911.73</c:v>
                </c:pt>
                <c:pt idx="1">
                  <c:v>798.54</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911.73</c:v>
                </c:pt>
                <c:pt idx="1">
                  <c:v>795.54</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Pt>
            <c:idx val="4"/>
            <c:bubble3D val="0"/>
          </c:dPt>
          <c:dPt>
            <c:idx val="5"/>
            <c:bubble3D val="0"/>
          </c:dPt>
          <c:dPt>
            <c:idx val="6"/>
            <c:bubble3D val="0"/>
          </c:dPt>
          <c:dPt>
            <c:idx val="7"/>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图6!$A$2:$A$9</c:f>
              <c:strCache>
                <c:ptCount val="8"/>
                <c:pt idx="0">
                  <c:v>一般公共服务（类）支出</c:v>
                </c:pt>
                <c:pt idx="1">
                  <c:v>社会保障和就业（类）支出</c:v>
                </c:pt>
                <c:pt idx="2">
                  <c:v>卫生健康(类)支出</c:v>
                </c:pt>
                <c:pt idx="3">
                  <c:v>住房保障（类）支出</c:v>
                </c:pt>
                <c:pt idx="4">
                  <c:v>国防支出</c:v>
                </c:pt>
                <c:pt idx="5">
                  <c:v>文化旅游体育与传媒支出</c:v>
                </c:pt>
                <c:pt idx="6">
                  <c:v>灾害防治及应急管理支出</c:v>
                </c:pt>
                <c:pt idx="7">
                  <c:v>农林水支出</c:v>
                </c:pt>
              </c:strCache>
            </c:strRef>
          </c:cat>
          <c:val>
            <c:numRef>
              <c:f>图6!$B$2:$B$9</c:f>
              <c:numCache>
                <c:formatCode>General</c:formatCode>
                <c:ptCount val="8"/>
                <c:pt idx="0">
                  <c:v>319.27</c:v>
                </c:pt>
                <c:pt idx="1">
                  <c:v>137.42</c:v>
                </c:pt>
                <c:pt idx="2">
                  <c:v>21.03</c:v>
                </c:pt>
                <c:pt idx="3">
                  <c:v>31.2</c:v>
                </c:pt>
                <c:pt idx="4">
                  <c:v>0.5</c:v>
                </c:pt>
                <c:pt idx="5">
                  <c:v>22.12</c:v>
                </c:pt>
                <c:pt idx="6">
                  <c:v>0.2</c:v>
                </c:pt>
                <c:pt idx="7">
                  <c:v>256.07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“三公”经费财政拨款支出结构图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[工作簿4]Sheet1!$A$48:$A$50</c:f>
              <c:strCache>
                <c:ptCount val="3"/>
                <c:pt idx="0">
                  <c:v>“三公”经费财政拨款支出结构</c:v>
                </c:pt>
                <c:pt idx="1">
                  <c:v>公务接待费</c:v>
                </c:pt>
              </c:strCache>
            </c:strRef>
          </c:cat>
          <c:val>
            <c:numRef>
              <c:f>[工作簿4]Sheet1!$B$48:$B$50</c:f>
              <c:numCache>
                <c:formatCode>General</c:formatCode>
                <c:ptCount val="3"/>
                <c:pt idx="1">
                  <c:v>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43</Pages>
  <Words>17041</Words>
  <Characters>18258</Characters>
  <Lines>58</Lines>
  <Paragraphs>16</Paragraphs>
  <TotalTime>1</TotalTime>
  <ScaleCrop>false</ScaleCrop>
  <LinksUpToDate>false</LinksUpToDate>
  <CharactersWithSpaces>18393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2023-12-14T07:53:24Z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9498A74C92E5425A9FA64E6A1E66323F_13</vt:lpwstr>
  </property>
</Properties>
</file>