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96597"/>
      <w:bookmarkStart w:id="2" w:name="_Toc15377425"/>
      <w:bookmarkStart w:id="3" w:name="_Toc15396475"/>
      <w:bookmarkStart w:id="4" w:name="_Toc15378441"/>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Start w:id="6" w:name="_Toc15378442"/>
      <w:bookmarkStart w:id="7" w:name="_Toc15377194"/>
      <w:bookmarkStart w:id="8" w:name="_Toc15377426"/>
      <w:bookmarkStart w:id="9" w:name="_Toc15396598"/>
      <w:bookmarkStart w:id="10" w:name="_Toc1539647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江石小学校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w:t>
      </w:r>
      <w:r>
        <w:rPr>
          <w:rFonts w:hint="eastAsia" w:ascii="方正小标宋简体" w:hAnsi="方正小标宋简体" w:eastAsia="方正小标宋简体" w:cs="方正小标宋简体"/>
          <w:sz w:val="72"/>
          <w:szCs w:val="72"/>
          <w:lang w:val="en-US" w:eastAsia="zh-CN"/>
        </w:rPr>
        <w:t>决</w:t>
      </w:r>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 xml:space="preserve">公开时间：2023年 </w:t>
      </w:r>
      <w:r>
        <w:rPr>
          <w:rFonts w:hint="eastAsia"/>
          <w:lang w:val="en-US" w:eastAsia="zh-CN"/>
        </w:rPr>
        <w:t>10</w:t>
      </w:r>
      <w:r>
        <w:rPr>
          <w:rFonts w:hint="eastAsia"/>
        </w:rPr>
        <w:t>月</w:t>
      </w:r>
      <w:r>
        <w:rPr>
          <w:rFonts w:hint="eastAsia"/>
          <w:lang w:val="en-US" w:eastAsia="zh-CN"/>
        </w:rPr>
        <w:t>20</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rFonts w:hint="eastAsia"/>
          <w:sz w:val="24"/>
        </w:rPr>
      </w:pPr>
      <w:r>
        <w:rPr>
          <w:rFonts w:hint="eastAsia"/>
          <w:sz w:val="24"/>
        </w:rPr>
        <w:t>（一）单位</w:t>
      </w:r>
      <w:r>
        <w:rPr>
          <w:sz w:val="24"/>
        </w:rPr>
        <w:t>职责</w:t>
      </w:r>
    </w:p>
    <w:p>
      <w:pPr>
        <w:pStyle w:val="12"/>
        <w:adjustRightInd w:val="0"/>
        <w:snapToGrid w:val="0"/>
        <w:spacing w:line="440" w:lineRule="exact"/>
        <w:jc w:val="left"/>
        <w:rPr>
          <w:rFonts w:hint="eastAsia"/>
          <w:b/>
          <w:bCs/>
          <w:sz w:val="24"/>
        </w:rPr>
      </w:pPr>
      <w:r>
        <w:rPr>
          <w:rFonts w:hint="eastAsia"/>
          <w:sz w:val="24"/>
        </w:rPr>
        <w:t>（二）2022年重点工作完成情况</w:t>
      </w:r>
    </w:p>
    <w:p>
      <w:pPr>
        <w:pStyle w:val="12"/>
        <w:adjustRightInd w:val="0"/>
        <w:snapToGrid w:val="0"/>
        <w:spacing w:line="440" w:lineRule="exact"/>
        <w:jc w:val="left"/>
        <w:rPr>
          <w:rFonts w:hint="eastAsia"/>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p>
    <w:p>
      <w:pPr>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1、我单位是一所全日制小学校。其基本职能及主要工作是实施义务教育，促进教育全面均衡发展。</w:t>
      </w:r>
    </w:p>
    <w:p>
      <w:pPr>
        <w:ind w:firstLine="560" w:firstLineChars="200"/>
        <w:rPr>
          <w:rFonts w:ascii="宋体" w:hAnsi="宋体" w:cs="宋体"/>
          <w:sz w:val="28"/>
          <w:szCs w:val="28"/>
        </w:rPr>
      </w:pPr>
      <w:r>
        <w:rPr>
          <w:rFonts w:hint="eastAsia" w:ascii="宋体" w:hAnsi="宋体" w:cs="宋体"/>
          <w:sz w:val="28"/>
          <w:szCs w:val="28"/>
        </w:rPr>
        <w:t xml:space="preserve">2、维护学校的教学秩序，为学生创造良好的学习环境； </w:t>
      </w:r>
    </w:p>
    <w:p>
      <w:pPr>
        <w:ind w:firstLine="560" w:firstLineChars="200"/>
        <w:rPr>
          <w:rFonts w:ascii="宋体" w:hAnsi="宋体" w:cs="宋体"/>
          <w:sz w:val="28"/>
          <w:szCs w:val="28"/>
        </w:rPr>
      </w:pPr>
      <w:r>
        <w:rPr>
          <w:rFonts w:hint="eastAsia" w:ascii="宋体" w:hAnsi="宋体" w:cs="宋体"/>
          <w:sz w:val="28"/>
          <w:szCs w:val="28"/>
        </w:rPr>
        <w:t xml:space="preserve">3、积极稳妥地推进教育改革，按教育规律办事，不断提高教育质量； </w:t>
      </w:r>
    </w:p>
    <w:p>
      <w:pPr>
        <w:ind w:firstLine="560" w:firstLineChars="200"/>
        <w:rPr>
          <w:rFonts w:ascii="宋体" w:hAnsi="宋体" w:cs="宋体"/>
          <w:sz w:val="28"/>
          <w:szCs w:val="28"/>
        </w:rPr>
      </w:pPr>
      <w:r>
        <w:rPr>
          <w:rFonts w:hint="eastAsia" w:ascii="宋体" w:hAnsi="宋体" w:cs="宋体"/>
          <w:sz w:val="28"/>
          <w:szCs w:val="28"/>
        </w:rPr>
        <w:t xml:space="preserve">4、根据学校规模，设置学校管理机构，建立健全各项规章制度和岗位责任制。 </w:t>
      </w:r>
    </w:p>
    <w:p>
      <w:pPr>
        <w:ind w:firstLine="560" w:firstLineChars="200"/>
        <w:rPr>
          <w:rFonts w:ascii="宋体" w:hAnsi="宋体" w:cs="宋体"/>
          <w:sz w:val="28"/>
          <w:szCs w:val="28"/>
        </w:rPr>
      </w:pPr>
      <w:r>
        <w:rPr>
          <w:rFonts w:hint="eastAsia" w:ascii="宋体" w:hAnsi="宋体" w:cs="宋体"/>
          <w:sz w:val="28"/>
          <w:szCs w:val="28"/>
        </w:rPr>
        <w:t xml:space="preserve">5、坚持教书育人，服务育人，环境育人方针，加强对学生的思想品德教育，使学生的德智体全面发展。   </w:t>
      </w:r>
    </w:p>
    <w:p>
      <w:pPr>
        <w:ind w:firstLine="560" w:firstLineChars="200"/>
        <w:rPr>
          <w:rFonts w:ascii="宋体" w:hAnsi="宋体" w:cs="宋体"/>
          <w:sz w:val="28"/>
          <w:szCs w:val="28"/>
        </w:rPr>
      </w:pPr>
      <w:r>
        <w:rPr>
          <w:rFonts w:hint="eastAsia" w:ascii="宋体" w:hAnsi="宋体" w:cs="宋体"/>
          <w:sz w:val="28"/>
          <w:szCs w:val="28"/>
        </w:rPr>
        <w:t xml:space="preserve">6、抓好教师队伍建设，使每个教师都热心于教育事业； </w:t>
      </w:r>
    </w:p>
    <w:p>
      <w:pPr>
        <w:ind w:firstLine="560" w:firstLineChars="200"/>
      </w:pPr>
      <w:r>
        <w:rPr>
          <w:rFonts w:hint="eastAsia" w:ascii="宋体" w:hAnsi="宋体" w:cs="宋体"/>
          <w:sz w:val="28"/>
          <w:szCs w:val="28"/>
        </w:rPr>
        <w:t>7、做好安全防范，保证学生的</w:t>
      </w:r>
      <w:r>
        <w:rPr>
          <w:rFonts w:hint="eastAsia" w:ascii="宋体" w:hAnsi="宋体" w:cs="宋体"/>
          <w:sz w:val="28"/>
          <w:szCs w:val="28"/>
          <w:lang w:eastAsia="zh-CN"/>
        </w:rPr>
        <w:t>人身安全</w:t>
      </w:r>
      <w:r>
        <w:rPr>
          <w:rFonts w:hint="eastAsia" w:ascii="宋体" w:hAnsi="宋体" w:cs="宋体"/>
          <w:sz w:val="28"/>
          <w:szCs w:val="28"/>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snapToGrid w:val="0"/>
        <w:spacing w:line="52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我单位属于财政补助事业单位，有独立编制机构1个，独立核算机构1个。</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281.56</w:t>
      </w:r>
      <w:r>
        <w:rPr>
          <w:rFonts w:hint="eastAsia" w:ascii="仿宋" w:hAnsi="仿宋" w:eastAsia="仿宋"/>
          <w:sz w:val="32"/>
          <w:szCs w:val="32"/>
        </w:rPr>
        <w:t>万元。与</w:t>
      </w:r>
      <w:bookmarkStart w:id="67" w:name="_GoBack"/>
      <w:bookmarkEnd w:id="67"/>
      <w:r>
        <w:rPr>
          <w:rFonts w:hint="eastAsia" w:ascii="仿宋" w:hAnsi="仿宋" w:eastAsia="仿宋"/>
          <w:sz w:val="32"/>
          <w:szCs w:val="32"/>
        </w:rPr>
        <w:t>2021年相比，收、支总计</w:t>
      </w:r>
      <w:r>
        <w:rPr>
          <w:rFonts w:hint="eastAsia" w:ascii="仿宋" w:hAnsi="仿宋" w:eastAsia="仿宋"/>
          <w:sz w:val="32"/>
          <w:szCs w:val="32"/>
          <w:lang w:eastAsia="zh-CN"/>
        </w:rPr>
        <w:t>各</w:t>
      </w:r>
      <w:r>
        <w:rPr>
          <w:rFonts w:hint="eastAsia" w:ascii="仿宋" w:hAnsi="仿宋" w:eastAsia="仿宋"/>
          <w:sz w:val="32"/>
          <w:szCs w:val="32"/>
        </w:rPr>
        <w:t>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1.73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主要原因是结转资金减少</w:t>
      </w:r>
      <w:r>
        <w:rPr>
          <w:rFonts w:hint="eastAsia" w:ascii="仿宋" w:hAnsi="仿宋" w:eastAsia="仿宋"/>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281.56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281.56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shd w:val="pct10" w:color="auto" w:fill="FFFFFF"/>
          <w:lang w:eastAsia="zh-CN"/>
        </w:rPr>
        <w:drawing>
          <wp:anchor distT="0" distB="0" distL="114300" distR="114300" simplePos="0" relativeHeight="251659264" behindDoc="1" locked="0" layoutInCell="1" allowOverlap="1">
            <wp:simplePos x="0" y="0"/>
            <wp:positionH relativeFrom="column">
              <wp:posOffset>59055</wp:posOffset>
            </wp:positionH>
            <wp:positionV relativeFrom="paragraph">
              <wp:posOffset>1494790</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22年本年支出合</w:t>
      </w:r>
      <w:r>
        <w:rPr>
          <w:rFonts w:hint="eastAsia" w:ascii="仿宋" w:hAnsi="仿宋" w:eastAsia="仿宋"/>
          <w:sz w:val="32"/>
          <w:szCs w:val="32"/>
          <w:lang w:val="en-US" w:eastAsia="zh-CN"/>
        </w:rPr>
        <w:t>计281.56</w:t>
      </w:r>
      <w:r>
        <w:rPr>
          <w:rFonts w:hint="eastAsia" w:ascii="仿宋" w:hAnsi="仿宋" w:eastAsia="仿宋"/>
          <w:sz w:val="32"/>
          <w:szCs w:val="32"/>
        </w:rPr>
        <w:t>万元，其中：基本支出271.56万元，占</w:t>
      </w:r>
      <w:r>
        <w:rPr>
          <w:rFonts w:hint="eastAsia" w:ascii="仿宋" w:hAnsi="仿宋" w:eastAsia="仿宋"/>
          <w:sz w:val="32"/>
          <w:szCs w:val="32"/>
          <w:lang w:val="en-US" w:eastAsia="zh-CN"/>
        </w:rPr>
        <w:t>96.44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10</w:t>
      </w:r>
      <w:r>
        <w:rPr>
          <w:rFonts w:hint="eastAsia" w:ascii="仿宋" w:hAnsi="仿宋" w:eastAsia="仿宋"/>
          <w:sz w:val="32"/>
          <w:szCs w:val="32"/>
        </w:rPr>
        <w:t>万元，占</w:t>
      </w:r>
      <w:r>
        <w:rPr>
          <w:rFonts w:hint="eastAsia" w:ascii="仿宋" w:hAnsi="仿宋" w:eastAsia="仿宋"/>
          <w:sz w:val="32"/>
          <w:szCs w:val="32"/>
          <w:lang w:val="en-US" w:eastAsia="zh-CN"/>
        </w:rPr>
        <w:t>3.56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firstLineChars="200"/>
        <w:rPr>
          <w:rFonts w:hint="eastAsia" w:ascii="仿宋" w:hAnsi="仿宋" w:eastAsia="仿宋"/>
          <w:sz w:val="32"/>
          <w:szCs w:val="32"/>
        </w:rPr>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22年财政拨款收、支总计281.56万元。与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结转资金减少。</w:t>
      </w:r>
    </w:p>
    <w:p>
      <w:pPr>
        <w:pStyle w:val="2"/>
        <w:rPr>
          <w:rFonts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62230</wp:posOffset>
            </wp:positionH>
            <wp:positionV relativeFrom="paragraph">
              <wp:posOffset>321945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spacing w:line="600" w:lineRule="exact"/>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outlineLvl w:val="1"/>
        <w:rPr>
          <w:rFonts w:hint="eastAsia" w:ascii="黑体" w:hAnsi="黑体" w:eastAsia="黑体"/>
          <w:sz w:val="32"/>
          <w:szCs w:val="32"/>
        </w:rPr>
      </w:pPr>
      <w:bookmarkStart w:id="26" w:name="_Toc15396607"/>
      <w:bookmarkStart w:id="27" w:name="_Toc15377209"/>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22年一般公共预算财政拨款支出281.56万元，占本年支出合计的281.56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4.97</w:t>
      </w:r>
      <w:r>
        <w:rPr>
          <w:rFonts w:hint="eastAsia" w:ascii="仿宋" w:hAnsi="仿宋" w:eastAsia="仿宋"/>
          <w:sz w:val="32"/>
          <w:szCs w:val="32"/>
        </w:rPr>
        <w:t>万元，下降</w:t>
      </w:r>
      <w:r>
        <w:rPr>
          <w:rFonts w:hint="eastAsia" w:ascii="仿宋" w:hAnsi="仿宋" w:eastAsia="仿宋"/>
          <w:sz w:val="32"/>
          <w:szCs w:val="32"/>
          <w:lang w:val="en-US" w:eastAsia="zh-CN"/>
        </w:rPr>
        <w:t>1.73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结转资金减少。</w:t>
      </w:r>
    </w:p>
    <w:p>
      <w:pPr>
        <w:spacing w:line="600" w:lineRule="exact"/>
        <w:ind w:firstLine="640" w:firstLineChars="200"/>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154305</wp:posOffset>
            </wp:positionH>
            <wp:positionV relativeFrom="paragraph">
              <wp:posOffset>1885315</wp:posOffset>
            </wp:positionV>
            <wp:extent cx="5027930" cy="2503805"/>
            <wp:effectExtent l="4445" t="4445" r="15875" b="635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结转资金减少</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b/>
          <w:sz w:val="32"/>
          <w:szCs w:val="32"/>
          <w:lang w:eastAsia="zh-CN"/>
        </w:rPr>
        <w:t>）</w:t>
      </w:r>
      <w:r>
        <w:rPr>
          <w:rFonts w:hint="eastAsia" w:ascii="仿宋" w:hAnsi="仿宋" w:eastAsia="仿宋"/>
          <w:b/>
          <w:sz w:val="32"/>
          <w:szCs w:val="32"/>
          <w:lang w:val="en-US" w:eastAsia="zh-CN"/>
        </w:rPr>
        <w:t>普通教育（款）支出</w:t>
      </w:r>
      <w:r>
        <w:rPr>
          <w:rFonts w:hint="eastAsia" w:ascii="仿宋" w:hAnsi="仿宋" w:eastAsia="仿宋"/>
          <w:sz w:val="32"/>
          <w:szCs w:val="32"/>
        </w:rPr>
        <w:t>237.17万元，占</w:t>
      </w:r>
      <w:r>
        <w:rPr>
          <w:rFonts w:hint="eastAsia" w:ascii="仿宋" w:hAnsi="仿宋" w:eastAsia="仿宋"/>
          <w:sz w:val="32"/>
          <w:szCs w:val="32"/>
          <w:lang w:val="en-US" w:eastAsia="zh-CN"/>
        </w:rPr>
        <w:t>84.23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sz w:val="32"/>
          <w:szCs w:val="32"/>
        </w:rPr>
        <w:t>（类</w:t>
      </w:r>
      <w:r>
        <w:rPr>
          <w:rFonts w:hint="eastAsia" w:ascii="仿宋" w:hAnsi="仿宋" w:eastAsia="仿宋"/>
          <w:b/>
          <w:sz w:val="32"/>
          <w:szCs w:val="32"/>
          <w:lang w:eastAsia="zh-CN"/>
        </w:rPr>
        <w:t>）</w:t>
      </w:r>
      <w:r>
        <w:rPr>
          <w:rFonts w:hint="eastAsia" w:ascii="仿宋" w:hAnsi="仿宋" w:eastAsia="仿宋"/>
          <w:sz w:val="32"/>
          <w:szCs w:val="32"/>
        </w:rPr>
        <w:t>20.46万元，占</w:t>
      </w:r>
      <w:r>
        <w:rPr>
          <w:rFonts w:hint="eastAsia" w:ascii="仿宋" w:hAnsi="仿宋" w:eastAsia="仿宋"/>
          <w:sz w:val="32"/>
          <w:szCs w:val="32"/>
          <w:lang w:val="en-US" w:eastAsia="zh-CN"/>
        </w:rPr>
        <w:t>7.27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Fonts w:hint="eastAsia" w:ascii="仿宋" w:hAnsi="仿宋" w:eastAsia="仿宋"/>
          <w:b/>
          <w:sz w:val="32"/>
          <w:szCs w:val="32"/>
          <w:lang w:eastAsia="zh-CN"/>
        </w:rPr>
        <w:t>）</w:t>
      </w:r>
      <w:r>
        <w:rPr>
          <w:rFonts w:hint="eastAsia" w:ascii="仿宋" w:hAnsi="仿宋" w:eastAsia="仿宋"/>
          <w:sz w:val="32"/>
          <w:szCs w:val="32"/>
        </w:rPr>
        <w:t>9.57万元，占</w:t>
      </w:r>
      <w:r>
        <w:rPr>
          <w:rFonts w:hint="eastAsia" w:ascii="仿宋" w:hAnsi="仿宋" w:eastAsia="仿宋"/>
          <w:sz w:val="32"/>
          <w:szCs w:val="32"/>
          <w:lang w:val="en-US" w:eastAsia="zh-CN"/>
        </w:rPr>
        <w:t>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rPr>
        <w:t>（类</w:t>
      </w:r>
      <w:r>
        <w:rPr>
          <w:rFonts w:hint="eastAsia" w:ascii="仿宋" w:hAnsi="仿宋" w:eastAsia="仿宋"/>
          <w:b/>
          <w:sz w:val="32"/>
          <w:szCs w:val="32"/>
          <w:lang w:eastAsia="zh-CN"/>
        </w:rPr>
        <w:t>）</w:t>
      </w:r>
      <w:r>
        <w:rPr>
          <w:rFonts w:hint="eastAsia" w:ascii="仿宋" w:hAnsi="仿宋" w:eastAsia="仿宋"/>
          <w:sz w:val="32"/>
          <w:szCs w:val="32"/>
        </w:rPr>
        <w:t>14.36万元，占</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spacing w:line="600" w:lineRule="exact"/>
        <w:ind w:firstLine="640"/>
        <w:rPr>
          <w:rFonts w:hint="eastAsia" w:ascii="仿宋" w:hAnsi="仿宋" w:eastAsia="仿宋"/>
          <w:sz w:val="32"/>
          <w:szCs w:val="32"/>
          <w:lang w:eastAsia="zh-CN"/>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sz w:val="32"/>
          <w:szCs w:val="32"/>
        </w:rPr>
        <w:t>281.56，</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学前教育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12.6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w:t>
      </w:r>
      <w:r>
        <w:rPr>
          <w:rStyle w:val="17"/>
          <w:rFonts w:hint="eastAsia" w:ascii="仿宋" w:hAnsi="仿宋" w:eastAsia="仿宋"/>
          <w:bCs/>
          <w:sz w:val="32"/>
          <w:szCs w:val="32"/>
          <w:lang w:val="en-US"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小学教育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224.57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 xml:space="preserve"> 机关事业单位基本养老保险缴费支出</w:t>
      </w:r>
      <w:r>
        <w:rPr>
          <w:rStyle w:val="17"/>
          <w:rFonts w:hint="eastAsia" w:ascii="仿宋" w:hAnsi="仿宋" w:eastAsia="仿宋"/>
          <w:bCs/>
          <w:sz w:val="32"/>
          <w:szCs w:val="32"/>
        </w:rPr>
        <w:t>（项）</w:t>
      </w:r>
      <w:r>
        <w:rPr>
          <w:rStyle w:val="17"/>
          <w:rFonts w:hint="eastAsia" w:ascii="仿宋" w:hAnsi="仿宋" w:eastAsia="仿宋"/>
          <w:bCs/>
          <w:sz w:val="32"/>
          <w:szCs w:val="32"/>
          <w:lang w:val="en-US" w:eastAsia="zh-CN"/>
        </w:rPr>
        <w:t xml:space="preserve"> </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19.14</w:t>
      </w:r>
      <w:r>
        <w:rPr>
          <w:rStyle w:val="17"/>
          <w:rFonts w:hint="eastAsia" w:ascii="仿宋" w:hAnsi="仿宋" w:eastAsia="仿宋"/>
          <w:b w:val="0"/>
          <w:bCs/>
          <w:sz w:val="32"/>
          <w:szCs w:val="32"/>
        </w:rPr>
        <w:t>万元，完成预</w:t>
      </w:r>
      <w:r>
        <w:rPr>
          <w:rStyle w:val="17"/>
          <w:rFonts w:hint="eastAsia" w:ascii="仿宋" w:hAnsi="仿宋" w:eastAsia="仿宋"/>
          <w:b w:val="0"/>
          <w:bCs/>
          <w:sz w:val="32"/>
          <w:szCs w:val="32"/>
          <w:lang w:val="en-US" w:eastAsia="zh-CN"/>
        </w:rPr>
        <w:t>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其他社会保障和就业支出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 xml:space="preserve"> 其他社会保障和就业支出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1.32</w:t>
      </w:r>
      <w:r>
        <w:rPr>
          <w:rStyle w:val="17"/>
          <w:rFonts w:hint="eastAsia" w:ascii="仿宋" w:hAnsi="仿宋" w:eastAsia="仿宋"/>
          <w:b w:val="0"/>
          <w:bCs/>
          <w:sz w:val="32"/>
          <w:szCs w:val="32"/>
        </w:rPr>
        <w:t>万元，完成预</w:t>
      </w:r>
      <w:r>
        <w:rPr>
          <w:rStyle w:val="17"/>
          <w:rFonts w:hint="eastAsia" w:ascii="仿宋" w:hAnsi="仿宋" w:eastAsia="仿宋"/>
          <w:b w:val="0"/>
          <w:bCs/>
          <w:sz w:val="32"/>
          <w:szCs w:val="32"/>
          <w:lang w:val="en-US" w:eastAsia="zh-CN"/>
        </w:rPr>
        <w:t>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w:t>
      </w:r>
      <w:r>
        <w:rPr>
          <w:rStyle w:val="17"/>
          <w:rFonts w:hint="eastAsia" w:ascii="仿宋" w:hAnsi="仿宋" w:eastAsia="仿宋"/>
          <w:bCs/>
          <w:sz w:val="32"/>
          <w:szCs w:val="32"/>
          <w:lang w:val="en-US" w:eastAsia="zh-CN"/>
        </w:rPr>
        <w:t>事业单位医疗</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Fonts w:hint="eastAsia" w:ascii="仿宋" w:hAnsi="仿宋" w:eastAsia="仿宋"/>
          <w:sz w:val="32"/>
          <w:szCs w:val="32"/>
        </w:rPr>
        <w:t>9.57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6.</w:t>
      </w:r>
      <w:r>
        <w:rPr>
          <w:rStyle w:val="17"/>
          <w:rFonts w:hint="eastAsia" w:ascii="仿宋" w:hAnsi="仿宋" w:eastAsia="仿宋"/>
          <w:bCs/>
          <w:color w:val="000000"/>
          <w:sz w:val="30"/>
          <w:szCs w:val="30"/>
          <w:lang w:val="en-US" w:eastAsia="zh-CN"/>
        </w:rPr>
        <w:t>住房保障支出</w:t>
      </w:r>
      <w:r>
        <w:rPr>
          <w:rStyle w:val="17"/>
          <w:rFonts w:hint="eastAsia" w:ascii="仿宋" w:hAnsi="仿宋" w:eastAsia="仿宋"/>
          <w:bCs/>
          <w:color w:val="000000"/>
          <w:sz w:val="30"/>
          <w:szCs w:val="30"/>
        </w:rPr>
        <w:t>（类）</w:t>
      </w:r>
      <w:r>
        <w:rPr>
          <w:rStyle w:val="17"/>
          <w:rFonts w:hint="eastAsia" w:ascii="仿宋" w:hAnsi="仿宋" w:eastAsia="仿宋"/>
          <w:bCs/>
          <w:color w:val="000000"/>
          <w:sz w:val="30"/>
          <w:szCs w:val="30"/>
          <w:lang w:val="en-US" w:eastAsia="zh-CN"/>
        </w:rPr>
        <w:t>住房改革支出</w:t>
      </w:r>
      <w:r>
        <w:rPr>
          <w:rStyle w:val="17"/>
          <w:rFonts w:hint="eastAsia" w:ascii="仿宋" w:hAnsi="仿宋" w:eastAsia="仿宋"/>
          <w:bCs/>
          <w:color w:val="000000"/>
          <w:sz w:val="30"/>
          <w:szCs w:val="30"/>
        </w:rPr>
        <w:t>（款）</w:t>
      </w:r>
      <w:r>
        <w:rPr>
          <w:rStyle w:val="17"/>
          <w:rFonts w:hint="eastAsia" w:ascii="仿宋" w:hAnsi="仿宋" w:eastAsia="仿宋"/>
          <w:bCs/>
          <w:color w:val="000000"/>
          <w:sz w:val="30"/>
          <w:szCs w:val="30"/>
          <w:lang w:val="en-US" w:eastAsia="zh-CN"/>
        </w:rPr>
        <w:t>住房公积金</w:t>
      </w:r>
      <w:r>
        <w:rPr>
          <w:rStyle w:val="17"/>
          <w:rFonts w:hint="eastAsia" w:ascii="仿宋" w:hAnsi="仿宋" w:eastAsia="仿宋"/>
          <w:bCs/>
          <w:color w:val="000000"/>
          <w:sz w:val="30"/>
          <w:szCs w:val="30"/>
        </w:rPr>
        <w:t>（项）</w:t>
      </w:r>
      <w:r>
        <w:rPr>
          <w:rStyle w:val="17"/>
          <w:rFonts w:hint="eastAsia" w:ascii="仿宋" w:hAnsi="仿宋" w:eastAsia="仿宋"/>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14.36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22年一般公共预算财政拨款基本支出271.56万元，其中：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251.61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19.95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0.38</w:t>
      </w:r>
      <w:r>
        <w:rPr>
          <w:rFonts w:ascii="仿宋" w:hAnsi="仿宋" w:eastAsia="仿宋"/>
          <w:sz w:val="32"/>
          <w:szCs w:val="32"/>
        </w:rPr>
        <w:t>%</w:t>
      </w:r>
      <w:r>
        <w:rPr>
          <w:rFonts w:hint="eastAsia" w:ascii="仿宋" w:hAnsi="仿宋" w:eastAsia="仿宋"/>
          <w:sz w:val="32"/>
          <w:szCs w:val="32"/>
        </w:rPr>
        <w:t>，较上年增减少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w:t>
      </w:r>
      <w:r>
        <w:rPr>
          <w:rFonts w:hint="eastAsia" w:ascii="仿宋" w:hAnsi="仿宋" w:eastAsia="仿宋"/>
          <w:sz w:val="32"/>
          <w:szCs w:val="32"/>
        </w:rPr>
        <w:t>%。决算数小于预算数的主要原因</w:t>
      </w:r>
      <w:r>
        <w:rPr>
          <w:rFonts w:hint="eastAsia" w:ascii="仿宋" w:hAnsi="仿宋" w:eastAsia="仿宋"/>
          <w:sz w:val="32"/>
          <w:szCs w:val="32"/>
          <w:lang w:val="en-US" w:eastAsia="zh-CN"/>
        </w:rPr>
        <w:t>是财政压减公用经费支出</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2336" behindDoc="1" locked="0" layoutInCell="1" allowOverlap="1">
            <wp:simplePos x="0" y="0"/>
            <wp:positionH relativeFrom="column">
              <wp:posOffset>49530</wp:posOffset>
            </wp:positionH>
            <wp:positionV relativeFrom="paragraph">
              <wp:posOffset>80645</wp:posOffset>
            </wp:positionV>
            <wp:extent cx="5256530" cy="2988310"/>
            <wp:effectExtent l="5080" t="4445" r="15240" b="1714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财政压减公用经费支出</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0.38</w:t>
      </w:r>
      <w:r>
        <w:rPr>
          <w:rFonts w:hint="eastAsia" w:ascii="仿宋_GB2312" w:eastAsia="仿宋_GB2312"/>
          <w:sz w:val="32"/>
          <w:szCs w:val="32"/>
        </w:rPr>
        <w:t>万元，主要用于执行公务、开展业务活动开支的交通费、住宿费、用餐费等</w:t>
      </w:r>
      <w:r>
        <w:rPr>
          <w:rFonts w:hint="eastAsia" w:ascii="仿宋_GB2312" w:eastAsia="仿宋_GB2312"/>
          <w:sz w:val="32"/>
          <w:szCs w:val="32"/>
          <w:lang w:eastAsia="zh-CN"/>
        </w:rPr>
        <w:t>。</w:t>
      </w:r>
    </w:p>
    <w:p>
      <w:pPr>
        <w:spacing w:line="600" w:lineRule="exact"/>
        <w:ind w:firstLine="640" w:firstLineChars="200"/>
        <w:outlineLvl w:val="1"/>
        <w:rPr>
          <w:rStyle w:val="28"/>
          <w:rFonts w:ascii="黑体" w:hAnsi="黑体" w:eastAsia="黑体"/>
        </w:rPr>
      </w:pPr>
      <w:bookmarkStart w:id="40" w:name="_Toc15377218"/>
      <w:bookmarkStart w:id="41"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0"/>
        </w:numPr>
        <w:spacing w:line="600" w:lineRule="exact"/>
        <w:ind w:firstLine="640" w:firstLineChars="20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lang w:val="en-US" w:eastAsia="zh-CN"/>
        </w:rPr>
        <w:t>九、</w:t>
      </w:r>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0"/>
        </w:numPr>
        <w:spacing w:line="600" w:lineRule="exact"/>
        <w:ind w:firstLine="640" w:firstLineChars="20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lang w:val="en-US" w:eastAsia="zh-CN"/>
        </w:rPr>
        <w:t>十、</w:t>
      </w:r>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560" w:firstLineChars="200"/>
        <w:rPr>
          <w:rFonts w:ascii="仿宋_GB2312" w:eastAsia="仿宋_GB2312"/>
          <w:sz w:val="32"/>
          <w:szCs w:val="32"/>
        </w:rPr>
      </w:pPr>
      <w:r>
        <w:rPr>
          <w:rFonts w:hint="eastAsia" w:ascii="宋体" w:hAnsi="宋体" w:cs="宋体"/>
          <w:color w:val="333333"/>
          <w:sz w:val="28"/>
          <w:szCs w:val="28"/>
        </w:rPr>
        <w:t>2022 年，</w:t>
      </w:r>
      <w:r>
        <w:rPr>
          <w:rFonts w:hint="eastAsia" w:ascii="宋体" w:hAnsi="宋体" w:cs="宋体"/>
          <w:color w:val="333333"/>
          <w:sz w:val="28"/>
          <w:szCs w:val="28"/>
          <w:lang w:val="en-US" w:eastAsia="zh-CN"/>
        </w:rPr>
        <w:t>剑阁县江石小学校未安排机关运行经费。</w:t>
      </w:r>
      <w:r>
        <w:rPr>
          <w:rFonts w:hint="eastAsia" w:ascii="宋体" w:hAnsi="宋体" w:cs="宋体"/>
          <w:color w:val="333333"/>
          <w:sz w:val="28"/>
          <w:szCs w:val="28"/>
        </w:rPr>
        <w:t>剑阁县</w:t>
      </w:r>
      <w:r>
        <w:rPr>
          <w:rFonts w:hint="eastAsia" w:ascii="宋体" w:hAnsi="宋体" w:cs="宋体"/>
          <w:color w:val="333333"/>
          <w:sz w:val="28"/>
          <w:szCs w:val="28"/>
          <w:lang w:val="en-US" w:eastAsia="zh-CN"/>
        </w:rPr>
        <w:t>江石小</w:t>
      </w:r>
      <w:r>
        <w:rPr>
          <w:rFonts w:hint="eastAsia" w:ascii="宋体" w:hAnsi="宋体" w:cs="宋体"/>
          <w:color w:val="333333"/>
          <w:sz w:val="28"/>
          <w:szCs w:val="28"/>
        </w:rPr>
        <w:t>学校下属局机关 0家行政单位以及 0家参公管理事业单位的机关运行经费财政拨款预算为0元，比 2021 年预算增长 0元，增长 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560" w:lineRule="exact"/>
        <w:ind w:firstLine="840" w:firstLineChars="300"/>
        <w:rPr>
          <w:rFonts w:ascii="宋体" w:hAnsi="宋体" w:cs="宋体"/>
          <w:color w:val="333333"/>
          <w:sz w:val="28"/>
          <w:szCs w:val="28"/>
        </w:rPr>
      </w:pPr>
      <w:r>
        <w:rPr>
          <w:rFonts w:hint="eastAsia" w:ascii="宋体" w:hAnsi="宋体" w:cs="宋体"/>
          <w:color w:val="333333"/>
          <w:sz w:val="28"/>
          <w:szCs w:val="28"/>
        </w:rPr>
        <w:t>2022年，剑阁县</w:t>
      </w:r>
      <w:r>
        <w:rPr>
          <w:rFonts w:hint="eastAsia" w:ascii="宋体" w:hAnsi="宋体" w:cs="宋体"/>
          <w:color w:val="333333"/>
          <w:sz w:val="28"/>
          <w:szCs w:val="28"/>
          <w:lang w:eastAsia="zh-CN"/>
        </w:rPr>
        <w:t>江石</w:t>
      </w:r>
      <w:r>
        <w:rPr>
          <w:rFonts w:hint="eastAsia" w:ascii="宋体" w:hAnsi="宋体" w:cs="宋体"/>
          <w:color w:val="333333"/>
          <w:sz w:val="28"/>
          <w:szCs w:val="28"/>
        </w:rPr>
        <w:t>小学校没有安排政府采购预算。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江石小学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校园农村安全保障长效机制</w:t>
      </w:r>
      <w:r>
        <w:rPr>
          <w:rFonts w:hint="eastAsia" w:hAnsi="仿宋_GB2312" w:cs="仿宋_GB2312"/>
          <w:sz w:val="32"/>
          <w:szCs w:val="32"/>
        </w:rPr>
        <w:t>（项目名称）等</w:t>
      </w:r>
      <w:r>
        <w:rPr>
          <w:rFonts w:hint="eastAsia" w:hAnsi="仿宋_GB2312" w:cs="仿宋_GB2312"/>
          <w:sz w:val="32"/>
          <w:szCs w:val="32"/>
          <w:lang w:val="en-US" w:eastAsia="zh-CN"/>
        </w:rPr>
        <w:t>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w:t>
      </w:r>
      <w:r>
        <w:rPr>
          <w:rStyle w:val="17"/>
          <w:rFonts w:hint="eastAsia" w:ascii="仿宋" w:hAnsi="仿宋" w:eastAsia="仿宋"/>
          <w:b w:val="0"/>
          <w:bCs w:val="0"/>
          <w:sz w:val="32"/>
          <w:szCs w:val="32"/>
        </w:rPr>
        <w:t>教育（类）</w:t>
      </w:r>
      <w:r>
        <w:rPr>
          <w:rStyle w:val="17"/>
          <w:rFonts w:hint="eastAsia" w:ascii="仿宋" w:hAnsi="仿宋" w:eastAsia="仿宋"/>
          <w:b w:val="0"/>
          <w:bCs w:val="0"/>
          <w:sz w:val="32"/>
          <w:szCs w:val="32"/>
          <w:lang w:val="en-US" w:eastAsia="zh-CN"/>
        </w:rPr>
        <w:t>普通教育</w:t>
      </w:r>
      <w:r>
        <w:rPr>
          <w:rStyle w:val="17"/>
          <w:rFonts w:hint="eastAsia" w:ascii="仿宋" w:hAnsi="仿宋" w:eastAsia="仿宋"/>
          <w:b w:val="0"/>
          <w:bCs w:val="0"/>
          <w:sz w:val="32"/>
          <w:szCs w:val="32"/>
        </w:rPr>
        <w:t>（款）</w:t>
      </w:r>
      <w:r>
        <w:rPr>
          <w:rStyle w:val="17"/>
          <w:rFonts w:hint="eastAsia" w:ascii="仿宋" w:hAnsi="仿宋" w:eastAsia="仿宋"/>
          <w:b w:val="0"/>
          <w:bCs w:val="0"/>
          <w:sz w:val="32"/>
          <w:szCs w:val="32"/>
          <w:lang w:val="en-US" w:eastAsia="zh-CN"/>
        </w:rPr>
        <w:t>学前教育</w:t>
      </w:r>
      <w:r>
        <w:rPr>
          <w:rStyle w:val="17"/>
          <w:rFonts w:hint="eastAsia" w:ascii="仿宋" w:hAnsi="仿宋" w:eastAsia="仿宋"/>
          <w:b w:val="0"/>
          <w:bCs w:val="0"/>
          <w:sz w:val="32"/>
          <w:szCs w:val="32"/>
        </w:rPr>
        <w:t>（项）</w:t>
      </w:r>
      <w:r>
        <w:rPr>
          <w:rFonts w:hint="eastAsia" w:ascii="仿宋_GB2312" w:eastAsia="仿宋_GB2312"/>
          <w:b w:val="0"/>
          <w:bCs w:val="0"/>
          <w:sz w:val="32"/>
          <w:szCs w:val="32"/>
        </w:rPr>
        <w:t>：反映本单位学前教育支出</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指</w:t>
      </w:r>
      <w:r>
        <w:rPr>
          <w:rFonts w:hint="eastAsia" w:ascii="仿宋_GB2312" w:eastAsia="仿宋_GB2312"/>
          <w:b w:val="0"/>
          <w:bCs w:val="0"/>
          <w:sz w:val="32"/>
          <w:szCs w:val="32"/>
          <w:lang w:val="en-US" w:eastAsia="zh-CN"/>
        </w:rPr>
        <w:t>学</w:t>
      </w:r>
      <w:r>
        <w:rPr>
          <w:rFonts w:hint="eastAsia" w:ascii="仿宋_GB2312" w:eastAsia="仿宋_GB2312"/>
          <w:b w:val="0"/>
          <w:bCs w:val="0"/>
          <w:sz w:val="32"/>
          <w:szCs w:val="32"/>
        </w:rPr>
        <w:t>前教育 反映各部门举办的学前教育支出。政府各部门对社会组织举办的幼儿园的资助，如捐赠、补贴等，也在本科目中反映。</w:t>
      </w:r>
    </w:p>
    <w:p>
      <w:pPr>
        <w:pStyle w:val="2"/>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10</w:t>
      </w:r>
      <w:r>
        <w:rPr>
          <w:rFonts w:hint="eastAsia" w:ascii="仿宋_GB2312" w:eastAsia="仿宋_GB2312"/>
          <w:b w:val="0"/>
          <w:bCs w:val="0"/>
          <w:sz w:val="32"/>
          <w:szCs w:val="32"/>
        </w:rPr>
        <w:t>.</w:t>
      </w:r>
      <w:r>
        <w:rPr>
          <w:rStyle w:val="17"/>
          <w:rFonts w:hint="eastAsia" w:ascii="仿宋" w:hAnsi="仿宋" w:eastAsia="仿宋"/>
          <w:b w:val="0"/>
          <w:bCs w:val="0"/>
          <w:sz w:val="32"/>
          <w:szCs w:val="32"/>
        </w:rPr>
        <w:t>教育（类）</w:t>
      </w:r>
      <w:r>
        <w:rPr>
          <w:rStyle w:val="17"/>
          <w:rFonts w:hint="eastAsia" w:ascii="仿宋" w:hAnsi="仿宋" w:eastAsia="仿宋"/>
          <w:b w:val="0"/>
          <w:bCs w:val="0"/>
          <w:sz w:val="32"/>
          <w:szCs w:val="32"/>
          <w:lang w:val="en-US" w:eastAsia="zh-CN"/>
        </w:rPr>
        <w:t>普通教育</w:t>
      </w:r>
      <w:r>
        <w:rPr>
          <w:rStyle w:val="17"/>
          <w:rFonts w:hint="eastAsia" w:ascii="仿宋" w:hAnsi="仿宋" w:eastAsia="仿宋"/>
          <w:b w:val="0"/>
          <w:bCs w:val="0"/>
          <w:sz w:val="32"/>
          <w:szCs w:val="32"/>
        </w:rPr>
        <w:t>（款）</w:t>
      </w:r>
      <w:r>
        <w:rPr>
          <w:rStyle w:val="17"/>
          <w:rFonts w:hint="eastAsia" w:ascii="仿宋" w:hAnsi="仿宋" w:eastAsia="仿宋"/>
          <w:b w:val="0"/>
          <w:bCs w:val="0"/>
          <w:sz w:val="32"/>
          <w:szCs w:val="32"/>
          <w:lang w:val="en-US" w:eastAsia="zh-CN"/>
        </w:rPr>
        <w:t>小学教育</w:t>
      </w:r>
      <w:r>
        <w:rPr>
          <w:rStyle w:val="17"/>
          <w:rFonts w:hint="eastAsia" w:ascii="仿宋" w:hAnsi="仿宋" w:eastAsia="仿宋"/>
          <w:b w:val="0"/>
          <w:bCs w:val="0"/>
          <w:sz w:val="32"/>
          <w:szCs w:val="32"/>
        </w:rPr>
        <w:t>（项）</w:t>
      </w:r>
      <w:r>
        <w:rPr>
          <w:rFonts w:hint="eastAsia" w:ascii="仿宋_GB2312" w:eastAsia="仿宋_GB2312"/>
          <w:b w:val="0"/>
          <w:bCs w:val="0"/>
          <w:sz w:val="32"/>
          <w:szCs w:val="32"/>
        </w:rPr>
        <w:t>：反映本单位小学教育支出</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政府各部门对社会组 举办的小学的资助，如捐赠、补贴等，也在本科目中反映</w:t>
      </w:r>
      <w:r>
        <w:rPr>
          <w:rFonts w:hint="eastAsia"/>
          <w:b w:val="0"/>
          <w:bCs w:val="0"/>
          <w:sz w:val="32"/>
          <w:szCs w:val="32"/>
          <w:lang w:eastAsia="zh-CN"/>
        </w:rPr>
        <w:t>。</w:t>
      </w:r>
    </w:p>
    <w:p>
      <w:pPr>
        <w:pStyle w:val="25"/>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11</w:t>
      </w:r>
      <w:r>
        <w:rPr>
          <w:rFonts w:hint="eastAsia" w:ascii="仿宋_GB2312" w:eastAsia="仿宋_GB2312"/>
          <w:b w:val="0"/>
          <w:bCs w:val="0"/>
          <w:sz w:val="32"/>
          <w:szCs w:val="32"/>
        </w:rPr>
        <w:t>.</w:t>
      </w:r>
      <w:r>
        <w:rPr>
          <w:rFonts w:hint="eastAsia" w:ascii="仿宋" w:hAnsi="仿宋" w:eastAsia="仿宋"/>
          <w:b w:val="0"/>
          <w:bCs w:val="0"/>
          <w:sz w:val="32"/>
          <w:szCs w:val="32"/>
        </w:rPr>
        <w:t>住房保障支出</w:t>
      </w:r>
      <w:r>
        <w:rPr>
          <w:rStyle w:val="17"/>
          <w:rFonts w:hint="eastAsia" w:ascii="仿宋" w:hAnsi="仿宋" w:eastAsia="仿宋"/>
          <w:b w:val="0"/>
          <w:bCs w:val="0"/>
          <w:sz w:val="32"/>
          <w:szCs w:val="32"/>
        </w:rPr>
        <w:t>（类）住房改革支出（款）住房公积金（项）</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住房公积金反映本单位按人力资源和社会保障部、财政部规定的基本工资和津贴补贴以及规定比例为职工缴纳的住房公积金。</w:t>
      </w:r>
    </w:p>
    <w:p>
      <w:pPr>
        <w:pStyle w:val="25"/>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12</w:t>
      </w:r>
      <w:r>
        <w:rPr>
          <w:rFonts w:hint="eastAsia" w:ascii="仿宋_GB2312" w:eastAsia="仿宋_GB2312"/>
          <w:b w:val="0"/>
          <w:bCs w:val="0"/>
          <w:sz w:val="32"/>
          <w:szCs w:val="32"/>
        </w:rPr>
        <w:t>.</w:t>
      </w:r>
      <w:r>
        <w:rPr>
          <w:rStyle w:val="17"/>
          <w:rFonts w:hint="eastAsia" w:ascii="仿宋" w:hAnsi="仿宋" w:eastAsia="仿宋"/>
          <w:b w:val="0"/>
          <w:bCs w:val="0"/>
          <w:sz w:val="32"/>
          <w:szCs w:val="32"/>
        </w:rPr>
        <w:t>社会保障和就业（类）行政事业单位养老支出（款）机关事业单位基本养老保险缴费支出（项）</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机关事业单位基本养老保险缴费支出指机关事业单位实施养老保险制度由单位缴纳的基本养老保险费的支出。</w:t>
      </w:r>
    </w:p>
    <w:p>
      <w:pPr>
        <w:pStyle w:val="25"/>
        <w:spacing w:line="560" w:lineRule="exact"/>
        <w:ind w:firstLine="640" w:firstLineChars="200"/>
        <w:rPr>
          <w:rFonts w:hint="eastAsia" w:ascii="仿宋_GB2312" w:eastAsia="仿宋_GB2312"/>
          <w:b w:val="0"/>
          <w:bCs w:val="0"/>
          <w:sz w:val="32"/>
          <w:szCs w:val="32"/>
        </w:rPr>
      </w:pPr>
      <w:r>
        <w:rPr>
          <w:rStyle w:val="17"/>
          <w:rFonts w:hint="eastAsia" w:hAnsi="仿宋"/>
          <w:b w:val="0"/>
          <w:bCs w:val="0"/>
          <w:sz w:val="32"/>
          <w:szCs w:val="32"/>
          <w:lang w:val="en-US" w:eastAsia="zh-CN"/>
        </w:rPr>
        <w:t>13.</w:t>
      </w:r>
      <w:r>
        <w:rPr>
          <w:rStyle w:val="17"/>
          <w:rFonts w:hint="eastAsia" w:ascii="仿宋" w:hAnsi="仿宋" w:eastAsia="仿宋"/>
          <w:b w:val="0"/>
          <w:bCs w:val="0"/>
          <w:sz w:val="32"/>
          <w:szCs w:val="32"/>
        </w:rPr>
        <w:t>社会保障和就业（类）其他社会保障和就业支出（款）其他社会保障和就业支出（项）</w:t>
      </w:r>
      <w:r>
        <w:rPr>
          <w:rStyle w:val="17"/>
          <w:rFonts w:hint="eastAsia" w:hAnsi="仿宋"/>
          <w:b w:val="0"/>
          <w:bCs w:val="0"/>
          <w:sz w:val="32"/>
          <w:szCs w:val="32"/>
          <w:lang w:eastAsia="zh-CN"/>
        </w:rPr>
        <w:t>：</w:t>
      </w:r>
      <w:r>
        <w:rPr>
          <w:rStyle w:val="17"/>
          <w:rFonts w:hint="eastAsia" w:ascii="仿宋" w:hAnsi="仿宋" w:eastAsia="仿宋"/>
          <w:b w:val="0"/>
          <w:bCs w:val="0"/>
          <w:sz w:val="32"/>
          <w:szCs w:val="32"/>
        </w:rPr>
        <w:t>其他社会保障和就业</w:t>
      </w:r>
      <w:r>
        <w:rPr>
          <w:rStyle w:val="17"/>
          <w:rFonts w:hint="eastAsia" w:hAnsi="仿宋"/>
          <w:b w:val="0"/>
          <w:bCs w:val="0"/>
          <w:sz w:val="32"/>
          <w:szCs w:val="32"/>
          <w:lang w:eastAsia="zh-CN"/>
        </w:rPr>
        <w:t>支出</w:t>
      </w:r>
      <w:r>
        <w:rPr>
          <w:rFonts w:hint="eastAsia" w:ascii="仿宋_GB2312" w:eastAsia="仿宋_GB2312"/>
          <w:b w:val="0"/>
          <w:bCs w:val="0"/>
          <w:sz w:val="32"/>
          <w:szCs w:val="32"/>
        </w:rPr>
        <w:t>指机关事业单位实施</w:t>
      </w:r>
      <w:r>
        <w:rPr>
          <w:rFonts w:hint="eastAsia" w:ascii="仿宋_GB2312" w:eastAsia="仿宋_GB2312"/>
          <w:b w:val="0"/>
          <w:bCs w:val="0"/>
          <w:sz w:val="32"/>
          <w:szCs w:val="32"/>
          <w:lang w:val="en-US" w:eastAsia="zh-CN"/>
        </w:rPr>
        <w:t>社会</w:t>
      </w:r>
      <w:r>
        <w:rPr>
          <w:rFonts w:hint="eastAsia" w:ascii="仿宋_GB2312" w:eastAsia="仿宋_GB2312"/>
          <w:b w:val="0"/>
          <w:bCs w:val="0"/>
          <w:sz w:val="32"/>
          <w:szCs w:val="32"/>
        </w:rPr>
        <w:t>保险制度由单位缴纳的</w:t>
      </w:r>
      <w:r>
        <w:rPr>
          <w:rFonts w:hint="eastAsia" w:ascii="仿宋_GB2312" w:eastAsia="仿宋_GB2312"/>
          <w:b w:val="0"/>
          <w:bCs w:val="0"/>
          <w:sz w:val="32"/>
          <w:szCs w:val="32"/>
          <w:lang w:val="en-US" w:eastAsia="zh-CN"/>
        </w:rPr>
        <w:t>工伤、失业</w:t>
      </w:r>
      <w:r>
        <w:rPr>
          <w:rFonts w:hint="eastAsia" w:ascii="仿宋_GB2312" w:eastAsia="仿宋_GB2312"/>
          <w:b w:val="0"/>
          <w:bCs w:val="0"/>
          <w:sz w:val="32"/>
          <w:szCs w:val="32"/>
        </w:rPr>
        <w:t>保险费的支出。</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14</w:t>
      </w:r>
      <w:r>
        <w:rPr>
          <w:rFonts w:hint="eastAsia" w:ascii="仿宋_GB2312" w:eastAsia="仿宋_GB2312"/>
          <w:b w:val="0"/>
          <w:bCs w:val="0"/>
          <w:sz w:val="32"/>
          <w:szCs w:val="32"/>
        </w:rPr>
        <w:t>.</w:t>
      </w:r>
      <w:r>
        <w:rPr>
          <w:rFonts w:hint="eastAsia" w:ascii="仿宋" w:hAnsi="仿宋" w:eastAsia="仿宋"/>
          <w:b w:val="0"/>
          <w:bCs w:val="0"/>
          <w:sz w:val="32"/>
          <w:szCs w:val="32"/>
        </w:rPr>
        <w:t>卫生健康</w:t>
      </w:r>
      <w:r>
        <w:rPr>
          <w:rStyle w:val="17"/>
          <w:rFonts w:hint="eastAsia" w:ascii="仿宋" w:hAnsi="仿宋" w:eastAsia="仿宋"/>
          <w:b w:val="0"/>
          <w:bCs w:val="0"/>
          <w:sz w:val="32"/>
          <w:szCs w:val="32"/>
        </w:rPr>
        <w:t>（类）行政事业单位医疗（款）事业单位医疗（项）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行政单位医疗指财政部门集中安排的行政单位基本医疗保险缴费经费，未参加医疗保险的行政单位的公费医疗经费，按国家规定享受离休人员、红军老战士待遇人员的医疗经费。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600" w:lineRule="exact"/>
        <w:jc w:val="center"/>
        <w:rPr>
          <w:rFonts w:hint="eastAsia" w:ascii="方正小标宋简体" w:hAnsi="方正小标宋简体" w:eastAsia="方正小标宋简体" w:cs="方正小标宋简体"/>
          <w:sz w:val="40"/>
          <w:szCs w:val="40"/>
        </w:rPr>
      </w:pPr>
    </w:p>
    <w:p>
      <w:pPr>
        <w:spacing w:line="600" w:lineRule="exact"/>
        <w:jc w:val="center"/>
        <w:rPr>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zh-CN"/>
        </w:rPr>
        <w:t>专项预算项目支出绩效自评报告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firstLine="960" w:firstLineChars="300"/>
        <w:rPr>
          <w:rFonts w:hint="eastAsia" w:ascii="仿宋" w:hAnsi="仿宋" w:eastAsia="仿宋" w:cs="仿宋"/>
          <w:sz w:val="30"/>
          <w:szCs w:val="30"/>
          <w:lang w:val="en-US" w:eastAsia="zh-CN"/>
        </w:rPr>
      </w:pPr>
      <w:r>
        <w:rPr>
          <w:rFonts w:hint="eastAsia" w:ascii="仿宋_GB2312" w:hAnsi="宋体" w:eastAsia="仿宋_GB2312"/>
          <w:sz w:val="32"/>
          <w:szCs w:val="32"/>
          <w:lang w:val="zh-CN"/>
        </w:rPr>
        <w:t>项目资金申报及批复情况。</w:t>
      </w:r>
      <w:r>
        <w:rPr>
          <w:rFonts w:hint="eastAsia" w:ascii="仿宋_GB2312" w:hAnsi="仿宋_GB2312" w:eastAsia="仿宋_GB2312" w:cs="仿宋_GB2312"/>
          <w:color w:val="000000" w:themeColor="text1"/>
          <w:spacing w:val="-11"/>
          <w:sz w:val="32"/>
          <w:szCs w:val="32"/>
          <w14:textFill>
            <w14:solidFill>
              <w14:schemeClr w14:val="tx1"/>
            </w14:solidFill>
          </w14:textFill>
        </w:rPr>
        <w:t>剑阁县</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江石</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小学</w:t>
      </w:r>
      <w:r>
        <w:rPr>
          <w:rFonts w:hint="eastAsia" w:ascii="仿宋_GB2312" w:hAnsi="仿宋_GB2312" w:eastAsia="仿宋_GB2312" w:cs="仿宋_GB2312"/>
          <w:color w:val="000000" w:themeColor="text1"/>
          <w:spacing w:val="-11"/>
          <w:sz w:val="32"/>
          <w:szCs w:val="32"/>
          <w14:textFill>
            <w14:solidFill>
              <w14:schemeClr w14:val="tx1"/>
            </w14:solidFill>
          </w14:textFill>
        </w:rPr>
        <w:t>校</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校</w:t>
      </w:r>
      <w:r>
        <w:rPr>
          <w:rFonts w:hint="eastAsia" w:ascii="仿宋_GB2312" w:hAnsi="仿宋_GB2312" w:eastAsia="仿宋_GB2312" w:cs="仿宋_GB2312"/>
          <w:color w:val="000000" w:themeColor="text1"/>
          <w:spacing w:val="-11"/>
          <w:sz w:val="32"/>
          <w:szCs w:val="32"/>
          <w14:textFill>
            <w14:solidFill>
              <w14:schemeClr w14:val="tx1"/>
            </w14:solidFill>
          </w14:textFill>
        </w:rPr>
        <w:t>舍改造</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提升</w:t>
      </w:r>
      <w:r>
        <w:rPr>
          <w:rFonts w:hint="eastAsia" w:ascii="仿宋_GB2312" w:hAnsi="仿宋_GB2312" w:eastAsia="仿宋_GB2312" w:cs="仿宋_GB2312"/>
          <w:color w:val="000000" w:themeColor="text1"/>
          <w:spacing w:val="-11"/>
          <w:sz w:val="32"/>
          <w:szCs w:val="32"/>
          <w14:textFill>
            <w14:solidFill>
              <w14:schemeClr w14:val="tx1"/>
            </w14:solidFill>
          </w14:textFill>
        </w:rPr>
        <w:t>项目</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w:t>
      </w:r>
      <w:r>
        <w:rPr>
          <w:rFonts w:hint="eastAsia" w:ascii="仿宋_GB2312" w:hAnsi="仿宋_GB2312" w:eastAsia="仿宋_GB2312" w:cs="仿宋_GB2312"/>
          <w:color w:val="000000"/>
          <w:sz w:val="32"/>
          <w:szCs w:val="32"/>
        </w:rPr>
        <w:t>（剑财教〔202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号）</w:t>
      </w:r>
      <w:r>
        <w:rPr>
          <w:rFonts w:hint="eastAsia" w:ascii="仿宋" w:hAnsi="仿宋" w:eastAsia="仿宋" w:cs="仿宋"/>
          <w:sz w:val="30"/>
          <w:szCs w:val="30"/>
          <w:lang w:val="en-US" w:eastAsia="zh-CN"/>
        </w:rPr>
        <w:t>下达批复，获批</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校</w:t>
      </w:r>
      <w:r>
        <w:rPr>
          <w:rFonts w:hint="eastAsia" w:ascii="仿宋_GB2312" w:hAnsi="仿宋_GB2312" w:eastAsia="仿宋_GB2312" w:cs="仿宋_GB2312"/>
          <w:color w:val="000000" w:themeColor="text1"/>
          <w:spacing w:val="-11"/>
          <w:sz w:val="32"/>
          <w:szCs w:val="32"/>
          <w14:textFill>
            <w14:solidFill>
              <w14:schemeClr w14:val="tx1"/>
            </w14:solidFill>
          </w14:textFill>
        </w:rPr>
        <w:t>舍改造</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提升</w:t>
      </w:r>
      <w:r>
        <w:rPr>
          <w:rFonts w:hint="eastAsia" w:ascii="仿宋_GB2312" w:hAnsi="仿宋_GB2312" w:eastAsia="仿宋_GB2312" w:cs="仿宋_GB2312"/>
          <w:color w:val="000000" w:themeColor="text1"/>
          <w:spacing w:val="-11"/>
          <w:sz w:val="32"/>
          <w:szCs w:val="32"/>
          <w14:textFill>
            <w14:solidFill>
              <w14:schemeClr w14:val="tx1"/>
            </w14:solidFill>
          </w14:textFill>
        </w:rPr>
        <w:t>项目</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w:t>
      </w:r>
      <w:r>
        <w:rPr>
          <w:rFonts w:hint="eastAsia" w:ascii="仿宋" w:hAnsi="仿宋" w:eastAsia="仿宋" w:cs="仿宋"/>
          <w:sz w:val="30"/>
          <w:szCs w:val="30"/>
          <w:lang w:val="en-US" w:eastAsia="zh-CN"/>
        </w:rPr>
        <w:t>，实际批复下达10万元，项目申报及批复程序符合项目资金管理相关规定。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项目绩效目标。主要用于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维修改造教师宿舍</w:t>
      </w:r>
      <w:r>
        <w:rPr>
          <w:rFonts w:hint="eastAsia" w:ascii="仿宋_GB2312" w:eastAsia="仿宋_GB2312"/>
          <w:sz w:val="32"/>
          <w:szCs w:val="32"/>
          <w:lang w:val="en-US" w:eastAsia="zh-CN"/>
        </w:rPr>
        <w:t>及办公楼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1050平方米、教学楼50平方米、学生宿舍楼80平方米，</w:t>
      </w:r>
      <w:r>
        <w:rPr>
          <w:rFonts w:hint="eastAsia" w:ascii="仿宋_GB2312" w:hAnsi="仿宋_GB2312" w:eastAsia="仿宋_GB2312" w:cs="仿宋_GB2312"/>
          <w:color w:val="000000" w:themeColor="text1"/>
          <w:sz w:val="32"/>
          <w:szCs w:val="32"/>
          <w:lang w:eastAsia="zh-CN"/>
          <w14:textFill>
            <w14:solidFill>
              <w14:schemeClr w14:val="tx1"/>
            </w14:solidFill>
          </w14:textFill>
        </w:rPr>
        <w:t>及相关附属设施等</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其总目标是秉承优良的办学传统，吸纳先进的办学理念，以贴近和服务广大农村中小学生为服务宗旨，以培养</w:t>
      </w:r>
      <w:r>
        <w:rPr>
          <w:rFonts w:hint="eastAsia" w:ascii="仿宋_GB2312" w:hAnsi="宋体" w:eastAsia="仿宋_GB2312"/>
          <w:sz w:val="32"/>
          <w:szCs w:val="32"/>
          <w:lang w:val="en-US" w:eastAsia="zh-CN"/>
        </w:rPr>
        <w:t>学生广泛的兴趣爱好、</w:t>
      </w:r>
      <w:r>
        <w:rPr>
          <w:rFonts w:hint="eastAsia" w:ascii="仿宋_GB2312" w:hAnsi="宋体" w:eastAsia="仿宋_GB2312"/>
          <w:sz w:val="32"/>
          <w:szCs w:val="32"/>
          <w:lang w:val="zh-CN"/>
        </w:rPr>
        <w:t>创新精神、</w:t>
      </w:r>
      <w:r>
        <w:rPr>
          <w:rFonts w:hint="eastAsia" w:ascii="仿宋_GB2312" w:hAnsi="宋体" w:eastAsia="仿宋_GB2312"/>
          <w:sz w:val="32"/>
          <w:szCs w:val="32"/>
          <w:lang w:val="en-US" w:eastAsia="zh-CN"/>
        </w:rPr>
        <w:t>全面提升学生综合素质</w:t>
      </w:r>
      <w:r>
        <w:rPr>
          <w:rFonts w:hint="eastAsia" w:ascii="仿宋_GB2312" w:hAnsi="宋体" w:eastAsia="仿宋_GB2312"/>
          <w:sz w:val="32"/>
          <w:szCs w:val="32"/>
          <w:lang w:val="zh-CN"/>
        </w:rPr>
        <w:t>为重点，凝心聚力，负重奋进，以办好人民满意的教育，实现跨越式发展。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 w:hAnsi="仿宋" w:eastAsia="仿宋" w:cs="仿宋"/>
          <w:sz w:val="30"/>
          <w:szCs w:val="30"/>
          <w:lang w:val="en-US" w:eastAsia="zh-CN"/>
        </w:rPr>
      </w:pPr>
      <w:r>
        <w:rPr>
          <w:rFonts w:hint="eastAsia" w:ascii="仿宋_GB2312" w:hAnsi="宋体" w:eastAsia="仿宋_GB2312" w:cs="仿宋_GB2312"/>
          <w:color w:val="000000"/>
          <w:kern w:val="0"/>
          <w:sz w:val="32"/>
          <w:szCs w:val="32"/>
          <w:shd w:val="clear" w:color="auto" w:fill="FFFFFF"/>
          <w:lang w:val="en-US" w:eastAsia="zh-CN"/>
        </w:rPr>
        <w:t>项目资金申报相符性。</w:t>
      </w:r>
      <w:r>
        <w:rPr>
          <w:rFonts w:hint="eastAsia" w:ascii="仿宋" w:hAnsi="仿宋" w:eastAsia="仿宋" w:cs="仿宋"/>
          <w:sz w:val="30"/>
          <w:szCs w:val="30"/>
          <w:lang w:val="en-US" w:eastAsia="zh-CN"/>
        </w:rPr>
        <w:t>项目预算投资10万元，资金来源：（</w:t>
      </w:r>
      <w:r>
        <w:rPr>
          <w:rFonts w:hint="eastAsia" w:ascii="仿宋_GB2312" w:hAnsi="仿宋_GB2312" w:eastAsia="仿宋_GB2312" w:cs="仿宋_GB2312"/>
          <w:color w:val="000000"/>
          <w:sz w:val="32"/>
          <w:szCs w:val="32"/>
        </w:rPr>
        <w:t>剑财教〔202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号</w:t>
      </w:r>
      <w:r>
        <w:rPr>
          <w:rFonts w:hint="eastAsia" w:ascii="仿宋" w:hAnsi="仿宋" w:eastAsia="仿宋" w:cs="仿宋"/>
          <w:sz w:val="30"/>
          <w:szCs w:val="30"/>
          <w:lang w:val="en-US" w:eastAsia="zh-CN"/>
        </w:rPr>
        <w:t>）农村中小学校舍维修改造项目10万元，该项目申报内容与项目具体实施相符合，申报目标是合理可行的。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default"/>
          <w:lang w:val="en-US"/>
        </w:rPr>
      </w:pPr>
      <w:r>
        <w:rPr>
          <w:rFonts w:hint="eastAsia" w:ascii="楷体_GB2312" w:hAnsi="宋体" w:eastAsia="楷体_GB2312"/>
          <w:sz w:val="32"/>
          <w:szCs w:val="32"/>
          <w:lang w:val="en-US" w:eastAsia="zh-CN"/>
        </w:rPr>
        <w:t>2022</w:t>
      </w:r>
      <w:r>
        <w:rPr>
          <w:rFonts w:hint="eastAsia" w:ascii="楷体_GB2312" w:hAnsi="宋体" w:eastAsia="楷体_GB2312"/>
          <w:sz w:val="32"/>
          <w:szCs w:val="32"/>
          <w:lang w:val="zh-CN"/>
        </w:rPr>
        <w:t>年</w:t>
      </w:r>
      <w:r>
        <w:rPr>
          <w:rFonts w:hint="eastAsia" w:ascii="楷体_GB2312" w:hAnsi="宋体" w:eastAsia="楷体_GB2312"/>
          <w:sz w:val="32"/>
          <w:szCs w:val="32"/>
          <w:lang w:val="en-US" w:eastAsia="zh-CN"/>
        </w:rPr>
        <w:t>剑阁县江石小学</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校</w:t>
      </w:r>
      <w:r>
        <w:rPr>
          <w:rFonts w:hint="eastAsia" w:ascii="仿宋_GB2312" w:hAnsi="仿宋_GB2312" w:eastAsia="仿宋_GB2312" w:cs="仿宋_GB2312"/>
          <w:color w:val="000000" w:themeColor="text1"/>
          <w:spacing w:val="-11"/>
          <w:sz w:val="32"/>
          <w:szCs w:val="32"/>
          <w14:textFill>
            <w14:solidFill>
              <w14:schemeClr w14:val="tx1"/>
            </w14:solidFill>
          </w14:textFill>
        </w:rPr>
        <w:t>舍改造</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提升</w:t>
      </w:r>
      <w:r>
        <w:rPr>
          <w:rFonts w:hint="eastAsia" w:ascii="仿宋_GB2312" w:hAnsi="仿宋_GB2312" w:eastAsia="仿宋_GB2312" w:cs="仿宋_GB2312"/>
          <w:color w:val="000000" w:themeColor="text1"/>
          <w:spacing w:val="-11"/>
          <w:sz w:val="32"/>
          <w:szCs w:val="32"/>
          <w14:textFill>
            <w14:solidFill>
              <w14:schemeClr w14:val="tx1"/>
            </w14:solidFill>
          </w14:textFill>
        </w:rPr>
        <w:t>项目</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w:t>
      </w:r>
      <w:r>
        <w:rPr>
          <w:rFonts w:hint="eastAsia" w:ascii="仿宋" w:hAnsi="仿宋" w:eastAsia="仿宋" w:cs="仿宋"/>
          <w:sz w:val="30"/>
          <w:szCs w:val="30"/>
          <w:lang w:val="en-US" w:eastAsia="zh-CN"/>
        </w:rPr>
        <w:t>，实际批复下达10万元</w:t>
      </w:r>
      <w:r>
        <w:rPr>
          <w:rFonts w:hint="eastAsia" w:ascii="楷体_GB2312" w:hAnsi="宋体" w:eastAsia="楷体_GB2312"/>
          <w:sz w:val="32"/>
          <w:szCs w:val="32"/>
          <w:lang w:val="en-US" w:eastAsia="zh-CN"/>
        </w:rPr>
        <w:t>。资金批复情况良好。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资金计划及到位。20</w:t>
      </w:r>
      <w:r>
        <w:rPr>
          <w:rFonts w:hint="eastAsia" w:ascii="楷体_GB2312" w:hAnsi="宋体" w:eastAsia="楷体_GB2312"/>
          <w:sz w:val="32"/>
          <w:szCs w:val="32"/>
          <w:lang w:val="en-US" w:eastAsia="zh-CN"/>
        </w:rPr>
        <w:t>22</w:t>
      </w:r>
      <w:r>
        <w:rPr>
          <w:rFonts w:hint="eastAsia" w:ascii="楷体_GB2312" w:hAnsi="宋体" w:eastAsia="楷体_GB2312"/>
          <w:sz w:val="32"/>
          <w:szCs w:val="32"/>
          <w:lang w:val="zh-CN"/>
        </w:rPr>
        <w:t>年</w:t>
      </w:r>
      <w:r>
        <w:rPr>
          <w:rFonts w:hint="eastAsia" w:ascii="楷体_GB2312" w:hAnsi="宋体" w:eastAsia="楷体_GB2312"/>
          <w:sz w:val="32"/>
          <w:szCs w:val="32"/>
          <w:lang w:val="en-US" w:eastAsia="zh-CN"/>
        </w:rPr>
        <w:t>江石小学</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校</w:t>
      </w:r>
      <w:r>
        <w:rPr>
          <w:rFonts w:hint="eastAsia" w:ascii="仿宋_GB2312" w:hAnsi="仿宋_GB2312" w:eastAsia="仿宋_GB2312" w:cs="仿宋_GB2312"/>
          <w:color w:val="000000" w:themeColor="text1"/>
          <w:spacing w:val="-11"/>
          <w:sz w:val="32"/>
          <w:szCs w:val="32"/>
          <w14:textFill>
            <w14:solidFill>
              <w14:schemeClr w14:val="tx1"/>
            </w14:solidFill>
          </w14:textFill>
        </w:rPr>
        <w:t>舍改造</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提升</w:t>
      </w:r>
      <w:r>
        <w:rPr>
          <w:rFonts w:hint="eastAsia" w:ascii="仿宋_GB2312" w:hAnsi="仿宋_GB2312" w:eastAsia="仿宋_GB2312" w:cs="仿宋_GB2312"/>
          <w:color w:val="000000" w:themeColor="text1"/>
          <w:spacing w:val="-11"/>
          <w:sz w:val="32"/>
          <w:szCs w:val="32"/>
          <w14:textFill>
            <w14:solidFill>
              <w14:schemeClr w14:val="tx1"/>
            </w14:solidFill>
          </w14:textFill>
        </w:rPr>
        <w:t>项目</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已下达</w:t>
      </w:r>
      <w:r>
        <w:rPr>
          <w:rFonts w:hint="eastAsia" w:ascii="楷体_GB2312" w:hAnsi="宋体" w:eastAsia="楷体_GB2312"/>
          <w:sz w:val="32"/>
          <w:szCs w:val="32"/>
          <w:lang w:val="zh-CN"/>
        </w:rPr>
        <w:t>；资金到位率达到100%、到位及时。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为依法依规积极推进</w:t>
      </w:r>
      <w:r>
        <w:rPr>
          <w:rFonts w:hint="eastAsia" w:ascii="仿宋_GB2312" w:hAnsi="宋体" w:eastAsia="仿宋_GB2312"/>
          <w:sz w:val="32"/>
          <w:szCs w:val="32"/>
          <w:lang w:val="en-US" w:eastAsia="zh-CN"/>
        </w:rPr>
        <w:t>改善办学条件</w:t>
      </w:r>
      <w:r>
        <w:rPr>
          <w:rFonts w:hint="eastAsia" w:ascii="仿宋_GB2312" w:hAnsi="宋体" w:eastAsia="仿宋_GB2312"/>
          <w:sz w:val="32"/>
          <w:szCs w:val="32"/>
          <w:lang w:val="zh-CN"/>
        </w:rPr>
        <w:t>项目开展，确保合理高效使用项目资金，学校</w:t>
      </w:r>
      <w:r>
        <w:rPr>
          <w:rFonts w:hint="eastAsia" w:ascii="仿宋_GB2312" w:hAnsi="宋体" w:eastAsia="仿宋_GB2312"/>
          <w:sz w:val="32"/>
          <w:szCs w:val="32"/>
          <w:lang w:val="en-US" w:eastAsia="zh-CN"/>
        </w:rPr>
        <w:t>改善办学条件</w:t>
      </w:r>
      <w:r>
        <w:rPr>
          <w:rFonts w:hint="eastAsia" w:ascii="仿宋_GB2312" w:hAnsi="宋体" w:eastAsia="仿宋_GB2312"/>
          <w:sz w:val="32"/>
          <w:szCs w:val="32"/>
          <w:lang w:val="zh-CN"/>
        </w:rPr>
        <w:t>管理领导小组；设立项目专项财务管理制度，项目实施期间严格执行财务管理制度，及时财务处理，会计核算规范化。</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6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截至评价时点，项目资金支付10万元；在规定时间内按质、按量，按照设计要求完成项目目标。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0"/>
          <w:szCs w:val="30"/>
          <w:lang w:val="en-US" w:eastAsia="zh-CN"/>
        </w:rPr>
        <w:t>通过此项目，惠及学生</w:t>
      </w:r>
      <w:r>
        <w:rPr>
          <w:rFonts w:hint="eastAsia" w:ascii="仿宋_GB2312" w:eastAsia="仿宋_GB2312"/>
          <w:sz w:val="32"/>
          <w:szCs w:val="32"/>
          <w:lang w:val="en-US" w:eastAsia="zh-CN"/>
        </w:rPr>
        <w:t>142</w:t>
      </w:r>
      <w:r>
        <w:rPr>
          <w:rFonts w:hint="eastAsia" w:ascii="仿宋" w:hAnsi="仿宋" w:eastAsia="仿宋" w:cs="仿宋"/>
          <w:sz w:val="30"/>
          <w:szCs w:val="30"/>
          <w:lang w:val="en-US" w:eastAsia="zh-CN"/>
        </w:rPr>
        <w:t>人，培养了广泛的兴趣爱好，提升了学生全面的综合素质。项目资金做到公开透明，依照制度规定，发挥其效能，满足师生的需要需求</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、评价结论及建议</w:t>
      </w:r>
    </w:p>
    <w:p>
      <w:pPr>
        <w:spacing w:line="560" w:lineRule="exact"/>
        <w:ind w:firstLine="960" w:firstLineChars="300"/>
        <w:rPr>
          <w:rFonts w:hint="eastAsia" w:ascii="仿宋_GB2312" w:hAnsi="宋体" w:eastAsia="仿宋_GB2312" w:cs="仿宋_GB2312"/>
          <w:color w:val="000000"/>
          <w:kern w:val="0"/>
          <w:sz w:val="32"/>
          <w:szCs w:val="32"/>
          <w:shd w:val="clear" w:color="auto" w:fill="FFFFFF"/>
          <w:lang w:val="en-US" w:eastAsia="zh-CN"/>
        </w:rPr>
      </w:pPr>
      <w:r>
        <w:rPr>
          <w:rFonts w:hint="eastAsia" w:ascii="仿宋_GB2312" w:hAnsi="宋体" w:eastAsia="仿宋_GB2312" w:cs="仿宋_GB2312"/>
          <w:color w:val="000000"/>
          <w:kern w:val="0"/>
          <w:sz w:val="32"/>
          <w:szCs w:val="32"/>
          <w:shd w:val="clear" w:color="auto" w:fill="FFFFFF"/>
          <w:lang w:val="en-US" w:eastAsia="zh-CN"/>
        </w:rPr>
        <w:t>（一）存在的问题。</w:t>
      </w:r>
    </w:p>
    <w:p>
      <w:pPr>
        <w:spacing w:line="56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学校需要进一步规划，满足师生及社会需要。</w:t>
      </w:r>
    </w:p>
    <w:p>
      <w:pPr>
        <w:spacing w:line="560" w:lineRule="exact"/>
        <w:ind w:firstLine="960" w:firstLineChars="300"/>
        <w:rPr>
          <w:rFonts w:hint="eastAsia" w:ascii="仿宋" w:hAnsi="仿宋" w:eastAsia="仿宋" w:cs="仿宋"/>
          <w:sz w:val="30"/>
          <w:szCs w:val="30"/>
          <w:lang w:val="en-US" w:eastAsia="zh-CN"/>
        </w:rPr>
      </w:pPr>
      <w:r>
        <w:rPr>
          <w:rFonts w:hint="eastAsia" w:ascii="仿宋_GB2312" w:hAnsi="宋体" w:eastAsia="仿宋_GB2312" w:cs="仿宋_GB2312"/>
          <w:color w:val="000000"/>
          <w:kern w:val="0"/>
          <w:sz w:val="32"/>
          <w:szCs w:val="32"/>
          <w:shd w:val="clear" w:color="auto" w:fill="FFFFFF"/>
          <w:lang w:val="en-US" w:eastAsia="zh-CN"/>
        </w:rPr>
        <w:t>（二）相关建议</w:t>
      </w:r>
      <w:r>
        <w:rPr>
          <w:rFonts w:hint="eastAsia" w:ascii="黑体" w:hAnsi="宋体" w:eastAsia="黑体" w:cs="宋体"/>
          <w:color w:val="000000"/>
          <w:kern w:val="0"/>
          <w:sz w:val="32"/>
          <w:szCs w:val="32"/>
          <w:shd w:val="clear" w:color="auto" w:fill="FFFFFF"/>
          <w:lang w:val="en-US" w:eastAsia="zh-CN"/>
        </w:rPr>
        <w:t>。</w:t>
      </w:r>
    </w:p>
    <w:p>
      <w:pPr>
        <w:spacing w:line="560" w:lineRule="exact"/>
        <w:ind w:firstLine="900" w:firstLineChars="300"/>
        <w:rPr>
          <w:lang w:val="zh-CN"/>
        </w:rPr>
      </w:pPr>
      <w:r>
        <w:rPr>
          <w:rFonts w:hint="eastAsia" w:ascii="仿宋" w:hAnsi="仿宋" w:eastAsia="仿宋" w:cs="仿宋"/>
          <w:sz w:val="30"/>
          <w:szCs w:val="30"/>
          <w:lang w:val="en-US" w:eastAsia="zh-CN"/>
        </w:rPr>
        <w:t>学校以后要按照要求做好日常工作，发挥其最大效能，做好预算，合理利用资金，为师生社会服务。</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5"/>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304"/>
        <w:gridCol w:w="915"/>
        <w:gridCol w:w="1575"/>
        <w:gridCol w:w="521"/>
        <w:gridCol w:w="870"/>
        <w:gridCol w:w="521"/>
        <w:gridCol w:w="1065"/>
        <w:gridCol w:w="505"/>
        <w:gridCol w:w="456"/>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51000021R000000019952</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严格执行相关政策，保障工资及时、足额发放或社保及时、足额缴纳，预算编制科学合理，减少结余资金。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16.31</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8.02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49.16%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16.31</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8.02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49.16%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51082321R000000025238</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严格执行相关政策，保障工资及时、足额发放或社保及时、足额缴纳，预算编制科学合理，减少结余资金。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43.89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43.89</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77.74%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43.89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43.89</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77.74%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51082321Y000000029651</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提高预算编制质量，严格执行预算，保障单位日常运转。</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4.56</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38.00%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4.56</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38.00%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预算编制准确率（计算方法为：∣（执行数</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提高预算编制质量，严格执行预算，保障单位日常运转。</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20.06</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20.06</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预算编制准确率（计算方法为：∣（执行数</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51082321Y000000087508</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保障学校学前教育正常运转</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8.10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45.31%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8.10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45.31%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学校学前教育经费惠及人数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学校学前教育经费惠率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目标在时限内完成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学前教育适龄儿童接受教育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提升学前教育教学质量与水平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家长学生社会满意度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保障学前教育各项工作正常运转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51082321Y000000094349</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落实校园安保经费，切实保障校园安全</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资金预算金额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安保人员保障达标率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安保人员满意度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保障学生校园安全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51082321Y000000096540</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补助食堂人员经费，保障全年食堂正常运转</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食堂人员保障达标率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食堂工人满意度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学校持续发展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51082322R000000309796</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严格执行相关政策，保障工资及时、足额发放或社保及时、足额缴纳，预算编制科学合理，减少结余资金。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170.98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170.98</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149.12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87.22%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170.98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170.98</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149.12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87.22%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51082322R000000400563</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严格执行相关政策，保障工资及时、足额发放或社保及时、足额缴纳，预算编制科学合理，减少结余资金。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11.80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89.63%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11.80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89.63%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51082322T000005304589</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通过营养改善计划的实施，促进学生营养健康状态得到改善，学生整体素质得到提高。</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11.52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11.52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45.91%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受益学生覆盖率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农村义务教育寄宿制学校营养改善计划食堂供餐率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农村义务教育学生营养健康状况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51082322T000005305443</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提升薄弱学校办学条件，改善学生生活环境，促进义务教育均衡发展</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31.17%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31.17%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预算资金金额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校舍改造工程验收合格率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改善学校办学条件及生活条件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51082322T000005306045</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减轻学生学习负担，促进教育事业发展</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0.32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49.11%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0.32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49.11%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受益学生覆盖率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减轻学生家庭负担，促进教育发展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学生及家长满意度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51082322T000005306788</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解决寄宿困难学生上学难问题，促进教育高质量发展</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资助寄宿贫困生覆盖率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解决寄宿困难生上学难问题，促进教育高质量发展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家长学生满意度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51082322T000005306905</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补助义务教育阶段建档立卡非寄宿生生活费，解决上学难问题，切实做到义务教育入学有保障</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0.03</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0.03</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资助义务教育非寄宿制经济困难学生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解决了非寄宿困难生上学难问题，入学有保障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家长学生满意度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51082322T000005310767</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加大宣传力度，落实学前免保教费资助政策</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0.68</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0.68</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资助困难家庭子女人数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家庭苦难学生受资助比例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缓解学生家庭经济困难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受资助学生及家长满意度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51082323R000008087056</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农村教师生活补贴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剑阁县教育局部门</w:t>
            </w:r>
          </w:p>
        </w:tc>
        <w:tc>
          <w:tcPr>
            <w:tcW w:w="10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剑阁县江石小学校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严格执行相关政策，保障工资及时、足额发放或社保及时、足额缴纳，预算编制科学合理，减少结余资金。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8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9.12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72.81%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9.12</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72.81%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689" w:bottom="1440" w:left="1689"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32CD8E-711A-4A01-8A58-5F3896D67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2AEA4F-4A5B-4FC8-BE30-15562927E56D}"/>
  </w:font>
  <w:font w:name="Cambria">
    <w:panose1 w:val="02040503050406030204"/>
    <w:charset w:val="00"/>
    <w:family w:val="roman"/>
    <w:pitch w:val="default"/>
    <w:sig w:usb0="E00006FF" w:usb1="420024FF" w:usb2="02000000" w:usb3="00000000" w:csb0="2000019F" w:csb1="00000000"/>
    <w:embedRegular r:id="rId3" w:fontKey="{90C26473-3E56-4AEE-9B5E-33CCE123A831}"/>
  </w:font>
  <w:font w:name="仿宋_GB2312">
    <w:altName w:val="仿宋"/>
    <w:panose1 w:val="00000000000000000000"/>
    <w:charset w:val="86"/>
    <w:family w:val="modern"/>
    <w:pitch w:val="default"/>
    <w:sig w:usb0="00000000" w:usb1="00000000" w:usb2="00000000" w:usb3="00000000" w:csb0="00040000" w:csb1="00000000"/>
    <w:embedRegular r:id="rId4" w:fontKey="{896DC697-EBEF-49E0-99E7-A39E593A0A54}"/>
  </w:font>
  <w:font w:name="仿宋">
    <w:panose1 w:val="02010609060101010101"/>
    <w:charset w:val="86"/>
    <w:family w:val="auto"/>
    <w:pitch w:val="default"/>
    <w:sig w:usb0="800002BF" w:usb1="38CF7CFA" w:usb2="00000016" w:usb3="00000000" w:csb0="00040001" w:csb1="00000000"/>
    <w:embedRegular r:id="rId5" w:fontKey="{9B43EA35-7DAA-465A-AA5B-31D232A21DF9}"/>
  </w:font>
  <w:font w:name="方正小标宋简体">
    <w:panose1 w:val="02000000000000000000"/>
    <w:charset w:val="86"/>
    <w:family w:val="script"/>
    <w:pitch w:val="default"/>
    <w:sig w:usb0="00000001" w:usb1="08000000" w:usb2="00000000" w:usb3="00000000" w:csb0="00040000" w:csb1="00000000"/>
    <w:embedRegular r:id="rId6" w:fontKey="{274E45E3-53CE-4897-B70C-0EED058DD91A}"/>
  </w:font>
  <w:font w:name="楷体_GB2312">
    <w:altName w:val="楷体"/>
    <w:panose1 w:val="00000000000000000000"/>
    <w:charset w:val="86"/>
    <w:family w:val="auto"/>
    <w:pitch w:val="default"/>
    <w:sig w:usb0="00000000" w:usb1="00000000" w:usb2="00000000" w:usb3="00000000" w:csb0="00040000" w:csb1="00000000"/>
    <w:embedRegular r:id="rId7" w:fontKey="{DBAEE220-F9D2-4F34-A878-CF20608FB5FC}"/>
  </w:font>
  <w:font w:name="微软雅黑">
    <w:panose1 w:val="020B0503020204020204"/>
    <w:charset w:val="86"/>
    <w:family w:val="auto"/>
    <w:pitch w:val="default"/>
    <w:sig w:usb0="80000287" w:usb1="2ACF3C50" w:usb2="00000016" w:usb3="00000000" w:csb0="0004001F" w:csb1="00000000"/>
    <w:embedRegular r:id="rId8" w:fontKey="{7BFE623E-5FFA-4C98-A46E-7D0F9A4B94C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172A27"/>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8880D38"/>
    <w:rsid w:val="1B5A21CD"/>
    <w:rsid w:val="1BE8440E"/>
    <w:rsid w:val="1D155CEE"/>
    <w:rsid w:val="1DF50B4C"/>
    <w:rsid w:val="20F57F95"/>
    <w:rsid w:val="240371BF"/>
    <w:rsid w:val="25692AC1"/>
    <w:rsid w:val="25711CC6"/>
    <w:rsid w:val="25C741E6"/>
    <w:rsid w:val="27842671"/>
    <w:rsid w:val="29FD04D3"/>
    <w:rsid w:val="2ABE7A3E"/>
    <w:rsid w:val="2CA234A8"/>
    <w:rsid w:val="2EFA178C"/>
    <w:rsid w:val="2FC83085"/>
    <w:rsid w:val="30B46D73"/>
    <w:rsid w:val="319F7F4E"/>
    <w:rsid w:val="383D272C"/>
    <w:rsid w:val="39AE70AB"/>
    <w:rsid w:val="3C0C0783"/>
    <w:rsid w:val="3F9F3A96"/>
    <w:rsid w:val="40A45E88"/>
    <w:rsid w:val="48BF60AB"/>
    <w:rsid w:val="493C27E9"/>
    <w:rsid w:val="496F39ED"/>
    <w:rsid w:val="49FF41D3"/>
    <w:rsid w:val="4BA410CD"/>
    <w:rsid w:val="4BE068DB"/>
    <w:rsid w:val="4BF6002B"/>
    <w:rsid w:val="4ECE2238"/>
    <w:rsid w:val="50DF33F9"/>
    <w:rsid w:val="50E11D42"/>
    <w:rsid w:val="51DB4B86"/>
    <w:rsid w:val="55333C3E"/>
    <w:rsid w:val="55F45840"/>
    <w:rsid w:val="62A10CA0"/>
    <w:rsid w:val="64CA39A1"/>
    <w:rsid w:val="69630ADE"/>
    <w:rsid w:val="69DA0D73"/>
    <w:rsid w:val="6C4A05C8"/>
    <w:rsid w:val="6D3B1A89"/>
    <w:rsid w:val="6D4B7FE6"/>
    <w:rsid w:val="71BF4EC2"/>
    <w:rsid w:val="72470D66"/>
    <w:rsid w:val="72734D90"/>
    <w:rsid w:val="7412278C"/>
    <w:rsid w:val="773E2BB4"/>
    <w:rsid w:val="78991CCE"/>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2"/>
    <w:semiHidden/>
    <w:unhideWhenUsed/>
    <w:qFormat/>
    <w:uiPriority w:val="99"/>
    <w:pPr>
      <w:ind w:firstLine="420" w:firstLineChars="100"/>
    </w:pPr>
  </w:style>
  <w:style w:type="paragraph" w:styleId="14">
    <w:name w:val="Body Text First Indent 2"/>
    <w:basedOn w:val="6"/>
    <w:next w:val="13"/>
    <w:qFormat/>
    <w:uiPriority w:val="0"/>
    <w:pPr>
      <w:spacing w:after="0"/>
      <w:ind w:firstLine="420" w:firstLineChars="200"/>
    </w:pPr>
    <w:rPr>
      <w:rFonts w:asciiTheme="minorHAnsi" w:hAnsiTheme="minorHAnsi" w:eastAsiaTheme="minorEastAsia" w:cstheme="minorBidi"/>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8"/>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1 Char"/>
    <w:basedOn w:val="16"/>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年度收支总计</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286.53</c:v>
                </c:pt>
                <c:pt idx="1">
                  <c:v>281.56</c:v>
                </c:pt>
              </c:numCache>
            </c:numRef>
          </c:val>
        </c:ser>
        <c:dLbls>
          <c:showLegendKey val="0"/>
          <c:showVal val="0"/>
          <c:showCatName val="0"/>
          <c:showSerName val="0"/>
          <c:showPercent val="0"/>
          <c:showBubbleSize val="0"/>
        </c:dLbls>
        <c:gapWidth val="246"/>
        <c:overlap val="-28"/>
        <c:axId val="785631046"/>
        <c:axId val="381744804"/>
      </c:barChart>
      <c:catAx>
        <c:axId val="7856310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744804"/>
        <c:crosses val="autoZero"/>
        <c:auto val="1"/>
        <c:lblAlgn val="ctr"/>
        <c:lblOffset val="100"/>
        <c:noMultiLvlLbl val="0"/>
      </c:catAx>
      <c:valAx>
        <c:axId val="38174480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6310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收入决算结构表</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281.56</c:v>
                </c:pt>
              </c:numCache>
            </c:numRef>
          </c:val>
        </c:ser>
        <c:dLbls>
          <c:showLegendKey val="0"/>
          <c:showVal val="1"/>
          <c:showCatName val="0"/>
          <c:showSerName val="0"/>
          <c:showPercent val="0"/>
          <c:showBubbleSize val="0"/>
        </c:dLbls>
      </c:pie3DChart>
      <c:spPr>
        <a:noFill/>
        <a:ln>
          <a:noFill/>
        </a:ln>
        <a:effectLst/>
      </c:spPr>
    </c:plotArea>
    <c:legend>
      <c:legendPos val="t"/>
      <c:layout>
        <c:manualLayout>
          <c:xMode val="edge"/>
          <c:yMode val="edge"/>
          <c:x val="0.776153660304421"/>
          <c:y val="0.584785380365491"/>
          <c:w val="0.181203189176129"/>
          <c:h val="0.21631959201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96</a:t>
                    </a:r>
                    <a:r>
                      <a:rPr lang="en-US" altLang="zh-CN"/>
                      <a:t>.44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0737333043571692"/>
                  <c:y val="0.02744645979172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3.56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271.56</c:v>
                </c:pt>
                <c:pt idx="1">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286.53</c:v>
                </c:pt>
                <c:pt idx="1">
                  <c:v>281.56</c:v>
                </c:pt>
              </c:numCache>
            </c:numRef>
          </c:val>
        </c:ser>
        <c:dLbls>
          <c:showLegendKey val="0"/>
          <c:showVal val="1"/>
          <c:showCatName val="0"/>
          <c:showSerName val="0"/>
          <c:showPercent val="0"/>
          <c:showBubbleSize val="0"/>
        </c:dLbls>
        <c:gapWidth val="246"/>
        <c:overlap val="-28"/>
        <c:axId val="630194197"/>
        <c:axId val="272725014"/>
      </c:barChart>
      <c:catAx>
        <c:axId val="630194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725014"/>
        <c:crosses val="autoZero"/>
        <c:auto val="1"/>
        <c:lblAlgn val="ctr"/>
        <c:lblOffset val="100"/>
        <c:noMultiLvlLbl val="0"/>
      </c:catAx>
      <c:valAx>
        <c:axId val="27272501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1941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286.53</c:v>
                </c:pt>
                <c:pt idx="1">
                  <c:v>281.56</c:v>
                </c:pt>
              </c:numCache>
            </c:numRef>
          </c:val>
        </c:ser>
        <c:dLbls>
          <c:showLegendKey val="0"/>
          <c:showVal val="1"/>
          <c:showCatName val="0"/>
          <c:showSerName val="0"/>
          <c:showPercent val="0"/>
          <c:showBubbleSize val="0"/>
        </c:dLbls>
        <c:gapWidth val="246"/>
        <c:overlap val="-28"/>
        <c:axId val="749193435"/>
        <c:axId val="973746808"/>
      </c:barChart>
      <c:catAx>
        <c:axId val="7491934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3746808"/>
        <c:crosses val="autoZero"/>
        <c:auto val="1"/>
        <c:lblAlgn val="ctr"/>
        <c:lblOffset val="100"/>
        <c:noMultiLvlLbl val="0"/>
      </c:catAx>
      <c:valAx>
        <c:axId val="9737468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1934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一般公共预算财政拨款支出决算结构图</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84</a:t>
                    </a:r>
                    <a:r>
                      <a:rPr lang="en-US" altLang="zh-CN"/>
                      <a:t>.23</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a:t>
                    </a:r>
                    <a:r>
                      <a:rPr lang="en-US" altLang="zh-CN"/>
                      <a:t>.27</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a:t>
                    </a: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237.17</c:v>
                </c:pt>
                <c:pt idx="1">
                  <c:v>20.46</c:v>
                </c:pt>
                <c:pt idx="2">
                  <c:v>9.57</c:v>
                </c:pt>
                <c:pt idx="3">
                  <c:v>14.36</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因公出国（境）经费支出</c:v>
                </c:pt>
                <c:pt idx="1">
                  <c:v>公务接待费支出</c:v>
                </c:pt>
                <c:pt idx="2">
                  <c:v>公务用车购置及运行维护费支出</c:v>
                </c:pt>
              </c:strCache>
            </c:strRef>
          </c:cat>
          <c:val>
            <c:numRef>
              <c:f>Sheet1!$B$2:$B$4</c:f>
              <c:numCache>
                <c:formatCode>General</c:formatCode>
                <c:ptCount val="3"/>
                <c:pt idx="0">
                  <c:v>0</c:v>
                </c:pt>
                <c:pt idx="1">
                  <c:v>0.38</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14739</Words>
  <Characters>16933</Characters>
  <Lines>5</Lines>
  <Paragraphs>11</Paragraphs>
  <TotalTime>9</TotalTime>
  <ScaleCrop>false</ScaleCrop>
  <LinksUpToDate>false</LinksUpToDate>
  <CharactersWithSpaces>16989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2023-12-12T02:47:53Z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B22F4110C13C46809C60772460873F42_13</vt:lpwstr>
  </property>
</Properties>
</file>