
<file path=[Content_Types].xml><?xml version="1.0" encoding="utf-8"?>
<Types xmlns="http://schemas.openxmlformats.org/package/2006/content-types">
  <Default Extension="xlsx" ContentType="application/vnd.openxmlformats-officedocument.spreadsheetml.sheet"/>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colors4.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charts/style4.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ascii="方正小标宋简体" w:hAnsi="宋体" w:eastAsia="方正小标宋简体"/>
          <w:sz w:val="72"/>
          <w:szCs w:val="72"/>
          <w:highlight w:val="none"/>
        </w:rPr>
      </w:pPr>
      <w:bookmarkStart w:id="0" w:name="_Toc15377193"/>
      <w:bookmarkStart w:id="1" w:name="_Toc15396597"/>
      <w:bookmarkStart w:id="2" w:name="_Toc15396475"/>
      <w:bookmarkStart w:id="3" w:name="_Toc15378441"/>
      <w:bookmarkStart w:id="4" w:name="_Toc15377425"/>
      <w:bookmarkStart w:id="5" w:name="_Toc15306267"/>
    </w:p>
    <w:p>
      <w:pPr>
        <w:spacing w:line="600" w:lineRule="exact"/>
        <w:jc w:val="center"/>
        <w:outlineLvl w:val="0"/>
        <w:rPr>
          <w:rFonts w:ascii="方正小标宋简体" w:hAnsi="宋体" w:eastAsia="方正小标宋简体"/>
          <w:sz w:val="72"/>
          <w:szCs w:val="72"/>
          <w:highlight w:val="none"/>
        </w:rPr>
      </w:pPr>
    </w:p>
    <w:p>
      <w:pPr>
        <w:spacing w:line="600" w:lineRule="exact"/>
        <w:jc w:val="center"/>
        <w:outlineLvl w:val="0"/>
        <w:rPr>
          <w:rFonts w:ascii="方正小标宋简体" w:hAnsi="宋体" w:eastAsia="方正小标宋简体"/>
          <w:sz w:val="72"/>
          <w:szCs w:val="72"/>
          <w:highlight w:val="none"/>
        </w:rPr>
      </w:pPr>
    </w:p>
    <w:p>
      <w:pPr>
        <w:adjustRightInd w:val="0"/>
        <w:snapToGrid w:val="0"/>
        <w:spacing w:line="360" w:lineRule="auto"/>
        <w:jc w:val="center"/>
        <w:outlineLvl w:val="0"/>
        <w:rPr>
          <w:rFonts w:ascii="方正小标宋简体" w:hAnsi="方正小标宋简体" w:eastAsia="方正小标宋简体" w:cs="方正小标宋简体"/>
          <w:sz w:val="72"/>
          <w:szCs w:val="72"/>
          <w:highlight w:val="none"/>
        </w:rPr>
      </w:pPr>
      <w:r>
        <w:rPr>
          <w:rFonts w:hint="eastAsia" w:ascii="方正小标宋简体" w:hAnsi="方正小标宋简体" w:eastAsia="方正小标宋简体" w:cs="方正小标宋简体"/>
          <w:sz w:val="72"/>
          <w:szCs w:val="72"/>
          <w:highlight w:val="none"/>
        </w:rPr>
        <w:t>2022年度</w:t>
      </w:r>
      <w:bookmarkEnd w:id="0"/>
      <w:bookmarkEnd w:id="1"/>
      <w:bookmarkEnd w:id="2"/>
      <w:bookmarkEnd w:id="3"/>
      <w:bookmarkEnd w:id="4"/>
    </w:p>
    <w:p>
      <w:pPr>
        <w:adjustRightInd w:val="0"/>
        <w:snapToGrid w:val="0"/>
        <w:spacing w:line="360" w:lineRule="auto"/>
        <w:jc w:val="center"/>
        <w:outlineLvl w:val="0"/>
        <w:rPr>
          <w:rFonts w:hint="eastAsia" w:ascii="方正小标宋简体" w:hAnsi="方正小标宋简体" w:eastAsia="方正小标宋简体" w:cs="方正小标宋简体"/>
          <w:sz w:val="72"/>
          <w:szCs w:val="72"/>
          <w:highlight w:val="none"/>
          <w:lang w:val="en-US" w:eastAsia="zh-CN"/>
        </w:rPr>
      </w:pPr>
      <w:bookmarkStart w:id="6" w:name="_Toc15377194"/>
      <w:bookmarkStart w:id="7" w:name="_Toc15377426"/>
      <w:bookmarkStart w:id="8" w:name="_Toc15396476"/>
      <w:bookmarkStart w:id="9" w:name="_Toc15378442"/>
      <w:bookmarkStart w:id="10" w:name="_Toc15396598"/>
      <w:r>
        <w:rPr>
          <w:rFonts w:hint="eastAsia" w:ascii="方正小标宋简体" w:hAnsi="方正小标宋简体" w:eastAsia="方正小标宋简体" w:cs="方正小标宋简体"/>
          <w:sz w:val="72"/>
          <w:szCs w:val="72"/>
          <w:highlight w:val="none"/>
        </w:rPr>
        <w:t>剑阁县</w:t>
      </w:r>
      <w:bookmarkEnd w:id="5"/>
      <w:bookmarkStart w:id="11" w:name="_Toc15306268"/>
      <w:r>
        <w:rPr>
          <w:rFonts w:hint="eastAsia" w:ascii="方正小标宋简体" w:hAnsi="方正小标宋简体" w:eastAsia="方正小标宋简体" w:cs="方正小标宋简体"/>
          <w:sz w:val="72"/>
          <w:szCs w:val="72"/>
          <w:highlight w:val="none"/>
          <w:lang w:val="en-US" w:eastAsia="zh-CN"/>
        </w:rPr>
        <w:t xml:space="preserve">姚家镇人民政府  </w:t>
      </w:r>
      <w:r>
        <w:rPr>
          <w:rFonts w:hint="eastAsia" w:ascii="方正小标宋简体" w:hAnsi="方正小标宋简体" w:eastAsia="方正小标宋简体" w:cs="方正小标宋简体"/>
          <w:sz w:val="72"/>
          <w:szCs w:val="72"/>
          <w:highlight w:val="none"/>
        </w:rPr>
        <w:t>部门决算</w:t>
      </w:r>
      <w:bookmarkEnd w:id="6"/>
      <w:bookmarkEnd w:id="7"/>
      <w:bookmarkEnd w:id="8"/>
      <w:bookmarkEnd w:id="9"/>
      <w:bookmarkEnd w:id="10"/>
      <w:bookmarkEnd w:id="11"/>
      <w:r>
        <w:rPr>
          <w:rFonts w:hint="eastAsia" w:ascii="方正小标宋简体" w:hAnsi="方正小标宋简体" w:eastAsia="方正小标宋简体" w:cs="方正小标宋简体"/>
          <w:sz w:val="72"/>
          <w:szCs w:val="72"/>
          <w:highlight w:val="none"/>
          <w:lang w:val="en-US" w:eastAsia="zh-CN"/>
        </w:rPr>
        <w:t>公开</w:t>
      </w:r>
    </w:p>
    <w:p>
      <w:pPr>
        <w:widowControl/>
        <w:jc w:val="center"/>
        <w:rPr>
          <w:rFonts w:hint="eastAsia" w:ascii="黑体" w:hAnsi="黑体" w:eastAsia="黑体"/>
          <w:sz w:val="48"/>
          <w:szCs w:val="48"/>
          <w:highlight w:val="none"/>
        </w:rPr>
      </w:pPr>
      <w:r>
        <w:rPr>
          <w:rFonts w:ascii="方正小标宋简体" w:hAnsi="宋体" w:eastAsia="方正小标宋简体"/>
          <w:sz w:val="36"/>
          <w:szCs w:val="36"/>
          <w:highlight w:val="none"/>
        </w:rPr>
        <w:br w:type="page"/>
      </w:r>
      <w:r>
        <w:rPr>
          <w:rFonts w:hint="eastAsia" w:ascii="黑体" w:hAnsi="黑体" w:eastAsia="黑体"/>
          <w:sz w:val="48"/>
          <w:szCs w:val="48"/>
          <w:highlight w:val="none"/>
        </w:rPr>
        <w:t>目录</w:t>
      </w:r>
    </w:p>
    <w:p>
      <w:pPr>
        <w:pStyle w:val="12"/>
        <w:rPr>
          <w:highlight w:val="none"/>
        </w:rPr>
      </w:pPr>
      <w:r>
        <w:rPr>
          <w:rFonts w:hint="eastAsia"/>
          <w:highlight w:val="none"/>
        </w:rPr>
        <w:t>公开时间：2023年</w:t>
      </w:r>
      <w:r>
        <w:rPr>
          <w:rFonts w:hint="eastAsia"/>
          <w:highlight w:val="none"/>
          <w:lang w:val="en-US" w:eastAsia="zh-CN"/>
        </w:rPr>
        <w:t>10</w:t>
      </w:r>
      <w:r>
        <w:rPr>
          <w:rFonts w:hint="eastAsia"/>
          <w:highlight w:val="none"/>
        </w:rPr>
        <w:t>月</w:t>
      </w:r>
      <w:r>
        <w:rPr>
          <w:rFonts w:hint="eastAsia"/>
          <w:highlight w:val="none"/>
          <w:lang w:val="en-US" w:eastAsia="zh-CN"/>
        </w:rPr>
        <w:t>16</w:t>
      </w:r>
      <w:r>
        <w:rPr>
          <w:rFonts w:hint="eastAsia"/>
          <w:highlight w:val="none"/>
        </w:rPr>
        <w:t>日</w:t>
      </w:r>
    </w:p>
    <w:p>
      <w:pPr>
        <w:pStyle w:val="16"/>
        <w:rPr>
          <w:highlight w:val="none"/>
        </w:rPr>
      </w:pPr>
    </w:p>
    <w:p>
      <w:pPr>
        <w:pStyle w:val="12"/>
        <w:keepNext w:val="0"/>
        <w:keepLines w:val="0"/>
        <w:pageBreakBefore w:val="0"/>
        <w:widowControl w:val="0"/>
        <w:kinsoku/>
        <w:wordWrap/>
        <w:overflowPunct/>
        <w:topLinePunct w:val="0"/>
        <w:autoSpaceDE/>
        <w:autoSpaceDN/>
        <w:bidi w:val="0"/>
        <w:adjustRightInd w:val="0"/>
        <w:snapToGrid w:val="0"/>
        <w:spacing w:before="0" w:line="560" w:lineRule="exact"/>
        <w:jc w:val="left"/>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rPr>
        <w:t>第一部分</w:t>
      </w:r>
      <w:r>
        <w:rPr>
          <w:rFonts w:hint="eastAsia" w:cs="仿宋"/>
          <w:sz w:val="32"/>
          <w:szCs w:val="32"/>
          <w:highlight w:val="none"/>
          <w:lang w:val="en-US" w:eastAsia="zh-CN"/>
        </w:rPr>
        <w:t xml:space="preserve"> </w:t>
      </w:r>
      <w:r>
        <w:rPr>
          <w:rFonts w:hint="eastAsia" w:ascii="仿宋" w:hAnsi="仿宋" w:eastAsia="仿宋" w:cs="仿宋"/>
          <w:sz w:val="32"/>
          <w:szCs w:val="32"/>
          <w:highlight w:val="none"/>
        </w:rPr>
        <w:t>部门概况</w:t>
      </w:r>
    </w:p>
    <w:p>
      <w:pPr>
        <w:pStyle w:val="14"/>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firstLineChars="200"/>
        <w:jc w:val="left"/>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rPr>
        <w:t>一、部门职责及重点工作</w:t>
      </w:r>
    </w:p>
    <w:p>
      <w:pPr>
        <w:ind w:firstLine="640" w:firstLineChars="200"/>
        <w:rPr>
          <w:rFonts w:hint="eastAsia" w:ascii="仿宋" w:hAnsi="仿宋" w:eastAsia="仿宋" w:cs="仿宋"/>
          <w:kern w:val="2"/>
          <w:sz w:val="32"/>
          <w:szCs w:val="32"/>
          <w:highlight w:val="none"/>
          <w:lang w:val="en-US" w:eastAsia="zh-CN" w:bidi="ar-SA"/>
        </w:rPr>
      </w:pPr>
      <w:r>
        <w:rPr>
          <w:rFonts w:hint="eastAsia" w:ascii="仿宋" w:hAnsi="仿宋" w:eastAsia="仿宋" w:cs="仿宋"/>
          <w:kern w:val="2"/>
          <w:sz w:val="32"/>
          <w:szCs w:val="32"/>
          <w:highlight w:val="none"/>
          <w:lang w:val="en-US" w:eastAsia="zh-CN" w:bidi="ar-SA"/>
        </w:rPr>
        <w:t>(一)部门职责</w:t>
      </w:r>
    </w:p>
    <w:p>
      <w:pPr>
        <w:ind w:firstLine="640" w:firstLineChars="200"/>
        <w:rPr>
          <w:rFonts w:hint="eastAsia" w:ascii="仿宋" w:hAnsi="仿宋" w:eastAsia="仿宋" w:cs="仿宋"/>
          <w:kern w:val="2"/>
          <w:sz w:val="32"/>
          <w:szCs w:val="32"/>
          <w:highlight w:val="none"/>
          <w:lang w:val="en-US" w:eastAsia="zh-CN" w:bidi="ar-SA"/>
        </w:rPr>
      </w:pPr>
      <w:r>
        <w:rPr>
          <w:rFonts w:hint="eastAsia" w:ascii="仿宋" w:hAnsi="仿宋" w:eastAsia="仿宋" w:cs="仿宋"/>
          <w:kern w:val="2"/>
          <w:sz w:val="32"/>
          <w:szCs w:val="32"/>
          <w:highlight w:val="none"/>
          <w:lang w:val="en-US" w:eastAsia="zh-CN" w:bidi="ar-SA"/>
        </w:rPr>
        <w:t>(二)2022年重点工作完成情况</w:t>
      </w:r>
    </w:p>
    <w:p>
      <w:pPr>
        <w:pStyle w:val="14"/>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firstLineChars="200"/>
        <w:jc w:val="left"/>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rPr>
        <w:t>二、机构设置</w:t>
      </w:r>
    </w:p>
    <w:p>
      <w:pPr>
        <w:pStyle w:val="12"/>
        <w:keepNext w:val="0"/>
        <w:keepLines w:val="0"/>
        <w:pageBreakBefore w:val="0"/>
        <w:widowControl w:val="0"/>
        <w:kinsoku/>
        <w:wordWrap/>
        <w:overflowPunct/>
        <w:topLinePunct w:val="0"/>
        <w:autoSpaceDE/>
        <w:autoSpaceDN/>
        <w:bidi w:val="0"/>
        <w:adjustRightInd w:val="0"/>
        <w:snapToGrid w:val="0"/>
        <w:spacing w:before="0" w:line="560" w:lineRule="exact"/>
        <w:jc w:val="left"/>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rPr>
        <w:t>第二部分 202</w:t>
      </w:r>
      <w:r>
        <w:rPr>
          <w:rFonts w:hint="eastAsia" w:cs="仿宋"/>
          <w:sz w:val="32"/>
          <w:szCs w:val="32"/>
          <w:highlight w:val="none"/>
          <w:lang w:val="en-US" w:eastAsia="zh-CN"/>
        </w:rPr>
        <w:t>2</w:t>
      </w:r>
      <w:r>
        <w:rPr>
          <w:rFonts w:hint="eastAsia" w:ascii="仿宋" w:hAnsi="仿宋" w:eastAsia="仿宋" w:cs="仿宋"/>
          <w:sz w:val="32"/>
          <w:szCs w:val="32"/>
          <w:highlight w:val="none"/>
        </w:rPr>
        <w:t>年度部门决算情况说明</w:t>
      </w:r>
    </w:p>
    <w:p>
      <w:pPr>
        <w:pStyle w:val="14"/>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firstLineChars="200"/>
        <w:jc w:val="left"/>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rPr>
        <w:t>一、收入支出决算总体情况说明</w:t>
      </w:r>
    </w:p>
    <w:p>
      <w:pPr>
        <w:pStyle w:val="14"/>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firstLineChars="200"/>
        <w:jc w:val="left"/>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rPr>
        <w:t>二、收入决算情况说明</w:t>
      </w:r>
    </w:p>
    <w:p>
      <w:pPr>
        <w:pStyle w:val="14"/>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firstLineChars="200"/>
        <w:jc w:val="left"/>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rPr>
        <w:t>三、支出决算情况说明</w:t>
      </w:r>
    </w:p>
    <w:p>
      <w:pPr>
        <w:pStyle w:val="14"/>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firstLineChars="200"/>
        <w:jc w:val="left"/>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rPr>
        <w:t>四、财政拨款收入支出决算总体情况说明</w:t>
      </w:r>
    </w:p>
    <w:p>
      <w:pPr>
        <w:pStyle w:val="14"/>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firstLineChars="200"/>
        <w:jc w:val="left"/>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rPr>
        <w:t>五、一般公共预算财政拨款支出决算情况说明</w:t>
      </w:r>
    </w:p>
    <w:p>
      <w:pPr>
        <w:pStyle w:val="14"/>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firstLineChars="200"/>
        <w:jc w:val="left"/>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rPr>
        <w:t>六、一般公共预算财政拨款基本支出决算情况说明</w:t>
      </w:r>
    </w:p>
    <w:p>
      <w:pPr>
        <w:pStyle w:val="14"/>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firstLineChars="200"/>
        <w:jc w:val="left"/>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rPr>
        <w:t>七、财政拨款“三公”经费支出决算情况说明</w:t>
      </w:r>
    </w:p>
    <w:p>
      <w:pPr>
        <w:pStyle w:val="14"/>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firstLineChars="200"/>
        <w:jc w:val="left"/>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rPr>
        <w:t>八、政府性基金预算支出决算情况说明</w:t>
      </w:r>
    </w:p>
    <w:p>
      <w:pPr>
        <w:pStyle w:val="14"/>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firstLineChars="200"/>
        <w:jc w:val="left"/>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rPr>
        <w:t>九、国有资本经营预算支出决算情况说明</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left"/>
        <w:textAlignment w:val="auto"/>
        <w:rPr>
          <w:rFonts w:hint="eastAsia" w:ascii="仿宋" w:hAnsi="仿宋" w:eastAsia="仿宋" w:cs="仿宋"/>
          <w:sz w:val="32"/>
          <w:szCs w:val="32"/>
          <w:highlight w:val="none"/>
        </w:rPr>
      </w:pPr>
      <w:r>
        <w:rPr>
          <w:rStyle w:val="21"/>
          <w:rFonts w:hint="eastAsia" w:ascii="仿宋" w:hAnsi="仿宋" w:eastAsia="仿宋" w:cs="仿宋"/>
          <w:color w:val="auto"/>
          <w:sz w:val="32"/>
          <w:szCs w:val="32"/>
          <w:highlight w:val="none"/>
          <w:u w:val="none"/>
        </w:rPr>
        <w:t>十、</w:t>
      </w:r>
      <w:r>
        <w:rPr>
          <w:rFonts w:hint="eastAsia" w:ascii="仿宋" w:hAnsi="仿宋" w:eastAsia="仿宋" w:cs="仿宋"/>
          <w:sz w:val="32"/>
          <w:szCs w:val="32"/>
          <w:highlight w:val="none"/>
        </w:rPr>
        <w:t>其他重要事项的情况说明</w:t>
      </w:r>
      <w:r>
        <w:rPr>
          <w:rFonts w:hint="eastAsia" w:ascii="仿宋" w:hAnsi="仿宋" w:eastAsia="仿宋" w:cs="仿宋"/>
          <w:sz w:val="32"/>
          <w:szCs w:val="32"/>
          <w:highlight w:val="none"/>
        </w:rPr>
        <w:tab/>
      </w:r>
    </w:p>
    <w:p>
      <w:pPr>
        <w:pStyle w:val="12"/>
        <w:keepNext w:val="0"/>
        <w:keepLines w:val="0"/>
        <w:pageBreakBefore w:val="0"/>
        <w:widowControl w:val="0"/>
        <w:kinsoku/>
        <w:wordWrap/>
        <w:overflowPunct/>
        <w:topLinePunct w:val="0"/>
        <w:autoSpaceDE/>
        <w:autoSpaceDN/>
        <w:bidi w:val="0"/>
        <w:adjustRightInd w:val="0"/>
        <w:snapToGrid w:val="0"/>
        <w:spacing w:before="0" w:line="560" w:lineRule="exact"/>
        <w:jc w:val="left"/>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rPr>
        <w:t>第三部分</w:t>
      </w:r>
      <w:r>
        <w:rPr>
          <w:rFonts w:hint="eastAsia" w:cs="仿宋"/>
          <w:sz w:val="32"/>
          <w:szCs w:val="32"/>
          <w:highlight w:val="none"/>
          <w:lang w:val="en-US" w:eastAsia="zh-CN"/>
        </w:rPr>
        <w:t xml:space="preserve"> </w:t>
      </w:r>
      <w:r>
        <w:rPr>
          <w:rFonts w:hint="eastAsia" w:ascii="仿宋" w:hAnsi="仿宋" w:eastAsia="仿宋" w:cs="仿宋"/>
          <w:sz w:val="32"/>
          <w:szCs w:val="32"/>
          <w:highlight w:val="none"/>
        </w:rPr>
        <w:t>名词解释</w:t>
      </w:r>
    </w:p>
    <w:p>
      <w:pPr>
        <w:pStyle w:val="12"/>
        <w:keepNext w:val="0"/>
        <w:keepLines w:val="0"/>
        <w:pageBreakBefore w:val="0"/>
        <w:widowControl w:val="0"/>
        <w:kinsoku/>
        <w:wordWrap/>
        <w:overflowPunct/>
        <w:topLinePunct w:val="0"/>
        <w:autoSpaceDE/>
        <w:autoSpaceDN/>
        <w:bidi w:val="0"/>
        <w:adjustRightInd w:val="0"/>
        <w:snapToGrid w:val="0"/>
        <w:spacing w:before="0" w:line="560" w:lineRule="exact"/>
        <w:jc w:val="left"/>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rPr>
        <w:t>第四部分</w:t>
      </w:r>
      <w:r>
        <w:rPr>
          <w:rFonts w:hint="eastAsia" w:cs="仿宋"/>
          <w:sz w:val="32"/>
          <w:szCs w:val="32"/>
          <w:highlight w:val="none"/>
          <w:lang w:val="en-US" w:eastAsia="zh-CN"/>
        </w:rPr>
        <w:t xml:space="preserve"> </w:t>
      </w:r>
      <w:r>
        <w:rPr>
          <w:rFonts w:hint="eastAsia" w:ascii="仿宋" w:hAnsi="仿宋" w:eastAsia="仿宋" w:cs="仿宋"/>
          <w:sz w:val="32"/>
          <w:szCs w:val="32"/>
          <w:highlight w:val="none"/>
        </w:rPr>
        <w:t>附件</w:t>
      </w:r>
    </w:p>
    <w:p>
      <w:pPr>
        <w:pStyle w:val="12"/>
        <w:keepNext w:val="0"/>
        <w:keepLines w:val="0"/>
        <w:pageBreakBefore w:val="0"/>
        <w:widowControl w:val="0"/>
        <w:kinsoku/>
        <w:wordWrap/>
        <w:overflowPunct/>
        <w:topLinePunct w:val="0"/>
        <w:autoSpaceDE/>
        <w:autoSpaceDN/>
        <w:bidi w:val="0"/>
        <w:adjustRightInd w:val="0"/>
        <w:snapToGrid w:val="0"/>
        <w:spacing w:before="0" w:line="560" w:lineRule="exact"/>
        <w:jc w:val="left"/>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rPr>
        <w:t>第五部分</w:t>
      </w:r>
      <w:r>
        <w:rPr>
          <w:rFonts w:hint="eastAsia" w:cs="仿宋"/>
          <w:sz w:val="32"/>
          <w:szCs w:val="32"/>
          <w:highlight w:val="none"/>
          <w:lang w:val="en-US" w:eastAsia="zh-CN"/>
        </w:rPr>
        <w:t xml:space="preserve"> </w:t>
      </w:r>
      <w:r>
        <w:rPr>
          <w:rFonts w:hint="eastAsia" w:ascii="仿宋" w:hAnsi="仿宋" w:eastAsia="仿宋" w:cs="仿宋"/>
          <w:sz w:val="32"/>
          <w:szCs w:val="32"/>
          <w:highlight w:val="none"/>
        </w:rPr>
        <w:t>附表</w:t>
      </w:r>
    </w:p>
    <w:p>
      <w:pPr>
        <w:pStyle w:val="14"/>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firstLineChars="200"/>
        <w:jc w:val="left"/>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rPr>
        <w:t>一、收入支出决算总表</w:t>
      </w:r>
    </w:p>
    <w:p>
      <w:pPr>
        <w:pStyle w:val="14"/>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firstLineChars="200"/>
        <w:jc w:val="left"/>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rPr>
        <w:t>二、收入决算表</w:t>
      </w:r>
    </w:p>
    <w:p>
      <w:pPr>
        <w:pStyle w:val="14"/>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firstLineChars="200"/>
        <w:jc w:val="left"/>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rPr>
        <w:t>三、支出决算表</w:t>
      </w:r>
    </w:p>
    <w:p>
      <w:pPr>
        <w:pStyle w:val="14"/>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firstLineChars="200"/>
        <w:jc w:val="left"/>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rPr>
        <w:t>四、财政拨款收入支出决算总表</w:t>
      </w:r>
    </w:p>
    <w:p>
      <w:pPr>
        <w:pStyle w:val="14"/>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firstLineChars="200"/>
        <w:jc w:val="left"/>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rPr>
        <w:t>五、财政拨款支出决算明细表</w:t>
      </w:r>
    </w:p>
    <w:p>
      <w:pPr>
        <w:pStyle w:val="14"/>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firstLineChars="200"/>
        <w:jc w:val="left"/>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rPr>
        <w:t>六、一般公共预算财政拨款支出决算表</w:t>
      </w:r>
    </w:p>
    <w:p>
      <w:pPr>
        <w:pStyle w:val="14"/>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firstLineChars="200"/>
        <w:jc w:val="left"/>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rPr>
        <w:t>七、一般公共预算财政拨款支出决算明细表</w:t>
      </w:r>
    </w:p>
    <w:p>
      <w:pPr>
        <w:pStyle w:val="14"/>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firstLineChars="200"/>
        <w:jc w:val="left"/>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rPr>
        <w:t>八、一般公共预算财政拨款基本支出决算表</w:t>
      </w:r>
    </w:p>
    <w:p>
      <w:pPr>
        <w:pStyle w:val="14"/>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firstLineChars="200"/>
        <w:jc w:val="left"/>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rPr>
        <w:t>九、一般公共预算财政拨款项目支出决算表</w:t>
      </w:r>
    </w:p>
    <w:p>
      <w:pPr>
        <w:pStyle w:val="14"/>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firstLineChars="200"/>
        <w:jc w:val="left"/>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rPr>
        <w:t>十、政府性基金预算财政拨款收入支出决算表</w:t>
      </w:r>
    </w:p>
    <w:p>
      <w:pPr>
        <w:pStyle w:val="14"/>
        <w:keepNext w:val="0"/>
        <w:keepLines w:val="0"/>
        <w:pageBreakBefore w:val="0"/>
        <w:widowControl w:val="0"/>
        <w:numPr>
          <w:ilvl w:val="0"/>
          <w:numId w:val="1"/>
        </w:numPr>
        <w:kinsoku/>
        <w:wordWrap/>
        <w:overflowPunct/>
        <w:topLinePunct w:val="0"/>
        <w:autoSpaceDE/>
        <w:autoSpaceDN/>
        <w:bidi w:val="0"/>
        <w:adjustRightInd w:val="0"/>
        <w:snapToGrid w:val="0"/>
        <w:spacing w:line="560" w:lineRule="exact"/>
        <w:ind w:left="0" w:leftChars="0" w:firstLine="640" w:firstLineChars="200"/>
        <w:jc w:val="left"/>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rPr>
        <w:t>国有资本经营预算财政拨款收入支出决算表</w:t>
      </w:r>
    </w:p>
    <w:p>
      <w:pPr>
        <w:pStyle w:val="14"/>
        <w:keepNext w:val="0"/>
        <w:keepLines w:val="0"/>
        <w:pageBreakBefore w:val="0"/>
        <w:widowControl w:val="0"/>
        <w:numPr>
          <w:ilvl w:val="0"/>
          <w:numId w:val="1"/>
        </w:numPr>
        <w:kinsoku/>
        <w:wordWrap/>
        <w:overflowPunct/>
        <w:topLinePunct w:val="0"/>
        <w:autoSpaceDE/>
        <w:autoSpaceDN/>
        <w:bidi w:val="0"/>
        <w:adjustRightInd w:val="0"/>
        <w:snapToGrid w:val="0"/>
        <w:spacing w:line="560" w:lineRule="exact"/>
        <w:ind w:left="0" w:leftChars="0" w:firstLine="640" w:firstLineChars="200"/>
        <w:jc w:val="left"/>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rPr>
        <w:t>国有资本经营预算财政拨款支出决算表</w:t>
      </w:r>
    </w:p>
    <w:p>
      <w:pPr>
        <w:pStyle w:val="14"/>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firstLineChars="200"/>
        <w:jc w:val="left"/>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lang w:val="en-US" w:eastAsia="zh-CN"/>
        </w:rPr>
        <w:t>十三、</w:t>
      </w:r>
      <w:r>
        <w:rPr>
          <w:rFonts w:hint="eastAsia" w:ascii="仿宋" w:hAnsi="仿宋" w:eastAsia="仿宋" w:cs="仿宋"/>
          <w:sz w:val="32"/>
          <w:szCs w:val="32"/>
          <w:highlight w:val="none"/>
        </w:rPr>
        <w:t>财政拨款“三公”经费支出决算表</w:t>
      </w:r>
    </w:p>
    <w:p>
      <w:pPr>
        <w:ind w:firstLine="420" w:firstLineChars="200"/>
        <w:rPr>
          <w:rFonts w:hint="eastAsia" w:eastAsia="仿宋"/>
          <w:highlight w:val="none"/>
          <w:lang w:val="en-US" w:eastAsia="zh-CN"/>
        </w:rPr>
      </w:pPr>
    </w:p>
    <w:p>
      <w:pPr>
        <w:rPr>
          <w:rFonts w:hint="eastAsia" w:ascii="黑体" w:hAnsi="黑体" w:eastAsia="黑体" w:cs="Times New Roman"/>
          <w:b w:val="0"/>
          <w:bCs/>
          <w:kern w:val="44"/>
          <w:sz w:val="44"/>
          <w:szCs w:val="44"/>
          <w:highlight w:val="none"/>
          <w:lang w:val="en-US" w:eastAsia="zh-CN" w:bidi="ar-SA"/>
        </w:rPr>
      </w:pPr>
    </w:p>
    <w:p>
      <w:pPr>
        <w:pStyle w:val="16"/>
        <w:rPr>
          <w:rFonts w:hint="eastAsia" w:ascii="黑体" w:hAnsi="黑体" w:eastAsia="黑体" w:cs="Times New Roman"/>
          <w:b w:val="0"/>
          <w:bCs/>
          <w:kern w:val="44"/>
          <w:sz w:val="44"/>
          <w:szCs w:val="44"/>
          <w:highlight w:val="none"/>
          <w:lang w:val="en-US" w:eastAsia="zh-CN" w:bidi="ar-SA"/>
        </w:rPr>
      </w:pPr>
    </w:p>
    <w:p>
      <w:pPr>
        <w:rPr>
          <w:rFonts w:hint="eastAsia" w:ascii="黑体" w:hAnsi="黑体" w:eastAsia="黑体" w:cs="Times New Roman"/>
          <w:b w:val="0"/>
          <w:bCs/>
          <w:kern w:val="44"/>
          <w:sz w:val="44"/>
          <w:szCs w:val="44"/>
          <w:highlight w:val="none"/>
          <w:lang w:val="en-US" w:eastAsia="zh-CN" w:bidi="ar-SA"/>
        </w:rPr>
      </w:pPr>
    </w:p>
    <w:p>
      <w:pPr>
        <w:pStyle w:val="16"/>
        <w:rPr>
          <w:rFonts w:hint="eastAsia" w:ascii="黑体" w:hAnsi="黑体" w:eastAsia="黑体" w:cs="Times New Roman"/>
          <w:b w:val="0"/>
          <w:bCs/>
          <w:kern w:val="44"/>
          <w:sz w:val="44"/>
          <w:szCs w:val="44"/>
          <w:highlight w:val="none"/>
          <w:lang w:val="en-US" w:eastAsia="zh-CN" w:bidi="ar-SA"/>
        </w:rPr>
      </w:pPr>
    </w:p>
    <w:p>
      <w:pPr>
        <w:rPr>
          <w:rFonts w:hint="eastAsia" w:ascii="黑体" w:hAnsi="黑体" w:eastAsia="黑体" w:cs="Times New Roman"/>
          <w:b w:val="0"/>
          <w:bCs/>
          <w:kern w:val="44"/>
          <w:sz w:val="44"/>
          <w:szCs w:val="44"/>
          <w:highlight w:val="none"/>
          <w:lang w:val="en-US" w:eastAsia="zh-CN" w:bidi="ar-SA"/>
        </w:rPr>
      </w:pPr>
    </w:p>
    <w:p>
      <w:pPr>
        <w:pStyle w:val="16"/>
        <w:rPr>
          <w:rFonts w:hint="eastAsia" w:ascii="黑体" w:hAnsi="黑体" w:eastAsia="黑体" w:cs="Times New Roman"/>
          <w:b w:val="0"/>
          <w:bCs/>
          <w:kern w:val="44"/>
          <w:sz w:val="44"/>
          <w:szCs w:val="44"/>
          <w:highlight w:val="none"/>
          <w:lang w:val="en-US" w:eastAsia="zh-CN" w:bidi="ar-SA"/>
        </w:rPr>
      </w:pPr>
    </w:p>
    <w:p>
      <w:pPr>
        <w:rPr>
          <w:rFonts w:hint="eastAsia" w:ascii="黑体" w:hAnsi="黑体" w:eastAsia="黑体" w:cs="Times New Roman"/>
          <w:b w:val="0"/>
          <w:bCs/>
          <w:kern w:val="44"/>
          <w:sz w:val="44"/>
          <w:szCs w:val="44"/>
          <w:highlight w:val="none"/>
          <w:lang w:val="en-US" w:eastAsia="zh-CN" w:bidi="ar-SA"/>
        </w:rPr>
      </w:pPr>
    </w:p>
    <w:p>
      <w:pPr>
        <w:pStyle w:val="16"/>
        <w:rPr>
          <w:rFonts w:hint="eastAsia" w:ascii="黑体" w:hAnsi="黑体" w:eastAsia="黑体" w:cs="Times New Roman"/>
          <w:b w:val="0"/>
          <w:bCs/>
          <w:kern w:val="44"/>
          <w:sz w:val="44"/>
          <w:szCs w:val="44"/>
          <w:highlight w:val="none"/>
          <w:lang w:val="en-US" w:eastAsia="zh-CN" w:bidi="ar-SA"/>
        </w:rPr>
      </w:pPr>
    </w:p>
    <w:p>
      <w:pPr>
        <w:rPr>
          <w:rFonts w:hint="eastAsia" w:ascii="黑体" w:hAnsi="黑体" w:eastAsia="黑体" w:cs="Times New Roman"/>
          <w:b w:val="0"/>
          <w:bCs/>
          <w:kern w:val="44"/>
          <w:sz w:val="44"/>
          <w:szCs w:val="44"/>
          <w:highlight w:val="none"/>
          <w:lang w:val="en-US" w:eastAsia="zh-CN" w:bidi="ar-SA"/>
        </w:rPr>
      </w:pPr>
    </w:p>
    <w:p>
      <w:pPr>
        <w:pStyle w:val="16"/>
        <w:rPr>
          <w:rFonts w:hint="eastAsia" w:ascii="黑体" w:hAnsi="黑体" w:eastAsia="黑体" w:cs="Times New Roman"/>
          <w:b w:val="0"/>
          <w:bCs/>
          <w:kern w:val="44"/>
          <w:sz w:val="44"/>
          <w:szCs w:val="44"/>
          <w:highlight w:val="none"/>
          <w:lang w:val="en-US" w:eastAsia="zh-CN" w:bidi="ar-SA"/>
        </w:rPr>
      </w:pPr>
    </w:p>
    <w:p>
      <w:pPr>
        <w:rPr>
          <w:rFonts w:hint="eastAsia" w:ascii="黑体" w:hAnsi="黑体" w:eastAsia="黑体" w:cs="Times New Roman"/>
          <w:b w:val="0"/>
          <w:bCs/>
          <w:kern w:val="44"/>
          <w:sz w:val="44"/>
          <w:szCs w:val="44"/>
          <w:highlight w:val="none"/>
          <w:lang w:val="en-US" w:eastAsia="zh-CN" w:bidi="ar-SA"/>
        </w:rPr>
      </w:pPr>
    </w:p>
    <w:p>
      <w:pPr>
        <w:rPr>
          <w:rFonts w:hint="eastAsia"/>
          <w:highlight w:val="none"/>
          <w:lang w:val="en-US" w:eastAsia="zh-CN"/>
        </w:rPr>
      </w:pPr>
    </w:p>
    <w:p>
      <w:pPr>
        <w:pStyle w:val="12"/>
        <w:pageBreakBefore w:val="0"/>
        <w:widowControl w:val="0"/>
        <w:kinsoku/>
        <w:wordWrap/>
        <w:overflowPunct/>
        <w:topLinePunct w:val="0"/>
        <w:autoSpaceDE/>
        <w:autoSpaceDN/>
        <w:bidi w:val="0"/>
        <w:adjustRightInd w:val="0"/>
        <w:snapToGrid w:val="0"/>
        <w:spacing w:before="0" w:line="240" w:lineRule="auto"/>
        <w:ind w:left="0" w:leftChars="0"/>
        <w:jc w:val="center"/>
        <w:textAlignment w:val="auto"/>
        <w:rPr>
          <w:rFonts w:hint="eastAsia" w:ascii="黑体" w:hAnsi="黑体" w:eastAsia="黑体" w:cs="Times New Roman"/>
          <w:b w:val="0"/>
          <w:bCs/>
          <w:kern w:val="44"/>
          <w:sz w:val="44"/>
          <w:szCs w:val="44"/>
          <w:highlight w:val="none"/>
          <w:lang w:val="en-US" w:eastAsia="zh-CN" w:bidi="ar-SA"/>
        </w:rPr>
      </w:pPr>
      <w:r>
        <w:rPr>
          <w:rFonts w:hint="eastAsia" w:ascii="黑体" w:hAnsi="黑体" w:eastAsia="黑体" w:cs="Times New Roman"/>
          <w:b w:val="0"/>
          <w:bCs/>
          <w:kern w:val="44"/>
          <w:sz w:val="44"/>
          <w:szCs w:val="44"/>
          <w:highlight w:val="none"/>
          <w:lang w:val="en-US" w:eastAsia="zh-CN" w:bidi="ar-SA"/>
        </w:rPr>
        <w:t>第一部分 部门概况</w:t>
      </w:r>
    </w:p>
    <w:p>
      <w:pPr>
        <w:pStyle w:val="14"/>
        <w:pageBreakBefore w:val="0"/>
        <w:widowControl w:val="0"/>
        <w:kinsoku/>
        <w:wordWrap/>
        <w:overflowPunct/>
        <w:topLinePunct w:val="0"/>
        <w:autoSpaceDE/>
        <w:autoSpaceDN/>
        <w:bidi w:val="0"/>
        <w:adjustRightInd w:val="0"/>
        <w:snapToGrid w:val="0"/>
        <w:spacing w:line="240" w:lineRule="auto"/>
        <w:ind w:left="0" w:leftChars="0" w:firstLine="640" w:firstLineChars="200"/>
        <w:jc w:val="left"/>
        <w:textAlignment w:val="auto"/>
        <w:rPr>
          <w:rFonts w:hint="eastAsia" w:ascii="黑体" w:hAnsi="黑体" w:eastAsia="黑体" w:cstheme="majorBidi"/>
          <w:b w:val="0"/>
          <w:bCs/>
          <w:kern w:val="2"/>
          <w:sz w:val="32"/>
          <w:szCs w:val="32"/>
          <w:highlight w:val="none"/>
          <w:lang w:val="en-US" w:eastAsia="zh-CN" w:bidi="ar-SA"/>
        </w:rPr>
      </w:pPr>
    </w:p>
    <w:p>
      <w:pPr>
        <w:pStyle w:val="14"/>
        <w:pageBreakBefore w:val="0"/>
        <w:widowControl w:val="0"/>
        <w:kinsoku/>
        <w:wordWrap/>
        <w:overflowPunct/>
        <w:topLinePunct w:val="0"/>
        <w:autoSpaceDE/>
        <w:autoSpaceDN/>
        <w:bidi w:val="0"/>
        <w:adjustRightInd w:val="0"/>
        <w:snapToGrid w:val="0"/>
        <w:spacing w:line="240" w:lineRule="auto"/>
        <w:ind w:left="0" w:leftChars="0" w:firstLine="640" w:firstLineChars="200"/>
        <w:jc w:val="left"/>
        <w:textAlignment w:val="auto"/>
        <w:rPr>
          <w:rFonts w:hint="eastAsia" w:ascii="黑体" w:hAnsi="黑体" w:eastAsia="黑体" w:cs="黑体"/>
          <w:sz w:val="32"/>
          <w:szCs w:val="32"/>
          <w:highlight w:val="none"/>
        </w:rPr>
      </w:pPr>
      <w:r>
        <w:rPr>
          <w:rFonts w:hint="eastAsia" w:ascii="黑体" w:hAnsi="黑体" w:eastAsia="黑体" w:cstheme="majorBidi"/>
          <w:b w:val="0"/>
          <w:bCs/>
          <w:kern w:val="2"/>
          <w:sz w:val="32"/>
          <w:szCs w:val="32"/>
          <w:highlight w:val="none"/>
          <w:lang w:val="en-US" w:eastAsia="zh-CN" w:bidi="ar-SA"/>
        </w:rPr>
        <w:t>一、部门职责及重点工作</w:t>
      </w:r>
    </w:p>
    <w:p>
      <w:pPr>
        <w:pStyle w:val="4"/>
        <w:pageBreakBefore w:val="0"/>
        <w:widowControl w:val="0"/>
        <w:kinsoku/>
        <w:wordWrap/>
        <w:overflowPunct/>
        <w:topLinePunct w:val="0"/>
        <w:autoSpaceDE/>
        <w:autoSpaceDN/>
        <w:bidi w:val="0"/>
        <w:spacing w:before="0" w:after="0" w:line="240" w:lineRule="auto"/>
        <w:ind w:left="0" w:leftChars="0" w:firstLine="800" w:firstLineChars="250"/>
        <w:textAlignment w:val="auto"/>
        <w:rPr>
          <w:rFonts w:ascii="Times New Roman" w:hAnsi="Times New Roman" w:eastAsia="宋体" w:cs="Times New Roman"/>
          <w:b w:val="0"/>
          <w:bCs w:val="0"/>
          <w:sz w:val="32"/>
          <w:szCs w:val="32"/>
          <w:highlight w:val="none"/>
        </w:rPr>
      </w:pPr>
      <w:r>
        <w:rPr>
          <w:rFonts w:hint="eastAsia" w:ascii="Times New Roman" w:hAnsi="Times New Roman" w:eastAsia="宋体" w:cs="Times New Roman"/>
          <w:b w:val="0"/>
          <w:bCs w:val="0"/>
          <w:sz w:val="32"/>
          <w:szCs w:val="32"/>
          <w:highlight w:val="none"/>
        </w:rPr>
        <w:t>(一)部门</w:t>
      </w:r>
      <w:r>
        <w:rPr>
          <w:rFonts w:ascii="Times New Roman" w:hAnsi="Times New Roman" w:eastAsia="宋体" w:cs="Times New Roman"/>
          <w:b w:val="0"/>
          <w:bCs w:val="0"/>
          <w:sz w:val="32"/>
          <w:szCs w:val="32"/>
          <w:highlight w:val="none"/>
        </w:rPr>
        <w:t>职责</w:t>
      </w:r>
    </w:p>
    <w:p>
      <w:pPr>
        <w:pStyle w:val="1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ind w:left="0" w:leftChars="0" w:right="0" w:firstLine="420"/>
        <w:jc w:val="both"/>
        <w:textAlignment w:val="auto"/>
        <w:rPr>
          <w:rFonts w:hint="eastAsia" w:ascii="仿宋" w:hAnsi="仿宋" w:eastAsia="仿宋" w:cs="仿宋"/>
          <w:i w:val="0"/>
          <w:iCs w:val="0"/>
          <w:caps w:val="0"/>
          <w:color w:val="000000"/>
          <w:spacing w:val="0"/>
          <w:sz w:val="32"/>
          <w:szCs w:val="32"/>
          <w:highlight w:val="none"/>
        </w:rPr>
      </w:pPr>
      <w:r>
        <w:rPr>
          <w:rFonts w:hint="eastAsia" w:ascii="仿宋_GB2312" w:hAnsi="仿宋_GB2312" w:cs="仿宋_GB2312"/>
          <w:sz w:val="32"/>
          <w:szCs w:val="32"/>
          <w:highlight w:val="none"/>
          <w:lang w:val="en-US" w:eastAsia="zh-CN"/>
        </w:rPr>
        <w:t xml:space="preserve"> </w:t>
      </w:r>
      <w:r>
        <w:rPr>
          <w:rFonts w:hint="eastAsia" w:ascii="仿宋" w:hAnsi="仿宋" w:eastAsia="仿宋" w:cs="仿宋"/>
          <w:i w:val="0"/>
          <w:iCs w:val="0"/>
          <w:caps w:val="0"/>
          <w:color w:val="000000"/>
          <w:spacing w:val="0"/>
          <w:sz w:val="32"/>
          <w:szCs w:val="32"/>
          <w:highlight w:val="none"/>
        </w:rPr>
        <w:t>1、制定和组织实施经济、产业发展计划，制定资源开发技术和产业结构调整方案，组织指导好各业生产，搞好商品流通，协调好本镇与外地区的经济交流与合作，抓好招商引资，项目开发，组织经济运行，促进经济发展。</w:t>
      </w:r>
    </w:p>
    <w:p>
      <w:pPr>
        <w:pStyle w:val="1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jc w:val="both"/>
        <w:rPr>
          <w:rFonts w:hint="eastAsia" w:ascii="仿宋" w:hAnsi="仿宋" w:eastAsia="仿宋" w:cs="仿宋"/>
          <w:i w:val="0"/>
          <w:iCs w:val="0"/>
          <w:caps w:val="0"/>
          <w:color w:val="000000"/>
          <w:spacing w:val="0"/>
          <w:sz w:val="32"/>
          <w:szCs w:val="32"/>
          <w:highlight w:val="none"/>
        </w:rPr>
      </w:pPr>
      <w:r>
        <w:rPr>
          <w:rFonts w:hint="eastAsia" w:ascii="仿宋" w:hAnsi="仿宋" w:eastAsia="仿宋" w:cs="仿宋"/>
          <w:i w:val="0"/>
          <w:iCs w:val="0"/>
          <w:caps w:val="0"/>
          <w:color w:val="000000"/>
          <w:spacing w:val="0"/>
          <w:sz w:val="32"/>
          <w:szCs w:val="32"/>
          <w:highlight w:val="none"/>
        </w:rPr>
        <w:t>2、制定并组织实施镇村建设规划，部署重点工程建设，区域内道路建设及公共设施，水利设施的管理，负责土地、林木、水等自然资源和生态环境的保护，做好护林防火工作。</w:t>
      </w:r>
    </w:p>
    <w:p>
      <w:pPr>
        <w:pStyle w:val="1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jc w:val="both"/>
        <w:rPr>
          <w:rFonts w:hint="eastAsia" w:ascii="仿宋" w:hAnsi="仿宋" w:eastAsia="仿宋" w:cs="仿宋"/>
          <w:i w:val="0"/>
          <w:iCs w:val="0"/>
          <w:caps w:val="0"/>
          <w:color w:val="000000"/>
          <w:spacing w:val="0"/>
          <w:sz w:val="32"/>
          <w:szCs w:val="32"/>
          <w:highlight w:val="none"/>
        </w:rPr>
      </w:pPr>
      <w:r>
        <w:rPr>
          <w:rFonts w:hint="eastAsia" w:ascii="仿宋" w:hAnsi="仿宋" w:eastAsia="仿宋" w:cs="仿宋"/>
          <w:i w:val="0"/>
          <w:iCs w:val="0"/>
          <w:caps w:val="0"/>
          <w:color w:val="000000"/>
          <w:spacing w:val="0"/>
          <w:sz w:val="32"/>
          <w:szCs w:val="32"/>
          <w:highlight w:val="none"/>
        </w:rPr>
        <w:t>3、负责本行政区域内的民政、</w:t>
      </w:r>
      <w:r>
        <w:rPr>
          <w:rFonts w:hint="eastAsia" w:ascii="仿宋" w:hAnsi="仿宋" w:eastAsia="仿宋" w:cs="仿宋"/>
          <w:i w:val="0"/>
          <w:iCs w:val="0"/>
          <w:caps w:val="0"/>
          <w:color w:val="000000"/>
          <w:spacing w:val="0"/>
          <w:sz w:val="32"/>
          <w:szCs w:val="32"/>
          <w:highlight w:val="none"/>
          <w:lang w:val="en-US" w:eastAsia="zh-CN"/>
        </w:rPr>
        <w:t>卫计</w:t>
      </w:r>
      <w:r>
        <w:rPr>
          <w:rFonts w:hint="eastAsia" w:ascii="仿宋" w:hAnsi="仿宋" w:eastAsia="仿宋" w:cs="仿宋"/>
          <w:i w:val="0"/>
          <w:iCs w:val="0"/>
          <w:caps w:val="0"/>
          <w:color w:val="000000"/>
          <w:spacing w:val="0"/>
          <w:sz w:val="32"/>
          <w:szCs w:val="32"/>
          <w:highlight w:val="none"/>
        </w:rPr>
        <w:t>、文化、教育、体育等社会公益事业的综合性工作，维护一切经济单位和个人的正当经济权益，取缔非法经济活动，调解和处理民事纠纷，打击刑事犯罪维护社会稳定。</w:t>
      </w:r>
    </w:p>
    <w:p>
      <w:pPr>
        <w:pStyle w:val="1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jc w:val="both"/>
        <w:rPr>
          <w:rFonts w:hint="eastAsia" w:ascii="仿宋" w:hAnsi="仿宋" w:eastAsia="仿宋" w:cs="仿宋"/>
          <w:i w:val="0"/>
          <w:iCs w:val="0"/>
          <w:caps w:val="0"/>
          <w:color w:val="000000"/>
          <w:spacing w:val="0"/>
          <w:sz w:val="32"/>
          <w:szCs w:val="32"/>
          <w:highlight w:val="none"/>
        </w:rPr>
      </w:pPr>
      <w:r>
        <w:rPr>
          <w:rFonts w:hint="eastAsia" w:ascii="仿宋" w:hAnsi="仿宋" w:eastAsia="仿宋" w:cs="仿宋"/>
          <w:i w:val="0"/>
          <w:iCs w:val="0"/>
          <w:caps w:val="0"/>
          <w:color w:val="000000"/>
          <w:spacing w:val="0"/>
          <w:sz w:val="32"/>
          <w:szCs w:val="32"/>
          <w:highlight w:val="none"/>
        </w:rPr>
        <w:t>4、按计划组织本级财政收入和地方税的征收，完成国家财政计划，不断培植税源，管好财政资金，增强财政实力。</w:t>
      </w:r>
    </w:p>
    <w:p>
      <w:pPr>
        <w:pStyle w:val="1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jc w:val="both"/>
        <w:rPr>
          <w:rFonts w:hint="eastAsia" w:ascii="仿宋" w:hAnsi="仿宋" w:eastAsia="仿宋" w:cs="仿宋"/>
          <w:i w:val="0"/>
          <w:iCs w:val="0"/>
          <w:caps w:val="0"/>
          <w:color w:val="000000"/>
          <w:spacing w:val="0"/>
          <w:sz w:val="32"/>
          <w:szCs w:val="32"/>
          <w:highlight w:val="none"/>
        </w:rPr>
      </w:pPr>
      <w:r>
        <w:rPr>
          <w:rFonts w:hint="eastAsia" w:ascii="仿宋" w:hAnsi="仿宋" w:eastAsia="仿宋" w:cs="仿宋"/>
          <w:i w:val="0"/>
          <w:iCs w:val="0"/>
          <w:caps w:val="0"/>
          <w:color w:val="000000"/>
          <w:spacing w:val="0"/>
          <w:sz w:val="32"/>
          <w:szCs w:val="32"/>
          <w:highlight w:val="none"/>
        </w:rPr>
        <w:t>5、抓好精神文明建设，丰富群众文化生活，提倡移风易俗，反对封建迷信，破除陈规陋习，树立社会主义新风尚。</w:t>
      </w:r>
    </w:p>
    <w:p>
      <w:pPr>
        <w:pStyle w:val="1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jc w:val="both"/>
        <w:rPr>
          <w:rFonts w:hint="eastAsia"/>
          <w:sz w:val="24"/>
          <w:highlight w:val="none"/>
        </w:rPr>
      </w:pPr>
      <w:r>
        <w:rPr>
          <w:rFonts w:hint="eastAsia" w:ascii="仿宋" w:hAnsi="仿宋" w:eastAsia="仿宋" w:cs="仿宋"/>
          <w:i w:val="0"/>
          <w:iCs w:val="0"/>
          <w:caps w:val="0"/>
          <w:color w:val="000000"/>
          <w:spacing w:val="0"/>
          <w:sz w:val="32"/>
          <w:szCs w:val="32"/>
          <w:highlight w:val="none"/>
        </w:rPr>
        <w:t>6、完成上级政府交办</w:t>
      </w:r>
      <w:r>
        <w:rPr>
          <w:rFonts w:hint="eastAsia" w:ascii="仿宋" w:hAnsi="仿宋" w:eastAsia="仿宋" w:cs="仿宋"/>
          <w:i w:val="0"/>
          <w:iCs w:val="0"/>
          <w:caps w:val="0"/>
          <w:color w:val="000000"/>
          <w:spacing w:val="0"/>
          <w:sz w:val="32"/>
          <w:szCs w:val="32"/>
          <w:highlight w:val="none"/>
          <w:lang w:eastAsia="zh-CN"/>
        </w:rPr>
        <w:t>的其他事项</w:t>
      </w:r>
      <w:r>
        <w:rPr>
          <w:rFonts w:hint="eastAsia" w:ascii="仿宋" w:hAnsi="仿宋" w:eastAsia="仿宋" w:cs="仿宋"/>
          <w:i w:val="0"/>
          <w:iCs w:val="0"/>
          <w:caps w:val="0"/>
          <w:color w:val="000000"/>
          <w:spacing w:val="0"/>
          <w:sz w:val="32"/>
          <w:szCs w:val="32"/>
          <w:highlight w:val="none"/>
        </w:rPr>
        <w:t>。</w:t>
      </w:r>
    </w:p>
    <w:p>
      <w:pPr>
        <w:pStyle w:val="14"/>
        <w:adjustRightInd w:val="0"/>
        <w:snapToGrid w:val="0"/>
        <w:spacing w:line="440" w:lineRule="exact"/>
        <w:jc w:val="left"/>
        <w:rPr>
          <w:b/>
          <w:bCs/>
          <w:sz w:val="32"/>
          <w:szCs w:val="32"/>
          <w:highlight w:val="none"/>
        </w:rPr>
      </w:pPr>
      <w:r>
        <w:rPr>
          <w:rFonts w:hint="eastAsia"/>
          <w:sz w:val="32"/>
          <w:szCs w:val="32"/>
          <w:highlight w:val="none"/>
        </w:rPr>
        <w:t>（二）2022年重点工作完成情况</w:t>
      </w:r>
    </w:p>
    <w:p>
      <w:pPr>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76" w:lineRule="exact"/>
        <w:ind w:left="0" w:right="0" w:firstLine="640"/>
        <w:jc w:val="left"/>
        <w:textAlignment w:val="auto"/>
        <w:rPr>
          <w:rFonts w:hint="eastAsia" w:ascii="仿宋_GB2312" w:hAnsi="仿宋_GB2312" w:eastAsia="仿宋_GB2312" w:cs="仿宋_GB2312"/>
          <w:i w:val="0"/>
          <w:iCs w:val="0"/>
          <w:caps w:val="0"/>
          <w:color w:val="000000"/>
          <w:spacing w:val="0"/>
          <w:kern w:val="0"/>
          <w:sz w:val="32"/>
          <w:szCs w:val="32"/>
          <w:highlight w:val="none"/>
          <w:u w:val="none"/>
          <w:lang w:val="en-US" w:eastAsia="zh-CN" w:bidi="ar"/>
        </w:rPr>
      </w:pPr>
      <w:r>
        <w:rPr>
          <w:rFonts w:hint="eastAsia" w:ascii="仿宋_GB2312" w:hAnsi="仿宋_GB2312" w:eastAsia="仿宋_GB2312" w:cs="仿宋_GB2312"/>
          <w:i w:val="0"/>
          <w:iCs w:val="0"/>
          <w:caps w:val="0"/>
          <w:color w:val="000000"/>
          <w:spacing w:val="0"/>
          <w:kern w:val="0"/>
          <w:sz w:val="32"/>
          <w:szCs w:val="32"/>
          <w:highlight w:val="none"/>
          <w:u w:val="none"/>
          <w:lang w:val="en-US" w:eastAsia="zh-CN" w:bidi="ar"/>
        </w:rPr>
        <w:t>一年来，我们主要做了以下几方面工作。</w:t>
      </w:r>
    </w:p>
    <w:p>
      <w:pPr>
        <w:keepNext w:val="0"/>
        <w:keepLines w:val="0"/>
        <w:pageBreakBefore w:val="0"/>
        <w:numPr>
          <w:ilvl w:val="0"/>
          <w:numId w:val="0"/>
        </w:numPr>
        <w:kinsoku/>
        <w:wordWrap/>
        <w:overflowPunct/>
        <w:topLinePunct w:val="0"/>
        <w:autoSpaceDE/>
        <w:autoSpaceDN/>
        <w:bidi w:val="0"/>
        <w:adjustRightInd/>
        <w:snapToGrid/>
        <w:spacing w:line="576" w:lineRule="exact"/>
        <w:ind w:firstLine="640" w:firstLineChars="200"/>
        <w:jc w:val="both"/>
        <w:textAlignment w:val="auto"/>
        <w:outlineLvl w:val="9"/>
        <w:rPr>
          <w:rFonts w:hint="eastAsia" w:ascii="仿宋_GB2312" w:hAnsi="仿宋_GB2312" w:eastAsia="仿宋_GB2312" w:cs="仿宋_GB2312"/>
          <w:b/>
          <w:bCs/>
          <w:color w:val="auto"/>
          <w:sz w:val="32"/>
          <w:szCs w:val="32"/>
          <w:highlight w:val="none"/>
          <w:u w:val="none"/>
          <w:lang w:eastAsia="zh-CN"/>
        </w:rPr>
      </w:pPr>
      <w:r>
        <w:rPr>
          <w:rFonts w:hint="eastAsia" w:ascii="黑体" w:hAnsi="黑体" w:eastAsia="黑体" w:cs="黑体"/>
          <w:b w:val="0"/>
          <w:bCs/>
          <w:color w:val="auto"/>
          <w:sz w:val="32"/>
          <w:szCs w:val="32"/>
          <w:highlight w:val="none"/>
        </w:rPr>
        <w:t>——</w:t>
      </w:r>
      <w:r>
        <w:rPr>
          <w:rFonts w:hint="eastAsia" w:ascii="黑体" w:hAnsi="黑体" w:eastAsia="黑体" w:cs="黑体"/>
          <w:b/>
          <w:bCs/>
          <w:sz w:val="32"/>
          <w:szCs w:val="32"/>
          <w:highlight w:val="none"/>
          <w:u w:val="none"/>
          <w:lang w:eastAsia="zh-CN"/>
        </w:rPr>
        <w:t>我们</w:t>
      </w:r>
      <w:r>
        <w:rPr>
          <w:rFonts w:hint="eastAsia" w:ascii="黑体" w:hAnsi="黑体" w:eastAsia="黑体" w:cs="黑体"/>
          <w:b/>
          <w:bCs/>
          <w:color w:val="000000" w:themeColor="text1"/>
          <w:sz w:val="32"/>
          <w:szCs w:val="32"/>
          <w:highlight w:val="none"/>
          <w:u w:val="none"/>
          <w:lang w:val="en-US" w:eastAsia="zh-CN"/>
          <w14:textFill>
            <w14:solidFill>
              <w14:schemeClr w14:val="tx1"/>
            </w14:solidFill>
          </w14:textFill>
        </w:rPr>
        <w:t>狠抓项目投资，营商环境持续优化。</w:t>
      </w:r>
      <w:r>
        <w:rPr>
          <w:rFonts w:hint="eastAsia" w:ascii="仿宋_GB2312" w:hAnsi="仿宋_GB2312" w:eastAsia="仿宋_GB2312" w:cs="仿宋_GB2312"/>
          <w:b w:val="0"/>
          <w:bCs w:val="0"/>
          <w:color w:val="000000" w:themeColor="text1"/>
          <w:sz w:val="32"/>
          <w:szCs w:val="32"/>
          <w:highlight w:val="none"/>
          <w:u w:val="none"/>
          <w:lang w:val="en-US" w:eastAsia="zh-CN"/>
          <w14:textFill>
            <w14:solidFill>
              <w14:schemeClr w14:val="tx1"/>
            </w14:solidFill>
          </w14:textFill>
        </w:rPr>
        <w:t>全力以赴“拼经济、搞建设、冲在前”，以超常举措谋发展。</w:t>
      </w:r>
      <w:r>
        <w:rPr>
          <w:rFonts w:hint="eastAsia" w:ascii="仿宋_GB2312" w:hAnsi="仿宋_GB2312" w:eastAsia="仿宋_GB2312" w:cs="仿宋_GB2312"/>
          <w:b/>
          <w:bCs/>
          <w:color w:val="000000" w:themeColor="text1"/>
          <w:sz w:val="32"/>
          <w:szCs w:val="32"/>
          <w:highlight w:val="none"/>
          <w:u w:val="none"/>
          <w:lang w:val="en-US" w:eastAsia="zh-CN"/>
          <w14:textFill>
            <w14:solidFill>
              <w14:schemeClr w14:val="tx1"/>
            </w14:solidFill>
          </w14:textFill>
        </w:rPr>
        <w:t>一是</w:t>
      </w:r>
      <w:r>
        <w:rPr>
          <w:rFonts w:hint="eastAsia" w:ascii="仿宋_GB2312" w:hAnsi="仿宋_GB2312" w:eastAsia="仿宋_GB2312" w:cs="仿宋_GB2312"/>
          <w:color w:val="000000" w:themeColor="text1"/>
          <w:sz w:val="32"/>
          <w:szCs w:val="32"/>
          <w:highlight w:val="none"/>
          <w:u w:val="none"/>
          <w:lang w:val="en-US" w:eastAsia="zh-CN"/>
          <w14:textFill>
            <w14:solidFill>
              <w14:schemeClr w14:val="tx1"/>
            </w14:solidFill>
          </w14:textFill>
        </w:rPr>
        <w:t>紧盯目标任务，</w:t>
      </w: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不等不靠、主动出击</w:t>
      </w:r>
      <w:r>
        <w:rPr>
          <w:rFonts w:hint="eastAsia" w:ascii="仿宋_GB2312" w:hAnsi="仿宋_GB2312" w:eastAsia="仿宋_GB2312" w:cs="仿宋_GB2312"/>
          <w:color w:val="000000" w:themeColor="text1"/>
          <w:sz w:val="32"/>
          <w:szCs w:val="32"/>
          <w:highlight w:val="none"/>
          <w:u w:val="none"/>
          <w:lang w:val="en-US" w:eastAsia="zh-CN"/>
          <w14:textFill>
            <w14:solidFill>
              <w14:schemeClr w14:val="tx1"/>
            </w14:solidFill>
          </w14:textFill>
        </w:rPr>
        <w:t>。全年固定资产投资8907万元，完成目标任务的137%，调度资金6283万元，完成目标任务的125%。二</w:t>
      </w:r>
      <w:r>
        <w:rPr>
          <w:rFonts w:hint="eastAsia" w:ascii="仿宋_GB2312" w:hAnsi="仿宋_GB2312" w:eastAsia="仿宋_GB2312" w:cs="仿宋_GB2312"/>
          <w:b/>
          <w:bCs/>
          <w:color w:val="000000" w:themeColor="text1"/>
          <w:sz w:val="32"/>
          <w:szCs w:val="32"/>
          <w:highlight w:val="none"/>
          <w:u w:val="none"/>
          <w:lang w:eastAsia="zh-CN"/>
          <w14:textFill>
            <w14:solidFill>
              <w14:schemeClr w14:val="tx1"/>
            </w14:solidFill>
          </w14:textFill>
        </w:rPr>
        <w:t>是</w:t>
      </w:r>
      <w:r>
        <w:rPr>
          <w:rFonts w:hint="eastAsia" w:ascii="仿宋_GB2312" w:hAnsi="仿宋_GB2312" w:eastAsia="仿宋_GB2312" w:cs="仿宋_GB2312"/>
          <w:color w:val="000000" w:themeColor="text1"/>
          <w:sz w:val="32"/>
          <w:szCs w:val="32"/>
          <w:highlight w:val="none"/>
          <w:u w:val="none"/>
          <w:lang w:eastAsia="zh-CN"/>
          <w14:textFill>
            <w14:solidFill>
              <w14:schemeClr w14:val="tx1"/>
            </w14:solidFill>
          </w14:textFill>
        </w:rPr>
        <w:t>围绕我县“3+3+3”农业产业体系建设，聚焦</w:t>
      </w: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农旅产业、生态养殖等领域开展招商引资，</w:t>
      </w:r>
      <w:r>
        <w:rPr>
          <w:rFonts w:hint="eastAsia" w:ascii="仿宋_GB2312" w:hAnsi="仿宋_GB2312" w:eastAsia="仿宋_GB2312" w:cs="仿宋_GB2312"/>
          <w:color w:val="000000" w:themeColor="text1"/>
          <w:sz w:val="32"/>
          <w:szCs w:val="32"/>
          <w:highlight w:val="none"/>
          <w:u w:val="none"/>
          <w:lang w:eastAsia="zh-CN"/>
          <w14:textFill>
            <w14:solidFill>
              <w14:schemeClr w14:val="tx1"/>
            </w14:solidFill>
          </w14:textFill>
        </w:rPr>
        <w:t>主要领导带队</w:t>
      </w:r>
      <w:r>
        <w:rPr>
          <w:rFonts w:hint="eastAsia" w:ascii="仿宋_GB2312" w:hAnsi="仿宋_GB2312" w:eastAsia="仿宋_GB2312" w:cs="仿宋_GB2312"/>
          <w:color w:val="000000" w:themeColor="text1"/>
          <w:sz w:val="32"/>
          <w:szCs w:val="32"/>
          <w:highlight w:val="none"/>
          <w:u w:val="none"/>
          <w:lang w:val="en-US" w:eastAsia="zh-CN"/>
          <w14:textFill>
            <w14:solidFill>
              <w14:schemeClr w14:val="tx1"/>
            </w14:solidFill>
          </w14:textFill>
        </w:rPr>
        <w:t>前往</w:t>
      </w:r>
      <w:r>
        <w:rPr>
          <w:rFonts w:hint="eastAsia" w:ascii="仿宋_GB2312" w:hAnsi="仿宋_GB2312" w:eastAsia="仿宋_GB2312" w:cs="仿宋_GB2312"/>
          <w:color w:val="000000" w:themeColor="text1"/>
          <w:sz w:val="32"/>
          <w:szCs w:val="32"/>
          <w:highlight w:val="none"/>
          <w:u w:val="none"/>
          <w:lang w:eastAsia="zh-CN"/>
          <w14:textFill>
            <w14:solidFill>
              <w14:schemeClr w14:val="tx1"/>
            </w14:solidFill>
          </w14:textFill>
        </w:rPr>
        <w:t>成都</w:t>
      </w: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w:t>
      </w:r>
      <w:r>
        <w:rPr>
          <w:rFonts w:hint="eastAsia" w:ascii="仿宋_GB2312" w:hAnsi="仿宋_GB2312" w:eastAsia="仿宋_GB2312" w:cs="仿宋_GB2312"/>
          <w:color w:val="000000" w:themeColor="text1"/>
          <w:sz w:val="32"/>
          <w:szCs w:val="32"/>
          <w:highlight w:val="none"/>
          <w:u w:val="none"/>
          <w:lang w:eastAsia="zh-CN"/>
          <w14:textFill>
            <w14:solidFill>
              <w14:schemeClr w14:val="tx1"/>
            </w14:solidFill>
          </w14:textFill>
        </w:rPr>
        <w:t>绵阳</w:t>
      </w: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w:t>
      </w:r>
      <w:r>
        <w:rPr>
          <w:rFonts w:hint="eastAsia" w:ascii="仿宋_GB2312" w:hAnsi="仿宋_GB2312" w:eastAsia="仿宋_GB2312" w:cs="仿宋_GB2312"/>
          <w:color w:val="000000" w:themeColor="text1"/>
          <w:sz w:val="32"/>
          <w:szCs w:val="32"/>
          <w:highlight w:val="none"/>
          <w:u w:val="none"/>
          <w:lang w:eastAsia="zh-CN"/>
          <w14:textFill>
            <w14:solidFill>
              <w14:schemeClr w14:val="tx1"/>
            </w14:solidFill>
          </w14:textFill>
        </w:rPr>
        <w:t>德阳、广安</w:t>
      </w: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等地</w:t>
      </w:r>
      <w:r>
        <w:rPr>
          <w:rFonts w:hint="eastAsia" w:ascii="仿宋_GB2312" w:hAnsi="仿宋_GB2312" w:eastAsia="仿宋_GB2312" w:cs="仿宋_GB2312"/>
          <w:color w:val="000000" w:themeColor="text1"/>
          <w:sz w:val="32"/>
          <w:szCs w:val="32"/>
          <w:highlight w:val="none"/>
          <w:u w:val="none"/>
          <w:lang w:eastAsia="zh-CN"/>
          <w14:textFill>
            <w14:solidFill>
              <w14:schemeClr w14:val="tx1"/>
            </w14:solidFill>
          </w14:textFill>
        </w:rPr>
        <w:t>进行</w:t>
      </w: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招商、邀商、洽谈</w:t>
      </w:r>
      <w:r>
        <w:rPr>
          <w:rFonts w:hint="eastAsia" w:ascii="仿宋_GB2312" w:hAnsi="仿宋_GB2312" w:eastAsia="仿宋_GB2312" w:cs="仿宋_GB2312"/>
          <w:color w:val="000000" w:themeColor="text1"/>
          <w:sz w:val="32"/>
          <w:szCs w:val="32"/>
          <w:highlight w:val="none"/>
          <w:u w:val="none"/>
          <w:lang w:eastAsia="zh-CN"/>
          <w14:textFill>
            <w14:solidFill>
              <w14:schemeClr w14:val="tx1"/>
            </w14:solidFill>
          </w14:textFill>
        </w:rPr>
        <w:t>。全年外出开展招商引资</w:t>
      </w:r>
      <w:r>
        <w:rPr>
          <w:rFonts w:hint="eastAsia" w:ascii="仿宋_GB2312" w:hAnsi="仿宋_GB2312" w:eastAsia="仿宋_GB2312" w:cs="仿宋_GB2312"/>
          <w:color w:val="000000" w:themeColor="text1"/>
          <w:sz w:val="32"/>
          <w:szCs w:val="32"/>
          <w:highlight w:val="none"/>
          <w:u w:val="none"/>
          <w:lang w:val="en-US" w:eastAsia="zh-CN"/>
          <w14:textFill>
            <w14:solidFill>
              <w14:schemeClr w14:val="tx1"/>
            </w14:solidFill>
          </w14:textFill>
        </w:rPr>
        <w:t>11次，在镇接待客商10余次，招商引资签约资金9000万元，到位资金1350万元。</w:t>
      </w:r>
      <w:r>
        <w:rPr>
          <w:rFonts w:hint="eastAsia" w:ascii="仿宋_GB2312" w:hAnsi="仿宋_GB2312" w:eastAsia="仿宋_GB2312" w:cs="仿宋_GB2312"/>
          <w:b/>
          <w:bCs/>
          <w:color w:val="000000" w:themeColor="text1"/>
          <w:sz w:val="32"/>
          <w:szCs w:val="32"/>
          <w:highlight w:val="none"/>
          <w:u w:val="none"/>
          <w:lang w:val="en-US" w:eastAsia="zh-CN"/>
          <w14:textFill>
            <w14:solidFill>
              <w14:schemeClr w14:val="tx1"/>
            </w14:solidFill>
          </w14:textFill>
        </w:rPr>
        <w:t>三是</w:t>
      </w:r>
      <w:r>
        <w:rPr>
          <w:rFonts w:hint="eastAsia" w:ascii="仿宋_GB2312" w:hAnsi="仿宋_GB2312" w:eastAsia="仿宋_GB2312" w:cs="仿宋_GB2312"/>
          <w:b w:val="0"/>
          <w:bCs w:val="0"/>
          <w:color w:val="000000" w:themeColor="text1"/>
          <w:sz w:val="32"/>
          <w:szCs w:val="32"/>
          <w:highlight w:val="none"/>
          <w:u w:val="none"/>
          <w:lang w:val="en-US" w:eastAsia="zh-CN"/>
          <w14:textFill>
            <w14:solidFill>
              <w14:schemeClr w14:val="tx1"/>
            </w14:solidFill>
          </w14:textFill>
        </w:rPr>
        <w:t>坚持好的营商环境是企业发展的“天然氧吧”，差的营商环境是企业发展的“雾霾天气”的发展理念，扎实开展干部纪律作风整顿，切实转变工作作风，提升工作效能和服务水平，全力做好项目落地要素保障，打造最优营商环境，为辖区各类经营主体解决用电、用水、用气、办证等问题20余个。</w:t>
      </w:r>
    </w:p>
    <w:p>
      <w:pPr>
        <w:pStyle w:val="1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76" w:lineRule="exact"/>
        <w:ind w:firstLine="640" w:firstLineChars="200"/>
        <w:jc w:val="left"/>
        <w:textAlignment w:val="auto"/>
        <w:rPr>
          <w:rFonts w:hint="default" w:ascii="仿宋_GB2312" w:hAnsi="仿宋_GB2312" w:eastAsia="仿宋_GB2312" w:cs="仿宋_GB2312"/>
          <w:color w:val="auto"/>
          <w:sz w:val="32"/>
          <w:szCs w:val="32"/>
          <w:highlight w:val="none"/>
          <w:u w:val="none"/>
          <w:lang w:val="en-US" w:eastAsia="zh-CN"/>
        </w:rPr>
      </w:pPr>
      <w:r>
        <w:rPr>
          <w:rFonts w:hint="eastAsia" w:ascii="黑体" w:hAnsi="黑体" w:eastAsia="黑体" w:cs="黑体"/>
          <w:b w:val="0"/>
          <w:bCs/>
          <w:color w:val="auto"/>
          <w:sz w:val="32"/>
          <w:szCs w:val="32"/>
          <w:highlight w:val="none"/>
        </w:rPr>
        <w:t>——</w:t>
      </w:r>
      <w:r>
        <w:rPr>
          <w:rFonts w:hint="eastAsia" w:ascii="黑体" w:hAnsi="黑体" w:eastAsia="黑体" w:cs="黑体"/>
          <w:b/>
          <w:bCs/>
          <w:color w:val="auto"/>
          <w:sz w:val="32"/>
          <w:szCs w:val="32"/>
          <w:highlight w:val="none"/>
          <w:u w:val="none"/>
          <w:lang w:eastAsia="zh-CN"/>
        </w:rPr>
        <w:t>我们巩固脱贫成果，乡村振兴稳步推进。</w:t>
      </w:r>
      <w:r>
        <w:rPr>
          <w:rFonts w:hint="eastAsia" w:ascii="仿宋_GB2312" w:hAnsi="仿宋_GB2312" w:eastAsia="仿宋_GB2312" w:cs="仿宋_GB2312"/>
          <w:b w:val="0"/>
          <w:bCs w:val="0"/>
          <w:color w:val="auto"/>
          <w:sz w:val="32"/>
          <w:szCs w:val="32"/>
          <w:highlight w:val="none"/>
          <w:u w:val="none"/>
          <w:lang w:eastAsia="zh-CN"/>
        </w:rPr>
        <w:t>聚焦责任落实、政策落实、工作落实和成效巩固，柳场村成功</w:t>
      </w:r>
      <w:r>
        <w:rPr>
          <w:rFonts w:hint="eastAsia" w:ascii="仿宋_GB2312" w:hAnsi="仿宋_GB2312" w:eastAsia="仿宋_GB2312" w:cs="仿宋_GB2312"/>
          <w:bCs/>
          <w:color w:val="auto"/>
          <w:sz w:val="32"/>
          <w:szCs w:val="32"/>
          <w:highlight w:val="none"/>
          <w:u w:val="none"/>
        </w:rPr>
        <w:t>创</w:t>
      </w:r>
      <w:r>
        <w:rPr>
          <w:rFonts w:hint="eastAsia" w:ascii="仿宋_GB2312" w:hAnsi="仿宋_GB2312" w:eastAsia="仿宋_GB2312" w:cs="仿宋_GB2312"/>
          <w:bCs/>
          <w:color w:val="auto"/>
          <w:sz w:val="32"/>
          <w:szCs w:val="32"/>
          <w:highlight w:val="none"/>
          <w:u w:val="none"/>
          <w:lang w:eastAsia="zh-CN"/>
        </w:rPr>
        <w:t>成</w:t>
      </w:r>
      <w:r>
        <w:rPr>
          <w:rFonts w:hint="eastAsia" w:ascii="仿宋_GB2312" w:hAnsi="仿宋_GB2312" w:eastAsia="仿宋_GB2312" w:cs="仿宋_GB2312"/>
          <w:bCs/>
          <w:color w:val="auto"/>
          <w:sz w:val="32"/>
          <w:szCs w:val="32"/>
          <w:highlight w:val="none"/>
          <w:u w:val="none"/>
        </w:rPr>
        <w:t>四川省第三批乡村治理示范村</w:t>
      </w:r>
      <w:r>
        <w:rPr>
          <w:rFonts w:hint="eastAsia" w:ascii="仿宋_GB2312" w:hAnsi="仿宋_GB2312" w:eastAsia="仿宋_GB2312" w:cs="仿宋_GB2312"/>
          <w:bCs/>
          <w:color w:val="auto"/>
          <w:sz w:val="32"/>
          <w:szCs w:val="32"/>
          <w:highlight w:val="none"/>
          <w:u w:val="none"/>
          <w:lang w:eastAsia="zh-CN"/>
        </w:rPr>
        <w:t>，银溪村顺利通过省第三方实地考核评估。</w:t>
      </w:r>
      <w:r>
        <w:rPr>
          <w:rFonts w:hint="eastAsia" w:ascii="仿宋_GB2312" w:hAnsi="仿宋_GB2312" w:eastAsia="仿宋_GB2312" w:cs="仿宋_GB2312"/>
          <w:b/>
          <w:bCs/>
          <w:color w:val="auto"/>
          <w:sz w:val="32"/>
          <w:szCs w:val="32"/>
          <w:highlight w:val="none"/>
          <w:u w:val="none"/>
          <w:lang w:eastAsia="zh-CN"/>
        </w:rPr>
        <w:t>一是</w:t>
      </w:r>
      <w:r>
        <w:rPr>
          <w:rFonts w:hint="eastAsia" w:ascii="仿宋_GB2312" w:hAnsi="仿宋_GB2312" w:eastAsia="仿宋_GB2312" w:cs="仿宋_GB2312"/>
          <w:b w:val="0"/>
          <w:bCs w:val="0"/>
          <w:color w:val="auto"/>
          <w:sz w:val="32"/>
          <w:szCs w:val="32"/>
          <w:highlight w:val="none"/>
          <w:u w:val="none"/>
          <w:lang w:eastAsia="zh-CN"/>
        </w:rPr>
        <w:t>健全</w:t>
      </w:r>
      <w:r>
        <w:rPr>
          <w:rFonts w:hint="eastAsia" w:ascii="仿宋_GB2312" w:hAnsi="仿宋_GB2312" w:eastAsia="仿宋_GB2312" w:cs="仿宋_GB2312"/>
          <w:color w:val="auto"/>
          <w:sz w:val="32"/>
          <w:szCs w:val="32"/>
          <w:highlight w:val="none"/>
          <w:u w:val="none"/>
          <w:lang w:val="en-US" w:eastAsia="zh-CN"/>
        </w:rPr>
        <w:t>完善防止返贫动态监测和帮扶工作机制，制定并印发</w:t>
      </w:r>
      <w:r>
        <w:rPr>
          <w:rFonts w:hint="eastAsia" w:ascii="仿宋_GB2312" w:hAnsi="仿宋_GB2312" w:eastAsia="仿宋_GB2312" w:cs="仿宋_GB2312"/>
          <w:b w:val="0"/>
          <w:bCs w:val="0"/>
          <w:color w:val="auto"/>
          <w:sz w:val="32"/>
          <w:szCs w:val="32"/>
          <w:highlight w:val="none"/>
          <w:u w:val="none"/>
          <w:lang w:val="en-US" w:eastAsia="zh-CN"/>
        </w:rPr>
        <w:t>《姚家镇防止返贫动态监测和帮扶工作网格化管理工作制度》《姚家镇防返贫监测帮扶核查员及监测员工作职责》，确保防返贫监测工作规范化、标准化和制度化。组织精干力量全力做好集中排查、第二轮集中排查和日常风险线索核查工作，确保不发生规模性返贫的底线。</w:t>
      </w:r>
      <w:r>
        <w:rPr>
          <w:rFonts w:hint="eastAsia" w:ascii="仿宋_GB2312" w:hAnsi="仿宋_GB2312" w:eastAsia="仿宋_GB2312" w:cs="仿宋_GB2312"/>
          <w:b/>
          <w:bCs/>
          <w:color w:val="auto"/>
          <w:sz w:val="32"/>
          <w:szCs w:val="32"/>
          <w:highlight w:val="none"/>
          <w:u w:val="none"/>
          <w:lang w:val="en-US" w:eastAsia="zh-CN"/>
        </w:rPr>
        <w:t>二是</w:t>
      </w:r>
      <w:r>
        <w:rPr>
          <w:rFonts w:hint="eastAsia" w:ascii="仿宋_GB2312" w:hAnsi="仿宋_GB2312" w:eastAsia="仿宋_GB2312" w:cs="仿宋_GB2312"/>
          <w:b w:val="0"/>
          <w:bCs w:val="0"/>
          <w:color w:val="auto"/>
          <w:sz w:val="32"/>
          <w:szCs w:val="32"/>
          <w:highlight w:val="none"/>
          <w:u w:val="none"/>
          <w:lang w:val="en-US" w:eastAsia="zh-CN"/>
        </w:rPr>
        <w:t>提升壮大村集体经济。通过项目资金、招商引资等方式稳步提升村集体经济。</w:t>
      </w:r>
      <w:r>
        <w:rPr>
          <w:rFonts w:hint="eastAsia" w:ascii="仿宋_GB2312" w:hAnsi="仿宋_GB2312" w:eastAsia="仿宋_GB2312" w:cs="仿宋_GB2312"/>
          <w:color w:val="auto"/>
          <w:sz w:val="32"/>
          <w:szCs w:val="32"/>
          <w:highlight w:val="none"/>
          <w:u w:val="none"/>
          <w:lang w:val="en-US" w:eastAsia="zh-CN"/>
        </w:rPr>
        <w:t>明兴村2022年中省财政扶持村集体经济发展项目100万元有序推进实施。</w:t>
      </w:r>
      <w:r>
        <w:rPr>
          <w:rFonts w:hint="eastAsia" w:ascii="仿宋_GB2312" w:hAnsi="仿宋_GB2312" w:eastAsia="仿宋_GB2312" w:cs="仿宋_GB2312"/>
          <w:b w:val="0"/>
          <w:bCs w:val="0"/>
          <w:color w:val="auto"/>
          <w:sz w:val="32"/>
          <w:szCs w:val="32"/>
          <w:highlight w:val="none"/>
          <w:u w:val="none"/>
          <w:lang w:val="en-US" w:eastAsia="zh-CN"/>
        </w:rPr>
        <w:t>钟岭村养牛场通过中省财政资金改造提升成功招引业主</w:t>
      </w:r>
      <w:r>
        <w:rPr>
          <w:rFonts w:hint="eastAsia" w:ascii="仿宋_GB2312" w:hAnsi="仿宋_GB2312" w:eastAsia="仿宋_GB2312" w:cs="仿宋_GB2312"/>
          <w:color w:val="auto"/>
          <w:sz w:val="32"/>
          <w:szCs w:val="32"/>
          <w:highlight w:val="none"/>
          <w:u w:val="none"/>
          <w:lang w:val="en-US" w:eastAsia="zh-CN"/>
        </w:rPr>
        <w:t>四川东西旺畜牧养殖有限公司，实现村经济收入8万元。</w:t>
      </w:r>
      <w:r>
        <w:rPr>
          <w:rFonts w:hint="eastAsia" w:ascii="仿宋_GB2312" w:hAnsi="仿宋_GB2312" w:eastAsia="仿宋_GB2312" w:cs="仿宋_GB2312"/>
          <w:b/>
          <w:bCs/>
          <w:color w:val="auto"/>
          <w:sz w:val="32"/>
          <w:szCs w:val="32"/>
          <w:highlight w:val="none"/>
          <w:u w:val="none"/>
          <w:lang w:val="en-US" w:eastAsia="zh-CN"/>
        </w:rPr>
        <w:t>三是</w:t>
      </w:r>
      <w:r>
        <w:rPr>
          <w:rFonts w:hint="eastAsia" w:ascii="仿宋_GB2312" w:hAnsi="仿宋_GB2312" w:eastAsia="仿宋_GB2312" w:cs="仿宋_GB2312"/>
          <w:b w:val="0"/>
          <w:bCs w:val="0"/>
          <w:color w:val="auto"/>
          <w:sz w:val="32"/>
          <w:szCs w:val="32"/>
          <w:highlight w:val="none"/>
          <w:u w:val="none"/>
          <w:lang w:val="en-US" w:eastAsia="zh-CN"/>
        </w:rPr>
        <w:t>抓好易地搬迁后续扶持，</w:t>
      </w:r>
      <w:r>
        <w:rPr>
          <w:rFonts w:hint="eastAsia" w:ascii="仿宋_GB2312" w:hAnsi="仿宋_GB2312" w:eastAsia="仿宋_GB2312" w:cs="仿宋_GB2312"/>
          <w:color w:val="auto"/>
          <w:sz w:val="32"/>
          <w:szCs w:val="32"/>
          <w:highlight w:val="none"/>
          <w:u w:val="none"/>
          <w:lang w:val="en-US" w:eastAsia="zh-CN"/>
        </w:rPr>
        <w:t>制定《姚家镇2022年度易地扶贫搬迁后续扶持方案》，对366户1137名搬迁对象的转移就业、产业发展、教育保障、医疗保障等方面进行细致谋划，确保后续治理成效。</w:t>
      </w:r>
      <w:r>
        <w:rPr>
          <w:rFonts w:hint="eastAsia" w:ascii="仿宋_GB2312" w:hAnsi="仿宋_GB2312" w:eastAsia="仿宋_GB2312" w:cs="仿宋_GB2312"/>
          <w:b/>
          <w:bCs/>
          <w:i w:val="0"/>
          <w:iCs w:val="0"/>
          <w:color w:val="auto"/>
          <w:kern w:val="0"/>
          <w:sz w:val="32"/>
          <w:szCs w:val="32"/>
          <w:highlight w:val="none"/>
          <w:u w:val="none"/>
          <w:lang w:val="en-US" w:eastAsia="zh-CN" w:bidi="ar"/>
        </w:rPr>
        <w:t>四是</w:t>
      </w:r>
      <w:r>
        <w:rPr>
          <w:rFonts w:hint="eastAsia" w:ascii="仿宋_GB2312" w:hAnsi="仿宋_GB2312" w:eastAsia="仿宋_GB2312" w:cs="仿宋_GB2312"/>
          <w:i w:val="0"/>
          <w:iCs w:val="0"/>
          <w:color w:val="auto"/>
          <w:kern w:val="0"/>
          <w:sz w:val="32"/>
          <w:szCs w:val="32"/>
          <w:highlight w:val="none"/>
          <w:u w:val="none"/>
          <w:lang w:val="en-US" w:eastAsia="zh-CN" w:bidi="ar"/>
        </w:rPr>
        <w:t>加强扶贫资产后续管护。成立工作专班，建立项目资金台账、资产台账、后续管理台账，及时</w:t>
      </w:r>
      <w:r>
        <w:rPr>
          <w:rFonts w:hint="eastAsia" w:ascii="仿宋_GB2312" w:hAnsi="仿宋_GB2312" w:eastAsia="仿宋_GB2312" w:cs="仿宋_GB2312"/>
          <w:color w:val="auto"/>
          <w:sz w:val="32"/>
          <w:szCs w:val="32"/>
          <w:highlight w:val="none"/>
          <w:u w:val="none"/>
          <w:lang w:val="en-US" w:eastAsia="zh-CN"/>
        </w:rPr>
        <w:t>将扶贫资产移交给对应村（社区）进行管理，按照《姚家镇扶贫资产管理办法》，公益性资产建立了管护机制和经营性资产建立了运营机制。全年群众收入来源基本稳定且可持续，农户“两不愁、三保障”及其安全饮水有保障。脱贫村“五有”和乡“三有”全部达标，公共服务能力持续提升。</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jc w:val="both"/>
        <w:textAlignment w:val="auto"/>
        <w:rPr>
          <w:rFonts w:hint="eastAsia" w:ascii="仿宋_GB2312" w:hAnsi="仿宋_GB2312" w:eastAsia="仿宋_GB2312" w:cs="仿宋_GB2312"/>
          <w:sz w:val="32"/>
          <w:szCs w:val="32"/>
          <w:highlight w:val="none"/>
          <w:u w:val="none"/>
        </w:rPr>
      </w:pPr>
      <w:r>
        <w:rPr>
          <w:rFonts w:hint="eastAsia" w:ascii="黑体" w:hAnsi="黑体" w:eastAsia="黑体" w:cs="黑体"/>
          <w:b/>
          <w:bCs w:val="0"/>
          <w:color w:val="auto"/>
          <w:sz w:val="32"/>
          <w:szCs w:val="32"/>
          <w:highlight w:val="none"/>
        </w:rPr>
        <w:t>——</w:t>
      </w:r>
      <w:r>
        <w:rPr>
          <w:rFonts w:hint="eastAsia" w:ascii="黑体" w:hAnsi="黑体" w:eastAsia="黑体" w:cs="黑体"/>
          <w:b/>
          <w:bCs w:val="0"/>
          <w:sz w:val="32"/>
          <w:szCs w:val="32"/>
          <w:highlight w:val="none"/>
          <w:u w:val="none"/>
          <w:lang w:eastAsia="zh-CN"/>
        </w:rPr>
        <w:t>我们</w:t>
      </w:r>
      <w:r>
        <w:rPr>
          <w:rFonts w:hint="eastAsia" w:ascii="黑体" w:hAnsi="黑体" w:eastAsia="黑体" w:cs="黑体"/>
          <w:b/>
          <w:bCs w:val="0"/>
          <w:color w:val="000000" w:themeColor="text1"/>
          <w:sz w:val="32"/>
          <w:szCs w:val="32"/>
          <w:highlight w:val="none"/>
          <w:u w:val="none"/>
          <w:lang w:val="en-US" w:eastAsia="zh-CN"/>
          <w14:textFill>
            <w14:solidFill>
              <w14:schemeClr w14:val="tx1"/>
            </w14:solidFill>
          </w14:textFill>
        </w:rPr>
        <w:t>聚焦三农发展，推进产业提档升级。</w:t>
      </w:r>
      <w:r>
        <w:rPr>
          <w:rFonts w:hint="eastAsia" w:ascii="仿宋_GB2312" w:hAnsi="Times New Roman" w:eastAsia="仿宋_GB2312" w:cs="Times New Roman"/>
          <w:color w:val="000000" w:themeColor="text1"/>
          <w:sz w:val="32"/>
          <w:szCs w:val="32"/>
          <w:highlight w:val="none"/>
          <w:u w:val="none"/>
          <w:lang w:val="en-US" w:eastAsia="zh-CN"/>
          <w14:textFill>
            <w14:solidFill>
              <w14:schemeClr w14:val="tx1"/>
            </w14:solidFill>
          </w14:textFill>
        </w:rPr>
        <w:t>不折不扣抓好中央一号、省委一号和市委1号文件精神落实</w:t>
      </w:r>
      <w:r>
        <w:rPr>
          <w:rFonts w:hint="eastAsia" w:ascii="仿宋_GB2312" w:hAnsi="Times New Roman" w:eastAsia="仿宋_GB2312" w:cs="Times New Roman"/>
          <w:color w:val="000000" w:themeColor="text1"/>
          <w:sz w:val="32"/>
          <w:szCs w:val="32"/>
          <w:highlight w:val="none"/>
          <w:u w:val="none"/>
          <w:lang w:eastAsia="zh-CN"/>
          <w14:textFill>
            <w14:solidFill>
              <w14:schemeClr w14:val="tx1"/>
            </w14:solidFill>
          </w14:textFill>
        </w:rPr>
        <w:t>，聚焦省、市、</w:t>
      </w:r>
      <w:r>
        <w:rPr>
          <w:rFonts w:hint="eastAsia" w:ascii="仿宋_GB2312" w:hAnsi="Times New Roman" w:eastAsia="仿宋_GB2312" w:cs="Times New Roman"/>
          <w:color w:val="000000" w:themeColor="text1"/>
          <w:sz w:val="32"/>
          <w:szCs w:val="32"/>
          <w:highlight w:val="none"/>
          <w:u w:val="none"/>
          <w14:textFill>
            <w14:solidFill>
              <w14:schemeClr w14:val="tx1"/>
            </w14:solidFill>
          </w14:textFill>
        </w:rPr>
        <w:t>县</w:t>
      </w:r>
      <w:r>
        <w:rPr>
          <w:rFonts w:hint="eastAsia" w:ascii="仿宋_GB2312" w:hAnsi="Times New Roman" w:eastAsia="仿宋_GB2312" w:cs="Times New Roman"/>
          <w:color w:val="000000" w:themeColor="text1"/>
          <w:sz w:val="32"/>
          <w:szCs w:val="32"/>
          <w:highlight w:val="none"/>
          <w:u w:val="none"/>
          <w:lang w:eastAsia="zh-CN"/>
          <w14:textFill>
            <w14:solidFill>
              <w14:schemeClr w14:val="tx1"/>
            </w14:solidFill>
          </w14:textFill>
        </w:rPr>
        <w:t>农村工作部署要求</w:t>
      </w:r>
      <w:r>
        <w:rPr>
          <w:rFonts w:hint="eastAsia" w:ascii="仿宋_GB2312" w:hAnsi="Times New Roman" w:eastAsia="仿宋_GB2312" w:cs="Times New Roman"/>
          <w:color w:val="000000" w:themeColor="text1"/>
          <w:sz w:val="32"/>
          <w:szCs w:val="32"/>
          <w:highlight w:val="none"/>
          <w:u w:val="none"/>
          <w14:textFill>
            <w14:solidFill>
              <w14:schemeClr w14:val="tx1"/>
            </w14:solidFill>
          </w14:textFill>
        </w:rPr>
        <w:t>，立足镇域实际，全镇动员，全力推进，</w:t>
      </w:r>
      <w:r>
        <w:rPr>
          <w:rFonts w:hint="eastAsia" w:ascii="仿宋_GB2312" w:hAnsi="Times New Roman" w:eastAsia="仿宋_GB2312" w:cs="Times New Roman"/>
          <w:color w:val="000000" w:themeColor="text1"/>
          <w:sz w:val="32"/>
          <w:szCs w:val="32"/>
          <w:highlight w:val="none"/>
          <w:u w:val="none"/>
          <w:lang w:eastAsia="zh-CN"/>
          <w14:textFill>
            <w14:solidFill>
              <w14:schemeClr w14:val="tx1"/>
            </w14:solidFill>
          </w14:textFill>
        </w:rPr>
        <w:t>优化产业布局、调整产业结构，</w:t>
      </w:r>
      <w:r>
        <w:rPr>
          <w:rFonts w:hint="eastAsia" w:ascii="仿宋_GB2312" w:hAnsi="Times New Roman" w:eastAsia="仿宋_GB2312" w:cs="Times New Roman"/>
          <w:color w:val="000000" w:themeColor="text1"/>
          <w:sz w:val="32"/>
          <w:szCs w:val="32"/>
          <w:highlight w:val="none"/>
          <w:u w:val="none"/>
          <w14:textFill>
            <w14:solidFill>
              <w14:schemeClr w14:val="tx1"/>
            </w14:solidFill>
          </w14:textFill>
        </w:rPr>
        <w:t>取得</w:t>
      </w:r>
      <w:r>
        <w:rPr>
          <w:rFonts w:hint="eastAsia" w:ascii="仿宋_GB2312" w:hAnsi="Times New Roman" w:eastAsia="仿宋_GB2312" w:cs="Times New Roman"/>
          <w:color w:val="000000" w:themeColor="text1"/>
          <w:sz w:val="32"/>
          <w:szCs w:val="32"/>
          <w:highlight w:val="none"/>
          <w:u w:val="none"/>
          <w:lang w:eastAsia="zh-CN"/>
          <w14:textFill>
            <w14:solidFill>
              <w14:schemeClr w14:val="tx1"/>
            </w14:solidFill>
          </w14:textFill>
        </w:rPr>
        <w:t>显著</w:t>
      </w:r>
      <w:r>
        <w:rPr>
          <w:rFonts w:hint="eastAsia" w:ascii="仿宋_GB2312" w:hAnsi="Times New Roman" w:eastAsia="仿宋_GB2312" w:cs="Times New Roman"/>
          <w:color w:val="000000" w:themeColor="text1"/>
          <w:sz w:val="32"/>
          <w:szCs w:val="32"/>
          <w:highlight w:val="none"/>
          <w:u w:val="none"/>
          <w14:textFill>
            <w14:solidFill>
              <w14:schemeClr w14:val="tx1"/>
            </w14:solidFill>
          </w14:textFill>
        </w:rPr>
        <w:t>成效。</w:t>
      </w:r>
      <w:r>
        <w:rPr>
          <w:rFonts w:hint="eastAsia" w:ascii="仿宋_GB2312" w:hAnsi="Times New Roman" w:eastAsia="仿宋_GB2312" w:cs="Times New Roman"/>
          <w:b/>
          <w:bCs/>
          <w:color w:val="000000" w:themeColor="text1"/>
          <w:sz w:val="32"/>
          <w:szCs w:val="32"/>
          <w:highlight w:val="none"/>
          <w:u w:val="none"/>
          <w:lang w:eastAsia="zh-CN"/>
          <w14:textFill>
            <w14:solidFill>
              <w14:schemeClr w14:val="tx1"/>
            </w14:solidFill>
          </w14:textFill>
        </w:rPr>
        <w:t>一是</w:t>
      </w:r>
      <w:r>
        <w:rPr>
          <w:rFonts w:hint="eastAsia" w:ascii="仿宋_GB2312" w:hAnsi="Times New Roman" w:eastAsia="仿宋_GB2312" w:cs="Times New Roman"/>
          <w:color w:val="000000" w:themeColor="text1"/>
          <w:sz w:val="32"/>
          <w:szCs w:val="32"/>
          <w:highlight w:val="none"/>
          <w:u w:val="none"/>
          <w:lang w:val="en-US" w:eastAsia="zh-CN"/>
          <w14:textFill>
            <w14:solidFill>
              <w14:schemeClr w14:val="tx1"/>
            </w14:solidFill>
          </w14:textFill>
        </w:rPr>
        <w:t>大豆玉米带状复合种植完成</w:t>
      </w:r>
      <w:r>
        <w:rPr>
          <w:rFonts w:hint="eastAsia" w:ascii="仿宋_GB2312" w:hAnsi="仿宋_GB2312" w:eastAsia="仿宋_GB2312" w:cs="仿宋_GB2312"/>
          <w:color w:val="000000" w:themeColor="text1"/>
          <w:sz w:val="32"/>
          <w:szCs w:val="32"/>
          <w:highlight w:val="none"/>
          <w:u w:val="none"/>
          <w:lang w:val="en-US" w:eastAsia="zh-CN"/>
          <w14:textFill>
            <w14:solidFill>
              <w14:schemeClr w14:val="tx1"/>
            </w14:solidFill>
          </w14:textFill>
        </w:rPr>
        <w:t>2338.62亩，高于全县下达2000亩的目标任务，为全县的稳产保供工作切实贡献姚家力量。</w:t>
      </w:r>
      <w:r>
        <w:rPr>
          <w:rFonts w:hint="eastAsia" w:ascii="仿宋_GB2312" w:hAnsi="Times New Roman" w:eastAsia="仿宋_GB2312" w:cs="Times New Roman"/>
          <w:color w:val="000000" w:themeColor="text1"/>
          <w:sz w:val="32"/>
          <w:szCs w:val="32"/>
          <w:highlight w:val="none"/>
          <w:u w:val="none"/>
          <w:lang w:val="en-US" w:eastAsia="zh-CN"/>
          <w14:textFill>
            <w14:solidFill>
              <w14:schemeClr w14:val="tx1"/>
            </w14:solidFill>
          </w14:textFill>
        </w:rPr>
        <w:t>烤烟产业稳步推进，圆满完成1550亩烟叶发展任务。</w:t>
      </w:r>
      <w:r>
        <w:rPr>
          <w:rFonts w:hint="eastAsia" w:ascii="仿宋_GB2312" w:hAnsi="Times New Roman" w:eastAsia="仿宋_GB2312" w:cs="Times New Roman"/>
          <w:b/>
          <w:bCs/>
          <w:color w:val="000000" w:themeColor="text1"/>
          <w:sz w:val="32"/>
          <w:szCs w:val="32"/>
          <w:highlight w:val="none"/>
          <w:u w:val="none"/>
          <w:lang w:eastAsia="zh-CN"/>
          <w14:textFill>
            <w14:solidFill>
              <w14:schemeClr w14:val="tx1"/>
            </w14:solidFill>
          </w14:textFill>
        </w:rPr>
        <w:t>二是</w:t>
      </w:r>
      <w:r>
        <w:rPr>
          <w:rFonts w:hint="eastAsia" w:ascii="仿宋_GB2312" w:hAnsi="Times New Roman" w:eastAsia="仿宋_GB2312" w:cs="Times New Roman"/>
          <w:color w:val="000000" w:themeColor="text1"/>
          <w:sz w:val="32"/>
          <w:szCs w:val="32"/>
          <w:highlight w:val="none"/>
          <w:u w:val="none"/>
          <w:lang w:eastAsia="zh-CN"/>
          <w14:textFill>
            <w14:solidFill>
              <w14:schemeClr w14:val="tx1"/>
            </w14:solidFill>
          </w14:textFill>
        </w:rPr>
        <w:t>主要粮食作物种植面积不断增加，全年累计</w:t>
      </w: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完成</w:t>
      </w:r>
      <w:r>
        <w:rPr>
          <w:rFonts w:hint="eastAsia" w:ascii="仿宋_GB2312" w:hAnsi="仿宋_GB2312" w:eastAsia="仿宋_GB2312" w:cs="仿宋_GB2312"/>
          <w:color w:val="000000" w:themeColor="text1"/>
          <w:sz w:val="32"/>
          <w:szCs w:val="32"/>
          <w:highlight w:val="none"/>
          <w:u w:val="none"/>
          <w:lang w:eastAsia="zh-CN"/>
          <w14:textFill>
            <w14:solidFill>
              <w14:schemeClr w14:val="tx1"/>
            </w14:solidFill>
          </w14:textFill>
        </w:rPr>
        <w:t>粮食作物</w:t>
      </w: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播种面积</w:t>
      </w:r>
      <w:r>
        <w:rPr>
          <w:rFonts w:hint="eastAsia" w:ascii="仿宋_GB2312" w:hAnsi="仿宋_GB2312" w:eastAsia="仿宋_GB2312" w:cs="仿宋_GB2312"/>
          <w:color w:val="000000" w:themeColor="text1"/>
          <w:sz w:val="32"/>
          <w:szCs w:val="32"/>
          <w:highlight w:val="none"/>
          <w:u w:val="none"/>
          <w:lang w:val="en-US" w:eastAsia="zh-CN"/>
          <w14:textFill>
            <w14:solidFill>
              <w14:schemeClr w14:val="tx1"/>
            </w14:solidFill>
          </w14:textFill>
        </w:rPr>
        <w:t>34287</w:t>
      </w: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亩、</w:t>
      </w:r>
      <w:r>
        <w:rPr>
          <w:rFonts w:hint="eastAsia" w:ascii="仿宋_GB2312" w:hAnsi="仿宋_GB2312" w:eastAsia="仿宋_GB2312" w:cs="仿宋_GB2312"/>
          <w:color w:val="000000" w:themeColor="text1"/>
          <w:sz w:val="32"/>
          <w:szCs w:val="32"/>
          <w:highlight w:val="none"/>
          <w:u w:val="none"/>
          <w:lang w:eastAsia="zh-CN"/>
          <w14:textFill>
            <w14:solidFill>
              <w14:schemeClr w14:val="tx1"/>
            </w14:solidFill>
          </w14:textFill>
        </w:rPr>
        <w:t>产量</w:t>
      </w:r>
      <w:r>
        <w:rPr>
          <w:rFonts w:hint="eastAsia" w:ascii="仿宋_GB2312" w:hAnsi="仿宋_GB2312" w:eastAsia="仿宋_GB2312" w:cs="仿宋_GB2312"/>
          <w:color w:val="000000" w:themeColor="text1"/>
          <w:sz w:val="32"/>
          <w:szCs w:val="32"/>
          <w:highlight w:val="none"/>
          <w:u w:val="none"/>
          <w:lang w:val="en-US" w:eastAsia="zh-CN"/>
          <w14:textFill>
            <w14:solidFill>
              <w14:schemeClr w14:val="tx1"/>
            </w14:solidFill>
          </w14:textFill>
        </w:rPr>
        <w:t>11658吨。</w:t>
      </w:r>
      <w:r>
        <w:rPr>
          <w:rFonts w:hint="eastAsia" w:ascii="仿宋_GB2312" w:hAnsi="仿宋_GB2312" w:eastAsia="仿宋_GB2312" w:cs="仿宋_GB2312"/>
          <w:color w:val="000000" w:themeColor="text1"/>
          <w:sz w:val="32"/>
          <w:szCs w:val="32"/>
          <w:highlight w:val="none"/>
          <w:u w:val="none"/>
          <w:lang w:eastAsia="zh-CN"/>
          <w14:textFill>
            <w14:solidFill>
              <w14:schemeClr w14:val="tx1"/>
            </w14:solidFill>
          </w14:textFill>
        </w:rPr>
        <w:t>油料作物播种面积</w:t>
      </w:r>
      <w:r>
        <w:rPr>
          <w:rFonts w:hint="eastAsia" w:ascii="仿宋_GB2312" w:hAnsi="仿宋_GB2312" w:eastAsia="仿宋_GB2312" w:cs="仿宋_GB2312"/>
          <w:color w:val="000000" w:themeColor="text1"/>
          <w:sz w:val="32"/>
          <w:szCs w:val="32"/>
          <w:highlight w:val="none"/>
          <w:u w:val="none"/>
          <w:lang w:val="en-US" w:eastAsia="zh-CN"/>
          <w14:textFill>
            <w14:solidFill>
              <w14:schemeClr w14:val="tx1"/>
            </w14:solidFill>
          </w14:textFill>
        </w:rPr>
        <w:t>15407亩</w:t>
      </w: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w:t>
      </w:r>
      <w:r>
        <w:rPr>
          <w:rFonts w:hint="eastAsia" w:ascii="仿宋_GB2312" w:hAnsi="仿宋_GB2312" w:eastAsia="仿宋_GB2312" w:cs="仿宋_GB2312"/>
          <w:color w:val="000000" w:themeColor="text1"/>
          <w:sz w:val="32"/>
          <w:szCs w:val="32"/>
          <w:highlight w:val="none"/>
          <w:u w:val="none"/>
          <w:lang w:eastAsia="zh-CN"/>
          <w14:textFill>
            <w14:solidFill>
              <w14:schemeClr w14:val="tx1"/>
            </w14:solidFill>
          </w14:textFill>
        </w:rPr>
        <w:t>产量</w:t>
      </w:r>
      <w:r>
        <w:rPr>
          <w:rFonts w:hint="eastAsia" w:ascii="仿宋_GB2312" w:hAnsi="仿宋_GB2312" w:eastAsia="仿宋_GB2312" w:cs="仿宋_GB2312"/>
          <w:color w:val="000000" w:themeColor="text1"/>
          <w:sz w:val="32"/>
          <w:szCs w:val="32"/>
          <w:highlight w:val="none"/>
          <w:u w:val="none"/>
          <w:lang w:val="en-US" w:eastAsia="zh-CN"/>
          <w14:textFill>
            <w14:solidFill>
              <w14:schemeClr w14:val="tx1"/>
            </w14:solidFill>
          </w14:textFill>
        </w:rPr>
        <w:t>3235吨，</w:t>
      </w: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粮食综合生产能力</w:t>
      </w:r>
      <w:r>
        <w:rPr>
          <w:rFonts w:hint="eastAsia" w:ascii="仿宋_GB2312" w:hAnsi="仿宋_GB2312" w:eastAsia="仿宋_GB2312" w:cs="仿宋_GB2312"/>
          <w:color w:val="000000" w:themeColor="text1"/>
          <w:sz w:val="32"/>
          <w:szCs w:val="32"/>
          <w:highlight w:val="none"/>
          <w:u w:val="none"/>
          <w:lang w:eastAsia="zh-CN"/>
          <w14:textFill>
            <w14:solidFill>
              <w14:schemeClr w14:val="tx1"/>
            </w14:solidFill>
          </w14:textFill>
        </w:rPr>
        <w:t>和</w:t>
      </w: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自给率</w:t>
      </w:r>
      <w:r>
        <w:rPr>
          <w:rFonts w:hint="eastAsia" w:ascii="仿宋_GB2312" w:hAnsi="仿宋_GB2312" w:eastAsia="仿宋_GB2312" w:cs="仿宋_GB2312"/>
          <w:color w:val="000000" w:themeColor="text1"/>
          <w:sz w:val="32"/>
          <w:szCs w:val="32"/>
          <w:highlight w:val="none"/>
          <w:u w:val="none"/>
          <w:lang w:eastAsia="zh-CN"/>
          <w14:textFill>
            <w14:solidFill>
              <w14:schemeClr w14:val="tx1"/>
            </w14:solidFill>
          </w14:textFill>
        </w:rPr>
        <w:t>不断提升。</w:t>
      </w:r>
      <w:r>
        <w:rPr>
          <w:rFonts w:hint="eastAsia" w:ascii="仿宋_GB2312" w:hAnsi="仿宋_GB2312" w:eastAsia="仿宋_GB2312" w:cs="仿宋_GB2312"/>
          <w:b/>
          <w:bCs/>
          <w:color w:val="000000" w:themeColor="text1"/>
          <w:sz w:val="32"/>
          <w:szCs w:val="32"/>
          <w:highlight w:val="none"/>
          <w:u w:val="none"/>
          <w:lang w:eastAsia="zh-CN"/>
          <w14:textFill>
            <w14:solidFill>
              <w14:schemeClr w14:val="tx1"/>
            </w14:solidFill>
          </w14:textFill>
        </w:rPr>
        <w:t>三是</w:t>
      </w:r>
      <w:r>
        <w:rPr>
          <w:rFonts w:hint="eastAsia" w:ascii="仿宋_GB2312" w:hAnsi="Times New Roman" w:eastAsia="仿宋_GB2312" w:cs="Times New Roman"/>
          <w:color w:val="000000" w:themeColor="text1"/>
          <w:sz w:val="32"/>
          <w:szCs w:val="32"/>
          <w:highlight w:val="none"/>
          <w:u w:val="none"/>
          <w:lang w:val="en-US" w:eastAsia="zh-CN"/>
          <w14:textFill>
            <w14:solidFill>
              <w14:schemeClr w14:val="tx1"/>
            </w14:solidFill>
          </w14:textFill>
        </w:rPr>
        <w:t>畜禽养殖规模逐步扩大，全年累计实现</w:t>
      </w:r>
      <w:r>
        <w:rPr>
          <w:rFonts w:hint="eastAsia" w:ascii="仿宋_GB2312" w:hAnsi="仿宋_GB2312" w:eastAsia="仿宋_GB2312" w:cs="仿宋_GB2312"/>
          <w:color w:val="000000" w:themeColor="text1"/>
          <w:sz w:val="32"/>
          <w:szCs w:val="32"/>
          <w:highlight w:val="none"/>
          <w:u w:val="none"/>
          <w:lang w:val="en-US" w:eastAsia="zh-CN"/>
          <w14:textFill>
            <w14:solidFill>
              <w14:schemeClr w14:val="tx1"/>
            </w14:solidFill>
          </w14:textFill>
        </w:rPr>
        <w:t>生猪出</w:t>
      </w:r>
      <w:r>
        <w:rPr>
          <w:rFonts w:hint="eastAsia" w:ascii="仿宋_GB2312" w:hAnsi="仿宋_GB2312" w:eastAsia="仿宋_GB2312" w:cs="仿宋_GB2312"/>
          <w:i w:val="0"/>
          <w:iCs w:val="0"/>
          <w:color w:val="000000" w:themeColor="text1"/>
          <w:kern w:val="0"/>
          <w:sz w:val="32"/>
          <w:szCs w:val="32"/>
          <w:highlight w:val="none"/>
          <w:u w:val="none"/>
          <w:lang w:val="en-US" w:eastAsia="zh-CN" w:bidi="ar"/>
          <w14:textFill>
            <w14:solidFill>
              <w14:schemeClr w14:val="tx1"/>
            </w14:solidFill>
          </w14:textFill>
        </w:rPr>
        <w:t>栏26700头，能繁母猪存栏790头，超额完成县下达的目标任务。</w:t>
      </w:r>
      <w:r>
        <w:rPr>
          <w:rFonts w:hint="eastAsia" w:ascii="仿宋_GB2312" w:hAnsi="仿宋_GB2312" w:eastAsia="仿宋_GB2312" w:cs="仿宋_GB2312"/>
          <w:b/>
          <w:bCs/>
          <w:i w:val="0"/>
          <w:iCs w:val="0"/>
          <w:color w:val="000000" w:themeColor="text1"/>
          <w:kern w:val="0"/>
          <w:sz w:val="32"/>
          <w:szCs w:val="32"/>
          <w:highlight w:val="none"/>
          <w:u w:val="none"/>
          <w:lang w:val="en-US" w:eastAsia="zh-CN" w:bidi="ar"/>
          <w14:textFill>
            <w14:solidFill>
              <w14:schemeClr w14:val="tx1"/>
            </w14:solidFill>
          </w14:textFill>
        </w:rPr>
        <w:t>四是</w:t>
      </w:r>
      <w:r>
        <w:rPr>
          <w:rFonts w:hint="eastAsia" w:ascii="仿宋_GB2312" w:hAnsi="仿宋_GB2312" w:eastAsia="仿宋_GB2312" w:cs="仿宋_GB2312"/>
          <w:i w:val="0"/>
          <w:iCs w:val="0"/>
          <w:color w:val="000000" w:themeColor="text1"/>
          <w:kern w:val="0"/>
          <w:sz w:val="32"/>
          <w:szCs w:val="32"/>
          <w:highlight w:val="none"/>
          <w:u w:val="none"/>
          <w:lang w:val="en-US" w:eastAsia="zh-CN" w:bidi="ar"/>
          <w14:textFill>
            <w14:solidFill>
              <w14:schemeClr w14:val="tx1"/>
            </w14:solidFill>
          </w14:textFill>
        </w:rPr>
        <w:t>关刀河剑门关土鸡现代园已基本完成</w:t>
      </w:r>
      <w:r>
        <w:rPr>
          <w:rFonts w:hint="eastAsia" w:ascii="仿宋_GB2312" w:hAnsi="宋体" w:eastAsia="仿宋_GB2312" w:cs="仿宋_GB2312"/>
          <w:sz w:val="32"/>
          <w:szCs w:val="32"/>
          <w:highlight w:val="none"/>
          <w:u w:val="none"/>
        </w:rPr>
        <w:t>核心区建设</w:t>
      </w:r>
      <w:r>
        <w:rPr>
          <w:rFonts w:hint="eastAsia" w:ascii="仿宋_GB2312" w:hAnsi="宋体" w:eastAsia="仿宋_GB2312" w:cs="仿宋_GB2312"/>
          <w:sz w:val="32"/>
          <w:szCs w:val="32"/>
          <w:highlight w:val="none"/>
          <w:u w:val="none"/>
          <w:lang w:eastAsia="zh-CN"/>
        </w:rPr>
        <w:t>。目前，</w:t>
      </w:r>
      <w:r>
        <w:rPr>
          <w:rFonts w:hint="eastAsia" w:ascii="仿宋_GB2312" w:hAnsi="仿宋_GB2312" w:eastAsia="仿宋_GB2312" w:cs="仿宋_GB2312"/>
          <w:b w:val="0"/>
          <w:bCs w:val="0"/>
          <w:color w:val="000000" w:themeColor="text1"/>
          <w:sz w:val="32"/>
          <w:szCs w:val="32"/>
          <w:highlight w:val="none"/>
          <w:u w:val="none"/>
          <w:lang w:val="en-US" w:eastAsia="zh-CN"/>
          <w14:textFill>
            <w14:solidFill>
              <w14:schemeClr w14:val="tx1"/>
            </w14:solidFill>
          </w14:textFill>
        </w:rPr>
        <w:t>以“六大模式”为基础，</w:t>
      </w:r>
      <w:r>
        <w:rPr>
          <w:rFonts w:hint="eastAsia" w:ascii="仿宋_GB2312" w:hAnsi="仿宋_GB2312" w:eastAsia="仿宋_GB2312" w:cs="仿宋_GB2312"/>
          <w:b w:val="0"/>
          <w:bCs w:val="0"/>
          <w:color w:val="000000" w:themeColor="text1"/>
          <w:sz w:val="32"/>
          <w:szCs w:val="32"/>
          <w:highlight w:val="none"/>
          <w:u w:val="none"/>
          <w14:textFill>
            <w14:solidFill>
              <w14:schemeClr w14:val="tx1"/>
            </w14:solidFill>
          </w14:textFill>
        </w:rPr>
        <w:t>不断健全和完善多种形式的“农户+企业”“集体+企业”利益联结机制，让更多农户共享改革发展红利，让</w:t>
      </w:r>
      <w:r>
        <w:rPr>
          <w:rFonts w:hint="eastAsia" w:ascii="仿宋_GB2312" w:hAnsi="仿宋_GB2312" w:eastAsia="仿宋_GB2312" w:cs="仿宋_GB2312"/>
          <w:b w:val="0"/>
          <w:bCs w:val="0"/>
          <w:color w:val="000000" w:themeColor="text1"/>
          <w:sz w:val="32"/>
          <w:szCs w:val="32"/>
          <w:highlight w:val="none"/>
          <w:u w:val="none"/>
          <w:lang w:eastAsia="zh-CN"/>
          <w14:textFill>
            <w14:solidFill>
              <w14:schemeClr w14:val="tx1"/>
            </w14:solidFill>
          </w14:textFill>
        </w:rPr>
        <w:t>剑门关土鸡产业</w:t>
      </w:r>
      <w:r>
        <w:rPr>
          <w:rFonts w:hint="eastAsia" w:ascii="仿宋_GB2312" w:hAnsi="仿宋_GB2312" w:eastAsia="仿宋_GB2312" w:cs="仿宋_GB2312"/>
          <w:b w:val="0"/>
          <w:bCs w:val="0"/>
          <w:color w:val="000000" w:themeColor="text1"/>
          <w:sz w:val="32"/>
          <w:szCs w:val="32"/>
          <w:highlight w:val="none"/>
          <w:u w:val="none"/>
          <w14:textFill>
            <w14:solidFill>
              <w14:schemeClr w14:val="tx1"/>
            </w14:solidFill>
          </w14:textFill>
        </w:rPr>
        <w:t>成为</w:t>
      </w:r>
      <w:r>
        <w:rPr>
          <w:rFonts w:hint="eastAsia" w:ascii="仿宋_GB2312" w:hAnsi="仿宋_GB2312" w:eastAsia="仿宋_GB2312" w:cs="仿宋_GB2312"/>
          <w:b w:val="0"/>
          <w:bCs w:val="0"/>
          <w:color w:val="000000" w:themeColor="text1"/>
          <w:sz w:val="32"/>
          <w:szCs w:val="32"/>
          <w:highlight w:val="none"/>
          <w:u w:val="none"/>
          <w:lang w:eastAsia="zh-CN"/>
          <w14:textFill>
            <w14:solidFill>
              <w14:schemeClr w14:val="tx1"/>
            </w14:solidFill>
          </w14:textFill>
        </w:rPr>
        <w:t>脱贫</w:t>
      </w:r>
      <w:r>
        <w:rPr>
          <w:rFonts w:hint="eastAsia" w:ascii="仿宋_GB2312" w:hAnsi="仿宋_GB2312" w:eastAsia="仿宋_GB2312" w:cs="仿宋_GB2312"/>
          <w:b w:val="0"/>
          <w:bCs w:val="0"/>
          <w:color w:val="000000" w:themeColor="text1"/>
          <w:sz w:val="32"/>
          <w:szCs w:val="32"/>
          <w:highlight w:val="none"/>
          <w:u w:val="none"/>
          <w14:textFill>
            <w14:solidFill>
              <w14:schemeClr w14:val="tx1"/>
            </w14:solidFill>
          </w14:textFill>
        </w:rPr>
        <w:t>群众增收</w:t>
      </w:r>
      <w:r>
        <w:rPr>
          <w:rFonts w:hint="eastAsia" w:ascii="仿宋_GB2312" w:hAnsi="仿宋_GB2312" w:eastAsia="仿宋_GB2312" w:cs="仿宋_GB2312"/>
          <w:b w:val="0"/>
          <w:bCs w:val="0"/>
          <w:color w:val="000000" w:themeColor="text1"/>
          <w:sz w:val="32"/>
          <w:szCs w:val="32"/>
          <w:highlight w:val="none"/>
          <w:u w:val="none"/>
          <w:lang w:eastAsia="zh-CN"/>
          <w14:textFill>
            <w14:solidFill>
              <w14:schemeClr w14:val="tx1"/>
            </w14:solidFill>
          </w14:textFill>
        </w:rPr>
        <w:t>致富</w:t>
      </w:r>
      <w:r>
        <w:rPr>
          <w:rFonts w:hint="eastAsia" w:ascii="仿宋_GB2312" w:hAnsi="仿宋_GB2312" w:eastAsia="仿宋_GB2312" w:cs="仿宋_GB2312"/>
          <w:b w:val="0"/>
          <w:bCs w:val="0"/>
          <w:color w:val="000000" w:themeColor="text1"/>
          <w:sz w:val="32"/>
          <w:szCs w:val="32"/>
          <w:highlight w:val="none"/>
          <w:u w:val="none"/>
          <w14:textFill>
            <w14:solidFill>
              <w14:schemeClr w14:val="tx1"/>
            </w14:solidFill>
          </w14:textFill>
        </w:rPr>
        <w:t>的“源头活水”</w:t>
      </w:r>
      <w:r>
        <w:rPr>
          <w:rFonts w:hint="eastAsia" w:ascii="仿宋_GB2312" w:hAnsi="仿宋_GB2312" w:eastAsia="仿宋_GB2312" w:cs="仿宋_GB2312"/>
          <w:b w:val="0"/>
          <w:bCs w:val="0"/>
          <w:color w:val="000000" w:themeColor="text1"/>
          <w:sz w:val="32"/>
          <w:szCs w:val="32"/>
          <w:highlight w:val="none"/>
          <w:u w:val="none"/>
          <w:lang w:val="en-US" w:eastAsia="zh-CN"/>
          <w14:textFill>
            <w14:solidFill>
              <w14:schemeClr w14:val="tx1"/>
            </w14:solidFill>
          </w14:textFill>
        </w:rPr>
        <w:t>。</w:t>
      </w:r>
      <w:r>
        <w:rPr>
          <w:rFonts w:hint="eastAsia" w:ascii="仿宋_GB2312" w:hAnsi="仿宋_GB2312" w:eastAsia="仿宋_GB2312" w:cs="仿宋_GB2312"/>
          <w:b/>
          <w:bCs/>
          <w:color w:val="000000" w:themeColor="text1"/>
          <w:sz w:val="32"/>
          <w:szCs w:val="32"/>
          <w:highlight w:val="none"/>
          <w:u w:val="none"/>
          <w:lang w:val="en-US" w:eastAsia="zh-CN"/>
          <w14:textFill>
            <w14:solidFill>
              <w14:schemeClr w14:val="tx1"/>
            </w14:solidFill>
          </w14:textFill>
        </w:rPr>
        <w:t>五是</w:t>
      </w:r>
      <w:r>
        <w:rPr>
          <w:rFonts w:hint="eastAsia" w:ascii="仿宋_GB2312" w:hAnsi="仿宋_GB2312" w:eastAsia="仿宋_GB2312" w:cs="仿宋_GB2312"/>
          <w:sz w:val="32"/>
          <w:szCs w:val="32"/>
          <w:highlight w:val="none"/>
          <w:u w:val="none"/>
          <w:lang w:eastAsia="zh-CN"/>
        </w:rPr>
        <w:t>位于</w:t>
      </w:r>
      <w:r>
        <w:rPr>
          <w:rFonts w:hint="eastAsia" w:ascii="仿宋_GB2312" w:hAnsi="仿宋_GB2312" w:eastAsia="仿宋_GB2312" w:cs="仿宋_GB2312"/>
          <w:sz w:val="32"/>
          <w:szCs w:val="32"/>
          <w:highlight w:val="none"/>
          <w:u w:val="none"/>
        </w:rPr>
        <w:t>银溪村和天字村</w:t>
      </w:r>
      <w:r>
        <w:rPr>
          <w:rFonts w:hint="eastAsia" w:ascii="仿宋_GB2312" w:hAnsi="仿宋_GB2312" w:eastAsia="仿宋_GB2312" w:cs="仿宋_GB2312"/>
          <w:sz w:val="32"/>
          <w:szCs w:val="32"/>
          <w:highlight w:val="none"/>
          <w:u w:val="none"/>
          <w:lang w:eastAsia="zh-CN"/>
        </w:rPr>
        <w:t>境内的五指山旅游度假区稳步推进实施，正式开园之后我镇将彻底迎来农旅产业融合发展的新业态。</w:t>
      </w:r>
    </w:p>
    <w:p>
      <w:pPr>
        <w:keepNext w:val="0"/>
        <w:keepLines w:val="0"/>
        <w:pageBreakBefore w:val="0"/>
        <w:kinsoku/>
        <w:wordWrap/>
        <w:overflowPunct/>
        <w:topLinePunct w:val="0"/>
        <w:autoSpaceDE/>
        <w:autoSpaceDN/>
        <w:bidi w:val="0"/>
        <w:adjustRightInd/>
        <w:snapToGrid/>
        <w:spacing w:line="576" w:lineRule="exact"/>
        <w:ind w:firstLine="643" w:firstLineChars="200"/>
        <w:jc w:val="both"/>
        <w:textAlignment w:val="auto"/>
        <w:rPr>
          <w:rFonts w:hint="default" w:ascii="仿宋_GB2312" w:hAnsi="仿宋_GB2312" w:eastAsia="仿宋_GB2312" w:cs="仿宋_GB2312"/>
          <w:b w:val="0"/>
          <w:i w:val="0"/>
          <w:caps w:val="0"/>
          <w:color w:val="000000" w:themeColor="text1"/>
          <w:spacing w:val="0"/>
          <w:kern w:val="0"/>
          <w:sz w:val="32"/>
          <w:szCs w:val="32"/>
          <w:highlight w:val="none"/>
          <w:u w:val="none"/>
          <w:lang w:val="en-US" w:eastAsia="zh-CN" w:bidi="ar"/>
          <w14:textFill>
            <w14:solidFill>
              <w14:schemeClr w14:val="tx1"/>
            </w14:solidFill>
          </w14:textFill>
        </w:rPr>
      </w:pPr>
      <w:r>
        <w:rPr>
          <w:rFonts w:hint="eastAsia" w:ascii="黑体" w:hAnsi="黑体" w:eastAsia="黑体" w:cs="黑体"/>
          <w:b/>
          <w:bCs w:val="0"/>
          <w:color w:val="auto"/>
          <w:sz w:val="32"/>
          <w:szCs w:val="32"/>
          <w:highlight w:val="none"/>
        </w:rPr>
        <w:t>——</w:t>
      </w:r>
      <w:r>
        <w:rPr>
          <w:rFonts w:hint="eastAsia" w:ascii="黑体" w:hAnsi="黑体" w:eastAsia="黑体" w:cs="黑体"/>
          <w:b/>
          <w:bCs w:val="0"/>
          <w:sz w:val="32"/>
          <w:szCs w:val="32"/>
          <w:highlight w:val="none"/>
          <w:u w:val="none"/>
          <w:lang w:val="en-US" w:eastAsia="zh-CN"/>
        </w:rPr>
        <w:t>我们</w:t>
      </w:r>
      <w:r>
        <w:rPr>
          <w:rFonts w:hint="eastAsia" w:ascii="黑体" w:hAnsi="黑体" w:eastAsia="黑体" w:cs="黑体"/>
          <w:b/>
          <w:bCs w:val="0"/>
          <w:color w:val="000000" w:themeColor="text1"/>
          <w:sz w:val="32"/>
          <w:szCs w:val="32"/>
          <w:highlight w:val="none"/>
          <w:u w:val="none"/>
          <w:lang w:val="en-US" w:eastAsia="zh-CN"/>
          <w14:textFill>
            <w14:solidFill>
              <w14:schemeClr w14:val="tx1"/>
            </w14:solidFill>
          </w14:textFill>
        </w:rPr>
        <w:t>突出民生导向，夯实社会保障底线。</w:t>
      </w:r>
      <w:r>
        <w:rPr>
          <w:rFonts w:hint="eastAsia" w:ascii="仿宋_GB2312" w:hAnsi="Times New Roman" w:eastAsia="仿宋_GB2312" w:cs="Times New Roman"/>
          <w:color w:val="000000" w:themeColor="text1"/>
          <w:sz w:val="32"/>
          <w:szCs w:val="32"/>
          <w:highlight w:val="none"/>
          <w:u w:val="none"/>
          <w:lang w:val="en-US" w:eastAsia="zh-CN"/>
          <w14:textFill>
            <w14:solidFill>
              <w14:schemeClr w14:val="tx1"/>
            </w14:solidFill>
          </w14:textFill>
        </w:rPr>
        <w:t>始终坚持以人民为中心的发展思想</w:t>
      </w:r>
      <w:r>
        <w:rPr>
          <w:rFonts w:hint="eastAsia" w:ascii="仿宋_GB2312" w:eastAsia="仿宋_GB2312" w:cs="Times New Roman"/>
          <w:color w:val="000000" w:themeColor="text1"/>
          <w:sz w:val="32"/>
          <w:szCs w:val="32"/>
          <w:highlight w:val="none"/>
          <w:u w:val="none"/>
          <w:lang w:val="en-US" w:eastAsia="zh-CN"/>
          <w14:textFill>
            <w14:solidFill>
              <w14:schemeClr w14:val="tx1"/>
            </w14:solidFill>
          </w14:textFill>
        </w:rPr>
        <w:t>，</w:t>
      </w:r>
      <w:r>
        <w:rPr>
          <w:rFonts w:hint="eastAsia" w:ascii="仿宋_GB2312" w:hAnsi="Times New Roman" w:eastAsia="仿宋_GB2312" w:cs="Times New Roman"/>
          <w:color w:val="000000" w:themeColor="text1"/>
          <w:sz w:val="32"/>
          <w:szCs w:val="32"/>
          <w:highlight w:val="none"/>
          <w:u w:val="none"/>
          <w:lang w:val="en-US" w:eastAsia="zh-CN"/>
          <w14:textFill>
            <w14:solidFill>
              <w14:schemeClr w14:val="tx1"/>
            </w14:solidFill>
          </w14:textFill>
        </w:rPr>
        <w:t>切实</w:t>
      </w:r>
      <w:r>
        <w:rPr>
          <w:rFonts w:hint="default" w:ascii="仿宋_GB2312" w:hAnsi="Times New Roman" w:eastAsia="仿宋_GB2312" w:cs="Times New Roman"/>
          <w:color w:val="000000" w:themeColor="text1"/>
          <w:sz w:val="32"/>
          <w:szCs w:val="32"/>
          <w:highlight w:val="none"/>
          <w:u w:val="none"/>
          <w:lang w:val="en-US" w:eastAsia="zh-CN"/>
          <w14:textFill>
            <w14:solidFill>
              <w14:schemeClr w14:val="tx1"/>
            </w14:solidFill>
          </w14:textFill>
        </w:rPr>
        <w:t>提高民生保障水平</w:t>
      </w:r>
      <w:r>
        <w:rPr>
          <w:rFonts w:hint="eastAsia" w:ascii="仿宋_GB2312" w:eastAsia="仿宋_GB2312" w:cs="Times New Roman"/>
          <w:color w:val="000000" w:themeColor="text1"/>
          <w:sz w:val="32"/>
          <w:szCs w:val="32"/>
          <w:highlight w:val="none"/>
          <w:u w:val="none"/>
          <w:lang w:val="en-US" w:eastAsia="zh-CN"/>
          <w14:textFill>
            <w14:solidFill>
              <w14:schemeClr w14:val="tx1"/>
            </w14:solidFill>
          </w14:textFill>
        </w:rPr>
        <w:t>，</w:t>
      </w:r>
      <w:r>
        <w:rPr>
          <w:rFonts w:hint="default" w:ascii="仿宋_GB2312" w:hAnsi="Times New Roman" w:eastAsia="仿宋_GB2312" w:cs="Times New Roman"/>
          <w:color w:val="000000" w:themeColor="text1"/>
          <w:sz w:val="32"/>
          <w:szCs w:val="32"/>
          <w:highlight w:val="none"/>
          <w:u w:val="none"/>
          <w:lang w:val="en-US" w:eastAsia="zh-CN"/>
          <w14:textFill>
            <w14:solidFill>
              <w14:schemeClr w14:val="tx1"/>
            </w14:solidFill>
          </w14:textFill>
        </w:rPr>
        <w:t>兜牢民生底线</w:t>
      </w:r>
      <w:r>
        <w:rPr>
          <w:rFonts w:hint="eastAsia" w:ascii="仿宋_GB2312" w:hAnsi="Times New Roman" w:eastAsia="仿宋_GB2312" w:cs="Times New Roman"/>
          <w:color w:val="000000" w:themeColor="text1"/>
          <w:sz w:val="32"/>
          <w:szCs w:val="32"/>
          <w:highlight w:val="none"/>
          <w:u w:val="none"/>
          <w:lang w:val="en-US" w:eastAsia="zh-CN"/>
          <w14:textFill>
            <w14:solidFill>
              <w14:schemeClr w14:val="tx1"/>
            </w14:solidFill>
          </w14:textFill>
        </w:rPr>
        <w:t>。</w:t>
      </w:r>
      <w:r>
        <w:rPr>
          <w:rFonts w:hint="eastAsia" w:ascii="仿宋_GB2312" w:hAnsi="Times New Roman" w:eastAsia="仿宋_GB2312" w:cs="Times New Roman"/>
          <w:b/>
          <w:bCs/>
          <w:color w:val="000000" w:themeColor="text1"/>
          <w:sz w:val="32"/>
          <w:szCs w:val="32"/>
          <w:highlight w:val="none"/>
          <w:u w:val="none"/>
          <w:lang w:val="en-US" w:eastAsia="zh-CN"/>
          <w14:textFill>
            <w14:solidFill>
              <w14:schemeClr w14:val="tx1"/>
            </w14:solidFill>
          </w14:textFill>
        </w:rPr>
        <w:t>一是</w:t>
      </w:r>
      <w:r>
        <w:rPr>
          <w:rFonts w:hint="default" w:ascii="仿宋_GB2312" w:hAnsi="Times New Roman" w:eastAsia="仿宋_GB2312" w:cs="Times New Roman"/>
          <w:color w:val="000000" w:themeColor="text1"/>
          <w:sz w:val="32"/>
          <w:szCs w:val="32"/>
          <w:highlight w:val="none"/>
          <w:u w:val="none"/>
          <w:lang w:val="en-US" w:eastAsia="zh-CN"/>
          <w14:textFill>
            <w14:solidFill>
              <w14:schemeClr w14:val="tx1"/>
            </w14:solidFill>
          </w14:textFill>
        </w:rPr>
        <w:t>积极扩大医疗、养老、教育</w:t>
      </w:r>
      <w:r>
        <w:rPr>
          <w:rFonts w:hint="eastAsia" w:ascii="仿宋_GB2312" w:hAnsi="Times New Roman" w:eastAsia="仿宋_GB2312" w:cs="Times New Roman"/>
          <w:color w:val="000000" w:themeColor="text1"/>
          <w:sz w:val="32"/>
          <w:szCs w:val="32"/>
          <w:highlight w:val="none"/>
          <w:u w:val="none"/>
          <w:lang w:val="en-US" w:eastAsia="zh-CN"/>
          <w14:textFill>
            <w14:solidFill>
              <w14:schemeClr w14:val="tx1"/>
            </w14:solidFill>
          </w14:textFill>
        </w:rPr>
        <w:t>、就业</w:t>
      </w:r>
      <w:r>
        <w:rPr>
          <w:rFonts w:hint="default" w:ascii="仿宋_GB2312" w:hAnsi="Times New Roman" w:eastAsia="仿宋_GB2312" w:cs="Times New Roman"/>
          <w:color w:val="000000" w:themeColor="text1"/>
          <w:sz w:val="32"/>
          <w:szCs w:val="32"/>
          <w:highlight w:val="none"/>
          <w:u w:val="none"/>
          <w:lang w:val="en-US" w:eastAsia="zh-CN"/>
          <w14:textFill>
            <w14:solidFill>
              <w14:schemeClr w14:val="tx1"/>
            </w14:solidFill>
          </w14:textFill>
        </w:rPr>
        <w:t>等服务供给</w:t>
      </w:r>
      <w:r>
        <w:rPr>
          <w:rFonts w:hint="eastAsia" w:ascii="仿宋_GB2312" w:hAnsi="Times New Roman" w:eastAsia="仿宋_GB2312" w:cs="Times New Roman"/>
          <w:color w:val="000000" w:themeColor="text1"/>
          <w:sz w:val="32"/>
          <w:szCs w:val="32"/>
          <w:highlight w:val="none"/>
          <w:u w:val="none"/>
          <w:lang w:val="en-US" w:eastAsia="zh-CN"/>
          <w14:textFill>
            <w14:solidFill>
              <w14:schemeClr w14:val="tx1"/>
            </w14:solidFill>
          </w14:textFill>
        </w:rPr>
        <w:t>。全镇新增最低生活保障7户13人；</w:t>
      </w:r>
      <w:r>
        <w:rPr>
          <w:rFonts w:hint="eastAsia" w:ascii="仿宋_GB2312" w:hAnsi="仿宋_GB2312" w:eastAsia="仿宋_GB2312" w:cs="仿宋_GB2312"/>
          <w:color w:val="000000" w:themeColor="text1"/>
          <w:kern w:val="2"/>
          <w:sz w:val="32"/>
          <w:szCs w:val="32"/>
          <w:highlight w:val="none"/>
          <w:u w:val="none"/>
          <w:lang w:val="en-US" w:eastAsia="zh-CN" w:bidi="ar-SA"/>
          <w14:textFill>
            <w14:solidFill>
              <w14:schemeClr w14:val="tx1"/>
            </w14:solidFill>
          </w14:textFill>
        </w:rPr>
        <w:t>城乡居民基本医疗保险参保人数达10158人，参保率达到99.72%，完成率居全县第二；城乡居民基本养老保险参保人数</w:t>
      </w:r>
      <w:r>
        <w:rPr>
          <w:rFonts w:hint="eastAsia" w:ascii="仿宋_GB2312" w:hAnsi="仿宋_GB2312" w:eastAsia="仿宋_GB2312" w:cs="仿宋_GB2312"/>
          <w:color w:val="000000" w:themeColor="text1"/>
          <w:sz w:val="32"/>
          <w:szCs w:val="32"/>
          <w:highlight w:val="none"/>
          <w:u w:val="none"/>
          <w:lang w:val="en-US" w:eastAsia="zh-CN"/>
          <w14:textFill>
            <w14:solidFill>
              <w14:schemeClr w14:val="tx1"/>
            </w14:solidFill>
          </w14:textFill>
        </w:rPr>
        <w:t>9818</w:t>
      </w:r>
      <w:r>
        <w:rPr>
          <w:rFonts w:hint="eastAsia" w:ascii="仿宋_GB2312" w:hAnsi="仿宋_GB2312" w:eastAsia="仿宋_GB2312" w:cs="仿宋_GB2312"/>
          <w:color w:val="000000" w:themeColor="text1"/>
          <w:kern w:val="2"/>
          <w:sz w:val="32"/>
          <w:szCs w:val="32"/>
          <w:highlight w:val="none"/>
          <w:u w:val="none"/>
          <w:lang w:val="en-US" w:eastAsia="zh-CN" w:bidi="ar-SA"/>
          <w14:textFill>
            <w14:solidFill>
              <w14:schemeClr w14:val="tx1"/>
            </w14:solidFill>
          </w14:textFill>
        </w:rPr>
        <w:t>人，参保率达到91%；</w:t>
      </w:r>
      <w:r>
        <w:rPr>
          <w:rFonts w:hint="eastAsia" w:ascii="仿宋_GB2312" w:hAnsi="Times New Roman" w:eastAsia="仿宋_GB2312" w:cs="Times New Roman"/>
          <w:color w:val="000000" w:themeColor="text1"/>
          <w:sz w:val="32"/>
          <w:szCs w:val="32"/>
          <w:highlight w:val="none"/>
          <w:u w:val="none"/>
          <w:lang w:val="en-US" w:eastAsia="zh-CN"/>
          <w14:textFill>
            <w14:solidFill>
              <w14:schemeClr w14:val="tx1"/>
            </w14:solidFill>
          </w14:textFill>
        </w:rPr>
        <w:t>全年实施医疗救助25人</w:t>
      </w:r>
      <w:r>
        <w:rPr>
          <w:rFonts w:hint="eastAsia" w:ascii="仿宋_GB2312" w:hAnsi="仿宋_GB2312" w:eastAsia="仿宋_GB2312" w:cs="仿宋_GB2312"/>
          <w:color w:val="000000" w:themeColor="text1"/>
          <w:kern w:val="2"/>
          <w:sz w:val="32"/>
          <w:szCs w:val="32"/>
          <w:highlight w:val="none"/>
          <w:u w:val="none"/>
          <w:lang w:val="en-US" w:eastAsia="zh-CN" w:bidi="ar-SA"/>
          <w14:textFill>
            <w14:solidFill>
              <w14:schemeClr w14:val="tx1"/>
            </w14:solidFill>
          </w14:textFill>
        </w:rPr>
        <w:t>；开展“春风送岗”行动，省内20多家企业及代办机构提供就业岗位2000个，有效促进了辖区劳动者与企业精准对接；成立劳务专业合作社，在家劳动力入社人数达1316人，对接用工主体18次，社员累计务工收入达10万余元；提供人社公益性岗位72个、护林员岗位44个、水管员岗位10个，助力已脱贫人口、低收入人口等困难群体实现就业。</w:t>
      </w:r>
      <w:r>
        <w:rPr>
          <w:rFonts w:hint="eastAsia" w:ascii="仿宋_GB2312" w:hAnsi="仿宋_GB2312" w:eastAsia="仿宋_GB2312" w:cs="仿宋_GB2312"/>
          <w:b/>
          <w:bCs/>
          <w:color w:val="000000" w:themeColor="text1"/>
          <w:kern w:val="2"/>
          <w:sz w:val="32"/>
          <w:szCs w:val="32"/>
          <w:highlight w:val="none"/>
          <w:u w:val="none"/>
          <w:lang w:val="en-US" w:eastAsia="zh-CN" w:bidi="ar-SA"/>
          <w14:textFill>
            <w14:solidFill>
              <w14:schemeClr w14:val="tx1"/>
            </w14:solidFill>
          </w14:textFill>
        </w:rPr>
        <w:t>二是</w:t>
      </w:r>
      <w:r>
        <w:rPr>
          <w:rFonts w:hint="eastAsia" w:ascii="仿宋_GB2312" w:hAnsi="仿宋_GB2312" w:eastAsia="仿宋_GB2312" w:cs="仿宋_GB2312"/>
          <w:b w:val="0"/>
          <w:bCs w:val="0"/>
          <w:color w:val="000000" w:themeColor="text1"/>
          <w:kern w:val="2"/>
          <w:sz w:val="32"/>
          <w:szCs w:val="32"/>
          <w:highlight w:val="none"/>
          <w:u w:val="none"/>
          <w:lang w:val="en-US" w:eastAsia="zh-CN" w:bidi="ar-SA"/>
          <w14:textFill>
            <w14:solidFill>
              <w14:schemeClr w14:val="tx1"/>
            </w14:solidFill>
          </w14:textFill>
        </w:rPr>
        <w:t>强化基础设施建设。实施明兴村、元宝村和繁荣村“厕所革命”合计402户，已进入验收阶段</w:t>
      </w:r>
      <w:r>
        <w:rPr>
          <w:rFonts w:hint="eastAsia" w:ascii="仿宋_GB2312" w:hAnsi="仿宋_GB2312" w:eastAsia="仿宋_GB2312" w:cs="仿宋_GB2312"/>
          <w:b w:val="0"/>
          <w:bCs/>
          <w:color w:val="auto"/>
          <w:kern w:val="0"/>
          <w:sz w:val="32"/>
          <w:szCs w:val="32"/>
          <w:highlight w:val="none"/>
          <w:lang w:val="en-US" w:eastAsia="zh-CN" w:bidi="ar"/>
        </w:rPr>
        <w:t>；</w:t>
      </w:r>
      <w:r>
        <w:rPr>
          <w:rFonts w:hint="eastAsia" w:ascii="仿宋_GB2312" w:hAnsi="仿宋_GB2312" w:eastAsia="仿宋_GB2312" w:cs="仿宋_GB2312"/>
          <w:b w:val="0"/>
          <w:bCs w:val="0"/>
          <w:color w:val="000000" w:themeColor="text1"/>
          <w:kern w:val="2"/>
          <w:sz w:val="32"/>
          <w:szCs w:val="32"/>
          <w:highlight w:val="none"/>
          <w:u w:val="none"/>
          <w:lang w:val="en-US" w:eastAsia="zh-CN" w:bidi="ar-SA"/>
          <w14:textFill>
            <w14:solidFill>
              <w14:schemeClr w14:val="tx1"/>
            </w14:solidFill>
          </w14:textFill>
        </w:rPr>
        <w:t>有序实施道路畅通工程</w:t>
      </w:r>
      <w:r>
        <w:rPr>
          <w:rFonts w:hint="default" w:ascii="仿宋_GB2312" w:hAnsi="仿宋_GB2312" w:eastAsia="仿宋_GB2312" w:cs="仿宋_GB2312"/>
          <w:b w:val="0"/>
          <w:bCs w:val="0"/>
          <w:color w:val="000000" w:themeColor="text1"/>
          <w:kern w:val="2"/>
          <w:sz w:val="32"/>
          <w:szCs w:val="32"/>
          <w:highlight w:val="none"/>
          <w:u w:val="none"/>
          <w:lang w:val="en-US" w:eastAsia="zh-CN" w:bidi="ar-SA"/>
          <w14:textFill>
            <w14:solidFill>
              <w14:schemeClr w14:val="tx1"/>
            </w14:solidFill>
          </w14:textFill>
        </w:rPr>
        <w:t>项目</w:t>
      </w:r>
      <w:r>
        <w:rPr>
          <w:rFonts w:hint="eastAsia" w:ascii="仿宋_GB2312" w:hAnsi="仿宋_GB2312" w:eastAsia="仿宋_GB2312" w:cs="仿宋_GB2312"/>
          <w:b w:val="0"/>
          <w:bCs w:val="0"/>
          <w:color w:val="000000" w:themeColor="text1"/>
          <w:kern w:val="2"/>
          <w:sz w:val="32"/>
          <w:szCs w:val="32"/>
          <w:highlight w:val="none"/>
          <w:u w:val="none"/>
          <w:lang w:val="en-US" w:eastAsia="zh-CN" w:bidi="ar-SA"/>
          <w14:textFill>
            <w14:solidFill>
              <w14:schemeClr w14:val="tx1"/>
            </w14:solidFill>
          </w14:textFill>
        </w:rPr>
        <w:t>，新建繁荣村</w:t>
      </w:r>
      <w:r>
        <w:rPr>
          <w:rFonts w:hint="eastAsia" w:ascii="仿宋_GB2312" w:hAnsi="仿宋_GB2312" w:eastAsia="仿宋_GB2312" w:cs="仿宋_GB2312"/>
          <w:color w:val="000000" w:themeColor="text1"/>
          <w:kern w:val="2"/>
          <w:sz w:val="32"/>
          <w:szCs w:val="32"/>
          <w:highlight w:val="none"/>
          <w:u w:val="none"/>
          <w:lang w:val="en-US" w:eastAsia="zh-CN" w:bidi="ar-SA"/>
          <w14:textFill>
            <w14:solidFill>
              <w14:schemeClr w14:val="tx1"/>
            </w14:solidFill>
          </w14:textFill>
        </w:rPr>
        <w:t>道路1.4公里，北庙村道路2公里，钟岭村道路1.3公里；加强人居环境整治，新建垃圾房5处；稳步推进农贸市场、全民健身中心等惠民设施项目建设，优化城乡环境不断得到提升改善。</w:t>
      </w:r>
      <w:r>
        <w:rPr>
          <w:rFonts w:hint="eastAsia" w:ascii="仿宋_GB2312" w:hAnsi="仿宋_GB2312" w:eastAsia="仿宋_GB2312" w:cs="仿宋_GB2312"/>
          <w:b/>
          <w:bCs/>
          <w:color w:val="000000" w:themeColor="text1"/>
          <w:kern w:val="2"/>
          <w:sz w:val="32"/>
          <w:szCs w:val="32"/>
          <w:highlight w:val="none"/>
          <w:u w:val="none"/>
          <w:lang w:val="en-US" w:eastAsia="zh-CN" w:bidi="ar-SA"/>
          <w14:textFill>
            <w14:solidFill>
              <w14:schemeClr w14:val="tx1"/>
            </w14:solidFill>
          </w14:textFill>
        </w:rPr>
        <w:t>三是</w:t>
      </w:r>
      <w:r>
        <w:rPr>
          <w:rFonts w:hint="eastAsia" w:ascii="仿宋_GB2312" w:hAnsi="仿宋_GB2312" w:eastAsia="仿宋_GB2312" w:cs="仿宋_GB2312"/>
          <w:color w:val="000000" w:themeColor="text1"/>
          <w:kern w:val="2"/>
          <w:sz w:val="32"/>
          <w:szCs w:val="32"/>
          <w:highlight w:val="none"/>
          <w:u w:val="none"/>
          <w:lang w:val="en-US" w:eastAsia="zh-CN" w:bidi="ar-SA"/>
          <w14:textFill>
            <w14:solidFill>
              <w14:schemeClr w14:val="tx1"/>
            </w14:solidFill>
          </w14:textFill>
        </w:rPr>
        <w:t>镇便民服务中心、10个村社便民服务站“三化”建设全面完成，“村能办”“家门办”全覆盖，彻底打通服务群众“最后一公里”。</w:t>
      </w: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color w:val="000000" w:themeColor="text1"/>
          <w:kern w:val="2"/>
          <w:sz w:val="32"/>
          <w:szCs w:val="32"/>
          <w:highlight w:val="none"/>
          <w:u w:val="none"/>
          <w:lang w:val="en-US" w:eastAsia="zh-CN" w:bidi="ar-SA"/>
          <w14:textFill>
            <w14:solidFill>
              <w14:schemeClr w14:val="tx1"/>
            </w14:solidFill>
          </w14:textFill>
        </w:rPr>
      </w:pPr>
      <w:r>
        <w:rPr>
          <w:rFonts w:hint="eastAsia" w:ascii="黑体" w:hAnsi="黑体" w:eastAsia="黑体" w:cs="黑体"/>
          <w:b w:val="0"/>
          <w:bCs/>
          <w:color w:val="auto"/>
          <w:sz w:val="32"/>
          <w:szCs w:val="32"/>
          <w:highlight w:val="none"/>
        </w:rPr>
        <w:t>——</w:t>
      </w:r>
      <w:r>
        <w:rPr>
          <w:rFonts w:hint="eastAsia" w:ascii="黑体" w:hAnsi="黑体" w:eastAsia="黑体" w:cs="黑体"/>
          <w:b/>
          <w:bCs/>
          <w:sz w:val="32"/>
          <w:szCs w:val="32"/>
          <w:highlight w:val="none"/>
          <w:u w:val="none"/>
          <w:lang w:val="en-US" w:eastAsia="zh-CN"/>
        </w:rPr>
        <w:t>我们</w:t>
      </w:r>
      <w:r>
        <w:rPr>
          <w:rFonts w:hint="eastAsia" w:ascii="黑体" w:hAnsi="黑体" w:eastAsia="黑体" w:cs="黑体"/>
          <w:b/>
          <w:bCs/>
          <w:color w:val="000000" w:themeColor="text1"/>
          <w:sz w:val="32"/>
          <w:szCs w:val="32"/>
          <w:highlight w:val="none"/>
          <w:u w:val="none"/>
          <w:lang w:val="en-US" w:eastAsia="zh-CN"/>
          <w14:textFill>
            <w14:solidFill>
              <w14:schemeClr w14:val="tx1"/>
            </w14:solidFill>
          </w14:textFill>
        </w:rPr>
        <w:t>加强基层治理，严守平安稳定防线。</w:t>
      </w:r>
      <w:r>
        <w:rPr>
          <w:rFonts w:hint="eastAsia" w:ascii="仿宋_GB2312" w:hAnsi="仿宋_GB2312" w:eastAsia="仿宋_GB2312" w:cs="仿宋_GB2312"/>
          <w:b w:val="0"/>
          <w:bCs w:val="0"/>
          <w:color w:val="000000" w:themeColor="text1"/>
          <w:sz w:val="32"/>
          <w:szCs w:val="32"/>
          <w:highlight w:val="none"/>
          <w:u w:val="none"/>
          <w:lang w:val="en-US" w:eastAsia="zh-CN"/>
          <w14:textFill>
            <w14:solidFill>
              <w14:schemeClr w14:val="tx1"/>
            </w14:solidFill>
          </w14:textFill>
        </w:rPr>
        <w:t>充分发动和依靠群众，大力推进基层社会治理，从“联、调、打、防”四个方面发力，不断完善基层社会治理体系，提升基层治理水平。</w:t>
      </w:r>
      <w:r>
        <w:rPr>
          <w:rFonts w:hint="eastAsia" w:ascii="仿宋_GB2312" w:hAnsi="仿宋_GB2312" w:eastAsia="仿宋_GB2312" w:cs="仿宋_GB2312"/>
          <w:b/>
          <w:bCs/>
          <w:color w:val="000000" w:themeColor="text1"/>
          <w:sz w:val="32"/>
          <w:szCs w:val="32"/>
          <w:highlight w:val="none"/>
          <w:u w:val="none"/>
          <w:lang w:val="en-US" w:eastAsia="zh-CN"/>
          <w14:textFill>
            <w14:solidFill>
              <w14:schemeClr w14:val="tx1"/>
            </w14:solidFill>
          </w14:textFill>
        </w:rPr>
        <w:t>一是</w:t>
      </w:r>
      <w:r>
        <w:rPr>
          <w:rFonts w:hint="eastAsia" w:ascii="仿宋_GB2312" w:hAnsi="仿宋_GB2312" w:eastAsia="仿宋_GB2312" w:cs="仿宋_GB2312"/>
          <w:b w:val="0"/>
          <w:bCs w:val="0"/>
          <w:color w:val="000000" w:themeColor="text1"/>
          <w:sz w:val="32"/>
          <w:szCs w:val="32"/>
          <w:highlight w:val="none"/>
          <w:u w:val="none"/>
          <w14:textFill>
            <w14:solidFill>
              <w14:schemeClr w14:val="tx1"/>
            </w14:solidFill>
          </w14:textFill>
        </w:rPr>
        <w:t>积极开展矛盾纠纷排查化解工作，</w:t>
      </w:r>
      <w:r>
        <w:rPr>
          <w:rFonts w:hint="eastAsia" w:ascii="仿宋_GB2312" w:hAnsi="仿宋_GB2312" w:eastAsia="仿宋_GB2312" w:cs="仿宋_GB2312"/>
          <w:b w:val="0"/>
          <w:bCs w:val="0"/>
          <w:color w:val="000000" w:themeColor="text1"/>
          <w:sz w:val="32"/>
          <w:szCs w:val="32"/>
          <w:highlight w:val="none"/>
          <w:u w:val="none"/>
          <w:lang w:eastAsia="zh-CN"/>
          <w14:textFill>
            <w14:solidFill>
              <w14:schemeClr w14:val="tx1"/>
            </w14:solidFill>
          </w14:textFill>
        </w:rPr>
        <w:t>对特殊人群进行动态监测，</w:t>
      </w:r>
      <w:r>
        <w:rPr>
          <w:rFonts w:hint="eastAsia" w:ascii="仿宋_GB2312" w:hAnsi="仿宋_GB2312" w:eastAsia="仿宋_GB2312" w:cs="仿宋_GB2312"/>
          <w:b w:val="0"/>
          <w:bCs w:val="0"/>
          <w:color w:val="000000" w:themeColor="text1"/>
          <w:sz w:val="32"/>
          <w:szCs w:val="32"/>
          <w:highlight w:val="none"/>
          <w:u w:val="none"/>
          <w14:textFill>
            <w14:solidFill>
              <w14:schemeClr w14:val="tx1"/>
            </w14:solidFill>
          </w14:textFill>
        </w:rPr>
        <w:t>特别是</w:t>
      </w:r>
      <w:r>
        <w:rPr>
          <w:rFonts w:hint="eastAsia" w:ascii="仿宋_GB2312" w:hAnsi="仿宋_GB2312" w:eastAsia="仿宋_GB2312" w:cs="仿宋_GB2312"/>
          <w:b w:val="0"/>
          <w:bCs w:val="0"/>
          <w:color w:val="000000" w:themeColor="text1"/>
          <w:sz w:val="32"/>
          <w:szCs w:val="32"/>
          <w:highlight w:val="none"/>
          <w:u w:val="none"/>
          <w:lang w:eastAsia="zh-CN"/>
          <w14:textFill>
            <w14:solidFill>
              <w14:schemeClr w14:val="tx1"/>
            </w14:solidFill>
          </w14:textFill>
        </w:rPr>
        <w:t>党的二十大期</w:t>
      </w:r>
      <w:r>
        <w:rPr>
          <w:rFonts w:hint="eastAsia" w:ascii="仿宋_GB2312" w:hAnsi="仿宋_GB2312" w:eastAsia="仿宋_GB2312" w:cs="仿宋_GB2312"/>
          <w:color w:val="000000" w:themeColor="text1"/>
          <w:sz w:val="32"/>
          <w:szCs w:val="32"/>
          <w:highlight w:val="none"/>
          <w:u w:val="none"/>
          <w:lang w:eastAsia="zh-CN"/>
          <w14:textFill>
            <w14:solidFill>
              <w14:schemeClr w14:val="tx1"/>
            </w14:solidFill>
          </w14:textFill>
        </w:rPr>
        <w:t>间等</w:t>
      </w: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特殊</w:t>
      </w:r>
      <w:r>
        <w:rPr>
          <w:rFonts w:hint="eastAsia" w:ascii="仿宋_GB2312" w:hAnsi="仿宋_GB2312" w:eastAsia="仿宋_GB2312" w:cs="仿宋_GB2312"/>
          <w:color w:val="000000" w:themeColor="text1"/>
          <w:sz w:val="32"/>
          <w:szCs w:val="32"/>
          <w:highlight w:val="none"/>
          <w:u w:val="none"/>
          <w:lang w:eastAsia="zh-CN"/>
          <w14:textFill>
            <w14:solidFill>
              <w14:schemeClr w14:val="tx1"/>
            </w14:solidFill>
          </w14:textFill>
        </w:rPr>
        <w:t>时间节点</w:t>
      </w: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，实行“日排查</w:t>
      </w:r>
      <w:r>
        <w:rPr>
          <w:rFonts w:hint="eastAsia" w:ascii="仿宋_GB2312" w:hAnsi="仿宋_GB2312" w:eastAsia="仿宋_GB2312" w:cs="仿宋_GB2312"/>
          <w:color w:val="000000" w:themeColor="text1"/>
          <w:sz w:val="32"/>
          <w:szCs w:val="32"/>
          <w:highlight w:val="none"/>
          <w:u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零报告”制度</w:t>
      </w:r>
      <w:r>
        <w:rPr>
          <w:rFonts w:hint="eastAsia" w:ascii="仿宋_GB2312" w:hAnsi="仿宋_GB2312" w:eastAsia="仿宋_GB2312" w:cs="仿宋_GB2312"/>
          <w:color w:val="000000" w:themeColor="text1"/>
          <w:sz w:val="32"/>
          <w:szCs w:val="32"/>
          <w:highlight w:val="none"/>
          <w:u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对全镇不稳定因素进行全面排查</w:t>
      </w:r>
      <w:r>
        <w:rPr>
          <w:rFonts w:hint="eastAsia" w:ascii="仿宋_GB2312" w:hAnsi="仿宋_GB2312" w:eastAsia="仿宋_GB2312" w:cs="仿宋_GB2312"/>
          <w:color w:val="000000" w:themeColor="text1"/>
          <w:sz w:val="32"/>
          <w:szCs w:val="32"/>
          <w:highlight w:val="none"/>
          <w:u w:val="none"/>
          <w:lang w:eastAsia="zh-CN"/>
          <w14:textFill>
            <w14:solidFill>
              <w14:schemeClr w14:val="tx1"/>
            </w14:solidFill>
          </w14:textFill>
        </w:rPr>
        <w:t>，其间共计排查</w:t>
      </w:r>
      <w:r>
        <w:rPr>
          <w:rFonts w:hint="eastAsia" w:ascii="仿宋_GB2312" w:hAnsi="仿宋_GB2312" w:eastAsia="仿宋_GB2312" w:cs="仿宋_GB2312"/>
          <w:color w:val="000000" w:themeColor="text1"/>
          <w:sz w:val="32"/>
          <w:szCs w:val="32"/>
          <w:highlight w:val="none"/>
          <w:u w:val="none"/>
          <w:lang w:val="en-US" w:eastAsia="zh-CN"/>
          <w14:textFill>
            <w14:solidFill>
              <w14:schemeClr w14:val="tx1"/>
            </w14:solidFill>
          </w14:textFill>
        </w:rPr>
        <w:t>1个风险点位，</w:t>
      </w: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对排查的重点人员逐一建档立卡、</w:t>
      </w:r>
      <w:r>
        <w:rPr>
          <w:rFonts w:hint="eastAsia" w:ascii="仿宋_GB2312" w:hAnsi="仿宋_GB2312" w:eastAsia="仿宋_GB2312" w:cs="仿宋_GB2312"/>
          <w:color w:val="000000" w:themeColor="text1"/>
          <w:sz w:val="32"/>
          <w:szCs w:val="32"/>
          <w:highlight w:val="none"/>
          <w:u w:val="none"/>
          <w:lang w:eastAsia="zh-CN"/>
          <w14:textFill>
            <w14:solidFill>
              <w14:schemeClr w14:val="tx1"/>
            </w14:solidFill>
          </w14:textFill>
        </w:rPr>
        <w:t>领导分包</w:t>
      </w: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w:t>
      </w:r>
      <w:r>
        <w:rPr>
          <w:rFonts w:hint="eastAsia" w:ascii="仿宋_GB2312" w:hAnsi="仿宋_GB2312" w:eastAsia="仿宋_GB2312" w:cs="仿宋_GB2312"/>
          <w:color w:val="000000" w:themeColor="text1"/>
          <w:sz w:val="32"/>
          <w:szCs w:val="32"/>
          <w:highlight w:val="none"/>
          <w:u w:val="none"/>
          <w:lang w:eastAsia="zh-CN"/>
          <w14:textFill>
            <w14:solidFill>
              <w14:schemeClr w14:val="tx1"/>
            </w14:solidFill>
          </w14:textFill>
        </w:rPr>
        <w:t>动态监测并将</w:t>
      </w: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矛盾消除在萌芽状态。</w:t>
      </w:r>
      <w:r>
        <w:rPr>
          <w:rFonts w:hint="eastAsia" w:ascii="仿宋_GB2312" w:hAnsi="仿宋_GB2312" w:eastAsia="仿宋_GB2312" w:cs="仿宋_GB2312"/>
          <w:b/>
          <w:bCs/>
          <w:color w:val="000000" w:themeColor="text1"/>
          <w:sz w:val="32"/>
          <w:szCs w:val="32"/>
          <w:highlight w:val="none"/>
          <w:u w:val="none"/>
          <w:lang w:eastAsia="zh-CN"/>
          <w14:textFill>
            <w14:solidFill>
              <w14:schemeClr w14:val="tx1"/>
            </w14:solidFill>
          </w14:textFill>
        </w:rPr>
        <w:t>二是</w:t>
      </w:r>
      <w:r>
        <w:rPr>
          <w:rFonts w:hint="eastAsia" w:ascii="仿宋_GB2312" w:hAnsi="仿宋_GB2312" w:eastAsia="仿宋_GB2312" w:cs="仿宋_GB2312"/>
          <w:sz w:val="32"/>
          <w:szCs w:val="32"/>
          <w:highlight w:val="none"/>
          <w:u w:val="none"/>
        </w:rPr>
        <w:t>加强信访稳定工作，有效化解社会矛盾。坚持“调防结合，以防为主”，认真抓好社会治安综合治理、矛盾纠纷调处和信访稳定工作，信访工作中做到办案有程序、件件有回复</w:t>
      </w:r>
      <w:r>
        <w:rPr>
          <w:rFonts w:hint="eastAsia" w:ascii="仿宋_GB2312" w:hAnsi="仿宋_GB2312" w:eastAsia="仿宋_GB2312" w:cs="仿宋_GB2312"/>
          <w:sz w:val="32"/>
          <w:szCs w:val="32"/>
          <w:highlight w:val="none"/>
          <w:u w:val="none"/>
          <w:lang w:eastAsia="zh-CN"/>
        </w:rPr>
        <w:t>。</w:t>
      </w:r>
      <w:r>
        <w:rPr>
          <w:rFonts w:hint="eastAsia" w:ascii="仿宋_GB2312" w:hAnsi="仿宋_GB2312" w:eastAsia="仿宋_GB2312" w:cs="仿宋_GB2312"/>
          <w:color w:val="000000" w:themeColor="text1"/>
          <w:sz w:val="32"/>
          <w:szCs w:val="32"/>
          <w:highlight w:val="none"/>
          <w:u w:val="none"/>
          <w:lang w:eastAsia="zh-CN"/>
          <w14:textFill>
            <w14:solidFill>
              <w14:schemeClr w14:val="tx1"/>
            </w14:solidFill>
          </w14:textFill>
        </w:rPr>
        <w:t>用心用情用力做好“</w:t>
      </w:r>
      <w:r>
        <w:rPr>
          <w:rFonts w:hint="eastAsia" w:ascii="仿宋_GB2312" w:hAnsi="仿宋_GB2312" w:eastAsia="仿宋_GB2312" w:cs="仿宋_GB2312"/>
          <w:color w:val="000000" w:themeColor="text1"/>
          <w:sz w:val="32"/>
          <w:szCs w:val="32"/>
          <w:highlight w:val="none"/>
          <w:u w:val="none"/>
          <w:lang w:val="en-US" w:eastAsia="zh-CN"/>
          <w14:textFill>
            <w14:solidFill>
              <w14:schemeClr w14:val="tx1"/>
            </w14:solidFill>
          </w14:textFill>
        </w:rPr>
        <w:t>12345</w:t>
      </w:r>
      <w:r>
        <w:rPr>
          <w:rFonts w:hint="eastAsia" w:ascii="仿宋_GB2312" w:hAnsi="仿宋_GB2312" w:eastAsia="仿宋_GB2312" w:cs="仿宋_GB2312"/>
          <w:color w:val="000000" w:themeColor="text1"/>
          <w:sz w:val="32"/>
          <w:szCs w:val="32"/>
          <w:highlight w:val="none"/>
          <w:u w:val="none"/>
          <w:lang w:eastAsia="zh-CN"/>
          <w14:textFill>
            <w14:solidFill>
              <w14:schemeClr w14:val="tx1"/>
            </w14:solidFill>
          </w14:textFill>
        </w:rPr>
        <w:t>”政务服务热线问题化解，针对群众反映的民生问题第一时间跟进督办并及时回复，全面提升群众满意度。</w:t>
      </w:r>
      <w:r>
        <w:rPr>
          <w:rFonts w:hint="eastAsia" w:ascii="仿宋_GB2312" w:hAnsi="仿宋_GB2312" w:eastAsia="仿宋_GB2312" w:cs="仿宋_GB2312"/>
          <w:sz w:val="32"/>
          <w:szCs w:val="32"/>
          <w:highlight w:val="none"/>
          <w:u w:val="none"/>
        </w:rPr>
        <w:t>全年办理各类信访案件102件，同比下降55.84%，信访受理率、办理及时率、案件办结率均为100%，群众满意率99.02%，除1件历年缠访外，其余信访人无重复信访，取得了良好效果。全年受理矛盾纠纷60件，已成功调解矛盾纠纷隐患60件</w:t>
      </w:r>
      <w:r>
        <w:rPr>
          <w:rFonts w:hint="eastAsia" w:ascii="仿宋_GB2312" w:hAnsi="仿宋_GB2312" w:eastAsia="仿宋_GB2312" w:cs="仿宋_GB2312"/>
          <w:sz w:val="32"/>
          <w:szCs w:val="32"/>
          <w:highlight w:val="none"/>
          <w:u w:val="none"/>
          <w:lang w:eastAsia="zh-CN"/>
        </w:rPr>
        <w:t>，调解成功率</w:t>
      </w:r>
      <w:r>
        <w:rPr>
          <w:rFonts w:hint="eastAsia" w:ascii="仿宋_GB2312" w:hAnsi="仿宋_GB2312" w:eastAsia="仿宋_GB2312" w:cs="仿宋_GB2312"/>
          <w:sz w:val="32"/>
          <w:szCs w:val="32"/>
          <w:highlight w:val="none"/>
          <w:u w:val="none"/>
          <w:lang w:val="en-US" w:eastAsia="zh-CN"/>
        </w:rPr>
        <w:t>100%</w:t>
      </w:r>
      <w:r>
        <w:rPr>
          <w:rFonts w:hint="eastAsia" w:ascii="仿宋_GB2312" w:hAnsi="仿宋_GB2312" w:eastAsia="仿宋_GB2312" w:cs="仿宋_GB2312"/>
          <w:sz w:val="32"/>
          <w:szCs w:val="32"/>
          <w:highlight w:val="none"/>
          <w:u w:val="none"/>
        </w:rPr>
        <w:t>。</w:t>
      </w:r>
      <w:r>
        <w:rPr>
          <w:rFonts w:hint="eastAsia" w:ascii="仿宋_GB2312" w:hAnsi="仿宋_GB2312" w:eastAsia="仿宋_GB2312" w:cs="仿宋_GB2312"/>
          <w:b/>
          <w:bCs/>
          <w:color w:val="000000" w:themeColor="text1"/>
          <w:sz w:val="32"/>
          <w:szCs w:val="32"/>
          <w:highlight w:val="none"/>
          <w:u w:val="none"/>
          <w:lang w:eastAsia="zh-CN"/>
          <w14:textFill>
            <w14:solidFill>
              <w14:schemeClr w14:val="tx1"/>
            </w14:solidFill>
          </w14:textFill>
        </w:rPr>
        <w:t>三是</w:t>
      </w:r>
      <w:r>
        <w:rPr>
          <w:rFonts w:hint="eastAsia" w:ascii="仿宋_GB2312" w:hAnsi="仿宋_GB2312" w:eastAsia="仿宋_GB2312" w:cs="仿宋_GB2312"/>
          <w:color w:val="000000" w:themeColor="text1"/>
          <w:sz w:val="32"/>
          <w:szCs w:val="32"/>
          <w:highlight w:val="none"/>
          <w:u w:val="none"/>
          <w:lang w:eastAsia="zh-CN"/>
          <w14:textFill>
            <w14:solidFill>
              <w14:schemeClr w14:val="tx1"/>
            </w14:solidFill>
          </w14:textFill>
        </w:rPr>
        <w:t>始终将安全生产摆在首位，</w:t>
      </w: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落实</w:t>
      </w:r>
      <w:r>
        <w:rPr>
          <w:rFonts w:hint="eastAsia" w:ascii="仿宋_GB2312" w:hAnsi="仿宋_GB2312" w:eastAsia="仿宋_GB2312" w:cs="仿宋_GB2312"/>
          <w:color w:val="000000" w:themeColor="text1"/>
          <w:sz w:val="32"/>
          <w:szCs w:val="32"/>
          <w:highlight w:val="none"/>
          <w:u w:val="none"/>
          <w:lang w:eastAsia="zh-CN"/>
          <w14:textFill>
            <w14:solidFill>
              <w14:schemeClr w14:val="tx1"/>
            </w14:solidFill>
          </w14:textFill>
        </w:rPr>
        <w:t>“一岗双责”</w:t>
      </w: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工作责任制</w:t>
      </w:r>
      <w:r>
        <w:rPr>
          <w:rFonts w:hint="eastAsia" w:ascii="仿宋_GB2312" w:hAnsi="仿宋_GB2312" w:eastAsia="仿宋_GB2312" w:cs="仿宋_GB2312"/>
          <w:color w:val="000000" w:themeColor="text1"/>
          <w:sz w:val="32"/>
          <w:szCs w:val="32"/>
          <w:highlight w:val="none"/>
          <w:u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u w:val="none"/>
          <w:lang w:val="en-US" w:eastAsia="zh-CN"/>
          <w14:textFill>
            <w14:solidFill>
              <w14:schemeClr w14:val="tx1"/>
            </w14:solidFill>
          </w14:textFill>
        </w:rPr>
        <w:t>在全镇范围内开展安全生产“大学习、大排查、大整治”和“安全生产大检查”活动，</w:t>
      </w:r>
      <w:r>
        <w:rPr>
          <w:rFonts w:hint="eastAsia" w:ascii="仿宋_GB2312" w:hAnsi="仿宋_GB2312" w:eastAsia="仿宋_GB2312" w:cs="仿宋_GB2312"/>
          <w:color w:val="000000" w:themeColor="text1"/>
          <w:sz w:val="32"/>
          <w:szCs w:val="32"/>
          <w:highlight w:val="none"/>
          <w:u w:val="none"/>
          <w:lang w:eastAsia="zh-CN"/>
          <w14:textFill>
            <w14:solidFill>
              <w14:schemeClr w14:val="tx1"/>
            </w14:solidFill>
          </w14:textFill>
        </w:rPr>
        <w:t>做到逢会必讲、逢会必提，</w:t>
      </w: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重点落实好</w:t>
      </w:r>
      <w:r>
        <w:rPr>
          <w:rFonts w:hint="eastAsia" w:ascii="仿宋_GB2312" w:hAnsi="仿宋_GB2312" w:eastAsia="仿宋_GB2312" w:cs="仿宋_GB2312"/>
          <w:color w:val="000000" w:themeColor="text1"/>
          <w:sz w:val="32"/>
          <w:szCs w:val="32"/>
          <w:highlight w:val="none"/>
          <w:u w:val="none"/>
          <w:lang w:eastAsia="zh-CN"/>
          <w14:textFill>
            <w14:solidFill>
              <w14:schemeClr w14:val="tx1"/>
            </w14:solidFill>
          </w14:textFill>
        </w:rPr>
        <w:t>道路交通</w:t>
      </w: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、食品、</w:t>
      </w:r>
      <w:r>
        <w:rPr>
          <w:rFonts w:hint="eastAsia" w:ascii="仿宋_GB2312" w:hAnsi="仿宋_GB2312" w:eastAsia="仿宋_GB2312" w:cs="仿宋_GB2312"/>
          <w:color w:val="000000" w:themeColor="text1"/>
          <w:sz w:val="32"/>
          <w:szCs w:val="32"/>
          <w:highlight w:val="none"/>
          <w:u w:val="none"/>
          <w:lang w:eastAsia="zh-CN"/>
          <w14:textFill>
            <w14:solidFill>
              <w14:schemeClr w14:val="tx1"/>
            </w14:solidFill>
          </w14:textFill>
        </w:rPr>
        <w:t>燃气、住房建设、森林防灭火、防汛减灾等领域的安全责任</w:t>
      </w: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w:t>
      </w:r>
      <w:r>
        <w:rPr>
          <w:rFonts w:hint="eastAsia" w:ascii="仿宋_GB2312" w:hAnsi="仿宋_GB2312" w:eastAsia="仿宋_GB2312" w:cs="仿宋_GB2312"/>
          <w:color w:val="000000" w:themeColor="text1"/>
          <w:sz w:val="32"/>
          <w:szCs w:val="32"/>
          <w:highlight w:val="none"/>
          <w:u w:val="none"/>
          <w:lang w:eastAsia="zh-CN"/>
          <w14:textFill>
            <w14:solidFill>
              <w14:schemeClr w14:val="tx1"/>
            </w14:solidFill>
          </w14:textFill>
        </w:rPr>
        <w:t>全年</w:t>
      </w: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共组织安全知识</w:t>
      </w:r>
      <w:r>
        <w:rPr>
          <w:rFonts w:hint="eastAsia" w:ascii="仿宋_GB2312" w:hAnsi="仿宋_GB2312" w:eastAsia="仿宋_GB2312" w:cs="仿宋_GB2312"/>
          <w:color w:val="000000" w:themeColor="text1"/>
          <w:kern w:val="2"/>
          <w:sz w:val="32"/>
          <w:szCs w:val="32"/>
          <w:highlight w:val="none"/>
          <w:u w:val="none"/>
          <w:lang w:val="en-US" w:eastAsia="zh-CN" w:bidi="ar-SA"/>
          <w14:textFill>
            <w14:solidFill>
              <w14:schemeClr w14:val="tx1"/>
            </w14:solidFill>
          </w14:textFill>
        </w:rPr>
        <w:t>宣传培训10次，开展安全生产集中排查10次，排查问题242个，已整232个，持续整改10个。</w:t>
      </w:r>
    </w:p>
    <w:p>
      <w:pPr>
        <w:keepNext w:val="0"/>
        <w:keepLines w:val="0"/>
        <w:pageBreakBefore w:val="0"/>
        <w:kinsoku/>
        <w:wordWrap/>
        <w:overflowPunct/>
        <w:topLinePunct w:val="0"/>
        <w:autoSpaceDE/>
        <w:autoSpaceDN/>
        <w:bidi w:val="0"/>
        <w:adjustRightInd/>
        <w:snapToGrid/>
        <w:spacing w:line="576" w:lineRule="exact"/>
        <w:ind w:firstLine="643" w:firstLineChars="200"/>
        <w:textAlignment w:val="auto"/>
        <w:rPr>
          <w:rFonts w:hint="eastAsia" w:asciiTheme="minorHAnsi" w:hAnsiTheme="minorHAnsi" w:eastAsiaTheme="minorEastAsia" w:cstheme="minorBidi"/>
          <w:kern w:val="2"/>
          <w:sz w:val="21"/>
          <w:szCs w:val="24"/>
          <w:highlight w:val="none"/>
          <w:lang w:val="en-US" w:eastAsia="zh-CN" w:bidi="ar-SA"/>
        </w:rPr>
      </w:pPr>
      <w:r>
        <w:rPr>
          <w:rFonts w:hint="eastAsia" w:ascii="黑体" w:hAnsi="黑体" w:eastAsia="黑体" w:cs="黑体"/>
          <w:b/>
          <w:bCs w:val="0"/>
          <w:color w:val="auto"/>
          <w:sz w:val="32"/>
          <w:szCs w:val="32"/>
          <w:highlight w:val="none"/>
        </w:rPr>
        <w:t>——</w:t>
      </w:r>
      <w:r>
        <w:rPr>
          <w:rFonts w:hint="eastAsia" w:ascii="黑体" w:hAnsi="黑体" w:eastAsia="黑体" w:cs="黑体"/>
          <w:b/>
          <w:bCs w:val="0"/>
          <w:color w:val="000000" w:themeColor="text1"/>
          <w:kern w:val="2"/>
          <w:sz w:val="32"/>
          <w:szCs w:val="32"/>
          <w:highlight w:val="none"/>
          <w:u w:val="none"/>
          <w:lang w:val="en-US" w:eastAsia="zh-CN" w:bidi="ar-SA"/>
          <w14:textFill>
            <w14:solidFill>
              <w14:schemeClr w14:val="tx1"/>
            </w14:solidFill>
          </w14:textFill>
        </w:rPr>
        <w:t>我们坚持生命至上，筑牢疫情防控屏障。</w:t>
      </w:r>
      <w:r>
        <w:rPr>
          <w:rFonts w:hint="eastAsia" w:ascii="仿宋_GB2312" w:hAnsi="仿宋_GB2312" w:eastAsia="仿宋_GB2312" w:cs="仿宋_GB2312"/>
          <w:b w:val="0"/>
          <w:bCs w:val="0"/>
          <w:color w:val="000000" w:themeColor="text1"/>
          <w:kern w:val="2"/>
          <w:sz w:val="32"/>
          <w:szCs w:val="32"/>
          <w:highlight w:val="none"/>
          <w:u w:val="none"/>
          <w:lang w:val="en-US" w:eastAsia="zh-CN" w:bidi="ar-SA"/>
          <w14:textFill>
            <w14:solidFill>
              <w14:schemeClr w14:val="tx1"/>
            </w14:solidFill>
          </w14:textFill>
        </w:rPr>
        <w:t>坚持全心全意为人民服务的宗旨，动之以情，晓之以理，用心用情用力抓好疫情防控工作。</w:t>
      </w:r>
      <w:r>
        <w:rPr>
          <w:rFonts w:hint="eastAsia" w:ascii="仿宋_GB2312" w:hAnsi="仿宋_GB2312" w:eastAsia="仿宋_GB2312" w:cs="仿宋_GB2312"/>
          <w:b/>
          <w:bCs/>
          <w:color w:val="000000" w:themeColor="text1"/>
          <w:kern w:val="2"/>
          <w:sz w:val="32"/>
          <w:szCs w:val="32"/>
          <w:highlight w:val="none"/>
          <w:u w:val="none"/>
          <w:lang w:val="en-US" w:eastAsia="zh-CN" w:bidi="ar-SA"/>
          <w14:textFill>
            <w14:solidFill>
              <w14:schemeClr w14:val="tx1"/>
            </w14:solidFill>
          </w14:textFill>
        </w:rPr>
        <w:t>一是</w:t>
      </w:r>
      <w:r>
        <w:rPr>
          <w:rFonts w:hint="eastAsia" w:ascii="仿宋_GB2312" w:hAnsi="仿宋_GB2312" w:eastAsia="仿宋_GB2312" w:cs="仿宋_GB2312"/>
          <w:kern w:val="2"/>
          <w:sz w:val="32"/>
          <w:szCs w:val="32"/>
          <w:highlight w:val="none"/>
          <w:lang w:val="en-US" w:eastAsia="zh-CN" w:bidi="ar-SA"/>
        </w:rPr>
        <w:t>成立了姚家镇村疫情防控工作专班，落实四级网络包干制，切实加强返乡人员管理。</w:t>
      </w:r>
      <w:r>
        <w:rPr>
          <w:rFonts w:hint="eastAsia" w:ascii="仿宋_GB2312" w:hAnsi="Times New Roman" w:eastAsia="仿宋_GB2312" w:cs="Times New Roman"/>
          <w:b/>
          <w:bCs/>
          <w:color w:val="000000" w:themeColor="text1"/>
          <w:sz w:val="32"/>
          <w:szCs w:val="32"/>
          <w:highlight w:val="none"/>
          <w:u w:val="none"/>
          <w:lang w:val="en-US" w:eastAsia="zh-CN"/>
          <w14:textFill>
            <w14:solidFill>
              <w14:schemeClr w14:val="tx1"/>
            </w14:solidFill>
          </w14:textFill>
        </w:rPr>
        <w:t>二是</w:t>
      </w:r>
      <w:r>
        <w:rPr>
          <w:rFonts w:hint="eastAsia" w:ascii="仿宋_GB2312" w:hAnsi="Times New Roman" w:eastAsia="仿宋_GB2312" w:cs="Times New Roman"/>
          <w:b w:val="0"/>
          <w:bCs w:val="0"/>
          <w:color w:val="000000" w:themeColor="text1"/>
          <w:sz w:val="32"/>
          <w:szCs w:val="32"/>
          <w:highlight w:val="none"/>
          <w:u w:val="none"/>
          <w:lang w:val="en-US" w:eastAsia="zh-CN"/>
          <w14:textFill>
            <w14:solidFill>
              <w14:schemeClr w14:val="tx1"/>
            </w14:solidFill>
          </w14:textFill>
        </w:rPr>
        <w:t xml:space="preserve">做好交通卡口的防控工作。提供充足的人力、财力和物力，全力保障天字村交通卡口的正常运转，守好全县疫情防控“北大门”。 </w:t>
      </w:r>
      <w:r>
        <w:rPr>
          <w:rFonts w:hint="eastAsia" w:ascii="仿宋_GB2312" w:hAnsi="Times New Roman" w:eastAsia="仿宋_GB2312" w:cs="Times New Roman"/>
          <w:b/>
          <w:bCs/>
          <w:color w:val="000000" w:themeColor="text1"/>
          <w:sz w:val="32"/>
          <w:szCs w:val="32"/>
          <w:highlight w:val="none"/>
          <w:u w:val="none"/>
          <w:lang w:val="en-US" w:eastAsia="zh-CN"/>
          <w14:textFill>
            <w14:solidFill>
              <w14:schemeClr w14:val="tx1"/>
            </w14:solidFill>
          </w14:textFill>
        </w:rPr>
        <w:t>三是</w:t>
      </w:r>
      <w:r>
        <w:rPr>
          <w:rFonts w:hint="eastAsia" w:ascii="仿宋_GB2312" w:hAnsi="Times New Roman" w:eastAsia="仿宋_GB2312" w:cs="Times New Roman"/>
          <w:b w:val="0"/>
          <w:bCs w:val="0"/>
          <w:color w:val="000000" w:themeColor="text1"/>
          <w:sz w:val="32"/>
          <w:szCs w:val="32"/>
          <w:highlight w:val="none"/>
          <w:u w:val="none"/>
          <w:lang w:val="en-US" w:eastAsia="zh-CN"/>
          <w14:textFill>
            <w14:solidFill>
              <w14:schemeClr w14:val="tx1"/>
            </w14:solidFill>
          </w14:textFill>
        </w:rPr>
        <w:t>开展全员核酸检测26次，按</w:t>
      </w:r>
      <w:r>
        <w:rPr>
          <w:rFonts w:hint="eastAsia" w:ascii="仿宋_GB2312" w:hAnsi="Times New Roman" w:eastAsia="仿宋_GB2312" w:cs="Times New Roman"/>
          <w:color w:val="000000" w:themeColor="text1"/>
          <w:sz w:val="32"/>
          <w:szCs w:val="32"/>
          <w:highlight w:val="none"/>
          <w:u w:val="none"/>
          <w:lang w:val="en-US" w:eastAsia="zh-CN"/>
          <w14:textFill>
            <w14:solidFill>
              <w14:schemeClr w14:val="tx1"/>
            </w14:solidFill>
          </w14:textFill>
        </w:rPr>
        <w:t>时按质按量的完成全镇核酸检测工作。</w:t>
      </w:r>
      <w:r>
        <w:rPr>
          <w:rFonts w:hint="eastAsia" w:ascii="仿宋_GB2312" w:hAnsi="Times New Roman" w:eastAsia="仿宋_GB2312" w:cs="Times New Roman"/>
          <w:b/>
          <w:bCs/>
          <w:color w:val="000000" w:themeColor="text1"/>
          <w:sz w:val="32"/>
          <w:szCs w:val="32"/>
          <w:highlight w:val="none"/>
          <w:u w:val="none"/>
          <w:lang w:val="en-US" w:eastAsia="zh-CN"/>
          <w14:textFill>
            <w14:solidFill>
              <w14:schemeClr w14:val="tx1"/>
            </w14:solidFill>
          </w14:textFill>
        </w:rPr>
        <w:t>四是</w:t>
      </w:r>
      <w:r>
        <w:rPr>
          <w:rFonts w:hint="eastAsia" w:ascii="仿宋_GB2312" w:hAnsi="Times New Roman" w:eastAsia="仿宋_GB2312" w:cs="Times New Roman"/>
          <w:color w:val="000000" w:themeColor="text1"/>
          <w:sz w:val="32"/>
          <w:szCs w:val="32"/>
          <w:highlight w:val="none"/>
          <w:u w:val="none"/>
          <w:lang w:val="en-US" w:eastAsia="zh-CN"/>
          <w14:textFill>
            <w14:solidFill>
              <w14:schemeClr w14:val="tx1"/>
            </w14:solidFill>
          </w14:textFill>
        </w:rPr>
        <w:t>组织宣传到位，采用“线上+线下”相结合，筑牢疫情防控</w:t>
      </w:r>
      <w:r>
        <w:rPr>
          <w:rFonts w:hint="eastAsia" w:ascii="仿宋_GB2312" w:hAnsi="仿宋_GB2312" w:eastAsia="仿宋_GB2312" w:cs="仿宋_GB2312"/>
          <w:color w:val="000000" w:themeColor="text1"/>
          <w:sz w:val="32"/>
          <w:szCs w:val="32"/>
          <w:highlight w:val="none"/>
          <w:u w:val="none"/>
          <w:lang w:eastAsia="zh-CN"/>
          <w14:textFill>
            <w14:solidFill>
              <w14:schemeClr w14:val="tx1"/>
            </w14:solidFill>
          </w14:textFill>
        </w:rPr>
        <w:t>“铜墙铁壁”。</w:t>
      </w:r>
      <w:r>
        <w:rPr>
          <w:rFonts w:hint="eastAsia" w:ascii="仿宋_GB2312" w:hAnsi="Times New Roman" w:eastAsia="仿宋_GB2312" w:cs="Times New Roman"/>
          <w:color w:val="000000" w:themeColor="text1"/>
          <w:sz w:val="32"/>
          <w:szCs w:val="32"/>
          <w:highlight w:val="none"/>
          <w:u w:val="none"/>
          <w:lang w:val="en-US" w:eastAsia="zh-CN"/>
          <w14:textFill>
            <w14:solidFill>
              <w14:schemeClr w14:val="tx1"/>
            </w14:solidFill>
          </w14:textFill>
        </w:rPr>
        <w:t>全年累计发放宣传资料2.3万多份，悬挂宣传横幅80多条。</w:t>
      </w:r>
    </w:p>
    <w:p>
      <w:pPr>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76" w:lineRule="exact"/>
        <w:ind w:left="0" w:right="0" w:firstLine="640"/>
        <w:jc w:val="both"/>
        <w:textAlignment w:val="auto"/>
        <w:rPr>
          <w:rFonts w:ascii="仿宋" w:hAnsi="仿宋" w:eastAsia="仿宋"/>
          <w:sz w:val="24"/>
          <w:highlight w:val="none"/>
        </w:rPr>
      </w:pPr>
      <w:r>
        <w:rPr>
          <w:rFonts w:hint="eastAsia" w:ascii="仿宋_GB2312" w:hAnsi="仿宋_GB2312" w:eastAsia="仿宋_GB2312" w:cs="仿宋_GB2312"/>
          <w:i w:val="0"/>
          <w:iCs w:val="0"/>
          <w:caps w:val="0"/>
          <w:color w:val="auto"/>
          <w:spacing w:val="0"/>
          <w:kern w:val="0"/>
          <w:sz w:val="32"/>
          <w:szCs w:val="32"/>
          <w:highlight w:val="none"/>
          <w:u w:val="none"/>
          <w:lang w:val="en-US" w:eastAsia="zh-CN" w:bidi="ar"/>
        </w:rPr>
        <w:t>一年来，我们积极支持工会、共青团、妇联、残联等群团组织开展工作，统计、审计、供销、老龄、民族宗教等工作取得新进步。国家安全教育、国防动员、人民武装、退役军人事务等工作进一步加强。</w:t>
      </w:r>
    </w:p>
    <w:p>
      <w:pPr>
        <w:pStyle w:val="14"/>
        <w:adjustRightInd w:val="0"/>
        <w:snapToGrid w:val="0"/>
        <w:spacing w:line="440" w:lineRule="exact"/>
        <w:ind w:left="0" w:leftChars="0" w:firstLine="640" w:firstLineChars="200"/>
        <w:jc w:val="left"/>
        <w:rPr>
          <w:rFonts w:hint="eastAsia" w:ascii="黑体" w:hAnsi="黑体" w:eastAsia="黑体" w:cstheme="majorBidi"/>
          <w:b w:val="0"/>
          <w:bCs/>
          <w:kern w:val="2"/>
          <w:sz w:val="32"/>
          <w:szCs w:val="32"/>
          <w:highlight w:val="none"/>
          <w:lang w:val="en-US" w:eastAsia="zh-CN" w:bidi="ar-SA"/>
        </w:rPr>
      </w:pPr>
      <w:r>
        <w:rPr>
          <w:rFonts w:hint="eastAsia" w:ascii="黑体" w:hAnsi="黑体" w:eastAsia="黑体" w:cstheme="majorBidi"/>
          <w:b w:val="0"/>
          <w:bCs/>
          <w:kern w:val="2"/>
          <w:sz w:val="32"/>
          <w:szCs w:val="32"/>
          <w:highlight w:val="none"/>
          <w:lang w:val="en-US" w:eastAsia="zh-CN" w:bidi="ar-SA"/>
        </w:rPr>
        <w:t>二、机构设置</w:t>
      </w:r>
    </w:p>
    <w:p>
      <w:pPr>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76" w:lineRule="exact"/>
        <w:ind w:left="0" w:right="0" w:firstLine="640"/>
        <w:jc w:val="both"/>
        <w:textAlignment w:val="auto"/>
        <w:rPr>
          <w:rFonts w:hint="eastAsia"/>
          <w:sz w:val="32"/>
          <w:szCs w:val="32"/>
          <w:highlight w:val="none"/>
        </w:rPr>
      </w:pPr>
      <w:r>
        <w:rPr>
          <w:rFonts w:hint="eastAsia" w:ascii="仿宋_GB2312" w:hAnsi="仿宋_GB2312" w:eastAsia="仿宋_GB2312" w:cs="仿宋_GB2312"/>
          <w:i w:val="0"/>
          <w:iCs w:val="0"/>
          <w:caps w:val="0"/>
          <w:color w:val="auto"/>
          <w:spacing w:val="0"/>
          <w:kern w:val="0"/>
          <w:sz w:val="32"/>
          <w:szCs w:val="32"/>
          <w:highlight w:val="none"/>
          <w:u w:val="none"/>
          <w:lang w:val="en-US" w:eastAsia="zh-CN" w:bidi="ar"/>
        </w:rPr>
        <w:t>姚家镇人民政府无下属二级单位，无纳入2022年度部门决算编制范围的二级预算单位。</w:t>
      </w:r>
    </w:p>
    <w:p>
      <w:pPr>
        <w:pStyle w:val="3"/>
        <w:ind w:right="440"/>
        <w:jc w:val="center"/>
        <w:rPr>
          <w:rFonts w:hint="eastAsia" w:ascii="黑体" w:hAnsi="黑体" w:eastAsia="黑体" w:cs="Times New Roman"/>
          <w:b w:val="0"/>
          <w:highlight w:val="none"/>
        </w:rPr>
      </w:pPr>
      <w:r>
        <w:rPr>
          <w:rFonts w:hint="eastAsia" w:ascii="黑体" w:hAnsi="黑体" w:eastAsia="黑体" w:cs="Times New Roman"/>
          <w:b w:val="0"/>
          <w:highlight w:val="none"/>
        </w:rPr>
        <w:t>第二部分 2022年度部门决算情况说明</w:t>
      </w:r>
    </w:p>
    <w:p>
      <w:pPr>
        <w:pStyle w:val="14"/>
        <w:adjustRightInd w:val="0"/>
        <w:snapToGrid w:val="0"/>
        <w:spacing w:line="440" w:lineRule="exact"/>
        <w:jc w:val="left"/>
        <w:rPr>
          <w:rFonts w:hint="eastAsia"/>
          <w:sz w:val="32"/>
          <w:szCs w:val="32"/>
          <w:highlight w:val="none"/>
        </w:rPr>
      </w:pPr>
    </w:p>
    <w:p>
      <w:pPr>
        <w:pStyle w:val="14"/>
        <w:adjustRightInd w:val="0"/>
        <w:snapToGrid w:val="0"/>
        <w:spacing w:line="440" w:lineRule="exact"/>
        <w:ind w:left="0" w:leftChars="0" w:firstLine="640" w:firstLineChars="200"/>
        <w:jc w:val="left"/>
        <w:rPr>
          <w:rStyle w:val="39"/>
          <w:rFonts w:hint="eastAsia" w:ascii="黑体" w:hAnsi="黑体" w:eastAsia="黑体"/>
          <w:b w:val="0"/>
          <w:highlight w:val="none"/>
          <w:lang w:val="en-US" w:eastAsia="zh-CN" w:bidi="ar-SA"/>
        </w:rPr>
      </w:pPr>
      <w:r>
        <w:rPr>
          <w:rStyle w:val="39"/>
          <w:rFonts w:hint="eastAsia" w:ascii="黑体" w:hAnsi="黑体" w:eastAsia="黑体"/>
          <w:b w:val="0"/>
          <w:highlight w:val="none"/>
          <w:lang w:val="en-US" w:eastAsia="zh-CN" w:bidi="ar-SA"/>
        </w:rPr>
        <w:t>一、收入支出决算总体情况说明</w:t>
      </w:r>
    </w:p>
    <w:p>
      <w:pPr>
        <w:spacing w:line="600" w:lineRule="exact"/>
        <w:ind w:firstLine="640" w:firstLineChars="200"/>
        <w:rPr>
          <w:rFonts w:hint="eastAsia" w:ascii="仿宋" w:hAnsi="仿宋" w:eastAsia="仿宋"/>
          <w:sz w:val="32"/>
          <w:szCs w:val="32"/>
          <w:highlight w:val="none"/>
        </w:rPr>
      </w:pPr>
      <w:r>
        <w:rPr>
          <w:rFonts w:hint="eastAsia" w:ascii="仿宋" w:hAnsi="仿宋" w:eastAsia="仿宋"/>
          <w:sz w:val="32"/>
          <w:szCs w:val="32"/>
          <w:highlight w:val="none"/>
        </w:rPr>
        <w:t>202</w:t>
      </w:r>
      <w:r>
        <w:rPr>
          <w:rFonts w:hint="eastAsia" w:ascii="仿宋" w:hAnsi="仿宋" w:eastAsia="仿宋"/>
          <w:sz w:val="32"/>
          <w:szCs w:val="32"/>
          <w:highlight w:val="none"/>
          <w:lang w:val="en-US" w:eastAsia="zh-CN"/>
        </w:rPr>
        <w:t>2</w:t>
      </w:r>
      <w:r>
        <w:rPr>
          <w:rFonts w:hint="eastAsia" w:ascii="仿宋" w:hAnsi="仿宋" w:eastAsia="仿宋"/>
          <w:sz w:val="32"/>
          <w:szCs w:val="32"/>
          <w:highlight w:val="none"/>
        </w:rPr>
        <w:t>年度收</w:t>
      </w:r>
      <w:r>
        <w:rPr>
          <w:rFonts w:hint="eastAsia" w:ascii="仿宋" w:hAnsi="仿宋" w:eastAsia="仿宋"/>
          <w:sz w:val="32"/>
          <w:szCs w:val="32"/>
          <w:highlight w:val="none"/>
          <w:lang w:eastAsia="zh-CN"/>
        </w:rPr>
        <w:t>入</w:t>
      </w:r>
      <w:r>
        <w:rPr>
          <w:rFonts w:hint="eastAsia" w:ascii="仿宋" w:hAnsi="仿宋" w:eastAsia="仿宋"/>
          <w:sz w:val="32"/>
          <w:szCs w:val="32"/>
          <w:highlight w:val="none"/>
          <w:lang w:val="en-US" w:eastAsia="zh-CN"/>
        </w:rPr>
        <w:t>1087.02</w:t>
      </w:r>
      <w:r>
        <w:rPr>
          <w:rFonts w:hint="eastAsia" w:ascii="仿宋" w:hAnsi="仿宋" w:eastAsia="仿宋"/>
          <w:sz w:val="32"/>
          <w:szCs w:val="32"/>
          <w:highlight w:val="none"/>
        </w:rPr>
        <w:t>万元</w:t>
      </w:r>
      <w:r>
        <w:rPr>
          <w:rFonts w:hint="eastAsia" w:ascii="仿宋" w:hAnsi="仿宋" w:eastAsia="仿宋"/>
          <w:sz w:val="32"/>
          <w:szCs w:val="32"/>
          <w:highlight w:val="none"/>
          <w:lang w:eastAsia="zh-CN"/>
        </w:rPr>
        <w:t>，支出</w:t>
      </w:r>
      <w:r>
        <w:rPr>
          <w:rFonts w:hint="eastAsia" w:ascii="仿宋" w:hAnsi="仿宋" w:eastAsia="仿宋"/>
          <w:sz w:val="32"/>
          <w:szCs w:val="32"/>
          <w:highlight w:val="none"/>
          <w:lang w:val="en-US" w:eastAsia="zh-CN"/>
        </w:rPr>
        <w:t>1087.02万元</w:t>
      </w:r>
      <w:r>
        <w:rPr>
          <w:rFonts w:hint="eastAsia" w:ascii="仿宋" w:hAnsi="仿宋" w:eastAsia="仿宋"/>
          <w:sz w:val="32"/>
          <w:szCs w:val="32"/>
          <w:highlight w:val="none"/>
        </w:rPr>
        <w:t>。与202</w:t>
      </w:r>
      <w:r>
        <w:rPr>
          <w:rFonts w:hint="eastAsia" w:ascii="仿宋" w:hAnsi="仿宋" w:eastAsia="仿宋"/>
          <w:sz w:val="32"/>
          <w:szCs w:val="32"/>
          <w:highlight w:val="none"/>
          <w:lang w:val="en-US" w:eastAsia="zh-CN"/>
        </w:rPr>
        <w:t>1</w:t>
      </w:r>
      <w:r>
        <w:rPr>
          <w:rFonts w:hint="eastAsia" w:ascii="仿宋" w:hAnsi="仿宋" w:eastAsia="仿宋"/>
          <w:sz w:val="32"/>
          <w:szCs w:val="32"/>
          <w:highlight w:val="none"/>
        </w:rPr>
        <w:t>年相比，</w:t>
      </w:r>
      <w:r>
        <w:rPr>
          <w:rFonts w:hint="eastAsia" w:ascii="仿宋" w:hAnsi="仿宋" w:eastAsia="仿宋"/>
          <w:sz w:val="32"/>
          <w:szCs w:val="32"/>
          <w:highlight w:val="none"/>
          <w:lang w:val="en-US" w:eastAsia="zh-CN"/>
        </w:rPr>
        <w:t>减少81.51</w:t>
      </w:r>
      <w:r>
        <w:rPr>
          <w:rFonts w:hint="eastAsia" w:ascii="仿宋" w:hAnsi="仿宋" w:eastAsia="仿宋"/>
          <w:sz w:val="32"/>
          <w:szCs w:val="32"/>
          <w:highlight w:val="none"/>
        </w:rPr>
        <w:t>万元，</w:t>
      </w:r>
      <w:r>
        <w:rPr>
          <w:rFonts w:hint="eastAsia" w:ascii="仿宋" w:hAnsi="仿宋" w:eastAsia="仿宋"/>
          <w:sz w:val="32"/>
          <w:szCs w:val="32"/>
          <w:highlight w:val="none"/>
          <w:lang w:val="en-US" w:eastAsia="zh-CN"/>
        </w:rPr>
        <w:t>减少6.98</w:t>
      </w:r>
      <w:r>
        <w:rPr>
          <w:rFonts w:ascii="仿宋" w:hAnsi="仿宋" w:eastAsia="仿宋"/>
          <w:sz w:val="32"/>
          <w:szCs w:val="32"/>
          <w:highlight w:val="none"/>
        </w:rPr>
        <w:t>%</w:t>
      </w:r>
      <w:r>
        <w:rPr>
          <w:rFonts w:hint="eastAsia" w:ascii="仿宋" w:hAnsi="仿宋" w:eastAsia="仿宋"/>
          <w:sz w:val="32"/>
          <w:szCs w:val="32"/>
          <w:highlight w:val="none"/>
        </w:rPr>
        <w:t>。主要变动原因是</w:t>
      </w:r>
      <w:r>
        <w:rPr>
          <w:rFonts w:hint="eastAsia" w:ascii="仿宋" w:hAnsi="仿宋" w:eastAsia="仿宋"/>
          <w:sz w:val="32"/>
          <w:szCs w:val="32"/>
          <w:highlight w:val="none"/>
          <w:lang w:val="en-US" w:eastAsia="zh-CN"/>
        </w:rPr>
        <w:t>预算资金结构调整</w:t>
      </w:r>
      <w:r>
        <w:rPr>
          <w:rFonts w:hint="eastAsia" w:ascii="仿宋" w:hAnsi="仿宋" w:eastAsia="仿宋"/>
          <w:sz w:val="32"/>
          <w:szCs w:val="32"/>
          <w:highlight w:val="none"/>
        </w:rPr>
        <w:t>。</w:t>
      </w:r>
    </w:p>
    <w:p>
      <w:pPr>
        <w:spacing w:line="600" w:lineRule="exact"/>
        <w:ind w:firstLine="1920" w:firstLineChars="600"/>
        <w:rPr>
          <w:rFonts w:hint="eastAsia"/>
          <w:highlight w:val="none"/>
          <w:lang w:eastAsia="zh-CN"/>
        </w:rPr>
      </w:pPr>
      <w:r>
        <w:rPr>
          <w:rFonts w:hint="eastAsia" w:ascii="仿宋" w:hAnsi="仿宋" w:eastAsia="仿宋"/>
          <w:sz w:val="32"/>
          <w:szCs w:val="32"/>
          <w:highlight w:val="none"/>
        </w:rPr>
        <w:t>（图</w:t>
      </w:r>
      <w:r>
        <w:rPr>
          <w:rFonts w:hint="eastAsia" w:ascii="仿宋" w:hAnsi="仿宋" w:eastAsia="仿宋"/>
          <w:sz w:val="32"/>
          <w:szCs w:val="32"/>
          <w:highlight w:val="none"/>
          <w:lang w:val="en-US" w:eastAsia="zh-CN"/>
        </w:rPr>
        <w:t>1</w:t>
      </w:r>
      <w:r>
        <w:rPr>
          <w:rFonts w:hint="eastAsia" w:ascii="仿宋" w:hAnsi="仿宋" w:eastAsia="仿宋"/>
          <w:sz w:val="32"/>
          <w:szCs w:val="32"/>
          <w:highlight w:val="none"/>
        </w:rPr>
        <w:t>：收</w:t>
      </w:r>
      <w:r>
        <w:rPr>
          <w:rFonts w:hint="eastAsia" w:ascii="仿宋" w:hAnsi="仿宋" w:eastAsia="仿宋"/>
          <w:sz w:val="32"/>
          <w:szCs w:val="32"/>
          <w:highlight w:val="none"/>
          <w:lang w:val="en-US" w:eastAsia="zh-CN"/>
        </w:rPr>
        <w:t>支</w:t>
      </w:r>
      <w:r>
        <w:rPr>
          <w:rFonts w:hint="eastAsia" w:ascii="仿宋" w:hAnsi="仿宋" w:eastAsia="仿宋"/>
          <w:sz w:val="32"/>
          <w:szCs w:val="32"/>
          <w:highlight w:val="none"/>
        </w:rPr>
        <w:t>决算</w:t>
      </w:r>
      <w:r>
        <w:rPr>
          <w:rFonts w:hint="eastAsia" w:ascii="仿宋" w:hAnsi="仿宋" w:eastAsia="仿宋"/>
          <w:sz w:val="32"/>
          <w:szCs w:val="32"/>
          <w:highlight w:val="none"/>
          <w:lang w:val="en-US" w:eastAsia="zh-CN"/>
        </w:rPr>
        <w:t>总计变动情况</w:t>
      </w:r>
      <w:r>
        <w:rPr>
          <w:rFonts w:hint="eastAsia" w:ascii="仿宋" w:hAnsi="仿宋" w:eastAsia="仿宋"/>
          <w:sz w:val="32"/>
          <w:szCs w:val="32"/>
          <w:highlight w:val="none"/>
        </w:rPr>
        <w:t>图）</w:t>
      </w:r>
    </w:p>
    <w:p>
      <w:pPr>
        <w:jc w:val="center"/>
        <w:rPr>
          <w:rFonts w:hint="eastAsia"/>
          <w:highlight w:val="none"/>
          <w:lang w:eastAsia="zh-CN"/>
        </w:rPr>
      </w:pPr>
      <w:r>
        <w:rPr>
          <w:highlight w:val="none"/>
        </w:rPr>
        <w:drawing>
          <wp:inline distT="0" distB="0" distL="114300" distR="114300">
            <wp:extent cx="4800600" cy="3114675"/>
            <wp:effectExtent l="0" t="0" r="0" b="952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6"/>
                    <a:stretch>
                      <a:fillRect/>
                    </a:stretch>
                  </pic:blipFill>
                  <pic:spPr>
                    <a:xfrm>
                      <a:off x="0" y="0"/>
                      <a:ext cx="4800600" cy="3114675"/>
                    </a:xfrm>
                    <a:prstGeom prst="rect">
                      <a:avLst/>
                    </a:prstGeom>
                    <a:noFill/>
                    <a:ln>
                      <a:noFill/>
                    </a:ln>
                  </pic:spPr>
                </pic:pic>
              </a:graphicData>
            </a:graphic>
          </wp:inline>
        </w:drawing>
      </w:r>
    </w:p>
    <w:p>
      <w:pPr>
        <w:pStyle w:val="14"/>
        <w:adjustRightInd w:val="0"/>
        <w:snapToGrid w:val="0"/>
        <w:spacing w:line="440" w:lineRule="exact"/>
        <w:ind w:left="0" w:leftChars="0" w:firstLine="640" w:firstLineChars="200"/>
        <w:jc w:val="left"/>
        <w:rPr>
          <w:rStyle w:val="39"/>
          <w:rFonts w:hint="eastAsia" w:ascii="黑体" w:hAnsi="黑体" w:eastAsia="黑体"/>
          <w:b w:val="0"/>
          <w:highlight w:val="none"/>
          <w:lang w:val="en-US" w:eastAsia="zh-CN" w:bidi="ar-SA"/>
        </w:rPr>
      </w:pPr>
      <w:r>
        <w:rPr>
          <w:rStyle w:val="39"/>
          <w:rFonts w:hint="eastAsia" w:ascii="黑体" w:hAnsi="黑体" w:eastAsia="黑体"/>
          <w:b w:val="0"/>
          <w:highlight w:val="none"/>
          <w:lang w:val="en-US" w:eastAsia="zh-CN" w:bidi="ar-SA"/>
        </w:rPr>
        <w:t>二、收入决算情况说明</w:t>
      </w:r>
    </w:p>
    <w:p>
      <w:pPr>
        <w:spacing w:line="600" w:lineRule="exact"/>
        <w:ind w:firstLine="640" w:firstLineChars="200"/>
        <w:rPr>
          <w:rFonts w:hint="eastAsia" w:ascii="仿宋" w:hAnsi="仿宋" w:eastAsia="仿宋"/>
          <w:sz w:val="32"/>
          <w:szCs w:val="32"/>
          <w:highlight w:val="none"/>
        </w:rPr>
      </w:pPr>
      <w:r>
        <w:rPr>
          <w:rFonts w:hint="eastAsia" w:ascii="仿宋" w:hAnsi="仿宋" w:eastAsia="仿宋"/>
          <w:sz w:val="32"/>
          <w:szCs w:val="32"/>
          <w:highlight w:val="none"/>
        </w:rPr>
        <w:t>202</w:t>
      </w:r>
      <w:r>
        <w:rPr>
          <w:rFonts w:hint="eastAsia" w:ascii="仿宋" w:hAnsi="仿宋" w:eastAsia="仿宋"/>
          <w:sz w:val="32"/>
          <w:szCs w:val="32"/>
          <w:highlight w:val="none"/>
          <w:lang w:val="en-US" w:eastAsia="zh-CN"/>
        </w:rPr>
        <w:t>2</w:t>
      </w:r>
      <w:r>
        <w:rPr>
          <w:rFonts w:hint="eastAsia" w:ascii="仿宋" w:hAnsi="仿宋" w:eastAsia="仿宋"/>
          <w:sz w:val="32"/>
          <w:szCs w:val="32"/>
          <w:highlight w:val="none"/>
        </w:rPr>
        <w:t>年本年收入合计1</w:t>
      </w:r>
      <w:r>
        <w:rPr>
          <w:rFonts w:hint="eastAsia" w:ascii="仿宋" w:hAnsi="仿宋" w:eastAsia="仿宋"/>
          <w:sz w:val="32"/>
          <w:szCs w:val="32"/>
          <w:highlight w:val="none"/>
          <w:lang w:val="en-US" w:eastAsia="zh-CN"/>
        </w:rPr>
        <w:t>087.02</w:t>
      </w:r>
      <w:r>
        <w:rPr>
          <w:rFonts w:hint="eastAsia" w:ascii="仿宋" w:hAnsi="仿宋" w:eastAsia="仿宋"/>
          <w:sz w:val="32"/>
          <w:szCs w:val="32"/>
          <w:highlight w:val="none"/>
        </w:rPr>
        <w:t>万元，其中：一般公共预算财政拨款收入1</w:t>
      </w:r>
      <w:r>
        <w:rPr>
          <w:rFonts w:hint="eastAsia" w:ascii="仿宋" w:hAnsi="仿宋" w:eastAsia="仿宋"/>
          <w:sz w:val="32"/>
          <w:szCs w:val="32"/>
          <w:highlight w:val="none"/>
          <w:lang w:val="en-US" w:eastAsia="zh-CN"/>
        </w:rPr>
        <w:t>087.02</w:t>
      </w:r>
      <w:r>
        <w:rPr>
          <w:rFonts w:hint="eastAsia" w:ascii="仿宋" w:hAnsi="仿宋" w:eastAsia="仿宋"/>
          <w:sz w:val="32"/>
          <w:szCs w:val="32"/>
          <w:highlight w:val="none"/>
        </w:rPr>
        <w:t>万元，占100%；政府性基金预算财政拨款收入0万元，占0%；国有资本经营预算财政拨款收入0万元，占0%；上级补助收入0万元，占0%；事业收入0万元，占0%；经营收入0万元，占0%；附属单位上缴收入0万元，占0%；其他收入0万元，占0%。</w:t>
      </w:r>
    </w:p>
    <w:p>
      <w:pPr>
        <w:spacing w:line="600" w:lineRule="exact"/>
        <w:ind w:firstLine="1920" w:firstLineChars="600"/>
        <w:rPr>
          <w:rFonts w:ascii="仿宋" w:hAnsi="仿宋" w:eastAsia="仿宋"/>
          <w:sz w:val="32"/>
          <w:szCs w:val="32"/>
          <w:highlight w:val="none"/>
        </w:rPr>
      </w:pPr>
      <w:r>
        <w:rPr>
          <w:rFonts w:hint="eastAsia" w:ascii="仿宋" w:hAnsi="仿宋" w:eastAsia="仿宋"/>
          <w:sz w:val="32"/>
          <w:szCs w:val="32"/>
          <w:highlight w:val="none"/>
        </w:rPr>
        <w:t>（图2：收入决算结构图）</w:t>
      </w:r>
    </w:p>
    <w:p>
      <w:pPr>
        <w:pStyle w:val="16"/>
        <w:ind w:left="0" w:leftChars="0" w:firstLine="0" w:firstLineChars="0"/>
        <w:rPr>
          <w:rFonts w:hint="eastAsia" w:eastAsia="宋体"/>
          <w:highlight w:val="none"/>
          <w:lang w:eastAsia="zh-CN"/>
        </w:rPr>
      </w:pPr>
      <w:r>
        <w:rPr>
          <w:rFonts w:hint="eastAsia" w:eastAsia="宋体"/>
          <w:highlight w:val="none"/>
          <w:lang w:eastAsia="zh-CN"/>
        </w:rPr>
        <w:drawing>
          <wp:inline distT="0" distB="0" distL="114300" distR="114300">
            <wp:extent cx="4824730" cy="3043555"/>
            <wp:effectExtent l="4445" t="4445" r="9525" b="19050"/>
            <wp:docPr id="7"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pStyle w:val="14"/>
        <w:adjustRightInd w:val="0"/>
        <w:snapToGrid w:val="0"/>
        <w:spacing w:line="440" w:lineRule="exact"/>
        <w:ind w:left="0" w:leftChars="0" w:firstLine="640" w:firstLineChars="200"/>
        <w:jc w:val="left"/>
        <w:rPr>
          <w:rFonts w:ascii="仿宋" w:hAnsi="仿宋" w:eastAsia="仿宋" w:cstheme="minorBidi"/>
          <w:sz w:val="32"/>
          <w:szCs w:val="32"/>
          <w:highlight w:val="none"/>
        </w:rPr>
      </w:pPr>
      <w:r>
        <w:rPr>
          <w:rStyle w:val="39"/>
          <w:rFonts w:hint="eastAsia" w:ascii="黑体" w:hAnsi="黑体" w:eastAsia="黑体"/>
          <w:b w:val="0"/>
          <w:highlight w:val="none"/>
          <w:lang w:val="en-US" w:eastAsia="zh-CN" w:bidi="ar-SA"/>
        </w:rPr>
        <w:t>三、支出决算情况说明</w:t>
      </w:r>
    </w:p>
    <w:p>
      <w:pPr>
        <w:spacing w:line="600" w:lineRule="exact"/>
        <w:ind w:firstLine="640" w:firstLineChars="200"/>
        <w:outlineLvl w:val="1"/>
        <w:rPr>
          <w:rFonts w:hint="eastAsia" w:ascii="仿宋" w:hAnsi="仿宋" w:eastAsia="仿宋"/>
          <w:sz w:val="32"/>
          <w:szCs w:val="32"/>
          <w:highlight w:val="none"/>
        </w:rPr>
      </w:pPr>
      <w:r>
        <w:rPr>
          <w:rFonts w:ascii="仿宋" w:hAnsi="仿宋" w:eastAsia="仿宋"/>
          <w:sz w:val="32"/>
          <w:szCs w:val="32"/>
          <w:highlight w:val="none"/>
        </w:rPr>
        <w:t>20</w:t>
      </w:r>
      <w:r>
        <w:rPr>
          <w:rFonts w:hint="eastAsia" w:ascii="仿宋" w:hAnsi="仿宋" w:eastAsia="仿宋"/>
          <w:sz w:val="32"/>
          <w:szCs w:val="32"/>
          <w:highlight w:val="none"/>
        </w:rPr>
        <w:t>2</w:t>
      </w:r>
      <w:r>
        <w:rPr>
          <w:rFonts w:hint="eastAsia" w:ascii="仿宋" w:hAnsi="仿宋" w:eastAsia="仿宋"/>
          <w:sz w:val="32"/>
          <w:szCs w:val="32"/>
          <w:highlight w:val="none"/>
          <w:lang w:val="en-US" w:eastAsia="zh-CN"/>
        </w:rPr>
        <w:t>2</w:t>
      </w:r>
      <w:r>
        <w:rPr>
          <w:rFonts w:hint="eastAsia" w:ascii="仿宋" w:hAnsi="仿宋" w:eastAsia="仿宋"/>
          <w:sz w:val="32"/>
          <w:szCs w:val="32"/>
          <w:highlight w:val="none"/>
        </w:rPr>
        <w:t>年本年支出合计1</w:t>
      </w:r>
      <w:r>
        <w:rPr>
          <w:rFonts w:hint="eastAsia" w:ascii="仿宋" w:hAnsi="仿宋" w:eastAsia="仿宋"/>
          <w:sz w:val="32"/>
          <w:szCs w:val="32"/>
          <w:highlight w:val="none"/>
          <w:lang w:val="en-US" w:eastAsia="zh-CN"/>
        </w:rPr>
        <w:t>087.02</w:t>
      </w:r>
      <w:r>
        <w:rPr>
          <w:rFonts w:hint="eastAsia" w:ascii="仿宋" w:hAnsi="仿宋" w:eastAsia="仿宋"/>
          <w:sz w:val="32"/>
          <w:szCs w:val="32"/>
          <w:highlight w:val="none"/>
        </w:rPr>
        <w:t>万元，其中：基本支出</w:t>
      </w:r>
      <w:r>
        <w:rPr>
          <w:rFonts w:hint="eastAsia" w:ascii="仿宋" w:hAnsi="仿宋" w:eastAsia="仿宋"/>
          <w:sz w:val="32"/>
          <w:szCs w:val="32"/>
          <w:highlight w:val="none"/>
          <w:lang w:val="en-US" w:eastAsia="zh-CN"/>
        </w:rPr>
        <w:t>879.72</w:t>
      </w:r>
      <w:r>
        <w:rPr>
          <w:rFonts w:hint="eastAsia" w:ascii="仿宋" w:hAnsi="仿宋" w:eastAsia="仿宋"/>
          <w:sz w:val="32"/>
          <w:szCs w:val="32"/>
          <w:highlight w:val="none"/>
        </w:rPr>
        <w:t>万元，占8</w:t>
      </w:r>
      <w:r>
        <w:rPr>
          <w:rFonts w:hint="eastAsia" w:ascii="仿宋" w:hAnsi="仿宋" w:eastAsia="仿宋"/>
          <w:sz w:val="32"/>
          <w:szCs w:val="32"/>
          <w:highlight w:val="none"/>
          <w:lang w:val="en-US" w:eastAsia="zh-CN"/>
        </w:rPr>
        <w:t>0.93</w:t>
      </w:r>
      <w:r>
        <w:rPr>
          <w:rFonts w:ascii="仿宋" w:hAnsi="仿宋" w:eastAsia="仿宋"/>
          <w:sz w:val="32"/>
          <w:szCs w:val="32"/>
          <w:highlight w:val="none"/>
        </w:rPr>
        <w:t>%</w:t>
      </w:r>
      <w:r>
        <w:rPr>
          <w:rFonts w:hint="eastAsia" w:ascii="仿宋" w:hAnsi="仿宋" w:eastAsia="仿宋"/>
          <w:sz w:val="32"/>
          <w:szCs w:val="32"/>
          <w:highlight w:val="none"/>
        </w:rPr>
        <w:t>；项目支出</w:t>
      </w:r>
      <w:r>
        <w:rPr>
          <w:rFonts w:hint="eastAsia" w:ascii="仿宋" w:hAnsi="仿宋" w:eastAsia="仿宋"/>
          <w:sz w:val="32"/>
          <w:szCs w:val="32"/>
          <w:highlight w:val="none"/>
          <w:lang w:val="en-US" w:eastAsia="zh-CN"/>
        </w:rPr>
        <w:t>207.3</w:t>
      </w:r>
      <w:r>
        <w:rPr>
          <w:rFonts w:hint="eastAsia" w:ascii="仿宋" w:hAnsi="仿宋" w:eastAsia="仿宋"/>
          <w:sz w:val="32"/>
          <w:szCs w:val="32"/>
          <w:highlight w:val="none"/>
        </w:rPr>
        <w:t>3万元，占</w:t>
      </w:r>
      <w:r>
        <w:rPr>
          <w:rFonts w:hint="eastAsia" w:ascii="仿宋" w:hAnsi="仿宋" w:eastAsia="仿宋"/>
          <w:sz w:val="32"/>
          <w:szCs w:val="32"/>
          <w:highlight w:val="none"/>
          <w:lang w:val="en-US" w:eastAsia="zh-CN"/>
        </w:rPr>
        <w:t>19.07</w:t>
      </w:r>
      <w:r>
        <w:rPr>
          <w:rFonts w:ascii="仿宋" w:hAnsi="仿宋" w:eastAsia="仿宋"/>
          <w:sz w:val="32"/>
          <w:szCs w:val="32"/>
          <w:highlight w:val="none"/>
        </w:rPr>
        <w:t>%</w:t>
      </w:r>
      <w:r>
        <w:rPr>
          <w:rFonts w:hint="eastAsia" w:ascii="仿宋" w:hAnsi="仿宋" w:eastAsia="仿宋"/>
          <w:sz w:val="32"/>
          <w:szCs w:val="32"/>
          <w:highlight w:val="none"/>
        </w:rPr>
        <w:t>；上缴上级支出0万元，占0</w:t>
      </w:r>
      <w:r>
        <w:rPr>
          <w:rFonts w:ascii="仿宋" w:hAnsi="仿宋" w:eastAsia="仿宋"/>
          <w:sz w:val="32"/>
          <w:szCs w:val="32"/>
          <w:highlight w:val="none"/>
        </w:rPr>
        <w:t>%</w:t>
      </w:r>
      <w:r>
        <w:rPr>
          <w:rFonts w:hint="eastAsia" w:ascii="仿宋" w:hAnsi="仿宋" w:eastAsia="仿宋"/>
          <w:sz w:val="32"/>
          <w:szCs w:val="32"/>
          <w:highlight w:val="none"/>
        </w:rPr>
        <w:t>；经营支出0万元，占0</w:t>
      </w:r>
      <w:r>
        <w:rPr>
          <w:rFonts w:ascii="仿宋" w:hAnsi="仿宋" w:eastAsia="仿宋"/>
          <w:sz w:val="32"/>
          <w:szCs w:val="32"/>
          <w:highlight w:val="none"/>
        </w:rPr>
        <w:t>%</w:t>
      </w:r>
      <w:r>
        <w:rPr>
          <w:rFonts w:hint="eastAsia" w:ascii="仿宋" w:hAnsi="仿宋" w:eastAsia="仿宋"/>
          <w:sz w:val="32"/>
          <w:szCs w:val="32"/>
          <w:highlight w:val="none"/>
        </w:rPr>
        <w:t>；对附属单位补助支出0万元，占0</w:t>
      </w:r>
      <w:r>
        <w:rPr>
          <w:rFonts w:ascii="仿宋" w:hAnsi="仿宋" w:eastAsia="仿宋"/>
          <w:sz w:val="32"/>
          <w:szCs w:val="32"/>
          <w:highlight w:val="none"/>
        </w:rPr>
        <w:t>%</w:t>
      </w:r>
      <w:r>
        <w:rPr>
          <w:rFonts w:hint="eastAsia" w:ascii="仿宋" w:hAnsi="仿宋" w:eastAsia="仿宋"/>
          <w:sz w:val="32"/>
          <w:szCs w:val="32"/>
          <w:highlight w:val="none"/>
        </w:rPr>
        <w:t>。</w:t>
      </w:r>
    </w:p>
    <w:p>
      <w:pPr>
        <w:pStyle w:val="16"/>
        <w:ind w:firstLine="1280" w:firstLineChars="400"/>
        <w:jc w:val="both"/>
        <w:rPr>
          <w:rFonts w:hint="eastAsia"/>
          <w:highlight w:val="none"/>
        </w:rPr>
      </w:pPr>
      <w:r>
        <w:rPr>
          <w:rFonts w:hint="eastAsia" w:ascii="仿宋" w:hAnsi="仿宋" w:eastAsia="仿宋"/>
          <w:sz w:val="32"/>
          <w:szCs w:val="32"/>
          <w:highlight w:val="none"/>
        </w:rPr>
        <w:t>（图3：支出决算结构图）</w:t>
      </w:r>
    </w:p>
    <w:p>
      <w:pPr>
        <w:rPr>
          <w:rFonts w:hint="eastAsia"/>
          <w:highlight w:val="none"/>
          <w:lang w:eastAsia="zh-CN"/>
        </w:rPr>
      </w:pPr>
      <w:r>
        <w:rPr>
          <w:rFonts w:hint="eastAsia" w:eastAsia="仿宋"/>
          <w:highlight w:val="none"/>
          <w:lang w:eastAsia="zh-CN"/>
        </w:rPr>
        <w:drawing>
          <wp:inline distT="0" distB="0" distL="114300" distR="114300">
            <wp:extent cx="4972050" cy="2618740"/>
            <wp:effectExtent l="4445" t="4445" r="14605" b="5715"/>
            <wp:docPr id="8"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pStyle w:val="14"/>
        <w:adjustRightInd w:val="0"/>
        <w:snapToGrid w:val="0"/>
        <w:spacing w:line="440" w:lineRule="exact"/>
        <w:ind w:left="0" w:leftChars="0" w:firstLine="640" w:firstLineChars="200"/>
        <w:jc w:val="left"/>
        <w:rPr>
          <w:rFonts w:ascii="仿宋" w:hAnsi="仿宋" w:eastAsia="仿宋" w:cstheme="minorBidi"/>
          <w:sz w:val="32"/>
          <w:szCs w:val="32"/>
          <w:highlight w:val="none"/>
        </w:rPr>
      </w:pPr>
      <w:r>
        <w:rPr>
          <w:rStyle w:val="39"/>
          <w:rFonts w:hint="eastAsia" w:ascii="黑体" w:hAnsi="黑体" w:eastAsia="黑体"/>
          <w:b w:val="0"/>
          <w:highlight w:val="none"/>
          <w:lang w:val="en-US" w:eastAsia="zh-CN" w:bidi="ar-SA"/>
        </w:rPr>
        <w:t>四、财政拨款收入支出决算总体情况说明</w:t>
      </w:r>
    </w:p>
    <w:p>
      <w:pPr>
        <w:spacing w:line="600" w:lineRule="exact"/>
        <w:ind w:firstLine="640" w:firstLineChars="200"/>
        <w:rPr>
          <w:rFonts w:hint="eastAsia" w:ascii="仿宋" w:hAnsi="仿宋" w:eastAsia="仿宋"/>
          <w:sz w:val="32"/>
          <w:szCs w:val="32"/>
          <w:highlight w:val="none"/>
        </w:rPr>
      </w:pPr>
      <w:r>
        <w:rPr>
          <w:rFonts w:ascii="仿宋" w:hAnsi="仿宋" w:eastAsia="仿宋"/>
          <w:sz w:val="32"/>
          <w:szCs w:val="32"/>
          <w:highlight w:val="none"/>
        </w:rPr>
        <w:t>20</w:t>
      </w:r>
      <w:r>
        <w:rPr>
          <w:rFonts w:hint="eastAsia" w:ascii="仿宋" w:hAnsi="仿宋" w:eastAsia="仿宋"/>
          <w:sz w:val="32"/>
          <w:szCs w:val="32"/>
          <w:highlight w:val="none"/>
        </w:rPr>
        <w:t>2</w:t>
      </w:r>
      <w:r>
        <w:rPr>
          <w:rFonts w:hint="eastAsia" w:ascii="仿宋" w:hAnsi="仿宋" w:eastAsia="仿宋"/>
          <w:sz w:val="32"/>
          <w:szCs w:val="32"/>
          <w:highlight w:val="none"/>
          <w:lang w:val="en-US" w:eastAsia="zh-CN"/>
        </w:rPr>
        <w:t>2</w:t>
      </w:r>
      <w:r>
        <w:rPr>
          <w:rFonts w:hint="eastAsia" w:ascii="仿宋" w:hAnsi="仿宋" w:eastAsia="仿宋"/>
          <w:sz w:val="32"/>
          <w:szCs w:val="32"/>
          <w:highlight w:val="none"/>
        </w:rPr>
        <w:t>年财政拨款收</w:t>
      </w:r>
      <w:r>
        <w:rPr>
          <w:rFonts w:hint="eastAsia" w:ascii="仿宋" w:hAnsi="仿宋" w:eastAsia="仿宋"/>
          <w:sz w:val="32"/>
          <w:szCs w:val="32"/>
          <w:highlight w:val="none"/>
          <w:lang w:eastAsia="zh-CN"/>
        </w:rPr>
        <w:t>入</w:t>
      </w:r>
      <w:r>
        <w:rPr>
          <w:rFonts w:hint="eastAsia" w:ascii="仿宋" w:hAnsi="仿宋" w:eastAsia="仿宋"/>
          <w:sz w:val="32"/>
          <w:szCs w:val="32"/>
          <w:highlight w:val="none"/>
          <w:lang w:val="en-US" w:eastAsia="zh-CN"/>
        </w:rPr>
        <w:t>1087.02万元，</w:t>
      </w:r>
      <w:r>
        <w:rPr>
          <w:rFonts w:hint="eastAsia" w:ascii="仿宋" w:hAnsi="仿宋" w:eastAsia="仿宋"/>
          <w:sz w:val="32"/>
          <w:szCs w:val="32"/>
          <w:highlight w:val="none"/>
        </w:rPr>
        <w:t>支</w:t>
      </w:r>
      <w:r>
        <w:rPr>
          <w:rFonts w:hint="eastAsia" w:ascii="仿宋" w:hAnsi="仿宋" w:eastAsia="仿宋"/>
          <w:sz w:val="32"/>
          <w:szCs w:val="32"/>
          <w:highlight w:val="none"/>
          <w:lang w:eastAsia="zh-CN"/>
        </w:rPr>
        <w:t>出</w:t>
      </w:r>
      <w:r>
        <w:rPr>
          <w:rFonts w:hint="eastAsia" w:ascii="仿宋" w:hAnsi="仿宋" w:eastAsia="仿宋"/>
          <w:sz w:val="32"/>
          <w:szCs w:val="32"/>
          <w:highlight w:val="none"/>
          <w:lang w:val="en-US" w:eastAsia="zh-CN"/>
        </w:rPr>
        <w:t>1087.02</w:t>
      </w:r>
      <w:r>
        <w:rPr>
          <w:rFonts w:hint="eastAsia" w:ascii="仿宋" w:hAnsi="仿宋" w:eastAsia="仿宋"/>
          <w:sz w:val="32"/>
          <w:szCs w:val="32"/>
          <w:highlight w:val="none"/>
        </w:rPr>
        <w:t>万元。与</w:t>
      </w:r>
      <w:r>
        <w:rPr>
          <w:rFonts w:ascii="仿宋" w:hAnsi="仿宋" w:eastAsia="仿宋"/>
          <w:sz w:val="32"/>
          <w:szCs w:val="32"/>
          <w:highlight w:val="none"/>
        </w:rPr>
        <w:t>20</w:t>
      </w:r>
      <w:r>
        <w:rPr>
          <w:rFonts w:hint="eastAsia" w:ascii="仿宋" w:hAnsi="仿宋" w:eastAsia="仿宋"/>
          <w:sz w:val="32"/>
          <w:szCs w:val="32"/>
          <w:highlight w:val="none"/>
        </w:rPr>
        <w:t>2</w:t>
      </w:r>
      <w:r>
        <w:rPr>
          <w:rFonts w:hint="eastAsia" w:ascii="仿宋" w:hAnsi="仿宋" w:eastAsia="仿宋"/>
          <w:sz w:val="32"/>
          <w:szCs w:val="32"/>
          <w:highlight w:val="none"/>
          <w:lang w:val="en-US" w:eastAsia="zh-CN"/>
        </w:rPr>
        <w:t>1</w:t>
      </w:r>
      <w:r>
        <w:rPr>
          <w:rFonts w:hint="eastAsia" w:ascii="仿宋" w:hAnsi="仿宋" w:eastAsia="仿宋"/>
          <w:sz w:val="32"/>
          <w:szCs w:val="32"/>
          <w:highlight w:val="none"/>
        </w:rPr>
        <w:t>年相比，财政拨款</w:t>
      </w:r>
      <w:r>
        <w:rPr>
          <w:rFonts w:hint="eastAsia" w:ascii="仿宋" w:hAnsi="仿宋" w:eastAsia="仿宋"/>
          <w:sz w:val="32"/>
          <w:szCs w:val="32"/>
          <w:highlight w:val="none"/>
          <w:lang w:val="en-US" w:eastAsia="zh-CN"/>
        </w:rPr>
        <w:t>减少81.51</w:t>
      </w:r>
      <w:r>
        <w:rPr>
          <w:rFonts w:hint="eastAsia" w:ascii="仿宋" w:hAnsi="仿宋" w:eastAsia="仿宋"/>
          <w:sz w:val="32"/>
          <w:szCs w:val="32"/>
          <w:highlight w:val="none"/>
        </w:rPr>
        <w:t>万元，</w:t>
      </w:r>
      <w:r>
        <w:rPr>
          <w:rFonts w:hint="eastAsia" w:ascii="仿宋" w:hAnsi="仿宋" w:eastAsia="仿宋"/>
          <w:sz w:val="32"/>
          <w:szCs w:val="32"/>
          <w:highlight w:val="none"/>
          <w:lang w:val="en-US" w:eastAsia="zh-CN"/>
        </w:rPr>
        <w:t>减少6.98</w:t>
      </w:r>
      <w:r>
        <w:rPr>
          <w:rFonts w:ascii="仿宋" w:hAnsi="仿宋" w:eastAsia="仿宋"/>
          <w:sz w:val="32"/>
          <w:szCs w:val="32"/>
          <w:highlight w:val="none"/>
        </w:rPr>
        <w:t>%</w:t>
      </w:r>
      <w:r>
        <w:rPr>
          <w:rFonts w:hint="eastAsia" w:ascii="仿宋" w:hAnsi="仿宋" w:eastAsia="仿宋"/>
          <w:sz w:val="32"/>
          <w:szCs w:val="32"/>
          <w:highlight w:val="none"/>
        </w:rPr>
        <w:t>。主要变动原因</w:t>
      </w:r>
      <w:r>
        <w:rPr>
          <w:rFonts w:hint="eastAsia" w:ascii="仿宋" w:hAnsi="仿宋" w:eastAsia="仿宋"/>
          <w:sz w:val="32"/>
          <w:szCs w:val="32"/>
          <w:highlight w:val="none"/>
          <w:lang w:eastAsia="zh-CN"/>
        </w:rPr>
        <w:t>是</w:t>
      </w:r>
      <w:r>
        <w:rPr>
          <w:rFonts w:hint="eastAsia" w:ascii="仿宋" w:hAnsi="仿宋" w:eastAsia="仿宋"/>
          <w:sz w:val="32"/>
          <w:szCs w:val="32"/>
          <w:highlight w:val="none"/>
          <w:lang w:val="en-US" w:eastAsia="zh-CN"/>
        </w:rPr>
        <w:t>预算资金结构调整</w:t>
      </w:r>
      <w:r>
        <w:rPr>
          <w:rFonts w:hint="eastAsia" w:ascii="仿宋" w:hAnsi="仿宋" w:eastAsia="仿宋"/>
          <w:sz w:val="32"/>
          <w:szCs w:val="32"/>
          <w:highlight w:val="none"/>
        </w:rPr>
        <w:t>。</w:t>
      </w:r>
    </w:p>
    <w:p>
      <w:pPr>
        <w:pStyle w:val="16"/>
        <w:rPr>
          <w:rFonts w:hint="eastAsia"/>
          <w:highlight w:val="none"/>
        </w:rPr>
      </w:pPr>
    </w:p>
    <w:p>
      <w:pPr>
        <w:pStyle w:val="16"/>
        <w:rPr>
          <w:rFonts w:hint="eastAsia"/>
          <w:highlight w:val="none"/>
        </w:rPr>
      </w:pPr>
      <w:r>
        <w:rPr>
          <w:rFonts w:hint="eastAsia" w:ascii="仿宋" w:hAnsi="仿宋" w:eastAsia="仿宋"/>
          <w:sz w:val="32"/>
          <w:szCs w:val="32"/>
          <w:highlight w:val="none"/>
        </w:rPr>
        <w:t>（图4：财政拨款决算总计变动情况）</w:t>
      </w:r>
    </w:p>
    <w:p>
      <w:pPr>
        <w:pStyle w:val="16"/>
        <w:rPr>
          <w:rFonts w:hint="default"/>
          <w:highlight w:val="none"/>
          <w:lang w:val="en-US" w:eastAsia="zh-CN"/>
        </w:rPr>
      </w:pPr>
      <w:r>
        <w:rPr>
          <w:highlight w:val="none"/>
        </w:rPr>
        <w:drawing>
          <wp:inline distT="0" distB="0" distL="114300" distR="114300">
            <wp:extent cx="4724400" cy="306705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9"/>
                    <a:stretch>
                      <a:fillRect/>
                    </a:stretch>
                  </pic:blipFill>
                  <pic:spPr>
                    <a:xfrm>
                      <a:off x="0" y="0"/>
                      <a:ext cx="4724400" cy="3067050"/>
                    </a:xfrm>
                    <a:prstGeom prst="rect">
                      <a:avLst/>
                    </a:prstGeom>
                    <a:noFill/>
                    <a:ln>
                      <a:noFill/>
                    </a:ln>
                  </pic:spPr>
                </pic:pic>
              </a:graphicData>
            </a:graphic>
          </wp:inline>
        </w:drawing>
      </w:r>
    </w:p>
    <w:p>
      <w:pPr>
        <w:pStyle w:val="14"/>
        <w:adjustRightInd w:val="0"/>
        <w:snapToGrid w:val="0"/>
        <w:spacing w:line="440" w:lineRule="exact"/>
        <w:ind w:left="0" w:leftChars="0" w:firstLine="640" w:firstLineChars="200"/>
        <w:jc w:val="left"/>
        <w:rPr>
          <w:rStyle w:val="39"/>
          <w:rFonts w:hint="eastAsia" w:ascii="黑体" w:hAnsi="黑体" w:eastAsia="黑体"/>
          <w:b w:val="0"/>
          <w:highlight w:val="none"/>
          <w:lang w:val="en-US" w:eastAsia="zh-CN" w:bidi="ar-SA"/>
        </w:rPr>
      </w:pPr>
      <w:r>
        <w:rPr>
          <w:rStyle w:val="39"/>
          <w:rFonts w:hint="eastAsia" w:ascii="黑体" w:hAnsi="黑体" w:eastAsia="黑体"/>
          <w:b w:val="0"/>
          <w:highlight w:val="none"/>
          <w:lang w:val="en-US" w:eastAsia="zh-CN" w:bidi="ar-SA"/>
        </w:rPr>
        <w:t>五、一般公共预算财政拨款支出决算情况说明</w:t>
      </w:r>
    </w:p>
    <w:p>
      <w:pPr>
        <w:spacing w:line="600" w:lineRule="exact"/>
        <w:ind w:firstLine="643" w:firstLineChars="200"/>
        <w:outlineLvl w:val="2"/>
        <w:rPr>
          <w:rFonts w:ascii="仿宋" w:hAnsi="仿宋" w:eastAsia="仿宋"/>
          <w:b/>
          <w:sz w:val="32"/>
          <w:szCs w:val="32"/>
          <w:highlight w:val="none"/>
        </w:rPr>
      </w:pPr>
      <w:r>
        <w:rPr>
          <w:rFonts w:hint="eastAsia" w:ascii="仿宋" w:hAnsi="仿宋" w:eastAsia="仿宋"/>
          <w:b/>
          <w:sz w:val="32"/>
          <w:szCs w:val="32"/>
          <w:highlight w:val="none"/>
        </w:rPr>
        <w:t>（一）一般公共预算财政拨款支出决算总体情况</w:t>
      </w:r>
    </w:p>
    <w:p>
      <w:pPr>
        <w:spacing w:line="600" w:lineRule="exact"/>
        <w:ind w:firstLine="640" w:firstLineChars="200"/>
        <w:rPr>
          <w:rFonts w:hint="eastAsia" w:ascii="仿宋" w:hAnsi="仿宋" w:eastAsia="仿宋"/>
          <w:sz w:val="32"/>
          <w:szCs w:val="32"/>
          <w:highlight w:val="none"/>
        </w:rPr>
      </w:pPr>
      <w:r>
        <w:rPr>
          <w:rFonts w:ascii="仿宋" w:hAnsi="仿宋" w:eastAsia="仿宋"/>
          <w:sz w:val="32"/>
          <w:szCs w:val="32"/>
          <w:highlight w:val="none"/>
        </w:rPr>
        <w:t>20</w:t>
      </w:r>
      <w:r>
        <w:rPr>
          <w:rFonts w:hint="eastAsia" w:ascii="仿宋" w:hAnsi="仿宋" w:eastAsia="仿宋"/>
          <w:sz w:val="32"/>
          <w:szCs w:val="32"/>
          <w:highlight w:val="none"/>
        </w:rPr>
        <w:t>2</w:t>
      </w:r>
      <w:r>
        <w:rPr>
          <w:rFonts w:hint="eastAsia" w:ascii="仿宋" w:hAnsi="仿宋" w:eastAsia="仿宋"/>
          <w:sz w:val="32"/>
          <w:szCs w:val="32"/>
          <w:highlight w:val="none"/>
          <w:lang w:val="en-US" w:eastAsia="zh-CN"/>
        </w:rPr>
        <w:t>2</w:t>
      </w:r>
      <w:r>
        <w:rPr>
          <w:rFonts w:hint="eastAsia" w:ascii="仿宋" w:hAnsi="仿宋" w:eastAsia="仿宋"/>
          <w:sz w:val="32"/>
          <w:szCs w:val="32"/>
          <w:highlight w:val="none"/>
        </w:rPr>
        <w:t>年一般公共预算财政拨款支出1</w:t>
      </w:r>
      <w:r>
        <w:rPr>
          <w:rFonts w:hint="eastAsia" w:ascii="仿宋" w:hAnsi="仿宋" w:eastAsia="仿宋"/>
          <w:sz w:val="32"/>
          <w:szCs w:val="32"/>
          <w:highlight w:val="none"/>
          <w:lang w:val="en-US" w:eastAsia="zh-CN"/>
        </w:rPr>
        <w:t>087.02</w:t>
      </w:r>
      <w:r>
        <w:rPr>
          <w:rFonts w:hint="eastAsia" w:ascii="仿宋" w:hAnsi="仿宋" w:eastAsia="仿宋"/>
          <w:sz w:val="32"/>
          <w:szCs w:val="32"/>
          <w:highlight w:val="none"/>
        </w:rPr>
        <w:t>万元，占本年支出合计的100</w:t>
      </w:r>
      <w:r>
        <w:rPr>
          <w:rFonts w:ascii="仿宋" w:hAnsi="仿宋" w:eastAsia="仿宋"/>
          <w:sz w:val="32"/>
          <w:szCs w:val="32"/>
          <w:highlight w:val="none"/>
        </w:rPr>
        <w:t>%</w:t>
      </w:r>
      <w:r>
        <w:rPr>
          <w:rFonts w:hint="eastAsia" w:ascii="仿宋" w:hAnsi="仿宋" w:eastAsia="仿宋"/>
          <w:sz w:val="32"/>
          <w:szCs w:val="32"/>
          <w:highlight w:val="none"/>
        </w:rPr>
        <w:t>。与</w:t>
      </w:r>
      <w:r>
        <w:rPr>
          <w:rFonts w:ascii="仿宋" w:hAnsi="仿宋" w:eastAsia="仿宋"/>
          <w:sz w:val="32"/>
          <w:szCs w:val="32"/>
          <w:highlight w:val="none"/>
        </w:rPr>
        <w:t>20</w:t>
      </w:r>
      <w:r>
        <w:rPr>
          <w:rFonts w:hint="eastAsia" w:ascii="仿宋" w:hAnsi="仿宋" w:eastAsia="仿宋"/>
          <w:sz w:val="32"/>
          <w:szCs w:val="32"/>
          <w:highlight w:val="none"/>
        </w:rPr>
        <w:t>2</w:t>
      </w:r>
      <w:r>
        <w:rPr>
          <w:rFonts w:hint="eastAsia" w:ascii="仿宋" w:hAnsi="仿宋" w:eastAsia="仿宋"/>
          <w:sz w:val="32"/>
          <w:szCs w:val="32"/>
          <w:highlight w:val="none"/>
          <w:lang w:val="en-US" w:eastAsia="zh-CN"/>
        </w:rPr>
        <w:t>1</w:t>
      </w:r>
      <w:r>
        <w:rPr>
          <w:rFonts w:hint="eastAsia" w:ascii="仿宋" w:hAnsi="仿宋" w:eastAsia="仿宋"/>
          <w:sz w:val="32"/>
          <w:szCs w:val="32"/>
          <w:highlight w:val="none"/>
        </w:rPr>
        <w:t>年相比，一般公共预算财政拨款支出</w:t>
      </w:r>
      <w:r>
        <w:rPr>
          <w:rFonts w:hint="eastAsia" w:ascii="仿宋" w:hAnsi="仿宋" w:eastAsia="仿宋"/>
          <w:sz w:val="32"/>
          <w:szCs w:val="32"/>
          <w:highlight w:val="none"/>
          <w:lang w:val="en-US" w:eastAsia="zh-CN"/>
        </w:rPr>
        <w:t>减少81.51</w:t>
      </w:r>
      <w:r>
        <w:rPr>
          <w:rFonts w:hint="eastAsia" w:ascii="仿宋" w:hAnsi="仿宋" w:eastAsia="仿宋"/>
          <w:sz w:val="32"/>
          <w:szCs w:val="32"/>
          <w:highlight w:val="none"/>
        </w:rPr>
        <w:t>万元，</w:t>
      </w:r>
      <w:r>
        <w:rPr>
          <w:rFonts w:hint="eastAsia" w:ascii="仿宋" w:hAnsi="仿宋" w:eastAsia="仿宋"/>
          <w:sz w:val="32"/>
          <w:szCs w:val="32"/>
          <w:highlight w:val="none"/>
          <w:lang w:val="en-US" w:eastAsia="zh-CN"/>
        </w:rPr>
        <w:t>减少6.98</w:t>
      </w:r>
      <w:r>
        <w:rPr>
          <w:rFonts w:ascii="仿宋" w:hAnsi="仿宋" w:eastAsia="仿宋"/>
          <w:sz w:val="32"/>
          <w:szCs w:val="32"/>
          <w:highlight w:val="none"/>
        </w:rPr>
        <w:t>%</w:t>
      </w:r>
      <w:r>
        <w:rPr>
          <w:rFonts w:hint="eastAsia" w:ascii="仿宋" w:hAnsi="仿宋" w:eastAsia="仿宋"/>
          <w:sz w:val="32"/>
          <w:szCs w:val="32"/>
          <w:highlight w:val="none"/>
        </w:rPr>
        <w:t>。主要变动原因</w:t>
      </w:r>
      <w:r>
        <w:rPr>
          <w:rFonts w:hint="eastAsia" w:ascii="仿宋" w:hAnsi="仿宋" w:eastAsia="仿宋"/>
          <w:sz w:val="32"/>
          <w:szCs w:val="32"/>
          <w:highlight w:val="none"/>
          <w:lang w:eastAsia="zh-CN"/>
        </w:rPr>
        <w:t>是</w:t>
      </w:r>
      <w:r>
        <w:rPr>
          <w:rFonts w:hint="eastAsia" w:ascii="仿宋" w:hAnsi="仿宋" w:eastAsia="仿宋"/>
          <w:sz w:val="32"/>
          <w:szCs w:val="32"/>
          <w:highlight w:val="none"/>
          <w:lang w:val="en-US" w:eastAsia="zh-CN"/>
        </w:rPr>
        <w:t>预算资金结构调整</w:t>
      </w:r>
      <w:r>
        <w:rPr>
          <w:rFonts w:hint="eastAsia" w:ascii="仿宋" w:hAnsi="仿宋" w:eastAsia="仿宋"/>
          <w:sz w:val="32"/>
          <w:szCs w:val="32"/>
          <w:highlight w:val="none"/>
        </w:rPr>
        <w:t>。</w:t>
      </w:r>
    </w:p>
    <w:p>
      <w:pPr>
        <w:spacing w:line="600" w:lineRule="exact"/>
        <w:ind w:firstLine="640" w:firstLineChars="200"/>
        <w:rPr>
          <w:rFonts w:hint="eastAsia" w:ascii="仿宋" w:hAnsi="仿宋" w:eastAsia="仿宋"/>
          <w:sz w:val="32"/>
          <w:szCs w:val="32"/>
          <w:highlight w:val="none"/>
        </w:rPr>
      </w:pPr>
    </w:p>
    <w:p>
      <w:pPr>
        <w:spacing w:line="600" w:lineRule="exact"/>
        <w:ind w:firstLine="640" w:firstLineChars="200"/>
        <w:rPr>
          <w:rFonts w:hint="eastAsia" w:ascii="仿宋" w:hAnsi="仿宋" w:eastAsia="仿宋"/>
          <w:sz w:val="32"/>
          <w:szCs w:val="32"/>
          <w:highlight w:val="none"/>
        </w:rPr>
      </w:pPr>
    </w:p>
    <w:p>
      <w:pPr>
        <w:spacing w:line="600" w:lineRule="exact"/>
        <w:ind w:firstLine="640" w:firstLineChars="200"/>
        <w:rPr>
          <w:rFonts w:hint="eastAsia"/>
          <w:highlight w:val="none"/>
        </w:rPr>
      </w:pPr>
      <w:r>
        <w:rPr>
          <w:rFonts w:hint="eastAsia" w:ascii="仿宋" w:hAnsi="仿宋" w:eastAsia="仿宋"/>
          <w:sz w:val="32"/>
          <w:szCs w:val="32"/>
          <w:highlight w:val="none"/>
        </w:rPr>
        <w:t>（图5：一般公共预算财政拨款支出决算变动情况）</w:t>
      </w:r>
    </w:p>
    <w:p>
      <w:pPr>
        <w:pStyle w:val="16"/>
        <w:rPr>
          <w:highlight w:val="none"/>
        </w:rPr>
      </w:pPr>
      <w:r>
        <w:rPr>
          <w:highlight w:val="none"/>
        </w:rPr>
        <w:drawing>
          <wp:inline distT="0" distB="0" distL="114300" distR="114300">
            <wp:extent cx="4810125" cy="3180715"/>
            <wp:effectExtent l="0" t="0" r="9525" b="63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0"/>
                    <a:stretch>
                      <a:fillRect/>
                    </a:stretch>
                  </pic:blipFill>
                  <pic:spPr>
                    <a:xfrm>
                      <a:off x="0" y="0"/>
                      <a:ext cx="4810125" cy="3180715"/>
                    </a:xfrm>
                    <a:prstGeom prst="rect">
                      <a:avLst/>
                    </a:prstGeom>
                    <a:noFill/>
                    <a:ln>
                      <a:noFill/>
                    </a:ln>
                  </pic:spPr>
                </pic:pic>
              </a:graphicData>
            </a:graphic>
          </wp:inline>
        </w:drawing>
      </w:r>
    </w:p>
    <w:p>
      <w:pPr>
        <w:spacing w:line="600" w:lineRule="exact"/>
        <w:ind w:firstLine="643" w:firstLineChars="200"/>
        <w:outlineLvl w:val="2"/>
        <w:rPr>
          <w:rFonts w:ascii="仿宋" w:hAnsi="仿宋" w:eastAsia="仿宋"/>
          <w:b/>
          <w:sz w:val="32"/>
          <w:szCs w:val="32"/>
          <w:highlight w:val="none"/>
        </w:rPr>
      </w:pPr>
      <w:r>
        <w:rPr>
          <w:rFonts w:hint="eastAsia" w:ascii="仿宋" w:hAnsi="仿宋" w:eastAsia="仿宋"/>
          <w:b/>
          <w:sz w:val="32"/>
          <w:szCs w:val="32"/>
          <w:highlight w:val="none"/>
        </w:rPr>
        <w:t>（二）一般公共预算财政拨款支出决算结构情况</w:t>
      </w:r>
    </w:p>
    <w:p>
      <w:pPr>
        <w:spacing w:line="600" w:lineRule="exact"/>
        <w:ind w:firstLine="640"/>
        <w:rPr>
          <w:rFonts w:hint="eastAsia"/>
          <w:highlight w:val="none"/>
        </w:rPr>
      </w:pPr>
      <w:r>
        <w:rPr>
          <w:rFonts w:ascii="仿宋" w:hAnsi="仿宋" w:eastAsia="仿宋"/>
          <w:sz w:val="32"/>
          <w:szCs w:val="32"/>
          <w:highlight w:val="none"/>
        </w:rPr>
        <w:t>20</w:t>
      </w:r>
      <w:r>
        <w:rPr>
          <w:rFonts w:hint="eastAsia" w:ascii="仿宋" w:hAnsi="仿宋" w:eastAsia="仿宋"/>
          <w:sz w:val="32"/>
          <w:szCs w:val="32"/>
          <w:highlight w:val="none"/>
        </w:rPr>
        <w:t>2</w:t>
      </w:r>
      <w:r>
        <w:rPr>
          <w:rFonts w:hint="eastAsia" w:ascii="仿宋" w:hAnsi="仿宋" w:eastAsia="仿宋"/>
          <w:sz w:val="32"/>
          <w:szCs w:val="32"/>
          <w:highlight w:val="none"/>
          <w:lang w:val="en-US" w:eastAsia="zh-CN"/>
        </w:rPr>
        <w:t>2</w:t>
      </w:r>
      <w:r>
        <w:rPr>
          <w:rFonts w:hint="eastAsia" w:ascii="仿宋" w:hAnsi="仿宋" w:eastAsia="仿宋"/>
          <w:sz w:val="32"/>
          <w:szCs w:val="32"/>
          <w:highlight w:val="none"/>
        </w:rPr>
        <w:t>年</w:t>
      </w:r>
      <w:r>
        <w:rPr>
          <w:rFonts w:hint="eastAsia" w:ascii="仿宋" w:hAnsi="仿宋" w:eastAsia="仿宋"/>
          <w:b/>
          <w:bCs/>
          <w:sz w:val="32"/>
          <w:szCs w:val="32"/>
          <w:highlight w:val="none"/>
        </w:rPr>
        <w:t>一般公共预算财政拨款支出</w:t>
      </w:r>
      <w:r>
        <w:rPr>
          <w:rFonts w:hint="eastAsia" w:ascii="仿宋" w:hAnsi="仿宋" w:eastAsia="仿宋"/>
          <w:sz w:val="32"/>
          <w:szCs w:val="32"/>
          <w:highlight w:val="none"/>
        </w:rPr>
        <w:t>1</w:t>
      </w:r>
      <w:r>
        <w:rPr>
          <w:rFonts w:hint="eastAsia" w:ascii="仿宋" w:hAnsi="仿宋" w:eastAsia="仿宋"/>
          <w:sz w:val="32"/>
          <w:szCs w:val="32"/>
          <w:highlight w:val="none"/>
          <w:lang w:val="en-US" w:eastAsia="zh-CN"/>
        </w:rPr>
        <w:t>087.02</w:t>
      </w:r>
      <w:r>
        <w:rPr>
          <w:rFonts w:hint="eastAsia" w:ascii="仿宋" w:hAnsi="仿宋" w:eastAsia="仿宋"/>
          <w:sz w:val="32"/>
          <w:szCs w:val="32"/>
          <w:highlight w:val="none"/>
        </w:rPr>
        <w:t>万元，主要用于以下方面</w:t>
      </w:r>
      <w:r>
        <w:rPr>
          <w:rFonts w:hint="eastAsia" w:ascii="仿宋" w:hAnsi="仿宋" w:eastAsia="仿宋"/>
          <w:sz w:val="32"/>
          <w:szCs w:val="32"/>
          <w:highlight w:val="none"/>
          <w:lang w:eastAsia="zh-CN"/>
        </w:rPr>
        <w:t>：</w:t>
      </w:r>
      <w:r>
        <w:rPr>
          <w:rFonts w:hint="eastAsia" w:ascii="仿宋" w:hAnsi="仿宋" w:eastAsia="仿宋"/>
          <w:b/>
          <w:sz w:val="32"/>
          <w:szCs w:val="32"/>
          <w:highlight w:val="none"/>
        </w:rPr>
        <w:t>一般公共服务（类）</w:t>
      </w:r>
      <w:r>
        <w:rPr>
          <w:rFonts w:hint="eastAsia" w:ascii="仿宋" w:hAnsi="仿宋" w:eastAsia="仿宋"/>
          <w:sz w:val="32"/>
          <w:szCs w:val="32"/>
          <w:highlight w:val="none"/>
        </w:rPr>
        <w:t>支出</w:t>
      </w:r>
      <w:r>
        <w:rPr>
          <w:rFonts w:hint="eastAsia" w:ascii="仿宋" w:hAnsi="仿宋" w:eastAsia="仿宋"/>
          <w:sz w:val="32"/>
          <w:szCs w:val="32"/>
          <w:highlight w:val="none"/>
          <w:lang w:val="en-US" w:eastAsia="zh-CN"/>
        </w:rPr>
        <w:t>415.47</w:t>
      </w:r>
      <w:r>
        <w:rPr>
          <w:rFonts w:hint="eastAsia" w:ascii="仿宋" w:hAnsi="仿宋" w:eastAsia="仿宋"/>
          <w:sz w:val="32"/>
          <w:szCs w:val="32"/>
          <w:highlight w:val="none"/>
        </w:rPr>
        <w:t>万元，占3</w:t>
      </w:r>
      <w:r>
        <w:rPr>
          <w:rFonts w:hint="eastAsia" w:ascii="仿宋" w:hAnsi="仿宋" w:eastAsia="仿宋"/>
          <w:sz w:val="32"/>
          <w:szCs w:val="32"/>
          <w:highlight w:val="none"/>
          <w:lang w:val="en-US" w:eastAsia="zh-CN"/>
        </w:rPr>
        <w:t>8.22</w:t>
      </w:r>
      <w:r>
        <w:rPr>
          <w:rFonts w:ascii="仿宋" w:hAnsi="仿宋" w:eastAsia="仿宋"/>
          <w:sz w:val="32"/>
          <w:szCs w:val="32"/>
          <w:highlight w:val="none"/>
        </w:rPr>
        <w:t>%</w:t>
      </w:r>
      <w:r>
        <w:rPr>
          <w:rFonts w:hint="eastAsia" w:ascii="仿宋" w:hAnsi="仿宋" w:eastAsia="仿宋"/>
          <w:sz w:val="32"/>
          <w:szCs w:val="32"/>
          <w:highlight w:val="none"/>
        </w:rPr>
        <w:t>；</w:t>
      </w:r>
      <w:r>
        <w:rPr>
          <w:rFonts w:hint="eastAsia" w:ascii="仿宋" w:hAnsi="仿宋" w:eastAsia="仿宋"/>
          <w:b/>
          <w:sz w:val="32"/>
          <w:szCs w:val="32"/>
          <w:highlight w:val="none"/>
        </w:rPr>
        <w:t>国防支出（类）</w:t>
      </w:r>
      <w:r>
        <w:rPr>
          <w:rFonts w:hint="eastAsia" w:ascii="仿宋" w:hAnsi="仿宋" w:eastAsia="仿宋"/>
          <w:sz w:val="32"/>
          <w:szCs w:val="32"/>
          <w:highlight w:val="none"/>
          <w:lang w:val="en-US" w:eastAsia="zh-CN"/>
        </w:rPr>
        <w:t>0.41</w:t>
      </w:r>
      <w:r>
        <w:rPr>
          <w:rFonts w:hint="eastAsia" w:ascii="仿宋" w:hAnsi="仿宋" w:eastAsia="仿宋"/>
          <w:sz w:val="32"/>
          <w:szCs w:val="32"/>
          <w:highlight w:val="none"/>
        </w:rPr>
        <w:t>万元，占0.04</w:t>
      </w:r>
      <w:r>
        <w:rPr>
          <w:rFonts w:ascii="仿宋" w:hAnsi="仿宋" w:eastAsia="仿宋"/>
          <w:sz w:val="32"/>
          <w:szCs w:val="32"/>
          <w:highlight w:val="none"/>
        </w:rPr>
        <w:t>%</w:t>
      </w:r>
      <w:r>
        <w:rPr>
          <w:rFonts w:hint="eastAsia" w:ascii="仿宋" w:hAnsi="仿宋" w:eastAsia="仿宋"/>
          <w:sz w:val="32"/>
          <w:szCs w:val="32"/>
          <w:highlight w:val="none"/>
        </w:rPr>
        <w:t>；</w:t>
      </w:r>
      <w:r>
        <w:rPr>
          <w:rFonts w:hint="eastAsia" w:ascii="仿宋" w:hAnsi="仿宋" w:eastAsia="仿宋"/>
          <w:b/>
          <w:bCs/>
          <w:sz w:val="32"/>
          <w:szCs w:val="32"/>
          <w:highlight w:val="none"/>
        </w:rPr>
        <w:t>文化旅游体育与传媒（类）</w:t>
      </w:r>
      <w:r>
        <w:rPr>
          <w:rFonts w:hint="eastAsia" w:ascii="仿宋" w:hAnsi="仿宋" w:eastAsia="仿宋"/>
          <w:b w:val="0"/>
          <w:bCs w:val="0"/>
          <w:sz w:val="32"/>
          <w:szCs w:val="32"/>
          <w:highlight w:val="none"/>
        </w:rPr>
        <w:t>支出</w:t>
      </w:r>
      <w:r>
        <w:rPr>
          <w:rFonts w:hint="eastAsia" w:ascii="仿宋" w:hAnsi="仿宋" w:eastAsia="仿宋"/>
          <w:b w:val="0"/>
          <w:bCs w:val="0"/>
          <w:sz w:val="32"/>
          <w:szCs w:val="32"/>
          <w:highlight w:val="none"/>
          <w:lang w:val="en-US" w:eastAsia="zh-CN"/>
        </w:rPr>
        <w:t>120.87</w:t>
      </w:r>
      <w:r>
        <w:rPr>
          <w:rFonts w:hint="eastAsia" w:ascii="仿宋" w:hAnsi="仿宋" w:eastAsia="仿宋"/>
          <w:b w:val="0"/>
          <w:bCs w:val="0"/>
          <w:sz w:val="32"/>
          <w:szCs w:val="32"/>
          <w:highlight w:val="none"/>
        </w:rPr>
        <w:t>万元，占</w:t>
      </w:r>
      <w:r>
        <w:rPr>
          <w:rFonts w:hint="eastAsia" w:ascii="仿宋" w:hAnsi="仿宋" w:eastAsia="仿宋"/>
          <w:b w:val="0"/>
          <w:bCs w:val="0"/>
          <w:sz w:val="32"/>
          <w:szCs w:val="32"/>
          <w:highlight w:val="none"/>
          <w:lang w:val="en-US" w:eastAsia="zh-CN"/>
        </w:rPr>
        <w:t>11.07</w:t>
      </w:r>
      <w:r>
        <w:rPr>
          <w:rFonts w:ascii="仿宋" w:hAnsi="仿宋" w:eastAsia="仿宋"/>
          <w:b w:val="0"/>
          <w:bCs w:val="0"/>
          <w:sz w:val="32"/>
          <w:szCs w:val="32"/>
          <w:highlight w:val="none"/>
        </w:rPr>
        <w:t>%</w:t>
      </w:r>
      <w:r>
        <w:rPr>
          <w:rFonts w:hint="eastAsia" w:ascii="仿宋" w:hAnsi="仿宋" w:eastAsia="仿宋"/>
          <w:sz w:val="32"/>
          <w:szCs w:val="32"/>
          <w:highlight w:val="none"/>
        </w:rPr>
        <w:t>；</w:t>
      </w:r>
      <w:r>
        <w:rPr>
          <w:rFonts w:hint="eastAsia" w:ascii="仿宋" w:hAnsi="仿宋" w:eastAsia="仿宋"/>
          <w:b/>
          <w:sz w:val="32"/>
          <w:szCs w:val="32"/>
          <w:highlight w:val="none"/>
        </w:rPr>
        <w:t>社会保障和就业（类）</w:t>
      </w:r>
      <w:r>
        <w:rPr>
          <w:rFonts w:hint="eastAsia" w:ascii="仿宋" w:hAnsi="仿宋" w:eastAsia="仿宋"/>
          <w:sz w:val="32"/>
          <w:szCs w:val="32"/>
          <w:highlight w:val="none"/>
        </w:rPr>
        <w:t>支出</w:t>
      </w:r>
      <w:r>
        <w:rPr>
          <w:rFonts w:hint="eastAsia" w:ascii="仿宋" w:hAnsi="仿宋" w:eastAsia="仿宋"/>
          <w:sz w:val="32"/>
          <w:szCs w:val="32"/>
          <w:highlight w:val="none"/>
          <w:lang w:val="en-US" w:eastAsia="zh-CN"/>
        </w:rPr>
        <w:t>111.68</w:t>
      </w:r>
      <w:r>
        <w:rPr>
          <w:rFonts w:hint="eastAsia" w:ascii="仿宋" w:hAnsi="仿宋" w:eastAsia="仿宋"/>
          <w:sz w:val="32"/>
          <w:szCs w:val="32"/>
          <w:highlight w:val="none"/>
        </w:rPr>
        <w:t>万元，占</w:t>
      </w:r>
      <w:r>
        <w:rPr>
          <w:rFonts w:hint="eastAsia" w:ascii="仿宋" w:hAnsi="仿宋" w:eastAsia="仿宋"/>
          <w:sz w:val="32"/>
          <w:szCs w:val="32"/>
          <w:highlight w:val="none"/>
          <w:lang w:val="en-US" w:eastAsia="zh-CN"/>
        </w:rPr>
        <w:t>10.27</w:t>
      </w:r>
      <w:r>
        <w:rPr>
          <w:rFonts w:ascii="仿宋" w:hAnsi="仿宋" w:eastAsia="仿宋"/>
          <w:sz w:val="32"/>
          <w:szCs w:val="32"/>
          <w:highlight w:val="none"/>
        </w:rPr>
        <w:t>%</w:t>
      </w:r>
      <w:r>
        <w:rPr>
          <w:rFonts w:hint="eastAsia" w:ascii="仿宋" w:hAnsi="仿宋" w:eastAsia="仿宋"/>
          <w:sz w:val="32"/>
          <w:szCs w:val="32"/>
          <w:highlight w:val="none"/>
        </w:rPr>
        <w:t>；</w:t>
      </w:r>
      <w:r>
        <w:rPr>
          <w:rFonts w:hint="eastAsia" w:ascii="仿宋" w:hAnsi="仿宋" w:eastAsia="仿宋"/>
          <w:b/>
          <w:bCs/>
          <w:sz w:val="32"/>
          <w:szCs w:val="32"/>
          <w:highlight w:val="none"/>
        </w:rPr>
        <w:t>卫生健康支出</w:t>
      </w:r>
      <w:r>
        <w:rPr>
          <w:rFonts w:hint="eastAsia" w:ascii="仿宋" w:hAnsi="仿宋" w:eastAsia="仿宋"/>
          <w:sz w:val="32"/>
          <w:szCs w:val="32"/>
          <w:highlight w:val="none"/>
          <w:lang w:val="en-US" w:eastAsia="zh-CN"/>
        </w:rPr>
        <w:t>33.12</w:t>
      </w:r>
      <w:r>
        <w:rPr>
          <w:rFonts w:hint="eastAsia" w:ascii="仿宋" w:hAnsi="仿宋" w:eastAsia="仿宋"/>
          <w:sz w:val="32"/>
          <w:szCs w:val="32"/>
          <w:highlight w:val="none"/>
        </w:rPr>
        <w:t>万元，占3.0</w:t>
      </w:r>
      <w:r>
        <w:rPr>
          <w:rFonts w:hint="eastAsia" w:ascii="仿宋" w:hAnsi="仿宋" w:eastAsia="仿宋"/>
          <w:sz w:val="32"/>
          <w:szCs w:val="32"/>
          <w:highlight w:val="none"/>
          <w:lang w:val="en-US" w:eastAsia="zh-CN"/>
        </w:rPr>
        <w:t>5</w:t>
      </w:r>
      <w:r>
        <w:rPr>
          <w:rFonts w:ascii="仿宋" w:hAnsi="仿宋" w:eastAsia="仿宋"/>
          <w:sz w:val="32"/>
          <w:szCs w:val="32"/>
          <w:highlight w:val="none"/>
        </w:rPr>
        <w:t>%</w:t>
      </w:r>
      <w:r>
        <w:rPr>
          <w:rFonts w:hint="eastAsia" w:ascii="仿宋" w:hAnsi="仿宋" w:eastAsia="仿宋"/>
          <w:sz w:val="32"/>
          <w:szCs w:val="32"/>
          <w:highlight w:val="none"/>
        </w:rPr>
        <w:t>；</w:t>
      </w:r>
      <w:r>
        <w:rPr>
          <w:rFonts w:hint="eastAsia" w:ascii="仿宋" w:hAnsi="仿宋" w:eastAsia="仿宋"/>
          <w:b/>
          <w:bCs/>
          <w:sz w:val="32"/>
          <w:szCs w:val="32"/>
          <w:highlight w:val="none"/>
        </w:rPr>
        <w:t>城乡社区支出（类）</w:t>
      </w:r>
      <w:r>
        <w:rPr>
          <w:rFonts w:hint="eastAsia" w:ascii="仿宋" w:hAnsi="仿宋" w:eastAsia="仿宋"/>
          <w:sz w:val="32"/>
          <w:szCs w:val="32"/>
          <w:highlight w:val="none"/>
          <w:lang w:val="en-US" w:eastAsia="zh-CN"/>
        </w:rPr>
        <w:t>4.75</w:t>
      </w:r>
      <w:r>
        <w:rPr>
          <w:rFonts w:hint="eastAsia" w:ascii="仿宋" w:hAnsi="仿宋" w:eastAsia="仿宋"/>
          <w:sz w:val="32"/>
          <w:szCs w:val="32"/>
          <w:highlight w:val="none"/>
        </w:rPr>
        <w:t>万元，占</w:t>
      </w:r>
      <w:r>
        <w:rPr>
          <w:rFonts w:hint="eastAsia" w:ascii="仿宋" w:hAnsi="仿宋" w:eastAsia="仿宋"/>
          <w:sz w:val="32"/>
          <w:szCs w:val="32"/>
          <w:highlight w:val="none"/>
          <w:lang w:val="en-US" w:eastAsia="zh-CN"/>
        </w:rPr>
        <w:t>0.44</w:t>
      </w:r>
      <w:r>
        <w:rPr>
          <w:rFonts w:ascii="仿宋" w:hAnsi="仿宋" w:eastAsia="仿宋"/>
          <w:sz w:val="32"/>
          <w:szCs w:val="32"/>
          <w:highlight w:val="none"/>
        </w:rPr>
        <w:t>%</w:t>
      </w:r>
      <w:r>
        <w:rPr>
          <w:rFonts w:hint="eastAsia" w:ascii="仿宋" w:hAnsi="仿宋" w:eastAsia="仿宋"/>
          <w:sz w:val="32"/>
          <w:szCs w:val="32"/>
          <w:highlight w:val="none"/>
        </w:rPr>
        <w:t>；</w:t>
      </w:r>
      <w:r>
        <w:rPr>
          <w:rFonts w:hint="eastAsia" w:ascii="仿宋" w:hAnsi="仿宋" w:eastAsia="仿宋"/>
          <w:b/>
          <w:bCs/>
          <w:sz w:val="32"/>
          <w:szCs w:val="32"/>
          <w:highlight w:val="none"/>
        </w:rPr>
        <w:t>农林水支出（类）</w:t>
      </w:r>
      <w:r>
        <w:rPr>
          <w:rFonts w:hint="eastAsia" w:ascii="仿宋" w:hAnsi="仿宋" w:eastAsia="仿宋"/>
          <w:sz w:val="32"/>
          <w:szCs w:val="32"/>
          <w:highlight w:val="none"/>
          <w:lang w:val="en-US" w:eastAsia="zh-CN"/>
        </w:rPr>
        <w:t>352.27</w:t>
      </w:r>
      <w:r>
        <w:rPr>
          <w:rFonts w:hint="eastAsia" w:ascii="仿宋" w:hAnsi="仿宋" w:eastAsia="仿宋"/>
          <w:sz w:val="32"/>
          <w:szCs w:val="32"/>
          <w:highlight w:val="none"/>
        </w:rPr>
        <w:t>万元，占</w:t>
      </w:r>
      <w:r>
        <w:rPr>
          <w:rFonts w:hint="eastAsia" w:ascii="仿宋" w:hAnsi="仿宋" w:eastAsia="仿宋"/>
          <w:sz w:val="32"/>
          <w:szCs w:val="32"/>
          <w:highlight w:val="none"/>
          <w:lang w:val="en-US" w:eastAsia="zh-CN"/>
        </w:rPr>
        <w:t>32.41</w:t>
      </w:r>
      <w:r>
        <w:rPr>
          <w:rFonts w:ascii="仿宋" w:hAnsi="仿宋" w:eastAsia="仿宋"/>
          <w:sz w:val="32"/>
          <w:szCs w:val="32"/>
          <w:highlight w:val="none"/>
        </w:rPr>
        <w:t>%</w:t>
      </w:r>
      <w:r>
        <w:rPr>
          <w:rFonts w:hint="eastAsia" w:ascii="仿宋" w:hAnsi="仿宋" w:eastAsia="仿宋"/>
          <w:sz w:val="32"/>
          <w:szCs w:val="32"/>
          <w:highlight w:val="none"/>
        </w:rPr>
        <w:t>；</w:t>
      </w:r>
      <w:r>
        <w:rPr>
          <w:rFonts w:hint="eastAsia" w:ascii="仿宋" w:hAnsi="仿宋" w:eastAsia="仿宋"/>
          <w:b/>
          <w:bCs/>
          <w:sz w:val="32"/>
          <w:szCs w:val="32"/>
          <w:highlight w:val="none"/>
        </w:rPr>
        <w:t>住房保障支出（类）</w:t>
      </w:r>
      <w:r>
        <w:rPr>
          <w:rFonts w:hint="eastAsia" w:ascii="仿宋" w:hAnsi="仿宋" w:eastAsia="仿宋"/>
          <w:sz w:val="32"/>
          <w:szCs w:val="32"/>
          <w:highlight w:val="none"/>
          <w:lang w:val="en-US" w:eastAsia="zh-CN"/>
        </w:rPr>
        <w:t>48.44</w:t>
      </w:r>
      <w:r>
        <w:rPr>
          <w:rFonts w:hint="eastAsia" w:ascii="仿宋" w:hAnsi="仿宋" w:eastAsia="仿宋"/>
          <w:sz w:val="32"/>
          <w:szCs w:val="32"/>
          <w:highlight w:val="none"/>
        </w:rPr>
        <w:t>万元，占</w:t>
      </w:r>
      <w:r>
        <w:rPr>
          <w:rFonts w:hint="eastAsia" w:ascii="仿宋" w:hAnsi="仿宋" w:eastAsia="仿宋"/>
          <w:sz w:val="32"/>
          <w:szCs w:val="32"/>
          <w:highlight w:val="none"/>
          <w:lang w:val="en-US" w:eastAsia="zh-CN"/>
        </w:rPr>
        <w:t>4.46</w:t>
      </w:r>
      <w:r>
        <w:rPr>
          <w:rFonts w:ascii="仿宋" w:hAnsi="仿宋" w:eastAsia="仿宋"/>
          <w:sz w:val="32"/>
          <w:szCs w:val="32"/>
          <w:highlight w:val="none"/>
        </w:rPr>
        <w:t>%</w:t>
      </w:r>
      <w:r>
        <w:rPr>
          <w:rFonts w:hint="eastAsia" w:ascii="仿宋" w:hAnsi="仿宋" w:eastAsia="仿宋"/>
          <w:sz w:val="32"/>
          <w:szCs w:val="32"/>
          <w:highlight w:val="none"/>
        </w:rPr>
        <w:t>。</w:t>
      </w:r>
    </w:p>
    <w:p>
      <w:pPr>
        <w:pStyle w:val="16"/>
        <w:rPr>
          <w:rFonts w:hint="eastAsia" w:ascii="仿宋" w:hAnsi="仿宋" w:eastAsia="仿宋"/>
          <w:sz w:val="32"/>
          <w:szCs w:val="32"/>
          <w:highlight w:val="none"/>
        </w:rPr>
      </w:pPr>
      <w:r>
        <w:rPr>
          <w:rFonts w:hint="eastAsia" w:ascii="仿宋" w:hAnsi="仿宋" w:eastAsia="仿宋"/>
          <w:sz w:val="32"/>
          <w:szCs w:val="32"/>
          <w:highlight w:val="none"/>
        </w:rPr>
        <w:t>（图6：一般公共预算财政拨款支出决算结构）</w:t>
      </w:r>
    </w:p>
    <w:p>
      <w:pPr>
        <w:rPr>
          <w:rFonts w:hint="eastAsia" w:eastAsia="仿宋"/>
          <w:highlight w:val="none"/>
          <w:lang w:eastAsia="zh-CN"/>
        </w:rPr>
      </w:pPr>
      <w:r>
        <w:rPr>
          <w:rFonts w:hint="eastAsia" w:eastAsia="仿宋"/>
          <w:highlight w:val="none"/>
          <w:lang w:eastAsia="zh-CN"/>
        </w:rPr>
        <w:drawing>
          <wp:inline distT="0" distB="0" distL="114300" distR="114300">
            <wp:extent cx="5256530" cy="2988310"/>
            <wp:effectExtent l="5080" t="4445" r="15240" b="17145"/>
            <wp:docPr id="11" name="图表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spacing w:line="600" w:lineRule="exact"/>
        <w:ind w:firstLine="643" w:firstLineChars="200"/>
        <w:outlineLvl w:val="2"/>
        <w:rPr>
          <w:rFonts w:ascii="仿宋" w:hAnsi="仿宋" w:eastAsia="仿宋"/>
          <w:b/>
          <w:sz w:val="32"/>
          <w:szCs w:val="32"/>
          <w:highlight w:val="none"/>
        </w:rPr>
      </w:pPr>
      <w:r>
        <w:rPr>
          <w:rFonts w:hint="eastAsia" w:ascii="仿宋" w:hAnsi="仿宋" w:eastAsia="仿宋"/>
          <w:b/>
          <w:sz w:val="32"/>
          <w:szCs w:val="32"/>
          <w:highlight w:val="none"/>
        </w:rPr>
        <w:t>（三）一般公共预算财政拨款支出决算具体情况</w:t>
      </w:r>
    </w:p>
    <w:p>
      <w:pPr>
        <w:spacing w:line="600" w:lineRule="exact"/>
        <w:ind w:firstLine="643" w:firstLineChars="200"/>
        <w:outlineLvl w:val="2"/>
        <w:rPr>
          <w:rFonts w:ascii="仿宋" w:hAnsi="仿宋" w:eastAsia="仿宋"/>
          <w:sz w:val="32"/>
          <w:szCs w:val="32"/>
          <w:highlight w:val="none"/>
        </w:rPr>
      </w:pPr>
      <w:r>
        <w:rPr>
          <w:rFonts w:hint="eastAsia" w:ascii="仿宋" w:hAnsi="仿宋" w:eastAsia="仿宋"/>
          <w:b/>
          <w:sz w:val="32"/>
          <w:szCs w:val="32"/>
          <w:highlight w:val="none"/>
        </w:rPr>
        <w:t>202</w:t>
      </w:r>
      <w:r>
        <w:rPr>
          <w:rFonts w:hint="eastAsia" w:ascii="仿宋" w:hAnsi="仿宋" w:eastAsia="仿宋"/>
          <w:b/>
          <w:sz w:val="32"/>
          <w:szCs w:val="32"/>
          <w:highlight w:val="none"/>
          <w:lang w:val="en-US" w:eastAsia="zh-CN"/>
        </w:rPr>
        <w:t>2</w:t>
      </w:r>
      <w:r>
        <w:rPr>
          <w:rFonts w:hint="eastAsia" w:ascii="仿宋" w:hAnsi="仿宋" w:eastAsia="仿宋"/>
          <w:b/>
          <w:sz w:val="32"/>
          <w:szCs w:val="32"/>
          <w:highlight w:val="none"/>
        </w:rPr>
        <w:t>年一般公共预算支出决算数为1</w:t>
      </w:r>
      <w:r>
        <w:rPr>
          <w:rFonts w:hint="eastAsia" w:ascii="仿宋" w:hAnsi="仿宋" w:eastAsia="仿宋"/>
          <w:b/>
          <w:sz w:val="32"/>
          <w:szCs w:val="32"/>
          <w:highlight w:val="none"/>
          <w:lang w:val="en-US" w:eastAsia="zh-CN"/>
        </w:rPr>
        <w:t>087.02</w:t>
      </w:r>
      <w:r>
        <w:rPr>
          <w:rFonts w:hint="eastAsia" w:ascii="仿宋" w:hAnsi="仿宋" w:eastAsia="仿宋"/>
          <w:sz w:val="32"/>
          <w:szCs w:val="32"/>
          <w:highlight w:val="none"/>
        </w:rPr>
        <w:t>，</w:t>
      </w:r>
      <w:r>
        <w:rPr>
          <w:rStyle w:val="19"/>
          <w:rFonts w:hint="eastAsia" w:ascii="仿宋" w:hAnsi="仿宋" w:eastAsia="仿宋"/>
          <w:bCs/>
          <w:sz w:val="32"/>
          <w:szCs w:val="32"/>
          <w:highlight w:val="none"/>
        </w:rPr>
        <w:t>完成预算100</w:t>
      </w:r>
      <w:r>
        <w:rPr>
          <w:rStyle w:val="19"/>
          <w:rFonts w:ascii="仿宋" w:hAnsi="仿宋" w:eastAsia="仿宋"/>
          <w:bCs/>
          <w:sz w:val="32"/>
          <w:szCs w:val="32"/>
          <w:highlight w:val="none"/>
        </w:rPr>
        <w:t>%</w:t>
      </w:r>
      <w:r>
        <w:rPr>
          <w:rStyle w:val="19"/>
          <w:rFonts w:hint="eastAsia" w:ascii="仿宋" w:hAnsi="仿宋" w:eastAsia="仿宋"/>
          <w:bCs/>
          <w:sz w:val="32"/>
          <w:szCs w:val="32"/>
          <w:highlight w:val="none"/>
        </w:rPr>
        <w:t>。其中：</w:t>
      </w:r>
    </w:p>
    <w:p>
      <w:pPr>
        <w:spacing w:line="600" w:lineRule="exact"/>
        <w:ind w:firstLine="643" w:firstLineChars="200"/>
        <w:rPr>
          <w:rFonts w:ascii="仿宋" w:hAnsi="仿宋" w:eastAsia="仿宋"/>
          <w:b/>
          <w:sz w:val="32"/>
          <w:szCs w:val="32"/>
          <w:highlight w:val="none"/>
        </w:rPr>
      </w:pPr>
      <w:r>
        <w:rPr>
          <w:rStyle w:val="19"/>
          <w:rFonts w:ascii="仿宋" w:hAnsi="仿宋" w:eastAsia="仿宋"/>
          <w:bCs/>
          <w:sz w:val="32"/>
          <w:szCs w:val="32"/>
          <w:highlight w:val="none"/>
        </w:rPr>
        <w:t>1.</w:t>
      </w:r>
      <w:r>
        <w:rPr>
          <w:rStyle w:val="19"/>
          <w:rFonts w:hint="eastAsia" w:ascii="仿宋" w:hAnsi="仿宋" w:eastAsia="仿宋"/>
          <w:bCs/>
          <w:sz w:val="32"/>
          <w:szCs w:val="32"/>
          <w:highlight w:val="none"/>
        </w:rPr>
        <w:t>一般公共服务支出（类）：</w:t>
      </w:r>
      <w:r>
        <w:rPr>
          <w:rStyle w:val="19"/>
          <w:rFonts w:hint="eastAsia" w:ascii="仿宋" w:hAnsi="仿宋" w:eastAsia="仿宋"/>
          <w:b w:val="0"/>
          <w:bCs w:val="0"/>
          <w:sz w:val="32"/>
          <w:szCs w:val="32"/>
          <w:highlight w:val="none"/>
        </w:rPr>
        <w:t>人大事务（款）人大会议（项）202</w:t>
      </w:r>
      <w:r>
        <w:rPr>
          <w:rStyle w:val="19"/>
          <w:rFonts w:hint="eastAsia" w:ascii="仿宋" w:hAnsi="仿宋" w:eastAsia="仿宋"/>
          <w:b w:val="0"/>
          <w:bCs w:val="0"/>
          <w:sz w:val="32"/>
          <w:szCs w:val="32"/>
          <w:highlight w:val="none"/>
          <w:lang w:val="en-US" w:eastAsia="zh-CN"/>
        </w:rPr>
        <w:t>2</w:t>
      </w:r>
      <w:r>
        <w:rPr>
          <w:rStyle w:val="19"/>
          <w:rFonts w:hint="eastAsia" w:ascii="仿宋" w:hAnsi="仿宋" w:eastAsia="仿宋"/>
          <w:b w:val="0"/>
          <w:bCs w:val="0"/>
          <w:sz w:val="32"/>
          <w:szCs w:val="32"/>
          <w:highlight w:val="none"/>
        </w:rPr>
        <w:t>年支出决算为</w:t>
      </w:r>
      <w:r>
        <w:rPr>
          <w:rStyle w:val="19"/>
          <w:rFonts w:hint="eastAsia" w:ascii="仿宋" w:hAnsi="仿宋" w:eastAsia="仿宋"/>
          <w:b w:val="0"/>
          <w:bCs w:val="0"/>
          <w:sz w:val="32"/>
          <w:szCs w:val="32"/>
          <w:highlight w:val="none"/>
          <w:lang w:val="en-US" w:eastAsia="zh-CN"/>
        </w:rPr>
        <w:t>2.06</w:t>
      </w:r>
      <w:r>
        <w:rPr>
          <w:rStyle w:val="19"/>
          <w:rFonts w:hint="eastAsia" w:ascii="仿宋" w:hAnsi="仿宋" w:eastAsia="仿宋"/>
          <w:b w:val="0"/>
          <w:bCs w:val="0"/>
          <w:sz w:val="32"/>
          <w:szCs w:val="32"/>
          <w:highlight w:val="none"/>
        </w:rPr>
        <w:t>万元，完成预算100</w:t>
      </w:r>
      <w:r>
        <w:rPr>
          <w:rStyle w:val="19"/>
          <w:rFonts w:ascii="仿宋" w:hAnsi="仿宋" w:eastAsia="仿宋"/>
          <w:b w:val="0"/>
          <w:bCs w:val="0"/>
          <w:sz w:val="32"/>
          <w:szCs w:val="32"/>
          <w:highlight w:val="none"/>
        </w:rPr>
        <w:t>%</w:t>
      </w:r>
      <w:r>
        <w:rPr>
          <w:rStyle w:val="19"/>
          <w:rFonts w:hint="eastAsia" w:ascii="仿宋" w:hAnsi="仿宋" w:eastAsia="仿宋"/>
          <w:b w:val="0"/>
          <w:bCs w:val="0"/>
          <w:sz w:val="32"/>
          <w:szCs w:val="32"/>
          <w:highlight w:val="none"/>
        </w:rPr>
        <w:t>；政府办公厅（室）及相关机构事务（款）行政运行（项）202</w:t>
      </w:r>
      <w:r>
        <w:rPr>
          <w:rStyle w:val="19"/>
          <w:rFonts w:hint="eastAsia" w:ascii="仿宋" w:hAnsi="仿宋" w:eastAsia="仿宋"/>
          <w:b w:val="0"/>
          <w:bCs w:val="0"/>
          <w:sz w:val="32"/>
          <w:szCs w:val="32"/>
          <w:highlight w:val="none"/>
          <w:lang w:val="en-US" w:eastAsia="zh-CN"/>
        </w:rPr>
        <w:t>2</w:t>
      </w:r>
      <w:r>
        <w:rPr>
          <w:rStyle w:val="19"/>
          <w:rFonts w:hint="eastAsia" w:ascii="仿宋" w:hAnsi="仿宋" w:eastAsia="仿宋"/>
          <w:b w:val="0"/>
          <w:bCs w:val="0"/>
          <w:sz w:val="32"/>
          <w:szCs w:val="32"/>
          <w:highlight w:val="none"/>
        </w:rPr>
        <w:t>年支出决算为3</w:t>
      </w:r>
      <w:r>
        <w:rPr>
          <w:rStyle w:val="19"/>
          <w:rFonts w:hint="eastAsia" w:ascii="仿宋" w:hAnsi="仿宋" w:eastAsia="仿宋"/>
          <w:b w:val="0"/>
          <w:bCs w:val="0"/>
          <w:sz w:val="32"/>
          <w:szCs w:val="32"/>
          <w:highlight w:val="none"/>
          <w:lang w:val="en-US" w:eastAsia="zh-CN"/>
        </w:rPr>
        <w:t>95.13</w:t>
      </w:r>
      <w:r>
        <w:rPr>
          <w:rStyle w:val="19"/>
          <w:rFonts w:hint="eastAsia" w:ascii="仿宋" w:hAnsi="仿宋" w:eastAsia="仿宋"/>
          <w:b w:val="0"/>
          <w:bCs w:val="0"/>
          <w:sz w:val="32"/>
          <w:szCs w:val="32"/>
          <w:highlight w:val="none"/>
        </w:rPr>
        <w:t>万元，完成预算100%；一般行政事务管理（项）202</w:t>
      </w:r>
      <w:r>
        <w:rPr>
          <w:rStyle w:val="19"/>
          <w:rFonts w:hint="eastAsia" w:ascii="仿宋" w:hAnsi="仿宋" w:eastAsia="仿宋"/>
          <w:b w:val="0"/>
          <w:bCs w:val="0"/>
          <w:sz w:val="32"/>
          <w:szCs w:val="32"/>
          <w:highlight w:val="none"/>
          <w:lang w:val="en-US" w:eastAsia="zh-CN"/>
        </w:rPr>
        <w:t>2</w:t>
      </w:r>
      <w:r>
        <w:rPr>
          <w:rStyle w:val="19"/>
          <w:rFonts w:hint="eastAsia" w:ascii="仿宋" w:hAnsi="仿宋" w:eastAsia="仿宋"/>
          <w:b w:val="0"/>
          <w:bCs w:val="0"/>
          <w:sz w:val="32"/>
          <w:szCs w:val="32"/>
          <w:highlight w:val="none"/>
        </w:rPr>
        <w:t>年支出决算为</w:t>
      </w:r>
      <w:r>
        <w:rPr>
          <w:rStyle w:val="19"/>
          <w:rFonts w:hint="eastAsia" w:ascii="仿宋" w:hAnsi="仿宋" w:eastAsia="仿宋"/>
          <w:b w:val="0"/>
          <w:bCs w:val="0"/>
          <w:sz w:val="32"/>
          <w:szCs w:val="32"/>
          <w:highlight w:val="none"/>
          <w:lang w:val="en-US" w:eastAsia="zh-CN"/>
        </w:rPr>
        <w:t>5.21</w:t>
      </w:r>
      <w:r>
        <w:rPr>
          <w:rStyle w:val="19"/>
          <w:rFonts w:hint="eastAsia" w:ascii="仿宋" w:hAnsi="仿宋" w:eastAsia="仿宋"/>
          <w:b w:val="0"/>
          <w:bCs w:val="0"/>
          <w:sz w:val="32"/>
          <w:szCs w:val="32"/>
          <w:highlight w:val="none"/>
        </w:rPr>
        <w:t>万元，完成预算100%；信访事务（项）202</w:t>
      </w:r>
      <w:r>
        <w:rPr>
          <w:rStyle w:val="19"/>
          <w:rFonts w:hint="eastAsia" w:ascii="仿宋" w:hAnsi="仿宋" w:eastAsia="仿宋"/>
          <w:b w:val="0"/>
          <w:bCs w:val="0"/>
          <w:sz w:val="32"/>
          <w:szCs w:val="32"/>
          <w:highlight w:val="none"/>
          <w:lang w:val="en-US" w:eastAsia="zh-CN"/>
        </w:rPr>
        <w:t>2</w:t>
      </w:r>
      <w:r>
        <w:rPr>
          <w:rStyle w:val="19"/>
          <w:rFonts w:hint="eastAsia" w:ascii="仿宋" w:hAnsi="仿宋" w:eastAsia="仿宋"/>
          <w:b w:val="0"/>
          <w:bCs w:val="0"/>
          <w:sz w:val="32"/>
          <w:szCs w:val="32"/>
          <w:highlight w:val="none"/>
        </w:rPr>
        <w:t>年支出决算为1万元，完成预算100%；</w:t>
      </w:r>
      <w:r>
        <w:rPr>
          <w:rStyle w:val="19"/>
          <w:rFonts w:hint="eastAsia" w:ascii="仿宋" w:hAnsi="仿宋" w:eastAsia="仿宋"/>
          <w:b w:val="0"/>
          <w:bCs w:val="0"/>
          <w:sz w:val="32"/>
          <w:szCs w:val="32"/>
          <w:highlight w:val="none"/>
          <w:lang w:val="en-US" w:eastAsia="zh-CN"/>
        </w:rPr>
        <w:t>纪检监察事务（款）一般行政管理事务</w:t>
      </w:r>
      <w:r>
        <w:rPr>
          <w:rStyle w:val="19"/>
          <w:rFonts w:hint="eastAsia" w:ascii="仿宋" w:hAnsi="仿宋" w:eastAsia="仿宋"/>
          <w:b w:val="0"/>
          <w:bCs w:val="0"/>
          <w:sz w:val="32"/>
          <w:szCs w:val="32"/>
          <w:highlight w:val="none"/>
        </w:rPr>
        <w:t>（项）202</w:t>
      </w:r>
      <w:r>
        <w:rPr>
          <w:rStyle w:val="19"/>
          <w:rFonts w:hint="eastAsia" w:ascii="仿宋" w:hAnsi="仿宋" w:eastAsia="仿宋"/>
          <w:b w:val="0"/>
          <w:bCs w:val="0"/>
          <w:sz w:val="32"/>
          <w:szCs w:val="32"/>
          <w:highlight w:val="none"/>
          <w:lang w:val="en-US" w:eastAsia="zh-CN"/>
        </w:rPr>
        <w:t>2</w:t>
      </w:r>
      <w:r>
        <w:rPr>
          <w:rStyle w:val="19"/>
          <w:rFonts w:hint="eastAsia" w:ascii="仿宋" w:hAnsi="仿宋" w:eastAsia="仿宋"/>
          <w:b w:val="0"/>
          <w:bCs w:val="0"/>
          <w:sz w:val="32"/>
          <w:szCs w:val="32"/>
          <w:highlight w:val="none"/>
        </w:rPr>
        <w:t>年支出决算为</w:t>
      </w:r>
      <w:r>
        <w:rPr>
          <w:rStyle w:val="19"/>
          <w:rFonts w:hint="eastAsia" w:ascii="仿宋" w:hAnsi="仿宋" w:eastAsia="仿宋"/>
          <w:b w:val="0"/>
          <w:bCs w:val="0"/>
          <w:sz w:val="32"/>
          <w:szCs w:val="32"/>
          <w:highlight w:val="none"/>
          <w:lang w:val="en-US" w:eastAsia="zh-CN"/>
        </w:rPr>
        <w:t>0.5</w:t>
      </w:r>
      <w:r>
        <w:rPr>
          <w:rStyle w:val="19"/>
          <w:rFonts w:hint="eastAsia" w:ascii="仿宋" w:hAnsi="仿宋" w:eastAsia="仿宋"/>
          <w:b w:val="0"/>
          <w:bCs w:val="0"/>
          <w:sz w:val="32"/>
          <w:szCs w:val="32"/>
          <w:highlight w:val="none"/>
        </w:rPr>
        <w:t>万元，完成预算100%；</w:t>
      </w:r>
      <w:r>
        <w:rPr>
          <w:rStyle w:val="19"/>
          <w:rFonts w:hint="eastAsia" w:ascii="仿宋" w:hAnsi="仿宋" w:eastAsia="仿宋"/>
          <w:b w:val="0"/>
          <w:bCs w:val="0"/>
          <w:sz w:val="32"/>
          <w:szCs w:val="32"/>
          <w:highlight w:val="none"/>
          <w:lang w:val="en-US" w:eastAsia="zh-CN"/>
        </w:rPr>
        <w:t>其他纪检监察事务支出</w:t>
      </w:r>
      <w:r>
        <w:rPr>
          <w:rStyle w:val="19"/>
          <w:rFonts w:hint="eastAsia" w:ascii="仿宋" w:hAnsi="仿宋" w:eastAsia="仿宋"/>
          <w:b w:val="0"/>
          <w:bCs w:val="0"/>
          <w:sz w:val="32"/>
          <w:szCs w:val="32"/>
          <w:highlight w:val="none"/>
        </w:rPr>
        <w:t>（项）202</w:t>
      </w:r>
      <w:r>
        <w:rPr>
          <w:rStyle w:val="19"/>
          <w:rFonts w:hint="eastAsia" w:ascii="仿宋" w:hAnsi="仿宋" w:eastAsia="仿宋"/>
          <w:b w:val="0"/>
          <w:bCs w:val="0"/>
          <w:sz w:val="32"/>
          <w:szCs w:val="32"/>
          <w:highlight w:val="none"/>
          <w:lang w:val="en-US" w:eastAsia="zh-CN"/>
        </w:rPr>
        <w:t>2</w:t>
      </w:r>
      <w:r>
        <w:rPr>
          <w:rStyle w:val="19"/>
          <w:rFonts w:hint="eastAsia" w:ascii="仿宋" w:hAnsi="仿宋" w:eastAsia="仿宋"/>
          <w:b w:val="0"/>
          <w:bCs w:val="0"/>
          <w:sz w:val="32"/>
          <w:szCs w:val="32"/>
          <w:highlight w:val="none"/>
        </w:rPr>
        <w:t>年支出决算为</w:t>
      </w:r>
      <w:r>
        <w:rPr>
          <w:rStyle w:val="19"/>
          <w:rFonts w:hint="eastAsia" w:ascii="仿宋" w:hAnsi="仿宋" w:eastAsia="仿宋"/>
          <w:b w:val="0"/>
          <w:bCs w:val="0"/>
          <w:sz w:val="32"/>
          <w:szCs w:val="32"/>
          <w:highlight w:val="none"/>
          <w:lang w:val="en-US" w:eastAsia="zh-CN"/>
        </w:rPr>
        <w:t>4.</w:t>
      </w:r>
      <w:r>
        <w:rPr>
          <w:rStyle w:val="19"/>
          <w:rFonts w:hint="eastAsia" w:ascii="仿宋" w:hAnsi="仿宋" w:eastAsia="仿宋"/>
          <w:b w:val="0"/>
          <w:bCs w:val="0"/>
          <w:sz w:val="32"/>
          <w:szCs w:val="32"/>
          <w:highlight w:val="none"/>
        </w:rPr>
        <w:t>6万元，完成预算100%；群众团体事务（款）其他群众团体事务支出（项）202</w:t>
      </w:r>
      <w:r>
        <w:rPr>
          <w:rStyle w:val="19"/>
          <w:rFonts w:hint="eastAsia" w:ascii="仿宋" w:hAnsi="仿宋" w:eastAsia="仿宋"/>
          <w:b w:val="0"/>
          <w:bCs w:val="0"/>
          <w:sz w:val="32"/>
          <w:szCs w:val="32"/>
          <w:highlight w:val="none"/>
          <w:lang w:val="en-US" w:eastAsia="zh-CN"/>
        </w:rPr>
        <w:t>2</w:t>
      </w:r>
      <w:r>
        <w:rPr>
          <w:rStyle w:val="19"/>
          <w:rFonts w:hint="eastAsia" w:ascii="仿宋" w:hAnsi="仿宋" w:eastAsia="仿宋"/>
          <w:b w:val="0"/>
          <w:bCs w:val="0"/>
          <w:sz w:val="32"/>
          <w:szCs w:val="32"/>
          <w:highlight w:val="none"/>
        </w:rPr>
        <w:t>年</w:t>
      </w:r>
      <w:r>
        <w:rPr>
          <w:rStyle w:val="19"/>
          <w:rFonts w:hint="eastAsia" w:ascii="仿宋" w:hAnsi="仿宋" w:eastAsia="仿宋"/>
          <w:b w:val="0"/>
          <w:sz w:val="32"/>
          <w:szCs w:val="32"/>
          <w:highlight w:val="none"/>
        </w:rPr>
        <w:t>支出决算0.5万元，完成预算100%；</w:t>
      </w:r>
      <w:r>
        <w:rPr>
          <w:rStyle w:val="19"/>
          <w:rFonts w:hint="eastAsia" w:ascii="仿宋" w:hAnsi="仿宋" w:eastAsia="仿宋"/>
          <w:b w:val="0"/>
          <w:bCs w:val="0"/>
          <w:sz w:val="32"/>
          <w:szCs w:val="32"/>
          <w:highlight w:val="none"/>
          <w:lang w:val="en-US" w:eastAsia="zh-CN"/>
        </w:rPr>
        <w:t>党委办公室及其他机构事务</w:t>
      </w:r>
      <w:r>
        <w:rPr>
          <w:rStyle w:val="19"/>
          <w:rFonts w:hint="eastAsia" w:ascii="仿宋" w:hAnsi="仿宋" w:eastAsia="仿宋"/>
          <w:b w:val="0"/>
          <w:bCs w:val="0"/>
          <w:sz w:val="32"/>
          <w:szCs w:val="32"/>
          <w:highlight w:val="none"/>
        </w:rPr>
        <w:t>（款）</w:t>
      </w:r>
      <w:r>
        <w:rPr>
          <w:rStyle w:val="19"/>
          <w:rFonts w:hint="eastAsia" w:ascii="仿宋" w:hAnsi="仿宋" w:eastAsia="仿宋"/>
          <w:b w:val="0"/>
          <w:bCs w:val="0"/>
          <w:sz w:val="32"/>
          <w:szCs w:val="32"/>
          <w:highlight w:val="none"/>
          <w:lang w:val="en-US" w:eastAsia="zh-CN"/>
        </w:rPr>
        <w:t>一般行政事务管理（项）</w:t>
      </w:r>
      <w:r>
        <w:rPr>
          <w:rStyle w:val="19"/>
          <w:rFonts w:hint="eastAsia" w:ascii="仿宋" w:hAnsi="仿宋" w:eastAsia="仿宋"/>
          <w:b w:val="0"/>
          <w:bCs w:val="0"/>
          <w:sz w:val="32"/>
          <w:szCs w:val="32"/>
          <w:highlight w:val="none"/>
        </w:rPr>
        <w:t>202</w:t>
      </w:r>
      <w:r>
        <w:rPr>
          <w:rStyle w:val="19"/>
          <w:rFonts w:hint="eastAsia" w:ascii="仿宋" w:hAnsi="仿宋" w:eastAsia="仿宋"/>
          <w:b w:val="0"/>
          <w:bCs w:val="0"/>
          <w:sz w:val="32"/>
          <w:szCs w:val="32"/>
          <w:highlight w:val="none"/>
          <w:lang w:val="en-US" w:eastAsia="zh-CN"/>
        </w:rPr>
        <w:t>2</w:t>
      </w:r>
      <w:r>
        <w:rPr>
          <w:rStyle w:val="19"/>
          <w:rFonts w:hint="eastAsia" w:ascii="仿宋" w:hAnsi="仿宋" w:eastAsia="仿宋"/>
          <w:b w:val="0"/>
          <w:bCs w:val="0"/>
          <w:sz w:val="32"/>
          <w:szCs w:val="32"/>
          <w:highlight w:val="none"/>
        </w:rPr>
        <w:t>年支出决算为3.1</w:t>
      </w:r>
      <w:r>
        <w:rPr>
          <w:rStyle w:val="19"/>
          <w:rFonts w:hint="eastAsia" w:ascii="仿宋" w:hAnsi="仿宋" w:eastAsia="仿宋"/>
          <w:b w:val="0"/>
          <w:bCs w:val="0"/>
          <w:sz w:val="32"/>
          <w:szCs w:val="32"/>
          <w:highlight w:val="none"/>
          <w:lang w:val="en-US" w:eastAsia="zh-CN"/>
        </w:rPr>
        <w:t>7</w:t>
      </w:r>
      <w:r>
        <w:rPr>
          <w:rStyle w:val="19"/>
          <w:rFonts w:hint="eastAsia" w:ascii="仿宋" w:hAnsi="仿宋" w:eastAsia="仿宋"/>
          <w:b w:val="0"/>
          <w:bCs w:val="0"/>
          <w:sz w:val="32"/>
          <w:szCs w:val="32"/>
          <w:highlight w:val="none"/>
        </w:rPr>
        <w:t>万元，完成预算100%；宣传事务（款）其他宣传事务支出（项）</w:t>
      </w:r>
      <w:r>
        <w:rPr>
          <w:rStyle w:val="19"/>
          <w:rFonts w:hint="eastAsia" w:ascii="仿宋" w:hAnsi="仿宋" w:eastAsia="仿宋"/>
          <w:b w:val="0"/>
          <w:sz w:val="32"/>
          <w:szCs w:val="32"/>
          <w:highlight w:val="none"/>
        </w:rPr>
        <w:t>202</w:t>
      </w:r>
      <w:r>
        <w:rPr>
          <w:rStyle w:val="19"/>
          <w:rFonts w:hint="eastAsia" w:ascii="仿宋" w:hAnsi="仿宋" w:eastAsia="仿宋"/>
          <w:b w:val="0"/>
          <w:sz w:val="32"/>
          <w:szCs w:val="32"/>
          <w:highlight w:val="none"/>
          <w:lang w:val="en-US" w:eastAsia="zh-CN"/>
        </w:rPr>
        <w:t>2</w:t>
      </w:r>
      <w:r>
        <w:rPr>
          <w:rStyle w:val="19"/>
          <w:rFonts w:hint="eastAsia" w:ascii="仿宋" w:hAnsi="仿宋" w:eastAsia="仿宋"/>
          <w:b w:val="0"/>
          <w:sz w:val="32"/>
          <w:szCs w:val="32"/>
          <w:highlight w:val="none"/>
        </w:rPr>
        <w:t>年支出决算为</w:t>
      </w:r>
      <w:r>
        <w:rPr>
          <w:rStyle w:val="19"/>
          <w:rFonts w:hint="eastAsia" w:ascii="仿宋" w:hAnsi="仿宋" w:eastAsia="仿宋"/>
          <w:b w:val="0"/>
          <w:sz w:val="32"/>
          <w:szCs w:val="32"/>
          <w:highlight w:val="none"/>
          <w:lang w:val="en-US" w:eastAsia="zh-CN"/>
        </w:rPr>
        <w:t>3.3</w:t>
      </w:r>
      <w:r>
        <w:rPr>
          <w:rStyle w:val="19"/>
          <w:rFonts w:hint="eastAsia" w:ascii="仿宋" w:hAnsi="仿宋" w:eastAsia="仿宋"/>
          <w:b w:val="0"/>
          <w:sz w:val="32"/>
          <w:szCs w:val="32"/>
          <w:highlight w:val="none"/>
        </w:rPr>
        <w:t>万元，完成预算100%</w:t>
      </w:r>
      <w:r>
        <w:rPr>
          <w:rStyle w:val="19"/>
          <w:rFonts w:hint="eastAsia" w:ascii="仿宋" w:hAnsi="仿宋" w:eastAsia="仿宋"/>
          <w:b w:val="0"/>
          <w:bCs/>
          <w:sz w:val="32"/>
          <w:szCs w:val="32"/>
          <w:highlight w:val="none"/>
        </w:rPr>
        <w:t>。</w:t>
      </w:r>
    </w:p>
    <w:p>
      <w:pPr>
        <w:spacing w:line="600" w:lineRule="exact"/>
        <w:ind w:firstLine="643" w:firstLineChars="200"/>
        <w:rPr>
          <w:rFonts w:ascii="仿宋" w:hAnsi="仿宋" w:eastAsia="仿宋"/>
          <w:b/>
          <w:sz w:val="32"/>
          <w:szCs w:val="32"/>
          <w:highlight w:val="none"/>
        </w:rPr>
      </w:pPr>
      <w:r>
        <w:rPr>
          <w:rStyle w:val="19"/>
          <w:rFonts w:ascii="仿宋" w:hAnsi="仿宋" w:eastAsia="仿宋"/>
          <w:bCs/>
          <w:sz w:val="32"/>
          <w:szCs w:val="32"/>
          <w:highlight w:val="none"/>
        </w:rPr>
        <w:t>2.</w:t>
      </w:r>
      <w:r>
        <w:rPr>
          <w:rStyle w:val="19"/>
          <w:rFonts w:hint="eastAsia" w:ascii="仿宋" w:hAnsi="仿宋" w:eastAsia="仿宋"/>
          <w:bCs/>
          <w:sz w:val="32"/>
          <w:szCs w:val="32"/>
          <w:highlight w:val="none"/>
        </w:rPr>
        <w:t>国防支出（类）：</w:t>
      </w:r>
      <w:r>
        <w:rPr>
          <w:rFonts w:hint="eastAsia" w:hAnsi="仿宋"/>
          <w:sz w:val="32"/>
          <w:szCs w:val="32"/>
          <w:highlight w:val="none"/>
        </w:rPr>
        <w:t>国防动员（款）</w:t>
      </w:r>
      <w:r>
        <w:rPr>
          <w:rFonts w:hint="eastAsia" w:hAnsi="仿宋"/>
          <w:sz w:val="32"/>
          <w:szCs w:val="32"/>
          <w:highlight w:val="none"/>
          <w:lang w:val="en-US" w:eastAsia="zh-CN"/>
        </w:rPr>
        <w:t>兵役征集</w:t>
      </w:r>
      <w:r>
        <w:rPr>
          <w:rFonts w:hint="eastAsia" w:hAnsi="仿宋"/>
          <w:sz w:val="32"/>
          <w:szCs w:val="32"/>
          <w:highlight w:val="none"/>
        </w:rPr>
        <w:t>（项）202</w:t>
      </w:r>
      <w:r>
        <w:rPr>
          <w:rFonts w:hint="eastAsia" w:hAnsi="仿宋"/>
          <w:sz w:val="32"/>
          <w:szCs w:val="32"/>
          <w:highlight w:val="none"/>
          <w:lang w:val="en-US" w:eastAsia="zh-CN"/>
        </w:rPr>
        <w:t>2</w:t>
      </w:r>
      <w:r>
        <w:rPr>
          <w:rFonts w:hint="eastAsia" w:hAnsi="仿宋"/>
          <w:sz w:val="32"/>
          <w:szCs w:val="32"/>
          <w:highlight w:val="none"/>
        </w:rPr>
        <w:t>年支出决算为0.</w:t>
      </w:r>
      <w:r>
        <w:rPr>
          <w:rFonts w:hint="eastAsia" w:hAnsi="仿宋"/>
          <w:sz w:val="32"/>
          <w:szCs w:val="32"/>
          <w:highlight w:val="none"/>
          <w:lang w:val="en-US" w:eastAsia="zh-CN"/>
        </w:rPr>
        <w:t>41</w:t>
      </w:r>
      <w:r>
        <w:rPr>
          <w:rFonts w:hint="eastAsia" w:hAnsi="仿宋"/>
          <w:sz w:val="32"/>
          <w:szCs w:val="32"/>
          <w:highlight w:val="none"/>
        </w:rPr>
        <w:t>万元，完成预算1</w:t>
      </w:r>
      <w:r>
        <w:rPr>
          <w:rStyle w:val="19"/>
          <w:rFonts w:hint="eastAsia" w:ascii="仿宋" w:hAnsi="仿宋" w:eastAsia="仿宋"/>
          <w:b w:val="0"/>
          <w:bCs/>
          <w:sz w:val="32"/>
          <w:szCs w:val="32"/>
          <w:highlight w:val="none"/>
        </w:rPr>
        <w:t>00%。</w:t>
      </w:r>
    </w:p>
    <w:p>
      <w:pPr>
        <w:spacing w:line="600" w:lineRule="exact"/>
        <w:ind w:firstLine="643" w:firstLineChars="200"/>
        <w:rPr>
          <w:rFonts w:ascii="仿宋" w:hAnsi="仿宋" w:eastAsia="仿宋"/>
          <w:b/>
          <w:sz w:val="32"/>
          <w:szCs w:val="32"/>
          <w:highlight w:val="none"/>
        </w:rPr>
      </w:pPr>
      <w:r>
        <w:rPr>
          <w:rStyle w:val="19"/>
          <w:rFonts w:ascii="仿宋" w:hAnsi="仿宋" w:eastAsia="仿宋"/>
          <w:bCs/>
          <w:sz w:val="32"/>
          <w:szCs w:val="32"/>
          <w:highlight w:val="none"/>
        </w:rPr>
        <w:t>3.</w:t>
      </w:r>
      <w:r>
        <w:rPr>
          <w:rStyle w:val="19"/>
          <w:rFonts w:hint="eastAsia" w:ascii="仿宋" w:hAnsi="仿宋" w:eastAsia="仿宋"/>
          <w:bCs/>
          <w:sz w:val="32"/>
          <w:szCs w:val="32"/>
          <w:highlight w:val="none"/>
        </w:rPr>
        <w:t>文化旅游体育与传媒（类）：</w:t>
      </w:r>
      <w:r>
        <w:rPr>
          <w:rFonts w:hint="eastAsia" w:hAnsi="仿宋"/>
          <w:sz w:val="32"/>
          <w:szCs w:val="32"/>
          <w:highlight w:val="none"/>
        </w:rPr>
        <w:t>文化和旅游（款）文化和旅游管理事务（项）202</w:t>
      </w:r>
      <w:r>
        <w:rPr>
          <w:rFonts w:hint="eastAsia" w:hAnsi="仿宋"/>
          <w:sz w:val="32"/>
          <w:szCs w:val="32"/>
          <w:highlight w:val="none"/>
          <w:lang w:val="en-US" w:eastAsia="zh-CN"/>
        </w:rPr>
        <w:t>2</w:t>
      </w:r>
      <w:r>
        <w:rPr>
          <w:rFonts w:hint="eastAsia" w:hAnsi="仿宋"/>
          <w:sz w:val="32"/>
          <w:szCs w:val="32"/>
          <w:highlight w:val="none"/>
        </w:rPr>
        <w:t>年支出决算</w:t>
      </w:r>
      <w:r>
        <w:rPr>
          <w:rStyle w:val="19"/>
          <w:rFonts w:hint="eastAsia" w:ascii="仿宋" w:hAnsi="仿宋" w:eastAsia="仿宋"/>
          <w:b w:val="0"/>
          <w:bCs/>
          <w:sz w:val="32"/>
          <w:szCs w:val="32"/>
          <w:highlight w:val="none"/>
        </w:rPr>
        <w:t>为</w:t>
      </w:r>
      <w:r>
        <w:rPr>
          <w:rFonts w:hint="eastAsia" w:hAnsi="仿宋"/>
          <w:sz w:val="32"/>
          <w:szCs w:val="32"/>
          <w:highlight w:val="none"/>
          <w:lang w:val="en-US" w:eastAsia="zh-CN"/>
        </w:rPr>
        <w:t>120</w:t>
      </w:r>
      <w:r>
        <w:rPr>
          <w:rStyle w:val="19"/>
          <w:rFonts w:hint="eastAsia" w:ascii="仿宋" w:hAnsi="仿宋" w:eastAsia="仿宋"/>
          <w:b w:val="0"/>
          <w:bCs/>
          <w:sz w:val="32"/>
          <w:szCs w:val="32"/>
          <w:highlight w:val="none"/>
          <w:lang w:val="en-US" w:eastAsia="zh-CN"/>
        </w:rPr>
        <w:t>.87</w:t>
      </w:r>
      <w:r>
        <w:rPr>
          <w:rStyle w:val="19"/>
          <w:rFonts w:hint="eastAsia" w:ascii="仿宋" w:hAnsi="仿宋" w:eastAsia="仿宋"/>
          <w:b w:val="0"/>
          <w:bCs/>
          <w:sz w:val="32"/>
          <w:szCs w:val="32"/>
          <w:highlight w:val="none"/>
        </w:rPr>
        <w:t>万元，完成预算100%。</w:t>
      </w:r>
    </w:p>
    <w:p>
      <w:pPr>
        <w:spacing w:line="600" w:lineRule="exact"/>
        <w:ind w:firstLine="643" w:firstLineChars="200"/>
        <w:rPr>
          <w:rStyle w:val="19"/>
          <w:rFonts w:hint="eastAsia" w:ascii="仿宋" w:hAnsi="仿宋" w:eastAsia="仿宋" w:cstheme="minorBidi"/>
          <w:b w:val="0"/>
          <w:bCs/>
          <w:sz w:val="32"/>
          <w:szCs w:val="32"/>
          <w:highlight w:val="none"/>
        </w:rPr>
      </w:pPr>
      <w:r>
        <w:rPr>
          <w:rStyle w:val="19"/>
          <w:rFonts w:hint="eastAsia" w:ascii="仿宋" w:hAnsi="仿宋" w:eastAsia="仿宋" w:cstheme="minorBidi"/>
          <w:b/>
          <w:bCs w:val="0"/>
          <w:color w:val="auto"/>
          <w:sz w:val="32"/>
          <w:szCs w:val="32"/>
          <w:highlight w:val="none"/>
          <w:lang w:val="en-US" w:eastAsia="zh-CN"/>
        </w:rPr>
        <w:t>4.</w:t>
      </w:r>
      <w:r>
        <w:rPr>
          <w:rStyle w:val="19"/>
          <w:rFonts w:hint="eastAsia" w:ascii="仿宋" w:hAnsi="仿宋" w:eastAsia="仿宋" w:cstheme="minorBidi"/>
          <w:b/>
          <w:bCs w:val="0"/>
          <w:color w:val="auto"/>
          <w:sz w:val="32"/>
          <w:szCs w:val="32"/>
          <w:highlight w:val="none"/>
        </w:rPr>
        <w:t>社会保障和就业支出（类）：</w:t>
      </w:r>
      <w:r>
        <w:rPr>
          <w:rStyle w:val="19"/>
          <w:rFonts w:hint="eastAsia" w:ascii="仿宋" w:hAnsi="仿宋" w:eastAsia="仿宋" w:cstheme="minorBidi"/>
          <w:b w:val="0"/>
          <w:bCs/>
          <w:color w:val="auto"/>
          <w:sz w:val="32"/>
          <w:szCs w:val="32"/>
          <w:highlight w:val="none"/>
          <w:lang w:val="en-US" w:eastAsia="zh-CN"/>
        </w:rPr>
        <w:t>民政管理事务（款）</w:t>
      </w:r>
      <w:r>
        <w:rPr>
          <w:rStyle w:val="19"/>
          <w:rFonts w:hint="eastAsia" w:ascii="仿宋" w:hAnsi="仿宋" w:eastAsia="仿宋" w:cstheme="minorBidi"/>
          <w:b w:val="0"/>
          <w:bCs/>
          <w:color w:val="auto"/>
          <w:kern w:val="2"/>
          <w:sz w:val="32"/>
          <w:szCs w:val="32"/>
          <w:highlight w:val="none"/>
          <w:lang w:val="en-US" w:eastAsia="zh-CN" w:bidi="ar-SA"/>
        </w:rPr>
        <w:t>基层政权建设和社区治理支</w:t>
      </w:r>
      <w:r>
        <w:rPr>
          <w:rStyle w:val="19"/>
          <w:rFonts w:hint="eastAsia" w:ascii="仿宋" w:hAnsi="仿宋" w:eastAsia="仿宋"/>
          <w:b w:val="0"/>
          <w:bCs/>
          <w:color w:val="auto"/>
          <w:sz w:val="32"/>
          <w:szCs w:val="32"/>
          <w:highlight w:val="none"/>
        </w:rPr>
        <w:t>出（</w:t>
      </w:r>
      <w:r>
        <w:rPr>
          <w:rStyle w:val="19"/>
          <w:rFonts w:hint="eastAsia" w:ascii="仿宋" w:hAnsi="仿宋" w:eastAsia="仿宋"/>
          <w:b w:val="0"/>
          <w:bCs/>
          <w:color w:val="auto"/>
          <w:sz w:val="32"/>
          <w:szCs w:val="32"/>
          <w:highlight w:val="none"/>
          <w:lang w:val="en-US" w:eastAsia="zh-CN"/>
        </w:rPr>
        <w:t>项</w:t>
      </w:r>
      <w:r>
        <w:rPr>
          <w:rStyle w:val="19"/>
          <w:rFonts w:hint="eastAsia" w:ascii="仿宋" w:hAnsi="仿宋" w:eastAsia="仿宋"/>
          <w:b w:val="0"/>
          <w:bCs/>
          <w:color w:val="auto"/>
          <w:sz w:val="32"/>
          <w:szCs w:val="32"/>
          <w:highlight w:val="none"/>
        </w:rPr>
        <w:t>）</w:t>
      </w:r>
      <w:r>
        <w:rPr>
          <w:rStyle w:val="19"/>
          <w:rFonts w:hint="eastAsia" w:ascii="仿宋" w:hAnsi="仿宋" w:eastAsia="仿宋"/>
          <w:b w:val="0"/>
          <w:bCs/>
          <w:sz w:val="32"/>
          <w:szCs w:val="32"/>
          <w:highlight w:val="none"/>
        </w:rPr>
        <w:t>202</w:t>
      </w:r>
      <w:r>
        <w:rPr>
          <w:rStyle w:val="19"/>
          <w:rFonts w:hint="eastAsia" w:ascii="仿宋" w:hAnsi="仿宋" w:eastAsia="仿宋"/>
          <w:b w:val="0"/>
          <w:bCs/>
          <w:sz w:val="32"/>
          <w:szCs w:val="32"/>
          <w:highlight w:val="none"/>
          <w:lang w:val="en-US" w:eastAsia="zh-CN"/>
        </w:rPr>
        <w:t>2</w:t>
      </w:r>
      <w:r>
        <w:rPr>
          <w:rStyle w:val="19"/>
          <w:rFonts w:hint="eastAsia" w:ascii="仿宋" w:hAnsi="仿宋" w:eastAsia="仿宋"/>
          <w:b w:val="0"/>
          <w:bCs/>
          <w:sz w:val="32"/>
          <w:szCs w:val="32"/>
          <w:highlight w:val="none"/>
        </w:rPr>
        <w:t>年</w:t>
      </w:r>
      <w:r>
        <w:rPr>
          <w:rFonts w:hint="eastAsia" w:hAnsi="仿宋"/>
          <w:sz w:val="32"/>
          <w:szCs w:val="32"/>
          <w:highlight w:val="none"/>
        </w:rPr>
        <w:t>支出</w:t>
      </w:r>
      <w:r>
        <w:rPr>
          <w:rStyle w:val="19"/>
          <w:rFonts w:hint="eastAsia" w:ascii="仿宋" w:hAnsi="仿宋" w:eastAsia="仿宋"/>
          <w:b w:val="0"/>
          <w:bCs/>
          <w:sz w:val="32"/>
          <w:szCs w:val="32"/>
          <w:highlight w:val="none"/>
        </w:rPr>
        <w:t>决算为</w:t>
      </w:r>
      <w:r>
        <w:rPr>
          <w:rStyle w:val="19"/>
          <w:rFonts w:hint="eastAsia" w:ascii="仿宋" w:hAnsi="仿宋" w:eastAsia="仿宋"/>
          <w:b w:val="0"/>
          <w:bCs/>
          <w:sz w:val="32"/>
          <w:szCs w:val="32"/>
          <w:highlight w:val="none"/>
          <w:lang w:val="en-US" w:eastAsia="zh-CN"/>
        </w:rPr>
        <w:t>47.1</w:t>
      </w:r>
      <w:r>
        <w:rPr>
          <w:rStyle w:val="19"/>
          <w:rFonts w:hint="eastAsia" w:ascii="仿宋" w:hAnsi="仿宋" w:eastAsia="仿宋"/>
          <w:b w:val="0"/>
          <w:bCs/>
          <w:sz w:val="32"/>
          <w:szCs w:val="32"/>
          <w:highlight w:val="none"/>
        </w:rPr>
        <w:t>万元，完成预算100%</w:t>
      </w:r>
      <w:r>
        <w:rPr>
          <w:rStyle w:val="19"/>
          <w:rFonts w:hint="eastAsia" w:ascii="仿宋" w:hAnsi="仿宋" w:eastAsia="仿宋"/>
          <w:b w:val="0"/>
          <w:bCs/>
          <w:sz w:val="32"/>
          <w:szCs w:val="32"/>
          <w:highlight w:val="none"/>
          <w:lang w:eastAsia="zh-CN"/>
        </w:rPr>
        <w:t>；</w:t>
      </w:r>
      <w:r>
        <w:rPr>
          <w:rStyle w:val="19"/>
          <w:rFonts w:hint="eastAsia" w:ascii="仿宋" w:hAnsi="仿宋" w:eastAsia="仿宋" w:cstheme="minorBidi"/>
          <w:b w:val="0"/>
          <w:bCs/>
          <w:sz w:val="32"/>
          <w:szCs w:val="32"/>
          <w:highlight w:val="none"/>
        </w:rPr>
        <w:t>行政事业单位养老支出（款）机关事业单位养老保险缴费支出（项）202</w:t>
      </w:r>
      <w:r>
        <w:rPr>
          <w:rStyle w:val="19"/>
          <w:rFonts w:hint="eastAsia" w:ascii="仿宋" w:hAnsi="仿宋" w:eastAsia="仿宋" w:cstheme="minorBidi"/>
          <w:b w:val="0"/>
          <w:bCs/>
          <w:sz w:val="32"/>
          <w:szCs w:val="32"/>
          <w:highlight w:val="none"/>
          <w:lang w:val="en-US" w:eastAsia="zh-CN"/>
        </w:rPr>
        <w:t>2</w:t>
      </w:r>
      <w:r>
        <w:rPr>
          <w:rStyle w:val="19"/>
          <w:rFonts w:hint="eastAsia" w:ascii="仿宋" w:hAnsi="仿宋" w:eastAsia="仿宋" w:cstheme="minorBidi"/>
          <w:b w:val="0"/>
          <w:bCs/>
          <w:sz w:val="32"/>
          <w:szCs w:val="32"/>
          <w:highlight w:val="none"/>
        </w:rPr>
        <w:t>年支出决算为</w:t>
      </w:r>
      <w:r>
        <w:rPr>
          <w:rStyle w:val="19"/>
          <w:rFonts w:hint="eastAsia" w:ascii="仿宋" w:hAnsi="仿宋" w:eastAsia="仿宋" w:cstheme="minorBidi"/>
          <w:b w:val="0"/>
          <w:bCs/>
          <w:sz w:val="32"/>
          <w:szCs w:val="32"/>
          <w:highlight w:val="none"/>
          <w:lang w:val="en-US" w:eastAsia="zh-CN"/>
        </w:rPr>
        <w:t>64.58</w:t>
      </w:r>
      <w:r>
        <w:rPr>
          <w:rStyle w:val="19"/>
          <w:rFonts w:hint="eastAsia" w:ascii="仿宋" w:hAnsi="仿宋" w:eastAsia="仿宋" w:cstheme="minorBidi"/>
          <w:b w:val="0"/>
          <w:bCs/>
          <w:sz w:val="32"/>
          <w:szCs w:val="32"/>
          <w:highlight w:val="none"/>
        </w:rPr>
        <w:t>万元，完成预算100%。</w:t>
      </w:r>
    </w:p>
    <w:p>
      <w:pPr>
        <w:spacing w:line="600" w:lineRule="exact"/>
        <w:ind w:firstLine="643" w:firstLineChars="200"/>
        <w:rPr>
          <w:rStyle w:val="19"/>
          <w:rFonts w:hint="eastAsia" w:ascii="仿宋" w:hAnsi="仿宋" w:eastAsia="仿宋" w:cstheme="minorBidi"/>
          <w:b w:val="0"/>
          <w:bCs/>
          <w:sz w:val="32"/>
          <w:szCs w:val="32"/>
          <w:highlight w:val="none"/>
        </w:rPr>
      </w:pPr>
      <w:r>
        <w:rPr>
          <w:rStyle w:val="19"/>
          <w:rFonts w:hint="eastAsia" w:ascii="仿宋" w:hAnsi="仿宋" w:eastAsia="仿宋" w:cstheme="minorBidi"/>
          <w:b/>
          <w:bCs w:val="0"/>
          <w:sz w:val="32"/>
          <w:szCs w:val="32"/>
          <w:highlight w:val="none"/>
          <w:lang w:val="en-US" w:eastAsia="zh-CN"/>
        </w:rPr>
        <w:t>5.</w:t>
      </w:r>
      <w:r>
        <w:rPr>
          <w:rStyle w:val="19"/>
          <w:rFonts w:hint="eastAsia" w:ascii="仿宋" w:hAnsi="仿宋" w:eastAsia="仿宋" w:cstheme="minorBidi"/>
          <w:b/>
          <w:bCs w:val="0"/>
          <w:sz w:val="32"/>
          <w:szCs w:val="32"/>
          <w:highlight w:val="none"/>
        </w:rPr>
        <w:t>卫生健康支出（类）：</w:t>
      </w:r>
      <w:r>
        <w:rPr>
          <w:rStyle w:val="19"/>
          <w:rFonts w:hint="eastAsia" w:ascii="仿宋" w:hAnsi="仿宋" w:eastAsia="仿宋" w:cstheme="minorBidi"/>
          <w:b w:val="0"/>
          <w:bCs/>
          <w:sz w:val="32"/>
          <w:szCs w:val="32"/>
          <w:highlight w:val="none"/>
        </w:rPr>
        <w:t>行政事业单位医疗（款）行政单位医疗（项）202</w:t>
      </w:r>
      <w:r>
        <w:rPr>
          <w:rStyle w:val="19"/>
          <w:rFonts w:hint="eastAsia" w:ascii="仿宋" w:hAnsi="仿宋" w:eastAsia="仿宋" w:cstheme="minorBidi"/>
          <w:b w:val="0"/>
          <w:bCs/>
          <w:sz w:val="32"/>
          <w:szCs w:val="32"/>
          <w:highlight w:val="none"/>
          <w:lang w:val="en-US" w:eastAsia="zh-CN"/>
        </w:rPr>
        <w:t>2</w:t>
      </w:r>
      <w:r>
        <w:rPr>
          <w:rStyle w:val="19"/>
          <w:rFonts w:hint="eastAsia" w:ascii="仿宋" w:hAnsi="仿宋" w:eastAsia="仿宋" w:cstheme="minorBidi"/>
          <w:b w:val="0"/>
          <w:bCs/>
          <w:sz w:val="32"/>
          <w:szCs w:val="32"/>
          <w:highlight w:val="none"/>
        </w:rPr>
        <w:t>年支出决算为</w:t>
      </w:r>
      <w:r>
        <w:rPr>
          <w:rStyle w:val="19"/>
          <w:rFonts w:hint="eastAsia" w:ascii="仿宋" w:hAnsi="仿宋" w:eastAsia="仿宋" w:cstheme="minorBidi"/>
          <w:b w:val="0"/>
          <w:bCs/>
          <w:sz w:val="32"/>
          <w:szCs w:val="32"/>
          <w:highlight w:val="none"/>
          <w:lang w:val="en-US" w:eastAsia="zh-CN"/>
        </w:rPr>
        <w:t>15.94</w:t>
      </w:r>
      <w:r>
        <w:rPr>
          <w:rStyle w:val="19"/>
          <w:rFonts w:hint="eastAsia" w:ascii="仿宋" w:hAnsi="仿宋" w:eastAsia="仿宋" w:cstheme="minorBidi"/>
          <w:b w:val="0"/>
          <w:bCs/>
          <w:sz w:val="32"/>
          <w:szCs w:val="32"/>
          <w:highlight w:val="none"/>
        </w:rPr>
        <w:t>万元</w:t>
      </w:r>
      <w:r>
        <w:rPr>
          <w:rStyle w:val="19"/>
          <w:rFonts w:hint="eastAsia" w:ascii="仿宋" w:hAnsi="仿宋" w:eastAsia="仿宋" w:cstheme="minorBidi"/>
          <w:b w:val="0"/>
          <w:bCs/>
          <w:sz w:val="32"/>
          <w:szCs w:val="32"/>
          <w:highlight w:val="none"/>
          <w:lang w:eastAsia="zh-CN"/>
        </w:rPr>
        <w:t>；</w:t>
      </w:r>
      <w:r>
        <w:rPr>
          <w:rStyle w:val="19"/>
          <w:rFonts w:hint="eastAsia" w:ascii="仿宋" w:hAnsi="仿宋" w:eastAsia="仿宋" w:cstheme="minorBidi"/>
          <w:b w:val="0"/>
          <w:bCs/>
          <w:sz w:val="32"/>
          <w:szCs w:val="32"/>
          <w:highlight w:val="none"/>
        </w:rPr>
        <w:t>行政事业单位医疗（款）</w:t>
      </w:r>
      <w:r>
        <w:rPr>
          <w:rStyle w:val="19"/>
          <w:rFonts w:hint="eastAsia" w:ascii="仿宋" w:hAnsi="仿宋" w:eastAsia="仿宋" w:cstheme="minorBidi"/>
          <w:b w:val="0"/>
          <w:bCs/>
          <w:sz w:val="32"/>
          <w:szCs w:val="32"/>
          <w:highlight w:val="none"/>
          <w:lang w:val="en-US" w:eastAsia="zh-CN"/>
        </w:rPr>
        <w:t>事业</w:t>
      </w:r>
      <w:r>
        <w:rPr>
          <w:rStyle w:val="19"/>
          <w:rFonts w:hint="eastAsia" w:ascii="仿宋" w:hAnsi="仿宋" w:eastAsia="仿宋" w:cstheme="minorBidi"/>
          <w:b w:val="0"/>
          <w:bCs/>
          <w:sz w:val="32"/>
          <w:szCs w:val="32"/>
          <w:highlight w:val="none"/>
        </w:rPr>
        <w:t>单位医疗（项）202</w:t>
      </w:r>
      <w:r>
        <w:rPr>
          <w:rStyle w:val="19"/>
          <w:rFonts w:hint="eastAsia" w:ascii="仿宋" w:hAnsi="仿宋" w:eastAsia="仿宋" w:cstheme="minorBidi"/>
          <w:b w:val="0"/>
          <w:bCs/>
          <w:sz w:val="32"/>
          <w:szCs w:val="32"/>
          <w:highlight w:val="none"/>
          <w:lang w:val="en-US" w:eastAsia="zh-CN"/>
        </w:rPr>
        <w:t>2</w:t>
      </w:r>
      <w:r>
        <w:rPr>
          <w:rStyle w:val="19"/>
          <w:rFonts w:hint="eastAsia" w:ascii="仿宋" w:hAnsi="仿宋" w:eastAsia="仿宋" w:cstheme="minorBidi"/>
          <w:b w:val="0"/>
          <w:bCs/>
          <w:sz w:val="32"/>
          <w:szCs w:val="32"/>
          <w:highlight w:val="none"/>
        </w:rPr>
        <w:t>年支出决算为</w:t>
      </w:r>
      <w:r>
        <w:rPr>
          <w:rStyle w:val="19"/>
          <w:rFonts w:hint="eastAsia" w:ascii="仿宋" w:hAnsi="仿宋" w:eastAsia="仿宋" w:cstheme="minorBidi"/>
          <w:b w:val="0"/>
          <w:bCs/>
          <w:sz w:val="32"/>
          <w:szCs w:val="32"/>
          <w:highlight w:val="none"/>
          <w:lang w:val="en-US" w:eastAsia="zh-CN"/>
        </w:rPr>
        <w:t>16.68</w:t>
      </w:r>
      <w:r>
        <w:rPr>
          <w:rStyle w:val="19"/>
          <w:rFonts w:hint="eastAsia" w:ascii="仿宋" w:hAnsi="仿宋" w:eastAsia="仿宋" w:cstheme="minorBidi"/>
          <w:b w:val="0"/>
          <w:bCs/>
          <w:sz w:val="32"/>
          <w:szCs w:val="32"/>
          <w:highlight w:val="none"/>
        </w:rPr>
        <w:t>万元</w:t>
      </w:r>
      <w:r>
        <w:rPr>
          <w:rStyle w:val="19"/>
          <w:rFonts w:hint="eastAsia" w:ascii="仿宋" w:hAnsi="仿宋" w:eastAsia="仿宋" w:cstheme="minorBidi"/>
          <w:b w:val="0"/>
          <w:bCs/>
          <w:sz w:val="32"/>
          <w:szCs w:val="32"/>
          <w:highlight w:val="none"/>
          <w:lang w:eastAsia="zh-CN"/>
        </w:rPr>
        <w:t>；</w:t>
      </w:r>
      <w:r>
        <w:rPr>
          <w:rStyle w:val="19"/>
          <w:rFonts w:hint="eastAsia" w:ascii="仿宋" w:hAnsi="仿宋" w:eastAsia="仿宋" w:cstheme="minorBidi"/>
          <w:b w:val="0"/>
          <w:bCs/>
          <w:sz w:val="32"/>
          <w:szCs w:val="32"/>
          <w:highlight w:val="none"/>
          <w:lang w:val="en-US" w:eastAsia="zh-CN"/>
        </w:rPr>
        <w:t>其他卫生健康支出</w:t>
      </w:r>
      <w:r>
        <w:rPr>
          <w:rStyle w:val="19"/>
          <w:rFonts w:hint="eastAsia" w:ascii="仿宋" w:hAnsi="仿宋" w:eastAsia="仿宋" w:cstheme="minorBidi"/>
          <w:b w:val="0"/>
          <w:bCs/>
          <w:sz w:val="32"/>
          <w:szCs w:val="32"/>
          <w:highlight w:val="none"/>
        </w:rPr>
        <w:t>（款）</w:t>
      </w:r>
      <w:r>
        <w:rPr>
          <w:rStyle w:val="19"/>
          <w:rFonts w:hint="eastAsia" w:ascii="仿宋" w:hAnsi="仿宋" w:eastAsia="仿宋" w:cstheme="minorBidi"/>
          <w:b w:val="0"/>
          <w:bCs/>
          <w:sz w:val="32"/>
          <w:szCs w:val="32"/>
          <w:highlight w:val="none"/>
          <w:lang w:val="en-US" w:eastAsia="zh-CN"/>
        </w:rPr>
        <w:t>其他卫生健康支出</w:t>
      </w:r>
      <w:r>
        <w:rPr>
          <w:rStyle w:val="19"/>
          <w:rFonts w:hint="eastAsia" w:ascii="仿宋" w:hAnsi="仿宋" w:eastAsia="仿宋" w:cstheme="minorBidi"/>
          <w:b w:val="0"/>
          <w:bCs/>
          <w:sz w:val="32"/>
          <w:szCs w:val="32"/>
          <w:highlight w:val="none"/>
        </w:rPr>
        <w:t>（项）</w:t>
      </w:r>
      <w:r>
        <w:rPr>
          <w:rStyle w:val="19"/>
          <w:rFonts w:hint="eastAsia" w:ascii="仿宋" w:hAnsi="仿宋" w:eastAsia="仿宋" w:cstheme="minorBidi"/>
          <w:b w:val="0"/>
          <w:bCs/>
          <w:sz w:val="32"/>
          <w:szCs w:val="32"/>
          <w:highlight w:val="none"/>
          <w:lang w:val="en-US" w:eastAsia="zh-CN"/>
        </w:rPr>
        <w:t>0.5万元，</w:t>
      </w:r>
      <w:r>
        <w:rPr>
          <w:rStyle w:val="19"/>
          <w:rFonts w:hint="eastAsia" w:ascii="仿宋" w:hAnsi="仿宋" w:eastAsia="仿宋" w:cstheme="minorBidi"/>
          <w:b w:val="0"/>
          <w:bCs/>
          <w:sz w:val="32"/>
          <w:szCs w:val="32"/>
          <w:highlight w:val="none"/>
        </w:rPr>
        <w:t>完成预算100%。</w:t>
      </w:r>
    </w:p>
    <w:p>
      <w:pPr>
        <w:spacing w:line="600" w:lineRule="exact"/>
        <w:ind w:firstLine="643" w:firstLineChars="200"/>
        <w:rPr>
          <w:rFonts w:ascii="仿宋" w:hAnsi="仿宋" w:eastAsia="仿宋"/>
          <w:sz w:val="32"/>
          <w:szCs w:val="32"/>
          <w:highlight w:val="none"/>
        </w:rPr>
      </w:pPr>
      <w:r>
        <w:rPr>
          <w:rStyle w:val="19"/>
          <w:rFonts w:ascii="仿宋" w:hAnsi="仿宋" w:eastAsia="仿宋"/>
          <w:b/>
          <w:bCs/>
          <w:sz w:val="32"/>
          <w:szCs w:val="32"/>
          <w:highlight w:val="none"/>
        </w:rPr>
        <w:t>6.</w:t>
      </w:r>
      <w:r>
        <w:rPr>
          <w:rFonts w:hint="eastAsia" w:ascii="仿宋" w:hAnsi="仿宋" w:eastAsia="仿宋"/>
          <w:b/>
          <w:bCs/>
          <w:sz w:val="32"/>
          <w:szCs w:val="32"/>
          <w:highlight w:val="none"/>
        </w:rPr>
        <w:t>城乡社区支出（类）</w:t>
      </w:r>
      <w:r>
        <w:rPr>
          <w:rFonts w:hint="eastAsia" w:ascii="仿宋" w:hAnsi="仿宋" w:eastAsia="仿宋"/>
          <w:b w:val="0"/>
          <w:bCs w:val="0"/>
          <w:sz w:val="32"/>
          <w:szCs w:val="32"/>
          <w:highlight w:val="none"/>
        </w:rPr>
        <w:t>：</w:t>
      </w:r>
      <w:r>
        <w:rPr>
          <w:rFonts w:hint="eastAsia" w:ascii="仿宋" w:hAnsi="仿宋" w:eastAsia="仿宋"/>
          <w:sz w:val="32"/>
          <w:szCs w:val="32"/>
          <w:highlight w:val="none"/>
        </w:rPr>
        <w:t>城乡社区环境卫生（款）城乡社区环境卫生（项）202</w:t>
      </w:r>
      <w:r>
        <w:rPr>
          <w:rFonts w:hint="eastAsia" w:ascii="仿宋" w:hAnsi="仿宋" w:eastAsia="仿宋"/>
          <w:sz w:val="32"/>
          <w:szCs w:val="32"/>
          <w:highlight w:val="none"/>
          <w:lang w:val="en-US" w:eastAsia="zh-CN"/>
        </w:rPr>
        <w:t>2</w:t>
      </w:r>
      <w:r>
        <w:rPr>
          <w:rFonts w:hint="eastAsia" w:ascii="仿宋" w:hAnsi="仿宋" w:eastAsia="仿宋"/>
          <w:sz w:val="32"/>
          <w:szCs w:val="32"/>
          <w:highlight w:val="none"/>
        </w:rPr>
        <w:t>年</w:t>
      </w:r>
      <w:r>
        <w:rPr>
          <w:rFonts w:hint="eastAsia" w:hAnsi="仿宋"/>
          <w:sz w:val="32"/>
          <w:szCs w:val="32"/>
          <w:highlight w:val="none"/>
        </w:rPr>
        <w:t>支出</w:t>
      </w:r>
      <w:r>
        <w:rPr>
          <w:rFonts w:hint="eastAsia" w:ascii="仿宋" w:hAnsi="仿宋" w:eastAsia="仿宋"/>
          <w:sz w:val="32"/>
          <w:szCs w:val="32"/>
          <w:highlight w:val="none"/>
        </w:rPr>
        <w:t>决算为</w:t>
      </w:r>
      <w:r>
        <w:rPr>
          <w:rFonts w:hint="eastAsia" w:ascii="仿宋" w:hAnsi="仿宋" w:eastAsia="仿宋"/>
          <w:sz w:val="32"/>
          <w:szCs w:val="32"/>
          <w:highlight w:val="none"/>
          <w:lang w:val="en-US" w:eastAsia="zh-CN"/>
        </w:rPr>
        <w:t>4.75</w:t>
      </w:r>
      <w:r>
        <w:rPr>
          <w:rFonts w:hint="eastAsia" w:ascii="仿宋" w:hAnsi="仿宋" w:eastAsia="仿宋"/>
          <w:sz w:val="32"/>
          <w:szCs w:val="32"/>
          <w:highlight w:val="none"/>
        </w:rPr>
        <w:t>万元，完成预算100%;</w:t>
      </w:r>
    </w:p>
    <w:p>
      <w:pPr>
        <w:pStyle w:val="29"/>
        <w:ind w:firstLine="643" w:firstLineChars="200"/>
        <w:rPr>
          <w:rFonts w:hint="eastAsia" w:hAnsi="仿宋"/>
          <w:sz w:val="32"/>
          <w:szCs w:val="32"/>
          <w:highlight w:val="none"/>
        </w:rPr>
      </w:pPr>
      <w:r>
        <w:rPr>
          <w:rFonts w:hint="eastAsia" w:hAnsi="仿宋"/>
          <w:b/>
          <w:bCs/>
          <w:sz w:val="32"/>
          <w:szCs w:val="32"/>
          <w:highlight w:val="none"/>
        </w:rPr>
        <w:t>7.农林水支出（类）：</w:t>
      </w:r>
      <w:r>
        <w:rPr>
          <w:rFonts w:hint="eastAsia" w:hAnsi="仿宋"/>
          <w:b w:val="0"/>
          <w:bCs w:val="0"/>
          <w:sz w:val="32"/>
          <w:szCs w:val="32"/>
          <w:highlight w:val="none"/>
        </w:rPr>
        <w:t>农业农村（款）事业运行（项）</w:t>
      </w:r>
      <w:r>
        <w:rPr>
          <w:rFonts w:hint="eastAsia" w:hAnsi="仿宋"/>
          <w:sz w:val="32"/>
          <w:szCs w:val="32"/>
          <w:highlight w:val="none"/>
        </w:rPr>
        <w:t>202</w:t>
      </w:r>
      <w:r>
        <w:rPr>
          <w:rFonts w:hint="eastAsia" w:hAnsi="仿宋"/>
          <w:sz w:val="32"/>
          <w:szCs w:val="32"/>
          <w:highlight w:val="none"/>
          <w:lang w:val="en-US" w:eastAsia="zh-CN"/>
        </w:rPr>
        <w:t>2</w:t>
      </w:r>
      <w:r>
        <w:rPr>
          <w:rFonts w:hint="eastAsia" w:hAnsi="仿宋"/>
          <w:sz w:val="32"/>
          <w:szCs w:val="32"/>
          <w:highlight w:val="none"/>
        </w:rPr>
        <w:t>年支出决算为</w:t>
      </w:r>
      <w:r>
        <w:rPr>
          <w:rFonts w:hint="eastAsia" w:hAnsi="仿宋"/>
          <w:sz w:val="32"/>
          <w:szCs w:val="32"/>
          <w:highlight w:val="none"/>
          <w:lang w:val="en-US" w:eastAsia="zh-CN"/>
        </w:rPr>
        <w:t>170.98</w:t>
      </w:r>
      <w:r>
        <w:rPr>
          <w:rFonts w:hint="eastAsia" w:hAnsi="仿宋"/>
          <w:sz w:val="32"/>
          <w:szCs w:val="32"/>
          <w:highlight w:val="none"/>
        </w:rPr>
        <w:t>万元，完成预算100%；</w:t>
      </w:r>
      <w:r>
        <w:rPr>
          <w:rFonts w:hint="eastAsia" w:hAnsi="仿宋"/>
          <w:sz w:val="32"/>
          <w:szCs w:val="32"/>
          <w:highlight w:val="none"/>
          <w:lang w:val="en-US" w:eastAsia="zh-CN"/>
        </w:rPr>
        <w:t>农业农村（款）防灾减灾</w:t>
      </w:r>
      <w:r>
        <w:rPr>
          <w:rFonts w:hint="eastAsia" w:hAnsi="仿宋"/>
          <w:sz w:val="32"/>
          <w:szCs w:val="32"/>
          <w:highlight w:val="none"/>
        </w:rPr>
        <w:t>（项）202</w:t>
      </w:r>
      <w:r>
        <w:rPr>
          <w:rFonts w:hint="eastAsia" w:hAnsi="仿宋"/>
          <w:sz w:val="32"/>
          <w:szCs w:val="32"/>
          <w:highlight w:val="none"/>
          <w:lang w:val="en-US" w:eastAsia="zh-CN"/>
        </w:rPr>
        <w:t>2</w:t>
      </w:r>
      <w:r>
        <w:rPr>
          <w:rFonts w:hint="eastAsia" w:hAnsi="仿宋"/>
          <w:sz w:val="32"/>
          <w:szCs w:val="32"/>
          <w:highlight w:val="none"/>
        </w:rPr>
        <w:t>年支出决算为</w:t>
      </w:r>
      <w:r>
        <w:rPr>
          <w:rFonts w:hint="eastAsia" w:hAnsi="仿宋"/>
          <w:sz w:val="32"/>
          <w:szCs w:val="32"/>
          <w:highlight w:val="none"/>
          <w:lang w:val="en-US" w:eastAsia="zh-CN"/>
        </w:rPr>
        <w:t>14</w:t>
      </w:r>
      <w:r>
        <w:rPr>
          <w:rFonts w:hint="eastAsia" w:hAnsi="仿宋"/>
          <w:sz w:val="32"/>
          <w:szCs w:val="32"/>
          <w:highlight w:val="none"/>
        </w:rPr>
        <w:t>万元，完成预算100%</w:t>
      </w:r>
      <w:r>
        <w:rPr>
          <w:rFonts w:hint="eastAsia" w:hAnsi="仿宋"/>
          <w:sz w:val="32"/>
          <w:szCs w:val="32"/>
          <w:highlight w:val="none"/>
          <w:lang w:eastAsia="zh-CN"/>
        </w:rPr>
        <w:t>；</w:t>
      </w:r>
      <w:r>
        <w:rPr>
          <w:rFonts w:hint="eastAsia" w:hAnsi="仿宋"/>
          <w:sz w:val="32"/>
          <w:szCs w:val="32"/>
          <w:highlight w:val="none"/>
        </w:rPr>
        <w:t>其他农业农村支出（项）</w:t>
      </w:r>
      <w:r>
        <w:rPr>
          <w:rFonts w:hint="eastAsia" w:hAnsi="仿宋"/>
          <w:sz w:val="32"/>
          <w:szCs w:val="32"/>
          <w:highlight w:val="none"/>
          <w:lang w:val="en-US" w:eastAsia="zh-CN"/>
        </w:rPr>
        <w:t>2022</w:t>
      </w:r>
      <w:r>
        <w:rPr>
          <w:rFonts w:hint="eastAsia" w:hAnsi="仿宋"/>
          <w:sz w:val="32"/>
          <w:szCs w:val="32"/>
          <w:highlight w:val="none"/>
        </w:rPr>
        <w:t>支出决算为</w:t>
      </w:r>
      <w:r>
        <w:rPr>
          <w:rFonts w:hint="eastAsia" w:hAnsi="仿宋"/>
          <w:sz w:val="32"/>
          <w:szCs w:val="32"/>
          <w:highlight w:val="none"/>
          <w:lang w:val="en-US" w:eastAsia="zh-CN"/>
        </w:rPr>
        <w:t>3.91</w:t>
      </w:r>
      <w:r>
        <w:rPr>
          <w:rFonts w:hint="eastAsia" w:hAnsi="仿宋"/>
          <w:sz w:val="32"/>
          <w:szCs w:val="32"/>
          <w:highlight w:val="none"/>
        </w:rPr>
        <w:t>万元，完成预算100%；林业和草原（款）林业草原防灾减灾（项）2021年支出决算为</w:t>
      </w:r>
      <w:r>
        <w:rPr>
          <w:rFonts w:hint="eastAsia" w:hAnsi="仿宋"/>
          <w:sz w:val="32"/>
          <w:szCs w:val="32"/>
          <w:highlight w:val="none"/>
          <w:lang w:val="en-US" w:eastAsia="zh-CN"/>
        </w:rPr>
        <w:t>1.27</w:t>
      </w:r>
      <w:r>
        <w:rPr>
          <w:rFonts w:hint="eastAsia" w:hAnsi="仿宋"/>
          <w:sz w:val="32"/>
          <w:szCs w:val="32"/>
          <w:highlight w:val="none"/>
        </w:rPr>
        <w:t>万元，完成预算100%；</w:t>
      </w:r>
      <w:r>
        <w:rPr>
          <w:rFonts w:hint="eastAsia" w:hAnsi="仿宋"/>
          <w:sz w:val="32"/>
          <w:szCs w:val="32"/>
          <w:highlight w:val="none"/>
          <w:lang w:val="en-US" w:eastAsia="zh-CN"/>
        </w:rPr>
        <w:t>水利</w:t>
      </w:r>
      <w:r>
        <w:rPr>
          <w:rFonts w:hint="eastAsia" w:hAnsi="仿宋"/>
          <w:sz w:val="32"/>
          <w:szCs w:val="32"/>
          <w:highlight w:val="none"/>
        </w:rPr>
        <w:t>（款）</w:t>
      </w:r>
      <w:r>
        <w:rPr>
          <w:rFonts w:hint="eastAsia" w:hAnsi="仿宋"/>
          <w:sz w:val="32"/>
          <w:szCs w:val="32"/>
          <w:highlight w:val="none"/>
          <w:lang w:val="en-US" w:eastAsia="zh-CN"/>
        </w:rPr>
        <w:t>抗旱</w:t>
      </w:r>
      <w:r>
        <w:rPr>
          <w:rFonts w:hint="eastAsia" w:hAnsi="仿宋"/>
          <w:sz w:val="32"/>
          <w:szCs w:val="32"/>
          <w:highlight w:val="none"/>
        </w:rPr>
        <w:t>（项）</w:t>
      </w:r>
      <w:r>
        <w:rPr>
          <w:rFonts w:hint="eastAsia" w:hAnsi="仿宋"/>
          <w:sz w:val="32"/>
          <w:szCs w:val="32"/>
          <w:highlight w:val="none"/>
          <w:lang w:val="en-US" w:eastAsia="zh-CN"/>
        </w:rPr>
        <w:t>2022</w:t>
      </w:r>
      <w:r>
        <w:rPr>
          <w:rFonts w:hint="eastAsia" w:hAnsi="仿宋"/>
          <w:sz w:val="32"/>
          <w:szCs w:val="32"/>
          <w:highlight w:val="none"/>
        </w:rPr>
        <w:t>支出决算为</w:t>
      </w:r>
      <w:r>
        <w:rPr>
          <w:rFonts w:hint="eastAsia" w:hAnsi="仿宋"/>
          <w:sz w:val="32"/>
          <w:szCs w:val="32"/>
          <w:highlight w:val="none"/>
          <w:lang w:val="en-US" w:eastAsia="zh-CN"/>
        </w:rPr>
        <w:t>1.89</w:t>
      </w:r>
      <w:r>
        <w:rPr>
          <w:rFonts w:hint="eastAsia" w:hAnsi="仿宋"/>
          <w:sz w:val="32"/>
          <w:szCs w:val="32"/>
          <w:highlight w:val="none"/>
        </w:rPr>
        <w:t>万元，完成预算100%；</w:t>
      </w:r>
      <w:r>
        <w:rPr>
          <w:rFonts w:hint="eastAsia" w:hAnsi="仿宋"/>
          <w:sz w:val="32"/>
          <w:szCs w:val="32"/>
          <w:highlight w:val="none"/>
          <w:lang w:val="en-US" w:eastAsia="zh-CN"/>
        </w:rPr>
        <w:t>巩固拓展脱贫攻坚成果同乡村振兴有效衔接</w:t>
      </w:r>
      <w:r>
        <w:rPr>
          <w:rFonts w:hint="eastAsia" w:hAnsi="仿宋"/>
          <w:sz w:val="32"/>
          <w:szCs w:val="32"/>
          <w:highlight w:val="none"/>
        </w:rPr>
        <w:t>（款）</w:t>
      </w:r>
      <w:r>
        <w:rPr>
          <w:rFonts w:hint="eastAsia" w:hAnsi="仿宋"/>
          <w:sz w:val="32"/>
          <w:szCs w:val="32"/>
          <w:highlight w:val="none"/>
          <w:lang w:val="en-US" w:eastAsia="zh-CN"/>
        </w:rPr>
        <w:t>生产发展</w:t>
      </w:r>
      <w:r>
        <w:rPr>
          <w:rFonts w:hint="eastAsia" w:hAnsi="仿宋"/>
          <w:sz w:val="32"/>
          <w:szCs w:val="32"/>
          <w:highlight w:val="none"/>
        </w:rPr>
        <w:t>（项）</w:t>
      </w:r>
      <w:r>
        <w:rPr>
          <w:rFonts w:hint="eastAsia" w:hAnsi="仿宋"/>
          <w:sz w:val="32"/>
          <w:szCs w:val="32"/>
          <w:highlight w:val="none"/>
          <w:lang w:val="en-US" w:eastAsia="zh-CN"/>
        </w:rPr>
        <w:t>2022</w:t>
      </w:r>
      <w:r>
        <w:rPr>
          <w:rFonts w:hint="eastAsia" w:hAnsi="仿宋"/>
          <w:sz w:val="32"/>
          <w:szCs w:val="32"/>
          <w:highlight w:val="none"/>
        </w:rPr>
        <w:t>支出决算为</w:t>
      </w:r>
      <w:r>
        <w:rPr>
          <w:rFonts w:hint="eastAsia" w:hAnsi="仿宋"/>
          <w:sz w:val="32"/>
          <w:szCs w:val="32"/>
          <w:highlight w:val="none"/>
          <w:lang w:val="en-US" w:eastAsia="zh-CN"/>
        </w:rPr>
        <w:t>12.25</w:t>
      </w:r>
      <w:r>
        <w:rPr>
          <w:rFonts w:hint="eastAsia" w:hAnsi="仿宋"/>
          <w:sz w:val="32"/>
          <w:szCs w:val="32"/>
          <w:highlight w:val="none"/>
        </w:rPr>
        <w:t>万元，完成预算100%；</w:t>
      </w:r>
      <w:r>
        <w:rPr>
          <w:rFonts w:hint="eastAsia" w:hAnsi="仿宋"/>
          <w:sz w:val="32"/>
          <w:szCs w:val="32"/>
          <w:highlight w:val="none"/>
          <w:lang w:val="en-US" w:eastAsia="zh-CN"/>
        </w:rPr>
        <w:t>巩固拓展脱贫攻坚成果同乡村振兴有效衔接（款）其他巩固拓展脱贫攻坚成果同乡村振兴有效衔接支出</w:t>
      </w:r>
      <w:r>
        <w:rPr>
          <w:rFonts w:hint="eastAsia" w:hAnsi="仿宋"/>
          <w:sz w:val="32"/>
          <w:szCs w:val="32"/>
          <w:highlight w:val="none"/>
        </w:rPr>
        <w:t>（项）</w:t>
      </w:r>
      <w:r>
        <w:rPr>
          <w:rFonts w:hint="eastAsia" w:hAnsi="仿宋"/>
          <w:sz w:val="32"/>
          <w:szCs w:val="32"/>
          <w:highlight w:val="none"/>
          <w:lang w:val="en-US" w:eastAsia="zh-CN"/>
        </w:rPr>
        <w:t>2022</w:t>
      </w:r>
      <w:r>
        <w:rPr>
          <w:rFonts w:hint="eastAsia" w:hAnsi="仿宋"/>
          <w:sz w:val="32"/>
          <w:szCs w:val="32"/>
          <w:highlight w:val="none"/>
        </w:rPr>
        <w:t>支出决算为</w:t>
      </w:r>
      <w:r>
        <w:rPr>
          <w:rFonts w:hint="eastAsia" w:hAnsi="仿宋"/>
          <w:sz w:val="32"/>
          <w:szCs w:val="32"/>
          <w:highlight w:val="none"/>
          <w:lang w:val="en-US" w:eastAsia="zh-CN"/>
        </w:rPr>
        <w:t>11.51</w:t>
      </w:r>
      <w:r>
        <w:rPr>
          <w:rFonts w:hint="eastAsia" w:hAnsi="仿宋"/>
          <w:sz w:val="32"/>
          <w:szCs w:val="32"/>
          <w:highlight w:val="none"/>
        </w:rPr>
        <w:t>万元，完成预算100%；</w:t>
      </w:r>
      <w:r>
        <w:rPr>
          <w:rFonts w:hint="eastAsia" w:hAnsi="仿宋"/>
          <w:sz w:val="32"/>
          <w:szCs w:val="32"/>
          <w:highlight w:val="none"/>
          <w:lang w:val="en-US" w:eastAsia="zh-CN"/>
        </w:rPr>
        <w:t>农村综合改革</w:t>
      </w:r>
      <w:r>
        <w:rPr>
          <w:rFonts w:hint="eastAsia" w:hAnsi="仿宋"/>
          <w:sz w:val="32"/>
          <w:szCs w:val="32"/>
          <w:highlight w:val="none"/>
        </w:rPr>
        <w:t>（款）</w:t>
      </w:r>
      <w:r>
        <w:rPr>
          <w:rFonts w:hint="eastAsia" w:hAnsi="仿宋"/>
          <w:sz w:val="32"/>
          <w:szCs w:val="32"/>
          <w:highlight w:val="none"/>
          <w:lang w:val="en-US" w:eastAsia="zh-CN"/>
        </w:rPr>
        <w:t>对村民委员会和村党支部的补助</w:t>
      </w:r>
      <w:r>
        <w:rPr>
          <w:rFonts w:hint="eastAsia" w:hAnsi="仿宋"/>
          <w:sz w:val="32"/>
          <w:szCs w:val="32"/>
          <w:highlight w:val="none"/>
        </w:rPr>
        <w:t>（项）</w:t>
      </w:r>
      <w:r>
        <w:rPr>
          <w:rFonts w:hint="eastAsia" w:hAnsi="仿宋"/>
          <w:sz w:val="32"/>
          <w:szCs w:val="32"/>
          <w:highlight w:val="none"/>
          <w:lang w:val="en-US" w:eastAsia="zh-CN"/>
        </w:rPr>
        <w:t>2022</w:t>
      </w:r>
      <w:r>
        <w:rPr>
          <w:rFonts w:hint="eastAsia" w:hAnsi="仿宋"/>
          <w:sz w:val="32"/>
          <w:szCs w:val="32"/>
          <w:highlight w:val="none"/>
        </w:rPr>
        <w:t>支出决算</w:t>
      </w:r>
      <w:r>
        <w:rPr>
          <w:rFonts w:hint="eastAsia" w:hAnsi="仿宋"/>
          <w:sz w:val="32"/>
          <w:szCs w:val="32"/>
          <w:highlight w:val="none"/>
          <w:lang w:val="en-US" w:eastAsia="zh-CN"/>
        </w:rPr>
        <w:t>116.47</w:t>
      </w:r>
      <w:r>
        <w:rPr>
          <w:rFonts w:hint="eastAsia" w:hAnsi="仿宋"/>
          <w:sz w:val="32"/>
          <w:szCs w:val="32"/>
          <w:highlight w:val="none"/>
        </w:rPr>
        <w:t>万元，完成预算100%；</w:t>
      </w:r>
      <w:r>
        <w:rPr>
          <w:rFonts w:hint="eastAsia" w:hAnsi="仿宋"/>
          <w:sz w:val="32"/>
          <w:szCs w:val="32"/>
          <w:highlight w:val="none"/>
          <w:lang w:val="en-US" w:eastAsia="zh-CN"/>
        </w:rPr>
        <w:t>农村综合改革</w:t>
      </w:r>
      <w:r>
        <w:rPr>
          <w:rFonts w:hint="eastAsia" w:hAnsi="仿宋"/>
          <w:sz w:val="32"/>
          <w:szCs w:val="32"/>
          <w:highlight w:val="none"/>
        </w:rPr>
        <w:t>（款）</w:t>
      </w:r>
      <w:r>
        <w:rPr>
          <w:rFonts w:hint="eastAsia" w:hAnsi="仿宋"/>
          <w:sz w:val="32"/>
          <w:szCs w:val="32"/>
          <w:highlight w:val="none"/>
          <w:lang w:val="en-US" w:eastAsia="zh-CN"/>
        </w:rPr>
        <w:t>其他农村综合改革支出</w:t>
      </w:r>
      <w:r>
        <w:rPr>
          <w:rFonts w:hint="eastAsia" w:hAnsi="仿宋"/>
          <w:sz w:val="32"/>
          <w:szCs w:val="32"/>
          <w:highlight w:val="none"/>
        </w:rPr>
        <w:t>（项）</w:t>
      </w:r>
      <w:r>
        <w:rPr>
          <w:rFonts w:hint="eastAsia" w:hAnsi="仿宋"/>
          <w:sz w:val="32"/>
          <w:szCs w:val="32"/>
          <w:highlight w:val="none"/>
          <w:lang w:val="en-US" w:eastAsia="zh-CN"/>
        </w:rPr>
        <w:t>2022</w:t>
      </w:r>
      <w:r>
        <w:rPr>
          <w:rFonts w:hint="eastAsia" w:hAnsi="仿宋"/>
          <w:sz w:val="32"/>
          <w:szCs w:val="32"/>
          <w:highlight w:val="none"/>
        </w:rPr>
        <w:t>支出决算</w:t>
      </w:r>
      <w:r>
        <w:rPr>
          <w:rFonts w:hint="eastAsia" w:hAnsi="仿宋"/>
          <w:sz w:val="32"/>
          <w:szCs w:val="32"/>
          <w:highlight w:val="none"/>
          <w:lang w:val="en-US" w:eastAsia="zh-CN"/>
        </w:rPr>
        <w:t>20</w:t>
      </w:r>
      <w:r>
        <w:rPr>
          <w:rFonts w:hint="eastAsia" w:hAnsi="仿宋"/>
          <w:sz w:val="32"/>
          <w:szCs w:val="32"/>
          <w:highlight w:val="none"/>
        </w:rPr>
        <w:t>万元，完成预算100%；</w:t>
      </w:r>
    </w:p>
    <w:p>
      <w:pPr>
        <w:pStyle w:val="29"/>
        <w:ind w:firstLine="643" w:firstLineChars="200"/>
        <w:rPr>
          <w:rFonts w:hint="eastAsia"/>
          <w:sz w:val="32"/>
          <w:szCs w:val="32"/>
          <w:highlight w:val="none"/>
        </w:rPr>
      </w:pPr>
      <w:r>
        <w:rPr>
          <w:rFonts w:hint="eastAsia" w:hAnsi="仿宋"/>
          <w:b/>
          <w:bCs/>
          <w:sz w:val="32"/>
          <w:szCs w:val="32"/>
          <w:highlight w:val="none"/>
          <w:lang w:val="en-US" w:eastAsia="zh-CN"/>
        </w:rPr>
        <w:t>8</w:t>
      </w:r>
      <w:r>
        <w:rPr>
          <w:rFonts w:hint="eastAsia" w:hAnsi="仿宋"/>
          <w:b/>
          <w:bCs/>
          <w:sz w:val="32"/>
          <w:szCs w:val="32"/>
          <w:highlight w:val="none"/>
        </w:rPr>
        <w:t>.住房保障支出（类）：</w:t>
      </w:r>
      <w:r>
        <w:rPr>
          <w:rFonts w:hint="eastAsia" w:hAnsi="仿宋"/>
          <w:sz w:val="32"/>
          <w:szCs w:val="32"/>
          <w:highlight w:val="none"/>
        </w:rPr>
        <w:t>住房改革支出（款）住房公积金（项）202</w:t>
      </w:r>
      <w:r>
        <w:rPr>
          <w:rFonts w:hint="eastAsia" w:hAnsi="仿宋"/>
          <w:sz w:val="32"/>
          <w:szCs w:val="32"/>
          <w:highlight w:val="none"/>
          <w:lang w:val="en-US" w:eastAsia="zh-CN"/>
        </w:rPr>
        <w:t>2</w:t>
      </w:r>
      <w:r>
        <w:rPr>
          <w:rFonts w:hint="eastAsia" w:hAnsi="仿宋"/>
          <w:sz w:val="32"/>
          <w:szCs w:val="32"/>
          <w:highlight w:val="none"/>
        </w:rPr>
        <w:t>年支出决算为</w:t>
      </w:r>
      <w:r>
        <w:rPr>
          <w:rFonts w:hint="eastAsia" w:hAnsi="仿宋"/>
          <w:sz w:val="32"/>
          <w:szCs w:val="32"/>
          <w:highlight w:val="none"/>
          <w:lang w:val="en-US" w:eastAsia="zh-CN"/>
        </w:rPr>
        <w:t>48.44</w:t>
      </w:r>
      <w:r>
        <w:rPr>
          <w:rFonts w:hint="eastAsia" w:hAnsi="仿宋"/>
          <w:sz w:val="32"/>
          <w:szCs w:val="32"/>
          <w:highlight w:val="none"/>
        </w:rPr>
        <w:t>万元，完成预算100%。</w:t>
      </w:r>
    </w:p>
    <w:p>
      <w:pPr>
        <w:pStyle w:val="14"/>
        <w:adjustRightInd w:val="0"/>
        <w:snapToGrid w:val="0"/>
        <w:spacing w:line="440" w:lineRule="exact"/>
        <w:jc w:val="left"/>
        <w:rPr>
          <w:rStyle w:val="32"/>
          <w:rFonts w:hint="eastAsia" w:ascii="黑体" w:hAnsi="黑体" w:eastAsia="黑体"/>
          <w:b w:val="0"/>
          <w:highlight w:val="none"/>
          <w:lang w:val="en-US" w:eastAsia="zh-CN" w:bidi="ar-SA"/>
        </w:rPr>
      </w:pPr>
      <w:r>
        <w:rPr>
          <w:rStyle w:val="32"/>
          <w:rFonts w:hint="eastAsia" w:ascii="黑体" w:hAnsi="黑体" w:eastAsia="黑体"/>
          <w:b w:val="0"/>
          <w:highlight w:val="none"/>
          <w:lang w:val="en-US" w:eastAsia="zh-CN" w:bidi="ar-SA"/>
        </w:rPr>
        <w:t>六、一般公共预算财政拨款基本支出决算情况说明</w:t>
      </w:r>
    </w:p>
    <w:p>
      <w:pPr>
        <w:spacing w:line="600" w:lineRule="exact"/>
        <w:ind w:firstLine="645"/>
        <w:rPr>
          <w:rFonts w:ascii="仿宋" w:hAnsi="仿宋" w:eastAsia="仿宋"/>
          <w:sz w:val="32"/>
          <w:szCs w:val="32"/>
          <w:highlight w:val="none"/>
        </w:rPr>
      </w:pPr>
      <w:r>
        <w:rPr>
          <w:rFonts w:ascii="仿宋" w:hAnsi="仿宋" w:eastAsia="仿宋"/>
          <w:sz w:val="32"/>
          <w:szCs w:val="32"/>
          <w:highlight w:val="none"/>
        </w:rPr>
        <w:t>20</w:t>
      </w:r>
      <w:r>
        <w:rPr>
          <w:rFonts w:hint="eastAsia" w:ascii="仿宋" w:hAnsi="仿宋" w:eastAsia="仿宋"/>
          <w:sz w:val="32"/>
          <w:szCs w:val="32"/>
          <w:highlight w:val="none"/>
        </w:rPr>
        <w:t>2</w:t>
      </w:r>
      <w:r>
        <w:rPr>
          <w:rFonts w:hint="eastAsia" w:ascii="仿宋" w:hAnsi="仿宋" w:eastAsia="仿宋"/>
          <w:sz w:val="32"/>
          <w:szCs w:val="32"/>
          <w:highlight w:val="none"/>
          <w:lang w:val="en-US" w:eastAsia="zh-CN"/>
        </w:rPr>
        <w:t>2</w:t>
      </w:r>
      <w:r>
        <w:rPr>
          <w:rFonts w:hint="eastAsia" w:ascii="仿宋" w:hAnsi="仿宋" w:eastAsia="仿宋"/>
          <w:sz w:val="32"/>
          <w:szCs w:val="32"/>
          <w:highlight w:val="none"/>
        </w:rPr>
        <w:t>年一般公共预算财政拨款基本支出</w:t>
      </w:r>
      <w:r>
        <w:rPr>
          <w:rFonts w:hint="eastAsia" w:ascii="仿宋" w:hAnsi="仿宋" w:eastAsia="仿宋"/>
          <w:sz w:val="32"/>
          <w:szCs w:val="32"/>
          <w:highlight w:val="none"/>
          <w:lang w:val="en-US" w:eastAsia="zh-CN"/>
        </w:rPr>
        <w:t>879.72</w:t>
      </w:r>
      <w:r>
        <w:rPr>
          <w:rFonts w:hint="eastAsia" w:ascii="仿宋" w:hAnsi="仿宋" w:eastAsia="仿宋"/>
          <w:sz w:val="32"/>
          <w:szCs w:val="32"/>
          <w:highlight w:val="none"/>
        </w:rPr>
        <w:t>万元，其中：</w:t>
      </w:r>
    </w:p>
    <w:p>
      <w:pPr>
        <w:spacing w:line="600" w:lineRule="exact"/>
        <w:ind w:firstLine="645"/>
        <w:rPr>
          <w:rFonts w:hint="eastAsia" w:ascii="仿宋" w:hAnsi="仿宋" w:eastAsia="仿宋"/>
          <w:sz w:val="32"/>
          <w:szCs w:val="32"/>
          <w:highlight w:val="none"/>
        </w:rPr>
      </w:pPr>
      <w:r>
        <w:rPr>
          <w:rFonts w:hint="eastAsia" w:ascii="仿宋" w:hAnsi="仿宋" w:eastAsia="仿宋"/>
          <w:sz w:val="32"/>
          <w:szCs w:val="32"/>
          <w:highlight w:val="none"/>
        </w:rPr>
        <w:t>人员经费</w:t>
      </w:r>
      <w:r>
        <w:rPr>
          <w:rFonts w:hint="eastAsia" w:ascii="仿宋" w:hAnsi="仿宋" w:eastAsia="仿宋"/>
          <w:sz w:val="32"/>
          <w:szCs w:val="32"/>
          <w:highlight w:val="none"/>
          <w:lang w:val="en-US" w:eastAsia="zh-CN"/>
        </w:rPr>
        <w:t>793.73</w:t>
      </w:r>
      <w:r>
        <w:rPr>
          <w:rFonts w:hint="eastAsia" w:ascii="仿宋" w:hAnsi="仿宋" w:eastAsia="仿宋"/>
          <w:sz w:val="32"/>
          <w:szCs w:val="32"/>
          <w:highlight w:val="none"/>
        </w:rPr>
        <w:t>万元，主要包括：基本工资、津贴补贴、奖金、伙食补助费、绩效工资、机关事业单位基本养老保险缴费、职业年金缴费、其他社会保障缴费、其他工资福利支出、离休费、退休费、抚恤金、生活补助、医疗费补助、奖励金、住房公积金、其他对个人和家庭的补助支出等。</w:t>
      </w:r>
    </w:p>
    <w:p>
      <w:pPr>
        <w:spacing w:line="600" w:lineRule="exact"/>
        <w:ind w:firstLine="640" w:firstLineChars="200"/>
        <w:rPr>
          <w:rFonts w:hint="eastAsia"/>
          <w:sz w:val="32"/>
          <w:szCs w:val="32"/>
          <w:highlight w:val="none"/>
        </w:rPr>
      </w:pPr>
      <w:r>
        <w:rPr>
          <w:rFonts w:hint="eastAsia" w:ascii="仿宋" w:hAnsi="仿宋" w:eastAsia="仿宋"/>
          <w:sz w:val="32"/>
          <w:szCs w:val="32"/>
          <w:highlight w:val="none"/>
        </w:rPr>
        <w:t>公用经费</w:t>
      </w:r>
      <w:r>
        <w:rPr>
          <w:rFonts w:hint="eastAsia" w:ascii="仿宋" w:hAnsi="仿宋" w:eastAsia="仿宋"/>
          <w:sz w:val="32"/>
          <w:szCs w:val="32"/>
          <w:highlight w:val="none"/>
          <w:lang w:val="en-US" w:eastAsia="zh-CN"/>
        </w:rPr>
        <w:t>85.99</w:t>
      </w:r>
      <w:r>
        <w:rPr>
          <w:rFonts w:hint="eastAsia" w:ascii="仿宋" w:hAnsi="仿宋" w:eastAsia="仿宋"/>
          <w:sz w:val="32"/>
          <w:szCs w:val="32"/>
          <w:highlight w:val="none"/>
        </w:rPr>
        <w:t>万元，主要包括：办公费、印刷费、咨询费、手续费、水费、电费、邮电费、取暖费、物业管理费、差旅费、因公出国（境）费用、维修（护）费、租赁费、会议费、培训费、公务接待费、劳务费、委托业务费、工会经费、福利费、公务用车运行维护费、其他交通费、税金及附加费用、其他商品和服务支出、办公设备购置、专用设备购置、信息网络及软件购置更新、其他资本性支出等。</w:t>
      </w:r>
    </w:p>
    <w:p>
      <w:pPr>
        <w:spacing w:line="600" w:lineRule="exact"/>
        <w:ind w:firstLine="640"/>
        <w:outlineLvl w:val="1"/>
        <w:rPr>
          <w:rFonts w:hint="eastAsia" w:ascii="黑体" w:eastAsia="黑体"/>
          <w:sz w:val="32"/>
          <w:szCs w:val="32"/>
          <w:highlight w:val="none"/>
        </w:rPr>
      </w:pPr>
      <w:r>
        <w:rPr>
          <w:rFonts w:hint="eastAsia" w:ascii="黑体" w:eastAsia="黑体"/>
          <w:sz w:val="32"/>
          <w:szCs w:val="32"/>
          <w:highlight w:val="none"/>
        </w:rPr>
        <w:t>七、财政拨款“三公”经费支出决算情况说明</w:t>
      </w:r>
    </w:p>
    <w:p>
      <w:pPr>
        <w:spacing w:line="600" w:lineRule="exact"/>
        <w:ind w:firstLine="640"/>
        <w:outlineLvl w:val="2"/>
        <w:rPr>
          <w:rFonts w:ascii="仿宋" w:hAnsi="仿宋" w:eastAsia="仿宋"/>
          <w:b/>
          <w:sz w:val="32"/>
          <w:szCs w:val="32"/>
          <w:highlight w:val="none"/>
        </w:rPr>
      </w:pPr>
      <w:r>
        <w:rPr>
          <w:rFonts w:hint="eastAsia" w:ascii="仿宋" w:hAnsi="仿宋" w:eastAsia="仿宋"/>
          <w:b/>
          <w:sz w:val="32"/>
          <w:szCs w:val="32"/>
          <w:highlight w:val="none"/>
        </w:rPr>
        <w:t>（一）“三公”经费财政拨款支出决算总体情况说明</w:t>
      </w:r>
    </w:p>
    <w:p>
      <w:pPr>
        <w:spacing w:line="600" w:lineRule="exact"/>
        <w:ind w:firstLine="640"/>
        <w:rPr>
          <w:rFonts w:ascii="仿宋" w:hAnsi="仿宋" w:eastAsia="仿宋"/>
          <w:sz w:val="32"/>
          <w:szCs w:val="32"/>
          <w:highlight w:val="none"/>
        </w:rPr>
      </w:pPr>
      <w:r>
        <w:rPr>
          <w:rFonts w:ascii="仿宋" w:hAnsi="仿宋" w:eastAsia="仿宋"/>
          <w:sz w:val="32"/>
          <w:szCs w:val="32"/>
          <w:highlight w:val="none"/>
        </w:rPr>
        <w:t>20</w:t>
      </w:r>
      <w:r>
        <w:rPr>
          <w:rFonts w:hint="eastAsia" w:ascii="仿宋" w:hAnsi="仿宋" w:eastAsia="仿宋"/>
          <w:sz w:val="32"/>
          <w:szCs w:val="32"/>
          <w:highlight w:val="none"/>
        </w:rPr>
        <w:t>2</w:t>
      </w:r>
      <w:r>
        <w:rPr>
          <w:rFonts w:hint="eastAsia" w:ascii="仿宋" w:hAnsi="仿宋" w:eastAsia="仿宋"/>
          <w:sz w:val="32"/>
          <w:szCs w:val="32"/>
          <w:highlight w:val="none"/>
          <w:lang w:val="en-US" w:eastAsia="zh-CN"/>
        </w:rPr>
        <w:t>2</w:t>
      </w:r>
      <w:r>
        <w:rPr>
          <w:rFonts w:hint="eastAsia" w:ascii="仿宋" w:hAnsi="仿宋" w:eastAsia="仿宋"/>
          <w:sz w:val="32"/>
          <w:szCs w:val="32"/>
          <w:highlight w:val="none"/>
        </w:rPr>
        <w:t>年“三公”经费财政拨款支出决算为</w:t>
      </w:r>
      <w:r>
        <w:rPr>
          <w:rFonts w:hint="eastAsia" w:ascii="仿宋" w:hAnsi="仿宋" w:eastAsia="仿宋"/>
          <w:sz w:val="32"/>
          <w:szCs w:val="32"/>
          <w:highlight w:val="none"/>
          <w:lang w:val="en-US" w:eastAsia="zh-CN"/>
        </w:rPr>
        <w:t>3.6</w:t>
      </w:r>
      <w:r>
        <w:rPr>
          <w:rFonts w:hint="eastAsia" w:ascii="仿宋" w:hAnsi="仿宋" w:eastAsia="仿宋"/>
          <w:sz w:val="32"/>
          <w:szCs w:val="32"/>
          <w:highlight w:val="none"/>
        </w:rPr>
        <w:t>万元，完成预算100</w:t>
      </w:r>
      <w:r>
        <w:rPr>
          <w:rFonts w:ascii="仿宋" w:hAnsi="仿宋" w:eastAsia="仿宋"/>
          <w:sz w:val="32"/>
          <w:szCs w:val="32"/>
          <w:highlight w:val="none"/>
        </w:rPr>
        <w:t>%</w:t>
      </w:r>
      <w:r>
        <w:rPr>
          <w:rFonts w:hint="eastAsia" w:ascii="仿宋" w:hAnsi="仿宋" w:eastAsia="仿宋"/>
          <w:sz w:val="32"/>
          <w:szCs w:val="32"/>
          <w:highlight w:val="none"/>
        </w:rPr>
        <w:t>。</w:t>
      </w:r>
    </w:p>
    <w:p>
      <w:pPr>
        <w:spacing w:line="600" w:lineRule="exact"/>
        <w:ind w:firstLine="640"/>
        <w:outlineLvl w:val="2"/>
        <w:rPr>
          <w:rFonts w:ascii="仿宋" w:hAnsi="仿宋" w:eastAsia="仿宋"/>
          <w:b/>
          <w:sz w:val="32"/>
          <w:szCs w:val="32"/>
          <w:highlight w:val="none"/>
        </w:rPr>
      </w:pPr>
      <w:r>
        <w:rPr>
          <w:rFonts w:hint="eastAsia" w:ascii="仿宋" w:hAnsi="仿宋" w:eastAsia="仿宋"/>
          <w:b/>
          <w:sz w:val="32"/>
          <w:szCs w:val="32"/>
          <w:highlight w:val="none"/>
        </w:rPr>
        <w:t>（二）“三公”经费财政拨款支出决算具体情况说明</w:t>
      </w:r>
    </w:p>
    <w:p>
      <w:pPr>
        <w:spacing w:line="600" w:lineRule="exact"/>
        <w:ind w:firstLine="640"/>
        <w:rPr>
          <w:rFonts w:hint="eastAsia" w:ascii="仿宋" w:hAnsi="仿宋" w:eastAsia="仿宋"/>
          <w:sz w:val="32"/>
          <w:szCs w:val="32"/>
          <w:highlight w:val="none"/>
        </w:rPr>
      </w:pPr>
      <w:r>
        <w:rPr>
          <w:rFonts w:ascii="仿宋" w:hAnsi="仿宋" w:eastAsia="仿宋"/>
          <w:sz w:val="32"/>
          <w:szCs w:val="32"/>
          <w:highlight w:val="none"/>
        </w:rPr>
        <w:t>20</w:t>
      </w:r>
      <w:r>
        <w:rPr>
          <w:rFonts w:hint="eastAsia" w:ascii="仿宋" w:hAnsi="仿宋" w:eastAsia="仿宋"/>
          <w:sz w:val="32"/>
          <w:szCs w:val="32"/>
          <w:highlight w:val="none"/>
        </w:rPr>
        <w:t>2</w:t>
      </w:r>
      <w:r>
        <w:rPr>
          <w:rFonts w:hint="eastAsia" w:ascii="仿宋" w:hAnsi="仿宋" w:eastAsia="仿宋"/>
          <w:sz w:val="32"/>
          <w:szCs w:val="32"/>
          <w:highlight w:val="none"/>
          <w:lang w:val="en-US" w:eastAsia="zh-CN"/>
        </w:rPr>
        <w:t>2</w:t>
      </w:r>
      <w:r>
        <w:rPr>
          <w:rFonts w:hint="eastAsia" w:ascii="仿宋" w:hAnsi="仿宋" w:eastAsia="仿宋"/>
          <w:sz w:val="32"/>
          <w:szCs w:val="32"/>
          <w:highlight w:val="none"/>
        </w:rPr>
        <w:t>年“三公”经费财政拨款支出决算中，因公出国（境）费支出决算0万元，占0</w:t>
      </w:r>
      <w:r>
        <w:rPr>
          <w:rFonts w:ascii="仿宋" w:hAnsi="仿宋" w:eastAsia="仿宋"/>
          <w:sz w:val="32"/>
          <w:szCs w:val="32"/>
          <w:highlight w:val="none"/>
        </w:rPr>
        <w:t>%</w:t>
      </w:r>
      <w:r>
        <w:rPr>
          <w:rFonts w:hint="eastAsia" w:ascii="仿宋" w:hAnsi="仿宋" w:eastAsia="仿宋"/>
          <w:sz w:val="32"/>
          <w:szCs w:val="32"/>
          <w:highlight w:val="none"/>
        </w:rPr>
        <w:t>；公务用车购置及运行维护费支出决算0万元，占0</w:t>
      </w:r>
      <w:r>
        <w:rPr>
          <w:rFonts w:ascii="仿宋" w:hAnsi="仿宋" w:eastAsia="仿宋"/>
          <w:sz w:val="32"/>
          <w:szCs w:val="32"/>
          <w:highlight w:val="none"/>
        </w:rPr>
        <w:t>%</w:t>
      </w:r>
      <w:r>
        <w:rPr>
          <w:rFonts w:hint="eastAsia" w:ascii="仿宋" w:hAnsi="仿宋" w:eastAsia="仿宋"/>
          <w:sz w:val="32"/>
          <w:szCs w:val="32"/>
          <w:highlight w:val="none"/>
        </w:rPr>
        <w:t>；公务接待费支出决算</w:t>
      </w:r>
      <w:r>
        <w:rPr>
          <w:rFonts w:hint="eastAsia" w:ascii="仿宋" w:hAnsi="仿宋" w:eastAsia="仿宋"/>
          <w:sz w:val="32"/>
          <w:szCs w:val="32"/>
          <w:highlight w:val="none"/>
          <w:lang w:val="en-US" w:eastAsia="zh-CN"/>
        </w:rPr>
        <w:t>3.6</w:t>
      </w:r>
      <w:r>
        <w:rPr>
          <w:rFonts w:hint="eastAsia" w:ascii="仿宋" w:hAnsi="仿宋" w:eastAsia="仿宋"/>
          <w:sz w:val="32"/>
          <w:szCs w:val="32"/>
          <w:highlight w:val="none"/>
        </w:rPr>
        <w:t>万元，占100</w:t>
      </w:r>
      <w:r>
        <w:rPr>
          <w:rFonts w:ascii="仿宋" w:hAnsi="仿宋" w:eastAsia="仿宋"/>
          <w:sz w:val="32"/>
          <w:szCs w:val="32"/>
          <w:highlight w:val="none"/>
        </w:rPr>
        <w:t>%</w:t>
      </w:r>
      <w:r>
        <w:rPr>
          <w:rFonts w:hint="eastAsia" w:ascii="仿宋" w:hAnsi="仿宋" w:eastAsia="仿宋"/>
          <w:sz w:val="32"/>
          <w:szCs w:val="32"/>
          <w:highlight w:val="none"/>
        </w:rPr>
        <w:t>。具体情况如下：</w:t>
      </w:r>
    </w:p>
    <w:p>
      <w:pPr>
        <w:pStyle w:val="16"/>
        <w:rPr>
          <w:rFonts w:hint="default" w:ascii="仿宋" w:hAnsi="仿宋" w:eastAsia="仿宋"/>
          <w:sz w:val="32"/>
          <w:szCs w:val="32"/>
          <w:highlight w:val="none"/>
          <w:lang w:val="en-US" w:eastAsia="zh-CN"/>
        </w:rPr>
      </w:pPr>
      <w:r>
        <w:rPr>
          <w:rFonts w:hint="eastAsia" w:ascii="仿宋" w:hAnsi="仿宋" w:eastAsia="仿宋"/>
          <w:sz w:val="32"/>
          <w:szCs w:val="32"/>
          <w:highlight w:val="none"/>
        </w:rPr>
        <w:t>（图7：“三公”经费财政拨款支出结构）</w:t>
      </w:r>
      <w:r>
        <w:rPr>
          <w:rFonts w:hint="eastAsia" w:ascii="仿宋" w:hAnsi="仿宋" w:eastAsia="仿宋"/>
          <w:sz w:val="32"/>
          <w:szCs w:val="32"/>
          <w:highlight w:val="none"/>
          <w:lang w:val="en-US" w:eastAsia="zh-CN"/>
        </w:rPr>
        <w:t xml:space="preserve">  </w:t>
      </w:r>
    </w:p>
    <w:p>
      <w:pPr>
        <w:rPr>
          <w:rFonts w:hint="eastAsia" w:eastAsia="宋体"/>
          <w:highlight w:val="none"/>
          <w:lang w:eastAsia="zh-CN"/>
        </w:rPr>
      </w:pPr>
      <w:r>
        <w:rPr>
          <w:rFonts w:hint="eastAsia" w:eastAsia="宋体"/>
          <w:highlight w:val="none"/>
          <w:lang w:eastAsia="zh-CN"/>
        </w:rPr>
        <w:drawing>
          <wp:inline distT="0" distB="0" distL="114300" distR="114300">
            <wp:extent cx="4344035" cy="2067560"/>
            <wp:effectExtent l="4445" t="4445" r="13970" b="23495"/>
            <wp:docPr id="12" name="图表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pPr>
        <w:numPr>
          <w:ilvl w:val="0"/>
          <w:numId w:val="2"/>
        </w:numPr>
        <w:spacing w:line="600" w:lineRule="exact"/>
        <w:ind w:firstLine="640"/>
        <w:rPr>
          <w:rFonts w:ascii="仿宋_GB2312" w:eastAsia="仿宋_GB2312"/>
          <w:sz w:val="32"/>
          <w:szCs w:val="32"/>
          <w:highlight w:val="none"/>
        </w:rPr>
      </w:pPr>
      <w:r>
        <w:rPr>
          <w:rFonts w:hint="eastAsia" w:ascii="仿宋_GB2312" w:eastAsia="仿宋_GB2312"/>
          <w:b/>
          <w:sz w:val="32"/>
          <w:szCs w:val="32"/>
          <w:highlight w:val="none"/>
        </w:rPr>
        <w:t>因公出国（境）经费支出0</w:t>
      </w:r>
      <w:r>
        <w:rPr>
          <w:rFonts w:hint="eastAsia" w:ascii="仿宋" w:hAnsi="仿宋" w:eastAsia="仿宋"/>
          <w:sz w:val="32"/>
          <w:szCs w:val="32"/>
          <w:highlight w:val="none"/>
        </w:rPr>
        <w:t>万元，完成预算0%。全年安排因公出国（境）团组0次，出国（境）0人</w:t>
      </w:r>
      <w:r>
        <w:rPr>
          <w:rFonts w:hint="eastAsia" w:ascii="仿宋_GB2312" w:eastAsia="仿宋_GB2312"/>
          <w:sz w:val="32"/>
          <w:szCs w:val="32"/>
          <w:highlight w:val="none"/>
        </w:rPr>
        <w:t>。</w:t>
      </w:r>
    </w:p>
    <w:p>
      <w:pPr>
        <w:spacing w:line="600" w:lineRule="exact"/>
        <w:ind w:firstLine="643" w:firstLineChars="200"/>
        <w:rPr>
          <w:rFonts w:hint="eastAsia" w:ascii="仿宋" w:hAnsi="仿宋" w:eastAsia="仿宋"/>
          <w:sz w:val="32"/>
          <w:szCs w:val="32"/>
          <w:highlight w:val="none"/>
        </w:rPr>
      </w:pPr>
      <w:r>
        <w:rPr>
          <w:rFonts w:ascii="仿宋_GB2312" w:eastAsia="仿宋_GB2312"/>
          <w:b/>
          <w:sz w:val="32"/>
          <w:szCs w:val="32"/>
          <w:highlight w:val="none"/>
        </w:rPr>
        <w:t>2.</w:t>
      </w:r>
      <w:r>
        <w:rPr>
          <w:rFonts w:hint="eastAsia" w:ascii="仿宋_GB2312" w:eastAsia="仿宋_GB2312"/>
          <w:b/>
          <w:sz w:val="32"/>
          <w:szCs w:val="32"/>
          <w:highlight w:val="none"/>
        </w:rPr>
        <w:t>公务用车购置及运行维护费支出</w:t>
      </w:r>
      <w:r>
        <w:rPr>
          <w:rFonts w:hint="eastAsia" w:ascii="仿宋" w:hAnsi="仿宋" w:eastAsia="仿宋"/>
          <w:sz w:val="32"/>
          <w:szCs w:val="32"/>
          <w:highlight w:val="none"/>
        </w:rPr>
        <w:t>0万元</w:t>
      </w:r>
      <w:r>
        <w:rPr>
          <w:rFonts w:hint="eastAsia" w:ascii="仿宋" w:hAnsi="仿宋" w:eastAsia="仿宋"/>
          <w:sz w:val="32"/>
          <w:szCs w:val="32"/>
          <w:highlight w:val="none"/>
          <w:lang w:eastAsia="zh-CN"/>
        </w:rPr>
        <w:t>，</w:t>
      </w:r>
      <w:r>
        <w:rPr>
          <w:rFonts w:hint="eastAsia" w:ascii="仿宋" w:hAnsi="仿宋" w:eastAsia="仿宋"/>
          <w:sz w:val="32"/>
          <w:szCs w:val="32"/>
          <w:highlight w:val="none"/>
        </w:rPr>
        <w:t>完成预算0%。</w:t>
      </w:r>
    </w:p>
    <w:p>
      <w:pPr>
        <w:spacing w:line="600" w:lineRule="exact"/>
        <w:ind w:firstLine="640"/>
        <w:rPr>
          <w:rFonts w:hint="eastAsia" w:ascii="仿宋" w:hAnsi="仿宋" w:eastAsia="仿宋"/>
          <w:sz w:val="32"/>
          <w:szCs w:val="32"/>
          <w:highlight w:val="none"/>
        </w:rPr>
      </w:pPr>
      <w:r>
        <w:rPr>
          <w:rFonts w:ascii="仿宋_GB2312" w:eastAsia="仿宋_GB2312"/>
          <w:b/>
          <w:sz w:val="32"/>
          <w:szCs w:val="32"/>
          <w:highlight w:val="none"/>
        </w:rPr>
        <w:t>3.</w:t>
      </w:r>
      <w:r>
        <w:rPr>
          <w:rFonts w:hint="eastAsia" w:ascii="仿宋_GB2312" w:eastAsia="仿宋_GB2312"/>
          <w:b/>
          <w:sz w:val="32"/>
          <w:szCs w:val="32"/>
          <w:highlight w:val="none"/>
        </w:rPr>
        <w:t>公务接待费支出</w:t>
      </w:r>
      <w:r>
        <w:rPr>
          <w:rFonts w:hint="eastAsia" w:ascii="仿宋" w:hAnsi="仿宋" w:eastAsia="仿宋"/>
          <w:sz w:val="32"/>
          <w:szCs w:val="32"/>
          <w:highlight w:val="none"/>
          <w:lang w:val="en-US" w:eastAsia="zh-CN"/>
        </w:rPr>
        <w:t>3.6</w:t>
      </w:r>
      <w:r>
        <w:rPr>
          <w:rFonts w:hint="eastAsia" w:ascii="仿宋" w:hAnsi="仿宋" w:eastAsia="仿宋"/>
          <w:sz w:val="32"/>
          <w:szCs w:val="32"/>
          <w:highlight w:val="none"/>
        </w:rPr>
        <w:t>万元，完成预算100%。公务接待费支出决算比202</w:t>
      </w:r>
      <w:r>
        <w:rPr>
          <w:rFonts w:hint="eastAsia" w:ascii="仿宋" w:hAnsi="仿宋" w:eastAsia="仿宋"/>
          <w:sz w:val="32"/>
          <w:szCs w:val="32"/>
          <w:highlight w:val="none"/>
          <w:lang w:val="en-US" w:eastAsia="zh-CN"/>
        </w:rPr>
        <w:t>2</w:t>
      </w:r>
      <w:r>
        <w:rPr>
          <w:rFonts w:hint="eastAsia" w:ascii="仿宋" w:hAnsi="仿宋" w:eastAsia="仿宋"/>
          <w:sz w:val="32"/>
          <w:szCs w:val="32"/>
          <w:highlight w:val="none"/>
        </w:rPr>
        <w:t>年减少</w:t>
      </w:r>
      <w:r>
        <w:rPr>
          <w:rFonts w:hint="eastAsia" w:ascii="仿宋" w:hAnsi="仿宋" w:eastAsia="仿宋"/>
          <w:sz w:val="32"/>
          <w:szCs w:val="32"/>
          <w:highlight w:val="none"/>
          <w:lang w:val="en-US" w:eastAsia="zh-CN"/>
        </w:rPr>
        <w:t>2.4</w:t>
      </w:r>
      <w:r>
        <w:rPr>
          <w:rFonts w:hint="eastAsia" w:ascii="仿宋" w:hAnsi="仿宋" w:eastAsia="仿宋"/>
          <w:sz w:val="32"/>
          <w:szCs w:val="32"/>
          <w:highlight w:val="none"/>
        </w:rPr>
        <w:t>万元，增长/下降</w:t>
      </w:r>
      <w:r>
        <w:rPr>
          <w:rFonts w:hint="eastAsia" w:ascii="仿宋" w:hAnsi="仿宋" w:eastAsia="仿宋"/>
          <w:sz w:val="32"/>
          <w:szCs w:val="32"/>
          <w:highlight w:val="none"/>
          <w:lang w:val="en-US" w:eastAsia="zh-CN"/>
        </w:rPr>
        <w:t>40</w:t>
      </w:r>
      <w:r>
        <w:rPr>
          <w:rFonts w:hint="eastAsia" w:ascii="仿宋" w:hAnsi="仿宋" w:eastAsia="仿宋"/>
          <w:sz w:val="32"/>
          <w:szCs w:val="32"/>
          <w:highlight w:val="none"/>
        </w:rPr>
        <w:t>%。主要原因是接待减少。</w:t>
      </w:r>
    </w:p>
    <w:p>
      <w:pPr>
        <w:spacing w:line="600" w:lineRule="exact"/>
        <w:ind w:firstLine="640"/>
        <w:rPr>
          <w:rFonts w:hint="eastAsia" w:ascii="仿宋" w:hAnsi="仿宋" w:eastAsia="仿宋"/>
          <w:sz w:val="32"/>
          <w:szCs w:val="32"/>
          <w:highlight w:val="none"/>
        </w:rPr>
      </w:pPr>
      <w:r>
        <w:rPr>
          <w:rFonts w:hint="eastAsia" w:ascii="仿宋" w:hAnsi="仿宋" w:eastAsia="仿宋"/>
          <w:b/>
          <w:sz w:val="32"/>
          <w:szCs w:val="32"/>
          <w:highlight w:val="none"/>
        </w:rPr>
        <w:t>国内公务接待支出</w:t>
      </w:r>
      <w:r>
        <w:rPr>
          <w:rFonts w:hint="eastAsia" w:ascii="仿宋" w:hAnsi="仿宋" w:eastAsia="仿宋"/>
          <w:sz w:val="32"/>
          <w:szCs w:val="32"/>
          <w:highlight w:val="none"/>
          <w:lang w:val="en-US" w:eastAsia="zh-CN"/>
        </w:rPr>
        <w:t>3.6</w:t>
      </w:r>
      <w:r>
        <w:rPr>
          <w:rFonts w:hint="eastAsia" w:ascii="仿宋" w:hAnsi="仿宋" w:eastAsia="仿宋"/>
          <w:sz w:val="32"/>
          <w:szCs w:val="32"/>
          <w:highlight w:val="none"/>
        </w:rPr>
        <w:t>万元，主要用于执行公务、开展业务活动开支的交通费、住宿费、用餐费等。国内公务接待1</w:t>
      </w:r>
      <w:r>
        <w:rPr>
          <w:rFonts w:hint="eastAsia" w:ascii="仿宋" w:hAnsi="仿宋" w:eastAsia="仿宋"/>
          <w:sz w:val="32"/>
          <w:szCs w:val="32"/>
          <w:highlight w:val="none"/>
          <w:lang w:val="en-US" w:eastAsia="zh-CN"/>
        </w:rPr>
        <w:t>75</w:t>
      </w:r>
      <w:r>
        <w:rPr>
          <w:rFonts w:hint="eastAsia" w:ascii="仿宋" w:hAnsi="仿宋" w:eastAsia="仿宋"/>
          <w:sz w:val="32"/>
          <w:szCs w:val="32"/>
          <w:highlight w:val="none"/>
        </w:rPr>
        <w:t>批次，</w:t>
      </w:r>
      <w:r>
        <w:rPr>
          <w:rFonts w:hint="eastAsia" w:ascii="仿宋" w:hAnsi="仿宋" w:eastAsia="仿宋"/>
          <w:sz w:val="32"/>
          <w:szCs w:val="32"/>
          <w:highlight w:val="none"/>
          <w:lang w:val="en-US" w:eastAsia="zh-CN"/>
        </w:rPr>
        <w:t>530</w:t>
      </w:r>
      <w:r>
        <w:rPr>
          <w:rFonts w:hint="eastAsia" w:ascii="仿宋" w:hAnsi="仿宋" w:eastAsia="仿宋"/>
          <w:sz w:val="32"/>
          <w:szCs w:val="32"/>
          <w:highlight w:val="none"/>
        </w:rPr>
        <w:t>人次（不包括陪同人员），共计支出</w:t>
      </w:r>
      <w:r>
        <w:rPr>
          <w:rFonts w:hint="eastAsia" w:ascii="仿宋" w:hAnsi="仿宋" w:eastAsia="仿宋"/>
          <w:sz w:val="32"/>
          <w:szCs w:val="32"/>
          <w:highlight w:val="none"/>
          <w:lang w:val="en-US" w:eastAsia="zh-CN"/>
        </w:rPr>
        <w:t>3.6</w:t>
      </w:r>
      <w:r>
        <w:rPr>
          <w:rFonts w:hint="eastAsia" w:ascii="仿宋" w:hAnsi="仿宋" w:eastAsia="仿宋"/>
          <w:sz w:val="32"/>
          <w:szCs w:val="32"/>
          <w:highlight w:val="none"/>
        </w:rPr>
        <w:t>万元。</w:t>
      </w:r>
    </w:p>
    <w:p>
      <w:pPr>
        <w:spacing w:line="600" w:lineRule="exact"/>
        <w:ind w:firstLine="640"/>
        <w:outlineLvl w:val="1"/>
        <w:rPr>
          <w:rFonts w:hint="eastAsia"/>
          <w:highlight w:val="none"/>
        </w:rPr>
      </w:pPr>
      <w:r>
        <w:rPr>
          <w:rFonts w:hint="eastAsia" w:ascii="仿宋" w:hAnsi="仿宋" w:eastAsia="仿宋"/>
          <w:b/>
          <w:sz w:val="32"/>
          <w:szCs w:val="32"/>
          <w:highlight w:val="none"/>
        </w:rPr>
        <w:t>外事接待支出</w:t>
      </w:r>
      <w:r>
        <w:rPr>
          <w:rFonts w:hint="eastAsia" w:ascii="仿宋" w:hAnsi="仿宋" w:eastAsia="仿宋"/>
          <w:sz w:val="32"/>
          <w:szCs w:val="32"/>
          <w:highlight w:val="none"/>
        </w:rPr>
        <w:t>0万元，外事接待0批次，0人，共计支出0万元。</w:t>
      </w:r>
    </w:p>
    <w:p>
      <w:pPr>
        <w:spacing w:line="600" w:lineRule="exact"/>
        <w:ind w:firstLine="640"/>
        <w:outlineLvl w:val="1"/>
        <w:rPr>
          <w:rFonts w:hint="eastAsia" w:ascii="黑体" w:eastAsia="黑体"/>
          <w:sz w:val="32"/>
          <w:szCs w:val="32"/>
          <w:highlight w:val="none"/>
        </w:rPr>
      </w:pPr>
      <w:r>
        <w:rPr>
          <w:rFonts w:hint="eastAsia" w:ascii="黑体" w:eastAsia="黑体"/>
          <w:sz w:val="32"/>
          <w:szCs w:val="32"/>
          <w:highlight w:val="none"/>
        </w:rPr>
        <w:t>八、政府性基金预算支出决算情况说明</w:t>
      </w:r>
    </w:p>
    <w:p>
      <w:pPr>
        <w:spacing w:line="600" w:lineRule="exact"/>
        <w:ind w:firstLine="640"/>
        <w:rPr>
          <w:rFonts w:hint="eastAsia"/>
          <w:highlight w:val="none"/>
        </w:rPr>
      </w:pPr>
      <w:r>
        <w:rPr>
          <w:rFonts w:hint="eastAsia" w:ascii="仿宋" w:hAnsi="仿宋" w:eastAsia="仿宋"/>
          <w:sz w:val="32"/>
          <w:szCs w:val="32"/>
          <w:highlight w:val="none"/>
        </w:rPr>
        <w:t>202</w:t>
      </w:r>
      <w:r>
        <w:rPr>
          <w:rFonts w:hint="eastAsia" w:ascii="仿宋" w:hAnsi="仿宋" w:eastAsia="仿宋"/>
          <w:sz w:val="32"/>
          <w:szCs w:val="32"/>
          <w:highlight w:val="none"/>
          <w:lang w:val="en-US" w:eastAsia="zh-CN"/>
        </w:rPr>
        <w:t>2</w:t>
      </w:r>
      <w:r>
        <w:rPr>
          <w:rFonts w:hint="eastAsia" w:ascii="仿宋" w:hAnsi="仿宋" w:eastAsia="仿宋"/>
          <w:sz w:val="32"/>
          <w:szCs w:val="32"/>
          <w:highlight w:val="none"/>
        </w:rPr>
        <w:t>年政府性基金预算财政拨款支出0万元。</w:t>
      </w:r>
    </w:p>
    <w:p>
      <w:pPr>
        <w:spacing w:line="600" w:lineRule="exact"/>
        <w:ind w:firstLine="640"/>
        <w:outlineLvl w:val="1"/>
        <w:rPr>
          <w:rFonts w:hint="eastAsia" w:ascii="黑体" w:eastAsia="黑体"/>
          <w:sz w:val="32"/>
          <w:szCs w:val="32"/>
          <w:highlight w:val="none"/>
        </w:rPr>
      </w:pPr>
      <w:r>
        <w:rPr>
          <w:rFonts w:hint="eastAsia" w:ascii="黑体" w:eastAsia="黑体"/>
          <w:sz w:val="32"/>
          <w:szCs w:val="32"/>
          <w:highlight w:val="none"/>
        </w:rPr>
        <w:t>九、国有资本经营预算支出决算情况说明</w:t>
      </w:r>
    </w:p>
    <w:p>
      <w:pPr>
        <w:numPr>
          <w:ilvl w:val="0"/>
          <w:numId w:val="0"/>
        </w:numPr>
        <w:spacing w:line="600" w:lineRule="exact"/>
        <w:ind w:firstLine="640" w:firstLineChars="200"/>
        <w:rPr>
          <w:rFonts w:hint="eastAsia"/>
          <w:highlight w:val="none"/>
        </w:rPr>
      </w:pPr>
      <w:r>
        <w:rPr>
          <w:rFonts w:hint="eastAsia" w:ascii="仿宋" w:hAnsi="仿宋" w:eastAsia="仿宋"/>
          <w:sz w:val="32"/>
          <w:szCs w:val="32"/>
          <w:highlight w:val="none"/>
        </w:rPr>
        <w:t>202</w:t>
      </w:r>
      <w:r>
        <w:rPr>
          <w:rFonts w:hint="eastAsia" w:ascii="仿宋" w:hAnsi="仿宋" w:eastAsia="仿宋"/>
          <w:sz w:val="32"/>
          <w:szCs w:val="32"/>
          <w:highlight w:val="none"/>
          <w:lang w:val="en-US" w:eastAsia="zh-CN"/>
        </w:rPr>
        <w:t>2</w:t>
      </w:r>
      <w:r>
        <w:rPr>
          <w:rFonts w:hint="eastAsia" w:ascii="仿宋" w:hAnsi="仿宋" w:eastAsia="仿宋"/>
          <w:sz w:val="32"/>
          <w:szCs w:val="32"/>
          <w:highlight w:val="none"/>
        </w:rPr>
        <w:t>年国有资本经营预算财政拨款支出0万元。</w:t>
      </w:r>
    </w:p>
    <w:p>
      <w:pPr>
        <w:spacing w:line="600" w:lineRule="exact"/>
        <w:ind w:firstLine="640"/>
        <w:outlineLvl w:val="1"/>
        <w:rPr>
          <w:rFonts w:hint="eastAsia" w:ascii="黑体" w:eastAsia="黑体"/>
          <w:sz w:val="32"/>
          <w:szCs w:val="32"/>
          <w:highlight w:val="none"/>
        </w:rPr>
      </w:pPr>
      <w:r>
        <w:rPr>
          <w:rFonts w:hint="eastAsia" w:ascii="黑体" w:eastAsia="黑体"/>
          <w:sz w:val="32"/>
          <w:szCs w:val="32"/>
          <w:highlight w:val="none"/>
          <w:lang w:val="en-US" w:eastAsia="zh-CN"/>
        </w:rPr>
        <w:t>十、</w:t>
      </w:r>
      <w:r>
        <w:rPr>
          <w:rFonts w:hint="eastAsia" w:ascii="黑体" w:eastAsia="黑体"/>
          <w:sz w:val="32"/>
          <w:szCs w:val="32"/>
          <w:highlight w:val="none"/>
        </w:rPr>
        <w:t>其他重要事项的情况说明</w:t>
      </w:r>
      <w:r>
        <w:rPr>
          <w:rFonts w:hint="eastAsia" w:ascii="黑体" w:eastAsia="黑体"/>
          <w:sz w:val="32"/>
          <w:szCs w:val="32"/>
          <w:highlight w:val="none"/>
        </w:rPr>
        <w:tab/>
      </w:r>
    </w:p>
    <w:p>
      <w:pPr>
        <w:spacing w:line="600" w:lineRule="exact"/>
        <w:ind w:firstLine="643" w:firstLineChars="200"/>
        <w:outlineLvl w:val="2"/>
        <w:rPr>
          <w:rFonts w:ascii="仿宋" w:hAnsi="仿宋" w:eastAsia="仿宋"/>
          <w:sz w:val="32"/>
          <w:szCs w:val="32"/>
          <w:highlight w:val="none"/>
        </w:rPr>
      </w:pPr>
      <w:r>
        <w:rPr>
          <w:rFonts w:hint="eastAsia" w:ascii="仿宋" w:hAnsi="仿宋" w:eastAsia="仿宋"/>
          <w:b/>
          <w:sz w:val="32"/>
          <w:szCs w:val="32"/>
          <w:highlight w:val="none"/>
        </w:rPr>
        <w:t>（一）机关运行经费支出情况</w:t>
      </w:r>
    </w:p>
    <w:p>
      <w:pPr>
        <w:spacing w:line="600" w:lineRule="exact"/>
        <w:ind w:firstLine="640" w:firstLineChars="200"/>
        <w:rPr>
          <w:rFonts w:hint="default" w:ascii="仿宋_GB2312" w:eastAsia="仿宋_GB2312"/>
          <w:sz w:val="32"/>
          <w:szCs w:val="32"/>
          <w:highlight w:val="none"/>
          <w:lang w:val="en-US" w:eastAsia="zh-CN"/>
        </w:rPr>
      </w:pPr>
      <w:r>
        <w:rPr>
          <w:rFonts w:hint="eastAsia" w:ascii="仿宋" w:hAnsi="仿宋" w:eastAsia="仿宋"/>
          <w:sz w:val="32"/>
          <w:szCs w:val="32"/>
          <w:highlight w:val="none"/>
        </w:rPr>
        <w:t>202</w:t>
      </w:r>
      <w:r>
        <w:rPr>
          <w:rFonts w:hint="eastAsia" w:ascii="仿宋" w:hAnsi="仿宋" w:eastAsia="仿宋"/>
          <w:sz w:val="32"/>
          <w:szCs w:val="32"/>
          <w:highlight w:val="none"/>
          <w:lang w:val="en-US" w:eastAsia="zh-CN"/>
        </w:rPr>
        <w:t>2</w:t>
      </w:r>
      <w:r>
        <w:rPr>
          <w:rFonts w:hint="eastAsia" w:ascii="仿宋" w:hAnsi="仿宋" w:eastAsia="仿宋"/>
          <w:sz w:val="32"/>
          <w:szCs w:val="32"/>
          <w:highlight w:val="none"/>
        </w:rPr>
        <w:t>年，姚家镇机关运行经费支出</w:t>
      </w:r>
      <w:r>
        <w:rPr>
          <w:rFonts w:hint="eastAsia" w:ascii="仿宋" w:hAnsi="仿宋" w:eastAsia="仿宋"/>
          <w:sz w:val="32"/>
          <w:szCs w:val="32"/>
          <w:highlight w:val="none"/>
          <w:lang w:val="en-US" w:eastAsia="zh-CN"/>
        </w:rPr>
        <w:t>85.99</w:t>
      </w:r>
      <w:r>
        <w:rPr>
          <w:rFonts w:hint="eastAsia" w:ascii="仿宋" w:hAnsi="仿宋" w:eastAsia="仿宋"/>
          <w:sz w:val="32"/>
          <w:szCs w:val="32"/>
          <w:highlight w:val="none"/>
        </w:rPr>
        <w:t>万元，比202</w:t>
      </w:r>
      <w:r>
        <w:rPr>
          <w:rFonts w:hint="eastAsia" w:ascii="仿宋" w:hAnsi="仿宋" w:eastAsia="仿宋"/>
          <w:sz w:val="32"/>
          <w:szCs w:val="32"/>
          <w:highlight w:val="none"/>
          <w:lang w:val="en-US" w:eastAsia="zh-CN"/>
        </w:rPr>
        <w:t>1</w:t>
      </w:r>
      <w:r>
        <w:rPr>
          <w:rFonts w:hint="eastAsia" w:ascii="仿宋" w:hAnsi="仿宋" w:eastAsia="仿宋"/>
          <w:sz w:val="32"/>
          <w:szCs w:val="32"/>
          <w:highlight w:val="none"/>
        </w:rPr>
        <w:t>年减少</w:t>
      </w:r>
      <w:r>
        <w:rPr>
          <w:rFonts w:hint="eastAsia" w:ascii="仿宋" w:hAnsi="仿宋" w:eastAsia="仿宋"/>
          <w:sz w:val="32"/>
          <w:szCs w:val="32"/>
          <w:highlight w:val="none"/>
          <w:lang w:val="en-US" w:eastAsia="zh-CN"/>
        </w:rPr>
        <w:t>115.96</w:t>
      </w:r>
      <w:r>
        <w:rPr>
          <w:rFonts w:hint="eastAsia" w:ascii="仿宋" w:hAnsi="仿宋" w:eastAsia="仿宋"/>
          <w:sz w:val="32"/>
          <w:szCs w:val="32"/>
          <w:highlight w:val="none"/>
        </w:rPr>
        <w:t>万元，</w:t>
      </w:r>
      <w:r>
        <w:rPr>
          <w:rFonts w:hint="eastAsia" w:ascii="仿宋" w:hAnsi="仿宋" w:eastAsia="仿宋"/>
          <w:sz w:val="32"/>
          <w:szCs w:val="32"/>
          <w:highlight w:val="none"/>
          <w:lang w:val="en-US" w:eastAsia="zh-CN"/>
        </w:rPr>
        <w:t>比</w:t>
      </w:r>
      <w:r>
        <w:rPr>
          <w:rFonts w:hint="eastAsia" w:ascii="仿宋" w:hAnsi="仿宋" w:eastAsia="仿宋"/>
          <w:sz w:val="32"/>
          <w:szCs w:val="32"/>
          <w:highlight w:val="none"/>
        </w:rPr>
        <w:t>202</w:t>
      </w:r>
      <w:r>
        <w:rPr>
          <w:rFonts w:hint="eastAsia" w:ascii="仿宋" w:hAnsi="仿宋" w:eastAsia="仿宋"/>
          <w:sz w:val="32"/>
          <w:szCs w:val="32"/>
          <w:highlight w:val="none"/>
          <w:lang w:val="en-US" w:eastAsia="zh-CN"/>
        </w:rPr>
        <w:t>1</w:t>
      </w:r>
      <w:r>
        <w:rPr>
          <w:rFonts w:hint="eastAsia" w:ascii="仿宋" w:hAnsi="仿宋" w:eastAsia="仿宋"/>
          <w:sz w:val="32"/>
          <w:szCs w:val="32"/>
          <w:highlight w:val="none"/>
        </w:rPr>
        <w:t>年决算数</w:t>
      </w:r>
      <w:r>
        <w:rPr>
          <w:rFonts w:hint="eastAsia" w:ascii="仿宋" w:hAnsi="仿宋" w:eastAsia="仿宋"/>
          <w:sz w:val="32"/>
          <w:szCs w:val="32"/>
          <w:highlight w:val="none"/>
          <w:lang w:val="en-US" w:eastAsia="zh-CN"/>
        </w:rPr>
        <w:t>减少57%</w:t>
      </w:r>
      <w:r>
        <w:rPr>
          <w:rFonts w:hint="eastAsia" w:ascii="仿宋" w:hAnsi="仿宋" w:eastAsia="仿宋"/>
          <w:sz w:val="32"/>
          <w:szCs w:val="32"/>
          <w:highlight w:val="none"/>
        </w:rPr>
        <w:t>。</w:t>
      </w:r>
      <w:r>
        <w:rPr>
          <w:rFonts w:hint="eastAsia" w:ascii="仿宋" w:hAnsi="仿宋" w:eastAsia="仿宋"/>
          <w:sz w:val="32"/>
          <w:szCs w:val="32"/>
          <w:highlight w:val="none"/>
          <w:lang w:val="en-US" w:eastAsia="zh-CN"/>
        </w:rPr>
        <w:t>村公共运行维护资金及村办公费调整至项目资金。</w:t>
      </w:r>
    </w:p>
    <w:p>
      <w:pPr>
        <w:autoSpaceDE w:val="0"/>
        <w:autoSpaceDN w:val="0"/>
        <w:adjustRightInd w:val="0"/>
        <w:spacing w:line="600" w:lineRule="exact"/>
        <w:ind w:firstLine="643" w:firstLineChars="200"/>
        <w:jc w:val="left"/>
        <w:outlineLvl w:val="2"/>
        <w:rPr>
          <w:rFonts w:ascii="仿宋" w:hAnsi="仿宋" w:eastAsia="仿宋"/>
          <w:b/>
          <w:sz w:val="32"/>
          <w:szCs w:val="32"/>
          <w:highlight w:val="none"/>
        </w:rPr>
      </w:pPr>
      <w:r>
        <w:rPr>
          <w:rFonts w:hint="eastAsia" w:ascii="仿宋" w:hAnsi="仿宋" w:eastAsia="仿宋"/>
          <w:b/>
          <w:sz w:val="32"/>
          <w:szCs w:val="32"/>
          <w:highlight w:val="none"/>
        </w:rPr>
        <w:t>（二）政府采购支出情况</w:t>
      </w:r>
    </w:p>
    <w:p>
      <w:pPr>
        <w:numPr>
          <w:ilvl w:val="0"/>
          <w:numId w:val="0"/>
        </w:numPr>
        <w:spacing w:line="600" w:lineRule="exact"/>
        <w:ind w:firstLine="640" w:firstLineChars="200"/>
        <w:rPr>
          <w:rFonts w:hint="eastAsia" w:ascii="仿宋" w:hAnsi="仿宋" w:eastAsia="仿宋"/>
          <w:sz w:val="32"/>
          <w:szCs w:val="32"/>
          <w:highlight w:val="none"/>
        </w:rPr>
      </w:pPr>
      <w:r>
        <w:rPr>
          <w:rFonts w:hint="eastAsia" w:ascii="仿宋" w:hAnsi="仿宋" w:eastAsia="仿宋"/>
          <w:sz w:val="32"/>
          <w:szCs w:val="32"/>
          <w:highlight w:val="none"/>
        </w:rPr>
        <w:t>202</w:t>
      </w:r>
      <w:r>
        <w:rPr>
          <w:rFonts w:hint="eastAsia" w:ascii="仿宋" w:hAnsi="仿宋" w:eastAsia="仿宋"/>
          <w:sz w:val="32"/>
          <w:szCs w:val="32"/>
          <w:highlight w:val="none"/>
          <w:lang w:val="en-US" w:eastAsia="zh-CN"/>
        </w:rPr>
        <w:t>2</w:t>
      </w:r>
      <w:r>
        <w:rPr>
          <w:rFonts w:hint="eastAsia" w:ascii="仿宋" w:hAnsi="仿宋" w:eastAsia="仿宋"/>
          <w:sz w:val="32"/>
          <w:szCs w:val="32"/>
          <w:highlight w:val="none"/>
        </w:rPr>
        <w:t>年，姚家镇人民政府政府采购支出总额0万元，其中：政府采购货物支出0万元、政府采购工程支出0万元、政府采购服务支出0万元。</w:t>
      </w:r>
    </w:p>
    <w:p>
      <w:pPr>
        <w:autoSpaceDE w:val="0"/>
        <w:autoSpaceDN w:val="0"/>
        <w:adjustRightInd w:val="0"/>
        <w:spacing w:line="600" w:lineRule="exact"/>
        <w:ind w:firstLine="643" w:firstLineChars="200"/>
        <w:jc w:val="left"/>
        <w:outlineLvl w:val="2"/>
        <w:rPr>
          <w:rFonts w:ascii="仿宋" w:hAnsi="仿宋" w:eastAsia="仿宋"/>
          <w:b/>
          <w:sz w:val="32"/>
          <w:szCs w:val="32"/>
          <w:highlight w:val="none"/>
        </w:rPr>
      </w:pPr>
      <w:r>
        <w:rPr>
          <w:rFonts w:hint="eastAsia" w:ascii="仿宋" w:hAnsi="仿宋" w:eastAsia="仿宋"/>
          <w:b/>
          <w:sz w:val="32"/>
          <w:szCs w:val="32"/>
          <w:highlight w:val="none"/>
        </w:rPr>
        <w:t>（三）国有资产占有使用情况</w:t>
      </w:r>
    </w:p>
    <w:p>
      <w:pPr>
        <w:numPr>
          <w:ilvl w:val="0"/>
          <w:numId w:val="0"/>
        </w:numPr>
        <w:spacing w:line="600" w:lineRule="exact"/>
        <w:ind w:firstLine="640" w:firstLineChars="200"/>
        <w:rPr>
          <w:rFonts w:hint="eastAsia" w:ascii="仿宋" w:hAnsi="仿宋" w:eastAsia="仿宋"/>
          <w:sz w:val="32"/>
          <w:szCs w:val="32"/>
          <w:highlight w:val="none"/>
        </w:rPr>
      </w:pPr>
      <w:r>
        <w:rPr>
          <w:rFonts w:hint="eastAsia" w:ascii="仿宋" w:hAnsi="仿宋" w:eastAsia="仿宋"/>
          <w:sz w:val="32"/>
          <w:szCs w:val="32"/>
          <w:highlight w:val="none"/>
        </w:rPr>
        <w:t>截至202</w:t>
      </w:r>
      <w:r>
        <w:rPr>
          <w:rFonts w:hint="eastAsia" w:ascii="仿宋" w:hAnsi="仿宋" w:eastAsia="仿宋"/>
          <w:sz w:val="32"/>
          <w:szCs w:val="32"/>
          <w:highlight w:val="none"/>
          <w:lang w:val="en-US" w:eastAsia="zh-CN"/>
        </w:rPr>
        <w:t>2</w:t>
      </w:r>
      <w:r>
        <w:rPr>
          <w:rFonts w:hint="eastAsia" w:ascii="仿宋" w:hAnsi="仿宋" w:eastAsia="仿宋"/>
          <w:sz w:val="32"/>
          <w:szCs w:val="32"/>
          <w:highlight w:val="none"/>
        </w:rPr>
        <w:t>年12月31日，姚家镇共有车辆0辆。</w:t>
      </w:r>
    </w:p>
    <w:p>
      <w:pPr>
        <w:autoSpaceDE w:val="0"/>
        <w:autoSpaceDN w:val="0"/>
        <w:adjustRightInd w:val="0"/>
        <w:spacing w:line="600" w:lineRule="exact"/>
        <w:ind w:firstLine="643" w:firstLineChars="200"/>
        <w:jc w:val="left"/>
        <w:outlineLvl w:val="2"/>
        <w:rPr>
          <w:rFonts w:ascii="仿宋" w:hAnsi="仿宋" w:eastAsia="仿宋"/>
          <w:b/>
          <w:sz w:val="32"/>
          <w:szCs w:val="32"/>
          <w:highlight w:val="none"/>
        </w:rPr>
      </w:pPr>
      <w:r>
        <w:rPr>
          <w:rFonts w:hint="eastAsia" w:ascii="仿宋" w:hAnsi="仿宋" w:eastAsia="仿宋"/>
          <w:b/>
          <w:sz w:val="32"/>
          <w:szCs w:val="32"/>
          <w:highlight w:val="none"/>
        </w:rPr>
        <w:t>（四）预算绩效管理情况</w:t>
      </w:r>
    </w:p>
    <w:p>
      <w:pPr>
        <w:numPr>
          <w:ilvl w:val="0"/>
          <w:numId w:val="0"/>
        </w:numPr>
        <w:spacing w:line="600" w:lineRule="exact"/>
        <w:ind w:firstLine="640" w:firstLineChars="200"/>
        <w:rPr>
          <w:rFonts w:hint="eastAsia" w:ascii="仿宋" w:hAnsi="仿宋" w:eastAsia="仿宋"/>
          <w:sz w:val="32"/>
          <w:szCs w:val="32"/>
          <w:highlight w:val="none"/>
          <w:lang w:eastAsia="zh-CN"/>
        </w:rPr>
      </w:pPr>
      <w:r>
        <w:rPr>
          <w:rFonts w:hint="eastAsia" w:ascii="仿宋" w:hAnsi="仿宋" w:eastAsia="仿宋"/>
          <w:sz w:val="32"/>
          <w:szCs w:val="32"/>
          <w:highlight w:val="none"/>
        </w:rPr>
        <w:t>根据预算绩效管理要求，本部门在202</w:t>
      </w:r>
      <w:r>
        <w:rPr>
          <w:rFonts w:hint="eastAsia" w:ascii="仿宋" w:hAnsi="仿宋" w:eastAsia="仿宋"/>
          <w:sz w:val="32"/>
          <w:szCs w:val="32"/>
          <w:highlight w:val="none"/>
          <w:lang w:val="en-US" w:eastAsia="zh-CN"/>
        </w:rPr>
        <w:t>2</w:t>
      </w:r>
      <w:r>
        <w:rPr>
          <w:rFonts w:hint="eastAsia" w:ascii="仿宋" w:hAnsi="仿宋" w:eastAsia="仿宋"/>
          <w:sz w:val="32"/>
          <w:szCs w:val="32"/>
          <w:highlight w:val="none"/>
        </w:rPr>
        <w:t>年度预算编制阶段，组织对</w:t>
      </w:r>
      <w:r>
        <w:rPr>
          <w:rFonts w:hint="eastAsia" w:ascii="仿宋" w:hAnsi="仿宋" w:eastAsia="仿宋"/>
          <w:sz w:val="32"/>
          <w:szCs w:val="32"/>
          <w:highlight w:val="none"/>
          <w:lang w:val="en-US" w:eastAsia="zh-CN"/>
        </w:rPr>
        <w:t>2022年中央财政农业生产和水利救灾资金、</w:t>
      </w:r>
      <w:r>
        <w:rPr>
          <w:rFonts w:hint="eastAsia" w:ascii="仿宋" w:hAnsi="仿宋" w:eastAsia="仿宋"/>
          <w:sz w:val="32"/>
          <w:szCs w:val="32"/>
          <w:highlight w:val="none"/>
        </w:rPr>
        <w:t>城乡垃圾清运及处置开展了预算事前绩效评估，对</w:t>
      </w:r>
      <w:r>
        <w:rPr>
          <w:rFonts w:hint="eastAsia" w:ascii="仿宋" w:hAnsi="仿宋" w:eastAsia="仿宋"/>
          <w:sz w:val="32"/>
          <w:szCs w:val="32"/>
          <w:highlight w:val="none"/>
          <w:lang w:val="en-US" w:eastAsia="zh-CN"/>
        </w:rPr>
        <w:t>27</w:t>
      </w:r>
      <w:r>
        <w:rPr>
          <w:rFonts w:hint="eastAsia" w:ascii="仿宋" w:hAnsi="仿宋" w:eastAsia="仿宋"/>
          <w:sz w:val="32"/>
          <w:szCs w:val="32"/>
          <w:highlight w:val="none"/>
        </w:rPr>
        <w:t>个项目编制了绩效目标，预算执行过程中，选取2个项目开展绩效监控，年终执行完毕后，对2个项目开展了绩效自评。同时，本部门对202</w:t>
      </w:r>
      <w:r>
        <w:rPr>
          <w:rFonts w:hint="eastAsia" w:ascii="仿宋" w:hAnsi="仿宋" w:eastAsia="仿宋"/>
          <w:sz w:val="32"/>
          <w:szCs w:val="32"/>
          <w:highlight w:val="none"/>
          <w:lang w:val="en-US" w:eastAsia="zh-CN"/>
        </w:rPr>
        <w:t>2</w:t>
      </w:r>
      <w:r>
        <w:rPr>
          <w:rFonts w:hint="eastAsia" w:ascii="仿宋" w:hAnsi="仿宋" w:eastAsia="仿宋"/>
          <w:sz w:val="32"/>
          <w:szCs w:val="32"/>
          <w:highlight w:val="none"/>
        </w:rPr>
        <w:t>年部门整体开展绩效自评，《202</w:t>
      </w:r>
      <w:r>
        <w:rPr>
          <w:rFonts w:hint="eastAsia" w:ascii="仿宋" w:hAnsi="仿宋" w:eastAsia="仿宋"/>
          <w:sz w:val="32"/>
          <w:szCs w:val="32"/>
          <w:highlight w:val="none"/>
          <w:lang w:val="en-US" w:eastAsia="zh-CN"/>
        </w:rPr>
        <w:t>2</w:t>
      </w:r>
      <w:r>
        <w:rPr>
          <w:rFonts w:hint="eastAsia" w:ascii="仿宋" w:hAnsi="仿宋" w:eastAsia="仿宋"/>
          <w:sz w:val="32"/>
          <w:szCs w:val="32"/>
          <w:highlight w:val="none"/>
        </w:rPr>
        <w:t>年剑阁县姚家镇人民政府部门整体绩效评价报告》见附件（第四部分）。</w:t>
      </w:r>
    </w:p>
    <w:p>
      <w:pPr>
        <w:pStyle w:val="16"/>
        <w:numPr>
          <w:ilvl w:val="0"/>
          <w:numId w:val="0"/>
        </w:numPr>
        <w:ind w:leftChars="400"/>
        <w:rPr>
          <w:highlight w:val="none"/>
        </w:rPr>
      </w:pPr>
    </w:p>
    <w:p>
      <w:pPr>
        <w:pStyle w:val="16"/>
        <w:rPr>
          <w:highlight w:val="none"/>
        </w:rPr>
      </w:pPr>
    </w:p>
    <w:p>
      <w:pPr>
        <w:numPr>
          <w:ilvl w:val="0"/>
          <w:numId w:val="3"/>
        </w:numPr>
        <w:spacing w:line="600" w:lineRule="exact"/>
        <w:ind w:firstLine="660" w:firstLineChars="150"/>
        <w:jc w:val="center"/>
        <w:outlineLvl w:val="0"/>
        <w:rPr>
          <w:rFonts w:hint="eastAsia" w:ascii="黑体" w:hAnsi="黑体" w:eastAsia="黑体"/>
          <w:sz w:val="44"/>
          <w:szCs w:val="44"/>
          <w:highlight w:val="none"/>
        </w:rPr>
      </w:pPr>
      <w:r>
        <w:rPr>
          <w:rFonts w:hint="eastAsia" w:ascii="黑体" w:hAnsi="黑体" w:eastAsia="黑体"/>
          <w:sz w:val="44"/>
          <w:szCs w:val="44"/>
          <w:highlight w:val="none"/>
        </w:rPr>
        <w:t>名词解释</w:t>
      </w:r>
    </w:p>
    <w:p>
      <w:pPr>
        <w:pStyle w:val="8"/>
        <w:ind w:firstLine="640" w:firstLineChars="200"/>
        <w:rPr>
          <w:rFonts w:ascii="仿宋_GB2312" w:hAnsi="仿宋_GB2312" w:cs="仿宋_GB2312"/>
          <w:b w:val="0"/>
          <w:bCs/>
          <w:szCs w:val="32"/>
          <w:highlight w:val="none"/>
        </w:rPr>
      </w:pPr>
      <w:r>
        <w:rPr>
          <w:rFonts w:ascii="仿宋_GB2312" w:hAnsi="仿宋_GB2312" w:cs="仿宋_GB2312"/>
          <w:b w:val="0"/>
          <w:bCs/>
          <w:szCs w:val="32"/>
          <w:highlight w:val="none"/>
        </w:rPr>
        <w:t>（一）一般公共预算拨款收入：指县级财政当年拨付的资金。</w:t>
      </w:r>
    </w:p>
    <w:p>
      <w:pPr>
        <w:pStyle w:val="8"/>
        <w:ind w:firstLine="640" w:firstLineChars="200"/>
        <w:rPr>
          <w:rFonts w:ascii="仿宋_GB2312" w:hAnsi="仿宋_GB2312" w:cs="仿宋_GB2312"/>
          <w:b w:val="0"/>
          <w:bCs/>
          <w:szCs w:val="32"/>
          <w:highlight w:val="none"/>
        </w:rPr>
      </w:pPr>
      <w:r>
        <w:rPr>
          <w:rFonts w:ascii="仿宋_GB2312" w:hAnsi="仿宋_GB2312" w:cs="仿宋_GB2312"/>
          <w:b w:val="0"/>
          <w:bCs/>
          <w:szCs w:val="32"/>
          <w:highlight w:val="none"/>
        </w:rPr>
        <w:t>（二）</w:t>
      </w:r>
      <w:r>
        <w:rPr>
          <w:rFonts w:hint="eastAsia" w:ascii="仿宋_GB2312" w:hAnsi="仿宋_GB2312" w:cs="仿宋_GB2312"/>
          <w:b w:val="0"/>
          <w:bCs/>
          <w:szCs w:val="32"/>
          <w:highlight w:val="none"/>
        </w:rPr>
        <w:t>一般公共服务</w:t>
      </w:r>
      <w:r>
        <w:rPr>
          <w:rFonts w:ascii="仿宋_GB2312" w:hAnsi="仿宋_GB2312" w:cs="仿宋_GB2312"/>
          <w:b w:val="0"/>
          <w:bCs/>
          <w:szCs w:val="32"/>
          <w:highlight w:val="none"/>
        </w:rPr>
        <w:t>（类</w:t>
      </w:r>
      <w:r>
        <w:rPr>
          <w:rFonts w:hint="eastAsia" w:ascii="仿宋_GB2312" w:hAnsi="仿宋_GB2312" w:cs="仿宋_GB2312"/>
          <w:b w:val="0"/>
          <w:bCs/>
          <w:szCs w:val="32"/>
          <w:highlight w:val="none"/>
        </w:rPr>
        <w:t>）人大事务</w:t>
      </w:r>
      <w:r>
        <w:rPr>
          <w:rFonts w:ascii="仿宋_GB2312" w:hAnsi="仿宋_GB2312" w:cs="仿宋_GB2312"/>
          <w:b w:val="0"/>
          <w:bCs/>
          <w:szCs w:val="32"/>
          <w:highlight w:val="none"/>
        </w:rPr>
        <w:t>（款）</w:t>
      </w:r>
      <w:r>
        <w:rPr>
          <w:rFonts w:hint="eastAsia" w:ascii="仿宋_GB2312" w:hAnsi="仿宋_GB2312" w:cs="仿宋_GB2312"/>
          <w:b w:val="0"/>
          <w:bCs/>
          <w:szCs w:val="32"/>
          <w:highlight w:val="none"/>
        </w:rPr>
        <w:t>人大会议</w:t>
      </w:r>
      <w:r>
        <w:rPr>
          <w:rFonts w:ascii="仿宋_GB2312" w:hAnsi="仿宋_GB2312" w:cs="仿宋_GB2312"/>
          <w:b w:val="0"/>
          <w:bCs/>
          <w:szCs w:val="32"/>
          <w:highlight w:val="none"/>
        </w:rPr>
        <w:t>（项）：指</w:t>
      </w:r>
      <w:r>
        <w:rPr>
          <w:rFonts w:hint="eastAsia" w:ascii="仿宋_GB2312" w:hAnsi="仿宋_GB2312" w:cs="仿宋_GB2312"/>
          <w:b w:val="0"/>
          <w:bCs/>
          <w:szCs w:val="32"/>
          <w:highlight w:val="none"/>
        </w:rPr>
        <w:t>反映各级人大召开人民代表大会等专门会议的支出</w:t>
      </w:r>
      <w:r>
        <w:rPr>
          <w:rFonts w:ascii="仿宋_GB2312" w:hAnsi="仿宋_GB2312" w:cs="仿宋_GB2312"/>
          <w:b w:val="0"/>
          <w:bCs/>
          <w:szCs w:val="32"/>
          <w:highlight w:val="none"/>
        </w:rPr>
        <w:t>。</w:t>
      </w:r>
    </w:p>
    <w:p>
      <w:pPr>
        <w:pStyle w:val="8"/>
        <w:ind w:firstLine="640" w:firstLineChars="200"/>
        <w:rPr>
          <w:rFonts w:ascii="仿宋_GB2312" w:hAnsi="仿宋_GB2312" w:cs="仿宋_GB2312"/>
          <w:b w:val="0"/>
          <w:bCs/>
          <w:szCs w:val="32"/>
          <w:highlight w:val="none"/>
        </w:rPr>
      </w:pPr>
      <w:r>
        <w:rPr>
          <w:rFonts w:ascii="仿宋_GB2312" w:hAnsi="仿宋_GB2312" w:cs="仿宋_GB2312"/>
          <w:b w:val="0"/>
          <w:bCs/>
          <w:szCs w:val="32"/>
          <w:highlight w:val="none"/>
        </w:rPr>
        <w:t>（三）</w:t>
      </w:r>
      <w:r>
        <w:rPr>
          <w:rFonts w:hint="eastAsia" w:ascii="仿宋_GB2312" w:hAnsi="仿宋_GB2312" w:cs="仿宋_GB2312"/>
          <w:b w:val="0"/>
          <w:bCs/>
          <w:szCs w:val="32"/>
          <w:highlight w:val="none"/>
        </w:rPr>
        <w:t>一般公共服务</w:t>
      </w:r>
      <w:r>
        <w:rPr>
          <w:rFonts w:ascii="仿宋_GB2312" w:hAnsi="仿宋_GB2312" w:cs="仿宋_GB2312"/>
          <w:b w:val="0"/>
          <w:bCs/>
          <w:szCs w:val="32"/>
          <w:highlight w:val="none"/>
        </w:rPr>
        <w:t>（类</w:t>
      </w:r>
      <w:r>
        <w:rPr>
          <w:rFonts w:hint="eastAsia" w:ascii="仿宋_GB2312" w:hAnsi="仿宋_GB2312" w:cs="仿宋_GB2312"/>
          <w:b w:val="0"/>
          <w:bCs/>
          <w:szCs w:val="32"/>
          <w:highlight w:val="none"/>
        </w:rPr>
        <w:t>）政府办公厅（室）及相关机构事务</w:t>
      </w:r>
      <w:r>
        <w:rPr>
          <w:rFonts w:ascii="仿宋_GB2312" w:hAnsi="仿宋_GB2312" w:cs="仿宋_GB2312"/>
          <w:b w:val="0"/>
          <w:bCs/>
          <w:szCs w:val="32"/>
          <w:highlight w:val="none"/>
        </w:rPr>
        <w:t>（款）</w:t>
      </w:r>
      <w:r>
        <w:rPr>
          <w:rFonts w:hint="eastAsia" w:ascii="仿宋_GB2312" w:hAnsi="仿宋_GB2312" w:cs="仿宋_GB2312"/>
          <w:b w:val="0"/>
          <w:bCs/>
          <w:szCs w:val="32"/>
          <w:highlight w:val="none"/>
        </w:rPr>
        <w:t>行政运行</w:t>
      </w:r>
      <w:r>
        <w:rPr>
          <w:rFonts w:ascii="仿宋_GB2312" w:hAnsi="仿宋_GB2312" w:cs="仿宋_GB2312"/>
          <w:b w:val="0"/>
          <w:bCs/>
          <w:szCs w:val="32"/>
          <w:highlight w:val="none"/>
        </w:rPr>
        <w:t>（项）：</w:t>
      </w:r>
      <w:r>
        <w:rPr>
          <w:rFonts w:hint="eastAsia" w:ascii="仿宋_GB2312" w:hAnsi="仿宋_GB2312" w:cs="仿宋_GB2312"/>
          <w:b w:val="0"/>
          <w:bCs/>
          <w:szCs w:val="32"/>
          <w:highlight w:val="none"/>
        </w:rPr>
        <w:t>指反映行政单位（包括实行公务员管理的事业单位）的基本支出。</w:t>
      </w:r>
    </w:p>
    <w:p>
      <w:pPr>
        <w:pStyle w:val="8"/>
        <w:ind w:firstLine="640" w:firstLineChars="200"/>
        <w:rPr>
          <w:rFonts w:ascii="仿宋_GB2312" w:hAnsi="仿宋_GB2312" w:cs="仿宋_GB2312"/>
          <w:b w:val="0"/>
          <w:bCs/>
          <w:szCs w:val="32"/>
          <w:highlight w:val="none"/>
        </w:rPr>
      </w:pPr>
      <w:r>
        <w:rPr>
          <w:rFonts w:ascii="仿宋_GB2312" w:hAnsi="仿宋_GB2312" w:cs="仿宋_GB2312"/>
          <w:b w:val="0"/>
          <w:bCs/>
          <w:szCs w:val="32"/>
          <w:highlight w:val="none"/>
        </w:rPr>
        <w:t>（四）</w:t>
      </w:r>
      <w:r>
        <w:rPr>
          <w:rFonts w:hint="eastAsia" w:ascii="仿宋_GB2312" w:hAnsi="仿宋_GB2312" w:cs="仿宋_GB2312"/>
          <w:b w:val="0"/>
          <w:bCs/>
          <w:szCs w:val="32"/>
          <w:highlight w:val="none"/>
        </w:rPr>
        <w:t>一般公共服务</w:t>
      </w:r>
      <w:r>
        <w:rPr>
          <w:rFonts w:ascii="仿宋_GB2312" w:hAnsi="仿宋_GB2312" w:cs="仿宋_GB2312"/>
          <w:b w:val="0"/>
          <w:bCs/>
          <w:szCs w:val="32"/>
          <w:highlight w:val="none"/>
        </w:rPr>
        <w:t>（类</w:t>
      </w:r>
      <w:r>
        <w:rPr>
          <w:rFonts w:hint="eastAsia" w:ascii="仿宋_GB2312" w:hAnsi="仿宋_GB2312" w:cs="仿宋_GB2312"/>
          <w:b w:val="0"/>
          <w:bCs/>
          <w:szCs w:val="32"/>
          <w:highlight w:val="none"/>
        </w:rPr>
        <w:t>）政府办公厅（室）及相关机构事务</w:t>
      </w:r>
      <w:r>
        <w:rPr>
          <w:rFonts w:ascii="仿宋_GB2312" w:hAnsi="仿宋_GB2312" w:cs="仿宋_GB2312"/>
          <w:b w:val="0"/>
          <w:bCs/>
          <w:szCs w:val="32"/>
          <w:highlight w:val="none"/>
        </w:rPr>
        <w:t>（款）</w:t>
      </w:r>
      <w:r>
        <w:rPr>
          <w:rFonts w:hint="eastAsia" w:ascii="仿宋_GB2312" w:hAnsi="仿宋_GB2312" w:cs="仿宋_GB2312"/>
          <w:b w:val="0"/>
          <w:bCs/>
          <w:szCs w:val="32"/>
          <w:highlight w:val="none"/>
        </w:rPr>
        <w:t>一般行政管理事务</w:t>
      </w:r>
      <w:r>
        <w:rPr>
          <w:rFonts w:ascii="仿宋_GB2312" w:hAnsi="仿宋_GB2312" w:cs="仿宋_GB2312"/>
          <w:b w:val="0"/>
          <w:bCs/>
          <w:szCs w:val="32"/>
          <w:highlight w:val="none"/>
        </w:rPr>
        <w:t>（项）：</w:t>
      </w:r>
      <w:r>
        <w:rPr>
          <w:rFonts w:hint="eastAsia" w:ascii="仿宋_GB2312" w:hAnsi="仿宋_GB2312" w:cs="仿宋_GB2312"/>
          <w:b w:val="0"/>
          <w:bCs/>
          <w:szCs w:val="32"/>
          <w:highlight w:val="none"/>
        </w:rPr>
        <w:t>指反映行政单位（包括实行公务员管理的事业单位）未单独设置项级科目的其他项目支出。</w:t>
      </w:r>
    </w:p>
    <w:p>
      <w:pPr>
        <w:pStyle w:val="8"/>
        <w:ind w:firstLine="640" w:firstLineChars="200"/>
        <w:rPr>
          <w:rFonts w:ascii="仿宋_GB2312" w:hAnsi="仿宋_GB2312" w:cs="仿宋_GB2312"/>
          <w:b w:val="0"/>
          <w:bCs/>
          <w:szCs w:val="32"/>
          <w:highlight w:val="none"/>
        </w:rPr>
      </w:pPr>
      <w:r>
        <w:rPr>
          <w:rFonts w:ascii="仿宋_GB2312" w:hAnsi="仿宋_GB2312" w:cs="仿宋_GB2312"/>
          <w:b w:val="0"/>
          <w:bCs/>
          <w:szCs w:val="32"/>
          <w:highlight w:val="none"/>
        </w:rPr>
        <w:t>（</w:t>
      </w:r>
      <w:r>
        <w:rPr>
          <w:rFonts w:hint="eastAsia" w:ascii="仿宋_GB2312" w:hAnsi="仿宋_GB2312" w:cs="仿宋_GB2312"/>
          <w:b w:val="0"/>
          <w:bCs/>
          <w:szCs w:val="32"/>
          <w:highlight w:val="none"/>
        </w:rPr>
        <w:t>五</w:t>
      </w:r>
      <w:r>
        <w:rPr>
          <w:rFonts w:ascii="仿宋_GB2312" w:hAnsi="仿宋_GB2312" w:cs="仿宋_GB2312"/>
          <w:b w:val="0"/>
          <w:bCs/>
          <w:szCs w:val="32"/>
          <w:highlight w:val="none"/>
        </w:rPr>
        <w:t>）</w:t>
      </w:r>
      <w:r>
        <w:rPr>
          <w:rFonts w:hint="eastAsia" w:ascii="仿宋_GB2312" w:hAnsi="仿宋_GB2312" w:cs="仿宋_GB2312"/>
          <w:b w:val="0"/>
          <w:bCs/>
          <w:szCs w:val="32"/>
          <w:highlight w:val="none"/>
        </w:rPr>
        <w:t>一般公共服务</w:t>
      </w:r>
      <w:r>
        <w:rPr>
          <w:rFonts w:ascii="仿宋_GB2312" w:hAnsi="仿宋_GB2312" w:cs="仿宋_GB2312"/>
          <w:b w:val="0"/>
          <w:bCs/>
          <w:szCs w:val="32"/>
          <w:highlight w:val="none"/>
        </w:rPr>
        <w:t>（类</w:t>
      </w:r>
      <w:r>
        <w:rPr>
          <w:rFonts w:hint="eastAsia" w:ascii="仿宋_GB2312" w:hAnsi="仿宋_GB2312" w:cs="仿宋_GB2312"/>
          <w:b w:val="0"/>
          <w:bCs/>
          <w:szCs w:val="32"/>
          <w:highlight w:val="none"/>
        </w:rPr>
        <w:t>）政府办公厅（室）及相关机构事务</w:t>
      </w:r>
      <w:r>
        <w:rPr>
          <w:rFonts w:ascii="仿宋_GB2312" w:hAnsi="仿宋_GB2312" w:cs="仿宋_GB2312"/>
          <w:b w:val="0"/>
          <w:bCs/>
          <w:szCs w:val="32"/>
          <w:highlight w:val="none"/>
        </w:rPr>
        <w:t>（款）</w:t>
      </w:r>
      <w:r>
        <w:rPr>
          <w:rFonts w:hint="eastAsia" w:ascii="仿宋_GB2312" w:hAnsi="仿宋_GB2312" w:cs="仿宋_GB2312"/>
          <w:b w:val="0"/>
          <w:bCs/>
          <w:szCs w:val="32"/>
          <w:highlight w:val="none"/>
        </w:rPr>
        <w:t>信访事务</w:t>
      </w:r>
      <w:r>
        <w:rPr>
          <w:rFonts w:ascii="仿宋_GB2312" w:hAnsi="仿宋_GB2312" w:cs="仿宋_GB2312"/>
          <w:b w:val="0"/>
          <w:bCs/>
          <w:szCs w:val="32"/>
          <w:highlight w:val="none"/>
        </w:rPr>
        <w:t>（项）：</w:t>
      </w:r>
      <w:r>
        <w:rPr>
          <w:rFonts w:hint="eastAsia" w:ascii="仿宋_GB2312" w:hAnsi="仿宋_GB2312" w:cs="仿宋_GB2312"/>
          <w:b w:val="0"/>
          <w:bCs/>
          <w:szCs w:val="32"/>
          <w:highlight w:val="none"/>
        </w:rPr>
        <w:t>指反映各级政府用于接待群众来信来访方面的支出。</w:t>
      </w:r>
    </w:p>
    <w:p>
      <w:pPr>
        <w:pStyle w:val="8"/>
        <w:ind w:firstLine="640" w:firstLineChars="200"/>
        <w:rPr>
          <w:rFonts w:ascii="仿宋_GB2312" w:hAnsi="仿宋_GB2312" w:cs="仿宋_GB2312"/>
          <w:b w:val="0"/>
          <w:bCs/>
          <w:szCs w:val="32"/>
          <w:highlight w:val="none"/>
        </w:rPr>
      </w:pPr>
      <w:r>
        <w:rPr>
          <w:rFonts w:ascii="仿宋_GB2312" w:hAnsi="仿宋_GB2312" w:cs="仿宋_GB2312"/>
          <w:b w:val="0"/>
          <w:bCs/>
          <w:szCs w:val="32"/>
          <w:highlight w:val="none"/>
        </w:rPr>
        <w:t>（</w:t>
      </w:r>
      <w:r>
        <w:rPr>
          <w:rFonts w:hint="eastAsia" w:ascii="仿宋_GB2312" w:hAnsi="仿宋_GB2312" w:cs="仿宋_GB2312"/>
          <w:b w:val="0"/>
          <w:bCs/>
          <w:szCs w:val="32"/>
          <w:highlight w:val="none"/>
        </w:rPr>
        <w:t>六</w:t>
      </w:r>
      <w:r>
        <w:rPr>
          <w:rFonts w:ascii="仿宋_GB2312" w:hAnsi="仿宋_GB2312" w:cs="仿宋_GB2312"/>
          <w:b w:val="0"/>
          <w:bCs/>
          <w:szCs w:val="32"/>
          <w:highlight w:val="none"/>
        </w:rPr>
        <w:t>）</w:t>
      </w:r>
      <w:r>
        <w:rPr>
          <w:rFonts w:hint="eastAsia" w:ascii="仿宋_GB2312" w:hAnsi="仿宋_GB2312" w:cs="仿宋_GB2312"/>
          <w:b w:val="0"/>
          <w:bCs/>
          <w:szCs w:val="32"/>
          <w:highlight w:val="none"/>
        </w:rPr>
        <w:t>一般公共服务</w:t>
      </w:r>
      <w:r>
        <w:rPr>
          <w:rFonts w:ascii="仿宋_GB2312" w:hAnsi="仿宋_GB2312" w:cs="仿宋_GB2312"/>
          <w:b w:val="0"/>
          <w:bCs/>
          <w:szCs w:val="32"/>
          <w:highlight w:val="none"/>
        </w:rPr>
        <w:t>（类</w:t>
      </w:r>
      <w:r>
        <w:rPr>
          <w:rFonts w:hint="eastAsia" w:ascii="仿宋_GB2312" w:hAnsi="仿宋_GB2312" w:cs="仿宋_GB2312"/>
          <w:b w:val="0"/>
          <w:bCs/>
          <w:szCs w:val="32"/>
          <w:highlight w:val="none"/>
        </w:rPr>
        <w:t>）纪检监察事务</w:t>
      </w:r>
      <w:r>
        <w:rPr>
          <w:rFonts w:ascii="仿宋_GB2312" w:hAnsi="仿宋_GB2312" w:cs="仿宋_GB2312"/>
          <w:b w:val="0"/>
          <w:bCs/>
          <w:szCs w:val="32"/>
          <w:highlight w:val="none"/>
        </w:rPr>
        <w:t>（款）</w:t>
      </w:r>
      <w:r>
        <w:rPr>
          <w:rFonts w:hint="eastAsia" w:ascii="仿宋_GB2312" w:hAnsi="仿宋_GB2312" w:cs="仿宋_GB2312"/>
          <w:b w:val="0"/>
          <w:bCs/>
          <w:szCs w:val="32"/>
          <w:highlight w:val="none"/>
        </w:rPr>
        <w:t>一般行政管理事务</w:t>
      </w:r>
      <w:r>
        <w:rPr>
          <w:rFonts w:ascii="仿宋_GB2312" w:hAnsi="仿宋_GB2312" w:cs="仿宋_GB2312"/>
          <w:b w:val="0"/>
          <w:bCs/>
          <w:szCs w:val="32"/>
          <w:highlight w:val="none"/>
        </w:rPr>
        <w:t>（项）：</w:t>
      </w:r>
      <w:r>
        <w:rPr>
          <w:rFonts w:hint="eastAsia" w:ascii="仿宋_GB2312" w:hAnsi="仿宋_GB2312" w:cs="仿宋_GB2312"/>
          <w:b w:val="0"/>
          <w:bCs/>
          <w:szCs w:val="32"/>
          <w:highlight w:val="none"/>
        </w:rPr>
        <w:t>指反映行政单位（包括实行公务员管理的事业单位）未单独设置项级科目的其他项目支出。</w:t>
      </w:r>
    </w:p>
    <w:p>
      <w:pPr>
        <w:pStyle w:val="8"/>
        <w:ind w:firstLine="640" w:firstLineChars="200"/>
        <w:rPr>
          <w:rFonts w:ascii="仿宋_GB2312" w:hAnsi="仿宋_GB2312" w:cs="仿宋_GB2312"/>
          <w:b w:val="0"/>
          <w:bCs/>
          <w:szCs w:val="32"/>
          <w:highlight w:val="none"/>
        </w:rPr>
      </w:pPr>
      <w:r>
        <w:rPr>
          <w:rFonts w:ascii="仿宋_GB2312" w:hAnsi="仿宋_GB2312" w:cs="仿宋_GB2312"/>
          <w:b w:val="0"/>
          <w:bCs/>
          <w:szCs w:val="32"/>
          <w:highlight w:val="none"/>
        </w:rPr>
        <w:t>（</w:t>
      </w:r>
      <w:r>
        <w:rPr>
          <w:rFonts w:hint="eastAsia" w:ascii="仿宋_GB2312" w:hAnsi="仿宋_GB2312" w:cs="仿宋_GB2312"/>
          <w:b w:val="0"/>
          <w:bCs/>
          <w:szCs w:val="32"/>
          <w:highlight w:val="none"/>
        </w:rPr>
        <w:t>七</w:t>
      </w:r>
      <w:r>
        <w:rPr>
          <w:rFonts w:ascii="仿宋_GB2312" w:hAnsi="仿宋_GB2312" w:cs="仿宋_GB2312"/>
          <w:b w:val="0"/>
          <w:bCs/>
          <w:szCs w:val="32"/>
          <w:highlight w:val="none"/>
        </w:rPr>
        <w:t>）</w:t>
      </w:r>
      <w:r>
        <w:rPr>
          <w:rFonts w:hint="eastAsia" w:ascii="仿宋_GB2312" w:hAnsi="仿宋_GB2312" w:cs="仿宋_GB2312"/>
          <w:b w:val="0"/>
          <w:bCs/>
          <w:szCs w:val="32"/>
          <w:highlight w:val="none"/>
        </w:rPr>
        <w:t>一般公共服务</w:t>
      </w:r>
      <w:r>
        <w:rPr>
          <w:rFonts w:ascii="仿宋_GB2312" w:hAnsi="仿宋_GB2312" w:cs="仿宋_GB2312"/>
          <w:b w:val="0"/>
          <w:bCs/>
          <w:szCs w:val="32"/>
          <w:highlight w:val="none"/>
        </w:rPr>
        <w:t>（类</w:t>
      </w:r>
      <w:r>
        <w:rPr>
          <w:rFonts w:hint="eastAsia" w:ascii="仿宋_GB2312" w:hAnsi="仿宋_GB2312" w:cs="仿宋_GB2312"/>
          <w:b w:val="0"/>
          <w:bCs/>
          <w:szCs w:val="32"/>
          <w:highlight w:val="none"/>
        </w:rPr>
        <w:t>）群众团体事务</w:t>
      </w:r>
      <w:r>
        <w:rPr>
          <w:rFonts w:ascii="仿宋_GB2312" w:hAnsi="仿宋_GB2312" w:cs="仿宋_GB2312"/>
          <w:b w:val="0"/>
          <w:bCs/>
          <w:szCs w:val="32"/>
          <w:highlight w:val="none"/>
        </w:rPr>
        <w:t>（款）</w:t>
      </w:r>
      <w:r>
        <w:rPr>
          <w:rFonts w:hint="eastAsia" w:ascii="仿宋_GB2312" w:hAnsi="仿宋_GB2312" w:cs="仿宋_GB2312"/>
          <w:b w:val="0"/>
          <w:bCs/>
          <w:szCs w:val="32"/>
          <w:highlight w:val="none"/>
        </w:rPr>
        <w:t>其他群众团体事务</w:t>
      </w:r>
      <w:r>
        <w:rPr>
          <w:rFonts w:ascii="仿宋_GB2312" w:hAnsi="仿宋_GB2312" w:cs="仿宋_GB2312"/>
          <w:b w:val="0"/>
          <w:bCs/>
          <w:szCs w:val="32"/>
          <w:highlight w:val="none"/>
        </w:rPr>
        <w:t>（项）：</w:t>
      </w:r>
      <w:r>
        <w:rPr>
          <w:rFonts w:hint="eastAsia" w:ascii="仿宋_GB2312" w:hAnsi="仿宋_GB2312" w:cs="仿宋_GB2312"/>
          <w:b w:val="0"/>
          <w:bCs/>
          <w:szCs w:val="32"/>
          <w:highlight w:val="none"/>
        </w:rPr>
        <w:t>指反映除上述项目以外其他用于群众团体事务方面的支出。</w:t>
      </w:r>
      <w:bookmarkStart w:id="13" w:name="_GoBack"/>
      <w:bookmarkEnd w:id="13"/>
    </w:p>
    <w:p>
      <w:pPr>
        <w:pStyle w:val="8"/>
        <w:ind w:firstLine="640" w:firstLineChars="200"/>
        <w:rPr>
          <w:rFonts w:ascii="仿宋_GB2312" w:hAnsi="仿宋_GB2312" w:cs="仿宋_GB2312"/>
          <w:b w:val="0"/>
          <w:bCs/>
          <w:szCs w:val="32"/>
          <w:highlight w:val="none"/>
        </w:rPr>
      </w:pPr>
      <w:r>
        <w:rPr>
          <w:rFonts w:ascii="仿宋_GB2312" w:hAnsi="仿宋_GB2312" w:cs="仿宋_GB2312"/>
          <w:b w:val="0"/>
          <w:bCs/>
          <w:szCs w:val="32"/>
          <w:highlight w:val="none"/>
        </w:rPr>
        <w:t>（</w:t>
      </w:r>
      <w:r>
        <w:rPr>
          <w:rFonts w:hint="eastAsia" w:ascii="仿宋_GB2312" w:hAnsi="仿宋_GB2312" w:cs="仿宋_GB2312"/>
          <w:b w:val="0"/>
          <w:bCs/>
          <w:szCs w:val="32"/>
          <w:highlight w:val="none"/>
        </w:rPr>
        <w:t>八</w:t>
      </w:r>
      <w:r>
        <w:rPr>
          <w:rFonts w:ascii="仿宋_GB2312" w:hAnsi="仿宋_GB2312" w:cs="仿宋_GB2312"/>
          <w:b w:val="0"/>
          <w:bCs/>
          <w:szCs w:val="32"/>
          <w:highlight w:val="none"/>
        </w:rPr>
        <w:t>）</w:t>
      </w:r>
      <w:r>
        <w:rPr>
          <w:rFonts w:hint="eastAsia" w:ascii="仿宋_GB2312" w:hAnsi="仿宋_GB2312" w:cs="仿宋_GB2312"/>
          <w:b w:val="0"/>
          <w:bCs/>
          <w:szCs w:val="32"/>
          <w:highlight w:val="none"/>
        </w:rPr>
        <w:t>一般公共服务</w:t>
      </w:r>
      <w:r>
        <w:rPr>
          <w:rFonts w:ascii="仿宋_GB2312" w:hAnsi="仿宋_GB2312" w:cs="仿宋_GB2312"/>
          <w:b w:val="0"/>
          <w:bCs/>
          <w:szCs w:val="32"/>
          <w:highlight w:val="none"/>
        </w:rPr>
        <w:t>（类</w:t>
      </w:r>
      <w:r>
        <w:rPr>
          <w:rFonts w:hint="eastAsia" w:ascii="仿宋_GB2312" w:hAnsi="仿宋_GB2312" w:cs="仿宋_GB2312"/>
          <w:b w:val="0"/>
          <w:bCs/>
          <w:szCs w:val="32"/>
          <w:highlight w:val="none"/>
        </w:rPr>
        <w:t>）党委办公室及相关机构事务</w:t>
      </w:r>
      <w:r>
        <w:rPr>
          <w:rFonts w:ascii="仿宋_GB2312" w:hAnsi="仿宋_GB2312" w:cs="仿宋_GB2312"/>
          <w:b w:val="0"/>
          <w:bCs/>
          <w:szCs w:val="32"/>
          <w:highlight w:val="none"/>
        </w:rPr>
        <w:t>（款）</w:t>
      </w:r>
      <w:r>
        <w:rPr>
          <w:rFonts w:hint="eastAsia" w:ascii="仿宋_GB2312" w:hAnsi="仿宋_GB2312" w:cs="仿宋_GB2312"/>
          <w:b w:val="0"/>
          <w:bCs/>
          <w:szCs w:val="32"/>
          <w:highlight w:val="none"/>
        </w:rPr>
        <w:t>一般行政管理事务</w:t>
      </w:r>
      <w:r>
        <w:rPr>
          <w:rFonts w:ascii="仿宋_GB2312" w:hAnsi="仿宋_GB2312" w:cs="仿宋_GB2312"/>
          <w:b w:val="0"/>
          <w:bCs/>
          <w:szCs w:val="32"/>
          <w:highlight w:val="none"/>
        </w:rPr>
        <w:t>（项）：</w:t>
      </w:r>
      <w:r>
        <w:rPr>
          <w:rFonts w:hint="eastAsia" w:ascii="仿宋_GB2312" w:hAnsi="仿宋_GB2312" w:cs="仿宋_GB2312"/>
          <w:b w:val="0"/>
          <w:bCs/>
          <w:szCs w:val="32"/>
          <w:highlight w:val="none"/>
        </w:rPr>
        <w:t>指反映行政单位（包括实行公务员管理的事业单位）未单独设置项级科目的其他项目支出。</w:t>
      </w:r>
    </w:p>
    <w:p>
      <w:pPr>
        <w:pStyle w:val="8"/>
        <w:ind w:firstLine="640" w:firstLineChars="200"/>
        <w:rPr>
          <w:rFonts w:ascii="仿宋_GB2312" w:hAnsi="仿宋_GB2312" w:cs="仿宋_GB2312"/>
          <w:b w:val="0"/>
          <w:bCs/>
          <w:szCs w:val="32"/>
          <w:highlight w:val="none"/>
        </w:rPr>
      </w:pPr>
      <w:r>
        <w:rPr>
          <w:rFonts w:ascii="仿宋_GB2312" w:hAnsi="仿宋_GB2312" w:cs="仿宋_GB2312"/>
          <w:b w:val="0"/>
          <w:bCs/>
          <w:szCs w:val="32"/>
          <w:highlight w:val="none"/>
        </w:rPr>
        <w:t>（</w:t>
      </w:r>
      <w:r>
        <w:rPr>
          <w:rFonts w:hint="eastAsia" w:ascii="仿宋_GB2312" w:hAnsi="仿宋_GB2312" w:cs="仿宋_GB2312"/>
          <w:b w:val="0"/>
          <w:bCs/>
          <w:szCs w:val="32"/>
          <w:highlight w:val="none"/>
        </w:rPr>
        <w:t>九</w:t>
      </w:r>
      <w:r>
        <w:rPr>
          <w:rFonts w:ascii="仿宋_GB2312" w:hAnsi="仿宋_GB2312" w:cs="仿宋_GB2312"/>
          <w:b w:val="0"/>
          <w:bCs/>
          <w:szCs w:val="32"/>
          <w:highlight w:val="none"/>
        </w:rPr>
        <w:t>）</w:t>
      </w:r>
      <w:r>
        <w:rPr>
          <w:rFonts w:hint="eastAsia" w:ascii="仿宋_GB2312" w:hAnsi="仿宋_GB2312" w:cs="仿宋_GB2312"/>
          <w:b w:val="0"/>
          <w:bCs/>
          <w:szCs w:val="32"/>
          <w:highlight w:val="none"/>
        </w:rPr>
        <w:t>一般公共服务</w:t>
      </w:r>
      <w:r>
        <w:rPr>
          <w:rFonts w:ascii="仿宋_GB2312" w:hAnsi="仿宋_GB2312" w:cs="仿宋_GB2312"/>
          <w:b w:val="0"/>
          <w:bCs/>
          <w:szCs w:val="32"/>
          <w:highlight w:val="none"/>
        </w:rPr>
        <w:t>（类</w:t>
      </w:r>
      <w:r>
        <w:rPr>
          <w:rFonts w:hint="eastAsia" w:ascii="仿宋_GB2312" w:hAnsi="仿宋_GB2312" w:cs="仿宋_GB2312"/>
          <w:b w:val="0"/>
          <w:bCs/>
          <w:szCs w:val="32"/>
          <w:highlight w:val="none"/>
        </w:rPr>
        <w:t>）宣传事务</w:t>
      </w:r>
      <w:r>
        <w:rPr>
          <w:rFonts w:ascii="仿宋_GB2312" w:hAnsi="仿宋_GB2312" w:cs="仿宋_GB2312"/>
          <w:b w:val="0"/>
          <w:bCs/>
          <w:szCs w:val="32"/>
          <w:highlight w:val="none"/>
        </w:rPr>
        <w:t>（款）</w:t>
      </w:r>
      <w:r>
        <w:rPr>
          <w:rFonts w:hint="eastAsia" w:ascii="仿宋_GB2312" w:hAnsi="仿宋_GB2312" w:cs="仿宋_GB2312"/>
          <w:b w:val="0"/>
          <w:bCs/>
          <w:szCs w:val="32"/>
          <w:highlight w:val="none"/>
        </w:rPr>
        <w:t>其他宣传事务</w:t>
      </w:r>
      <w:r>
        <w:rPr>
          <w:rFonts w:ascii="仿宋_GB2312" w:hAnsi="仿宋_GB2312" w:cs="仿宋_GB2312"/>
          <w:b w:val="0"/>
          <w:bCs/>
          <w:szCs w:val="32"/>
          <w:highlight w:val="none"/>
        </w:rPr>
        <w:t>（项）：</w:t>
      </w:r>
      <w:r>
        <w:rPr>
          <w:rFonts w:hint="eastAsia" w:ascii="仿宋_GB2312" w:hAnsi="仿宋_GB2312" w:cs="仿宋_GB2312"/>
          <w:b w:val="0"/>
          <w:bCs/>
          <w:szCs w:val="32"/>
          <w:highlight w:val="none"/>
        </w:rPr>
        <w:t>指反映除上述项目以外其他用于中国共产党宣传部门的事务支出。</w:t>
      </w:r>
    </w:p>
    <w:p>
      <w:pPr>
        <w:pStyle w:val="8"/>
        <w:ind w:firstLine="640" w:firstLineChars="200"/>
        <w:rPr>
          <w:rFonts w:ascii="仿宋_GB2312" w:hAnsi="仿宋_GB2312" w:cs="仿宋_GB2312"/>
          <w:b w:val="0"/>
          <w:bCs/>
          <w:szCs w:val="32"/>
          <w:highlight w:val="none"/>
        </w:rPr>
      </w:pPr>
      <w:r>
        <w:rPr>
          <w:rFonts w:ascii="仿宋_GB2312" w:hAnsi="仿宋_GB2312" w:cs="仿宋_GB2312"/>
          <w:b w:val="0"/>
          <w:bCs/>
          <w:szCs w:val="32"/>
          <w:highlight w:val="none"/>
        </w:rPr>
        <w:t>（</w:t>
      </w:r>
      <w:r>
        <w:rPr>
          <w:rFonts w:hint="eastAsia" w:ascii="仿宋_GB2312" w:hAnsi="仿宋_GB2312" w:cs="仿宋_GB2312"/>
          <w:b w:val="0"/>
          <w:bCs/>
          <w:szCs w:val="32"/>
          <w:highlight w:val="none"/>
        </w:rPr>
        <w:t>十</w:t>
      </w:r>
      <w:r>
        <w:rPr>
          <w:rFonts w:ascii="仿宋_GB2312" w:hAnsi="仿宋_GB2312" w:cs="仿宋_GB2312"/>
          <w:b w:val="0"/>
          <w:bCs/>
          <w:szCs w:val="32"/>
          <w:highlight w:val="none"/>
        </w:rPr>
        <w:t>）</w:t>
      </w:r>
      <w:r>
        <w:rPr>
          <w:rFonts w:hint="eastAsia" w:ascii="仿宋_GB2312" w:hAnsi="仿宋_GB2312" w:cs="仿宋_GB2312"/>
          <w:b w:val="0"/>
          <w:bCs/>
          <w:szCs w:val="32"/>
          <w:highlight w:val="none"/>
        </w:rPr>
        <w:t>国防</w:t>
      </w:r>
      <w:r>
        <w:rPr>
          <w:rFonts w:ascii="仿宋_GB2312" w:hAnsi="仿宋_GB2312" w:cs="仿宋_GB2312"/>
          <w:b w:val="0"/>
          <w:bCs/>
          <w:szCs w:val="32"/>
          <w:highlight w:val="none"/>
        </w:rPr>
        <w:t>（类</w:t>
      </w:r>
      <w:r>
        <w:rPr>
          <w:rFonts w:hint="eastAsia" w:ascii="仿宋_GB2312" w:hAnsi="仿宋_GB2312" w:cs="仿宋_GB2312"/>
          <w:b w:val="0"/>
          <w:bCs/>
          <w:szCs w:val="32"/>
          <w:highlight w:val="none"/>
        </w:rPr>
        <w:t>）国防动员</w:t>
      </w:r>
      <w:r>
        <w:rPr>
          <w:rFonts w:ascii="仿宋_GB2312" w:hAnsi="仿宋_GB2312" w:cs="仿宋_GB2312"/>
          <w:b w:val="0"/>
          <w:bCs/>
          <w:szCs w:val="32"/>
          <w:highlight w:val="none"/>
        </w:rPr>
        <w:t>（款）</w:t>
      </w:r>
      <w:r>
        <w:rPr>
          <w:rFonts w:hint="eastAsia" w:ascii="仿宋_GB2312" w:hAnsi="仿宋_GB2312" w:cs="仿宋_GB2312"/>
          <w:b w:val="0"/>
          <w:bCs/>
          <w:szCs w:val="32"/>
          <w:highlight w:val="none"/>
        </w:rPr>
        <w:t>兵役征集</w:t>
      </w:r>
      <w:r>
        <w:rPr>
          <w:rFonts w:ascii="仿宋_GB2312" w:hAnsi="仿宋_GB2312" w:cs="仿宋_GB2312"/>
          <w:b w:val="0"/>
          <w:bCs/>
          <w:szCs w:val="32"/>
          <w:highlight w:val="none"/>
        </w:rPr>
        <w:t>（项）：</w:t>
      </w:r>
      <w:r>
        <w:rPr>
          <w:rFonts w:hint="eastAsia" w:ascii="仿宋_GB2312" w:hAnsi="仿宋_GB2312" w:cs="仿宋_GB2312"/>
          <w:b w:val="0"/>
          <w:bCs/>
          <w:szCs w:val="32"/>
          <w:highlight w:val="none"/>
        </w:rPr>
        <w:t>指反映用于兵役征集等方面的支出。</w:t>
      </w:r>
    </w:p>
    <w:p>
      <w:pPr>
        <w:pStyle w:val="8"/>
        <w:ind w:firstLine="640" w:firstLineChars="200"/>
        <w:rPr>
          <w:rFonts w:ascii="仿宋_GB2312" w:hAnsi="仿宋_GB2312" w:cs="仿宋_GB2312"/>
          <w:b w:val="0"/>
          <w:bCs/>
          <w:spacing w:val="-11"/>
          <w:szCs w:val="32"/>
          <w:highlight w:val="none"/>
        </w:rPr>
      </w:pPr>
      <w:r>
        <w:rPr>
          <w:rFonts w:ascii="仿宋_GB2312" w:hAnsi="仿宋_GB2312" w:cs="仿宋_GB2312"/>
          <w:b w:val="0"/>
          <w:bCs/>
          <w:szCs w:val="32"/>
          <w:highlight w:val="none"/>
        </w:rPr>
        <w:t>（</w:t>
      </w:r>
      <w:r>
        <w:rPr>
          <w:rFonts w:hint="eastAsia" w:ascii="仿宋_GB2312" w:hAnsi="仿宋_GB2312" w:cs="仿宋_GB2312"/>
          <w:b w:val="0"/>
          <w:bCs/>
          <w:szCs w:val="32"/>
          <w:highlight w:val="none"/>
        </w:rPr>
        <w:t>十一</w:t>
      </w:r>
      <w:r>
        <w:rPr>
          <w:rFonts w:ascii="仿宋_GB2312" w:hAnsi="仿宋_GB2312" w:cs="仿宋_GB2312"/>
          <w:b w:val="0"/>
          <w:bCs/>
          <w:szCs w:val="32"/>
          <w:highlight w:val="none"/>
        </w:rPr>
        <w:t>）</w:t>
      </w:r>
      <w:r>
        <w:rPr>
          <w:rFonts w:hint="eastAsia" w:ascii="仿宋_GB2312" w:hAnsi="仿宋_GB2312" w:cs="仿宋_GB2312"/>
          <w:b w:val="0"/>
          <w:bCs/>
          <w:szCs w:val="32"/>
          <w:highlight w:val="none"/>
        </w:rPr>
        <w:t>文化旅游体育与传媒</w:t>
      </w:r>
      <w:r>
        <w:rPr>
          <w:rFonts w:ascii="仿宋_GB2312" w:hAnsi="仿宋_GB2312" w:cs="仿宋_GB2312"/>
          <w:b w:val="0"/>
          <w:bCs/>
          <w:szCs w:val="32"/>
          <w:highlight w:val="none"/>
        </w:rPr>
        <w:t>（类</w:t>
      </w:r>
      <w:r>
        <w:rPr>
          <w:rFonts w:hint="eastAsia" w:ascii="仿宋_GB2312" w:hAnsi="仿宋_GB2312" w:cs="仿宋_GB2312"/>
          <w:b w:val="0"/>
          <w:bCs/>
          <w:szCs w:val="32"/>
          <w:highlight w:val="none"/>
        </w:rPr>
        <w:t>）文化和旅游</w:t>
      </w:r>
      <w:r>
        <w:rPr>
          <w:rFonts w:ascii="仿宋_GB2312" w:hAnsi="仿宋_GB2312" w:cs="仿宋_GB2312"/>
          <w:b w:val="0"/>
          <w:bCs/>
          <w:szCs w:val="32"/>
          <w:highlight w:val="none"/>
        </w:rPr>
        <w:t>（款）</w:t>
      </w:r>
      <w:r>
        <w:rPr>
          <w:rFonts w:hint="eastAsia" w:ascii="仿宋_GB2312" w:hAnsi="仿宋_GB2312" w:cs="仿宋_GB2312"/>
          <w:b w:val="0"/>
          <w:bCs/>
          <w:spacing w:val="-11"/>
          <w:szCs w:val="32"/>
          <w:highlight w:val="none"/>
        </w:rPr>
        <w:t>文化和旅游管理事务</w:t>
      </w:r>
      <w:r>
        <w:rPr>
          <w:rFonts w:ascii="仿宋_GB2312" w:hAnsi="仿宋_GB2312" w:cs="仿宋_GB2312"/>
          <w:b w:val="0"/>
          <w:bCs/>
          <w:spacing w:val="-11"/>
          <w:szCs w:val="32"/>
          <w:highlight w:val="none"/>
        </w:rPr>
        <w:t>（项）：</w:t>
      </w:r>
      <w:r>
        <w:rPr>
          <w:rFonts w:hint="eastAsia" w:ascii="仿宋_GB2312" w:hAnsi="仿宋_GB2312" w:cs="仿宋_GB2312"/>
          <w:b w:val="0"/>
          <w:bCs/>
          <w:spacing w:val="-11"/>
          <w:szCs w:val="32"/>
          <w:highlight w:val="none"/>
        </w:rPr>
        <w:t>指反映文化和旅游管理事务支出。</w:t>
      </w:r>
    </w:p>
    <w:p>
      <w:pPr>
        <w:pStyle w:val="8"/>
        <w:ind w:firstLine="640" w:firstLineChars="200"/>
        <w:rPr>
          <w:rFonts w:ascii="仿宋_GB2312" w:hAnsi="仿宋_GB2312" w:cs="仿宋_GB2312"/>
          <w:b w:val="0"/>
          <w:bCs/>
          <w:szCs w:val="32"/>
          <w:highlight w:val="none"/>
        </w:rPr>
      </w:pPr>
      <w:r>
        <w:rPr>
          <w:rFonts w:ascii="仿宋_GB2312" w:hAnsi="仿宋_GB2312" w:cs="仿宋_GB2312"/>
          <w:b w:val="0"/>
          <w:bCs/>
          <w:szCs w:val="32"/>
          <w:highlight w:val="none"/>
        </w:rPr>
        <w:t>（</w:t>
      </w:r>
      <w:r>
        <w:rPr>
          <w:rFonts w:hint="eastAsia" w:ascii="仿宋_GB2312" w:hAnsi="仿宋_GB2312" w:cs="仿宋_GB2312"/>
          <w:b w:val="0"/>
          <w:bCs/>
          <w:szCs w:val="32"/>
          <w:highlight w:val="none"/>
        </w:rPr>
        <w:t>十二</w:t>
      </w:r>
      <w:r>
        <w:rPr>
          <w:rFonts w:ascii="仿宋_GB2312" w:hAnsi="仿宋_GB2312" w:cs="仿宋_GB2312"/>
          <w:b w:val="0"/>
          <w:bCs/>
          <w:szCs w:val="32"/>
          <w:highlight w:val="none"/>
        </w:rPr>
        <w:t>）社会保障和就业（类</w:t>
      </w:r>
      <w:r>
        <w:rPr>
          <w:rFonts w:hint="eastAsia" w:ascii="仿宋_GB2312" w:hAnsi="仿宋_GB2312" w:cs="仿宋_GB2312"/>
          <w:b w:val="0"/>
          <w:bCs/>
          <w:szCs w:val="32"/>
          <w:highlight w:val="none"/>
        </w:rPr>
        <w:t>）民政管理事务</w:t>
      </w:r>
      <w:r>
        <w:rPr>
          <w:rFonts w:ascii="仿宋_GB2312" w:hAnsi="仿宋_GB2312" w:cs="仿宋_GB2312"/>
          <w:b w:val="0"/>
          <w:bCs/>
          <w:szCs w:val="32"/>
          <w:highlight w:val="none"/>
        </w:rPr>
        <w:t>（款）</w:t>
      </w:r>
      <w:r>
        <w:rPr>
          <w:rFonts w:hint="eastAsia" w:ascii="仿宋_GB2312" w:hAnsi="仿宋_GB2312" w:cs="仿宋_GB2312"/>
          <w:b w:val="0"/>
          <w:bCs/>
          <w:szCs w:val="32"/>
          <w:highlight w:val="none"/>
        </w:rPr>
        <w:t>基层政权建设和社区治理</w:t>
      </w:r>
      <w:r>
        <w:rPr>
          <w:rFonts w:ascii="仿宋_GB2312" w:hAnsi="仿宋_GB2312" w:cs="仿宋_GB2312"/>
          <w:b w:val="0"/>
          <w:bCs/>
          <w:szCs w:val="32"/>
          <w:highlight w:val="none"/>
        </w:rPr>
        <w:t>（项）：</w:t>
      </w:r>
      <w:r>
        <w:rPr>
          <w:rFonts w:hint="eastAsia" w:ascii="仿宋_GB2312" w:hAnsi="仿宋_GB2312" w:cs="仿宋_GB2312"/>
          <w:b w:val="0"/>
          <w:bCs/>
          <w:szCs w:val="32"/>
          <w:highlight w:val="none"/>
        </w:rPr>
        <w:t>指反映开展城乡社区治理、城乡社区服务（乡村便民服务）、村（居）民自治、村（居）务公开、乡镇（街道）服务能力建设等基层政权建设和社区治理工作的支出。</w:t>
      </w:r>
    </w:p>
    <w:p>
      <w:pPr>
        <w:pStyle w:val="8"/>
        <w:ind w:firstLine="640" w:firstLineChars="200"/>
        <w:rPr>
          <w:rFonts w:ascii="仿宋_GB2312" w:hAnsi="仿宋_GB2312" w:cs="仿宋_GB2312"/>
          <w:b w:val="0"/>
          <w:bCs/>
          <w:szCs w:val="32"/>
          <w:highlight w:val="none"/>
        </w:rPr>
      </w:pPr>
      <w:r>
        <w:rPr>
          <w:rFonts w:ascii="仿宋_GB2312" w:hAnsi="仿宋_GB2312" w:cs="仿宋_GB2312"/>
          <w:b w:val="0"/>
          <w:bCs/>
          <w:szCs w:val="32"/>
          <w:highlight w:val="none"/>
        </w:rPr>
        <w:t>（</w:t>
      </w:r>
      <w:r>
        <w:rPr>
          <w:rFonts w:hint="eastAsia" w:ascii="仿宋_GB2312" w:hAnsi="仿宋_GB2312" w:cs="仿宋_GB2312"/>
          <w:b w:val="0"/>
          <w:bCs/>
          <w:szCs w:val="32"/>
          <w:highlight w:val="none"/>
        </w:rPr>
        <w:t>十三</w:t>
      </w:r>
      <w:r>
        <w:rPr>
          <w:rFonts w:ascii="仿宋_GB2312" w:hAnsi="仿宋_GB2312" w:cs="仿宋_GB2312"/>
          <w:b w:val="0"/>
          <w:bCs/>
          <w:szCs w:val="32"/>
          <w:highlight w:val="none"/>
        </w:rPr>
        <w:t>）社会保障和就业（类）行政事业单位离退休（款）机关事业单位基本养老保险缴费支出（项）：指部门实施养老保险制度由单位缴纳的养老保险费的支出。</w:t>
      </w:r>
    </w:p>
    <w:p>
      <w:pPr>
        <w:pStyle w:val="8"/>
        <w:ind w:firstLine="640" w:firstLineChars="200"/>
        <w:rPr>
          <w:rFonts w:ascii="仿宋_GB2312" w:hAnsi="仿宋_GB2312" w:cs="仿宋_GB2312"/>
          <w:b w:val="0"/>
          <w:bCs/>
          <w:szCs w:val="32"/>
          <w:highlight w:val="none"/>
        </w:rPr>
      </w:pPr>
      <w:r>
        <w:rPr>
          <w:rFonts w:ascii="仿宋_GB2312" w:hAnsi="仿宋_GB2312" w:cs="仿宋_GB2312"/>
          <w:b w:val="0"/>
          <w:bCs/>
          <w:szCs w:val="32"/>
          <w:highlight w:val="none"/>
        </w:rPr>
        <w:t>（</w:t>
      </w:r>
      <w:r>
        <w:rPr>
          <w:rFonts w:hint="eastAsia" w:ascii="仿宋_GB2312" w:hAnsi="仿宋_GB2312" w:cs="仿宋_GB2312"/>
          <w:b w:val="0"/>
          <w:bCs/>
          <w:szCs w:val="32"/>
          <w:highlight w:val="none"/>
        </w:rPr>
        <w:t>十四</w:t>
      </w:r>
      <w:r>
        <w:rPr>
          <w:rFonts w:ascii="仿宋_GB2312" w:hAnsi="仿宋_GB2312" w:cs="仿宋_GB2312"/>
          <w:b w:val="0"/>
          <w:bCs/>
          <w:szCs w:val="32"/>
          <w:highlight w:val="none"/>
        </w:rPr>
        <w:t>）卫生健康（类）行政事业单位医疗（款）行政单位医疗（项）：指局机关及参公管理事业单位用于缴纳单位基本医疗保险支出。</w:t>
      </w:r>
    </w:p>
    <w:p>
      <w:pPr>
        <w:pStyle w:val="8"/>
        <w:ind w:firstLine="640" w:firstLineChars="200"/>
        <w:rPr>
          <w:rFonts w:ascii="仿宋_GB2312" w:hAnsi="仿宋_GB2312" w:cs="仿宋_GB2312"/>
          <w:b w:val="0"/>
          <w:bCs/>
          <w:szCs w:val="32"/>
          <w:highlight w:val="none"/>
        </w:rPr>
      </w:pPr>
      <w:r>
        <w:rPr>
          <w:rFonts w:ascii="仿宋_GB2312" w:hAnsi="仿宋_GB2312" w:cs="仿宋_GB2312"/>
          <w:b w:val="0"/>
          <w:bCs/>
          <w:szCs w:val="32"/>
          <w:highlight w:val="none"/>
        </w:rPr>
        <w:t>（</w:t>
      </w:r>
      <w:r>
        <w:rPr>
          <w:rFonts w:hint="eastAsia" w:ascii="仿宋_GB2312" w:hAnsi="仿宋_GB2312" w:cs="仿宋_GB2312"/>
          <w:b w:val="0"/>
          <w:bCs/>
          <w:szCs w:val="32"/>
          <w:highlight w:val="none"/>
        </w:rPr>
        <w:t>十五</w:t>
      </w:r>
      <w:r>
        <w:rPr>
          <w:rFonts w:ascii="仿宋_GB2312" w:hAnsi="仿宋_GB2312" w:cs="仿宋_GB2312"/>
          <w:b w:val="0"/>
          <w:bCs/>
          <w:szCs w:val="32"/>
          <w:highlight w:val="none"/>
        </w:rPr>
        <w:t>）卫生健康（类）行政事业单位医疗（款）事业单位医疗（项）：指事业单位用于缴纳单位基本医疗保险支出。</w:t>
      </w:r>
    </w:p>
    <w:p>
      <w:pPr>
        <w:pStyle w:val="8"/>
        <w:ind w:firstLine="640" w:firstLineChars="200"/>
        <w:rPr>
          <w:rFonts w:ascii="仿宋_GB2312" w:hAnsi="仿宋_GB2312" w:cs="仿宋_GB2312"/>
          <w:b w:val="0"/>
          <w:bCs/>
          <w:szCs w:val="32"/>
          <w:highlight w:val="none"/>
        </w:rPr>
      </w:pPr>
      <w:r>
        <w:rPr>
          <w:rFonts w:ascii="仿宋_GB2312" w:hAnsi="仿宋_GB2312" w:cs="仿宋_GB2312"/>
          <w:b w:val="0"/>
          <w:bCs/>
          <w:szCs w:val="32"/>
          <w:highlight w:val="none"/>
        </w:rPr>
        <w:t>（</w:t>
      </w:r>
      <w:r>
        <w:rPr>
          <w:rFonts w:hint="eastAsia" w:ascii="仿宋_GB2312" w:hAnsi="仿宋_GB2312" w:cs="仿宋_GB2312"/>
          <w:b w:val="0"/>
          <w:bCs/>
          <w:szCs w:val="32"/>
          <w:highlight w:val="none"/>
        </w:rPr>
        <w:t>十六</w:t>
      </w:r>
      <w:r>
        <w:rPr>
          <w:rFonts w:ascii="仿宋_GB2312" w:hAnsi="仿宋_GB2312" w:cs="仿宋_GB2312"/>
          <w:b w:val="0"/>
          <w:bCs/>
          <w:szCs w:val="32"/>
          <w:highlight w:val="none"/>
        </w:rPr>
        <w:t>）</w:t>
      </w:r>
      <w:r>
        <w:rPr>
          <w:rFonts w:hint="eastAsia" w:ascii="仿宋_GB2312" w:hAnsi="仿宋_GB2312" w:cs="仿宋_GB2312"/>
          <w:b w:val="0"/>
          <w:bCs/>
          <w:szCs w:val="32"/>
          <w:highlight w:val="none"/>
        </w:rPr>
        <w:t>城乡社区</w:t>
      </w:r>
      <w:r>
        <w:rPr>
          <w:rFonts w:ascii="仿宋_GB2312" w:hAnsi="仿宋_GB2312" w:cs="仿宋_GB2312"/>
          <w:b w:val="0"/>
          <w:bCs/>
          <w:szCs w:val="32"/>
          <w:highlight w:val="none"/>
        </w:rPr>
        <w:t>（类）</w:t>
      </w:r>
      <w:r>
        <w:rPr>
          <w:rFonts w:hint="eastAsia" w:ascii="仿宋_GB2312" w:hAnsi="仿宋_GB2312" w:cs="仿宋_GB2312"/>
          <w:b w:val="0"/>
          <w:bCs/>
          <w:szCs w:val="32"/>
          <w:highlight w:val="none"/>
        </w:rPr>
        <w:t>城乡社区环境卫生</w:t>
      </w:r>
      <w:r>
        <w:rPr>
          <w:rFonts w:ascii="仿宋_GB2312" w:hAnsi="仿宋_GB2312" w:cs="仿宋_GB2312"/>
          <w:b w:val="0"/>
          <w:bCs/>
          <w:szCs w:val="32"/>
          <w:highlight w:val="none"/>
        </w:rPr>
        <w:t>（款）</w:t>
      </w:r>
      <w:r>
        <w:rPr>
          <w:rFonts w:hint="eastAsia" w:ascii="仿宋_GB2312" w:hAnsi="仿宋_GB2312" w:cs="仿宋_GB2312"/>
          <w:b w:val="0"/>
          <w:bCs/>
          <w:szCs w:val="32"/>
          <w:highlight w:val="none"/>
        </w:rPr>
        <w:t>城乡社区环境卫生</w:t>
      </w:r>
      <w:r>
        <w:rPr>
          <w:rFonts w:ascii="仿宋_GB2312" w:hAnsi="仿宋_GB2312" w:cs="仿宋_GB2312"/>
          <w:b w:val="0"/>
          <w:bCs/>
          <w:szCs w:val="32"/>
          <w:highlight w:val="none"/>
        </w:rPr>
        <w:t>（项）：</w:t>
      </w:r>
      <w:r>
        <w:rPr>
          <w:rFonts w:hint="eastAsia" w:ascii="仿宋_GB2312" w:hAnsi="仿宋_GB2312" w:cs="仿宋_GB2312"/>
          <w:b w:val="0"/>
          <w:bCs/>
          <w:szCs w:val="32"/>
          <w:highlight w:val="none"/>
        </w:rPr>
        <w:t>反映城乡社区道路清扫、垃圾清运与处理、公厕建设与维护、园林绿化等方面的支出。</w:t>
      </w:r>
    </w:p>
    <w:p>
      <w:pPr>
        <w:pStyle w:val="8"/>
        <w:ind w:firstLine="640" w:firstLineChars="200"/>
        <w:rPr>
          <w:rFonts w:ascii="仿宋_GB2312" w:hAnsi="仿宋_GB2312" w:cs="仿宋_GB2312"/>
          <w:b w:val="0"/>
          <w:bCs/>
          <w:szCs w:val="32"/>
          <w:highlight w:val="none"/>
        </w:rPr>
      </w:pPr>
      <w:r>
        <w:rPr>
          <w:rFonts w:ascii="仿宋_GB2312" w:hAnsi="仿宋_GB2312" w:cs="仿宋_GB2312"/>
          <w:b w:val="0"/>
          <w:bCs/>
          <w:szCs w:val="32"/>
          <w:highlight w:val="none"/>
        </w:rPr>
        <w:t>（</w:t>
      </w:r>
      <w:r>
        <w:rPr>
          <w:rFonts w:hint="eastAsia" w:ascii="仿宋_GB2312" w:hAnsi="仿宋_GB2312" w:cs="仿宋_GB2312"/>
          <w:b w:val="0"/>
          <w:bCs/>
          <w:szCs w:val="32"/>
          <w:highlight w:val="none"/>
        </w:rPr>
        <w:t>十七</w:t>
      </w:r>
      <w:r>
        <w:rPr>
          <w:rFonts w:ascii="仿宋_GB2312" w:hAnsi="仿宋_GB2312" w:cs="仿宋_GB2312"/>
          <w:b w:val="0"/>
          <w:bCs/>
          <w:szCs w:val="32"/>
          <w:highlight w:val="none"/>
        </w:rPr>
        <w:t>）</w:t>
      </w:r>
      <w:r>
        <w:rPr>
          <w:rFonts w:hint="eastAsia" w:ascii="仿宋_GB2312" w:hAnsi="仿宋_GB2312" w:cs="仿宋_GB2312"/>
          <w:b w:val="0"/>
          <w:bCs/>
          <w:szCs w:val="32"/>
          <w:highlight w:val="none"/>
        </w:rPr>
        <w:t>农林水</w:t>
      </w:r>
      <w:r>
        <w:rPr>
          <w:rFonts w:ascii="仿宋_GB2312" w:hAnsi="仿宋_GB2312" w:cs="仿宋_GB2312"/>
          <w:b w:val="0"/>
          <w:bCs/>
          <w:szCs w:val="32"/>
          <w:highlight w:val="none"/>
        </w:rPr>
        <w:t>（类）</w:t>
      </w:r>
      <w:r>
        <w:rPr>
          <w:rFonts w:hint="eastAsia" w:ascii="仿宋_GB2312" w:hAnsi="仿宋_GB2312" w:cs="仿宋_GB2312"/>
          <w:b w:val="0"/>
          <w:bCs/>
          <w:szCs w:val="32"/>
          <w:highlight w:val="none"/>
        </w:rPr>
        <w:t>农业农村</w:t>
      </w:r>
      <w:r>
        <w:rPr>
          <w:rFonts w:ascii="仿宋_GB2312" w:hAnsi="仿宋_GB2312" w:cs="仿宋_GB2312"/>
          <w:b w:val="0"/>
          <w:bCs/>
          <w:szCs w:val="32"/>
          <w:highlight w:val="none"/>
        </w:rPr>
        <w:t>（款）</w:t>
      </w:r>
      <w:r>
        <w:rPr>
          <w:rFonts w:hint="eastAsia" w:ascii="仿宋_GB2312" w:hAnsi="仿宋_GB2312" w:cs="仿宋_GB2312"/>
          <w:b w:val="0"/>
          <w:bCs/>
          <w:szCs w:val="32"/>
          <w:highlight w:val="none"/>
        </w:rPr>
        <w:t>事业运行</w:t>
      </w:r>
      <w:r>
        <w:rPr>
          <w:rFonts w:ascii="仿宋_GB2312" w:hAnsi="仿宋_GB2312" w:cs="仿宋_GB2312"/>
          <w:b w:val="0"/>
          <w:bCs/>
          <w:szCs w:val="32"/>
          <w:highlight w:val="none"/>
        </w:rPr>
        <w:t>（项）：</w:t>
      </w:r>
      <w:r>
        <w:rPr>
          <w:rFonts w:hint="eastAsia" w:ascii="仿宋_GB2312" w:hAnsi="仿宋_GB2312" w:cs="仿宋_GB2312"/>
          <w:b w:val="0"/>
          <w:bCs/>
          <w:szCs w:val="32"/>
          <w:highlight w:val="none"/>
        </w:rPr>
        <w:t>反映用于农业事业单位基本支出，事业单位设施、系统运行与资产维护等方面的支出。</w:t>
      </w:r>
    </w:p>
    <w:p>
      <w:pPr>
        <w:pStyle w:val="8"/>
        <w:ind w:firstLine="640" w:firstLineChars="200"/>
        <w:rPr>
          <w:rFonts w:ascii="仿宋_GB2312" w:hAnsi="仿宋_GB2312" w:cs="仿宋_GB2312"/>
          <w:b w:val="0"/>
          <w:bCs/>
          <w:szCs w:val="32"/>
          <w:highlight w:val="none"/>
        </w:rPr>
      </w:pPr>
      <w:r>
        <w:rPr>
          <w:rFonts w:ascii="仿宋_GB2312" w:hAnsi="仿宋_GB2312" w:cs="仿宋_GB2312"/>
          <w:b w:val="0"/>
          <w:bCs/>
          <w:szCs w:val="32"/>
          <w:highlight w:val="none"/>
        </w:rPr>
        <w:t>（</w:t>
      </w:r>
      <w:r>
        <w:rPr>
          <w:rFonts w:hint="eastAsia" w:ascii="仿宋_GB2312" w:hAnsi="仿宋_GB2312" w:cs="仿宋_GB2312"/>
          <w:b w:val="0"/>
          <w:bCs/>
          <w:szCs w:val="32"/>
          <w:highlight w:val="none"/>
        </w:rPr>
        <w:t>十八</w:t>
      </w:r>
      <w:r>
        <w:rPr>
          <w:rFonts w:ascii="仿宋_GB2312" w:hAnsi="仿宋_GB2312" w:cs="仿宋_GB2312"/>
          <w:b w:val="0"/>
          <w:bCs/>
          <w:szCs w:val="32"/>
          <w:highlight w:val="none"/>
        </w:rPr>
        <w:t>）</w:t>
      </w:r>
      <w:r>
        <w:rPr>
          <w:rFonts w:hint="eastAsia" w:ascii="仿宋_GB2312" w:hAnsi="仿宋_GB2312" w:cs="仿宋_GB2312"/>
          <w:b w:val="0"/>
          <w:bCs/>
          <w:szCs w:val="32"/>
          <w:highlight w:val="none"/>
        </w:rPr>
        <w:t>农林水</w:t>
      </w:r>
      <w:r>
        <w:rPr>
          <w:rFonts w:ascii="仿宋_GB2312" w:hAnsi="仿宋_GB2312" w:cs="仿宋_GB2312"/>
          <w:b w:val="0"/>
          <w:bCs/>
          <w:szCs w:val="32"/>
          <w:highlight w:val="none"/>
        </w:rPr>
        <w:t>（类）</w:t>
      </w:r>
      <w:r>
        <w:rPr>
          <w:rFonts w:hint="eastAsia" w:ascii="仿宋_GB2312" w:hAnsi="仿宋_GB2312" w:cs="仿宋_GB2312"/>
          <w:b w:val="0"/>
          <w:bCs/>
          <w:szCs w:val="32"/>
          <w:highlight w:val="none"/>
        </w:rPr>
        <w:t>林业和草原</w:t>
      </w:r>
      <w:r>
        <w:rPr>
          <w:rFonts w:ascii="仿宋_GB2312" w:hAnsi="仿宋_GB2312" w:cs="仿宋_GB2312"/>
          <w:b w:val="0"/>
          <w:bCs/>
          <w:szCs w:val="32"/>
          <w:highlight w:val="none"/>
        </w:rPr>
        <w:t>（款）</w:t>
      </w:r>
      <w:r>
        <w:rPr>
          <w:rFonts w:hint="eastAsia" w:ascii="仿宋_GB2312" w:hAnsi="仿宋_GB2312" w:cs="仿宋_GB2312"/>
          <w:b w:val="0"/>
          <w:bCs/>
          <w:szCs w:val="32"/>
          <w:highlight w:val="none"/>
        </w:rPr>
        <w:t>林业草原防灾减灾</w:t>
      </w:r>
      <w:r>
        <w:rPr>
          <w:rFonts w:ascii="仿宋_GB2312" w:hAnsi="仿宋_GB2312" w:cs="仿宋_GB2312"/>
          <w:b w:val="0"/>
          <w:bCs/>
          <w:szCs w:val="32"/>
          <w:highlight w:val="none"/>
        </w:rPr>
        <w:t>（项）：</w:t>
      </w:r>
      <w:r>
        <w:rPr>
          <w:rFonts w:hint="eastAsia" w:ascii="仿宋_GB2312" w:hAnsi="仿宋_GB2312" w:cs="仿宋_GB2312"/>
          <w:b w:val="0"/>
          <w:bCs/>
          <w:szCs w:val="32"/>
          <w:highlight w:val="none"/>
        </w:rPr>
        <w:t>反映用于病虫害等有害生物灾害、森林草原防火、野生动物疫病灾害等方面的支出。</w:t>
      </w:r>
    </w:p>
    <w:p>
      <w:pPr>
        <w:pStyle w:val="8"/>
        <w:ind w:firstLine="640" w:firstLineChars="200"/>
        <w:rPr>
          <w:rFonts w:ascii="仿宋_GB2312" w:hAnsi="仿宋_GB2312" w:cs="仿宋_GB2312"/>
          <w:b w:val="0"/>
          <w:bCs/>
          <w:szCs w:val="32"/>
          <w:highlight w:val="none"/>
        </w:rPr>
      </w:pPr>
      <w:r>
        <w:rPr>
          <w:rFonts w:ascii="仿宋_GB2312" w:hAnsi="仿宋_GB2312" w:cs="仿宋_GB2312"/>
          <w:b w:val="0"/>
          <w:bCs/>
          <w:szCs w:val="32"/>
          <w:highlight w:val="none"/>
        </w:rPr>
        <w:t>（</w:t>
      </w:r>
      <w:r>
        <w:rPr>
          <w:rFonts w:hint="eastAsia" w:ascii="仿宋_GB2312" w:hAnsi="仿宋_GB2312" w:cs="仿宋_GB2312"/>
          <w:b w:val="0"/>
          <w:bCs/>
          <w:szCs w:val="32"/>
          <w:highlight w:val="none"/>
        </w:rPr>
        <w:t>十九</w:t>
      </w:r>
      <w:r>
        <w:rPr>
          <w:rFonts w:ascii="仿宋_GB2312" w:hAnsi="仿宋_GB2312" w:cs="仿宋_GB2312"/>
          <w:b w:val="0"/>
          <w:bCs/>
          <w:szCs w:val="32"/>
          <w:highlight w:val="none"/>
        </w:rPr>
        <w:t>）</w:t>
      </w:r>
      <w:r>
        <w:rPr>
          <w:rFonts w:hint="eastAsia" w:ascii="仿宋_GB2312" w:hAnsi="仿宋_GB2312" w:cs="仿宋_GB2312"/>
          <w:b w:val="0"/>
          <w:bCs/>
          <w:szCs w:val="32"/>
          <w:highlight w:val="none"/>
        </w:rPr>
        <w:t>农林水</w:t>
      </w:r>
      <w:r>
        <w:rPr>
          <w:rFonts w:ascii="仿宋_GB2312" w:hAnsi="仿宋_GB2312" w:cs="仿宋_GB2312"/>
          <w:b w:val="0"/>
          <w:bCs/>
          <w:szCs w:val="32"/>
          <w:highlight w:val="none"/>
        </w:rPr>
        <w:t>（类）</w:t>
      </w:r>
      <w:r>
        <w:rPr>
          <w:rFonts w:hint="eastAsia" w:ascii="仿宋_GB2312" w:hAnsi="仿宋_GB2312" w:cs="仿宋_GB2312"/>
          <w:b w:val="0"/>
          <w:bCs/>
          <w:szCs w:val="32"/>
          <w:highlight w:val="none"/>
          <w:lang w:val="en-US" w:eastAsia="zh-CN"/>
        </w:rPr>
        <w:t>巩固拓展脱贫攻坚成果同乡村振兴有效衔接</w:t>
      </w:r>
      <w:r>
        <w:rPr>
          <w:rFonts w:ascii="仿宋_GB2312" w:hAnsi="仿宋_GB2312" w:cs="仿宋_GB2312"/>
          <w:b w:val="0"/>
          <w:bCs/>
          <w:szCs w:val="32"/>
          <w:highlight w:val="none"/>
        </w:rPr>
        <w:t>（款）</w:t>
      </w:r>
      <w:r>
        <w:rPr>
          <w:rFonts w:hint="eastAsia" w:ascii="仿宋_GB2312" w:hAnsi="仿宋_GB2312" w:cs="仿宋_GB2312"/>
          <w:b w:val="0"/>
          <w:bCs/>
          <w:szCs w:val="32"/>
          <w:highlight w:val="none"/>
        </w:rPr>
        <w:t>生产发展</w:t>
      </w:r>
      <w:r>
        <w:rPr>
          <w:rFonts w:ascii="仿宋_GB2312" w:hAnsi="仿宋_GB2312" w:cs="仿宋_GB2312"/>
          <w:b w:val="0"/>
          <w:bCs/>
          <w:szCs w:val="32"/>
          <w:highlight w:val="none"/>
        </w:rPr>
        <w:t>（项）：</w:t>
      </w:r>
      <w:r>
        <w:rPr>
          <w:rFonts w:hint="eastAsia" w:ascii="仿宋_GB2312" w:hAnsi="仿宋_GB2312" w:cs="仿宋_GB2312"/>
          <w:b w:val="0"/>
          <w:bCs/>
          <w:szCs w:val="32"/>
          <w:highlight w:val="none"/>
        </w:rPr>
        <w:t>反映用于农村欠发达地区发展种植业、养殖业、畜牧业、农副产品加工、林果</w:t>
      </w:r>
      <w:r>
        <w:rPr>
          <w:rFonts w:hint="eastAsia" w:ascii="仿宋_GB2312" w:hAnsi="仿宋_GB2312" w:cs="仿宋_GB2312"/>
          <w:b w:val="0"/>
          <w:bCs/>
          <w:szCs w:val="32"/>
          <w:highlight w:val="none"/>
          <w:lang w:eastAsia="zh-CN"/>
        </w:rPr>
        <w:t>的</w:t>
      </w:r>
      <w:r>
        <w:rPr>
          <w:rFonts w:hint="eastAsia" w:ascii="仿宋_GB2312" w:hAnsi="仿宋_GB2312" w:cs="仿宋_GB2312"/>
          <w:b w:val="0"/>
          <w:bCs/>
          <w:szCs w:val="32"/>
          <w:highlight w:val="none"/>
        </w:rPr>
        <w:t>建设等生产发展项目以及相关技术推广等方面的项目支出。</w:t>
      </w:r>
    </w:p>
    <w:p>
      <w:pPr>
        <w:pStyle w:val="8"/>
        <w:ind w:firstLine="640" w:firstLineChars="200"/>
        <w:rPr>
          <w:rFonts w:ascii="仿宋_GB2312" w:hAnsi="仿宋_GB2312" w:cs="仿宋_GB2312"/>
          <w:b w:val="0"/>
          <w:bCs/>
          <w:szCs w:val="32"/>
          <w:highlight w:val="none"/>
        </w:rPr>
      </w:pPr>
      <w:r>
        <w:rPr>
          <w:rFonts w:ascii="仿宋_GB2312" w:hAnsi="仿宋_GB2312" w:cs="仿宋_GB2312"/>
          <w:b w:val="0"/>
          <w:bCs/>
          <w:szCs w:val="32"/>
          <w:highlight w:val="none"/>
        </w:rPr>
        <w:t>（</w:t>
      </w:r>
      <w:r>
        <w:rPr>
          <w:rFonts w:hint="eastAsia" w:ascii="仿宋_GB2312" w:hAnsi="仿宋_GB2312" w:cs="仿宋_GB2312"/>
          <w:b w:val="0"/>
          <w:bCs/>
          <w:szCs w:val="32"/>
          <w:highlight w:val="none"/>
        </w:rPr>
        <w:t>二十</w:t>
      </w:r>
      <w:r>
        <w:rPr>
          <w:rFonts w:ascii="仿宋_GB2312" w:hAnsi="仿宋_GB2312" w:cs="仿宋_GB2312"/>
          <w:b w:val="0"/>
          <w:bCs/>
          <w:szCs w:val="32"/>
          <w:highlight w:val="none"/>
        </w:rPr>
        <w:t>）</w:t>
      </w:r>
      <w:r>
        <w:rPr>
          <w:rFonts w:hint="eastAsia" w:ascii="仿宋_GB2312" w:hAnsi="仿宋_GB2312" w:cs="仿宋_GB2312"/>
          <w:b w:val="0"/>
          <w:bCs/>
          <w:szCs w:val="32"/>
          <w:highlight w:val="none"/>
        </w:rPr>
        <w:t>农林水</w:t>
      </w:r>
      <w:r>
        <w:rPr>
          <w:rFonts w:ascii="仿宋_GB2312" w:hAnsi="仿宋_GB2312" w:cs="仿宋_GB2312"/>
          <w:b w:val="0"/>
          <w:bCs/>
          <w:szCs w:val="32"/>
          <w:highlight w:val="none"/>
        </w:rPr>
        <w:t>（类）</w:t>
      </w:r>
      <w:r>
        <w:rPr>
          <w:rFonts w:hint="eastAsia" w:ascii="仿宋_GB2312" w:hAnsi="仿宋_GB2312" w:cs="仿宋_GB2312"/>
          <w:b w:val="0"/>
          <w:bCs/>
          <w:szCs w:val="32"/>
          <w:highlight w:val="none"/>
          <w:lang w:val="en-US" w:eastAsia="zh-CN"/>
        </w:rPr>
        <w:t>巩固拓展脱贫攻坚成果同乡村振兴有效衔接</w:t>
      </w:r>
      <w:r>
        <w:rPr>
          <w:rFonts w:ascii="仿宋_GB2312" w:hAnsi="仿宋_GB2312" w:cs="仿宋_GB2312"/>
          <w:b w:val="0"/>
          <w:bCs/>
          <w:szCs w:val="32"/>
          <w:highlight w:val="none"/>
        </w:rPr>
        <w:t>（款）</w:t>
      </w:r>
      <w:r>
        <w:rPr>
          <w:rFonts w:hint="eastAsia" w:ascii="仿宋_GB2312" w:hAnsi="仿宋_GB2312" w:cs="仿宋_GB2312"/>
          <w:b w:val="0"/>
          <w:bCs/>
          <w:szCs w:val="32"/>
          <w:highlight w:val="none"/>
        </w:rPr>
        <w:t>其他</w:t>
      </w:r>
      <w:r>
        <w:rPr>
          <w:rFonts w:hint="eastAsia" w:ascii="仿宋_GB2312" w:hAnsi="仿宋_GB2312" w:cs="仿宋_GB2312"/>
          <w:b w:val="0"/>
          <w:bCs/>
          <w:szCs w:val="32"/>
          <w:highlight w:val="none"/>
          <w:lang w:val="en-US" w:eastAsia="zh-CN"/>
        </w:rPr>
        <w:t>巩固拓展脱贫攻坚成果同乡村振兴有效衔接</w:t>
      </w:r>
      <w:r>
        <w:rPr>
          <w:rFonts w:ascii="仿宋_GB2312" w:hAnsi="仿宋_GB2312" w:cs="仿宋_GB2312"/>
          <w:b w:val="0"/>
          <w:bCs/>
          <w:szCs w:val="32"/>
          <w:highlight w:val="none"/>
        </w:rPr>
        <w:t>（项）：</w:t>
      </w:r>
      <w:r>
        <w:rPr>
          <w:rFonts w:hint="eastAsia" w:ascii="仿宋_GB2312" w:hAnsi="仿宋_GB2312" w:cs="仿宋_GB2312"/>
          <w:b w:val="0"/>
          <w:bCs/>
          <w:szCs w:val="32"/>
          <w:highlight w:val="none"/>
        </w:rPr>
        <w:t>反映除上述项目以外其他用于巩固拓展脱贫攻坚成果同乡村振兴有效衔接方面的支出。</w:t>
      </w:r>
    </w:p>
    <w:p>
      <w:pPr>
        <w:pStyle w:val="8"/>
        <w:ind w:firstLine="640" w:firstLineChars="200"/>
        <w:rPr>
          <w:rFonts w:ascii="仿宋_GB2312" w:hAnsi="仿宋_GB2312" w:cs="仿宋_GB2312"/>
          <w:b w:val="0"/>
          <w:bCs/>
          <w:szCs w:val="32"/>
          <w:highlight w:val="none"/>
        </w:rPr>
      </w:pPr>
      <w:r>
        <w:rPr>
          <w:rFonts w:ascii="仿宋_GB2312" w:hAnsi="仿宋_GB2312" w:cs="仿宋_GB2312"/>
          <w:b w:val="0"/>
          <w:bCs/>
          <w:szCs w:val="32"/>
          <w:highlight w:val="none"/>
        </w:rPr>
        <w:t>（</w:t>
      </w:r>
      <w:r>
        <w:rPr>
          <w:rFonts w:hint="eastAsia" w:ascii="仿宋_GB2312" w:hAnsi="仿宋_GB2312" w:cs="仿宋_GB2312"/>
          <w:b w:val="0"/>
          <w:bCs/>
          <w:szCs w:val="32"/>
          <w:highlight w:val="none"/>
        </w:rPr>
        <w:t>二十一</w:t>
      </w:r>
      <w:r>
        <w:rPr>
          <w:rFonts w:ascii="仿宋_GB2312" w:hAnsi="仿宋_GB2312" w:cs="仿宋_GB2312"/>
          <w:b w:val="0"/>
          <w:bCs/>
          <w:szCs w:val="32"/>
          <w:highlight w:val="none"/>
        </w:rPr>
        <w:t>）</w:t>
      </w:r>
      <w:r>
        <w:rPr>
          <w:rFonts w:hint="eastAsia" w:ascii="仿宋_GB2312" w:hAnsi="仿宋_GB2312" w:cs="仿宋_GB2312"/>
          <w:b w:val="0"/>
          <w:bCs/>
          <w:szCs w:val="32"/>
          <w:highlight w:val="none"/>
        </w:rPr>
        <w:t>农林水</w:t>
      </w:r>
      <w:r>
        <w:rPr>
          <w:rFonts w:ascii="仿宋_GB2312" w:hAnsi="仿宋_GB2312" w:cs="仿宋_GB2312"/>
          <w:b w:val="0"/>
          <w:bCs/>
          <w:szCs w:val="32"/>
          <w:highlight w:val="none"/>
        </w:rPr>
        <w:t>（类）</w:t>
      </w:r>
      <w:r>
        <w:rPr>
          <w:rFonts w:hint="eastAsia" w:ascii="仿宋_GB2312" w:hAnsi="仿宋_GB2312" w:cs="仿宋_GB2312"/>
          <w:b w:val="0"/>
          <w:bCs/>
          <w:szCs w:val="32"/>
          <w:highlight w:val="none"/>
        </w:rPr>
        <w:t>农村综合改革</w:t>
      </w:r>
      <w:r>
        <w:rPr>
          <w:rFonts w:ascii="仿宋_GB2312" w:hAnsi="仿宋_GB2312" w:cs="仿宋_GB2312"/>
          <w:b w:val="0"/>
          <w:bCs/>
          <w:szCs w:val="32"/>
          <w:highlight w:val="none"/>
        </w:rPr>
        <w:t>（款）</w:t>
      </w:r>
      <w:r>
        <w:rPr>
          <w:rFonts w:hint="eastAsia" w:ascii="仿宋_GB2312" w:hAnsi="仿宋_GB2312" w:cs="仿宋_GB2312"/>
          <w:b w:val="0"/>
          <w:bCs/>
          <w:szCs w:val="32"/>
          <w:highlight w:val="none"/>
        </w:rPr>
        <w:t>对村民委员会和村党支部的补助</w:t>
      </w:r>
      <w:r>
        <w:rPr>
          <w:rFonts w:ascii="仿宋_GB2312" w:hAnsi="仿宋_GB2312" w:cs="仿宋_GB2312"/>
          <w:b w:val="0"/>
          <w:bCs/>
          <w:szCs w:val="32"/>
          <w:highlight w:val="none"/>
        </w:rPr>
        <w:t>（项）：</w:t>
      </w:r>
      <w:r>
        <w:rPr>
          <w:rFonts w:hint="eastAsia" w:ascii="仿宋_GB2312" w:hAnsi="仿宋_GB2312" w:cs="仿宋_GB2312"/>
          <w:b w:val="0"/>
          <w:bCs/>
          <w:szCs w:val="32"/>
          <w:highlight w:val="none"/>
        </w:rPr>
        <w:t>反映各级财政对村民委员会和村党支部的补助支出，以及支持建立县级基本财力保障机制安排的村级组织运转奖补资金。</w:t>
      </w:r>
    </w:p>
    <w:p>
      <w:pPr>
        <w:pStyle w:val="8"/>
        <w:ind w:firstLine="640" w:firstLineChars="200"/>
        <w:rPr>
          <w:rFonts w:ascii="仿宋_GB2312" w:hAnsi="仿宋_GB2312" w:cs="仿宋_GB2312"/>
          <w:b w:val="0"/>
          <w:bCs/>
          <w:szCs w:val="32"/>
          <w:highlight w:val="none"/>
        </w:rPr>
      </w:pPr>
      <w:r>
        <w:rPr>
          <w:rFonts w:ascii="仿宋_GB2312" w:hAnsi="仿宋_GB2312" w:cs="仿宋_GB2312"/>
          <w:b w:val="0"/>
          <w:bCs/>
          <w:szCs w:val="32"/>
          <w:highlight w:val="none"/>
        </w:rPr>
        <w:t>（</w:t>
      </w:r>
      <w:r>
        <w:rPr>
          <w:rFonts w:hint="eastAsia" w:ascii="仿宋_GB2312" w:hAnsi="仿宋_GB2312" w:cs="仿宋_GB2312"/>
          <w:b w:val="0"/>
          <w:bCs/>
          <w:szCs w:val="32"/>
          <w:highlight w:val="none"/>
        </w:rPr>
        <w:t>二</w:t>
      </w:r>
      <w:r>
        <w:rPr>
          <w:rFonts w:ascii="仿宋_GB2312" w:hAnsi="仿宋_GB2312" w:cs="仿宋_GB2312"/>
          <w:b w:val="0"/>
          <w:bCs/>
          <w:szCs w:val="32"/>
          <w:highlight w:val="none"/>
        </w:rPr>
        <w:t>十二）</w:t>
      </w:r>
      <w:r>
        <w:rPr>
          <w:rFonts w:hint="eastAsia" w:ascii="仿宋_GB2312" w:hAnsi="仿宋_GB2312" w:cs="仿宋_GB2312"/>
          <w:b w:val="0"/>
          <w:bCs/>
          <w:szCs w:val="32"/>
          <w:highlight w:val="none"/>
        </w:rPr>
        <w:t>农林水</w:t>
      </w:r>
      <w:r>
        <w:rPr>
          <w:rFonts w:ascii="仿宋_GB2312" w:hAnsi="仿宋_GB2312" w:cs="仿宋_GB2312"/>
          <w:b w:val="0"/>
          <w:bCs/>
          <w:szCs w:val="32"/>
          <w:highlight w:val="none"/>
        </w:rPr>
        <w:t>（类）</w:t>
      </w:r>
      <w:r>
        <w:rPr>
          <w:rFonts w:hint="eastAsia" w:ascii="仿宋_GB2312" w:hAnsi="仿宋_GB2312" w:cs="仿宋_GB2312"/>
          <w:b w:val="0"/>
          <w:bCs/>
          <w:szCs w:val="32"/>
          <w:highlight w:val="none"/>
        </w:rPr>
        <w:t>农村综合改革</w:t>
      </w:r>
      <w:r>
        <w:rPr>
          <w:rFonts w:ascii="仿宋_GB2312" w:hAnsi="仿宋_GB2312" w:cs="仿宋_GB2312"/>
          <w:b w:val="0"/>
          <w:bCs/>
          <w:szCs w:val="32"/>
          <w:highlight w:val="none"/>
        </w:rPr>
        <w:t>（款）</w:t>
      </w:r>
      <w:r>
        <w:rPr>
          <w:rFonts w:hint="eastAsia" w:ascii="仿宋_GB2312" w:hAnsi="仿宋_GB2312" w:cs="仿宋_GB2312"/>
          <w:b w:val="0"/>
          <w:bCs/>
          <w:szCs w:val="32"/>
          <w:highlight w:val="none"/>
        </w:rPr>
        <w:t>其他农村综合改革</w:t>
      </w:r>
      <w:r>
        <w:rPr>
          <w:rFonts w:ascii="仿宋_GB2312" w:hAnsi="仿宋_GB2312" w:cs="仿宋_GB2312"/>
          <w:b w:val="0"/>
          <w:bCs/>
          <w:szCs w:val="32"/>
          <w:highlight w:val="none"/>
        </w:rPr>
        <w:t>（项）：</w:t>
      </w:r>
      <w:r>
        <w:rPr>
          <w:rFonts w:hint="eastAsia" w:ascii="仿宋_GB2312" w:hAnsi="仿宋_GB2312" w:cs="仿宋_GB2312"/>
          <w:b w:val="0"/>
          <w:bCs/>
          <w:szCs w:val="32"/>
          <w:highlight w:val="none"/>
        </w:rPr>
        <w:t>反映上述项目以外其他用于农村综合改革方面的支出。</w:t>
      </w:r>
    </w:p>
    <w:p>
      <w:pPr>
        <w:pStyle w:val="8"/>
        <w:ind w:firstLine="640" w:firstLineChars="200"/>
        <w:rPr>
          <w:rFonts w:ascii="仿宋_GB2312" w:hAnsi="仿宋_GB2312" w:cs="仿宋_GB2312"/>
          <w:b w:val="0"/>
          <w:bCs/>
          <w:szCs w:val="32"/>
          <w:highlight w:val="none"/>
        </w:rPr>
      </w:pPr>
      <w:r>
        <w:rPr>
          <w:rFonts w:ascii="仿宋_GB2312" w:hAnsi="仿宋_GB2312" w:cs="仿宋_GB2312"/>
          <w:b w:val="0"/>
          <w:bCs/>
          <w:szCs w:val="32"/>
          <w:highlight w:val="none"/>
        </w:rPr>
        <w:t>（</w:t>
      </w:r>
      <w:r>
        <w:rPr>
          <w:rFonts w:hint="eastAsia" w:ascii="仿宋_GB2312" w:hAnsi="仿宋_GB2312" w:cs="仿宋_GB2312"/>
          <w:b w:val="0"/>
          <w:bCs/>
          <w:szCs w:val="32"/>
          <w:highlight w:val="none"/>
        </w:rPr>
        <w:t>二</w:t>
      </w:r>
      <w:r>
        <w:rPr>
          <w:rFonts w:ascii="仿宋_GB2312" w:hAnsi="仿宋_GB2312" w:cs="仿宋_GB2312"/>
          <w:b w:val="0"/>
          <w:bCs/>
          <w:szCs w:val="32"/>
          <w:highlight w:val="none"/>
        </w:rPr>
        <w:t>十三）住房保障（类）住房改革支出（款）住房公积金（项）：指按照《住房公积金管理条例》的规定，由单位及其在职职工缴存的长期住房储金。</w:t>
      </w:r>
    </w:p>
    <w:p>
      <w:pPr>
        <w:pStyle w:val="8"/>
        <w:ind w:firstLine="640" w:firstLineChars="200"/>
        <w:rPr>
          <w:rFonts w:ascii="仿宋_GB2312" w:hAnsi="仿宋_GB2312" w:cs="仿宋_GB2312"/>
          <w:b w:val="0"/>
          <w:bCs/>
          <w:szCs w:val="32"/>
          <w:highlight w:val="none"/>
        </w:rPr>
      </w:pPr>
      <w:r>
        <w:rPr>
          <w:rFonts w:ascii="仿宋_GB2312" w:hAnsi="仿宋_GB2312" w:cs="仿宋_GB2312"/>
          <w:b w:val="0"/>
          <w:bCs/>
          <w:szCs w:val="32"/>
          <w:highlight w:val="none"/>
        </w:rPr>
        <w:t>（</w:t>
      </w:r>
      <w:r>
        <w:rPr>
          <w:rFonts w:hint="eastAsia" w:ascii="仿宋_GB2312" w:hAnsi="仿宋_GB2312" w:cs="仿宋_GB2312"/>
          <w:b w:val="0"/>
          <w:bCs/>
          <w:szCs w:val="32"/>
          <w:highlight w:val="none"/>
        </w:rPr>
        <w:t>二</w:t>
      </w:r>
      <w:r>
        <w:rPr>
          <w:rFonts w:ascii="仿宋_GB2312" w:hAnsi="仿宋_GB2312" w:cs="仿宋_GB2312"/>
          <w:b w:val="0"/>
          <w:bCs/>
          <w:szCs w:val="32"/>
          <w:highlight w:val="none"/>
        </w:rPr>
        <w:t>十四）基本支出：指为保证机构正常运转，完成日常工作任务而发生的人员支出和公用支出。</w:t>
      </w:r>
    </w:p>
    <w:p>
      <w:pPr>
        <w:pStyle w:val="8"/>
        <w:ind w:firstLine="640" w:firstLineChars="200"/>
        <w:rPr>
          <w:rFonts w:ascii="仿宋_GB2312" w:hAnsi="仿宋_GB2312" w:cs="仿宋_GB2312"/>
          <w:b w:val="0"/>
          <w:bCs/>
          <w:szCs w:val="32"/>
          <w:highlight w:val="none"/>
        </w:rPr>
      </w:pPr>
      <w:r>
        <w:rPr>
          <w:rFonts w:ascii="仿宋_GB2312" w:hAnsi="仿宋_GB2312" w:cs="仿宋_GB2312"/>
          <w:b w:val="0"/>
          <w:bCs/>
          <w:szCs w:val="32"/>
          <w:highlight w:val="none"/>
        </w:rPr>
        <w:t>（</w:t>
      </w:r>
      <w:r>
        <w:rPr>
          <w:rFonts w:hint="eastAsia" w:ascii="仿宋_GB2312" w:hAnsi="仿宋_GB2312" w:cs="仿宋_GB2312"/>
          <w:b w:val="0"/>
          <w:bCs/>
          <w:szCs w:val="32"/>
          <w:highlight w:val="none"/>
        </w:rPr>
        <w:t>二</w:t>
      </w:r>
      <w:r>
        <w:rPr>
          <w:rFonts w:ascii="仿宋_GB2312" w:hAnsi="仿宋_GB2312" w:cs="仿宋_GB2312"/>
          <w:b w:val="0"/>
          <w:bCs/>
          <w:szCs w:val="32"/>
          <w:highlight w:val="none"/>
        </w:rPr>
        <w:t>十五）项目支出：指在基本支出之外为完成特定行政任务和事业发展目标所发生的支出。</w:t>
      </w:r>
    </w:p>
    <w:p>
      <w:pPr>
        <w:pStyle w:val="8"/>
        <w:ind w:firstLine="640" w:firstLineChars="200"/>
        <w:rPr>
          <w:rFonts w:ascii="仿宋_GB2312" w:hAnsi="仿宋_GB2312" w:cs="仿宋_GB2312"/>
          <w:b w:val="0"/>
          <w:bCs/>
          <w:szCs w:val="32"/>
          <w:highlight w:val="none"/>
        </w:rPr>
      </w:pPr>
      <w:r>
        <w:rPr>
          <w:rFonts w:ascii="仿宋_GB2312" w:hAnsi="仿宋_GB2312" w:cs="仿宋_GB2312"/>
          <w:b w:val="0"/>
          <w:bCs/>
          <w:szCs w:val="32"/>
          <w:highlight w:val="none"/>
        </w:rPr>
        <w:t>（</w:t>
      </w:r>
      <w:r>
        <w:rPr>
          <w:rFonts w:hint="eastAsia" w:ascii="仿宋_GB2312" w:hAnsi="仿宋_GB2312" w:cs="仿宋_GB2312"/>
          <w:b w:val="0"/>
          <w:bCs/>
          <w:szCs w:val="32"/>
          <w:highlight w:val="none"/>
          <w:lang w:val="en-US" w:eastAsia="zh-CN"/>
        </w:rPr>
        <w:t>二</w:t>
      </w:r>
      <w:r>
        <w:rPr>
          <w:rFonts w:hint="eastAsia" w:ascii="仿宋_GB2312" w:hAnsi="仿宋_GB2312" w:cs="仿宋_GB2312"/>
          <w:b w:val="0"/>
          <w:bCs/>
          <w:szCs w:val="32"/>
          <w:highlight w:val="none"/>
        </w:rPr>
        <w:t>十</w:t>
      </w:r>
      <w:r>
        <w:rPr>
          <w:rFonts w:hint="eastAsia" w:ascii="仿宋_GB2312" w:hAnsi="仿宋_GB2312" w:cs="仿宋_GB2312"/>
          <w:b w:val="0"/>
          <w:bCs/>
          <w:szCs w:val="32"/>
          <w:highlight w:val="none"/>
          <w:lang w:val="en-US" w:eastAsia="zh-CN"/>
        </w:rPr>
        <w:t>六</w:t>
      </w:r>
      <w:r>
        <w:rPr>
          <w:rFonts w:ascii="仿宋_GB2312" w:hAnsi="仿宋_GB2312" w:cs="仿宋_GB2312"/>
          <w:b w:val="0"/>
          <w:bCs/>
          <w:szCs w:val="32"/>
          <w:highlight w:val="none"/>
        </w:rPr>
        <w:t>）“三公”经费：纳入财政预算管理的“三公”经费，是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8"/>
        <w:ind w:firstLine="643" w:firstLineChars="200"/>
        <w:rPr>
          <w:rFonts w:hint="eastAsia"/>
          <w:sz w:val="32"/>
          <w:szCs w:val="32"/>
          <w:highlight w:val="none"/>
        </w:rPr>
      </w:pPr>
    </w:p>
    <w:p>
      <w:pPr>
        <w:numPr>
          <w:ilvl w:val="0"/>
          <w:numId w:val="3"/>
        </w:numPr>
        <w:spacing w:line="600" w:lineRule="exact"/>
        <w:ind w:left="0" w:leftChars="0" w:firstLine="660" w:firstLineChars="150"/>
        <w:jc w:val="center"/>
        <w:outlineLvl w:val="0"/>
        <w:rPr>
          <w:rStyle w:val="31"/>
          <w:rFonts w:hint="eastAsia" w:ascii="黑体" w:hAnsi="黑体" w:eastAsia="黑体"/>
          <w:b w:val="0"/>
          <w:highlight w:val="none"/>
        </w:rPr>
      </w:pPr>
      <w:bookmarkStart w:id="12" w:name="_Toc15396614"/>
      <w:r>
        <w:rPr>
          <w:rStyle w:val="31"/>
          <w:rFonts w:hint="eastAsia" w:ascii="黑体" w:hAnsi="黑体" w:eastAsia="黑体"/>
          <w:b w:val="0"/>
          <w:highlight w:val="none"/>
        </w:rPr>
        <w:t>附件</w:t>
      </w:r>
      <w:bookmarkEnd w:id="12"/>
    </w:p>
    <w:p>
      <w:pPr>
        <w:spacing w:line="572" w:lineRule="exact"/>
        <w:jc w:val="left"/>
        <w:outlineLvl w:val="0"/>
        <w:rPr>
          <w:rFonts w:ascii="方正小标宋简体" w:hAnsi="方正小标宋简体" w:eastAsia="方正小标宋简体" w:cs="方正小标宋简体"/>
          <w:sz w:val="44"/>
          <w:szCs w:val="44"/>
          <w:highlight w:val="none"/>
        </w:rPr>
      </w:pPr>
      <w:r>
        <w:rPr>
          <w:rFonts w:hint="eastAsia" w:ascii="黑体" w:hAnsi="黑体" w:eastAsia="黑体" w:cs="黑体"/>
          <w:sz w:val="32"/>
          <w:szCs w:val="32"/>
          <w:highlight w:val="none"/>
        </w:rPr>
        <w:t>附件</w:t>
      </w:r>
    </w:p>
    <w:p>
      <w:pPr>
        <w:pStyle w:val="16"/>
        <w:numPr>
          <w:ilvl w:val="0"/>
          <w:numId w:val="0"/>
        </w:numPr>
        <w:ind w:leftChars="150"/>
        <w:rPr>
          <w:highlight w:val="none"/>
        </w:rPr>
      </w:pPr>
    </w:p>
    <w:p>
      <w:pPr>
        <w:spacing w:line="572" w:lineRule="exact"/>
        <w:jc w:val="center"/>
        <w:rPr>
          <w:rFonts w:ascii="方正小标宋简体" w:hAnsi="宋体" w:eastAsia="方正小标宋简体"/>
          <w:kern w:val="0"/>
          <w:sz w:val="40"/>
          <w:szCs w:val="44"/>
          <w:highlight w:val="none"/>
        </w:rPr>
      </w:pPr>
      <w:r>
        <w:rPr>
          <w:rFonts w:hint="eastAsia" w:ascii="方正小标宋简体" w:hAnsi="宋体" w:eastAsia="方正小标宋简体"/>
          <w:kern w:val="0"/>
          <w:sz w:val="40"/>
          <w:szCs w:val="44"/>
          <w:highlight w:val="none"/>
        </w:rPr>
        <w:t>202</w:t>
      </w:r>
      <w:r>
        <w:rPr>
          <w:rFonts w:hint="eastAsia" w:ascii="方正小标宋简体" w:hAnsi="宋体" w:eastAsia="方正小标宋简体"/>
          <w:kern w:val="0"/>
          <w:sz w:val="40"/>
          <w:szCs w:val="44"/>
          <w:highlight w:val="none"/>
          <w:lang w:val="en-US" w:eastAsia="zh-CN"/>
        </w:rPr>
        <w:t>2</w:t>
      </w:r>
      <w:r>
        <w:rPr>
          <w:rFonts w:hint="eastAsia" w:ascii="方正小标宋简体" w:hAnsi="宋体" w:eastAsia="方正小标宋简体"/>
          <w:kern w:val="0"/>
          <w:sz w:val="40"/>
          <w:szCs w:val="44"/>
          <w:highlight w:val="none"/>
        </w:rPr>
        <w:t>年剑阁县姚家镇人民政府部门整体绩效</w:t>
      </w:r>
    </w:p>
    <w:p>
      <w:pPr>
        <w:spacing w:line="572" w:lineRule="exact"/>
        <w:jc w:val="center"/>
        <w:rPr>
          <w:rFonts w:ascii="方正小标宋简体" w:hAnsi="宋体" w:eastAsia="方正小标宋简体"/>
          <w:kern w:val="0"/>
          <w:sz w:val="40"/>
          <w:szCs w:val="44"/>
          <w:highlight w:val="none"/>
          <w:lang w:val="zh-CN"/>
        </w:rPr>
      </w:pPr>
      <w:r>
        <w:rPr>
          <w:rFonts w:hint="eastAsia" w:ascii="方正小标宋简体" w:hAnsi="宋体" w:eastAsia="方正小标宋简体"/>
          <w:kern w:val="0"/>
          <w:sz w:val="40"/>
          <w:szCs w:val="44"/>
          <w:highlight w:val="none"/>
        </w:rPr>
        <w:t>评价报告</w:t>
      </w:r>
    </w:p>
    <w:p>
      <w:pPr>
        <w:keepNext w:val="0"/>
        <w:keepLines w:val="0"/>
        <w:pageBreakBefore w:val="0"/>
        <w:widowControl/>
        <w:kinsoku/>
        <w:wordWrap/>
        <w:overflowPunct/>
        <w:topLinePunct w:val="0"/>
        <w:autoSpaceDE/>
        <w:autoSpaceDN/>
        <w:bidi w:val="0"/>
        <w:adjustRightInd w:val="0"/>
        <w:snapToGrid w:val="0"/>
        <w:spacing w:line="560" w:lineRule="exact"/>
        <w:ind w:firstLine="480" w:firstLineChars="200"/>
        <w:contextualSpacing/>
        <w:jc w:val="left"/>
        <w:textAlignment w:val="auto"/>
        <w:rPr>
          <w:rFonts w:ascii="黑体" w:hAnsi="宋体" w:eastAsia="黑体" w:cs="宋体"/>
          <w:color w:val="000000"/>
          <w:kern w:val="0"/>
          <w:sz w:val="24"/>
          <w:szCs w:val="32"/>
          <w:highlight w:val="none"/>
          <w:shd w:val="clear" w:color="auto" w:fill="FFFFFF"/>
        </w:rPr>
      </w:pPr>
    </w:p>
    <w:p>
      <w:pPr>
        <w:widowControl/>
        <w:numPr>
          <w:ilvl w:val="0"/>
          <w:numId w:val="4"/>
        </w:numPr>
        <w:adjustRightInd w:val="0"/>
        <w:snapToGrid w:val="0"/>
        <w:spacing w:line="560" w:lineRule="exact"/>
        <w:ind w:firstLine="640" w:firstLineChars="200"/>
        <w:contextualSpacing/>
        <w:jc w:val="left"/>
        <w:rPr>
          <w:rFonts w:hint="eastAsia" w:ascii="黑体" w:hAnsi="宋体" w:eastAsia="黑体" w:cs="宋体"/>
          <w:kern w:val="0"/>
          <w:sz w:val="32"/>
          <w:szCs w:val="32"/>
          <w:highlight w:val="none"/>
          <w:shd w:val="clear" w:color="auto" w:fill="FFFFFF"/>
          <w:lang w:val="zh-CN"/>
        </w:rPr>
      </w:pPr>
      <w:r>
        <w:rPr>
          <w:rFonts w:hint="eastAsia" w:ascii="黑体" w:hAnsi="宋体" w:eastAsia="黑体" w:cs="宋体"/>
          <w:kern w:val="0"/>
          <w:sz w:val="32"/>
          <w:szCs w:val="32"/>
          <w:highlight w:val="none"/>
          <w:shd w:val="clear" w:color="auto" w:fill="FFFFFF"/>
          <w:lang w:val="zh-CN"/>
        </w:rPr>
        <w:t>单位（</w:t>
      </w:r>
      <w:r>
        <w:rPr>
          <w:rFonts w:hint="eastAsia" w:ascii="黑体" w:hAnsi="宋体" w:eastAsia="黑体" w:cs="宋体"/>
          <w:kern w:val="0"/>
          <w:sz w:val="32"/>
          <w:szCs w:val="32"/>
          <w:highlight w:val="none"/>
          <w:shd w:val="clear" w:color="auto" w:fill="FFFFFF"/>
          <w:lang w:val="en-US" w:eastAsia="zh-CN"/>
        </w:rPr>
        <w:t>部门</w:t>
      </w:r>
      <w:r>
        <w:rPr>
          <w:rFonts w:hint="eastAsia" w:ascii="黑体" w:hAnsi="宋体" w:eastAsia="黑体" w:cs="宋体"/>
          <w:kern w:val="0"/>
          <w:sz w:val="32"/>
          <w:szCs w:val="32"/>
          <w:highlight w:val="none"/>
          <w:shd w:val="clear" w:color="auto" w:fill="FFFFFF"/>
          <w:lang w:val="zh-CN"/>
        </w:rPr>
        <w:t>）基本情况</w:t>
      </w:r>
    </w:p>
    <w:p>
      <w:pPr>
        <w:widowControl/>
        <w:adjustRightInd w:val="0"/>
        <w:snapToGrid w:val="0"/>
        <w:spacing w:line="560" w:lineRule="exact"/>
        <w:ind w:firstLine="643" w:firstLineChars="200"/>
        <w:contextualSpacing/>
        <w:jc w:val="left"/>
        <w:rPr>
          <w:rFonts w:hint="eastAsia" w:ascii="楷体_GB2312" w:hAnsi="楷体_GB2312" w:eastAsia="楷体_GB2312" w:cs="楷体_GB2312"/>
          <w:b/>
          <w:bCs/>
          <w:kern w:val="0"/>
          <w:sz w:val="32"/>
          <w:szCs w:val="32"/>
          <w:highlight w:val="none"/>
          <w:shd w:val="clear" w:color="auto" w:fill="FFFFFF"/>
          <w:lang w:val="zh-CN"/>
        </w:rPr>
      </w:pPr>
      <w:r>
        <w:rPr>
          <w:rFonts w:hint="eastAsia" w:ascii="楷体_GB2312" w:hAnsi="楷体_GB2312" w:eastAsia="楷体_GB2312" w:cs="楷体_GB2312"/>
          <w:b/>
          <w:bCs/>
          <w:kern w:val="0"/>
          <w:sz w:val="32"/>
          <w:szCs w:val="32"/>
          <w:highlight w:val="none"/>
          <w:shd w:val="clear" w:color="auto" w:fill="FFFFFF"/>
          <w:lang w:val="zh-CN"/>
        </w:rPr>
        <w:t>（</w:t>
      </w:r>
      <w:r>
        <w:rPr>
          <w:rFonts w:hint="eastAsia" w:ascii="楷体_GB2312" w:hAnsi="楷体_GB2312" w:eastAsia="楷体_GB2312" w:cs="楷体_GB2312"/>
          <w:b/>
          <w:bCs/>
          <w:kern w:val="0"/>
          <w:sz w:val="32"/>
          <w:szCs w:val="32"/>
          <w:highlight w:val="none"/>
          <w:shd w:val="clear" w:color="auto" w:fill="FFFFFF"/>
          <w:lang w:val="en-US" w:eastAsia="zh-CN"/>
        </w:rPr>
        <w:t>一</w:t>
      </w:r>
      <w:r>
        <w:rPr>
          <w:rFonts w:hint="eastAsia" w:ascii="楷体_GB2312" w:hAnsi="楷体_GB2312" w:eastAsia="楷体_GB2312" w:cs="楷体_GB2312"/>
          <w:b/>
          <w:bCs/>
          <w:kern w:val="0"/>
          <w:sz w:val="32"/>
          <w:szCs w:val="32"/>
          <w:highlight w:val="none"/>
          <w:shd w:val="clear" w:color="auto" w:fill="FFFFFF"/>
          <w:lang w:val="zh-CN"/>
        </w:rPr>
        <w:t>）机构组成</w:t>
      </w:r>
      <w:r>
        <w:rPr>
          <w:rFonts w:hint="eastAsia" w:ascii="楷体_GB2312" w:hAnsi="楷体_GB2312" w:eastAsia="楷体_GB2312" w:cs="楷体_GB2312"/>
          <w:b/>
          <w:bCs/>
          <w:kern w:val="0"/>
          <w:sz w:val="32"/>
          <w:szCs w:val="32"/>
          <w:highlight w:val="none"/>
          <w:shd w:val="clear" w:color="auto" w:fill="FFFFFF"/>
          <w:lang w:val="en-US" w:eastAsia="zh-CN"/>
        </w:rPr>
        <w:t>和人员概况</w:t>
      </w:r>
      <w:r>
        <w:rPr>
          <w:rFonts w:hint="eastAsia" w:ascii="楷体_GB2312" w:hAnsi="楷体_GB2312" w:eastAsia="楷体_GB2312" w:cs="楷体_GB2312"/>
          <w:b/>
          <w:bCs/>
          <w:kern w:val="0"/>
          <w:sz w:val="32"/>
          <w:szCs w:val="32"/>
          <w:highlight w:val="none"/>
          <w:shd w:val="clear" w:color="auto" w:fill="FFFFFF"/>
          <w:lang w:val="zh-CN"/>
        </w:rPr>
        <w:t>。</w:t>
      </w:r>
    </w:p>
    <w:p>
      <w:pPr>
        <w:widowControl/>
        <w:adjustRightInd w:val="0"/>
        <w:snapToGrid w:val="0"/>
        <w:spacing w:line="560" w:lineRule="exact"/>
        <w:ind w:firstLine="640" w:firstLineChars="200"/>
        <w:contextualSpacing/>
        <w:jc w:val="left"/>
        <w:rPr>
          <w:rFonts w:hint="default" w:ascii="仿宋_GB2312" w:hAnsi="仿宋_GB2312" w:eastAsia="仿宋_GB2312" w:cs="仿宋_GB2312"/>
          <w:kern w:val="0"/>
          <w:sz w:val="32"/>
          <w:szCs w:val="32"/>
          <w:highlight w:val="none"/>
          <w:shd w:val="clear" w:color="auto" w:fill="FFFFFF"/>
          <w:lang w:val="en-US" w:eastAsia="zh-CN"/>
        </w:rPr>
      </w:pPr>
      <w:r>
        <w:rPr>
          <w:rFonts w:hint="eastAsia" w:ascii="仿宋_GB2312" w:hAnsi="仿宋_GB2312" w:eastAsia="仿宋_GB2312" w:cs="仿宋_GB2312"/>
          <w:kern w:val="0"/>
          <w:sz w:val="32"/>
          <w:szCs w:val="32"/>
          <w:highlight w:val="none"/>
          <w:shd w:val="clear" w:color="auto" w:fill="FFFFFF"/>
          <w:lang w:val="en-US" w:eastAsia="zh-CN"/>
        </w:rPr>
        <w:t>剑阁县姚家镇人民政府独立核算机构1个，独立编制机构1个，无下属单位。</w:t>
      </w:r>
    </w:p>
    <w:p>
      <w:pPr>
        <w:widowControl/>
        <w:adjustRightInd w:val="0"/>
        <w:snapToGrid w:val="0"/>
        <w:spacing w:line="560" w:lineRule="exact"/>
        <w:ind w:firstLine="640" w:firstLineChars="200"/>
        <w:contextualSpacing/>
        <w:jc w:val="left"/>
        <w:rPr>
          <w:rFonts w:hint="eastAsia" w:ascii="仿宋_GB2312" w:hAnsi="仿宋_GB2312" w:eastAsia="仿宋_GB2312" w:cs="仿宋_GB2312"/>
          <w:kern w:val="0"/>
          <w:sz w:val="32"/>
          <w:szCs w:val="32"/>
          <w:highlight w:val="none"/>
          <w:shd w:val="clear" w:color="auto" w:fill="FFFFFF"/>
          <w:lang w:val="en-US" w:eastAsia="zh-CN"/>
        </w:rPr>
      </w:pPr>
      <w:r>
        <w:rPr>
          <w:rFonts w:hint="eastAsia" w:ascii="仿宋_GB2312" w:hAnsi="仿宋_GB2312" w:eastAsia="仿宋_GB2312" w:cs="仿宋_GB2312"/>
          <w:kern w:val="0"/>
          <w:sz w:val="32"/>
          <w:szCs w:val="32"/>
          <w:highlight w:val="none"/>
          <w:shd w:val="clear" w:color="auto" w:fill="FFFFFF"/>
          <w:lang w:val="en-US" w:eastAsia="zh-CN"/>
        </w:rPr>
        <w:t>2022年有行政编制21人，机关工勤编制2人，事业编制28人，非参公事业人员编制0人，2022年实际在职58人。一般公共预算财政拨款开支58人。</w:t>
      </w:r>
    </w:p>
    <w:p>
      <w:pPr>
        <w:widowControl/>
        <w:adjustRightInd w:val="0"/>
        <w:snapToGrid w:val="0"/>
        <w:spacing w:line="560" w:lineRule="exact"/>
        <w:ind w:firstLine="643" w:firstLineChars="200"/>
        <w:contextualSpacing/>
        <w:jc w:val="left"/>
        <w:rPr>
          <w:rFonts w:hint="eastAsia" w:ascii="楷体_GB2312" w:hAnsi="楷体_GB2312" w:eastAsia="楷体_GB2312" w:cs="楷体_GB2312"/>
          <w:b/>
          <w:bCs/>
          <w:kern w:val="0"/>
          <w:sz w:val="32"/>
          <w:szCs w:val="32"/>
          <w:highlight w:val="none"/>
          <w:shd w:val="clear" w:color="auto" w:fill="FFFFFF"/>
          <w:lang w:val="zh-CN"/>
        </w:rPr>
      </w:pPr>
      <w:r>
        <w:rPr>
          <w:rFonts w:hint="eastAsia" w:ascii="楷体_GB2312" w:hAnsi="楷体_GB2312" w:eastAsia="楷体_GB2312" w:cs="楷体_GB2312"/>
          <w:b/>
          <w:bCs/>
          <w:kern w:val="0"/>
          <w:sz w:val="32"/>
          <w:szCs w:val="32"/>
          <w:highlight w:val="none"/>
          <w:shd w:val="clear" w:color="auto" w:fill="FFFFFF"/>
          <w:lang w:val="zh-CN"/>
        </w:rPr>
        <w:t>（</w:t>
      </w:r>
      <w:r>
        <w:rPr>
          <w:rFonts w:hint="eastAsia" w:ascii="楷体_GB2312" w:hAnsi="楷体_GB2312" w:eastAsia="楷体_GB2312" w:cs="楷体_GB2312"/>
          <w:b/>
          <w:bCs/>
          <w:kern w:val="0"/>
          <w:sz w:val="32"/>
          <w:szCs w:val="32"/>
          <w:highlight w:val="none"/>
          <w:shd w:val="clear" w:color="auto" w:fill="FFFFFF"/>
          <w:lang w:val="en-US" w:eastAsia="zh-CN"/>
        </w:rPr>
        <w:t>二</w:t>
      </w:r>
      <w:r>
        <w:rPr>
          <w:rFonts w:hint="eastAsia" w:ascii="楷体_GB2312" w:hAnsi="楷体_GB2312" w:eastAsia="楷体_GB2312" w:cs="楷体_GB2312"/>
          <w:b/>
          <w:bCs/>
          <w:kern w:val="0"/>
          <w:sz w:val="32"/>
          <w:szCs w:val="32"/>
          <w:highlight w:val="none"/>
          <w:shd w:val="clear" w:color="auto" w:fill="FFFFFF"/>
          <w:lang w:val="zh-CN"/>
        </w:rPr>
        <w:t>）机构职能。</w:t>
      </w:r>
    </w:p>
    <w:p>
      <w:pPr>
        <w:widowControl/>
        <w:adjustRightInd w:val="0"/>
        <w:snapToGrid w:val="0"/>
        <w:spacing w:line="560" w:lineRule="exact"/>
        <w:ind w:firstLine="640" w:firstLineChars="200"/>
        <w:contextualSpacing/>
        <w:jc w:val="left"/>
        <w:rPr>
          <w:rFonts w:hint="eastAsia" w:ascii="仿宋_GB2312" w:hAnsi="仿宋_GB2312" w:eastAsia="仿宋_GB2312" w:cs="仿宋_GB2312"/>
          <w:kern w:val="0"/>
          <w:sz w:val="32"/>
          <w:szCs w:val="32"/>
          <w:highlight w:val="none"/>
          <w:shd w:val="clear" w:color="auto" w:fill="FFFFFF"/>
          <w:lang w:val="en-US" w:eastAsia="zh-CN"/>
        </w:rPr>
      </w:pPr>
      <w:r>
        <w:rPr>
          <w:rFonts w:hint="eastAsia" w:ascii="仿宋_GB2312" w:hAnsi="仿宋_GB2312" w:eastAsia="仿宋_GB2312" w:cs="仿宋_GB2312"/>
          <w:kern w:val="0"/>
          <w:sz w:val="32"/>
          <w:szCs w:val="32"/>
          <w:highlight w:val="none"/>
          <w:shd w:val="clear" w:color="auto" w:fill="FFFFFF"/>
          <w:lang w:val="en-US" w:eastAsia="zh-CN"/>
        </w:rPr>
        <w:t>1、制定和组织实施经济、产业发展计划，制定资源开发技术和产业结构调整方案，组织指导好各业生产，搞好商品流通，协调好本镇与外地区的经济交流与合作，抓好招商引资，项目开发，组织经济运行，促进经济发展。</w:t>
      </w:r>
    </w:p>
    <w:p>
      <w:pPr>
        <w:widowControl/>
        <w:adjustRightInd w:val="0"/>
        <w:snapToGrid w:val="0"/>
        <w:spacing w:line="560" w:lineRule="exact"/>
        <w:ind w:firstLine="640" w:firstLineChars="200"/>
        <w:contextualSpacing/>
        <w:jc w:val="left"/>
        <w:rPr>
          <w:rFonts w:hint="eastAsia" w:ascii="仿宋_GB2312" w:hAnsi="仿宋_GB2312" w:eastAsia="仿宋_GB2312" w:cs="仿宋_GB2312"/>
          <w:kern w:val="0"/>
          <w:sz w:val="32"/>
          <w:szCs w:val="32"/>
          <w:highlight w:val="none"/>
          <w:shd w:val="clear" w:color="auto" w:fill="FFFFFF"/>
          <w:lang w:val="en-US" w:eastAsia="zh-CN"/>
        </w:rPr>
      </w:pPr>
      <w:r>
        <w:rPr>
          <w:rFonts w:hint="eastAsia" w:ascii="仿宋_GB2312" w:hAnsi="仿宋_GB2312" w:eastAsia="仿宋_GB2312" w:cs="仿宋_GB2312"/>
          <w:kern w:val="0"/>
          <w:sz w:val="32"/>
          <w:szCs w:val="32"/>
          <w:highlight w:val="none"/>
          <w:shd w:val="clear" w:color="auto" w:fill="FFFFFF"/>
          <w:lang w:val="en-US" w:eastAsia="zh-CN"/>
        </w:rPr>
        <w:t>2、制定并组织实施镇村建设规划，部署重点工程建设，区域内道路建设及公共设施，水利设施的管理，负责土地、林木、水等自然资源和生态环境的保护，做好护林防火工作。</w:t>
      </w:r>
    </w:p>
    <w:p>
      <w:pPr>
        <w:widowControl/>
        <w:adjustRightInd w:val="0"/>
        <w:snapToGrid w:val="0"/>
        <w:spacing w:line="560" w:lineRule="exact"/>
        <w:ind w:firstLine="640" w:firstLineChars="200"/>
        <w:contextualSpacing/>
        <w:jc w:val="left"/>
        <w:rPr>
          <w:rFonts w:hint="eastAsia" w:ascii="仿宋_GB2312" w:hAnsi="仿宋_GB2312" w:eastAsia="仿宋_GB2312" w:cs="仿宋_GB2312"/>
          <w:kern w:val="0"/>
          <w:sz w:val="32"/>
          <w:szCs w:val="32"/>
          <w:highlight w:val="none"/>
          <w:shd w:val="clear" w:color="auto" w:fill="FFFFFF"/>
          <w:lang w:val="en-US" w:eastAsia="zh-CN"/>
        </w:rPr>
      </w:pPr>
      <w:r>
        <w:rPr>
          <w:rFonts w:hint="eastAsia" w:ascii="仿宋_GB2312" w:hAnsi="仿宋_GB2312" w:eastAsia="仿宋_GB2312" w:cs="仿宋_GB2312"/>
          <w:kern w:val="0"/>
          <w:sz w:val="32"/>
          <w:szCs w:val="32"/>
          <w:highlight w:val="none"/>
          <w:shd w:val="clear" w:color="auto" w:fill="FFFFFF"/>
          <w:lang w:val="en-US" w:eastAsia="zh-CN"/>
        </w:rPr>
        <w:t>3、负责本行政区域内的民政、卫计、文化、教育、体育等社会公益事业的综合性工作，维护一切经济单位和个人的正当经济权益，取缔非法经济活动，调解和处理民事纠纷，打击刑事犯罪维护社会稳定。</w:t>
      </w:r>
    </w:p>
    <w:p>
      <w:pPr>
        <w:widowControl/>
        <w:adjustRightInd w:val="0"/>
        <w:snapToGrid w:val="0"/>
        <w:spacing w:line="560" w:lineRule="exact"/>
        <w:ind w:firstLine="640" w:firstLineChars="200"/>
        <w:contextualSpacing/>
        <w:jc w:val="left"/>
        <w:rPr>
          <w:rFonts w:hint="eastAsia" w:ascii="仿宋_GB2312" w:hAnsi="仿宋_GB2312" w:eastAsia="仿宋_GB2312" w:cs="仿宋_GB2312"/>
          <w:kern w:val="0"/>
          <w:sz w:val="32"/>
          <w:szCs w:val="32"/>
          <w:highlight w:val="none"/>
          <w:shd w:val="clear" w:color="auto" w:fill="FFFFFF"/>
          <w:lang w:val="en-US" w:eastAsia="zh-CN"/>
        </w:rPr>
      </w:pPr>
      <w:r>
        <w:rPr>
          <w:rFonts w:hint="eastAsia" w:ascii="仿宋_GB2312" w:hAnsi="仿宋_GB2312" w:eastAsia="仿宋_GB2312" w:cs="仿宋_GB2312"/>
          <w:kern w:val="0"/>
          <w:sz w:val="32"/>
          <w:szCs w:val="32"/>
          <w:highlight w:val="none"/>
          <w:shd w:val="clear" w:color="auto" w:fill="FFFFFF"/>
          <w:lang w:val="en-US" w:eastAsia="zh-CN"/>
        </w:rPr>
        <w:t>4、按计划组织本级财政收入和地方税的征收，完成国家财政计划，不断培植税源，管好财政资金，增强财政实力。</w:t>
      </w:r>
    </w:p>
    <w:p>
      <w:pPr>
        <w:widowControl/>
        <w:adjustRightInd w:val="0"/>
        <w:snapToGrid w:val="0"/>
        <w:spacing w:line="560" w:lineRule="exact"/>
        <w:ind w:firstLine="640" w:firstLineChars="200"/>
        <w:contextualSpacing/>
        <w:jc w:val="left"/>
        <w:rPr>
          <w:rFonts w:hint="eastAsia" w:ascii="仿宋_GB2312" w:hAnsi="仿宋_GB2312" w:eastAsia="仿宋_GB2312" w:cs="仿宋_GB2312"/>
          <w:kern w:val="0"/>
          <w:sz w:val="32"/>
          <w:szCs w:val="32"/>
          <w:highlight w:val="none"/>
          <w:shd w:val="clear" w:color="auto" w:fill="FFFFFF"/>
          <w:lang w:val="en-US" w:eastAsia="zh-CN"/>
        </w:rPr>
      </w:pPr>
      <w:r>
        <w:rPr>
          <w:rFonts w:hint="eastAsia" w:ascii="仿宋_GB2312" w:hAnsi="仿宋_GB2312" w:eastAsia="仿宋_GB2312" w:cs="仿宋_GB2312"/>
          <w:kern w:val="0"/>
          <w:sz w:val="32"/>
          <w:szCs w:val="32"/>
          <w:highlight w:val="none"/>
          <w:shd w:val="clear" w:color="auto" w:fill="FFFFFF"/>
          <w:lang w:val="en-US" w:eastAsia="zh-CN"/>
        </w:rPr>
        <w:t>5、抓好精神文明建设，丰富群众文化生活，提倡移风易俗，反对封建迷信，破除陈规陋习，树立社会主义新风尚。</w:t>
      </w:r>
    </w:p>
    <w:p>
      <w:pPr>
        <w:widowControl/>
        <w:adjustRightInd w:val="0"/>
        <w:snapToGrid w:val="0"/>
        <w:spacing w:line="560" w:lineRule="exact"/>
        <w:ind w:firstLine="640" w:firstLineChars="200"/>
        <w:contextualSpacing/>
        <w:jc w:val="left"/>
        <w:rPr>
          <w:rFonts w:hint="eastAsia" w:ascii="仿宋_GB2312" w:hAnsi="仿宋_GB2312" w:eastAsia="仿宋_GB2312" w:cs="仿宋_GB2312"/>
          <w:kern w:val="0"/>
          <w:sz w:val="32"/>
          <w:szCs w:val="32"/>
          <w:highlight w:val="none"/>
          <w:shd w:val="clear" w:color="auto" w:fill="FFFFFF"/>
          <w:lang w:val="en-US" w:eastAsia="zh-CN"/>
        </w:rPr>
      </w:pPr>
      <w:r>
        <w:rPr>
          <w:rFonts w:hint="eastAsia" w:ascii="仿宋_GB2312" w:hAnsi="仿宋_GB2312" w:eastAsia="仿宋_GB2312" w:cs="仿宋_GB2312"/>
          <w:kern w:val="0"/>
          <w:sz w:val="32"/>
          <w:szCs w:val="32"/>
          <w:highlight w:val="none"/>
          <w:shd w:val="clear" w:color="auto" w:fill="FFFFFF"/>
          <w:lang w:val="en-US" w:eastAsia="zh-CN"/>
        </w:rPr>
        <w:t>6、完成上级政府交办的其他事项。</w:t>
      </w:r>
    </w:p>
    <w:p>
      <w:pPr>
        <w:widowControl/>
        <w:numPr>
          <w:ilvl w:val="0"/>
          <w:numId w:val="0"/>
        </w:numPr>
        <w:adjustRightInd w:val="0"/>
        <w:snapToGrid w:val="0"/>
        <w:spacing w:line="560" w:lineRule="exact"/>
        <w:ind w:firstLine="640" w:firstLineChars="200"/>
        <w:contextualSpacing/>
        <w:jc w:val="left"/>
        <w:rPr>
          <w:rFonts w:hint="eastAsia" w:ascii="黑体" w:hAnsi="宋体" w:eastAsia="黑体" w:cs="宋体"/>
          <w:kern w:val="0"/>
          <w:sz w:val="32"/>
          <w:szCs w:val="32"/>
          <w:highlight w:val="none"/>
          <w:shd w:val="clear" w:color="auto" w:fill="FFFFFF"/>
          <w:lang w:val="zh-CN"/>
        </w:rPr>
      </w:pPr>
      <w:r>
        <w:rPr>
          <w:rFonts w:hint="eastAsia" w:ascii="黑体" w:hAnsi="宋体" w:eastAsia="黑体" w:cs="宋体"/>
          <w:kern w:val="0"/>
          <w:sz w:val="32"/>
          <w:szCs w:val="32"/>
          <w:highlight w:val="none"/>
          <w:shd w:val="clear" w:color="auto" w:fill="FFFFFF"/>
          <w:lang w:val="zh-CN"/>
        </w:rPr>
        <w:t>二、</w:t>
      </w:r>
      <w:r>
        <w:rPr>
          <w:rFonts w:hint="eastAsia" w:ascii="黑体" w:hAnsi="宋体" w:eastAsia="黑体" w:cs="宋体"/>
          <w:kern w:val="0"/>
          <w:sz w:val="32"/>
          <w:szCs w:val="32"/>
          <w:highlight w:val="none"/>
          <w:shd w:val="clear" w:color="auto" w:fill="FFFFFF"/>
        </w:rPr>
        <w:t>部门</w:t>
      </w:r>
      <w:r>
        <w:rPr>
          <w:rFonts w:hint="eastAsia" w:ascii="黑体" w:hAnsi="宋体" w:eastAsia="黑体" w:cs="宋体"/>
          <w:kern w:val="0"/>
          <w:sz w:val="32"/>
          <w:szCs w:val="32"/>
          <w:highlight w:val="none"/>
          <w:shd w:val="clear" w:color="auto" w:fill="FFFFFF"/>
          <w:lang w:val="zh-CN"/>
        </w:rPr>
        <w:t>资金收支情况</w:t>
      </w:r>
    </w:p>
    <w:p>
      <w:pPr>
        <w:widowControl/>
        <w:adjustRightInd w:val="0"/>
        <w:snapToGrid w:val="0"/>
        <w:spacing w:line="560" w:lineRule="exact"/>
        <w:ind w:firstLine="643" w:firstLineChars="200"/>
        <w:contextualSpacing/>
        <w:jc w:val="left"/>
        <w:rPr>
          <w:rFonts w:ascii="楷体_GB2312" w:hAnsi="楷体_GB2312" w:eastAsia="楷体_GB2312" w:cs="楷体_GB2312"/>
          <w:b/>
          <w:bCs/>
          <w:kern w:val="0"/>
          <w:sz w:val="32"/>
          <w:szCs w:val="32"/>
          <w:highlight w:val="none"/>
          <w:shd w:val="clear" w:color="auto" w:fill="FFFFFF"/>
          <w:lang w:val="zh-CN"/>
        </w:rPr>
      </w:pPr>
      <w:r>
        <w:rPr>
          <w:rFonts w:hint="eastAsia" w:ascii="楷体_GB2312" w:hAnsi="楷体_GB2312" w:eastAsia="楷体_GB2312" w:cs="楷体_GB2312"/>
          <w:b/>
          <w:bCs/>
          <w:kern w:val="0"/>
          <w:sz w:val="32"/>
          <w:szCs w:val="32"/>
          <w:highlight w:val="none"/>
          <w:shd w:val="clear" w:color="auto" w:fill="FFFFFF"/>
          <w:lang w:val="zh-CN"/>
        </w:rPr>
        <w:t>（一）部门总体收支情况。</w:t>
      </w:r>
    </w:p>
    <w:p>
      <w:pPr>
        <w:widowControl/>
        <w:adjustRightInd w:val="0"/>
        <w:snapToGrid w:val="0"/>
        <w:spacing w:line="560" w:lineRule="exact"/>
        <w:ind w:left="638" w:leftChars="304" w:firstLine="0" w:firstLineChars="0"/>
        <w:contextualSpacing/>
        <w:jc w:val="left"/>
        <w:rPr>
          <w:rFonts w:hint="eastAsia" w:ascii="仿宋_GB2312" w:hAnsi="仿宋_GB2312" w:eastAsia="仿宋" w:cs="仿宋_GB2312"/>
          <w:kern w:val="0"/>
          <w:sz w:val="32"/>
          <w:szCs w:val="32"/>
          <w:highlight w:val="none"/>
          <w:shd w:val="clear" w:color="auto" w:fill="FFFFFF"/>
          <w:lang w:eastAsia="zh-CN"/>
        </w:rPr>
      </w:pPr>
      <w:r>
        <w:rPr>
          <w:rFonts w:hint="eastAsia" w:ascii="仿宋_GB2312" w:hAnsi="仿宋_GB2312" w:eastAsia="仿宋_GB2312" w:cs="仿宋_GB2312"/>
          <w:kern w:val="0"/>
          <w:sz w:val="32"/>
          <w:szCs w:val="32"/>
          <w:highlight w:val="none"/>
          <w:shd w:val="clear" w:color="auto" w:fill="FFFFFF"/>
        </w:rPr>
        <w:t>1.部门总体收入情况</w:t>
      </w:r>
      <w:r>
        <w:rPr>
          <w:rFonts w:hint="eastAsia" w:ascii="仿宋_GB2312" w:hAnsi="仿宋_GB2312" w:eastAsia="仿宋_GB2312" w:cs="仿宋_GB2312"/>
          <w:kern w:val="0"/>
          <w:sz w:val="32"/>
          <w:szCs w:val="32"/>
          <w:highlight w:val="none"/>
          <w:shd w:val="clear" w:color="auto" w:fill="FFFFFF"/>
          <w:lang w:eastAsia="zh-CN"/>
        </w:rPr>
        <w:t>：</w:t>
      </w:r>
      <w:r>
        <w:rPr>
          <w:rFonts w:hint="eastAsia" w:ascii="仿宋" w:hAnsi="仿宋" w:eastAsia="仿宋"/>
          <w:sz w:val="32"/>
          <w:szCs w:val="32"/>
          <w:highlight w:val="none"/>
        </w:rPr>
        <w:t>202</w:t>
      </w:r>
      <w:r>
        <w:rPr>
          <w:rFonts w:hint="eastAsia" w:ascii="仿宋" w:hAnsi="仿宋" w:eastAsia="仿宋"/>
          <w:sz w:val="32"/>
          <w:szCs w:val="32"/>
          <w:highlight w:val="none"/>
          <w:lang w:val="en-US" w:eastAsia="zh-CN"/>
        </w:rPr>
        <w:t>2</w:t>
      </w:r>
      <w:r>
        <w:rPr>
          <w:rFonts w:hint="eastAsia" w:ascii="仿宋" w:hAnsi="仿宋" w:eastAsia="仿宋"/>
          <w:sz w:val="32"/>
          <w:szCs w:val="32"/>
          <w:highlight w:val="none"/>
        </w:rPr>
        <w:t>年度收</w:t>
      </w:r>
      <w:r>
        <w:rPr>
          <w:rFonts w:hint="eastAsia" w:ascii="仿宋" w:hAnsi="仿宋" w:eastAsia="仿宋"/>
          <w:sz w:val="32"/>
          <w:szCs w:val="32"/>
          <w:highlight w:val="none"/>
          <w:lang w:val="en-US" w:eastAsia="zh-CN"/>
        </w:rPr>
        <w:t>入</w:t>
      </w:r>
      <w:r>
        <w:rPr>
          <w:rFonts w:hint="eastAsia" w:ascii="仿宋" w:hAnsi="仿宋" w:eastAsia="仿宋"/>
          <w:sz w:val="32"/>
          <w:szCs w:val="32"/>
          <w:highlight w:val="none"/>
        </w:rPr>
        <w:t>总计</w:t>
      </w:r>
      <w:r>
        <w:rPr>
          <w:rFonts w:hint="eastAsia" w:ascii="仿宋" w:hAnsi="仿宋" w:eastAsia="仿宋"/>
          <w:sz w:val="32"/>
          <w:szCs w:val="32"/>
          <w:highlight w:val="none"/>
          <w:lang w:val="en-US" w:eastAsia="zh-CN"/>
        </w:rPr>
        <w:t>1087.02</w:t>
      </w:r>
      <w:r>
        <w:rPr>
          <w:rFonts w:hint="eastAsia" w:ascii="仿宋" w:hAnsi="仿宋" w:eastAsia="仿宋"/>
          <w:sz w:val="32"/>
          <w:szCs w:val="32"/>
          <w:highlight w:val="none"/>
        </w:rPr>
        <w:t>万元</w:t>
      </w:r>
      <w:r>
        <w:rPr>
          <w:rFonts w:hint="eastAsia" w:ascii="仿宋_GB2312" w:hAnsi="仿宋_GB2312" w:eastAsia="仿宋_GB2312" w:cs="仿宋_GB2312"/>
          <w:kern w:val="0"/>
          <w:sz w:val="32"/>
          <w:szCs w:val="32"/>
          <w:highlight w:val="none"/>
          <w:shd w:val="clear" w:color="auto" w:fill="FFFFFF"/>
          <w:lang w:eastAsia="zh-CN"/>
        </w:rPr>
        <w:t>。</w:t>
      </w:r>
      <w:r>
        <w:rPr>
          <w:rFonts w:hint="eastAsia" w:ascii="仿宋_GB2312" w:hAnsi="仿宋_GB2312" w:eastAsia="仿宋_GB2312" w:cs="仿宋_GB2312"/>
          <w:kern w:val="0"/>
          <w:sz w:val="32"/>
          <w:szCs w:val="32"/>
          <w:highlight w:val="none"/>
          <w:shd w:val="clear" w:color="auto" w:fill="FFFFFF"/>
        </w:rPr>
        <w:t>2.部门总体支出情况</w:t>
      </w:r>
      <w:r>
        <w:rPr>
          <w:rFonts w:hint="eastAsia" w:ascii="仿宋_GB2312" w:hAnsi="仿宋_GB2312" w:eastAsia="仿宋_GB2312" w:cs="仿宋_GB2312"/>
          <w:kern w:val="0"/>
          <w:sz w:val="32"/>
          <w:szCs w:val="32"/>
          <w:highlight w:val="none"/>
          <w:shd w:val="clear" w:color="auto" w:fill="FFFFFF"/>
          <w:lang w:eastAsia="zh-CN"/>
        </w:rPr>
        <w:t>：</w:t>
      </w:r>
      <w:r>
        <w:rPr>
          <w:rFonts w:hint="eastAsia" w:ascii="仿宋" w:hAnsi="仿宋" w:eastAsia="仿宋"/>
          <w:sz w:val="32"/>
          <w:szCs w:val="32"/>
          <w:highlight w:val="none"/>
        </w:rPr>
        <w:t>202</w:t>
      </w:r>
      <w:r>
        <w:rPr>
          <w:rFonts w:hint="eastAsia" w:ascii="仿宋" w:hAnsi="仿宋" w:eastAsia="仿宋"/>
          <w:sz w:val="32"/>
          <w:szCs w:val="32"/>
          <w:highlight w:val="none"/>
          <w:lang w:val="en-US" w:eastAsia="zh-CN"/>
        </w:rPr>
        <w:t>2</w:t>
      </w:r>
      <w:r>
        <w:rPr>
          <w:rFonts w:hint="eastAsia" w:ascii="仿宋" w:hAnsi="仿宋" w:eastAsia="仿宋"/>
          <w:sz w:val="32"/>
          <w:szCs w:val="32"/>
          <w:highlight w:val="none"/>
        </w:rPr>
        <w:t>年度</w:t>
      </w:r>
      <w:r>
        <w:rPr>
          <w:rFonts w:hint="eastAsia" w:ascii="仿宋" w:hAnsi="仿宋" w:eastAsia="仿宋"/>
          <w:sz w:val="32"/>
          <w:szCs w:val="32"/>
          <w:highlight w:val="none"/>
          <w:lang w:val="en-US" w:eastAsia="zh-CN"/>
        </w:rPr>
        <w:t>支出</w:t>
      </w:r>
      <w:r>
        <w:rPr>
          <w:rFonts w:hint="eastAsia" w:ascii="仿宋" w:hAnsi="仿宋" w:eastAsia="仿宋"/>
          <w:sz w:val="32"/>
          <w:szCs w:val="32"/>
          <w:highlight w:val="none"/>
        </w:rPr>
        <w:t>总计</w:t>
      </w:r>
      <w:r>
        <w:rPr>
          <w:rFonts w:hint="eastAsia" w:ascii="仿宋" w:hAnsi="仿宋" w:eastAsia="仿宋"/>
          <w:sz w:val="32"/>
          <w:szCs w:val="32"/>
          <w:highlight w:val="none"/>
          <w:lang w:val="en-US" w:eastAsia="zh-CN"/>
        </w:rPr>
        <w:t>1087.02</w:t>
      </w:r>
      <w:r>
        <w:rPr>
          <w:rFonts w:hint="eastAsia" w:ascii="仿宋" w:hAnsi="仿宋" w:eastAsia="仿宋"/>
          <w:sz w:val="32"/>
          <w:szCs w:val="32"/>
          <w:highlight w:val="none"/>
        </w:rPr>
        <w:t>万元</w:t>
      </w:r>
      <w:r>
        <w:rPr>
          <w:rFonts w:hint="eastAsia" w:ascii="仿宋" w:hAnsi="仿宋" w:eastAsia="仿宋"/>
          <w:sz w:val="32"/>
          <w:szCs w:val="32"/>
          <w:highlight w:val="none"/>
          <w:lang w:eastAsia="zh-CN"/>
        </w:rPr>
        <w:t>。</w:t>
      </w:r>
    </w:p>
    <w:p>
      <w:pPr>
        <w:widowControl/>
        <w:adjustRightInd w:val="0"/>
        <w:snapToGrid w:val="0"/>
        <w:spacing w:line="560" w:lineRule="exact"/>
        <w:ind w:firstLine="640" w:firstLineChars="200"/>
        <w:contextualSpacing/>
        <w:jc w:val="left"/>
        <w:rPr>
          <w:rFonts w:hint="default" w:ascii="仿宋_GB2312" w:hAnsi="仿宋_GB2312" w:eastAsia="仿宋_GB2312" w:cs="仿宋_GB2312"/>
          <w:kern w:val="0"/>
          <w:sz w:val="32"/>
          <w:szCs w:val="32"/>
          <w:highlight w:val="none"/>
          <w:shd w:val="clear" w:color="auto" w:fill="FFFFFF"/>
          <w:lang w:val="en-US" w:eastAsia="zh-CN"/>
        </w:rPr>
      </w:pPr>
      <w:r>
        <w:rPr>
          <w:rFonts w:hint="eastAsia" w:ascii="仿宋_GB2312" w:hAnsi="仿宋_GB2312" w:eastAsia="仿宋_GB2312" w:cs="仿宋_GB2312"/>
          <w:kern w:val="0"/>
          <w:sz w:val="32"/>
          <w:szCs w:val="32"/>
          <w:highlight w:val="none"/>
          <w:shd w:val="clear" w:color="auto" w:fill="FFFFFF"/>
        </w:rPr>
        <w:t>3.部门总体结转结余情况</w:t>
      </w:r>
      <w:r>
        <w:rPr>
          <w:rFonts w:hint="eastAsia" w:ascii="仿宋_GB2312" w:hAnsi="仿宋_GB2312" w:eastAsia="仿宋_GB2312" w:cs="仿宋_GB2312"/>
          <w:kern w:val="0"/>
          <w:sz w:val="32"/>
          <w:szCs w:val="32"/>
          <w:highlight w:val="none"/>
          <w:shd w:val="clear" w:color="auto" w:fill="FFFFFF"/>
          <w:lang w:eastAsia="zh-CN"/>
        </w:rPr>
        <w:t>：</w:t>
      </w:r>
      <w:r>
        <w:rPr>
          <w:rFonts w:hint="eastAsia" w:ascii="仿宋_GB2312" w:hAnsi="仿宋_GB2312" w:eastAsia="仿宋_GB2312" w:cs="仿宋_GB2312"/>
          <w:kern w:val="0"/>
          <w:sz w:val="32"/>
          <w:szCs w:val="32"/>
          <w:highlight w:val="none"/>
          <w:shd w:val="clear" w:color="auto" w:fill="FFFFFF"/>
          <w:lang w:val="en-US" w:eastAsia="zh-CN"/>
        </w:rPr>
        <w:t>无结转结余。</w:t>
      </w:r>
    </w:p>
    <w:p>
      <w:pPr>
        <w:widowControl/>
        <w:adjustRightInd w:val="0"/>
        <w:snapToGrid w:val="0"/>
        <w:spacing w:line="560" w:lineRule="exact"/>
        <w:ind w:firstLine="643" w:firstLineChars="200"/>
        <w:contextualSpacing/>
        <w:jc w:val="left"/>
        <w:rPr>
          <w:rFonts w:ascii="楷体_GB2312" w:hAnsi="楷体_GB2312" w:eastAsia="楷体_GB2312" w:cs="楷体_GB2312"/>
          <w:b/>
          <w:bCs/>
          <w:kern w:val="0"/>
          <w:sz w:val="32"/>
          <w:szCs w:val="32"/>
          <w:highlight w:val="none"/>
          <w:shd w:val="clear" w:color="auto" w:fill="FFFFFF"/>
          <w:lang w:val="zh-CN"/>
        </w:rPr>
      </w:pPr>
      <w:r>
        <w:rPr>
          <w:rFonts w:hint="eastAsia" w:ascii="楷体_GB2312" w:hAnsi="楷体_GB2312" w:eastAsia="楷体_GB2312" w:cs="楷体_GB2312"/>
          <w:b/>
          <w:bCs/>
          <w:kern w:val="0"/>
          <w:sz w:val="32"/>
          <w:szCs w:val="32"/>
          <w:highlight w:val="none"/>
          <w:shd w:val="clear" w:color="auto" w:fill="FFFFFF"/>
          <w:lang w:val="zh-CN"/>
        </w:rPr>
        <w:t>（二）部门财政拨款收支情况。</w:t>
      </w:r>
    </w:p>
    <w:p>
      <w:pPr>
        <w:widowControl/>
        <w:adjustRightInd w:val="0"/>
        <w:snapToGrid w:val="0"/>
        <w:spacing w:line="560" w:lineRule="exact"/>
        <w:ind w:firstLine="640" w:firstLineChars="200"/>
        <w:contextualSpacing/>
        <w:jc w:val="left"/>
        <w:rPr>
          <w:rFonts w:hint="eastAsia" w:ascii="仿宋" w:hAnsi="仿宋" w:eastAsia="仿宋"/>
          <w:sz w:val="32"/>
          <w:szCs w:val="32"/>
          <w:highlight w:val="none"/>
          <w:lang w:eastAsia="zh-CN"/>
        </w:rPr>
      </w:pPr>
      <w:r>
        <w:rPr>
          <w:rFonts w:hint="eastAsia" w:ascii="仿宋_GB2312" w:hAnsi="仿宋_GB2312" w:eastAsia="仿宋_GB2312" w:cs="仿宋_GB2312"/>
          <w:kern w:val="0"/>
          <w:sz w:val="32"/>
          <w:szCs w:val="32"/>
          <w:highlight w:val="none"/>
          <w:shd w:val="clear" w:color="auto" w:fill="FFFFFF"/>
        </w:rPr>
        <w:t>1.部门财政拨款收入情况</w:t>
      </w:r>
      <w:r>
        <w:rPr>
          <w:rFonts w:hint="eastAsia" w:ascii="仿宋_GB2312" w:hAnsi="仿宋_GB2312" w:eastAsia="仿宋_GB2312" w:cs="仿宋_GB2312"/>
          <w:kern w:val="0"/>
          <w:sz w:val="32"/>
          <w:szCs w:val="32"/>
          <w:highlight w:val="none"/>
          <w:shd w:val="clear" w:color="auto" w:fill="FFFFFF"/>
          <w:lang w:eastAsia="zh-CN"/>
        </w:rPr>
        <w:t>：</w:t>
      </w:r>
      <w:r>
        <w:rPr>
          <w:rFonts w:hint="eastAsia" w:ascii="仿宋_GB2312" w:hAnsi="仿宋_GB2312" w:eastAsia="仿宋_GB2312" w:cs="仿宋_GB2312"/>
          <w:kern w:val="0"/>
          <w:sz w:val="32"/>
          <w:szCs w:val="32"/>
          <w:highlight w:val="none"/>
          <w:shd w:val="clear" w:color="auto" w:fill="FFFFFF"/>
          <w:lang w:val="en-US" w:eastAsia="zh-CN"/>
        </w:rPr>
        <w:t>2022年财政拨款收入1087.02万元，全镇一般公共预算支出1087.02万元。其中：一般公共服务支出415.47万元，国防支出0.41万元，文化体育与传媒支出120.87万元，社会保障和就业支出111.68万元，卫生健康支出33.12万元，城乡社区支出4.75万元，农林水支出352.27万元，住房保障支出48.44万元。</w:t>
      </w:r>
    </w:p>
    <w:p>
      <w:pPr>
        <w:spacing w:line="600" w:lineRule="exact"/>
        <w:ind w:firstLine="640" w:firstLineChars="200"/>
        <w:outlineLvl w:val="1"/>
        <w:rPr>
          <w:rFonts w:ascii="仿宋_GB2312" w:hAnsi="仿宋_GB2312" w:eastAsia="仿宋_GB2312" w:cs="仿宋_GB2312"/>
          <w:kern w:val="0"/>
          <w:sz w:val="32"/>
          <w:szCs w:val="32"/>
          <w:highlight w:val="none"/>
          <w:shd w:val="clear" w:color="auto" w:fill="FFFFFF"/>
        </w:rPr>
      </w:pPr>
      <w:r>
        <w:rPr>
          <w:rFonts w:hint="eastAsia" w:ascii="仿宋_GB2312" w:hAnsi="仿宋_GB2312" w:eastAsia="仿宋_GB2312" w:cs="仿宋_GB2312"/>
          <w:kern w:val="0"/>
          <w:sz w:val="32"/>
          <w:szCs w:val="32"/>
          <w:highlight w:val="none"/>
          <w:shd w:val="clear" w:color="auto" w:fill="FFFFFF"/>
        </w:rPr>
        <w:t>2.部门财政拨款支出情况</w:t>
      </w:r>
      <w:r>
        <w:rPr>
          <w:rFonts w:hint="eastAsia" w:ascii="仿宋_GB2312" w:hAnsi="仿宋_GB2312" w:eastAsia="仿宋_GB2312" w:cs="仿宋_GB2312"/>
          <w:kern w:val="0"/>
          <w:sz w:val="32"/>
          <w:szCs w:val="32"/>
          <w:highlight w:val="none"/>
          <w:shd w:val="clear" w:color="auto" w:fill="FFFFFF"/>
          <w:lang w:eastAsia="zh-CN"/>
        </w:rPr>
        <w:t>：</w:t>
      </w:r>
      <w:r>
        <w:rPr>
          <w:rFonts w:ascii="仿宋" w:hAnsi="仿宋" w:eastAsia="仿宋"/>
          <w:sz w:val="32"/>
          <w:szCs w:val="32"/>
          <w:highlight w:val="none"/>
        </w:rPr>
        <w:t>20</w:t>
      </w:r>
      <w:r>
        <w:rPr>
          <w:rFonts w:hint="eastAsia" w:ascii="仿宋" w:hAnsi="仿宋" w:eastAsia="仿宋"/>
          <w:sz w:val="32"/>
          <w:szCs w:val="32"/>
          <w:highlight w:val="none"/>
        </w:rPr>
        <w:t>2</w:t>
      </w:r>
      <w:r>
        <w:rPr>
          <w:rFonts w:hint="eastAsia" w:ascii="仿宋" w:hAnsi="仿宋" w:eastAsia="仿宋"/>
          <w:sz w:val="32"/>
          <w:szCs w:val="32"/>
          <w:highlight w:val="none"/>
          <w:lang w:val="en-US" w:eastAsia="zh-CN"/>
        </w:rPr>
        <w:t>2</w:t>
      </w:r>
      <w:r>
        <w:rPr>
          <w:rFonts w:hint="eastAsia" w:ascii="仿宋" w:hAnsi="仿宋" w:eastAsia="仿宋"/>
          <w:sz w:val="32"/>
          <w:szCs w:val="32"/>
          <w:highlight w:val="none"/>
        </w:rPr>
        <w:t>年本年支出合计1</w:t>
      </w:r>
      <w:r>
        <w:rPr>
          <w:rFonts w:hint="eastAsia" w:ascii="仿宋" w:hAnsi="仿宋" w:eastAsia="仿宋"/>
          <w:sz w:val="32"/>
          <w:szCs w:val="32"/>
          <w:highlight w:val="none"/>
          <w:lang w:val="en-US" w:eastAsia="zh-CN"/>
        </w:rPr>
        <w:t>087.02</w:t>
      </w:r>
      <w:r>
        <w:rPr>
          <w:rFonts w:hint="eastAsia" w:ascii="仿宋" w:hAnsi="仿宋" w:eastAsia="仿宋"/>
          <w:sz w:val="32"/>
          <w:szCs w:val="32"/>
          <w:highlight w:val="none"/>
        </w:rPr>
        <w:t>万元，其中：基本支出</w:t>
      </w:r>
      <w:r>
        <w:rPr>
          <w:rFonts w:hint="eastAsia" w:ascii="仿宋" w:hAnsi="仿宋" w:eastAsia="仿宋"/>
          <w:sz w:val="32"/>
          <w:szCs w:val="32"/>
          <w:highlight w:val="none"/>
          <w:lang w:val="en-US" w:eastAsia="zh-CN"/>
        </w:rPr>
        <w:t>879.72</w:t>
      </w:r>
      <w:r>
        <w:rPr>
          <w:rFonts w:hint="eastAsia" w:ascii="仿宋" w:hAnsi="仿宋" w:eastAsia="仿宋"/>
          <w:sz w:val="32"/>
          <w:szCs w:val="32"/>
          <w:highlight w:val="none"/>
        </w:rPr>
        <w:t>万元，占8</w:t>
      </w:r>
      <w:r>
        <w:rPr>
          <w:rFonts w:hint="eastAsia" w:ascii="仿宋" w:hAnsi="仿宋" w:eastAsia="仿宋"/>
          <w:sz w:val="32"/>
          <w:szCs w:val="32"/>
          <w:highlight w:val="none"/>
          <w:lang w:val="en-US" w:eastAsia="zh-CN"/>
        </w:rPr>
        <w:t>0.93</w:t>
      </w:r>
      <w:r>
        <w:rPr>
          <w:rFonts w:ascii="仿宋" w:hAnsi="仿宋" w:eastAsia="仿宋"/>
          <w:sz w:val="32"/>
          <w:szCs w:val="32"/>
          <w:highlight w:val="none"/>
        </w:rPr>
        <w:t>%</w:t>
      </w:r>
      <w:r>
        <w:rPr>
          <w:rFonts w:hint="eastAsia" w:ascii="仿宋" w:hAnsi="仿宋" w:eastAsia="仿宋"/>
          <w:sz w:val="32"/>
          <w:szCs w:val="32"/>
          <w:highlight w:val="none"/>
        </w:rPr>
        <w:t>；项目支出</w:t>
      </w:r>
      <w:r>
        <w:rPr>
          <w:rFonts w:hint="eastAsia" w:ascii="仿宋" w:hAnsi="仿宋" w:eastAsia="仿宋"/>
          <w:sz w:val="32"/>
          <w:szCs w:val="32"/>
          <w:highlight w:val="none"/>
          <w:lang w:val="en-US" w:eastAsia="zh-CN"/>
        </w:rPr>
        <w:t>207.3</w:t>
      </w:r>
      <w:r>
        <w:rPr>
          <w:rFonts w:hint="eastAsia" w:ascii="仿宋" w:hAnsi="仿宋" w:eastAsia="仿宋"/>
          <w:sz w:val="32"/>
          <w:szCs w:val="32"/>
          <w:highlight w:val="none"/>
        </w:rPr>
        <w:t>3万元，占</w:t>
      </w:r>
      <w:r>
        <w:rPr>
          <w:rFonts w:hint="eastAsia" w:ascii="仿宋" w:hAnsi="仿宋" w:eastAsia="仿宋"/>
          <w:sz w:val="32"/>
          <w:szCs w:val="32"/>
          <w:highlight w:val="none"/>
          <w:lang w:val="en-US" w:eastAsia="zh-CN"/>
        </w:rPr>
        <w:t>19.07</w:t>
      </w:r>
      <w:r>
        <w:rPr>
          <w:rFonts w:ascii="仿宋" w:hAnsi="仿宋" w:eastAsia="仿宋"/>
          <w:sz w:val="32"/>
          <w:szCs w:val="32"/>
          <w:highlight w:val="none"/>
        </w:rPr>
        <w:t>%</w:t>
      </w:r>
      <w:r>
        <w:rPr>
          <w:rFonts w:hint="eastAsia" w:ascii="仿宋" w:hAnsi="仿宋" w:eastAsia="仿宋"/>
          <w:sz w:val="32"/>
          <w:szCs w:val="32"/>
          <w:highlight w:val="none"/>
        </w:rPr>
        <w:t>；上缴上级支出0万元，占0</w:t>
      </w:r>
      <w:r>
        <w:rPr>
          <w:rFonts w:ascii="仿宋" w:hAnsi="仿宋" w:eastAsia="仿宋"/>
          <w:sz w:val="32"/>
          <w:szCs w:val="32"/>
          <w:highlight w:val="none"/>
        </w:rPr>
        <w:t>%</w:t>
      </w:r>
      <w:r>
        <w:rPr>
          <w:rFonts w:hint="eastAsia" w:ascii="仿宋" w:hAnsi="仿宋" w:eastAsia="仿宋"/>
          <w:sz w:val="32"/>
          <w:szCs w:val="32"/>
          <w:highlight w:val="none"/>
        </w:rPr>
        <w:t>；经营支出0万元，占0</w:t>
      </w:r>
      <w:r>
        <w:rPr>
          <w:rFonts w:ascii="仿宋" w:hAnsi="仿宋" w:eastAsia="仿宋"/>
          <w:sz w:val="32"/>
          <w:szCs w:val="32"/>
          <w:highlight w:val="none"/>
        </w:rPr>
        <w:t>%</w:t>
      </w:r>
      <w:r>
        <w:rPr>
          <w:rFonts w:hint="eastAsia" w:ascii="仿宋" w:hAnsi="仿宋" w:eastAsia="仿宋"/>
          <w:sz w:val="32"/>
          <w:szCs w:val="32"/>
          <w:highlight w:val="none"/>
        </w:rPr>
        <w:t>；对附属单位补助支出0万元，占0</w:t>
      </w:r>
      <w:r>
        <w:rPr>
          <w:rFonts w:ascii="仿宋" w:hAnsi="仿宋" w:eastAsia="仿宋"/>
          <w:sz w:val="32"/>
          <w:szCs w:val="32"/>
          <w:highlight w:val="none"/>
        </w:rPr>
        <w:t>%</w:t>
      </w:r>
      <w:r>
        <w:rPr>
          <w:rFonts w:hint="eastAsia" w:ascii="仿宋" w:hAnsi="仿宋" w:eastAsia="仿宋"/>
          <w:sz w:val="32"/>
          <w:szCs w:val="32"/>
          <w:highlight w:val="none"/>
        </w:rPr>
        <w:t>。</w:t>
      </w:r>
    </w:p>
    <w:p>
      <w:pPr>
        <w:widowControl/>
        <w:adjustRightInd w:val="0"/>
        <w:snapToGrid w:val="0"/>
        <w:spacing w:line="560" w:lineRule="exact"/>
        <w:ind w:firstLine="640" w:firstLineChars="200"/>
        <w:contextualSpacing/>
        <w:jc w:val="left"/>
        <w:rPr>
          <w:rFonts w:hint="default" w:ascii="仿宋_GB2312" w:hAnsi="仿宋_GB2312" w:eastAsia="仿宋_GB2312" w:cs="仿宋_GB2312"/>
          <w:kern w:val="0"/>
          <w:sz w:val="32"/>
          <w:szCs w:val="32"/>
          <w:highlight w:val="none"/>
          <w:shd w:val="clear" w:color="auto" w:fill="FFFFFF"/>
          <w:lang w:val="en-US" w:eastAsia="zh-CN"/>
        </w:rPr>
      </w:pPr>
      <w:r>
        <w:rPr>
          <w:rFonts w:hint="eastAsia" w:ascii="仿宋_GB2312" w:hAnsi="仿宋_GB2312" w:eastAsia="仿宋_GB2312" w:cs="仿宋_GB2312"/>
          <w:kern w:val="0"/>
          <w:sz w:val="32"/>
          <w:szCs w:val="32"/>
          <w:highlight w:val="none"/>
          <w:shd w:val="clear" w:color="auto" w:fill="FFFFFF"/>
        </w:rPr>
        <w:t>3.部门财政拨款结转结余情况</w:t>
      </w:r>
      <w:r>
        <w:rPr>
          <w:rFonts w:hint="eastAsia" w:ascii="仿宋_GB2312" w:hAnsi="仿宋_GB2312" w:eastAsia="仿宋_GB2312" w:cs="仿宋_GB2312"/>
          <w:kern w:val="0"/>
          <w:sz w:val="32"/>
          <w:szCs w:val="32"/>
          <w:highlight w:val="none"/>
          <w:shd w:val="clear" w:color="auto" w:fill="FFFFFF"/>
          <w:lang w:eastAsia="zh-CN"/>
        </w:rPr>
        <w:t>：</w:t>
      </w:r>
      <w:r>
        <w:rPr>
          <w:rFonts w:hint="eastAsia" w:ascii="仿宋_GB2312" w:hAnsi="仿宋_GB2312" w:eastAsia="仿宋_GB2312" w:cs="仿宋_GB2312"/>
          <w:kern w:val="0"/>
          <w:sz w:val="32"/>
          <w:szCs w:val="32"/>
          <w:highlight w:val="none"/>
          <w:shd w:val="clear" w:color="auto" w:fill="FFFFFF"/>
          <w:lang w:val="en-US" w:eastAsia="zh-CN"/>
        </w:rPr>
        <w:t>无结转结余。</w:t>
      </w:r>
    </w:p>
    <w:p>
      <w:pPr>
        <w:pStyle w:val="16"/>
        <w:rPr>
          <w:rFonts w:hint="eastAsia"/>
          <w:highlight w:val="none"/>
          <w:lang w:val="zh-CN"/>
        </w:rPr>
      </w:pPr>
    </w:p>
    <w:p>
      <w:pPr>
        <w:widowControl/>
        <w:numPr>
          <w:ilvl w:val="0"/>
          <w:numId w:val="0"/>
        </w:numPr>
        <w:adjustRightInd w:val="0"/>
        <w:snapToGrid w:val="0"/>
        <w:spacing w:line="560" w:lineRule="exact"/>
        <w:ind w:firstLine="640" w:firstLineChars="200"/>
        <w:contextualSpacing/>
        <w:jc w:val="left"/>
        <w:rPr>
          <w:rFonts w:hint="eastAsia" w:ascii="黑体" w:hAnsi="宋体" w:eastAsia="黑体" w:cs="宋体"/>
          <w:kern w:val="0"/>
          <w:sz w:val="32"/>
          <w:szCs w:val="32"/>
          <w:highlight w:val="none"/>
          <w:shd w:val="clear" w:color="auto" w:fill="FFFFFF"/>
          <w:lang w:val="zh-CN"/>
        </w:rPr>
      </w:pPr>
      <w:r>
        <w:rPr>
          <w:rFonts w:hint="eastAsia" w:ascii="黑体" w:hAnsi="宋体" w:eastAsia="黑体" w:cs="宋体"/>
          <w:kern w:val="0"/>
          <w:sz w:val="32"/>
          <w:szCs w:val="32"/>
          <w:highlight w:val="none"/>
          <w:shd w:val="clear" w:color="auto" w:fill="FFFFFF"/>
          <w:lang w:val="zh-CN"/>
        </w:rPr>
        <w:t>三、</w:t>
      </w:r>
      <w:r>
        <w:rPr>
          <w:rFonts w:hint="eastAsia" w:ascii="黑体" w:hAnsi="宋体" w:eastAsia="黑体" w:cs="宋体"/>
          <w:kern w:val="0"/>
          <w:sz w:val="32"/>
          <w:szCs w:val="32"/>
          <w:highlight w:val="none"/>
          <w:shd w:val="clear" w:color="auto" w:fill="FFFFFF"/>
        </w:rPr>
        <w:t>部门</w:t>
      </w:r>
      <w:r>
        <w:rPr>
          <w:rFonts w:hint="eastAsia" w:ascii="黑体" w:hAnsi="宋体" w:eastAsia="黑体" w:cs="宋体"/>
          <w:kern w:val="0"/>
          <w:sz w:val="32"/>
          <w:szCs w:val="32"/>
          <w:highlight w:val="none"/>
          <w:shd w:val="clear" w:color="auto" w:fill="FFFFFF"/>
          <w:lang w:val="zh-CN"/>
        </w:rPr>
        <w:t>整体绩效</w:t>
      </w:r>
      <w:r>
        <w:rPr>
          <w:rFonts w:hint="eastAsia" w:ascii="黑体" w:hAnsi="宋体" w:eastAsia="黑体" w:cs="宋体"/>
          <w:kern w:val="0"/>
          <w:sz w:val="32"/>
          <w:szCs w:val="32"/>
          <w:highlight w:val="none"/>
          <w:shd w:val="clear" w:color="auto" w:fill="FFFFFF"/>
          <w:lang w:val="zh-CN" w:eastAsia="zh-CN"/>
        </w:rPr>
        <w:t>分析</w:t>
      </w:r>
    </w:p>
    <w:p>
      <w:pPr>
        <w:widowControl/>
        <w:adjustRightInd w:val="0"/>
        <w:snapToGrid w:val="0"/>
        <w:spacing w:line="560" w:lineRule="exact"/>
        <w:ind w:firstLine="643" w:firstLineChars="200"/>
        <w:contextualSpacing/>
        <w:jc w:val="left"/>
        <w:rPr>
          <w:rFonts w:hint="eastAsia" w:ascii="楷体_GB2312" w:hAnsi="楷体_GB2312" w:eastAsia="楷体_GB2312" w:cs="楷体_GB2312"/>
          <w:b/>
          <w:bCs/>
          <w:kern w:val="0"/>
          <w:sz w:val="32"/>
          <w:szCs w:val="32"/>
          <w:highlight w:val="none"/>
          <w:shd w:val="clear" w:color="auto" w:fill="FFFFFF"/>
          <w:lang w:val="zh-CN"/>
        </w:rPr>
      </w:pPr>
      <w:r>
        <w:rPr>
          <w:rFonts w:hint="eastAsia" w:ascii="楷体_GB2312" w:hAnsi="楷体_GB2312" w:eastAsia="楷体_GB2312" w:cs="楷体_GB2312"/>
          <w:b/>
          <w:bCs/>
          <w:kern w:val="0"/>
          <w:sz w:val="32"/>
          <w:szCs w:val="32"/>
          <w:highlight w:val="none"/>
          <w:shd w:val="clear" w:color="auto" w:fill="FFFFFF"/>
          <w:lang w:val="zh-CN"/>
        </w:rPr>
        <w:t>（一）部门预算项目绩效分析。</w:t>
      </w:r>
    </w:p>
    <w:p>
      <w:pPr>
        <w:widowControl/>
        <w:adjustRightInd w:val="0"/>
        <w:snapToGrid w:val="0"/>
        <w:spacing w:line="560" w:lineRule="exact"/>
        <w:ind w:firstLine="640" w:firstLineChars="200"/>
        <w:contextualSpacing/>
        <w:jc w:val="left"/>
        <w:rPr>
          <w:rFonts w:hint="eastAsia" w:ascii="仿宋_GB2312" w:hAnsi="仿宋_GB2312" w:eastAsia="仿宋_GB2312" w:cs="仿宋_GB2312"/>
          <w:kern w:val="0"/>
          <w:sz w:val="32"/>
          <w:szCs w:val="32"/>
          <w:highlight w:val="none"/>
          <w:shd w:val="clear" w:color="auto" w:fill="FFFFFF"/>
          <w:lang w:val="en-US" w:eastAsia="zh-CN"/>
        </w:rPr>
      </w:pPr>
      <w:r>
        <w:rPr>
          <w:rFonts w:hint="eastAsia" w:ascii="仿宋_GB2312" w:hAnsi="仿宋_GB2312" w:eastAsia="仿宋_GB2312" w:cs="仿宋_GB2312"/>
          <w:kern w:val="0"/>
          <w:sz w:val="32"/>
          <w:szCs w:val="32"/>
          <w:highlight w:val="none"/>
          <w:shd w:val="clear" w:color="auto" w:fill="FFFFFF"/>
          <w:lang w:val="en-US" w:eastAsia="zh-CN"/>
        </w:rPr>
        <w:t>1.人员类项目绩效分析</w:t>
      </w:r>
    </w:p>
    <w:p>
      <w:pPr>
        <w:widowControl/>
        <w:adjustRightInd w:val="0"/>
        <w:snapToGrid w:val="0"/>
        <w:spacing w:line="560" w:lineRule="exact"/>
        <w:ind w:firstLine="640" w:firstLineChars="200"/>
        <w:contextualSpacing/>
        <w:jc w:val="left"/>
        <w:rPr>
          <w:rFonts w:hint="eastAsia" w:ascii="仿宋_GB2312" w:hAnsi="仿宋_GB2312" w:eastAsia="仿宋_GB2312" w:cs="仿宋_GB2312"/>
          <w:kern w:val="0"/>
          <w:sz w:val="32"/>
          <w:szCs w:val="32"/>
          <w:highlight w:val="none"/>
          <w:shd w:val="clear" w:color="auto" w:fill="FFFFFF"/>
          <w:lang w:val="en-US" w:eastAsia="zh-CN"/>
        </w:rPr>
      </w:pPr>
      <w:r>
        <w:rPr>
          <w:rFonts w:hint="eastAsia" w:ascii="仿宋_GB2312" w:hAnsi="仿宋_GB2312" w:eastAsia="仿宋_GB2312" w:cs="仿宋_GB2312"/>
          <w:kern w:val="0"/>
          <w:sz w:val="32"/>
          <w:szCs w:val="32"/>
          <w:highlight w:val="none"/>
          <w:shd w:val="clear" w:color="auto" w:fill="FFFFFF"/>
          <w:lang w:val="en-US" w:eastAsia="zh-CN"/>
        </w:rPr>
        <w:t>姚家镇人民政府2022年全年在职58人，遗属3人，人员经费预算金额793.73万元。其中：基本工资225.73万元；国家出台津补贴111.06万元；年终一次性奖励工资9.53万元；绩效工资76.8万元；目标绩效考核奖励218.89万元；机关事业单位基本养老保险缴费64.58万元；职工基本医疗保险缴费32.62万元；职工工伤、失业保险3.1万元；职工住房公积金48.44万元；遗属生活补助2.98万元。人员经费全年预算完成率100%，无结余资金。均按月足额发放到位。</w:t>
      </w:r>
    </w:p>
    <w:p>
      <w:pPr>
        <w:widowControl/>
        <w:adjustRightInd w:val="0"/>
        <w:snapToGrid w:val="0"/>
        <w:spacing w:line="560" w:lineRule="exact"/>
        <w:ind w:firstLine="640" w:firstLineChars="200"/>
        <w:contextualSpacing/>
        <w:jc w:val="left"/>
        <w:rPr>
          <w:rFonts w:hint="default" w:ascii="仿宋_GB2312" w:hAnsi="仿宋_GB2312" w:eastAsia="仿宋_GB2312" w:cs="仿宋_GB2312"/>
          <w:kern w:val="0"/>
          <w:sz w:val="32"/>
          <w:szCs w:val="32"/>
          <w:highlight w:val="none"/>
          <w:shd w:val="clear" w:color="auto" w:fill="FFFFFF"/>
          <w:lang w:val="en-US" w:eastAsia="zh-CN"/>
        </w:rPr>
      </w:pPr>
      <w:r>
        <w:rPr>
          <w:rFonts w:hint="eastAsia" w:ascii="仿宋_GB2312" w:hAnsi="仿宋_GB2312" w:eastAsia="仿宋_GB2312" w:cs="仿宋_GB2312"/>
          <w:kern w:val="0"/>
          <w:sz w:val="32"/>
          <w:szCs w:val="32"/>
          <w:highlight w:val="none"/>
          <w:shd w:val="clear" w:color="auto" w:fill="FFFFFF"/>
          <w:lang w:val="en-US" w:eastAsia="zh-CN"/>
        </w:rPr>
        <w:t>全年公用经费预算85.99万元。其中：办公费24.3万元；印刷费3万元；水费0.98万元；电费6.04万元；邮电费4.28万元；差旅费13万元；会议费1万元；培训费1万元；公务接待费3.6万元；劳务费3.6万元；工会经费及福利费7.4万元：公务员交通费用（车补）17.8万元。公用经费预算完成率100%，无结余资金。</w:t>
      </w:r>
    </w:p>
    <w:p>
      <w:pPr>
        <w:widowControl/>
        <w:adjustRightInd w:val="0"/>
        <w:snapToGrid w:val="0"/>
        <w:spacing w:line="560" w:lineRule="exact"/>
        <w:ind w:firstLine="640" w:firstLineChars="200"/>
        <w:contextualSpacing/>
        <w:jc w:val="left"/>
        <w:rPr>
          <w:rFonts w:hint="eastAsia" w:ascii="仿宋_GB2312" w:hAnsi="仿宋_GB2312" w:eastAsia="仿宋_GB2312" w:cs="仿宋_GB2312"/>
          <w:kern w:val="0"/>
          <w:sz w:val="32"/>
          <w:szCs w:val="32"/>
          <w:highlight w:val="none"/>
          <w:shd w:val="clear" w:color="auto" w:fill="FFFFFF"/>
          <w:lang w:val="en-US" w:eastAsia="zh-CN"/>
        </w:rPr>
      </w:pPr>
      <w:r>
        <w:rPr>
          <w:rFonts w:hint="eastAsia" w:ascii="仿宋_GB2312" w:hAnsi="仿宋_GB2312" w:eastAsia="仿宋_GB2312" w:cs="仿宋_GB2312"/>
          <w:kern w:val="0"/>
          <w:sz w:val="32"/>
          <w:szCs w:val="32"/>
          <w:highlight w:val="none"/>
          <w:shd w:val="clear" w:color="auto" w:fill="FFFFFF"/>
          <w:lang w:val="en-US" w:eastAsia="zh-CN"/>
        </w:rPr>
        <w:t>2.运转类项目绩效分析</w:t>
      </w:r>
    </w:p>
    <w:p>
      <w:pPr>
        <w:widowControl/>
        <w:adjustRightInd w:val="0"/>
        <w:snapToGrid w:val="0"/>
        <w:spacing w:line="560" w:lineRule="exact"/>
        <w:ind w:firstLine="640" w:firstLineChars="200"/>
        <w:contextualSpacing/>
        <w:jc w:val="left"/>
        <w:rPr>
          <w:rFonts w:hint="default" w:ascii="仿宋_GB2312" w:hAnsi="仿宋_GB2312" w:eastAsia="仿宋_GB2312" w:cs="仿宋_GB2312"/>
          <w:kern w:val="0"/>
          <w:sz w:val="32"/>
          <w:szCs w:val="32"/>
          <w:highlight w:val="none"/>
          <w:shd w:val="clear" w:color="auto" w:fill="FFFFFF"/>
          <w:lang w:val="en-US" w:eastAsia="zh-CN"/>
        </w:rPr>
      </w:pPr>
      <w:r>
        <w:rPr>
          <w:rFonts w:hint="eastAsia" w:ascii="仿宋_GB2312" w:hAnsi="仿宋_GB2312" w:eastAsia="仿宋_GB2312" w:cs="仿宋_GB2312"/>
          <w:kern w:val="0"/>
          <w:sz w:val="32"/>
          <w:szCs w:val="32"/>
          <w:highlight w:val="none"/>
          <w:shd w:val="clear" w:color="auto" w:fill="FFFFFF"/>
          <w:lang w:val="en-US" w:eastAsia="zh-CN"/>
        </w:rPr>
        <w:t>2022年度运转类项目共计17项，预算资金17.92万元。其中：党员教育培训费1.17万元；妇女儿童经费0.5万元；关系下一代工作经费0.3万元；纪委工作经费0.5万元；老促会工作经费0.6万元；人大会议费2.06万元；森林防灭火工作经费1.27万元；社会治安经费0.98万元；社会治理工作经费0.5万元；团委工作经费0.5万元；卫生与健康支出0.5万元；乡风文明建设0.5万元；乡镇党组织活动经费2万元；小伙食补助1.84万元；信访维稳经费1万元；宣传工作费用3.3万元；征兵工作经费0.41万元。全年预算完成率100%，无结余资金。</w:t>
      </w:r>
    </w:p>
    <w:p>
      <w:pPr>
        <w:widowControl/>
        <w:adjustRightInd w:val="0"/>
        <w:snapToGrid w:val="0"/>
        <w:spacing w:line="560" w:lineRule="exact"/>
        <w:ind w:firstLine="640" w:firstLineChars="200"/>
        <w:contextualSpacing/>
        <w:jc w:val="left"/>
        <w:rPr>
          <w:rFonts w:hint="default" w:ascii="仿宋_GB2312" w:hAnsi="仿宋_GB2312" w:eastAsia="仿宋_GB2312" w:cs="仿宋_GB2312"/>
          <w:kern w:val="0"/>
          <w:sz w:val="32"/>
          <w:szCs w:val="32"/>
          <w:highlight w:val="none"/>
          <w:shd w:val="clear" w:color="auto" w:fill="FFFFFF"/>
          <w:lang w:val="en-US" w:eastAsia="zh-CN"/>
        </w:rPr>
      </w:pPr>
      <w:r>
        <w:rPr>
          <w:rFonts w:hint="eastAsia" w:ascii="仿宋_GB2312" w:hAnsi="仿宋_GB2312" w:eastAsia="仿宋_GB2312" w:cs="仿宋_GB2312"/>
          <w:kern w:val="0"/>
          <w:sz w:val="32"/>
          <w:szCs w:val="32"/>
          <w:highlight w:val="none"/>
          <w:shd w:val="clear" w:color="auto" w:fill="FFFFFF"/>
          <w:lang w:val="en-US" w:eastAsia="zh-CN"/>
        </w:rPr>
        <w:t>3.特定目标类项目绩效分析</w:t>
      </w:r>
    </w:p>
    <w:p>
      <w:pPr>
        <w:widowControl/>
        <w:adjustRightInd w:val="0"/>
        <w:snapToGrid w:val="0"/>
        <w:spacing w:line="560" w:lineRule="exact"/>
        <w:ind w:firstLine="640" w:firstLineChars="200"/>
        <w:contextualSpacing/>
        <w:jc w:val="left"/>
        <w:rPr>
          <w:rFonts w:hint="eastAsia" w:ascii="仿宋_GB2312" w:hAnsi="仿宋_GB2312" w:eastAsia="仿宋_GB2312" w:cs="仿宋_GB2312"/>
          <w:kern w:val="0"/>
          <w:sz w:val="32"/>
          <w:szCs w:val="32"/>
          <w:highlight w:val="none"/>
          <w:shd w:val="clear" w:color="auto" w:fill="FFFFFF"/>
          <w:lang w:val="en-US" w:eastAsia="zh-CN"/>
        </w:rPr>
      </w:pPr>
      <w:r>
        <w:rPr>
          <w:rFonts w:hint="eastAsia" w:ascii="仿宋_GB2312" w:hAnsi="仿宋_GB2312" w:eastAsia="仿宋_GB2312" w:cs="仿宋_GB2312"/>
          <w:kern w:val="0"/>
          <w:sz w:val="32"/>
          <w:szCs w:val="32"/>
          <w:highlight w:val="none"/>
          <w:shd w:val="clear" w:color="auto" w:fill="FFFFFF"/>
          <w:lang w:val="en-US" w:eastAsia="zh-CN"/>
        </w:rPr>
        <w:t>2022年度全年特定项目共计12个，下达预算资金189.38万元。其中：</w:t>
      </w:r>
    </w:p>
    <w:p>
      <w:pPr>
        <w:widowControl/>
        <w:adjustRightInd w:val="0"/>
        <w:snapToGrid w:val="0"/>
        <w:spacing w:line="560" w:lineRule="exact"/>
        <w:ind w:firstLine="640" w:firstLineChars="200"/>
        <w:contextualSpacing/>
        <w:jc w:val="left"/>
        <w:rPr>
          <w:rFonts w:hint="eastAsia" w:ascii="仿宋_GB2312" w:hAnsi="仿宋_GB2312" w:eastAsia="仿宋_GB2312" w:cs="仿宋_GB2312"/>
          <w:kern w:val="0"/>
          <w:sz w:val="32"/>
          <w:szCs w:val="32"/>
          <w:highlight w:val="none"/>
          <w:shd w:val="clear" w:color="auto" w:fill="FFFFFF"/>
          <w:lang w:val="en-US" w:eastAsia="zh-CN"/>
        </w:rPr>
      </w:pPr>
      <w:r>
        <w:rPr>
          <w:rFonts w:hint="eastAsia" w:ascii="仿宋_GB2312" w:hAnsi="仿宋_GB2312" w:eastAsia="仿宋_GB2312" w:cs="仿宋_GB2312"/>
          <w:kern w:val="0"/>
          <w:sz w:val="32"/>
          <w:szCs w:val="32"/>
          <w:highlight w:val="none"/>
          <w:shd w:val="clear" w:color="auto" w:fill="FFFFFF"/>
          <w:lang w:val="en-US" w:eastAsia="zh-CN"/>
        </w:rPr>
        <w:t>抗旱资金1.89万元，主要是用于保障干旱引起的老百姓饮用水困难，各村根据农户旱期程度，分批次送水入户，缓解饮水困难，资金主要用于购买装水用具，以及送水的运输费等。无结余资金。</w:t>
      </w:r>
    </w:p>
    <w:p>
      <w:pPr>
        <w:widowControl/>
        <w:adjustRightInd w:val="0"/>
        <w:snapToGrid w:val="0"/>
        <w:spacing w:line="560" w:lineRule="exact"/>
        <w:ind w:firstLine="640" w:firstLineChars="200"/>
        <w:contextualSpacing/>
        <w:jc w:val="left"/>
        <w:rPr>
          <w:rFonts w:hint="eastAsia" w:ascii="仿宋_GB2312" w:hAnsi="仿宋_GB2312" w:eastAsia="仿宋_GB2312" w:cs="仿宋_GB2312"/>
          <w:kern w:val="0"/>
          <w:sz w:val="32"/>
          <w:szCs w:val="32"/>
          <w:highlight w:val="none"/>
          <w:shd w:val="clear" w:color="auto" w:fill="FFFFFF"/>
          <w:lang w:val="en-US" w:eastAsia="zh-CN"/>
        </w:rPr>
      </w:pPr>
      <w:r>
        <w:rPr>
          <w:rFonts w:hint="eastAsia" w:ascii="仿宋_GB2312" w:hAnsi="仿宋_GB2312" w:eastAsia="仿宋_GB2312" w:cs="仿宋_GB2312"/>
          <w:kern w:val="0"/>
          <w:sz w:val="32"/>
          <w:szCs w:val="32"/>
          <w:highlight w:val="none"/>
          <w:shd w:val="clear" w:color="auto" w:fill="FFFFFF"/>
          <w:lang w:val="en-US" w:eastAsia="zh-CN"/>
        </w:rPr>
        <w:t>村（社）干部基本报酬95.49万元，主要用于保障村（社）干部基本报酬。全年预算完成率100%，无结余资金。</w:t>
      </w:r>
    </w:p>
    <w:p>
      <w:pPr>
        <w:widowControl/>
        <w:adjustRightInd w:val="0"/>
        <w:snapToGrid w:val="0"/>
        <w:spacing w:line="560" w:lineRule="exact"/>
        <w:ind w:firstLine="640" w:firstLineChars="200"/>
        <w:contextualSpacing/>
        <w:jc w:val="left"/>
        <w:rPr>
          <w:rFonts w:hint="eastAsia" w:ascii="仿宋_GB2312" w:hAnsi="仿宋_GB2312" w:eastAsia="仿宋_GB2312" w:cs="仿宋_GB2312"/>
          <w:kern w:val="0"/>
          <w:sz w:val="32"/>
          <w:szCs w:val="32"/>
          <w:highlight w:val="none"/>
          <w:shd w:val="clear" w:color="auto" w:fill="FFFFFF"/>
          <w:lang w:val="en-US" w:eastAsia="zh-CN"/>
        </w:rPr>
      </w:pPr>
      <w:r>
        <w:rPr>
          <w:rFonts w:hint="eastAsia" w:ascii="仿宋_GB2312" w:hAnsi="仿宋_GB2312" w:eastAsia="仿宋_GB2312" w:cs="仿宋_GB2312"/>
          <w:kern w:val="0"/>
          <w:sz w:val="32"/>
          <w:szCs w:val="32"/>
          <w:highlight w:val="none"/>
          <w:shd w:val="clear" w:color="auto" w:fill="FFFFFF"/>
          <w:lang w:val="en-US" w:eastAsia="zh-CN"/>
        </w:rPr>
        <w:t>社区专职工作者保险补助1.02万元，主要用于支付社区4职干部医疗和养老保险按规定补助的部分。全年预算完成率100%，无结余资金。</w:t>
      </w:r>
    </w:p>
    <w:p>
      <w:pPr>
        <w:widowControl/>
        <w:adjustRightInd w:val="0"/>
        <w:snapToGrid w:val="0"/>
        <w:spacing w:line="560" w:lineRule="exact"/>
        <w:ind w:firstLine="640" w:firstLineChars="200"/>
        <w:contextualSpacing/>
        <w:jc w:val="left"/>
        <w:rPr>
          <w:rFonts w:hint="eastAsia" w:ascii="仿宋_GB2312" w:hAnsi="仿宋_GB2312" w:eastAsia="仿宋_GB2312" w:cs="仿宋_GB2312"/>
          <w:kern w:val="0"/>
          <w:sz w:val="32"/>
          <w:szCs w:val="32"/>
          <w:highlight w:val="none"/>
          <w:shd w:val="clear" w:color="auto" w:fill="FFFFFF"/>
          <w:lang w:val="en-US" w:eastAsia="zh-CN"/>
        </w:rPr>
      </w:pPr>
      <w:r>
        <w:rPr>
          <w:rFonts w:hint="eastAsia" w:ascii="仿宋_GB2312" w:hAnsi="仿宋_GB2312" w:eastAsia="仿宋_GB2312" w:cs="仿宋_GB2312"/>
          <w:kern w:val="0"/>
          <w:sz w:val="32"/>
          <w:szCs w:val="32"/>
          <w:highlight w:val="none"/>
          <w:shd w:val="clear" w:color="auto" w:fill="FFFFFF"/>
          <w:lang w:val="en-US" w:eastAsia="zh-CN"/>
        </w:rPr>
        <w:t>基层组织活动和公共运行维护费19.96万元，主要用于村（社）日常工作正常开展保障，以及公共设施维修维护和公共服务支出。全年预算完成率100%，无结余资金。</w:t>
      </w:r>
    </w:p>
    <w:p>
      <w:pPr>
        <w:widowControl/>
        <w:adjustRightInd w:val="0"/>
        <w:snapToGrid w:val="0"/>
        <w:spacing w:line="560" w:lineRule="exact"/>
        <w:ind w:firstLine="640" w:firstLineChars="200"/>
        <w:contextualSpacing/>
        <w:jc w:val="left"/>
        <w:rPr>
          <w:rFonts w:hint="eastAsia" w:ascii="仿宋_GB2312" w:hAnsi="仿宋_GB2312" w:eastAsia="仿宋_GB2312" w:cs="仿宋_GB2312"/>
          <w:kern w:val="0"/>
          <w:sz w:val="32"/>
          <w:szCs w:val="32"/>
          <w:highlight w:val="none"/>
          <w:shd w:val="clear" w:color="auto" w:fill="FFFFFF"/>
          <w:lang w:val="en-US" w:eastAsia="zh-CN"/>
        </w:rPr>
      </w:pPr>
      <w:r>
        <w:rPr>
          <w:rFonts w:hint="eastAsia" w:ascii="仿宋_GB2312" w:hAnsi="仿宋_GB2312" w:eastAsia="仿宋_GB2312" w:cs="仿宋_GB2312"/>
          <w:kern w:val="0"/>
          <w:sz w:val="32"/>
          <w:szCs w:val="32"/>
          <w:highlight w:val="none"/>
          <w:shd w:val="clear" w:color="auto" w:fill="FFFFFF"/>
          <w:lang w:val="en-US" w:eastAsia="zh-CN"/>
        </w:rPr>
        <w:t>五指山农旅融合项目工作经费3.91万元，主要用于协作尖山子五指农旅项目建设地涉及的19户农户搬迁，项目建设协调工作等经费支出。全年预算完成率100%，无结余资金。</w:t>
      </w:r>
    </w:p>
    <w:p>
      <w:pPr>
        <w:widowControl/>
        <w:adjustRightInd w:val="0"/>
        <w:snapToGrid w:val="0"/>
        <w:spacing w:line="560" w:lineRule="exact"/>
        <w:ind w:firstLine="640" w:firstLineChars="200"/>
        <w:contextualSpacing/>
        <w:jc w:val="left"/>
        <w:rPr>
          <w:rFonts w:hint="eastAsia" w:ascii="仿宋_GB2312" w:hAnsi="仿宋_GB2312" w:eastAsia="仿宋_GB2312" w:cs="仿宋_GB2312"/>
          <w:kern w:val="0"/>
          <w:sz w:val="32"/>
          <w:szCs w:val="32"/>
          <w:highlight w:val="none"/>
          <w:shd w:val="clear" w:color="auto" w:fill="FFFFFF"/>
          <w:lang w:val="en-US" w:eastAsia="zh-CN"/>
        </w:rPr>
      </w:pPr>
      <w:r>
        <w:rPr>
          <w:rFonts w:hint="eastAsia" w:ascii="仿宋_GB2312" w:hAnsi="仿宋_GB2312" w:eastAsia="仿宋_GB2312" w:cs="仿宋_GB2312"/>
          <w:kern w:val="0"/>
          <w:sz w:val="32"/>
          <w:szCs w:val="32"/>
          <w:highlight w:val="none"/>
          <w:shd w:val="clear" w:color="auto" w:fill="FFFFFF"/>
          <w:lang w:val="en-US" w:eastAsia="zh-CN"/>
        </w:rPr>
        <w:t>烟叶补助资金12.25万元，主要用于重点发展烟叶生产的村的奖励补助及配套基础设施维修维护方面的费用支出。全年预算完成率100%，无结余资金。</w:t>
      </w:r>
    </w:p>
    <w:p>
      <w:pPr>
        <w:widowControl/>
        <w:adjustRightInd w:val="0"/>
        <w:snapToGrid w:val="0"/>
        <w:spacing w:line="560" w:lineRule="exact"/>
        <w:ind w:firstLine="640" w:firstLineChars="200"/>
        <w:contextualSpacing/>
        <w:jc w:val="left"/>
        <w:rPr>
          <w:rFonts w:hint="eastAsia" w:ascii="仿宋_GB2312" w:hAnsi="仿宋_GB2312" w:eastAsia="仿宋_GB2312" w:cs="仿宋_GB2312"/>
          <w:kern w:val="0"/>
          <w:sz w:val="32"/>
          <w:szCs w:val="32"/>
          <w:highlight w:val="none"/>
          <w:shd w:val="clear" w:color="auto" w:fill="FFFFFF"/>
          <w:lang w:val="en-US" w:eastAsia="zh-CN"/>
        </w:rPr>
      </w:pPr>
      <w:r>
        <w:rPr>
          <w:rFonts w:hint="eastAsia" w:ascii="仿宋_GB2312" w:hAnsi="仿宋_GB2312" w:eastAsia="仿宋_GB2312" w:cs="仿宋_GB2312"/>
          <w:kern w:val="0"/>
          <w:sz w:val="32"/>
          <w:szCs w:val="32"/>
          <w:highlight w:val="none"/>
          <w:shd w:val="clear" w:color="auto" w:fill="FFFFFF"/>
          <w:lang w:val="en-US" w:eastAsia="zh-CN"/>
        </w:rPr>
        <w:t>垃圾清运及处置费4.75万元，主要用于两个场镇垃圾集中点的清理转运，平均每月转运量30车，根据实际需求清理运输，随时保持集中存放点的清洁卫生，营造良好的生活环境。垃圾清运费用按月结算。全年预算完成率100%，无结余资金。</w:t>
      </w:r>
    </w:p>
    <w:p>
      <w:pPr>
        <w:widowControl/>
        <w:adjustRightInd w:val="0"/>
        <w:snapToGrid w:val="0"/>
        <w:spacing w:line="560" w:lineRule="exact"/>
        <w:ind w:firstLine="640" w:firstLineChars="200"/>
        <w:contextualSpacing/>
        <w:jc w:val="left"/>
        <w:rPr>
          <w:rFonts w:hint="eastAsia" w:ascii="仿宋_GB2312" w:hAnsi="仿宋_GB2312" w:eastAsia="仿宋_GB2312" w:cs="仿宋_GB2312"/>
          <w:kern w:val="0"/>
          <w:sz w:val="32"/>
          <w:szCs w:val="32"/>
          <w:highlight w:val="none"/>
          <w:shd w:val="clear" w:color="auto" w:fill="FFFFFF"/>
          <w:lang w:val="en-US" w:eastAsia="zh-CN"/>
        </w:rPr>
      </w:pPr>
      <w:r>
        <w:rPr>
          <w:rFonts w:hint="eastAsia" w:ascii="仿宋_GB2312" w:hAnsi="仿宋_GB2312" w:eastAsia="仿宋_GB2312" w:cs="仿宋_GB2312"/>
          <w:kern w:val="0"/>
          <w:sz w:val="32"/>
          <w:szCs w:val="32"/>
          <w:highlight w:val="none"/>
          <w:shd w:val="clear" w:color="auto" w:fill="FFFFFF"/>
          <w:lang w:val="en-US" w:eastAsia="zh-CN"/>
        </w:rPr>
        <w:t>乡村振兴驻村帮扶经费11.51万元，主要用于五个村驻村工作队人员生活补助及工作经费支出，人员生活补助按月足额发放，工作经费根据实际发生报销，确保驻村工作队顺利开展帮扶工作。全年预算资金完成率100%，无结余资金。</w:t>
      </w:r>
    </w:p>
    <w:p>
      <w:pPr>
        <w:widowControl/>
        <w:adjustRightInd w:val="0"/>
        <w:snapToGrid w:val="0"/>
        <w:spacing w:line="560" w:lineRule="exact"/>
        <w:ind w:firstLine="640" w:firstLineChars="200"/>
        <w:contextualSpacing/>
        <w:jc w:val="left"/>
        <w:rPr>
          <w:rFonts w:hint="eastAsia" w:ascii="仿宋_GB2312" w:hAnsi="仿宋_GB2312" w:eastAsia="仿宋_GB2312" w:cs="仿宋_GB2312"/>
          <w:kern w:val="0"/>
          <w:sz w:val="32"/>
          <w:szCs w:val="32"/>
          <w:highlight w:val="none"/>
          <w:shd w:val="clear" w:color="auto" w:fill="FFFFFF"/>
          <w:lang w:val="en-US" w:eastAsia="zh-CN"/>
        </w:rPr>
      </w:pPr>
      <w:r>
        <w:rPr>
          <w:rFonts w:hint="eastAsia" w:ascii="仿宋_GB2312" w:hAnsi="仿宋_GB2312" w:eastAsia="仿宋_GB2312" w:cs="仿宋_GB2312"/>
          <w:kern w:val="0"/>
          <w:sz w:val="32"/>
          <w:szCs w:val="32"/>
          <w:highlight w:val="none"/>
          <w:shd w:val="clear" w:color="auto" w:fill="FFFFFF"/>
          <w:lang w:val="en-US" w:eastAsia="zh-CN"/>
        </w:rPr>
        <w:t>农村综合改革项目资金20万元，主要用于元宝村土鸡产业园区内1.5米宽长1.2公里产业扩宽路基开挖工程，工程建设期限27天，产业道路的建设夯实了园区内的基础设施，助推了土鸡产业发展，也为当地老百姓的出行提供了便利，群众满意度较高。全年预算资金完成率100%，无结余资金。</w:t>
      </w:r>
    </w:p>
    <w:p>
      <w:pPr>
        <w:widowControl/>
        <w:adjustRightInd w:val="0"/>
        <w:snapToGrid w:val="0"/>
        <w:spacing w:line="560" w:lineRule="exact"/>
        <w:ind w:firstLine="640" w:firstLineChars="200"/>
        <w:contextualSpacing/>
        <w:jc w:val="left"/>
        <w:rPr>
          <w:rFonts w:hint="eastAsia" w:ascii="仿宋_GB2312" w:hAnsi="仿宋_GB2312" w:eastAsia="仿宋_GB2312" w:cs="仿宋_GB2312"/>
          <w:kern w:val="0"/>
          <w:sz w:val="32"/>
          <w:szCs w:val="32"/>
          <w:highlight w:val="none"/>
          <w:shd w:val="clear" w:color="auto" w:fill="FFFFFF"/>
          <w:lang w:val="en-US" w:eastAsia="zh-CN"/>
        </w:rPr>
      </w:pPr>
      <w:r>
        <w:rPr>
          <w:rFonts w:hint="eastAsia" w:ascii="仿宋_GB2312" w:hAnsi="仿宋_GB2312" w:eastAsia="仿宋_GB2312" w:cs="仿宋_GB2312"/>
          <w:kern w:val="0"/>
          <w:sz w:val="32"/>
          <w:szCs w:val="32"/>
          <w:highlight w:val="none"/>
          <w:shd w:val="clear" w:color="auto" w:fill="FFFFFF"/>
          <w:lang w:val="en-US" w:eastAsia="zh-CN"/>
        </w:rPr>
        <w:t>乡镇谈话室建设项目资金4.6万元，主要用于建设标准化乡镇纪委谈话室1间，专业设施设备配套，相关制度上墙，持续营造风清气正的政治生态环境，提高基层监督办案质效。全年预算资金完成率100%，无结余资金。</w:t>
      </w:r>
    </w:p>
    <w:p>
      <w:pPr>
        <w:widowControl/>
        <w:adjustRightInd w:val="0"/>
        <w:snapToGrid w:val="0"/>
        <w:spacing w:line="560" w:lineRule="exact"/>
        <w:ind w:firstLine="640" w:firstLineChars="200"/>
        <w:contextualSpacing/>
        <w:jc w:val="left"/>
        <w:rPr>
          <w:rFonts w:hint="eastAsia" w:ascii="仿宋_GB2312" w:hAnsi="仿宋_GB2312" w:eastAsia="仿宋_GB2312" w:cs="仿宋_GB2312"/>
          <w:kern w:val="0"/>
          <w:sz w:val="32"/>
          <w:szCs w:val="32"/>
          <w:highlight w:val="none"/>
          <w:shd w:val="clear" w:color="auto" w:fill="FFFFFF"/>
          <w:lang w:val="en-US" w:eastAsia="zh-CN"/>
        </w:rPr>
      </w:pPr>
      <w:r>
        <w:rPr>
          <w:rFonts w:hint="eastAsia" w:ascii="仿宋_GB2312" w:hAnsi="仿宋_GB2312" w:eastAsia="仿宋_GB2312" w:cs="仿宋_GB2312"/>
          <w:kern w:val="0"/>
          <w:sz w:val="32"/>
          <w:szCs w:val="32"/>
          <w:highlight w:val="none"/>
          <w:shd w:val="clear" w:color="auto" w:fill="FFFFFF"/>
          <w:lang w:val="en-US" w:eastAsia="zh-CN"/>
        </w:rPr>
        <w:t>2022年中央财政农业生产和水利救灾项目资金11万元，主要用于2022年度因旱情影响需对农业生产及水利救灾等方面的费用支出。为补救旱情对农业生产带来的损失，由政府统一采购晚秋生产农业投入品（秋洋芋种子）进行改种，缓解了因旱情带来的损失。全年预算资金完成率100%，无结余资金。</w:t>
      </w:r>
    </w:p>
    <w:p>
      <w:pPr>
        <w:widowControl/>
        <w:adjustRightInd w:val="0"/>
        <w:snapToGrid w:val="0"/>
        <w:spacing w:line="560" w:lineRule="exact"/>
        <w:ind w:firstLine="640" w:firstLineChars="200"/>
        <w:contextualSpacing/>
        <w:jc w:val="left"/>
        <w:rPr>
          <w:rFonts w:hint="default" w:ascii="仿宋_GB2312" w:hAnsi="仿宋_GB2312" w:eastAsia="仿宋_GB2312" w:cs="仿宋_GB2312"/>
          <w:kern w:val="0"/>
          <w:sz w:val="32"/>
          <w:szCs w:val="32"/>
          <w:highlight w:val="none"/>
          <w:shd w:val="clear" w:color="auto" w:fill="FFFFFF"/>
          <w:lang w:val="en-US" w:eastAsia="zh-CN"/>
        </w:rPr>
      </w:pPr>
      <w:r>
        <w:rPr>
          <w:rFonts w:hint="eastAsia" w:ascii="仿宋_GB2312" w:hAnsi="仿宋_GB2312" w:eastAsia="仿宋_GB2312" w:cs="仿宋_GB2312"/>
          <w:kern w:val="0"/>
          <w:sz w:val="32"/>
          <w:szCs w:val="32"/>
          <w:highlight w:val="none"/>
          <w:shd w:val="clear" w:color="auto" w:fill="FFFFFF"/>
          <w:lang w:val="en-US" w:eastAsia="zh-CN"/>
        </w:rPr>
        <w:t>2022年省级财政农业生产和水利救灾项目资金3万元，主要用于旱情救灾维修元宝村山坪塘1口的费用支出，利用干旱季节维修山坪塘，为农业生产用水提供充足保障。全年预算资金完成率100%，无结余资金。</w:t>
      </w:r>
    </w:p>
    <w:p>
      <w:pPr>
        <w:widowControl/>
        <w:adjustRightInd w:val="0"/>
        <w:snapToGrid w:val="0"/>
        <w:spacing w:line="560" w:lineRule="exact"/>
        <w:ind w:firstLine="643" w:firstLineChars="200"/>
        <w:contextualSpacing/>
        <w:jc w:val="left"/>
        <w:rPr>
          <w:rFonts w:ascii="楷体_GB2312" w:hAnsi="楷体_GB2312" w:eastAsia="楷体_GB2312" w:cs="楷体_GB2312"/>
          <w:b/>
          <w:bCs/>
          <w:kern w:val="0"/>
          <w:sz w:val="32"/>
          <w:szCs w:val="32"/>
          <w:highlight w:val="none"/>
          <w:shd w:val="clear" w:color="auto" w:fill="FFFFFF"/>
          <w:lang w:val="zh-CN"/>
        </w:rPr>
      </w:pPr>
      <w:r>
        <w:rPr>
          <w:rFonts w:hint="eastAsia" w:ascii="楷体_GB2312" w:hAnsi="楷体_GB2312" w:eastAsia="楷体_GB2312" w:cs="楷体_GB2312"/>
          <w:b/>
          <w:bCs/>
          <w:kern w:val="0"/>
          <w:sz w:val="32"/>
          <w:szCs w:val="32"/>
          <w:highlight w:val="none"/>
          <w:shd w:val="clear" w:color="auto" w:fill="FFFFFF"/>
          <w:lang w:val="zh-CN"/>
        </w:rPr>
        <w:t>（二）部门整体履职绩效分析。</w:t>
      </w:r>
    </w:p>
    <w:p>
      <w:pPr>
        <w:ind w:firstLine="640" w:firstLineChars="200"/>
        <w:rPr>
          <w:rFonts w:hint="default" w:ascii="仿宋_GB2312" w:hAnsi="宋体" w:eastAsia="仿宋_GB2312" w:cs="宋体"/>
          <w:kern w:val="0"/>
          <w:sz w:val="32"/>
          <w:szCs w:val="32"/>
          <w:highlight w:val="none"/>
          <w:shd w:val="clear" w:color="auto" w:fill="FFFFFF"/>
          <w:lang w:val="en-US" w:eastAsia="zh-CN"/>
        </w:rPr>
      </w:pPr>
      <w:r>
        <w:rPr>
          <w:rFonts w:hint="eastAsia" w:ascii="仿宋_GB2312" w:hAnsi="宋体" w:eastAsia="仿宋_GB2312" w:cs="宋体"/>
          <w:kern w:val="0"/>
          <w:sz w:val="32"/>
          <w:szCs w:val="32"/>
          <w:highlight w:val="none"/>
          <w:shd w:val="clear" w:color="auto" w:fill="FFFFFF"/>
          <w:lang w:val="en-US" w:eastAsia="zh-CN"/>
        </w:rPr>
        <w:t>我单位积极</w:t>
      </w:r>
      <w:r>
        <w:rPr>
          <w:rFonts w:hint="default" w:ascii="仿宋_GB2312" w:hAnsi="宋体" w:eastAsia="仿宋_GB2312" w:cs="宋体"/>
          <w:kern w:val="0"/>
          <w:sz w:val="32"/>
          <w:szCs w:val="32"/>
          <w:highlight w:val="none"/>
          <w:shd w:val="clear" w:color="auto" w:fill="FFFFFF"/>
          <w:lang w:val="en-US" w:eastAsia="zh-CN"/>
        </w:rPr>
        <w:t>履职</w:t>
      </w:r>
      <w:r>
        <w:rPr>
          <w:rFonts w:hint="eastAsia" w:ascii="仿宋_GB2312" w:hAnsi="宋体" w:eastAsia="仿宋_GB2312" w:cs="宋体"/>
          <w:kern w:val="0"/>
          <w:sz w:val="32"/>
          <w:szCs w:val="32"/>
          <w:highlight w:val="none"/>
          <w:shd w:val="clear" w:color="auto" w:fill="FFFFFF"/>
          <w:lang w:val="en-US" w:eastAsia="zh-CN"/>
        </w:rPr>
        <w:t>，</w:t>
      </w:r>
      <w:r>
        <w:rPr>
          <w:rFonts w:hint="default" w:ascii="仿宋_GB2312" w:hAnsi="宋体" w:eastAsia="仿宋_GB2312" w:cs="宋体"/>
          <w:kern w:val="0"/>
          <w:sz w:val="32"/>
          <w:szCs w:val="32"/>
          <w:highlight w:val="none"/>
          <w:shd w:val="clear" w:color="auto" w:fill="FFFFFF"/>
          <w:lang w:val="en-US" w:eastAsia="zh-CN"/>
        </w:rPr>
        <w:t>强化管理</w:t>
      </w:r>
      <w:r>
        <w:rPr>
          <w:rFonts w:hint="eastAsia" w:ascii="仿宋_GB2312" w:hAnsi="宋体" w:eastAsia="仿宋_GB2312" w:cs="宋体"/>
          <w:kern w:val="0"/>
          <w:sz w:val="32"/>
          <w:szCs w:val="32"/>
          <w:highlight w:val="none"/>
          <w:shd w:val="clear" w:color="auto" w:fill="FFFFFF"/>
          <w:lang w:val="en-US" w:eastAsia="zh-CN"/>
        </w:rPr>
        <w:t>，</w:t>
      </w:r>
      <w:r>
        <w:rPr>
          <w:rFonts w:hint="default" w:ascii="仿宋_GB2312" w:hAnsi="宋体" w:eastAsia="仿宋_GB2312" w:cs="宋体"/>
          <w:kern w:val="0"/>
          <w:sz w:val="32"/>
          <w:szCs w:val="32"/>
          <w:highlight w:val="none"/>
          <w:shd w:val="clear" w:color="auto" w:fill="FFFFFF"/>
          <w:lang w:val="en-US" w:eastAsia="zh-CN"/>
        </w:rPr>
        <w:t>较好地完成了年度工作目标</w:t>
      </w:r>
      <w:r>
        <w:rPr>
          <w:rFonts w:hint="eastAsia" w:ascii="仿宋_GB2312" w:hAnsi="宋体" w:eastAsia="仿宋_GB2312" w:cs="宋体"/>
          <w:kern w:val="0"/>
          <w:sz w:val="32"/>
          <w:szCs w:val="32"/>
          <w:highlight w:val="none"/>
          <w:shd w:val="clear" w:color="auto" w:fill="FFFFFF"/>
          <w:lang w:val="en-US" w:eastAsia="zh-CN"/>
        </w:rPr>
        <w:t>。</w:t>
      </w:r>
      <w:r>
        <w:rPr>
          <w:rFonts w:hint="eastAsia" w:ascii="仿宋_GB2312" w:hAnsi="宋体" w:eastAsia="仿宋_GB2312" w:cs="宋体"/>
          <w:kern w:val="0"/>
          <w:sz w:val="32"/>
          <w:szCs w:val="32"/>
          <w:highlight w:val="none"/>
          <w:shd w:val="clear" w:color="auto" w:fill="FFFFFF"/>
        </w:rPr>
        <w:t>在财政预算资金管理上，我们根据年初工作规划和重点性工作，积极履职，强化管理，通过加强预算收支的管理，不断建立健全内部管理制度，梳理内部管理流程，部门整体支出管理情况得到了提升。</w:t>
      </w:r>
    </w:p>
    <w:p>
      <w:pPr>
        <w:widowControl/>
        <w:adjustRightInd w:val="0"/>
        <w:snapToGrid w:val="0"/>
        <w:spacing w:line="560" w:lineRule="exact"/>
        <w:ind w:firstLine="643" w:firstLineChars="200"/>
        <w:contextualSpacing/>
        <w:jc w:val="left"/>
        <w:rPr>
          <w:rFonts w:ascii="楷体_GB2312" w:hAnsi="楷体_GB2312" w:eastAsia="楷体_GB2312" w:cs="楷体_GB2312"/>
          <w:b/>
          <w:bCs/>
          <w:kern w:val="0"/>
          <w:sz w:val="32"/>
          <w:szCs w:val="32"/>
          <w:highlight w:val="none"/>
          <w:shd w:val="clear" w:color="auto" w:fill="FFFFFF"/>
          <w:lang w:val="zh-CN"/>
        </w:rPr>
      </w:pPr>
      <w:r>
        <w:rPr>
          <w:rFonts w:hint="eastAsia" w:ascii="楷体_GB2312" w:hAnsi="楷体_GB2312" w:eastAsia="楷体_GB2312" w:cs="楷体_GB2312"/>
          <w:b/>
          <w:bCs/>
          <w:kern w:val="0"/>
          <w:sz w:val="32"/>
          <w:szCs w:val="32"/>
          <w:highlight w:val="none"/>
          <w:shd w:val="clear" w:color="auto" w:fill="FFFFFF"/>
          <w:lang w:val="zh-CN"/>
        </w:rPr>
        <w:t>（三）结果应用情况。</w:t>
      </w:r>
    </w:p>
    <w:p>
      <w:pPr>
        <w:widowControl/>
        <w:numPr>
          <w:ilvl w:val="0"/>
          <w:numId w:val="0"/>
        </w:numPr>
        <w:adjustRightInd w:val="0"/>
        <w:snapToGrid w:val="0"/>
        <w:spacing w:line="560" w:lineRule="exact"/>
        <w:ind w:firstLine="640" w:firstLineChars="200"/>
        <w:contextualSpacing/>
        <w:jc w:val="left"/>
        <w:rPr>
          <w:rFonts w:ascii="楷体_GB2312" w:hAnsi="楷体_GB2312" w:eastAsia="楷体_GB2312" w:cs="楷体_GB2312"/>
          <w:b/>
          <w:bCs/>
          <w:kern w:val="0"/>
          <w:sz w:val="32"/>
          <w:szCs w:val="32"/>
          <w:highlight w:val="none"/>
          <w:shd w:val="clear" w:color="auto" w:fill="FFFFFF"/>
          <w:lang w:val="zh-CN"/>
        </w:rPr>
      </w:pPr>
      <w:r>
        <w:rPr>
          <w:rFonts w:hint="eastAsia" w:ascii="仿宋" w:hAnsi="仿宋" w:eastAsia="仿宋" w:cs="仿宋"/>
          <w:color w:val="000000"/>
          <w:kern w:val="0"/>
          <w:sz w:val="32"/>
          <w:szCs w:val="32"/>
          <w:highlight w:val="none"/>
          <w:shd w:val="clear" w:color="auto" w:fill="FFFFFF"/>
          <w:lang w:val="zh-CN"/>
        </w:rPr>
        <w:t>我镇绩效自评主动及时公开。</w:t>
      </w:r>
    </w:p>
    <w:p>
      <w:pPr>
        <w:widowControl/>
        <w:adjustRightInd w:val="0"/>
        <w:snapToGrid w:val="0"/>
        <w:spacing w:line="560" w:lineRule="exact"/>
        <w:ind w:firstLine="643" w:firstLineChars="200"/>
        <w:contextualSpacing/>
        <w:jc w:val="left"/>
        <w:rPr>
          <w:rFonts w:hint="eastAsia" w:ascii="楷体_GB2312" w:hAnsi="楷体_GB2312" w:eastAsia="楷体_GB2312" w:cs="楷体_GB2312"/>
          <w:b/>
          <w:bCs/>
          <w:kern w:val="0"/>
          <w:sz w:val="32"/>
          <w:szCs w:val="32"/>
          <w:highlight w:val="none"/>
          <w:shd w:val="clear" w:color="auto" w:fill="FFFFFF"/>
          <w:lang w:val="zh-CN"/>
        </w:rPr>
      </w:pPr>
      <w:r>
        <w:rPr>
          <w:rFonts w:hint="eastAsia" w:ascii="楷体_GB2312" w:hAnsi="楷体_GB2312" w:eastAsia="楷体_GB2312" w:cs="楷体_GB2312"/>
          <w:b/>
          <w:bCs/>
          <w:kern w:val="0"/>
          <w:sz w:val="32"/>
          <w:szCs w:val="32"/>
          <w:highlight w:val="none"/>
          <w:shd w:val="clear" w:color="auto" w:fill="FFFFFF"/>
          <w:lang w:val="zh-CN"/>
        </w:rPr>
        <w:t>（</w:t>
      </w:r>
      <w:r>
        <w:rPr>
          <w:rFonts w:hint="eastAsia" w:ascii="楷体_GB2312" w:hAnsi="楷体_GB2312" w:eastAsia="楷体_GB2312" w:cs="楷体_GB2312"/>
          <w:b/>
          <w:bCs/>
          <w:kern w:val="0"/>
          <w:sz w:val="32"/>
          <w:szCs w:val="32"/>
          <w:highlight w:val="none"/>
          <w:shd w:val="clear" w:color="auto" w:fill="FFFFFF"/>
          <w:lang w:val="en-US" w:eastAsia="zh-CN"/>
        </w:rPr>
        <w:t>四</w:t>
      </w:r>
      <w:r>
        <w:rPr>
          <w:rFonts w:hint="eastAsia" w:ascii="楷体_GB2312" w:hAnsi="楷体_GB2312" w:eastAsia="楷体_GB2312" w:cs="楷体_GB2312"/>
          <w:b/>
          <w:bCs/>
          <w:kern w:val="0"/>
          <w:sz w:val="32"/>
          <w:szCs w:val="32"/>
          <w:highlight w:val="none"/>
          <w:shd w:val="clear" w:color="auto" w:fill="FFFFFF"/>
          <w:lang w:val="zh-CN"/>
        </w:rPr>
        <w:t>）自评质量。</w:t>
      </w:r>
    </w:p>
    <w:p>
      <w:pPr>
        <w:ind w:firstLine="640" w:firstLineChars="200"/>
        <w:rPr>
          <w:rFonts w:hint="eastAsia"/>
          <w:highlight w:val="none"/>
          <w:lang w:val="zh-CN"/>
        </w:rPr>
      </w:pPr>
      <w:r>
        <w:rPr>
          <w:rFonts w:hint="eastAsia" w:ascii="仿宋_GB2312" w:hAnsi="宋体" w:eastAsia="仿宋_GB2312" w:cs="宋体"/>
          <w:kern w:val="0"/>
          <w:sz w:val="32"/>
          <w:szCs w:val="32"/>
          <w:highlight w:val="none"/>
          <w:shd w:val="clear" w:color="auto" w:fill="FFFFFF"/>
        </w:rPr>
        <w:t>包括评价部门整体支出自评准确情况。</w:t>
      </w:r>
    </w:p>
    <w:p>
      <w:pPr>
        <w:widowControl/>
        <w:adjustRightInd w:val="0"/>
        <w:snapToGrid w:val="0"/>
        <w:spacing w:line="560" w:lineRule="exact"/>
        <w:ind w:firstLine="640" w:firstLineChars="200"/>
        <w:contextualSpacing/>
        <w:jc w:val="left"/>
        <w:rPr>
          <w:rFonts w:hint="eastAsia" w:ascii="黑体" w:hAnsi="宋体" w:eastAsia="黑体" w:cs="宋体"/>
          <w:kern w:val="0"/>
          <w:sz w:val="32"/>
          <w:szCs w:val="32"/>
          <w:highlight w:val="none"/>
          <w:shd w:val="clear" w:color="auto" w:fill="FFFFFF"/>
          <w:lang w:val="zh-CN"/>
        </w:rPr>
      </w:pPr>
      <w:r>
        <w:rPr>
          <w:rFonts w:hint="eastAsia" w:ascii="黑体" w:hAnsi="宋体" w:eastAsia="黑体" w:cs="宋体"/>
          <w:kern w:val="0"/>
          <w:sz w:val="32"/>
          <w:szCs w:val="32"/>
          <w:highlight w:val="none"/>
          <w:shd w:val="clear" w:color="auto" w:fill="FFFFFF"/>
          <w:lang w:val="zh-CN"/>
        </w:rPr>
        <w:t>四、评价结论及建议</w:t>
      </w:r>
    </w:p>
    <w:p>
      <w:pPr>
        <w:widowControl/>
        <w:adjustRightInd w:val="0"/>
        <w:snapToGrid w:val="0"/>
        <w:spacing w:line="560" w:lineRule="exact"/>
        <w:ind w:firstLine="643" w:firstLineChars="200"/>
        <w:contextualSpacing/>
        <w:jc w:val="left"/>
        <w:rPr>
          <w:rFonts w:hint="eastAsia" w:ascii="楷体_GB2312" w:hAnsi="楷体_GB2312" w:eastAsia="楷体_GB2312" w:cs="楷体_GB2312"/>
          <w:b/>
          <w:bCs/>
          <w:kern w:val="0"/>
          <w:sz w:val="32"/>
          <w:szCs w:val="32"/>
          <w:highlight w:val="none"/>
          <w:shd w:val="clear" w:color="auto" w:fill="FFFFFF"/>
          <w:lang w:val="zh-CN"/>
        </w:rPr>
      </w:pPr>
      <w:r>
        <w:rPr>
          <w:rFonts w:hint="eastAsia" w:ascii="楷体_GB2312" w:hAnsi="楷体_GB2312" w:eastAsia="楷体_GB2312" w:cs="楷体_GB2312"/>
          <w:b/>
          <w:bCs/>
          <w:kern w:val="0"/>
          <w:sz w:val="32"/>
          <w:szCs w:val="32"/>
          <w:highlight w:val="none"/>
          <w:shd w:val="clear" w:color="auto" w:fill="FFFFFF"/>
          <w:lang w:val="zh-CN"/>
        </w:rPr>
        <w:t>（一）评价结论。</w:t>
      </w:r>
    </w:p>
    <w:p>
      <w:pPr>
        <w:ind w:firstLine="640" w:firstLineChars="200"/>
        <w:rPr>
          <w:rFonts w:hint="default" w:ascii="仿宋_GB2312" w:hAnsi="宋体" w:eastAsia="仿宋_GB2312" w:cs="宋体"/>
          <w:kern w:val="0"/>
          <w:sz w:val="32"/>
          <w:szCs w:val="32"/>
          <w:highlight w:val="none"/>
          <w:shd w:val="clear" w:color="auto" w:fill="FFFFFF"/>
        </w:rPr>
      </w:pPr>
      <w:r>
        <w:rPr>
          <w:rFonts w:hint="eastAsia" w:ascii="仿宋_GB2312" w:hAnsi="宋体" w:eastAsia="仿宋_GB2312" w:cs="宋体"/>
          <w:kern w:val="0"/>
          <w:sz w:val="32"/>
          <w:szCs w:val="32"/>
          <w:highlight w:val="none"/>
          <w:shd w:val="clear" w:color="auto" w:fill="FFFFFF"/>
          <w:lang w:val="en-US" w:eastAsia="zh-CN"/>
        </w:rPr>
        <w:t>根据2023年部门整体支出绩效评价指标体系，</w:t>
      </w:r>
      <w:r>
        <w:rPr>
          <w:rFonts w:hint="default" w:ascii="仿宋_GB2312" w:hAnsi="宋体" w:eastAsia="仿宋_GB2312" w:cs="宋体"/>
          <w:kern w:val="0"/>
          <w:sz w:val="32"/>
          <w:szCs w:val="32"/>
          <w:highlight w:val="none"/>
          <w:shd w:val="clear" w:color="auto" w:fill="FFFFFF"/>
        </w:rPr>
        <w:t>我单位对202</w:t>
      </w:r>
      <w:r>
        <w:rPr>
          <w:rFonts w:hint="eastAsia" w:ascii="仿宋_GB2312" w:hAnsi="宋体" w:eastAsia="仿宋_GB2312" w:cs="宋体"/>
          <w:kern w:val="0"/>
          <w:sz w:val="32"/>
          <w:szCs w:val="32"/>
          <w:highlight w:val="none"/>
          <w:shd w:val="clear" w:color="auto" w:fill="FFFFFF"/>
          <w:lang w:val="en-US" w:eastAsia="zh-CN"/>
        </w:rPr>
        <w:t>2</w:t>
      </w:r>
      <w:r>
        <w:rPr>
          <w:rFonts w:hint="default" w:ascii="仿宋_GB2312" w:hAnsi="宋体" w:eastAsia="仿宋_GB2312" w:cs="宋体"/>
          <w:kern w:val="0"/>
          <w:sz w:val="32"/>
          <w:szCs w:val="32"/>
          <w:highlight w:val="none"/>
          <w:shd w:val="clear" w:color="auto" w:fill="FFFFFF"/>
        </w:rPr>
        <w:t>年度预算绩效管理工作进行自我考核，自评分数为</w:t>
      </w:r>
      <w:r>
        <w:rPr>
          <w:rFonts w:hint="eastAsia" w:ascii="仿宋_GB2312" w:hAnsi="宋体" w:eastAsia="仿宋_GB2312" w:cs="宋体"/>
          <w:kern w:val="0"/>
          <w:sz w:val="32"/>
          <w:szCs w:val="32"/>
          <w:highlight w:val="none"/>
          <w:shd w:val="clear" w:color="auto" w:fill="FFFFFF"/>
          <w:lang w:val="en-US" w:eastAsia="zh-CN"/>
        </w:rPr>
        <w:t>93</w:t>
      </w:r>
      <w:r>
        <w:rPr>
          <w:rFonts w:hint="default" w:ascii="仿宋_GB2312" w:hAnsi="宋体" w:eastAsia="仿宋_GB2312" w:cs="宋体"/>
          <w:kern w:val="0"/>
          <w:sz w:val="32"/>
          <w:szCs w:val="32"/>
          <w:highlight w:val="none"/>
          <w:shd w:val="clear" w:color="auto" w:fill="FFFFFF"/>
        </w:rPr>
        <w:t>分。</w:t>
      </w:r>
    </w:p>
    <w:p>
      <w:pPr>
        <w:pStyle w:val="16"/>
        <w:numPr>
          <w:ilvl w:val="0"/>
          <w:numId w:val="5"/>
        </w:numPr>
        <w:ind w:left="0" w:leftChars="0" w:firstLine="640" w:firstLineChars="200"/>
        <w:rPr>
          <w:rFonts w:hint="eastAsia" w:ascii="仿宋_GB2312" w:hAnsi="宋体" w:eastAsia="仿宋_GB2312" w:cs="宋体"/>
          <w:kern w:val="0"/>
          <w:sz w:val="32"/>
          <w:szCs w:val="32"/>
          <w:highlight w:val="none"/>
          <w:shd w:val="clear" w:color="auto" w:fill="FFFFFF"/>
          <w:lang w:val="en-US" w:eastAsia="zh-CN" w:bidi="ar-SA"/>
        </w:rPr>
      </w:pPr>
      <w:r>
        <w:rPr>
          <w:rFonts w:hint="eastAsia" w:ascii="仿宋_GB2312" w:hAnsi="宋体" w:eastAsia="仿宋_GB2312" w:cs="宋体"/>
          <w:kern w:val="0"/>
          <w:sz w:val="32"/>
          <w:szCs w:val="32"/>
          <w:highlight w:val="none"/>
          <w:shd w:val="clear" w:color="auto" w:fill="FFFFFF"/>
          <w:lang w:val="en-US" w:eastAsia="zh-CN" w:bidi="ar-SA"/>
        </w:rPr>
        <w:t>目标制定：在项目申报前根据项目建设实际需求，合理、规范编制项目绩效目标申报表，对申报的每一项目标进行细化、量化，项目申报事项纳入镇党委会议集体讨论决策。该项得15分。</w:t>
      </w:r>
    </w:p>
    <w:p>
      <w:pPr>
        <w:pStyle w:val="16"/>
        <w:numPr>
          <w:ilvl w:val="0"/>
          <w:numId w:val="5"/>
        </w:numPr>
        <w:ind w:left="0" w:leftChars="0" w:firstLine="640" w:firstLineChars="200"/>
        <w:rPr>
          <w:rFonts w:hint="default" w:ascii="仿宋_GB2312" w:hAnsi="宋体" w:eastAsia="仿宋_GB2312" w:cs="宋体"/>
          <w:kern w:val="0"/>
          <w:sz w:val="32"/>
          <w:szCs w:val="32"/>
          <w:highlight w:val="none"/>
          <w:shd w:val="clear" w:color="auto" w:fill="FFFFFF"/>
          <w:lang w:val="en-US" w:eastAsia="zh-CN" w:bidi="ar-SA"/>
        </w:rPr>
      </w:pPr>
      <w:r>
        <w:rPr>
          <w:rFonts w:hint="eastAsia" w:ascii="仿宋_GB2312" w:hAnsi="宋体" w:eastAsia="仿宋_GB2312" w:cs="宋体"/>
          <w:kern w:val="0"/>
          <w:sz w:val="32"/>
          <w:szCs w:val="32"/>
          <w:highlight w:val="none"/>
          <w:shd w:val="clear" w:color="auto" w:fill="FFFFFF"/>
          <w:lang w:val="en-US" w:eastAsia="zh-CN" w:bidi="ar-SA"/>
        </w:rPr>
        <w:t>目标实现：项目实施由镇项目办及涉及的相关部门进行督促指导，确保目标实现。根据对每一个包括人员类、运转类及特定项目完成情况进行对标查看，均实现了预期目标。该项得10分。</w:t>
      </w:r>
    </w:p>
    <w:p>
      <w:pPr>
        <w:numPr>
          <w:ilvl w:val="0"/>
          <w:numId w:val="5"/>
        </w:numPr>
        <w:ind w:left="0" w:leftChars="0" w:firstLine="640" w:firstLineChars="200"/>
        <w:rPr>
          <w:rFonts w:hint="eastAsia" w:hAnsi="Calibri" w:cs="仿宋_GB2312"/>
          <w:i w:val="0"/>
          <w:iCs w:val="0"/>
          <w:caps w:val="0"/>
          <w:color w:val="222222"/>
          <w:spacing w:val="0"/>
          <w:sz w:val="32"/>
          <w:szCs w:val="32"/>
          <w:highlight w:val="none"/>
          <w:shd w:val="clear" w:fill="FFFFFF"/>
          <w:lang w:val="en-US" w:eastAsia="zh-CN"/>
        </w:rPr>
      </w:pPr>
      <w:r>
        <w:rPr>
          <w:rFonts w:hint="eastAsia" w:ascii="仿宋_GB2312" w:hAnsi="宋体" w:eastAsia="仿宋_GB2312" w:cs="宋体"/>
          <w:kern w:val="0"/>
          <w:sz w:val="32"/>
          <w:szCs w:val="32"/>
          <w:highlight w:val="none"/>
          <w:shd w:val="clear" w:color="auto" w:fill="FFFFFF"/>
          <w:lang w:val="en-US" w:eastAsia="zh-CN"/>
        </w:rPr>
        <w:t>支出控制：我单位日常公用经费各项支出严格按照年初预算执行，预决算数据未出现偏差。此项得5分。</w:t>
      </w:r>
    </w:p>
    <w:p>
      <w:pPr>
        <w:pStyle w:val="16"/>
        <w:numPr>
          <w:ilvl w:val="0"/>
          <w:numId w:val="5"/>
        </w:numPr>
        <w:ind w:left="0" w:leftChars="0" w:firstLine="640" w:firstLineChars="200"/>
        <w:rPr>
          <w:rFonts w:hint="default" w:ascii="仿宋_GB2312" w:hAnsi="宋体" w:eastAsia="仿宋_GB2312" w:cs="宋体"/>
          <w:kern w:val="0"/>
          <w:sz w:val="32"/>
          <w:szCs w:val="32"/>
          <w:highlight w:val="none"/>
          <w:shd w:val="clear" w:color="auto" w:fill="FFFFFF"/>
          <w:lang w:val="en-US" w:eastAsia="zh-CN" w:bidi="ar-SA"/>
        </w:rPr>
      </w:pPr>
      <w:r>
        <w:rPr>
          <w:rFonts w:hint="eastAsia" w:ascii="仿宋_GB2312" w:hAnsi="宋体" w:eastAsia="仿宋_GB2312" w:cs="宋体"/>
          <w:kern w:val="0"/>
          <w:sz w:val="32"/>
          <w:szCs w:val="32"/>
          <w:highlight w:val="none"/>
          <w:shd w:val="clear" w:color="auto" w:fill="FFFFFF"/>
          <w:lang w:val="en-US" w:eastAsia="zh-CN" w:bidi="ar-SA"/>
        </w:rPr>
        <w:t>及时处置：在绩效运行监控过程中没有发生预算收回、调整处置意见等问题。该项得5分。</w:t>
      </w:r>
    </w:p>
    <w:p>
      <w:pPr>
        <w:numPr>
          <w:ilvl w:val="0"/>
          <w:numId w:val="5"/>
        </w:numPr>
        <w:ind w:left="0" w:leftChars="0" w:firstLine="640" w:firstLineChars="200"/>
        <w:rPr>
          <w:rFonts w:hint="eastAsia" w:ascii="仿宋_GB2312" w:hAnsi="宋体" w:eastAsia="仿宋_GB2312" w:cs="宋体"/>
          <w:kern w:val="0"/>
          <w:sz w:val="32"/>
          <w:szCs w:val="32"/>
          <w:highlight w:val="none"/>
          <w:shd w:val="clear" w:color="auto" w:fill="FFFFFF"/>
          <w:lang w:val="en-US" w:eastAsia="zh-CN" w:bidi="ar-SA"/>
        </w:rPr>
      </w:pPr>
      <w:r>
        <w:rPr>
          <w:rFonts w:hint="eastAsia" w:ascii="仿宋_GB2312" w:hAnsi="宋体" w:eastAsia="仿宋_GB2312" w:cs="宋体"/>
          <w:kern w:val="0"/>
          <w:sz w:val="32"/>
          <w:szCs w:val="32"/>
          <w:highlight w:val="none"/>
          <w:shd w:val="clear" w:color="auto" w:fill="FFFFFF"/>
          <w:lang w:val="en-US" w:eastAsia="zh-CN" w:bidi="ar-SA"/>
        </w:rPr>
        <w:t>执行进度：2022年6月年度预算支出实际进度达40.8%，9月达61.5%，11月支付进度达73%。此项得分1分。</w:t>
      </w:r>
    </w:p>
    <w:p>
      <w:pPr>
        <w:pStyle w:val="16"/>
        <w:numPr>
          <w:ilvl w:val="0"/>
          <w:numId w:val="5"/>
        </w:numPr>
        <w:ind w:left="0" w:leftChars="0" w:firstLine="640" w:firstLineChars="200"/>
        <w:rPr>
          <w:rFonts w:hint="default" w:ascii="仿宋_GB2312" w:hAnsi="宋体" w:eastAsia="仿宋_GB2312" w:cs="宋体"/>
          <w:kern w:val="0"/>
          <w:sz w:val="32"/>
          <w:szCs w:val="32"/>
          <w:highlight w:val="none"/>
          <w:shd w:val="clear" w:color="auto" w:fill="FFFFFF"/>
          <w:lang w:val="en-US" w:eastAsia="zh-CN" w:bidi="ar-SA"/>
        </w:rPr>
      </w:pPr>
      <w:r>
        <w:rPr>
          <w:rFonts w:hint="eastAsia" w:ascii="仿宋_GB2312" w:hAnsi="宋体" w:eastAsia="仿宋_GB2312" w:cs="宋体"/>
          <w:kern w:val="0"/>
          <w:sz w:val="32"/>
          <w:szCs w:val="32"/>
          <w:highlight w:val="none"/>
          <w:shd w:val="clear" w:color="auto" w:fill="FFFFFF"/>
          <w:lang w:val="en-US" w:eastAsia="zh-CN" w:bidi="ar-SA"/>
        </w:rPr>
        <w:t>资金结余：年末预算完成率100%，无结余资金。此项得5分。</w:t>
      </w:r>
    </w:p>
    <w:p>
      <w:pPr>
        <w:numPr>
          <w:ilvl w:val="0"/>
          <w:numId w:val="0"/>
        </w:numPr>
        <w:ind w:firstLine="640" w:firstLineChars="200"/>
        <w:rPr>
          <w:rFonts w:hint="eastAsia"/>
          <w:highlight w:val="none"/>
          <w:lang w:val="en-US" w:eastAsia="zh-CN"/>
        </w:rPr>
      </w:pPr>
      <w:r>
        <w:rPr>
          <w:rFonts w:hint="eastAsia" w:ascii="仿宋_GB2312" w:hAnsi="宋体" w:eastAsia="仿宋_GB2312" w:cs="宋体"/>
          <w:kern w:val="0"/>
          <w:sz w:val="32"/>
          <w:szCs w:val="32"/>
          <w:highlight w:val="none"/>
          <w:shd w:val="clear" w:color="auto" w:fill="FFFFFF"/>
          <w:lang w:val="en-US" w:eastAsia="zh-CN" w:bidi="ar-SA"/>
        </w:rPr>
        <w:t>7、违规记录：我单位严格按照上级部门要求落实党政机关过紧日子，未出现预算管理方面违规违纪等问题。此项得5分。</w:t>
      </w:r>
    </w:p>
    <w:p>
      <w:pPr>
        <w:pStyle w:val="16"/>
        <w:numPr>
          <w:ilvl w:val="0"/>
          <w:numId w:val="0"/>
        </w:numPr>
        <w:ind w:firstLine="640" w:firstLineChars="200"/>
        <w:rPr>
          <w:rFonts w:hint="default"/>
          <w:highlight w:val="none"/>
          <w:lang w:val="en-US" w:eastAsia="zh-CN"/>
        </w:rPr>
      </w:pPr>
      <w:r>
        <w:rPr>
          <w:rFonts w:hint="eastAsia" w:hAnsi="宋体" w:eastAsia="仿宋_GB2312" w:cs="宋体"/>
          <w:kern w:val="0"/>
          <w:sz w:val="32"/>
          <w:szCs w:val="32"/>
          <w:highlight w:val="none"/>
          <w:shd w:val="clear" w:color="auto" w:fill="FFFFFF"/>
          <w:lang w:val="en-US" w:eastAsia="zh-CN" w:bidi="ar-SA"/>
        </w:rPr>
        <w:t>8、</w:t>
      </w:r>
      <w:r>
        <w:rPr>
          <w:rFonts w:hint="eastAsia" w:ascii="仿宋_GB2312" w:hAnsi="宋体" w:eastAsia="仿宋_GB2312" w:cs="宋体"/>
          <w:kern w:val="0"/>
          <w:sz w:val="32"/>
          <w:szCs w:val="32"/>
          <w:highlight w:val="none"/>
          <w:shd w:val="clear" w:color="auto" w:fill="FFFFFF"/>
          <w:lang w:val="en-US" w:eastAsia="zh-CN" w:bidi="ar-SA"/>
        </w:rPr>
        <w:t>专项资金预算绩效管理：根据专项资金预算项目自评要求，我单位对特定项目类逐一进行自评打分，并对农村综合改革及中央农业生产水利救灾等项目资金编写了自评报告。此项得28分。</w:t>
      </w:r>
    </w:p>
    <w:p>
      <w:pPr>
        <w:numPr>
          <w:ilvl w:val="0"/>
          <w:numId w:val="0"/>
        </w:numPr>
        <w:ind w:firstLine="640" w:firstLineChars="200"/>
        <w:rPr>
          <w:rFonts w:hint="eastAsia"/>
          <w:highlight w:val="none"/>
          <w:lang w:val="en-US" w:eastAsia="zh-CN"/>
        </w:rPr>
      </w:pPr>
      <w:r>
        <w:rPr>
          <w:rFonts w:hint="eastAsia" w:ascii="仿宋_GB2312" w:hAnsi="宋体" w:eastAsia="仿宋_GB2312" w:cs="宋体"/>
          <w:kern w:val="0"/>
          <w:sz w:val="32"/>
          <w:szCs w:val="32"/>
          <w:highlight w:val="none"/>
          <w:shd w:val="clear" w:color="auto" w:fill="FFFFFF"/>
          <w:lang w:val="en-US" w:eastAsia="zh-CN" w:bidi="ar-SA"/>
        </w:rPr>
        <w:t>9、内部应用：我单位将项目实施绩效结果与涉及的相关部门预算挂钩，待进一步细化。此项得3分。</w:t>
      </w:r>
    </w:p>
    <w:p>
      <w:pPr>
        <w:pStyle w:val="16"/>
        <w:numPr>
          <w:ilvl w:val="0"/>
          <w:numId w:val="0"/>
        </w:numPr>
        <w:ind w:firstLine="640" w:firstLineChars="200"/>
        <w:rPr>
          <w:rFonts w:hint="default" w:ascii="仿宋_GB2312" w:hAnsi="宋体" w:eastAsia="仿宋_GB2312" w:cs="宋体"/>
          <w:kern w:val="0"/>
          <w:sz w:val="32"/>
          <w:szCs w:val="32"/>
          <w:highlight w:val="none"/>
          <w:shd w:val="clear" w:color="auto" w:fill="FFFFFF"/>
          <w:lang w:val="en-US" w:eastAsia="zh-CN" w:bidi="ar-SA"/>
        </w:rPr>
      </w:pPr>
      <w:r>
        <w:rPr>
          <w:rFonts w:hint="eastAsia" w:hAnsi="宋体" w:eastAsia="仿宋_GB2312" w:cs="宋体"/>
          <w:kern w:val="0"/>
          <w:sz w:val="32"/>
          <w:szCs w:val="32"/>
          <w:highlight w:val="none"/>
          <w:shd w:val="clear" w:color="auto" w:fill="FFFFFF"/>
          <w:lang w:val="en-US" w:eastAsia="zh-CN" w:bidi="ar-SA"/>
        </w:rPr>
        <w:t>10、</w:t>
      </w:r>
      <w:r>
        <w:rPr>
          <w:rFonts w:hint="eastAsia" w:ascii="仿宋_GB2312" w:hAnsi="宋体" w:eastAsia="仿宋_GB2312" w:cs="宋体"/>
          <w:kern w:val="0"/>
          <w:sz w:val="32"/>
          <w:szCs w:val="32"/>
          <w:highlight w:val="none"/>
          <w:shd w:val="clear" w:color="auto" w:fill="FFFFFF"/>
          <w:lang w:val="en-US" w:eastAsia="zh-CN" w:bidi="ar-SA"/>
        </w:rPr>
        <w:t>自评公开：我单位严格按照上级要求将较小信息随同决算公开。此项得2分。</w:t>
      </w:r>
    </w:p>
    <w:p>
      <w:pPr>
        <w:numPr>
          <w:ilvl w:val="0"/>
          <w:numId w:val="0"/>
        </w:numPr>
        <w:ind w:firstLine="640" w:firstLineChars="200"/>
        <w:rPr>
          <w:rFonts w:hint="eastAsia" w:ascii="仿宋_GB2312" w:hAnsi="宋体" w:eastAsia="仿宋_GB2312" w:cs="宋体"/>
          <w:kern w:val="0"/>
          <w:sz w:val="32"/>
          <w:szCs w:val="32"/>
          <w:highlight w:val="none"/>
          <w:shd w:val="clear" w:color="auto" w:fill="FFFFFF"/>
          <w:lang w:val="en-US" w:eastAsia="zh-CN" w:bidi="ar-SA"/>
        </w:rPr>
      </w:pPr>
      <w:r>
        <w:rPr>
          <w:rFonts w:hint="eastAsia" w:ascii="仿宋_GB2312" w:hAnsi="宋体" w:eastAsia="仿宋_GB2312" w:cs="宋体"/>
          <w:kern w:val="0"/>
          <w:sz w:val="32"/>
          <w:szCs w:val="32"/>
          <w:highlight w:val="none"/>
          <w:shd w:val="clear" w:color="auto" w:fill="FFFFFF"/>
          <w:lang w:val="en-US" w:eastAsia="zh-CN" w:bidi="ar-SA"/>
        </w:rPr>
        <w:t>11、问题整改：我单位严格按照实际节点对以往的绩效评价检查发现的问题进行整改上报。此项得2分。</w:t>
      </w:r>
    </w:p>
    <w:p>
      <w:pPr>
        <w:numPr>
          <w:ilvl w:val="0"/>
          <w:numId w:val="0"/>
        </w:numPr>
        <w:ind w:firstLine="640" w:firstLineChars="200"/>
        <w:rPr>
          <w:rFonts w:hint="default" w:ascii="仿宋_GB2312" w:hAnsi="宋体" w:eastAsia="仿宋_GB2312" w:cs="宋体"/>
          <w:kern w:val="0"/>
          <w:sz w:val="32"/>
          <w:szCs w:val="32"/>
          <w:highlight w:val="none"/>
          <w:shd w:val="clear" w:color="auto" w:fill="FFFFFF"/>
          <w:lang w:val="en-US" w:eastAsia="zh-CN" w:bidi="ar-SA"/>
        </w:rPr>
      </w:pPr>
      <w:r>
        <w:rPr>
          <w:rFonts w:hint="eastAsia" w:hAnsi="宋体" w:eastAsia="仿宋_GB2312" w:cs="宋体"/>
          <w:kern w:val="0"/>
          <w:sz w:val="32"/>
          <w:szCs w:val="32"/>
          <w:highlight w:val="none"/>
          <w:shd w:val="clear" w:color="auto" w:fill="FFFFFF"/>
          <w:lang w:val="en-US" w:eastAsia="zh-CN" w:bidi="ar-SA"/>
        </w:rPr>
        <w:t>12、</w:t>
      </w:r>
      <w:r>
        <w:rPr>
          <w:rFonts w:hint="eastAsia" w:ascii="仿宋_GB2312" w:hAnsi="宋体" w:eastAsia="仿宋_GB2312" w:cs="宋体"/>
          <w:kern w:val="0"/>
          <w:sz w:val="32"/>
          <w:szCs w:val="32"/>
          <w:highlight w:val="none"/>
          <w:shd w:val="clear" w:color="auto" w:fill="FFFFFF"/>
          <w:lang w:val="en-US" w:eastAsia="zh-CN" w:bidi="ar-SA"/>
        </w:rPr>
        <w:t>应用反馈：我单位严格按照上级部门的安排及时上报项目绩效情况。此项得2分。</w:t>
      </w:r>
    </w:p>
    <w:p>
      <w:pPr>
        <w:ind w:firstLine="640" w:firstLineChars="200"/>
        <w:rPr>
          <w:rFonts w:hint="default"/>
          <w:highlight w:val="none"/>
          <w:lang w:val="en-US" w:eastAsia="zh-CN"/>
        </w:rPr>
      </w:pPr>
      <w:r>
        <w:rPr>
          <w:rFonts w:hint="eastAsia" w:ascii="仿宋_GB2312" w:hAnsi="宋体" w:eastAsia="仿宋_GB2312" w:cs="宋体"/>
          <w:kern w:val="0"/>
          <w:sz w:val="32"/>
          <w:szCs w:val="32"/>
          <w:highlight w:val="none"/>
          <w:shd w:val="clear" w:color="auto" w:fill="FFFFFF"/>
          <w:lang w:val="en-US" w:eastAsia="zh-CN" w:bidi="ar-SA"/>
        </w:rPr>
        <w:t>13、自评质量：我单位严格按照绩效评价指标体系逐一对照自评，根据完成实际情况评分。此项得10分。</w:t>
      </w:r>
    </w:p>
    <w:p>
      <w:pPr>
        <w:widowControl/>
        <w:adjustRightInd w:val="0"/>
        <w:snapToGrid w:val="0"/>
        <w:spacing w:line="560" w:lineRule="exact"/>
        <w:ind w:firstLine="643" w:firstLineChars="200"/>
        <w:contextualSpacing/>
        <w:jc w:val="left"/>
        <w:rPr>
          <w:rFonts w:hint="eastAsia" w:ascii="楷体_GB2312" w:hAnsi="楷体_GB2312" w:eastAsia="楷体_GB2312" w:cs="楷体_GB2312"/>
          <w:b/>
          <w:bCs/>
          <w:kern w:val="0"/>
          <w:sz w:val="32"/>
          <w:szCs w:val="32"/>
          <w:highlight w:val="none"/>
          <w:shd w:val="clear" w:color="auto" w:fill="FFFFFF"/>
          <w:lang w:val="zh-CN"/>
        </w:rPr>
      </w:pPr>
      <w:r>
        <w:rPr>
          <w:rFonts w:hint="eastAsia" w:ascii="楷体_GB2312" w:hAnsi="楷体_GB2312" w:eastAsia="楷体_GB2312" w:cs="楷体_GB2312"/>
          <w:b/>
          <w:bCs/>
          <w:kern w:val="0"/>
          <w:sz w:val="32"/>
          <w:szCs w:val="32"/>
          <w:highlight w:val="none"/>
          <w:shd w:val="clear" w:color="auto" w:fill="FFFFFF"/>
          <w:lang w:val="zh-CN"/>
        </w:rPr>
        <w:t>（二）存在问题。</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76" w:lineRule="exact"/>
        <w:ind w:left="0" w:leftChars="0" w:right="0" w:firstLine="646"/>
        <w:jc w:val="both"/>
        <w:textAlignment w:val="auto"/>
        <w:rPr>
          <w:rFonts w:hint="default" w:ascii="仿宋_GB2312" w:hAnsi="Calibri" w:eastAsia="仿宋_GB2312" w:cs="仿宋_GB2312"/>
          <w:i w:val="0"/>
          <w:iCs w:val="0"/>
          <w:caps w:val="0"/>
          <w:color w:val="222222"/>
          <w:spacing w:val="0"/>
          <w:kern w:val="0"/>
          <w:sz w:val="32"/>
          <w:szCs w:val="32"/>
          <w:highlight w:val="none"/>
          <w:shd w:val="clear" w:fill="FFFFFF"/>
          <w:lang w:val="en-US" w:eastAsia="zh-CN" w:bidi="ar"/>
        </w:rPr>
      </w:pPr>
      <w:r>
        <w:rPr>
          <w:rFonts w:hint="eastAsia" w:ascii="仿宋_GB2312" w:hAnsi="Calibri" w:eastAsia="仿宋_GB2312" w:cs="仿宋_GB2312"/>
          <w:i w:val="0"/>
          <w:iCs w:val="0"/>
          <w:caps w:val="0"/>
          <w:color w:val="222222"/>
          <w:spacing w:val="0"/>
          <w:kern w:val="0"/>
          <w:sz w:val="32"/>
          <w:szCs w:val="32"/>
          <w:highlight w:val="none"/>
          <w:shd w:val="clear" w:fill="FFFFFF"/>
          <w:lang w:val="en-US" w:eastAsia="zh-CN" w:bidi="ar"/>
        </w:rPr>
        <w:t>1、对项目绩效评价的重视程度不够。忽略了精细化地绩效评价对完成项目实施的重要性</w:t>
      </w:r>
      <w:r>
        <w:rPr>
          <w:rFonts w:hint="default" w:ascii="仿宋_GB2312" w:hAnsi="Calibri" w:eastAsia="仿宋_GB2312" w:cs="仿宋_GB2312"/>
          <w:i w:val="0"/>
          <w:iCs w:val="0"/>
          <w:caps w:val="0"/>
          <w:color w:val="222222"/>
          <w:spacing w:val="0"/>
          <w:kern w:val="0"/>
          <w:sz w:val="32"/>
          <w:szCs w:val="32"/>
          <w:highlight w:val="none"/>
          <w:shd w:val="clear" w:fill="FFFFFF"/>
          <w:lang w:val="en-US" w:eastAsia="zh-CN" w:bidi="ar"/>
        </w:rPr>
        <w:t>。</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76" w:lineRule="exact"/>
        <w:ind w:left="0" w:leftChars="0" w:right="0" w:firstLine="646"/>
        <w:jc w:val="both"/>
        <w:textAlignment w:val="auto"/>
        <w:rPr>
          <w:rFonts w:hint="eastAsia" w:ascii="楷体_GB2312" w:hAnsi="楷体_GB2312" w:eastAsia="楷体_GB2312" w:cs="楷体_GB2312"/>
          <w:b/>
          <w:bCs/>
          <w:color w:val="000000"/>
          <w:kern w:val="0"/>
          <w:szCs w:val="32"/>
          <w:highlight w:val="none"/>
          <w:shd w:val="clear" w:color="auto" w:fill="FFFFFF"/>
          <w:lang w:val="zh-CN"/>
        </w:rPr>
      </w:pPr>
      <w:r>
        <w:rPr>
          <w:rFonts w:hint="eastAsia" w:ascii="仿宋_GB2312" w:hAnsi="Calibri" w:eastAsia="仿宋_GB2312" w:cs="仿宋_GB2312"/>
          <w:i w:val="0"/>
          <w:iCs w:val="0"/>
          <w:caps w:val="0"/>
          <w:color w:val="222222"/>
          <w:spacing w:val="0"/>
          <w:kern w:val="0"/>
          <w:sz w:val="32"/>
          <w:szCs w:val="32"/>
          <w:highlight w:val="none"/>
          <w:shd w:val="clear" w:fill="FFFFFF"/>
          <w:lang w:val="en-US" w:eastAsia="zh-CN" w:bidi="ar"/>
        </w:rPr>
        <w:t>2、</w:t>
      </w:r>
      <w:r>
        <w:rPr>
          <w:rFonts w:hint="default" w:ascii="仿宋_GB2312" w:hAnsi="Calibri" w:eastAsia="仿宋_GB2312" w:cs="仿宋_GB2312"/>
          <w:i w:val="0"/>
          <w:iCs w:val="0"/>
          <w:caps w:val="0"/>
          <w:color w:val="222222"/>
          <w:spacing w:val="0"/>
          <w:kern w:val="0"/>
          <w:sz w:val="32"/>
          <w:szCs w:val="32"/>
          <w:highlight w:val="none"/>
          <w:shd w:val="clear" w:fill="FFFFFF"/>
          <w:lang w:val="en-US" w:eastAsia="zh-CN" w:bidi="ar"/>
        </w:rPr>
        <w:t>财务人员业务能力有待进一步提高。由于预算绩效管理工作开展时间较短，加上缺乏系统的培训，对预算绩效管理认识不到位、理解不充分，对预算绩效管理业务不了解、不熟悉，对</w:t>
      </w:r>
      <w:r>
        <w:rPr>
          <w:rFonts w:hint="default" w:ascii="仿宋_GB2312" w:hAnsi="Calibri" w:eastAsia="仿宋_GB2312" w:cs="仿宋_GB2312"/>
          <w:i w:val="0"/>
          <w:iCs w:val="0"/>
          <w:caps w:val="0"/>
          <w:color w:val="222222"/>
          <w:spacing w:val="-11"/>
          <w:kern w:val="0"/>
          <w:sz w:val="32"/>
          <w:szCs w:val="32"/>
          <w:highlight w:val="none"/>
          <w:shd w:val="clear" w:fill="FFFFFF"/>
          <w:lang w:val="en-US" w:eastAsia="zh-CN" w:bidi="ar"/>
        </w:rPr>
        <w:t>工作重点把握不到位，由此造成绩效评价工作与上级要求有差</w:t>
      </w:r>
      <w:r>
        <w:rPr>
          <w:rFonts w:hint="default" w:ascii="仿宋_GB2312" w:hAnsi="Calibri" w:eastAsia="仿宋_GB2312" w:cs="仿宋_GB2312"/>
          <w:i w:val="0"/>
          <w:iCs w:val="0"/>
          <w:caps w:val="0"/>
          <w:color w:val="222222"/>
          <w:spacing w:val="0"/>
          <w:kern w:val="0"/>
          <w:sz w:val="32"/>
          <w:szCs w:val="32"/>
          <w:highlight w:val="none"/>
          <w:shd w:val="clear" w:fill="FFFFFF"/>
          <w:lang w:val="en-US" w:eastAsia="zh-CN" w:bidi="ar"/>
        </w:rPr>
        <w:t>距。</w:t>
      </w:r>
    </w:p>
    <w:p>
      <w:pPr>
        <w:widowControl/>
        <w:adjustRightInd w:val="0"/>
        <w:snapToGrid w:val="0"/>
        <w:spacing w:line="560" w:lineRule="exact"/>
        <w:ind w:firstLine="643" w:firstLineChars="200"/>
        <w:contextualSpacing/>
        <w:jc w:val="left"/>
        <w:rPr>
          <w:rFonts w:hint="eastAsia" w:ascii="楷体_GB2312" w:hAnsi="楷体_GB2312" w:eastAsia="楷体_GB2312" w:cs="楷体_GB2312"/>
          <w:b/>
          <w:bCs/>
          <w:kern w:val="0"/>
          <w:sz w:val="32"/>
          <w:szCs w:val="32"/>
          <w:highlight w:val="none"/>
          <w:shd w:val="clear" w:color="auto" w:fill="FFFFFF"/>
          <w:lang w:val="zh-CN"/>
        </w:rPr>
      </w:pPr>
      <w:r>
        <w:rPr>
          <w:rFonts w:hint="eastAsia" w:ascii="楷体_GB2312" w:hAnsi="楷体_GB2312" w:eastAsia="楷体_GB2312" w:cs="楷体_GB2312"/>
          <w:b/>
          <w:bCs/>
          <w:kern w:val="0"/>
          <w:sz w:val="32"/>
          <w:szCs w:val="32"/>
          <w:highlight w:val="none"/>
          <w:shd w:val="clear" w:color="auto" w:fill="FFFFFF"/>
          <w:lang w:val="zh-CN"/>
        </w:rPr>
        <w:t>（三）改进建议。</w:t>
      </w:r>
    </w:p>
    <w:p>
      <w:pPr>
        <w:pStyle w:val="1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76" w:lineRule="exact"/>
        <w:ind w:left="0" w:leftChars="0" w:right="0" w:firstLine="646"/>
        <w:jc w:val="both"/>
        <w:textAlignment w:val="auto"/>
        <w:rPr>
          <w:rFonts w:hint="default" w:ascii="仿宋_GB2312" w:hAnsi="Calibri" w:eastAsia="仿宋_GB2312" w:cs="仿宋_GB2312"/>
          <w:i w:val="0"/>
          <w:iCs w:val="0"/>
          <w:caps w:val="0"/>
          <w:color w:val="222222"/>
          <w:spacing w:val="0"/>
          <w:kern w:val="0"/>
          <w:sz w:val="32"/>
          <w:szCs w:val="32"/>
          <w:highlight w:val="none"/>
          <w:shd w:val="clear" w:fill="FFFFFF"/>
          <w:lang w:val="en-US" w:eastAsia="zh-CN" w:bidi="ar"/>
        </w:rPr>
      </w:pPr>
      <w:r>
        <w:rPr>
          <w:rFonts w:hint="eastAsia" w:ascii="仿宋_GB2312" w:hAnsi="Calibri" w:eastAsia="仿宋_GB2312" w:cs="仿宋_GB2312"/>
          <w:i w:val="0"/>
          <w:iCs w:val="0"/>
          <w:caps w:val="0"/>
          <w:color w:val="222222"/>
          <w:spacing w:val="0"/>
          <w:kern w:val="0"/>
          <w:sz w:val="32"/>
          <w:szCs w:val="32"/>
          <w:highlight w:val="none"/>
          <w:shd w:val="clear" w:fill="FFFFFF"/>
          <w:lang w:val="en-US" w:eastAsia="zh-CN" w:bidi="ar"/>
        </w:rPr>
        <w:t>1、</w:t>
      </w:r>
      <w:r>
        <w:rPr>
          <w:rFonts w:hint="default" w:ascii="仿宋_GB2312" w:hAnsi="Calibri" w:eastAsia="仿宋_GB2312" w:cs="仿宋_GB2312"/>
          <w:i w:val="0"/>
          <w:iCs w:val="0"/>
          <w:caps w:val="0"/>
          <w:color w:val="222222"/>
          <w:spacing w:val="0"/>
          <w:kern w:val="0"/>
          <w:sz w:val="32"/>
          <w:szCs w:val="32"/>
          <w:highlight w:val="none"/>
          <w:shd w:val="clear" w:fill="FFFFFF"/>
          <w:lang w:val="en-US" w:eastAsia="zh-CN" w:bidi="ar"/>
        </w:rPr>
        <w:t>我</w:t>
      </w:r>
      <w:r>
        <w:rPr>
          <w:rFonts w:hint="eastAsia" w:ascii="仿宋_GB2312" w:hAnsi="Calibri" w:eastAsia="仿宋_GB2312" w:cs="仿宋_GB2312"/>
          <w:i w:val="0"/>
          <w:iCs w:val="0"/>
          <w:caps w:val="0"/>
          <w:color w:val="222222"/>
          <w:spacing w:val="0"/>
          <w:kern w:val="0"/>
          <w:sz w:val="32"/>
          <w:szCs w:val="32"/>
          <w:highlight w:val="none"/>
          <w:shd w:val="clear" w:fill="FFFFFF"/>
          <w:lang w:val="en-US" w:eastAsia="zh-CN" w:bidi="ar"/>
        </w:rPr>
        <w:t>镇</w:t>
      </w:r>
      <w:r>
        <w:rPr>
          <w:rFonts w:hint="default" w:ascii="仿宋_GB2312" w:hAnsi="Calibri" w:eastAsia="仿宋_GB2312" w:cs="仿宋_GB2312"/>
          <w:i w:val="0"/>
          <w:iCs w:val="0"/>
          <w:caps w:val="0"/>
          <w:color w:val="222222"/>
          <w:spacing w:val="0"/>
          <w:kern w:val="0"/>
          <w:sz w:val="32"/>
          <w:szCs w:val="32"/>
          <w:highlight w:val="none"/>
          <w:shd w:val="clear" w:fill="FFFFFF"/>
          <w:lang w:val="en-US" w:eastAsia="zh-CN" w:bidi="ar"/>
        </w:rPr>
        <w:t>将进一步提高预算绩效管理认识，一是加强财务管理，严格财务审查，做好项目资金管理。二是加强预算绩效动态监控管理，及时跟踪项目进度，细化预算编制工作，提高预算编制的合理性</w:t>
      </w:r>
      <w:r>
        <w:rPr>
          <w:rFonts w:hint="eastAsia" w:ascii="仿宋_GB2312" w:hAnsi="Calibri" w:eastAsia="仿宋_GB2312" w:cs="仿宋_GB2312"/>
          <w:i w:val="0"/>
          <w:iCs w:val="0"/>
          <w:caps w:val="0"/>
          <w:color w:val="222222"/>
          <w:spacing w:val="0"/>
          <w:kern w:val="0"/>
          <w:sz w:val="32"/>
          <w:szCs w:val="32"/>
          <w:highlight w:val="none"/>
          <w:shd w:val="clear" w:fill="FFFFFF"/>
          <w:lang w:val="en-US" w:eastAsia="zh-CN" w:bidi="ar"/>
        </w:rPr>
        <w:t>。</w:t>
      </w:r>
      <w:r>
        <w:rPr>
          <w:rFonts w:hint="default" w:ascii="仿宋_GB2312" w:hAnsi="Calibri" w:eastAsia="仿宋_GB2312" w:cs="仿宋_GB2312"/>
          <w:i w:val="0"/>
          <w:iCs w:val="0"/>
          <w:caps w:val="0"/>
          <w:color w:val="222222"/>
          <w:spacing w:val="0"/>
          <w:kern w:val="0"/>
          <w:sz w:val="32"/>
          <w:szCs w:val="32"/>
          <w:highlight w:val="none"/>
          <w:shd w:val="clear" w:fill="FFFFFF"/>
          <w:lang w:val="en-US" w:eastAsia="zh-CN" w:bidi="ar"/>
        </w:rPr>
        <w:t>三是坚持</w:t>
      </w:r>
      <w:r>
        <w:rPr>
          <w:rFonts w:hint="eastAsia" w:ascii="仿宋_GB2312" w:hAnsi="Calibri" w:eastAsia="仿宋_GB2312" w:cs="仿宋_GB2312"/>
          <w:i w:val="0"/>
          <w:iCs w:val="0"/>
          <w:caps w:val="0"/>
          <w:color w:val="222222"/>
          <w:spacing w:val="0"/>
          <w:kern w:val="0"/>
          <w:sz w:val="32"/>
          <w:szCs w:val="32"/>
          <w:highlight w:val="none"/>
          <w:shd w:val="clear" w:fill="FFFFFF"/>
          <w:lang w:val="en-US" w:eastAsia="zh-CN" w:bidi="ar"/>
        </w:rPr>
        <w:t>“</w:t>
      </w:r>
      <w:r>
        <w:rPr>
          <w:rFonts w:hint="default" w:ascii="仿宋_GB2312" w:hAnsi="Calibri" w:eastAsia="仿宋_GB2312" w:cs="仿宋_GB2312"/>
          <w:i w:val="0"/>
          <w:iCs w:val="0"/>
          <w:caps w:val="0"/>
          <w:color w:val="222222"/>
          <w:spacing w:val="0"/>
          <w:kern w:val="0"/>
          <w:sz w:val="32"/>
          <w:szCs w:val="32"/>
          <w:highlight w:val="none"/>
          <w:shd w:val="clear" w:fill="FFFFFF"/>
          <w:lang w:val="en-US" w:eastAsia="zh-CN" w:bidi="ar"/>
        </w:rPr>
        <w:t>花钱必问效</w:t>
      </w:r>
      <w:r>
        <w:rPr>
          <w:rFonts w:hint="eastAsia" w:ascii="仿宋_GB2312" w:hAnsi="Calibri" w:eastAsia="仿宋_GB2312" w:cs="仿宋_GB2312"/>
          <w:i w:val="0"/>
          <w:iCs w:val="0"/>
          <w:caps w:val="0"/>
          <w:color w:val="222222"/>
          <w:spacing w:val="0"/>
          <w:kern w:val="0"/>
          <w:sz w:val="32"/>
          <w:szCs w:val="32"/>
          <w:highlight w:val="none"/>
          <w:shd w:val="clear" w:fill="FFFFFF"/>
          <w:lang w:val="en-US" w:eastAsia="zh-CN" w:bidi="ar"/>
        </w:rPr>
        <w:t>”</w:t>
      </w:r>
      <w:r>
        <w:rPr>
          <w:rFonts w:hint="default" w:ascii="仿宋_GB2312" w:hAnsi="Calibri" w:eastAsia="仿宋_GB2312" w:cs="仿宋_GB2312"/>
          <w:i w:val="0"/>
          <w:iCs w:val="0"/>
          <w:caps w:val="0"/>
          <w:color w:val="222222"/>
          <w:spacing w:val="0"/>
          <w:kern w:val="0"/>
          <w:sz w:val="32"/>
          <w:szCs w:val="32"/>
          <w:highlight w:val="none"/>
          <w:shd w:val="clear" w:fill="FFFFFF"/>
          <w:lang w:val="en-US" w:eastAsia="zh-CN" w:bidi="ar"/>
        </w:rPr>
        <w:t>的理念，真正做到把钱花在刀刃上。</w:t>
      </w:r>
    </w:p>
    <w:p>
      <w:pPr>
        <w:pStyle w:val="1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76" w:lineRule="exact"/>
        <w:ind w:left="0" w:leftChars="0" w:right="0" w:firstLine="646"/>
        <w:jc w:val="both"/>
        <w:textAlignment w:val="auto"/>
        <w:rPr>
          <w:rFonts w:hint="default" w:ascii="仿宋_GB2312" w:hAnsi="Calibri" w:eastAsia="仿宋_GB2312" w:cs="仿宋_GB2312"/>
          <w:i w:val="0"/>
          <w:iCs w:val="0"/>
          <w:caps w:val="0"/>
          <w:color w:val="222222"/>
          <w:spacing w:val="0"/>
          <w:sz w:val="32"/>
          <w:szCs w:val="32"/>
          <w:highlight w:val="none"/>
          <w:shd w:val="clear" w:fill="FFFFFF"/>
        </w:rPr>
      </w:pPr>
      <w:r>
        <w:rPr>
          <w:rFonts w:hint="eastAsia" w:ascii="仿宋_GB2312" w:hAnsi="Calibri" w:eastAsia="仿宋_GB2312" w:cs="仿宋_GB2312"/>
          <w:i w:val="0"/>
          <w:iCs w:val="0"/>
          <w:caps w:val="0"/>
          <w:color w:val="222222"/>
          <w:spacing w:val="0"/>
          <w:sz w:val="32"/>
          <w:szCs w:val="32"/>
          <w:highlight w:val="none"/>
          <w:shd w:val="clear" w:fill="FFFFFF"/>
          <w:lang w:val="en-US" w:eastAsia="zh-CN"/>
        </w:rPr>
        <w:t>2、</w:t>
      </w:r>
      <w:r>
        <w:rPr>
          <w:rFonts w:hint="default" w:ascii="仿宋_GB2312" w:hAnsi="Calibri" w:eastAsia="仿宋_GB2312" w:cs="仿宋_GB2312"/>
          <w:i w:val="0"/>
          <w:iCs w:val="0"/>
          <w:caps w:val="0"/>
          <w:color w:val="222222"/>
          <w:spacing w:val="0"/>
          <w:sz w:val="32"/>
          <w:szCs w:val="32"/>
          <w:highlight w:val="none"/>
          <w:shd w:val="clear" w:fill="FFFFFF"/>
        </w:rPr>
        <w:t>做好、做细预算编制工作。在确保人员经费开支，必要的办公经费需要的前提下制定切实可行的预算支出计划，严格执行，保证计划的有效性。</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76" w:lineRule="exact"/>
        <w:ind w:left="0" w:leftChars="0" w:right="0" w:firstLine="646"/>
        <w:jc w:val="both"/>
        <w:textAlignment w:val="auto"/>
        <w:rPr>
          <w:rFonts w:hint="default" w:ascii="仿宋_GB2312" w:hAnsi="Calibri" w:eastAsia="仿宋_GB2312" w:cs="仿宋_GB2312"/>
          <w:i w:val="0"/>
          <w:iCs w:val="0"/>
          <w:caps w:val="0"/>
          <w:color w:val="222222"/>
          <w:spacing w:val="0"/>
          <w:kern w:val="0"/>
          <w:sz w:val="32"/>
          <w:szCs w:val="32"/>
          <w:highlight w:val="none"/>
          <w:shd w:val="clear" w:fill="FFFFFF"/>
          <w:lang w:val="en-US" w:eastAsia="zh-CN" w:bidi="ar"/>
        </w:rPr>
      </w:pPr>
      <w:r>
        <w:rPr>
          <w:rFonts w:hint="eastAsia" w:ascii="仿宋_GB2312" w:hAnsi="Calibri" w:eastAsia="仿宋_GB2312" w:cs="仿宋_GB2312"/>
          <w:i w:val="0"/>
          <w:iCs w:val="0"/>
          <w:caps w:val="0"/>
          <w:color w:val="222222"/>
          <w:spacing w:val="0"/>
          <w:kern w:val="0"/>
          <w:sz w:val="32"/>
          <w:szCs w:val="32"/>
          <w:highlight w:val="none"/>
          <w:shd w:val="clear" w:fill="FFFFFF"/>
          <w:lang w:val="en-US" w:eastAsia="zh-CN" w:bidi="ar"/>
        </w:rPr>
        <w:t>3、</w:t>
      </w:r>
      <w:r>
        <w:rPr>
          <w:rFonts w:hint="default" w:ascii="仿宋_GB2312" w:hAnsi="Calibri" w:eastAsia="仿宋_GB2312" w:cs="仿宋_GB2312"/>
          <w:i w:val="0"/>
          <w:iCs w:val="0"/>
          <w:caps w:val="0"/>
          <w:color w:val="222222"/>
          <w:spacing w:val="0"/>
          <w:kern w:val="0"/>
          <w:sz w:val="32"/>
          <w:szCs w:val="32"/>
          <w:highlight w:val="none"/>
          <w:shd w:val="clear" w:fill="FFFFFF"/>
          <w:lang w:val="en-US" w:eastAsia="zh-CN" w:bidi="ar"/>
        </w:rPr>
        <w:t>不断完善内控制度。要充分认识内控建设的重要意义，以预算管理为主线，以资金管控为核心，从单位层面和业务层面同时进行管控。</w:t>
      </w:r>
    </w:p>
    <w:p>
      <w:pPr>
        <w:pStyle w:val="16"/>
        <w:ind w:left="0" w:leftChars="0" w:firstLine="640" w:firstLineChars="200"/>
        <w:rPr>
          <w:rFonts w:hint="default"/>
          <w:highlight w:val="none"/>
          <w:lang w:val="en-US" w:eastAsia="zh-CN"/>
        </w:rPr>
      </w:pPr>
      <w:r>
        <w:rPr>
          <w:rFonts w:hint="eastAsia" w:hAnsi="仿宋_GB2312" w:eastAsia="仿宋_GB2312" w:cs="仿宋_GB2312"/>
          <w:sz w:val="32"/>
          <w:highlight w:val="none"/>
          <w:lang w:val="zh-CN"/>
        </w:rPr>
        <w:t>附表：</w:t>
      </w:r>
      <w:r>
        <w:rPr>
          <w:rFonts w:hint="eastAsia" w:hAnsi="仿宋_GB2312" w:eastAsia="仿宋_GB2312" w:cs="仿宋_GB2312"/>
          <w:sz w:val="32"/>
          <w:highlight w:val="none"/>
        </w:rPr>
        <w:t>部门预算项目支出绩效自评表（2022年度）</w:t>
      </w:r>
    </w:p>
    <w:p>
      <w:pPr>
        <w:pStyle w:val="12"/>
        <w:adjustRightInd w:val="0"/>
        <w:snapToGrid w:val="0"/>
        <w:spacing w:before="0" w:line="440" w:lineRule="exact"/>
        <w:jc w:val="center"/>
        <w:rPr>
          <w:rFonts w:hint="eastAsia" w:ascii="黑体" w:hAnsi="黑体" w:eastAsia="黑体" w:cs="Times New Roman"/>
          <w:kern w:val="2"/>
          <w:sz w:val="44"/>
          <w:szCs w:val="44"/>
          <w:highlight w:val="none"/>
          <w:lang w:val="en-US" w:eastAsia="zh-CN" w:bidi="ar-SA"/>
        </w:rPr>
      </w:pPr>
    </w:p>
    <w:p>
      <w:pPr>
        <w:pStyle w:val="12"/>
        <w:adjustRightInd w:val="0"/>
        <w:snapToGrid w:val="0"/>
        <w:spacing w:before="0" w:line="440" w:lineRule="exact"/>
        <w:jc w:val="center"/>
        <w:rPr>
          <w:rFonts w:hint="eastAsia" w:ascii="黑体" w:hAnsi="黑体" w:eastAsia="黑体" w:cs="Times New Roman"/>
          <w:kern w:val="2"/>
          <w:sz w:val="44"/>
          <w:szCs w:val="44"/>
          <w:highlight w:val="none"/>
          <w:lang w:val="en-US" w:eastAsia="zh-CN" w:bidi="ar-SA"/>
        </w:rPr>
      </w:pPr>
      <w:r>
        <w:rPr>
          <w:rFonts w:hint="eastAsia" w:ascii="黑体" w:hAnsi="黑体" w:eastAsia="黑体" w:cs="Times New Roman"/>
          <w:kern w:val="2"/>
          <w:sz w:val="44"/>
          <w:szCs w:val="44"/>
          <w:highlight w:val="none"/>
          <w:lang w:val="en-US" w:eastAsia="zh-CN" w:bidi="ar-SA"/>
        </w:rPr>
        <w:t>第五部分 附表</w:t>
      </w:r>
    </w:p>
    <w:p>
      <w:pPr>
        <w:pStyle w:val="14"/>
        <w:adjustRightInd w:val="0"/>
        <w:snapToGrid w:val="0"/>
        <w:spacing w:line="440" w:lineRule="exact"/>
        <w:jc w:val="left"/>
        <w:rPr>
          <w:rFonts w:hint="eastAsia" w:ascii="仿宋" w:hAnsi="仿宋" w:eastAsia="仿宋" w:cs="仿宋"/>
          <w:sz w:val="32"/>
          <w:szCs w:val="32"/>
          <w:highlight w:val="none"/>
        </w:rPr>
      </w:pPr>
    </w:p>
    <w:p>
      <w:pPr>
        <w:pStyle w:val="14"/>
        <w:adjustRightInd w:val="0"/>
        <w:snapToGrid w:val="0"/>
        <w:spacing w:line="440" w:lineRule="exact"/>
        <w:jc w:val="left"/>
        <w:rPr>
          <w:rFonts w:hint="eastAsia" w:ascii="仿宋" w:hAnsi="仿宋" w:eastAsia="仿宋" w:cs="仿宋"/>
          <w:sz w:val="32"/>
          <w:szCs w:val="32"/>
          <w:highlight w:val="none"/>
        </w:rPr>
      </w:pPr>
      <w:r>
        <w:rPr>
          <w:rFonts w:hint="eastAsia" w:ascii="仿宋" w:hAnsi="仿宋" w:eastAsia="仿宋" w:cs="仿宋"/>
          <w:sz w:val="32"/>
          <w:szCs w:val="32"/>
          <w:highlight w:val="none"/>
        </w:rPr>
        <w:t>一、收入支出决算总表</w:t>
      </w:r>
    </w:p>
    <w:p>
      <w:pPr>
        <w:pStyle w:val="14"/>
        <w:adjustRightInd w:val="0"/>
        <w:snapToGrid w:val="0"/>
        <w:spacing w:line="440" w:lineRule="exact"/>
        <w:jc w:val="left"/>
        <w:rPr>
          <w:rFonts w:hint="eastAsia" w:ascii="仿宋" w:hAnsi="仿宋" w:eastAsia="仿宋" w:cs="仿宋"/>
          <w:sz w:val="32"/>
          <w:szCs w:val="32"/>
          <w:highlight w:val="none"/>
        </w:rPr>
      </w:pPr>
      <w:r>
        <w:rPr>
          <w:rFonts w:hint="eastAsia" w:ascii="仿宋" w:hAnsi="仿宋" w:eastAsia="仿宋" w:cs="仿宋"/>
          <w:sz w:val="32"/>
          <w:szCs w:val="32"/>
          <w:highlight w:val="none"/>
        </w:rPr>
        <w:t>二、收入决算表</w:t>
      </w:r>
    </w:p>
    <w:p>
      <w:pPr>
        <w:pStyle w:val="14"/>
        <w:adjustRightInd w:val="0"/>
        <w:snapToGrid w:val="0"/>
        <w:spacing w:line="440" w:lineRule="exact"/>
        <w:jc w:val="left"/>
        <w:rPr>
          <w:rFonts w:hint="eastAsia" w:ascii="仿宋" w:hAnsi="仿宋" w:eastAsia="仿宋" w:cs="仿宋"/>
          <w:sz w:val="32"/>
          <w:szCs w:val="32"/>
          <w:highlight w:val="none"/>
        </w:rPr>
      </w:pPr>
      <w:r>
        <w:rPr>
          <w:rFonts w:hint="eastAsia" w:ascii="仿宋" w:hAnsi="仿宋" w:eastAsia="仿宋" w:cs="仿宋"/>
          <w:sz w:val="32"/>
          <w:szCs w:val="32"/>
          <w:highlight w:val="none"/>
        </w:rPr>
        <w:t>三、支出决算表</w:t>
      </w:r>
    </w:p>
    <w:p>
      <w:pPr>
        <w:pStyle w:val="14"/>
        <w:adjustRightInd w:val="0"/>
        <w:snapToGrid w:val="0"/>
        <w:spacing w:line="440" w:lineRule="exact"/>
        <w:jc w:val="left"/>
        <w:rPr>
          <w:rFonts w:hint="eastAsia" w:ascii="仿宋" w:hAnsi="仿宋" w:eastAsia="仿宋" w:cs="仿宋"/>
          <w:sz w:val="32"/>
          <w:szCs w:val="32"/>
          <w:highlight w:val="none"/>
        </w:rPr>
      </w:pPr>
      <w:r>
        <w:rPr>
          <w:rFonts w:hint="eastAsia" w:ascii="仿宋" w:hAnsi="仿宋" w:eastAsia="仿宋" w:cs="仿宋"/>
          <w:sz w:val="32"/>
          <w:szCs w:val="32"/>
          <w:highlight w:val="none"/>
        </w:rPr>
        <w:t>四、财政拨款收入支出决算总表</w:t>
      </w:r>
    </w:p>
    <w:p>
      <w:pPr>
        <w:pStyle w:val="14"/>
        <w:adjustRightInd w:val="0"/>
        <w:snapToGrid w:val="0"/>
        <w:spacing w:line="440" w:lineRule="exact"/>
        <w:jc w:val="left"/>
        <w:rPr>
          <w:rFonts w:hint="eastAsia" w:ascii="仿宋" w:hAnsi="仿宋" w:eastAsia="仿宋" w:cs="仿宋"/>
          <w:sz w:val="32"/>
          <w:szCs w:val="32"/>
          <w:highlight w:val="none"/>
        </w:rPr>
      </w:pPr>
      <w:r>
        <w:rPr>
          <w:rFonts w:hint="eastAsia" w:ascii="仿宋" w:hAnsi="仿宋" w:eastAsia="仿宋" w:cs="仿宋"/>
          <w:sz w:val="32"/>
          <w:szCs w:val="32"/>
          <w:highlight w:val="none"/>
        </w:rPr>
        <w:t>五、财政拨款支出决算明细表</w:t>
      </w:r>
    </w:p>
    <w:p>
      <w:pPr>
        <w:pStyle w:val="14"/>
        <w:adjustRightInd w:val="0"/>
        <w:snapToGrid w:val="0"/>
        <w:spacing w:line="440" w:lineRule="exact"/>
        <w:jc w:val="left"/>
        <w:rPr>
          <w:rFonts w:hint="eastAsia" w:ascii="仿宋" w:hAnsi="仿宋" w:eastAsia="仿宋" w:cs="仿宋"/>
          <w:sz w:val="32"/>
          <w:szCs w:val="32"/>
          <w:highlight w:val="none"/>
        </w:rPr>
      </w:pPr>
      <w:r>
        <w:rPr>
          <w:rFonts w:hint="eastAsia" w:ascii="仿宋" w:hAnsi="仿宋" w:eastAsia="仿宋" w:cs="仿宋"/>
          <w:sz w:val="32"/>
          <w:szCs w:val="32"/>
          <w:highlight w:val="none"/>
        </w:rPr>
        <w:t>六、一般公共预算财政拨款支出决算表</w:t>
      </w:r>
    </w:p>
    <w:p>
      <w:pPr>
        <w:pStyle w:val="14"/>
        <w:adjustRightInd w:val="0"/>
        <w:snapToGrid w:val="0"/>
        <w:spacing w:line="440" w:lineRule="exact"/>
        <w:jc w:val="left"/>
        <w:rPr>
          <w:rFonts w:hint="eastAsia" w:ascii="仿宋" w:hAnsi="仿宋" w:eastAsia="仿宋" w:cs="仿宋"/>
          <w:sz w:val="32"/>
          <w:szCs w:val="32"/>
          <w:highlight w:val="none"/>
        </w:rPr>
      </w:pPr>
      <w:r>
        <w:rPr>
          <w:rFonts w:hint="eastAsia" w:ascii="仿宋" w:hAnsi="仿宋" w:eastAsia="仿宋" w:cs="仿宋"/>
          <w:sz w:val="32"/>
          <w:szCs w:val="32"/>
          <w:highlight w:val="none"/>
        </w:rPr>
        <w:t>七、一般公共预算财政拨款支出决算明细表</w:t>
      </w:r>
    </w:p>
    <w:p>
      <w:pPr>
        <w:pStyle w:val="14"/>
        <w:adjustRightInd w:val="0"/>
        <w:snapToGrid w:val="0"/>
        <w:spacing w:line="440" w:lineRule="exact"/>
        <w:jc w:val="left"/>
        <w:rPr>
          <w:rFonts w:hint="eastAsia" w:ascii="仿宋" w:hAnsi="仿宋" w:eastAsia="仿宋" w:cs="仿宋"/>
          <w:sz w:val="32"/>
          <w:szCs w:val="32"/>
          <w:highlight w:val="none"/>
        </w:rPr>
      </w:pPr>
      <w:r>
        <w:rPr>
          <w:rFonts w:hint="eastAsia" w:ascii="仿宋" w:hAnsi="仿宋" w:eastAsia="仿宋" w:cs="仿宋"/>
          <w:sz w:val="32"/>
          <w:szCs w:val="32"/>
          <w:highlight w:val="none"/>
        </w:rPr>
        <w:t>八、一般公共预算财政拨款基本支出决算明细表</w:t>
      </w:r>
    </w:p>
    <w:p>
      <w:pPr>
        <w:pStyle w:val="14"/>
        <w:adjustRightInd w:val="0"/>
        <w:snapToGrid w:val="0"/>
        <w:spacing w:line="440" w:lineRule="exact"/>
        <w:jc w:val="left"/>
        <w:rPr>
          <w:rFonts w:hint="eastAsia" w:ascii="仿宋" w:hAnsi="仿宋" w:eastAsia="仿宋" w:cs="仿宋"/>
          <w:sz w:val="32"/>
          <w:szCs w:val="32"/>
          <w:highlight w:val="none"/>
        </w:rPr>
      </w:pPr>
      <w:r>
        <w:rPr>
          <w:rFonts w:hint="eastAsia" w:ascii="仿宋" w:hAnsi="仿宋" w:eastAsia="仿宋" w:cs="仿宋"/>
          <w:sz w:val="32"/>
          <w:szCs w:val="32"/>
          <w:highlight w:val="none"/>
        </w:rPr>
        <w:t>九、一般公共预算财政拨款项目支出决算表</w:t>
      </w:r>
    </w:p>
    <w:p>
      <w:pPr>
        <w:pStyle w:val="14"/>
        <w:adjustRightInd w:val="0"/>
        <w:snapToGrid w:val="0"/>
        <w:spacing w:line="440" w:lineRule="exact"/>
        <w:jc w:val="left"/>
        <w:rPr>
          <w:rFonts w:hint="eastAsia" w:ascii="仿宋" w:hAnsi="仿宋" w:eastAsia="仿宋" w:cs="仿宋"/>
          <w:sz w:val="32"/>
          <w:szCs w:val="32"/>
          <w:highlight w:val="none"/>
        </w:rPr>
      </w:pPr>
      <w:r>
        <w:rPr>
          <w:rFonts w:hint="eastAsia" w:ascii="仿宋" w:hAnsi="仿宋" w:eastAsia="仿宋" w:cs="仿宋"/>
          <w:sz w:val="32"/>
          <w:szCs w:val="32"/>
          <w:highlight w:val="none"/>
        </w:rPr>
        <w:t>十、政府性基金预算财政拨款收入支出决算表</w:t>
      </w:r>
    </w:p>
    <w:p>
      <w:pPr>
        <w:pStyle w:val="14"/>
        <w:adjustRightInd w:val="0"/>
        <w:snapToGrid w:val="0"/>
        <w:spacing w:line="440" w:lineRule="exact"/>
        <w:jc w:val="left"/>
        <w:rPr>
          <w:rFonts w:hint="eastAsia" w:ascii="仿宋" w:hAnsi="仿宋" w:eastAsia="仿宋" w:cs="仿宋"/>
          <w:sz w:val="32"/>
          <w:szCs w:val="32"/>
          <w:highlight w:val="none"/>
        </w:rPr>
      </w:pPr>
      <w:r>
        <w:rPr>
          <w:rFonts w:hint="eastAsia" w:ascii="仿宋" w:hAnsi="仿宋" w:eastAsia="仿宋" w:cs="仿宋"/>
          <w:sz w:val="32"/>
          <w:szCs w:val="32"/>
          <w:highlight w:val="none"/>
        </w:rPr>
        <w:t>十一、国有资本经营预算财政拨款收入支出决算表</w:t>
      </w:r>
    </w:p>
    <w:p>
      <w:pPr>
        <w:pStyle w:val="14"/>
        <w:adjustRightInd w:val="0"/>
        <w:snapToGrid w:val="0"/>
        <w:spacing w:line="440" w:lineRule="exact"/>
        <w:jc w:val="left"/>
        <w:rPr>
          <w:rFonts w:hint="eastAsia" w:ascii="仿宋" w:hAnsi="仿宋" w:eastAsia="仿宋" w:cs="仿宋"/>
          <w:sz w:val="32"/>
          <w:szCs w:val="32"/>
          <w:highlight w:val="none"/>
        </w:rPr>
      </w:pPr>
      <w:r>
        <w:rPr>
          <w:rFonts w:hint="eastAsia" w:ascii="仿宋" w:hAnsi="仿宋" w:eastAsia="仿宋" w:cs="仿宋"/>
          <w:sz w:val="32"/>
          <w:szCs w:val="32"/>
          <w:highlight w:val="none"/>
        </w:rPr>
        <w:t>十二、国有资本经营预算财政拨款支出决算表</w:t>
      </w:r>
    </w:p>
    <w:p>
      <w:pPr>
        <w:pStyle w:val="14"/>
        <w:adjustRightInd w:val="0"/>
        <w:snapToGrid w:val="0"/>
        <w:spacing w:line="440" w:lineRule="exact"/>
        <w:jc w:val="left"/>
        <w:rPr>
          <w:rFonts w:hint="eastAsia" w:ascii="仿宋" w:hAnsi="仿宋" w:eastAsia="仿宋" w:cs="仿宋"/>
          <w:sz w:val="32"/>
          <w:szCs w:val="32"/>
          <w:highlight w:val="none"/>
        </w:rPr>
      </w:pPr>
      <w:r>
        <w:rPr>
          <w:rFonts w:hint="eastAsia" w:ascii="仿宋" w:hAnsi="仿宋" w:eastAsia="仿宋" w:cs="仿宋"/>
          <w:sz w:val="32"/>
          <w:szCs w:val="32"/>
          <w:highlight w:val="none"/>
        </w:rPr>
        <w:t>十三、财政拨款“三公”经费支出决算表</w:t>
      </w:r>
    </w:p>
    <w:p>
      <w:pPr>
        <w:widowControl/>
        <w:adjustRightInd w:val="0"/>
        <w:snapToGrid w:val="0"/>
        <w:spacing w:line="440" w:lineRule="exact"/>
        <w:ind w:firstLine="1760" w:firstLineChars="550"/>
        <w:jc w:val="left"/>
        <w:rPr>
          <w:rFonts w:ascii="仿宋" w:hAnsi="仿宋" w:eastAsia="仿宋"/>
          <w:sz w:val="32"/>
          <w:szCs w:val="32"/>
          <w:highlight w:val="none"/>
        </w:rPr>
      </w:pPr>
      <w:r>
        <w:rPr>
          <w:rFonts w:ascii="仿宋" w:hAnsi="仿宋" w:eastAsia="仿宋"/>
          <w:sz w:val="32"/>
          <w:szCs w:val="32"/>
          <w:highlight w:val="none"/>
        </w:rPr>
        <w:t>(注：</w:t>
      </w:r>
      <w:r>
        <w:rPr>
          <w:rFonts w:hint="eastAsia" w:ascii="仿宋" w:hAnsi="仿宋" w:eastAsia="仿宋"/>
          <w:sz w:val="32"/>
          <w:szCs w:val="32"/>
          <w:highlight w:val="none"/>
        </w:rPr>
        <w:t>请部门根据实际注明页码</w:t>
      </w:r>
      <w:r>
        <w:rPr>
          <w:rFonts w:ascii="仿宋" w:hAnsi="仿宋" w:eastAsia="仿宋"/>
          <w:sz w:val="32"/>
          <w:szCs w:val="32"/>
          <w:highlight w:val="none"/>
        </w:rPr>
        <w:t>)</w:t>
      </w:r>
    </w:p>
    <w:p>
      <w:pPr>
        <w:widowControl/>
        <w:spacing w:line="440" w:lineRule="exact"/>
        <w:jc w:val="left"/>
        <w:rPr>
          <w:rFonts w:eastAsia="仿宋"/>
          <w:highlight w:val="none"/>
        </w:rPr>
      </w:pPr>
    </w:p>
    <w:sectPr>
      <w:headerReference r:id="rId3" w:type="default"/>
      <w:footerReference r:id="rId4" w:type="default"/>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
    <w:altName w:val="Times New Roman"/>
    <w:panose1 w:val="00000000000000000000"/>
    <w:charset w:val="00"/>
    <w:family w:val="roman"/>
    <w:pitch w:val="default"/>
    <w:sig w:usb0="00000000" w:usb1="00000000" w:usb2="00000000" w:usb3="00000000" w:csb0="00000000" w:csb1="00000000"/>
  </w:font>
  <w:font w:name="方正小标宋简体">
    <w:altName w:val="黑体"/>
    <w:panose1 w:val="02000000000000000000"/>
    <w:charset w:val="86"/>
    <w:family w:val="script"/>
    <w:pitch w:val="default"/>
    <w:sig w:usb0="00000000" w:usb1="00000000" w:usb2="00000000" w:usb3="00000000" w:csb0="00040000" w:csb1="00000000"/>
  </w:font>
  <w:font w:name="楷体_GB2312">
    <w:altName w:val="楷体"/>
    <w:panose1 w:val="00000000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sdtPr>
    <w:sdtContent>
      <w:p>
        <w:pPr>
          <w:pStyle w:val="10"/>
          <w:jc w:val="center"/>
        </w:pPr>
        <w:r>
          <w:fldChar w:fldCharType="begin"/>
        </w:r>
        <w:r>
          <w:instrText xml:space="preserve">PAGE   \* MERGEFORMAT</w:instrText>
        </w:r>
        <w:r>
          <w:fldChar w:fldCharType="separate"/>
        </w:r>
        <w:r>
          <w:rPr>
            <w:lang w:val="zh-CN"/>
          </w:rPr>
          <w:t>2</w:t>
        </w:r>
        <w:r>
          <w:fldChar w:fldCharType="end"/>
        </w:r>
      </w:p>
    </w:sdtContent>
  </w:sdt>
  <w:p>
    <w:pPr>
      <w:pStyle w:val="1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66D8535"/>
    <w:multiLevelType w:val="singleLevel"/>
    <w:tmpl w:val="B66D8535"/>
    <w:lvl w:ilvl="0" w:tentative="0">
      <w:start w:val="1"/>
      <w:numFmt w:val="decimal"/>
      <w:lvlText w:val="%1."/>
      <w:lvlJc w:val="left"/>
      <w:pPr>
        <w:tabs>
          <w:tab w:val="left" w:pos="312"/>
        </w:tabs>
      </w:pPr>
    </w:lvl>
  </w:abstractNum>
  <w:abstractNum w:abstractNumId="1">
    <w:nsid w:val="E2FA047D"/>
    <w:multiLevelType w:val="singleLevel"/>
    <w:tmpl w:val="E2FA047D"/>
    <w:lvl w:ilvl="0" w:tentative="0">
      <w:start w:val="3"/>
      <w:numFmt w:val="chineseCounting"/>
      <w:suff w:val="space"/>
      <w:lvlText w:val="第%1部分"/>
      <w:lvlJc w:val="left"/>
      <w:rPr>
        <w:rFonts w:hint="eastAsia"/>
      </w:rPr>
    </w:lvl>
  </w:abstractNum>
  <w:abstractNum w:abstractNumId="2">
    <w:nsid w:val="FFF674BC"/>
    <w:multiLevelType w:val="singleLevel"/>
    <w:tmpl w:val="FFF674BC"/>
    <w:lvl w:ilvl="0" w:tentative="0">
      <w:start w:val="1"/>
      <w:numFmt w:val="chineseCounting"/>
      <w:suff w:val="nothing"/>
      <w:lvlText w:val="%1、"/>
      <w:lvlJc w:val="left"/>
      <w:rPr>
        <w:rFonts w:hint="eastAsia"/>
      </w:rPr>
    </w:lvl>
  </w:abstractNum>
  <w:abstractNum w:abstractNumId="3">
    <w:nsid w:val="36C984A4"/>
    <w:multiLevelType w:val="singleLevel"/>
    <w:tmpl w:val="36C984A4"/>
    <w:lvl w:ilvl="0" w:tentative="0">
      <w:start w:val="11"/>
      <w:numFmt w:val="chineseCounting"/>
      <w:suff w:val="nothing"/>
      <w:lvlText w:val="%1、"/>
      <w:lvlJc w:val="left"/>
      <w:rPr>
        <w:rFonts w:hint="eastAsia"/>
      </w:rPr>
    </w:lvl>
  </w:abstractNum>
  <w:abstractNum w:abstractNumId="4">
    <w:nsid w:val="4DA59C3B"/>
    <w:multiLevelType w:val="singleLevel"/>
    <w:tmpl w:val="4DA59C3B"/>
    <w:lvl w:ilvl="0" w:tentative="0">
      <w:start w:val="1"/>
      <w:numFmt w:val="decimal"/>
      <w:suff w:val="nothing"/>
      <w:lvlText w:val="%1、"/>
      <w:lvlJc w:val="left"/>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M0NTY2MDcyODQ2N2FkODM5ZTkwNDc3NmI1NDljNjAifQ=="/>
  </w:docVars>
  <w:rsids>
    <w:rsidRoot w:val="00F1361C"/>
    <w:rsid w:val="000222C6"/>
    <w:rsid w:val="0002549F"/>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14E9B"/>
    <w:rsid w:val="00142216"/>
    <w:rsid w:val="00144D6A"/>
    <w:rsid w:val="0014729F"/>
    <w:rsid w:val="00157BAB"/>
    <w:rsid w:val="001654D1"/>
    <w:rsid w:val="00174518"/>
    <w:rsid w:val="0018106D"/>
    <w:rsid w:val="001877A7"/>
    <w:rsid w:val="00191536"/>
    <w:rsid w:val="00196687"/>
    <w:rsid w:val="001C0962"/>
    <w:rsid w:val="001D7531"/>
    <w:rsid w:val="001E737D"/>
    <w:rsid w:val="001F0592"/>
    <w:rsid w:val="001F7506"/>
    <w:rsid w:val="002006CD"/>
    <w:rsid w:val="00202B36"/>
    <w:rsid w:val="00204B7A"/>
    <w:rsid w:val="00204CDE"/>
    <w:rsid w:val="0021101A"/>
    <w:rsid w:val="00220536"/>
    <w:rsid w:val="00235629"/>
    <w:rsid w:val="00253CE0"/>
    <w:rsid w:val="00260C38"/>
    <w:rsid w:val="002616C0"/>
    <w:rsid w:val="00265372"/>
    <w:rsid w:val="002662AA"/>
    <w:rsid w:val="00280496"/>
    <w:rsid w:val="00294DC9"/>
    <w:rsid w:val="00295495"/>
    <w:rsid w:val="002A31DE"/>
    <w:rsid w:val="002B2613"/>
    <w:rsid w:val="002D6D05"/>
    <w:rsid w:val="002F1818"/>
    <w:rsid w:val="002F567B"/>
    <w:rsid w:val="003216A9"/>
    <w:rsid w:val="00335A74"/>
    <w:rsid w:val="00342F6E"/>
    <w:rsid w:val="00357D1A"/>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223DE"/>
    <w:rsid w:val="00434489"/>
    <w:rsid w:val="00437085"/>
    <w:rsid w:val="00443880"/>
    <w:rsid w:val="004464F4"/>
    <w:rsid w:val="00471401"/>
    <w:rsid w:val="00473F31"/>
    <w:rsid w:val="0048263A"/>
    <w:rsid w:val="00487E5D"/>
    <w:rsid w:val="004A711F"/>
    <w:rsid w:val="004B199D"/>
    <w:rsid w:val="004B4690"/>
    <w:rsid w:val="004E0A2D"/>
    <w:rsid w:val="004E206B"/>
    <w:rsid w:val="004E6DF7"/>
    <w:rsid w:val="004F0FBD"/>
    <w:rsid w:val="00505A47"/>
    <w:rsid w:val="00512FDA"/>
    <w:rsid w:val="00520DA0"/>
    <w:rsid w:val="005664BB"/>
    <w:rsid w:val="00566FFA"/>
    <w:rsid w:val="0057481D"/>
    <w:rsid w:val="0058486E"/>
    <w:rsid w:val="00585B33"/>
    <w:rsid w:val="0059014D"/>
    <w:rsid w:val="005B5C64"/>
    <w:rsid w:val="005C5337"/>
    <w:rsid w:val="005C6BD0"/>
    <w:rsid w:val="005D1C8B"/>
    <w:rsid w:val="005D2A80"/>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1A31"/>
    <w:rsid w:val="00683E73"/>
    <w:rsid w:val="006A3141"/>
    <w:rsid w:val="006A5E34"/>
    <w:rsid w:val="006B2422"/>
    <w:rsid w:val="006B2B9A"/>
    <w:rsid w:val="006C1937"/>
    <w:rsid w:val="006F020C"/>
    <w:rsid w:val="007127B7"/>
    <w:rsid w:val="0071798E"/>
    <w:rsid w:val="007416B6"/>
    <w:rsid w:val="00746F48"/>
    <w:rsid w:val="0075404D"/>
    <w:rsid w:val="0076182A"/>
    <w:rsid w:val="00767B7E"/>
    <w:rsid w:val="007770C3"/>
    <w:rsid w:val="00784D24"/>
    <w:rsid w:val="00785FBA"/>
    <w:rsid w:val="00786E4A"/>
    <w:rsid w:val="007875EB"/>
    <w:rsid w:val="0079426B"/>
    <w:rsid w:val="00794377"/>
    <w:rsid w:val="007D1682"/>
    <w:rsid w:val="007D312A"/>
    <w:rsid w:val="007D3F19"/>
    <w:rsid w:val="007E23B0"/>
    <w:rsid w:val="007E23E5"/>
    <w:rsid w:val="007F1991"/>
    <w:rsid w:val="007F2C2F"/>
    <w:rsid w:val="007F55FC"/>
    <w:rsid w:val="007F5665"/>
    <w:rsid w:val="00800112"/>
    <w:rsid w:val="00813348"/>
    <w:rsid w:val="008253BB"/>
    <w:rsid w:val="0083706E"/>
    <w:rsid w:val="008408F6"/>
    <w:rsid w:val="008423A5"/>
    <w:rsid w:val="00850625"/>
    <w:rsid w:val="00853718"/>
    <w:rsid w:val="00855221"/>
    <w:rsid w:val="00860645"/>
    <w:rsid w:val="00871F71"/>
    <w:rsid w:val="00872FD8"/>
    <w:rsid w:val="00885AF4"/>
    <w:rsid w:val="008939CD"/>
    <w:rsid w:val="0089666D"/>
    <w:rsid w:val="008B0651"/>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7099F"/>
    <w:rsid w:val="00971997"/>
    <w:rsid w:val="00971FFC"/>
    <w:rsid w:val="0098660A"/>
    <w:rsid w:val="009931C3"/>
    <w:rsid w:val="009B2C43"/>
    <w:rsid w:val="009B4EAE"/>
    <w:rsid w:val="009B7573"/>
    <w:rsid w:val="009C22F4"/>
    <w:rsid w:val="009C2A4B"/>
    <w:rsid w:val="009C2E98"/>
    <w:rsid w:val="009D3447"/>
    <w:rsid w:val="009D4711"/>
    <w:rsid w:val="009F1185"/>
    <w:rsid w:val="009F18CD"/>
    <w:rsid w:val="009F2A13"/>
    <w:rsid w:val="009F7527"/>
    <w:rsid w:val="00A04EB0"/>
    <w:rsid w:val="00A13CC1"/>
    <w:rsid w:val="00A16847"/>
    <w:rsid w:val="00A237D8"/>
    <w:rsid w:val="00A268C4"/>
    <w:rsid w:val="00A307CD"/>
    <w:rsid w:val="00A331C8"/>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5620"/>
    <w:rsid w:val="00AD656B"/>
    <w:rsid w:val="00AD7C1B"/>
    <w:rsid w:val="00AE16BA"/>
    <w:rsid w:val="00AE1EBE"/>
    <w:rsid w:val="00B03C9D"/>
    <w:rsid w:val="00B060AE"/>
    <w:rsid w:val="00B10517"/>
    <w:rsid w:val="00B14E76"/>
    <w:rsid w:val="00B161B8"/>
    <w:rsid w:val="00B2048C"/>
    <w:rsid w:val="00B2647E"/>
    <w:rsid w:val="00B310B9"/>
    <w:rsid w:val="00B35F3F"/>
    <w:rsid w:val="00B36CBB"/>
    <w:rsid w:val="00B425E0"/>
    <w:rsid w:val="00B440AA"/>
    <w:rsid w:val="00B44B70"/>
    <w:rsid w:val="00B53C56"/>
    <w:rsid w:val="00B57DAF"/>
    <w:rsid w:val="00B77EA6"/>
    <w:rsid w:val="00B81598"/>
    <w:rsid w:val="00B841F1"/>
    <w:rsid w:val="00B944D6"/>
    <w:rsid w:val="00BB4DF0"/>
    <w:rsid w:val="00BC289F"/>
    <w:rsid w:val="00BC2D50"/>
    <w:rsid w:val="00BC5361"/>
    <w:rsid w:val="00BC5460"/>
    <w:rsid w:val="00BC6B50"/>
    <w:rsid w:val="00BD0E25"/>
    <w:rsid w:val="00BF5BD6"/>
    <w:rsid w:val="00C03E31"/>
    <w:rsid w:val="00C21F16"/>
    <w:rsid w:val="00C33E72"/>
    <w:rsid w:val="00C354B2"/>
    <w:rsid w:val="00C35554"/>
    <w:rsid w:val="00C42709"/>
    <w:rsid w:val="00C533CC"/>
    <w:rsid w:val="00C5751C"/>
    <w:rsid w:val="00C61BFC"/>
    <w:rsid w:val="00C62B85"/>
    <w:rsid w:val="00C65438"/>
    <w:rsid w:val="00C87FD8"/>
    <w:rsid w:val="00C91381"/>
    <w:rsid w:val="00C91CBB"/>
    <w:rsid w:val="00CB4E70"/>
    <w:rsid w:val="00CC09B6"/>
    <w:rsid w:val="00CC666F"/>
    <w:rsid w:val="00CD1E3F"/>
    <w:rsid w:val="00CD54BB"/>
    <w:rsid w:val="00CE44F6"/>
    <w:rsid w:val="00CE49DA"/>
    <w:rsid w:val="00CE7B61"/>
    <w:rsid w:val="00D00095"/>
    <w:rsid w:val="00D114F0"/>
    <w:rsid w:val="00D20620"/>
    <w:rsid w:val="00D254F7"/>
    <w:rsid w:val="00D26091"/>
    <w:rsid w:val="00D2685C"/>
    <w:rsid w:val="00D34E7C"/>
    <w:rsid w:val="00D35489"/>
    <w:rsid w:val="00D36AFE"/>
    <w:rsid w:val="00D51276"/>
    <w:rsid w:val="00D7035F"/>
    <w:rsid w:val="00DA634F"/>
    <w:rsid w:val="00DA65AC"/>
    <w:rsid w:val="00DB1913"/>
    <w:rsid w:val="00DC410D"/>
    <w:rsid w:val="00DC5A81"/>
    <w:rsid w:val="00DC68CA"/>
    <w:rsid w:val="00DC7CBA"/>
    <w:rsid w:val="00DD73B7"/>
    <w:rsid w:val="00DF28BC"/>
    <w:rsid w:val="00DF34B9"/>
    <w:rsid w:val="00E01053"/>
    <w:rsid w:val="00E07ACF"/>
    <w:rsid w:val="00E331A1"/>
    <w:rsid w:val="00E33202"/>
    <w:rsid w:val="00E336A9"/>
    <w:rsid w:val="00E472B1"/>
    <w:rsid w:val="00E50624"/>
    <w:rsid w:val="00E568DF"/>
    <w:rsid w:val="00E64269"/>
    <w:rsid w:val="00E82267"/>
    <w:rsid w:val="00E853CE"/>
    <w:rsid w:val="00E867B6"/>
    <w:rsid w:val="00EA010F"/>
    <w:rsid w:val="00EC75C6"/>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A3F4C"/>
    <w:rsid w:val="00FD3CC1"/>
    <w:rsid w:val="00FF1E02"/>
    <w:rsid w:val="00FF30B4"/>
    <w:rsid w:val="015975B8"/>
    <w:rsid w:val="02143E91"/>
    <w:rsid w:val="066E0107"/>
    <w:rsid w:val="07996F6E"/>
    <w:rsid w:val="0A2032A3"/>
    <w:rsid w:val="0B5D7BAD"/>
    <w:rsid w:val="0F98263C"/>
    <w:rsid w:val="101860EC"/>
    <w:rsid w:val="10C055FF"/>
    <w:rsid w:val="118107EC"/>
    <w:rsid w:val="139311B9"/>
    <w:rsid w:val="13D50BC4"/>
    <w:rsid w:val="163D2AB4"/>
    <w:rsid w:val="16BB723D"/>
    <w:rsid w:val="17667373"/>
    <w:rsid w:val="19846B59"/>
    <w:rsid w:val="19C37774"/>
    <w:rsid w:val="1ADE5971"/>
    <w:rsid w:val="1BC03F6C"/>
    <w:rsid w:val="1BE8440E"/>
    <w:rsid w:val="1D0E3EBC"/>
    <w:rsid w:val="1D155CEE"/>
    <w:rsid w:val="1FF35744"/>
    <w:rsid w:val="23860B96"/>
    <w:rsid w:val="240371BF"/>
    <w:rsid w:val="242B03F0"/>
    <w:rsid w:val="2706428E"/>
    <w:rsid w:val="27CB43C4"/>
    <w:rsid w:val="291A2027"/>
    <w:rsid w:val="29FD04D3"/>
    <w:rsid w:val="2B821079"/>
    <w:rsid w:val="2C8A61B5"/>
    <w:rsid w:val="2DF04E50"/>
    <w:rsid w:val="2E7C437E"/>
    <w:rsid w:val="2F040D46"/>
    <w:rsid w:val="2FFA2D68"/>
    <w:rsid w:val="30D7405D"/>
    <w:rsid w:val="319F7F4E"/>
    <w:rsid w:val="321E1594"/>
    <w:rsid w:val="3253123E"/>
    <w:rsid w:val="32EC51EE"/>
    <w:rsid w:val="3304709D"/>
    <w:rsid w:val="36AA5135"/>
    <w:rsid w:val="376D39B2"/>
    <w:rsid w:val="377A15F9"/>
    <w:rsid w:val="37E16F03"/>
    <w:rsid w:val="37E961A0"/>
    <w:rsid w:val="38D469F0"/>
    <w:rsid w:val="3A344031"/>
    <w:rsid w:val="3ABD5E67"/>
    <w:rsid w:val="3B963D1A"/>
    <w:rsid w:val="3D98207C"/>
    <w:rsid w:val="3DAF2349"/>
    <w:rsid w:val="3DB145C1"/>
    <w:rsid w:val="3E78745D"/>
    <w:rsid w:val="406F0095"/>
    <w:rsid w:val="4108328D"/>
    <w:rsid w:val="423D2C34"/>
    <w:rsid w:val="439E0FE4"/>
    <w:rsid w:val="446C4B9D"/>
    <w:rsid w:val="44DF7F76"/>
    <w:rsid w:val="44E268DA"/>
    <w:rsid w:val="451C4F51"/>
    <w:rsid w:val="48CB0A0C"/>
    <w:rsid w:val="4A627F82"/>
    <w:rsid w:val="4B0E749A"/>
    <w:rsid w:val="4B4F25DA"/>
    <w:rsid w:val="4BE068DB"/>
    <w:rsid w:val="4C3677AE"/>
    <w:rsid w:val="4D577224"/>
    <w:rsid w:val="4EAB630A"/>
    <w:rsid w:val="4ECE2238"/>
    <w:rsid w:val="51247DE6"/>
    <w:rsid w:val="517D7C2E"/>
    <w:rsid w:val="52590272"/>
    <w:rsid w:val="537E6D0A"/>
    <w:rsid w:val="545C6C7C"/>
    <w:rsid w:val="5728181B"/>
    <w:rsid w:val="58535244"/>
    <w:rsid w:val="59ED3476"/>
    <w:rsid w:val="5A004D4A"/>
    <w:rsid w:val="5A422CD3"/>
    <w:rsid w:val="5AF92295"/>
    <w:rsid w:val="5CD71FC4"/>
    <w:rsid w:val="5F2C67EF"/>
    <w:rsid w:val="61F75B1F"/>
    <w:rsid w:val="63D541B6"/>
    <w:rsid w:val="64CF20F6"/>
    <w:rsid w:val="64EF33BF"/>
    <w:rsid w:val="66D659BE"/>
    <w:rsid w:val="6744501E"/>
    <w:rsid w:val="6C4A05C8"/>
    <w:rsid w:val="6C533780"/>
    <w:rsid w:val="6D4A358E"/>
    <w:rsid w:val="6D9474CB"/>
    <w:rsid w:val="6E7E3605"/>
    <w:rsid w:val="6F206870"/>
    <w:rsid w:val="6FF5CC65"/>
    <w:rsid w:val="715C0E4B"/>
    <w:rsid w:val="717F7575"/>
    <w:rsid w:val="72734D90"/>
    <w:rsid w:val="72C62D8B"/>
    <w:rsid w:val="73AD73D5"/>
    <w:rsid w:val="73B6EB34"/>
    <w:rsid w:val="744731E5"/>
    <w:rsid w:val="75513EF3"/>
    <w:rsid w:val="76E3355F"/>
    <w:rsid w:val="778769C8"/>
    <w:rsid w:val="79EE5BA4"/>
    <w:rsid w:val="7A114250"/>
    <w:rsid w:val="7A894339"/>
    <w:rsid w:val="7B4F59DB"/>
    <w:rsid w:val="7E831CEB"/>
    <w:rsid w:val="7EEF11D3"/>
    <w:rsid w:val="7F5D4E94"/>
    <w:rsid w:val="7FA30C79"/>
    <w:rsid w:val="7FB7269E"/>
    <w:rsid w:val="7FC96657"/>
    <w:rsid w:val="D8D6DB89"/>
    <w:rsid w:val="DB6F4CAB"/>
    <w:rsid w:val="DF6F978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qFormat="1" w:unhideWhenUsed="0" w:uiPriority="99" w:semiHidden="0"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31"/>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39"/>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35"/>
    <w:unhideWhenUsed/>
    <w:qFormat/>
    <w:uiPriority w:val="9"/>
    <w:pPr>
      <w:keepNext/>
      <w:keepLines/>
      <w:spacing w:before="260" w:after="260" w:line="416" w:lineRule="auto"/>
      <w:outlineLvl w:val="2"/>
    </w:pPr>
    <w:rPr>
      <w:b/>
      <w:bCs/>
      <w:sz w:val="32"/>
      <w:szCs w:val="32"/>
    </w:rPr>
  </w:style>
  <w:style w:type="character" w:default="1" w:styleId="18">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28"/>
    <w:qFormat/>
    <w:uiPriority w:val="99"/>
    <w:pPr>
      <w:spacing w:beforeLines="30"/>
    </w:pPr>
    <w:rPr>
      <w:rFonts w:ascii="仿宋_GB2312" w:eastAsia="仿宋_GB2312"/>
      <w:kern w:val="0"/>
      <w:sz w:val="30"/>
    </w:rPr>
  </w:style>
  <w:style w:type="paragraph" w:styleId="6">
    <w:name w:val="Body Text Indent"/>
    <w:basedOn w:val="1"/>
    <w:qFormat/>
    <w:uiPriority w:val="0"/>
    <w:pPr>
      <w:spacing w:after="120"/>
      <w:ind w:left="200" w:leftChars="200"/>
    </w:pPr>
    <w:rPr>
      <w:rFonts w:ascii="仿宋_GB2312"/>
      <w:szCs w:val="32"/>
    </w:rPr>
  </w:style>
  <w:style w:type="paragraph" w:styleId="7">
    <w:name w:val="toc 3"/>
    <w:basedOn w:val="1"/>
    <w:next w:val="1"/>
    <w:unhideWhenUsed/>
    <w:qFormat/>
    <w:uiPriority w:val="39"/>
    <w:pPr>
      <w:tabs>
        <w:tab w:val="right" w:leader="dot" w:pos="8296"/>
      </w:tabs>
      <w:ind w:left="840" w:leftChars="400"/>
    </w:pPr>
  </w:style>
  <w:style w:type="paragraph" w:styleId="8">
    <w:name w:val="Plain Text"/>
    <w:basedOn w:val="1"/>
    <w:qFormat/>
    <w:uiPriority w:val="0"/>
    <w:rPr>
      <w:rFonts w:ascii="宋体" w:hAnsi="Courier New" w:eastAsia="仿宋_GB2312" w:cs="Courier New"/>
      <w:b/>
      <w:sz w:val="32"/>
      <w:szCs w:val="21"/>
    </w:rPr>
  </w:style>
  <w:style w:type="paragraph" w:styleId="9">
    <w:name w:val="Balloon Text"/>
    <w:basedOn w:val="1"/>
    <w:link w:val="34"/>
    <w:semiHidden/>
    <w:unhideWhenUsed/>
    <w:qFormat/>
    <w:uiPriority w:val="99"/>
    <w:rPr>
      <w:sz w:val="18"/>
      <w:szCs w:val="18"/>
    </w:rPr>
  </w:style>
  <w:style w:type="paragraph" w:styleId="10">
    <w:name w:val="footer"/>
    <w:basedOn w:val="1"/>
    <w:link w:val="26"/>
    <w:qFormat/>
    <w:uiPriority w:val="99"/>
    <w:pPr>
      <w:tabs>
        <w:tab w:val="center" w:pos="4153"/>
        <w:tab w:val="right" w:pos="8306"/>
      </w:tabs>
      <w:snapToGrid w:val="0"/>
      <w:jc w:val="left"/>
    </w:pPr>
    <w:rPr>
      <w:rFonts w:ascii="Calibri" w:hAnsi="Calibri"/>
      <w:kern w:val="0"/>
      <w:sz w:val="18"/>
      <w:szCs w:val="18"/>
    </w:rPr>
  </w:style>
  <w:style w:type="paragraph" w:styleId="11">
    <w:name w:val="header"/>
    <w:basedOn w:val="1"/>
    <w:link w:val="24"/>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2">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3">
    <w:name w:val="table of figures"/>
    <w:basedOn w:val="1"/>
    <w:next w:val="1"/>
    <w:qFormat/>
    <w:uiPriority w:val="99"/>
    <w:pPr>
      <w:ind w:left="200" w:leftChars="200" w:hanging="200" w:hangingChars="200"/>
    </w:pPr>
  </w:style>
  <w:style w:type="paragraph" w:styleId="14">
    <w:name w:val="toc 2"/>
    <w:basedOn w:val="1"/>
    <w:next w:val="1"/>
    <w:unhideWhenUsed/>
    <w:qFormat/>
    <w:uiPriority w:val="39"/>
    <w:pPr>
      <w:tabs>
        <w:tab w:val="right" w:leader="dot" w:pos="8296"/>
      </w:tabs>
      <w:ind w:left="420" w:leftChars="200"/>
    </w:pPr>
  </w:style>
  <w:style w:type="paragraph" w:styleId="15">
    <w:name w:val="Normal (Web)"/>
    <w:basedOn w:val="1"/>
    <w:qFormat/>
    <w:uiPriority w:val="0"/>
    <w:pPr>
      <w:widowControl w:val="0"/>
      <w:spacing w:before="0" w:beforeAutospacing="1" w:after="0" w:afterAutospacing="1"/>
      <w:ind w:left="0" w:right="0"/>
      <w:jc w:val="left"/>
    </w:pPr>
    <w:rPr>
      <w:rFonts w:asciiTheme="minorHAnsi" w:hAnsiTheme="minorHAnsi" w:eastAsiaTheme="minorEastAsia" w:cstheme="minorBidi"/>
      <w:kern w:val="0"/>
      <w:sz w:val="24"/>
      <w:szCs w:val="24"/>
      <w:lang w:val="en-US" w:eastAsia="zh-CN" w:bidi="ar"/>
    </w:rPr>
  </w:style>
  <w:style w:type="paragraph" w:styleId="16">
    <w:name w:val="Body Text First Indent 2"/>
    <w:basedOn w:val="6"/>
    <w:next w:val="1"/>
    <w:unhideWhenUsed/>
    <w:qFormat/>
    <w:uiPriority w:val="99"/>
    <w:pPr>
      <w:ind w:firstLine="420" w:firstLineChars="200"/>
    </w:pPr>
  </w:style>
  <w:style w:type="character" w:styleId="19">
    <w:name w:val="Strong"/>
    <w:basedOn w:val="18"/>
    <w:qFormat/>
    <w:uiPriority w:val="99"/>
    <w:rPr>
      <w:b/>
    </w:rPr>
  </w:style>
  <w:style w:type="character" w:styleId="20">
    <w:name w:val="Emphasis"/>
    <w:basedOn w:val="18"/>
    <w:qFormat/>
    <w:uiPriority w:val="20"/>
    <w:rPr>
      <w:i/>
    </w:rPr>
  </w:style>
  <w:style w:type="character" w:styleId="21">
    <w:name w:val="Hyperlink"/>
    <w:basedOn w:val="18"/>
    <w:unhideWhenUsed/>
    <w:qFormat/>
    <w:uiPriority w:val="99"/>
    <w:rPr>
      <w:color w:val="0000FF" w:themeColor="hyperlink"/>
      <w:u w:val="single"/>
      <w14:textFill>
        <w14:solidFill>
          <w14:schemeClr w14:val="hlink"/>
        </w14:solidFill>
      </w14:textFill>
    </w:rPr>
  </w:style>
  <w:style w:type="paragraph" w:customStyle="1" w:styleId="22">
    <w:name w:val="标题 5（有编号）（绿盟科技）"/>
    <w:next w:val="1"/>
    <w:qFormat/>
    <w:uiPriority w:val="99"/>
    <w:pPr>
      <w:keepNext/>
      <w:keepLines/>
      <w:widowControl w:val="0"/>
      <w:spacing w:before="280" w:after="156" w:line="377" w:lineRule="auto"/>
      <w:outlineLvl w:val="4"/>
    </w:pPr>
    <w:rPr>
      <w:rFonts w:ascii="Arial" w:hAnsi="Arial" w:eastAsia="黑体" w:cs="Times New Roman"/>
      <w:b/>
      <w:kern w:val="2"/>
      <w:sz w:val="24"/>
      <w:szCs w:val="28"/>
      <w:lang w:val="en-US" w:eastAsia="zh-CN" w:bidi="ar-SA"/>
    </w:rPr>
  </w:style>
  <w:style w:type="character" w:customStyle="1" w:styleId="23">
    <w:name w:val="Header Char"/>
    <w:basedOn w:val="18"/>
    <w:semiHidden/>
    <w:qFormat/>
    <w:uiPriority w:val="99"/>
    <w:rPr>
      <w:rFonts w:ascii="Times New Roman" w:hAnsi="Times New Roman"/>
      <w:sz w:val="18"/>
      <w:szCs w:val="18"/>
    </w:rPr>
  </w:style>
  <w:style w:type="character" w:customStyle="1" w:styleId="24">
    <w:name w:val="页眉 字符"/>
    <w:link w:val="11"/>
    <w:semiHidden/>
    <w:qFormat/>
    <w:locked/>
    <w:uiPriority w:val="99"/>
    <w:rPr>
      <w:sz w:val="18"/>
    </w:rPr>
  </w:style>
  <w:style w:type="character" w:customStyle="1" w:styleId="25">
    <w:name w:val="Footer Char"/>
    <w:basedOn w:val="18"/>
    <w:semiHidden/>
    <w:qFormat/>
    <w:uiPriority w:val="99"/>
    <w:rPr>
      <w:rFonts w:ascii="Times New Roman" w:hAnsi="Times New Roman"/>
      <w:sz w:val="18"/>
      <w:szCs w:val="18"/>
    </w:rPr>
  </w:style>
  <w:style w:type="character" w:customStyle="1" w:styleId="26">
    <w:name w:val="页脚 字符"/>
    <w:link w:val="10"/>
    <w:qFormat/>
    <w:locked/>
    <w:uiPriority w:val="99"/>
    <w:rPr>
      <w:sz w:val="18"/>
    </w:rPr>
  </w:style>
  <w:style w:type="character" w:customStyle="1" w:styleId="27">
    <w:name w:val="Body Text Char"/>
    <w:basedOn w:val="18"/>
    <w:semiHidden/>
    <w:qFormat/>
    <w:uiPriority w:val="99"/>
    <w:rPr>
      <w:rFonts w:ascii="Times New Roman" w:hAnsi="Times New Roman"/>
      <w:szCs w:val="24"/>
    </w:rPr>
  </w:style>
  <w:style w:type="character" w:customStyle="1" w:styleId="28">
    <w:name w:val="正文文本 字符"/>
    <w:link w:val="2"/>
    <w:qFormat/>
    <w:locked/>
    <w:uiPriority w:val="99"/>
    <w:rPr>
      <w:rFonts w:ascii="仿宋_GB2312" w:hAnsi="Times New Roman" w:eastAsia="仿宋_GB2312"/>
      <w:sz w:val="24"/>
    </w:rPr>
  </w:style>
  <w:style w:type="paragraph" w:customStyle="1" w:styleId="29">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30">
    <w:name w:val="List Paragraph"/>
    <w:basedOn w:val="1"/>
    <w:qFormat/>
    <w:uiPriority w:val="34"/>
    <w:pPr>
      <w:ind w:firstLine="420" w:firstLineChars="200"/>
    </w:pPr>
  </w:style>
  <w:style w:type="character" w:customStyle="1" w:styleId="31">
    <w:name w:val="标题 1 字符"/>
    <w:basedOn w:val="18"/>
    <w:link w:val="3"/>
    <w:qFormat/>
    <w:uiPriority w:val="9"/>
    <w:rPr>
      <w:rFonts w:ascii="Times New Roman" w:hAnsi="Times New Roman"/>
      <w:b/>
      <w:bCs/>
      <w:kern w:val="44"/>
      <w:sz w:val="44"/>
      <w:szCs w:val="44"/>
    </w:rPr>
  </w:style>
  <w:style w:type="character" w:customStyle="1" w:styleId="32">
    <w:name w:val="标题 2 字符"/>
    <w:basedOn w:val="18"/>
    <w:link w:val="4"/>
    <w:qFormat/>
    <w:uiPriority w:val="9"/>
    <w:rPr>
      <w:rFonts w:asciiTheme="majorHAnsi" w:hAnsiTheme="majorHAnsi" w:eastAsiaTheme="majorEastAsia" w:cstheme="majorBidi"/>
      <w:b/>
      <w:bCs/>
      <w:kern w:val="2"/>
      <w:sz w:val="32"/>
      <w:szCs w:val="32"/>
    </w:rPr>
  </w:style>
  <w:style w:type="paragraph" w:customStyle="1" w:styleId="33">
    <w:name w:val="TOC 标题1"/>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34">
    <w:name w:val="批注框文本 字符"/>
    <w:basedOn w:val="18"/>
    <w:link w:val="9"/>
    <w:semiHidden/>
    <w:qFormat/>
    <w:uiPriority w:val="99"/>
    <w:rPr>
      <w:rFonts w:ascii="Times New Roman" w:hAnsi="Times New Roman"/>
      <w:kern w:val="2"/>
      <w:sz w:val="18"/>
      <w:szCs w:val="18"/>
    </w:rPr>
  </w:style>
  <w:style w:type="character" w:customStyle="1" w:styleId="35">
    <w:name w:val="标题 3 字符"/>
    <w:basedOn w:val="18"/>
    <w:link w:val="5"/>
    <w:qFormat/>
    <w:uiPriority w:val="9"/>
    <w:rPr>
      <w:rFonts w:ascii="Times New Roman" w:hAnsi="Times New Roman"/>
      <w:b/>
      <w:bCs/>
      <w:kern w:val="2"/>
      <w:sz w:val="32"/>
      <w:szCs w:val="32"/>
    </w:rPr>
  </w:style>
  <w:style w:type="paragraph" w:customStyle="1" w:styleId="36">
    <w:name w:val="TOC 标题2"/>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paragraph" w:customStyle="1" w:styleId="37">
    <w:name w:val="四号正文"/>
    <w:basedOn w:val="1"/>
    <w:qFormat/>
    <w:uiPriority w:val="0"/>
    <w:pPr>
      <w:spacing w:line="360" w:lineRule="auto"/>
    </w:pPr>
    <w:rPr>
      <w:rFonts w:ascii="??" w:hAnsi="??"/>
      <w:color w:val="000000"/>
      <w:kern w:val="0"/>
      <w:sz w:val="28"/>
      <w:szCs w:val="21"/>
      <w:lang w:val="zh-CN"/>
    </w:rPr>
  </w:style>
  <w:style w:type="paragraph" w:customStyle="1" w:styleId="38">
    <w:name w:val="图表目录1"/>
    <w:basedOn w:val="1"/>
    <w:next w:val="1"/>
    <w:qFormat/>
    <w:uiPriority w:val="0"/>
    <w:pPr>
      <w:ind w:left="200" w:leftChars="200" w:hanging="200" w:hangingChars="200"/>
    </w:pPr>
    <w:rPr>
      <w:rFonts w:ascii="Times New Roman" w:hAnsi="Times New Roman" w:eastAsia="仿宋"/>
      <w:sz w:val="32"/>
    </w:rPr>
  </w:style>
  <w:style w:type="character" w:customStyle="1" w:styleId="39">
    <w:name w:val="标题 2 Char"/>
    <w:basedOn w:val="18"/>
    <w:link w:val="4"/>
    <w:qFormat/>
    <w:uiPriority w:val="9"/>
    <w:rPr>
      <w:rFonts w:asciiTheme="majorHAnsi" w:hAnsiTheme="majorHAnsi" w:eastAsiaTheme="majorEastAsia" w:cstheme="majorBidi"/>
      <w:b/>
      <w:bCs/>
      <w:kern w:val="2"/>
      <w:sz w:val="32"/>
      <w:szCs w:val="32"/>
    </w:rPr>
  </w:style>
</w:styles>
</file>

<file path=word/_rels/document.xml.rels><?xml version="1.0" encoding="UTF-8" standalone="yes"?>
<Relationships xmlns="http://schemas.openxmlformats.org/package/2006/relationships"><Relationship Id="rId9" Type="http://schemas.openxmlformats.org/officeDocument/2006/relationships/image" Target="media/image2.png"/><Relationship Id="rId8" Type="http://schemas.openxmlformats.org/officeDocument/2006/relationships/chart" Target="charts/chart2.xml"/><Relationship Id="rId7" Type="http://schemas.openxmlformats.org/officeDocument/2006/relationships/chart" Target="charts/chart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hart" Target="charts/chart4.xml"/><Relationship Id="rId11" Type="http://schemas.openxmlformats.org/officeDocument/2006/relationships/chart" Target="charts/chart3.xml"/><Relationship Id="rId10" Type="http://schemas.openxmlformats.org/officeDocument/2006/relationships/image" Target="media/image3.png"/><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1.xlsx"/></Relationships>
</file>

<file path=word/charts/_rels/chart2.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package" Target="../embeddings/Workbook2.xlsx"/></Relationships>
</file>

<file path=word/charts/_rels/chart3.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package" Target="../embeddings/Workbook3.xlsx"/></Relationships>
</file>

<file path=word/charts/_rels/chart4.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package" Target="../embeddings/Workbook4.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1" i="0" u="none" strike="noStrike" kern="1200" baseline="0">
              <a:solidFill>
                <a:schemeClr val="dk1">
                  <a:lumMod val="75000"/>
                  <a:lumOff val="25000"/>
                </a:schemeClr>
              </a:solidFill>
              <a:latin typeface="+mn-lt"/>
              <a:ea typeface="+mn-ea"/>
              <a:cs typeface="+mn-cs"/>
            </a:defRPr>
          </a:pPr>
        </a:p>
      </c:txPr>
    </c:title>
    <c:autoTitleDeleted val="0"/>
    <c:plotArea>
      <c:layout/>
      <c:pieChart>
        <c:varyColors val="1"/>
        <c:ser>
          <c:idx val="0"/>
          <c:order val="0"/>
          <c:spPr/>
          <c:explosion val="0"/>
          <c:dPt>
            <c:idx val="0"/>
            <c:bubble3D val="0"/>
            <c:spPr>
              <a:solidFill>
                <a:schemeClr val="accent1"/>
              </a:solidFill>
              <a:ln>
                <a:solidFill>
                  <a:schemeClr val="bg1"/>
                </a:solidFill>
              </a:ln>
              <a:effectLst/>
            </c:spPr>
          </c:dPt>
          <c:dPt>
            <c:idx val="1"/>
            <c:bubble3D val="0"/>
            <c:spPr>
              <a:solidFill>
                <a:schemeClr val="accent2"/>
              </a:solidFill>
              <a:ln>
                <a:solidFill>
                  <a:schemeClr val="bg1"/>
                </a:solidFill>
              </a:ln>
              <a:effectLst/>
            </c:spPr>
          </c:dPt>
          <c:dPt>
            <c:idx val="2"/>
            <c:bubble3D val="0"/>
            <c:spPr>
              <a:solidFill>
                <a:schemeClr val="accent3"/>
              </a:solidFill>
              <a:ln>
                <a:solidFill>
                  <a:schemeClr val="bg1"/>
                </a:solidFill>
              </a:ln>
              <a:effectLst/>
            </c:spPr>
          </c:dPt>
          <c:dPt>
            <c:idx val="3"/>
            <c:bubble3D val="0"/>
            <c:spPr>
              <a:solidFill>
                <a:schemeClr val="accent4"/>
              </a:solidFill>
              <a:ln>
                <a:solidFill>
                  <a:schemeClr val="bg1"/>
                </a:solidFill>
              </a:ln>
              <a:effectLst/>
            </c:spPr>
          </c:dPt>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lumMod val="75000"/>
                        <a:lumOff val="25000"/>
                      </a:schemeClr>
                    </a:solidFill>
                    <a:latin typeface="+mn-lt"/>
                    <a:ea typeface="+mn-ea"/>
                    <a:cs typeface="+mn-cs"/>
                  </a:defRPr>
                </a:pPr>
              </a:p>
            </c:txPr>
            <c:dLblPos val="inEnd"/>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一、一般公共预算财政拨款收入</c:v>
                </c:pt>
                <c:pt idx="1">
                  <c:v>二、政府性基金预算财政拨款收入</c:v>
                </c:pt>
                <c:pt idx="2">
                  <c:v>三、国有资本经营预算财政拨款收入</c:v>
                </c:pt>
                <c:pt idx="3">
                  <c:v>四、事业收入</c:v>
                </c:pt>
              </c:strCache>
            </c:strRef>
          </c:cat>
          <c:val>
            <c:numRef>
              <c:f>Sheet1!$B$2:$B$5</c:f>
              <c:numCache>
                <c:formatCode>General</c:formatCode>
                <c:ptCount val="4"/>
                <c:pt idx="0">
                  <c:v>1087.2</c:v>
                </c:pt>
                <c:pt idx="1">
                  <c:v>0</c:v>
                </c:pt>
                <c:pt idx="2">
                  <c:v>0</c:v>
                </c:pt>
                <c:pt idx="3">
                  <c:v>0</c:v>
                </c:pt>
              </c:numCache>
            </c:numRef>
          </c:val>
          <c:extLst>
            <c:ext xmlns:c15="http://schemas.microsoft.com/office/drawing/2012/chart" uri="{02D57815-91ED-43cb-92C2-25804820EDAC}">
              <c15:filteredSeriesTitle>
                <c15:tx>
                  <c:strRef>
                    <c:extLst>
                      <c:ext uri="{02D57815-91ED-43cb-92C2-25804820EDAC}">
                        <c15:formulaRef>
                          <c15:sqref>Sheet1!$B$1</c15:sqref>
                        </c15:formulaRef>
                      </c:ext>
                    </c:extLst>
                    <c:strCache>
                      <c:ptCount val="1"/>
                      <c:pt idx="0">
                        <c:v>列1</c:v>
                      </c:pt>
                    </c:strCache>
                  </c:strRef>
                </c15:tx>
              </c15:filteredSeriesTitle>
            </c:ext>
          </c:extLst>
        </c:ser>
        <c:dLbls>
          <c:showLegendKey val="0"/>
          <c:showVal val="0"/>
          <c:showCatName val="0"/>
          <c:showSerName val="0"/>
          <c:showPercent val="1"/>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spPr/>
          <c:explosion val="0"/>
          <c:dPt>
            <c:idx val="0"/>
            <c:bubble3D val="0"/>
            <c:spPr>
              <a:solidFill>
                <a:schemeClr val="accent1"/>
              </a:solidFill>
              <a:ln>
                <a:solidFill>
                  <a:schemeClr val="bg1"/>
                </a:solidFill>
              </a:ln>
              <a:effectLst/>
            </c:spPr>
          </c:dPt>
          <c:dPt>
            <c:idx val="1"/>
            <c:bubble3D val="0"/>
            <c:spPr>
              <a:solidFill>
                <a:schemeClr val="accent2"/>
              </a:solidFill>
              <a:ln>
                <a:solidFill>
                  <a:schemeClr val="bg1"/>
                </a:solidFill>
              </a:ln>
              <a:effectLst/>
            </c:spPr>
          </c:dPt>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lumMod val="75000"/>
                        <a:lumOff val="25000"/>
                      </a:schemeClr>
                    </a:solidFill>
                    <a:latin typeface="+mn-lt"/>
                    <a:ea typeface="+mn-ea"/>
                    <a:cs typeface="+mn-cs"/>
                  </a:defRPr>
                </a:pPr>
              </a:p>
            </c:txPr>
            <c:dLblPos val="inEnd"/>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extLst>
                <c:ext xmlns:c15="http://schemas.microsoft.com/office/drawing/2012/chart" uri="{02D57815-91ED-43cb-92C2-25804820EDAC}">
                  <c15:fullRef>
                    <c15:sqref>Sheet1!$A$2:$A$5</c15:sqref>
                  </c15:fullRef>
                </c:ext>
              </c:extLst>
              <c:f>Sheet1!$A$2:$A$3</c:f>
              <c:strCache>
                <c:ptCount val="2"/>
                <c:pt idx="0">
                  <c:v>基本支出</c:v>
                </c:pt>
                <c:pt idx="1">
                  <c:v>项目支出</c:v>
                </c:pt>
              </c:strCache>
            </c:strRef>
          </c:cat>
          <c:val>
            <c:numRef>
              <c:extLst>
                <c:ext xmlns:c15="http://schemas.microsoft.com/office/drawing/2012/chart" uri="{02D57815-91ED-43cb-92C2-25804820EDAC}">
                  <c15:fullRef>
                    <c15:sqref>Sheet1!$B$2:$B$5</c15:sqref>
                  </c15:fullRef>
                </c:ext>
              </c:extLst>
              <c:f>Sheet1!$B$2:$B$3</c:f>
              <c:numCache>
                <c:formatCode>0.00%</c:formatCode>
                <c:ptCount val="2"/>
                <c:pt idx="0">
                  <c:v>0.8093</c:v>
                </c:pt>
                <c:pt idx="1">
                  <c:v>0.1907</c:v>
                </c:pt>
              </c:numCache>
            </c:numRef>
          </c:val>
          <c:extLst>
            <c:ext xmlns:c15="http://schemas.microsoft.com/office/drawing/2012/chart" uri="{02D57815-91ED-43cb-92C2-25804820EDAC}">
              <c15:filteredSeriesTitle>
                <c15:tx>
                  <c:strRef>
                    <c:extLst>
                      <c:ext uri="{02D57815-91ED-43cb-92C2-25804820EDAC}">
                        <c15:formulaRef>
                          <c15:sqref>Sheet1!$B$1</c15:sqref>
                        </c15:formulaRef>
                      </c:ext>
                    </c:extLst>
                    <c:strCache>
                      <c:ptCount val="1"/>
                      <c:pt idx="0">
                        <c:v>列1</c:v>
                      </c:pt>
                    </c:strCache>
                  </c:strRef>
                </c15:tx>
              </c15:filteredSeriesTitle>
            </c:ext>
            <c:ext xmlns:c15="http://schemas.microsoft.com/office/drawing/2012/chart" uri="{02D57815-91ED-43cb-92C2-25804820EDAC}">
              <c15:filteredCategoryTitle>
                <c15:cat>
                  <c:strRef>
                    <c:extLst>
                      <c:ext xmlns:c15="http://schemas.microsoft.com/office/drawing/2012/chart" uri="{02D57815-91ED-43cb-92C2-25804820EDAC}">
                        <c15:fullRef>
                          <c15:sqref>Sheet1!$A$2:$A$5</c15:sqref>
                        </c15:fullRef>
                      </c:ext>
                    </c:extLst>
                    <c:f>Sheet1!$A$2:$A$3</c:f>
                    <c:strCache>
                      <c:ptCount val="2"/>
                      <c:pt idx="0">
                        <c:v>基本支出</c:v>
                      </c:pt>
                      <c:pt idx="1">
                        <c:v>项目支出</c:v>
                      </c:pt>
                    </c:strCache>
                  </c:strRef>
                </c15:cat>
              </c15:filteredCategoryTitle>
            </c:ext>
          </c:extLst>
        </c:ser>
        <c:dLbls>
          <c:showLegendKey val="0"/>
          <c:showVal val="0"/>
          <c:showCatName val="0"/>
          <c:showSerName val="0"/>
          <c:showPercent val="1"/>
          <c:showBubbleSize val="0"/>
          <c:showLeaderLines val="1"/>
        </c:dLbls>
        <c:firstSliceAng val="0"/>
      </c:pieChart>
      <c:spPr>
        <a:noFill/>
        <a:ln>
          <a:noFill/>
        </a:ln>
        <a:effectLst/>
      </c:spPr>
    </c:plotArea>
    <c:legend>
      <c:legendPos val="r"/>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spPr/>
          <c:explosion val="0"/>
          <c:dPt>
            <c:idx val="0"/>
            <c:bubble3D val="0"/>
            <c:spPr>
              <a:solidFill>
                <a:schemeClr val="accent1"/>
              </a:solidFill>
              <a:ln>
                <a:solidFill>
                  <a:schemeClr val="bg1"/>
                </a:solidFill>
              </a:ln>
              <a:effectLst/>
            </c:spPr>
          </c:dPt>
          <c:dPt>
            <c:idx val="1"/>
            <c:bubble3D val="0"/>
            <c:spPr>
              <a:solidFill>
                <a:schemeClr val="accent2"/>
              </a:solidFill>
              <a:ln>
                <a:solidFill>
                  <a:schemeClr val="bg1"/>
                </a:solidFill>
              </a:ln>
              <a:effectLst/>
            </c:spPr>
          </c:dPt>
          <c:dPt>
            <c:idx val="2"/>
            <c:bubble3D val="0"/>
            <c:spPr>
              <a:solidFill>
                <a:schemeClr val="accent3"/>
              </a:solidFill>
              <a:ln>
                <a:solidFill>
                  <a:schemeClr val="bg1"/>
                </a:solidFill>
              </a:ln>
              <a:effectLst/>
            </c:spPr>
          </c:dPt>
          <c:dPt>
            <c:idx val="3"/>
            <c:bubble3D val="0"/>
            <c:spPr>
              <a:solidFill>
                <a:schemeClr val="accent4"/>
              </a:solidFill>
              <a:ln>
                <a:solidFill>
                  <a:schemeClr val="bg1"/>
                </a:solidFill>
              </a:ln>
              <a:effectLst/>
            </c:spPr>
          </c:dPt>
          <c:dLbls>
            <c:dLbl>
              <c:idx val="0"/>
              <c:layout>
                <c:manualLayout>
                  <c:x val="0.142134202072769"/>
                  <c:y val="-0.0829564042576479"/>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659874748616308"/>
                  <c:y val="-0.00476448796952629"/>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0805534379512747"/>
                  <c:y val="-0.0193090564198595"/>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789402437717993"/>
                  <c:y val="0.0049239814545333"/>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一般公共服务（类）支出</c:v>
                </c:pt>
                <c:pt idx="1">
                  <c:v>社会保障和就业（类）支出</c:v>
                </c:pt>
                <c:pt idx="2">
                  <c:v>卫生健康(类)支出</c:v>
                </c:pt>
                <c:pt idx="3">
                  <c:v>住房保障（类）支出</c:v>
                </c:pt>
              </c:strCache>
            </c:strRef>
          </c:cat>
          <c:val>
            <c:numRef>
              <c:f>Sheet1!$B$2:$B$5</c:f>
              <c:numCache>
                <c:formatCode>General</c:formatCode>
                <c:ptCount val="4"/>
                <c:pt idx="0">
                  <c:v>415.47</c:v>
                </c:pt>
                <c:pt idx="1">
                  <c:v>10.5</c:v>
                </c:pt>
                <c:pt idx="2">
                  <c:v>5.84</c:v>
                </c:pt>
                <c:pt idx="3">
                  <c:v>12.16</c:v>
                </c:pt>
              </c:numCache>
            </c:numRef>
          </c:val>
          <c:extLst>
            <c:ext xmlns:c15="http://schemas.microsoft.com/office/drawing/2012/chart" uri="{02D57815-91ED-43cb-92C2-25804820EDAC}">
              <c15:filteredSeriesTitle>
                <c15:tx>
                  <c:strRef>
                    <c:extLst>
                      <c:ext uri="{02D57815-91ED-43cb-92C2-25804820EDAC}">
                        <c15:formulaRef>
                          <c15:sqref>Sheet1!$B$1</c15:sqref>
                        </c15:formulaRef>
                      </c:ext>
                    </c:extLst>
                    <c:strCache>
                      <c:ptCount val="1"/>
                      <c:pt idx="0">
                        <c:v>列1</c:v>
                      </c:pt>
                    </c:strCache>
                  </c:strRef>
                </c15:tx>
              </c15:filteredSeriesTitle>
            </c:ext>
          </c:extLst>
        </c:ser>
        <c:dLbls>
          <c:showLegendKey val="0"/>
          <c:showVal val="1"/>
          <c:showCatName val="0"/>
          <c:showSerName val="0"/>
          <c:showPercent val="0"/>
          <c:showBubbleSize val="0"/>
          <c:showLeaderLines val="1"/>
        </c:dLbls>
        <c:firstSliceAng val="0"/>
      </c:pieChart>
      <c:spPr>
        <a:noFill/>
        <a:ln>
          <a:noFill/>
        </a:ln>
        <a:effectLst/>
      </c:spPr>
    </c:plotArea>
    <c:legend>
      <c:legendPos val="r"/>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销售额</c:v>
                </c:pt>
              </c:strCache>
            </c:strRef>
          </c:tx>
          <c:spPr/>
          <c:explosion val="0"/>
          <c:dPt>
            <c:idx val="0"/>
            <c:bubble3D val="0"/>
            <c:spPr>
              <a:solidFill>
                <a:schemeClr val="accent1"/>
              </a:solidFill>
              <a:ln>
                <a:solidFill>
                  <a:schemeClr val="bg1"/>
                </a:solidFill>
              </a:ln>
              <a:effectLst/>
            </c:spPr>
          </c:dPt>
          <c:dPt>
            <c:idx val="1"/>
            <c:bubble3D val="0"/>
            <c:spPr>
              <a:solidFill>
                <a:schemeClr val="accent2"/>
              </a:solidFill>
              <a:ln>
                <a:solidFill>
                  <a:schemeClr val="bg1"/>
                </a:solidFill>
              </a:ln>
              <a:effectLst/>
            </c:spPr>
          </c:dPt>
          <c:dPt>
            <c:idx val="2"/>
            <c:bubble3D val="0"/>
            <c:spPr>
              <a:solidFill>
                <a:schemeClr val="accent3"/>
              </a:solidFill>
              <a:ln>
                <a:solidFill>
                  <a:schemeClr val="bg1"/>
                </a:solidFill>
              </a:ln>
              <a:effectLst/>
            </c:spPr>
          </c:dPt>
          <c:dLbls>
            <c:dLbl>
              <c:idx val="1"/>
              <c:layout>
                <c:manualLayout>
                  <c:x val="0.0761053394539744"/>
                  <c:y val="0.00637484062898428"/>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942248743376781"/>
                  <c:y val="-0.0175606263775897"/>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extLst>
                <c:ext xmlns:c15="http://schemas.microsoft.com/office/drawing/2012/chart" uri="{02D57815-91ED-43cb-92C2-25804820EDAC}">
                  <c15:fullRef>
                    <c15:sqref>Sheet1!$A$2:$A$5</c15:sqref>
                  </c15:fullRef>
                </c:ext>
              </c:extLst>
              <c:f>Sheet1!$A$2:$A$4</c:f>
              <c:strCache>
                <c:ptCount val="3"/>
                <c:pt idx="0">
                  <c:v>因公出国（境）费支出</c:v>
                </c:pt>
                <c:pt idx="1">
                  <c:v>公务用车购置及运行维护费支出</c:v>
                </c:pt>
                <c:pt idx="2">
                  <c:v>公务接待费支出</c:v>
                </c:pt>
              </c:strCache>
            </c:strRef>
          </c:cat>
          <c:val>
            <c:numRef>
              <c:extLst>
                <c:ext xmlns:c15="http://schemas.microsoft.com/office/drawing/2012/chart" uri="{02D57815-91ED-43cb-92C2-25804820EDAC}">
                  <c15:fullRef>
                    <c15:sqref>Sheet1!$B$2:$B$5</c15:sqref>
                  </c15:fullRef>
                </c:ext>
              </c:extLst>
              <c:f>Sheet1!$B$2:$B$4</c:f>
              <c:numCache>
                <c:formatCode>General</c:formatCode>
                <c:ptCount val="3"/>
                <c:pt idx="0">
                  <c:v>0</c:v>
                </c:pt>
                <c:pt idx="1">
                  <c:v>0</c:v>
                </c:pt>
                <c:pt idx="2">
                  <c:v>3.6</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r"/>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10083">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10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000" kern="1200"/>
    <cs:bodyPr rot="0" spcFirstLastPara="1" vertOverflow="clip" horzOverflow="clip" vert="horz" wrap="square" lIns="36576" tIns="18288" rIns="36576" bIns="18288" anchor="ctr" anchorCtr="1">
      <a:spAutoFit/>
    </cs:bodyPr>
  </cs:dataLabelCallout>
  <cs:dataPoint>
    <cs:lnRef idx="0">
      <cs:styleClr val="auto"/>
    </cs:lnRef>
    <cs:fillRef idx="1">
      <cs:styleClr val="auto"/>
    </cs:fillRef>
    <cs:effectRef idx="0"/>
    <cs:fontRef idx="minor">
      <a:schemeClr val="dk1"/>
    </cs:fontRef>
    <cs:spPr>
      <a:ln>
        <a:solidFill>
          <a:schemeClr val="bg1"/>
        </a:solidFill>
      </a:ln>
      <a:effectLst/>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bg1">
            <a:lumMod val="902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dk1">
        <a:lumMod val="75000"/>
        <a:lumOff val="25000"/>
      </a:schemeClr>
    </cs:fontRef>
    <cs:defRPr sz="1400" b="1" kern="120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1008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10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000" kern="1200"/>
    <cs:bodyPr rot="0" spcFirstLastPara="1" vertOverflow="clip" horzOverflow="clip" vert="horz" wrap="square" lIns="36576" tIns="18288" rIns="36576" bIns="18288" anchor="ctr" anchorCtr="1">
      <a:spAutoFit/>
    </cs:bodyPr>
  </cs:dataLabelCallout>
  <cs:dataPoint>
    <cs:lnRef idx="0">
      <cs:styleClr val="auto"/>
    </cs:lnRef>
    <cs:fillRef idx="1">
      <cs:styleClr val="auto"/>
    </cs:fillRef>
    <cs:effectRef idx="0"/>
    <cs:fontRef idx="minor">
      <a:schemeClr val="dk1"/>
    </cs:fontRef>
    <cs:spPr>
      <a:ln>
        <a:solidFill>
          <a:schemeClr val="bg1"/>
        </a:solidFill>
      </a:ln>
      <a:effectLst/>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bg1">
            <a:lumMod val="902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dk1">
        <a:lumMod val="75000"/>
        <a:lumOff val="25000"/>
      </a:schemeClr>
    </cs:fontRef>
    <cs:defRPr sz="1400" b="1" kern="120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1008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10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000" kern="1200"/>
    <cs:bodyPr rot="0" spcFirstLastPara="1" vertOverflow="clip" horzOverflow="clip" vert="horz" wrap="square" lIns="36576" tIns="18288" rIns="36576" bIns="18288" anchor="ctr" anchorCtr="1">
      <a:spAutoFit/>
    </cs:bodyPr>
  </cs:dataLabelCallout>
  <cs:dataPoint>
    <cs:lnRef idx="0">
      <cs:styleClr val="auto"/>
    </cs:lnRef>
    <cs:fillRef idx="1">
      <cs:styleClr val="auto"/>
    </cs:fillRef>
    <cs:effectRef idx="0"/>
    <cs:fontRef idx="minor">
      <a:schemeClr val="dk1"/>
    </cs:fontRef>
    <cs:spPr>
      <a:ln>
        <a:solidFill>
          <a:schemeClr val="bg1"/>
        </a:solidFill>
      </a:ln>
      <a:effectLst/>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bg1">
            <a:lumMod val="902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dk1">
        <a:lumMod val="75000"/>
        <a:lumOff val="25000"/>
      </a:schemeClr>
    </cs:fontRef>
    <cs:defRPr sz="1400" b="1" kern="120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1008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10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000" kern="1200"/>
    <cs:bodyPr rot="0" spcFirstLastPara="1" vertOverflow="clip" horzOverflow="clip" vert="horz" wrap="square" lIns="36576" tIns="18288" rIns="36576" bIns="18288" anchor="ctr" anchorCtr="1">
      <a:spAutoFit/>
    </cs:bodyPr>
  </cs:dataLabelCallout>
  <cs:dataPoint>
    <cs:lnRef idx="0">
      <cs:styleClr val="auto"/>
    </cs:lnRef>
    <cs:fillRef idx="1">
      <cs:styleClr val="auto"/>
    </cs:fillRef>
    <cs:effectRef idx="0"/>
    <cs:fontRef idx="minor">
      <a:schemeClr val="dk1"/>
    </cs:fontRef>
    <cs:spPr>
      <a:ln>
        <a:solidFill>
          <a:schemeClr val="bg1"/>
        </a:solidFill>
      </a:ln>
      <a:effectLst/>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bg1">
            <a:lumMod val="902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dk1">
        <a:lumMod val="75000"/>
        <a:lumOff val="25000"/>
      </a:schemeClr>
    </cs:fontRef>
    <cs:defRPr sz="1400" b="1" kern="120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四川省财政厅</Company>
  <Pages>32</Pages>
  <Words>12870</Words>
  <Characters>13981</Characters>
  <Lines>58</Lines>
  <Paragraphs>16</Paragraphs>
  <TotalTime>2</TotalTime>
  <ScaleCrop>false</ScaleCrop>
  <LinksUpToDate>false</LinksUpToDate>
  <CharactersWithSpaces>13997</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2020-08-05T01:49:00Z</dcterms:created>
  <dc:creator>曹颖</dc:creator>
  <cp:lastModifiedBy>Administrator</cp:lastModifiedBy>
  <cp:lastPrinted>2023-10-26T06:32:00Z</cp:lastPrinted>
  <dcterms:modified xsi:type="dcterms:W3CDTF">2023-12-14T07:36:44Z</dcterms:modified>
  <dc:title>四川省***</dc:title>
  <cp:revision>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7AB5ABDB7DC0466EA331BF9D41295F1E_12</vt:lpwstr>
  </property>
</Properties>
</file>