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96475"/>
      <w:bookmarkStart w:id="2" w:name="_Toc15377425"/>
      <w:bookmarkStart w:id="3" w:name="_Toc15378441"/>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7426"/>
      <w:bookmarkStart w:id="7" w:name="_Toc15377194"/>
      <w:bookmarkStart w:id="8" w:name="_Toc15396476"/>
      <w:bookmarkStart w:id="9" w:name="_Toc15378442"/>
      <w:bookmarkStart w:id="10" w:name="_Toc15396598"/>
      <w:r>
        <w:rPr>
          <w:rFonts w:hint="eastAsia" w:ascii="方正小标宋简体" w:hAnsi="方正小标宋简体" w:eastAsia="方正小标宋简体" w:cs="方正小标宋简体"/>
          <w:sz w:val="72"/>
          <w:szCs w:val="72"/>
        </w:rPr>
        <w:t>剑阁</w:t>
      </w:r>
      <w:bookmarkEnd w:id="5"/>
      <w:bookmarkStart w:id="11" w:name="_Toc15306268"/>
      <w:r>
        <w:rPr>
          <w:rFonts w:hint="eastAsia" w:ascii="方正小标宋简体" w:hAnsi="方正小标宋简体" w:eastAsia="方正小标宋简体" w:cs="方正小标宋简体"/>
          <w:sz w:val="72"/>
          <w:szCs w:val="72"/>
          <w:lang w:eastAsia="zh-CN"/>
        </w:rPr>
        <w:t>县</w:t>
      </w:r>
      <w:r>
        <w:rPr>
          <w:rFonts w:hint="eastAsia" w:ascii="方正小标宋简体" w:hAnsi="方正小标宋简体" w:eastAsia="方正小标宋简体" w:cs="方正小标宋简体"/>
          <w:sz w:val="72"/>
          <w:szCs w:val="72"/>
          <w:lang w:val="en-US" w:eastAsia="zh-CN"/>
        </w:rPr>
        <w:t>开封</w:t>
      </w:r>
      <w:r>
        <w:rPr>
          <w:rFonts w:hint="eastAsia" w:ascii="方正小标宋简体" w:hAnsi="方正小标宋简体" w:eastAsia="方正小标宋简体" w:cs="方正小标宋简体"/>
          <w:sz w:val="72"/>
          <w:szCs w:val="72"/>
          <w:lang w:eastAsia="zh-CN"/>
        </w:rPr>
        <w:t>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4"/>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bookmarkStart w:id="12" w:name="_Toc15377196"/>
      <w:bookmarkStart w:id="13" w:name="_Toc15396599"/>
    </w:p>
    <w:p>
      <w:pPr>
        <w:pStyle w:val="41"/>
        <w:tabs>
          <w:tab w:val="right" w:leader="dot" w:pos="8306"/>
        </w:tabs>
        <w:rPr>
          <w:b/>
        </w:rPr>
      </w:pPr>
      <w:r>
        <w:rPr>
          <w:b/>
        </w:rPr>
        <w:fldChar w:fldCharType="begin"/>
      </w:r>
      <w:r>
        <w:rPr>
          <w:b/>
        </w:rPr>
        <w:instrText xml:space="preserve"> HYPERLINK \l _Toc28688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部门单位概况</w:t>
      </w:r>
      <w:r>
        <w:rPr>
          <w:b/>
        </w:rPr>
        <w:tab/>
      </w:r>
      <w:r>
        <w:rPr>
          <w:rFonts w:hint="eastAsia"/>
          <w:b/>
          <w:lang w:val="en-US" w:eastAsia="zh-CN"/>
        </w:rPr>
        <w:t>3</w:t>
      </w:r>
      <w:r>
        <w:rPr>
          <w:b/>
        </w:rPr>
        <w:fldChar w:fldCharType="end"/>
      </w:r>
    </w:p>
    <w:p>
      <w:pPr>
        <w:pStyle w:val="42"/>
        <w:tabs>
          <w:tab w:val="right" w:leader="dot" w:pos="8306"/>
        </w:tabs>
      </w:pPr>
      <w:r>
        <w:fldChar w:fldCharType="begin"/>
      </w:r>
      <w:r>
        <w:instrText xml:space="preserve"> HYPERLINK \l _Toc12885 </w:instrText>
      </w:r>
      <w:r>
        <w:fldChar w:fldCharType="separate"/>
      </w:r>
      <w:r>
        <w:rPr>
          <w:rFonts w:hint="eastAsia" w:ascii="黑体" w:hAnsi="黑体" w:eastAsia="黑体"/>
        </w:rPr>
        <w:t>一、基</w:t>
      </w:r>
      <w:r>
        <w:rPr>
          <w:rFonts w:hint="eastAsia" w:ascii="黑体" w:hAnsi="黑体" w:eastAsia="黑体"/>
          <w:bCs w:val="0"/>
        </w:rPr>
        <w:t>本职能及主要工作</w:t>
      </w:r>
      <w:r>
        <w:tab/>
      </w:r>
      <w:r>
        <w:rPr>
          <w:rFonts w:hint="eastAsia"/>
          <w:lang w:val="en-US" w:eastAsia="zh-CN"/>
        </w:rPr>
        <w:t>3</w:t>
      </w:r>
      <w:r>
        <w:fldChar w:fldCharType="end"/>
      </w:r>
    </w:p>
    <w:p>
      <w:pPr>
        <w:pStyle w:val="42"/>
        <w:tabs>
          <w:tab w:val="right" w:leader="dot" w:pos="8306"/>
        </w:tabs>
      </w:pPr>
      <w:r>
        <w:fldChar w:fldCharType="begin"/>
      </w:r>
      <w:r>
        <w:instrText xml:space="preserve"> HYPERLINK \l _Toc795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rPr>
          <w:rFonts w:hint="eastAsia"/>
          <w:lang w:val="en-US" w:eastAsia="zh-CN"/>
        </w:rPr>
        <w:t>5</w:t>
      </w:r>
      <w:r>
        <w:fldChar w:fldCharType="end"/>
      </w:r>
    </w:p>
    <w:p>
      <w:pPr>
        <w:pStyle w:val="41"/>
        <w:tabs>
          <w:tab w:val="right" w:leader="dot" w:pos="8306"/>
        </w:tabs>
        <w:rPr>
          <w:b/>
        </w:rPr>
      </w:pPr>
      <w:r>
        <w:rPr>
          <w:b/>
        </w:rPr>
        <w:fldChar w:fldCharType="begin"/>
      </w:r>
      <w:r>
        <w:rPr>
          <w:b/>
        </w:rPr>
        <w:instrText xml:space="preserve"> HYPERLINK \l _Toc10684 </w:instrText>
      </w:r>
      <w:r>
        <w:rPr>
          <w:b/>
        </w:rPr>
        <w:fldChar w:fldCharType="separate"/>
      </w:r>
      <w:r>
        <w:rPr>
          <w:rFonts w:hint="eastAsia" w:ascii="黑体" w:hAnsi="黑体" w:eastAsia="黑体"/>
          <w:b/>
        </w:rPr>
        <w:t>第二部分 202</w:t>
      </w:r>
      <w:r>
        <w:rPr>
          <w:rFonts w:hint="eastAsia" w:ascii="黑体" w:hAnsi="黑体" w:eastAsia="黑体"/>
          <w:b/>
          <w:lang w:val="en-US" w:eastAsia="zh-CN"/>
        </w:rPr>
        <w:t>2</w:t>
      </w:r>
      <w:r>
        <w:rPr>
          <w:rFonts w:hint="eastAsia" w:ascii="黑体" w:hAnsi="黑体" w:eastAsia="黑体"/>
          <w:b/>
        </w:rPr>
        <w:t>年度</w:t>
      </w:r>
      <w:r>
        <w:rPr>
          <w:rFonts w:hint="eastAsia" w:ascii="黑体" w:hAnsi="黑体" w:eastAsia="黑体"/>
          <w:b/>
          <w:bCs/>
        </w:rPr>
        <w:t>部门决算情况说明</w:t>
      </w:r>
      <w:r>
        <w:rPr>
          <w:b/>
        </w:rPr>
        <w:tab/>
      </w:r>
      <w:r>
        <w:rPr>
          <w:rFonts w:hint="eastAsia"/>
          <w:b/>
          <w:lang w:val="en-US" w:eastAsia="zh-CN"/>
        </w:rPr>
        <w:t>6</w:t>
      </w:r>
      <w:r>
        <w:rPr>
          <w:b/>
        </w:rPr>
        <w:fldChar w:fldCharType="end"/>
      </w:r>
    </w:p>
    <w:p>
      <w:pPr>
        <w:pStyle w:val="42"/>
        <w:tabs>
          <w:tab w:val="right" w:leader="dot" w:pos="8306"/>
        </w:tabs>
      </w:pPr>
      <w:r>
        <w:fldChar w:fldCharType="begin"/>
      </w:r>
      <w:r>
        <w:instrText xml:space="preserve"> HYPERLINK \l _Toc3055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rPr>
          <w:rFonts w:hint="eastAsia"/>
          <w:lang w:val="en-US" w:eastAsia="zh-CN"/>
        </w:rPr>
        <w:t>6</w:t>
      </w:r>
      <w:r>
        <w:fldChar w:fldCharType="end"/>
      </w:r>
    </w:p>
    <w:p>
      <w:pPr>
        <w:pStyle w:val="42"/>
        <w:tabs>
          <w:tab w:val="right" w:leader="dot" w:pos="8306"/>
        </w:tabs>
      </w:pPr>
      <w:r>
        <w:fldChar w:fldCharType="begin"/>
      </w:r>
      <w:r>
        <w:instrText xml:space="preserve"> HYPERLINK \l _Toc16451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_Toc19136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rPr>
          <w:rFonts w:hint="eastAsia"/>
          <w:lang w:val="en-US" w:eastAsia="zh-CN"/>
        </w:rPr>
        <w:t>7</w:t>
      </w:r>
      <w:r>
        <w:fldChar w:fldCharType="end"/>
      </w:r>
    </w:p>
    <w:p>
      <w:pPr>
        <w:pStyle w:val="42"/>
        <w:tabs>
          <w:tab w:val="right" w:leader="dot" w:pos="8306"/>
        </w:tabs>
      </w:pPr>
      <w:r>
        <w:fldChar w:fldCharType="begin"/>
      </w:r>
      <w:r>
        <w:instrText xml:space="preserve"> HYPERLINK \l _Toc1825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rPr>
          <w:rFonts w:hint="eastAsia"/>
          <w:lang w:val="en-US" w:eastAsia="zh-CN"/>
        </w:rPr>
        <w:t>8</w:t>
      </w:r>
      <w:r>
        <w:fldChar w:fldCharType="end"/>
      </w:r>
    </w:p>
    <w:p>
      <w:pPr>
        <w:pStyle w:val="42"/>
        <w:tabs>
          <w:tab w:val="right" w:leader="dot" w:pos="8306"/>
        </w:tabs>
      </w:pPr>
      <w:r>
        <w:fldChar w:fldCharType="begin"/>
      </w:r>
      <w:r>
        <w:instrText xml:space="preserve"> HYPERLINK \l _Toc12581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rPr>
          <w:rFonts w:hint="eastAsia"/>
          <w:lang w:val="en-US" w:eastAsia="zh-CN"/>
        </w:rPr>
        <w:t>9</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_Toc22395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rPr>
          <w:rFonts w:hint="eastAsia"/>
          <w:lang w:val="en-US" w:eastAsia="zh-CN"/>
        </w:rPr>
        <w:t>1</w:t>
      </w:r>
      <w:r>
        <w:fldChar w:fldCharType="end"/>
      </w:r>
      <w:r>
        <w:rPr>
          <w:rFonts w:hint="eastAsia"/>
          <w:lang w:val="en-US" w:eastAsia="zh-CN"/>
        </w:rPr>
        <w:t>3</w:t>
      </w:r>
    </w:p>
    <w:p>
      <w:pPr>
        <w:pStyle w:val="42"/>
        <w:tabs>
          <w:tab w:val="right" w:leader="dot" w:pos="8306"/>
        </w:tabs>
        <w:rPr>
          <w:rFonts w:hint="eastAsia" w:eastAsiaTheme="minorEastAsia"/>
          <w:lang w:val="en-US" w:eastAsia="zh-CN"/>
        </w:rPr>
      </w:pPr>
      <w:r>
        <w:fldChar w:fldCharType="begin"/>
      </w:r>
      <w:r>
        <w:instrText xml:space="preserve"> HYPERLINK \l _Toc1423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rPr>
          <w:rFonts w:hint="eastAsia"/>
          <w:lang w:val="en-US" w:eastAsia="zh-CN"/>
        </w:rPr>
        <w:t>1</w:t>
      </w:r>
      <w:r>
        <w:fldChar w:fldCharType="end"/>
      </w:r>
      <w:r>
        <w:rPr>
          <w:rFonts w:hint="eastAsia"/>
          <w:lang w:val="en-US" w:eastAsia="zh-CN"/>
        </w:rPr>
        <w:t>4</w:t>
      </w:r>
    </w:p>
    <w:p>
      <w:pPr>
        <w:pStyle w:val="42"/>
        <w:tabs>
          <w:tab w:val="right" w:leader="dot" w:pos="8306"/>
        </w:tabs>
        <w:rPr>
          <w:rFonts w:hint="eastAsia" w:eastAsiaTheme="minorEastAsia"/>
          <w:lang w:val="en-US" w:eastAsia="zh-CN"/>
        </w:rPr>
      </w:pPr>
      <w:r>
        <w:fldChar w:fldCharType="begin"/>
      </w:r>
      <w:r>
        <w:instrText xml:space="preserve"> HYPERLINK \l _Toc7093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_Toc7376 </w:instrText>
      </w:r>
      <w:r>
        <w:fldChar w:fldCharType="separate"/>
      </w:r>
      <w:r>
        <w:rPr>
          <w:rFonts w:hint="eastAsia" w:ascii="黑体" w:hAnsi="黑体" w:eastAsia="黑体"/>
        </w:rPr>
        <w:t>九、 国有资本经营预算支出决算情况说明</w:t>
      </w:r>
      <w:r>
        <w:tab/>
      </w:r>
      <w:r>
        <w:rPr>
          <w:rFonts w:hint="eastAsia"/>
          <w:lang w:val="en-US" w:eastAsia="zh-CN"/>
        </w:rPr>
        <w:t>1</w:t>
      </w:r>
      <w:r>
        <w:fldChar w:fldCharType="end"/>
      </w:r>
      <w:r>
        <w:rPr>
          <w:rFonts w:hint="eastAsia"/>
          <w:lang w:val="en-US" w:eastAsia="zh-CN"/>
        </w:rPr>
        <w:t>6</w:t>
      </w:r>
    </w:p>
    <w:p>
      <w:pPr>
        <w:pStyle w:val="42"/>
        <w:tabs>
          <w:tab w:val="right" w:leader="dot" w:pos="8306"/>
        </w:tabs>
        <w:rPr>
          <w:rFonts w:hint="eastAsia" w:eastAsiaTheme="minorEastAsia"/>
          <w:lang w:val="en-US" w:eastAsia="zh-CN"/>
        </w:rPr>
      </w:pPr>
      <w:r>
        <w:fldChar w:fldCharType="begin"/>
      </w:r>
      <w:r>
        <w:instrText xml:space="preserve"> HYPERLINK \l _Toc8396 </w:instrText>
      </w:r>
      <w:r>
        <w:fldChar w:fldCharType="separate"/>
      </w:r>
      <w:r>
        <w:rPr>
          <w:rFonts w:hint="eastAsia" w:ascii="黑体" w:hAnsi="黑体" w:eastAsia="黑体"/>
        </w:rPr>
        <w:t>十、 其他重要事项的情况说明</w:t>
      </w:r>
      <w:r>
        <w:tab/>
      </w:r>
      <w:r>
        <w:rPr>
          <w:rFonts w:hint="eastAsia"/>
          <w:lang w:val="en-US" w:eastAsia="zh-CN"/>
        </w:rPr>
        <w:t>1</w:t>
      </w:r>
      <w:r>
        <w:fldChar w:fldCharType="end"/>
      </w:r>
      <w:r>
        <w:rPr>
          <w:rFonts w:hint="eastAsia"/>
          <w:lang w:val="en-US" w:eastAsia="zh-CN"/>
        </w:rPr>
        <w:t>6</w:t>
      </w:r>
    </w:p>
    <w:p>
      <w:pPr>
        <w:pStyle w:val="41"/>
        <w:tabs>
          <w:tab w:val="right" w:leader="dot" w:pos="8306"/>
        </w:tabs>
        <w:rPr>
          <w:rFonts w:hint="eastAsia" w:eastAsiaTheme="minorEastAsia"/>
          <w:b/>
          <w:lang w:val="en-US" w:eastAsia="zh-CN"/>
        </w:rPr>
      </w:pPr>
      <w:r>
        <w:rPr>
          <w:b/>
        </w:rPr>
        <w:fldChar w:fldCharType="begin"/>
      </w:r>
      <w:r>
        <w:rPr>
          <w:b/>
        </w:rPr>
        <w:instrText xml:space="preserve"> HYPERLINK \l _Toc18722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rFonts w:hint="eastAsia"/>
          <w:b/>
          <w:lang w:val="en-US" w:eastAsia="zh-CN"/>
        </w:rPr>
        <w:t>1</w:t>
      </w:r>
      <w:r>
        <w:rPr>
          <w:b/>
        </w:rPr>
        <w:fldChar w:fldCharType="end"/>
      </w:r>
      <w:r>
        <w:rPr>
          <w:rFonts w:hint="eastAsia"/>
          <w:b/>
          <w:lang w:val="en-US" w:eastAsia="zh-CN"/>
        </w:rPr>
        <w:t>9</w:t>
      </w:r>
    </w:p>
    <w:p>
      <w:pPr>
        <w:pStyle w:val="41"/>
        <w:tabs>
          <w:tab w:val="right" w:leader="dot" w:pos="8306"/>
        </w:tabs>
        <w:rPr>
          <w:rFonts w:hint="eastAsia" w:eastAsiaTheme="minorEastAsia"/>
          <w:lang w:val="en-US" w:eastAsia="zh-CN"/>
        </w:rPr>
      </w:pPr>
      <w:r>
        <w:rPr>
          <w:b/>
        </w:rPr>
        <w:fldChar w:fldCharType="begin"/>
      </w:r>
      <w:r>
        <w:rPr>
          <w:b/>
        </w:rPr>
        <w:instrText xml:space="preserve"> HYPERLINK \l _Toc32757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rFonts w:hint="eastAsia"/>
          <w:b/>
          <w:lang w:val="en-US" w:eastAsia="zh-CN"/>
        </w:rPr>
        <w:t>2</w:t>
      </w:r>
      <w:r>
        <w:rPr>
          <w:b/>
        </w:rPr>
        <w:fldChar w:fldCharType="end"/>
      </w:r>
      <w:r>
        <w:rPr>
          <w:rFonts w:hint="eastAsia"/>
          <w:b/>
          <w:lang w:val="en-US" w:eastAsia="zh-CN"/>
        </w:rPr>
        <w:t>5</w:t>
      </w:r>
    </w:p>
    <w:p>
      <w:pPr>
        <w:pStyle w:val="41"/>
        <w:tabs>
          <w:tab w:val="right" w:leader="dot" w:pos="8306"/>
        </w:tabs>
        <w:rPr>
          <w:rFonts w:hint="default" w:eastAsiaTheme="minorEastAsia"/>
          <w:b/>
          <w:lang w:val="en-US" w:eastAsia="zh-CN"/>
        </w:rPr>
      </w:pPr>
      <w:r>
        <w:rPr>
          <w:b/>
        </w:rPr>
        <w:fldChar w:fldCharType="begin"/>
      </w:r>
      <w:r>
        <w:rPr>
          <w:b/>
        </w:rPr>
        <w:instrText xml:space="preserve"> HYPERLINK \l _Toc18591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end"/>
      </w:r>
      <w:r>
        <w:rPr>
          <w:rFonts w:hint="eastAsia"/>
          <w:b/>
          <w:lang w:val="en-US" w:eastAsia="zh-CN"/>
        </w:rPr>
        <w:t>34</w:t>
      </w:r>
    </w:p>
    <w:p>
      <w:pPr>
        <w:pStyle w:val="42"/>
        <w:tabs>
          <w:tab w:val="right" w:leader="dot" w:pos="8306"/>
        </w:tabs>
        <w:rPr>
          <w:rFonts w:hint="eastAsia" w:eastAsiaTheme="minorEastAsia"/>
          <w:lang w:val="en-US" w:eastAsia="zh-CN"/>
        </w:rPr>
      </w:pPr>
      <w:r>
        <w:fldChar w:fldCharType="begin"/>
      </w:r>
      <w:r>
        <w:instrText xml:space="preserve"> HYPERLINK \l _Toc16505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_Toc29501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_Toc25515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_Toc12578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_Toc26081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_Toc30360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_Toc4114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w:t>
      </w:r>
      <w:r>
        <w:rPr>
          <w:rFonts w:hint="eastAsia" w:ascii="仿宋" w:hAnsi="仿宋" w:eastAsia="仿宋"/>
          <w:bCs w:val="0"/>
          <w:lang w:eastAsia="zh-CN"/>
        </w:rPr>
        <w:t>明细</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_Toc5365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_Toc13767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_Toc6802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_Toc21848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_Toc27842 </w:instrText>
      </w:r>
      <w:r>
        <w:fldChar w:fldCharType="separate"/>
      </w:r>
      <w:r>
        <w:rPr>
          <w:rFonts w:hint="eastAsia" w:ascii="仿宋" w:hAnsi="仿宋" w:eastAsia="仿宋"/>
          <w:bCs w:val="0"/>
        </w:rPr>
        <w:t>十三、</w:t>
      </w:r>
      <w:r>
        <w:rPr>
          <w:rFonts w:hint="eastAsia" w:ascii="仿宋" w:hAnsi="仿宋" w:eastAsia="仿宋"/>
          <w:lang w:eastAsia="zh-CN"/>
        </w:rPr>
        <w:t>财政拨款“三公”经费支出决算</w:t>
      </w:r>
      <w:r>
        <w:rPr>
          <w:rFonts w:hint="eastAsia" w:ascii="仿宋" w:hAnsi="仿宋" w:eastAsia="仿宋"/>
          <w:bCs w:val="0"/>
        </w:rPr>
        <w:t>表</w:t>
      </w:r>
      <w:r>
        <w:tab/>
      </w:r>
      <w:r>
        <w:rPr>
          <w:rFonts w:hint="eastAsia"/>
          <w:lang w:val="en-US" w:eastAsia="zh-CN"/>
        </w:rPr>
        <w:t>34</w:t>
      </w:r>
      <w:r>
        <w:fldChar w:fldCharType="end"/>
      </w:r>
    </w:p>
    <w:p>
      <w:pPr>
        <w:pStyle w:val="42"/>
        <w:tabs>
          <w:tab w:val="right" w:leader="dot" w:pos="8306"/>
        </w:tabs>
        <w:rPr>
          <w:rFonts w:hint="eastAsia" w:eastAsiaTheme="minorEastAsia"/>
          <w:lang w:val="en-US" w:eastAsia="zh-CN"/>
        </w:rPr>
      </w:pPr>
      <w:r>
        <w:fldChar w:fldCharType="begin"/>
      </w:r>
      <w:r>
        <w:instrText xml:space="preserve"> HYPERLINK \l _Toc1475 </w:instrText>
      </w:r>
      <w:r>
        <w:fldChar w:fldCharType="separate"/>
      </w:r>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4"/>
        <w:jc w:val="center"/>
        <w:rPr>
          <w:rFonts w:ascii="黑体" w:eastAsia="黑体"/>
          <w:sz w:val="32"/>
          <w:szCs w:val="32"/>
        </w:rPr>
      </w:pPr>
      <w:r>
        <w:rPr>
          <w:rFonts w:hint="eastAsia" w:ascii="黑体" w:hAnsi="黑体" w:eastAsia="黑体"/>
          <w:b w:val="0"/>
        </w:rPr>
        <w:t xml:space="preserve">第一部分 </w:t>
      </w:r>
      <w:r>
        <w:rPr>
          <w:rStyle w:val="31"/>
          <w:rFonts w:hint="eastAsia" w:ascii="黑体" w:hAnsi="黑体" w:eastAsia="黑体"/>
          <w:b w:val="0"/>
          <w:bCs w:val="0"/>
        </w:rPr>
        <w:t>部门概况</w:t>
      </w:r>
      <w:bookmarkEnd w:id="12"/>
      <w:bookmarkEnd w:id="13"/>
    </w:p>
    <w:p>
      <w:pPr>
        <w:pStyle w:val="5"/>
        <w:rPr>
          <w:rStyle w:val="32"/>
          <w:rFonts w:ascii="仿宋" w:hAnsi="仿宋" w:eastAsia="黑体"/>
          <w:b w:val="0"/>
          <w:bCs w:val="0"/>
        </w:rPr>
      </w:pPr>
      <w:bookmarkStart w:id="14" w:name="_Toc15377197"/>
      <w:bookmarkStart w:id="15" w:name="_Toc15396600"/>
      <w:r>
        <w:rPr>
          <w:rFonts w:hint="eastAsia" w:ascii="黑体" w:hAnsi="黑体" w:eastAsia="黑体"/>
          <w:b w:val="0"/>
        </w:rPr>
        <w:t>一、</w:t>
      </w:r>
      <w:bookmarkEnd w:id="14"/>
      <w:bookmarkEnd w:id="15"/>
      <w:r>
        <w:rPr>
          <w:rFonts w:hint="eastAsia" w:ascii="黑体" w:hAnsi="黑体" w:eastAsia="黑体"/>
          <w:b w:val="0"/>
        </w:rPr>
        <w:t>部门职责</w:t>
      </w:r>
    </w:p>
    <w:p>
      <w:pPr>
        <w:pStyle w:val="8"/>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7198"/>
      <w:bookmarkStart w:id="17" w:name="_Toc15378445"/>
      <w:bookmarkStart w:id="18" w:name="_Toc15396601"/>
      <w:bookmarkStart w:id="19" w:name="_Toc15377200"/>
      <w:r>
        <w:rPr>
          <w:rFonts w:hint="eastAsia" w:ascii="仿宋" w:hAnsi="仿宋" w:eastAsia="仿宋"/>
          <w:bCs/>
          <w:sz w:val="32"/>
          <w:szCs w:val="32"/>
        </w:rPr>
        <w:t>（一）主要职能。</w:t>
      </w:r>
      <w:bookmarkEnd w:id="16"/>
      <w:bookmarkEnd w:id="17"/>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7"/>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2、制定并组织实施村镇建设规划，部署重点工程建设，地方道路建设及公共设施，水利设施的管理，负责土地、林木、水等自然资源和生态环境的保护，做好护林防火工作。</w:t>
      </w:r>
    </w:p>
    <w:p>
      <w:pPr>
        <w:pStyle w:val="17"/>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7"/>
        <w:shd w:val="clear" w:color="auto" w:fill="FFFFFF"/>
        <w:spacing w:before="0" w:beforeAutospacing="0" w:after="0" w:afterAutospacing="0" w:line="360" w:lineRule="auto"/>
        <w:ind w:firstLine="640" w:firstLineChars="200"/>
        <w:jc w:val="both"/>
        <w:rPr>
          <w:rFonts w:hint="eastAsia" w:ascii="仿宋_GB2312" w:hAnsi="仿宋_GB2312" w:eastAsia="仿宋_GB2312" w:cs="仿宋_GB2312"/>
          <w:b w:val="0"/>
          <w:bCs/>
          <w:kern w:val="2"/>
          <w:sz w:val="32"/>
          <w:szCs w:val="32"/>
          <w:highlight w:val="none"/>
          <w:lang w:val="en-US" w:eastAsia="zh-CN" w:bidi="ar-SA"/>
        </w:rPr>
      </w:pPr>
      <w:bookmarkStart w:id="20" w:name="_Toc15377199"/>
      <w:bookmarkStart w:id="21" w:name="_Toc15378446"/>
      <w:r>
        <w:rPr>
          <w:rFonts w:hint="eastAsia" w:ascii="仿宋" w:hAnsi="仿宋" w:eastAsia="仿宋"/>
          <w:bCs/>
          <w:sz w:val="32"/>
          <w:szCs w:val="32"/>
        </w:rPr>
        <w:t>（二）</w:t>
      </w:r>
      <w:r>
        <w:rPr>
          <w:rFonts w:hint="eastAsia" w:ascii="仿宋_GB2312" w:hAnsi="仿宋_GB2312" w:eastAsia="仿宋_GB2312" w:cs="仿宋_GB2312"/>
          <w:b w:val="0"/>
          <w:bCs/>
          <w:kern w:val="2"/>
          <w:sz w:val="32"/>
          <w:szCs w:val="32"/>
          <w:highlight w:val="none"/>
          <w:lang w:val="en-US" w:eastAsia="zh-CN" w:bidi="ar-SA"/>
        </w:rPr>
        <w:t>2022年重点工作完成情况</w:t>
      </w:r>
      <w:r>
        <w:rPr>
          <w:rFonts w:hint="eastAsia" w:ascii="仿宋" w:hAnsi="仿宋" w:eastAsia="仿宋"/>
          <w:bCs/>
          <w:sz w:val="32"/>
          <w:szCs w:val="32"/>
        </w:rPr>
        <w:t>。</w:t>
      </w:r>
      <w:bookmarkEnd w:id="20"/>
      <w:bookmarkEnd w:id="21"/>
    </w:p>
    <w:p>
      <w:pPr>
        <w:keepNext w:val="0"/>
        <w:keepLines w:val="0"/>
        <w:pageBreakBefore w:val="0"/>
        <w:kinsoku/>
        <w:wordWrap/>
        <w:overflowPunct/>
        <w:topLinePunct w:val="0"/>
        <w:bidi w:val="0"/>
        <w:adjustRightInd w:val="0"/>
        <w:spacing w:after="0" w:line="576" w:lineRule="exact"/>
        <w:ind w:left="0" w:right="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我镇坚持以习近平新时代中国特色社会主义思想和党的二十大精神为指导，认真贯彻落实省、市、县的战略部署和镇党委的工作安排，紧紧围绕“</w:t>
      </w:r>
      <w:r>
        <w:rPr>
          <w:rFonts w:hint="eastAsia" w:ascii="仿宋_GB2312" w:eastAsia="仿宋_GB2312"/>
          <w:color w:val="000000"/>
          <w:sz w:val="32"/>
          <w:szCs w:val="32"/>
        </w:rPr>
        <w:t>农业固镇、工业强镇、招商富镇、城建亮镇</w:t>
      </w:r>
      <w:r>
        <w:rPr>
          <w:rFonts w:hint="eastAsia" w:ascii="仿宋_GB2312" w:hAnsi="仿宋_GB2312" w:eastAsia="仿宋_GB2312" w:cs="仿宋_GB2312"/>
          <w:color w:val="000000"/>
          <w:kern w:val="2"/>
          <w:sz w:val="32"/>
          <w:szCs w:val="32"/>
          <w:lang w:val="en-US" w:eastAsia="zh-CN" w:bidi="ar-SA"/>
        </w:rPr>
        <w:t>”的发展战略，不忘初心、砥砺前行。经济保持稳中有进、社会更加和谐安定、人居环境明显改善，在新时代、新征程上迈出了坚实步伐。</w:t>
      </w:r>
    </w:p>
    <w:p>
      <w:pPr>
        <w:keepNext w:val="0"/>
        <w:keepLines w:val="0"/>
        <w:pageBreakBefore w:val="0"/>
        <w:widowControl w:val="0"/>
        <w:kinsoku/>
        <w:wordWrap/>
        <w:overflowPunct/>
        <w:topLinePunct w:val="0"/>
        <w:autoSpaceDE/>
        <w:autoSpaceDN/>
        <w:bidi w:val="0"/>
        <w:adjustRightInd w:val="0"/>
        <w:snapToGrid/>
        <w:spacing w:beforeAutospacing="0" w:after="0" w:afterAutospacing="0" w:line="576" w:lineRule="exact"/>
        <w:ind w:left="0" w:right="0" w:firstLine="643" w:firstLineChars="200"/>
        <w:jc w:val="both"/>
        <w:textAlignment w:val="auto"/>
        <w:outlineLvl w:val="9"/>
        <w:rPr>
          <w:rFonts w:hint="default" w:ascii="楷体" w:hAnsi="楷体" w:eastAsia="楷体" w:cs="楷体"/>
          <w:b/>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kern w:val="2"/>
          <w:sz w:val="32"/>
          <w:szCs w:val="32"/>
          <w:lang w:val="en-US" w:eastAsia="zh-CN"/>
        </w:rPr>
        <w:t>1、大力加大重点产业发展：</w:t>
      </w:r>
      <w:r>
        <w:rPr>
          <w:rFonts w:hint="default" w:ascii="Calibri" w:hAnsi="Calibri" w:eastAsia="仿宋_GB2312" w:cs="Calibri"/>
          <w:b/>
          <w:bCs/>
          <w:kern w:val="2"/>
          <w:sz w:val="32"/>
          <w:szCs w:val="32"/>
          <w:lang w:val="en-US" w:eastAsia="zh-CN"/>
        </w:rPr>
        <w:t>①</w:t>
      </w:r>
      <w:r>
        <w:rPr>
          <w:rFonts w:hint="eastAsia" w:ascii="仿宋_GB2312" w:hAnsi="仿宋_GB2312" w:eastAsia="仿宋_GB2312" w:cs="仿宋_GB2312"/>
          <w:b/>
          <w:bCs/>
          <w:kern w:val="2"/>
          <w:sz w:val="32"/>
          <w:szCs w:val="32"/>
          <w:lang w:val="en-US" w:eastAsia="zh-CN"/>
        </w:rPr>
        <w:t>、</w:t>
      </w:r>
      <w:r>
        <w:rPr>
          <w:rFonts w:hint="eastAsia" w:ascii="仿宋_GB2312" w:hAnsi="Calibri" w:eastAsia="仿宋_GB2312" w:cs="黑体"/>
          <w:b w:val="0"/>
          <w:bCs/>
          <w:sz w:val="32"/>
          <w:szCs w:val="32"/>
          <w:lang w:val="en-US" w:eastAsia="zh-CN"/>
        </w:rPr>
        <w:t>畜牧业规模化成片发展。一是</w:t>
      </w:r>
      <w:r>
        <w:rPr>
          <w:rFonts w:hint="eastAsia" w:ascii="仿宋_GB2312" w:hAnsi="仿宋_GB2312" w:eastAsia="仿宋_GB2312" w:cs="仿宋_GB2312"/>
          <w:sz w:val="32"/>
          <w:szCs w:val="32"/>
          <w:lang w:val="en-US" w:eastAsia="zh-CN"/>
        </w:rPr>
        <w:t>引进腾鸿肉牛养殖专业合作社3000头肉牛养殖项目，总投资1.6亿元，一期1500头已完成全面建设，并成功填栏；二是建设两个现代化万头生猪养殖场分别是坤红养殖场合作社、汇科养殖合作社；三是在迎水易地扶贫搬迁安置区“迎水家园”招商引进迎丰源农业发展有限公司，建设50000羽蛋鸡养殖场，一期圈舍建设和设备调试按照已完成，目前已开始投产。</w:t>
      </w:r>
      <w:r>
        <w:rPr>
          <w:rFonts w:hint="default" w:ascii="Calibri" w:hAnsi="Calibri" w:eastAsia="仿宋_GB2312" w:cs="Calibri"/>
          <w:sz w:val="32"/>
          <w:szCs w:val="32"/>
          <w:lang w:val="en-US" w:eastAsia="zh-CN"/>
        </w:rPr>
        <w:t>②</w:t>
      </w:r>
      <w:r>
        <w:rPr>
          <w:rFonts w:hint="eastAsia" w:ascii="仿宋_GB2312" w:hAnsi="仿宋_GB2312" w:eastAsia="仿宋_GB2312" w:cs="仿宋_GB2312"/>
          <w:sz w:val="32"/>
          <w:szCs w:val="32"/>
          <w:lang w:val="en-US" w:eastAsia="zh-CN"/>
        </w:rPr>
        <w:t>、种植业产业化经营。一是打造高品质猕猴桃产业园1500余亩，由共裕农业开发有限公司进行管理经营，现已成功申报“猕恋剑门”特色品牌；二是做优橄榄油特色产业，以鞍山村360亩橄榄油基地为依托，大力发展产业园标改工程；三是大豆玉米复合种植推广，全年完成大豆玉米复合种植6700亩；四是继续抓好烤烟生产，完成1300亩烟叶种植任务。</w:t>
      </w:r>
    </w:p>
    <w:p>
      <w:pPr>
        <w:pStyle w:val="1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rightChars="0" w:firstLine="643" w:firstLineChars="200"/>
        <w:jc w:val="both"/>
        <w:textAlignment w:val="auto"/>
        <w:rPr>
          <w:rFonts w:hint="eastAsia" w:ascii="楷体_GB2312" w:hAnsi="楷体_GB2312" w:eastAsia="楷体_GB2312" w:cs="楷体_GB2312"/>
          <w:b/>
          <w:bCs/>
          <w:i w:val="0"/>
          <w:iCs w:val="0"/>
          <w:caps w:val="0"/>
          <w:color w:val="auto"/>
          <w:spacing w:val="0"/>
          <w:sz w:val="32"/>
          <w:szCs w:val="32"/>
          <w:lang w:val="en-US" w:eastAsia="zh-CN"/>
        </w:rPr>
      </w:pPr>
      <w:r>
        <w:rPr>
          <w:rFonts w:hint="eastAsia" w:ascii="楷体_GB2312" w:hAnsi="楷体_GB2312" w:eastAsia="楷体_GB2312" w:cs="楷体_GB2312"/>
          <w:b/>
          <w:bCs/>
          <w:kern w:val="2"/>
          <w:sz w:val="32"/>
          <w:szCs w:val="32"/>
          <w:lang w:val="en-US" w:eastAsia="zh-CN" w:bidi="ar-SA"/>
        </w:rPr>
        <w:t>2、</w:t>
      </w:r>
      <w:r>
        <w:rPr>
          <w:rFonts w:hint="eastAsia" w:ascii="楷体_GB2312" w:hAnsi="楷体_GB2312" w:eastAsia="楷体_GB2312" w:cs="楷体_GB2312"/>
          <w:b/>
          <w:bCs/>
          <w:i w:val="0"/>
          <w:iCs w:val="0"/>
          <w:caps w:val="0"/>
          <w:color w:val="auto"/>
          <w:spacing w:val="0"/>
          <w:sz w:val="32"/>
          <w:szCs w:val="32"/>
          <w:lang w:val="en-US" w:eastAsia="zh-CN"/>
        </w:rPr>
        <w:t>全力凸显工业建设成效：</w:t>
      </w:r>
      <w:r>
        <w:rPr>
          <w:rFonts w:hint="default" w:ascii="Calibri" w:hAnsi="Calibri" w:eastAsia="仿宋_GB2312" w:cs="Calibri"/>
          <w:b/>
          <w:bCs/>
          <w:kern w:val="2"/>
          <w:sz w:val="32"/>
          <w:szCs w:val="32"/>
          <w:lang w:val="en-US" w:eastAsia="zh-CN"/>
        </w:rPr>
        <w:t>①</w:t>
      </w:r>
      <w:r>
        <w:rPr>
          <w:rFonts w:hint="eastAsia" w:ascii="Calibri" w:hAnsi="Calibri" w:eastAsia="仿宋_GB2312" w:cs="Calibri"/>
          <w:b/>
          <w:bCs/>
          <w:kern w:val="2"/>
          <w:sz w:val="32"/>
          <w:szCs w:val="32"/>
          <w:lang w:val="en-US" w:eastAsia="zh-CN"/>
        </w:rPr>
        <w:t>、</w:t>
      </w:r>
      <w:r>
        <w:rPr>
          <w:rFonts w:hint="eastAsia" w:ascii="仿宋_GB2312" w:hAnsi="仿宋_GB2312" w:eastAsia="仿宋_GB2312" w:cs="仿宋_GB2312"/>
          <w:color w:val="auto"/>
          <w:kern w:val="2"/>
          <w:sz w:val="32"/>
          <w:szCs w:val="32"/>
          <w:lang w:val="en-US" w:eastAsia="zh-CN" w:bidi="ar-SA"/>
        </w:rPr>
        <w:t>招商引资。</w:t>
      </w:r>
      <w:r>
        <w:rPr>
          <w:rFonts w:hint="eastAsia" w:ascii="仿宋_GB2312" w:hAnsi="仿宋_GB2312" w:eastAsia="仿宋_GB2312" w:cs="仿宋_GB2312"/>
          <w:b w:val="0"/>
          <w:bCs w:val="0"/>
          <w:color w:val="auto"/>
          <w:kern w:val="2"/>
          <w:sz w:val="32"/>
          <w:szCs w:val="32"/>
          <w:lang w:val="en-US" w:eastAsia="zh-CN" w:bidi="ar-SA"/>
        </w:rPr>
        <w:t>2022年我镇招商签约总任务1.6亿元，截至9月，已完成3.71亿元，完成率231.88%。</w:t>
      </w:r>
      <w:r>
        <w:rPr>
          <w:rFonts w:hint="default" w:ascii="Calibri" w:hAnsi="Calibri" w:eastAsia="仿宋_GB2312" w:cs="Calibri"/>
          <w:sz w:val="32"/>
          <w:szCs w:val="32"/>
          <w:lang w:val="en-US" w:eastAsia="zh-CN"/>
        </w:rPr>
        <w:t>②</w:t>
      </w:r>
      <w:r>
        <w:rPr>
          <w:rFonts w:hint="eastAsia" w:ascii="Calibri" w:hAnsi="Calibri" w:eastAsia="仿宋_GB2312" w:cs="Calibri"/>
          <w:sz w:val="32"/>
          <w:szCs w:val="32"/>
          <w:lang w:val="en-US" w:eastAsia="zh-CN"/>
        </w:rPr>
        <w:t>、</w:t>
      </w:r>
      <w:r>
        <w:rPr>
          <w:rFonts w:hint="eastAsia" w:ascii="仿宋_GB2312" w:hAnsi="仿宋_GB2312" w:eastAsia="仿宋_GB2312" w:cs="仿宋_GB2312"/>
          <w:color w:val="auto"/>
          <w:kern w:val="2"/>
          <w:sz w:val="32"/>
          <w:szCs w:val="32"/>
          <w:lang w:val="en-US" w:eastAsia="zh-CN" w:bidi="ar-SA"/>
        </w:rPr>
        <w:t>固定资产投资。2022年我镇固投调度总任务1.2亿元，截至9月，完成项目投资报数11587万元，占全年总任务比例96.55%，已顺利</w:t>
      </w:r>
      <w:r>
        <w:rPr>
          <w:rFonts w:hint="eastAsia" w:ascii="仿宋_GB2312" w:hAnsi="仿宋_GB2312" w:eastAsia="仿宋_GB2312" w:cs="仿宋_GB2312"/>
          <w:b w:val="0"/>
          <w:bCs w:val="0"/>
          <w:color w:val="auto"/>
          <w:kern w:val="2"/>
          <w:sz w:val="32"/>
          <w:szCs w:val="32"/>
          <w:lang w:val="en-US" w:eastAsia="zh-CN" w:bidi="ar-SA"/>
        </w:rPr>
        <w:t>完成县级年度调度任务，剩余库存数5102万元。</w:t>
      </w:r>
      <w:r>
        <w:rPr>
          <w:rFonts w:hint="default" w:ascii="Calibri" w:hAnsi="Calibri" w:eastAsia="仿宋_GB2312" w:cs="Calibri"/>
          <w:b/>
          <w:bCs/>
          <w:color w:val="auto"/>
          <w:kern w:val="2"/>
          <w:sz w:val="32"/>
          <w:szCs w:val="32"/>
          <w:lang w:val="en-US" w:eastAsia="zh-CN" w:bidi="ar-SA"/>
        </w:rPr>
        <w:t>③</w:t>
      </w:r>
      <w:r>
        <w:rPr>
          <w:rFonts w:hint="eastAsia" w:ascii="仿宋_GB2312" w:hAnsi="仿宋_GB2312" w:eastAsia="仿宋_GB2312" w:cs="仿宋_GB2312"/>
          <w:b/>
          <w:bCs/>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重点工业项目。热电联厂总投资5.6亿元，已完成前期准备工作，相关设计单位已正式进场开展地勘工作；80万吨沥青厂（新型高</w:t>
      </w:r>
      <w:r>
        <w:rPr>
          <w:rFonts w:hint="eastAsia" w:ascii="仿宋_GB2312" w:hAnsi="仿宋_GB2312" w:eastAsia="仿宋_GB2312" w:cs="仿宋_GB2312"/>
          <w:b w:val="0"/>
          <w:bCs w:val="0"/>
          <w:color w:val="auto"/>
          <w:kern w:val="2"/>
          <w:sz w:val="32"/>
          <w:szCs w:val="32"/>
          <w:lang w:val="en-US" w:eastAsia="zh-CN" w:bidi="ar-SA"/>
        </w:rPr>
        <w:t>分子材料）</w:t>
      </w:r>
      <w:r>
        <w:rPr>
          <w:rFonts w:hint="eastAsia" w:ascii="仿宋_GB2312" w:hAnsi="仿宋_GB2312" w:eastAsia="仿宋_GB2312" w:cs="仿宋_GB2312"/>
          <w:color w:val="auto"/>
          <w:kern w:val="2"/>
          <w:sz w:val="32"/>
          <w:szCs w:val="32"/>
          <w:lang w:val="en-US" w:eastAsia="zh-CN" w:bidi="ar-SA"/>
        </w:rPr>
        <w:t>总投资3.8亿元，涉及拆迁农户33户，目前已完成临时办公场所的场坪工作；</w:t>
      </w:r>
      <w:r>
        <w:rPr>
          <w:rFonts w:hint="eastAsia" w:ascii="仿宋_GB2312" w:hAnsi="仿宋_GB2312" w:eastAsia="仿宋_GB2312" w:cs="仿宋_GB2312"/>
          <w:b w:val="0"/>
          <w:bCs w:val="0"/>
          <w:color w:val="auto"/>
          <w:kern w:val="2"/>
          <w:sz w:val="32"/>
          <w:szCs w:val="32"/>
          <w:lang w:val="en-US" w:eastAsia="zh-CN" w:bidi="ar-SA"/>
        </w:rPr>
        <w:t>马灯特色产业园</w:t>
      </w:r>
      <w:r>
        <w:rPr>
          <w:rFonts w:hint="eastAsia" w:ascii="仿宋_GB2312" w:hAnsi="仿宋_GB2312" w:eastAsia="仿宋_GB2312" w:cs="仿宋_GB2312"/>
          <w:color w:val="auto"/>
          <w:kern w:val="2"/>
          <w:sz w:val="32"/>
          <w:szCs w:val="32"/>
          <w:lang w:val="en-US" w:eastAsia="zh-CN" w:bidi="ar-SA"/>
        </w:rPr>
        <w:t xml:space="preserve">项目总投资3385万元，建设规模达700余亩，涉及土地流转700余亩，已开工建设。                        </w:t>
      </w:r>
      <w:r>
        <w:rPr>
          <w:rFonts w:hint="eastAsia" w:ascii="楷体_GB2312" w:hAnsi="楷体_GB2312" w:eastAsia="楷体_GB2312" w:cs="楷体_GB2312"/>
          <w:b/>
          <w:bCs/>
          <w:i w:val="0"/>
          <w:iCs w:val="0"/>
          <w:caps w:val="0"/>
          <w:color w:val="auto"/>
          <w:spacing w:val="0"/>
          <w:sz w:val="32"/>
          <w:szCs w:val="32"/>
          <w:lang w:val="en-US" w:eastAsia="zh-CN"/>
        </w:rPr>
        <w:t xml:space="preserve">           </w:t>
      </w:r>
    </w:p>
    <w:p>
      <w:pPr>
        <w:pStyle w:val="1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rightChars="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i w:val="0"/>
          <w:iCs w:val="0"/>
          <w:caps w:val="0"/>
          <w:color w:val="auto"/>
          <w:spacing w:val="0"/>
          <w:sz w:val="32"/>
          <w:szCs w:val="32"/>
          <w:lang w:val="en-US" w:eastAsia="zh-CN"/>
        </w:rPr>
        <w:t>3、强力推进重点项目建设：</w:t>
      </w:r>
      <w:r>
        <w:rPr>
          <w:rFonts w:hint="default" w:ascii="Calibri" w:hAnsi="Calibri" w:eastAsia="仿宋_GB2312" w:cs="Calibri"/>
          <w:b/>
          <w:bCs/>
          <w:kern w:val="2"/>
          <w:sz w:val="32"/>
          <w:szCs w:val="32"/>
          <w:lang w:val="en-US" w:eastAsia="zh-CN"/>
        </w:rPr>
        <w:t>①</w:t>
      </w:r>
      <w:r>
        <w:rPr>
          <w:rFonts w:hint="eastAsia" w:ascii="Calibri" w:hAnsi="Calibri" w:eastAsia="仿宋_GB2312" w:cs="Calibri"/>
          <w:b/>
          <w:bCs/>
          <w:kern w:val="2"/>
          <w:sz w:val="32"/>
          <w:szCs w:val="32"/>
          <w:lang w:val="en-US" w:eastAsia="zh-CN"/>
        </w:rPr>
        <w:t>、</w:t>
      </w:r>
      <w:r>
        <w:rPr>
          <w:rFonts w:hint="eastAsia" w:ascii="仿宋_GB2312" w:hAnsi="仿宋_GB2312" w:eastAsia="仿宋_GB2312" w:cs="仿宋_GB2312"/>
          <w:color w:val="auto"/>
          <w:kern w:val="2"/>
          <w:sz w:val="32"/>
          <w:szCs w:val="32"/>
          <w:lang w:val="en-US" w:eastAsia="zh-CN" w:bidi="ar-SA"/>
        </w:rPr>
        <w:t>开封镇人居环境综合改造项目。应</w:t>
      </w:r>
      <w:r>
        <w:rPr>
          <w:rFonts w:hint="eastAsia" w:ascii="仿宋_GB2312" w:hAnsi="仿宋_GB2312" w:eastAsia="仿宋_GB2312" w:cs="仿宋_GB2312"/>
          <w:color w:val="auto"/>
          <w:sz w:val="32"/>
          <w:szCs w:val="32"/>
          <w:lang w:val="en-US" w:eastAsia="zh-CN"/>
        </w:rPr>
        <w:t>征土地1704.72亩，拆迁农房429户</w:t>
      </w:r>
      <w:r>
        <w:rPr>
          <w:rFonts w:hint="eastAsia" w:ascii="仿宋_GB2312" w:hAnsi="仿宋_GB2312" w:eastAsia="仿宋_GB2312" w:cs="仿宋_GB2312"/>
          <w:color w:val="auto"/>
          <w:sz w:val="32"/>
          <w:szCs w:val="32"/>
        </w:rPr>
        <w:t>1319人</w:t>
      </w:r>
      <w:r>
        <w:rPr>
          <w:rFonts w:hint="eastAsia" w:ascii="仿宋_GB2312" w:hAnsi="仿宋_GB2312" w:eastAsia="仿宋_GB2312" w:cs="仿宋_GB2312"/>
          <w:color w:val="auto"/>
          <w:sz w:val="32"/>
          <w:szCs w:val="32"/>
          <w:lang w:val="en-US" w:eastAsia="zh-CN"/>
        </w:rPr>
        <w:t>，截至目前已签订协议413户，占目标任务96.27％；已倒房313户，占目标任务72.96％，新建安置点占地140亩，安置拆迁人口1319人，现已完成基础工程85%。</w:t>
      </w:r>
      <w:r>
        <w:rPr>
          <w:rFonts w:hint="default" w:ascii="Calibri" w:hAnsi="Calibri" w:eastAsia="仿宋_GB2312" w:cs="Calibri"/>
          <w:sz w:val="32"/>
          <w:szCs w:val="32"/>
          <w:lang w:val="en-US" w:eastAsia="zh-CN"/>
        </w:rPr>
        <w:t>②</w:t>
      </w:r>
      <w:r>
        <w:rPr>
          <w:rFonts w:hint="eastAsia" w:ascii="Calibri" w:hAnsi="Calibri" w:eastAsia="仿宋_GB2312" w:cs="Calibri"/>
          <w:sz w:val="32"/>
          <w:szCs w:val="32"/>
          <w:lang w:val="en-US" w:eastAsia="zh-CN"/>
        </w:rPr>
        <w:t>、</w:t>
      </w:r>
      <w:r>
        <w:rPr>
          <w:rFonts w:hint="eastAsia" w:ascii="仿宋_GB2312" w:hAnsi="仿宋_GB2312" w:eastAsia="仿宋_GB2312" w:cs="仿宋_GB2312"/>
          <w:color w:val="auto"/>
          <w:kern w:val="2"/>
          <w:sz w:val="32"/>
          <w:szCs w:val="32"/>
          <w:lang w:val="en-US" w:eastAsia="zh-CN" w:bidi="ar-SA"/>
        </w:rPr>
        <w:t>PSC-2项目。</w:t>
      </w:r>
      <w:r>
        <w:rPr>
          <w:rFonts w:hint="eastAsia" w:ascii="仿宋_GB2312" w:hAnsi="仿宋_GB2312" w:eastAsia="仿宋_GB2312" w:cs="仿宋_GB2312"/>
          <w:color w:val="auto"/>
          <w:sz w:val="32"/>
          <w:szCs w:val="32"/>
          <w:lang w:val="en-US" w:eastAsia="zh-CN"/>
        </w:rPr>
        <w:t>征地380亩，拆迁农户156户</w:t>
      </w:r>
      <w:r>
        <w:rPr>
          <w:rFonts w:hint="eastAsia" w:ascii="仿宋_GB2312" w:hAnsi="仿宋_GB2312" w:eastAsia="仿宋_GB2312" w:cs="仿宋_GB2312"/>
          <w:color w:val="auto"/>
          <w:sz w:val="32"/>
          <w:szCs w:val="32"/>
        </w:rPr>
        <w:t>436人，</w:t>
      </w:r>
      <w:r>
        <w:rPr>
          <w:rFonts w:hint="eastAsia" w:ascii="仿宋_GB2312" w:hAnsi="仿宋_GB2312" w:eastAsia="仿宋_GB2312" w:cs="仿宋_GB2312"/>
          <w:color w:val="auto"/>
          <w:sz w:val="32"/>
          <w:szCs w:val="32"/>
          <w:lang w:eastAsia="zh-CN"/>
        </w:rPr>
        <w:t>截至目前</w:t>
      </w:r>
      <w:r>
        <w:rPr>
          <w:rFonts w:hint="eastAsia" w:ascii="仿宋_GB2312" w:hAnsi="仿宋_GB2312" w:eastAsia="仿宋_GB2312" w:cs="仿宋_GB2312"/>
          <w:color w:val="auto"/>
          <w:sz w:val="32"/>
          <w:szCs w:val="32"/>
        </w:rPr>
        <w:t>已签协议</w:t>
      </w:r>
      <w:r>
        <w:rPr>
          <w:rFonts w:hint="eastAsia" w:ascii="仿宋_GB2312" w:hAnsi="仿宋_GB2312" w:eastAsia="仿宋_GB2312" w:cs="仿宋_GB2312"/>
          <w:color w:val="auto"/>
          <w:sz w:val="32"/>
          <w:szCs w:val="32"/>
          <w:lang w:val="en-US" w:eastAsia="zh-CN"/>
        </w:rPr>
        <w:t>136</w:t>
      </w:r>
      <w:r>
        <w:rPr>
          <w:rFonts w:hint="eastAsia" w:ascii="仿宋_GB2312" w:hAnsi="仿宋_GB2312" w:eastAsia="仿宋_GB2312" w:cs="仿宋_GB2312"/>
          <w:color w:val="auto"/>
          <w:sz w:val="32"/>
          <w:szCs w:val="32"/>
        </w:rPr>
        <w:t>户，倒房</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户。</w:t>
      </w:r>
    </w:p>
    <w:p>
      <w:pPr>
        <w:pStyle w:val="5"/>
        <w:ind w:firstLine="640" w:firstLineChars="200"/>
        <w:rPr>
          <w:rStyle w:val="32"/>
          <w:b w:val="0"/>
          <w:bCs w:val="0"/>
        </w:rPr>
      </w:pPr>
      <w:r>
        <w:rPr>
          <w:rFonts w:hint="eastAsia" w:ascii="黑体" w:eastAsia="黑体"/>
          <w:b w:val="0"/>
        </w:rPr>
        <w:t>二、</w:t>
      </w:r>
      <w:r>
        <w:rPr>
          <w:rFonts w:hint="eastAsia" w:ascii="黑体" w:hAnsi="黑体" w:eastAsia="黑体"/>
          <w:b w:val="0"/>
        </w:rPr>
        <w:t>机</w:t>
      </w:r>
      <w:r>
        <w:rPr>
          <w:rStyle w:val="32"/>
          <w:rFonts w:hint="eastAsia" w:ascii="黑体" w:hAnsi="黑体" w:eastAsia="黑体"/>
          <w:b w:val="0"/>
          <w:bCs w:val="0"/>
        </w:rPr>
        <w:t>构设置</w:t>
      </w:r>
      <w:bookmarkEnd w:id="18"/>
      <w:bookmarkEnd w:id="19"/>
    </w:p>
    <w:p>
      <w:pPr>
        <w:ind w:firstLine="800" w:firstLineChars="250"/>
        <w:rPr>
          <w:rFonts w:ascii="仿宋" w:hAnsi="仿宋" w:eastAsia="仿宋"/>
          <w:sz w:val="32"/>
          <w:szCs w:val="32"/>
        </w:rPr>
      </w:pPr>
      <w:r>
        <w:rPr>
          <w:rFonts w:hint="eastAsia" w:ascii="仿宋" w:hAnsi="仿宋" w:eastAsia="仿宋"/>
          <w:sz w:val="32"/>
          <w:szCs w:val="32"/>
          <w:lang w:eastAsia="zh-CN"/>
        </w:rPr>
        <w:t>剑阁县</w:t>
      </w:r>
      <w:r>
        <w:rPr>
          <w:rFonts w:hint="eastAsia" w:ascii="仿宋" w:hAnsi="仿宋" w:eastAsia="仿宋"/>
          <w:sz w:val="32"/>
          <w:szCs w:val="32"/>
          <w:lang w:val="en-US" w:eastAsia="zh-CN"/>
        </w:rPr>
        <w:t>开封</w:t>
      </w:r>
      <w:r>
        <w:rPr>
          <w:rFonts w:hint="eastAsia" w:ascii="仿宋" w:hAnsi="仿宋" w:eastAsia="仿宋"/>
          <w:sz w:val="32"/>
          <w:szCs w:val="32"/>
          <w:lang w:eastAsia="zh-CN"/>
        </w:rPr>
        <w:t>镇人民政府</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w:t>
      </w:r>
    </w:p>
    <w:p>
      <w:pPr>
        <w:pStyle w:val="8"/>
        <w:adjustRightInd w:val="0"/>
        <w:snapToGrid w:val="0"/>
        <w:spacing w:before="93" w:line="600" w:lineRule="exact"/>
        <w:ind w:firstLine="672" w:firstLineChars="210"/>
        <w:rPr>
          <w:rFonts w:hint="eastAsia" w:ascii="仿宋" w:hAnsi="仿宋" w:eastAsia="仿宋"/>
          <w:sz w:val="32"/>
          <w:szCs w:val="32"/>
          <w:lang w:eastAsia="zh-CN"/>
        </w:rPr>
      </w:pPr>
      <w:r>
        <w:rPr>
          <w:rFonts w:hint="eastAsia" w:ascii="仿宋" w:hAnsi="仿宋" w:eastAsia="仿宋"/>
          <w:sz w:val="32"/>
          <w:szCs w:val="32"/>
          <w:lang w:eastAsia="zh-CN"/>
        </w:rPr>
        <w:t>无</w:t>
      </w:r>
      <w:r>
        <w:rPr>
          <w:rFonts w:hint="eastAsia" w:ascii="仿宋" w:hAnsi="仿宋" w:eastAsia="仿宋"/>
          <w:sz w:val="32"/>
          <w:szCs w:val="32"/>
        </w:rPr>
        <w:t>纳入</w:t>
      </w:r>
      <w:r>
        <w:rPr>
          <w:rFonts w:hint="eastAsia" w:ascii="仿宋" w:hAnsi="仿宋" w:eastAsia="仿宋"/>
          <w:sz w:val="32"/>
          <w:szCs w:val="32"/>
          <w:lang w:eastAsia="zh-CN"/>
        </w:rPr>
        <w:t>剑阁县</w:t>
      </w:r>
      <w:r>
        <w:rPr>
          <w:rFonts w:hint="eastAsia" w:ascii="仿宋" w:hAnsi="仿宋" w:eastAsia="仿宋"/>
          <w:sz w:val="32"/>
          <w:szCs w:val="32"/>
          <w:lang w:val="en-US" w:eastAsia="zh-CN"/>
        </w:rPr>
        <w:t>开封</w:t>
      </w:r>
      <w:r>
        <w:rPr>
          <w:rFonts w:hint="eastAsia" w:ascii="仿宋" w:hAnsi="仿宋" w:eastAsia="仿宋"/>
          <w:sz w:val="32"/>
          <w:szCs w:val="32"/>
          <w:lang w:eastAsia="zh-CN"/>
        </w:rPr>
        <w:t>镇人民政府</w:t>
      </w:r>
      <w:r>
        <w:rPr>
          <w:rFonts w:hint="eastAsia" w:ascii="仿宋" w:hAnsi="仿宋" w:eastAsia="仿宋"/>
          <w:sz w:val="32"/>
          <w:szCs w:val="32"/>
        </w:rPr>
        <w:t>2022年度部门决算编制范围的二级预算单位</w:t>
      </w:r>
      <w:r>
        <w:rPr>
          <w:rFonts w:hint="eastAsia" w:ascii="仿宋" w:hAnsi="仿宋" w:eastAsia="仿宋"/>
          <w:sz w:val="32"/>
          <w:szCs w:val="32"/>
          <w:lang w:eastAsia="zh-CN"/>
        </w:rPr>
        <w:t>。</w:t>
      </w:r>
    </w:p>
    <w:p>
      <w:pPr>
        <w:pStyle w:val="8"/>
        <w:adjustRightInd w:val="0"/>
        <w:snapToGrid w:val="0"/>
        <w:spacing w:before="93" w:line="600" w:lineRule="exact"/>
        <w:ind w:firstLine="672" w:firstLineChars="210"/>
        <w:rPr>
          <w:rFonts w:hint="eastAsia" w:ascii="仿宋" w:hAnsi="仿宋" w:eastAsia="仿宋"/>
          <w:sz w:val="32"/>
          <w:szCs w:val="32"/>
          <w:lang w:eastAsia="zh-CN"/>
        </w:rPr>
      </w:pPr>
    </w:p>
    <w:p>
      <w:pPr>
        <w:pStyle w:val="4"/>
        <w:ind w:right="440"/>
        <w:jc w:val="center"/>
      </w:pPr>
      <w:bookmarkStart w:id="22" w:name="_Toc15396602"/>
      <w:bookmarkStart w:id="23" w:name="_Toc15377204"/>
      <w:r>
        <w:rPr>
          <w:rFonts w:hint="eastAsia" w:ascii="黑体" w:hAnsi="黑体" w:eastAsia="黑体"/>
          <w:b w:val="0"/>
        </w:rPr>
        <w:t>第二部分 2022年度</w:t>
      </w:r>
      <w:r>
        <w:rPr>
          <w:rStyle w:val="31"/>
          <w:rFonts w:hint="eastAsia" w:ascii="黑体" w:hAnsi="黑体" w:eastAsia="黑体"/>
          <w:b w:val="0"/>
          <w:bCs/>
        </w:rPr>
        <w:t>部门决算情况说明</w:t>
      </w:r>
      <w:bookmarkEnd w:id="22"/>
      <w:bookmarkEnd w:id="23"/>
    </w:p>
    <w:p>
      <w:pPr>
        <w:pStyle w:val="30"/>
        <w:numPr>
          <w:ilvl w:val="0"/>
          <w:numId w:val="1"/>
        </w:numPr>
        <w:spacing w:line="600" w:lineRule="exact"/>
        <w:ind w:firstLineChars="0"/>
        <w:outlineLvl w:val="1"/>
        <w:rPr>
          <w:rStyle w:val="32"/>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32"/>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3199.41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3199.41</w:t>
      </w:r>
      <w:r>
        <w:rPr>
          <w:rFonts w:hint="eastAsia" w:ascii="仿宋" w:hAnsi="仿宋" w:eastAsia="仿宋"/>
          <w:sz w:val="32"/>
          <w:szCs w:val="32"/>
        </w:rPr>
        <w:t>万元。与2021年</w:t>
      </w:r>
      <w:r>
        <w:rPr>
          <w:rFonts w:hint="eastAsia" w:ascii="仿宋" w:hAnsi="仿宋" w:eastAsia="仿宋"/>
          <w:sz w:val="32"/>
          <w:szCs w:val="32"/>
          <w:lang w:eastAsia="zh-CN"/>
        </w:rPr>
        <w:t>度收入</w:t>
      </w:r>
      <w:r>
        <w:rPr>
          <w:rFonts w:hint="eastAsia" w:ascii="仿宋" w:hAnsi="仿宋" w:eastAsia="仿宋"/>
          <w:sz w:val="32"/>
          <w:szCs w:val="32"/>
        </w:rPr>
        <w:t>总计</w:t>
      </w:r>
      <w:r>
        <w:rPr>
          <w:rFonts w:hint="eastAsia" w:ascii="仿宋" w:hAnsi="仿宋" w:eastAsia="仿宋"/>
          <w:sz w:val="32"/>
          <w:szCs w:val="32"/>
          <w:lang w:val="en-US" w:eastAsia="zh-CN"/>
        </w:rPr>
        <w:t>4003.77</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w:t>
      </w:r>
      <w:r>
        <w:rPr>
          <w:rFonts w:hint="eastAsia" w:ascii="仿宋" w:hAnsi="仿宋" w:eastAsia="仿宋"/>
          <w:sz w:val="32"/>
          <w:szCs w:val="32"/>
          <w:lang w:val="en-US" w:eastAsia="zh-CN"/>
        </w:rPr>
        <w:t>减少804.36</w:t>
      </w:r>
      <w:r>
        <w:rPr>
          <w:rFonts w:hint="eastAsia" w:ascii="仿宋" w:hAnsi="仿宋" w:eastAsia="仿宋"/>
          <w:sz w:val="32"/>
          <w:szCs w:val="32"/>
        </w:rPr>
        <w:t>万元，</w:t>
      </w:r>
      <w:r>
        <w:rPr>
          <w:rFonts w:hint="eastAsia" w:ascii="仿宋" w:hAnsi="仿宋" w:eastAsia="仿宋"/>
          <w:sz w:val="32"/>
          <w:szCs w:val="32"/>
          <w:lang w:val="en-US" w:eastAsia="zh-CN"/>
        </w:rPr>
        <w:t>减少20.09</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度支出</w:t>
      </w:r>
      <w:r>
        <w:rPr>
          <w:rFonts w:hint="eastAsia" w:ascii="仿宋" w:hAnsi="仿宋" w:eastAsia="仿宋"/>
          <w:sz w:val="32"/>
          <w:szCs w:val="32"/>
        </w:rPr>
        <w:t>总计</w:t>
      </w:r>
      <w:r>
        <w:rPr>
          <w:rFonts w:hint="eastAsia" w:ascii="仿宋" w:hAnsi="仿宋" w:eastAsia="仿宋"/>
          <w:sz w:val="32"/>
          <w:szCs w:val="32"/>
          <w:lang w:val="en-US" w:eastAsia="zh-CN"/>
        </w:rPr>
        <w:t>4003.77</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w:t>
      </w:r>
      <w:r>
        <w:rPr>
          <w:rFonts w:hint="eastAsia" w:ascii="仿宋" w:hAnsi="仿宋" w:eastAsia="仿宋"/>
          <w:sz w:val="32"/>
          <w:szCs w:val="32"/>
          <w:lang w:val="en-US" w:eastAsia="zh-CN"/>
        </w:rPr>
        <w:t>减少804.36</w:t>
      </w:r>
      <w:r>
        <w:rPr>
          <w:rFonts w:hint="eastAsia" w:ascii="仿宋" w:hAnsi="仿宋" w:eastAsia="仿宋"/>
          <w:sz w:val="32"/>
          <w:szCs w:val="32"/>
        </w:rPr>
        <w:t>万元，</w:t>
      </w:r>
      <w:r>
        <w:rPr>
          <w:rFonts w:hint="eastAsia" w:ascii="仿宋" w:hAnsi="仿宋" w:eastAsia="仿宋"/>
          <w:sz w:val="32"/>
          <w:szCs w:val="32"/>
          <w:lang w:val="en-US" w:eastAsia="zh-CN"/>
        </w:rPr>
        <w:t>减少20.09</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val="en-US" w:eastAsia="zh-CN"/>
        </w:rPr>
        <w:t>职工人员变动及上年度有结转资金，项目变动资金预算减少</w:t>
      </w:r>
      <w:r>
        <w:rPr>
          <w:rFonts w:hint="eastAsia" w:ascii="仿宋" w:hAnsi="仿宋" w:eastAsia="仿宋"/>
          <w:sz w:val="32"/>
          <w:szCs w:val="32"/>
        </w:rPr>
        <w:t>。</w:t>
      </w:r>
    </w:p>
    <w:p>
      <w:pPr>
        <w:pStyle w:val="2"/>
        <w:rPr>
          <w:rFonts w:hint="eastAsia"/>
        </w:rPr>
      </w:pPr>
    </w:p>
    <w:p>
      <w:pPr>
        <w:pStyle w:val="2"/>
        <w:ind w:firstLine="1280" w:firstLineChars="400"/>
        <w:rPr>
          <w:rFonts w:hint="eastAsia"/>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jc w:val="center"/>
        <w:rPr>
          <w:rFonts w:hint="eastAsia" w:ascii="仿宋" w:hAnsi="仿宋" w:eastAsia="仿宋"/>
          <w:sz w:val="32"/>
          <w:szCs w:val="32"/>
        </w:rPr>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30"/>
        <w:numPr>
          <w:ilvl w:val="0"/>
          <w:numId w:val="1"/>
        </w:numPr>
        <w:spacing w:line="600" w:lineRule="exact"/>
        <w:ind w:firstLineChars="0"/>
        <w:outlineLvl w:val="1"/>
        <w:rPr>
          <w:rStyle w:val="32"/>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32"/>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3199.41</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3196.45</w:t>
      </w:r>
      <w:r>
        <w:rPr>
          <w:rFonts w:hint="eastAsia" w:ascii="仿宋" w:hAnsi="仿宋" w:eastAsia="仿宋"/>
          <w:sz w:val="32"/>
          <w:szCs w:val="32"/>
        </w:rPr>
        <w:t>万元，占</w:t>
      </w:r>
      <w:r>
        <w:rPr>
          <w:rFonts w:hint="eastAsia" w:ascii="仿宋" w:hAnsi="仿宋" w:eastAsia="仿宋"/>
          <w:sz w:val="32"/>
          <w:szCs w:val="32"/>
          <w:lang w:val="en-US" w:eastAsia="zh-CN"/>
        </w:rPr>
        <w:t>99.9</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2.97</w:t>
      </w:r>
      <w:r>
        <w:rPr>
          <w:rFonts w:hint="eastAsia" w:ascii="仿宋" w:hAnsi="仿宋" w:eastAsia="仿宋"/>
          <w:sz w:val="32"/>
          <w:szCs w:val="32"/>
        </w:rPr>
        <w:t>万元，占</w:t>
      </w:r>
      <w:r>
        <w:rPr>
          <w:rFonts w:hint="eastAsia" w:ascii="仿宋" w:hAnsi="仿宋" w:eastAsia="仿宋"/>
          <w:sz w:val="32"/>
          <w:szCs w:val="32"/>
          <w:lang w:val="en-US" w:eastAsia="zh-CN"/>
        </w:rPr>
        <w:t>0.1</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jc w:val="cente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Fonts w:ascii="仿宋" w:hAnsi="仿宋" w:eastAsia="仿宋"/>
          <w:sz w:val="32"/>
          <w:szCs w:val="32"/>
        </w:rPr>
      </w:pP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30"/>
        <w:numPr>
          <w:ilvl w:val="0"/>
          <w:numId w:val="1"/>
        </w:numPr>
        <w:spacing w:line="600" w:lineRule="exact"/>
        <w:ind w:firstLineChars="0"/>
        <w:outlineLvl w:val="1"/>
        <w:rPr>
          <w:rStyle w:val="32"/>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32"/>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3199.41</w:t>
      </w:r>
      <w:r>
        <w:rPr>
          <w:rFonts w:hint="eastAsia" w:ascii="仿宋" w:hAnsi="仿宋" w:eastAsia="仿宋"/>
          <w:sz w:val="32"/>
          <w:szCs w:val="32"/>
        </w:rPr>
        <w:t>万元，其中：基本支出</w:t>
      </w:r>
      <w:r>
        <w:rPr>
          <w:rFonts w:hint="eastAsia" w:ascii="仿宋" w:hAnsi="仿宋" w:eastAsia="仿宋"/>
          <w:sz w:val="32"/>
          <w:szCs w:val="32"/>
          <w:lang w:val="en-US" w:eastAsia="zh-CN"/>
        </w:rPr>
        <w:t>2284.64</w:t>
      </w:r>
      <w:r>
        <w:rPr>
          <w:rFonts w:hint="eastAsia" w:ascii="仿宋" w:hAnsi="仿宋" w:eastAsia="仿宋"/>
          <w:sz w:val="32"/>
          <w:szCs w:val="32"/>
        </w:rPr>
        <w:t>万元，占</w:t>
      </w:r>
      <w:r>
        <w:rPr>
          <w:rFonts w:hint="eastAsia" w:ascii="仿宋" w:hAnsi="仿宋" w:eastAsia="仿宋"/>
          <w:sz w:val="32"/>
          <w:szCs w:val="32"/>
          <w:lang w:val="en-US" w:eastAsia="zh-CN"/>
        </w:rPr>
        <w:t>71.4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914.77</w:t>
      </w:r>
      <w:r>
        <w:rPr>
          <w:rFonts w:hint="eastAsia" w:ascii="仿宋" w:hAnsi="仿宋" w:eastAsia="仿宋"/>
          <w:sz w:val="32"/>
          <w:szCs w:val="32"/>
        </w:rPr>
        <w:t>万元，占</w:t>
      </w:r>
      <w:r>
        <w:rPr>
          <w:rFonts w:hint="eastAsia" w:ascii="仿宋" w:hAnsi="仿宋" w:eastAsia="仿宋"/>
          <w:sz w:val="32"/>
          <w:szCs w:val="32"/>
          <w:lang w:val="en-US" w:eastAsia="zh-CN"/>
        </w:rPr>
        <w:t>28.6</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shd w:val="pct10" w:color="auto" w:fill="FFFFFF"/>
        </w:rPr>
      </w:pPr>
    </w:p>
    <w:p>
      <w:pPr>
        <w:pStyle w:val="2"/>
        <w:jc w:val="both"/>
        <w:rPr>
          <w:rFonts w:hint="eastAsia" w:ascii="仿宋" w:hAnsi="仿宋" w:eastAsia="仿宋"/>
          <w:sz w:val="32"/>
          <w:szCs w:val="32"/>
        </w:rPr>
      </w:pPr>
      <w:r>
        <w:drawing>
          <wp:inline distT="0" distB="0" distL="114300" distR="114300">
            <wp:extent cx="4572000" cy="2743200"/>
            <wp:effectExtent l="4445" t="4445" r="14605" b="1460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2"/>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32"/>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eastAsia="zh-CN"/>
        </w:rPr>
        <w:t>财政拨款</w:t>
      </w:r>
      <w:r>
        <w:rPr>
          <w:rFonts w:hint="eastAsia" w:ascii="仿宋" w:hAnsi="仿宋" w:eastAsia="仿宋"/>
          <w:sz w:val="32"/>
          <w:szCs w:val="32"/>
        </w:rPr>
        <w:t>收</w:t>
      </w:r>
      <w:r>
        <w:rPr>
          <w:rFonts w:hint="eastAsia" w:ascii="仿宋" w:hAnsi="仿宋" w:eastAsia="仿宋"/>
          <w:sz w:val="32"/>
          <w:szCs w:val="32"/>
          <w:lang w:eastAsia="zh-CN"/>
        </w:rPr>
        <w:t>入</w:t>
      </w:r>
      <w:r>
        <w:rPr>
          <w:rFonts w:hint="eastAsia" w:ascii="仿宋" w:hAnsi="仿宋" w:eastAsia="仿宋"/>
          <w:sz w:val="32"/>
          <w:szCs w:val="32"/>
        </w:rPr>
        <w:t>总计</w:t>
      </w:r>
      <w:r>
        <w:rPr>
          <w:rFonts w:hint="eastAsia" w:ascii="仿宋" w:hAnsi="仿宋" w:eastAsia="仿宋"/>
          <w:sz w:val="32"/>
          <w:szCs w:val="32"/>
          <w:lang w:val="en-US" w:eastAsia="zh-CN"/>
        </w:rPr>
        <w:t>3199.41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3199.41</w:t>
      </w:r>
      <w:r>
        <w:rPr>
          <w:rFonts w:hint="eastAsia" w:ascii="仿宋" w:hAnsi="仿宋" w:eastAsia="仿宋"/>
          <w:sz w:val="32"/>
          <w:szCs w:val="32"/>
        </w:rPr>
        <w:t>万元。与2021年</w:t>
      </w:r>
      <w:r>
        <w:rPr>
          <w:rFonts w:hint="eastAsia" w:ascii="仿宋" w:hAnsi="仿宋" w:eastAsia="仿宋"/>
          <w:sz w:val="32"/>
          <w:szCs w:val="32"/>
          <w:lang w:eastAsia="zh-CN"/>
        </w:rPr>
        <w:t>财政拨款收入</w:t>
      </w:r>
      <w:r>
        <w:rPr>
          <w:rFonts w:hint="eastAsia" w:ascii="仿宋" w:hAnsi="仿宋" w:eastAsia="仿宋"/>
          <w:sz w:val="32"/>
          <w:szCs w:val="32"/>
        </w:rPr>
        <w:t>总计</w:t>
      </w:r>
      <w:r>
        <w:rPr>
          <w:rFonts w:hint="eastAsia" w:ascii="仿宋" w:hAnsi="仿宋" w:eastAsia="仿宋"/>
          <w:sz w:val="32"/>
          <w:szCs w:val="32"/>
          <w:lang w:val="en-US" w:eastAsia="zh-CN"/>
        </w:rPr>
        <w:t>4003.77</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收入</w:t>
      </w:r>
      <w:r>
        <w:rPr>
          <w:rFonts w:hint="eastAsia" w:ascii="仿宋" w:hAnsi="仿宋" w:eastAsia="仿宋"/>
          <w:sz w:val="32"/>
          <w:szCs w:val="32"/>
        </w:rPr>
        <w:t>总计</w:t>
      </w:r>
      <w:r>
        <w:rPr>
          <w:rFonts w:hint="eastAsia" w:ascii="仿宋" w:hAnsi="仿宋" w:eastAsia="仿宋"/>
          <w:sz w:val="32"/>
          <w:szCs w:val="32"/>
          <w:lang w:val="en-US" w:eastAsia="zh-CN"/>
        </w:rPr>
        <w:t>减少804.36</w:t>
      </w:r>
      <w:r>
        <w:rPr>
          <w:rFonts w:hint="eastAsia" w:ascii="仿宋" w:hAnsi="仿宋" w:eastAsia="仿宋"/>
          <w:sz w:val="32"/>
          <w:szCs w:val="32"/>
        </w:rPr>
        <w:t>万元，</w:t>
      </w:r>
      <w:r>
        <w:rPr>
          <w:rFonts w:hint="eastAsia" w:ascii="仿宋" w:hAnsi="仿宋" w:eastAsia="仿宋"/>
          <w:sz w:val="32"/>
          <w:szCs w:val="32"/>
          <w:lang w:val="en-US" w:eastAsia="zh-CN"/>
        </w:rPr>
        <w:t>减少20.09</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与2021年</w:t>
      </w:r>
      <w:r>
        <w:rPr>
          <w:rFonts w:hint="eastAsia" w:ascii="仿宋" w:hAnsi="仿宋" w:eastAsia="仿宋"/>
          <w:sz w:val="32"/>
          <w:szCs w:val="32"/>
          <w:lang w:eastAsia="zh-CN"/>
        </w:rPr>
        <w:t>财政拨款支出</w:t>
      </w:r>
      <w:r>
        <w:rPr>
          <w:rFonts w:hint="eastAsia" w:ascii="仿宋" w:hAnsi="仿宋" w:eastAsia="仿宋"/>
          <w:sz w:val="32"/>
          <w:szCs w:val="32"/>
        </w:rPr>
        <w:t>总计</w:t>
      </w:r>
      <w:r>
        <w:rPr>
          <w:rFonts w:hint="eastAsia" w:ascii="仿宋" w:hAnsi="仿宋" w:eastAsia="仿宋"/>
          <w:sz w:val="32"/>
          <w:szCs w:val="32"/>
          <w:lang w:val="en-US" w:eastAsia="zh-CN"/>
        </w:rPr>
        <w:t>4003.77</w:t>
      </w:r>
      <w:r>
        <w:rPr>
          <w:rFonts w:hint="eastAsia" w:ascii="仿宋" w:hAnsi="仿宋" w:eastAsia="仿宋"/>
          <w:sz w:val="32"/>
          <w:szCs w:val="32"/>
        </w:rPr>
        <w:t>万元</w:t>
      </w:r>
      <w:r>
        <w:rPr>
          <w:rFonts w:hint="eastAsia" w:ascii="仿宋" w:hAnsi="仿宋" w:eastAsia="仿宋"/>
          <w:sz w:val="32"/>
          <w:szCs w:val="32"/>
          <w:lang w:eastAsia="zh-CN"/>
        </w:rPr>
        <w:t>相比</w:t>
      </w:r>
      <w:r>
        <w:rPr>
          <w:rFonts w:hint="eastAsia"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rPr>
        <w:t>总计</w:t>
      </w:r>
      <w:r>
        <w:rPr>
          <w:rFonts w:hint="eastAsia" w:ascii="仿宋" w:hAnsi="仿宋" w:eastAsia="仿宋"/>
          <w:sz w:val="32"/>
          <w:szCs w:val="32"/>
          <w:lang w:val="en-US" w:eastAsia="zh-CN"/>
        </w:rPr>
        <w:t>减少804.36</w:t>
      </w:r>
      <w:r>
        <w:rPr>
          <w:rFonts w:hint="eastAsia" w:ascii="仿宋" w:hAnsi="仿宋" w:eastAsia="仿宋"/>
          <w:sz w:val="32"/>
          <w:szCs w:val="32"/>
        </w:rPr>
        <w:t>万元，增长</w:t>
      </w:r>
      <w:r>
        <w:rPr>
          <w:rFonts w:hint="eastAsia" w:ascii="仿宋" w:hAnsi="仿宋" w:eastAsia="仿宋"/>
          <w:sz w:val="32"/>
          <w:szCs w:val="32"/>
          <w:lang w:val="en-US" w:eastAsia="zh-CN"/>
        </w:rPr>
        <w:t>20.09</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val="en-US" w:eastAsia="zh-CN"/>
        </w:rPr>
        <w:t>职工人员变动及上年度有结转资金，项目变动资金预算减少</w:t>
      </w:r>
      <w:r>
        <w:rPr>
          <w:rFonts w:hint="eastAsia" w:ascii="仿宋" w:hAnsi="仿宋" w:eastAsia="仿宋"/>
          <w:sz w:val="32"/>
          <w:szCs w:val="32"/>
        </w:rPr>
        <w:t>。</w:t>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pPr>
      <w:r>
        <w:rPr>
          <w:rFonts w:hint="eastAsia" w:ascii="仿宋" w:hAnsi="仿宋" w:eastAsia="仿宋"/>
          <w:sz w:val="32"/>
          <w:szCs w:val="32"/>
        </w:rPr>
        <w:t>图4：财政拨款收、支决算总计变动情况</w:t>
      </w:r>
    </w:p>
    <w:p>
      <w:pPr>
        <w:pStyle w:val="2"/>
        <w:rPr>
          <w:rFonts w:ascii="仿宋" w:hAnsi="仿宋" w:eastAsia="仿宋"/>
          <w:sz w:val="32"/>
          <w:szCs w:val="32"/>
        </w:rPr>
      </w:pPr>
      <w:r>
        <w:drawing>
          <wp:inline distT="0" distB="0" distL="114300" distR="114300">
            <wp:extent cx="4638675" cy="3876675"/>
            <wp:effectExtent l="4445" t="4445" r="5080" b="508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（图4：财政拨款收、支决算总计变动情况）（柱状图）</w:t>
      </w:r>
    </w:p>
    <w:p>
      <w:pPr>
        <w:pStyle w:val="2"/>
      </w:pPr>
    </w:p>
    <w:p>
      <w:pPr>
        <w:spacing w:line="600" w:lineRule="exact"/>
        <w:ind w:firstLine="640" w:firstLineChars="200"/>
        <w:outlineLvl w:val="1"/>
        <w:rPr>
          <w:rStyle w:val="32"/>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32"/>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3196.45</w:t>
      </w:r>
      <w:r>
        <w:rPr>
          <w:rFonts w:hint="eastAsia" w:ascii="仿宋" w:hAnsi="仿宋" w:eastAsia="仿宋"/>
          <w:sz w:val="32"/>
          <w:szCs w:val="32"/>
        </w:rPr>
        <w:t>万元，占本年支出合计的</w:t>
      </w:r>
      <w:r>
        <w:rPr>
          <w:rFonts w:hint="eastAsia" w:ascii="仿宋" w:hAnsi="仿宋" w:eastAsia="仿宋"/>
          <w:sz w:val="32"/>
          <w:szCs w:val="32"/>
          <w:lang w:val="en-US" w:eastAsia="zh-CN"/>
        </w:rPr>
        <w:t>99.9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3958.8</w:t>
      </w:r>
      <w:r>
        <w:rPr>
          <w:rFonts w:hint="eastAsia" w:ascii="仿宋" w:hAnsi="仿宋" w:eastAsia="仿宋"/>
          <w:sz w:val="32"/>
          <w:szCs w:val="32"/>
        </w:rPr>
        <w:t>万元，</w:t>
      </w:r>
      <w:r>
        <w:rPr>
          <w:rFonts w:hint="eastAsia" w:ascii="仿宋" w:hAnsi="仿宋" w:eastAsia="仿宋"/>
          <w:sz w:val="32"/>
          <w:szCs w:val="32"/>
          <w:lang w:val="en-US" w:eastAsia="zh-CN"/>
        </w:rPr>
        <w:t>减少19.26</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职工人员变动及上年度有结转资金，项目变动资金预算减少</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ind w:left="0" w:leftChars="0" w:firstLine="640" w:firstLineChars="200"/>
        <w:rPr>
          <w:rFonts w:hint="eastAsia" w:ascii="仿宋" w:hAnsi="仿宋" w:eastAsia="仿宋"/>
          <w:sz w:val="32"/>
          <w:szCs w:val="32"/>
        </w:rPr>
      </w:pPr>
      <w:r>
        <w:rPr>
          <w:rFonts w:hint="eastAsia" w:ascii="仿宋" w:hAnsi="仿宋" w:eastAsia="仿宋"/>
          <w:sz w:val="32"/>
          <w:szCs w:val="32"/>
        </w:rPr>
        <w:t>图5：一般公共预算财政拨款支出决算变动情况图</w:t>
      </w:r>
    </w:p>
    <w:p>
      <w:pPr>
        <w:jc w:val="center"/>
        <w:rPr>
          <w:rFonts w:hint="eastAsia" w:ascii="仿宋" w:hAnsi="仿宋" w:eastAsia="仿宋"/>
          <w:sz w:val="32"/>
          <w:szCs w:val="32"/>
        </w:rPr>
      </w:pPr>
      <w:r>
        <w:drawing>
          <wp:inline distT="0" distB="0" distL="114300" distR="114300">
            <wp:extent cx="4572000" cy="2743200"/>
            <wp:effectExtent l="4445" t="4445" r="14605" b="14605"/>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
      <w:pPr>
        <w:spacing w:line="600" w:lineRule="exact"/>
        <w:jc w:val="center"/>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napToGrid w:val="0"/>
        <w:spacing w:line="520" w:lineRule="exact"/>
        <w:ind w:firstLine="640" w:firstLineChars="200"/>
        <w:rPr>
          <w:rFonts w:hint="eastAsia" w:ascii="仿宋" w:hAnsi="仿宋" w:eastAsia="仿宋" w:cs="Times New Roman"/>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3196.45</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1115.34</w:t>
      </w:r>
      <w:r>
        <w:rPr>
          <w:rFonts w:hint="eastAsia" w:ascii="仿宋" w:hAnsi="仿宋" w:eastAsia="仿宋"/>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34.89</w:t>
      </w:r>
      <w:r>
        <w:rPr>
          <w:rFonts w:hint="eastAsia" w:ascii="仿宋" w:hAnsi="仿宋" w:eastAsia="仿宋" w:cs="Times New Roman"/>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0.5万元，占0.02%；</w:t>
      </w:r>
      <w:r>
        <w:rPr>
          <w:rFonts w:hint="eastAsia" w:ascii="仿宋" w:hAnsi="仿宋" w:eastAsia="仿宋" w:cs="Times New Roman"/>
          <w:b/>
          <w:sz w:val="32"/>
          <w:szCs w:val="32"/>
          <w:lang w:val="en-US" w:eastAsia="zh-CN"/>
        </w:rPr>
        <w:t>公共安全支出</w:t>
      </w:r>
      <w:r>
        <w:rPr>
          <w:rFonts w:hint="eastAsia" w:ascii="仿宋" w:hAnsi="仿宋" w:eastAsia="仿宋" w:cs="Times New Roman"/>
          <w:sz w:val="32"/>
          <w:szCs w:val="32"/>
          <w:lang w:val="en-US" w:eastAsia="zh-CN"/>
        </w:rPr>
        <w:t>6万元，占0.19%；</w:t>
      </w:r>
      <w:r>
        <w:rPr>
          <w:rFonts w:hint="eastAsia" w:ascii="仿宋" w:hAnsi="仿宋" w:eastAsia="仿宋" w:cs="Times New Roman"/>
          <w:b/>
          <w:sz w:val="32"/>
          <w:szCs w:val="32"/>
        </w:rPr>
        <w:t>文化旅游体育与传媒支出</w:t>
      </w:r>
      <w:r>
        <w:rPr>
          <w:rFonts w:hint="eastAsia" w:ascii="仿宋" w:hAnsi="仿宋" w:eastAsia="仿宋" w:cs="Times New Roman"/>
          <w:sz w:val="32"/>
          <w:szCs w:val="32"/>
          <w:lang w:val="en-US" w:eastAsia="zh-CN"/>
        </w:rPr>
        <w:t>109.83</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3.44</w:t>
      </w:r>
      <w:r>
        <w:rPr>
          <w:rFonts w:hint="eastAsia" w:ascii="仿宋" w:hAnsi="仿宋" w:eastAsia="仿宋" w:cs="Times New Roman"/>
          <w:sz w:val="32"/>
          <w:szCs w:val="32"/>
        </w:rPr>
        <w:t>％；</w:t>
      </w:r>
      <w:r>
        <w:rPr>
          <w:rFonts w:hint="eastAsia" w:ascii="仿宋" w:hAnsi="仿宋" w:eastAsia="仿宋" w:cs="Times New Roman"/>
          <w:b/>
          <w:sz w:val="32"/>
          <w:szCs w:val="32"/>
        </w:rPr>
        <w:t>社会保障和就业支出</w:t>
      </w:r>
      <w:r>
        <w:rPr>
          <w:rFonts w:hint="eastAsia" w:ascii="仿宋" w:hAnsi="仿宋" w:eastAsia="仿宋" w:cs="Times New Roman"/>
          <w:sz w:val="32"/>
          <w:szCs w:val="32"/>
          <w:lang w:val="en-US" w:eastAsia="zh-CN"/>
        </w:rPr>
        <w:t>508.86</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15.91</w:t>
      </w:r>
      <w:r>
        <w:rPr>
          <w:rFonts w:hint="eastAsia" w:ascii="仿宋" w:hAnsi="仿宋" w:eastAsia="仿宋" w:cs="Times New Roman"/>
          <w:sz w:val="32"/>
          <w:szCs w:val="32"/>
        </w:rPr>
        <w:t>％；</w:t>
      </w:r>
      <w:r>
        <w:rPr>
          <w:rFonts w:hint="eastAsia" w:ascii="仿宋" w:hAnsi="仿宋" w:eastAsia="仿宋" w:cs="Times New Roman"/>
          <w:b/>
          <w:sz w:val="32"/>
          <w:szCs w:val="32"/>
        </w:rPr>
        <w:t>卫生健康支出</w:t>
      </w:r>
      <w:r>
        <w:rPr>
          <w:rFonts w:hint="eastAsia" w:ascii="仿宋" w:hAnsi="仿宋" w:eastAsia="仿宋" w:cs="Times New Roman"/>
          <w:sz w:val="32"/>
          <w:szCs w:val="32"/>
          <w:lang w:val="en-US" w:eastAsia="zh-CN"/>
        </w:rPr>
        <w:t>79.53</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占</w:t>
      </w:r>
      <w:r>
        <w:rPr>
          <w:rFonts w:hint="eastAsia" w:ascii="仿宋" w:hAnsi="仿宋" w:eastAsia="仿宋" w:cs="Times New Roman"/>
          <w:sz w:val="32"/>
          <w:szCs w:val="32"/>
          <w:lang w:val="en-US" w:eastAsia="zh-CN"/>
        </w:rPr>
        <w:t>2.49</w:t>
      </w:r>
      <w:r>
        <w:rPr>
          <w:rFonts w:hint="eastAsia" w:ascii="仿宋" w:hAnsi="仿宋" w:eastAsia="仿宋" w:cs="Times New Roman"/>
          <w:sz w:val="32"/>
          <w:szCs w:val="32"/>
        </w:rPr>
        <w:t>％；</w:t>
      </w:r>
      <w:r>
        <w:rPr>
          <w:rFonts w:hint="eastAsia" w:ascii="仿宋" w:hAnsi="仿宋" w:eastAsia="仿宋" w:cs="Times New Roman"/>
          <w:b/>
          <w:sz w:val="32"/>
          <w:szCs w:val="32"/>
        </w:rPr>
        <w:t>城乡社区支出</w:t>
      </w:r>
      <w:r>
        <w:rPr>
          <w:rFonts w:hint="eastAsia" w:ascii="仿宋" w:hAnsi="仿宋" w:eastAsia="仿宋" w:cs="Times New Roman"/>
          <w:sz w:val="32"/>
          <w:szCs w:val="32"/>
          <w:lang w:val="en-US" w:eastAsia="zh-CN"/>
        </w:rPr>
        <w:t>19.72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0.62</w:t>
      </w:r>
      <w:r>
        <w:rPr>
          <w:rFonts w:hint="eastAsia" w:ascii="仿宋" w:hAnsi="仿宋" w:eastAsia="仿宋" w:cs="Times New Roman"/>
          <w:sz w:val="32"/>
          <w:szCs w:val="32"/>
        </w:rPr>
        <w:t>％；</w:t>
      </w:r>
      <w:r>
        <w:rPr>
          <w:rFonts w:hint="eastAsia" w:ascii="仿宋" w:hAnsi="仿宋" w:eastAsia="仿宋" w:cs="Times New Roman"/>
          <w:b/>
          <w:sz w:val="32"/>
          <w:szCs w:val="32"/>
        </w:rPr>
        <w:t>农林水支出</w:t>
      </w:r>
      <w:r>
        <w:rPr>
          <w:rFonts w:hint="eastAsia" w:ascii="仿宋" w:hAnsi="仿宋" w:eastAsia="仿宋" w:cs="Times New Roman"/>
          <w:sz w:val="32"/>
          <w:szCs w:val="32"/>
          <w:lang w:val="en-US" w:eastAsia="zh-CN"/>
        </w:rPr>
        <w:t>1233.46</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38.59</w:t>
      </w:r>
      <w:r>
        <w:rPr>
          <w:rFonts w:hint="eastAsia" w:ascii="仿宋" w:hAnsi="仿宋" w:eastAsia="仿宋" w:cs="Times New Roman"/>
          <w:sz w:val="32"/>
          <w:szCs w:val="32"/>
        </w:rPr>
        <w:t>％；</w:t>
      </w:r>
      <w:r>
        <w:rPr>
          <w:rFonts w:hint="eastAsia" w:ascii="仿宋" w:hAnsi="仿宋" w:eastAsia="仿宋" w:cs="Times New Roman"/>
          <w:b/>
          <w:sz w:val="32"/>
          <w:szCs w:val="32"/>
        </w:rPr>
        <w:t>住房保障支出</w:t>
      </w:r>
      <w:r>
        <w:rPr>
          <w:rFonts w:hint="eastAsia" w:ascii="仿宋" w:hAnsi="仿宋" w:eastAsia="仿宋" w:cs="Times New Roman"/>
          <w:sz w:val="32"/>
          <w:szCs w:val="32"/>
          <w:lang w:val="en-US" w:eastAsia="zh-CN"/>
        </w:rPr>
        <w:t>123.21</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3.85</w:t>
      </w:r>
      <w:r>
        <w:rPr>
          <w:rFonts w:hint="eastAsia" w:ascii="仿宋" w:hAnsi="仿宋" w:eastAsia="仿宋" w:cs="Times New Roman"/>
          <w:sz w:val="32"/>
          <w:szCs w:val="32"/>
        </w:rPr>
        <w:t>％。</w:t>
      </w:r>
    </w:p>
    <w:p>
      <w:pPr>
        <w:pStyle w:val="2"/>
        <w:rPr>
          <w:rFonts w:hint="eastAsia" w:ascii="仿宋" w:hAnsi="仿宋" w:eastAsia="仿宋" w:cs="Times New Roman"/>
          <w:sz w:val="32"/>
          <w:szCs w:val="32"/>
        </w:rPr>
      </w:pPr>
    </w:p>
    <w:p>
      <w:pPr>
        <w:rPr>
          <w:rFonts w:hint="eastAsia" w:ascii="仿宋" w:hAnsi="仿宋" w:eastAsia="仿宋" w:cs="Times New Roman"/>
          <w:sz w:val="32"/>
          <w:szCs w:val="32"/>
        </w:rPr>
      </w:pPr>
      <w:r>
        <w:drawing>
          <wp:inline distT="0" distB="0" distL="114300" distR="114300">
            <wp:extent cx="5342890" cy="3311525"/>
            <wp:effectExtent l="4445" t="4445" r="5715" b="1778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3" w:firstLineChars="200"/>
        <w:outlineLvl w:val="2"/>
        <w:rPr>
          <w:rFonts w:ascii="仿宋" w:hAnsi="仿宋" w:eastAsia="仿宋"/>
          <w:sz w:val="32"/>
          <w:szCs w:val="32"/>
        </w:rPr>
      </w:pPr>
      <w:bookmarkStart w:id="37" w:name="_Toc15378460"/>
      <w:bookmarkStart w:id="38" w:name="_Toc15377213"/>
      <w:bookmarkStart w:id="39"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3196.45万元</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37"/>
      <w:bookmarkEnd w:id="38"/>
      <w:bookmarkEnd w:id="39"/>
    </w:p>
    <w:p>
      <w:pPr>
        <w:numPr>
          <w:ilvl w:val="0"/>
          <w:numId w:val="0"/>
        </w:numPr>
        <w:spacing w:line="600" w:lineRule="exact"/>
        <w:ind w:firstLine="640" w:firstLineChars="200"/>
        <w:rPr>
          <w:rStyle w:val="20"/>
          <w:rFonts w:hint="eastAsia" w:ascii="仿宋" w:hAnsi="仿宋" w:eastAsia="仿宋"/>
          <w:b w:val="0"/>
          <w:bCs/>
          <w:color w:val="000000"/>
          <w:sz w:val="32"/>
          <w:szCs w:val="32"/>
          <w:lang w:eastAsia="zh-CN"/>
        </w:rPr>
      </w:pPr>
      <w:r>
        <w:rPr>
          <w:rStyle w:val="20"/>
          <w:rFonts w:hint="eastAsia" w:ascii="仿宋" w:hAnsi="仿宋" w:eastAsia="仿宋"/>
          <w:b w:val="0"/>
          <w:bCs/>
          <w:color w:val="000000"/>
          <w:sz w:val="32"/>
          <w:szCs w:val="32"/>
          <w:lang w:val="en-US" w:eastAsia="zh-CN"/>
        </w:rPr>
        <w:t>1.</w:t>
      </w:r>
      <w:r>
        <w:rPr>
          <w:rStyle w:val="20"/>
          <w:rFonts w:hint="eastAsia" w:ascii="仿宋" w:hAnsi="仿宋" w:eastAsia="仿宋"/>
          <w:b w:val="0"/>
          <w:bCs/>
          <w:color w:val="000000"/>
          <w:sz w:val="32"/>
          <w:szCs w:val="32"/>
        </w:rPr>
        <w:t>一般公共服务（类）人大事务（款）人大会议（项）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2.24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2.</w:t>
      </w:r>
      <w:r>
        <w:rPr>
          <w:rStyle w:val="20"/>
          <w:rFonts w:hint="eastAsia" w:ascii="仿宋" w:hAnsi="仿宋" w:eastAsia="仿宋"/>
          <w:b w:val="0"/>
          <w:bCs/>
          <w:color w:val="000000"/>
          <w:sz w:val="32"/>
          <w:szCs w:val="32"/>
        </w:rPr>
        <w:t>一般公共服务（类）人大事务（款）代表工作（项）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2.31</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3.</w:t>
      </w:r>
      <w:r>
        <w:rPr>
          <w:rStyle w:val="20"/>
          <w:rFonts w:hint="eastAsia" w:ascii="仿宋" w:hAnsi="仿宋" w:eastAsia="仿宋"/>
          <w:b w:val="0"/>
          <w:bCs/>
          <w:color w:val="000000"/>
          <w:sz w:val="32"/>
          <w:szCs w:val="32"/>
        </w:rPr>
        <w:t>一般公共服务（类）人大事务（款）</w:t>
      </w:r>
      <w:r>
        <w:rPr>
          <w:rStyle w:val="20"/>
          <w:rFonts w:hint="eastAsia" w:ascii="仿宋" w:hAnsi="仿宋" w:eastAsia="仿宋"/>
          <w:b w:val="0"/>
          <w:bCs/>
          <w:color w:val="000000"/>
          <w:sz w:val="32"/>
          <w:szCs w:val="32"/>
          <w:lang w:val="en-US" w:eastAsia="zh-CN"/>
        </w:rPr>
        <w:t>其他人大事务支出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4.</w:t>
      </w:r>
      <w:r>
        <w:rPr>
          <w:rStyle w:val="20"/>
          <w:rFonts w:hint="eastAsia" w:ascii="仿宋" w:hAnsi="仿宋" w:eastAsia="仿宋"/>
          <w:b w:val="0"/>
          <w:bCs/>
          <w:color w:val="000000"/>
          <w:sz w:val="32"/>
          <w:szCs w:val="32"/>
        </w:rPr>
        <w:t>一般公共服务（类）政府办公厅（室）及相关机构事务（款）行政运行（项）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w:t>
      </w:r>
      <w:r>
        <w:rPr>
          <w:rStyle w:val="20"/>
          <w:rFonts w:hint="eastAsia" w:ascii="仿宋" w:hAnsi="仿宋" w:eastAsia="仿宋"/>
          <w:b w:val="0"/>
          <w:bCs/>
          <w:color w:val="000000"/>
          <w:sz w:val="32"/>
          <w:szCs w:val="32"/>
          <w:lang w:val="en-US" w:eastAsia="zh-CN"/>
        </w:rPr>
        <w:t>903.57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5.</w:t>
      </w:r>
      <w:r>
        <w:rPr>
          <w:rStyle w:val="20"/>
          <w:rFonts w:hint="eastAsia" w:ascii="仿宋" w:hAnsi="仿宋" w:eastAsia="仿宋"/>
          <w:b w:val="0"/>
          <w:bCs/>
          <w:color w:val="000000"/>
          <w:sz w:val="32"/>
          <w:szCs w:val="32"/>
        </w:rPr>
        <w:t>一般公共服务（类）政府办公厅（室）及相关机构事务（款）一般行政管理事务（项）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20.2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6.</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信访</w:t>
      </w:r>
      <w:r>
        <w:rPr>
          <w:rStyle w:val="20"/>
          <w:rFonts w:hint="eastAsia" w:ascii="仿宋" w:hAnsi="仿宋" w:eastAsia="仿宋"/>
          <w:b w:val="0"/>
          <w:bCs/>
          <w:color w:val="000000"/>
          <w:sz w:val="32"/>
          <w:szCs w:val="32"/>
        </w:rPr>
        <w:t>事务（项）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auto"/>
          <w:sz w:val="32"/>
          <w:szCs w:val="32"/>
          <w:lang w:val="en-US" w:eastAsia="zh-CN"/>
        </w:rPr>
        <w:t>7.</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53.4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hint="default" w:eastAsia="宋体"/>
          <w:lang w:val="en-US" w:eastAsia="zh-CN"/>
        </w:rPr>
      </w:pPr>
      <w:r>
        <w:rPr>
          <w:rStyle w:val="20"/>
          <w:rFonts w:hint="eastAsia" w:ascii="仿宋" w:hAnsi="仿宋" w:eastAsia="仿宋" w:cs="Times New Roman"/>
          <w:b w:val="0"/>
          <w:bCs/>
          <w:color w:val="auto"/>
          <w:sz w:val="32"/>
          <w:szCs w:val="32"/>
          <w:lang w:val="en-US" w:eastAsia="zh-CN"/>
        </w:rPr>
        <w:t>8.</w:t>
      </w:r>
      <w:r>
        <w:rPr>
          <w:rStyle w:val="20"/>
          <w:rFonts w:hint="eastAsia" w:ascii="仿宋" w:hAnsi="仿宋" w:eastAsia="仿宋"/>
          <w:b w:val="0"/>
          <w:bCs/>
          <w:color w:val="000000"/>
          <w:sz w:val="32"/>
          <w:szCs w:val="32"/>
        </w:rPr>
        <w:t>一般公共服务（类）政府办公厅（室）及相关机构事务（款）</w:t>
      </w:r>
      <w:r>
        <w:rPr>
          <w:rStyle w:val="20"/>
          <w:rFonts w:hint="eastAsia" w:ascii="仿宋" w:hAnsi="仿宋" w:eastAsia="仿宋"/>
          <w:b w:val="0"/>
          <w:bCs/>
          <w:color w:val="000000"/>
          <w:sz w:val="32"/>
          <w:szCs w:val="32"/>
          <w:lang w:val="en-US" w:eastAsia="zh-CN"/>
        </w:rPr>
        <w:t>其他政府办公室及相关机构事务支出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107.49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9.</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eastAsia="zh-CN"/>
        </w:rPr>
        <w:t>统计信息事务</w:t>
      </w:r>
      <w:r>
        <w:rPr>
          <w:rStyle w:val="20"/>
          <w:rFonts w:hint="eastAsia" w:ascii="仿宋" w:hAnsi="仿宋" w:eastAsia="仿宋"/>
          <w:b w:val="0"/>
          <w:bCs/>
          <w:color w:val="000000"/>
          <w:sz w:val="32"/>
          <w:szCs w:val="32"/>
        </w:rPr>
        <w:t xml:space="preserve">（款） </w:t>
      </w:r>
      <w:r>
        <w:rPr>
          <w:rStyle w:val="20"/>
          <w:rFonts w:hint="eastAsia" w:ascii="仿宋" w:hAnsi="仿宋" w:eastAsia="仿宋"/>
          <w:b w:val="0"/>
          <w:bCs/>
          <w:color w:val="000000"/>
          <w:sz w:val="32"/>
          <w:szCs w:val="32"/>
          <w:lang w:eastAsia="zh-CN"/>
        </w:rPr>
        <w:t>其他统计信息事务支出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10.</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财政事务</w:t>
      </w:r>
      <w:r>
        <w:rPr>
          <w:rStyle w:val="20"/>
          <w:rFonts w:hint="eastAsia" w:ascii="仿宋" w:hAnsi="仿宋" w:eastAsia="仿宋"/>
          <w:b w:val="0"/>
          <w:bCs/>
          <w:color w:val="000000"/>
          <w:sz w:val="32"/>
          <w:szCs w:val="32"/>
        </w:rPr>
        <w:t xml:space="preserve">（款） </w:t>
      </w:r>
      <w:r>
        <w:rPr>
          <w:rStyle w:val="20"/>
          <w:rFonts w:hint="eastAsia" w:ascii="仿宋" w:hAnsi="仿宋" w:eastAsia="仿宋"/>
          <w:b w:val="0"/>
          <w:bCs/>
          <w:color w:val="000000"/>
          <w:sz w:val="32"/>
          <w:szCs w:val="32"/>
          <w:lang w:val="en-US" w:eastAsia="zh-CN"/>
        </w:rPr>
        <w:t>一般行政管理</w:t>
      </w:r>
      <w:r>
        <w:rPr>
          <w:rStyle w:val="20"/>
          <w:rFonts w:hint="eastAsia" w:ascii="仿宋" w:hAnsi="仿宋" w:eastAsia="仿宋"/>
          <w:b w:val="0"/>
          <w:bCs/>
          <w:color w:val="000000"/>
          <w:sz w:val="32"/>
          <w:szCs w:val="32"/>
          <w:lang w:eastAsia="zh-CN"/>
        </w:rPr>
        <w:t>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11.</w:t>
      </w:r>
      <w:r>
        <w:rPr>
          <w:rStyle w:val="20"/>
          <w:rFonts w:hint="eastAsia" w:ascii="仿宋" w:hAnsi="仿宋" w:eastAsia="仿宋"/>
          <w:b w:val="0"/>
          <w:bCs/>
          <w:color w:val="000000"/>
          <w:sz w:val="32"/>
          <w:szCs w:val="32"/>
        </w:rPr>
        <w:t>一般公共服务（类）纪检监察事务（款）</w:t>
      </w:r>
      <w:r>
        <w:rPr>
          <w:rStyle w:val="20"/>
          <w:rFonts w:hint="eastAsia" w:ascii="仿宋" w:hAnsi="仿宋" w:eastAsia="仿宋"/>
          <w:b w:val="0"/>
          <w:bCs/>
          <w:color w:val="000000"/>
          <w:sz w:val="32"/>
          <w:szCs w:val="32"/>
          <w:lang w:eastAsia="zh-CN"/>
        </w:rPr>
        <w:t>一般行政管理事务</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cs="Times New Roman"/>
          <w:b w:val="0"/>
          <w:bCs/>
          <w:color w:val="000000"/>
          <w:sz w:val="32"/>
          <w:szCs w:val="32"/>
          <w:lang w:val="en-US" w:eastAsia="zh-CN"/>
        </w:rPr>
      </w:pPr>
      <w:r>
        <w:rPr>
          <w:rStyle w:val="20"/>
          <w:rFonts w:hint="eastAsia" w:ascii="仿宋" w:hAnsi="仿宋" w:eastAsia="仿宋" w:cs="Times New Roman"/>
          <w:b w:val="0"/>
          <w:bCs/>
          <w:color w:val="000000"/>
          <w:sz w:val="32"/>
          <w:szCs w:val="32"/>
          <w:lang w:val="en-US" w:eastAsia="zh-CN"/>
        </w:rPr>
        <w:t>12.一般公共服务（类）纪检监察事务（款）派驻派出机构（项）： 支出决算为8万元，完成预算100%。</w:t>
      </w:r>
    </w:p>
    <w:p>
      <w:pPr>
        <w:numPr>
          <w:ilvl w:val="0"/>
          <w:numId w:val="0"/>
        </w:num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13.</w:t>
      </w:r>
      <w:r>
        <w:rPr>
          <w:rStyle w:val="20"/>
          <w:rFonts w:hint="eastAsia" w:ascii="仿宋" w:hAnsi="仿宋" w:eastAsia="仿宋"/>
          <w:b w:val="0"/>
          <w:bCs/>
          <w:color w:val="000000"/>
          <w:sz w:val="32"/>
          <w:szCs w:val="32"/>
        </w:rPr>
        <w:t>一般公共服务（类）纪检监察事务（款</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其他纪检监察事务支出（项）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4.60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14.</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群众团体</w:t>
      </w:r>
      <w:r>
        <w:rPr>
          <w:rStyle w:val="20"/>
          <w:rFonts w:hint="eastAsia" w:ascii="仿宋" w:hAnsi="仿宋" w:eastAsia="仿宋"/>
          <w:b w:val="0"/>
          <w:bCs/>
          <w:color w:val="000000"/>
          <w:sz w:val="32"/>
          <w:szCs w:val="32"/>
        </w:rPr>
        <w:t>事务（款）</w:t>
      </w:r>
      <w:r>
        <w:rPr>
          <w:rStyle w:val="20"/>
          <w:rFonts w:hint="eastAsia" w:ascii="仿宋" w:hAnsi="仿宋" w:eastAsia="仿宋"/>
          <w:b w:val="0"/>
          <w:bCs/>
          <w:color w:val="000000"/>
          <w:sz w:val="32"/>
          <w:szCs w:val="32"/>
          <w:lang w:val="en-US" w:eastAsia="zh-CN"/>
        </w:rPr>
        <w:t>其他群众团体事务支出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15.</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党委办公厅（室）及相关机构事务</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一般行政管理事务</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6.33</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auto"/>
          <w:sz w:val="32"/>
          <w:szCs w:val="32"/>
        </w:rPr>
      </w:pPr>
      <w:r>
        <w:rPr>
          <w:rStyle w:val="20"/>
          <w:rFonts w:hint="eastAsia" w:ascii="仿宋" w:hAnsi="仿宋" w:eastAsia="仿宋"/>
          <w:b w:val="0"/>
          <w:bCs/>
          <w:color w:val="auto"/>
          <w:sz w:val="32"/>
          <w:szCs w:val="32"/>
          <w:lang w:val="en-US" w:eastAsia="zh-CN"/>
        </w:rPr>
        <w:t>16.</w:t>
      </w:r>
      <w:r>
        <w:rPr>
          <w:rStyle w:val="20"/>
          <w:rFonts w:hint="eastAsia" w:ascii="仿宋" w:hAnsi="仿宋" w:eastAsia="仿宋"/>
          <w:b w:val="0"/>
          <w:bCs/>
          <w:color w:val="000000"/>
          <w:sz w:val="32"/>
          <w:szCs w:val="32"/>
        </w:rPr>
        <w:t>一般公共服务（类）</w:t>
      </w:r>
      <w:r>
        <w:rPr>
          <w:rStyle w:val="20"/>
          <w:rFonts w:hint="eastAsia" w:ascii="仿宋" w:hAnsi="仿宋" w:eastAsia="仿宋"/>
          <w:b w:val="0"/>
          <w:bCs/>
          <w:color w:val="000000"/>
          <w:sz w:val="32"/>
          <w:szCs w:val="32"/>
          <w:lang w:val="en-US" w:eastAsia="zh-CN"/>
        </w:rPr>
        <w:t>宣传</w:t>
      </w:r>
      <w:r>
        <w:rPr>
          <w:rStyle w:val="20"/>
          <w:rFonts w:hint="eastAsia" w:ascii="仿宋" w:hAnsi="仿宋" w:eastAsia="仿宋"/>
          <w:b w:val="0"/>
          <w:bCs/>
          <w:color w:val="000000"/>
          <w:sz w:val="32"/>
          <w:szCs w:val="32"/>
        </w:rPr>
        <w:t>事务（款）</w:t>
      </w:r>
      <w:r>
        <w:rPr>
          <w:rStyle w:val="20"/>
          <w:rFonts w:hint="eastAsia" w:ascii="仿宋" w:hAnsi="仿宋" w:eastAsia="仿宋"/>
          <w:b w:val="0"/>
          <w:bCs/>
          <w:color w:val="000000"/>
          <w:sz w:val="32"/>
          <w:szCs w:val="32"/>
          <w:lang w:val="en-US" w:eastAsia="zh-CN"/>
        </w:rPr>
        <w:t>其他宣传事务支出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17.</w:t>
      </w:r>
      <w:r>
        <w:rPr>
          <w:rStyle w:val="20"/>
          <w:rFonts w:hint="eastAsia" w:ascii="仿宋" w:hAnsi="仿宋" w:eastAsia="仿宋"/>
          <w:b w:val="0"/>
          <w:bCs/>
          <w:color w:val="000000"/>
          <w:sz w:val="32"/>
          <w:szCs w:val="32"/>
          <w:lang w:val="en-US" w:eastAsia="zh-CN"/>
        </w:rPr>
        <w:t>国防支出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国防动员</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兵役征集</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18.</w:t>
      </w:r>
      <w:r>
        <w:rPr>
          <w:rStyle w:val="20"/>
          <w:rFonts w:hint="eastAsia" w:ascii="仿宋" w:hAnsi="仿宋" w:eastAsia="仿宋"/>
          <w:b w:val="0"/>
          <w:bCs/>
          <w:color w:val="000000"/>
          <w:sz w:val="32"/>
          <w:szCs w:val="32"/>
          <w:lang w:val="en-US" w:eastAsia="zh-CN"/>
        </w:rPr>
        <w:t>公共安全支出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强制隔离戒毒</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其他强制隔离戒毒支出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6</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Fonts w:ascii="仿宋" w:hAnsi="仿宋" w:eastAsia="仿宋"/>
          <w:b w:val="0"/>
          <w:bCs/>
          <w:color w:val="000000"/>
          <w:sz w:val="32"/>
          <w:szCs w:val="32"/>
        </w:rPr>
      </w:pPr>
      <w:r>
        <w:rPr>
          <w:rStyle w:val="20"/>
          <w:rFonts w:hint="eastAsia" w:ascii="仿宋" w:hAnsi="仿宋" w:eastAsia="仿宋"/>
          <w:b w:val="0"/>
          <w:bCs/>
          <w:color w:val="auto"/>
          <w:sz w:val="32"/>
          <w:szCs w:val="32"/>
          <w:lang w:val="en-US" w:eastAsia="zh-CN"/>
        </w:rPr>
        <w:t>19.</w:t>
      </w:r>
      <w:r>
        <w:rPr>
          <w:rStyle w:val="20"/>
          <w:rFonts w:hint="eastAsia" w:ascii="仿宋" w:hAnsi="仿宋" w:eastAsia="仿宋"/>
          <w:b w:val="0"/>
          <w:bCs/>
          <w:color w:val="000000"/>
          <w:sz w:val="32"/>
          <w:szCs w:val="32"/>
        </w:rPr>
        <w:t>文化旅游体育与传媒</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（类）文化和旅游（款）</w:t>
      </w:r>
      <w:r>
        <w:rPr>
          <w:rStyle w:val="20"/>
          <w:rFonts w:hint="eastAsia" w:ascii="仿宋" w:hAnsi="仿宋" w:eastAsia="仿宋"/>
          <w:b w:val="0"/>
          <w:bCs/>
          <w:color w:val="000000"/>
          <w:sz w:val="32"/>
          <w:szCs w:val="32"/>
          <w:lang w:val="en-US" w:eastAsia="zh-CN"/>
        </w:rPr>
        <w:t>群众文化</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1.8</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numPr>
          <w:ilvl w:val="0"/>
          <w:numId w:val="0"/>
        </w:numPr>
        <w:spacing w:line="600" w:lineRule="exact"/>
        <w:ind w:firstLine="640" w:firstLineChars="200"/>
        <w:rPr>
          <w:rStyle w:val="20"/>
          <w:rFonts w:hint="default" w:ascii="仿宋" w:hAnsi="仿宋" w:eastAsia="仿宋"/>
          <w:b w:val="0"/>
          <w:bCs/>
          <w:color w:val="auto"/>
          <w:sz w:val="32"/>
          <w:szCs w:val="32"/>
          <w:lang w:val="en-US" w:eastAsia="zh-CN"/>
        </w:rPr>
      </w:pPr>
      <w:r>
        <w:rPr>
          <w:rStyle w:val="20"/>
          <w:rFonts w:hint="eastAsia" w:ascii="仿宋" w:hAnsi="仿宋" w:eastAsia="仿宋"/>
          <w:b w:val="0"/>
          <w:bCs/>
          <w:color w:val="auto"/>
          <w:sz w:val="32"/>
          <w:szCs w:val="32"/>
          <w:lang w:val="en-US" w:eastAsia="zh-CN"/>
        </w:rPr>
        <w:t>20.</w:t>
      </w:r>
      <w:r>
        <w:rPr>
          <w:rStyle w:val="20"/>
          <w:rFonts w:hint="eastAsia" w:ascii="仿宋" w:hAnsi="仿宋" w:eastAsia="仿宋"/>
          <w:b w:val="0"/>
          <w:bCs/>
          <w:color w:val="000000"/>
          <w:sz w:val="32"/>
          <w:szCs w:val="32"/>
        </w:rPr>
        <w:t>文化旅游体育与传媒</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（类）文化和旅游（款）</w:t>
      </w:r>
      <w:r>
        <w:rPr>
          <w:rStyle w:val="20"/>
          <w:rFonts w:hint="eastAsia" w:ascii="仿宋" w:hAnsi="仿宋" w:eastAsia="仿宋"/>
          <w:b w:val="0"/>
          <w:bCs/>
          <w:color w:val="000000"/>
          <w:sz w:val="32"/>
          <w:szCs w:val="32"/>
          <w:lang w:val="en-US" w:eastAsia="zh-CN"/>
        </w:rPr>
        <w:t>文化和旅游管理事务</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108.03</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21</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（类）民政管理事务（款）基层政权建设和社区治理（项）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350.79</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22</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社会保障和就业</w:t>
      </w:r>
      <w:r>
        <w:rPr>
          <w:rStyle w:val="20"/>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（类）行政事业单位养老支出（款）机关事业单位基本养老保险缴费支出（项）</w:t>
      </w:r>
      <w:r>
        <w:rPr>
          <w:rStyle w:val="20"/>
          <w:rFonts w:hint="eastAsia" w:ascii="仿宋" w:hAnsi="仿宋" w:eastAsia="仿宋"/>
          <w:b w:val="0"/>
          <w:bCs/>
          <w:color w:val="000000"/>
          <w:sz w:val="32"/>
          <w:szCs w:val="32"/>
          <w:lang w:eastAsia="zh-CN"/>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158.07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p>
    <w:p>
      <w:pPr>
        <w:spacing w:line="600" w:lineRule="exact"/>
        <w:ind w:firstLine="640" w:firstLineChars="200"/>
        <w:rPr>
          <w:rStyle w:val="20"/>
          <w:rFonts w:hint="eastAsia"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23</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（类）行政事业单位医疗（款）行政单位医疗（项）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32.48</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pPr>
      <w:r>
        <w:rPr>
          <w:rStyle w:val="20"/>
          <w:rFonts w:hint="eastAsia" w:ascii="仿宋" w:hAnsi="仿宋" w:eastAsia="仿宋"/>
          <w:b w:val="0"/>
          <w:bCs/>
          <w:color w:val="000000"/>
          <w:sz w:val="32"/>
          <w:szCs w:val="32"/>
          <w:lang w:val="en-US" w:eastAsia="zh-CN"/>
        </w:rPr>
        <w:t>24</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卫生健康</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（类）行政事业单位医疗（款）事业单位医疗（项）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46.55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ascii="仿宋" w:hAnsi="仿宋" w:eastAsia="仿宋"/>
          <w:b w:val="0"/>
          <w:bCs/>
          <w:color w:val="000000"/>
          <w:sz w:val="32"/>
          <w:szCs w:val="32"/>
        </w:rPr>
      </w:pPr>
      <w:r>
        <w:rPr>
          <w:rStyle w:val="20"/>
          <w:rFonts w:hint="eastAsia" w:ascii="仿宋" w:hAnsi="仿宋" w:eastAsia="仿宋"/>
          <w:b w:val="0"/>
          <w:bCs/>
          <w:color w:val="000000"/>
          <w:sz w:val="32"/>
          <w:szCs w:val="32"/>
          <w:lang w:val="en-US" w:eastAsia="zh-CN"/>
        </w:rPr>
        <w:t>25</w:t>
      </w:r>
      <w:r>
        <w:rPr>
          <w:rStyle w:val="20"/>
          <w:rFonts w:ascii="仿宋" w:hAnsi="仿宋" w:eastAsia="仿宋"/>
          <w:b w:val="0"/>
          <w:bCs/>
          <w:color w:val="000000"/>
          <w:sz w:val="32"/>
          <w:szCs w:val="32"/>
        </w:rPr>
        <w:t>.</w:t>
      </w:r>
      <w:r>
        <w:rPr>
          <w:rFonts w:hint="eastAsia" w:ascii="仿宋" w:hAnsi="仿宋" w:eastAsia="仿宋"/>
          <w:b w:val="0"/>
          <w:bCs/>
          <w:color w:val="000000"/>
          <w:sz w:val="32"/>
          <w:szCs w:val="32"/>
          <w:lang w:eastAsia="zh-CN"/>
        </w:rPr>
        <w:t>卫生健康支出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eastAsia="zh-CN"/>
        </w:rPr>
        <w:t>其他卫生健康支出</w:t>
      </w:r>
      <w:r>
        <w:rPr>
          <w:rStyle w:val="20"/>
          <w:rFonts w:hint="eastAsia" w:ascii="仿宋" w:hAnsi="仿宋" w:eastAsia="仿宋"/>
          <w:b w:val="0"/>
          <w:bCs/>
          <w:color w:val="000000"/>
          <w:sz w:val="32"/>
          <w:szCs w:val="32"/>
        </w:rPr>
        <w:t>（款）其他卫生健康</w:t>
      </w:r>
      <w:r>
        <w:rPr>
          <w:rStyle w:val="20"/>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0.5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26</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城乡社区</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（类）城乡社区环境卫生（款）城乡社区环境卫生（项）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19.72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27</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事业运行</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513.2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28</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农业农村</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防灾救灾</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33</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29</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（类）林业和草原（款）林业草原防灾减灾（项）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hint="eastAsia"/>
          <w:lang w:val="en-US" w:eastAsia="zh-CN"/>
        </w:rPr>
      </w:pPr>
      <w:r>
        <w:rPr>
          <w:rStyle w:val="20"/>
          <w:rFonts w:hint="eastAsia" w:ascii="仿宋" w:hAnsi="仿宋" w:eastAsia="仿宋"/>
          <w:b w:val="0"/>
          <w:bCs/>
          <w:color w:val="000000"/>
          <w:sz w:val="32"/>
          <w:szCs w:val="32"/>
          <w:lang w:val="en-US" w:eastAsia="zh-CN"/>
        </w:rPr>
        <w:t>30</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水利</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防汛</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24.97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Fonts w:hint="eastAsia"/>
          <w:lang w:val="en-US" w:eastAsia="zh-CN"/>
        </w:rPr>
      </w:pPr>
      <w:r>
        <w:rPr>
          <w:rStyle w:val="20"/>
          <w:rFonts w:hint="eastAsia" w:ascii="仿宋" w:hAnsi="仿宋" w:eastAsia="仿宋"/>
          <w:b w:val="0"/>
          <w:bCs/>
          <w:color w:val="000000"/>
          <w:sz w:val="32"/>
          <w:szCs w:val="32"/>
          <w:lang w:val="en-US" w:eastAsia="zh-CN"/>
        </w:rPr>
        <w:t>31</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水利</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抗旱</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8</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cs="Times New Roman"/>
          <w:b w:val="0"/>
          <w:bCs/>
          <w:color w:val="000000"/>
          <w:sz w:val="32"/>
          <w:szCs w:val="32"/>
          <w:lang w:val="en-US" w:eastAsia="zh-CN"/>
        </w:rPr>
      </w:pPr>
      <w:r>
        <w:rPr>
          <w:rStyle w:val="20"/>
          <w:rFonts w:hint="eastAsia" w:ascii="仿宋" w:hAnsi="仿宋" w:eastAsia="仿宋" w:cs="Times New Roman"/>
          <w:b w:val="0"/>
          <w:bCs/>
          <w:color w:val="000000"/>
          <w:sz w:val="32"/>
          <w:szCs w:val="32"/>
          <w:lang w:val="en-US" w:eastAsia="zh-CN"/>
        </w:rPr>
        <w:t>32.农林水支出（类）水利（款）农村水利（项）：支出决算为20万元，完成预算100%。</w:t>
      </w:r>
    </w:p>
    <w:p>
      <w:pPr>
        <w:spacing w:line="600" w:lineRule="exact"/>
        <w:ind w:firstLine="640" w:firstLineChars="200"/>
        <w:rPr>
          <w:rFonts w:hint="eastAsia"/>
        </w:rPr>
      </w:pPr>
      <w:r>
        <w:rPr>
          <w:rStyle w:val="20"/>
          <w:rFonts w:hint="eastAsia" w:ascii="仿宋" w:hAnsi="仿宋" w:eastAsia="仿宋"/>
          <w:b w:val="0"/>
          <w:bCs/>
          <w:color w:val="000000"/>
          <w:sz w:val="32"/>
          <w:szCs w:val="32"/>
          <w:lang w:val="en-US" w:eastAsia="zh-CN"/>
        </w:rPr>
        <w:t>33</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val="en-US"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cstheme="minorBidi"/>
          <w:b w:val="0"/>
          <w:bCs/>
          <w:color w:val="000000"/>
          <w:sz w:val="32"/>
          <w:szCs w:val="32"/>
          <w:lang w:val="en-US" w:eastAsia="zh-CN"/>
        </w:rPr>
        <w:t>巩固拓展脱贫攻坚成果同乡村振兴有效衔接</w:t>
      </w:r>
      <w:r>
        <w:rPr>
          <w:rStyle w:val="20"/>
          <w:rFonts w:hint="eastAsia" w:ascii="仿宋" w:hAnsi="仿宋" w:eastAsia="仿宋" w:cstheme="minorBidi"/>
          <w:b w:val="0"/>
          <w:bCs/>
          <w:color w:val="000000"/>
          <w:sz w:val="32"/>
          <w:szCs w:val="32"/>
        </w:rPr>
        <w:t>（款）其他</w:t>
      </w:r>
      <w:r>
        <w:rPr>
          <w:rStyle w:val="20"/>
          <w:rFonts w:hint="eastAsia" w:ascii="仿宋" w:hAnsi="仿宋" w:eastAsia="仿宋" w:cstheme="minorBidi"/>
          <w:b w:val="0"/>
          <w:bCs/>
          <w:color w:val="000000"/>
          <w:sz w:val="32"/>
          <w:szCs w:val="32"/>
          <w:lang w:val="en-US" w:eastAsia="zh-CN"/>
        </w:rPr>
        <w:t>巩固拓展脱贫攻坚成果同乡村振兴有效衔接</w:t>
      </w:r>
      <w:r>
        <w:rPr>
          <w:rStyle w:val="20"/>
          <w:rFonts w:hint="eastAsia" w:ascii="仿宋" w:hAnsi="仿宋" w:eastAsia="仿宋"/>
          <w:b w:val="0"/>
          <w:bCs/>
          <w:color w:val="000000"/>
          <w:sz w:val="32"/>
          <w:szCs w:val="32"/>
        </w:rPr>
        <w:t>支出（项）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54.27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34</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（类）农村综合改革（款）对村民委员会和村党支部的补助（项）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558.02</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color w:val="000000"/>
          <w:sz w:val="32"/>
          <w:szCs w:val="32"/>
          <w:lang w:eastAsia="zh-CN"/>
        </w:rPr>
      </w:pPr>
      <w:r>
        <w:rPr>
          <w:rStyle w:val="20"/>
          <w:rFonts w:hint="eastAsia" w:ascii="仿宋" w:hAnsi="仿宋" w:eastAsia="仿宋"/>
          <w:b w:val="0"/>
          <w:bCs/>
          <w:color w:val="000000"/>
          <w:sz w:val="32"/>
          <w:szCs w:val="32"/>
          <w:lang w:val="en-US" w:eastAsia="zh-CN"/>
        </w:rPr>
        <w:t>35</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农林水</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（类）农村综合改革（款）</w:t>
      </w:r>
      <w:r>
        <w:rPr>
          <w:rStyle w:val="20"/>
          <w:rFonts w:hint="eastAsia" w:ascii="仿宋" w:hAnsi="仿宋" w:eastAsia="仿宋"/>
          <w:b w:val="0"/>
          <w:bCs/>
          <w:color w:val="000000"/>
          <w:sz w:val="32"/>
          <w:szCs w:val="32"/>
          <w:lang w:eastAsia="zh-CN"/>
        </w:rPr>
        <w:t>其他农村综合改革支出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20</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36</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住房保障</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（类）住房改革支出（款）住房公积金（项）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118.55</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firstLineChars="200"/>
        <w:rPr>
          <w:rStyle w:val="20"/>
          <w:rFonts w:hint="eastAsia" w:ascii="仿宋" w:hAnsi="仿宋" w:eastAsia="仿宋"/>
          <w:b w:val="0"/>
          <w:bCs/>
          <w:sz w:val="32"/>
          <w:szCs w:val="32"/>
          <w:lang w:eastAsia="zh-CN"/>
        </w:rPr>
      </w:pPr>
      <w:r>
        <w:rPr>
          <w:rStyle w:val="20"/>
          <w:rFonts w:hint="eastAsia" w:ascii="仿宋" w:hAnsi="仿宋" w:eastAsia="仿宋"/>
          <w:b w:val="0"/>
          <w:bCs/>
          <w:color w:val="000000"/>
          <w:sz w:val="32"/>
          <w:szCs w:val="32"/>
          <w:lang w:val="en-US" w:eastAsia="zh-CN"/>
        </w:rPr>
        <w:t>37</w:t>
      </w:r>
      <w:r>
        <w:rPr>
          <w:rStyle w:val="20"/>
          <w:rFonts w:ascii="仿宋" w:hAnsi="仿宋" w:eastAsia="仿宋"/>
          <w:b w:val="0"/>
          <w:bCs/>
          <w:color w:val="000000"/>
          <w:sz w:val="32"/>
          <w:szCs w:val="32"/>
        </w:rPr>
        <w:t>.</w:t>
      </w:r>
      <w:r>
        <w:rPr>
          <w:rFonts w:hint="eastAsia" w:ascii="仿宋" w:hAnsi="仿宋" w:eastAsia="仿宋"/>
          <w:b w:val="0"/>
          <w:bCs/>
          <w:color w:val="000000"/>
          <w:sz w:val="32"/>
          <w:szCs w:val="32"/>
        </w:rPr>
        <w:t>住房保障</w:t>
      </w:r>
      <w:r>
        <w:rPr>
          <w:rFonts w:hint="eastAsia" w:ascii="仿宋" w:hAnsi="仿宋" w:eastAsia="仿宋"/>
          <w:b w:val="0"/>
          <w:bCs/>
          <w:color w:val="000000"/>
          <w:sz w:val="32"/>
          <w:szCs w:val="32"/>
          <w:lang w:eastAsia="zh-CN"/>
        </w:rPr>
        <w:t>支出</w:t>
      </w:r>
      <w:r>
        <w:rPr>
          <w:rStyle w:val="20"/>
          <w:rFonts w:hint="eastAsia" w:ascii="仿宋" w:hAnsi="仿宋" w:eastAsia="仿宋"/>
          <w:b w:val="0"/>
          <w:bCs/>
          <w:color w:val="000000"/>
          <w:sz w:val="32"/>
          <w:szCs w:val="32"/>
        </w:rPr>
        <w:t>（类）</w:t>
      </w:r>
      <w:r>
        <w:rPr>
          <w:rStyle w:val="20"/>
          <w:rFonts w:hint="eastAsia" w:ascii="仿宋" w:hAnsi="仿宋" w:eastAsia="仿宋"/>
          <w:b w:val="0"/>
          <w:bCs/>
          <w:color w:val="000000"/>
          <w:sz w:val="32"/>
          <w:szCs w:val="32"/>
          <w:lang w:val="en-US" w:eastAsia="zh-CN"/>
        </w:rPr>
        <w:t>城乡社区住宅</w:t>
      </w:r>
      <w:r>
        <w:rPr>
          <w:rStyle w:val="20"/>
          <w:rFonts w:hint="eastAsia" w:ascii="仿宋" w:hAnsi="仿宋" w:eastAsia="仿宋"/>
          <w:b w:val="0"/>
          <w:bCs/>
          <w:color w:val="000000"/>
          <w:sz w:val="32"/>
          <w:szCs w:val="32"/>
        </w:rPr>
        <w:t>（款）</w:t>
      </w:r>
      <w:r>
        <w:rPr>
          <w:rStyle w:val="20"/>
          <w:rFonts w:hint="eastAsia" w:ascii="仿宋" w:hAnsi="仿宋" w:eastAsia="仿宋"/>
          <w:b w:val="0"/>
          <w:bCs/>
          <w:color w:val="000000"/>
          <w:sz w:val="32"/>
          <w:szCs w:val="32"/>
          <w:lang w:val="en-US" w:eastAsia="zh-CN"/>
        </w:rPr>
        <w:t>公有住房建设和维修改造支出</w:t>
      </w:r>
      <w:r>
        <w:rPr>
          <w:rStyle w:val="20"/>
          <w:rFonts w:hint="eastAsia" w:ascii="仿宋" w:hAnsi="仿宋" w:eastAsia="仿宋"/>
          <w:b w:val="0"/>
          <w:bCs/>
          <w:color w:val="000000"/>
          <w:sz w:val="32"/>
          <w:szCs w:val="32"/>
        </w:rPr>
        <w:t>（项）</w:t>
      </w:r>
      <w:r>
        <w:rPr>
          <w:rStyle w:val="20"/>
          <w:rFonts w:hint="eastAsia" w:ascii="仿宋" w:hAnsi="仿宋" w:eastAsia="仿宋"/>
          <w:b w:val="0"/>
          <w:bCs/>
          <w:color w:val="000000"/>
          <w:sz w:val="32"/>
          <w:szCs w:val="32"/>
          <w:lang w:eastAsia="zh-CN"/>
        </w:rPr>
        <w:t>：</w:t>
      </w:r>
      <w:r>
        <w:rPr>
          <w:rStyle w:val="20"/>
          <w:rFonts w:hint="eastAsia" w:ascii="仿宋" w:hAnsi="仿宋" w:eastAsia="仿宋"/>
          <w:b w:val="0"/>
          <w:bCs/>
          <w:color w:val="000000"/>
          <w:sz w:val="32"/>
          <w:szCs w:val="32"/>
        </w:rPr>
        <w:t>支出决算为</w:t>
      </w:r>
      <w:r>
        <w:rPr>
          <w:rStyle w:val="20"/>
          <w:rFonts w:hint="eastAsia" w:ascii="仿宋" w:hAnsi="仿宋" w:eastAsia="仿宋"/>
          <w:b w:val="0"/>
          <w:bCs/>
          <w:color w:val="000000"/>
          <w:sz w:val="32"/>
          <w:szCs w:val="32"/>
          <w:lang w:val="en-US" w:eastAsia="zh-CN"/>
        </w:rPr>
        <w:t>4.67</w:t>
      </w:r>
      <w:r>
        <w:rPr>
          <w:rStyle w:val="20"/>
          <w:rFonts w:hint="eastAsia" w:ascii="仿宋" w:hAnsi="仿宋" w:eastAsia="仿宋"/>
          <w:b w:val="0"/>
          <w:bCs/>
          <w:color w:val="000000"/>
          <w:sz w:val="32"/>
          <w:szCs w:val="32"/>
        </w:rPr>
        <w:t>万元</w:t>
      </w:r>
      <w:r>
        <w:rPr>
          <w:rStyle w:val="20"/>
          <w:rFonts w:hint="eastAsia" w:ascii="仿宋" w:hAnsi="仿宋" w:eastAsia="仿宋"/>
          <w:b w:val="0"/>
          <w:bCs/>
          <w:color w:val="000000"/>
          <w:sz w:val="32"/>
          <w:szCs w:val="32"/>
          <w:lang w:eastAsia="zh-CN"/>
        </w:rPr>
        <w:t>，完成预算</w:t>
      </w:r>
      <w:r>
        <w:rPr>
          <w:rStyle w:val="20"/>
          <w:rFonts w:hint="eastAsia" w:ascii="仿宋" w:hAnsi="仿宋" w:eastAsia="仿宋"/>
          <w:b w:val="0"/>
          <w:bCs/>
          <w:color w:val="000000"/>
          <w:sz w:val="32"/>
          <w:szCs w:val="32"/>
          <w:lang w:val="en-US" w:eastAsia="zh-CN"/>
        </w:rPr>
        <w:t>100%</w:t>
      </w:r>
      <w:r>
        <w:rPr>
          <w:rStyle w:val="20"/>
          <w:rFonts w:hint="eastAsia" w:ascii="仿宋" w:hAnsi="仿宋" w:eastAsia="仿宋"/>
          <w:b w:val="0"/>
          <w:bCs/>
          <w:sz w:val="32"/>
          <w:szCs w:val="32"/>
          <w:lang w:eastAsia="zh-CN"/>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32"/>
        </w:rPr>
      </w:pPr>
      <w:bookmarkStart w:id="40" w:name="_Toc15377214"/>
      <w:bookmarkStart w:id="4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2"/>
          <w:rFonts w:hint="eastAsia" w:ascii="黑体" w:hAnsi="黑体" w:eastAsia="黑体"/>
          <w:b w:val="0"/>
        </w:rPr>
        <w:t>般公共预算财政拨款基本支出决算情况说明</w:t>
      </w:r>
      <w:bookmarkEnd w:id="40"/>
      <w:bookmarkEnd w:id="41"/>
      <w:r>
        <w:rPr>
          <w:rStyle w:val="32"/>
          <w:rFonts w:ascii="黑体" w:hAnsi="黑体" w:eastAsia="黑体"/>
          <w:b w:val="0"/>
        </w:rPr>
        <w:tab/>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2284.64</w:t>
      </w:r>
      <w:r>
        <w:rPr>
          <w:rFonts w:hint="eastAsia" w:ascii="仿宋" w:hAnsi="仿宋" w:eastAsia="仿宋"/>
          <w:sz w:val="32"/>
          <w:szCs w:val="32"/>
        </w:rPr>
        <w:t>万元，其中：</w:t>
      </w:r>
    </w:p>
    <w:p>
      <w:pPr>
        <w:spacing w:line="600" w:lineRule="exact"/>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2001.8</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生活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265.88</w:t>
      </w:r>
      <w:r>
        <w:rPr>
          <w:rFonts w:hint="eastAsia" w:ascii="仿宋" w:hAnsi="仿宋" w:eastAsia="仿宋"/>
          <w:sz w:val="32"/>
          <w:szCs w:val="32"/>
        </w:rPr>
        <w:t>万元，主要包括：办公费、印刷费、手续费、水费、电费、邮电费、差旅费、维修（护）费、会议费、培训费、公务接待费、劳务费、委托业务费、工会经费、福利费、其他交通费、其他商品和服务支出、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32"/>
          <w:rFonts w:ascii="黑体" w:hAnsi="黑体" w:eastAsia="黑体"/>
          <w:b w:val="0"/>
        </w:rPr>
      </w:pPr>
      <w:bookmarkStart w:id="42" w:name="_Toc15396609"/>
      <w:bookmarkStart w:id="43" w:name="_Toc15377215"/>
      <w:r>
        <w:rPr>
          <w:rFonts w:hint="eastAsia" w:ascii="黑体" w:eastAsia="黑体"/>
          <w:sz w:val="32"/>
          <w:szCs w:val="32"/>
        </w:rPr>
        <w:t>七、</w:t>
      </w:r>
      <w:r>
        <w:rPr>
          <w:rStyle w:val="32"/>
          <w:rFonts w:hint="eastAsia" w:ascii="黑体" w:hAnsi="黑体" w:eastAsia="黑体"/>
          <w:b w:val="0"/>
        </w:rPr>
        <w:t>财政拨款</w:t>
      </w:r>
      <w:r>
        <w:rPr>
          <w:rStyle w:val="32"/>
          <w:rFonts w:hint="eastAsia" w:ascii="黑体" w:hAnsi="黑体" w:eastAsia="黑体"/>
        </w:rPr>
        <w:t>“</w:t>
      </w:r>
      <w:r>
        <w:rPr>
          <w:rStyle w:val="32"/>
          <w:rFonts w:hint="eastAsia" w:ascii="黑体" w:hAnsi="黑体" w:eastAsia="黑体"/>
          <w:b w:val="0"/>
        </w:rPr>
        <w:t>三公”经费支出决算情况说明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16</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w:t>
      </w:r>
      <w:r>
        <w:rPr>
          <w:rFonts w:hint="eastAsia" w:ascii="仿宋" w:hAnsi="仿宋" w:eastAsia="仿宋"/>
          <w:sz w:val="32"/>
          <w:szCs w:val="32"/>
          <w:lang w:val="en-US" w:eastAsia="zh-CN"/>
        </w:rPr>
        <w:t>减少6.02</w:t>
      </w:r>
      <w:r>
        <w:rPr>
          <w:rFonts w:hint="eastAsia" w:ascii="仿宋" w:hAnsi="仿宋" w:eastAsia="仿宋"/>
          <w:sz w:val="32"/>
          <w:szCs w:val="32"/>
        </w:rPr>
        <w:t>万元，</w:t>
      </w:r>
      <w:r>
        <w:rPr>
          <w:rFonts w:hint="eastAsia" w:ascii="仿宋" w:hAnsi="仿宋" w:eastAsia="仿宋"/>
          <w:sz w:val="32"/>
          <w:szCs w:val="32"/>
          <w:lang w:val="en-US" w:eastAsia="zh-CN"/>
        </w:rPr>
        <w:t>减少27.34</w:t>
      </w:r>
      <w:r>
        <w:rPr>
          <w:rFonts w:hint="eastAsia" w:ascii="仿宋" w:hAnsi="仿宋" w:eastAsia="仿宋"/>
          <w:sz w:val="32"/>
          <w:szCs w:val="32"/>
        </w:rPr>
        <w:t>%。决算数与预算数持平的主要原因是</w:t>
      </w:r>
      <w:r>
        <w:rPr>
          <w:rFonts w:hint="eastAsia" w:ascii="仿宋" w:hAnsi="仿宋" w:eastAsia="仿宋"/>
          <w:sz w:val="32"/>
          <w:szCs w:val="32"/>
          <w:lang w:eastAsia="zh-CN"/>
        </w:rPr>
        <w:t>厉行节约，合理开支</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rPr>
      </w:pPr>
      <w:r>
        <w:drawing>
          <wp:inline distT="0" distB="0" distL="114300" distR="114300">
            <wp:extent cx="4826000" cy="2743200"/>
            <wp:effectExtent l="4445" t="4445" r="825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r>
        <w:rPr>
          <w:rFonts w:hint="eastAsia" w:ascii="仿宋" w:hAnsi="仿宋" w:eastAsia="仿宋"/>
          <w:sz w:val="32"/>
          <w:szCs w:val="32"/>
        </w:rPr>
        <w:t>主要原因是无因公出国（境）安排</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。主要原因是</w:t>
      </w:r>
      <w:r>
        <w:rPr>
          <w:rFonts w:hint="eastAsia" w:ascii="仿宋_GB2312" w:eastAsia="仿宋_GB2312"/>
          <w:sz w:val="32"/>
          <w:szCs w:val="32"/>
          <w:lang w:eastAsia="zh-CN"/>
        </w:rPr>
        <w:t>无公务用车</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1</w:t>
      </w:r>
      <w:r>
        <w:rPr>
          <w:rFonts w:hint="eastAsia" w:ascii="仿宋_GB2312" w:eastAsia="仿宋_GB2312"/>
          <w:sz w:val="32"/>
          <w:szCs w:val="32"/>
          <w:lang w:val="en-US" w:eastAsia="zh-CN"/>
        </w:rPr>
        <w:t>6</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减少6.02</w:t>
      </w:r>
      <w:r>
        <w:rPr>
          <w:rFonts w:hint="eastAsia" w:ascii="仿宋_GB2312" w:eastAsia="仿宋_GB2312"/>
          <w:sz w:val="32"/>
          <w:szCs w:val="32"/>
        </w:rPr>
        <w:t>万元，</w:t>
      </w:r>
      <w:r>
        <w:rPr>
          <w:rFonts w:hint="eastAsia" w:ascii="仿宋_GB2312" w:eastAsia="仿宋_GB2312"/>
          <w:sz w:val="32"/>
          <w:szCs w:val="32"/>
          <w:lang w:val="en-US" w:eastAsia="zh-CN"/>
        </w:rPr>
        <w:t>减少27.34</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厉行节约，合理开支</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1</w:t>
      </w:r>
      <w:r>
        <w:rPr>
          <w:rFonts w:hint="eastAsia" w:ascii="仿宋" w:hAnsi="仿宋" w:eastAsia="仿宋"/>
          <w:sz w:val="32"/>
          <w:szCs w:val="32"/>
          <w:lang w:val="en-US" w:eastAsia="zh-CN"/>
        </w:rPr>
        <w:t>6</w:t>
      </w:r>
      <w:r>
        <w:rPr>
          <w:rFonts w:hint="eastAsia" w:ascii="仿宋_GB2312" w:eastAsia="仿宋_GB2312"/>
          <w:sz w:val="32"/>
          <w:szCs w:val="32"/>
        </w:rPr>
        <w:t>万元，主要用于执行公务、开展业务活动开支住宿费、用餐费等。国内公务接待</w:t>
      </w:r>
      <w:r>
        <w:rPr>
          <w:rFonts w:hint="eastAsia" w:ascii="仿宋_GB2312" w:eastAsia="仿宋_GB2312"/>
          <w:sz w:val="32"/>
          <w:szCs w:val="32"/>
          <w:lang w:val="en-US" w:eastAsia="zh-CN"/>
        </w:rPr>
        <w:t>358</w:t>
      </w:r>
      <w:r>
        <w:rPr>
          <w:rFonts w:hint="eastAsia" w:ascii="仿宋_GB2312" w:eastAsia="仿宋_GB2312"/>
          <w:sz w:val="32"/>
          <w:szCs w:val="32"/>
        </w:rPr>
        <w:t>批次，</w:t>
      </w:r>
      <w:r>
        <w:rPr>
          <w:rFonts w:hint="eastAsia" w:ascii="仿宋_GB2312" w:eastAsia="仿宋_GB2312"/>
          <w:sz w:val="32"/>
          <w:szCs w:val="32"/>
          <w:lang w:val="en-US" w:eastAsia="zh-CN"/>
        </w:rPr>
        <w:t>3519</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16</w:t>
      </w:r>
      <w:r>
        <w:rPr>
          <w:rFonts w:hint="eastAsia" w:ascii="仿宋_GB2312" w:eastAsia="仿宋_GB2312"/>
          <w:sz w:val="32"/>
          <w:szCs w:val="32"/>
        </w:rPr>
        <w:t>万元，具体内容包括：</w:t>
      </w:r>
      <w:r>
        <w:rPr>
          <w:rFonts w:hint="eastAsia" w:ascii="仿宋_GB2312" w:eastAsia="仿宋_GB2312"/>
          <w:sz w:val="32"/>
          <w:szCs w:val="32"/>
          <w:lang w:eastAsia="zh-CN"/>
        </w:rPr>
        <w:t>接待上级部门检查工作开支的住宿费、用餐费共计</w:t>
      </w:r>
      <w:r>
        <w:rPr>
          <w:rFonts w:hint="eastAsia" w:ascii="仿宋_GB2312" w:eastAsia="仿宋_GB2312"/>
          <w:sz w:val="32"/>
          <w:szCs w:val="32"/>
          <w:lang w:val="en-US" w:eastAsia="zh-CN"/>
        </w:rPr>
        <w:t>16万元</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6" w:name="_Toc15377218"/>
      <w:bookmarkStart w:id="47" w:name="_Toc15396610"/>
    </w:p>
    <w:p>
      <w:pPr>
        <w:spacing w:line="600" w:lineRule="exact"/>
        <w:ind w:firstLine="640"/>
        <w:outlineLvl w:val="1"/>
        <w:rPr>
          <w:rStyle w:val="32"/>
          <w:rFonts w:ascii="黑体" w:hAnsi="黑体" w:eastAsia="黑体"/>
        </w:rPr>
      </w:pPr>
      <w:r>
        <w:rPr>
          <w:rFonts w:hint="eastAsia" w:ascii="黑体" w:eastAsia="黑体"/>
          <w:sz w:val="32"/>
          <w:szCs w:val="32"/>
        </w:rPr>
        <w:t>八、</w:t>
      </w:r>
      <w:r>
        <w:rPr>
          <w:rStyle w:val="32"/>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2.97</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32"/>
          <w:rFonts w:ascii="黑体" w:hAnsi="黑体" w:eastAsia="黑体"/>
          <w:b w:val="0"/>
        </w:rPr>
      </w:pPr>
      <w:bookmarkStart w:id="48" w:name="_Toc15377219"/>
      <w:bookmarkStart w:id="49" w:name="_Toc15396611"/>
      <w:r>
        <w:rPr>
          <w:rStyle w:val="32"/>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32"/>
          <w:rFonts w:ascii="黑体" w:hAnsi="黑体" w:eastAsia="黑体"/>
          <w:b w:val="0"/>
        </w:rPr>
      </w:pPr>
      <w:bookmarkStart w:id="50" w:name="_Toc15396612"/>
      <w:bookmarkStart w:id="51" w:name="_Toc15377221"/>
      <w:r>
        <w:rPr>
          <w:rStyle w:val="32"/>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w:t>
      </w:r>
      <w:r>
        <w:rPr>
          <w:rFonts w:hint="eastAsia" w:ascii="仿宋_GB2312" w:eastAsia="仿宋_GB2312"/>
          <w:sz w:val="32"/>
          <w:szCs w:val="32"/>
          <w:lang w:val="en-US" w:eastAsia="zh-CN"/>
        </w:rPr>
        <w:t>开封</w:t>
      </w:r>
      <w:r>
        <w:rPr>
          <w:rFonts w:hint="eastAsia" w:ascii="仿宋_GB2312" w:eastAsia="仿宋_GB2312"/>
          <w:sz w:val="32"/>
          <w:szCs w:val="32"/>
          <w:lang w:eastAsia="zh-CN"/>
        </w:rPr>
        <w:t>镇人民政府</w:t>
      </w:r>
      <w:r>
        <w:rPr>
          <w:rFonts w:hint="eastAsia" w:ascii="仿宋_GB2312" w:eastAsia="仿宋_GB2312"/>
          <w:sz w:val="32"/>
          <w:szCs w:val="32"/>
        </w:rPr>
        <w:t>机关运行经费支出</w:t>
      </w:r>
      <w:r>
        <w:rPr>
          <w:rFonts w:hint="eastAsia" w:ascii="仿宋_GB2312" w:eastAsia="仿宋_GB2312"/>
          <w:sz w:val="32"/>
          <w:szCs w:val="32"/>
          <w:lang w:val="en-US" w:eastAsia="zh-CN"/>
        </w:rPr>
        <w:t>265.88</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148.41</w:t>
      </w:r>
      <w:r>
        <w:rPr>
          <w:rFonts w:hint="eastAsia" w:ascii="仿宋_GB2312" w:eastAsia="仿宋_GB2312"/>
          <w:sz w:val="32"/>
          <w:szCs w:val="32"/>
        </w:rPr>
        <w:t>万元，下降</w:t>
      </w:r>
      <w:r>
        <w:rPr>
          <w:rFonts w:hint="eastAsia" w:ascii="仿宋_GB2312" w:eastAsia="仿宋_GB2312"/>
          <w:sz w:val="32"/>
          <w:szCs w:val="32"/>
          <w:lang w:val="en-US" w:eastAsia="zh-CN"/>
        </w:rPr>
        <w:t>35.82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厉行节约，机关节能运转。</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w:t>
      </w:r>
      <w:r>
        <w:rPr>
          <w:rFonts w:hint="eastAsia" w:ascii="仿宋_GB2312" w:eastAsia="仿宋_GB2312"/>
          <w:sz w:val="32"/>
          <w:szCs w:val="32"/>
          <w:lang w:val="en-US" w:eastAsia="zh-CN"/>
        </w:rPr>
        <w:t>开封</w:t>
      </w:r>
      <w:r>
        <w:rPr>
          <w:rFonts w:hint="eastAsia" w:ascii="仿宋_GB2312" w:eastAsia="仿宋_GB2312"/>
          <w:sz w:val="32"/>
          <w:szCs w:val="32"/>
          <w:lang w:eastAsia="zh-CN"/>
        </w:rPr>
        <w:t>镇人民政府</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w:t>
      </w:r>
      <w:r>
        <w:rPr>
          <w:rFonts w:hint="eastAsia" w:ascii="仿宋_GB2312" w:eastAsia="仿宋_GB2312"/>
          <w:sz w:val="32"/>
          <w:szCs w:val="32"/>
          <w:lang w:val="en-US" w:eastAsia="zh-CN"/>
        </w:rPr>
        <w:t>开封</w:t>
      </w:r>
      <w:r>
        <w:rPr>
          <w:rFonts w:hint="eastAsia" w:ascii="仿宋_GB2312" w:eastAsia="仿宋_GB2312"/>
          <w:sz w:val="32"/>
          <w:szCs w:val="32"/>
          <w:lang w:eastAsia="zh-CN"/>
        </w:rPr>
        <w:t>镇人民政府</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老促会工作经费、</w:t>
      </w:r>
      <w:r>
        <w:rPr>
          <w:rFonts w:hint="eastAsia" w:ascii="仿宋_GB2312" w:hAnsi="仿宋_GB2312" w:eastAsia="仿宋_GB2312" w:cs="仿宋_GB2312"/>
          <w:sz w:val="32"/>
          <w:szCs w:val="32"/>
        </w:rPr>
        <w:t>安全经费、人大会议经费、</w:t>
      </w:r>
      <w:r>
        <w:rPr>
          <w:rFonts w:hint="eastAsia" w:ascii="仿宋_GB2312" w:hAnsi="仿宋_GB2312" w:eastAsia="仿宋_GB2312" w:cs="仿宋_GB2312"/>
          <w:sz w:val="32"/>
          <w:szCs w:val="32"/>
          <w:lang w:val="en-US" w:eastAsia="zh-CN"/>
        </w:rPr>
        <w:t>人大办公费、文化配套、</w:t>
      </w:r>
      <w:r>
        <w:rPr>
          <w:rFonts w:hint="eastAsia" w:ascii="仿宋_GB2312" w:hAnsi="仿宋_GB2312" w:eastAsia="仿宋_GB2312" w:cs="仿宋_GB2312"/>
          <w:sz w:val="32"/>
          <w:szCs w:val="32"/>
        </w:rPr>
        <w:t>垃圾清运及处置项目</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6个项目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b/>
          <w:sz w:val="32"/>
          <w:szCs w:val="32"/>
        </w:rPr>
      </w:pPr>
      <w:r>
        <w:rPr>
          <w:rFonts w:hint="eastAsia" w:ascii="仿宋_GB2312" w:hAnsi="仿宋_GB2312" w:eastAsia="仿宋_GB2312" w:cs="仿宋_GB2312"/>
          <w:sz w:val="32"/>
          <w:szCs w:val="32"/>
          <w:lang w:val="en-US" w:eastAsia="zh-CN"/>
        </w:rPr>
        <w:t>组织对2022年度一般公共预算、政府性基金预算、国有资本经营预算、社会保险基金预算以及资本资产、债券资金等全面开展绩效自评，形成剑阁县开封镇人民政府部门整体（含部门预算项目）绩效自评报告、</w:t>
      </w:r>
      <w:r>
        <w:rPr>
          <w:rFonts w:hint="eastAsia" w:ascii="仿宋_GB2312" w:hAnsi="仿宋_GB2312" w:eastAsia="仿宋_GB2312" w:cs="仿宋_GB2312"/>
          <w:sz w:val="32"/>
          <w:szCs w:val="32"/>
          <w:lang w:val="zh-CN" w:eastAsia="zh-CN"/>
        </w:rPr>
        <w:t>垃圾</w:t>
      </w:r>
      <w:r>
        <w:rPr>
          <w:rFonts w:hint="eastAsia" w:ascii="仿宋_GB2312" w:hAnsi="仿宋_GB2312" w:eastAsia="仿宋_GB2312" w:cs="仿宋_GB2312"/>
          <w:sz w:val="32"/>
          <w:szCs w:val="32"/>
          <w:lang w:val="en-US" w:eastAsia="zh-CN"/>
        </w:rPr>
        <w:t>清运费</w:t>
      </w:r>
      <w:r>
        <w:rPr>
          <w:rFonts w:hint="eastAsia" w:ascii="仿宋_GB2312" w:hAnsi="仿宋_GB2312" w:eastAsia="仿宋_GB2312" w:cs="仿宋_GB2312"/>
          <w:sz w:val="32"/>
          <w:szCs w:val="32"/>
          <w:lang w:val="zh-CN" w:eastAsia="zh-CN"/>
        </w:rPr>
        <w:t>项目</w:t>
      </w:r>
      <w:r>
        <w:rPr>
          <w:rFonts w:hint="eastAsia" w:ascii="仿宋_GB2312" w:hAnsi="仿宋_GB2312" w:eastAsia="仿宋_GB2312" w:cs="仿宋_GB2312"/>
          <w:sz w:val="32"/>
          <w:szCs w:val="32"/>
          <w:lang w:val="en-US" w:eastAsia="zh-CN"/>
        </w:rPr>
        <w:t>等专项预算项目绩效自评报告，其中，剑阁县开封镇人民政部门整体（含部门预算项目）绩效自评得分为95分，绩效自评综述：我镇预算安排的基本支出保障了正常的工作运转，在预算执行上是严格遵守各项财经纪律的；在资金的管理和使用上，严守法律底线、纪律底线、道德底线。</w:t>
      </w:r>
      <w:r>
        <w:rPr>
          <w:rFonts w:hint="eastAsia" w:ascii="仿宋_GB2312" w:hAnsi="仿宋_GB2312" w:eastAsia="仿宋_GB2312" w:cs="仿宋_GB2312"/>
          <w:sz w:val="32"/>
          <w:szCs w:val="32"/>
          <w:lang w:val="zh-CN" w:eastAsia="zh-CN"/>
        </w:rPr>
        <w:t>垃圾场设计变更项目（化解隐性债务）项目</w:t>
      </w:r>
      <w:r>
        <w:rPr>
          <w:rFonts w:hint="eastAsia" w:ascii="仿宋_GB2312" w:hAnsi="仿宋_GB2312" w:eastAsia="仿宋_GB2312" w:cs="仿宋_GB2312"/>
          <w:sz w:val="32"/>
          <w:szCs w:val="32"/>
          <w:lang w:val="en-US" w:eastAsia="zh-CN"/>
        </w:rPr>
        <w:t>专项预算项目绩效自评得分为90分，绩效自评综述：通过预算执行全过程绩效监控，保障了债务化解工作的有效进行。绩效自评报告详见附件。</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1"/>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31"/>
          <w:rFonts w:hint="eastAsia" w:ascii="黑体" w:hAnsi="黑体" w:eastAsia="黑体"/>
          <w:b w:val="0"/>
        </w:rPr>
        <w:t>词解释</w:t>
      </w:r>
      <w:bookmarkEnd w:id="55"/>
      <w:bookmarkEnd w:id="56"/>
    </w:p>
    <w:p>
      <w:pPr>
        <w:spacing w:line="600" w:lineRule="exact"/>
        <w:jc w:val="left"/>
        <w:rPr>
          <w:rFonts w:ascii="宋体"/>
          <w:b/>
          <w:sz w:val="44"/>
          <w:szCs w:val="44"/>
        </w:rPr>
      </w:pP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（一）一般公共预算拨款收入：指县级财政当年拨付的资金。</w:t>
      </w: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）人大事务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人大会议</w:t>
      </w:r>
      <w:r>
        <w:rPr>
          <w:rFonts w:hint="default" w:ascii="仿宋_GB2312" w:hAnsi="仿宋_GB2312" w:eastAsia="仿宋_GB2312" w:cs="仿宋_GB2312"/>
          <w:kern w:val="2"/>
          <w:sz w:val="32"/>
          <w:szCs w:val="32"/>
          <w:lang w:val="en-US" w:eastAsia="zh-CN" w:bidi="ar-SA"/>
        </w:rPr>
        <w:t>（项）：指</w:t>
      </w:r>
      <w:r>
        <w:rPr>
          <w:rFonts w:hint="eastAsia" w:ascii="仿宋_GB2312" w:hAnsi="仿宋_GB2312" w:eastAsia="仿宋_GB2312" w:cs="仿宋_GB2312"/>
          <w:kern w:val="2"/>
          <w:sz w:val="32"/>
          <w:szCs w:val="32"/>
          <w:lang w:val="en-US" w:eastAsia="zh-CN" w:bidi="ar-SA"/>
        </w:rPr>
        <w:t>反映各级人大召开人民代表大会等专门会议的支出</w:t>
      </w:r>
      <w:r>
        <w:rPr>
          <w:rFonts w:hint="default" w:ascii="仿宋_GB2312" w:hAnsi="仿宋_GB2312" w:eastAsia="仿宋_GB2312" w:cs="仿宋_GB2312"/>
          <w:kern w:val="2"/>
          <w:sz w:val="32"/>
          <w:szCs w:val="32"/>
          <w:lang w:val="en-US" w:eastAsia="zh-CN" w:bidi="ar-SA"/>
        </w:rPr>
        <w:t>。</w:t>
      </w: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三</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）人大事务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代表工作</w:t>
      </w:r>
      <w:r>
        <w:rPr>
          <w:rFonts w:hint="default" w:ascii="仿宋_GB2312" w:hAnsi="仿宋_GB2312" w:eastAsia="仿宋_GB2312" w:cs="仿宋_GB2312"/>
          <w:kern w:val="2"/>
          <w:sz w:val="32"/>
          <w:szCs w:val="32"/>
          <w:lang w:val="en-US" w:eastAsia="zh-CN" w:bidi="ar-SA"/>
        </w:rPr>
        <w:t>（项）：指</w:t>
      </w:r>
      <w:r>
        <w:rPr>
          <w:rFonts w:hint="eastAsia" w:ascii="仿宋_GB2312" w:hAnsi="仿宋_GB2312" w:eastAsia="仿宋_GB2312" w:cs="仿宋_GB2312"/>
          <w:kern w:val="2"/>
          <w:sz w:val="32"/>
          <w:szCs w:val="32"/>
          <w:lang w:val="en-US" w:eastAsia="zh-CN" w:bidi="ar-SA"/>
        </w:rPr>
        <w:t>反映人大代表开展各类视察等方面的支出</w:t>
      </w:r>
      <w:r>
        <w:rPr>
          <w:rFonts w:hint="default" w:ascii="仿宋_GB2312" w:hAnsi="仿宋_GB2312" w:eastAsia="仿宋_GB2312" w:cs="仿宋_GB2312"/>
          <w:kern w:val="2"/>
          <w:sz w:val="32"/>
          <w:szCs w:val="32"/>
          <w:lang w:val="en-US" w:eastAsia="zh-CN" w:bidi="ar-SA"/>
        </w:rPr>
        <w:t>。</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四</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）人大事务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其他人大事务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指除上述项目以外的其他人大事务支出。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五</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）政府办公厅（室）及相关机构事务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行政运行</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指反映行政单位（包括实行公务员管理的事业单位）的基本支出。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六</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）政府办公厅（室）及相关机构事务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一般行政管理事务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指反映行政单位（包括实行公务员管理的事业单位）未单独设置项级科目的其他项目支出。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七</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）政府办公厅（室）及相关机构事务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信访事务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指反映各级政府用于接待群众来信来访方面的支出。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八</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）政府办公厅（室）及相关机构事务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事业运行</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指反映事业单位的基本支出，不包括行政单位（包括实行公务员管理的事业单位）后勤服务中心、医务室等附属事业单位。</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九</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）政府办公厅（室）及相关机构事务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其他政府办公厅（室）及相关机构事务支出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指单位用于保障机构正常运行、开展日常工作的基本支出。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w:t>
      </w:r>
      <w:r>
        <w:rPr>
          <w:rFonts w:hint="default" w:ascii="仿宋_GB2312" w:hAnsi="仿宋_GB2312" w:eastAsia="仿宋_GB2312" w:cs="仿宋_GB2312"/>
          <w:kern w:val="2"/>
          <w:sz w:val="32"/>
          <w:szCs w:val="32"/>
          <w:lang w:val="en-US" w:eastAsia="zh-CN" w:bidi="ar-SA"/>
        </w:rPr>
        <w:t>）一般公共服务支出（类</w:t>
      </w:r>
      <w:r>
        <w:rPr>
          <w:rFonts w:hint="eastAsia" w:ascii="仿宋_GB2312" w:hAnsi="仿宋_GB2312" w:eastAsia="仿宋_GB2312" w:cs="仿宋_GB2312"/>
          <w:kern w:val="2"/>
          <w:sz w:val="32"/>
          <w:szCs w:val="32"/>
          <w:lang w:val="en-US" w:eastAsia="zh-CN" w:bidi="ar-SA"/>
        </w:rPr>
        <w:t>）统计信息事务</w:t>
      </w:r>
      <w:r>
        <w:rPr>
          <w:rFonts w:hint="default" w:ascii="仿宋_GB2312" w:hAnsi="仿宋_GB2312" w:eastAsia="仿宋_GB2312" w:cs="仿宋_GB2312"/>
          <w:kern w:val="2"/>
          <w:sz w:val="32"/>
          <w:szCs w:val="32"/>
          <w:lang w:val="en-US" w:eastAsia="zh-CN" w:bidi="ar-SA"/>
        </w:rPr>
        <w:t>（款）其他统计信息事务支出（项）：</w:t>
      </w:r>
      <w:r>
        <w:rPr>
          <w:rFonts w:hint="eastAsia" w:ascii="仿宋_GB2312" w:hAnsi="仿宋_GB2312" w:eastAsia="仿宋_GB2312" w:cs="仿宋_GB2312"/>
          <w:kern w:val="2"/>
          <w:sz w:val="32"/>
          <w:szCs w:val="32"/>
          <w:lang w:val="en-US" w:eastAsia="zh-CN" w:bidi="ar-SA"/>
        </w:rPr>
        <w:t>反映除上述项目以外的其他统计信息事务支出。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十一</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一般公共服务（类）财政事务（款）一般行政管理事务（项）：指反映行政单位（包括实行公务员管理的事业单位）未单独设置项级科目的其他项目支出。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十二</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）纪检监察事务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一般行政管理事务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指反映行政单位（包括实行公务员管理的事业单位）未单独设置项级科目的其他项目支出。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十三</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一般公共服务（类）纪检监察事务（款）派驻派出机构（项）：指反映由纪检监察部门负担的派驻各部门和单位的纪检监察人员的专项业务支出。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十四</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）纪检监察事务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其他纪检监察事务支出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指反映除上述项目以外其他纪检监察事务方面的支出。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十五</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）群众团体事务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其他群众团体事务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指反映除上述项目以外其他用于群众团体事务方面的支出。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十六</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）党委办公厅（室）及相关机构事务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一般行政管理事务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指反映行政单位（包括实行公务员管理的事业单位）未单独设置项级科目的其他项目支出。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十七</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）宣传事务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其他宣传事务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指反映除上述项目以外其他用于中国共产党宣传部门的事务支出。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十八</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国防</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）国防动员</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兵役征集</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指反映用于兵役征集等方面的支出。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十九</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公共安全</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）强制隔离戒毒</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其他强制隔离戒毒</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指反映强制隔离戒毒管理部门及强制隔离戒毒所发生的强制隔离戒毒人员调遣费、突发事件处置费、安全保卫费、警察服装费、宣传及奖励费、技术辅导人员及关键要害岗位人员补助费等支出。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二十</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文化旅游体育与传媒</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）文化和旅游</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群众文化</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指反映群众文化方面的支出，包括基层文化馆（站）、群众艺术馆支出等。</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二十一</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文化旅游体育与传媒</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）文化和旅游</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文化和旅游管理事务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指反映文化和旅游管理事务支出。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二十二</w:t>
      </w:r>
      <w:r>
        <w:rPr>
          <w:rFonts w:hint="default" w:ascii="仿宋_GB2312" w:hAnsi="仿宋_GB2312" w:eastAsia="仿宋_GB2312" w:cs="仿宋_GB2312"/>
          <w:kern w:val="2"/>
          <w:sz w:val="32"/>
          <w:szCs w:val="32"/>
          <w:lang w:val="en-US" w:eastAsia="zh-CN" w:bidi="ar-SA"/>
        </w:rPr>
        <w:t>）社会保障和就业（类</w:t>
      </w:r>
      <w:r>
        <w:rPr>
          <w:rFonts w:hint="eastAsia" w:ascii="仿宋_GB2312" w:hAnsi="仿宋_GB2312" w:eastAsia="仿宋_GB2312" w:cs="仿宋_GB2312"/>
          <w:kern w:val="2"/>
          <w:sz w:val="32"/>
          <w:szCs w:val="32"/>
          <w:lang w:val="en-US" w:eastAsia="zh-CN" w:bidi="ar-SA"/>
        </w:rPr>
        <w:t>）民政管理事务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基层政权建设和社区治理</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指反映开展城乡社区治理、城乡社区服务（乡村便民服务）、村（居）民自治、村（居）务公开、乡镇（街道）服务能力建设等基层政权建设和社区治理工作的支出。</w:t>
      </w: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二十三</w:t>
      </w:r>
      <w:r>
        <w:rPr>
          <w:rFonts w:hint="default" w:ascii="仿宋_GB2312" w:hAnsi="仿宋_GB2312" w:eastAsia="仿宋_GB2312" w:cs="仿宋_GB2312"/>
          <w:kern w:val="2"/>
          <w:sz w:val="32"/>
          <w:szCs w:val="32"/>
          <w:lang w:val="en-US" w:eastAsia="zh-CN" w:bidi="ar-SA"/>
        </w:rPr>
        <w:t>）社会保障和就业（类）行政事业单位离退休（款）机关事业单位基本养老保险缴费支出（项）：指部门实施养老保险制度由单位缴纳的养老保险费的支出。</w:t>
      </w: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十</w:t>
      </w:r>
      <w:r>
        <w:rPr>
          <w:rFonts w:hint="eastAsia" w:ascii="仿宋_GB2312" w:hAnsi="仿宋_GB2312" w:eastAsia="仿宋_GB2312" w:cs="仿宋_GB2312"/>
          <w:kern w:val="2"/>
          <w:sz w:val="32"/>
          <w:szCs w:val="32"/>
          <w:lang w:val="en-US" w:eastAsia="zh-CN" w:bidi="ar-SA"/>
        </w:rPr>
        <w:t>四</w:t>
      </w:r>
      <w:r>
        <w:rPr>
          <w:rFonts w:hint="default" w:ascii="仿宋_GB2312" w:hAnsi="仿宋_GB2312" w:eastAsia="仿宋_GB2312" w:cs="仿宋_GB2312"/>
          <w:kern w:val="2"/>
          <w:sz w:val="32"/>
          <w:szCs w:val="32"/>
          <w:lang w:val="en-US" w:eastAsia="zh-CN" w:bidi="ar-SA"/>
        </w:rPr>
        <w:t>）卫生健康</w:t>
      </w:r>
      <w:r>
        <w:rPr>
          <w:rFonts w:hint="eastAsia" w:ascii="仿宋_GB2312" w:hAnsi="仿宋_GB2312" w:eastAsia="仿宋_GB2312" w:cs="仿宋_GB2312"/>
          <w:kern w:val="2"/>
          <w:sz w:val="32"/>
          <w:szCs w:val="32"/>
          <w:lang w:val="en-US" w:eastAsia="zh-CN" w:bidi="ar-SA"/>
        </w:rPr>
        <w:t>支出</w:t>
      </w:r>
      <w:r>
        <w:rPr>
          <w:rFonts w:hint="default" w:ascii="仿宋_GB2312" w:hAnsi="仿宋_GB2312" w:eastAsia="仿宋_GB2312" w:cs="仿宋_GB2312"/>
          <w:kern w:val="2"/>
          <w:sz w:val="32"/>
          <w:szCs w:val="32"/>
          <w:lang w:val="en-US" w:eastAsia="zh-CN" w:bidi="ar-SA"/>
        </w:rPr>
        <w:t>（类）行政事业单位医疗（款）行政单位医疗（项）：指局机关及参公管理事业单位用于缴纳单位基本医疗保险支出。</w:t>
      </w: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十</w:t>
      </w:r>
      <w:r>
        <w:rPr>
          <w:rFonts w:hint="eastAsia" w:ascii="仿宋_GB2312" w:hAnsi="仿宋_GB2312" w:eastAsia="仿宋_GB2312" w:cs="仿宋_GB2312"/>
          <w:kern w:val="2"/>
          <w:sz w:val="32"/>
          <w:szCs w:val="32"/>
          <w:lang w:val="en-US" w:eastAsia="zh-CN" w:bidi="ar-SA"/>
        </w:rPr>
        <w:t>五</w:t>
      </w:r>
      <w:r>
        <w:rPr>
          <w:rFonts w:hint="default" w:ascii="仿宋_GB2312" w:hAnsi="仿宋_GB2312" w:eastAsia="仿宋_GB2312" w:cs="仿宋_GB2312"/>
          <w:kern w:val="2"/>
          <w:sz w:val="32"/>
          <w:szCs w:val="32"/>
          <w:lang w:val="en-US" w:eastAsia="zh-CN" w:bidi="ar-SA"/>
        </w:rPr>
        <w:t>）卫生健康</w:t>
      </w:r>
      <w:r>
        <w:rPr>
          <w:rFonts w:hint="eastAsia" w:ascii="仿宋_GB2312" w:hAnsi="仿宋_GB2312" w:eastAsia="仿宋_GB2312" w:cs="仿宋_GB2312"/>
          <w:kern w:val="2"/>
          <w:sz w:val="32"/>
          <w:szCs w:val="32"/>
          <w:lang w:val="en-US" w:eastAsia="zh-CN" w:bidi="ar-SA"/>
        </w:rPr>
        <w:t>支出</w:t>
      </w:r>
      <w:r>
        <w:rPr>
          <w:rFonts w:hint="default" w:ascii="仿宋_GB2312" w:hAnsi="仿宋_GB2312" w:eastAsia="仿宋_GB2312" w:cs="仿宋_GB2312"/>
          <w:kern w:val="2"/>
          <w:sz w:val="32"/>
          <w:szCs w:val="32"/>
          <w:lang w:val="en-US" w:eastAsia="zh-CN" w:bidi="ar-SA"/>
        </w:rPr>
        <w:t>（类）行政事业单位医疗（款）事业单位医疗（项）：指事业单位用于缴纳单位基本医疗保险支出。</w:t>
      </w: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十</w:t>
      </w:r>
      <w:r>
        <w:rPr>
          <w:rFonts w:hint="eastAsia" w:ascii="仿宋_GB2312" w:hAnsi="仿宋_GB2312" w:eastAsia="仿宋_GB2312" w:cs="仿宋_GB2312"/>
          <w:kern w:val="2"/>
          <w:sz w:val="32"/>
          <w:szCs w:val="32"/>
          <w:lang w:val="en-US" w:eastAsia="zh-CN" w:bidi="ar-SA"/>
        </w:rPr>
        <w:t>六</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卫生健康支出</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其他卫生健康支出</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其他卫生健康支出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反映除上述项目以外其他用于卫生健康方面的支出。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十</w:t>
      </w:r>
      <w:r>
        <w:rPr>
          <w:rFonts w:hint="eastAsia" w:ascii="仿宋_GB2312" w:hAnsi="仿宋_GB2312" w:eastAsia="仿宋_GB2312" w:cs="仿宋_GB2312"/>
          <w:kern w:val="2"/>
          <w:sz w:val="32"/>
          <w:szCs w:val="32"/>
          <w:lang w:val="en-US" w:eastAsia="zh-CN" w:bidi="ar-SA"/>
        </w:rPr>
        <w:t>七</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城乡社区</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城乡社区规划和管理</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城乡社区环境卫生</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反映城乡社区道路清扫、垃圾清运与处理、公厕建设与维护、园林绿化等方面的支出。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二十八</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农业农村</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事业运行</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反映用于农业事业单位基本支出，事业单位设施、系统运行与资产维护等方面的支出。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二十九</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农业农村</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防灾减灾（项）：反映对农业生产因遭受自然、生物灾害损失给予的补助，促进农业防灾增产措施补助，海难救助补助，因其他灾害导致农牧渔业生产者损失给予的补贴。</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林业和草原</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林业草原防灾减灾</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反映用于病虫害等有害生物灾害、森林草原防火、野生动物疫病灾害等方面的支出。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（三十一</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水利</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防汛</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：主要用于防汛宣传及汛期防汛相关支出。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（三十二</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水利</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抗旱</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：主要用于抗旱宣传及抗旱救灾相关支出。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（三十三</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水利</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农村水利</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：主要用于水利项目建设。</w:t>
      </w:r>
    </w:p>
    <w:p>
      <w:pPr>
        <w:pStyle w:val="10"/>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（三十四</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Style w:val="20"/>
          <w:rFonts w:hint="eastAsia" w:ascii="仿宋" w:hAnsi="仿宋" w:eastAsia="仿宋" w:cstheme="minorBidi"/>
          <w:b w:val="0"/>
          <w:bCs/>
          <w:color w:val="000000"/>
          <w:sz w:val="32"/>
          <w:szCs w:val="32"/>
          <w:lang w:val="en-US" w:eastAsia="zh-CN"/>
        </w:rPr>
        <w:t>巩固拓展脱贫攻坚成果同乡村振兴有效衔接</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w:t>
      </w:r>
      <w:r>
        <w:rPr>
          <w:rStyle w:val="20"/>
          <w:rFonts w:hint="eastAsia" w:ascii="仿宋" w:hAnsi="仿宋" w:eastAsia="仿宋" w:cstheme="minorBidi"/>
          <w:b w:val="0"/>
          <w:bCs/>
          <w:color w:val="000000"/>
          <w:sz w:val="32"/>
          <w:szCs w:val="32"/>
          <w:lang w:val="en-US" w:eastAsia="zh-CN"/>
        </w:rPr>
        <w:t>巩固拓展脱贫攻坚成果同乡村振兴有效衔接</w:t>
      </w:r>
      <w:r>
        <w:rPr>
          <w:rFonts w:hint="eastAsia" w:ascii="仿宋_GB2312" w:hAnsi="仿宋_GB2312" w:eastAsia="仿宋_GB2312" w:cs="仿宋_GB2312"/>
          <w:kern w:val="2"/>
          <w:sz w:val="32"/>
          <w:szCs w:val="32"/>
          <w:lang w:val="en-US" w:eastAsia="zh-CN" w:bidi="ar-SA"/>
        </w:rPr>
        <w:t>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反映除上述项目以外其他用于巩固拓展脱贫攻坚成果同乡村振兴有效衔接方面的支出。</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（三十五</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农村综合改革</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对村民委员会和村党支部的补助</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反映各级财政对村民委员会和村党支部的补助支出，以及支持建立县级基本财力保障机制安排的村级组织运转奖补资金。</w:t>
      </w:r>
    </w:p>
    <w:p>
      <w:pPr>
        <w:pStyle w:val="10"/>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（三十六</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农村综合改革</w:t>
      </w:r>
      <w:r>
        <w:rPr>
          <w:rFonts w:hint="default" w:ascii="仿宋_GB2312" w:hAnsi="仿宋_GB2312" w:eastAsia="仿宋_GB2312" w:cs="仿宋_GB2312"/>
          <w:kern w:val="2"/>
          <w:sz w:val="32"/>
          <w:szCs w:val="32"/>
          <w:lang w:val="en-US" w:eastAsia="zh-CN" w:bidi="ar-SA"/>
        </w:rPr>
        <w:t>（款）其他农村综合改革支出（项）：</w:t>
      </w:r>
      <w:r>
        <w:rPr>
          <w:rFonts w:hint="eastAsia" w:ascii="仿宋_GB2312" w:hAnsi="仿宋_GB2312" w:eastAsia="仿宋_GB2312" w:cs="仿宋_GB2312"/>
          <w:kern w:val="2"/>
          <w:sz w:val="32"/>
          <w:szCs w:val="32"/>
          <w:lang w:val="en-US" w:eastAsia="zh-CN" w:bidi="ar-SA"/>
        </w:rPr>
        <w:t>反映除上述项目以外其他用于农村综合改革方面的支出。</w:t>
      </w: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（三十七</w:t>
      </w:r>
      <w:r>
        <w:rPr>
          <w:rFonts w:hint="default" w:ascii="仿宋_GB2312" w:hAnsi="仿宋_GB2312" w:eastAsia="仿宋_GB2312" w:cs="仿宋_GB2312"/>
          <w:kern w:val="2"/>
          <w:sz w:val="32"/>
          <w:szCs w:val="32"/>
          <w:lang w:val="en-US" w:eastAsia="zh-CN" w:bidi="ar-SA"/>
        </w:rPr>
        <w:t>）住房保障（类）住房改革支出（款）住房公积金（项）：指按照《住房公积金管理条例》的规定，由单位及其在职职工缴存的长期住房储金。</w:t>
      </w: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（三十八</w:t>
      </w:r>
      <w:r>
        <w:rPr>
          <w:rFonts w:hint="default" w:ascii="仿宋_GB2312" w:hAnsi="仿宋_GB2312" w:eastAsia="仿宋_GB2312" w:cs="仿宋_GB2312"/>
          <w:kern w:val="2"/>
          <w:sz w:val="32"/>
          <w:szCs w:val="32"/>
          <w:lang w:val="en-US" w:eastAsia="zh-CN" w:bidi="ar-SA"/>
        </w:rPr>
        <w:t>）住房保障（类）</w:t>
      </w:r>
      <w:r>
        <w:rPr>
          <w:rFonts w:hint="eastAsia" w:ascii="仿宋_GB2312" w:hAnsi="仿宋_GB2312" w:eastAsia="仿宋_GB2312" w:cs="仿宋_GB2312"/>
          <w:kern w:val="2"/>
          <w:sz w:val="32"/>
          <w:szCs w:val="32"/>
          <w:lang w:val="en-US" w:eastAsia="zh-CN" w:bidi="ar-SA"/>
        </w:rPr>
        <w:t>城乡社区住宅</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公用住房建设和维修改造支出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主要用于公房、公租房、廉租房的维护管理工作</w:t>
      </w:r>
      <w:r>
        <w:rPr>
          <w:rFonts w:hint="default" w:ascii="仿宋_GB2312" w:hAnsi="仿宋_GB2312" w:eastAsia="仿宋_GB2312" w:cs="仿宋_GB2312"/>
          <w:kern w:val="2"/>
          <w:sz w:val="32"/>
          <w:szCs w:val="32"/>
          <w:lang w:val="en-US" w:eastAsia="zh-CN" w:bidi="ar-SA"/>
        </w:rPr>
        <w:t>。</w:t>
      </w:r>
    </w:p>
    <w:p>
      <w:pPr>
        <w:pStyle w:val="10"/>
        <w:numPr>
          <w:ilvl w:val="0"/>
          <w:numId w:val="0"/>
        </w:numPr>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三十九</w:t>
      </w:r>
      <w:r>
        <w:rPr>
          <w:rFonts w:hint="default" w:ascii="仿宋_GB2312" w:hAnsi="仿宋_GB2312" w:eastAsia="仿宋_GB2312" w:cs="仿宋_GB2312"/>
          <w:kern w:val="2"/>
          <w:sz w:val="32"/>
          <w:szCs w:val="32"/>
          <w:lang w:val="en-US" w:eastAsia="zh-CN" w:bidi="ar-SA"/>
        </w:rPr>
        <w:t>）项目支出：指在基本支出之外为完成特定行政任务和事业发展目标所发生的支出。</w:t>
      </w:r>
    </w:p>
    <w:p>
      <w:pPr>
        <w:pStyle w:val="10"/>
        <w:numPr>
          <w:ilvl w:val="0"/>
          <w:numId w:val="0"/>
        </w:numPr>
        <w:ind w:firstLine="640" w:firstLineChars="200"/>
        <w:rPr>
          <w:rFonts w:hint="eastAsia" w:ascii="仿宋_GB2312" w:hAnsi="仿宋_GB2312" w:eastAsia="仿宋_GB2312" w:cs="仿宋_GB2312"/>
          <w:kern w:val="2"/>
          <w:sz w:val="32"/>
          <w:szCs w:val="32"/>
          <w:lang w:val="zh-CN"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四十</w:t>
      </w:r>
      <w:r>
        <w:rPr>
          <w:rFonts w:hint="default" w:ascii="仿宋_GB2312" w:hAnsi="仿宋_GB2312" w:eastAsia="仿宋_GB2312" w:cs="仿宋_GB2312"/>
          <w:kern w:val="2"/>
          <w:sz w:val="32"/>
          <w:szCs w:val="32"/>
          <w:lang w:val="en-US" w:eastAsia="zh-CN" w:bidi="ar-SA"/>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hint="eastAsia" w:ascii="仿宋_GB2312" w:hAnsi="仿宋_GB2312" w:eastAsia="仿宋_GB2312" w:cs="仿宋_GB2312"/>
          <w:kern w:val="2"/>
          <w:sz w:val="32"/>
          <w:szCs w:val="32"/>
          <w:lang w:val="zh-CN" w:eastAsia="zh-CN" w:bidi="ar-SA"/>
        </w:rPr>
      </w:pPr>
    </w:p>
    <w:p>
      <w:pPr>
        <w:spacing w:line="600" w:lineRule="exact"/>
        <w:jc w:val="center"/>
        <w:outlineLvl w:val="0"/>
        <w:rPr>
          <w:rStyle w:val="31"/>
          <w:rFonts w:ascii="黑体" w:hAnsi="黑体" w:eastAsia="黑体"/>
          <w:b w:val="0"/>
        </w:rPr>
      </w:pPr>
      <w:bookmarkStart w:id="57" w:name="_Toc15377226"/>
      <w:r>
        <w:rPr>
          <w:rFonts w:hint="eastAsia" w:ascii="仿宋_GB2312" w:hAnsi="仿宋_GB2312" w:eastAsia="仿宋_GB2312" w:cs="仿宋_GB2312"/>
          <w:kern w:val="2"/>
          <w:sz w:val="32"/>
          <w:szCs w:val="32"/>
          <w:lang w:val="zh-CN" w:eastAsia="zh-CN" w:bidi="ar-SA"/>
        </w:rPr>
        <w:br w:type="page"/>
      </w:r>
      <w:bookmarkStart w:id="58" w:name="_Toc15396614"/>
      <w:r>
        <w:rPr>
          <w:rFonts w:hint="eastAsia" w:ascii="黑体" w:hAnsi="黑体" w:eastAsia="黑体"/>
          <w:sz w:val="44"/>
          <w:szCs w:val="44"/>
        </w:rPr>
        <w:t>第</w:t>
      </w:r>
      <w:r>
        <w:rPr>
          <w:rStyle w:val="31"/>
          <w:rFonts w:hint="eastAsia" w:ascii="黑体" w:hAnsi="黑体" w:eastAsia="黑体"/>
          <w:b w:val="0"/>
        </w:rPr>
        <w:t>四部分 附件</w:t>
      </w:r>
      <w:bookmarkEnd w:id="58"/>
    </w:p>
    <w:p>
      <w:pPr>
        <w:spacing w:line="572" w:lineRule="exact"/>
        <w:jc w:val="left"/>
        <w:outlineLvl w:val="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val="en-US" w:eastAsia="zh-CN"/>
        </w:rPr>
        <w:t>202</w:t>
      </w:r>
      <w:r>
        <w:rPr>
          <w:rFonts w:hint="eastAsia" w:ascii="宋体" w:hAnsi="宋体"/>
          <w:b/>
          <w:sz w:val="44"/>
          <w:szCs w:val="44"/>
          <w:highlight w:val="none"/>
          <w:shd w:val="clear" w:color="auto" w:fill="FFFFFF"/>
          <w:lang w:val="en-US" w:eastAsia="zh-CN"/>
        </w:rPr>
        <w:t>2</w:t>
      </w:r>
      <w:r>
        <w:rPr>
          <w:rFonts w:hint="eastAsia" w:ascii="宋体" w:hAnsi="宋体" w:eastAsia="宋体"/>
          <w:b/>
          <w:sz w:val="44"/>
          <w:szCs w:val="44"/>
          <w:highlight w:val="none"/>
          <w:shd w:val="clear" w:color="auto" w:fill="FFFFFF"/>
          <w:lang w:val="en-US" w:eastAsia="zh-CN"/>
        </w:rPr>
        <w:t>年</w:t>
      </w:r>
      <w:r>
        <w:rPr>
          <w:rFonts w:hint="eastAsia" w:ascii="宋体" w:hAnsi="宋体" w:eastAsia="宋体"/>
          <w:b/>
          <w:sz w:val="44"/>
          <w:szCs w:val="44"/>
          <w:highlight w:val="none"/>
          <w:shd w:val="clear" w:color="auto" w:fill="FFFFFF"/>
          <w:lang w:eastAsia="zh-CN"/>
        </w:rPr>
        <w:t>剑阁县</w:t>
      </w:r>
      <w:r>
        <w:rPr>
          <w:rFonts w:hint="eastAsia" w:ascii="宋体" w:hAnsi="宋体"/>
          <w:b/>
          <w:sz w:val="44"/>
          <w:szCs w:val="44"/>
          <w:highlight w:val="none"/>
          <w:shd w:val="clear" w:color="auto" w:fill="FFFFFF"/>
          <w:lang w:val="en-US" w:eastAsia="zh-CN"/>
        </w:rPr>
        <w:t>开封</w:t>
      </w:r>
      <w:r>
        <w:rPr>
          <w:rFonts w:hint="eastAsia" w:ascii="宋体" w:hAnsi="宋体" w:eastAsia="宋体"/>
          <w:b/>
          <w:sz w:val="44"/>
          <w:szCs w:val="44"/>
          <w:highlight w:val="none"/>
          <w:shd w:val="clear" w:color="auto" w:fill="FFFFFF"/>
          <w:lang w:eastAsia="zh-CN"/>
        </w:rPr>
        <w:t>镇人民政府</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eastAsia="zh-CN"/>
        </w:rPr>
        <w:t>部门</w:t>
      </w:r>
      <w:r>
        <w:rPr>
          <w:rFonts w:hint="eastAsia" w:ascii="宋体" w:hAnsi="宋体" w:eastAsia="宋体"/>
          <w:b/>
          <w:sz w:val="44"/>
          <w:szCs w:val="44"/>
          <w:highlight w:val="none"/>
          <w:shd w:val="clear" w:color="auto" w:fill="FFFFFF"/>
        </w:rPr>
        <w:t>整体</w:t>
      </w:r>
      <w:r>
        <w:rPr>
          <w:rFonts w:hint="eastAsia" w:ascii="宋体" w:hAnsi="宋体" w:eastAsia="宋体"/>
          <w:b/>
          <w:sz w:val="44"/>
          <w:szCs w:val="44"/>
          <w:highlight w:val="none"/>
          <w:shd w:val="clear" w:color="auto" w:fill="FFFFFF"/>
          <w:lang w:eastAsia="zh-CN"/>
        </w:rPr>
        <w:t>支出</w:t>
      </w:r>
      <w:r>
        <w:rPr>
          <w:rFonts w:hint="eastAsia" w:ascii="宋体" w:hAnsi="宋体" w:eastAsia="宋体"/>
          <w:b/>
          <w:sz w:val="44"/>
          <w:szCs w:val="44"/>
          <w:highlight w:val="none"/>
          <w:shd w:val="clear" w:color="auto" w:fill="FFFFFF"/>
        </w:rPr>
        <w:t>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ascii="黑体" w:hAnsi="宋体" w:eastAsia="黑体" w:cs="宋体"/>
          <w:color w:val="000000"/>
          <w:kern w:val="0"/>
          <w:sz w:val="24"/>
          <w:szCs w:val="32"/>
          <w:highlight w:val="none"/>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lang w:val="zh-CN"/>
        </w:rPr>
      </w:pPr>
      <w:r>
        <w:rPr>
          <w:rFonts w:hint="eastAsia" w:ascii="黑体" w:hAnsi="黑体" w:eastAsia="黑体" w:cs="黑体"/>
          <w:b/>
          <w:bCs/>
          <w:color w:val="000000"/>
          <w:kern w:val="0"/>
          <w:sz w:val="32"/>
          <w:szCs w:val="32"/>
          <w:shd w:val="clear" w:color="auto" w:fill="FFFFFF"/>
        </w:rPr>
        <w:t>一、</w:t>
      </w:r>
      <w:r>
        <w:rPr>
          <w:rFonts w:hint="eastAsia" w:ascii="黑体" w:hAnsi="黑体" w:eastAsia="黑体" w:cs="黑体"/>
          <w:b/>
          <w:bCs/>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开封镇内设党政综合办事机构八个和镇直属事业机构四中心。七办指党政综合与乡村振兴办公室、 党建工作办公室、综合行政执法办公室（应急办公室）、社会事务办公室、经济发展办公室（生态环境保护办公室）、社会治理办公室、财政所。四中心指便民服务中心（退役军人服务站）、农业综合服务中心（畜牧兽医站、林业工作站、水利服务站）、乡村建设 和文化服务中心、农民工服务中心（社会治安综合治理中心、人力资源和社会保障服务所）。</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党政综合与乡村振兴办公室：负责党委、政府、人大日常工作和机关日常事务管理；负责目标绩效、督查督办、公文处理、文秘信息、调研会务、后勤保障、档案史志、保密机要、安全保卫、政务公开等工作；负责农业、林业、水利、畜牧（屠宰）、自然资源等领域的监督管理工作；牵头负责招商引资规划并组织实施；负责项目规划的编制、申报、实施、建设等相关工作；完成党委、政府交办的其他工作。</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2.党建工作办公室：负责基层党组织建设工作，全面 推进党的建设；负责纪检监察、宣传、统战（民族宗教）、 人民武装、干部监督管理、党员教育管理、精神文明建设等相关工作；负责机关和直属事业单位机构编制、人事人才、离退休干部管理等工作；负责工会、团委、妇联等群团组织工作；完成党委、政府交办的其他工作。</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3.综合行政执法办公室（应急办公室）：负责统筹协 调、监督管理辖区内综合行政执法相关工作，并对综合行政执法人员行使职权情况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4.社会事务办公室：负责教育、科学技术、卫生健康、职业健康、老龄、人力资源和社会保障、医疗保障、民政、文化、旅游、体育、广播电视、人民防空、退役军人、残疾人事业等领导的管理、指导和监督；完成党委、政府交办的其他工作。</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5.经济发展办公室（生态环境保护办公室）：负责辖区经济发展、扶贫开发、生态环境保护等工作；负责工业经济、科技通信、能源管理、民营经济、文旅经济、商务服务、 经济合作、住房和城乡建设、市场监管、粮食和物资储备、统计、供销等领域的监督管理，提出经济发展和招商引资规划并组织实施；负责项目规划的编制、申报、实施、建设等 相关工作；负责协调推进统筹城乡发展工作；完成党委、政府交办的其他工作。</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6.社会治理办公室：负责四川网格化服务管理信息系统、四川维稳平台、四川易制毒场所管理系统、12345政务服务热线、四川矛盾化解多元化解工作信息系统；统战、流动人口管理、雪亮工程、红袖标、维稳、防邪禁毒工作、平安王河建设工作；协助司法所依法治县工作。</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7.财政所：负责财务收支管理，预决算编制；财务票据审核、管理、账务处理，资产管理、维护好债务信息台账、内部审计、各类保险申报及报表报送。负责国有资产管理、一卡通平台信息导入和协助会计其他工作。负责村级财务管理监督以及村级账务处理。</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ab/>
      </w:r>
      <w:r>
        <w:rPr>
          <w:rFonts w:hint="eastAsia" w:ascii="仿宋_GB2312" w:hAnsi="仿宋_GB2312" w:eastAsia="仿宋_GB2312" w:cs="仿宋_GB2312"/>
          <w:b w:val="0"/>
          <w:bCs w:val="0"/>
          <w:color w:val="000000"/>
          <w:sz w:val="32"/>
          <w:szCs w:val="32"/>
          <w:lang w:val="en-US" w:eastAsia="zh-CN" w:bidi="ar-SA"/>
        </w:rPr>
        <w:t>8.便民服务中心（退役军人服务站）：负责集中受理涉及经济发展、公共管理以及与群众密切相关的政务服务、公共服务、便民服务事项；负责教育、卫生健康、救灾救济、退役军人、残疾人事业等各类社会事务的服务性工作；负责辖区内居民医疗保险参保、缴费、医疗救助等相关事务性工作；负责便民服务中心各窗口的日常运行管理，指导村（社区）便民服务站工作；完成党委、政府和上级业务主管部门交办的其他工作。</w:t>
      </w:r>
    </w:p>
    <w:p>
      <w:pPr>
        <w:pStyle w:val="44"/>
        <w:keepNext w:val="0"/>
        <w:keepLines w:val="0"/>
        <w:pageBreakBefore w:val="0"/>
        <w:kinsoku/>
        <w:wordWrap/>
        <w:overflowPunct/>
        <w:topLinePunct w:val="0"/>
        <w:bidi w:val="0"/>
        <w:spacing w:before="0"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9.农业综合服务中心（畜牧兽医站、林业工作站、水利服务站）：负责农业产业发展、农业新技术推广、农用机械、农产品质量安全、农业公共信息、植物检验检疫及病虫 害防治、动物防疫检疫、农村集体经济、村级财务、林业产 业发展、森林资源管护、水利建设、防汛抗旱、农业设施管 护等相关涉农服务工作；负责森林防火和野外火源宣传教育、 日常巡护、隐患排查、监测预警等相关事务性工作；完成党 委、政府和上级业务主管部门交办的其他工作。</w:t>
      </w:r>
    </w:p>
    <w:p>
      <w:pPr>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10.乡村建设和文化服务中心：负责镇村规划、乡村振兴、镇村基础设施建设管理维护等事务性工作；负责农村环境综合治理服务工作；负责教育、科技、文化、旅游、体育、广播电视等服务工作；完成党委、政府和上级业务主管部门交办的其他工作。</w:t>
      </w:r>
    </w:p>
    <w:p>
      <w:pPr>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11.农民工服务中心（社会治安综合治理中心、人力资 源和社会保障服务所）：负责农民工输出、培训、维权、回 引及返乡创业等服务性工作；负责社会治安综合治理、矛盾纠纷调解、信访维稳、安全生产、应急管理等事务性工作； 负责就业、社会保障等服务性工作；完成党委、政府和上级业务主管部门交办的其他工作。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（三）人员概况。</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202</w:t>
      </w:r>
      <w:r>
        <w:rPr>
          <w:rFonts w:hint="eastAsia" w:hAnsi="仿宋_GB2312" w:cs="仿宋_GB2312"/>
          <w:b w:val="0"/>
          <w:bCs w:val="0"/>
          <w:color w:val="000000"/>
          <w:sz w:val="32"/>
          <w:szCs w:val="32"/>
          <w:lang w:val="en-US" w:eastAsia="zh-CN" w:bidi="ar-SA"/>
        </w:rPr>
        <w:t>2</w:t>
      </w:r>
      <w:r>
        <w:rPr>
          <w:rFonts w:hint="eastAsia" w:ascii="仿宋_GB2312" w:hAnsi="仿宋_GB2312" w:eastAsia="仿宋_GB2312" w:cs="仿宋_GB2312"/>
          <w:b w:val="0"/>
          <w:bCs w:val="0"/>
          <w:color w:val="000000"/>
          <w:sz w:val="32"/>
          <w:szCs w:val="32"/>
          <w:lang w:val="en-US" w:eastAsia="zh-CN" w:bidi="ar-SA"/>
        </w:rPr>
        <w:t>年总编制175名，其中行政编制66名，行政工勤编制9名，事业编制100名。202</w:t>
      </w:r>
      <w:r>
        <w:rPr>
          <w:rFonts w:hint="eastAsia" w:hAnsi="仿宋_GB2312" w:cs="仿宋_GB2312"/>
          <w:b w:val="0"/>
          <w:bCs w:val="0"/>
          <w:color w:val="000000"/>
          <w:sz w:val="32"/>
          <w:szCs w:val="32"/>
          <w:lang w:val="en-US" w:eastAsia="zh-CN" w:bidi="ar-SA"/>
        </w:rPr>
        <w:t>2</w:t>
      </w:r>
      <w:r>
        <w:rPr>
          <w:rFonts w:hint="eastAsia" w:ascii="仿宋_GB2312" w:hAnsi="仿宋_GB2312" w:eastAsia="仿宋_GB2312" w:cs="仿宋_GB2312"/>
          <w:b w:val="0"/>
          <w:bCs w:val="0"/>
          <w:color w:val="000000"/>
          <w:sz w:val="32"/>
          <w:szCs w:val="32"/>
          <w:lang w:val="en-US" w:eastAsia="zh-CN" w:bidi="ar-SA"/>
        </w:rPr>
        <w:t>年年初预算实有在职16</w:t>
      </w:r>
      <w:r>
        <w:rPr>
          <w:rFonts w:hint="eastAsia" w:hAnsi="仿宋_GB2312" w:cs="仿宋_GB2312"/>
          <w:b w:val="0"/>
          <w:bCs w:val="0"/>
          <w:color w:val="000000"/>
          <w:sz w:val="32"/>
          <w:szCs w:val="32"/>
          <w:lang w:val="en-US" w:eastAsia="zh-CN" w:bidi="ar-SA"/>
        </w:rPr>
        <w:t>5</w:t>
      </w:r>
      <w:r>
        <w:rPr>
          <w:rFonts w:hint="eastAsia" w:ascii="仿宋_GB2312" w:hAnsi="仿宋_GB2312" w:eastAsia="仿宋_GB2312" w:cs="仿宋_GB2312"/>
          <w:b w:val="0"/>
          <w:bCs w:val="0"/>
          <w:color w:val="000000"/>
          <w:sz w:val="32"/>
          <w:szCs w:val="32"/>
          <w:lang w:val="en-US" w:eastAsia="zh-CN" w:bidi="ar-SA"/>
        </w:rPr>
        <w:t>人，其中行政人员</w:t>
      </w:r>
      <w:r>
        <w:rPr>
          <w:rFonts w:hint="eastAsia" w:hAnsi="仿宋_GB2312" w:cs="仿宋_GB2312"/>
          <w:b w:val="0"/>
          <w:bCs w:val="0"/>
          <w:color w:val="000000"/>
          <w:sz w:val="32"/>
          <w:szCs w:val="32"/>
          <w:lang w:val="en-US" w:eastAsia="zh-CN" w:bidi="ar-SA"/>
        </w:rPr>
        <w:t>54</w:t>
      </w:r>
      <w:r>
        <w:rPr>
          <w:rFonts w:hint="eastAsia" w:ascii="仿宋_GB2312" w:hAnsi="仿宋_GB2312" w:eastAsia="仿宋_GB2312" w:cs="仿宋_GB2312"/>
          <w:b w:val="0"/>
          <w:bCs w:val="0"/>
          <w:color w:val="000000"/>
          <w:sz w:val="32"/>
          <w:szCs w:val="32"/>
          <w:lang w:val="en-US" w:eastAsia="zh-CN" w:bidi="ar-SA"/>
        </w:rPr>
        <w:t>人，事业人员1</w:t>
      </w:r>
      <w:r>
        <w:rPr>
          <w:rFonts w:hint="eastAsia" w:hAnsi="仿宋_GB2312" w:cs="仿宋_GB2312"/>
          <w:b w:val="0"/>
          <w:bCs w:val="0"/>
          <w:color w:val="000000"/>
          <w:sz w:val="32"/>
          <w:szCs w:val="32"/>
          <w:lang w:val="en-US" w:eastAsia="zh-CN" w:bidi="ar-SA"/>
        </w:rPr>
        <w:t>05</w:t>
      </w:r>
      <w:r>
        <w:rPr>
          <w:rFonts w:hint="eastAsia" w:ascii="仿宋_GB2312" w:hAnsi="仿宋_GB2312" w:eastAsia="仿宋_GB2312" w:cs="仿宋_GB2312"/>
          <w:b w:val="0"/>
          <w:bCs w:val="0"/>
          <w:color w:val="000000"/>
          <w:sz w:val="32"/>
          <w:szCs w:val="32"/>
          <w:lang w:val="en-US" w:eastAsia="zh-CN" w:bidi="ar-SA"/>
        </w:rPr>
        <w:t>人，行政工勤人员6人。202</w:t>
      </w:r>
      <w:r>
        <w:rPr>
          <w:rFonts w:hint="eastAsia" w:hAnsi="仿宋_GB2312" w:cs="仿宋_GB2312"/>
          <w:b w:val="0"/>
          <w:bCs w:val="0"/>
          <w:color w:val="000000"/>
          <w:sz w:val="32"/>
          <w:szCs w:val="32"/>
          <w:lang w:val="en-US" w:eastAsia="zh-CN" w:bidi="ar-SA"/>
        </w:rPr>
        <w:t>2</w:t>
      </w:r>
      <w:r>
        <w:rPr>
          <w:rFonts w:hint="eastAsia" w:ascii="仿宋_GB2312" w:hAnsi="仿宋_GB2312" w:eastAsia="仿宋_GB2312" w:cs="仿宋_GB2312"/>
          <w:b w:val="0"/>
          <w:bCs w:val="0"/>
          <w:color w:val="000000"/>
          <w:sz w:val="32"/>
          <w:szCs w:val="32"/>
          <w:lang w:val="en-US" w:eastAsia="zh-CN" w:bidi="ar-SA"/>
        </w:rPr>
        <w:t>年末，全镇实有在职人员</w:t>
      </w:r>
      <w:r>
        <w:rPr>
          <w:rFonts w:hint="eastAsia" w:hAnsi="仿宋_GB2312" w:cs="仿宋_GB2312"/>
          <w:b w:val="0"/>
          <w:bCs w:val="0"/>
          <w:color w:val="000000"/>
          <w:sz w:val="32"/>
          <w:szCs w:val="32"/>
          <w:lang w:val="en-US" w:eastAsia="zh-CN" w:bidi="ar-SA"/>
        </w:rPr>
        <w:t>150</w:t>
      </w:r>
      <w:r>
        <w:rPr>
          <w:rFonts w:hint="eastAsia" w:ascii="仿宋_GB2312" w:hAnsi="仿宋_GB2312" w:eastAsia="仿宋_GB2312" w:cs="仿宋_GB2312"/>
          <w:b w:val="0"/>
          <w:bCs w:val="0"/>
          <w:color w:val="000000"/>
          <w:sz w:val="32"/>
          <w:szCs w:val="32"/>
          <w:lang w:val="en-US" w:eastAsia="zh-CN" w:bidi="ar-SA"/>
        </w:rPr>
        <w:t>人，其中行政人员</w:t>
      </w:r>
      <w:r>
        <w:rPr>
          <w:rFonts w:hint="eastAsia" w:hAnsi="仿宋_GB2312" w:cs="仿宋_GB2312"/>
          <w:b w:val="0"/>
          <w:bCs w:val="0"/>
          <w:color w:val="000000"/>
          <w:sz w:val="32"/>
          <w:szCs w:val="32"/>
          <w:lang w:val="en-US" w:eastAsia="zh-CN" w:bidi="ar-SA"/>
        </w:rPr>
        <w:t>51</w:t>
      </w:r>
      <w:r>
        <w:rPr>
          <w:rFonts w:hint="eastAsia" w:ascii="仿宋_GB2312" w:hAnsi="仿宋_GB2312" w:eastAsia="仿宋_GB2312" w:cs="仿宋_GB2312"/>
          <w:b w:val="0"/>
          <w:bCs w:val="0"/>
          <w:color w:val="000000"/>
          <w:sz w:val="32"/>
          <w:szCs w:val="32"/>
          <w:lang w:val="en-US" w:eastAsia="zh-CN" w:bidi="ar-SA"/>
        </w:rPr>
        <w:t>人，事业人员</w:t>
      </w:r>
      <w:r>
        <w:rPr>
          <w:rFonts w:hint="eastAsia" w:hAnsi="仿宋_GB2312" w:cs="仿宋_GB2312"/>
          <w:b w:val="0"/>
          <w:bCs w:val="0"/>
          <w:color w:val="000000"/>
          <w:sz w:val="32"/>
          <w:szCs w:val="32"/>
          <w:lang w:val="en-US" w:eastAsia="zh-CN" w:bidi="ar-SA"/>
        </w:rPr>
        <w:t>99</w:t>
      </w:r>
      <w:r>
        <w:rPr>
          <w:rFonts w:hint="eastAsia" w:ascii="仿宋_GB2312" w:hAnsi="仿宋_GB2312" w:eastAsia="仿宋_GB2312" w:cs="仿宋_GB2312"/>
          <w:b w:val="0"/>
          <w:bCs w:val="0"/>
          <w:color w:val="000000"/>
          <w:sz w:val="32"/>
          <w:szCs w:val="32"/>
          <w:lang w:val="en-US" w:eastAsia="zh-CN" w:bidi="ar-SA"/>
        </w:rPr>
        <w:t>人，行政工勤人员</w:t>
      </w:r>
      <w:r>
        <w:rPr>
          <w:rFonts w:hint="eastAsia" w:hAnsi="仿宋_GB2312" w:cs="仿宋_GB2312"/>
          <w:b w:val="0"/>
          <w:bCs w:val="0"/>
          <w:color w:val="000000"/>
          <w:sz w:val="32"/>
          <w:szCs w:val="32"/>
          <w:lang w:val="en-US" w:eastAsia="zh-CN" w:bidi="ar-SA"/>
        </w:rPr>
        <w:t>5</w:t>
      </w:r>
      <w:r>
        <w:rPr>
          <w:rFonts w:hint="eastAsia" w:ascii="仿宋_GB2312" w:hAnsi="仿宋_GB2312" w:eastAsia="仿宋_GB2312" w:cs="仿宋_GB2312"/>
          <w:b w:val="0"/>
          <w:bCs w:val="0"/>
          <w:color w:val="000000"/>
          <w:sz w:val="32"/>
          <w:szCs w:val="32"/>
          <w:lang w:val="en-US" w:eastAsia="zh-CN" w:bidi="ar-SA"/>
        </w:rPr>
        <w:t>人。</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lang w:val="zh-CN"/>
        </w:rPr>
      </w:pPr>
      <w:r>
        <w:rPr>
          <w:rFonts w:hint="eastAsia" w:ascii="仿宋" w:hAnsi="仿宋" w:eastAsia="仿宋" w:cs="仿宋"/>
          <w:color w:val="000000"/>
          <w:kern w:val="0"/>
          <w:sz w:val="32"/>
          <w:szCs w:val="32"/>
          <w:shd w:val="clear" w:color="auto" w:fill="FFFFFF"/>
          <w:lang w:val="en-US" w:eastAsia="zh-CN" w:bidi="ar-SA"/>
        </w:rPr>
        <w:t>2022年开封镇人民政府收入总额为3199.41万元，其中：一般公共预算财政拨款收入3196.45万元，政府性基金预算拨款收入2.97万元。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i w:val="0"/>
          <w:caps w:val="0"/>
          <w:color w:val="666666"/>
          <w:spacing w:val="0"/>
          <w:sz w:val="32"/>
          <w:szCs w:val="32"/>
          <w:shd w:val="clear" w:fill="FFFFFF"/>
          <w:lang w:val="en-US" w:eastAsia="zh-CN"/>
        </w:rPr>
      </w:pPr>
      <w:r>
        <w:rPr>
          <w:rFonts w:hint="eastAsia" w:ascii="仿宋" w:hAnsi="仿宋" w:eastAsia="仿宋" w:cs="仿宋"/>
          <w:color w:val="000000"/>
          <w:kern w:val="0"/>
          <w:sz w:val="32"/>
          <w:szCs w:val="32"/>
          <w:shd w:val="clear" w:color="auto" w:fill="FFFFFF"/>
          <w:lang w:val="zh-CN"/>
        </w:rPr>
        <w:t>（二）部门财政资金支出情况。</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
          <w:sz w:val="32"/>
          <w:szCs w:val="32"/>
          <w:highlight w:val="none"/>
          <w:lang w:eastAsia="zh-CN"/>
        </w:rPr>
        <w:t>2022</w:t>
      </w:r>
      <w:r>
        <w:rPr>
          <w:rFonts w:hint="eastAsia" w:ascii="仿宋_GB2312" w:hAnsi="仿宋" w:eastAsia="仿宋_GB2312"/>
          <w:sz w:val="32"/>
          <w:szCs w:val="32"/>
          <w:highlight w:val="none"/>
        </w:rPr>
        <w:t>年度</w:t>
      </w:r>
      <w:r>
        <w:rPr>
          <w:rFonts w:hint="eastAsia" w:ascii="仿宋_GB2312" w:hAnsi="仿宋"/>
          <w:sz w:val="32"/>
          <w:szCs w:val="32"/>
          <w:highlight w:val="none"/>
          <w:lang w:val="en-US" w:eastAsia="zh-CN"/>
        </w:rPr>
        <w:t>开封</w:t>
      </w:r>
      <w:r>
        <w:rPr>
          <w:rFonts w:hint="eastAsia" w:ascii="仿宋_GB2312" w:hAnsi="仿宋"/>
          <w:sz w:val="32"/>
          <w:szCs w:val="32"/>
          <w:highlight w:val="none"/>
          <w:lang w:eastAsia="zh-CN"/>
        </w:rPr>
        <w:t>镇人民政府支出总额为</w:t>
      </w:r>
      <w:r>
        <w:rPr>
          <w:rFonts w:hint="eastAsia" w:ascii="仿宋" w:hAnsi="仿宋" w:eastAsia="仿宋" w:cs="仿宋"/>
          <w:color w:val="000000"/>
          <w:kern w:val="0"/>
          <w:sz w:val="32"/>
          <w:szCs w:val="32"/>
          <w:shd w:val="clear" w:color="auto" w:fill="FFFFFF"/>
          <w:lang w:val="en-US" w:eastAsia="zh-CN" w:bidi="ar-SA"/>
        </w:rPr>
        <w:t>3199.41</w:t>
      </w:r>
      <w:r>
        <w:rPr>
          <w:rFonts w:hint="eastAsia" w:ascii="仿宋" w:hAnsi="仿宋" w:eastAsia="仿宋"/>
          <w:color w:val="000000"/>
          <w:sz w:val="32"/>
          <w:szCs w:val="32"/>
          <w:highlight w:val="none"/>
        </w:rPr>
        <w:t>万元，</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1115.34</w:t>
      </w:r>
      <w:r>
        <w:rPr>
          <w:rFonts w:hint="eastAsia" w:ascii="仿宋" w:hAnsi="仿宋" w:eastAsia="仿宋"/>
          <w:sz w:val="32"/>
          <w:szCs w:val="32"/>
        </w:rPr>
        <w:t>万元，</w:t>
      </w:r>
      <w:r>
        <w:rPr>
          <w:rFonts w:hint="eastAsia" w:ascii="仿宋" w:hAnsi="仿宋" w:eastAsia="仿宋" w:cs="Times New Roman"/>
          <w:sz w:val="32"/>
          <w:szCs w:val="32"/>
        </w:rPr>
        <w:t>占</w:t>
      </w:r>
      <w:r>
        <w:rPr>
          <w:rFonts w:hint="eastAsia" w:ascii="仿宋" w:hAnsi="仿宋" w:eastAsia="仿宋" w:cs="Times New Roman"/>
          <w:sz w:val="32"/>
          <w:szCs w:val="32"/>
          <w:lang w:val="en-US" w:eastAsia="zh-CN"/>
        </w:rPr>
        <w:t>34.89</w:t>
      </w:r>
      <w:r>
        <w:rPr>
          <w:rFonts w:hint="eastAsia" w:ascii="仿宋" w:hAnsi="仿宋" w:eastAsia="仿宋" w:cs="Times New Roman"/>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0.5万元，占0.02%；</w:t>
      </w:r>
      <w:r>
        <w:rPr>
          <w:rFonts w:hint="eastAsia" w:ascii="仿宋" w:hAnsi="仿宋" w:eastAsia="仿宋" w:cs="Times New Roman"/>
          <w:b/>
          <w:sz w:val="32"/>
          <w:szCs w:val="32"/>
          <w:lang w:val="en-US" w:eastAsia="zh-CN"/>
        </w:rPr>
        <w:t>公共安全支出</w:t>
      </w:r>
      <w:r>
        <w:rPr>
          <w:rFonts w:hint="eastAsia" w:ascii="仿宋" w:hAnsi="仿宋" w:eastAsia="仿宋" w:cs="Times New Roman"/>
          <w:sz w:val="32"/>
          <w:szCs w:val="32"/>
          <w:lang w:val="en-US" w:eastAsia="zh-CN"/>
        </w:rPr>
        <w:t>6万元，占0.19%；</w:t>
      </w:r>
      <w:r>
        <w:rPr>
          <w:rFonts w:hint="eastAsia" w:ascii="仿宋" w:hAnsi="仿宋" w:eastAsia="仿宋" w:cs="Times New Roman"/>
          <w:b/>
          <w:sz w:val="32"/>
          <w:szCs w:val="32"/>
        </w:rPr>
        <w:t>文化旅游体育与传媒支出</w:t>
      </w:r>
      <w:r>
        <w:rPr>
          <w:rFonts w:hint="eastAsia" w:ascii="仿宋" w:hAnsi="仿宋" w:eastAsia="仿宋" w:cs="Times New Roman"/>
          <w:sz w:val="32"/>
          <w:szCs w:val="32"/>
          <w:lang w:val="en-US" w:eastAsia="zh-CN"/>
        </w:rPr>
        <w:t>109.83</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3.44</w:t>
      </w:r>
      <w:r>
        <w:rPr>
          <w:rFonts w:hint="eastAsia" w:ascii="仿宋" w:hAnsi="仿宋" w:eastAsia="仿宋" w:cs="Times New Roman"/>
          <w:sz w:val="32"/>
          <w:szCs w:val="32"/>
        </w:rPr>
        <w:t>％；</w:t>
      </w:r>
      <w:r>
        <w:rPr>
          <w:rFonts w:hint="eastAsia" w:ascii="仿宋" w:hAnsi="仿宋" w:eastAsia="仿宋" w:cs="Times New Roman"/>
          <w:b/>
          <w:sz w:val="32"/>
          <w:szCs w:val="32"/>
        </w:rPr>
        <w:t>社会保障和就业支出</w:t>
      </w:r>
      <w:r>
        <w:rPr>
          <w:rFonts w:hint="eastAsia" w:ascii="仿宋" w:hAnsi="仿宋" w:eastAsia="仿宋" w:cs="Times New Roman"/>
          <w:sz w:val="32"/>
          <w:szCs w:val="32"/>
          <w:lang w:val="en-US" w:eastAsia="zh-CN"/>
        </w:rPr>
        <w:t>508.86</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15.91</w:t>
      </w:r>
      <w:r>
        <w:rPr>
          <w:rFonts w:hint="eastAsia" w:ascii="仿宋" w:hAnsi="仿宋" w:eastAsia="仿宋" w:cs="Times New Roman"/>
          <w:sz w:val="32"/>
          <w:szCs w:val="32"/>
        </w:rPr>
        <w:t>％；</w:t>
      </w:r>
      <w:r>
        <w:rPr>
          <w:rFonts w:hint="eastAsia" w:ascii="仿宋" w:hAnsi="仿宋" w:eastAsia="仿宋" w:cs="Times New Roman"/>
          <w:b/>
          <w:sz w:val="32"/>
          <w:szCs w:val="32"/>
        </w:rPr>
        <w:t>卫生健康支出</w:t>
      </w:r>
      <w:r>
        <w:rPr>
          <w:rFonts w:hint="eastAsia" w:ascii="仿宋" w:hAnsi="仿宋" w:eastAsia="仿宋" w:cs="Times New Roman"/>
          <w:sz w:val="32"/>
          <w:szCs w:val="32"/>
          <w:lang w:val="en-US" w:eastAsia="zh-CN"/>
        </w:rPr>
        <w:t>79.53</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占</w:t>
      </w:r>
      <w:r>
        <w:rPr>
          <w:rFonts w:hint="eastAsia" w:ascii="仿宋" w:hAnsi="仿宋" w:eastAsia="仿宋" w:cs="Times New Roman"/>
          <w:sz w:val="32"/>
          <w:szCs w:val="32"/>
          <w:lang w:val="en-US" w:eastAsia="zh-CN"/>
        </w:rPr>
        <w:t>2.49</w:t>
      </w:r>
      <w:r>
        <w:rPr>
          <w:rFonts w:hint="eastAsia" w:ascii="仿宋" w:hAnsi="仿宋" w:eastAsia="仿宋" w:cs="Times New Roman"/>
          <w:sz w:val="32"/>
          <w:szCs w:val="32"/>
        </w:rPr>
        <w:t>％；</w:t>
      </w:r>
      <w:r>
        <w:rPr>
          <w:rFonts w:hint="eastAsia" w:ascii="仿宋" w:hAnsi="仿宋" w:eastAsia="仿宋" w:cs="Times New Roman"/>
          <w:b/>
          <w:sz w:val="32"/>
          <w:szCs w:val="32"/>
        </w:rPr>
        <w:t>城乡社区支出</w:t>
      </w:r>
      <w:r>
        <w:rPr>
          <w:rFonts w:hint="eastAsia" w:ascii="仿宋" w:hAnsi="仿宋" w:eastAsia="仿宋" w:cs="Times New Roman"/>
          <w:sz w:val="32"/>
          <w:szCs w:val="32"/>
          <w:lang w:val="en-US" w:eastAsia="zh-CN"/>
        </w:rPr>
        <w:t>19.72</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0.62</w:t>
      </w:r>
      <w:r>
        <w:rPr>
          <w:rFonts w:hint="eastAsia" w:ascii="仿宋" w:hAnsi="仿宋" w:eastAsia="仿宋" w:cs="Times New Roman"/>
          <w:sz w:val="32"/>
          <w:szCs w:val="32"/>
        </w:rPr>
        <w:t>％；</w:t>
      </w:r>
      <w:r>
        <w:rPr>
          <w:rFonts w:hint="eastAsia" w:ascii="仿宋" w:hAnsi="仿宋" w:eastAsia="仿宋" w:cs="Times New Roman"/>
          <w:b/>
          <w:sz w:val="32"/>
          <w:szCs w:val="32"/>
        </w:rPr>
        <w:t>农林水支出</w:t>
      </w:r>
      <w:r>
        <w:rPr>
          <w:rFonts w:hint="eastAsia" w:ascii="仿宋" w:hAnsi="仿宋" w:eastAsia="仿宋" w:cs="Times New Roman"/>
          <w:sz w:val="32"/>
          <w:szCs w:val="32"/>
          <w:lang w:val="en-US" w:eastAsia="zh-CN"/>
        </w:rPr>
        <w:t>1233.46</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38.59</w:t>
      </w:r>
      <w:r>
        <w:rPr>
          <w:rFonts w:hint="eastAsia" w:ascii="仿宋" w:hAnsi="仿宋" w:eastAsia="仿宋" w:cs="Times New Roman"/>
          <w:sz w:val="32"/>
          <w:szCs w:val="32"/>
        </w:rPr>
        <w:t>％；</w:t>
      </w:r>
      <w:r>
        <w:rPr>
          <w:rFonts w:hint="eastAsia" w:ascii="仿宋" w:hAnsi="仿宋" w:eastAsia="仿宋" w:cs="Times New Roman"/>
          <w:b/>
          <w:sz w:val="32"/>
          <w:szCs w:val="32"/>
        </w:rPr>
        <w:t>住房保障支出</w:t>
      </w:r>
      <w:r>
        <w:rPr>
          <w:rFonts w:hint="eastAsia" w:ascii="仿宋" w:hAnsi="仿宋" w:eastAsia="仿宋" w:cs="Times New Roman"/>
          <w:sz w:val="32"/>
          <w:szCs w:val="32"/>
          <w:lang w:val="en-US" w:eastAsia="zh-CN"/>
        </w:rPr>
        <w:t>123.21</w:t>
      </w:r>
      <w:r>
        <w:rPr>
          <w:rFonts w:hint="eastAsia" w:ascii="仿宋" w:hAnsi="仿宋" w:eastAsia="仿宋" w:cs="Times New Roman"/>
          <w:sz w:val="32"/>
          <w:szCs w:val="32"/>
        </w:rPr>
        <w:t>万元，占</w:t>
      </w:r>
      <w:r>
        <w:rPr>
          <w:rFonts w:hint="eastAsia" w:ascii="仿宋" w:hAnsi="仿宋" w:eastAsia="仿宋" w:cs="Times New Roman"/>
          <w:sz w:val="32"/>
          <w:szCs w:val="32"/>
          <w:lang w:val="en-US" w:eastAsia="zh-CN"/>
        </w:rPr>
        <w:t>3.85</w:t>
      </w:r>
      <w:r>
        <w:rPr>
          <w:rFonts w:hint="eastAsia" w:ascii="仿宋" w:hAnsi="仿宋" w:eastAsia="仿宋" w:cs="Times New Roman"/>
          <w:sz w:val="32"/>
          <w:szCs w:val="32"/>
        </w:rPr>
        <w:t>％</w:t>
      </w:r>
      <w:r>
        <w:rPr>
          <w:rFonts w:hint="eastAsia" w:ascii="仿宋" w:hAnsi="仿宋" w:eastAsia="仿宋" w:cs="Times New Roman"/>
          <w:sz w:val="32"/>
          <w:szCs w:val="32"/>
          <w:lang w:eastAsia="zh-CN"/>
        </w:rPr>
        <w:t>；</w:t>
      </w:r>
      <w:r>
        <w:rPr>
          <w:rFonts w:hint="eastAsia" w:ascii="仿宋_GB2312" w:hAnsi="仿宋_GB2312" w:eastAsia="仿宋_GB2312" w:cs="仿宋_GB2312"/>
          <w:b w:val="0"/>
          <w:bCs w:val="0"/>
          <w:color w:val="000000"/>
          <w:sz w:val="32"/>
          <w:szCs w:val="32"/>
          <w:lang w:val="en-US" w:eastAsia="zh-CN" w:bidi="ar-SA"/>
        </w:rPr>
        <w:t>202</w:t>
      </w:r>
      <w:r>
        <w:rPr>
          <w:rFonts w:hint="eastAsia" w:hAnsi="仿宋_GB2312" w:cs="仿宋_GB2312"/>
          <w:b w:val="0"/>
          <w:bCs w:val="0"/>
          <w:color w:val="000000"/>
          <w:sz w:val="32"/>
          <w:szCs w:val="32"/>
          <w:lang w:val="en-US" w:eastAsia="zh-CN" w:bidi="ar-SA"/>
        </w:rPr>
        <w:t>2</w:t>
      </w:r>
      <w:r>
        <w:rPr>
          <w:rFonts w:hint="eastAsia" w:ascii="仿宋_GB2312" w:hAnsi="仿宋_GB2312" w:eastAsia="仿宋_GB2312" w:cs="仿宋_GB2312"/>
          <w:b w:val="0"/>
          <w:bCs w:val="0"/>
          <w:color w:val="000000"/>
          <w:sz w:val="32"/>
          <w:szCs w:val="32"/>
          <w:lang w:val="en-US" w:eastAsia="zh-CN" w:bidi="ar-SA"/>
        </w:rPr>
        <w:t>年一般公共预算财政拨款支出4003.77万元，主要用于以下方面</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一般公共服务支出1396.16万元，占34.87%；国防支出0.50万元，占0.01%；公共安全支出10.00万元占0.25%；文化旅游体育与传媒支出82.91万元，占2.07%；社会保障和就业支出326.50万元，占8.15%；卫生健康支出86.91万元，占2.17%；城乡社区支出94.65万元，占2.37%；农林水支出1319.08万元，占32.95%；住房保障支出657.05万元，占16.41%。灾害防治及应急管理支出30.00万元</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占0.75%。</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0" w:firstLineChars="200"/>
        <w:jc w:val="both"/>
        <w:textAlignment w:val="auto"/>
        <w:rPr>
          <w:rFonts w:hint="eastAsia" w:ascii="仿宋_GB2312" w:hAnsi="仿宋" w:eastAsia="仿宋_GB2312"/>
          <w:sz w:val="32"/>
          <w:szCs w:val="32"/>
          <w:highlight w:val="none"/>
        </w:rPr>
      </w:pPr>
      <w:r>
        <w:rPr>
          <w:rFonts w:hint="eastAsia" w:ascii="仿宋_GB2312" w:hAnsi="仿宋_GB2312" w:eastAsia="仿宋_GB2312" w:cs="仿宋_GB2312"/>
          <w:b w:val="0"/>
          <w:bCs w:val="0"/>
          <w:color w:val="000000"/>
          <w:sz w:val="32"/>
          <w:szCs w:val="32"/>
          <w:lang w:val="en-US" w:eastAsia="zh-CN" w:bidi="ar-SA"/>
        </w:rPr>
        <w:t>202</w:t>
      </w:r>
      <w:r>
        <w:rPr>
          <w:rFonts w:hint="eastAsia" w:hAnsi="仿宋_GB2312" w:cs="仿宋_GB2312"/>
          <w:b w:val="0"/>
          <w:bCs w:val="0"/>
          <w:color w:val="000000"/>
          <w:sz w:val="32"/>
          <w:szCs w:val="32"/>
          <w:lang w:val="en-US" w:eastAsia="zh-CN" w:bidi="ar-SA"/>
        </w:rPr>
        <w:t>2</w:t>
      </w:r>
      <w:r>
        <w:rPr>
          <w:rFonts w:hint="eastAsia" w:ascii="仿宋_GB2312" w:hAnsi="仿宋_GB2312" w:eastAsia="仿宋_GB2312" w:cs="仿宋_GB2312"/>
          <w:b w:val="0"/>
          <w:bCs w:val="0"/>
          <w:color w:val="000000"/>
          <w:sz w:val="32"/>
          <w:szCs w:val="32"/>
          <w:lang w:val="en-US" w:eastAsia="zh-CN" w:bidi="ar-SA"/>
        </w:rPr>
        <w:t>年“三公”经费支出情况：因公出国（境）费支出决算0.00万元，占0.00%；公务用车购置及运行维护费支出决算 0.00 万元，占0.00%；公务接待费支出决算</w:t>
      </w:r>
      <w:r>
        <w:rPr>
          <w:rFonts w:hint="eastAsia" w:hAnsi="仿宋_GB2312" w:cs="仿宋_GB2312"/>
          <w:b w:val="0"/>
          <w:bCs w:val="0"/>
          <w:color w:val="000000"/>
          <w:sz w:val="32"/>
          <w:szCs w:val="32"/>
          <w:lang w:val="en-US" w:eastAsia="zh-CN" w:bidi="ar-SA"/>
        </w:rPr>
        <w:t>16</w:t>
      </w:r>
      <w:r>
        <w:rPr>
          <w:rFonts w:hint="eastAsia" w:ascii="仿宋_GB2312" w:hAnsi="仿宋_GB2312" w:eastAsia="仿宋_GB2312" w:cs="仿宋_GB2312"/>
          <w:b w:val="0"/>
          <w:bCs w:val="0"/>
          <w:color w:val="000000"/>
          <w:sz w:val="32"/>
          <w:szCs w:val="32"/>
          <w:lang w:val="en-US" w:eastAsia="zh-CN" w:bidi="ar-SA"/>
        </w:rPr>
        <w:t>万元，占 100%。202</w:t>
      </w:r>
      <w:r>
        <w:rPr>
          <w:rFonts w:hint="eastAsia" w:hAnsi="仿宋_GB2312" w:cs="仿宋_GB2312"/>
          <w:b w:val="0"/>
          <w:bCs w:val="0"/>
          <w:color w:val="000000"/>
          <w:sz w:val="32"/>
          <w:szCs w:val="32"/>
          <w:lang w:val="en-US" w:eastAsia="zh-CN" w:bidi="ar-SA"/>
        </w:rPr>
        <w:t>2</w:t>
      </w:r>
      <w:r>
        <w:rPr>
          <w:rFonts w:hint="eastAsia" w:ascii="仿宋_GB2312" w:hAnsi="仿宋_GB2312" w:eastAsia="仿宋_GB2312" w:cs="仿宋_GB2312"/>
          <w:b w:val="0"/>
          <w:bCs w:val="0"/>
          <w:color w:val="000000"/>
          <w:sz w:val="32"/>
          <w:szCs w:val="32"/>
          <w:lang w:val="en-US" w:eastAsia="zh-CN" w:bidi="ar-SA"/>
        </w:rPr>
        <w:t>年“三公”经费财政拨款支出决算数为22.02万元</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完成预算100%。 202</w:t>
      </w:r>
      <w:r>
        <w:rPr>
          <w:rFonts w:hint="eastAsia" w:hAnsi="仿宋_GB2312" w:cs="仿宋_GB2312"/>
          <w:b w:val="0"/>
          <w:bCs w:val="0"/>
          <w:color w:val="000000"/>
          <w:sz w:val="32"/>
          <w:szCs w:val="32"/>
          <w:lang w:val="en-US" w:eastAsia="zh-CN" w:bidi="ar-SA"/>
        </w:rPr>
        <w:t>2</w:t>
      </w:r>
      <w:r>
        <w:rPr>
          <w:rFonts w:hint="eastAsia" w:ascii="仿宋_GB2312" w:hAnsi="仿宋_GB2312" w:eastAsia="仿宋_GB2312" w:cs="仿宋_GB2312"/>
          <w:b w:val="0"/>
          <w:bCs w:val="0"/>
          <w:color w:val="000000"/>
          <w:sz w:val="32"/>
          <w:szCs w:val="32"/>
          <w:lang w:val="en-US" w:eastAsia="zh-CN" w:bidi="ar-SA"/>
        </w:rPr>
        <w:t>年“三公”经费财政拨款支出决算数为</w:t>
      </w:r>
      <w:r>
        <w:rPr>
          <w:rFonts w:hint="eastAsia" w:hAnsi="仿宋_GB2312" w:cs="仿宋_GB2312"/>
          <w:b w:val="0"/>
          <w:bCs w:val="0"/>
          <w:color w:val="000000"/>
          <w:sz w:val="32"/>
          <w:szCs w:val="32"/>
          <w:lang w:val="en-US" w:eastAsia="zh-CN" w:bidi="ar-SA"/>
        </w:rPr>
        <w:t>16</w:t>
      </w:r>
      <w:r>
        <w:rPr>
          <w:rFonts w:hint="eastAsia" w:ascii="仿宋_GB2312" w:hAnsi="仿宋_GB2312" w:eastAsia="仿宋_GB2312" w:cs="仿宋_GB2312"/>
          <w:b w:val="0"/>
          <w:bCs w:val="0"/>
          <w:color w:val="000000"/>
          <w:sz w:val="32"/>
          <w:szCs w:val="32"/>
          <w:lang w:val="en-US" w:eastAsia="zh-CN" w:bidi="ar-SA"/>
        </w:rPr>
        <w:t>万元，完成预算100%，</w:t>
      </w:r>
      <w:r>
        <w:rPr>
          <w:rFonts w:hint="eastAsia" w:hAnsi="仿宋_GB2312" w:cs="仿宋_GB2312"/>
          <w:b w:val="0"/>
          <w:bCs w:val="0"/>
          <w:color w:val="000000"/>
          <w:sz w:val="32"/>
          <w:szCs w:val="32"/>
          <w:lang w:val="en-US" w:eastAsia="zh-CN" w:bidi="ar-SA"/>
        </w:rPr>
        <w:t>较去年</w:t>
      </w:r>
      <w:r>
        <w:rPr>
          <w:rFonts w:hint="eastAsia" w:ascii="仿宋_GB2312" w:eastAsia="仿宋_GB2312"/>
          <w:sz w:val="32"/>
          <w:szCs w:val="32"/>
          <w:lang w:val="en-US" w:eastAsia="zh-CN"/>
        </w:rPr>
        <w:t>减少6.02</w:t>
      </w:r>
      <w:r>
        <w:rPr>
          <w:rFonts w:hint="eastAsia" w:ascii="仿宋_GB2312" w:eastAsia="仿宋_GB2312"/>
          <w:sz w:val="32"/>
          <w:szCs w:val="32"/>
        </w:rPr>
        <w:t>万元，</w:t>
      </w:r>
      <w:r>
        <w:rPr>
          <w:rFonts w:hint="eastAsia" w:ascii="仿宋_GB2312" w:eastAsia="仿宋_GB2312"/>
          <w:sz w:val="32"/>
          <w:szCs w:val="32"/>
          <w:lang w:val="en-US" w:eastAsia="zh-CN"/>
        </w:rPr>
        <w:t>减少27.34</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eastAsia="zh-CN"/>
        </w:rPr>
        <w:t>厉行节约，合理开支</w:t>
      </w:r>
      <w:r>
        <w:rPr>
          <w:rFonts w:hint="eastAsia" w:ascii="仿宋_GB2312" w:hAnsi="仿宋_GB2312" w:eastAsia="仿宋_GB2312" w:cs="仿宋_GB2312"/>
          <w:b w:val="0"/>
          <w:bCs w:val="0"/>
          <w:color w:val="00000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仿宋" w:hAnsi="仿宋" w:eastAsia="仿宋" w:cs="仿宋"/>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1.人员类项目绩效分析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zh-CN" w:eastAsia="zh-CN" w:bidi="ar-SA"/>
        </w:rPr>
        <w:t>人员类项目保障职工工资待遇及五险一金正常发放，促进机关职能运转。我单位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2022年人员类项目预算2001.8万元，实际支付2001.8万元，资金执行率100%，执行情况较好。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2.运转类项目绩效分析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zh-CN" w:eastAsia="zh-CN" w:bidi="ar-SA"/>
        </w:rPr>
        <w:t>运转类项目保障机关运转，日常水电气、办公费、差旅费等开销。我单位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2022年运转类项目预算265.88万元，实际支付265.88万元，资金执行率100%，机关日常事务运转得到充分保障，预算执行情况较好。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 w:hAnsi="仿宋" w:eastAsia="仿宋" w:cs="仿宋"/>
          <w:b w:val="0"/>
          <w:bCs w:val="0"/>
          <w:i w:val="0"/>
          <w:iCs w:val="0"/>
          <w:caps w:val="0"/>
          <w:color w:val="000000"/>
          <w:spacing w:val="0"/>
          <w:kern w:val="0"/>
          <w:sz w:val="32"/>
          <w:szCs w:val="32"/>
          <w:shd w:val="clear" w:fill="FFFFFF"/>
          <w:lang w:val="en-US"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3.特定目标类项目绩效分析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val="0"/>
          <w:i w:val="0"/>
          <w:iCs w:val="0"/>
          <w:caps w:val="0"/>
          <w:color w:val="000000"/>
          <w:spacing w:val="0"/>
          <w:kern w:val="0"/>
          <w:sz w:val="32"/>
          <w:szCs w:val="32"/>
          <w:shd w:val="clear" w:fill="FFFFFF"/>
          <w:lang w:val="zh-CN" w:eastAsia="zh-CN" w:bidi="ar-SA"/>
        </w:rPr>
      </w:pPr>
      <w:r>
        <w:rPr>
          <w:rFonts w:hint="eastAsia" w:ascii="仿宋" w:hAnsi="仿宋" w:eastAsia="仿宋" w:cs="仿宋"/>
          <w:b w:val="0"/>
          <w:bCs w:val="0"/>
          <w:i w:val="0"/>
          <w:iCs w:val="0"/>
          <w:caps w:val="0"/>
          <w:color w:val="000000"/>
          <w:spacing w:val="0"/>
          <w:kern w:val="0"/>
          <w:sz w:val="32"/>
          <w:szCs w:val="32"/>
          <w:shd w:val="clear" w:fill="FFFFFF"/>
          <w:lang w:val="en-US" w:eastAsia="zh-CN" w:bidi="ar-SA"/>
        </w:rPr>
        <w:t>特定目标类</w:t>
      </w:r>
      <w:r>
        <w:rPr>
          <w:rFonts w:hint="eastAsia" w:ascii="仿宋" w:hAnsi="仿宋" w:eastAsia="仿宋" w:cs="仿宋"/>
          <w:b w:val="0"/>
          <w:bCs w:val="0"/>
          <w:i w:val="0"/>
          <w:iCs w:val="0"/>
          <w:caps w:val="0"/>
          <w:color w:val="000000"/>
          <w:spacing w:val="0"/>
          <w:kern w:val="0"/>
          <w:sz w:val="32"/>
          <w:szCs w:val="32"/>
          <w:shd w:val="clear" w:fill="FFFFFF"/>
          <w:lang w:val="zh-CN" w:eastAsia="zh-CN" w:bidi="ar-SA"/>
        </w:rPr>
        <w:t>项目用于保障村级支出，及其他项目支出。我单位</w:t>
      </w:r>
      <w:r>
        <w:rPr>
          <w:rFonts w:hint="eastAsia" w:ascii="仿宋" w:hAnsi="仿宋" w:eastAsia="仿宋" w:cs="仿宋"/>
          <w:b w:val="0"/>
          <w:bCs w:val="0"/>
          <w:i w:val="0"/>
          <w:iCs w:val="0"/>
          <w:caps w:val="0"/>
          <w:color w:val="000000"/>
          <w:spacing w:val="0"/>
          <w:kern w:val="0"/>
          <w:sz w:val="32"/>
          <w:szCs w:val="32"/>
          <w:shd w:val="clear" w:fill="FFFFFF"/>
          <w:lang w:val="en-US" w:eastAsia="zh-CN" w:bidi="ar-SA"/>
        </w:rPr>
        <w:t>2022年特定目标类项目预算914.78万元，实际支付914.78万元，资金执行率100%，执行情况较好。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（二）</w:t>
      </w:r>
      <w:r>
        <w:rPr>
          <w:rFonts w:hint="eastAsia" w:ascii="仿宋" w:hAnsi="仿宋" w:eastAsia="仿宋" w:cs="仿宋"/>
          <w:color w:val="000000"/>
          <w:kern w:val="0"/>
          <w:sz w:val="32"/>
          <w:szCs w:val="32"/>
          <w:shd w:val="clear" w:color="auto" w:fill="FFFFFF"/>
          <w:lang w:val="zh-CN"/>
        </w:rPr>
        <w:t>结果应用情况</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建立绩效评价结果的反馈与整改、激励与问责制度，进一步完善绩效评价结果的反馈和运用机制，将绩效结果向社会逐步公布，进一步增强责任感和紧迫感。将评价结果作为安排以后年度预算的重要依据，将一些绩效评价结果不好的项目取消，切实发挥绩效评价工作的应有作用。</w:t>
      </w:r>
    </w:p>
    <w:p>
      <w:pPr>
        <w:pStyle w:val="1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leftChars="0"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自评质量</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zh-CN" w:eastAsia="zh-CN"/>
        </w:rPr>
      </w:pPr>
      <w:r>
        <w:rPr>
          <w:rFonts w:hint="eastAsia" w:ascii="仿宋" w:hAnsi="仿宋" w:eastAsia="仿宋" w:cs="仿宋"/>
          <w:b w:val="0"/>
          <w:bCs w:val="0"/>
          <w:i w:val="0"/>
          <w:iCs w:val="0"/>
          <w:caps w:val="0"/>
          <w:color w:val="000000"/>
          <w:spacing w:val="0"/>
          <w:sz w:val="32"/>
          <w:szCs w:val="32"/>
          <w:shd w:val="clear" w:fill="FFFFFF"/>
          <w:lang w:val="zh-CN" w:eastAsia="zh-CN"/>
        </w:rPr>
        <w:t>绩效监控保障了我单位实现绩目标、提高预算执行效率、提升资金使用效益，并能及时发现纠正绩效运行中存在的问题，确保了绩效目标全面、如期完成。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contextualSpacing/>
        <w:jc w:val="left"/>
        <w:textAlignment w:val="auto"/>
        <w:rPr>
          <w:rFonts w:hint="eastAsia" w:ascii="黑体" w:hAnsi="黑体" w:eastAsia="黑体" w:cs="黑体"/>
          <w:b/>
          <w:bCs/>
          <w:color w:val="000000"/>
          <w:kern w:val="0"/>
          <w:sz w:val="32"/>
          <w:szCs w:val="32"/>
          <w:shd w:val="clear" w:color="auto" w:fill="FFFFFF"/>
        </w:rPr>
      </w:pPr>
      <w:r>
        <w:rPr>
          <w:rFonts w:hint="eastAsia" w:ascii="黑体" w:hAnsi="黑体" w:eastAsia="黑体" w:cs="黑体"/>
          <w:b/>
          <w:bCs/>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（一）评价结论。</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根据部门整体支出绩效评价指标体系的自评结果，我镇2022年度部门整体支出绩效自评得分为</w:t>
      </w:r>
      <w:r>
        <w:rPr>
          <w:rFonts w:hint="eastAsia" w:ascii="仿宋" w:hAnsi="仿宋" w:eastAsia="仿宋" w:cs="仿宋"/>
          <w:b w:val="0"/>
          <w:bCs w:val="0"/>
          <w:i w:val="0"/>
          <w:iCs w:val="0"/>
          <w:caps w:val="0"/>
          <w:color w:val="000000"/>
          <w:spacing w:val="0"/>
          <w:sz w:val="32"/>
          <w:szCs w:val="32"/>
          <w:highlight w:val="none"/>
          <w:shd w:val="clear" w:fill="FFFFFF"/>
          <w:lang w:val="en-US" w:eastAsia="zh-CN"/>
        </w:rPr>
        <w:t>100</w:t>
      </w:r>
      <w:r>
        <w:rPr>
          <w:rFonts w:hint="eastAsia" w:ascii="仿宋" w:hAnsi="仿宋" w:eastAsia="仿宋" w:cs="仿宋"/>
          <w:b w:val="0"/>
          <w:bCs w:val="0"/>
          <w:i w:val="0"/>
          <w:iCs w:val="0"/>
          <w:caps w:val="0"/>
          <w:color w:val="000000"/>
          <w:spacing w:val="0"/>
          <w:sz w:val="32"/>
          <w:szCs w:val="32"/>
          <w:shd w:val="clear" w:fill="FFFFFF"/>
          <w:lang w:val="en-US" w:eastAsia="zh-CN"/>
        </w:rPr>
        <w:t>分。</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本年我镇预算配置控制较好。财政供养人员控制在预算编制以内，编制内在职人员控制率小于100%。</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 预算执行方面。支出总额控制在预算总额以内，预算管理方面，制度执行总体较为有效，仍需进一步强化；资金使用管理需进一步加强。</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3、资产管理方面，建立了资产管理制度，指定了专人对资产进行管理，定期对资产进行盘点和清理，总体执行较好。</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效率性评价和有效性评价。我镇预算安排的基本支出保障了正常的工作运转，在预算执行上是严格遵守各项财经纪律的；在资金的管理和使用上，严守法律底线、纪律底线、道德底线。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lang w:val="zh-CN"/>
        </w:rPr>
      </w:pPr>
      <w:r>
        <w:rPr>
          <w:rFonts w:hint="eastAsia" w:ascii="仿宋" w:hAnsi="仿宋" w:eastAsia="仿宋" w:cs="仿宋"/>
          <w:b w:val="0"/>
          <w:bCs w:val="0"/>
          <w:i w:val="0"/>
          <w:iCs w:val="0"/>
          <w:caps w:val="0"/>
          <w:color w:val="000000"/>
          <w:spacing w:val="0"/>
          <w:sz w:val="32"/>
          <w:szCs w:val="32"/>
          <w:shd w:val="clear" w:fill="FFFFFF"/>
          <w:lang w:val="en-US" w:eastAsia="zh-CN"/>
        </w:rPr>
        <w:t>通过绩效评价工作的逐步推进，我镇已逐步树立了绩效理念，对预算计算评价工作的态度由“被动接受”变为“主动实施”，但了解还不够深入，对单位绩效重视程度不高，相关职责部门协同配合不够，往往只能由财务部门提供有限的财经资料或简单的工作计划、工作总结，绩效评价工作资料非常有限，内容粗浅。</w:t>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细化预算编制工作，认真做好预算的编制。进一步加强单位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2、加强财务管理，严格财务审核。在费用报账支付时，按照预算规定的费用项目和用途进行资金使用审核、列报支付、财务核算，杜绝超支现象的发生。</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持续抓好“三公”经费控制管理。严格控制“三公”经费的规模和比例，把关“三公”经费支出的审核、审批，杜绝挪用和挤占其他预算资金行为；进一步细化“三公”经费的管理，合理压缩“三公”经费支出。</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4、加强项目开展进度的跟踪，开展项目绩效评价，确保项目绩效目标的完成。</w:t>
      </w: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p>
    <w:p>
      <w:pPr>
        <w:pStyle w:val="2"/>
        <w:rPr>
          <w:rFonts w:hint="eastAsia" w:ascii="黑体" w:hAnsi="黑体" w:eastAsia="黑体" w:cs="黑体"/>
          <w:sz w:val="32"/>
          <w:szCs w:val="32"/>
        </w:rPr>
      </w:pPr>
    </w:p>
    <w:tbl>
      <w:tblPr>
        <w:tblStyle w:val="1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9"/>
        <w:gridCol w:w="438"/>
        <w:gridCol w:w="451"/>
        <w:gridCol w:w="770"/>
        <w:gridCol w:w="938"/>
        <w:gridCol w:w="266"/>
        <w:gridCol w:w="940"/>
        <w:gridCol w:w="237"/>
        <w:gridCol w:w="979"/>
        <w:gridCol w:w="268"/>
        <w:gridCol w:w="1043"/>
        <w:gridCol w:w="697"/>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962" w:type="pct"/>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sz w:val="21"/>
                <w:szCs w:val="21"/>
                <w:u w:val="none"/>
                <w:lang w:val="en-US"/>
              </w:rPr>
            </w:pPr>
            <w:r>
              <w:rPr>
                <w:rFonts w:hint="eastAsia" w:ascii="黑体" w:hAnsi="宋体" w:eastAsia="黑体" w:cs="黑体"/>
                <w:i w:val="0"/>
                <w:iCs w:val="0"/>
                <w:color w:val="000000"/>
                <w:kern w:val="0"/>
                <w:sz w:val="21"/>
                <w:szCs w:val="21"/>
                <w:u w:val="none"/>
                <w:lang w:val="en-US" w:eastAsia="zh-CN" w:bidi="ar"/>
              </w:rPr>
              <w:t>附件2</w:t>
            </w:r>
          </w:p>
        </w:tc>
        <w:tc>
          <w:tcPr>
            <w:tcW w:w="454" w:type="pct"/>
            <w:tcBorders>
              <w:top w:val="nil"/>
              <w:left w:val="nil"/>
              <w:bottom w:val="nil"/>
              <w:right w:val="nil"/>
            </w:tcBorders>
            <w:shd w:val="clear" w:color="auto" w:fill="auto"/>
            <w:noWrap/>
            <w:vAlign w:val="center"/>
          </w:tcPr>
          <w:p>
            <w:pPr>
              <w:jc w:val="both"/>
              <w:rPr>
                <w:rFonts w:hint="eastAsia" w:ascii="黑体" w:hAnsi="宋体" w:eastAsia="黑体" w:cs="黑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58"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53"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141"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577"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15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614"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389"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436" w:type="pct"/>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部门（单位）名称</w:t>
            </w:r>
          </w:p>
        </w:tc>
        <w:tc>
          <w:tcPr>
            <w:tcW w:w="403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剑阁县</w:t>
            </w:r>
            <w:r>
              <w:rPr>
                <w:rFonts w:hint="eastAsia" w:ascii="宋体" w:hAnsi="宋体" w:cs="宋体"/>
                <w:i w:val="0"/>
                <w:iCs w:val="0"/>
                <w:color w:val="000000"/>
                <w:kern w:val="0"/>
                <w:sz w:val="16"/>
                <w:szCs w:val="16"/>
                <w:u w:val="none"/>
                <w:lang w:val="en-US" w:eastAsia="zh-CN" w:bidi="ar"/>
              </w:rPr>
              <w:t>开封</w:t>
            </w:r>
            <w:r>
              <w:rPr>
                <w:rFonts w:hint="eastAsia" w:ascii="宋体" w:hAnsi="宋体" w:eastAsia="宋体" w:cs="宋体"/>
                <w:i w:val="0"/>
                <w:iCs w:val="0"/>
                <w:color w:val="000000"/>
                <w:kern w:val="0"/>
                <w:sz w:val="16"/>
                <w:szCs w:val="16"/>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年度主要</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年初任务目标</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w:t>
            </w: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预算执行情况（万元）</w:t>
            </w: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全年预算数（A）</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执行率（B/A)</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3199.41</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3199.41</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Style w:val="38"/>
                <w:sz w:val="16"/>
                <w:szCs w:val="16"/>
                <w:lang w:val="en-US" w:eastAsia="zh-CN" w:bidi="ar"/>
              </w:rPr>
              <w:t xml:space="preserve"> 其中：财政拨款</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3199.41</w:t>
            </w: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3199.41</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其他资金</w:t>
            </w:r>
          </w:p>
        </w:tc>
        <w:tc>
          <w:tcPr>
            <w:tcW w:w="171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7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w:t>
            </w:r>
          </w:p>
        </w:tc>
        <w:tc>
          <w:tcPr>
            <w:tcW w:w="1691"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预期目标</w:t>
            </w:r>
          </w:p>
        </w:tc>
        <w:tc>
          <w:tcPr>
            <w:tcW w:w="2871" w:type="pct"/>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2871"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69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c>
          <w:tcPr>
            <w:tcW w:w="28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保障机关运转，完成全年预算支出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年度绩效指标</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预期指标值（包含数字及文字描述）</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实际完成指标值（包含数字及文字描述）</w:t>
            </w:r>
          </w:p>
        </w:tc>
        <w:tc>
          <w:tcPr>
            <w:tcW w:w="6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未完成原因及拟采取的改进措施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自评得分</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在职职工工资保险保障率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村社干部报酬支付率</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全镇运转经费保障</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98%</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完成时间</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2022年度内</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经费成本</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r>
              <w:rPr>
                <w:rFonts w:hint="eastAsia" w:ascii="宋体" w:hAnsi="宋体" w:cs="宋体"/>
                <w:i w:val="0"/>
                <w:iCs w:val="0"/>
                <w:color w:val="000000"/>
                <w:kern w:val="0"/>
                <w:sz w:val="13"/>
                <w:szCs w:val="13"/>
                <w:u w:val="none"/>
                <w:lang w:val="en-US" w:eastAsia="zh-CN" w:bidi="ar"/>
              </w:rPr>
              <w:t>3199.4</w:t>
            </w:r>
            <w:r>
              <w:rPr>
                <w:rFonts w:hint="eastAsia" w:ascii="宋体" w:hAnsi="宋体" w:eastAsia="宋体" w:cs="宋体"/>
                <w:i w:val="0"/>
                <w:iCs w:val="0"/>
                <w:color w:val="000000"/>
                <w:kern w:val="0"/>
                <w:sz w:val="13"/>
                <w:szCs w:val="13"/>
                <w:u w:val="none"/>
                <w:lang w:val="en-US" w:eastAsia="zh-CN" w:bidi="ar"/>
              </w:rPr>
              <w:t>7万元</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w:t>
            </w:r>
            <w:r>
              <w:rPr>
                <w:rFonts w:hint="eastAsia" w:ascii="宋体" w:hAnsi="宋体" w:cs="宋体"/>
                <w:i w:val="0"/>
                <w:iCs w:val="0"/>
                <w:color w:val="000000"/>
                <w:kern w:val="0"/>
                <w:sz w:val="13"/>
                <w:szCs w:val="13"/>
                <w:u w:val="none"/>
                <w:lang w:val="en-US" w:eastAsia="zh-CN" w:bidi="ar"/>
              </w:rPr>
              <w:t>3199.4</w:t>
            </w:r>
            <w:r>
              <w:rPr>
                <w:rFonts w:hint="eastAsia" w:ascii="宋体" w:hAnsi="宋体" w:eastAsia="宋体" w:cs="宋体"/>
                <w:i w:val="0"/>
                <w:iCs w:val="0"/>
                <w:color w:val="000000"/>
                <w:kern w:val="0"/>
                <w:sz w:val="13"/>
                <w:szCs w:val="13"/>
                <w:u w:val="none"/>
                <w:lang w:val="en-US" w:eastAsia="zh-CN" w:bidi="ar"/>
              </w:rPr>
              <w:t>7万元</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保障政府正常运转和辖区安全稳定</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生态效益</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改善辖区内人居环境</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重点工作实施效果可持续影响</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定性优良中低差</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优</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2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群众满意度</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95%</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2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7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7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73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6"/>
                <w:szCs w:val="16"/>
                <w:u w:val="none"/>
              </w:rPr>
            </w:pPr>
          </w:p>
        </w:tc>
      </w:tr>
    </w:tbl>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78" w:lineRule="exact"/>
        <w:textAlignment w:val="auto"/>
        <w:rPr>
          <w:rFonts w:hint="eastAsia" w:ascii="方正小标宋简体" w:hAnsi="方正小标宋简体" w:eastAsia="黑体" w:cs="方正小标宋简体"/>
          <w:color w:val="auto"/>
          <w:kern w:val="2"/>
          <w:sz w:val="44"/>
          <w:szCs w:val="44"/>
          <w:highlight w:val="none"/>
          <w:lang w:val="en-US" w:eastAsia="zh-CN"/>
        </w:rPr>
      </w:pPr>
      <w:r>
        <w:rPr>
          <w:rFonts w:hint="eastAsia" w:ascii="黑体" w:hAnsi="黑体" w:eastAsia="黑体"/>
          <w:sz w:val="30"/>
          <w:szCs w:val="30"/>
          <w:highlight w:val="none"/>
        </w:rPr>
        <w:t>附件</w:t>
      </w:r>
      <w:r>
        <w:rPr>
          <w:rFonts w:hint="eastAsia" w:ascii="黑体" w:hAnsi="黑体" w:eastAsia="黑体"/>
          <w:sz w:val="30"/>
          <w:szCs w:val="30"/>
          <w:highlight w:val="none"/>
          <w:lang w:val="en-US" w:eastAsia="zh-CN"/>
        </w:rPr>
        <w:t>3</w:t>
      </w:r>
    </w:p>
    <w:p>
      <w:pPr>
        <w:keepNext w:val="0"/>
        <w:keepLines w:val="0"/>
        <w:pageBreakBefore w:val="0"/>
        <w:widowControl w:val="0"/>
        <w:kinsoku/>
        <w:wordWrap/>
        <w:overflowPunct w:val="0"/>
        <w:topLinePunct w:val="0"/>
        <w:autoSpaceDE/>
        <w:autoSpaceDN/>
        <w:bidi w:val="0"/>
        <w:adjustRightInd/>
        <w:snapToGrid w:val="0"/>
        <w:spacing w:beforeAutospacing="0" w:after="0" w:afterAutospacing="0" w:line="576" w:lineRule="exact"/>
        <w:ind w:left="0"/>
        <w:jc w:val="center"/>
        <w:textAlignment w:val="auto"/>
        <w:rPr>
          <w:rFonts w:hint="eastAsia" w:ascii="方正小标宋_GBK" w:hAnsi="方正小标宋简体" w:eastAsia="方正小标宋_GBK" w:cs="方正小标宋简体"/>
          <w:b/>
          <w:bCs/>
          <w:kern w:val="2"/>
          <w:sz w:val="44"/>
          <w:szCs w:val="44"/>
          <w:lang w:eastAsia="zh-CN"/>
        </w:rPr>
      </w:pPr>
    </w:p>
    <w:p>
      <w:pPr>
        <w:keepNext w:val="0"/>
        <w:keepLines w:val="0"/>
        <w:pageBreakBefore w:val="0"/>
        <w:widowControl w:val="0"/>
        <w:kinsoku/>
        <w:wordWrap/>
        <w:overflowPunct w:val="0"/>
        <w:topLinePunct w:val="0"/>
        <w:autoSpaceDE/>
        <w:autoSpaceDN/>
        <w:bidi w:val="0"/>
        <w:adjustRightInd/>
        <w:snapToGrid w:val="0"/>
        <w:spacing w:beforeAutospacing="0" w:after="0" w:afterAutospacing="0" w:line="576" w:lineRule="exact"/>
        <w:ind w:left="0"/>
        <w:jc w:val="center"/>
        <w:textAlignment w:val="auto"/>
        <w:rPr>
          <w:rFonts w:hint="eastAsia" w:ascii="方正小标宋_GBK" w:hAnsi="方正小标宋简体" w:eastAsia="方正小标宋_GBK" w:cs="方正小标宋简体"/>
          <w:b/>
          <w:bCs/>
          <w:kern w:val="2"/>
          <w:sz w:val="44"/>
          <w:szCs w:val="44"/>
          <w:lang w:eastAsia="zh-CN"/>
        </w:rPr>
      </w:pPr>
      <w:r>
        <w:rPr>
          <w:rFonts w:hint="eastAsia" w:ascii="方正小标宋_GBK" w:hAnsi="方正小标宋简体" w:eastAsia="方正小标宋_GBK" w:cs="方正小标宋简体"/>
          <w:b/>
          <w:bCs/>
          <w:kern w:val="2"/>
          <w:sz w:val="44"/>
          <w:szCs w:val="44"/>
          <w:lang w:eastAsia="zh-CN"/>
        </w:rPr>
        <w:t>202</w:t>
      </w:r>
      <w:r>
        <w:rPr>
          <w:rFonts w:hint="eastAsia" w:ascii="方正小标宋_GBK" w:hAnsi="方正小标宋简体" w:eastAsia="方正小标宋_GBK" w:cs="方正小标宋简体"/>
          <w:b/>
          <w:bCs/>
          <w:kern w:val="2"/>
          <w:sz w:val="44"/>
          <w:szCs w:val="44"/>
          <w:lang w:val="en-US" w:eastAsia="zh-CN"/>
        </w:rPr>
        <w:t>2</w:t>
      </w:r>
      <w:r>
        <w:rPr>
          <w:rFonts w:hint="eastAsia" w:ascii="方正小标宋_GBK" w:hAnsi="方正小标宋简体" w:eastAsia="方正小标宋_GBK" w:cs="方正小标宋简体"/>
          <w:b/>
          <w:bCs/>
          <w:kern w:val="2"/>
          <w:sz w:val="44"/>
          <w:szCs w:val="44"/>
          <w:lang w:eastAsia="zh-CN"/>
        </w:rPr>
        <w:t xml:space="preserve"> 年垃圾清运及处置费项目支出绩效</w:t>
      </w:r>
    </w:p>
    <w:p>
      <w:pPr>
        <w:keepNext w:val="0"/>
        <w:keepLines w:val="0"/>
        <w:pageBreakBefore w:val="0"/>
        <w:widowControl w:val="0"/>
        <w:kinsoku/>
        <w:wordWrap/>
        <w:overflowPunct w:val="0"/>
        <w:topLinePunct w:val="0"/>
        <w:autoSpaceDE/>
        <w:autoSpaceDN/>
        <w:bidi w:val="0"/>
        <w:adjustRightInd/>
        <w:snapToGrid w:val="0"/>
        <w:spacing w:beforeAutospacing="0" w:after="0" w:afterAutospacing="0" w:line="576" w:lineRule="exact"/>
        <w:ind w:left="0"/>
        <w:jc w:val="center"/>
        <w:textAlignment w:val="auto"/>
        <w:rPr>
          <w:rFonts w:hint="eastAsia" w:ascii="方正小标宋_GBK" w:hAnsi="方正小标宋简体" w:eastAsia="方正小标宋_GBK" w:cs="方正小标宋简体"/>
          <w:b/>
          <w:bCs/>
          <w:kern w:val="2"/>
          <w:sz w:val="44"/>
          <w:szCs w:val="44"/>
          <w:lang w:eastAsia="zh-CN"/>
        </w:rPr>
      </w:pPr>
      <w:r>
        <w:rPr>
          <w:rFonts w:hint="eastAsia" w:ascii="方正小标宋_GBK" w:hAnsi="方正小标宋简体" w:eastAsia="方正小标宋_GBK" w:cs="方正小标宋简体"/>
          <w:b/>
          <w:bCs/>
          <w:kern w:val="2"/>
          <w:sz w:val="44"/>
          <w:szCs w:val="44"/>
          <w:lang w:eastAsia="zh-CN"/>
        </w:rPr>
        <w:t>自评报告</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一、项目概况</w:t>
      </w:r>
    </w:p>
    <w:p>
      <w:pPr>
        <w:pStyle w:val="44"/>
        <w:keepNext w:val="0"/>
        <w:keepLines w:val="0"/>
        <w:pageBreakBefore w:val="0"/>
        <w:widowControl w:val="0"/>
        <w:kinsoku/>
        <w:wordWrap/>
        <w:overflowPunct/>
        <w:topLinePunct w:val="0"/>
        <w:autoSpaceDE w:val="0"/>
        <w:autoSpaceDN w:val="0"/>
        <w:bidi w:val="0"/>
        <w:adjustRightInd/>
        <w:snapToGrid/>
        <w:spacing w:before="0" w:line="576" w:lineRule="exact"/>
        <w:ind w:left="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（一）项目基本情况</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为保障场镇及周边的环境干净整洁</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给百姓和居民有一 个优美的工作和生活环境提升开封镇城乡环境卫生质量，完善市政环保、公用基础设施体系，加快城市环境保护基础设施建设，促进环境保护与经济建设协调发展，加快建设两型社会。根据住房和城乡建设部《关于加快市政公用行业市场化进程的意见</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关于加强市政公用事业监管的意见》等有关文件精神，结合剑阁县委、县政府统筹城乡发展的整体思路要求，开封镇人民政府与剑阁县洁净保洁有限公司</w:t>
      </w:r>
      <w:r>
        <w:rPr>
          <w:rFonts w:hint="eastAsia" w:hAnsi="仿宋_GB2312" w:cs="仿宋_GB2312"/>
          <w:b w:val="0"/>
          <w:bCs w:val="0"/>
          <w:color w:val="000000"/>
          <w:sz w:val="32"/>
          <w:szCs w:val="32"/>
          <w:lang w:val="en-US" w:eastAsia="zh-CN" w:bidi="ar-SA"/>
        </w:rPr>
        <w:t>签订了</w:t>
      </w:r>
      <w:r>
        <w:rPr>
          <w:rFonts w:hint="eastAsia" w:ascii="仿宋_GB2312" w:hAnsi="仿宋_GB2312" w:eastAsia="仿宋_GB2312" w:cs="仿宋_GB2312"/>
          <w:b w:val="0"/>
          <w:bCs w:val="0"/>
          <w:color w:val="000000"/>
          <w:sz w:val="32"/>
          <w:szCs w:val="32"/>
          <w:lang w:val="en-US" w:eastAsia="zh-CN" w:bidi="ar-SA"/>
        </w:rPr>
        <w:t>开封镇城乡生活垃圾转运及处置合同，将城区生活垃圾收集转运至广元垃圾填埋场进行垃圾处理。</w:t>
      </w:r>
    </w:p>
    <w:p>
      <w:pPr>
        <w:pStyle w:val="44"/>
        <w:keepNext w:val="0"/>
        <w:keepLines w:val="0"/>
        <w:pageBreakBefore w:val="0"/>
        <w:widowControl w:val="0"/>
        <w:kinsoku/>
        <w:wordWrap/>
        <w:overflowPunct/>
        <w:topLinePunct w:val="0"/>
        <w:autoSpaceDE w:val="0"/>
        <w:autoSpaceDN w:val="0"/>
        <w:bidi w:val="0"/>
        <w:adjustRightInd/>
        <w:snapToGrid/>
        <w:spacing w:before="0" w:line="576" w:lineRule="exact"/>
        <w:ind w:left="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（二）项目绩效目标</w:t>
      </w:r>
    </w:p>
    <w:p>
      <w:pPr>
        <w:pStyle w:val="30"/>
        <w:keepNext w:val="0"/>
        <w:keepLines w:val="0"/>
        <w:pageBreakBefore w:val="0"/>
        <w:widowControl w:val="0"/>
        <w:numPr>
          <w:ilvl w:val="0"/>
          <w:numId w:val="0"/>
        </w:numPr>
        <w:tabs>
          <w:tab w:val="left" w:pos="1945"/>
        </w:tabs>
        <w:kinsoku/>
        <w:wordWrap/>
        <w:overflowPunct/>
        <w:topLinePunct w:val="0"/>
        <w:autoSpaceDE w:val="0"/>
        <w:autoSpaceDN w:val="0"/>
        <w:bidi w:val="0"/>
        <w:adjustRightInd/>
        <w:snapToGrid/>
        <w:spacing w:before="0" w:line="576"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项目主要内容：保障场镇及周边的优美环境，完成场镇垃圾清运，配备专职人员，对垃圾收集、清运实施日常监督和考核。开封镇人民政府生活垃圾无害化处理场配备专职人员，对垃圾处理实施日常监督和考核。</w:t>
      </w:r>
    </w:p>
    <w:p>
      <w:pPr>
        <w:pStyle w:val="30"/>
        <w:keepNext w:val="0"/>
        <w:keepLines w:val="0"/>
        <w:pageBreakBefore w:val="0"/>
        <w:widowControl w:val="0"/>
        <w:numPr>
          <w:ilvl w:val="0"/>
          <w:numId w:val="0"/>
        </w:numPr>
        <w:tabs>
          <w:tab w:val="left" w:pos="1945"/>
        </w:tabs>
        <w:kinsoku/>
        <w:wordWrap/>
        <w:overflowPunct/>
        <w:topLinePunct w:val="0"/>
        <w:autoSpaceDE w:val="0"/>
        <w:autoSpaceDN w:val="0"/>
        <w:bidi w:val="0"/>
        <w:adjustRightInd/>
        <w:snapToGrid/>
        <w:spacing w:before="0" w:line="576"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2.项目应实现的具体绩效目标：产出指标：完成场镇及周边垃圾清运（车）不少于260车；环境卫生质量达到优；</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项目成果时效为202</w:t>
      </w:r>
      <w:r>
        <w:rPr>
          <w:rFonts w:hint="eastAsia" w:hAnsi="仿宋_GB2312" w:cs="仿宋_GB2312"/>
          <w:b w:val="0"/>
          <w:bCs w:val="0"/>
          <w:color w:val="000000"/>
          <w:sz w:val="32"/>
          <w:szCs w:val="32"/>
          <w:lang w:val="en-US" w:eastAsia="zh-CN" w:bidi="ar-SA"/>
        </w:rPr>
        <w:t>2</w:t>
      </w:r>
      <w:r>
        <w:rPr>
          <w:rFonts w:hint="eastAsia" w:ascii="仿宋_GB2312" w:hAnsi="仿宋_GB2312" w:eastAsia="仿宋_GB2312" w:cs="仿宋_GB2312"/>
          <w:b w:val="0"/>
          <w:bCs w:val="0"/>
          <w:color w:val="000000"/>
          <w:sz w:val="32"/>
          <w:szCs w:val="32"/>
          <w:lang w:val="en-US" w:eastAsia="zh-CN" w:bidi="ar-SA"/>
        </w:rPr>
        <w:t>年度；转运成本（元/车）小于等于800元/车。</w:t>
      </w:r>
      <w:r>
        <w:rPr>
          <w:rFonts w:hint="eastAsia" w:hAnsi="仿宋_GB2312" w:cs="仿宋_GB2312"/>
          <w:b w:val="0"/>
          <w:bCs w:val="0"/>
          <w:color w:val="000000"/>
          <w:sz w:val="32"/>
          <w:szCs w:val="32"/>
          <w:lang w:val="en-US" w:eastAsia="zh-CN" w:bidi="ar-SA"/>
        </w:rPr>
        <w:t>绩效</w:t>
      </w:r>
      <w:r>
        <w:rPr>
          <w:rFonts w:hint="eastAsia" w:ascii="仿宋_GB2312" w:hAnsi="仿宋_GB2312" w:eastAsia="仿宋_GB2312" w:cs="仿宋_GB2312"/>
          <w:b w:val="0"/>
          <w:bCs w:val="0"/>
          <w:color w:val="000000"/>
          <w:sz w:val="32"/>
          <w:szCs w:val="32"/>
          <w:lang w:val="en-US" w:eastAsia="zh-CN" w:bidi="ar-SA"/>
        </w:rPr>
        <w:t>指标：城乡环境，有效改善城乡环境，提升群众生活幸福指数。满意度指标：群众满意度大于等于95%。</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3.本项目是一项环境综合治理的公益性工程，项目实施后社会效益经济效益、环境效益凸显，具有可持续性。申报目标设定合理。</w:t>
      </w:r>
    </w:p>
    <w:p>
      <w:pPr>
        <w:pStyle w:val="44"/>
        <w:keepNext w:val="0"/>
        <w:keepLines w:val="0"/>
        <w:pageBreakBefore w:val="0"/>
        <w:widowControl w:val="0"/>
        <w:kinsoku/>
        <w:wordWrap/>
        <w:overflowPunct/>
        <w:topLinePunct w:val="0"/>
        <w:autoSpaceDE w:val="0"/>
        <w:autoSpaceDN w:val="0"/>
        <w:bidi w:val="0"/>
        <w:adjustRightInd/>
        <w:snapToGrid/>
        <w:spacing w:before="0" w:line="576" w:lineRule="exact"/>
        <w:ind w:left="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（三）项目自评步骤及方法</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部门对垃圾收集、清运、处理的监督考核建立了考核监督制度，考核细则健全，扣分项目、处罚措施明确。根据综合得分，组织分管领导及部门负责人对本年度垃圾清运及处置费项目进行评估，评价项目效益，并提出改进措施。</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二、项目资金申报及使用情况</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（一）项目资金申报及批复情况</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在规定时间内，由部门进行申报，财政局统一批复。</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11" w:firstLineChars="200"/>
        <w:jc w:val="both"/>
        <w:textAlignment w:val="auto"/>
        <w:rPr>
          <w:rFonts w:hint="eastAsia" w:ascii="楷体_GB2312" w:hAnsi="楷体_GB2312" w:eastAsia="楷体_GB2312" w:cs="楷体_GB2312"/>
          <w:b/>
          <w:bCs/>
          <w:w w:val="95"/>
          <w:kern w:val="2"/>
          <w:sz w:val="32"/>
          <w:szCs w:val="32"/>
          <w:lang w:val="en-US" w:eastAsia="zh-CN" w:bidi="ar-SA"/>
        </w:rPr>
      </w:pPr>
      <w:r>
        <w:rPr>
          <w:rFonts w:hint="eastAsia" w:ascii="楷体_GB2312" w:hAnsi="楷体_GB2312" w:eastAsia="楷体_GB2312" w:cs="楷体_GB2312"/>
          <w:b/>
          <w:bCs/>
          <w:w w:val="95"/>
          <w:kern w:val="2"/>
          <w:sz w:val="32"/>
          <w:szCs w:val="32"/>
          <w:lang w:val="en-US" w:eastAsia="zh-CN" w:bidi="ar-SA"/>
        </w:rPr>
        <w:t>（二）资金计划、到位及使用情况（可用表格形式反映）</w:t>
      </w:r>
    </w:p>
    <w:tbl>
      <w:tblPr>
        <w:tblStyle w:val="18"/>
        <w:tblpPr w:leftFromText="180" w:rightFromText="180" w:vertAnchor="text" w:horzAnchor="page" w:tblpXSpec="center" w:tblpY="586"/>
        <w:tblOverlap w:val="never"/>
        <w:tblW w:w="95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8"/>
        <w:gridCol w:w="2722"/>
        <w:gridCol w:w="1506"/>
        <w:gridCol w:w="1440"/>
        <w:gridCol w:w="633"/>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1138" w:type="dxa"/>
            <w:vAlign w:val="center"/>
          </w:tcPr>
          <w:p>
            <w:pPr>
              <w:pStyle w:val="47"/>
              <w:ind w:right="256"/>
              <w:jc w:val="center"/>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lang w:val="en-US" w:eastAsia="zh-CN"/>
              </w:rPr>
              <w:t xml:space="preserve"> </w:t>
            </w:r>
            <w:r>
              <w:rPr>
                <w:rFonts w:hint="eastAsia" w:ascii="仿宋_GB2312" w:hAnsi="仿宋_GB2312" w:eastAsia="仿宋_GB2312" w:cs="仿宋_GB2312"/>
                <w:w w:val="95"/>
                <w:sz w:val="20"/>
                <w:szCs w:val="20"/>
              </w:rPr>
              <w:t>项目名称</w:t>
            </w:r>
          </w:p>
        </w:tc>
        <w:tc>
          <w:tcPr>
            <w:tcW w:w="4228" w:type="dxa"/>
            <w:gridSpan w:val="2"/>
            <w:vAlign w:val="center"/>
          </w:tcPr>
          <w:p>
            <w:pPr>
              <w:pStyle w:val="47"/>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垃圾清运及处置费</w:t>
            </w:r>
          </w:p>
        </w:tc>
        <w:tc>
          <w:tcPr>
            <w:tcW w:w="1440" w:type="dxa"/>
            <w:vAlign w:val="center"/>
          </w:tcPr>
          <w:p>
            <w:pPr>
              <w:pStyle w:val="47"/>
              <w:spacing w:before="28"/>
              <w:ind w:left="28" w:right="19"/>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项目负责人及电</w:t>
            </w:r>
            <w:r>
              <w:rPr>
                <w:rFonts w:hint="eastAsia" w:ascii="仿宋_GB2312" w:hAnsi="仿宋_GB2312" w:eastAsia="仿宋_GB2312" w:cs="仿宋_GB2312"/>
                <w:w w:val="99"/>
                <w:sz w:val="20"/>
                <w:szCs w:val="20"/>
              </w:rPr>
              <w:t>话</w:t>
            </w:r>
          </w:p>
        </w:tc>
        <w:tc>
          <w:tcPr>
            <w:tcW w:w="2793" w:type="dxa"/>
            <w:gridSpan w:val="3"/>
            <w:vAlign w:val="center"/>
          </w:tcPr>
          <w:p>
            <w:pPr>
              <w:pStyle w:val="47"/>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敬天斌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138" w:type="dxa"/>
            <w:vAlign w:val="center"/>
          </w:tcPr>
          <w:p>
            <w:pPr>
              <w:pStyle w:val="47"/>
              <w:spacing w:before="25"/>
              <w:ind w:right="256"/>
              <w:jc w:val="center"/>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lang w:val="en-US" w:eastAsia="zh-CN"/>
              </w:rPr>
              <w:t xml:space="preserve"> </w:t>
            </w:r>
            <w:r>
              <w:rPr>
                <w:rFonts w:hint="eastAsia" w:ascii="仿宋_GB2312" w:hAnsi="仿宋_GB2312" w:eastAsia="仿宋_GB2312" w:cs="仿宋_GB2312"/>
                <w:w w:val="95"/>
                <w:sz w:val="20"/>
                <w:szCs w:val="20"/>
              </w:rPr>
              <w:t>主管部门</w:t>
            </w:r>
          </w:p>
        </w:tc>
        <w:tc>
          <w:tcPr>
            <w:tcW w:w="4228" w:type="dxa"/>
            <w:gridSpan w:val="2"/>
            <w:vAlign w:val="center"/>
          </w:tcPr>
          <w:p>
            <w:pPr>
              <w:pStyle w:val="47"/>
              <w:spacing w:before="25"/>
              <w:ind w:left="1336" w:right="133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剑阁县财政局</w:t>
            </w:r>
          </w:p>
        </w:tc>
        <w:tc>
          <w:tcPr>
            <w:tcW w:w="1440" w:type="dxa"/>
            <w:vAlign w:val="center"/>
          </w:tcPr>
          <w:p>
            <w:pPr>
              <w:pStyle w:val="47"/>
              <w:spacing w:before="25"/>
              <w:ind w:left="28" w:right="19"/>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实施单位</w:t>
            </w:r>
          </w:p>
        </w:tc>
        <w:tc>
          <w:tcPr>
            <w:tcW w:w="2793" w:type="dxa"/>
            <w:gridSpan w:val="3"/>
            <w:vAlign w:val="center"/>
          </w:tcPr>
          <w:p>
            <w:pPr>
              <w:pStyle w:val="47"/>
              <w:spacing w:before="25"/>
              <w:ind w:left="346"/>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剑阁县</w:t>
            </w:r>
            <w:r>
              <w:rPr>
                <w:rFonts w:hint="eastAsia" w:ascii="仿宋_GB2312" w:hAnsi="仿宋_GB2312" w:eastAsia="仿宋_GB2312" w:cs="仿宋_GB2312"/>
                <w:sz w:val="20"/>
                <w:szCs w:val="20"/>
                <w:lang w:eastAsia="zh-CN"/>
              </w:rPr>
              <w:t>开封镇</w:t>
            </w:r>
            <w:r>
              <w:rPr>
                <w:rFonts w:hint="eastAsia" w:ascii="仿宋_GB2312" w:hAnsi="仿宋_GB2312" w:eastAsia="仿宋_GB2312" w:cs="仿宋_GB2312"/>
                <w:sz w:val="20"/>
                <w:szCs w:val="20"/>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138" w:type="dxa"/>
            <w:vAlign w:val="center"/>
          </w:tcPr>
          <w:p>
            <w:pPr>
              <w:pStyle w:val="47"/>
              <w:spacing w:before="2"/>
              <w:jc w:val="center"/>
              <w:rPr>
                <w:rFonts w:hint="eastAsia" w:ascii="仿宋_GB2312" w:hAnsi="仿宋_GB2312" w:eastAsia="仿宋_GB2312" w:cs="仿宋_GB2312"/>
                <w:b/>
                <w:sz w:val="14"/>
                <w:szCs w:val="20"/>
              </w:rPr>
            </w:pPr>
          </w:p>
          <w:p>
            <w:pPr>
              <w:pStyle w:val="47"/>
              <w:ind w:right="256"/>
              <w:jc w:val="center"/>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lang w:val="en-US" w:eastAsia="zh-CN"/>
              </w:rPr>
              <w:t xml:space="preserve"> </w:t>
            </w:r>
            <w:r>
              <w:rPr>
                <w:rFonts w:hint="eastAsia" w:ascii="仿宋_GB2312" w:hAnsi="仿宋_GB2312" w:eastAsia="仿宋_GB2312" w:cs="仿宋_GB2312"/>
                <w:w w:val="95"/>
                <w:sz w:val="20"/>
                <w:szCs w:val="20"/>
              </w:rPr>
              <w:t>资金情况</w:t>
            </w:r>
          </w:p>
        </w:tc>
        <w:tc>
          <w:tcPr>
            <w:tcW w:w="2722" w:type="dxa"/>
            <w:vAlign w:val="center"/>
          </w:tcPr>
          <w:p>
            <w:pPr>
              <w:pStyle w:val="47"/>
              <w:jc w:val="center"/>
              <w:rPr>
                <w:rFonts w:hint="eastAsia" w:ascii="仿宋_GB2312" w:hAnsi="仿宋_GB2312" w:eastAsia="仿宋_GB2312" w:cs="仿宋_GB2312"/>
                <w:sz w:val="28"/>
                <w:szCs w:val="20"/>
              </w:rPr>
            </w:pPr>
          </w:p>
        </w:tc>
        <w:tc>
          <w:tcPr>
            <w:tcW w:w="1506" w:type="dxa"/>
            <w:vAlign w:val="center"/>
          </w:tcPr>
          <w:p>
            <w:pPr>
              <w:pStyle w:val="47"/>
              <w:spacing w:before="25"/>
              <w:ind w:left="159"/>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全年预算（A）</w:t>
            </w:r>
          </w:p>
        </w:tc>
        <w:tc>
          <w:tcPr>
            <w:tcW w:w="1440" w:type="dxa"/>
            <w:vAlign w:val="center"/>
          </w:tcPr>
          <w:p>
            <w:pPr>
              <w:pStyle w:val="47"/>
              <w:ind w:right="19"/>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全年执行数（B）</w:t>
            </w:r>
          </w:p>
        </w:tc>
        <w:tc>
          <w:tcPr>
            <w:tcW w:w="633" w:type="dxa"/>
            <w:vAlign w:val="center"/>
          </w:tcPr>
          <w:p>
            <w:pPr>
              <w:pStyle w:val="47"/>
              <w:spacing w:before="25"/>
              <w:jc w:val="center"/>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分值</w:t>
            </w:r>
          </w:p>
        </w:tc>
        <w:tc>
          <w:tcPr>
            <w:tcW w:w="1080" w:type="dxa"/>
            <w:vAlign w:val="center"/>
          </w:tcPr>
          <w:p>
            <w:pPr>
              <w:pStyle w:val="47"/>
              <w:spacing w:before="25"/>
              <w:jc w:val="center"/>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执行率</w:t>
            </w:r>
          </w:p>
          <w:p>
            <w:pPr>
              <w:pStyle w:val="47"/>
              <w:spacing w:before="56"/>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eastAsia="zh-CN"/>
              </w:rPr>
              <w:t>(</w:t>
            </w:r>
            <w:r>
              <w:rPr>
                <w:rFonts w:hint="eastAsia" w:ascii="仿宋_GB2312" w:hAnsi="仿宋_GB2312" w:eastAsia="仿宋_GB2312" w:cs="仿宋_GB2312"/>
                <w:sz w:val="20"/>
                <w:szCs w:val="20"/>
              </w:rPr>
              <w:t>B/A)</w:t>
            </w:r>
          </w:p>
        </w:tc>
        <w:tc>
          <w:tcPr>
            <w:tcW w:w="1080" w:type="dxa"/>
            <w:vAlign w:val="center"/>
          </w:tcPr>
          <w:p>
            <w:pPr>
              <w:pStyle w:val="47"/>
              <w:ind w:right="312"/>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 xml:space="preserve">   </w:t>
            </w:r>
            <w:r>
              <w:rPr>
                <w:rFonts w:hint="eastAsia" w:ascii="仿宋_GB2312" w:hAnsi="仿宋_GB2312" w:eastAsia="仿宋_GB2312" w:cs="仿宋_GB2312"/>
                <w:sz w:val="20"/>
                <w:szCs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138" w:type="dxa"/>
            <w:vAlign w:val="center"/>
          </w:tcPr>
          <w:p>
            <w:pPr>
              <w:pStyle w:val="47"/>
              <w:spacing w:before="28"/>
              <w:ind w:right="256"/>
              <w:jc w:val="center"/>
              <w:rPr>
                <w:rFonts w:hint="eastAsia" w:ascii="仿宋_GB2312" w:hAnsi="仿宋_GB2312" w:eastAsia="仿宋_GB2312" w:cs="仿宋_GB2312"/>
                <w:sz w:val="20"/>
                <w:szCs w:val="20"/>
              </w:rPr>
            </w:pPr>
            <w:r>
              <w:rPr>
                <w:rFonts w:hint="eastAsia" w:ascii="仿宋_GB2312" w:hAnsi="仿宋_GB2312" w:eastAsia="仿宋_GB2312" w:cs="仿宋_GB2312"/>
                <w:w w:val="95"/>
                <w:sz w:val="20"/>
                <w:szCs w:val="20"/>
              </w:rPr>
              <w:t>（万元）</w:t>
            </w:r>
          </w:p>
        </w:tc>
        <w:tc>
          <w:tcPr>
            <w:tcW w:w="2722" w:type="dxa"/>
            <w:vAlign w:val="center"/>
          </w:tcPr>
          <w:p>
            <w:pPr>
              <w:pStyle w:val="47"/>
              <w:spacing w:before="28"/>
              <w:ind w:left="696"/>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年度资金总额：</w:t>
            </w:r>
          </w:p>
        </w:tc>
        <w:tc>
          <w:tcPr>
            <w:tcW w:w="1506" w:type="dxa"/>
            <w:vAlign w:val="center"/>
          </w:tcPr>
          <w:p>
            <w:pPr>
              <w:pStyle w:val="47"/>
              <w:spacing w:before="28"/>
              <w:ind w:left="340" w:right="332"/>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19.72</w:t>
            </w:r>
          </w:p>
        </w:tc>
        <w:tc>
          <w:tcPr>
            <w:tcW w:w="1440" w:type="dxa"/>
            <w:vAlign w:val="center"/>
          </w:tcPr>
          <w:p>
            <w:pPr>
              <w:pStyle w:val="47"/>
              <w:spacing w:before="28"/>
              <w:ind w:left="27" w:right="19"/>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19.72</w:t>
            </w:r>
          </w:p>
        </w:tc>
        <w:tc>
          <w:tcPr>
            <w:tcW w:w="633" w:type="dxa"/>
            <w:vAlign w:val="center"/>
          </w:tcPr>
          <w:p>
            <w:pPr>
              <w:pStyle w:val="47"/>
              <w:spacing w:before="28"/>
              <w:ind w:left="166"/>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1080" w:type="dxa"/>
            <w:vAlign w:val="center"/>
          </w:tcPr>
          <w:p>
            <w:pPr>
              <w:pStyle w:val="47"/>
              <w:spacing w:before="28"/>
              <w:ind w:left="339"/>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100%</w:t>
            </w:r>
          </w:p>
        </w:tc>
        <w:tc>
          <w:tcPr>
            <w:tcW w:w="1080" w:type="dxa"/>
            <w:vAlign w:val="center"/>
          </w:tcPr>
          <w:p>
            <w:pPr>
              <w:pStyle w:val="47"/>
              <w:spacing w:before="28"/>
              <w:ind w:left="318" w:right="308"/>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138" w:type="dxa"/>
            <w:vAlign w:val="center"/>
          </w:tcPr>
          <w:p>
            <w:pPr>
              <w:pStyle w:val="47"/>
              <w:jc w:val="center"/>
              <w:rPr>
                <w:rFonts w:hint="eastAsia" w:ascii="仿宋_GB2312" w:hAnsi="仿宋_GB2312" w:eastAsia="仿宋_GB2312" w:cs="仿宋_GB2312"/>
                <w:sz w:val="28"/>
                <w:szCs w:val="20"/>
              </w:rPr>
            </w:pPr>
          </w:p>
        </w:tc>
        <w:tc>
          <w:tcPr>
            <w:tcW w:w="2722" w:type="dxa"/>
            <w:vAlign w:val="center"/>
          </w:tcPr>
          <w:p>
            <w:pPr>
              <w:pStyle w:val="47"/>
              <w:spacing w:before="27"/>
              <w:ind w:left="224" w:right="118"/>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其中：中央、省、市财政资</w:t>
            </w:r>
            <w:r>
              <w:rPr>
                <w:rFonts w:hint="eastAsia" w:ascii="仿宋_GB2312" w:hAnsi="仿宋_GB2312" w:eastAsia="仿宋_GB2312" w:cs="仿宋_GB2312"/>
                <w:w w:val="99"/>
                <w:sz w:val="20"/>
                <w:szCs w:val="20"/>
              </w:rPr>
              <w:t>金</w:t>
            </w:r>
          </w:p>
        </w:tc>
        <w:tc>
          <w:tcPr>
            <w:tcW w:w="1506" w:type="dxa"/>
            <w:vAlign w:val="center"/>
          </w:tcPr>
          <w:p>
            <w:pPr>
              <w:pStyle w:val="47"/>
              <w:jc w:val="center"/>
              <w:rPr>
                <w:rFonts w:hint="eastAsia" w:ascii="仿宋_GB2312" w:hAnsi="仿宋_GB2312" w:eastAsia="仿宋_GB2312" w:cs="仿宋_GB2312"/>
                <w:sz w:val="28"/>
                <w:szCs w:val="20"/>
              </w:rPr>
            </w:pPr>
          </w:p>
        </w:tc>
        <w:tc>
          <w:tcPr>
            <w:tcW w:w="1440" w:type="dxa"/>
            <w:vAlign w:val="center"/>
          </w:tcPr>
          <w:p>
            <w:pPr>
              <w:pStyle w:val="47"/>
              <w:jc w:val="center"/>
              <w:rPr>
                <w:rFonts w:hint="eastAsia" w:ascii="仿宋_GB2312" w:hAnsi="仿宋_GB2312" w:eastAsia="仿宋_GB2312" w:cs="仿宋_GB2312"/>
                <w:sz w:val="28"/>
                <w:szCs w:val="20"/>
              </w:rPr>
            </w:pPr>
          </w:p>
        </w:tc>
        <w:tc>
          <w:tcPr>
            <w:tcW w:w="633" w:type="dxa"/>
            <w:vAlign w:val="center"/>
          </w:tcPr>
          <w:p>
            <w:pPr>
              <w:pStyle w:val="47"/>
              <w:jc w:val="center"/>
              <w:rPr>
                <w:rFonts w:hint="eastAsia" w:ascii="仿宋_GB2312" w:hAnsi="仿宋_GB2312" w:eastAsia="仿宋_GB2312" w:cs="仿宋_GB2312"/>
                <w:sz w:val="28"/>
                <w:szCs w:val="20"/>
              </w:rPr>
            </w:pPr>
          </w:p>
        </w:tc>
        <w:tc>
          <w:tcPr>
            <w:tcW w:w="1080" w:type="dxa"/>
            <w:vAlign w:val="center"/>
          </w:tcPr>
          <w:p>
            <w:pPr>
              <w:pStyle w:val="47"/>
              <w:jc w:val="center"/>
              <w:rPr>
                <w:rFonts w:hint="eastAsia" w:ascii="仿宋_GB2312" w:hAnsi="仿宋_GB2312" w:eastAsia="仿宋_GB2312" w:cs="仿宋_GB2312"/>
                <w:sz w:val="28"/>
                <w:szCs w:val="20"/>
              </w:rPr>
            </w:pPr>
          </w:p>
        </w:tc>
        <w:tc>
          <w:tcPr>
            <w:tcW w:w="1080" w:type="dxa"/>
            <w:vAlign w:val="center"/>
          </w:tcPr>
          <w:p>
            <w:pPr>
              <w:pStyle w:val="47"/>
              <w:jc w:val="center"/>
              <w:rPr>
                <w:rFonts w:hint="eastAsia" w:ascii="仿宋_GB2312" w:hAnsi="仿宋_GB2312" w:eastAsia="仿宋_GB2312" w:cs="仿宋_GB2312"/>
                <w:sz w:val="2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138" w:type="dxa"/>
            <w:vAlign w:val="center"/>
          </w:tcPr>
          <w:p>
            <w:pPr>
              <w:pStyle w:val="47"/>
              <w:jc w:val="center"/>
              <w:rPr>
                <w:rFonts w:hint="eastAsia" w:ascii="仿宋_GB2312" w:hAnsi="仿宋_GB2312" w:eastAsia="仿宋_GB2312" w:cs="仿宋_GB2312"/>
                <w:szCs w:val="20"/>
              </w:rPr>
            </w:pPr>
          </w:p>
        </w:tc>
        <w:tc>
          <w:tcPr>
            <w:tcW w:w="2722" w:type="dxa"/>
            <w:vAlign w:val="center"/>
          </w:tcPr>
          <w:p>
            <w:pPr>
              <w:pStyle w:val="47"/>
              <w:spacing w:before="28"/>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县级财政资金</w:t>
            </w:r>
          </w:p>
        </w:tc>
        <w:tc>
          <w:tcPr>
            <w:tcW w:w="1506" w:type="dxa"/>
            <w:vAlign w:val="center"/>
          </w:tcPr>
          <w:p>
            <w:pPr>
              <w:pStyle w:val="47"/>
              <w:spacing w:before="28"/>
              <w:ind w:left="340" w:right="332"/>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19.72</w:t>
            </w:r>
          </w:p>
        </w:tc>
        <w:tc>
          <w:tcPr>
            <w:tcW w:w="1440" w:type="dxa"/>
            <w:vAlign w:val="center"/>
          </w:tcPr>
          <w:p>
            <w:pPr>
              <w:pStyle w:val="47"/>
              <w:jc w:val="center"/>
              <w:rPr>
                <w:rFonts w:hint="eastAsia" w:ascii="仿宋_GB2312" w:hAnsi="仿宋_GB2312" w:eastAsia="仿宋_GB2312" w:cs="仿宋_GB2312"/>
                <w:szCs w:val="20"/>
              </w:rPr>
            </w:pPr>
          </w:p>
        </w:tc>
        <w:tc>
          <w:tcPr>
            <w:tcW w:w="633" w:type="dxa"/>
            <w:vAlign w:val="center"/>
          </w:tcPr>
          <w:p>
            <w:pPr>
              <w:pStyle w:val="47"/>
              <w:jc w:val="center"/>
              <w:rPr>
                <w:rFonts w:hint="eastAsia" w:ascii="仿宋_GB2312" w:hAnsi="仿宋_GB2312" w:eastAsia="仿宋_GB2312" w:cs="仿宋_GB2312"/>
                <w:szCs w:val="20"/>
              </w:rPr>
            </w:pPr>
          </w:p>
        </w:tc>
        <w:tc>
          <w:tcPr>
            <w:tcW w:w="1080" w:type="dxa"/>
            <w:vAlign w:val="center"/>
          </w:tcPr>
          <w:p>
            <w:pPr>
              <w:pStyle w:val="47"/>
              <w:jc w:val="center"/>
              <w:rPr>
                <w:rFonts w:hint="eastAsia" w:ascii="仿宋_GB2312" w:hAnsi="仿宋_GB2312" w:eastAsia="仿宋_GB2312" w:cs="仿宋_GB2312"/>
                <w:szCs w:val="20"/>
              </w:rPr>
            </w:pPr>
          </w:p>
        </w:tc>
        <w:tc>
          <w:tcPr>
            <w:tcW w:w="1080" w:type="dxa"/>
            <w:vAlign w:val="center"/>
          </w:tcPr>
          <w:p>
            <w:pPr>
              <w:pStyle w:val="47"/>
              <w:jc w:val="center"/>
              <w:rPr>
                <w:rFonts w:hint="eastAsia" w:ascii="仿宋_GB2312" w:hAnsi="仿宋_GB2312" w:eastAsia="仿宋_GB2312" w:cs="仿宋_GB231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138" w:type="dxa"/>
            <w:vAlign w:val="center"/>
          </w:tcPr>
          <w:p>
            <w:pPr>
              <w:pStyle w:val="47"/>
              <w:jc w:val="center"/>
              <w:rPr>
                <w:rFonts w:hint="eastAsia" w:ascii="仿宋_GB2312" w:hAnsi="仿宋_GB2312" w:eastAsia="仿宋_GB2312" w:cs="仿宋_GB2312"/>
                <w:szCs w:val="20"/>
              </w:rPr>
            </w:pPr>
          </w:p>
        </w:tc>
        <w:tc>
          <w:tcPr>
            <w:tcW w:w="2722" w:type="dxa"/>
            <w:vAlign w:val="center"/>
          </w:tcPr>
          <w:p>
            <w:pPr>
              <w:pStyle w:val="47"/>
              <w:spacing w:before="28"/>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其他资金</w:t>
            </w:r>
          </w:p>
        </w:tc>
        <w:tc>
          <w:tcPr>
            <w:tcW w:w="1506" w:type="dxa"/>
            <w:vAlign w:val="center"/>
          </w:tcPr>
          <w:p>
            <w:pPr>
              <w:pStyle w:val="47"/>
              <w:spacing w:before="28"/>
              <w:ind w:left="5"/>
              <w:jc w:val="center"/>
              <w:rPr>
                <w:rFonts w:hint="eastAsia" w:ascii="仿宋_GB2312" w:hAnsi="仿宋_GB2312" w:eastAsia="仿宋_GB2312" w:cs="仿宋_GB2312"/>
                <w:sz w:val="20"/>
                <w:szCs w:val="20"/>
              </w:rPr>
            </w:pPr>
            <w:r>
              <w:rPr>
                <w:rFonts w:hint="eastAsia" w:ascii="仿宋_GB2312" w:hAnsi="仿宋_GB2312" w:eastAsia="仿宋_GB2312" w:cs="仿宋_GB2312"/>
                <w:w w:val="99"/>
                <w:sz w:val="20"/>
                <w:szCs w:val="20"/>
              </w:rPr>
              <w:t>0</w:t>
            </w:r>
          </w:p>
        </w:tc>
        <w:tc>
          <w:tcPr>
            <w:tcW w:w="1440" w:type="dxa"/>
            <w:vAlign w:val="center"/>
          </w:tcPr>
          <w:p>
            <w:pPr>
              <w:pStyle w:val="47"/>
              <w:jc w:val="center"/>
              <w:rPr>
                <w:rFonts w:hint="eastAsia" w:ascii="仿宋_GB2312" w:hAnsi="仿宋_GB2312" w:eastAsia="仿宋_GB2312" w:cs="仿宋_GB2312"/>
                <w:szCs w:val="20"/>
              </w:rPr>
            </w:pPr>
          </w:p>
        </w:tc>
        <w:tc>
          <w:tcPr>
            <w:tcW w:w="633" w:type="dxa"/>
            <w:vAlign w:val="center"/>
          </w:tcPr>
          <w:p>
            <w:pPr>
              <w:pStyle w:val="47"/>
              <w:jc w:val="center"/>
              <w:rPr>
                <w:rFonts w:hint="eastAsia" w:ascii="仿宋_GB2312" w:hAnsi="仿宋_GB2312" w:eastAsia="仿宋_GB2312" w:cs="仿宋_GB2312"/>
                <w:szCs w:val="20"/>
              </w:rPr>
            </w:pPr>
          </w:p>
        </w:tc>
        <w:tc>
          <w:tcPr>
            <w:tcW w:w="1080" w:type="dxa"/>
            <w:vAlign w:val="center"/>
          </w:tcPr>
          <w:p>
            <w:pPr>
              <w:pStyle w:val="47"/>
              <w:jc w:val="center"/>
              <w:rPr>
                <w:rFonts w:hint="eastAsia" w:ascii="仿宋_GB2312" w:hAnsi="仿宋_GB2312" w:eastAsia="仿宋_GB2312" w:cs="仿宋_GB2312"/>
                <w:szCs w:val="20"/>
              </w:rPr>
            </w:pPr>
          </w:p>
        </w:tc>
        <w:tc>
          <w:tcPr>
            <w:tcW w:w="1080" w:type="dxa"/>
            <w:vAlign w:val="center"/>
          </w:tcPr>
          <w:p>
            <w:pPr>
              <w:pStyle w:val="47"/>
              <w:jc w:val="center"/>
              <w:rPr>
                <w:rFonts w:hint="eastAsia" w:ascii="仿宋_GB2312" w:hAnsi="仿宋_GB2312" w:eastAsia="仿宋_GB2312" w:cs="仿宋_GB2312"/>
                <w:szCs w:val="20"/>
              </w:rPr>
            </w:pPr>
          </w:p>
        </w:tc>
      </w:tr>
    </w:tbl>
    <w:p>
      <w:pPr>
        <w:keepNext w:val="0"/>
        <w:keepLines w:val="0"/>
        <w:pageBreakBefore w:val="0"/>
        <w:kinsoku/>
        <w:wordWrap/>
        <w:overflowPunct/>
        <w:topLinePunct w:val="0"/>
        <w:bidi w:val="0"/>
        <w:spacing w:after="0" w:line="576" w:lineRule="exact"/>
        <w:ind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（三）项目财务管理情况</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各项目实施单位财务管理制度健全，严格执行财务管理制度，账务处理及时，会计核算规范。</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三、项目实施及管理情况</w:t>
      </w:r>
    </w:p>
    <w:p>
      <w:pPr>
        <w:pStyle w:val="44"/>
        <w:keepNext w:val="0"/>
        <w:keepLines w:val="0"/>
        <w:pageBreakBefore w:val="0"/>
        <w:kinsoku/>
        <w:wordWrap/>
        <w:overflowPunct/>
        <w:topLinePunct w:val="0"/>
        <w:bidi w:val="0"/>
        <w:spacing w:before="0"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（一）项目组织架构及实施流程</w:t>
      </w:r>
    </w:p>
    <w:p>
      <w:pPr>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申报项目－项目执行－项目监督－项目评价</w:t>
      </w:r>
    </w:p>
    <w:p>
      <w:pPr>
        <w:pStyle w:val="44"/>
        <w:keepNext w:val="0"/>
        <w:keepLines w:val="0"/>
        <w:pageBreakBefore w:val="0"/>
        <w:kinsoku/>
        <w:wordWrap/>
        <w:overflowPunct/>
        <w:topLinePunct w:val="0"/>
        <w:bidi w:val="0"/>
        <w:spacing w:before="0"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（二）项目管理情况</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结合项目特点，总体评价各项目实施单位执行相关法律法规及项目管理制度等情况，如招投标、政府采购、项目公示制等相关规定。</w:t>
      </w:r>
    </w:p>
    <w:p>
      <w:pPr>
        <w:pStyle w:val="44"/>
        <w:keepNext w:val="0"/>
        <w:keepLines w:val="0"/>
        <w:pageBreakBefore w:val="0"/>
        <w:kinsoku/>
        <w:wordWrap/>
        <w:overflowPunct/>
        <w:topLinePunct w:val="0"/>
        <w:bidi w:val="0"/>
        <w:spacing w:before="0"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（三）项目监管情况</w:t>
      </w:r>
    </w:p>
    <w:p>
      <w:pPr>
        <w:keepNext w:val="0"/>
        <w:keepLines w:val="0"/>
        <w:pageBreakBefore w:val="0"/>
        <w:numPr>
          <w:ilvl w:val="0"/>
          <w:numId w:val="0"/>
        </w:numPr>
        <w:kinsoku/>
        <w:wordWrap/>
        <w:overflowPunct/>
        <w:topLinePunct w:val="0"/>
        <w:bidi w:val="0"/>
        <w:spacing w:after="0" w:line="576"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开封镇人民政府清运项目的实施，确保城乡垃圾日产日清，改善城乡卫生环境，同时项目实施监督到位，产生良好的社会环境效益。</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四、项目绩效情况</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（一）项目完成情况</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pPr>
      <w:r>
        <w:rPr>
          <w:rFonts w:hint="eastAsia" w:ascii="仿宋_GB2312" w:hAnsi="仿宋_GB2312" w:eastAsia="仿宋_GB2312" w:cs="仿宋_GB2312"/>
          <w:b w:val="0"/>
          <w:bCs w:val="0"/>
          <w:color w:val="000000"/>
          <w:sz w:val="32"/>
          <w:szCs w:val="32"/>
          <w:lang w:val="en-US" w:eastAsia="zh-CN" w:bidi="ar-SA"/>
        </w:rPr>
        <w:t>本项目实施组织严密，管理规范有序，资金使用管理到位，实施后社会经济效益凸显。县环卫处成立专门机构考核办，配备专职人员，对垃圾收集、清运实施日常监督和考核。开封镇人民政府生活垃圾无害化处理场配备专职人员，对垃圾处理实施日常监督和考核。为加强项目的资金管理，我镇制定了重点工程项目建设管理和财务管理制度，并将该项目纳入县级重点工程财务核算，实行集中支付和报账制，确保资金封闭运行，项目实施中县财政、县审计以及监察部门定期或不定期</w:t>
      </w:r>
      <w:r>
        <w:rPr>
          <w:rFonts w:hint="eastAsia" w:hAnsi="仿宋_GB2312" w:cs="仿宋_GB2312"/>
          <w:b w:val="0"/>
          <w:bCs w:val="0"/>
          <w:color w:val="000000"/>
          <w:sz w:val="32"/>
          <w:szCs w:val="32"/>
          <w:lang w:val="en-US" w:eastAsia="zh-CN" w:bidi="ar-SA"/>
        </w:rPr>
        <w:t>地</w:t>
      </w:r>
      <w:r>
        <w:rPr>
          <w:rFonts w:hint="eastAsia" w:ascii="仿宋_GB2312" w:hAnsi="仿宋_GB2312" w:eastAsia="仿宋_GB2312" w:cs="仿宋_GB2312"/>
          <w:b w:val="0"/>
          <w:bCs w:val="0"/>
          <w:color w:val="000000"/>
          <w:sz w:val="32"/>
          <w:szCs w:val="32"/>
          <w:lang w:val="en-US" w:eastAsia="zh-CN" w:bidi="ar-SA"/>
        </w:rPr>
        <w:t>实行检查、督察，确保项目资金的安全运行。资金使用过程中，严把监督审核关，建立健全内部审批制度。对每笔用款申请，在所附资料齐备的情况下，经审核确认后再报县财政局审批后付款。确保了城乡垃圾的日产日清，改善了城乡卫生环境，项目实施到位，产生了良好的社会环境效益。</w:t>
      </w:r>
    </w:p>
    <w:p>
      <w:pPr>
        <w:pStyle w:val="44"/>
        <w:keepNext w:val="0"/>
        <w:keepLines w:val="0"/>
        <w:pageBreakBefore w:val="0"/>
        <w:kinsoku/>
        <w:wordWrap/>
        <w:overflowPunct/>
        <w:topLinePunct w:val="0"/>
        <w:bidi w:val="0"/>
        <w:spacing w:before="0"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（二）项目效益情况</w:t>
      </w:r>
    </w:p>
    <w:p>
      <w:pPr>
        <w:pStyle w:val="8"/>
        <w:keepNext w:val="0"/>
        <w:keepLines w:val="0"/>
        <w:pageBreakBefore w:val="0"/>
        <w:kinsoku/>
        <w:wordWrap/>
        <w:overflowPunct/>
        <w:topLinePunct w:val="0"/>
        <w:bidi w:val="0"/>
        <w:spacing w:after="0" w:line="576" w:lineRule="exact"/>
        <w:ind w:left="0" w:leftChars="0" w:right="0" w:firstLine="643"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bCs/>
          <w:kern w:val="2"/>
          <w:sz w:val="32"/>
          <w:szCs w:val="32"/>
          <w:lang w:val="en-US" w:eastAsia="zh-CN" w:bidi="ar-SA"/>
        </w:rPr>
        <w:t>1.社会效益。</w:t>
      </w:r>
      <w:r>
        <w:rPr>
          <w:rFonts w:hint="eastAsia" w:ascii="仿宋_GB2312" w:hAnsi="仿宋_GB2312" w:eastAsia="仿宋_GB2312" w:cs="仿宋_GB2312"/>
          <w:b w:val="0"/>
          <w:bCs w:val="0"/>
          <w:color w:val="000000"/>
          <w:sz w:val="32"/>
          <w:szCs w:val="32"/>
          <w:lang w:val="en-US" w:eastAsia="zh-CN" w:bidi="ar-SA"/>
        </w:rPr>
        <w:t>通过项目的实施，可改善居民的生活和生态环境，进而提高居民的生活水平和健康水平，保护开封镇整体环境和恢复生态平衡，保证整个开封镇社会经济又好又快发展。</w:t>
      </w:r>
    </w:p>
    <w:p>
      <w:pPr>
        <w:pStyle w:val="8"/>
        <w:keepNext w:val="0"/>
        <w:keepLines w:val="0"/>
        <w:pageBreakBefore w:val="0"/>
        <w:kinsoku/>
        <w:wordWrap/>
        <w:overflowPunct/>
        <w:topLinePunct w:val="0"/>
        <w:bidi w:val="0"/>
        <w:spacing w:after="0" w:line="576" w:lineRule="exact"/>
        <w:ind w:left="0" w:leftChars="0" w:right="0" w:firstLine="643"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bCs/>
          <w:kern w:val="2"/>
          <w:sz w:val="32"/>
          <w:szCs w:val="32"/>
          <w:lang w:val="en-US" w:eastAsia="zh-CN" w:bidi="ar-SA"/>
        </w:rPr>
        <w:t>2.环境效益。</w:t>
      </w:r>
      <w:r>
        <w:rPr>
          <w:rFonts w:hint="eastAsia" w:ascii="仿宋_GB2312" w:hAnsi="仿宋_GB2312" w:eastAsia="仿宋_GB2312" w:cs="仿宋_GB2312"/>
          <w:b w:val="0"/>
          <w:bCs w:val="0"/>
          <w:color w:val="000000"/>
          <w:sz w:val="32"/>
          <w:szCs w:val="32"/>
          <w:lang w:val="en-US" w:eastAsia="zh-CN" w:bidi="ar-SA"/>
        </w:rPr>
        <w:t>通过项目的实施，将</w:t>
      </w:r>
      <w:r>
        <w:rPr>
          <w:rFonts w:hint="eastAsia" w:hAnsi="仿宋_GB2312" w:cs="仿宋_GB2312"/>
          <w:b w:val="0"/>
          <w:bCs w:val="0"/>
          <w:color w:val="000000"/>
          <w:sz w:val="32"/>
          <w:szCs w:val="32"/>
          <w:lang w:val="en-US" w:eastAsia="zh-CN" w:bidi="ar-SA"/>
        </w:rPr>
        <w:t>能够有力地的</w:t>
      </w:r>
      <w:r>
        <w:rPr>
          <w:rFonts w:hint="eastAsia" w:ascii="仿宋_GB2312" w:hAnsi="仿宋_GB2312" w:eastAsia="仿宋_GB2312" w:cs="仿宋_GB2312"/>
          <w:b w:val="0"/>
          <w:bCs w:val="0"/>
          <w:color w:val="000000"/>
          <w:sz w:val="32"/>
          <w:szCs w:val="32"/>
          <w:lang w:val="en-US" w:eastAsia="zh-CN" w:bidi="ar-SA"/>
        </w:rPr>
        <w:t xml:space="preserve">缓解生活垃圾带来的环境污染和各种社会、经济问题，改善全县大气环境质量，消除和减少疾病传播，从而改善开封镇城市容貌和环境卫生条件，提高开封镇的招商引资能力。 </w:t>
      </w:r>
    </w:p>
    <w:p>
      <w:pPr>
        <w:pStyle w:val="8"/>
        <w:keepNext w:val="0"/>
        <w:keepLines w:val="0"/>
        <w:pageBreakBefore w:val="0"/>
        <w:kinsoku/>
        <w:wordWrap/>
        <w:overflowPunct/>
        <w:topLinePunct w:val="0"/>
        <w:bidi w:val="0"/>
        <w:spacing w:after="0" w:line="576" w:lineRule="exact"/>
        <w:ind w:left="0" w:leftChars="0" w:right="0" w:firstLine="643"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bCs/>
          <w:kern w:val="2"/>
          <w:sz w:val="32"/>
          <w:szCs w:val="32"/>
          <w:lang w:val="en-US" w:eastAsia="zh-CN" w:bidi="ar-SA"/>
        </w:rPr>
        <w:t>3.经济效益。</w:t>
      </w:r>
      <w:r>
        <w:rPr>
          <w:rFonts w:hint="eastAsia" w:ascii="仿宋_GB2312" w:hAnsi="仿宋_GB2312" w:eastAsia="仿宋_GB2312" w:cs="仿宋_GB2312"/>
          <w:b w:val="0"/>
          <w:bCs w:val="0"/>
          <w:color w:val="000000"/>
          <w:sz w:val="32"/>
          <w:szCs w:val="32"/>
          <w:lang w:val="en-US" w:eastAsia="zh-CN" w:bidi="ar-SA"/>
        </w:rPr>
        <w:t>每吨生活垃圾可以分选出48.8%的替代煤作为水泥窑燃料。按照RDF的低位热值1800Kcal/吨RDF，通过项目的实施可以每年节约一定数量标煤，具有显著的经济效益。</w:t>
      </w:r>
    </w:p>
    <w:p>
      <w:pPr>
        <w:pStyle w:val="8"/>
        <w:keepNext w:val="0"/>
        <w:keepLines w:val="0"/>
        <w:pageBreakBefore w:val="0"/>
        <w:kinsoku/>
        <w:wordWrap/>
        <w:overflowPunct/>
        <w:topLinePunct w:val="0"/>
        <w:bidi w:val="0"/>
        <w:spacing w:after="0" w:line="576" w:lineRule="exact"/>
        <w:ind w:left="0" w:leftChars="0" w:right="0" w:firstLine="643"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bCs/>
          <w:kern w:val="2"/>
          <w:sz w:val="32"/>
          <w:szCs w:val="32"/>
          <w:lang w:val="en-US" w:eastAsia="zh-CN" w:bidi="ar-SA"/>
        </w:rPr>
        <w:t>4.可持续影响。</w:t>
      </w:r>
      <w:r>
        <w:rPr>
          <w:rFonts w:hint="eastAsia" w:ascii="仿宋_GB2312" w:hAnsi="仿宋_GB2312" w:eastAsia="仿宋_GB2312" w:cs="仿宋_GB2312"/>
          <w:b w:val="0"/>
          <w:bCs w:val="0"/>
          <w:color w:val="000000"/>
          <w:sz w:val="32"/>
          <w:szCs w:val="32"/>
          <w:lang w:val="en-US" w:eastAsia="zh-CN" w:bidi="ar-SA"/>
        </w:rPr>
        <w:t>通过项目的实施，可持续地改善垃圾 收集转运及处理效率，加强再生资源利用、垃圾分类回收仓储，可持续提高人民生活质量，并可取得良好的社会、经济和环境效益，具有可持续影响。</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五、评价结论及建议</w:t>
      </w:r>
    </w:p>
    <w:p>
      <w:pPr>
        <w:pStyle w:val="44"/>
        <w:keepNext w:val="0"/>
        <w:keepLines w:val="0"/>
        <w:pageBreakBefore w:val="0"/>
        <w:kinsoku/>
        <w:wordWrap/>
        <w:overflowPunct/>
        <w:topLinePunct w:val="0"/>
        <w:bidi w:val="0"/>
        <w:spacing w:before="0"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（一）评价结论</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我们认为：开封镇人民政府的清运项目实施，确保了城乡垃圾的日产日清，改善了城乡卫生环境，项目实施到位，产生了良好的社会环境效益。</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pPr>
      <w:r>
        <w:rPr>
          <w:rFonts w:hint="eastAsia" w:ascii="仿宋_GB2312" w:hAnsi="仿宋_GB2312" w:eastAsia="仿宋_GB2312" w:cs="仿宋_GB2312"/>
          <w:b w:val="0"/>
          <w:bCs w:val="0"/>
          <w:color w:val="000000"/>
          <w:sz w:val="32"/>
          <w:szCs w:val="32"/>
          <w:lang w:val="en-US" w:eastAsia="zh-CN" w:bidi="ar-SA"/>
        </w:rPr>
        <w:t>根据开封镇人民政府清运项目绩效评价指标表考评，此次评价指标总分值98分，综合得分为90分，其中：产出指标总分值50分，评价得分50分，效益指标总分值30分，评价得分30分，满意度指标分值10分，评价得分10分，</w:t>
      </w:r>
    </w:p>
    <w:p>
      <w:pPr>
        <w:pStyle w:val="44"/>
        <w:keepNext w:val="0"/>
        <w:keepLines w:val="0"/>
        <w:pageBreakBefore w:val="0"/>
        <w:kinsoku/>
        <w:wordWrap/>
        <w:overflowPunct/>
        <w:topLinePunct w:val="0"/>
        <w:bidi w:val="0"/>
        <w:spacing w:before="0" w:after="0" w:line="576" w:lineRule="exact"/>
        <w:ind w:left="0" w:leftChars="0" w:right="0" w:firstLine="640" w:firstLineChars="200"/>
        <w:jc w:val="both"/>
        <w:textAlignment w:val="auto"/>
        <w:rPr>
          <w:b w:val="0"/>
        </w:rPr>
      </w:pPr>
      <w:r>
        <w:rPr>
          <w:b w:val="0"/>
        </w:rPr>
        <w:t>财务指标分值10分，评价得分8分。评价等次：优。</w:t>
      </w:r>
    </w:p>
    <w:p>
      <w:pPr>
        <w:pStyle w:val="44"/>
        <w:keepNext w:val="0"/>
        <w:keepLines w:val="0"/>
        <w:pageBreakBefore w:val="0"/>
        <w:kinsoku/>
        <w:wordWrap/>
        <w:overflowPunct/>
        <w:topLinePunct w:val="0"/>
        <w:bidi w:val="0"/>
        <w:spacing w:before="0"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（二）存在问题</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未严格执行考核制度。垃圾收集、清运、处理的监督考核部门虽然建立了对项目实施单位垃圾收集、清运、处理的考核监督制度，考核细则健全，扣分项目、处罚措施明确。但是，开封镇生活垃圾无害化处理场未执行考核制度，即未对项目实施方的垃圾处理过程和结果进行考核。</w:t>
      </w:r>
    </w:p>
    <w:p>
      <w:pPr>
        <w:pStyle w:val="44"/>
        <w:keepNext w:val="0"/>
        <w:keepLines w:val="0"/>
        <w:pageBreakBefore w:val="0"/>
        <w:kinsoku/>
        <w:wordWrap/>
        <w:overflowPunct/>
        <w:topLinePunct w:val="0"/>
        <w:bidi w:val="0"/>
        <w:spacing w:before="0"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（三）相关建议</w:t>
      </w:r>
    </w:p>
    <w:p>
      <w:pPr>
        <w:pStyle w:val="8"/>
        <w:keepNext w:val="0"/>
        <w:keepLines w:val="0"/>
        <w:pageBreakBefore w:val="0"/>
        <w:kinsoku/>
        <w:wordWrap/>
        <w:overflowPunct/>
        <w:topLinePunct w:val="0"/>
        <w:bidi w:val="0"/>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环境卫生项目建设完成后，要经常监督检查其使用情况， 并做好后期维护和保养工作；</w:t>
      </w:r>
      <w:r>
        <w:rPr>
          <w:rFonts w:hint="eastAsia" w:hAnsi="仿宋_GB2312" w:cs="仿宋_GB2312"/>
          <w:b w:val="0"/>
          <w:bCs w:val="0"/>
          <w:color w:val="000000"/>
          <w:sz w:val="32"/>
          <w:szCs w:val="32"/>
          <w:lang w:val="en-US" w:eastAsia="zh-CN" w:bidi="ar-SA"/>
        </w:rPr>
        <w:t>重视</w:t>
      </w:r>
      <w:r>
        <w:rPr>
          <w:rFonts w:hint="eastAsia" w:ascii="仿宋_GB2312" w:hAnsi="仿宋_GB2312" w:eastAsia="仿宋_GB2312" w:cs="仿宋_GB2312"/>
          <w:b w:val="0"/>
          <w:bCs w:val="0"/>
          <w:color w:val="000000"/>
          <w:sz w:val="32"/>
          <w:szCs w:val="32"/>
          <w:lang w:val="en-US" w:eastAsia="zh-CN" w:bidi="ar-SA"/>
        </w:rPr>
        <w:t>环卫设施的保洁除味工作</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 xml:space="preserve"> 及时清理垃圾，多用清洁垃圾桶；及时维修环卫设备，尽量避免垃圾车漏水污染环境；加强垃圾中转站、垃圾压缩站的管理，防止“跑、冒、滴、臭”，改善周边环境，防止二次污染。</w:t>
      </w:r>
    </w:p>
    <w:p>
      <w:pPr>
        <w:keepNext w:val="0"/>
        <w:keepLines w:val="0"/>
        <w:pageBreakBefore w:val="0"/>
        <w:kinsoku/>
        <w:wordWrap/>
        <w:overflowPunct/>
        <w:topLinePunct w:val="0"/>
        <w:bidi w:val="0"/>
        <w:spacing w:after="0" w:line="576" w:lineRule="exact"/>
        <w:ind w:left="0" w:leftChars="0" w:right="0" w:firstLine="420" w:firstLineChars="200"/>
        <w:jc w:val="both"/>
        <w:textAlignment w:val="auto"/>
        <w:sectPr>
          <w:footerReference r:id="rId3" w:type="default"/>
          <w:pgSz w:w="11910" w:h="16840"/>
          <w:pgMar w:top="1440" w:right="1803" w:bottom="1440" w:left="1803" w:header="0" w:footer="1197" w:gutter="0"/>
          <w:pgNumType w:fmt="decimal"/>
          <w:cols w:space="720" w:num="1"/>
        </w:sectPr>
      </w:pPr>
    </w:p>
    <w:p>
      <w:pPr>
        <w:pStyle w:val="8"/>
        <w:spacing w:before="29"/>
        <w:ind w:left="0" w:leftChars="0" w:firstLine="0" w:firstLineChars="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附表</w:t>
      </w:r>
    </w:p>
    <w:p>
      <w:pPr>
        <w:pStyle w:val="44"/>
        <w:keepNext w:val="0"/>
        <w:keepLines w:val="0"/>
        <w:pageBreakBefore w:val="0"/>
        <w:widowControl w:val="0"/>
        <w:kinsoku/>
        <w:wordWrap/>
        <w:overflowPunct/>
        <w:topLinePunct w:val="0"/>
        <w:autoSpaceDE w:val="0"/>
        <w:autoSpaceDN w:val="0"/>
        <w:bidi w:val="0"/>
        <w:adjustRightInd/>
        <w:snapToGrid/>
        <w:spacing w:before="0" w:line="576" w:lineRule="exact"/>
        <w:ind w:left="0" w:leftChars="0" w:firstLine="0" w:firstLineChars="0"/>
        <w:jc w:val="center"/>
        <w:textAlignment w:val="auto"/>
        <w:rPr>
          <w:rFonts w:hint="eastAsia" w:ascii="方正小标宋_GBK" w:hAnsi="方正小标宋简体" w:eastAsia="方正小标宋_GBK" w:cs="方正小标宋简体"/>
          <w:b/>
          <w:bCs/>
          <w:kern w:val="2"/>
          <w:sz w:val="44"/>
          <w:szCs w:val="44"/>
          <w:lang w:val="en-US" w:eastAsia="zh-CN" w:bidi="ar-SA"/>
        </w:rPr>
      </w:pPr>
      <w:r>
        <w:rPr>
          <w:rFonts w:hint="eastAsia" w:ascii="方正小标宋_GBK" w:hAnsi="方正小标宋简体" w:eastAsia="方正小标宋_GBK" w:cs="方正小标宋简体"/>
          <w:b/>
          <w:bCs/>
          <w:kern w:val="2"/>
          <w:sz w:val="44"/>
          <w:szCs w:val="44"/>
          <w:lang w:val="en-US" w:eastAsia="zh-CN" w:bidi="ar-SA"/>
        </w:rPr>
        <w:t>2022年垃圾清运及处置费项目绩效目标</w:t>
      </w:r>
    </w:p>
    <w:p>
      <w:pPr>
        <w:pStyle w:val="44"/>
        <w:keepNext w:val="0"/>
        <w:keepLines w:val="0"/>
        <w:pageBreakBefore w:val="0"/>
        <w:widowControl w:val="0"/>
        <w:kinsoku/>
        <w:wordWrap/>
        <w:overflowPunct/>
        <w:topLinePunct w:val="0"/>
        <w:autoSpaceDE w:val="0"/>
        <w:autoSpaceDN w:val="0"/>
        <w:bidi w:val="0"/>
        <w:adjustRightInd/>
        <w:snapToGrid/>
        <w:spacing w:before="0" w:line="576" w:lineRule="exact"/>
        <w:ind w:left="0" w:leftChars="0" w:firstLine="0" w:firstLineChars="0"/>
        <w:jc w:val="center"/>
        <w:textAlignment w:val="auto"/>
        <w:rPr>
          <w:rFonts w:hint="eastAsia" w:ascii="方正小标宋_GBK" w:hAnsi="方正小标宋简体" w:eastAsia="方正小标宋_GBK" w:cs="方正小标宋简体"/>
          <w:b/>
          <w:bCs/>
          <w:kern w:val="2"/>
          <w:sz w:val="44"/>
          <w:szCs w:val="44"/>
          <w:lang w:val="en-US" w:eastAsia="zh-CN" w:bidi="ar-SA"/>
        </w:rPr>
      </w:pPr>
      <w:r>
        <w:rPr>
          <w:rFonts w:hint="eastAsia" w:ascii="方正小标宋_GBK" w:hAnsi="方正小标宋简体" w:eastAsia="方正小标宋_GBK" w:cs="方正小标宋简体"/>
          <w:b/>
          <w:bCs/>
          <w:kern w:val="2"/>
          <w:sz w:val="44"/>
          <w:szCs w:val="44"/>
          <w:lang w:val="en-US" w:eastAsia="zh-CN" w:bidi="ar-SA"/>
        </w:rPr>
        <w:t>自评</w:t>
      </w:r>
    </w:p>
    <w:p>
      <w:pPr>
        <w:pStyle w:val="8"/>
        <w:spacing w:before="7" w:after="1"/>
        <w:ind w:left="0"/>
        <w:rPr>
          <w:rFonts w:ascii="宋体"/>
          <w:b/>
          <w:sz w:val="10"/>
        </w:rPr>
      </w:pPr>
    </w:p>
    <w:tbl>
      <w:tblPr>
        <w:tblStyle w:val="18"/>
        <w:tblW w:w="100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9"/>
        <w:gridCol w:w="1157"/>
        <w:gridCol w:w="1891"/>
        <w:gridCol w:w="1484"/>
        <w:gridCol w:w="1575"/>
        <w:gridCol w:w="2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jc w:val="center"/>
        </w:trPr>
        <w:tc>
          <w:tcPr>
            <w:tcW w:w="2406" w:type="dxa"/>
            <w:gridSpan w:val="2"/>
            <w:vAlign w:val="center"/>
          </w:tcPr>
          <w:p>
            <w:pPr>
              <w:pStyle w:val="47"/>
              <w:spacing w:before="16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主管部门及代码</w:t>
            </w:r>
          </w:p>
        </w:tc>
        <w:tc>
          <w:tcPr>
            <w:tcW w:w="3375" w:type="dxa"/>
            <w:gridSpan w:val="2"/>
          </w:tcPr>
          <w:p>
            <w:pPr>
              <w:pStyle w:val="47"/>
              <w:spacing w:before="165"/>
              <w:ind w:left="10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剑阁县财政局</w:t>
            </w:r>
          </w:p>
        </w:tc>
        <w:tc>
          <w:tcPr>
            <w:tcW w:w="1575" w:type="dxa"/>
          </w:tcPr>
          <w:p>
            <w:pPr>
              <w:pStyle w:val="47"/>
              <w:spacing w:before="165"/>
              <w:ind w:left="129"/>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实施单位</w:t>
            </w:r>
          </w:p>
        </w:tc>
        <w:tc>
          <w:tcPr>
            <w:tcW w:w="2711" w:type="dxa"/>
            <w:vAlign w:val="center"/>
          </w:tcPr>
          <w:p>
            <w:pPr>
              <w:pStyle w:val="47"/>
              <w:spacing w:before="4"/>
              <w:ind w:left="100" w:right="10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剑阁县</w:t>
            </w:r>
            <w:r>
              <w:rPr>
                <w:rFonts w:hint="eastAsia" w:ascii="仿宋_GB2312" w:hAnsi="仿宋_GB2312" w:eastAsia="仿宋_GB2312" w:cs="仿宋_GB2312"/>
                <w:sz w:val="24"/>
                <w:szCs w:val="24"/>
                <w:lang w:eastAsia="zh-CN"/>
              </w:rPr>
              <w:t>开封镇</w:t>
            </w:r>
            <w:r>
              <w:rPr>
                <w:rFonts w:hint="eastAsia" w:ascii="仿宋_GB2312" w:hAnsi="仿宋_GB2312" w:eastAsia="仿宋_GB2312" w:cs="仿宋_GB2312"/>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06" w:type="dxa"/>
            <w:gridSpan w:val="2"/>
            <w:vMerge w:val="restart"/>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项目预算执行情况</w:t>
            </w: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891" w:type="dxa"/>
          </w:tcPr>
          <w:p>
            <w:pPr>
              <w:pStyle w:val="47"/>
              <w:spacing w:before="14" w:line="306"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预算数：</w:t>
            </w:r>
          </w:p>
        </w:tc>
        <w:tc>
          <w:tcPr>
            <w:tcW w:w="1484" w:type="dxa"/>
          </w:tcPr>
          <w:p>
            <w:pPr>
              <w:pStyle w:val="47"/>
              <w:spacing w:before="14" w:line="306" w:lineRule="exact"/>
              <w:ind w:left="103"/>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19.72</w:t>
            </w:r>
          </w:p>
        </w:tc>
        <w:tc>
          <w:tcPr>
            <w:tcW w:w="1575" w:type="dxa"/>
          </w:tcPr>
          <w:p>
            <w:pPr>
              <w:pStyle w:val="47"/>
              <w:spacing w:before="14" w:line="306"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执数：</w:t>
            </w:r>
          </w:p>
        </w:tc>
        <w:tc>
          <w:tcPr>
            <w:tcW w:w="2711" w:type="dxa"/>
          </w:tcPr>
          <w:p>
            <w:pPr>
              <w:pStyle w:val="47"/>
              <w:spacing w:before="14" w:line="306" w:lineRule="exact"/>
              <w:ind w:right="103"/>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2406" w:type="dxa"/>
            <w:gridSpan w:val="2"/>
            <w:vMerge w:val="continue"/>
            <w:tcBorders>
              <w:top w:val="nil"/>
            </w:tcBorders>
          </w:tcPr>
          <w:p>
            <w:pPr>
              <w:rPr>
                <w:rFonts w:hint="eastAsia" w:ascii="仿宋_GB2312" w:hAnsi="仿宋_GB2312" w:eastAsia="仿宋_GB2312" w:cs="仿宋_GB2312"/>
                <w:sz w:val="24"/>
                <w:szCs w:val="24"/>
              </w:rPr>
            </w:pPr>
          </w:p>
        </w:tc>
        <w:tc>
          <w:tcPr>
            <w:tcW w:w="1891" w:type="dxa"/>
          </w:tcPr>
          <w:p>
            <w:pPr>
              <w:pStyle w:val="47"/>
              <w:spacing w:before="4"/>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p>
            <w:pPr>
              <w:pStyle w:val="47"/>
              <w:spacing w:before="12" w:line="297"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c>
          <w:tcPr>
            <w:tcW w:w="1484" w:type="dxa"/>
          </w:tcPr>
          <w:p>
            <w:pPr>
              <w:pStyle w:val="47"/>
              <w:spacing w:before="165"/>
              <w:ind w:left="103"/>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19.72</w:t>
            </w:r>
          </w:p>
        </w:tc>
        <w:tc>
          <w:tcPr>
            <w:tcW w:w="1575" w:type="dxa"/>
          </w:tcPr>
          <w:p>
            <w:pPr>
              <w:pStyle w:val="47"/>
              <w:spacing w:before="4"/>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p>
            <w:pPr>
              <w:pStyle w:val="47"/>
              <w:spacing w:before="12" w:line="297"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c>
          <w:tcPr>
            <w:tcW w:w="2711" w:type="dxa"/>
          </w:tcPr>
          <w:p>
            <w:pPr>
              <w:pStyle w:val="47"/>
              <w:spacing w:before="165"/>
              <w:ind w:left="104" w:firstLine="960" w:firstLineChars="4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06" w:type="dxa"/>
            <w:gridSpan w:val="2"/>
            <w:vMerge w:val="continue"/>
            <w:tcBorders>
              <w:top w:val="nil"/>
            </w:tcBorders>
          </w:tcPr>
          <w:p>
            <w:pPr>
              <w:rPr>
                <w:rFonts w:hint="eastAsia" w:ascii="仿宋_GB2312" w:hAnsi="仿宋_GB2312" w:eastAsia="仿宋_GB2312" w:cs="仿宋_GB2312"/>
                <w:sz w:val="24"/>
                <w:szCs w:val="24"/>
              </w:rPr>
            </w:pPr>
          </w:p>
        </w:tc>
        <w:tc>
          <w:tcPr>
            <w:tcW w:w="1891" w:type="dxa"/>
          </w:tcPr>
          <w:p>
            <w:pPr>
              <w:pStyle w:val="47"/>
              <w:spacing w:before="14" w:line="306"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其他资金</w:t>
            </w:r>
          </w:p>
        </w:tc>
        <w:tc>
          <w:tcPr>
            <w:tcW w:w="1484" w:type="dxa"/>
          </w:tcPr>
          <w:p>
            <w:pPr>
              <w:pStyle w:val="47"/>
              <w:spacing w:before="14" w:line="306" w:lineRule="exact"/>
              <w:ind w:left="10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575" w:type="dxa"/>
          </w:tcPr>
          <w:p>
            <w:pPr>
              <w:pStyle w:val="47"/>
              <w:spacing w:before="14" w:line="306"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其他资金</w:t>
            </w:r>
          </w:p>
        </w:tc>
        <w:tc>
          <w:tcPr>
            <w:tcW w:w="2711" w:type="dxa"/>
          </w:tcPr>
          <w:p>
            <w:pPr>
              <w:pStyle w:val="47"/>
              <w:spacing w:before="14" w:line="306" w:lineRule="exact"/>
              <w:ind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1249" w:type="dxa"/>
            <w:vMerge w:val="restart"/>
          </w:tcPr>
          <w:p>
            <w:pPr>
              <w:pStyle w:val="47"/>
              <w:spacing w:before="3"/>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年度总体目标完成情况</w:t>
            </w:r>
          </w:p>
        </w:tc>
        <w:tc>
          <w:tcPr>
            <w:tcW w:w="4532" w:type="dxa"/>
            <w:gridSpan w:val="3"/>
          </w:tcPr>
          <w:p>
            <w:pPr>
              <w:pStyle w:val="47"/>
              <w:spacing w:before="4" w:line="294" w:lineRule="exact"/>
              <w:ind w:left="1479" w:right="147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预期目标</w:t>
            </w:r>
          </w:p>
        </w:tc>
        <w:tc>
          <w:tcPr>
            <w:tcW w:w="4286" w:type="dxa"/>
            <w:gridSpan w:val="2"/>
            <w:vAlign w:val="center"/>
          </w:tcPr>
          <w:p>
            <w:pPr>
              <w:pStyle w:val="47"/>
              <w:spacing w:before="4" w:line="294"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4532" w:type="dxa"/>
            <w:gridSpan w:val="3"/>
            <w:vAlign w:val="center"/>
          </w:tcPr>
          <w:p>
            <w:pPr>
              <w:pStyle w:val="47"/>
              <w:spacing w:before="31" w:line="249" w:lineRule="auto"/>
              <w:ind w:left="105" w:right="98"/>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保障场镇及周边的优美环境，清运垃</w:t>
            </w:r>
            <w:r>
              <w:rPr>
                <w:rFonts w:hint="eastAsia" w:ascii="仿宋_GB2312" w:hAnsi="仿宋_GB2312" w:eastAsia="仿宋_GB2312" w:cs="仿宋_GB2312"/>
                <w:sz w:val="24"/>
                <w:szCs w:val="24"/>
              </w:rPr>
              <w:t>圾。</w:t>
            </w:r>
          </w:p>
        </w:tc>
        <w:tc>
          <w:tcPr>
            <w:tcW w:w="4286" w:type="dxa"/>
            <w:gridSpan w:val="2"/>
            <w:vAlign w:val="center"/>
          </w:tcPr>
          <w:p>
            <w:pPr>
              <w:pStyle w:val="47"/>
              <w:spacing w:before="31" w:line="249" w:lineRule="auto"/>
              <w:ind w:left="105" w:right="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做到场镇及周边的优美环境，清运垃圾及时到位。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jc w:val="center"/>
        </w:trPr>
        <w:tc>
          <w:tcPr>
            <w:tcW w:w="1249" w:type="dxa"/>
            <w:vMerge w:val="restart"/>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textAlignment w:val="auto"/>
              <w:rPr>
                <w:rFonts w:hint="eastAsia" w:ascii="仿宋_GB2312" w:hAnsi="仿宋_GB2312" w:eastAsia="仿宋_GB2312" w:cs="仿宋_GB2312"/>
                <w:b/>
                <w:sz w:val="24"/>
                <w:szCs w:val="24"/>
              </w:rPr>
            </w:pP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hanging="279"/>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年度绩效</w:t>
            </w: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hanging="279"/>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指标</w:t>
            </w: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hanging="279"/>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完成情况</w:t>
            </w:r>
          </w:p>
        </w:tc>
        <w:tc>
          <w:tcPr>
            <w:tcW w:w="1157" w:type="dxa"/>
            <w:vAlign w:val="center"/>
          </w:tcPr>
          <w:p>
            <w:pPr>
              <w:pStyle w:val="47"/>
              <w:spacing w:before="29" w:line="320" w:lineRule="exact"/>
              <w:ind w:left="287" w:right="28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w:t>
            </w:r>
          </w:p>
          <w:p>
            <w:pPr>
              <w:pStyle w:val="47"/>
              <w:spacing w:before="29" w:line="320" w:lineRule="exact"/>
              <w:ind w:left="287" w:right="28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891"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320" w:lineRule="exact"/>
              <w:ind w:left="0"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二级</w:t>
            </w:r>
          </w:p>
          <w:p>
            <w:pPr>
              <w:pStyle w:val="47"/>
              <w:keepNext w:val="0"/>
              <w:keepLines w:val="0"/>
              <w:pageBreakBefore w:val="0"/>
              <w:widowControl w:val="0"/>
              <w:kinsoku/>
              <w:wordWrap/>
              <w:overflowPunct/>
              <w:topLinePunct w:val="0"/>
              <w:autoSpaceDE w:val="0"/>
              <w:autoSpaceDN w:val="0"/>
              <w:bidi w:val="0"/>
              <w:adjustRightInd/>
              <w:snapToGrid/>
              <w:spacing w:line="320" w:lineRule="exact"/>
              <w:ind w:left="0"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指标</w:t>
            </w:r>
          </w:p>
        </w:tc>
        <w:tc>
          <w:tcPr>
            <w:tcW w:w="1484" w:type="dxa"/>
            <w:vAlign w:val="center"/>
          </w:tcPr>
          <w:p>
            <w:pPr>
              <w:pStyle w:val="47"/>
              <w:spacing w:before="29" w:line="320" w:lineRule="exact"/>
              <w:ind w:left="310" w:right="30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三级</w:t>
            </w:r>
          </w:p>
          <w:p>
            <w:pPr>
              <w:pStyle w:val="47"/>
              <w:spacing w:before="29" w:line="320" w:lineRule="exact"/>
              <w:ind w:left="310" w:right="30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575" w:type="dxa"/>
            <w:vAlign w:val="center"/>
          </w:tcPr>
          <w:p>
            <w:pPr>
              <w:pStyle w:val="47"/>
              <w:spacing w:before="29" w:line="320" w:lineRule="exact"/>
              <w:ind w:left="328" w:right="183" w:hanging="1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w:t>
            </w:r>
          </w:p>
          <w:p>
            <w:pPr>
              <w:pStyle w:val="47"/>
              <w:spacing w:before="29" w:line="320" w:lineRule="exact"/>
              <w:ind w:left="328" w:right="183" w:hanging="1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指标值</w:t>
            </w:r>
          </w:p>
        </w:tc>
        <w:tc>
          <w:tcPr>
            <w:tcW w:w="2711" w:type="dxa"/>
            <w:vAlign w:val="center"/>
          </w:tcPr>
          <w:p>
            <w:pPr>
              <w:pStyle w:val="47"/>
              <w:spacing w:before="16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1157" w:type="dxa"/>
            <w:vMerge w:val="restart"/>
          </w:tcPr>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spacing w:before="8"/>
              <w:rPr>
                <w:rFonts w:hint="eastAsia" w:ascii="仿宋_GB2312" w:hAnsi="仿宋_GB2312" w:eastAsia="仿宋_GB2312" w:cs="仿宋_GB2312"/>
                <w:b/>
                <w:sz w:val="24"/>
                <w:szCs w:val="24"/>
              </w:rPr>
            </w:pPr>
          </w:p>
          <w:p>
            <w:pPr>
              <w:pStyle w:val="47"/>
              <w:spacing w:line="213" w:lineRule="auto"/>
              <w:ind w:left="287" w:right="28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完成指标</w:t>
            </w:r>
          </w:p>
        </w:tc>
        <w:tc>
          <w:tcPr>
            <w:tcW w:w="1891" w:type="dxa"/>
            <w:vAlign w:val="center"/>
          </w:tcPr>
          <w:p>
            <w:pPr>
              <w:pStyle w:val="47"/>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p>
            <w:pPr>
              <w:pStyle w:val="47"/>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484" w:type="dxa"/>
            <w:vAlign w:val="center"/>
          </w:tcPr>
          <w:p>
            <w:pPr>
              <w:pStyle w:val="47"/>
              <w:spacing w:line="284"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场镇及</w:t>
            </w:r>
            <w:r>
              <w:rPr>
                <w:rFonts w:hint="eastAsia" w:ascii="仿宋_GB2312" w:hAnsi="仿宋_GB2312" w:eastAsia="仿宋_GB2312" w:cs="仿宋_GB2312"/>
                <w:spacing w:val="-7"/>
                <w:sz w:val="24"/>
                <w:szCs w:val="24"/>
              </w:rPr>
              <w:t>周边垃圾清运</w:t>
            </w:r>
            <w:r>
              <w:rPr>
                <w:rFonts w:hint="eastAsia" w:ascii="仿宋_GB2312" w:hAnsi="仿宋_GB2312" w:eastAsia="仿宋_GB2312" w:cs="仿宋_GB2312"/>
                <w:spacing w:val="-1"/>
                <w:sz w:val="24"/>
                <w:szCs w:val="24"/>
              </w:rPr>
              <w:t>（</w:t>
            </w:r>
            <w:r>
              <w:rPr>
                <w:rFonts w:hint="eastAsia" w:ascii="仿宋_GB2312" w:hAnsi="仿宋_GB2312" w:eastAsia="仿宋_GB2312" w:cs="仿宋_GB2312"/>
                <w:spacing w:val="-5"/>
                <w:sz w:val="24"/>
                <w:szCs w:val="24"/>
              </w:rPr>
              <w:t>车</w:t>
            </w:r>
            <w:r>
              <w:rPr>
                <w:rFonts w:hint="eastAsia" w:ascii="仿宋_GB2312" w:hAnsi="仿宋_GB2312" w:eastAsia="仿宋_GB2312" w:cs="仿宋_GB2312"/>
                <w:sz w:val="24"/>
                <w:szCs w:val="24"/>
              </w:rPr>
              <w:t>）</w:t>
            </w:r>
          </w:p>
        </w:tc>
        <w:tc>
          <w:tcPr>
            <w:tcW w:w="1575" w:type="dxa"/>
            <w:vAlign w:val="center"/>
          </w:tcPr>
          <w:p>
            <w:pPr>
              <w:pStyle w:val="47"/>
              <w:spacing w:before="2"/>
              <w:jc w:val="center"/>
              <w:rPr>
                <w:rFonts w:hint="eastAsia" w:ascii="仿宋_GB2312" w:hAnsi="仿宋_GB2312" w:eastAsia="仿宋_GB2312" w:cs="仿宋_GB2312"/>
                <w:b/>
                <w:sz w:val="24"/>
                <w:szCs w:val="24"/>
              </w:rPr>
            </w:pPr>
          </w:p>
          <w:p>
            <w:pPr>
              <w:pStyle w:val="47"/>
              <w:ind w:left="328"/>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260</w:t>
            </w:r>
          </w:p>
        </w:tc>
        <w:tc>
          <w:tcPr>
            <w:tcW w:w="2711" w:type="dxa"/>
            <w:vAlign w:val="center"/>
          </w:tcPr>
          <w:p>
            <w:pPr>
              <w:pStyle w:val="47"/>
              <w:spacing w:before="2"/>
              <w:jc w:val="center"/>
              <w:rPr>
                <w:rFonts w:hint="eastAsia" w:ascii="仿宋_GB2312" w:hAnsi="仿宋_GB2312" w:eastAsia="仿宋_GB2312" w:cs="仿宋_GB2312"/>
                <w:b/>
                <w:sz w:val="24"/>
                <w:szCs w:val="24"/>
              </w:rPr>
            </w:pPr>
          </w:p>
          <w:p>
            <w:pPr>
              <w:pStyle w:val="47"/>
              <w:ind w:left="100" w:right="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1157" w:type="dxa"/>
            <w:vMerge w:val="continue"/>
            <w:tcBorders>
              <w:top w:val="nil"/>
            </w:tcBorders>
          </w:tcPr>
          <w:p>
            <w:pPr>
              <w:rPr>
                <w:rFonts w:hint="eastAsia" w:ascii="仿宋_GB2312" w:hAnsi="仿宋_GB2312" w:eastAsia="仿宋_GB2312" w:cs="仿宋_GB2312"/>
                <w:sz w:val="24"/>
                <w:szCs w:val="24"/>
              </w:rPr>
            </w:pPr>
          </w:p>
        </w:tc>
        <w:tc>
          <w:tcPr>
            <w:tcW w:w="1891" w:type="dxa"/>
            <w:vAlign w:val="center"/>
          </w:tcPr>
          <w:p>
            <w:pPr>
              <w:pStyle w:val="47"/>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w:t>
            </w:r>
          </w:p>
          <w:p>
            <w:pPr>
              <w:pStyle w:val="47"/>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484"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环境卫</w:t>
            </w:r>
          </w:p>
          <w:p>
            <w:pPr>
              <w:pStyle w:val="47"/>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生质量</w:t>
            </w:r>
          </w:p>
        </w:tc>
        <w:tc>
          <w:tcPr>
            <w:tcW w:w="1575" w:type="dxa"/>
            <w:vAlign w:val="center"/>
          </w:tcPr>
          <w:p>
            <w:pPr>
              <w:pStyle w:val="47"/>
              <w:spacing w:before="106"/>
              <w:ind w:lef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2711" w:type="dxa"/>
            <w:vAlign w:val="center"/>
          </w:tcPr>
          <w:p>
            <w:pPr>
              <w:pStyle w:val="47"/>
              <w:spacing w:before="106"/>
              <w:ind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1157" w:type="dxa"/>
            <w:vMerge w:val="continue"/>
            <w:tcBorders>
              <w:top w:val="nil"/>
            </w:tcBorders>
          </w:tcPr>
          <w:p>
            <w:pPr>
              <w:rPr>
                <w:rFonts w:hint="eastAsia" w:ascii="仿宋_GB2312" w:hAnsi="仿宋_GB2312" w:eastAsia="仿宋_GB2312" w:cs="仿宋_GB2312"/>
                <w:sz w:val="24"/>
                <w:szCs w:val="24"/>
              </w:rPr>
            </w:pPr>
          </w:p>
        </w:tc>
        <w:tc>
          <w:tcPr>
            <w:tcW w:w="1891" w:type="dxa"/>
            <w:vAlign w:val="center"/>
          </w:tcPr>
          <w:p>
            <w:pPr>
              <w:pStyle w:val="47"/>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w:t>
            </w:r>
          </w:p>
          <w:p>
            <w:pPr>
              <w:pStyle w:val="47"/>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484"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项目成果</w:t>
            </w:r>
          </w:p>
          <w:p>
            <w:pPr>
              <w:pStyle w:val="47"/>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时效</w:t>
            </w:r>
          </w:p>
        </w:tc>
        <w:tc>
          <w:tcPr>
            <w:tcW w:w="1575" w:type="dxa"/>
            <w:vAlign w:val="center"/>
          </w:tcPr>
          <w:p>
            <w:pPr>
              <w:pStyle w:val="47"/>
              <w:spacing w:line="284" w:lineRule="exact"/>
              <w:ind w:left="99" w:right="9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年度</w:t>
            </w:r>
          </w:p>
        </w:tc>
        <w:tc>
          <w:tcPr>
            <w:tcW w:w="2711" w:type="dxa"/>
            <w:vAlign w:val="center"/>
          </w:tcPr>
          <w:p>
            <w:pPr>
              <w:pStyle w:val="47"/>
              <w:spacing w:before="10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1157" w:type="dxa"/>
            <w:vMerge w:val="continue"/>
            <w:tcBorders>
              <w:top w:val="nil"/>
            </w:tcBorders>
          </w:tcPr>
          <w:p>
            <w:pPr>
              <w:rPr>
                <w:rFonts w:hint="eastAsia" w:ascii="仿宋_GB2312" w:hAnsi="仿宋_GB2312" w:eastAsia="仿宋_GB2312" w:cs="仿宋_GB2312"/>
                <w:sz w:val="24"/>
                <w:szCs w:val="24"/>
              </w:rPr>
            </w:pPr>
          </w:p>
        </w:tc>
        <w:tc>
          <w:tcPr>
            <w:tcW w:w="1891" w:type="dxa"/>
            <w:vAlign w:val="center"/>
          </w:tcPr>
          <w:p>
            <w:pPr>
              <w:pStyle w:val="47"/>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w:t>
            </w:r>
          </w:p>
          <w:p>
            <w:pPr>
              <w:pStyle w:val="47"/>
              <w:keepNext w:val="0"/>
              <w:keepLines w:val="0"/>
              <w:pageBreakBefore w:val="0"/>
              <w:widowControl w:val="0"/>
              <w:kinsoku/>
              <w:wordWrap/>
              <w:overflowPunct/>
              <w:topLinePunct w:val="0"/>
              <w:autoSpaceDE w:val="0"/>
              <w:autoSpaceDN w:val="0"/>
              <w:bidi w:val="0"/>
              <w:adjustRightInd/>
              <w:snapToGrid/>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484"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转运成本</w:t>
            </w: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（元/车）</w:t>
            </w:r>
          </w:p>
        </w:tc>
        <w:tc>
          <w:tcPr>
            <w:tcW w:w="1575" w:type="dxa"/>
            <w:vAlign w:val="center"/>
          </w:tcPr>
          <w:p>
            <w:pPr>
              <w:pStyle w:val="4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800</w:t>
            </w:r>
          </w:p>
        </w:tc>
        <w:tc>
          <w:tcPr>
            <w:tcW w:w="2711" w:type="dxa"/>
            <w:vAlign w:val="center"/>
          </w:tcPr>
          <w:p>
            <w:pPr>
              <w:pStyle w:val="47"/>
              <w:ind w:right="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1157" w:type="dxa"/>
            <w:vMerge w:val="restart"/>
          </w:tcPr>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spacing w:before="2"/>
              <w:rPr>
                <w:rFonts w:hint="eastAsia" w:ascii="仿宋_GB2312" w:hAnsi="仿宋_GB2312" w:eastAsia="仿宋_GB2312" w:cs="仿宋_GB2312"/>
                <w:b/>
                <w:sz w:val="24"/>
                <w:szCs w:val="24"/>
              </w:rPr>
            </w:pPr>
          </w:p>
          <w:p>
            <w:pPr>
              <w:pStyle w:val="47"/>
              <w:spacing w:line="213" w:lineRule="auto"/>
              <w:ind w:left="287" w:right="28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效益指标</w:t>
            </w:r>
          </w:p>
        </w:tc>
        <w:tc>
          <w:tcPr>
            <w:tcW w:w="1891" w:type="dxa"/>
          </w:tcPr>
          <w:p>
            <w:pPr>
              <w:pStyle w:val="47"/>
              <w:spacing w:line="284" w:lineRule="exact"/>
              <w:ind w:left="92" w:right="9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w:t>
            </w:r>
          </w:p>
          <w:p>
            <w:pPr>
              <w:pStyle w:val="47"/>
              <w:spacing w:line="336" w:lineRule="exact"/>
              <w:ind w:left="94" w:right="9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484" w:type="dxa"/>
          </w:tcPr>
          <w:p>
            <w:pPr>
              <w:pStyle w:val="47"/>
              <w:rPr>
                <w:rFonts w:hint="eastAsia" w:ascii="仿宋_GB2312" w:hAnsi="仿宋_GB2312" w:eastAsia="仿宋_GB2312" w:cs="仿宋_GB2312"/>
                <w:sz w:val="24"/>
                <w:szCs w:val="24"/>
              </w:rPr>
            </w:pPr>
          </w:p>
        </w:tc>
        <w:tc>
          <w:tcPr>
            <w:tcW w:w="1575" w:type="dxa"/>
          </w:tcPr>
          <w:p>
            <w:pPr>
              <w:pStyle w:val="47"/>
              <w:rPr>
                <w:rFonts w:hint="eastAsia" w:ascii="仿宋_GB2312" w:hAnsi="仿宋_GB2312" w:eastAsia="仿宋_GB2312" w:cs="仿宋_GB2312"/>
                <w:sz w:val="24"/>
                <w:szCs w:val="24"/>
              </w:rPr>
            </w:pPr>
          </w:p>
        </w:tc>
        <w:tc>
          <w:tcPr>
            <w:tcW w:w="2711" w:type="dxa"/>
          </w:tcPr>
          <w:p>
            <w:pPr>
              <w:pStyle w:val="47"/>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98"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1157" w:type="dxa"/>
            <w:vMerge w:val="continue"/>
            <w:tcBorders>
              <w:top w:val="nil"/>
            </w:tcBorders>
          </w:tcPr>
          <w:p>
            <w:pPr>
              <w:rPr>
                <w:rFonts w:hint="eastAsia" w:ascii="仿宋_GB2312" w:hAnsi="仿宋_GB2312" w:eastAsia="仿宋_GB2312" w:cs="仿宋_GB2312"/>
                <w:sz w:val="24"/>
                <w:szCs w:val="24"/>
              </w:rPr>
            </w:pPr>
          </w:p>
        </w:tc>
        <w:tc>
          <w:tcPr>
            <w:tcW w:w="1891"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14"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484" w:type="dxa"/>
            <w:vAlign w:val="center"/>
          </w:tcPr>
          <w:p>
            <w:pPr>
              <w:pStyle w:val="47"/>
              <w:spacing w:line="213" w:lineRule="auto"/>
              <w:ind w:right="16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城乡环境</w:t>
            </w:r>
          </w:p>
        </w:tc>
        <w:tc>
          <w:tcPr>
            <w:tcW w:w="1575" w:type="dxa"/>
            <w:vAlign w:val="center"/>
          </w:tcPr>
          <w:p>
            <w:pPr>
              <w:pStyle w:val="47"/>
              <w:spacing w:line="284"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有效改</w:t>
            </w:r>
            <w:r>
              <w:rPr>
                <w:rFonts w:hint="eastAsia" w:ascii="仿宋_GB2312" w:hAnsi="仿宋_GB2312" w:eastAsia="仿宋_GB2312" w:cs="仿宋_GB2312"/>
                <w:spacing w:val="-2"/>
                <w:sz w:val="24"/>
                <w:szCs w:val="24"/>
              </w:rPr>
              <w:t>善城乡</w:t>
            </w:r>
            <w:r>
              <w:rPr>
                <w:rFonts w:hint="eastAsia" w:ascii="仿宋_GB2312" w:hAnsi="仿宋_GB2312" w:eastAsia="仿宋_GB2312" w:cs="仿宋_GB2312"/>
                <w:spacing w:val="-34"/>
                <w:sz w:val="24"/>
                <w:szCs w:val="24"/>
              </w:rPr>
              <w:t>环境，提</w:t>
            </w:r>
            <w:r>
              <w:rPr>
                <w:rFonts w:hint="eastAsia" w:ascii="仿宋_GB2312" w:hAnsi="仿宋_GB2312" w:eastAsia="仿宋_GB2312" w:cs="仿宋_GB2312"/>
                <w:spacing w:val="-2"/>
                <w:sz w:val="24"/>
                <w:szCs w:val="24"/>
              </w:rPr>
              <w:t>升群众生活幸福指数</w:t>
            </w:r>
          </w:p>
        </w:tc>
        <w:tc>
          <w:tcPr>
            <w:tcW w:w="2711" w:type="dxa"/>
            <w:vAlign w:val="center"/>
          </w:tcPr>
          <w:p>
            <w:pPr>
              <w:pStyle w:val="47"/>
              <w:spacing w:line="213" w:lineRule="auto"/>
              <w:ind w:right="103"/>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3"/>
                <w:sz w:val="24"/>
                <w:szCs w:val="24"/>
              </w:rPr>
              <w:t>有效改善城乡环</w:t>
            </w:r>
            <w:r>
              <w:rPr>
                <w:rFonts w:hint="eastAsia" w:ascii="仿宋_GB2312" w:hAnsi="仿宋_GB2312" w:eastAsia="仿宋_GB2312" w:cs="仿宋_GB2312"/>
                <w:spacing w:val="-10"/>
                <w:sz w:val="24"/>
                <w:szCs w:val="24"/>
              </w:rPr>
              <w:t>境，提升群众生活</w:t>
            </w:r>
            <w:r>
              <w:rPr>
                <w:rFonts w:hint="eastAsia" w:ascii="仿宋_GB2312" w:hAnsi="仿宋_GB2312" w:eastAsia="仿宋_GB2312" w:cs="仿宋_GB2312"/>
                <w:spacing w:val="-2"/>
                <w:sz w:val="24"/>
                <w:szCs w:val="24"/>
              </w:rPr>
              <w:t>幸福指数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1157" w:type="dxa"/>
            <w:vMerge w:val="continue"/>
            <w:tcBorders>
              <w:top w:val="nil"/>
            </w:tcBorders>
          </w:tcPr>
          <w:p>
            <w:pPr>
              <w:rPr>
                <w:rFonts w:hint="eastAsia" w:ascii="仿宋_GB2312" w:hAnsi="仿宋_GB2312" w:eastAsia="仿宋_GB2312" w:cs="仿宋_GB2312"/>
                <w:sz w:val="24"/>
                <w:szCs w:val="24"/>
              </w:rPr>
            </w:pPr>
          </w:p>
        </w:tc>
        <w:tc>
          <w:tcPr>
            <w:tcW w:w="1891" w:type="dxa"/>
          </w:tcPr>
          <w:p>
            <w:pPr>
              <w:pStyle w:val="47"/>
              <w:spacing w:line="284"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生态效益指标</w:t>
            </w:r>
          </w:p>
        </w:tc>
        <w:tc>
          <w:tcPr>
            <w:tcW w:w="1484" w:type="dxa"/>
          </w:tcPr>
          <w:p>
            <w:pPr>
              <w:pStyle w:val="47"/>
              <w:rPr>
                <w:rFonts w:hint="eastAsia" w:ascii="仿宋_GB2312" w:hAnsi="仿宋_GB2312" w:eastAsia="仿宋_GB2312" w:cs="仿宋_GB2312"/>
                <w:sz w:val="24"/>
                <w:szCs w:val="24"/>
              </w:rPr>
            </w:pPr>
          </w:p>
        </w:tc>
        <w:tc>
          <w:tcPr>
            <w:tcW w:w="1575" w:type="dxa"/>
          </w:tcPr>
          <w:p>
            <w:pPr>
              <w:pStyle w:val="47"/>
              <w:rPr>
                <w:rFonts w:hint="eastAsia" w:ascii="仿宋_GB2312" w:hAnsi="仿宋_GB2312" w:eastAsia="仿宋_GB2312" w:cs="仿宋_GB2312"/>
                <w:sz w:val="24"/>
                <w:szCs w:val="24"/>
              </w:rPr>
            </w:pPr>
          </w:p>
        </w:tc>
        <w:tc>
          <w:tcPr>
            <w:tcW w:w="2711" w:type="dxa"/>
          </w:tcPr>
          <w:p>
            <w:pPr>
              <w:pStyle w:val="47"/>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1157" w:type="dxa"/>
            <w:vMerge w:val="continue"/>
            <w:tcBorders>
              <w:top w:val="nil"/>
            </w:tcBorders>
          </w:tcPr>
          <w:p>
            <w:pPr>
              <w:rPr>
                <w:rFonts w:hint="eastAsia" w:ascii="仿宋_GB2312" w:hAnsi="仿宋_GB2312" w:eastAsia="仿宋_GB2312" w:cs="仿宋_GB2312"/>
                <w:sz w:val="24"/>
                <w:szCs w:val="24"/>
              </w:rPr>
            </w:pPr>
          </w:p>
        </w:tc>
        <w:tc>
          <w:tcPr>
            <w:tcW w:w="1891" w:type="dxa"/>
          </w:tcPr>
          <w:p>
            <w:pPr>
              <w:pStyle w:val="47"/>
              <w:spacing w:line="284" w:lineRule="exact"/>
              <w:ind w:left="94" w:right="9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可持续影响指标</w:t>
            </w:r>
          </w:p>
        </w:tc>
        <w:tc>
          <w:tcPr>
            <w:tcW w:w="1484" w:type="dxa"/>
          </w:tcPr>
          <w:p>
            <w:pPr>
              <w:pStyle w:val="47"/>
              <w:rPr>
                <w:rFonts w:hint="eastAsia" w:ascii="仿宋_GB2312" w:hAnsi="仿宋_GB2312" w:eastAsia="仿宋_GB2312" w:cs="仿宋_GB2312"/>
                <w:sz w:val="24"/>
                <w:szCs w:val="24"/>
              </w:rPr>
            </w:pPr>
          </w:p>
        </w:tc>
        <w:tc>
          <w:tcPr>
            <w:tcW w:w="1575" w:type="dxa"/>
          </w:tcPr>
          <w:p>
            <w:pPr>
              <w:pStyle w:val="47"/>
              <w:rPr>
                <w:rFonts w:hint="eastAsia" w:ascii="仿宋_GB2312" w:hAnsi="仿宋_GB2312" w:eastAsia="仿宋_GB2312" w:cs="仿宋_GB2312"/>
                <w:sz w:val="24"/>
                <w:szCs w:val="24"/>
              </w:rPr>
            </w:pPr>
          </w:p>
        </w:tc>
        <w:tc>
          <w:tcPr>
            <w:tcW w:w="2711" w:type="dxa"/>
          </w:tcPr>
          <w:p>
            <w:pPr>
              <w:pStyle w:val="47"/>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1249" w:type="dxa"/>
            <w:vMerge w:val="continue"/>
            <w:tcBorders>
              <w:top w:val="nil"/>
            </w:tcBorders>
          </w:tcPr>
          <w:p>
            <w:pPr>
              <w:rPr>
                <w:rFonts w:hint="eastAsia" w:ascii="仿宋_GB2312" w:hAnsi="仿宋_GB2312" w:eastAsia="仿宋_GB2312" w:cs="仿宋_GB2312"/>
                <w:sz w:val="24"/>
                <w:szCs w:val="24"/>
              </w:rPr>
            </w:pPr>
          </w:p>
        </w:tc>
        <w:tc>
          <w:tcPr>
            <w:tcW w:w="1157" w:type="dxa"/>
            <w:vAlign w:val="center"/>
          </w:tcPr>
          <w:p>
            <w:pPr>
              <w:pStyle w:val="47"/>
              <w:spacing w:line="213" w:lineRule="auto"/>
              <w:ind w:right="142"/>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w:t>
            </w:r>
          </w:p>
          <w:p>
            <w:pPr>
              <w:pStyle w:val="47"/>
              <w:spacing w:line="213" w:lineRule="auto"/>
              <w:ind w:right="142"/>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891"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hanging="142"/>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满意度指标</w:t>
            </w:r>
          </w:p>
        </w:tc>
        <w:tc>
          <w:tcPr>
            <w:tcW w:w="1484"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群众满意度</w:t>
            </w: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575"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2711"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r>
    </w:tbl>
    <w:p>
      <w:pPr>
        <w:jc w:val="center"/>
        <w:rPr>
          <w:sz w:val="28"/>
        </w:rPr>
        <w:sectPr>
          <w:pgSz w:w="11910" w:h="16840"/>
          <w:pgMar w:top="1440" w:right="1803" w:bottom="1440" w:left="1803" w:header="0" w:footer="1197" w:gutter="0"/>
          <w:pgNumType w:fmt="decimal"/>
          <w:cols w:space="720" w:num="1"/>
        </w:sectPr>
      </w:pPr>
    </w:p>
    <w:p>
      <w:pPr>
        <w:pStyle w:val="8"/>
        <w:spacing w:before="29"/>
        <w:ind w:left="0" w:leftChars="0" w:firstLine="0" w:firstLineChars="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pStyle w:val="48"/>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方正小标宋_GBK" w:hAnsi="方正小标宋简体" w:eastAsia="方正小标宋_GBK" w:cs="方正小标宋简体"/>
          <w:b/>
          <w:bCs/>
          <w:kern w:val="2"/>
          <w:sz w:val="44"/>
          <w:szCs w:val="44"/>
          <w:lang w:val="en-US" w:eastAsia="zh-CN" w:bidi="ar-SA"/>
        </w:rPr>
      </w:pPr>
      <w:r>
        <w:rPr>
          <w:rFonts w:hint="eastAsia" w:ascii="方正小标宋_GBK" w:hAnsi="方正小标宋简体" w:eastAsia="方正小标宋_GBK" w:cs="方正小标宋简体"/>
          <w:b/>
          <w:bCs/>
          <w:kern w:val="2"/>
          <w:sz w:val="44"/>
          <w:szCs w:val="44"/>
          <w:lang w:val="en-US" w:eastAsia="zh-CN" w:bidi="ar-SA"/>
        </w:rPr>
        <w:t>2022年安全经费（森林防火）项目支出</w:t>
      </w:r>
    </w:p>
    <w:p>
      <w:pPr>
        <w:pStyle w:val="48"/>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rPr>
          <w:rFonts w:hint="eastAsia" w:ascii="方正小标宋_GBK" w:hAnsi="方正小标宋简体" w:eastAsia="方正小标宋_GBK" w:cs="方正小标宋简体"/>
          <w:b/>
          <w:bCs/>
          <w:kern w:val="2"/>
          <w:sz w:val="44"/>
          <w:szCs w:val="44"/>
          <w:lang w:val="en-US" w:eastAsia="zh-CN" w:bidi="ar-SA"/>
        </w:rPr>
      </w:pPr>
      <w:r>
        <w:rPr>
          <w:rFonts w:hint="eastAsia" w:ascii="方正小标宋_GBK" w:hAnsi="方正小标宋简体" w:eastAsia="方正小标宋_GBK" w:cs="方正小标宋简体"/>
          <w:b/>
          <w:bCs/>
          <w:kern w:val="2"/>
          <w:sz w:val="44"/>
          <w:szCs w:val="44"/>
          <w:lang w:val="en-US" w:eastAsia="zh-CN" w:bidi="ar-SA"/>
        </w:rPr>
        <w:t>绩效自评报告</w:t>
      </w:r>
    </w:p>
    <w:p>
      <w:pPr>
        <w:pStyle w:val="8"/>
        <w:keepNext w:val="0"/>
        <w:keepLines w:val="0"/>
        <w:pageBreakBefore w:val="0"/>
        <w:kinsoku/>
        <w:wordWrap/>
        <w:overflowPunct/>
        <w:topLinePunct w:val="0"/>
        <w:bidi w:val="0"/>
        <w:spacing w:after="0" w:line="576" w:lineRule="exact"/>
        <w:ind w:left="0" w:leftChars="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一、项目概况</w:t>
      </w:r>
    </w:p>
    <w:p>
      <w:pPr>
        <w:pStyle w:val="8"/>
        <w:keepNext w:val="0"/>
        <w:keepLines w:val="0"/>
        <w:pageBreakBefore w:val="0"/>
        <w:kinsoku/>
        <w:wordWrap/>
        <w:overflowPunct/>
        <w:topLinePunct w:val="0"/>
        <w:bidi w:val="0"/>
        <w:spacing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（一）项目基本情况</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以“预防为主、积极消灭”的森林防火方针，大力开展森林防火宣传教育、严格管控野外火源</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确保全镇森林生态资源安全及保护社会稳定促进经济的可持续发展。全年制作、悬挂森林防火宣传标语230条；发放各类宣传单位及宣传物品4000余份；出动宣传车78台次；</w:t>
      </w:r>
      <w:r>
        <w:rPr>
          <w:rFonts w:hint="eastAsia" w:hAnsi="仿宋_GB2312" w:cs="仿宋_GB2312"/>
          <w:b w:val="0"/>
          <w:bCs w:val="0"/>
          <w:color w:val="000000"/>
          <w:sz w:val="32"/>
          <w:szCs w:val="32"/>
          <w:lang w:val="en-US" w:eastAsia="zh-CN" w:bidi="ar-SA"/>
        </w:rPr>
        <w:t>召开</w:t>
      </w:r>
      <w:r>
        <w:rPr>
          <w:rFonts w:hint="eastAsia" w:ascii="仿宋_GB2312" w:hAnsi="仿宋_GB2312" w:eastAsia="仿宋_GB2312" w:cs="仿宋_GB2312"/>
          <w:b w:val="0"/>
          <w:bCs w:val="0"/>
          <w:color w:val="000000"/>
          <w:sz w:val="32"/>
          <w:szCs w:val="32"/>
          <w:lang w:val="en-US" w:eastAsia="zh-CN" w:bidi="ar-SA"/>
        </w:rPr>
        <w:t>森林防火专题会议18余场。</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（二）项目绩效目标</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在运用各类宣传平台和宣传资源的基础上，创新宣传方式</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加大对责任落实、火源管控案查处的宣传力度；加强对社会舆论信息的引导和收集</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注重对森林防火法律法规和警示案例的宣传，强化全民防火重识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w:t>
      </w:r>
      <w:r>
        <w:rPr>
          <w:rFonts w:hint="eastAsia" w:hAnsi="仿宋_GB2312" w:cs="仿宋_GB2312"/>
          <w:b w:val="0"/>
          <w:bCs w:val="0"/>
          <w:color w:val="000000"/>
          <w:sz w:val="32"/>
          <w:szCs w:val="32"/>
          <w:lang w:val="en-US" w:eastAsia="zh-CN" w:bidi="ar-SA"/>
        </w:rPr>
        <w:t>，维护</w:t>
      </w:r>
      <w:r>
        <w:rPr>
          <w:rFonts w:hint="eastAsia" w:ascii="仿宋_GB2312" w:hAnsi="仿宋_GB2312" w:eastAsia="仿宋_GB2312" w:cs="仿宋_GB2312"/>
          <w:b w:val="0"/>
          <w:bCs w:val="0"/>
          <w:color w:val="000000"/>
          <w:sz w:val="32"/>
          <w:szCs w:val="32"/>
          <w:lang w:val="en-US" w:eastAsia="zh-CN" w:bidi="ar-SA"/>
        </w:rPr>
        <w:t>社会稳定的需要</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 xml:space="preserve"> 改善生态环境，促进经济可持续发展的需要</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使开封的山更绿、水更清、天更蓝。</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（三）项目自评步骤及方法</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部门对各村森林防火宣传落实的监督考核建立了考核监督制度，考核细则健全，扣分项目、处罚措施明确。根据综合得分，组织分管领导及部门负责人对本年度森林防火项目进行评估，评价项目效益，并提出改进措施。</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二、项目资金申报及使用情况</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（一）项目资金申报及批复情况</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在规定时间内，由部门进行申报，财政局统一批复。</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29" w:firstLineChars="200"/>
        <w:jc w:val="both"/>
        <w:textAlignment w:val="auto"/>
        <w:rPr>
          <w:rFonts w:hint="eastAsia" w:ascii="楷体_GB2312" w:hAnsi="楷体_GB2312" w:eastAsia="楷体_GB2312" w:cs="楷体_GB2312"/>
          <w:b/>
          <w:bCs/>
          <w:w w:val="98"/>
          <w:kern w:val="2"/>
          <w:sz w:val="32"/>
          <w:szCs w:val="32"/>
          <w:lang w:val="en-US" w:eastAsia="zh-CN" w:bidi="ar-SA"/>
        </w:rPr>
      </w:pPr>
      <w:r>
        <w:rPr>
          <w:rFonts w:hint="eastAsia" w:ascii="楷体_GB2312" w:hAnsi="楷体_GB2312" w:eastAsia="楷体_GB2312" w:cs="楷体_GB2312"/>
          <w:b/>
          <w:bCs/>
          <w:w w:val="98"/>
          <w:kern w:val="2"/>
          <w:sz w:val="32"/>
          <w:szCs w:val="32"/>
          <w:lang w:val="en-US" w:eastAsia="zh-CN" w:bidi="ar-SA"/>
        </w:rPr>
        <w:t>（二）资金计划、到位及使用情况（可用表格形式反映）</w:t>
      </w:r>
    </w:p>
    <w:tbl>
      <w:tblPr>
        <w:tblStyle w:val="18"/>
        <w:tblW w:w="95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2518"/>
        <w:gridCol w:w="1307"/>
        <w:gridCol w:w="2157"/>
        <w:gridCol w:w="736"/>
        <w:gridCol w:w="877"/>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jc w:val="center"/>
        </w:trPr>
        <w:tc>
          <w:tcPr>
            <w:tcW w:w="924"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w w:val="95"/>
                <w:sz w:val="24"/>
                <w:szCs w:val="24"/>
              </w:rPr>
            </w:pPr>
            <w:r>
              <w:rPr>
                <w:rFonts w:hint="eastAsia" w:ascii="仿宋_GB2312" w:hAnsi="仿宋_GB2312" w:eastAsia="仿宋_GB2312" w:cs="仿宋_GB2312"/>
                <w:w w:val="95"/>
                <w:sz w:val="24"/>
                <w:szCs w:val="24"/>
              </w:rPr>
              <w:t>项目</w:t>
            </w:r>
          </w:p>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5"/>
                <w:sz w:val="24"/>
                <w:szCs w:val="24"/>
              </w:rPr>
              <w:t>名称</w:t>
            </w:r>
          </w:p>
        </w:tc>
        <w:tc>
          <w:tcPr>
            <w:tcW w:w="3825" w:type="dxa"/>
            <w:gridSpan w:val="2"/>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安全经费（森林防火）</w:t>
            </w:r>
          </w:p>
        </w:tc>
        <w:tc>
          <w:tcPr>
            <w:tcW w:w="2157"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项目负责人及电</w:t>
            </w:r>
            <w:r>
              <w:rPr>
                <w:rFonts w:hint="eastAsia" w:ascii="仿宋_GB2312" w:hAnsi="仿宋_GB2312" w:eastAsia="仿宋_GB2312" w:cs="仿宋_GB2312"/>
                <w:w w:val="99"/>
                <w:sz w:val="24"/>
                <w:szCs w:val="24"/>
              </w:rPr>
              <w:t>话</w:t>
            </w:r>
          </w:p>
        </w:tc>
        <w:tc>
          <w:tcPr>
            <w:tcW w:w="2693" w:type="dxa"/>
            <w:gridSpan w:val="3"/>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白玉龙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924"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w w:val="95"/>
                <w:sz w:val="24"/>
                <w:szCs w:val="24"/>
              </w:rPr>
            </w:pPr>
            <w:r>
              <w:rPr>
                <w:rFonts w:hint="eastAsia" w:ascii="仿宋_GB2312" w:hAnsi="仿宋_GB2312" w:eastAsia="仿宋_GB2312" w:cs="仿宋_GB2312"/>
                <w:w w:val="95"/>
                <w:sz w:val="24"/>
                <w:szCs w:val="24"/>
              </w:rPr>
              <w:t>主管</w:t>
            </w:r>
          </w:p>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5"/>
                <w:sz w:val="24"/>
                <w:szCs w:val="24"/>
              </w:rPr>
              <w:t>部门</w:t>
            </w:r>
          </w:p>
        </w:tc>
        <w:tc>
          <w:tcPr>
            <w:tcW w:w="3825" w:type="dxa"/>
            <w:gridSpan w:val="2"/>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剑阁县</w:t>
            </w:r>
            <w:r>
              <w:rPr>
                <w:rFonts w:hint="eastAsia" w:ascii="仿宋_GB2312" w:hAnsi="仿宋_GB2312" w:eastAsia="仿宋_GB2312" w:cs="仿宋_GB2312"/>
                <w:sz w:val="24"/>
                <w:szCs w:val="24"/>
                <w:lang w:val="en-US" w:eastAsia="zh-CN"/>
              </w:rPr>
              <w:t>财政局</w:t>
            </w:r>
          </w:p>
        </w:tc>
        <w:tc>
          <w:tcPr>
            <w:tcW w:w="2157"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实施单位</w:t>
            </w:r>
          </w:p>
        </w:tc>
        <w:tc>
          <w:tcPr>
            <w:tcW w:w="2693" w:type="dxa"/>
            <w:gridSpan w:val="3"/>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剑阁县</w:t>
            </w:r>
            <w:r>
              <w:rPr>
                <w:rFonts w:hint="eastAsia" w:ascii="仿宋_GB2312" w:hAnsi="仿宋_GB2312" w:eastAsia="仿宋_GB2312" w:cs="仿宋_GB2312"/>
                <w:sz w:val="24"/>
                <w:szCs w:val="24"/>
                <w:lang w:eastAsia="zh-CN"/>
              </w:rPr>
              <w:t>开封镇</w:t>
            </w:r>
            <w:r>
              <w:rPr>
                <w:rFonts w:hint="eastAsia" w:ascii="仿宋_GB2312" w:hAnsi="仿宋_GB2312" w:eastAsia="仿宋_GB2312" w:cs="仿宋_GB2312"/>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24"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w w:val="95"/>
                <w:sz w:val="24"/>
                <w:szCs w:val="24"/>
              </w:rPr>
            </w:pPr>
            <w:r>
              <w:rPr>
                <w:rFonts w:hint="eastAsia" w:ascii="仿宋_GB2312" w:hAnsi="仿宋_GB2312" w:eastAsia="仿宋_GB2312" w:cs="仿宋_GB2312"/>
                <w:w w:val="95"/>
                <w:sz w:val="24"/>
                <w:szCs w:val="24"/>
              </w:rPr>
              <w:t>资金</w:t>
            </w:r>
          </w:p>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5"/>
                <w:sz w:val="24"/>
                <w:szCs w:val="24"/>
              </w:rPr>
              <w:t>情况</w:t>
            </w:r>
          </w:p>
        </w:tc>
        <w:tc>
          <w:tcPr>
            <w:tcW w:w="2518"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130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全年预算数（A）</w:t>
            </w:r>
          </w:p>
        </w:tc>
        <w:tc>
          <w:tcPr>
            <w:tcW w:w="2157"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全年执行数（B）</w:t>
            </w:r>
          </w:p>
        </w:tc>
        <w:tc>
          <w:tcPr>
            <w:tcW w:w="736"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9"/>
                <w:sz w:val="24"/>
                <w:szCs w:val="24"/>
              </w:rPr>
              <w:t>分</w:t>
            </w:r>
          </w:p>
          <w:p>
            <w:pPr>
              <w:pStyle w:val="47"/>
              <w:keepNext w:val="0"/>
              <w:keepLines w:val="0"/>
              <w:pageBreakBefore w:val="0"/>
              <w:widowControl w:val="0"/>
              <w:kinsoku/>
              <w:wordWrap/>
              <w:overflowPunct/>
              <w:topLinePunct w:val="0"/>
              <w:autoSpaceDE w:val="0"/>
              <w:autoSpaceDN w:val="0"/>
              <w:bidi w:val="0"/>
              <w:adjustRightInd/>
              <w:snapToGrid/>
              <w:spacing w:line="240" w:lineRule="auto"/>
              <w:ind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9"/>
                <w:sz w:val="24"/>
                <w:szCs w:val="24"/>
              </w:rPr>
              <w:t>值</w:t>
            </w:r>
          </w:p>
        </w:tc>
        <w:tc>
          <w:tcPr>
            <w:tcW w:w="877"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5"/>
                <w:sz w:val="24"/>
                <w:szCs w:val="24"/>
              </w:rPr>
              <w:t>执行率</w:t>
            </w:r>
          </w:p>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B/A)</w:t>
            </w:r>
          </w:p>
        </w:tc>
        <w:tc>
          <w:tcPr>
            <w:tcW w:w="1080"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924"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5"/>
                <w:sz w:val="24"/>
                <w:szCs w:val="24"/>
              </w:rPr>
              <w:t>（万元）</w:t>
            </w:r>
          </w:p>
        </w:tc>
        <w:tc>
          <w:tcPr>
            <w:tcW w:w="2518"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年度资金总额：</w:t>
            </w:r>
          </w:p>
        </w:tc>
        <w:tc>
          <w:tcPr>
            <w:tcW w:w="130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9"/>
                <w:sz w:val="24"/>
                <w:szCs w:val="24"/>
              </w:rPr>
              <w:t>3</w:t>
            </w:r>
          </w:p>
        </w:tc>
        <w:tc>
          <w:tcPr>
            <w:tcW w:w="215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9"/>
                <w:sz w:val="24"/>
                <w:szCs w:val="24"/>
              </w:rPr>
              <w:t>3</w:t>
            </w:r>
          </w:p>
        </w:tc>
        <w:tc>
          <w:tcPr>
            <w:tcW w:w="736"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7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080"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24"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2518"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其中：中央、省、市财政资</w:t>
            </w:r>
            <w:r>
              <w:rPr>
                <w:rFonts w:hint="eastAsia" w:ascii="仿宋_GB2312" w:hAnsi="仿宋_GB2312" w:eastAsia="仿宋_GB2312" w:cs="仿宋_GB2312"/>
                <w:w w:val="99"/>
                <w:sz w:val="24"/>
                <w:szCs w:val="24"/>
              </w:rPr>
              <w:t>金</w:t>
            </w:r>
          </w:p>
        </w:tc>
        <w:tc>
          <w:tcPr>
            <w:tcW w:w="130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215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736"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87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1080"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924"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2518"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县级财政资金</w:t>
            </w:r>
          </w:p>
        </w:tc>
        <w:tc>
          <w:tcPr>
            <w:tcW w:w="130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9"/>
                <w:sz w:val="24"/>
                <w:szCs w:val="24"/>
              </w:rPr>
              <w:t>3</w:t>
            </w:r>
          </w:p>
        </w:tc>
        <w:tc>
          <w:tcPr>
            <w:tcW w:w="215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w w:val="99"/>
                <w:sz w:val="24"/>
                <w:szCs w:val="24"/>
              </w:rPr>
              <w:t>3</w:t>
            </w:r>
          </w:p>
        </w:tc>
        <w:tc>
          <w:tcPr>
            <w:tcW w:w="736"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87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1080"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924"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2518"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其他资金</w:t>
            </w:r>
          </w:p>
        </w:tc>
        <w:tc>
          <w:tcPr>
            <w:tcW w:w="130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215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736"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877"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c>
          <w:tcPr>
            <w:tcW w:w="1080" w:type="dxa"/>
          </w:tcPr>
          <w:p>
            <w:pPr>
              <w:pStyle w:val="47"/>
              <w:keepNext w:val="0"/>
              <w:keepLines w:val="0"/>
              <w:pageBreakBefore w:val="0"/>
              <w:widowControl w:val="0"/>
              <w:kinsoku/>
              <w:wordWrap/>
              <w:overflowPunct/>
              <w:topLinePunct w:val="0"/>
              <w:autoSpaceDE w:val="0"/>
              <w:autoSpaceDN w:val="0"/>
              <w:bidi w:val="0"/>
              <w:adjustRightInd/>
              <w:snapToGrid/>
              <w:spacing w:line="240" w:lineRule="auto"/>
              <w:ind w:left="0" w:right="0" w:firstLine="480" w:firstLineChars="200"/>
              <w:jc w:val="center"/>
              <w:textAlignment w:val="auto"/>
              <w:rPr>
                <w:rFonts w:hint="eastAsia" w:ascii="仿宋_GB2312" w:hAnsi="仿宋_GB2312" w:eastAsia="仿宋_GB2312" w:cs="仿宋_GB2312"/>
                <w:sz w:val="24"/>
                <w:szCs w:val="24"/>
              </w:rPr>
            </w:pPr>
          </w:p>
        </w:tc>
      </w:tr>
    </w:tbl>
    <w:p>
      <w:pPr>
        <w:pStyle w:val="8"/>
        <w:keepNext w:val="0"/>
        <w:keepLines w:val="0"/>
        <w:pageBreakBefore w:val="0"/>
        <w:kinsoku/>
        <w:wordWrap/>
        <w:overflowPunct/>
        <w:topLinePunct w:val="0"/>
        <w:bidi w:val="0"/>
        <w:spacing w:after="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（三）项目财务管理情况</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各项目实施单位财务管理制度健全，严格执行财务管理制度，账务处理及时，会计核算规范。</w:t>
      </w:r>
    </w:p>
    <w:p>
      <w:pPr>
        <w:pStyle w:val="8"/>
        <w:keepNext w:val="0"/>
        <w:keepLines w:val="0"/>
        <w:pageBreakBefore w:val="0"/>
        <w:kinsoku/>
        <w:wordWrap/>
        <w:overflowPunct/>
        <w:topLinePunct w:val="0"/>
        <w:bidi w:val="0"/>
        <w:spacing w:after="0" w:line="576" w:lineRule="exact"/>
        <w:ind w:left="0" w:leftChars="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三、项目实施及管理情况</w:t>
      </w:r>
    </w:p>
    <w:p>
      <w:pPr>
        <w:pStyle w:val="44"/>
        <w:keepNext w:val="0"/>
        <w:keepLines w:val="0"/>
        <w:pageBreakBefore w:val="0"/>
        <w:kinsoku/>
        <w:wordWrap/>
        <w:overflowPunct/>
        <w:topLinePunct w:val="0"/>
        <w:bidi w:val="0"/>
        <w:spacing w:before="0"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（一）项目组织架构及实施流程</w:t>
      </w:r>
    </w:p>
    <w:p>
      <w:pPr>
        <w:keepNext w:val="0"/>
        <w:keepLines w:val="0"/>
        <w:pageBreakBefore w:val="0"/>
        <w:widowControl/>
        <w:kinsoku/>
        <w:wordWrap/>
        <w:overflowPunct/>
        <w:topLinePunct w:val="0"/>
        <w:autoSpaceDE/>
        <w:autoSpaceDN/>
        <w:bidi w:val="0"/>
        <w:adjustRightInd w:val="0"/>
        <w:snapToGrid w:val="0"/>
        <w:spacing w:after="0" w:line="576" w:lineRule="exact"/>
        <w:ind w:left="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申报项目－项目执行－项目监督－项目评价</w:t>
      </w:r>
    </w:p>
    <w:p>
      <w:pPr>
        <w:pStyle w:val="8"/>
        <w:keepNext w:val="0"/>
        <w:keepLines w:val="0"/>
        <w:pageBreakBefore w:val="0"/>
        <w:kinsoku/>
        <w:wordWrap/>
        <w:overflowPunct/>
        <w:topLinePunct w:val="0"/>
        <w:bidi w:val="0"/>
        <w:spacing w:line="576" w:lineRule="exact"/>
        <w:ind w:left="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（二）项目管理情况</w:t>
      </w:r>
    </w:p>
    <w:p>
      <w:pPr>
        <w:pStyle w:val="8"/>
        <w:keepNext w:val="0"/>
        <w:keepLines w:val="0"/>
        <w:pageBreakBefore w:val="0"/>
        <w:kinsoku/>
        <w:wordWrap/>
        <w:overflowPunct/>
        <w:topLinePunct w:val="0"/>
        <w:bidi w:val="0"/>
        <w:spacing w:after="0" w:line="576" w:lineRule="exact"/>
        <w:ind w:left="0" w:right="0" w:firstLine="640" w:firstLineChars="200"/>
        <w:jc w:val="both"/>
        <w:textAlignment w:val="auto"/>
      </w:pPr>
      <w:r>
        <w:rPr>
          <w:rFonts w:hint="eastAsia" w:ascii="仿宋_GB2312" w:hAnsi="仿宋_GB2312" w:eastAsia="仿宋_GB2312" w:cs="仿宋_GB2312"/>
          <w:b w:val="0"/>
          <w:bCs w:val="0"/>
          <w:color w:val="000000"/>
          <w:sz w:val="32"/>
          <w:szCs w:val="32"/>
          <w:lang w:val="en-US" w:eastAsia="zh-CN" w:bidi="ar-SA"/>
        </w:rPr>
        <w:t>结合项目特点，总体评价各项目实施单位执行相关法律法规及项目管理制度等情况，如招投标、政府采购、项目公示制等相关规定。</w:t>
      </w:r>
    </w:p>
    <w:p>
      <w:pPr>
        <w:keepNext w:val="0"/>
        <w:keepLines w:val="0"/>
        <w:pageBreakBefore w:val="0"/>
        <w:numPr>
          <w:ilvl w:val="0"/>
          <w:numId w:val="0"/>
        </w:numPr>
        <w:kinsoku/>
        <w:wordWrap/>
        <w:overflowPunct/>
        <w:topLinePunct w:val="0"/>
        <w:bidi w:val="0"/>
        <w:spacing w:after="0" w:line="576" w:lineRule="exact"/>
        <w:ind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（三）项目监管情况</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6"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开封镇人民政府的森林防火项目的实施，切实减少了辖区内火灾隐患，国有森林资源和群众生命财产安全得到有效保障，同时项目实施监督到位，产生了良好的社会环境效益。</w:t>
      </w:r>
    </w:p>
    <w:p>
      <w:pPr>
        <w:pStyle w:val="8"/>
        <w:keepNext w:val="0"/>
        <w:keepLines w:val="0"/>
        <w:pageBreakBefore w:val="0"/>
        <w:kinsoku/>
        <w:wordWrap/>
        <w:overflowPunct/>
        <w:topLinePunct w:val="0"/>
        <w:bidi w:val="0"/>
        <w:spacing w:after="0" w:line="576" w:lineRule="exact"/>
        <w:ind w:left="0" w:leftChars="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四、项目绩效情况</w:t>
      </w:r>
    </w:p>
    <w:p>
      <w:pPr>
        <w:pStyle w:val="44"/>
        <w:ind w:left="0" w:leftChars="0"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（一）项目完成情况</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本项目实施组织严密，管理规范有序，资金使用管理到位，实施后社会经济效益凸显。主管部门专门考核，配备专职人员，对森林防火工作实施日常监督和考核。开封镇人民政府林业站配备专职人员，对森林防火工作实施日常监督和考核。为加强项目的资金管理，我镇制定了重点工程项目建设管理和财务管理制度，并将该项目纳入重点项目财务核算，实行集中支付和报账制，确保资金封闭运行，项目实施中县财政、县审计以及监察部门定期或不定期</w:t>
      </w:r>
      <w:r>
        <w:rPr>
          <w:rFonts w:hint="eastAsia" w:hAnsi="仿宋_GB2312" w:cs="仿宋_GB2312"/>
          <w:b w:val="0"/>
          <w:bCs w:val="0"/>
          <w:color w:val="000000"/>
          <w:sz w:val="32"/>
          <w:szCs w:val="32"/>
          <w:lang w:val="en-US" w:eastAsia="zh-CN" w:bidi="ar-SA"/>
        </w:rPr>
        <w:t>地</w:t>
      </w:r>
      <w:r>
        <w:rPr>
          <w:rFonts w:hint="eastAsia" w:ascii="仿宋_GB2312" w:hAnsi="仿宋_GB2312" w:eastAsia="仿宋_GB2312" w:cs="仿宋_GB2312"/>
          <w:b w:val="0"/>
          <w:bCs w:val="0"/>
          <w:color w:val="000000"/>
          <w:sz w:val="32"/>
          <w:szCs w:val="32"/>
          <w:lang w:val="en-US" w:eastAsia="zh-CN" w:bidi="ar-SA"/>
        </w:rPr>
        <w:t>实行检查、督察，确保项目资金的安全运行。</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资金使用过程中，严把监督审核关，建立健全内部审批制度。对每笔用款申请，在所附资料齐备的情况下，经审核确认后再报县财政局审批后付款。确保国有森林资源和群众生命财产安全得到有效保障，项目实施到位，产生了良好的社会环境效益。</w:t>
      </w:r>
    </w:p>
    <w:p>
      <w:pPr>
        <w:pStyle w:val="44"/>
        <w:ind w:left="0" w:leftChars="0"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（二）项目效益情况</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1.社会效益。通过项目的实施，有效保护森林资源，</w:t>
      </w:r>
      <w:r>
        <w:rPr>
          <w:rFonts w:hint="eastAsia" w:hAnsi="仿宋_GB2312" w:cs="仿宋_GB2312"/>
          <w:b w:val="0"/>
          <w:bCs w:val="0"/>
          <w:color w:val="000000"/>
          <w:sz w:val="32"/>
          <w:szCs w:val="32"/>
          <w:lang w:val="en-US" w:eastAsia="zh-CN" w:bidi="ar-SA"/>
        </w:rPr>
        <w:t>增强</w:t>
      </w:r>
      <w:r>
        <w:rPr>
          <w:rFonts w:hint="eastAsia" w:ascii="仿宋_GB2312" w:hAnsi="仿宋_GB2312" w:eastAsia="仿宋_GB2312" w:cs="仿宋_GB2312"/>
          <w:b w:val="0"/>
          <w:bCs w:val="0"/>
          <w:color w:val="000000"/>
          <w:sz w:val="32"/>
          <w:szCs w:val="32"/>
          <w:lang w:val="en-US" w:eastAsia="zh-CN" w:bidi="ar-SA"/>
        </w:rPr>
        <w:t>全民森林防灭火意识，国家资源与人民群众生命财产安全得到有效保护。</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2.环境效益。通过项目的实施，强化全民防火</w:t>
      </w:r>
      <w:r>
        <w:rPr>
          <w:rFonts w:hint="eastAsia" w:hAnsi="仿宋_GB2312" w:cs="仿宋_GB2312"/>
          <w:b w:val="0"/>
          <w:bCs w:val="0"/>
          <w:color w:val="000000"/>
          <w:sz w:val="32"/>
          <w:szCs w:val="32"/>
          <w:lang w:val="en-US" w:eastAsia="zh-CN" w:bidi="ar-SA"/>
        </w:rPr>
        <w:t>重视</w:t>
      </w:r>
      <w:r>
        <w:rPr>
          <w:rFonts w:hint="eastAsia" w:ascii="仿宋_GB2312" w:hAnsi="仿宋_GB2312" w:eastAsia="仿宋_GB2312" w:cs="仿宋_GB2312"/>
          <w:b w:val="0"/>
          <w:bCs w:val="0"/>
          <w:color w:val="000000"/>
          <w:sz w:val="32"/>
          <w:szCs w:val="32"/>
          <w:lang w:val="en-US" w:eastAsia="zh-CN" w:bidi="ar-SA"/>
        </w:rPr>
        <w:t>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 xml:space="preserve"> </w:t>
      </w:r>
      <w:r>
        <w:rPr>
          <w:rFonts w:hint="eastAsia" w:hAnsi="仿宋_GB2312" w:cs="仿宋_GB2312"/>
          <w:b w:val="0"/>
          <w:bCs w:val="0"/>
          <w:color w:val="000000"/>
          <w:sz w:val="32"/>
          <w:szCs w:val="32"/>
          <w:lang w:val="en-US" w:eastAsia="zh-CN" w:bidi="ar-SA"/>
        </w:rPr>
        <w:t>维护</w:t>
      </w:r>
      <w:r>
        <w:rPr>
          <w:rFonts w:hint="eastAsia" w:ascii="仿宋_GB2312" w:hAnsi="仿宋_GB2312" w:eastAsia="仿宋_GB2312" w:cs="仿宋_GB2312"/>
          <w:b w:val="0"/>
          <w:bCs w:val="0"/>
          <w:color w:val="000000"/>
          <w:sz w:val="32"/>
          <w:szCs w:val="32"/>
          <w:lang w:val="en-US" w:eastAsia="zh-CN" w:bidi="ar-SA"/>
        </w:rPr>
        <w:t>社会稳定的需要</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改善生态环境，促进经济可持续发展的需要</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使开封的山更绿、水更清、天更蓝。</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3.经济效益。森林火灾的有效控制，大幅降低救火救灾以及生态修复支出，</w:t>
      </w:r>
      <w:r>
        <w:rPr>
          <w:rFonts w:hint="eastAsia" w:hAnsi="仿宋_GB2312" w:cs="仿宋_GB2312"/>
          <w:b w:val="0"/>
          <w:bCs w:val="0"/>
          <w:color w:val="000000"/>
          <w:sz w:val="32"/>
          <w:szCs w:val="32"/>
          <w:lang w:val="en-US" w:eastAsia="zh-CN" w:bidi="ar-SA"/>
        </w:rPr>
        <w:t>防患于未然</w:t>
      </w:r>
      <w:bookmarkStart w:id="73" w:name="_GoBack"/>
      <w:bookmarkEnd w:id="73"/>
      <w:r>
        <w:rPr>
          <w:rFonts w:hint="eastAsia" w:ascii="仿宋_GB2312" w:hAnsi="仿宋_GB2312" w:eastAsia="仿宋_GB2312" w:cs="仿宋_GB2312"/>
          <w:b w:val="0"/>
          <w:bCs w:val="0"/>
          <w:color w:val="000000"/>
          <w:sz w:val="32"/>
          <w:szCs w:val="32"/>
          <w:lang w:val="en-US" w:eastAsia="zh-CN" w:bidi="ar-SA"/>
        </w:rPr>
        <w:t>，有效预防各种灾情及相关支出。</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黑体" w:hAnsi="黑体" w:eastAsia="黑体"/>
          <w:b/>
        </w:rPr>
      </w:pPr>
      <w:r>
        <w:rPr>
          <w:rFonts w:hint="eastAsia" w:ascii="仿宋_GB2312" w:hAnsi="仿宋_GB2312" w:eastAsia="仿宋_GB2312" w:cs="仿宋_GB2312"/>
          <w:b w:val="0"/>
          <w:bCs w:val="0"/>
          <w:color w:val="000000"/>
          <w:sz w:val="32"/>
          <w:szCs w:val="32"/>
          <w:lang w:val="en-US" w:eastAsia="zh-CN" w:bidi="ar-SA"/>
        </w:rPr>
        <w:t>4.可持续影响：通过项目的实施，强化全民防火</w:t>
      </w:r>
      <w:r>
        <w:rPr>
          <w:rFonts w:hint="eastAsia" w:hAnsi="仿宋_GB2312" w:cs="仿宋_GB2312"/>
          <w:b w:val="0"/>
          <w:bCs w:val="0"/>
          <w:color w:val="000000"/>
          <w:sz w:val="32"/>
          <w:szCs w:val="32"/>
          <w:lang w:val="en-US" w:eastAsia="zh-CN" w:bidi="ar-SA"/>
        </w:rPr>
        <w:t>重视</w:t>
      </w:r>
      <w:r>
        <w:rPr>
          <w:rFonts w:hint="eastAsia" w:ascii="仿宋_GB2312" w:hAnsi="仿宋_GB2312" w:eastAsia="仿宋_GB2312" w:cs="仿宋_GB2312"/>
          <w:b w:val="0"/>
          <w:bCs w:val="0"/>
          <w:color w:val="000000"/>
          <w:sz w:val="32"/>
          <w:szCs w:val="32"/>
          <w:lang w:val="en-US" w:eastAsia="zh-CN" w:bidi="ar-SA"/>
        </w:rPr>
        <w:t>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可持续提高人民生活质量，并可取得良好的社会、经济和环境效益，具有可持续影响。</w:t>
      </w:r>
    </w:p>
    <w:p>
      <w:pPr>
        <w:pStyle w:val="8"/>
        <w:keepNext w:val="0"/>
        <w:keepLines w:val="0"/>
        <w:pageBreakBefore w:val="0"/>
        <w:widowControl w:val="0"/>
        <w:kinsoku/>
        <w:wordWrap/>
        <w:overflowPunct/>
        <w:topLinePunct w:val="0"/>
        <w:autoSpaceDE w:val="0"/>
        <w:autoSpaceDN w:val="0"/>
        <w:bidi w:val="0"/>
        <w:adjustRightInd/>
        <w:snapToGrid/>
        <w:spacing w:after="0" w:line="576" w:lineRule="exact"/>
        <w:ind w:left="0" w:leftChars="0" w:right="0" w:firstLine="643" w:firstLineChars="20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五、评价结论及建议</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（一）评价结论</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我们认为：开封镇人民政府的森林防火项目的实施，森林火灾发生次数明显下降减少，野外用火得到有效控制，项目实施到位，产生了良好的社会环境效益。</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根据开封镇人民政府森林防火项目绩效评价指标表考评，此次评价指标总分值98分，综合得分为90分，其中：产出指标总分值50分，评价得分50分，效益指标总分值30分，评价得分 30分，满意度指标分值10分，评价得分10分，财务指标分值10分，评价得分8分。评价等次：优。</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（二）存在问题</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我镇森林覆盖率较高，森林防火形势十分严峻。</w:t>
      </w:r>
      <w:r>
        <w:rPr>
          <w:rFonts w:hint="eastAsia" w:ascii="仿宋_GB2312" w:hAnsi="仿宋_GB2312" w:eastAsia="仿宋_GB2312" w:cs="仿宋_GB2312"/>
          <w:b/>
          <w:bCs/>
          <w:color w:val="000000"/>
          <w:sz w:val="32"/>
          <w:szCs w:val="32"/>
          <w:lang w:val="en-US" w:eastAsia="zh-CN" w:bidi="ar-SA"/>
        </w:rPr>
        <w:t>一是</w:t>
      </w:r>
      <w:r>
        <w:rPr>
          <w:rFonts w:hint="eastAsia" w:ascii="仿宋_GB2312" w:hAnsi="仿宋_GB2312" w:eastAsia="仿宋_GB2312" w:cs="仿宋_GB2312"/>
          <w:b w:val="0"/>
          <w:bCs w:val="0"/>
          <w:color w:val="000000"/>
          <w:sz w:val="32"/>
          <w:szCs w:val="32"/>
          <w:lang w:val="en-US" w:eastAsia="zh-CN" w:bidi="ar-SA"/>
        </w:rPr>
        <w:t>我镇山区面积较多，频繁的农事活动，给森林防火带来了一定困难。野外游玩休闲的人多，极易引发森林火灾。</w:t>
      </w:r>
      <w:r>
        <w:rPr>
          <w:rFonts w:hint="eastAsia" w:ascii="仿宋_GB2312" w:hAnsi="仿宋_GB2312" w:eastAsia="仿宋_GB2312" w:cs="仿宋_GB2312"/>
          <w:b/>
          <w:bCs/>
          <w:color w:val="000000"/>
          <w:sz w:val="32"/>
          <w:szCs w:val="32"/>
          <w:lang w:val="en-US" w:eastAsia="zh-CN" w:bidi="ar-SA"/>
        </w:rPr>
        <w:t>二是</w:t>
      </w:r>
      <w:r>
        <w:rPr>
          <w:rFonts w:hint="eastAsia" w:ascii="仿宋_GB2312" w:hAnsi="仿宋_GB2312" w:eastAsia="仿宋_GB2312" w:cs="仿宋_GB2312"/>
          <w:b w:val="0"/>
          <w:bCs w:val="0"/>
          <w:color w:val="000000"/>
          <w:sz w:val="32"/>
          <w:szCs w:val="32"/>
          <w:lang w:val="en-US" w:eastAsia="zh-CN" w:bidi="ar-SA"/>
        </w:rPr>
        <w:t>森林防火基础设施比较薄弱。特别是各主要林区，无监控瞭望设施，通讯信号不强，无有效阻隔系统，不具备抵御森林大火的能力，与当前的防火需要不相适应。</w:t>
      </w:r>
      <w:r>
        <w:rPr>
          <w:rFonts w:hint="eastAsia" w:ascii="仿宋_GB2312" w:hAnsi="仿宋_GB2312" w:eastAsia="仿宋_GB2312" w:cs="仿宋_GB2312"/>
          <w:b/>
          <w:bCs/>
          <w:color w:val="000000"/>
          <w:sz w:val="32"/>
          <w:szCs w:val="32"/>
          <w:lang w:val="en-US" w:eastAsia="zh-CN" w:bidi="ar-SA"/>
        </w:rPr>
        <w:t>三是</w:t>
      </w:r>
      <w:r>
        <w:rPr>
          <w:rFonts w:hint="eastAsia" w:ascii="仿宋_GB2312" w:hAnsi="仿宋_GB2312" w:eastAsia="仿宋_GB2312" w:cs="仿宋_GB2312"/>
          <w:b w:val="0"/>
          <w:bCs w:val="0"/>
          <w:color w:val="000000"/>
          <w:sz w:val="32"/>
          <w:szCs w:val="32"/>
          <w:lang w:val="en-US" w:eastAsia="zh-CN" w:bidi="ar-SA"/>
        </w:rPr>
        <w:t>由于林区的开发利用，林区施工、流动人员、旅游人员增多，管理难度加大， 已成为新形势下引发森林火灾的一大隐患。</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3"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楷体_GB2312" w:hAnsi="楷体_GB2312" w:eastAsia="楷体_GB2312" w:cs="楷体_GB2312"/>
          <w:b/>
          <w:bCs/>
          <w:kern w:val="2"/>
          <w:sz w:val="32"/>
          <w:szCs w:val="32"/>
          <w:lang w:val="en-US" w:eastAsia="zh-CN" w:bidi="ar-SA"/>
        </w:rPr>
        <w:t>（三）相关建议</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3"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bCs/>
          <w:color w:val="000000"/>
          <w:sz w:val="32"/>
          <w:szCs w:val="32"/>
          <w:lang w:val="en-US" w:eastAsia="zh-CN" w:bidi="ar-SA"/>
        </w:rPr>
        <w:t>一是</w:t>
      </w:r>
      <w:r>
        <w:rPr>
          <w:rFonts w:hint="eastAsia" w:ascii="仿宋_GB2312" w:hAnsi="仿宋_GB2312" w:eastAsia="仿宋_GB2312" w:cs="仿宋_GB2312"/>
          <w:b w:val="0"/>
          <w:bCs w:val="0"/>
          <w:color w:val="000000"/>
          <w:sz w:val="32"/>
          <w:szCs w:val="32"/>
          <w:lang w:val="en-US" w:eastAsia="zh-CN" w:bidi="ar-SA"/>
        </w:rPr>
        <w:t>强化责任落实</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严控火源管理。</w:t>
      </w:r>
      <w:r>
        <w:rPr>
          <w:rFonts w:hint="eastAsia" w:ascii="仿宋_GB2312" w:hAnsi="仿宋_GB2312" w:eastAsia="仿宋_GB2312" w:cs="仿宋_GB2312"/>
          <w:b/>
          <w:bCs/>
          <w:color w:val="000000"/>
          <w:sz w:val="32"/>
          <w:szCs w:val="32"/>
          <w:lang w:val="en-US" w:eastAsia="zh-CN" w:bidi="ar-SA"/>
        </w:rPr>
        <w:t>二是</w:t>
      </w:r>
      <w:r>
        <w:rPr>
          <w:rFonts w:hint="eastAsia" w:ascii="仿宋_GB2312" w:hAnsi="仿宋_GB2312" w:eastAsia="仿宋_GB2312" w:cs="仿宋_GB2312"/>
          <w:b w:val="0"/>
          <w:bCs w:val="0"/>
          <w:color w:val="000000"/>
          <w:sz w:val="32"/>
          <w:szCs w:val="32"/>
          <w:lang w:val="en-US" w:eastAsia="zh-CN" w:bidi="ar-SA"/>
        </w:rPr>
        <w:t>持续加强森林防火工作的宣传教育</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转变农户思想</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强化农户的防火意识。</w:t>
      </w:r>
      <w:r>
        <w:rPr>
          <w:rFonts w:hint="eastAsia" w:ascii="仿宋_GB2312" w:hAnsi="仿宋_GB2312" w:eastAsia="仿宋_GB2312" w:cs="仿宋_GB2312"/>
          <w:b/>
          <w:bCs/>
          <w:color w:val="000000"/>
          <w:sz w:val="32"/>
          <w:szCs w:val="32"/>
          <w:lang w:val="en-US" w:eastAsia="zh-CN" w:bidi="ar-SA"/>
        </w:rPr>
        <w:t>三是</w:t>
      </w:r>
      <w:r>
        <w:rPr>
          <w:rFonts w:hint="eastAsia" w:hAnsi="仿宋_GB2312" w:cs="仿宋_GB2312"/>
          <w:b/>
          <w:bCs/>
          <w:color w:val="000000"/>
          <w:sz w:val="32"/>
          <w:szCs w:val="32"/>
          <w:lang w:val="en-US" w:eastAsia="zh-CN" w:bidi="ar-SA"/>
        </w:rPr>
        <w:t>加大</w:t>
      </w:r>
      <w:r>
        <w:rPr>
          <w:rFonts w:hint="eastAsia" w:ascii="仿宋_GB2312" w:hAnsi="仿宋_GB2312" w:eastAsia="仿宋_GB2312" w:cs="仿宋_GB2312"/>
          <w:b w:val="0"/>
          <w:bCs w:val="0"/>
          <w:color w:val="000000"/>
          <w:sz w:val="32"/>
          <w:szCs w:val="32"/>
          <w:lang w:val="en-US" w:eastAsia="zh-CN" w:bidi="ar-SA"/>
        </w:rPr>
        <w:t>联合巡查执法力度</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环保、农业、派出所、林业公安等部门进一步加大处置力度</w:t>
      </w:r>
      <w:r>
        <w:rPr>
          <w:rFonts w:hint="eastAsia" w:hAnsi="仿宋_GB2312" w:cs="仿宋_GB2312"/>
          <w:b w:val="0"/>
          <w:bCs w:val="0"/>
          <w:color w:val="000000"/>
          <w:sz w:val="32"/>
          <w:szCs w:val="32"/>
          <w:lang w:val="en-US" w:eastAsia="zh-CN" w:bidi="ar-SA"/>
        </w:rPr>
        <w:t>，</w:t>
      </w:r>
      <w:r>
        <w:rPr>
          <w:rFonts w:hint="eastAsia" w:ascii="仿宋_GB2312" w:hAnsi="仿宋_GB2312" w:eastAsia="仿宋_GB2312" w:cs="仿宋_GB2312"/>
          <w:b w:val="0"/>
          <w:bCs w:val="0"/>
          <w:color w:val="000000"/>
          <w:sz w:val="32"/>
          <w:szCs w:val="32"/>
          <w:lang w:val="en-US" w:eastAsia="zh-CN" w:bidi="ar-SA"/>
        </w:rPr>
        <w:t>发现一起处置一起，形成威慑。</w:t>
      </w:r>
      <w:r>
        <w:rPr>
          <w:rFonts w:hint="eastAsia" w:ascii="仿宋_GB2312" w:hAnsi="仿宋_GB2312" w:eastAsia="仿宋_GB2312" w:cs="仿宋_GB2312"/>
          <w:b/>
          <w:bCs/>
          <w:color w:val="000000"/>
          <w:sz w:val="32"/>
          <w:szCs w:val="32"/>
          <w:lang w:val="en-US" w:eastAsia="zh-CN" w:bidi="ar-SA"/>
        </w:rPr>
        <w:t>四是</w:t>
      </w:r>
      <w:r>
        <w:rPr>
          <w:rFonts w:hint="eastAsia" w:ascii="仿宋_GB2312" w:hAnsi="仿宋_GB2312" w:eastAsia="仿宋_GB2312" w:cs="仿宋_GB2312"/>
          <w:b w:val="0"/>
          <w:bCs w:val="0"/>
          <w:color w:val="000000"/>
          <w:sz w:val="32"/>
          <w:szCs w:val="32"/>
          <w:lang w:val="en-US" w:eastAsia="zh-CN" w:bidi="ar-SA"/>
        </w:rPr>
        <w:t>加强森林防火信息化建设上的投入，使森林防火工作更加高效、便捷。</w:t>
      </w:r>
    </w:p>
    <w:p>
      <w:pPr>
        <w:pStyle w:val="8"/>
        <w:keepNext w:val="0"/>
        <w:keepLines w:val="0"/>
        <w:pageBreakBefore w:val="0"/>
        <w:widowControl w:val="0"/>
        <w:kinsoku/>
        <w:wordWrap/>
        <w:overflowPunct/>
        <w:topLinePunct w:val="0"/>
        <w:autoSpaceDE w:val="0"/>
        <w:autoSpaceDN w:val="0"/>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sectPr>
          <w:pgSz w:w="11910" w:h="16840"/>
          <w:pgMar w:top="1440" w:right="1803" w:bottom="1440" w:left="1803" w:header="0" w:footer="1197" w:gutter="0"/>
          <w:pgNumType w:fmt="decimal"/>
          <w:cols w:space="720" w:num="1"/>
        </w:sectPr>
      </w:pPr>
    </w:p>
    <w:p>
      <w:pPr>
        <w:pStyle w:val="8"/>
        <w:spacing w:before="25"/>
        <w:ind w:left="0" w:leftChars="0" w:firstLine="0" w:firstLineChars="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附表</w:t>
      </w:r>
    </w:p>
    <w:p>
      <w:pPr>
        <w:pStyle w:val="44"/>
        <w:keepNext w:val="0"/>
        <w:keepLines w:val="0"/>
        <w:pageBreakBefore w:val="0"/>
        <w:widowControl w:val="0"/>
        <w:kinsoku/>
        <w:wordWrap/>
        <w:overflowPunct/>
        <w:topLinePunct w:val="0"/>
        <w:autoSpaceDE w:val="0"/>
        <w:autoSpaceDN w:val="0"/>
        <w:bidi w:val="0"/>
        <w:adjustRightInd/>
        <w:snapToGrid/>
        <w:spacing w:before="0" w:line="576" w:lineRule="exact"/>
        <w:ind w:left="0" w:leftChars="0" w:firstLine="0" w:firstLineChars="0"/>
        <w:jc w:val="center"/>
        <w:textAlignment w:val="auto"/>
        <w:rPr>
          <w:rFonts w:hint="eastAsia" w:ascii="方正小标宋_GBK" w:hAnsi="方正小标宋简体" w:eastAsia="方正小标宋_GBK" w:cs="方正小标宋简体"/>
          <w:b/>
          <w:bCs/>
          <w:kern w:val="2"/>
          <w:sz w:val="44"/>
          <w:szCs w:val="44"/>
          <w:lang w:val="en-US" w:eastAsia="zh-CN" w:bidi="ar-SA"/>
        </w:rPr>
      </w:pPr>
      <w:r>
        <w:rPr>
          <w:rFonts w:hint="eastAsia" w:ascii="方正小标宋_GBK" w:hAnsi="方正小标宋简体" w:eastAsia="方正小标宋_GBK" w:cs="方正小标宋简体"/>
          <w:b/>
          <w:bCs/>
          <w:kern w:val="2"/>
          <w:sz w:val="44"/>
          <w:szCs w:val="44"/>
          <w:lang w:val="en-US" w:eastAsia="zh-CN" w:bidi="ar-SA"/>
        </w:rPr>
        <w:t>2022年安全经费（森林防火）项目绩效</w:t>
      </w:r>
    </w:p>
    <w:p>
      <w:pPr>
        <w:pStyle w:val="44"/>
        <w:keepNext w:val="0"/>
        <w:keepLines w:val="0"/>
        <w:pageBreakBefore w:val="0"/>
        <w:widowControl w:val="0"/>
        <w:kinsoku/>
        <w:wordWrap/>
        <w:overflowPunct/>
        <w:topLinePunct w:val="0"/>
        <w:autoSpaceDE w:val="0"/>
        <w:autoSpaceDN w:val="0"/>
        <w:bidi w:val="0"/>
        <w:adjustRightInd/>
        <w:snapToGrid/>
        <w:spacing w:before="0" w:line="576" w:lineRule="exact"/>
        <w:ind w:left="0" w:leftChars="0" w:firstLine="0" w:firstLineChars="0"/>
        <w:jc w:val="center"/>
        <w:textAlignment w:val="auto"/>
        <w:rPr>
          <w:rFonts w:hint="eastAsia" w:ascii="方正小标宋_GBK" w:hAnsi="方正小标宋简体" w:eastAsia="方正小标宋_GBK" w:cs="方正小标宋简体"/>
          <w:b/>
          <w:bCs/>
          <w:kern w:val="2"/>
          <w:sz w:val="44"/>
          <w:szCs w:val="44"/>
          <w:lang w:val="en-US" w:eastAsia="zh-CN" w:bidi="ar-SA"/>
        </w:rPr>
      </w:pPr>
      <w:r>
        <w:rPr>
          <w:rFonts w:hint="eastAsia" w:ascii="方正小标宋_GBK" w:hAnsi="方正小标宋简体" w:eastAsia="方正小标宋_GBK" w:cs="方正小标宋简体"/>
          <w:b/>
          <w:bCs/>
          <w:kern w:val="2"/>
          <w:sz w:val="44"/>
          <w:szCs w:val="44"/>
          <w:lang w:val="en-US" w:eastAsia="zh-CN" w:bidi="ar-SA"/>
        </w:rPr>
        <w:t>目标自评</w:t>
      </w:r>
    </w:p>
    <w:p>
      <w:pPr>
        <w:pStyle w:val="8"/>
        <w:spacing w:before="7" w:after="1"/>
        <w:ind w:left="0"/>
        <w:rPr>
          <w:rFonts w:ascii="宋体"/>
          <w:b/>
          <w:sz w:val="10"/>
        </w:rPr>
      </w:pPr>
    </w:p>
    <w:tbl>
      <w:tblPr>
        <w:tblStyle w:val="18"/>
        <w:tblW w:w="103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8"/>
        <w:gridCol w:w="1143"/>
        <w:gridCol w:w="1725"/>
        <w:gridCol w:w="1864"/>
        <w:gridCol w:w="1682"/>
        <w:gridCol w:w="1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3121" w:type="dxa"/>
            <w:gridSpan w:val="2"/>
          </w:tcPr>
          <w:p>
            <w:pPr>
              <w:pStyle w:val="47"/>
              <w:spacing w:before="165"/>
              <w:ind w:left="717"/>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主管部门及代码</w:t>
            </w:r>
          </w:p>
        </w:tc>
        <w:tc>
          <w:tcPr>
            <w:tcW w:w="3589" w:type="dxa"/>
            <w:gridSpan w:val="2"/>
          </w:tcPr>
          <w:p>
            <w:pPr>
              <w:pStyle w:val="47"/>
              <w:spacing w:before="165"/>
              <w:ind w:left="10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剑阁县财政局</w:t>
            </w:r>
          </w:p>
        </w:tc>
        <w:tc>
          <w:tcPr>
            <w:tcW w:w="1682" w:type="dxa"/>
          </w:tcPr>
          <w:p>
            <w:pPr>
              <w:pStyle w:val="47"/>
              <w:spacing w:before="165"/>
              <w:ind w:left="12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实施单位</w:t>
            </w:r>
          </w:p>
        </w:tc>
        <w:tc>
          <w:tcPr>
            <w:tcW w:w="1972" w:type="dxa"/>
            <w:vAlign w:val="center"/>
          </w:tcPr>
          <w:p>
            <w:pPr>
              <w:pStyle w:val="47"/>
              <w:spacing w:before="4"/>
              <w:ind w:left="100" w:right="10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剑阁县</w:t>
            </w:r>
            <w:r>
              <w:rPr>
                <w:rFonts w:hint="eastAsia" w:ascii="仿宋_GB2312" w:hAnsi="仿宋_GB2312" w:eastAsia="仿宋_GB2312" w:cs="仿宋_GB2312"/>
                <w:sz w:val="24"/>
                <w:szCs w:val="24"/>
                <w:lang w:eastAsia="zh-CN"/>
              </w:rPr>
              <w:t>开封镇</w:t>
            </w:r>
          </w:p>
          <w:p>
            <w:pPr>
              <w:pStyle w:val="47"/>
              <w:spacing w:before="4"/>
              <w:ind w:left="100" w:right="10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121" w:type="dxa"/>
            <w:gridSpan w:val="2"/>
            <w:vMerge w:val="restart"/>
          </w:tcPr>
          <w:p>
            <w:pPr>
              <w:pStyle w:val="47"/>
              <w:spacing w:before="194" w:line="252" w:lineRule="auto"/>
              <w:ind w:left="1077" w:right="1071"/>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项目预算执行情况</w:t>
            </w:r>
          </w:p>
          <w:p>
            <w:pPr>
              <w:pStyle w:val="47"/>
              <w:spacing w:line="303" w:lineRule="exact"/>
              <w:ind w:left="1057" w:right="105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725" w:type="dxa"/>
          </w:tcPr>
          <w:p>
            <w:pPr>
              <w:pStyle w:val="47"/>
              <w:spacing w:before="14" w:line="306" w:lineRule="exact"/>
              <w:ind w:left="22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预算数：</w:t>
            </w:r>
          </w:p>
        </w:tc>
        <w:tc>
          <w:tcPr>
            <w:tcW w:w="1864" w:type="dxa"/>
          </w:tcPr>
          <w:p>
            <w:pPr>
              <w:pStyle w:val="47"/>
              <w:spacing w:before="14" w:line="306" w:lineRule="exact"/>
              <w:ind w:left="103"/>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1682" w:type="dxa"/>
          </w:tcPr>
          <w:p>
            <w:pPr>
              <w:pStyle w:val="47"/>
              <w:spacing w:before="14" w:line="306" w:lineRule="exact"/>
              <w:ind w:left="22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执行数：</w:t>
            </w:r>
          </w:p>
        </w:tc>
        <w:tc>
          <w:tcPr>
            <w:tcW w:w="1972" w:type="dxa"/>
          </w:tcPr>
          <w:p>
            <w:pPr>
              <w:pStyle w:val="47"/>
              <w:spacing w:before="14" w:line="306" w:lineRule="exact"/>
              <w:ind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3121" w:type="dxa"/>
            <w:gridSpan w:val="2"/>
            <w:vMerge w:val="continue"/>
            <w:tcBorders>
              <w:top w:val="nil"/>
            </w:tcBorders>
          </w:tcPr>
          <w:p>
            <w:pPr>
              <w:rPr>
                <w:rFonts w:hint="eastAsia" w:ascii="仿宋_GB2312" w:hAnsi="仿宋_GB2312" w:eastAsia="仿宋_GB2312" w:cs="仿宋_GB2312"/>
                <w:sz w:val="24"/>
                <w:szCs w:val="24"/>
              </w:rPr>
            </w:pPr>
          </w:p>
        </w:tc>
        <w:tc>
          <w:tcPr>
            <w:tcW w:w="1725" w:type="dxa"/>
          </w:tcPr>
          <w:p>
            <w:pPr>
              <w:pStyle w:val="47"/>
              <w:spacing w:before="4"/>
              <w:ind w:left="10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p>
            <w:pPr>
              <w:pStyle w:val="47"/>
              <w:spacing w:before="12" w:line="297" w:lineRule="exact"/>
              <w:ind w:left="10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c>
          <w:tcPr>
            <w:tcW w:w="1864" w:type="dxa"/>
          </w:tcPr>
          <w:p>
            <w:pPr>
              <w:pStyle w:val="47"/>
              <w:spacing w:before="165"/>
              <w:ind w:left="103"/>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1682" w:type="dxa"/>
          </w:tcPr>
          <w:p>
            <w:pPr>
              <w:pStyle w:val="47"/>
              <w:spacing w:before="4"/>
              <w:ind w:left="1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w:t>
            </w:r>
          </w:p>
          <w:p>
            <w:pPr>
              <w:pStyle w:val="47"/>
              <w:spacing w:before="12" w:line="297" w:lineRule="exact"/>
              <w:ind w:left="1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c>
          <w:tcPr>
            <w:tcW w:w="1972" w:type="dxa"/>
          </w:tcPr>
          <w:p>
            <w:pPr>
              <w:pStyle w:val="47"/>
              <w:spacing w:before="165"/>
              <w:ind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3121" w:type="dxa"/>
            <w:gridSpan w:val="2"/>
            <w:vMerge w:val="continue"/>
            <w:tcBorders>
              <w:top w:val="nil"/>
            </w:tcBorders>
          </w:tcPr>
          <w:p>
            <w:pPr>
              <w:rPr>
                <w:rFonts w:hint="eastAsia" w:ascii="仿宋_GB2312" w:hAnsi="仿宋_GB2312" w:eastAsia="仿宋_GB2312" w:cs="仿宋_GB2312"/>
                <w:sz w:val="24"/>
                <w:szCs w:val="24"/>
              </w:rPr>
            </w:pPr>
          </w:p>
        </w:tc>
        <w:tc>
          <w:tcPr>
            <w:tcW w:w="1725" w:type="dxa"/>
          </w:tcPr>
          <w:p>
            <w:pPr>
              <w:pStyle w:val="47"/>
              <w:spacing w:before="14" w:line="306" w:lineRule="exact"/>
              <w:ind w:left="104"/>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其他资金</w:t>
            </w:r>
          </w:p>
        </w:tc>
        <w:tc>
          <w:tcPr>
            <w:tcW w:w="1864" w:type="dxa"/>
          </w:tcPr>
          <w:p>
            <w:pPr>
              <w:pStyle w:val="47"/>
              <w:spacing w:before="14" w:line="306" w:lineRule="exact"/>
              <w:ind w:left="10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1682" w:type="dxa"/>
          </w:tcPr>
          <w:p>
            <w:pPr>
              <w:pStyle w:val="47"/>
              <w:spacing w:before="14" w:line="306" w:lineRule="exact"/>
              <w:ind w:left="10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其他资金</w:t>
            </w:r>
          </w:p>
        </w:tc>
        <w:tc>
          <w:tcPr>
            <w:tcW w:w="1972" w:type="dxa"/>
          </w:tcPr>
          <w:p>
            <w:pPr>
              <w:pStyle w:val="47"/>
              <w:spacing w:before="14" w:line="306" w:lineRule="exact"/>
              <w:ind w:right="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1978" w:type="dxa"/>
            <w:vMerge w:val="restart"/>
          </w:tcPr>
          <w:p>
            <w:pPr>
              <w:pStyle w:val="47"/>
              <w:spacing w:before="3"/>
              <w:rPr>
                <w:rFonts w:hint="eastAsia" w:ascii="仿宋_GB2312" w:hAnsi="仿宋_GB2312" w:eastAsia="仿宋_GB2312" w:cs="仿宋_GB2312"/>
                <w:b/>
                <w:sz w:val="24"/>
                <w:szCs w:val="24"/>
              </w:rPr>
            </w:pPr>
          </w:p>
          <w:p>
            <w:pPr>
              <w:pStyle w:val="47"/>
              <w:spacing w:line="252" w:lineRule="auto"/>
              <w:ind w:left="508" w:right="257" w:hanging="2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年度总体目标完成情况</w:t>
            </w:r>
          </w:p>
        </w:tc>
        <w:tc>
          <w:tcPr>
            <w:tcW w:w="4732" w:type="dxa"/>
            <w:gridSpan w:val="3"/>
          </w:tcPr>
          <w:p>
            <w:pPr>
              <w:pStyle w:val="47"/>
              <w:spacing w:before="4" w:line="294" w:lineRule="exact"/>
              <w:ind w:left="1479" w:right="147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预期目标</w:t>
            </w:r>
          </w:p>
        </w:tc>
        <w:tc>
          <w:tcPr>
            <w:tcW w:w="3654" w:type="dxa"/>
            <w:gridSpan w:val="2"/>
          </w:tcPr>
          <w:p>
            <w:pPr>
              <w:pStyle w:val="47"/>
              <w:spacing w:before="4" w:line="294" w:lineRule="exact"/>
              <w:ind w:left="85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目标实际完成情况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4732" w:type="dxa"/>
            <w:gridSpan w:val="3"/>
          </w:tcPr>
          <w:p>
            <w:pPr>
              <w:pStyle w:val="47"/>
              <w:spacing w:before="31" w:line="249" w:lineRule="auto"/>
              <w:ind w:left="105" w:right="98"/>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切实减少辖区内火灾隐患，有效预防</w:t>
            </w:r>
            <w:r>
              <w:rPr>
                <w:rFonts w:hint="eastAsia" w:ascii="仿宋_GB2312" w:hAnsi="仿宋_GB2312" w:eastAsia="仿宋_GB2312" w:cs="仿宋_GB2312"/>
                <w:sz w:val="24"/>
                <w:szCs w:val="24"/>
              </w:rPr>
              <w:t>森林火灾</w:t>
            </w:r>
          </w:p>
        </w:tc>
        <w:tc>
          <w:tcPr>
            <w:tcW w:w="3654" w:type="dxa"/>
            <w:gridSpan w:val="2"/>
          </w:tcPr>
          <w:p>
            <w:pPr>
              <w:pStyle w:val="47"/>
              <w:spacing w:before="31" w:line="249" w:lineRule="auto"/>
              <w:ind w:left="105" w:right="3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有效预防森林火灾，202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 xml:space="preserve"> 年镇内未发生火灾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jc w:val="center"/>
        </w:trPr>
        <w:tc>
          <w:tcPr>
            <w:tcW w:w="1978" w:type="dxa"/>
            <w:vMerge w:val="restart"/>
          </w:tcPr>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spacing w:before="215" w:line="213" w:lineRule="auto"/>
              <w:ind w:left="427" w:right="137" w:hanging="27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年度绩效指标完成情况</w:t>
            </w:r>
          </w:p>
        </w:tc>
        <w:tc>
          <w:tcPr>
            <w:tcW w:w="1143" w:type="dxa"/>
          </w:tcPr>
          <w:p>
            <w:pPr>
              <w:pStyle w:val="47"/>
              <w:spacing w:before="29" w:line="320" w:lineRule="exact"/>
              <w:ind w:left="287" w:right="28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一级指标</w:t>
            </w:r>
          </w:p>
        </w:tc>
        <w:tc>
          <w:tcPr>
            <w:tcW w:w="1725" w:type="dxa"/>
            <w:vAlign w:val="center"/>
          </w:tcPr>
          <w:p>
            <w:pPr>
              <w:pStyle w:val="47"/>
              <w:spacing w:before="29" w:line="320" w:lineRule="exact"/>
              <w:ind w:right="52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二级</w:t>
            </w:r>
          </w:p>
          <w:p>
            <w:pPr>
              <w:pStyle w:val="47"/>
              <w:spacing w:before="29" w:line="320" w:lineRule="exact"/>
              <w:ind w:right="52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指标</w:t>
            </w:r>
          </w:p>
        </w:tc>
        <w:tc>
          <w:tcPr>
            <w:tcW w:w="1864" w:type="dxa"/>
          </w:tcPr>
          <w:p>
            <w:pPr>
              <w:pStyle w:val="47"/>
              <w:spacing w:before="29" w:line="320" w:lineRule="exact"/>
              <w:ind w:right="30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三级</w:t>
            </w:r>
          </w:p>
          <w:p>
            <w:pPr>
              <w:pStyle w:val="47"/>
              <w:spacing w:before="29" w:line="320" w:lineRule="exact"/>
              <w:ind w:right="30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682" w:type="dxa"/>
          </w:tcPr>
          <w:p>
            <w:pPr>
              <w:pStyle w:val="47"/>
              <w:spacing w:before="29" w:line="320" w:lineRule="exact"/>
              <w:ind w:left="328" w:right="183" w:hanging="1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w:t>
            </w:r>
          </w:p>
          <w:p>
            <w:pPr>
              <w:pStyle w:val="47"/>
              <w:spacing w:before="29" w:line="320" w:lineRule="exact"/>
              <w:ind w:left="328" w:right="183" w:hanging="1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指标值</w:t>
            </w:r>
          </w:p>
        </w:tc>
        <w:tc>
          <w:tcPr>
            <w:tcW w:w="1972" w:type="dxa"/>
          </w:tcPr>
          <w:p>
            <w:pPr>
              <w:pStyle w:val="47"/>
              <w:spacing w:before="166"/>
              <w:ind w:left="100" w:right="10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1143" w:type="dxa"/>
            <w:vMerge w:val="restart"/>
          </w:tcPr>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spacing w:before="6"/>
              <w:rPr>
                <w:rFonts w:hint="eastAsia" w:ascii="仿宋_GB2312" w:hAnsi="仿宋_GB2312" w:eastAsia="仿宋_GB2312" w:cs="仿宋_GB2312"/>
                <w:b/>
                <w:sz w:val="24"/>
                <w:szCs w:val="24"/>
              </w:rPr>
            </w:pPr>
          </w:p>
          <w:p>
            <w:pPr>
              <w:pStyle w:val="47"/>
              <w:spacing w:line="213" w:lineRule="auto"/>
              <w:ind w:left="287" w:right="28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完成指标</w:t>
            </w:r>
          </w:p>
        </w:tc>
        <w:tc>
          <w:tcPr>
            <w:tcW w:w="1725" w:type="dxa"/>
            <w:vAlign w:val="center"/>
          </w:tcPr>
          <w:p>
            <w:pPr>
              <w:pStyle w:val="47"/>
              <w:ind w:right="24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数量指标</w:t>
            </w:r>
          </w:p>
        </w:tc>
        <w:tc>
          <w:tcPr>
            <w:tcW w:w="1864" w:type="dxa"/>
          </w:tcPr>
          <w:p>
            <w:pPr>
              <w:pStyle w:val="47"/>
              <w:spacing w:line="284"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日常防火宣传及巡逻次数</w:t>
            </w:r>
          </w:p>
        </w:tc>
        <w:tc>
          <w:tcPr>
            <w:tcW w:w="1682" w:type="dxa"/>
            <w:vAlign w:val="center"/>
          </w:tcPr>
          <w:p>
            <w:pPr>
              <w:pStyle w:val="4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1972" w:type="dxa"/>
            <w:vAlign w:val="center"/>
          </w:tcPr>
          <w:p>
            <w:pPr>
              <w:pStyle w:val="47"/>
              <w:ind w:right="1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1143" w:type="dxa"/>
            <w:vMerge w:val="continue"/>
            <w:tcBorders>
              <w:top w:val="nil"/>
            </w:tcBorders>
          </w:tcPr>
          <w:p>
            <w:pPr>
              <w:rPr>
                <w:rFonts w:hint="eastAsia" w:ascii="仿宋_GB2312" w:hAnsi="仿宋_GB2312" w:eastAsia="仿宋_GB2312" w:cs="仿宋_GB2312"/>
                <w:sz w:val="24"/>
                <w:szCs w:val="24"/>
              </w:rPr>
            </w:pPr>
          </w:p>
        </w:tc>
        <w:tc>
          <w:tcPr>
            <w:tcW w:w="1725" w:type="dxa"/>
            <w:vAlign w:val="center"/>
          </w:tcPr>
          <w:p>
            <w:pPr>
              <w:pStyle w:val="47"/>
              <w:ind w:right="24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质量指标</w:t>
            </w:r>
          </w:p>
        </w:tc>
        <w:tc>
          <w:tcPr>
            <w:tcW w:w="1864" w:type="dxa"/>
            <w:vAlign w:val="center"/>
          </w:tcPr>
          <w:p>
            <w:pPr>
              <w:pStyle w:val="47"/>
              <w:spacing w:line="286" w:lineRule="exact"/>
              <w:ind w:left="171"/>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物质合格率(%)</w:t>
            </w:r>
          </w:p>
        </w:tc>
        <w:tc>
          <w:tcPr>
            <w:tcW w:w="1682" w:type="dxa"/>
            <w:vAlign w:val="center"/>
          </w:tcPr>
          <w:p>
            <w:pPr>
              <w:pStyle w:val="4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972" w:type="dxa"/>
            <w:vAlign w:val="center"/>
          </w:tcPr>
          <w:p>
            <w:pPr>
              <w:pStyle w:val="47"/>
              <w:ind w:right="1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1143" w:type="dxa"/>
            <w:vMerge w:val="continue"/>
            <w:tcBorders>
              <w:top w:val="nil"/>
            </w:tcBorders>
          </w:tcPr>
          <w:p>
            <w:pPr>
              <w:rPr>
                <w:rFonts w:hint="eastAsia" w:ascii="仿宋_GB2312" w:hAnsi="仿宋_GB2312" w:eastAsia="仿宋_GB2312" w:cs="仿宋_GB2312"/>
                <w:sz w:val="24"/>
                <w:szCs w:val="24"/>
              </w:rPr>
            </w:pPr>
          </w:p>
        </w:tc>
        <w:tc>
          <w:tcPr>
            <w:tcW w:w="1725" w:type="dxa"/>
          </w:tcPr>
          <w:p>
            <w:pPr>
              <w:pStyle w:val="47"/>
              <w:spacing w:before="106"/>
              <w:ind w:right="24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时效指标</w:t>
            </w:r>
          </w:p>
        </w:tc>
        <w:tc>
          <w:tcPr>
            <w:tcW w:w="1864" w:type="dxa"/>
            <w:vAlign w:val="center"/>
          </w:tcPr>
          <w:p>
            <w:pPr>
              <w:pStyle w:val="47"/>
              <w:spacing w:line="286" w:lineRule="exact"/>
              <w:ind w:left="171"/>
              <w:jc w:val="both"/>
              <w:rPr>
                <w:rFonts w:hint="eastAsia" w:ascii="仿宋_GB2312" w:hAnsi="仿宋_GB2312" w:eastAsia="仿宋_GB2312" w:cs="仿宋_GB2312"/>
                <w:sz w:val="24"/>
                <w:szCs w:val="24"/>
              </w:rPr>
            </w:pPr>
            <w:r>
              <w:rPr>
                <w:rFonts w:hint="eastAsia" w:ascii="仿宋_GB2312" w:hAnsi="仿宋_GB2312" w:eastAsia="仿宋_GB2312" w:cs="仿宋_GB2312"/>
                <w:spacing w:val="-2"/>
                <w:sz w:val="24"/>
                <w:szCs w:val="24"/>
              </w:rPr>
              <w:t>工作持续时间</w:t>
            </w:r>
          </w:p>
        </w:tc>
        <w:tc>
          <w:tcPr>
            <w:tcW w:w="1682" w:type="dxa"/>
            <w:vAlign w:val="center"/>
          </w:tcPr>
          <w:p>
            <w:pPr>
              <w:pStyle w:val="47"/>
              <w:spacing w:line="286" w:lineRule="exact"/>
              <w:ind w:left="99" w:right="96"/>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年度内</w:t>
            </w:r>
          </w:p>
        </w:tc>
        <w:tc>
          <w:tcPr>
            <w:tcW w:w="1972" w:type="dxa"/>
            <w:vAlign w:val="center"/>
          </w:tcPr>
          <w:p>
            <w:pPr>
              <w:pStyle w:val="47"/>
              <w:spacing w:before="106"/>
              <w:ind w:right="10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年度内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1143" w:type="dxa"/>
            <w:vMerge w:val="continue"/>
            <w:tcBorders>
              <w:top w:val="nil"/>
            </w:tcBorders>
          </w:tcPr>
          <w:p>
            <w:pPr>
              <w:rPr>
                <w:rFonts w:hint="eastAsia" w:ascii="仿宋_GB2312" w:hAnsi="仿宋_GB2312" w:eastAsia="仿宋_GB2312" w:cs="仿宋_GB2312"/>
                <w:sz w:val="24"/>
                <w:szCs w:val="24"/>
              </w:rPr>
            </w:pPr>
          </w:p>
        </w:tc>
        <w:tc>
          <w:tcPr>
            <w:tcW w:w="1725" w:type="dxa"/>
          </w:tcPr>
          <w:p>
            <w:pPr>
              <w:pStyle w:val="47"/>
              <w:spacing w:before="27"/>
              <w:ind w:right="24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成本指标</w:t>
            </w:r>
          </w:p>
        </w:tc>
        <w:tc>
          <w:tcPr>
            <w:tcW w:w="1864" w:type="dxa"/>
          </w:tcPr>
          <w:p>
            <w:pPr>
              <w:pStyle w:val="47"/>
              <w:rPr>
                <w:rFonts w:hint="eastAsia" w:ascii="仿宋_GB2312" w:hAnsi="仿宋_GB2312" w:eastAsia="仿宋_GB2312" w:cs="仿宋_GB2312"/>
                <w:sz w:val="24"/>
                <w:szCs w:val="24"/>
              </w:rPr>
            </w:pPr>
          </w:p>
        </w:tc>
        <w:tc>
          <w:tcPr>
            <w:tcW w:w="1682" w:type="dxa"/>
          </w:tcPr>
          <w:p>
            <w:pPr>
              <w:pStyle w:val="47"/>
              <w:rPr>
                <w:rFonts w:hint="eastAsia" w:ascii="仿宋_GB2312" w:hAnsi="仿宋_GB2312" w:eastAsia="仿宋_GB2312" w:cs="仿宋_GB2312"/>
                <w:sz w:val="24"/>
                <w:szCs w:val="24"/>
              </w:rPr>
            </w:pPr>
          </w:p>
        </w:tc>
        <w:tc>
          <w:tcPr>
            <w:tcW w:w="1972" w:type="dxa"/>
          </w:tcPr>
          <w:p>
            <w:pPr>
              <w:pStyle w:val="47"/>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1143" w:type="dxa"/>
            <w:vMerge w:val="restart"/>
          </w:tcPr>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rPr>
                <w:rFonts w:hint="eastAsia" w:ascii="仿宋_GB2312" w:hAnsi="仿宋_GB2312" w:eastAsia="仿宋_GB2312" w:cs="仿宋_GB2312"/>
                <w:b/>
                <w:sz w:val="24"/>
                <w:szCs w:val="24"/>
              </w:rPr>
            </w:pPr>
          </w:p>
          <w:p>
            <w:pPr>
              <w:pStyle w:val="47"/>
              <w:spacing w:before="12"/>
              <w:rPr>
                <w:rFonts w:hint="eastAsia" w:ascii="仿宋_GB2312" w:hAnsi="仿宋_GB2312" w:eastAsia="仿宋_GB2312" w:cs="仿宋_GB2312"/>
                <w:b/>
                <w:sz w:val="24"/>
                <w:szCs w:val="24"/>
              </w:rPr>
            </w:pPr>
          </w:p>
          <w:p>
            <w:pPr>
              <w:pStyle w:val="47"/>
              <w:spacing w:line="216" w:lineRule="auto"/>
              <w:ind w:left="287" w:right="28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效益指标</w:t>
            </w:r>
          </w:p>
        </w:tc>
        <w:tc>
          <w:tcPr>
            <w:tcW w:w="1725" w:type="dxa"/>
          </w:tcPr>
          <w:p>
            <w:pPr>
              <w:pStyle w:val="47"/>
              <w:spacing w:line="286" w:lineRule="exact"/>
              <w:ind w:left="92" w:right="9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w:t>
            </w:r>
          </w:p>
          <w:p>
            <w:pPr>
              <w:pStyle w:val="47"/>
              <w:spacing w:line="335" w:lineRule="exact"/>
              <w:ind w:left="94" w:right="9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864" w:type="dxa"/>
          </w:tcPr>
          <w:p>
            <w:pPr>
              <w:pStyle w:val="47"/>
              <w:rPr>
                <w:rFonts w:hint="eastAsia" w:ascii="仿宋_GB2312" w:hAnsi="仿宋_GB2312" w:eastAsia="仿宋_GB2312" w:cs="仿宋_GB2312"/>
                <w:sz w:val="24"/>
                <w:szCs w:val="24"/>
              </w:rPr>
            </w:pPr>
          </w:p>
        </w:tc>
        <w:tc>
          <w:tcPr>
            <w:tcW w:w="1682" w:type="dxa"/>
          </w:tcPr>
          <w:p>
            <w:pPr>
              <w:pStyle w:val="47"/>
              <w:rPr>
                <w:rFonts w:hint="eastAsia" w:ascii="仿宋_GB2312" w:hAnsi="仿宋_GB2312" w:eastAsia="仿宋_GB2312" w:cs="仿宋_GB2312"/>
                <w:sz w:val="24"/>
                <w:szCs w:val="24"/>
              </w:rPr>
            </w:pPr>
          </w:p>
        </w:tc>
        <w:tc>
          <w:tcPr>
            <w:tcW w:w="1972" w:type="dxa"/>
          </w:tcPr>
          <w:p>
            <w:pPr>
              <w:pStyle w:val="47"/>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1143" w:type="dxa"/>
            <w:vMerge w:val="continue"/>
            <w:tcBorders>
              <w:top w:val="nil"/>
            </w:tcBorders>
          </w:tcPr>
          <w:p>
            <w:pPr>
              <w:rPr>
                <w:rFonts w:hint="eastAsia" w:ascii="仿宋_GB2312" w:hAnsi="仿宋_GB2312" w:eastAsia="仿宋_GB2312" w:cs="仿宋_GB2312"/>
                <w:sz w:val="24"/>
                <w:szCs w:val="24"/>
              </w:rPr>
            </w:pPr>
          </w:p>
        </w:tc>
        <w:tc>
          <w:tcPr>
            <w:tcW w:w="1725" w:type="dxa"/>
            <w:vAlign w:val="center"/>
          </w:tcPr>
          <w:p>
            <w:pPr>
              <w:pStyle w:val="47"/>
              <w:keepNext w:val="0"/>
              <w:keepLines w:val="0"/>
              <w:pageBreakBefore w:val="0"/>
              <w:widowControl w:val="0"/>
              <w:kinsoku/>
              <w:wordWrap/>
              <w:overflowPunct/>
              <w:topLinePunct w:val="0"/>
              <w:autoSpaceDE w:val="0"/>
              <w:autoSpaceDN w:val="0"/>
              <w:bidi w:val="0"/>
              <w:adjustRightInd/>
              <w:snapToGrid/>
              <w:spacing w:line="252" w:lineRule="auto"/>
              <w:ind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864" w:type="dxa"/>
            <w:vAlign w:val="center"/>
          </w:tcPr>
          <w:p>
            <w:pPr>
              <w:pStyle w:val="47"/>
              <w:spacing w:before="162" w:line="249" w:lineRule="auto"/>
              <w:ind w:right="107"/>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切实减少辖区内火灾隐患</w:t>
            </w:r>
          </w:p>
        </w:tc>
        <w:tc>
          <w:tcPr>
            <w:tcW w:w="1682" w:type="dxa"/>
            <w:vAlign w:val="center"/>
          </w:tcPr>
          <w:p>
            <w:pPr>
              <w:pStyle w:val="47"/>
              <w:spacing w:line="249" w:lineRule="auto"/>
              <w:ind w:left="129" w:right="123"/>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5"/>
                <w:sz w:val="24"/>
                <w:szCs w:val="24"/>
              </w:rPr>
              <w:t>确保国有森林资源和群众生命财产安全得到有</w:t>
            </w:r>
            <w:r>
              <w:rPr>
                <w:rFonts w:hint="eastAsia" w:ascii="仿宋_GB2312" w:hAnsi="仿宋_GB2312" w:eastAsia="仿宋_GB2312" w:cs="仿宋_GB2312"/>
                <w:sz w:val="24"/>
                <w:szCs w:val="24"/>
              </w:rPr>
              <w:t>效保障</w:t>
            </w:r>
          </w:p>
        </w:tc>
        <w:tc>
          <w:tcPr>
            <w:tcW w:w="1972" w:type="dxa"/>
            <w:vAlign w:val="center"/>
          </w:tcPr>
          <w:p>
            <w:pPr>
              <w:pStyle w:val="47"/>
              <w:spacing w:before="162" w:line="249" w:lineRule="auto"/>
              <w:ind w:right="1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确保国有森林资源和群众生命财产安全得到有效保障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1143" w:type="dxa"/>
            <w:vMerge w:val="continue"/>
            <w:tcBorders>
              <w:top w:val="nil"/>
            </w:tcBorders>
          </w:tcPr>
          <w:p>
            <w:pPr>
              <w:rPr>
                <w:rFonts w:hint="eastAsia" w:ascii="仿宋_GB2312" w:hAnsi="仿宋_GB2312" w:eastAsia="仿宋_GB2312" w:cs="仿宋_GB2312"/>
                <w:sz w:val="24"/>
                <w:szCs w:val="24"/>
              </w:rPr>
            </w:pPr>
          </w:p>
        </w:tc>
        <w:tc>
          <w:tcPr>
            <w:tcW w:w="1725" w:type="dxa"/>
          </w:tcPr>
          <w:p>
            <w:pPr>
              <w:pStyle w:val="47"/>
              <w:spacing w:line="286" w:lineRule="exact"/>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生态效益指标</w:t>
            </w:r>
          </w:p>
        </w:tc>
        <w:tc>
          <w:tcPr>
            <w:tcW w:w="1864" w:type="dxa"/>
          </w:tcPr>
          <w:p>
            <w:pPr>
              <w:pStyle w:val="47"/>
              <w:rPr>
                <w:rFonts w:hint="eastAsia" w:ascii="仿宋_GB2312" w:hAnsi="仿宋_GB2312" w:eastAsia="仿宋_GB2312" w:cs="仿宋_GB2312"/>
                <w:sz w:val="24"/>
                <w:szCs w:val="24"/>
              </w:rPr>
            </w:pPr>
          </w:p>
        </w:tc>
        <w:tc>
          <w:tcPr>
            <w:tcW w:w="1682" w:type="dxa"/>
          </w:tcPr>
          <w:p>
            <w:pPr>
              <w:pStyle w:val="47"/>
              <w:rPr>
                <w:rFonts w:hint="eastAsia" w:ascii="仿宋_GB2312" w:hAnsi="仿宋_GB2312" w:eastAsia="仿宋_GB2312" w:cs="仿宋_GB2312"/>
                <w:sz w:val="24"/>
                <w:szCs w:val="24"/>
              </w:rPr>
            </w:pPr>
          </w:p>
        </w:tc>
        <w:tc>
          <w:tcPr>
            <w:tcW w:w="1972" w:type="dxa"/>
          </w:tcPr>
          <w:p>
            <w:pPr>
              <w:pStyle w:val="47"/>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1143" w:type="dxa"/>
            <w:vMerge w:val="continue"/>
            <w:tcBorders>
              <w:top w:val="nil"/>
            </w:tcBorders>
          </w:tcPr>
          <w:p>
            <w:pPr>
              <w:rPr>
                <w:rFonts w:hint="eastAsia" w:ascii="仿宋_GB2312" w:hAnsi="仿宋_GB2312" w:eastAsia="仿宋_GB2312" w:cs="仿宋_GB2312"/>
                <w:sz w:val="24"/>
                <w:szCs w:val="24"/>
              </w:rPr>
            </w:pPr>
          </w:p>
        </w:tc>
        <w:tc>
          <w:tcPr>
            <w:tcW w:w="1725" w:type="dxa"/>
          </w:tcPr>
          <w:p>
            <w:pPr>
              <w:pStyle w:val="47"/>
              <w:spacing w:line="286" w:lineRule="exact"/>
              <w:ind w:left="94" w:right="9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可持续影响</w:t>
            </w:r>
          </w:p>
          <w:p>
            <w:pPr>
              <w:pStyle w:val="47"/>
              <w:spacing w:line="335" w:lineRule="exact"/>
              <w:ind w:left="94" w:right="9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1864" w:type="dxa"/>
          </w:tcPr>
          <w:p>
            <w:pPr>
              <w:pStyle w:val="47"/>
              <w:rPr>
                <w:rFonts w:hint="eastAsia" w:ascii="仿宋_GB2312" w:hAnsi="仿宋_GB2312" w:eastAsia="仿宋_GB2312" w:cs="仿宋_GB2312"/>
                <w:sz w:val="24"/>
                <w:szCs w:val="24"/>
              </w:rPr>
            </w:pPr>
          </w:p>
        </w:tc>
        <w:tc>
          <w:tcPr>
            <w:tcW w:w="1682" w:type="dxa"/>
          </w:tcPr>
          <w:p>
            <w:pPr>
              <w:pStyle w:val="47"/>
              <w:rPr>
                <w:rFonts w:hint="eastAsia" w:ascii="仿宋_GB2312" w:hAnsi="仿宋_GB2312" w:eastAsia="仿宋_GB2312" w:cs="仿宋_GB2312"/>
                <w:sz w:val="24"/>
                <w:szCs w:val="24"/>
              </w:rPr>
            </w:pPr>
          </w:p>
        </w:tc>
        <w:tc>
          <w:tcPr>
            <w:tcW w:w="1972" w:type="dxa"/>
          </w:tcPr>
          <w:p>
            <w:pPr>
              <w:pStyle w:val="47"/>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jc w:val="center"/>
        </w:trPr>
        <w:tc>
          <w:tcPr>
            <w:tcW w:w="1978" w:type="dxa"/>
            <w:vMerge w:val="continue"/>
            <w:tcBorders>
              <w:top w:val="nil"/>
            </w:tcBorders>
          </w:tcPr>
          <w:p>
            <w:pPr>
              <w:rPr>
                <w:rFonts w:hint="eastAsia" w:ascii="仿宋_GB2312" w:hAnsi="仿宋_GB2312" w:eastAsia="仿宋_GB2312" w:cs="仿宋_GB2312"/>
                <w:sz w:val="24"/>
                <w:szCs w:val="24"/>
              </w:rPr>
            </w:pPr>
          </w:p>
        </w:tc>
        <w:tc>
          <w:tcPr>
            <w:tcW w:w="1143" w:type="dxa"/>
          </w:tcPr>
          <w:p>
            <w:pPr>
              <w:pStyle w:val="47"/>
              <w:spacing w:before="137" w:line="213" w:lineRule="auto"/>
              <w:ind w:left="148" w:right="142" w:firstLine="13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满意度指标</w:t>
            </w:r>
          </w:p>
        </w:tc>
        <w:tc>
          <w:tcPr>
            <w:tcW w:w="1725" w:type="dxa"/>
          </w:tcPr>
          <w:p>
            <w:pPr>
              <w:pStyle w:val="47"/>
              <w:spacing w:before="137" w:line="213" w:lineRule="auto"/>
              <w:ind w:left="533" w:right="390" w:hanging="14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满意度指标</w:t>
            </w:r>
          </w:p>
        </w:tc>
        <w:tc>
          <w:tcPr>
            <w:tcW w:w="1864" w:type="dxa"/>
            <w:vAlign w:val="center"/>
          </w:tcPr>
          <w:p>
            <w:pPr>
              <w:pStyle w:val="47"/>
              <w:spacing w:line="284" w:lineRule="exact"/>
              <w:ind w:left="17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群众满意度</w:t>
            </w:r>
          </w:p>
          <w:p>
            <w:pPr>
              <w:pStyle w:val="47"/>
              <w:spacing w:line="335" w:lineRule="exact"/>
              <w:ind w:left="24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682" w:type="dxa"/>
            <w:vAlign w:val="center"/>
          </w:tcPr>
          <w:p>
            <w:pPr>
              <w:pStyle w:val="4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1972" w:type="dxa"/>
            <w:vAlign w:val="center"/>
          </w:tcPr>
          <w:p>
            <w:pPr>
              <w:pStyle w:val="47"/>
              <w:ind w:right="1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r>
    </w:tbl>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color w:val="000000"/>
          <w:kern w:val="0"/>
          <w:sz w:val="32"/>
          <w:szCs w:val="32"/>
          <w:shd w:val="clear" w:color="auto" w:fill="FFFFFF"/>
          <w:lang w:val="zh-CN" w:eastAsia="zh-CN" w:bidi="ar-SA"/>
        </w:rPr>
      </w:pP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 w:hAnsi="仿宋" w:eastAsia="仿宋" w:cs="仿宋"/>
          <w:i w:val="0"/>
          <w:caps w:val="0"/>
          <w:color w:val="666666"/>
          <w:spacing w:val="0"/>
          <w:sz w:val="32"/>
          <w:szCs w:val="32"/>
          <w:shd w:val="clear" w:fill="FFFFFF"/>
          <w:lang w:val="en-US" w:eastAsia="zh-CN"/>
        </w:rPr>
      </w:pPr>
    </w:p>
    <w:p>
      <w:pPr>
        <w:pStyle w:val="1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right="0"/>
        <w:jc w:val="center"/>
        <w:rPr>
          <w:rFonts w:hint="default" w:ascii="仿宋" w:hAnsi="仿宋" w:eastAsia="仿宋" w:cs="仿宋"/>
          <w:b w:val="0"/>
          <w:bCs w:val="0"/>
          <w:i w:val="0"/>
          <w:iCs w:val="0"/>
          <w:caps w:val="0"/>
          <w:color w:val="000000"/>
          <w:spacing w:val="0"/>
          <w:sz w:val="32"/>
          <w:szCs w:val="32"/>
          <w:shd w:val="clear" w:fill="FFFFFF"/>
          <w:lang w:val="en-US" w:eastAsia="zh-CN"/>
        </w:rPr>
        <w:sectPr>
          <w:footerReference r:id="rId5" w:type="first"/>
          <w:footerReference r:id="rId4" w:type="default"/>
          <w:pgSz w:w="11907" w:h="16840"/>
          <w:pgMar w:top="1587" w:right="1587" w:bottom="1587" w:left="1587" w:header="907" w:footer="1020" w:gutter="0"/>
          <w:pgNumType w:fmt="decimal"/>
          <w:cols w:space="720" w:num="1"/>
          <w:docGrid w:linePitch="312" w:charSpace="0"/>
        </w:sectPr>
      </w:pP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31"/>
          <w:rFonts w:hint="eastAsia" w:ascii="黑体" w:hAnsi="黑体" w:eastAsia="黑体"/>
          <w:b w:val="0"/>
        </w:rPr>
        <w:t>五部分 附表</w:t>
      </w:r>
      <w:bookmarkEnd w:id="57"/>
      <w:bookmarkEnd w:id="59"/>
      <w:bookmarkStart w:id="60" w:name="_Toc15396619"/>
    </w:p>
    <w:p>
      <w:pPr>
        <w:pStyle w:val="5"/>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bookmarkEnd w:id="60"/>
    </w:p>
    <w:p>
      <w:pPr>
        <w:pStyle w:val="5"/>
        <w:rPr>
          <w:rFonts w:ascii="仿宋" w:hAnsi="仿宋" w:eastAsia="仿宋"/>
        </w:rPr>
      </w:pPr>
      <w:bookmarkStart w:id="61" w:name="_Toc15396620"/>
      <w:r>
        <w:rPr>
          <w:rFonts w:hint="eastAsia" w:ascii="仿宋" w:hAnsi="仿宋" w:eastAsia="仿宋"/>
          <w:b w:val="0"/>
        </w:rPr>
        <w:t>二、收</w:t>
      </w:r>
      <w:r>
        <w:rPr>
          <w:rStyle w:val="32"/>
          <w:rFonts w:hint="eastAsia" w:ascii="仿宋" w:hAnsi="仿宋" w:eastAsia="仿宋"/>
          <w:b w:val="0"/>
          <w:bCs w:val="0"/>
        </w:rPr>
        <w:t>入决算表</w:t>
      </w:r>
      <w:bookmarkEnd w:id="61"/>
    </w:p>
    <w:p>
      <w:pPr>
        <w:pStyle w:val="5"/>
        <w:rPr>
          <w:rFonts w:ascii="仿宋" w:hAnsi="仿宋" w:eastAsia="仿宋"/>
        </w:rPr>
      </w:pPr>
      <w:bookmarkStart w:id="62"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62"/>
    </w:p>
    <w:p>
      <w:pPr>
        <w:pStyle w:val="5"/>
        <w:rPr>
          <w:rFonts w:ascii="仿宋" w:hAnsi="仿宋" w:eastAsia="仿宋"/>
          <w:b w:val="0"/>
        </w:rPr>
      </w:pPr>
      <w:bookmarkStart w:id="63"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63"/>
    </w:p>
    <w:p>
      <w:pPr>
        <w:pStyle w:val="5"/>
        <w:rPr>
          <w:rStyle w:val="32"/>
          <w:rFonts w:ascii="仿宋" w:hAnsi="仿宋" w:eastAsia="仿宋"/>
          <w:b w:val="0"/>
          <w:bCs w:val="0"/>
        </w:rPr>
      </w:pPr>
      <w:bookmarkStart w:id="64"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64"/>
      <w:bookmarkStart w:id="65" w:name="_Toc15396624"/>
    </w:p>
    <w:p>
      <w:pPr>
        <w:pStyle w:val="5"/>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65"/>
    </w:p>
    <w:p>
      <w:pPr>
        <w:pStyle w:val="5"/>
        <w:rPr>
          <w:rFonts w:ascii="仿宋" w:hAnsi="仿宋" w:eastAsia="仿宋"/>
        </w:rPr>
      </w:pPr>
      <w:bookmarkStart w:id="66"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66"/>
    </w:p>
    <w:p>
      <w:pPr>
        <w:pStyle w:val="5"/>
        <w:rPr>
          <w:rFonts w:ascii="仿宋" w:hAnsi="仿宋" w:eastAsia="仿宋"/>
        </w:rPr>
      </w:pPr>
      <w:bookmarkStart w:id="67"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67"/>
    </w:p>
    <w:p>
      <w:pPr>
        <w:pStyle w:val="5"/>
        <w:rPr>
          <w:rFonts w:ascii="仿宋" w:hAnsi="仿宋" w:eastAsia="仿宋"/>
        </w:rPr>
      </w:pPr>
      <w:bookmarkStart w:id="68"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68"/>
    </w:p>
    <w:p>
      <w:pPr>
        <w:pStyle w:val="5"/>
        <w:rPr>
          <w:rFonts w:ascii="仿宋" w:hAnsi="仿宋" w:eastAsia="仿宋"/>
        </w:rPr>
      </w:pPr>
      <w:bookmarkStart w:id="69" w:name="_Toc15396628"/>
      <w:r>
        <w:rPr>
          <w:rStyle w:val="32"/>
          <w:rFonts w:hint="eastAsia" w:ascii="仿宋" w:hAnsi="仿宋" w:eastAsia="仿宋"/>
          <w:b w:val="0"/>
          <w:bCs w:val="0"/>
        </w:rPr>
        <w:t>十、</w:t>
      </w:r>
      <w:bookmarkEnd w:id="69"/>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5"/>
        <w:rPr>
          <w:rFonts w:ascii="仿宋" w:hAnsi="仿宋" w:eastAsia="仿宋"/>
        </w:rPr>
      </w:pPr>
      <w:bookmarkStart w:id="70" w:name="_Toc15396629"/>
      <w:r>
        <w:rPr>
          <w:rStyle w:val="32"/>
          <w:rFonts w:hint="eastAsia" w:ascii="仿宋" w:hAnsi="仿宋" w:eastAsia="仿宋"/>
          <w:b w:val="0"/>
          <w:bCs w:val="0"/>
        </w:rPr>
        <w:t>十一、</w:t>
      </w:r>
      <w:bookmarkEnd w:id="70"/>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5"/>
        <w:rPr>
          <w:rFonts w:ascii="仿宋" w:hAnsi="仿宋" w:eastAsia="仿宋"/>
        </w:rPr>
      </w:pPr>
      <w:bookmarkStart w:id="71" w:name="_Toc15396630"/>
      <w:r>
        <w:rPr>
          <w:rStyle w:val="32"/>
          <w:rFonts w:hint="eastAsia" w:ascii="仿宋" w:hAnsi="仿宋" w:eastAsia="仿宋"/>
          <w:b w:val="0"/>
          <w:bCs w:val="0"/>
        </w:rPr>
        <w:t>十二、</w:t>
      </w:r>
      <w:bookmarkEnd w:id="71"/>
      <w:r>
        <w:rPr>
          <w:rStyle w:val="32"/>
          <w:rFonts w:hint="eastAsia" w:ascii="仿宋" w:hAnsi="仿宋" w:eastAsia="仿宋"/>
          <w:b w:val="0"/>
          <w:bCs w:val="0"/>
        </w:rPr>
        <w:t>国有资本经营预算财政拨款支出决算表</w:t>
      </w:r>
    </w:p>
    <w:p>
      <w:pPr>
        <w:pStyle w:val="5"/>
        <w:rPr>
          <w:rFonts w:eastAsia="仿宋"/>
        </w:rPr>
      </w:pPr>
      <w:bookmarkStart w:id="72" w:name="_Toc15396631"/>
      <w:r>
        <w:rPr>
          <w:rStyle w:val="32"/>
          <w:rFonts w:hint="eastAsia" w:ascii="仿宋" w:hAnsi="仿宋" w:eastAsia="仿宋"/>
          <w:b w:val="0"/>
          <w:bCs w:val="0"/>
        </w:rPr>
        <w:t>十三、</w:t>
      </w:r>
      <w:bookmarkEnd w:id="72"/>
      <w:r>
        <w:rPr>
          <w:rStyle w:val="32"/>
          <w:rFonts w:hint="eastAsia" w:ascii="仿宋" w:hAnsi="仿宋" w:eastAsia="仿宋"/>
          <w:b w:val="0"/>
          <w:bCs w:val="0"/>
        </w:rPr>
        <w:t>财政拨款“三公”经费支出决算表</w:t>
      </w:r>
    </w:p>
    <w:sectPr>
      <w:headerReference r:id="rId6" w:type="default"/>
      <w:footerReference r:id="rId7"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3696335</wp:posOffset>
              </wp:positionH>
              <wp:positionV relativeFrom="page">
                <wp:posOffset>9792335</wp:posOffset>
              </wp:positionV>
              <wp:extent cx="1670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05pt;margin-top:771.05pt;height:11pt;width:13.15pt;mso-position-horizontal-relative:page;mso-position-vertical-relative:page;z-index:-251656192;mso-width-relative:page;mso-height-relative:page;" filled="f" stroked="f" coordsize="21600,21600" o:gfxdata="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UnUHXaAAAADQEAAA8AAAAAAAAAAQAgAAAAIgAAAGRycy9kb3ducmV2LnhtbFBLAQIU&#10;ABQAAAAIAIdO4kDsDQyRuAEAAHEDAAAOAAAAAAAAAAEAIAAAACkBAABkcnMvZTJvRG9jLnhtbFBL&#10;BQYAAAAABgAGAFkBAABTBQ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42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eastAsia="宋体"/>
        <w:lang w:val="en-US" w:eastAsia="zh-CN"/>
      </w:rPr>
    </w:pPr>
    <w:r>
      <w:rPr>
        <w:rFonts w:hint="eastAsia"/>
        <w:lang w:val="en-US" w:eastAsia="zh-CN"/>
      </w:rPr>
      <w:t>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AA2C112"/>
    <w:multiLevelType w:val="singleLevel"/>
    <w:tmpl w:val="7AA2C112"/>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1E87223"/>
    <w:rsid w:val="02143E91"/>
    <w:rsid w:val="045E2683"/>
    <w:rsid w:val="050462CD"/>
    <w:rsid w:val="050F6516"/>
    <w:rsid w:val="05FF4ED9"/>
    <w:rsid w:val="066E0107"/>
    <w:rsid w:val="07996F6E"/>
    <w:rsid w:val="07D67688"/>
    <w:rsid w:val="087A5757"/>
    <w:rsid w:val="098E0FB4"/>
    <w:rsid w:val="0A2032A3"/>
    <w:rsid w:val="0A6D1E96"/>
    <w:rsid w:val="0A743262"/>
    <w:rsid w:val="0B0310B9"/>
    <w:rsid w:val="0B416C60"/>
    <w:rsid w:val="0B5E3D87"/>
    <w:rsid w:val="0B9E0212"/>
    <w:rsid w:val="0BB722F8"/>
    <w:rsid w:val="0C640AF0"/>
    <w:rsid w:val="0D6E7B4E"/>
    <w:rsid w:val="0F98263C"/>
    <w:rsid w:val="101860EC"/>
    <w:rsid w:val="10635A26"/>
    <w:rsid w:val="10C055FF"/>
    <w:rsid w:val="118107EC"/>
    <w:rsid w:val="11B4305C"/>
    <w:rsid w:val="11C630FB"/>
    <w:rsid w:val="13D50BC4"/>
    <w:rsid w:val="141959C7"/>
    <w:rsid w:val="15A907FB"/>
    <w:rsid w:val="15AD4D1E"/>
    <w:rsid w:val="163E5C72"/>
    <w:rsid w:val="168C6A13"/>
    <w:rsid w:val="16BB723D"/>
    <w:rsid w:val="19C81C35"/>
    <w:rsid w:val="1A3C42C1"/>
    <w:rsid w:val="1AF95907"/>
    <w:rsid w:val="1B2A1722"/>
    <w:rsid w:val="1BE8440E"/>
    <w:rsid w:val="1C011584"/>
    <w:rsid w:val="1D155CEE"/>
    <w:rsid w:val="1D3C7281"/>
    <w:rsid w:val="1D8214EC"/>
    <w:rsid w:val="1D8517ED"/>
    <w:rsid w:val="1DDD4049"/>
    <w:rsid w:val="1FF35744"/>
    <w:rsid w:val="211D11AB"/>
    <w:rsid w:val="222834B9"/>
    <w:rsid w:val="223547BC"/>
    <w:rsid w:val="22A4237C"/>
    <w:rsid w:val="23860B96"/>
    <w:rsid w:val="23AB640F"/>
    <w:rsid w:val="240371BF"/>
    <w:rsid w:val="25207DED"/>
    <w:rsid w:val="255E7B71"/>
    <w:rsid w:val="25B2697E"/>
    <w:rsid w:val="25BD311B"/>
    <w:rsid w:val="276C5FC2"/>
    <w:rsid w:val="29FD04D3"/>
    <w:rsid w:val="2AE25278"/>
    <w:rsid w:val="2B9C3DCE"/>
    <w:rsid w:val="2BBB5F01"/>
    <w:rsid w:val="2C8A61B5"/>
    <w:rsid w:val="2D6E6FC1"/>
    <w:rsid w:val="2D9047DE"/>
    <w:rsid w:val="2DF04E50"/>
    <w:rsid w:val="2E4A0D0C"/>
    <w:rsid w:val="2E865FD4"/>
    <w:rsid w:val="2EC1011E"/>
    <w:rsid w:val="2F040D46"/>
    <w:rsid w:val="2FB42C7F"/>
    <w:rsid w:val="319F7F4E"/>
    <w:rsid w:val="31D845F3"/>
    <w:rsid w:val="3304709D"/>
    <w:rsid w:val="34215773"/>
    <w:rsid w:val="34901165"/>
    <w:rsid w:val="35136443"/>
    <w:rsid w:val="353E5C09"/>
    <w:rsid w:val="362C42D4"/>
    <w:rsid w:val="36AA5135"/>
    <w:rsid w:val="376D39B2"/>
    <w:rsid w:val="37E16F03"/>
    <w:rsid w:val="38D469F0"/>
    <w:rsid w:val="38DE4A97"/>
    <w:rsid w:val="3902751A"/>
    <w:rsid w:val="3A5C7825"/>
    <w:rsid w:val="3A7E74C7"/>
    <w:rsid w:val="3A966F2E"/>
    <w:rsid w:val="3B0A5CC8"/>
    <w:rsid w:val="3BD17C22"/>
    <w:rsid w:val="3C063039"/>
    <w:rsid w:val="3C4338BB"/>
    <w:rsid w:val="3C561A2F"/>
    <w:rsid w:val="3C8641D0"/>
    <w:rsid w:val="3D98207C"/>
    <w:rsid w:val="3E78745D"/>
    <w:rsid w:val="3F733727"/>
    <w:rsid w:val="404C1B24"/>
    <w:rsid w:val="407C4481"/>
    <w:rsid w:val="416F3A06"/>
    <w:rsid w:val="426816D5"/>
    <w:rsid w:val="427972F7"/>
    <w:rsid w:val="43084C90"/>
    <w:rsid w:val="4316134E"/>
    <w:rsid w:val="44342B13"/>
    <w:rsid w:val="44E268DA"/>
    <w:rsid w:val="47CE3D1E"/>
    <w:rsid w:val="498777EC"/>
    <w:rsid w:val="4A20349D"/>
    <w:rsid w:val="4A627F82"/>
    <w:rsid w:val="4B0E749A"/>
    <w:rsid w:val="4B4F25DA"/>
    <w:rsid w:val="4BE068DB"/>
    <w:rsid w:val="4C8B2AFF"/>
    <w:rsid w:val="4D577224"/>
    <w:rsid w:val="4DC3171D"/>
    <w:rsid w:val="4DE1199C"/>
    <w:rsid w:val="4E1F7B9F"/>
    <w:rsid w:val="4EAB630A"/>
    <w:rsid w:val="4ECE2238"/>
    <w:rsid w:val="50935D25"/>
    <w:rsid w:val="535F3520"/>
    <w:rsid w:val="53630430"/>
    <w:rsid w:val="537E6D0A"/>
    <w:rsid w:val="56232EAE"/>
    <w:rsid w:val="5742473D"/>
    <w:rsid w:val="5AF83D54"/>
    <w:rsid w:val="5AF92295"/>
    <w:rsid w:val="5BE57BC5"/>
    <w:rsid w:val="5CD71FC4"/>
    <w:rsid w:val="5D813BB8"/>
    <w:rsid w:val="5F286984"/>
    <w:rsid w:val="5FD41F4A"/>
    <w:rsid w:val="64332F57"/>
    <w:rsid w:val="67681075"/>
    <w:rsid w:val="6989537F"/>
    <w:rsid w:val="69CF7354"/>
    <w:rsid w:val="6B304304"/>
    <w:rsid w:val="6B4B3950"/>
    <w:rsid w:val="6B7E182D"/>
    <w:rsid w:val="6BB11992"/>
    <w:rsid w:val="6C2A53F2"/>
    <w:rsid w:val="6C4A05C8"/>
    <w:rsid w:val="6D226173"/>
    <w:rsid w:val="6D5C6F3F"/>
    <w:rsid w:val="6D8D06B8"/>
    <w:rsid w:val="6DC9472E"/>
    <w:rsid w:val="6E7E3605"/>
    <w:rsid w:val="6FF5CC65"/>
    <w:rsid w:val="705272D9"/>
    <w:rsid w:val="70615BB2"/>
    <w:rsid w:val="71193DEA"/>
    <w:rsid w:val="715C0E4B"/>
    <w:rsid w:val="72440634"/>
    <w:rsid w:val="72734D90"/>
    <w:rsid w:val="73350ED3"/>
    <w:rsid w:val="738E37DC"/>
    <w:rsid w:val="73AD73D5"/>
    <w:rsid w:val="73B6EB34"/>
    <w:rsid w:val="744731E5"/>
    <w:rsid w:val="75ED6A00"/>
    <w:rsid w:val="76E3355F"/>
    <w:rsid w:val="76EC401C"/>
    <w:rsid w:val="770370E2"/>
    <w:rsid w:val="778769C8"/>
    <w:rsid w:val="79E85D52"/>
    <w:rsid w:val="79EE5BA4"/>
    <w:rsid w:val="7A1A0980"/>
    <w:rsid w:val="7A227C1D"/>
    <w:rsid w:val="7A894339"/>
    <w:rsid w:val="7B5B0F6A"/>
    <w:rsid w:val="7B6B320F"/>
    <w:rsid w:val="7D044A3D"/>
    <w:rsid w:val="7D8863BB"/>
    <w:rsid w:val="7DBB2719"/>
    <w:rsid w:val="7DC63007"/>
    <w:rsid w:val="7E60299F"/>
    <w:rsid w:val="7E8A4148"/>
    <w:rsid w:val="7EEF11D3"/>
    <w:rsid w:val="7F612EE7"/>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7">
    <w:name w:val="Normal Indent"/>
    <w:basedOn w:val="1"/>
    <w:qFormat/>
    <w:uiPriority w:val="0"/>
    <w:pPr>
      <w:spacing w:line="560" w:lineRule="exact"/>
      <w:ind w:firstLine="420" w:firstLineChars="200"/>
    </w:pPr>
    <w:rPr>
      <w:rFonts w:ascii="Times New Roman" w:hAnsi="Times New Roman" w:eastAsia="仿宋" w:cs="Times New Roman"/>
      <w:sz w:val="32"/>
      <w:szCs w:val="24"/>
    </w:rPr>
  </w:style>
  <w:style w:type="paragraph" w:styleId="8">
    <w:name w:val="Body Text"/>
    <w:basedOn w:val="1"/>
    <w:link w:val="28"/>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unhideWhenUsed/>
    <w:qFormat/>
    <w:uiPriority w:val="99"/>
    <w:pPr>
      <w:spacing w:line="620" w:lineRule="exact"/>
    </w:pPr>
    <w:rPr>
      <w:rFonts w:ascii="宋体" w:hAnsi="Courier New" w:cs="Courier New"/>
      <w:szCs w:val="21"/>
    </w:rPr>
  </w:style>
  <w:style w:type="paragraph" w:styleId="11">
    <w:name w:val="Balloon Text"/>
    <w:basedOn w:val="1"/>
    <w:link w:val="34"/>
    <w:semiHidden/>
    <w:unhideWhenUsed/>
    <w:qFormat/>
    <w:uiPriority w:val="99"/>
    <w:rPr>
      <w:sz w:val="18"/>
      <w:szCs w:val="18"/>
    </w:rPr>
  </w:style>
  <w:style w:type="paragraph" w:styleId="12">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able of figures"/>
    <w:basedOn w:val="1"/>
    <w:next w:val="1"/>
    <w:qFormat/>
    <w:uiPriority w:val="99"/>
    <w:pPr>
      <w:ind w:left="200" w:leftChars="200" w:hanging="200" w:hangingChars="200"/>
    </w:pPr>
  </w:style>
  <w:style w:type="paragraph" w:styleId="16">
    <w:name w:val="toc 2"/>
    <w:basedOn w:val="1"/>
    <w:next w:val="1"/>
    <w:unhideWhenUsed/>
    <w:qFormat/>
    <w:uiPriority w:val="39"/>
    <w:pPr>
      <w:tabs>
        <w:tab w:val="right" w:leader="dot" w:pos="8296"/>
      </w:tabs>
      <w:ind w:left="420" w:leftChars="200"/>
    </w:pPr>
  </w:style>
  <w:style w:type="paragraph" w:styleId="1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9"/>
    <w:semiHidden/>
    <w:qFormat/>
    <w:uiPriority w:val="99"/>
    <w:rPr>
      <w:rFonts w:ascii="Times New Roman" w:hAnsi="Times New Roman"/>
      <w:sz w:val="18"/>
      <w:szCs w:val="18"/>
    </w:rPr>
  </w:style>
  <w:style w:type="character" w:customStyle="1" w:styleId="24">
    <w:name w:val="页眉 字符"/>
    <w:link w:val="13"/>
    <w:semiHidden/>
    <w:qFormat/>
    <w:locked/>
    <w:uiPriority w:val="99"/>
    <w:rPr>
      <w:sz w:val="18"/>
    </w:rPr>
  </w:style>
  <w:style w:type="character" w:customStyle="1" w:styleId="25">
    <w:name w:val="Footer Char"/>
    <w:basedOn w:val="19"/>
    <w:semiHidden/>
    <w:qFormat/>
    <w:uiPriority w:val="99"/>
    <w:rPr>
      <w:rFonts w:ascii="Times New Roman" w:hAnsi="Times New Roman"/>
      <w:sz w:val="18"/>
      <w:szCs w:val="18"/>
    </w:rPr>
  </w:style>
  <w:style w:type="character" w:customStyle="1" w:styleId="26">
    <w:name w:val="页脚 字符"/>
    <w:link w:val="12"/>
    <w:qFormat/>
    <w:locked/>
    <w:uiPriority w:val="99"/>
    <w:rPr>
      <w:sz w:val="18"/>
    </w:rPr>
  </w:style>
  <w:style w:type="character" w:customStyle="1" w:styleId="27">
    <w:name w:val="Body Text Char"/>
    <w:basedOn w:val="19"/>
    <w:semiHidden/>
    <w:qFormat/>
    <w:uiPriority w:val="99"/>
    <w:rPr>
      <w:rFonts w:ascii="Times New Roman" w:hAnsi="Times New Roman"/>
      <w:szCs w:val="24"/>
    </w:rPr>
  </w:style>
  <w:style w:type="character" w:customStyle="1" w:styleId="28">
    <w:name w:val="正文文本 字符"/>
    <w:link w:val="8"/>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9"/>
    <w:link w:val="4"/>
    <w:qFormat/>
    <w:uiPriority w:val="9"/>
    <w:rPr>
      <w:rFonts w:ascii="Times New Roman" w:hAnsi="Times New Roman"/>
      <w:b/>
      <w:bCs/>
      <w:kern w:val="44"/>
      <w:sz w:val="44"/>
      <w:szCs w:val="44"/>
    </w:rPr>
  </w:style>
  <w:style w:type="character" w:customStyle="1" w:styleId="32">
    <w:name w:val="标题 2 字符"/>
    <w:basedOn w:val="19"/>
    <w:link w:val="5"/>
    <w:qFormat/>
    <w:uiPriority w:val="9"/>
    <w:rPr>
      <w:rFonts w:asciiTheme="majorHAnsi" w:hAnsiTheme="majorHAnsi" w:eastAsiaTheme="majorEastAsia" w:cstheme="majorBidi"/>
      <w:b/>
      <w:bCs/>
      <w:kern w:val="2"/>
      <w:sz w:val="32"/>
      <w:szCs w:val="32"/>
    </w:rPr>
  </w:style>
  <w:style w:type="paragraph" w:customStyle="1" w:styleId="33">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9"/>
    <w:link w:val="11"/>
    <w:semiHidden/>
    <w:qFormat/>
    <w:uiPriority w:val="99"/>
    <w:rPr>
      <w:rFonts w:ascii="Times New Roman" w:hAnsi="Times New Roman"/>
      <w:kern w:val="2"/>
      <w:sz w:val="18"/>
      <w:szCs w:val="18"/>
    </w:rPr>
  </w:style>
  <w:style w:type="character" w:customStyle="1" w:styleId="35">
    <w:name w:val="标题 3 字符"/>
    <w:basedOn w:val="19"/>
    <w:link w:val="6"/>
    <w:qFormat/>
    <w:uiPriority w:val="9"/>
    <w:rPr>
      <w:rFonts w:ascii="Times New Roman" w:hAnsi="Times New Roman"/>
      <w:b/>
      <w:bCs/>
      <w:kern w:val="2"/>
      <w:sz w:val="32"/>
      <w:szCs w:val="32"/>
    </w:rPr>
  </w:style>
  <w:style w:type="paragraph" w:customStyle="1" w:styleId="36">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character" w:customStyle="1" w:styleId="38">
    <w:name w:val="font41"/>
    <w:basedOn w:val="19"/>
    <w:qFormat/>
    <w:uiPriority w:val="0"/>
    <w:rPr>
      <w:rFonts w:hint="eastAsia" w:ascii="宋体" w:hAnsi="宋体" w:eastAsia="宋体" w:cs="宋体"/>
      <w:color w:val="000000"/>
      <w:sz w:val="20"/>
      <w:szCs w:val="20"/>
      <w:u w:val="none"/>
    </w:rPr>
  </w:style>
  <w:style w:type="character" w:customStyle="1" w:styleId="39">
    <w:name w:val="font51"/>
    <w:basedOn w:val="19"/>
    <w:qFormat/>
    <w:uiPriority w:val="0"/>
    <w:rPr>
      <w:rFonts w:hint="eastAsia" w:ascii="宋体" w:hAnsi="宋体" w:eastAsia="宋体" w:cs="宋体"/>
      <w:color w:val="000000"/>
      <w:sz w:val="20"/>
      <w:szCs w:val="20"/>
      <w:u w:val="none"/>
    </w:rPr>
  </w:style>
  <w:style w:type="character" w:customStyle="1" w:styleId="40">
    <w:name w:val="font61"/>
    <w:basedOn w:val="19"/>
    <w:qFormat/>
    <w:uiPriority w:val="0"/>
    <w:rPr>
      <w:rFonts w:hint="eastAsia" w:ascii="宋体" w:hAnsi="宋体" w:eastAsia="宋体" w:cs="宋体"/>
      <w:color w:val="000000"/>
      <w:sz w:val="16"/>
      <w:szCs w:val="16"/>
      <w:u w:val="none"/>
    </w:rPr>
  </w:style>
  <w:style w:type="paragraph" w:customStyle="1" w:styleId="41">
    <w:name w:val="WPSOffice手动目录 1"/>
    <w:qFormat/>
    <w:uiPriority w:val="0"/>
    <w:pPr>
      <w:ind w:leftChars="0"/>
    </w:pPr>
    <w:rPr>
      <w:rFonts w:asciiTheme="minorHAnsi" w:hAnsiTheme="minorHAnsi" w:eastAsiaTheme="minorEastAsia" w:cstheme="minorBidi"/>
      <w:sz w:val="20"/>
      <w:szCs w:val="20"/>
    </w:rPr>
  </w:style>
  <w:style w:type="paragraph" w:customStyle="1" w:styleId="42">
    <w:name w:val="WPSOffice手动目录 2"/>
    <w:qFormat/>
    <w:uiPriority w:val="0"/>
    <w:pPr>
      <w:ind w:leftChars="200"/>
    </w:pPr>
    <w:rPr>
      <w:rFonts w:asciiTheme="minorHAnsi" w:hAnsiTheme="minorHAnsi" w:eastAsiaTheme="minorEastAsia" w:cstheme="minorBidi"/>
      <w:sz w:val="20"/>
      <w:szCs w:val="20"/>
    </w:rPr>
  </w:style>
  <w:style w:type="character" w:customStyle="1" w:styleId="43">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44">
    <w:name w:val="Heading 3"/>
    <w:basedOn w:val="1"/>
    <w:qFormat/>
    <w:uiPriority w:val="1"/>
    <w:pPr>
      <w:widowControl w:val="0"/>
      <w:autoSpaceDE w:val="0"/>
      <w:autoSpaceDN w:val="0"/>
      <w:adjustRightInd/>
      <w:snapToGrid/>
      <w:spacing w:before="190" w:after="0"/>
      <w:ind w:left="1460"/>
      <w:outlineLvl w:val="3"/>
    </w:pPr>
    <w:rPr>
      <w:rFonts w:ascii="楷体" w:hAnsi="楷体" w:eastAsia="楷体" w:cs="楷体"/>
      <w:b/>
      <w:bCs/>
      <w:sz w:val="32"/>
      <w:szCs w:val="32"/>
      <w:lang w:val="zh-CN" w:bidi="zh-CN"/>
    </w:rPr>
  </w:style>
  <w:style w:type="character" w:customStyle="1" w:styleId="45">
    <w:name w:val="font21"/>
    <w:basedOn w:val="19"/>
    <w:qFormat/>
    <w:uiPriority w:val="0"/>
    <w:rPr>
      <w:rFonts w:ascii="宋体" w:hAnsi="宋体" w:eastAsia="宋体" w:cs="宋体"/>
      <w:color w:val="000000"/>
      <w:sz w:val="20"/>
      <w:szCs w:val="20"/>
      <w:u w:val="none"/>
    </w:rPr>
  </w:style>
  <w:style w:type="character" w:customStyle="1" w:styleId="46">
    <w:name w:val="font31"/>
    <w:basedOn w:val="19"/>
    <w:qFormat/>
    <w:uiPriority w:val="0"/>
    <w:rPr>
      <w:rFonts w:hint="eastAsia" w:ascii="宋体" w:hAnsi="宋体" w:eastAsia="宋体" w:cs="宋体"/>
      <w:color w:val="000000"/>
      <w:sz w:val="16"/>
      <w:szCs w:val="16"/>
      <w:u w:val="none"/>
    </w:rPr>
  </w:style>
  <w:style w:type="paragraph" w:customStyle="1" w:styleId="47">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paragraph" w:customStyle="1" w:styleId="48">
    <w:name w:val="Heading 2"/>
    <w:basedOn w:val="1"/>
    <w:qFormat/>
    <w:uiPriority w:val="1"/>
    <w:pPr>
      <w:widowControl w:val="0"/>
      <w:autoSpaceDE w:val="0"/>
      <w:autoSpaceDN w:val="0"/>
      <w:adjustRightInd/>
      <w:snapToGrid/>
      <w:spacing w:before="119" w:after="0"/>
      <w:ind w:left="2892" w:right="1396" w:hanging="3552"/>
      <w:outlineLvl w:val="2"/>
    </w:pPr>
    <w:rPr>
      <w:rFonts w:ascii="微软雅黑" w:hAnsi="微软雅黑" w:cs="微软雅黑"/>
      <w:sz w:val="40"/>
      <w:szCs w:val="4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0915;&#31639;&#20844;&#24320;\&#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915;&#31639;&#20844;&#24320;\&#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0915;&#31639;&#20844;&#24320;\&#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0915;&#31639;&#20844;&#24320;\&#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0915;&#31639;&#20844;&#24320;\&#20844;&#24320;&#26448;&#26009;\&#20915;&#31639;&#20844;&#24320;&#25554;&#22270;&#21046;&#20316;&#31034;&#20363;.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4"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4003.77</c:v>
                </c:pt>
                <c:pt idx="1">
                  <c:v>3199.41</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manualLayout>
          <c:xMode val="edge"/>
          <c:yMode val="edge"/>
          <c:x val="0.0132638888888889"/>
          <c:y val="0.03125"/>
        </c:manualLayout>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0.999</c:v>
                </c:pt>
                <c:pt idx="1">
                  <c:v>0.001</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sz="1100"/>
              <a:t>图3：支出决算结构图</a:t>
            </a:r>
            <a:endParaRPr sz="1100"/>
          </a:p>
        </c:rich>
      </c:tx>
      <c:layout/>
      <c:overlay val="0"/>
    </c:title>
    <c:autoTitleDeleted val="0"/>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0.714</c:v>
                </c:pt>
                <c:pt idx="1">
                  <c:v>0.286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4003.77</c:v>
                </c:pt>
                <c:pt idx="1">
                  <c:v>3199.41</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3958.8</c:v>
                </c:pt>
                <c:pt idx="1">
                  <c:v>3196.45</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840" b="1" i="0" u="none" strike="noStrike" kern="1200" baseline="0">
                <a:solidFill>
                  <a:schemeClr val="dk1">
                    <a:lumMod val="75000"/>
                    <a:lumOff val="25000"/>
                  </a:schemeClr>
                </a:solidFill>
                <a:latin typeface="+mn-lt"/>
                <a:ea typeface="+mn-ea"/>
                <a:cs typeface="+mn-cs"/>
              </a:defRPr>
            </a:pPr>
            <a:r>
              <a:rPr sz="840"/>
              <a:t>一般公共预算财政拨款支出决算结构</a:t>
            </a:r>
            <a:endParaRPr sz="84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Pt>
            <c:idx val="8"/>
            <c:bubble3D val="0"/>
            <c:spPr>
              <a:solidFill>
                <a:schemeClr val="accent3">
                  <a:lumMod val="60000"/>
                </a:schemeClr>
              </a:solidFill>
              <a:ln>
                <a:solidFill>
                  <a:schemeClr val="bg1"/>
                </a:solidFill>
              </a:ln>
              <a:effectLst/>
            </c:spPr>
          </c:dPt>
          <c:dPt>
            <c:idx val="9"/>
            <c:bubble3D val="0"/>
            <c:spPr>
              <a:solidFill>
                <a:schemeClr val="accent4">
                  <a:lumMod val="60000"/>
                </a:schemeClr>
              </a:solidFill>
              <a:ln>
                <a:solidFill>
                  <a:schemeClr val="bg1"/>
                </a:solidFill>
              </a:ln>
              <a:effectLst/>
            </c:spPr>
          </c:dPt>
          <c:dPt>
            <c:idx val="10"/>
            <c:bubble3D val="0"/>
            <c:spPr>
              <a:solidFill>
                <a:schemeClr val="accent5">
                  <a:lumMod val="60000"/>
                </a:schemeClr>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7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[工作簿4]Sheet1!$A$87:$A$97</c:f>
              <c:strCache>
                <c:ptCount val="11"/>
                <c:pt idx="0">
                  <c:v>一般公共预算财政拨款支出决算结构</c:v>
                </c:pt>
                <c:pt idx="1">
                  <c:v>一般公共服务支出</c:v>
                </c:pt>
                <c:pt idx="2">
                  <c:v>国防支出</c:v>
                </c:pt>
                <c:pt idx="3">
                  <c:v>公共安全支出</c:v>
                </c:pt>
                <c:pt idx="4">
                  <c:v>文化旅游体育与传媒支出</c:v>
                </c:pt>
                <c:pt idx="5">
                  <c:v>社会保障和就业支出</c:v>
                </c:pt>
                <c:pt idx="6">
                  <c:v>卫生健康支出</c:v>
                </c:pt>
                <c:pt idx="7">
                  <c:v>城乡社区支出</c:v>
                </c:pt>
                <c:pt idx="8">
                  <c:v>农林水支出</c:v>
                </c:pt>
                <c:pt idx="9">
                  <c:v>住房保障支出</c:v>
                </c:pt>
                <c:pt idx="10">
                  <c:v>灾害防治及应急管理支出</c:v>
                </c:pt>
              </c:strCache>
            </c:strRef>
          </c:cat>
          <c:val>
            <c:numRef>
              <c:f>[工作簿4]Sheet1!$B$87:$B$97</c:f>
              <c:numCache>
                <c:formatCode>General</c:formatCode>
                <c:ptCount val="11"/>
                <c:pt idx="1" c:formatCode="#,##0.00">
                  <c:v>444.16</c:v>
                </c:pt>
                <c:pt idx="2" c:formatCode="#,##0.00">
                  <c:v>0.5</c:v>
                </c:pt>
                <c:pt idx="3" c:formatCode="#,##0.00">
                  <c:v>0.5</c:v>
                </c:pt>
                <c:pt idx="4" c:formatCode="#,##0.00">
                  <c:v>54.15</c:v>
                </c:pt>
                <c:pt idx="5" c:formatCode="#,##0.00">
                  <c:v>131.88</c:v>
                </c:pt>
                <c:pt idx="6" c:formatCode="#,##0.00">
                  <c:v>31.84</c:v>
                </c:pt>
                <c:pt idx="7" c:formatCode="#,##0.00">
                  <c:v>8.31</c:v>
                </c:pt>
                <c:pt idx="8" c:formatCode="#,##0.00">
                  <c:v>402.71</c:v>
                </c:pt>
                <c:pt idx="9" c:formatCode="#,##0.00">
                  <c:v>47.01</c:v>
                </c:pt>
                <c:pt idx="10" c:formatCode="#,##0.00">
                  <c:v>0.2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7"/>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8"/>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9"/>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egendEntry>
        <c:idx val="10"/>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700"/>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[工作簿4]Sheet1!$A$48:$A$50</c:f>
              <c:strCache>
                <c:ptCount val="3"/>
                <c:pt idx="0">
                  <c:v>“三公”经费财政拨款支出结构</c:v>
                </c:pt>
                <c:pt idx="1">
                  <c:v>公务接待费</c:v>
                </c:pt>
              </c:strCache>
            </c:strRef>
          </c:cat>
          <c:val>
            <c:numRef>
              <c:f>[工作簿4]Sheet1!$B$48:$B$50</c:f>
              <c:numCache>
                <c:formatCode>General</c:formatCode>
                <c:ptCount val="3"/>
                <c:pt idx="1">
                  <c:v>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2</TotalTime>
  <ScaleCrop>false</ScaleCrop>
  <LinksUpToDate>false</LinksUpToDate>
  <CharactersWithSpaces>8226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2023-12-14T07:03:45Z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70126FCAEFC24D3D9EEB3D1CF9284D05_12</vt:lpwstr>
  </property>
</Properties>
</file>