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ascii="方正小标宋简体" w:hAnsi="方正小标宋简体" w:eastAsia="方正小标宋简体" w:cs="方正小标宋简体"/>
          <w:sz w:val="48"/>
          <w:szCs w:val="48"/>
        </w:rPr>
      </w:pPr>
      <w:bookmarkStart w:id="1" w:name="_Toc15396475"/>
      <w:bookmarkStart w:id="2" w:name="_Toc15377193"/>
      <w:bookmarkStart w:id="3" w:name="_Toc15396597"/>
      <w:bookmarkStart w:id="4" w:name="_Toc15377425"/>
      <w:bookmarkStart w:id="5" w:name="_Toc15378441"/>
      <w:bookmarkStart w:id="6" w:name="_Toc15377204"/>
      <w:bookmarkStart w:id="7" w:name="_Toc15396602"/>
      <w:r>
        <w:rPr>
          <w:rFonts w:hint="eastAsia" w:ascii="方正小标宋简体" w:hAnsi="方正小标宋简体" w:eastAsia="方正小标宋简体" w:cs="方正小标宋简体"/>
          <w:sz w:val="48"/>
          <w:szCs w:val="48"/>
        </w:rPr>
        <w:t>2022年度</w:t>
      </w:r>
      <w:bookmarkEnd w:id="1"/>
      <w:bookmarkEnd w:id="2"/>
      <w:bookmarkEnd w:id="3"/>
      <w:bookmarkEnd w:id="4"/>
      <w:bookmarkEnd w:id="5"/>
      <w:bookmarkStart w:id="8" w:name="_Toc15377426"/>
      <w:bookmarkStart w:id="9" w:name="_Toc15378442"/>
      <w:bookmarkStart w:id="10" w:name="_Toc15396476"/>
      <w:bookmarkStart w:id="11" w:name="_Toc15396598"/>
      <w:bookmarkStart w:id="12" w:name="_Toc15377194"/>
      <w:r>
        <w:rPr>
          <w:rFonts w:hint="eastAsia" w:ascii="方正小标宋简体" w:hAnsi="方正小标宋简体" w:eastAsia="方正小标宋简体" w:cs="方正小标宋简体"/>
          <w:sz w:val="48"/>
          <w:szCs w:val="48"/>
        </w:rPr>
        <w:t>剑阁县</w:t>
      </w:r>
      <w:bookmarkStart w:id="13" w:name="_Toc15306268"/>
      <w:r>
        <w:rPr>
          <w:rFonts w:hint="eastAsia" w:ascii="方正小标宋简体" w:hAnsi="方正小标宋简体" w:eastAsia="方正小标宋简体" w:cs="方正小标宋简体"/>
          <w:sz w:val="48"/>
          <w:szCs w:val="48"/>
        </w:rPr>
        <w:t>闻溪小学校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r>
        <w:rPr>
          <w:rFonts w:hint="eastAsia" w:ascii="方正小标宋简体" w:hAnsi="方正小标宋简体" w:eastAsia="方正小标宋简体" w:cs="方正小标宋简体"/>
          <w:sz w:val="72"/>
          <w:szCs w:val="72"/>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0"/>
        <w:rPr>
          <w:rFonts w:cstheme="minorBidi"/>
          <w:sz w:val="24"/>
          <w:szCs w:val="24"/>
        </w:rPr>
      </w:pPr>
      <w:r>
        <w:rPr>
          <w:rFonts w:hint="eastAsia"/>
          <w:sz w:val="24"/>
        </w:rPr>
        <w:t>第一部分单位概况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sz w:val="24"/>
        </w:rPr>
      </w:pPr>
      <w:r>
        <w:rPr>
          <w:rFonts w:hint="eastAsia"/>
          <w:sz w:val="24"/>
        </w:rPr>
        <w:t>（一）单位</w:t>
      </w:r>
      <w:r>
        <w:rPr>
          <w:sz w:val="24"/>
        </w:rPr>
        <w:t>职责</w:t>
      </w:r>
    </w:p>
    <w:p>
      <w:pPr>
        <w:pStyle w:val="11"/>
        <w:adjustRightInd w:val="0"/>
        <w:snapToGrid w:val="0"/>
        <w:spacing w:line="440" w:lineRule="exact"/>
        <w:jc w:val="left"/>
        <w:rPr>
          <w:b/>
          <w:bCs/>
          <w:sz w:val="24"/>
        </w:rPr>
      </w:pPr>
      <w:r>
        <w:rPr>
          <w:rFonts w:hint="eastAsia"/>
          <w:sz w:val="24"/>
        </w:rPr>
        <w:t>（二）2022年重点工作完成情况</w:t>
      </w:r>
    </w:p>
    <w:p>
      <w:pPr>
        <w:pStyle w:val="11"/>
        <w:adjustRightInd w:val="0"/>
        <w:snapToGrid w:val="0"/>
        <w:spacing w:line="440" w:lineRule="exact"/>
        <w:jc w:val="left"/>
        <w:rPr>
          <w:sz w:val="24"/>
        </w:rPr>
      </w:pPr>
      <w:r>
        <w:rPr>
          <w:rFonts w:hint="eastAsia"/>
          <w:sz w:val="24"/>
        </w:rPr>
        <w:t>二、机构设置</w:t>
      </w:r>
    </w:p>
    <w:p>
      <w:pPr>
        <w:pStyle w:val="10"/>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rPr>
          <w:rFonts w:cstheme="minorBidi"/>
          <w:sz w:val="24"/>
          <w:szCs w:val="24"/>
        </w:rPr>
      </w:pPr>
      <w:r>
        <w:rPr>
          <w:rFonts w:hint="eastAsia"/>
          <w:sz w:val="24"/>
        </w:rPr>
        <w:t>第三部分名词解释</w:t>
      </w:r>
    </w:p>
    <w:p>
      <w:pPr>
        <w:pStyle w:val="10"/>
        <w:rPr>
          <w:rFonts w:cstheme="minorBidi"/>
          <w:sz w:val="24"/>
          <w:szCs w:val="24"/>
        </w:rPr>
      </w:pPr>
      <w:r>
        <w:rPr>
          <w:rFonts w:hint="eastAsia"/>
          <w:sz w:val="24"/>
        </w:rPr>
        <w:t>第四部分附件</w:t>
      </w:r>
    </w:p>
    <w:p>
      <w:pPr>
        <w:pStyle w:val="10"/>
        <w:rPr>
          <w:rFonts w:cstheme="minorBidi"/>
          <w:sz w:val="24"/>
          <w:szCs w:val="24"/>
        </w:rPr>
      </w:pPr>
      <w:r>
        <w:rPr>
          <w:rFonts w:hint="eastAsia"/>
          <w:sz w:val="24"/>
        </w:rPr>
        <w:t>第五部分附表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pPr>
        <w:pStyle w:val="2"/>
        <w:jc w:val="center"/>
        <w:rPr>
          <w:rStyle w:val="17"/>
          <w:rFonts w:ascii="黑体" w:hAnsi="黑体" w:eastAsia="黑体"/>
          <w:b/>
          <w:bCs w:val="0"/>
        </w:rPr>
      </w:pPr>
      <w:r>
        <w:rPr>
          <w:rFonts w:hint="eastAsia" w:ascii="黑体" w:hAnsi="黑体" w:eastAsia="黑体"/>
          <w:b w:val="0"/>
        </w:rPr>
        <w:t>第一部分 单位</w:t>
      </w:r>
      <w:r>
        <w:rPr>
          <w:rStyle w:val="17"/>
          <w:rFonts w:hint="eastAsia" w:ascii="黑体" w:hAnsi="黑体" w:eastAsia="黑体"/>
          <w:b w:val="0"/>
          <w:bCs w:val="0"/>
        </w:rPr>
        <w:t>概况</w:t>
      </w:r>
      <w:bookmarkEnd w:id="14"/>
      <w:bookmarkEnd w:id="15"/>
    </w:p>
    <w:p>
      <w:pPr>
        <w:widowControl/>
        <w:jc w:val="left"/>
        <w:rPr>
          <w:rFonts w:ascii="黑体" w:eastAsia="黑体"/>
          <w:sz w:val="32"/>
          <w:szCs w:val="32"/>
        </w:rPr>
      </w:pPr>
    </w:p>
    <w:p>
      <w:pPr>
        <w:pStyle w:val="3"/>
        <w:numPr>
          <w:ilvl w:val="0"/>
          <w:numId w:val="1"/>
        </w:numPr>
        <w:rPr>
          <w:rStyle w:val="18"/>
          <w:rFonts w:ascii="黑体" w:hAnsi="黑体" w:eastAsia="黑体"/>
          <w:b w:val="0"/>
          <w:bCs w:val="0"/>
        </w:rPr>
      </w:pPr>
      <w:r>
        <w:rPr>
          <w:rStyle w:val="18"/>
          <w:rFonts w:hint="eastAsia" w:ascii="黑体" w:hAnsi="黑体" w:eastAsia="黑体"/>
          <w:b w:val="0"/>
          <w:bCs w:val="0"/>
        </w:rPr>
        <w:t>主要职责及重点工作</w:t>
      </w:r>
    </w:p>
    <w:p>
      <w:pPr>
        <w:pStyle w:val="5"/>
        <w:adjustRightInd w:val="0"/>
        <w:snapToGrid w:val="0"/>
        <w:spacing w:before="93" w:line="600" w:lineRule="exact"/>
        <w:ind w:firstLine="480" w:firstLineChars="150"/>
        <w:outlineLvl w:val="2"/>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（一）单位职责</w:t>
      </w:r>
    </w:p>
    <w:p>
      <w:pPr>
        <w:pStyle w:val="5"/>
        <w:adjustRightInd w:val="0"/>
        <w:snapToGrid w:val="0"/>
        <w:spacing w:before="93" w:line="600" w:lineRule="exact"/>
        <w:ind w:firstLine="640" w:firstLineChars="200"/>
        <w:outlineLvl w:val="2"/>
        <w:rPr>
          <w:rFonts w:ascii="仿宋" w:hAnsi="仿宋" w:eastAsia="仿宋"/>
          <w:bCs/>
          <w:color w:val="000000"/>
          <w:sz w:val="32"/>
          <w:szCs w:val="32"/>
        </w:rPr>
      </w:pPr>
      <w:r>
        <w:rPr>
          <w:rFonts w:ascii="仿宋" w:hAnsi="仿宋" w:eastAsia="仿宋" w:cs="宋体"/>
          <w:color w:val="000000" w:themeColor="text1"/>
          <w:sz w:val="32"/>
          <w:szCs w:val="32"/>
        </w:rPr>
        <w:t>我单位是一所</w:t>
      </w:r>
      <w:r>
        <w:rPr>
          <w:rFonts w:hint="eastAsia" w:ascii="仿宋" w:hAnsi="仿宋" w:eastAsia="仿宋" w:cs="宋体"/>
          <w:color w:val="000000" w:themeColor="text1"/>
          <w:sz w:val="32"/>
          <w:szCs w:val="32"/>
        </w:rPr>
        <w:t>农村完全小学</w:t>
      </w:r>
      <w:r>
        <w:rPr>
          <w:rFonts w:ascii="仿宋" w:hAnsi="仿宋" w:eastAsia="仿宋" w:cs="宋体"/>
          <w:color w:val="000000" w:themeColor="text1"/>
          <w:sz w:val="32"/>
          <w:szCs w:val="32"/>
        </w:rPr>
        <w:t>。有教学班</w:t>
      </w:r>
      <w:r>
        <w:rPr>
          <w:rFonts w:hint="eastAsia" w:ascii="仿宋" w:hAnsi="仿宋" w:eastAsia="仿宋" w:cs="宋体"/>
          <w:color w:val="000000" w:themeColor="text1"/>
          <w:sz w:val="32"/>
          <w:szCs w:val="32"/>
        </w:rPr>
        <w:t>6</w:t>
      </w:r>
      <w:r>
        <w:rPr>
          <w:rFonts w:ascii="仿宋" w:hAnsi="仿宋" w:eastAsia="仿宋" w:cs="宋体"/>
          <w:color w:val="000000" w:themeColor="text1"/>
          <w:sz w:val="32"/>
          <w:szCs w:val="32"/>
        </w:rPr>
        <w:t>个，学生</w:t>
      </w:r>
      <w:r>
        <w:rPr>
          <w:rFonts w:hint="eastAsia" w:ascii="仿宋" w:hAnsi="仿宋" w:eastAsia="仿宋" w:cs="宋体"/>
          <w:color w:val="000000" w:themeColor="text1"/>
          <w:sz w:val="32"/>
          <w:szCs w:val="32"/>
        </w:rPr>
        <w:t>113</w:t>
      </w:r>
      <w:r>
        <w:rPr>
          <w:rFonts w:ascii="仿宋" w:hAnsi="仿宋" w:eastAsia="仿宋" w:cs="宋体"/>
          <w:color w:val="000000" w:themeColor="text1"/>
          <w:sz w:val="32"/>
          <w:szCs w:val="32"/>
        </w:rPr>
        <w:t>人</w:t>
      </w:r>
      <w:r>
        <w:rPr>
          <w:rFonts w:hint="eastAsia" w:ascii="仿宋" w:hAnsi="仿宋" w:eastAsia="仿宋" w:cs="宋体"/>
          <w:color w:val="000000" w:themeColor="text1"/>
          <w:sz w:val="32"/>
          <w:szCs w:val="32"/>
          <w:lang w:eastAsia="zh-CN"/>
        </w:rPr>
        <w:t>，</w:t>
      </w:r>
      <w:r>
        <w:rPr>
          <w:rFonts w:ascii="仿宋" w:hAnsi="仿宋" w:eastAsia="仿宋" w:cs="宋体"/>
          <w:color w:val="000000" w:themeColor="text1"/>
          <w:sz w:val="32"/>
          <w:szCs w:val="32"/>
        </w:rPr>
        <w:t>教职工</w:t>
      </w:r>
      <w:r>
        <w:rPr>
          <w:rFonts w:hint="eastAsia" w:ascii="仿宋" w:hAnsi="仿宋" w:eastAsia="仿宋" w:cs="宋体"/>
          <w:color w:val="000000" w:themeColor="text1"/>
          <w:sz w:val="32"/>
          <w:szCs w:val="32"/>
        </w:rPr>
        <w:t>21</w:t>
      </w:r>
      <w:r>
        <w:rPr>
          <w:rFonts w:ascii="仿宋" w:hAnsi="仿宋" w:eastAsia="仿宋" w:cs="宋体"/>
          <w:color w:val="000000" w:themeColor="text1"/>
          <w:sz w:val="32"/>
          <w:szCs w:val="32"/>
        </w:rPr>
        <w:t>人。</w:t>
      </w:r>
      <w:r>
        <w:rPr>
          <w:rFonts w:hint="eastAsia" w:ascii="仿宋" w:hAnsi="仿宋" w:eastAsia="仿宋"/>
          <w:bCs/>
          <w:color w:val="000000"/>
          <w:sz w:val="32"/>
          <w:szCs w:val="32"/>
        </w:rPr>
        <w:t>主要职能职责是：实施小学义务教育，促进基础教育均衡发展。</w:t>
      </w:r>
    </w:p>
    <w:p>
      <w:pPr>
        <w:pStyle w:val="5"/>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（二）2022年重点工作完成情况</w:t>
      </w:r>
    </w:p>
    <w:p>
      <w:pPr>
        <w:ind w:firstLine="800" w:firstLineChars="250"/>
        <w:jc w:val="left"/>
        <w:rPr>
          <w:rStyle w:val="31"/>
          <w:rFonts w:hint="default" w:ascii="仿宋" w:hAnsi="仿宋" w:eastAsia="仿宋"/>
        </w:rPr>
      </w:pPr>
      <w:r>
        <w:rPr>
          <w:rStyle w:val="31"/>
          <w:rFonts w:hint="default" w:ascii="仿宋" w:hAnsi="仿宋" w:eastAsia="仿宋"/>
        </w:rPr>
        <w:t xml:space="preserve">1、精细管理，科学发展，努力提高管理水平 </w:t>
      </w:r>
    </w:p>
    <w:p>
      <w:pPr>
        <w:ind w:firstLine="640" w:firstLineChars="200"/>
        <w:jc w:val="left"/>
        <w:rPr>
          <w:rStyle w:val="31"/>
          <w:rFonts w:hint="default" w:ascii="仿宋" w:hAnsi="仿宋" w:eastAsia="仿宋"/>
        </w:rPr>
      </w:pPr>
      <w:r>
        <w:rPr>
          <w:rStyle w:val="31"/>
          <w:rFonts w:hint="eastAsia" w:ascii="仿宋" w:hAnsi="仿宋" w:eastAsia="仿宋"/>
          <w:lang w:eastAsia="zh-CN"/>
        </w:rPr>
        <w:t>（1）</w:t>
      </w:r>
      <w:r>
        <w:rPr>
          <w:rStyle w:val="31"/>
          <w:rFonts w:hint="default" w:ascii="仿宋" w:hAnsi="仿宋" w:eastAsia="仿宋"/>
        </w:rPr>
        <w:t>深化党建工作。加强学校党支部思想、组织、作风和制度建设。要充分发挥党支部在教育改革、发展和稳定中的作用，依法行使各项职权，</w:t>
      </w:r>
      <w:r>
        <w:rPr>
          <w:rStyle w:val="31"/>
          <w:rFonts w:hint="eastAsia" w:ascii="仿宋" w:hAnsi="仿宋" w:eastAsia="仿宋"/>
          <w:lang w:eastAsia="zh-CN"/>
        </w:rPr>
        <w:t>认真执行</w:t>
      </w:r>
      <w:r>
        <w:rPr>
          <w:rStyle w:val="31"/>
          <w:rFonts w:hint="default" w:ascii="仿宋" w:hAnsi="仿宋" w:eastAsia="仿宋"/>
        </w:rPr>
        <w:t>校务公开制度、党务公开制度，加强党风廉政建设，要把《</w:t>
      </w:r>
      <w:r>
        <w:rPr>
          <w:rStyle w:val="31"/>
          <w:rFonts w:hint="eastAsia" w:ascii="仿宋" w:hAnsi="仿宋" w:eastAsia="仿宋"/>
          <w:lang w:eastAsia="zh-CN"/>
        </w:rPr>
        <w:t>中国共产党</w:t>
      </w:r>
      <w:bookmarkStart w:id="63" w:name="_GoBack"/>
      <w:bookmarkEnd w:id="63"/>
      <w:r>
        <w:rPr>
          <w:rStyle w:val="31"/>
          <w:rFonts w:hint="default" w:ascii="仿宋" w:hAnsi="仿宋" w:eastAsia="仿宋"/>
        </w:rPr>
        <w:t>自律廉洁准则</w:t>
      </w:r>
      <w:r>
        <w:rPr>
          <w:rStyle w:val="31"/>
          <w:rFonts w:hint="eastAsia" w:ascii="仿宋" w:hAnsi="仿宋" w:eastAsia="仿宋"/>
          <w:lang w:eastAsia="zh-CN"/>
        </w:rPr>
        <w:t>》《中国共产党</w:t>
      </w:r>
      <w:r>
        <w:rPr>
          <w:rStyle w:val="31"/>
          <w:rFonts w:hint="default" w:ascii="仿宋" w:hAnsi="仿宋" w:eastAsia="仿宋"/>
        </w:rPr>
        <w:t>纪律处分条例》挺在前头，按程序规定办事，确保学校各项工作规范运行。</w:t>
      </w:r>
    </w:p>
    <w:p>
      <w:pPr>
        <w:ind w:firstLine="640" w:firstLineChars="200"/>
        <w:jc w:val="left"/>
        <w:rPr>
          <w:rStyle w:val="31"/>
          <w:rFonts w:hint="default" w:ascii="仿宋" w:hAnsi="仿宋" w:eastAsia="仿宋"/>
        </w:rPr>
      </w:pPr>
      <w:r>
        <w:rPr>
          <w:rStyle w:val="31"/>
          <w:rFonts w:hint="eastAsia" w:ascii="仿宋" w:hAnsi="仿宋" w:eastAsia="仿宋"/>
          <w:lang w:eastAsia="zh-CN"/>
        </w:rPr>
        <w:t>（2）</w:t>
      </w:r>
      <w:r>
        <w:rPr>
          <w:rStyle w:val="31"/>
          <w:rFonts w:hint="default" w:ascii="仿宋" w:hAnsi="仿宋" w:eastAsia="仿宋"/>
        </w:rPr>
        <w:t xml:space="preserve">坚持民主管理。定期召开校务会、教代会等，继续推行校务公开制度，及时公布学校财务收支情况、重大决策、工程项目、教职员工关心的“热点”问题。 </w:t>
      </w:r>
    </w:p>
    <w:p>
      <w:pPr>
        <w:ind w:firstLine="640" w:firstLineChars="200"/>
        <w:jc w:val="left"/>
        <w:rPr>
          <w:rStyle w:val="31"/>
          <w:rFonts w:hint="default" w:ascii="仿宋" w:hAnsi="仿宋" w:eastAsia="仿宋"/>
        </w:rPr>
      </w:pPr>
      <w:r>
        <w:rPr>
          <w:rStyle w:val="31"/>
          <w:rFonts w:hint="default" w:ascii="仿宋" w:hAnsi="仿宋" w:eastAsia="仿宋"/>
        </w:rPr>
        <w:t xml:space="preserve">2、规范行为，落实巡查，牢固树立质量意识 </w:t>
      </w:r>
    </w:p>
    <w:p>
      <w:pPr>
        <w:ind w:firstLine="640" w:firstLineChars="200"/>
        <w:jc w:val="left"/>
        <w:rPr>
          <w:rStyle w:val="31"/>
          <w:rFonts w:hint="default" w:ascii="仿宋" w:hAnsi="仿宋" w:eastAsia="仿宋"/>
        </w:rPr>
      </w:pPr>
      <w:r>
        <w:rPr>
          <w:rStyle w:val="31"/>
          <w:rFonts w:hint="eastAsia" w:ascii="仿宋" w:hAnsi="仿宋" w:eastAsia="仿宋"/>
          <w:lang w:eastAsia="zh-CN"/>
        </w:rPr>
        <w:t>（1）</w:t>
      </w:r>
      <w:r>
        <w:rPr>
          <w:rStyle w:val="31"/>
          <w:rFonts w:hint="default" w:ascii="仿宋" w:hAnsi="仿宋" w:eastAsia="仿宋"/>
        </w:rPr>
        <w:t>增强教学法规意识，促进教育均衡发展。规范招生行为，执行课程计划，规范教学用书，严格按照规范要求征订教辅材料，开齐开足上好各门课程，切实减轻学生的课业负担。</w:t>
      </w:r>
    </w:p>
    <w:p>
      <w:pPr>
        <w:ind w:firstLine="640" w:firstLineChars="200"/>
        <w:jc w:val="left"/>
        <w:rPr>
          <w:rStyle w:val="31"/>
          <w:rFonts w:hint="default" w:ascii="仿宋" w:hAnsi="仿宋" w:eastAsia="仿宋"/>
        </w:rPr>
      </w:pPr>
      <w:r>
        <w:rPr>
          <w:rStyle w:val="31"/>
          <w:rFonts w:hint="eastAsia" w:ascii="仿宋" w:hAnsi="仿宋" w:eastAsia="仿宋"/>
          <w:lang w:eastAsia="zh-CN"/>
        </w:rPr>
        <w:t>（2）</w:t>
      </w:r>
      <w:r>
        <w:rPr>
          <w:rStyle w:val="31"/>
          <w:rFonts w:hint="default" w:ascii="仿宋" w:hAnsi="仿宋" w:eastAsia="仿宋"/>
        </w:rPr>
        <w:t>加强教学过程管理。教务处要将科任教师、班主任、学科组长等的工作量情况如实填报，上交存档，将和评优评先、职称晋升、期末考核等挂钩。本着求真务实的精神，工作要突出一个“严”字，落实到“有序”上；强化一个“优”字，落实到“创新”上；明确一个“实”字，落实到“效益”上，使教学管理有新的举措，新的发展。</w:t>
      </w:r>
    </w:p>
    <w:p>
      <w:pPr>
        <w:ind w:firstLine="640" w:firstLineChars="200"/>
        <w:jc w:val="left"/>
        <w:rPr>
          <w:rStyle w:val="31"/>
          <w:rFonts w:hint="default" w:ascii="仿宋" w:hAnsi="仿宋" w:eastAsia="仿宋"/>
        </w:rPr>
      </w:pPr>
      <w:r>
        <w:rPr>
          <w:rStyle w:val="31"/>
          <w:rFonts w:hint="eastAsia" w:ascii="仿宋" w:hAnsi="仿宋" w:eastAsia="仿宋"/>
          <w:lang w:eastAsia="zh-CN"/>
        </w:rPr>
        <w:t>（3）</w:t>
      </w:r>
      <w:r>
        <w:rPr>
          <w:rStyle w:val="31"/>
          <w:rFonts w:hint="default" w:ascii="仿宋" w:hAnsi="仿宋" w:eastAsia="仿宋"/>
        </w:rPr>
        <w:t>牢固树立质量意识。加大毕业班的质量监控</w:t>
      </w:r>
      <w:r>
        <w:rPr>
          <w:rStyle w:val="31"/>
          <w:rFonts w:hint="eastAsia" w:ascii="仿宋" w:hAnsi="仿宋" w:eastAsia="仿宋"/>
          <w:lang w:eastAsia="zh-CN"/>
        </w:rPr>
        <w:t>，</w:t>
      </w:r>
      <w:r>
        <w:rPr>
          <w:rStyle w:val="31"/>
          <w:rFonts w:hint="default" w:ascii="仿宋" w:hAnsi="仿宋" w:eastAsia="仿宋"/>
        </w:rPr>
        <w:t>狠抓学困生的辅导工作，建立学困生档案，使辅导工作贯穿于教学的全过程</w:t>
      </w:r>
      <w:r>
        <w:rPr>
          <w:rStyle w:val="31"/>
          <w:rFonts w:hint="eastAsia" w:ascii="仿宋" w:hAnsi="仿宋" w:eastAsia="仿宋"/>
          <w:lang w:eastAsia="zh-CN"/>
        </w:rPr>
        <w:t>，</w:t>
      </w:r>
      <w:r>
        <w:rPr>
          <w:rStyle w:val="31"/>
          <w:rFonts w:hint="default" w:ascii="仿宋" w:hAnsi="仿宋" w:eastAsia="仿宋"/>
        </w:rPr>
        <w:t xml:space="preserve">把常规检查与不定期抽查结合起来，使教学的常规检查常态化，发现问题及时通报、及时整改。重视学生学习习惯的培养，充分挖掘学生的潜能，促进学生的全面发展，确保教学质量的全面提高。 </w:t>
      </w:r>
    </w:p>
    <w:p>
      <w:pPr>
        <w:ind w:firstLine="800" w:firstLineChars="250"/>
        <w:jc w:val="left"/>
        <w:rPr>
          <w:rStyle w:val="31"/>
          <w:rFonts w:hint="default" w:ascii="仿宋" w:hAnsi="仿宋" w:eastAsia="仿宋"/>
        </w:rPr>
      </w:pPr>
      <w:r>
        <w:rPr>
          <w:rStyle w:val="31"/>
          <w:rFonts w:hint="default" w:ascii="仿宋" w:hAnsi="仿宋" w:eastAsia="仿宋"/>
        </w:rPr>
        <w:t xml:space="preserve">3、博采众长，开拓创新，培育高素质的师资队伍 </w:t>
      </w:r>
    </w:p>
    <w:p>
      <w:pPr>
        <w:ind w:firstLine="480" w:firstLineChars="150"/>
        <w:jc w:val="left"/>
        <w:rPr>
          <w:rStyle w:val="31"/>
          <w:rFonts w:hint="default" w:ascii="仿宋" w:hAnsi="仿宋" w:eastAsia="仿宋"/>
        </w:rPr>
      </w:pPr>
      <w:r>
        <w:rPr>
          <w:rStyle w:val="31"/>
          <w:rFonts w:hint="eastAsia" w:ascii="仿宋" w:hAnsi="仿宋" w:eastAsia="仿宋"/>
          <w:lang w:eastAsia="zh-CN"/>
        </w:rPr>
        <w:t>（1）</w:t>
      </w:r>
      <w:r>
        <w:rPr>
          <w:rStyle w:val="31"/>
          <w:rFonts w:hint="default" w:ascii="仿宋" w:hAnsi="仿宋" w:eastAsia="仿宋"/>
        </w:rPr>
        <w:t>完善教研制度。开展形式多样的各科研讨课、公开课和常态课的教研活动。组织教师加强理论学习，更新教育观念，强化教师的专业知识。通过观看名师课堂教学实录，学习名师、大师的教学经验。</w:t>
      </w:r>
    </w:p>
    <w:p>
      <w:pPr>
        <w:ind w:firstLine="480" w:firstLineChars="150"/>
        <w:jc w:val="left"/>
        <w:rPr>
          <w:rStyle w:val="31"/>
          <w:rFonts w:hint="default" w:ascii="仿宋" w:hAnsi="仿宋" w:eastAsia="仿宋"/>
        </w:rPr>
      </w:pPr>
      <w:r>
        <w:rPr>
          <w:rStyle w:val="31"/>
          <w:rFonts w:hint="default" w:ascii="仿宋" w:hAnsi="仿宋" w:eastAsia="仿宋"/>
        </w:rPr>
        <w:t xml:space="preserve"> （2）、深化课题研究。以课堂教学为研究重点，真正抓好课堂教学中有研究价值、有影响的问题，通过课题研究，有效引领教师做到实在的问题，实在</w:t>
      </w:r>
      <w:r>
        <w:rPr>
          <w:rStyle w:val="31"/>
          <w:rFonts w:hint="eastAsia" w:ascii="仿宋" w:hAnsi="仿宋" w:eastAsia="仿宋"/>
          <w:lang w:eastAsia="zh-CN"/>
        </w:rPr>
        <w:t>地</w:t>
      </w:r>
      <w:r>
        <w:rPr>
          <w:rStyle w:val="31"/>
          <w:rFonts w:hint="default" w:ascii="仿宋" w:hAnsi="仿宋" w:eastAsia="仿宋"/>
        </w:rPr>
        <w:t>研究，让教师们人人争做一名反思型、科研型的教师。</w:t>
      </w:r>
    </w:p>
    <w:p>
      <w:pPr>
        <w:ind w:firstLine="800" w:firstLineChars="250"/>
        <w:jc w:val="left"/>
        <w:rPr>
          <w:rStyle w:val="31"/>
          <w:rFonts w:hint="default" w:ascii="仿宋" w:hAnsi="仿宋" w:eastAsia="仿宋"/>
        </w:rPr>
      </w:pPr>
      <w:r>
        <w:rPr>
          <w:rStyle w:val="31"/>
          <w:rFonts w:hint="default" w:ascii="仿宋" w:hAnsi="仿宋" w:eastAsia="仿宋"/>
        </w:rPr>
        <w:t xml:space="preserve">4、全面统筹，增强意识，倾力提高服务质量 </w:t>
      </w:r>
    </w:p>
    <w:p>
      <w:pPr>
        <w:ind w:firstLine="800" w:firstLineChars="250"/>
        <w:jc w:val="left"/>
        <w:rPr>
          <w:rStyle w:val="31"/>
          <w:rFonts w:hint="default" w:ascii="仿宋" w:hAnsi="仿宋" w:eastAsia="仿宋"/>
        </w:rPr>
      </w:pPr>
      <w:r>
        <w:rPr>
          <w:rStyle w:val="31"/>
          <w:rFonts w:hint="eastAsia" w:ascii="仿宋" w:hAnsi="仿宋" w:eastAsia="仿宋"/>
          <w:lang w:eastAsia="zh-CN"/>
        </w:rPr>
        <w:t>（1）</w:t>
      </w:r>
      <w:r>
        <w:rPr>
          <w:rStyle w:val="31"/>
          <w:rFonts w:hint="default" w:ascii="仿宋" w:hAnsi="仿宋" w:eastAsia="仿宋"/>
        </w:rPr>
        <w:t>加强校园安全管理，要牢固树立“隐患</w:t>
      </w:r>
      <w:r>
        <w:rPr>
          <w:rStyle w:val="31"/>
          <w:rFonts w:hint="eastAsia" w:ascii="仿宋" w:hAnsi="仿宋" w:eastAsia="仿宋"/>
          <w:lang w:eastAsia="zh-CN"/>
        </w:rPr>
        <w:t>即</w:t>
      </w:r>
      <w:r>
        <w:rPr>
          <w:rStyle w:val="31"/>
          <w:rFonts w:hint="default" w:ascii="仿宋" w:hAnsi="仿宋" w:eastAsia="仿宋"/>
        </w:rPr>
        <w:t>事故，安全责任重于泰山”的思想，强化学校日常安全管理，加强门卫管理，加强校舍安全排查；充分利用班会、队会等渠道，采取多种形式，对学生进行交通安全、课间活动安全、食品安全、教学安全以及防火灾、防溺水、防踩踏、防地震等安全教育，筑牢安全底线，杜绝安全事故。</w:t>
      </w:r>
    </w:p>
    <w:p>
      <w:pPr>
        <w:ind w:firstLine="800" w:firstLineChars="250"/>
        <w:jc w:val="left"/>
        <w:rPr>
          <w:rStyle w:val="31"/>
          <w:rFonts w:hint="default" w:ascii="仿宋" w:hAnsi="仿宋" w:eastAsia="仿宋"/>
        </w:rPr>
      </w:pPr>
      <w:r>
        <w:rPr>
          <w:rStyle w:val="31"/>
          <w:rFonts w:hint="eastAsia" w:ascii="仿宋" w:hAnsi="仿宋" w:eastAsia="仿宋"/>
          <w:lang w:eastAsia="zh-CN"/>
        </w:rPr>
        <w:t>（2）</w:t>
      </w:r>
      <w:r>
        <w:rPr>
          <w:rStyle w:val="31"/>
          <w:rFonts w:hint="default" w:ascii="仿宋" w:hAnsi="仿宋" w:eastAsia="仿宋"/>
        </w:rPr>
        <w:t>加强学校工会工作。继续实施“送温暖”活动。加大力度关心退休老同志，关心生病教职工，积极为教职工谋利益、办实事、做好事，把送温暖、办实事活动向经常化、制度化发展。</w:t>
      </w:r>
    </w:p>
    <w:p>
      <w:pPr>
        <w:ind w:firstLine="800" w:firstLineChars="250"/>
        <w:jc w:val="left"/>
        <w:rPr>
          <w:rStyle w:val="31"/>
          <w:rFonts w:hint="default" w:ascii="仿宋" w:hAnsi="仿宋" w:eastAsia="仿宋"/>
        </w:rPr>
      </w:pPr>
      <w:r>
        <w:rPr>
          <w:rStyle w:val="31"/>
          <w:rFonts w:hint="eastAsia" w:ascii="仿宋" w:hAnsi="仿宋" w:eastAsia="仿宋"/>
          <w:lang w:eastAsia="zh-CN"/>
        </w:rPr>
        <w:t>（3）</w:t>
      </w:r>
      <w:r>
        <w:rPr>
          <w:rStyle w:val="31"/>
          <w:rFonts w:hint="default" w:ascii="仿宋" w:hAnsi="仿宋" w:eastAsia="仿宋"/>
        </w:rPr>
        <w:t>加强后勤保障工作。一是规范财务管理。要合理使用各项经费，计划开支，专款专用；推行学校“财务公开”制度，自觉接受上级主管部门和群众的监督，让财务管理在阳光下运行；严格执行物价局规定的收费标准，不搭车收费、不扩大代办费范围、不代收费用，确保学校财务管理规范、精细、</w:t>
      </w:r>
      <w:r>
        <w:rPr>
          <w:rStyle w:val="31"/>
          <w:rFonts w:hint="eastAsia" w:ascii="仿宋" w:hAnsi="仿宋" w:eastAsia="仿宋"/>
          <w:lang w:eastAsia="zh-CN"/>
        </w:rPr>
        <w:t>账物</w:t>
      </w:r>
      <w:r>
        <w:rPr>
          <w:rStyle w:val="31"/>
          <w:rFonts w:hint="default" w:ascii="仿宋" w:hAnsi="仿宋" w:eastAsia="仿宋"/>
        </w:rPr>
        <w:t xml:space="preserve">相符。二是提高服务质量。要确保校园建设、教育教学办公用品的维护、维修、采购、供应及时到位；要做好各教室、功能室的设备、仪器、用具的检查、维护工作，确保正常使用。 </w:t>
      </w:r>
    </w:p>
    <w:p>
      <w:pPr>
        <w:pStyle w:val="3"/>
        <w:rPr>
          <w:rFonts w:ascii="黑体" w:hAnsi="黑体" w:eastAsia="黑体"/>
          <w:b w:val="0"/>
        </w:rPr>
      </w:pPr>
      <w:r>
        <w:rPr>
          <w:rFonts w:hint="eastAsia" w:ascii="黑体" w:hAnsi="黑体" w:eastAsia="黑体"/>
          <w:b w:val="0"/>
        </w:rPr>
        <w:t>二、机构设置</w:t>
      </w:r>
    </w:p>
    <w:p>
      <w:pPr>
        <w:spacing w:line="576" w:lineRule="exact"/>
        <w:ind w:left="420" w:leftChars="150" w:hanging="105" w:hangingChars="50"/>
        <w:rPr>
          <w:rFonts w:ascii="仿宋" w:hAnsi="仿宋" w:eastAsia="仿宋" w:cs="宋体"/>
          <w:color w:val="000000" w:themeColor="text1"/>
          <w:kern w:val="0"/>
          <w:sz w:val="32"/>
          <w:szCs w:val="32"/>
        </w:rPr>
      </w:pPr>
      <w:r>
        <w:rPr>
          <w:rFonts w:hint="eastAsia"/>
        </w:rPr>
        <w:t xml:space="preserve">   </w:t>
      </w:r>
      <w:r>
        <w:rPr>
          <w:rFonts w:hint="eastAsia" w:ascii="仿宋" w:hAnsi="仿宋" w:eastAsia="仿宋" w:cs="宋体"/>
          <w:color w:val="000000" w:themeColor="text1"/>
          <w:kern w:val="0"/>
          <w:sz w:val="32"/>
          <w:szCs w:val="32"/>
        </w:rPr>
        <w:t>本单位无下属二级决算单位.</w:t>
      </w:r>
    </w:p>
    <w:p>
      <w:pPr>
        <w:widowControl/>
        <w:ind w:firstLine="542" w:firstLineChars="150"/>
        <w:jc w:val="left"/>
        <w:rPr>
          <w:rFonts w:ascii="黑体" w:hAnsi="黑体" w:eastAsia="黑体"/>
          <w:b/>
          <w:color w:val="000000"/>
          <w:sz w:val="36"/>
        </w:rPr>
      </w:pPr>
    </w:p>
    <w:p>
      <w:pPr>
        <w:widowControl/>
        <w:ind w:firstLine="542" w:firstLineChars="150"/>
        <w:jc w:val="left"/>
        <w:rPr>
          <w:rStyle w:val="17"/>
          <w:rFonts w:ascii="仿宋" w:hAnsi="仿宋" w:eastAsia="仿宋"/>
          <w:b w:val="0"/>
          <w:bCs w:val="0"/>
          <w:color w:val="000000"/>
          <w:kern w:val="0"/>
          <w:sz w:val="32"/>
          <w:szCs w:val="32"/>
        </w:rPr>
      </w:pPr>
      <w:r>
        <w:rPr>
          <w:rFonts w:hint="eastAsia" w:ascii="黑体" w:hAnsi="黑体" w:eastAsia="黑体"/>
          <w:b/>
          <w:color w:val="000000"/>
          <w:sz w:val="36"/>
        </w:rPr>
        <w:t xml:space="preserve">第二部分 </w:t>
      </w:r>
      <w:r>
        <w:rPr>
          <w:rStyle w:val="17"/>
          <w:rFonts w:hint="eastAsia" w:ascii="黑体" w:hAnsi="黑体" w:eastAsia="黑体"/>
        </w:rPr>
        <w:t>2022年度部门决算情况说明</w:t>
      </w:r>
      <w:bookmarkEnd w:id="6"/>
      <w:bookmarkEnd w:id="7"/>
    </w:p>
    <w:p/>
    <w:p>
      <w:pPr>
        <w:spacing w:line="600" w:lineRule="exact"/>
        <w:outlineLvl w:val="1"/>
        <w:rPr>
          <w:rStyle w:val="18"/>
          <w:rFonts w:ascii="黑体" w:hAnsi="黑体" w:eastAsia="黑体"/>
          <w:b w:val="0"/>
        </w:rPr>
      </w:pPr>
      <w:bookmarkStart w:id="16" w:name="_Toc15396603"/>
      <w:bookmarkStart w:id="17" w:name="_Toc15377205"/>
      <w:r>
        <w:rPr>
          <w:rStyle w:val="18"/>
          <w:rFonts w:hint="eastAsia" w:ascii="黑体" w:hAnsi="黑体" w:eastAsia="黑体"/>
          <w:b w:val="0"/>
        </w:rPr>
        <w:t>一、收入支出决算总体情况说明</w:t>
      </w:r>
      <w:bookmarkEnd w:id="16"/>
      <w:bookmarkEnd w:id="17"/>
    </w:p>
    <w:p>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22年度收、支总计339.63万元。与</w:t>
      </w:r>
      <w:r>
        <w:rPr>
          <w:rFonts w:ascii="仿宋" w:hAnsi="仿宋" w:eastAsia="仿宋" w:cs="仿宋"/>
          <w:color w:val="000000"/>
          <w:sz w:val="32"/>
          <w:szCs w:val="32"/>
        </w:rPr>
        <w:t>20</w:t>
      </w:r>
      <w:r>
        <w:rPr>
          <w:rFonts w:hint="eastAsia" w:ascii="仿宋" w:hAnsi="仿宋" w:eastAsia="仿宋" w:cs="仿宋"/>
          <w:color w:val="000000"/>
          <w:sz w:val="32"/>
          <w:szCs w:val="32"/>
        </w:rPr>
        <w:t>21年相比，收、支总计各减少30.25万元，下降9</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。主要变动原因是学生生源减少和项目资金减少。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600" w:lineRule="exact"/>
        <w:ind w:firstLine="640" w:firstLineChars="200"/>
        <w:rPr>
          <w:rFonts w:ascii="仿宋" w:hAnsi="仿宋" w:eastAsia="仿宋"/>
          <w:color w:val="000000"/>
          <w:sz w:val="32"/>
          <w:szCs w:val="32"/>
        </w:rPr>
      </w:pPr>
    </w:p>
    <w:p>
      <w:r>
        <w:pict>
          <v:shape id="_x0000_s1027" o:spid="_x0000_s1027" o:spt="202" type="#_x0000_t202" style="position:absolute;left:0pt;margin-left:71.3pt;margin-top:118.3pt;height:30.45pt;width:42.25pt;z-index:251659264;mso-width-relative:page;mso-height-relative:page;" stroked="f" coordsize="21600,21600">
            <v:path/>
            <v:fill opacity="0f" focussize="0,0"/>
            <v:stroke on="f" joinstyle="miter"/>
            <v:imagedata o:title=""/>
            <o:lock v:ext="edit"/>
            <v:textbox>
              <w:txbxContent>
                <w:p>
                  <w:pPr>
                    <w:rPr>
                      <w:sz w:val="15"/>
                      <w:szCs w:val="15"/>
                    </w:rPr>
                  </w:pPr>
                  <w:r>
                    <w:rPr>
                      <w:rFonts w:hint="eastAsia"/>
                      <w:sz w:val="15"/>
                      <w:szCs w:val="15"/>
                    </w:rPr>
                    <w:t>339.63</w:t>
                  </w:r>
                </w:p>
              </w:txbxContent>
            </v:textbox>
          </v:shape>
        </w:pict>
      </w:r>
      <w:r>
        <w:pict>
          <v:shape id="_x0000_s1029" o:spid="_x0000_s1029" o:spt="202" type="#_x0000_t202" style="position:absolute;left:0pt;margin-left:37.4pt;margin-top:12.3pt;height:32.7pt;width:49.65pt;z-index:251661312;mso-width-relative:page;mso-height-relative:page;" stroked="f" coordsize="21600,21600">
            <v:path/>
            <v:fill opacity="0f" focussize="0,0"/>
            <v:stroke on="f" joinstyle="miter"/>
            <v:imagedata o:title=""/>
            <o:lock v:ext="edit"/>
            <v:textbox>
              <w:txbxContent>
                <w:p>
                  <w:pPr>
                    <w:rPr>
                      <w:sz w:val="15"/>
                      <w:szCs w:val="15"/>
                    </w:rPr>
                  </w:pPr>
                  <w:r>
                    <w:rPr>
                      <w:rFonts w:hint="eastAsia"/>
                      <w:sz w:val="15"/>
                      <w:szCs w:val="15"/>
                    </w:rPr>
                    <w:t>369.88</w:t>
                  </w:r>
                </w:p>
              </w:txbxContent>
            </v:textbox>
          </v:shape>
        </w:pict>
      </w:r>
      <w:r>
        <w:pict>
          <v:shape id="_x0000_s1028" o:spid="_x0000_s1028" o:spt="202" type="#_x0000_t202" style="position:absolute;left:0pt;margin-left:360.75pt;margin-top:15.75pt;height:46.5pt;width:52.5pt;z-index:251660288;mso-width-relative:page;mso-height-relative:page;" stroked="t" coordsize="21600,21600">
            <v:path/>
            <v:fill focussize="0,0"/>
            <v:stroke color="#FFFFFF" joinstyle="miter"/>
            <v:imagedata o:title=""/>
            <o:lock v:ext="edit"/>
            <v:textbox>
              <w:txbxContent>
                <w:p>
                  <w:pPr>
                    <w:rPr>
                      <w:sz w:val="15"/>
                      <w:szCs w:val="15"/>
                    </w:rPr>
                  </w:pPr>
                  <w:r>
                    <w:rPr>
                      <w:rFonts w:hint="eastAsia"/>
                      <w:sz w:val="15"/>
                      <w:szCs w:val="15"/>
                    </w:rPr>
                    <w:t>单位：万元</w:t>
                  </w:r>
                </w:p>
              </w:txbxContent>
            </v:textbox>
          </v:shape>
        </w:pict>
      </w:r>
      <w:r>
        <w:drawing>
          <wp:inline distT="0" distB="0" distL="0" distR="0">
            <wp:extent cx="5274310" cy="3076575"/>
            <wp:effectExtent l="19050" t="0" r="21590" b="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2"/>
        </w:numPr>
        <w:spacing w:line="600" w:lineRule="exact"/>
        <w:ind w:firstLineChars="0"/>
        <w:outlineLvl w:val="1"/>
        <w:rPr>
          <w:rStyle w:val="18"/>
          <w:rFonts w:ascii="黑体" w:hAnsi="黑体" w:eastAsia="黑体"/>
          <w:b w:val="0"/>
        </w:rPr>
      </w:pPr>
      <w:bookmarkStart w:id="18" w:name="_Toc15396604"/>
      <w:bookmarkStart w:id="19" w:name="_Toc15377206"/>
      <w:r>
        <w:rPr>
          <w:rFonts w:hint="eastAsia" w:ascii="黑体" w:hAnsi="黑体" w:eastAsia="黑体"/>
          <w:color w:val="000000"/>
          <w:sz w:val="32"/>
          <w:szCs w:val="32"/>
        </w:rPr>
        <w:t>收</w:t>
      </w:r>
      <w:r>
        <w:rPr>
          <w:rStyle w:val="18"/>
          <w:rFonts w:hint="eastAsia" w:ascii="黑体" w:hAnsi="黑体" w:eastAsia="黑体"/>
          <w:b w:val="0"/>
        </w:rPr>
        <w:t>入决算情况说明</w:t>
      </w:r>
      <w:bookmarkEnd w:id="18"/>
      <w:bookmarkEnd w:id="19"/>
    </w:p>
    <w:p>
      <w:pPr>
        <w:spacing w:line="600" w:lineRule="exact"/>
        <w:ind w:firstLine="640" w:firstLineChars="200"/>
        <w:outlineLvl w:val="1"/>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22年本年收入合计339.63万元，其中：一般公共预算财政拨款收入338.63万元，占99.71</w:t>
      </w:r>
      <w:r>
        <w:rPr>
          <w:rFonts w:ascii="仿宋" w:hAnsi="仿宋" w:eastAsia="仿宋" w:cs="仿宋"/>
          <w:color w:val="000000"/>
          <w:sz w:val="32"/>
          <w:szCs w:val="32"/>
        </w:rPr>
        <w:t>%</w:t>
      </w:r>
      <w:r>
        <w:rPr>
          <w:rFonts w:hint="eastAsia" w:ascii="仿宋" w:hAnsi="仿宋" w:eastAsia="仿宋" w:cs="仿宋"/>
          <w:color w:val="000000"/>
          <w:sz w:val="32"/>
          <w:szCs w:val="32"/>
        </w:rPr>
        <w:t>；政府性基金预算财政拨款收入1万元，占0.29</w:t>
      </w:r>
      <w:r>
        <w:rPr>
          <w:rFonts w:ascii="仿宋" w:hAnsi="仿宋" w:eastAsia="仿宋" w:cs="仿宋"/>
          <w:color w:val="000000"/>
          <w:sz w:val="32"/>
          <w:szCs w:val="32"/>
        </w:rPr>
        <w:t>%</w:t>
      </w:r>
      <w:r>
        <w:rPr>
          <w:rFonts w:hint="eastAsia" w:ascii="仿宋" w:hAnsi="仿宋" w:eastAsia="仿宋" w:cs="仿宋"/>
          <w:color w:val="000000"/>
          <w:sz w:val="32"/>
          <w:szCs w:val="32"/>
        </w:rPr>
        <w:t>；国有资本经营预算财政拨款收入0万元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上级补助收入0万元，占0</w:t>
      </w:r>
      <w:r>
        <w:rPr>
          <w:rFonts w:ascii="仿宋" w:hAnsi="仿宋" w:eastAsia="仿宋" w:cs="仿宋"/>
          <w:color w:val="000000"/>
          <w:sz w:val="32"/>
          <w:szCs w:val="32"/>
        </w:rPr>
        <w:t>%</w:t>
      </w:r>
      <w:r>
        <w:rPr>
          <w:rFonts w:hint="eastAsia" w:ascii="仿宋" w:hAnsi="仿宋" w:eastAsia="仿宋" w:cs="仿宋"/>
          <w:color w:val="000000"/>
          <w:sz w:val="32"/>
          <w:szCs w:val="32"/>
        </w:rPr>
        <w:t>；事业收入0万元，占0</w:t>
      </w:r>
      <w:r>
        <w:rPr>
          <w:rFonts w:ascii="仿宋" w:hAnsi="仿宋" w:eastAsia="仿宋" w:cs="仿宋"/>
          <w:color w:val="000000"/>
          <w:sz w:val="32"/>
          <w:szCs w:val="32"/>
        </w:rPr>
        <w:t>%</w:t>
      </w:r>
      <w:r>
        <w:rPr>
          <w:rFonts w:hint="eastAsia" w:ascii="仿宋" w:hAnsi="仿宋" w:eastAsia="仿宋" w:cs="仿宋"/>
          <w:color w:val="000000"/>
          <w:sz w:val="32"/>
          <w:szCs w:val="32"/>
        </w:rPr>
        <w:t>；经营收入0万元，占0</w:t>
      </w:r>
      <w:r>
        <w:rPr>
          <w:rFonts w:ascii="仿宋" w:hAnsi="仿宋" w:eastAsia="仿宋" w:cs="仿宋"/>
          <w:color w:val="000000"/>
          <w:sz w:val="32"/>
          <w:szCs w:val="32"/>
        </w:rPr>
        <w:t>%</w:t>
      </w:r>
      <w:r>
        <w:rPr>
          <w:rFonts w:hint="eastAsia" w:ascii="仿宋" w:hAnsi="仿宋" w:eastAsia="仿宋" w:cs="仿宋"/>
          <w:color w:val="000000"/>
          <w:sz w:val="32"/>
          <w:szCs w:val="32"/>
        </w:rPr>
        <w:t>；附属单位上缴收入0万元，占0</w:t>
      </w:r>
      <w:r>
        <w:rPr>
          <w:rFonts w:ascii="仿宋" w:hAnsi="仿宋" w:eastAsia="仿宋" w:cs="仿宋"/>
          <w:color w:val="000000"/>
          <w:sz w:val="32"/>
          <w:szCs w:val="32"/>
        </w:rPr>
        <w:t>%</w:t>
      </w:r>
      <w:r>
        <w:rPr>
          <w:rFonts w:hint="eastAsia" w:ascii="仿宋" w:hAnsi="仿宋" w:eastAsia="仿宋" w:cs="仿宋"/>
          <w:color w:val="000000"/>
          <w:sz w:val="32"/>
          <w:szCs w:val="32"/>
        </w:rPr>
        <w:t>；其他收入0万元，占0</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ind w:firstLine="640" w:firstLineChars="200"/>
        <w:outlineLvl w:val="1"/>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2"/>
        </w:numPr>
        <w:spacing w:line="600" w:lineRule="exact"/>
        <w:ind w:firstLineChars="0"/>
        <w:outlineLvl w:val="1"/>
        <w:rPr>
          <w:rStyle w:val="18"/>
          <w:rFonts w:ascii="黑体" w:hAnsi="黑体" w:eastAsia="黑体"/>
          <w:b w:val="0"/>
        </w:rPr>
      </w:pPr>
      <w:bookmarkStart w:id="20" w:name="_Toc15377207"/>
      <w:bookmarkStart w:id="21" w:name="_Toc15396605"/>
      <w:r>
        <w:rPr>
          <w:rFonts w:hint="eastAsia" w:ascii="黑体" w:hAnsi="黑体" w:eastAsia="黑体"/>
          <w:color w:val="000000"/>
          <w:sz w:val="32"/>
          <w:szCs w:val="32"/>
        </w:rPr>
        <w:t>支</w:t>
      </w:r>
      <w:r>
        <w:rPr>
          <w:rStyle w:val="18"/>
          <w:rFonts w:hint="eastAsia" w:ascii="黑体" w:hAnsi="黑体" w:eastAsia="黑体"/>
          <w:b w:val="0"/>
        </w:rPr>
        <w:t>出决算情况说明</w:t>
      </w:r>
      <w:bookmarkEnd w:id="20"/>
      <w:bookmarkEnd w:id="21"/>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22年本年支出合计339.63万元，其中：基本支出335.63万元，占98.83</w:t>
      </w:r>
      <w:r>
        <w:rPr>
          <w:rFonts w:ascii="仿宋" w:hAnsi="仿宋" w:eastAsia="仿宋"/>
          <w:color w:val="000000"/>
          <w:sz w:val="32"/>
          <w:szCs w:val="32"/>
        </w:rPr>
        <w:t>%</w:t>
      </w:r>
      <w:r>
        <w:rPr>
          <w:rFonts w:hint="eastAsia" w:ascii="仿宋" w:hAnsi="仿宋" w:eastAsia="仿宋"/>
          <w:color w:val="000000"/>
          <w:sz w:val="32"/>
          <w:szCs w:val="32"/>
        </w:rPr>
        <w:t>；项目支出4万元，占1.17</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图三</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支出决算结构图</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margin">
              <wp:posOffset>-25400</wp:posOffset>
            </wp:positionH>
            <wp:positionV relativeFrom="margin">
              <wp:posOffset>668020</wp:posOffset>
            </wp:positionV>
            <wp:extent cx="4906645" cy="2719070"/>
            <wp:effectExtent l="19050" t="0" r="27305" b="5080"/>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5"/>
        <w:rPr>
          <w:rFonts w:ascii="仿宋" w:hAnsi="仿宋" w:eastAsia="仿宋"/>
          <w:color w:val="000000"/>
          <w:sz w:val="32"/>
          <w:szCs w:val="32"/>
        </w:rPr>
      </w:pPr>
    </w:p>
    <w:p>
      <w:pPr>
        <w:spacing w:line="600" w:lineRule="exact"/>
        <w:ind w:firstLine="645"/>
        <w:rPr>
          <w:rFonts w:ascii="仿宋" w:hAnsi="仿宋" w:eastAsia="仿宋"/>
          <w:color w:val="000000"/>
          <w:sz w:val="32"/>
          <w:szCs w:val="32"/>
        </w:rPr>
      </w:pPr>
    </w:p>
    <w:p>
      <w:pPr>
        <w:spacing w:line="600" w:lineRule="exact"/>
        <w:ind w:firstLine="645"/>
        <w:rPr>
          <w:rFonts w:ascii="仿宋" w:hAnsi="仿宋" w:eastAsia="仿宋"/>
          <w:color w:val="000000"/>
          <w:sz w:val="32"/>
          <w:szCs w:val="32"/>
        </w:rPr>
      </w:pPr>
    </w:p>
    <w:p>
      <w:pPr>
        <w:spacing w:line="600" w:lineRule="exact"/>
        <w:ind w:firstLine="645"/>
        <w:rPr>
          <w:rFonts w:ascii="仿宋" w:hAnsi="仿宋" w:eastAsia="仿宋"/>
          <w:color w:val="000000"/>
          <w:sz w:val="32"/>
          <w:szCs w:val="32"/>
        </w:rPr>
      </w:pPr>
    </w:p>
    <w:p>
      <w:pPr>
        <w:spacing w:line="600" w:lineRule="exact"/>
        <w:ind w:firstLine="645"/>
        <w:rPr>
          <w:rFonts w:ascii="仿宋" w:hAnsi="仿宋" w:eastAsia="仿宋"/>
          <w:color w:val="000000"/>
          <w:sz w:val="32"/>
          <w:szCs w:val="32"/>
        </w:rPr>
      </w:pPr>
    </w:p>
    <w:p>
      <w:pPr>
        <w:spacing w:line="600" w:lineRule="exact"/>
        <w:ind w:firstLine="645"/>
        <w:rPr>
          <w:rFonts w:ascii="仿宋" w:hAnsi="仿宋" w:eastAsia="仿宋"/>
          <w:color w:val="000000"/>
          <w:sz w:val="32"/>
          <w:szCs w:val="32"/>
        </w:rPr>
      </w:pPr>
    </w:p>
    <w:p>
      <w:pPr>
        <w:spacing w:line="600" w:lineRule="exact"/>
        <w:rPr>
          <w:rFonts w:ascii="仿宋" w:hAnsi="仿宋" w:eastAsia="仿宋"/>
          <w:color w:val="000000" w:themeColor="text1"/>
          <w:sz w:val="32"/>
          <w:szCs w:val="32"/>
        </w:rPr>
      </w:pPr>
    </w:p>
    <w:p/>
    <w:p>
      <w:pPr>
        <w:spacing w:line="600" w:lineRule="exact"/>
        <w:outlineLvl w:val="1"/>
        <w:rPr>
          <w:rFonts w:ascii="黑体" w:hAnsi="黑体" w:eastAsia="黑体"/>
          <w:color w:val="000000"/>
          <w:sz w:val="32"/>
          <w:szCs w:val="32"/>
        </w:rPr>
      </w:pPr>
      <w:bookmarkStart w:id="22" w:name="_Toc15377208"/>
      <w:bookmarkStart w:id="23" w:name="_Toc15396606"/>
    </w:p>
    <w:p>
      <w:pPr>
        <w:spacing w:line="600" w:lineRule="exact"/>
        <w:outlineLvl w:val="1"/>
        <w:rPr>
          <w:rStyle w:val="18"/>
          <w:rFonts w:ascii="黑体" w:hAnsi="黑体" w:eastAsia="黑体"/>
          <w:b w:val="0"/>
        </w:rPr>
      </w:pPr>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22"/>
      <w:bookmarkEnd w:id="23"/>
    </w:p>
    <w:p>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22年财政拨款收、支总计339.63万元。与</w:t>
      </w:r>
      <w:r>
        <w:rPr>
          <w:rFonts w:ascii="仿宋" w:hAnsi="仿宋" w:eastAsia="仿宋" w:cs="仿宋"/>
          <w:color w:val="000000"/>
          <w:sz w:val="32"/>
          <w:szCs w:val="32"/>
        </w:rPr>
        <w:t>20</w:t>
      </w:r>
      <w:r>
        <w:rPr>
          <w:rFonts w:hint="eastAsia" w:ascii="仿宋" w:hAnsi="仿宋" w:eastAsia="仿宋" w:cs="仿宋"/>
          <w:color w:val="000000"/>
          <w:sz w:val="32"/>
          <w:szCs w:val="32"/>
        </w:rPr>
        <w:t>21年相比，财政拨款收、支总计各增加38.63减少30.25万元，下降9</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。主要变动原因是学生生源减少和项目资金减少。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r>
        <w:drawing>
          <wp:inline distT="0" distB="0" distL="0" distR="0">
            <wp:extent cx="5274310" cy="3076575"/>
            <wp:effectExtent l="19050" t="0" r="21590" b="0"/>
            <wp:docPr id="1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outlineLvl w:val="1"/>
        <w:rPr>
          <w:rStyle w:val="18"/>
          <w:rFonts w:ascii="黑体" w:hAnsi="黑体" w:eastAsia="黑体"/>
          <w:b w:val="0"/>
        </w:rPr>
      </w:pPr>
      <w:bookmarkStart w:id="24" w:name="_Toc15377209"/>
      <w:bookmarkStart w:id="2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24"/>
      <w:bookmarkEnd w:id="25"/>
    </w:p>
    <w:p>
      <w:pPr>
        <w:spacing w:line="600" w:lineRule="exact"/>
        <w:ind w:firstLine="472" w:firstLineChars="147"/>
        <w:outlineLvl w:val="2"/>
        <w:rPr>
          <w:rFonts w:ascii="仿宋" w:hAnsi="仿宋" w:eastAsia="仿宋"/>
          <w:b/>
          <w:color w:val="000000"/>
          <w:sz w:val="32"/>
          <w:szCs w:val="32"/>
        </w:rPr>
      </w:pPr>
      <w:bookmarkStart w:id="26" w:name="_Toc15377210"/>
      <w:r>
        <w:rPr>
          <w:rFonts w:hint="eastAsia" w:ascii="仿宋" w:hAnsi="仿宋" w:eastAsia="仿宋"/>
          <w:b/>
          <w:color w:val="000000"/>
          <w:sz w:val="32"/>
          <w:szCs w:val="32"/>
        </w:rPr>
        <w:t>（一）一般公共预算财政拨款支出决算总体情况</w:t>
      </w:r>
      <w:bookmarkEnd w:id="26"/>
    </w:p>
    <w:p>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22年一般公共预算财政拨款支出338.63万元，占本年支出合计的99.71</w:t>
      </w:r>
      <w:r>
        <w:rPr>
          <w:rFonts w:ascii="仿宋" w:hAnsi="仿宋" w:eastAsia="仿宋" w:cs="仿宋"/>
          <w:color w:val="000000"/>
          <w:sz w:val="32"/>
          <w:szCs w:val="32"/>
        </w:rPr>
        <w:t>%</w:t>
      </w:r>
      <w:r>
        <w:rPr>
          <w:rFonts w:hint="eastAsia" w:ascii="仿宋" w:hAnsi="仿宋" w:eastAsia="仿宋" w:cs="仿宋"/>
          <w:color w:val="000000"/>
          <w:sz w:val="32"/>
          <w:szCs w:val="32"/>
        </w:rPr>
        <w:t>。与</w:t>
      </w:r>
      <w:r>
        <w:rPr>
          <w:rFonts w:ascii="仿宋" w:hAnsi="仿宋" w:eastAsia="仿宋" w:cs="仿宋"/>
          <w:color w:val="000000"/>
          <w:sz w:val="32"/>
          <w:szCs w:val="32"/>
        </w:rPr>
        <w:t>20</w:t>
      </w:r>
      <w:r>
        <w:rPr>
          <w:rFonts w:hint="eastAsia" w:ascii="仿宋" w:hAnsi="仿宋" w:eastAsia="仿宋" w:cs="仿宋"/>
          <w:color w:val="000000"/>
          <w:sz w:val="32"/>
          <w:szCs w:val="32"/>
        </w:rPr>
        <w:t>21年相比，一般公共预算财政拨款减少28.35万元，下降7.73</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。主要变动原因是学生生源减少和项目资金减少。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600" w:lineRule="exact"/>
        <w:ind w:firstLine="640" w:firstLineChars="200"/>
        <w:rPr>
          <w:rFonts w:ascii="仿宋" w:hAnsi="仿宋" w:eastAsia="仿宋"/>
          <w:color w:val="000000" w:themeColor="text1"/>
          <w:sz w:val="32"/>
          <w:szCs w:val="32"/>
        </w:rPr>
      </w:pPr>
    </w:p>
    <w:p>
      <w:r>
        <w:rPr>
          <w:color w:val="FF0000"/>
        </w:rPr>
        <w:drawing>
          <wp:inline distT="0" distB="0" distL="0" distR="0">
            <wp:extent cx="5274310" cy="3076575"/>
            <wp:effectExtent l="19050" t="0" r="21590" b="0"/>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rPr>
      </w:pPr>
      <w:bookmarkStart w:id="27" w:name="_Toc15377211"/>
      <w:r>
        <w:rPr>
          <w:rFonts w:hint="eastAsia" w:ascii="仿宋" w:hAnsi="仿宋" w:eastAsia="仿宋"/>
          <w:b/>
          <w:color w:val="000000"/>
          <w:sz w:val="32"/>
          <w:szCs w:val="32"/>
        </w:rPr>
        <w:t>（二）一般公共预算财政拨款支出决算结构情况</w:t>
      </w:r>
      <w:bookmarkEnd w:id="27"/>
    </w:p>
    <w:p>
      <w:pPr>
        <w:spacing w:line="600" w:lineRule="exact"/>
        <w:ind w:firstLine="800" w:firstLineChars="250"/>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22年一般公共预算财政拨款支出338.63万元，主要用于以下方面</w:t>
      </w:r>
      <w:r>
        <w:rPr>
          <w:rFonts w:hint="eastAsia" w:ascii="仿宋" w:hAnsi="仿宋" w:eastAsia="仿宋" w:cs="仿宋"/>
          <w:color w:val="000000"/>
          <w:sz w:val="32"/>
          <w:szCs w:val="32"/>
          <w:lang w:eastAsia="zh-CN"/>
        </w:rPr>
        <w:t>：</w:t>
      </w:r>
      <w:r>
        <w:rPr>
          <w:rFonts w:hint="eastAsia" w:ascii="仿宋" w:hAnsi="仿宋" w:eastAsia="仿宋" w:cs="仿宋"/>
          <w:bCs/>
          <w:color w:val="000000"/>
          <w:sz w:val="32"/>
          <w:szCs w:val="32"/>
        </w:rPr>
        <w:t>教育支出(普通教育)(学前教育)</w:t>
      </w:r>
      <w:r>
        <w:rPr>
          <w:rFonts w:hint="eastAsia" w:ascii="仿宋" w:hAnsi="仿宋" w:eastAsia="仿宋" w:cs="仿宋"/>
          <w:color w:val="000000"/>
          <w:sz w:val="32"/>
          <w:szCs w:val="32"/>
        </w:rPr>
        <w:t>9.45万元，占2.79%；</w:t>
      </w:r>
      <w:r>
        <w:rPr>
          <w:rFonts w:hint="eastAsia" w:ascii="仿宋" w:hAnsi="仿宋" w:eastAsia="仿宋" w:cs="仿宋"/>
          <w:bCs/>
          <w:color w:val="000000"/>
          <w:sz w:val="32"/>
          <w:szCs w:val="32"/>
        </w:rPr>
        <w:t>教育支出(普通教育)(小学教育)266.94万元，</w:t>
      </w:r>
      <w:r>
        <w:rPr>
          <w:rFonts w:hint="eastAsia" w:ascii="仿宋" w:hAnsi="仿宋" w:eastAsia="仿宋" w:cs="仿宋"/>
          <w:color w:val="000000"/>
          <w:sz w:val="32"/>
          <w:szCs w:val="32"/>
        </w:rPr>
        <w:t>占78.83</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Cs/>
          <w:color w:val="000000"/>
          <w:sz w:val="32"/>
          <w:szCs w:val="32"/>
        </w:rPr>
        <w:t>社会保障和就业支出（行政事业单位养老支出）（机关事业单位基本养老保险缴费支出）</w:t>
      </w:r>
      <w:r>
        <w:rPr>
          <w:rFonts w:hint="eastAsia" w:ascii="仿宋" w:hAnsi="仿宋" w:eastAsia="仿宋" w:cs="仿宋"/>
          <w:color w:val="000000"/>
          <w:sz w:val="32"/>
          <w:szCs w:val="32"/>
        </w:rPr>
        <w:t>26.84万元，占7.93</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Cs/>
          <w:color w:val="000000"/>
          <w:sz w:val="32"/>
          <w:szCs w:val="32"/>
        </w:rPr>
        <w:t>社会保障和就业支出（其他社会保障和就业支出）（其他社会保障和就业支出）1.85万元，占0.55%；卫生健康支出（行政事业单位医疗）（事业单位医疗）</w:t>
      </w:r>
      <w:r>
        <w:rPr>
          <w:rFonts w:hint="eastAsia" w:ascii="仿宋" w:hAnsi="仿宋" w:eastAsia="仿宋" w:cs="仿宋"/>
          <w:color w:val="000000"/>
          <w:sz w:val="32"/>
          <w:szCs w:val="32"/>
        </w:rPr>
        <w:t>13.42万元，占3.97</w:t>
      </w:r>
      <w:r>
        <w:rPr>
          <w:rFonts w:ascii="仿宋" w:hAnsi="仿宋" w:eastAsia="仿宋" w:cs="仿宋"/>
          <w:color w:val="000000"/>
          <w:sz w:val="32"/>
          <w:szCs w:val="32"/>
        </w:rPr>
        <w:t>%</w:t>
      </w:r>
      <w:r>
        <w:rPr>
          <w:rFonts w:hint="eastAsia" w:ascii="仿宋" w:hAnsi="仿宋" w:eastAsia="仿宋" w:cs="仿宋"/>
          <w:color w:val="000000"/>
          <w:sz w:val="32"/>
          <w:szCs w:val="32"/>
        </w:rPr>
        <w:t>；住房保障支出（住房改革支出）（住房公积金）20.13万元，占5.96</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sz w:val="32"/>
          <w:szCs w:val="32"/>
        </w:rPr>
        <w:t>图6：一般公共预算财政拨款支出决算结构：</w:t>
      </w:r>
    </w:p>
    <w:p>
      <w:r>
        <w:rPr>
          <w:rFonts w:hint="eastAsia"/>
        </w:rPr>
        <w:drawing>
          <wp:inline distT="0" distB="0" distL="0" distR="0">
            <wp:extent cx="5365115" cy="2901315"/>
            <wp:effectExtent l="19050" t="0" r="25791" b="0"/>
            <wp:docPr id="1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472" w:firstLineChars="147"/>
        <w:outlineLvl w:val="2"/>
        <w:rPr>
          <w:rFonts w:ascii="仿宋" w:hAnsi="仿宋" w:eastAsia="仿宋"/>
          <w:b/>
          <w:color w:val="000000"/>
          <w:sz w:val="32"/>
          <w:szCs w:val="32"/>
        </w:rPr>
      </w:pPr>
      <w:bookmarkStart w:id="28" w:name="_Toc15377212"/>
      <w:r>
        <w:rPr>
          <w:rFonts w:hint="eastAsia" w:ascii="仿宋" w:hAnsi="仿宋" w:eastAsia="仿宋"/>
          <w:b/>
          <w:color w:val="000000"/>
          <w:sz w:val="32"/>
          <w:szCs w:val="32"/>
        </w:rPr>
        <w:t>（三）一般公共预算财政拨款支出决算具体情况</w:t>
      </w:r>
      <w:bookmarkEnd w:id="28"/>
    </w:p>
    <w:p>
      <w:pPr>
        <w:spacing w:line="600" w:lineRule="exact"/>
        <w:ind w:firstLine="640" w:firstLineChars="200"/>
        <w:outlineLvl w:val="2"/>
        <w:rPr>
          <w:rFonts w:ascii="仿宋" w:hAnsi="仿宋" w:eastAsia="仿宋"/>
          <w:color w:val="FF0000"/>
          <w:sz w:val="32"/>
          <w:szCs w:val="32"/>
        </w:rPr>
      </w:pPr>
      <w:bookmarkStart w:id="29" w:name="_Toc15377213"/>
      <w:bookmarkStart w:id="30" w:name="_Toc15378460"/>
      <w:bookmarkStart w:id="31" w:name="_Toc15377444"/>
      <w:bookmarkStart w:id="32" w:name="_Toc15396608"/>
      <w:bookmarkStart w:id="33" w:name="_Toc15377214"/>
      <w:r>
        <w:rPr>
          <w:rFonts w:ascii="仿宋" w:hAnsi="仿宋" w:eastAsia="仿宋" w:cs="仿宋"/>
          <w:bCs/>
          <w:color w:val="000000"/>
          <w:sz w:val="32"/>
          <w:szCs w:val="32"/>
        </w:rPr>
        <w:t>20</w:t>
      </w:r>
      <w:r>
        <w:rPr>
          <w:rFonts w:hint="eastAsia" w:ascii="仿宋" w:hAnsi="仿宋" w:eastAsia="仿宋" w:cs="仿宋"/>
          <w:bCs/>
          <w:color w:val="000000"/>
          <w:sz w:val="32"/>
          <w:szCs w:val="32"/>
        </w:rPr>
        <w:t>22年一般公共预算支出决算数为338.63万元</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完成预算100</w:t>
      </w:r>
      <w:r>
        <w:rPr>
          <w:rStyle w:val="14"/>
          <w:rFonts w:ascii="仿宋" w:hAnsi="仿宋" w:eastAsia="仿宋" w:cs="仿宋"/>
          <w:b w:val="0"/>
          <w:color w:val="000000"/>
          <w:sz w:val="32"/>
          <w:szCs w:val="32"/>
        </w:rPr>
        <w:t>%</w:t>
      </w:r>
      <w:r>
        <w:rPr>
          <w:rStyle w:val="14"/>
          <w:rFonts w:hint="eastAsia" w:ascii="仿宋" w:hAnsi="仿宋" w:eastAsia="仿宋" w:cs="仿宋"/>
          <w:b w:val="0"/>
          <w:color w:val="000000"/>
          <w:sz w:val="32"/>
          <w:szCs w:val="32"/>
        </w:rPr>
        <w:t>。其中：</w:t>
      </w:r>
      <w:bookmarkEnd w:id="29"/>
      <w:bookmarkEnd w:id="30"/>
      <w:bookmarkEnd w:id="31"/>
    </w:p>
    <w:p>
      <w:pPr>
        <w:spacing w:line="600" w:lineRule="exact"/>
        <w:ind w:firstLine="640" w:firstLineChars="200"/>
        <w:rPr>
          <w:rFonts w:ascii="仿宋" w:hAnsi="仿宋" w:eastAsia="仿宋"/>
          <w:bCs/>
          <w:color w:val="000000"/>
          <w:sz w:val="32"/>
          <w:szCs w:val="32"/>
        </w:rPr>
      </w:pPr>
      <w:r>
        <w:rPr>
          <w:rStyle w:val="14"/>
          <w:rFonts w:hint="eastAsia" w:ascii="仿宋" w:hAnsi="仿宋" w:eastAsia="仿宋" w:cs="仿宋"/>
          <w:b w:val="0"/>
          <w:color w:val="000000"/>
          <w:sz w:val="32"/>
          <w:szCs w:val="32"/>
        </w:rPr>
        <w:t>1.</w:t>
      </w:r>
      <w:r>
        <w:rPr>
          <w:rFonts w:hint="eastAsia" w:ascii="仿宋" w:hAnsi="仿宋" w:eastAsia="仿宋" w:cs="仿宋"/>
          <w:bCs/>
          <w:color w:val="000000"/>
          <w:sz w:val="32"/>
          <w:szCs w:val="32"/>
        </w:rPr>
        <w:t xml:space="preserve"> 教育支出(普通教育)(学前教育)</w:t>
      </w:r>
      <w:r>
        <w:rPr>
          <w:rFonts w:hint="eastAsia" w:ascii="仿宋" w:hAnsi="仿宋" w:eastAsia="仿宋" w:cs="仿宋"/>
          <w:color w:val="000000"/>
          <w:sz w:val="32"/>
          <w:szCs w:val="32"/>
        </w:rPr>
        <w:t>9.45万元</w:t>
      </w:r>
      <w:r>
        <w:rPr>
          <w:rStyle w:val="14"/>
          <w:rFonts w:hint="eastAsia" w:ascii="仿宋" w:hAnsi="仿宋" w:eastAsia="仿宋" w:cs="仿宋"/>
          <w:b w:val="0"/>
          <w:color w:val="000000"/>
          <w:sz w:val="32"/>
          <w:szCs w:val="32"/>
        </w:rPr>
        <w:t>，完成预算100</w:t>
      </w:r>
      <w:r>
        <w:rPr>
          <w:rStyle w:val="14"/>
          <w:rFonts w:ascii="仿宋" w:hAnsi="仿宋" w:eastAsia="仿宋" w:cs="仿宋"/>
          <w:b w:val="0"/>
          <w:color w:val="000000"/>
          <w:sz w:val="32"/>
          <w:szCs w:val="32"/>
        </w:rPr>
        <w:t>%</w:t>
      </w:r>
      <w:r>
        <w:rPr>
          <w:rStyle w:val="14"/>
          <w:rFonts w:hint="eastAsia" w:ascii="仿宋" w:hAnsi="仿宋" w:eastAsia="仿宋" w:cs="仿宋"/>
          <w:b w:val="0"/>
          <w:color w:val="000000"/>
          <w:sz w:val="32"/>
          <w:szCs w:val="32"/>
        </w:rPr>
        <w:t>。</w:t>
      </w:r>
    </w:p>
    <w:p>
      <w:pPr>
        <w:spacing w:line="600" w:lineRule="exact"/>
        <w:ind w:firstLine="640" w:firstLineChars="200"/>
        <w:rPr>
          <w:rFonts w:ascii="仿宋" w:hAnsi="仿宋" w:eastAsia="仿宋"/>
          <w:bCs/>
          <w:color w:val="000000"/>
          <w:sz w:val="32"/>
          <w:szCs w:val="32"/>
        </w:rPr>
      </w:pPr>
      <w:r>
        <w:rPr>
          <w:rStyle w:val="14"/>
          <w:rFonts w:hint="eastAsia" w:ascii="仿宋" w:hAnsi="仿宋" w:eastAsia="仿宋" w:cs="仿宋"/>
          <w:b w:val="0"/>
          <w:color w:val="000000"/>
          <w:sz w:val="32"/>
          <w:szCs w:val="32"/>
        </w:rPr>
        <w:t>2.</w:t>
      </w:r>
      <w:r>
        <w:rPr>
          <w:rFonts w:hint="eastAsia" w:ascii="仿宋" w:hAnsi="仿宋" w:eastAsia="仿宋" w:cs="仿宋"/>
          <w:bCs/>
          <w:color w:val="000000"/>
          <w:sz w:val="32"/>
          <w:szCs w:val="32"/>
        </w:rPr>
        <w:t xml:space="preserve"> 教育支出(普通教育)(小学教育)266.94万元，</w:t>
      </w:r>
      <w:r>
        <w:rPr>
          <w:rStyle w:val="14"/>
          <w:rFonts w:hint="eastAsia" w:ascii="仿宋" w:hAnsi="仿宋" w:eastAsia="仿宋" w:cs="仿宋"/>
          <w:b w:val="0"/>
          <w:color w:val="000000"/>
          <w:sz w:val="32"/>
          <w:szCs w:val="32"/>
        </w:rPr>
        <w:t>完成预算100</w:t>
      </w:r>
      <w:r>
        <w:rPr>
          <w:rStyle w:val="14"/>
          <w:rFonts w:ascii="仿宋" w:hAnsi="仿宋" w:eastAsia="仿宋" w:cs="仿宋"/>
          <w:b w:val="0"/>
          <w:color w:val="000000"/>
          <w:sz w:val="32"/>
          <w:szCs w:val="32"/>
        </w:rPr>
        <w:t>%</w:t>
      </w:r>
      <w:r>
        <w:rPr>
          <w:rStyle w:val="14"/>
          <w:rFonts w:hint="eastAsia" w:ascii="仿宋" w:hAnsi="仿宋" w:eastAsia="仿宋" w:cs="仿宋"/>
          <w:b w:val="0"/>
          <w:color w:val="000000"/>
          <w:sz w:val="32"/>
          <w:szCs w:val="32"/>
        </w:rPr>
        <w:t>。</w:t>
      </w:r>
    </w:p>
    <w:p>
      <w:pPr>
        <w:spacing w:line="600" w:lineRule="exact"/>
        <w:ind w:firstLine="640" w:firstLineChars="200"/>
        <w:rPr>
          <w:rFonts w:ascii="仿宋" w:hAnsi="仿宋" w:eastAsia="仿宋"/>
          <w:bCs/>
          <w:color w:val="000000"/>
          <w:sz w:val="32"/>
          <w:szCs w:val="32"/>
        </w:rPr>
      </w:pPr>
      <w:r>
        <w:rPr>
          <w:rStyle w:val="14"/>
          <w:rFonts w:hint="eastAsia" w:ascii="仿宋" w:hAnsi="仿宋" w:eastAsia="仿宋" w:cs="仿宋"/>
          <w:b w:val="0"/>
          <w:color w:val="000000"/>
          <w:sz w:val="32"/>
          <w:szCs w:val="32"/>
        </w:rPr>
        <w:t>3.</w:t>
      </w:r>
      <w:r>
        <w:rPr>
          <w:rFonts w:hint="eastAsia" w:ascii="仿宋" w:hAnsi="仿宋" w:eastAsia="仿宋" w:cs="仿宋"/>
          <w:bCs/>
          <w:color w:val="000000"/>
          <w:sz w:val="32"/>
          <w:szCs w:val="32"/>
        </w:rPr>
        <w:t xml:space="preserve"> 社会保障和就业支出（行政事业单位养老支出）（机关事业单位基本养老保险缴费支出）</w:t>
      </w:r>
      <w:r>
        <w:rPr>
          <w:rFonts w:hint="eastAsia" w:ascii="仿宋" w:hAnsi="仿宋" w:eastAsia="仿宋" w:cs="仿宋"/>
          <w:color w:val="000000"/>
          <w:sz w:val="32"/>
          <w:szCs w:val="32"/>
        </w:rPr>
        <w:t>26.84万元，</w:t>
      </w:r>
      <w:r>
        <w:rPr>
          <w:rStyle w:val="14"/>
          <w:rFonts w:hint="eastAsia" w:ascii="仿宋" w:hAnsi="仿宋" w:eastAsia="仿宋" w:cs="仿宋"/>
          <w:b w:val="0"/>
          <w:color w:val="000000"/>
          <w:sz w:val="32"/>
          <w:szCs w:val="32"/>
        </w:rPr>
        <w:t>完成预算100</w:t>
      </w:r>
      <w:r>
        <w:rPr>
          <w:rStyle w:val="14"/>
          <w:rFonts w:ascii="仿宋" w:hAnsi="仿宋" w:eastAsia="仿宋" w:cs="仿宋"/>
          <w:b w:val="0"/>
          <w:color w:val="000000"/>
          <w:sz w:val="32"/>
          <w:szCs w:val="32"/>
        </w:rPr>
        <w:t>%</w:t>
      </w:r>
      <w:r>
        <w:rPr>
          <w:rStyle w:val="14"/>
          <w:rFonts w:hint="eastAsia" w:ascii="仿宋" w:hAnsi="仿宋" w:eastAsia="仿宋" w:cs="仿宋"/>
          <w:b w:val="0"/>
          <w:color w:val="000000"/>
          <w:sz w:val="32"/>
          <w:szCs w:val="32"/>
        </w:rPr>
        <w:t>。</w:t>
      </w:r>
    </w:p>
    <w:p>
      <w:pPr>
        <w:spacing w:line="600" w:lineRule="exact"/>
        <w:ind w:firstLine="640" w:firstLineChars="200"/>
        <w:rPr>
          <w:rFonts w:ascii="仿宋" w:hAnsi="仿宋" w:eastAsia="仿宋"/>
          <w:bCs/>
          <w:color w:val="000000"/>
          <w:sz w:val="32"/>
          <w:szCs w:val="32"/>
        </w:rPr>
      </w:pPr>
      <w:r>
        <w:rPr>
          <w:rStyle w:val="14"/>
          <w:rFonts w:hint="eastAsia" w:ascii="仿宋" w:hAnsi="仿宋" w:eastAsia="仿宋" w:cs="仿宋"/>
          <w:b w:val="0"/>
          <w:color w:val="000000"/>
          <w:sz w:val="32"/>
          <w:szCs w:val="32"/>
        </w:rPr>
        <w:t>4.</w:t>
      </w:r>
      <w:r>
        <w:rPr>
          <w:rFonts w:hint="eastAsia" w:ascii="仿宋" w:hAnsi="仿宋" w:eastAsia="仿宋" w:cs="仿宋"/>
          <w:bCs/>
          <w:color w:val="000000"/>
          <w:sz w:val="32"/>
          <w:szCs w:val="32"/>
        </w:rPr>
        <w:t xml:space="preserve"> 社会保障和就业支出（其他社会保障和就业支出）（其他社会保障和就业支出）1.85万元</w:t>
      </w:r>
      <w:r>
        <w:rPr>
          <w:rStyle w:val="14"/>
          <w:rFonts w:hint="eastAsia" w:ascii="仿宋" w:hAnsi="仿宋" w:eastAsia="仿宋" w:cs="仿宋"/>
          <w:b w:val="0"/>
          <w:color w:val="000000"/>
          <w:sz w:val="32"/>
          <w:szCs w:val="32"/>
        </w:rPr>
        <w:t>，完成预算100</w:t>
      </w:r>
      <w:r>
        <w:rPr>
          <w:rStyle w:val="14"/>
          <w:rFonts w:ascii="仿宋" w:hAnsi="仿宋" w:eastAsia="仿宋" w:cs="仿宋"/>
          <w:b w:val="0"/>
          <w:color w:val="000000"/>
          <w:sz w:val="32"/>
          <w:szCs w:val="32"/>
        </w:rPr>
        <w:t>%</w:t>
      </w:r>
      <w:r>
        <w:rPr>
          <w:rStyle w:val="14"/>
          <w:rFonts w:hint="eastAsia" w:ascii="仿宋" w:hAnsi="仿宋" w:eastAsia="仿宋" w:cs="仿宋"/>
          <w:b w:val="0"/>
          <w:color w:val="000000"/>
          <w:sz w:val="32"/>
          <w:szCs w:val="32"/>
        </w:rPr>
        <w:t>。</w:t>
      </w:r>
    </w:p>
    <w:p>
      <w:pPr>
        <w:spacing w:line="600" w:lineRule="exact"/>
        <w:ind w:firstLine="640" w:firstLineChars="200"/>
        <w:rPr>
          <w:rFonts w:ascii="仿宋" w:hAnsi="仿宋" w:eastAsia="仿宋"/>
          <w:bCs/>
          <w:color w:val="000000"/>
          <w:sz w:val="32"/>
          <w:szCs w:val="32"/>
        </w:rPr>
      </w:pPr>
      <w:r>
        <w:rPr>
          <w:rStyle w:val="14"/>
          <w:rFonts w:hint="eastAsia" w:ascii="仿宋" w:hAnsi="仿宋" w:eastAsia="仿宋" w:cs="仿宋"/>
          <w:b w:val="0"/>
          <w:color w:val="000000"/>
          <w:sz w:val="32"/>
          <w:szCs w:val="32"/>
        </w:rPr>
        <w:t>5</w:t>
      </w:r>
      <w:r>
        <w:rPr>
          <w:rStyle w:val="14"/>
          <w:rFonts w:ascii="仿宋" w:hAnsi="仿宋" w:eastAsia="仿宋" w:cs="仿宋"/>
          <w:b w:val="0"/>
          <w:color w:val="000000"/>
          <w:sz w:val="32"/>
          <w:szCs w:val="32"/>
        </w:rPr>
        <w:t>.</w:t>
      </w:r>
      <w:r>
        <w:rPr>
          <w:rFonts w:hint="eastAsia" w:ascii="仿宋" w:hAnsi="仿宋" w:eastAsia="仿宋" w:cs="仿宋"/>
          <w:bCs/>
          <w:color w:val="000000"/>
          <w:sz w:val="32"/>
          <w:szCs w:val="32"/>
        </w:rPr>
        <w:t xml:space="preserve"> 卫生健康支出（行政事业单位医疗）（事业单位医疗）</w:t>
      </w:r>
      <w:r>
        <w:rPr>
          <w:rFonts w:hint="eastAsia" w:ascii="仿宋" w:hAnsi="仿宋" w:eastAsia="仿宋" w:cs="仿宋"/>
          <w:color w:val="000000"/>
          <w:sz w:val="32"/>
          <w:szCs w:val="32"/>
        </w:rPr>
        <w:t>13.42万元</w:t>
      </w:r>
      <w:r>
        <w:rPr>
          <w:rStyle w:val="14"/>
          <w:rFonts w:hint="eastAsia" w:ascii="仿宋" w:hAnsi="仿宋" w:eastAsia="仿宋" w:cs="仿宋"/>
          <w:b w:val="0"/>
          <w:color w:val="000000"/>
          <w:sz w:val="32"/>
          <w:szCs w:val="32"/>
        </w:rPr>
        <w:t>，完成预算100</w:t>
      </w:r>
      <w:r>
        <w:rPr>
          <w:rStyle w:val="14"/>
          <w:rFonts w:ascii="仿宋" w:hAnsi="仿宋" w:eastAsia="仿宋" w:cs="仿宋"/>
          <w:b w:val="0"/>
          <w:color w:val="000000"/>
          <w:sz w:val="32"/>
          <w:szCs w:val="32"/>
        </w:rPr>
        <w:t>%</w:t>
      </w:r>
      <w:r>
        <w:rPr>
          <w:rStyle w:val="14"/>
          <w:rFonts w:hint="eastAsia" w:ascii="仿宋" w:hAnsi="仿宋" w:eastAsia="仿宋" w:cs="仿宋"/>
          <w:b w:val="0"/>
          <w:color w:val="000000"/>
          <w:sz w:val="32"/>
          <w:szCs w:val="32"/>
        </w:rPr>
        <w:t>。</w:t>
      </w:r>
    </w:p>
    <w:p>
      <w:pPr>
        <w:spacing w:line="600" w:lineRule="exact"/>
        <w:ind w:firstLine="640" w:firstLineChars="200"/>
        <w:rPr>
          <w:rFonts w:ascii="仿宋" w:hAnsi="仿宋" w:eastAsia="仿宋"/>
          <w:color w:val="000000"/>
          <w:sz w:val="32"/>
          <w:szCs w:val="32"/>
        </w:rPr>
      </w:pPr>
      <w:r>
        <w:rPr>
          <w:rStyle w:val="14"/>
          <w:rFonts w:hint="eastAsia" w:ascii="仿宋" w:hAnsi="仿宋" w:eastAsia="仿宋" w:cs="仿宋"/>
          <w:b w:val="0"/>
          <w:color w:val="000000"/>
          <w:sz w:val="32"/>
          <w:szCs w:val="32"/>
        </w:rPr>
        <w:t>6.</w:t>
      </w:r>
      <w:r>
        <w:rPr>
          <w:rFonts w:hint="eastAsia" w:ascii="仿宋" w:hAnsi="仿宋" w:eastAsia="仿宋" w:cs="仿宋"/>
          <w:color w:val="000000"/>
          <w:sz w:val="32"/>
          <w:szCs w:val="32"/>
        </w:rPr>
        <w:t xml:space="preserve"> 住房保障支出（住房改革支出）（住房公积金）20.13万元</w:t>
      </w:r>
      <w:r>
        <w:rPr>
          <w:rStyle w:val="14"/>
          <w:rFonts w:hint="eastAsia" w:ascii="仿宋" w:hAnsi="仿宋" w:eastAsia="仿宋" w:cs="仿宋"/>
          <w:b w:val="0"/>
          <w:color w:val="000000"/>
          <w:sz w:val="32"/>
          <w:szCs w:val="32"/>
        </w:rPr>
        <w:t>，完成预算100%。</w:t>
      </w:r>
    </w:p>
    <w:p>
      <w:pPr>
        <w:spacing w:line="600" w:lineRule="exact"/>
        <w:rPr>
          <w:rStyle w:val="18"/>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32"/>
      <w:bookmarkEnd w:id="33"/>
      <w:r>
        <w:rPr>
          <w:rStyle w:val="1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rPr>
        <w:t>22年一般公共预算财政拨款基本支出335.63万元，其中：</w:t>
      </w:r>
    </w:p>
    <w:p>
      <w:pPr>
        <w:spacing w:line="600" w:lineRule="exact"/>
        <w:ind w:firstLine="645"/>
        <w:rPr>
          <w:rFonts w:ascii="仿宋" w:hAnsi="仿宋" w:eastAsia="仿宋"/>
          <w:color w:val="000000"/>
          <w:sz w:val="32"/>
          <w:szCs w:val="32"/>
        </w:rPr>
      </w:pPr>
      <w:r>
        <w:rPr>
          <w:rFonts w:hint="eastAsia" w:ascii="仿宋" w:hAnsi="仿宋" w:eastAsia="仿宋" w:cs="仿宋"/>
          <w:color w:val="000000"/>
          <w:sz w:val="32"/>
          <w:szCs w:val="32"/>
        </w:rPr>
        <w:t>人员经费317.29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s="仿宋"/>
          <w:color w:val="000000"/>
          <w:sz w:val="32"/>
          <w:szCs w:val="32"/>
        </w:rPr>
        <w:t>　　公用经费18.34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000000"/>
          <w:sz w:val="32"/>
          <w:szCs w:val="32"/>
        </w:rPr>
      </w:pPr>
      <w:r>
        <w:rPr>
          <w:rFonts w:hint="eastAsia" w:ascii="仿宋" w:hAnsi="仿宋" w:eastAsia="仿宋"/>
          <w:color w:val="000000"/>
          <w:sz w:val="32"/>
          <w:szCs w:val="32"/>
        </w:rPr>
        <w:t>图7：</w:t>
      </w:r>
      <w:r>
        <w:rPr>
          <w:rFonts w:hint="eastAsia" w:ascii="仿宋" w:hAnsi="仿宋" w:eastAsia="仿宋"/>
          <w:b/>
          <w:color w:val="000000"/>
          <w:sz w:val="32"/>
          <w:szCs w:val="32"/>
        </w:rPr>
        <w:t>一</w:t>
      </w:r>
      <w:r>
        <w:rPr>
          <w:rStyle w:val="18"/>
          <w:rFonts w:hint="eastAsia" w:ascii="仿宋" w:hAnsi="仿宋" w:eastAsia="仿宋"/>
          <w:b w:val="0"/>
        </w:rPr>
        <w:t>般公共预算财政拨款基本支出决算结构</w:t>
      </w:r>
      <w:r>
        <w:rPr>
          <w:rFonts w:hint="eastAsia" w:ascii="仿宋" w:hAnsi="仿宋" w:eastAsia="仿宋"/>
          <w:b/>
          <w:color w:val="000000"/>
          <w:sz w:val="32"/>
          <w:szCs w:val="32"/>
        </w:rPr>
        <w:t>：</w:t>
      </w:r>
    </w:p>
    <w:p>
      <w:r>
        <w:drawing>
          <wp:inline distT="0" distB="0" distL="0" distR="0">
            <wp:extent cx="5220970" cy="2628900"/>
            <wp:effectExtent l="19050" t="0" r="17585" b="0"/>
            <wp:docPr id="1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outlineLvl w:val="1"/>
        <w:rPr>
          <w:rStyle w:val="18"/>
          <w:rFonts w:ascii="黑体" w:hAnsi="黑体" w:eastAsia="黑体"/>
          <w:b w:val="0"/>
        </w:rPr>
      </w:pPr>
      <w:bookmarkStart w:id="34" w:name="_Toc15396609"/>
      <w:bookmarkStart w:id="35" w:name="_Toc15377215"/>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4"/>
      <w:bookmarkEnd w:id="35"/>
    </w:p>
    <w:p>
      <w:pPr>
        <w:spacing w:line="600" w:lineRule="exact"/>
        <w:ind w:firstLine="640"/>
        <w:outlineLvl w:val="2"/>
        <w:rPr>
          <w:rFonts w:ascii="仿宋" w:hAnsi="仿宋" w:eastAsia="仿宋"/>
          <w:b/>
          <w:color w:val="000000"/>
          <w:sz w:val="32"/>
          <w:szCs w:val="32"/>
        </w:rPr>
      </w:pPr>
      <w:bookmarkStart w:id="36" w:name="_Toc15377216"/>
      <w:r>
        <w:rPr>
          <w:rFonts w:hint="eastAsia" w:ascii="仿宋" w:hAnsi="仿宋" w:eastAsia="仿宋"/>
          <w:b/>
          <w:color w:val="000000"/>
          <w:sz w:val="32"/>
          <w:szCs w:val="32"/>
        </w:rPr>
        <w:t>（一）“三公”经费财政拨款支出决算总体情况说明</w:t>
      </w:r>
      <w:bookmarkEnd w:id="3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37" w:name="_Toc15377217"/>
      <w:r>
        <w:rPr>
          <w:rFonts w:hint="eastAsia" w:ascii="仿宋" w:hAnsi="仿宋" w:eastAsia="仿宋"/>
          <w:b/>
          <w:color w:val="000000"/>
          <w:sz w:val="32"/>
          <w:szCs w:val="32"/>
        </w:rPr>
        <w:t>（二）“三公”经费财政拨款支出决算具体情况说明</w:t>
      </w:r>
      <w:bookmarkEnd w:id="3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w:t>
      </w:r>
    </w:p>
    <w:p>
      <w:r>
        <w:drawing>
          <wp:inline distT="0" distB="0" distL="0" distR="0">
            <wp:extent cx="5278120" cy="2769235"/>
            <wp:effectExtent l="19050" t="0" r="17194" b="0"/>
            <wp:docPr id="1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b/>
          <w:color w:val="000000"/>
          <w:sz w:val="32"/>
          <w:szCs w:val="32"/>
        </w:rPr>
      </w:pPr>
      <w:bookmarkStart w:id="38" w:name="_Toc15377218"/>
      <w:bookmarkStart w:id="39" w:name="_Toc15396610"/>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全年安排因公出国（境）团组0次，出国（境）0人。因公出国（境）支出决算比</w:t>
      </w:r>
      <w:r>
        <w:rPr>
          <w:rFonts w:ascii="仿宋" w:hAnsi="仿宋" w:eastAsia="仿宋"/>
          <w:color w:val="000000"/>
          <w:sz w:val="32"/>
          <w:szCs w:val="32"/>
        </w:rPr>
        <w:t>20</w:t>
      </w:r>
      <w:r>
        <w:rPr>
          <w:rFonts w:hint="eastAsia" w:ascii="仿宋" w:hAnsi="仿宋" w:eastAsia="仿宋"/>
          <w:color w:val="000000"/>
          <w:sz w:val="32"/>
          <w:szCs w:val="32"/>
        </w:rPr>
        <w:t>21年增加0万元，增长0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0万元</w:t>
      </w:r>
      <w:r>
        <w:rPr>
          <w:rFonts w:hint="eastAsia" w:ascii="仿宋" w:hAnsi="仿宋" w:eastAsia="仿宋"/>
          <w:color w:val="000000"/>
          <w:sz w:val="32"/>
          <w:szCs w:val="32"/>
          <w:lang w:eastAsia="zh-CN"/>
        </w:rPr>
        <w:t>，</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w:t>
      </w:r>
      <w:r>
        <w:rPr>
          <w:rFonts w:hint="eastAsia" w:ascii="仿宋" w:hAnsi="仿宋" w:eastAsia="仿宋"/>
          <w:color w:val="000000"/>
          <w:sz w:val="32"/>
          <w:szCs w:val="32"/>
        </w:rPr>
        <w:t>21年增加0万元，增长0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0万元。全年按规定更新购置公务用车0辆，其中：轿车0辆、金额0万元，越野车0辆、金额0万元，载客汽车0辆、金额0万元0。截至</w:t>
      </w:r>
      <w:r>
        <w:rPr>
          <w:rFonts w:ascii="仿宋" w:hAnsi="仿宋" w:eastAsia="仿宋"/>
          <w:color w:val="000000"/>
          <w:sz w:val="32"/>
          <w:szCs w:val="32"/>
        </w:rPr>
        <w:t>20</w:t>
      </w:r>
      <w:r>
        <w:rPr>
          <w:rFonts w:hint="eastAsia" w:ascii="仿宋" w:hAnsi="仿宋" w:eastAsia="仿宋"/>
          <w:color w:val="000000"/>
          <w:sz w:val="32"/>
          <w:szCs w:val="32"/>
        </w:rPr>
        <w:t>22年</w:t>
      </w:r>
      <w:r>
        <w:rPr>
          <w:rFonts w:ascii="仿宋" w:hAnsi="仿宋" w:eastAsia="仿宋"/>
          <w:color w:val="000000"/>
          <w:sz w:val="32"/>
          <w:szCs w:val="32"/>
        </w:rPr>
        <w:t>12</w:t>
      </w:r>
      <w:r>
        <w:rPr>
          <w:rFonts w:hint="eastAsia" w:ascii="仿宋" w:hAnsi="仿宋" w:eastAsia="仿宋"/>
          <w:color w:val="000000"/>
          <w:sz w:val="32"/>
          <w:szCs w:val="32"/>
        </w:rPr>
        <w:t>月底，单位共有公务用车0辆，其中：轿车0辆、越野车0辆、载客汽车0辆。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0万元。主要用于</w:t>
      </w:r>
      <w:r>
        <w:rPr>
          <w:rFonts w:ascii="仿宋" w:hAnsi="仿宋" w:eastAsia="仿宋"/>
          <w:color w:val="000000"/>
          <w:sz w:val="32"/>
          <w:szCs w:val="32"/>
        </w:rPr>
        <w:t>…</w:t>
      </w:r>
      <w:r>
        <w:rPr>
          <w:rFonts w:hint="eastAsia" w:ascii="仿宋" w:hAnsi="仿宋" w:eastAsia="仿宋"/>
          <w:color w:val="000000"/>
          <w:sz w:val="32"/>
          <w:szCs w:val="32"/>
        </w:rPr>
        <w:t>（具体工作）等所需的公务用车燃料费、维修费、过路过桥费、保险费等支出。</w: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w:t>
      </w:r>
      <w:r>
        <w:rPr>
          <w:rFonts w:hint="eastAsia" w:ascii="仿宋" w:hAnsi="仿宋" w:eastAsia="仿宋"/>
          <w:color w:val="000000"/>
          <w:sz w:val="32"/>
          <w:szCs w:val="32"/>
        </w:rPr>
        <w:t>21年增加0万元，增长0</w:t>
      </w:r>
      <w:r>
        <w:rPr>
          <w:rFonts w:ascii="仿宋" w:hAnsi="仿宋" w:eastAsia="仿宋"/>
          <w:color w:val="000000"/>
          <w:sz w:val="32"/>
          <w:szCs w:val="32"/>
        </w:rPr>
        <w:t>%</w:t>
      </w:r>
      <w:r>
        <w:rPr>
          <w:rFonts w:hint="eastAsia" w:ascii="仿宋" w:hAnsi="仿宋" w:eastAsia="仿宋"/>
          <w:color w:val="000000"/>
          <w:sz w:val="32"/>
          <w:szCs w:val="32"/>
        </w:rPr>
        <w:t>。主要原因是未发生公务接待费用。其中：</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0万元，主要用于执行公务、开展业务活动开支的交通费、住宿费、用餐费等。国内公务接待0批次，0人次（不包括陪同人员），共计支出0万元。</w:t>
      </w:r>
      <w:r>
        <w:rPr>
          <w:rFonts w:ascii="仿宋" w:hAnsi="仿宋" w:eastAsia="仿宋"/>
          <w:color w:val="000000"/>
          <w:sz w:val="32"/>
          <w:szCs w:val="32"/>
        </w:rPr>
        <w:t xml:space="preserve"> </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r>
        <w:rPr>
          <w:rFonts w:hint="eastAsia" w:ascii="仿宋" w:hAnsi="仿宋" w:eastAsia="仿宋"/>
          <w:color w:val="000000" w:themeColor="text1"/>
          <w:sz w:val="32"/>
          <w:szCs w:val="32"/>
        </w:rPr>
        <w:t>，外事接待0批次，0人，共计支出0万元。</w:t>
      </w:r>
    </w:p>
    <w:p>
      <w:pPr>
        <w:spacing w:line="600" w:lineRule="exact"/>
        <w:ind w:firstLine="640"/>
        <w:outlineLvl w:val="1"/>
        <w:rPr>
          <w:rStyle w:val="18"/>
          <w:rFonts w:ascii="仿宋" w:hAnsi="仿宋" w:eastAsia="仿宋"/>
        </w:rPr>
      </w:pPr>
      <w:r>
        <w:rPr>
          <w:rFonts w:hint="eastAsia" w:ascii="仿宋" w:hAnsi="仿宋" w:eastAsia="仿宋"/>
          <w:color w:val="000000"/>
          <w:sz w:val="32"/>
          <w:szCs w:val="32"/>
        </w:rPr>
        <w:t>八、</w:t>
      </w:r>
      <w:r>
        <w:rPr>
          <w:rStyle w:val="18"/>
          <w:rFonts w:hint="eastAsia" w:ascii="仿宋" w:hAnsi="仿宋" w:eastAsia="仿宋"/>
          <w:b w:val="0"/>
        </w:rPr>
        <w:t>政府性基金预算支出决算情况说明</w:t>
      </w:r>
      <w:bookmarkEnd w:id="38"/>
      <w:bookmarkEnd w:id="3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22年政府性基金预算拨款支出1万元。</w:t>
      </w:r>
    </w:p>
    <w:p>
      <w:pPr>
        <w:numPr>
          <w:ilvl w:val="0"/>
          <w:numId w:val="3"/>
        </w:numPr>
        <w:spacing w:line="600" w:lineRule="exact"/>
        <w:ind w:firstLine="640"/>
        <w:outlineLvl w:val="1"/>
        <w:rPr>
          <w:rStyle w:val="18"/>
          <w:rFonts w:ascii="仿宋" w:hAnsi="仿宋" w:eastAsia="仿宋"/>
          <w:b w:val="0"/>
        </w:rPr>
      </w:pPr>
      <w:bookmarkStart w:id="40" w:name="_Toc15396611"/>
      <w:bookmarkStart w:id="41" w:name="_Toc15377219"/>
      <w:r>
        <w:rPr>
          <w:rStyle w:val="18"/>
          <w:rFonts w:hint="eastAsia" w:ascii="仿宋" w:hAnsi="仿宋" w:eastAsia="仿宋"/>
          <w:b w:val="0"/>
        </w:rPr>
        <w:t>国有资本经营预算支出决算情况说明</w:t>
      </w:r>
      <w:bookmarkEnd w:id="40"/>
      <w:bookmarkEnd w:id="4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22年国有资本经营预算拨款支出0万元。</w:t>
      </w:r>
    </w:p>
    <w:p>
      <w:pPr>
        <w:spacing w:line="600" w:lineRule="exact"/>
        <w:ind w:firstLine="640" w:firstLineChars="200"/>
        <w:outlineLvl w:val="1"/>
        <w:rPr>
          <w:rStyle w:val="18"/>
          <w:rFonts w:ascii="黑体" w:hAnsi="黑体" w:eastAsia="黑体"/>
          <w:b w:val="0"/>
        </w:rPr>
      </w:pPr>
      <w:bookmarkStart w:id="42" w:name="_Toc15396612"/>
      <w:bookmarkStart w:id="43" w:name="_Toc15377221"/>
      <w:r>
        <w:rPr>
          <w:rFonts w:hint="eastAsia" w:ascii="黑体" w:hAnsi="黑体" w:eastAsia="黑体"/>
          <w:color w:val="000000"/>
          <w:sz w:val="32"/>
          <w:szCs w:val="32"/>
        </w:rPr>
        <w:t>十</w:t>
      </w:r>
      <w:r>
        <w:rPr>
          <w:rStyle w:val="18"/>
          <w:rFonts w:hint="eastAsia" w:ascii="黑体" w:hAnsi="黑体" w:eastAsia="黑体"/>
        </w:rPr>
        <w:t>、</w:t>
      </w:r>
      <w:r>
        <w:rPr>
          <w:rStyle w:val="18"/>
          <w:rFonts w:hint="eastAsia" w:ascii="黑体" w:hAnsi="黑体" w:eastAsia="黑体"/>
          <w:b w:val="0"/>
        </w:rPr>
        <w:t>其他重要事项的情况说明</w:t>
      </w:r>
      <w:bookmarkEnd w:id="42"/>
      <w:bookmarkEnd w:id="43"/>
    </w:p>
    <w:p>
      <w:pPr>
        <w:spacing w:line="600" w:lineRule="exact"/>
        <w:ind w:firstLine="643" w:firstLineChars="200"/>
        <w:outlineLvl w:val="2"/>
        <w:rPr>
          <w:rFonts w:ascii="仿宋" w:hAnsi="仿宋" w:eastAsia="仿宋"/>
          <w:color w:val="000000"/>
          <w:sz w:val="32"/>
          <w:szCs w:val="32"/>
        </w:rPr>
      </w:pPr>
      <w:bookmarkStart w:id="44" w:name="_Toc15377222"/>
      <w:r>
        <w:rPr>
          <w:rFonts w:hint="eastAsia" w:ascii="仿宋" w:hAnsi="仿宋" w:eastAsia="仿宋"/>
          <w:b/>
          <w:color w:val="000000"/>
          <w:sz w:val="32"/>
          <w:szCs w:val="32"/>
        </w:rPr>
        <w:t>（一）机关运行经费支出情况</w:t>
      </w:r>
      <w:bookmarkEnd w:id="44"/>
    </w:p>
    <w:p>
      <w:pPr>
        <w:spacing w:line="600" w:lineRule="exact"/>
        <w:ind w:firstLine="640" w:firstLineChars="20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2年，剑阁县闻溪小学校机关运行经费支出0万元。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5" w:name="_Toc15377223"/>
      <w:r>
        <w:rPr>
          <w:rFonts w:hint="eastAsia" w:ascii="仿宋" w:hAnsi="仿宋" w:eastAsia="仿宋"/>
          <w:b/>
          <w:color w:val="000000"/>
          <w:sz w:val="32"/>
          <w:szCs w:val="32"/>
        </w:rPr>
        <w:t>（二）政府采购支出情况</w:t>
      </w:r>
      <w:bookmarkEnd w:id="4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2年，剑阁县闻溪小学校采购支出总额0万元，其中：政府采购货物支出0万元、政府采购工程支出0万元、政府采购服务支出0万元。授予中小企业合同金额0万元，占政府采购支出总额的0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，其中：授予小微企业合同金额0万元，占政府采购支出总额的0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6" w:name="_Toc15377224"/>
      <w:r>
        <w:rPr>
          <w:rFonts w:hint="eastAsia" w:ascii="仿宋" w:hAnsi="仿宋" w:eastAsia="仿宋"/>
          <w:b/>
          <w:color w:val="000000"/>
          <w:sz w:val="32"/>
          <w:szCs w:val="32"/>
        </w:rPr>
        <w:t>（三）国有资产占有使用情况</w:t>
      </w:r>
      <w:bookmarkEnd w:id="46"/>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202</w:t>
      </w:r>
      <w:r>
        <w:rPr>
          <w:rFonts w:hint="eastAsia" w:ascii="仿宋" w:hAnsi="仿宋" w:eastAsia="仿宋"/>
          <w:color w:val="000000"/>
          <w:sz w:val="32"/>
          <w:szCs w:val="32"/>
        </w:rPr>
        <w:t>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日，剑阁县闻溪小学校共有车辆0辆，其中：主要领导干部用车0辆、机要通信用车0辆、应急保障用车0辆、其他用车0辆。单价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乡村少年宫项目（项目名称）等1个项目开展了预算事前绩效评估，对1个项目编制了绩效目标，预算执行过程中，选取1个项目开展绩效监控，组织对1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jc w:val="left"/>
        <w:rPr>
          <w:rFonts w:ascii="仿宋" w:hAnsi="仿宋" w:eastAsia="仿宋"/>
          <w:b/>
          <w:color w:val="000000"/>
          <w:sz w:val="32"/>
          <w:szCs w:val="32"/>
        </w:rPr>
      </w:pPr>
    </w:p>
    <w:p>
      <w:pPr>
        <w:autoSpaceDE w:val="0"/>
        <w:autoSpaceDN w:val="0"/>
        <w:adjustRightInd w:val="0"/>
        <w:spacing w:line="600" w:lineRule="exact"/>
        <w:jc w:val="left"/>
        <w:rPr>
          <w:rFonts w:ascii="仿宋" w:hAnsi="仿宋" w:eastAsia="仿宋"/>
          <w:b/>
          <w:color w:val="000000"/>
          <w:sz w:val="32"/>
          <w:szCs w:val="32"/>
        </w:rPr>
      </w:pPr>
    </w:p>
    <w:p>
      <w:pPr>
        <w:autoSpaceDE w:val="0"/>
        <w:autoSpaceDN w:val="0"/>
        <w:adjustRightInd w:val="0"/>
        <w:spacing w:line="600" w:lineRule="exact"/>
        <w:jc w:val="left"/>
        <w:rPr>
          <w:rFonts w:ascii="仿宋" w:hAnsi="仿宋" w:eastAsia="仿宋"/>
          <w:b/>
          <w:color w:val="000000"/>
          <w:sz w:val="32"/>
          <w:szCs w:val="32"/>
        </w:rPr>
      </w:pPr>
    </w:p>
    <w:p>
      <w:pPr>
        <w:autoSpaceDE w:val="0"/>
        <w:autoSpaceDN w:val="0"/>
        <w:adjustRightInd w:val="0"/>
        <w:spacing w:line="600" w:lineRule="exact"/>
        <w:jc w:val="left"/>
        <w:rPr>
          <w:rFonts w:ascii="仿宋" w:hAnsi="仿宋" w:eastAsia="仿宋"/>
          <w:b/>
          <w:color w:val="000000"/>
          <w:sz w:val="32"/>
          <w:szCs w:val="32"/>
        </w:rPr>
      </w:pPr>
    </w:p>
    <w:p>
      <w:pPr>
        <w:autoSpaceDE w:val="0"/>
        <w:autoSpaceDN w:val="0"/>
        <w:adjustRightInd w:val="0"/>
        <w:spacing w:line="600" w:lineRule="exact"/>
        <w:jc w:val="left"/>
        <w:rPr>
          <w:rFonts w:ascii="仿宋" w:hAnsi="仿宋" w:eastAsia="仿宋"/>
          <w:b/>
          <w:color w:val="000000"/>
          <w:sz w:val="32"/>
          <w:szCs w:val="32"/>
        </w:rPr>
      </w:pPr>
    </w:p>
    <w:p>
      <w:pPr>
        <w:autoSpaceDE w:val="0"/>
        <w:autoSpaceDN w:val="0"/>
        <w:adjustRightInd w:val="0"/>
        <w:spacing w:line="600" w:lineRule="exact"/>
        <w:jc w:val="left"/>
        <w:rPr>
          <w:rFonts w:ascii="仿宋" w:hAnsi="仿宋" w:eastAsia="仿宋"/>
          <w:b/>
          <w:color w:val="000000"/>
          <w:sz w:val="32"/>
          <w:szCs w:val="32"/>
        </w:rPr>
      </w:pPr>
    </w:p>
    <w:p>
      <w:pPr>
        <w:autoSpaceDE w:val="0"/>
        <w:autoSpaceDN w:val="0"/>
        <w:adjustRightInd w:val="0"/>
        <w:spacing w:line="600" w:lineRule="exact"/>
        <w:jc w:val="left"/>
        <w:rPr>
          <w:rFonts w:ascii="仿宋" w:hAnsi="仿宋" w:eastAsia="仿宋"/>
          <w:b/>
          <w:color w:val="000000"/>
          <w:sz w:val="32"/>
          <w:szCs w:val="32"/>
        </w:rPr>
      </w:pPr>
    </w:p>
    <w:p>
      <w:pPr>
        <w:numPr>
          <w:ilvl w:val="0"/>
          <w:numId w:val="4"/>
        </w:numPr>
        <w:spacing w:line="600" w:lineRule="exact"/>
        <w:ind w:firstLine="663" w:firstLineChars="150"/>
        <w:jc w:val="center"/>
        <w:outlineLvl w:val="0"/>
        <w:rPr>
          <w:rStyle w:val="17"/>
          <w:rFonts w:ascii="黑体" w:hAnsi="黑体" w:eastAsia="黑体"/>
          <w:b w:val="0"/>
        </w:rPr>
      </w:pPr>
      <w:bookmarkStart w:id="47" w:name="_Toc15396613"/>
      <w:bookmarkStart w:id="48" w:name="_Toc15377225"/>
      <w:r>
        <w:rPr>
          <w:rFonts w:hint="eastAsia" w:ascii="黑体" w:hAnsi="黑体" w:eastAsia="黑体"/>
          <w:b/>
          <w:color w:val="000000"/>
          <w:sz w:val="44"/>
          <w:szCs w:val="44"/>
        </w:rPr>
        <w:t>名</w:t>
      </w:r>
      <w:r>
        <w:rPr>
          <w:rStyle w:val="17"/>
          <w:rFonts w:hint="eastAsia" w:ascii="黑体" w:hAnsi="黑体" w:eastAsia="黑体"/>
          <w:b w:val="0"/>
        </w:rPr>
        <w:t>词解释</w:t>
      </w:r>
      <w:bookmarkEnd w:id="47"/>
      <w:bookmarkEnd w:id="48"/>
    </w:p>
    <w:p>
      <w:pPr>
        <w:spacing w:line="600" w:lineRule="exact"/>
        <w:jc w:val="left"/>
        <w:rPr>
          <w:rFonts w:ascii="宋体"/>
          <w:b/>
          <w:color w:val="000000"/>
          <w:sz w:val="44"/>
          <w:szCs w:val="44"/>
        </w:rPr>
      </w:pPr>
    </w:p>
    <w:p>
      <w:pPr>
        <w:spacing w:line="600" w:lineRule="exact"/>
        <w:jc w:val="left"/>
        <w:rPr>
          <w:rFonts w:ascii="宋体"/>
          <w:b/>
          <w:color w:val="000000"/>
          <w:sz w:val="44"/>
          <w:szCs w:val="44"/>
        </w:rPr>
      </w:pPr>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pPr>
        <w:ind w:firstLine="640" w:firstLineChars="200"/>
        <w:rPr>
          <w:rFonts w:ascii="仿宋_GB2312" w:eastAsia="仿宋_GB2312"/>
          <w:color w:val="000000"/>
          <w:sz w:val="32"/>
          <w:szCs w:val="32"/>
        </w:rPr>
      </w:pPr>
      <w:bookmarkStart w:id="49" w:name="_Toc15396619"/>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7．教育支出（普通教育）（学前教育）：指各部门举办的学前教育支出。</w:t>
      </w:r>
    </w:p>
    <w:p>
      <w:pPr>
        <w:pStyle w:val="26"/>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8．教育支出（普通教育）（小学教育）：指各部门举办的小学教育支出。</w:t>
      </w:r>
    </w:p>
    <w:p>
      <w:pPr>
        <w:pStyle w:val="26"/>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9.</w:t>
      </w:r>
      <w:r>
        <w:rPr>
          <w:rFonts w:hint="eastAsia" w:hAnsi="仿宋"/>
          <w:bCs/>
          <w:sz w:val="32"/>
          <w:szCs w:val="32"/>
        </w:rPr>
        <w:t xml:space="preserve"> </w:t>
      </w:r>
      <w:r>
        <w:rPr>
          <w:rFonts w:hint="eastAsia" w:ascii="仿宋_GB2312" w:eastAsia="仿宋_GB2312" w:cs="黑体"/>
          <w:sz w:val="32"/>
          <w:szCs w:val="32"/>
        </w:rPr>
        <w:t>社会保障和就业支出（行政事业单位养老支出）（机关事业单位基本养老保险缴费支出）：指机关事业单位实施养老保险制度由单位缴纳的养老保险费支出。</w:t>
      </w:r>
    </w:p>
    <w:p>
      <w:pPr>
        <w:pStyle w:val="26"/>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10. 社会保障和就业支出（其他社会保障和就业支出）（其他社会保障和就业支出）：指其他用于社会保障和就业方面的支出，如失业保险费的支出等。</w:t>
      </w:r>
    </w:p>
    <w:p>
      <w:pPr>
        <w:pStyle w:val="26"/>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11. 卫生健康支出（行政事业单位医疗）（事业单位医疗）：指财政部门安排的事业单位基本医疗保险缴费经费，未参加医疗保险的事业单位的公费医疗经费，按国家规定享受离休人员待遇的医疗经费。</w:t>
      </w:r>
    </w:p>
    <w:p>
      <w:pPr>
        <w:pStyle w:val="26"/>
        <w:spacing w:line="560" w:lineRule="exact"/>
        <w:ind w:firstLine="640" w:firstLineChars="200"/>
        <w:rPr>
          <w:rFonts w:ascii="仿宋_GB2312" w:eastAsia="仿宋_GB2312" w:cs="黑体"/>
          <w:sz w:val="32"/>
          <w:szCs w:val="32"/>
        </w:rPr>
      </w:pPr>
      <w:r>
        <w:rPr>
          <w:rFonts w:hint="eastAsia" w:ascii="仿宋_GB2312" w:eastAsia="仿宋_GB2312" w:cs="黑体"/>
          <w:sz w:val="32"/>
          <w:szCs w:val="32"/>
        </w:rPr>
        <w:t>12. 住房保障支出（住房改革支出）（住房公积金）：指行政事业单位按人力资源和社会保障部、财政部规定的基本工资和津贴补贴以及规定比例为职工缴纳的住房公积金。</w:t>
      </w:r>
    </w:p>
    <w:p>
      <w:pPr>
        <w:jc w:val="center"/>
        <w:outlineLvl w:val="0"/>
        <w:rPr>
          <w:rStyle w:val="17"/>
          <w:rFonts w:ascii="黑体" w:hAnsi="黑体" w:eastAsia="黑体"/>
          <w:b w:val="0"/>
        </w:rPr>
      </w:pPr>
      <w:bookmarkStart w:id="50" w:name="_Toc15396614"/>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0"/>
    </w:p>
    <w:p>
      <w:pPr>
        <w:jc w:val="center"/>
        <w:outlineLvl w:val="0"/>
        <w:rPr>
          <w:rStyle w:val="17"/>
          <w:rFonts w:ascii="黑体" w:hAnsi="黑体" w:eastAsia="黑体"/>
          <w:b w:val="0"/>
        </w:rPr>
      </w:pPr>
    </w:p>
    <w:tbl>
      <w:tblPr>
        <w:tblStyle w:val="12"/>
        <w:tblW w:w="8440" w:type="dxa"/>
        <w:tblInd w:w="94" w:type="dxa"/>
        <w:tblLayout w:type="autofit"/>
        <w:tblCellMar>
          <w:top w:w="0" w:type="dxa"/>
          <w:left w:w="108" w:type="dxa"/>
          <w:bottom w:w="0" w:type="dxa"/>
          <w:right w:w="108" w:type="dxa"/>
        </w:tblCellMar>
      </w:tblPr>
      <w:tblGrid>
        <w:gridCol w:w="653"/>
        <w:gridCol w:w="852"/>
        <w:gridCol w:w="833"/>
        <w:gridCol w:w="1206"/>
        <w:gridCol w:w="520"/>
        <w:gridCol w:w="576"/>
        <w:gridCol w:w="904"/>
        <w:gridCol w:w="576"/>
        <w:gridCol w:w="460"/>
        <w:gridCol w:w="1860"/>
      </w:tblGrid>
      <w:tr>
        <w:tblPrEx>
          <w:tblCellMar>
            <w:top w:w="0" w:type="dxa"/>
            <w:left w:w="108" w:type="dxa"/>
            <w:bottom w:w="0" w:type="dxa"/>
            <w:right w:w="108" w:type="dxa"/>
          </w:tblCellMar>
        </w:tblPrEx>
        <w:trPr>
          <w:trHeight w:val="409" w:hRule="atLeast"/>
        </w:trPr>
        <w:tc>
          <w:tcPr>
            <w:tcW w:w="3620" w:type="dxa"/>
            <w:gridSpan w:val="4"/>
            <w:tcBorders>
              <w:top w:val="nil"/>
              <w:left w:val="nil"/>
              <w:bottom w:val="nil"/>
              <w:right w:val="nil"/>
            </w:tcBorders>
            <w:shd w:val="clear" w:color="auto" w:fill="auto"/>
            <w:vAlign w:val="center"/>
          </w:tcPr>
          <w:p>
            <w:pPr>
              <w:widowControl/>
              <w:jc w:val="left"/>
              <w:rPr>
                <w:rFonts w:ascii="宋体" w:hAnsi="宋体" w:cs="宋体"/>
                <w:color w:val="C0C0C0"/>
                <w:kern w:val="0"/>
                <w:sz w:val="20"/>
                <w:szCs w:val="20"/>
              </w:rPr>
            </w:pPr>
            <w:r>
              <w:rPr>
                <w:rFonts w:hint="eastAsia" w:ascii="宋体" w:hAnsi="宋体" w:cs="宋体"/>
                <w:color w:val="C0C0C0"/>
                <w:kern w:val="0"/>
                <w:sz w:val="20"/>
                <w:szCs w:val="20"/>
              </w:rPr>
              <w:t>报表编号：510000_0013zp</w:t>
            </w:r>
          </w:p>
        </w:tc>
        <w:tc>
          <w:tcPr>
            <w:tcW w:w="5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460" w:type="dxa"/>
            <w:gridSpan w:val="2"/>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6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86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51000021R000000019952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其他人员支出</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15.05</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15.05</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15.05</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15.05</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15.05</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15.05</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51082321R000000025238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目标绩效考核奖励</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43.89</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43.89</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43.89</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43.89</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51082321R000000025241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优秀公务员和事业人员嘉奖</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51082321Y000000029651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工会经费与福利费</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3.99</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0.71</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0.71</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3.99</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0.71</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0.71</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51082321Y000000056693-生均公用经费</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21.59</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21.57</w:t>
            </w:r>
          </w:p>
        </w:tc>
        <w:tc>
          <w:tcPr>
            <w:tcW w:w="1040" w:type="dxa"/>
            <w:gridSpan w:val="2"/>
            <w:tcBorders>
              <w:top w:val="single" w:color="000000" w:sz="4" w:space="0"/>
              <w:left w:val="nil"/>
              <w:bottom w:val="single" w:color="000000"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21.57</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21.59</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21.57</w:t>
            </w:r>
          </w:p>
        </w:tc>
        <w:tc>
          <w:tcPr>
            <w:tcW w:w="1040" w:type="dxa"/>
            <w:gridSpan w:val="2"/>
            <w:tcBorders>
              <w:top w:val="single" w:color="000000" w:sz="4" w:space="0"/>
              <w:left w:val="nil"/>
              <w:bottom w:val="single" w:color="000000"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21.57</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预算数）/预算数∣）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51082321Y000000087508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保教费支出</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完成预算目标，保障工作正常运转。</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7.02</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7.02</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8.90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7.02</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7.02</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学校学前教育经费惠及人数</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45</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学校学前教育经费惠率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目标在时效内完成</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2022</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保障学前教育工作正常运转</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学前教育适龄儿童接受教育</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提升学前教育教学质量与水平</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45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家长学生满意度</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51082321Y000000096540</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食堂人员补助</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51082322R000000309796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在职工资福利支出（事业）</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240.49</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246.83</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246.83</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240.49</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246.83</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246.83</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51082322R000000400563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其他补助支出</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6.82</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12.73</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12.73</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6.82</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12.73</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12.73</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51082322T000005304589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学生营养改善计划</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6.42</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18.68</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18.68</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6.42</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18.68</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18.68</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51082322T000005305572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农村义务教育综合奖补</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51082322T000005306045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免作业本费</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0.39</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0.39</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0.39</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0.39</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51082322T000005306788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贫困寄宿生生活补助</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8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4.90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63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51082322T000005310767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幼儿资助</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1.73</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1.73</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1.73</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1.73</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84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51082322T000005313569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已建项目运转补助</w:t>
            </w:r>
          </w:p>
        </w:tc>
      </w:tr>
      <w:tr>
        <w:tblPrEx>
          <w:tblCellMar>
            <w:top w:w="0" w:type="dxa"/>
            <w:left w:w="108" w:type="dxa"/>
            <w:bottom w:w="0" w:type="dxa"/>
            <w:right w:w="108" w:type="dxa"/>
          </w:tblCellMar>
        </w:tblPrEx>
        <w:trPr>
          <w:trHeight w:val="514"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剑阁县教育局部门</w:t>
            </w:r>
          </w:p>
        </w:tc>
        <w:tc>
          <w:tcPr>
            <w:tcW w:w="940" w:type="dxa"/>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2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剑阁县闻溪小学校</w:t>
            </w:r>
          </w:p>
        </w:tc>
      </w:tr>
      <w:tr>
        <w:tblPrEx>
          <w:tblCellMar>
            <w:top w:w="0" w:type="dxa"/>
            <w:left w:w="108" w:type="dxa"/>
            <w:bottom w:w="0" w:type="dxa"/>
            <w:right w:w="108" w:type="dxa"/>
          </w:tblCellMar>
        </w:tblPrEx>
        <w:trPr>
          <w:trHeight w:val="285"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78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720"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r>
              <w:rPr>
                <w:rFonts w:ascii="Courier New" w:hAnsi="Courier New" w:cs="Courier New"/>
                <w:i/>
                <w:iCs/>
                <w:color w:val="000000"/>
                <w:kern w:val="0"/>
                <w:sz w:val="18"/>
                <w:szCs w:val="18"/>
              </w:rPr>
              <w:t>1.预算执行率=预算执行数/调整后预算数，预算执行率未达到90%的需说明原因（100字以内）</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2.年中发生预算调整的（追加或调减）</w:t>
            </w:r>
            <w:r>
              <w:rPr>
                <w:rFonts w:hint="eastAsia" w:ascii="Courier New" w:hAnsi="Courier New" w:cs="Courier New"/>
                <w:i/>
                <w:iCs/>
                <w:color w:val="000000"/>
                <w:kern w:val="0"/>
                <w:sz w:val="18"/>
                <w:szCs w:val="18"/>
                <w:lang w:eastAsia="zh-CN"/>
              </w:rPr>
              <w:t>，</w:t>
            </w:r>
            <w:r>
              <w:rPr>
                <w:rFonts w:ascii="Courier New" w:hAnsi="Courier New" w:cs="Courier New"/>
                <w:i/>
                <w:iCs/>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3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47"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2"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79"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7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5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CellMar>
            <w:top w:w="0" w:type="dxa"/>
            <w:left w:w="108" w:type="dxa"/>
            <w:bottom w:w="0" w:type="dxa"/>
            <w:right w:w="108" w:type="dxa"/>
          </w:tblCellMar>
        </w:tblPrEx>
        <w:trPr>
          <w:trHeight w:val="57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CellMar>
            <w:top w:w="0" w:type="dxa"/>
            <w:left w:w="108" w:type="dxa"/>
            <w:bottom w:w="0" w:type="dxa"/>
            <w:right w:w="108" w:type="dxa"/>
          </w:tblCellMar>
        </w:tblPrEx>
        <w:trPr>
          <w:trHeight w:val="634" w:hRule="atLeast"/>
        </w:trPr>
        <w:tc>
          <w:tcPr>
            <w:tcW w:w="7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74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CellMar>
            <w:top w:w="0" w:type="dxa"/>
            <w:left w:w="108" w:type="dxa"/>
            <w:bottom w:w="0" w:type="dxa"/>
            <w:right w:w="108" w:type="dxa"/>
          </w:tblCellMar>
        </w:tblPrEx>
        <w:trPr>
          <w:trHeight w:val="285"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项目负责人：聂银成</w:t>
            </w:r>
          </w:p>
        </w:tc>
        <w:tc>
          <w:tcPr>
            <w:tcW w:w="43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财务负责人：聂银成</w:t>
            </w:r>
          </w:p>
        </w:tc>
      </w:tr>
      <w:tr>
        <w:tblPrEx>
          <w:tblCellMar>
            <w:top w:w="0" w:type="dxa"/>
            <w:left w:w="108" w:type="dxa"/>
            <w:bottom w:w="0" w:type="dxa"/>
            <w:right w:w="108" w:type="dxa"/>
          </w:tblCellMar>
        </w:tblPrEx>
        <w:trPr>
          <w:trHeight w:val="285" w:hRule="atLeast"/>
        </w:trPr>
        <w:tc>
          <w:tcPr>
            <w:tcW w:w="7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88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0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4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2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8440" w:type="dxa"/>
            <w:gridSpan w:val="10"/>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1、报表说明</w:t>
            </w:r>
            <w:r>
              <w:rPr>
                <w:rFonts w:hint="eastAsia" w:ascii="宋体" w:hAnsi="宋体" w:cs="宋体"/>
                <w:kern w:val="0"/>
                <w:sz w:val="18"/>
                <w:szCs w:val="18"/>
                <w:lang w:eastAsia="zh-CN"/>
              </w:rPr>
              <w:t>：</w:t>
            </w:r>
            <w:r>
              <w:rPr>
                <w:rFonts w:hint="eastAsia" w:ascii="宋体" w:hAnsi="宋体" w:cs="宋体"/>
                <w:kern w:val="0"/>
                <w:sz w:val="18"/>
                <w:szCs w:val="18"/>
              </w:rPr>
              <w:t>该报表查询项目信息、绩效目标信息、预算及执行情况，用于预算单位查询导出开展项目自评。</w:t>
            </w:r>
          </w:p>
        </w:tc>
      </w:tr>
      <w:tr>
        <w:tblPrEx>
          <w:tblCellMar>
            <w:top w:w="0" w:type="dxa"/>
            <w:left w:w="108" w:type="dxa"/>
            <w:bottom w:w="0" w:type="dxa"/>
            <w:right w:w="108" w:type="dxa"/>
          </w:tblCellMar>
        </w:tblPrEx>
        <w:trPr>
          <w:trHeight w:val="285" w:hRule="atLeast"/>
        </w:trPr>
        <w:tc>
          <w:tcPr>
            <w:tcW w:w="8440" w:type="dxa"/>
            <w:gridSpan w:val="10"/>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2、取数口径：部门项目绩效目标表信息，包括年初预算、追加预算、结转预算和调整预算的绩效目标（以项目的最终绩效目标为准）。</w:t>
            </w:r>
          </w:p>
        </w:tc>
      </w:tr>
      <w:tr>
        <w:tblPrEx>
          <w:tblCellMar>
            <w:top w:w="0" w:type="dxa"/>
            <w:left w:w="108" w:type="dxa"/>
            <w:bottom w:w="0" w:type="dxa"/>
            <w:right w:w="108" w:type="dxa"/>
          </w:tblCellMar>
        </w:tblPrEx>
        <w:trPr>
          <w:trHeight w:val="285" w:hRule="atLeast"/>
        </w:trPr>
        <w:tc>
          <w:tcPr>
            <w:tcW w:w="8440" w:type="dxa"/>
            <w:gridSpan w:val="10"/>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适用地区：全省范围</w:t>
            </w:r>
          </w:p>
        </w:tc>
      </w:tr>
      <w:tr>
        <w:tblPrEx>
          <w:tblCellMar>
            <w:top w:w="0" w:type="dxa"/>
            <w:left w:w="108" w:type="dxa"/>
            <w:bottom w:w="0" w:type="dxa"/>
            <w:right w:w="108" w:type="dxa"/>
          </w:tblCellMar>
        </w:tblPrEx>
        <w:trPr>
          <w:trHeight w:val="285" w:hRule="atLeast"/>
        </w:trPr>
        <w:tc>
          <w:tcPr>
            <w:tcW w:w="8440" w:type="dxa"/>
            <w:gridSpan w:val="10"/>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适用用户：部门用户、单位用户</w:t>
            </w:r>
          </w:p>
        </w:tc>
      </w:tr>
    </w:tbl>
    <w:p>
      <w:pPr>
        <w:rPr>
          <w:rFonts w:ascii="方正小标宋简体" w:hAnsi="方正小标宋简体" w:eastAsia="方正小标宋简体" w:cs="方正小标宋简体"/>
          <w:sz w:val="28"/>
          <w:szCs w:val="28"/>
        </w:rPr>
      </w:pPr>
    </w:p>
    <w:p>
      <w:pPr>
        <w:jc w:val="center"/>
        <w:rPr>
          <w:rFonts w:ascii="方正小标宋简体" w:hAnsi="宋体" w:eastAsia="方正小标宋简体"/>
          <w:color w:val="000000"/>
          <w:kern w:val="0"/>
          <w:sz w:val="40"/>
          <w:szCs w:val="44"/>
        </w:rPr>
      </w:pPr>
    </w:p>
    <w:p>
      <w:pPr>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剑阁县闻溪小学校</w:t>
      </w:r>
    </w:p>
    <w:p>
      <w:pPr>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rPr>
        <w:t>2年部门</w:t>
      </w:r>
      <w:r>
        <w:rPr>
          <w:rFonts w:hint="eastAsia" w:ascii="方正小标宋简体" w:hAnsi="宋体" w:eastAsia="方正小标宋简体"/>
          <w:color w:val="000000"/>
          <w:kern w:val="0"/>
          <w:sz w:val="40"/>
          <w:szCs w:val="44"/>
          <w:lang w:val="zh-CN"/>
        </w:rPr>
        <w:t>整体支出绩效评价报告</w:t>
      </w:r>
    </w:p>
    <w:p>
      <w:pPr>
        <w:widowControl/>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pacing w:line="288" w:lineRule="auto"/>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288"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剑阁县闻溪小学校属于全额财政拨款一级预算事业单位，是一所农村义务教育小学，2022年度执行政府会计制度。</w:t>
      </w:r>
    </w:p>
    <w:p>
      <w:pPr>
        <w:widowControl/>
        <w:adjustRightInd w:val="0"/>
        <w:snapToGrid w:val="0"/>
        <w:spacing w:line="288"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剑阁县闻溪小学校下属二级单位0个，其中行政单位0个，参照公务员法管理的事业单位0个，其他事业单位0个</w:t>
      </w:r>
    </w:p>
    <w:p>
      <w:pPr>
        <w:widowControl/>
        <w:adjustRightInd w:val="0"/>
        <w:snapToGrid w:val="0"/>
        <w:spacing w:line="288" w:lineRule="auto"/>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_GB2312" w:hAnsi="仿宋_GB2312" w:eastAsia="仿宋_GB2312" w:cs="仿宋_GB2312"/>
          <w:sz w:val="32"/>
          <w:szCs w:val="32"/>
        </w:rPr>
        <w:t>本单位主要职能职责是实施小学义务教育，促进基础教育均衡发展。</w:t>
      </w:r>
    </w:p>
    <w:p>
      <w:pPr>
        <w:widowControl/>
        <w:adjustRightInd w:val="0"/>
        <w:snapToGrid w:val="0"/>
        <w:spacing w:line="288"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288"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剑阁县闻溪小学校总编制18人，其中行政编制0名，参公编制0名，管理岗编制1名，专业技术编制17名，事业工勤编制0名。2022年末实有在职人员总数21人，其中行政人员0人，参公人员0人，事业人员21人，工勤人员0人；离休人员0人，退休</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25人。2022年末实有学生人数113人。</w:t>
      </w:r>
    </w:p>
    <w:p>
      <w:pPr>
        <w:widowControl/>
        <w:adjustRightInd w:val="0"/>
        <w:snapToGrid w:val="0"/>
        <w:spacing w:line="288"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Style w:val="30"/>
        <w:spacing w:line="288" w:lineRule="auto"/>
        <w:ind w:firstLine="732" w:firstLineChars="229"/>
        <w:outlineLvl w:val="1"/>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剑阁县闻溪小学校预算收入合计339.63万元，其中：一般公共预算财政拨款收入338.63万元，占99.71%；政府性基金预算财政拨款收入1万元，占0.29%；国有资本经营预算财政拨款收入0万元，占0%；事业收入0万元，占0%；经营收入0万元，占0%；附属单位上缴收入0万元，占0%；其他收入0万元，占0%。</w:t>
      </w:r>
    </w:p>
    <w:p>
      <w:pPr>
        <w:widowControl/>
        <w:adjustRightInd w:val="0"/>
        <w:snapToGrid w:val="0"/>
        <w:spacing w:line="288" w:lineRule="auto"/>
        <w:ind w:firstLine="640" w:firstLineChars="200"/>
        <w:contextualSpacing/>
        <w:jc w:val="left"/>
        <w:rPr>
          <w:rFonts w:ascii="仿宋_GB2312" w:hAnsi="宋体" w:eastAsia="仿宋_GB2312" w:cs="宋体"/>
          <w:color w:val="000000"/>
          <w:kern w:val="0"/>
          <w:sz w:val="32"/>
          <w:szCs w:val="32"/>
          <w:shd w:val="clear" w:color="auto" w:fill="FFFFFF"/>
        </w:rPr>
      </w:pPr>
    </w:p>
    <w:p>
      <w:pPr>
        <w:widowControl/>
        <w:numPr>
          <w:ilvl w:val="0"/>
          <w:numId w:val="5"/>
        </w:numPr>
        <w:adjustRightInd w:val="0"/>
        <w:snapToGrid w:val="0"/>
        <w:spacing w:line="288"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2022年剑阁县闻溪小学校支出合计339.63万元，其中：基本支出335.63万元，占98.83%；项目支出3万元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占0.89%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政府彩票基金支出1万元，占0.28%；上缴上级支出0万元，占0%；经营支出0万元，占0%；对附属单位补助支出0万元，占0%。2022年本年支出合计较2021年减少30.25万元，增加9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。主要变动原因是学生生源减少和项目资金减少。</w:t>
      </w:r>
    </w:p>
    <w:p>
      <w:pPr>
        <w:snapToGrid w:val="0"/>
        <w:spacing w:line="520" w:lineRule="exact"/>
        <w:ind w:left="600" w:firstLine="640" w:firstLineChars="20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spacing w:line="288" w:lineRule="auto"/>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（一）部门预算项目绩效管理。</w:t>
      </w:r>
    </w:p>
    <w:p>
      <w:pPr>
        <w:widowControl/>
        <w:spacing w:line="288"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校在剑阁县人民政府、剑阁县财政局、剑阁县教育局的坚强领导下，2022年年初就制定了绩效目标，经过一年的管理，我单位绩效目标实现比较理想，达到了年初设定的目标。在编制预算时，充分考虑的学校的具体情况，资金需求量，基本上符合学校的实际需要。根据上级要求，我们在支出是分上下半年，按计划按实际需求使用预算资金，会计核算也真实、准确。单位上报的计划上级单位也及时进行了支付。各项支出严格按照各项制度进行，资金使用规范，无违规情况出现。</w:t>
      </w:r>
    </w:p>
    <w:p>
      <w:pPr>
        <w:widowControl/>
        <w:adjustRightInd w:val="0"/>
        <w:snapToGrid w:val="0"/>
        <w:spacing w:line="288"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288" w:lineRule="auto"/>
        <w:ind w:firstLine="640" w:firstLineChars="200"/>
        <w:contextualSpacing/>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学校严格执行国家的政策方针，严格遵守国家的财经纪律，做到支出有预算，票据规范，让资金发挥最大效益。做好绩效评价自评工作，并及时将评价结果向社会公示</w:t>
      </w:r>
    </w:p>
    <w:p>
      <w:pPr>
        <w:widowControl/>
        <w:adjustRightInd w:val="0"/>
        <w:snapToGrid w:val="0"/>
        <w:spacing w:line="288"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（三）自评质量</w:t>
      </w:r>
    </w:p>
    <w:p>
      <w:pPr>
        <w:widowControl/>
        <w:adjustRightInd w:val="0"/>
        <w:snapToGrid w:val="0"/>
        <w:spacing w:line="288"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部门整体支出自评比较准确，质量较好，绩效评价等级为“良好”。</w:t>
      </w:r>
    </w:p>
    <w:p>
      <w:pPr>
        <w:widowControl/>
        <w:adjustRightInd w:val="0"/>
        <w:snapToGrid w:val="0"/>
        <w:spacing w:line="288"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288" w:lineRule="auto"/>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（一）评价结论。</w:t>
      </w:r>
      <w:r>
        <w:rPr>
          <w:rFonts w:hint="eastAsia" w:ascii="仿宋_GB2312" w:hAnsi="宋体" w:eastAsia="仿宋_GB2312" w:cs="宋体"/>
          <w:color w:val="000000"/>
          <w:kern w:val="0"/>
          <w:sz w:val="32"/>
          <w:szCs w:val="32"/>
          <w:shd w:val="clear" w:color="auto" w:fill="FFFFFF"/>
        </w:rPr>
        <w:t xml:space="preserve"> </w:t>
      </w:r>
    </w:p>
    <w:p>
      <w:pPr>
        <w:widowControl/>
        <w:adjustRightInd w:val="0"/>
        <w:snapToGrid w:val="0"/>
        <w:spacing w:line="288"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根据部门整体支出绩效评价指标规定的内容，经剑阁县闻溪小学校认真自评，2022年度整体支出绩效评为“良好” 。经单位自评，评价得分为90分，绩效评价等级为良好。</w:t>
      </w:r>
    </w:p>
    <w:p>
      <w:pPr>
        <w:numPr>
          <w:ilvl w:val="0"/>
          <w:numId w:val="5"/>
        </w:numPr>
        <w:spacing w:line="288" w:lineRule="auto"/>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spacing w:line="288"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1.部分资金支付进度滞后。 </w:t>
      </w:r>
    </w:p>
    <w:p>
      <w:pPr>
        <w:widowControl/>
        <w:adjustRightInd w:val="0"/>
        <w:snapToGrid w:val="0"/>
        <w:spacing w:line="288"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2.对预算编制的预见性还需进一步加强</w:t>
      </w:r>
    </w:p>
    <w:p>
      <w:pPr>
        <w:spacing w:line="288" w:lineRule="auto"/>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288"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1、科学合理编制预算，严格执行预算。进一步提高预算编制到位率，做准做全基本支出预算，做全项目支出预算，加强预算支出的审核、跟踪及预算执行情况分析，提高预算编制严谨性和可控性。</w:t>
      </w:r>
    </w:p>
    <w:p>
      <w:pPr>
        <w:widowControl/>
        <w:adjustRightInd w:val="0"/>
        <w:snapToGrid w:val="0"/>
        <w:spacing w:line="288" w:lineRule="auto"/>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2、进一步加强项目资金管理。严格实行项目管理程序化，实现项目申报、实施、拨付、评价全流程监督与控制，规范专项资金管理，提高专项资金的使用效益。</w:t>
      </w: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bookmarkEnd w:id="49"/>
    <w:p>
      <w:pPr>
        <w:spacing w:line="600" w:lineRule="exact"/>
        <w:jc w:val="center"/>
        <w:outlineLvl w:val="0"/>
        <w:rPr>
          <w:rFonts w:ascii="仿宋" w:hAnsi="仿宋" w:eastAsia="仿宋"/>
        </w:rPr>
      </w:pPr>
      <w:r>
        <w:rPr>
          <w:rFonts w:hint="eastAsia" w:ascii="黑体" w:hAnsi="黑体" w:eastAsia="黑体"/>
          <w:sz w:val="44"/>
          <w:szCs w:val="44"/>
        </w:rPr>
        <w:t>第</w:t>
      </w:r>
      <w:r>
        <w:rPr>
          <w:rStyle w:val="17"/>
          <w:rFonts w:hint="eastAsia" w:ascii="黑体" w:hAnsi="黑体" w:eastAsia="黑体"/>
        </w:rPr>
        <w:t>五部分 附表</w:t>
      </w:r>
    </w:p>
    <w:p>
      <w:pPr>
        <w:pStyle w:val="3"/>
        <w:rPr>
          <w:rFonts w:ascii="仿宋" w:hAnsi="仿宋" w:eastAsia="仿宋"/>
        </w:rPr>
      </w:pPr>
      <w:r>
        <w:rPr>
          <w:rFonts w:hint="eastAsia" w:ascii="仿宋" w:hAnsi="仿宋" w:eastAsia="仿宋"/>
          <w:b w:val="0"/>
        </w:rPr>
        <w:t>一、收</w:t>
      </w:r>
      <w:r>
        <w:rPr>
          <w:rStyle w:val="18"/>
          <w:rFonts w:hint="eastAsia" w:ascii="仿宋" w:hAnsi="仿宋" w:eastAsia="仿宋"/>
          <w:b w:val="0"/>
          <w:bCs w:val="0"/>
        </w:rPr>
        <w:t>入支出决算总表</w:t>
      </w:r>
    </w:p>
    <w:p>
      <w:pPr>
        <w:pStyle w:val="3"/>
        <w:rPr>
          <w:rFonts w:ascii="仿宋" w:hAnsi="仿宋" w:eastAsia="仿宋"/>
        </w:rPr>
      </w:pPr>
      <w:bookmarkStart w:id="51" w:name="_Toc15396620"/>
      <w:r>
        <w:rPr>
          <w:rFonts w:hint="eastAsia" w:ascii="仿宋" w:hAnsi="仿宋" w:eastAsia="仿宋"/>
          <w:b w:val="0"/>
        </w:rPr>
        <w:t>二、收</w:t>
      </w:r>
      <w:r>
        <w:rPr>
          <w:rStyle w:val="18"/>
          <w:rFonts w:hint="eastAsia" w:ascii="仿宋" w:hAnsi="仿宋" w:eastAsia="仿宋"/>
          <w:b w:val="0"/>
          <w:bCs w:val="0"/>
        </w:rPr>
        <w:t>入决算表</w:t>
      </w:r>
      <w:bookmarkEnd w:id="51"/>
    </w:p>
    <w:p>
      <w:pPr>
        <w:pStyle w:val="3"/>
        <w:rPr>
          <w:rFonts w:ascii="仿宋" w:hAnsi="仿宋" w:eastAsia="仿宋"/>
        </w:rPr>
      </w:pPr>
      <w:bookmarkStart w:id="52"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出决算表</w:t>
      </w:r>
      <w:bookmarkEnd w:id="52"/>
    </w:p>
    <w:p>
      <w:pPr>
        <w:pStyle w:val="3"/>
        <w:rPr>
          <w:rFonts w:ascii="仿宋" w:hAnsi="仿宋" w:eastAsia="仿宋"/>
          <w:b w:val="0"/>
        </w:rPr>
      </w:pPr>
      <w:bookmarkStart w:id="53"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53"/>
    </w:p>
    <w:p>
      <w:pPr>
        <w:pStyle w:val="3"/>
        <w:rPr>
          <w:rStyle w:val="18"/>
          <w:rFonts w:ascii="仿宋" w:hAnsi="仿宋" w:eastAsia="仿宋"/>
          <w:b w:val="0"/>
          <w:bCs w:val="0"/>
        </w:rPr>
      </w:pPr>
      <w:bookmarkStart w:id="54"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w:t>
      </w:r>
      <w:bookmarkEnd w:id="54"/>
      <w:bookmarkStart w:id="55" w:name="_Toc15396624"/>
    </w:p>
    <w:p>
      <w:pPr>
        <w:pStyle w:val="3"/>
        <w:rPr>
          <w:rFonts w:ascii="仿宋" w:hAnsi="仿宋" w:eastAsia="仿宋"/>
        </w:rPr>
      </w:pPr>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55"/>
    </w:p>
    <w:p>
      <w:pPr>
        <w:pStyle w:val="3"/>
        <w:rPr>
          <w:rFonts w:ascii="仿宋" w:hAnsi="仿宋" w:eastAsia="仿宋"/>
        </w:rPr>
      </w:pPr>
      <w:bookmarkStart w:id="56"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56"/>
    </w:p>
    <w:p>
      <w:pPr>
        <w:pStyle w:val="3"/>
        <w:rPr>
          <w:rFonts w:ascii="仿宋" w:hAnsi="仿宋" w:eastAsia="仿宋"/>
        </w:rPr>
      </w:pPr>
      <w:bookmarkStart w:id="57"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57"/>
    </w:p>
    <w:p>
      <w:pPr>
        <w:pStyle w:val="3"/>
        <w:rPr>
          <w:rFonts w:ascii="仿宋" w:hAnsi="仿宋" w:eastAsia="仿宋"/>
        </w:rPr>
      </w:pPr>
      <w:bookmarkStart w:id="58"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58"/>
    </w:p>
    <w:p>
      <w:pPr>
        <w:pStyle w:val="3"/>
        <w:rPr>
          <w:rFonts w:ascii="仿宋" w:hAnsi="仿宋" w:eastAsia="仿宋"/>
        </w:rPr>
      </w:pPr>
      <w:bookmarkStart w:id="59" w:name="_Toc15396628"/>
      <w:r>
        <w:rPr>
          <w:rStyle w:val="18"/>
          <w:rFonts w:hint="eastAsia" w:ascii="仿宋" w:hAnsi="仿宋" w:eastAsia="仿宋"/>
          <w:b w:val="0"/>
          <w:bCs w:val="0"/>
        </w:rPr>
        <w:t>十、</w:t>
      </w:r>
      <w:bookmarkEnd w:id="59"/>
      <w:r>
        <w:rPr>
          <w:rFonts w:hint="eastAsia" w:ascii="仿宋" w:hAnsi="仿宋" w:eastAsia="仿宋"/>
          <w:b w:val="0"/>
        </w:rPr>
        <w:t>政</w:t>
      </w:r>
      <w:r>
        <w:rPr>
          <w:rStyle w:val="18"/>
          <w:rFonts w:hint="eastAsia" w:ascii="仿宋" w:hAnsi="仿宋" w:eastAsia="仿宋"/>
          <w:b w:val="0"/>
          <w:bCs w:val="0"/>
        </w:rPr>
        <w:t>府性基金预算财政拨款收入支出决算表</w:t>
      </w:r>
    </w:p>
    <w:p>
      <w:pPr>
        <w:pStyle w:val="3"/>
        <w:rPr>
          <w:rFonts w:ascii="仿宋" w:hAnsi="仿宋" w:eastAsia="仿宋"/>
        </w:rPr>
      </w:pPr>
      <w:bookmarkStart w:id="60" w:name="_Toc15396629"/>
      <w:r>
        <w:rPr>
          <w:rStyle w:val="18"/>
          <w:rFonts w:hint="eastAsia" w:ascii="仿宋" w:hAnsi="仿宋" w:eastAsia="仿宋"/>
          <w:b w:val="0"/>
          <w:bCs w:val="0"/>
        </w:rPr>
        <w:t>十一、</w:t>
      </w:r>
      <w:bookmarkEnd w:id="60"/>
      <w:r>
        <w:rPr>
          <w:rFonts w:hint="eastAsia" w:ascii="仿宋" w:hAnsi="仿宋" w:eastAsia="仿宋"/>
          <w:b w:val="0"/>
        </w:rPr>
        <w:t>国</w:t>
      </w:r>
      <w:r>
        <w:rPr>
          <w:rStyle w:val="18"/>
          <w:rFonts w:hint="eastAsia" w:ascii="仿宋" w:hAnsi="仿宋" w:eastAsia="仿宋"/>
          <w:b w:val="0"/>
          <w:bCs w:val="0"/>
        </w:rPr>
        <w:t>有资本经营预算财政拨款收入支出决算表</w:t>
      </w:r>
    </w:p>
    <w:p>
      <w:pPr>
        <w:pStyle w:val="3"/>
        <w:rPr>
          <w:rFonts w:ascii="仿宋" w:hAnsi="仿宋" w:eastAsia="仿宋"/>
        </w:rPr>
      </w:pPr>
      <w:bookmarkStart w:id="61" w:name="_Toc15396630"/>
      <w:r>
        <w:rPr>
          <w:rStyle w:val="18"/>
          <w:rFonts w:hint="eastAsia" w:ascii="仿宋" w:hAnsi="仿宋" w:eastAsia="仿宋"/>
          <w:b w:val="0"/>
          <w:bCs w:val="0"/>
        </w:rPr>
        <w:t>十二、</w:t>
      </w:r>
      <w:bookmarkEnd w:id="61"/>
      <w:r>
        <w:rPr>
          <w:rStyle w:val="18"/>
          <w:rFonts w:hint="eastAsia" w:ascii="仿宋" w:hAnsi="仿宋" w:eastAsia="仿宋"/>
          <w:b w:val="0"/>
          <w:bCs w:val="0"/>
        </w:rPr>
        <w:t>国有资本经营预算财政拨款支出决算表</w:t>
      </w:r>
    </w:p>
    <w:p>
      <w:pPr>
        <w:pStyle w:val="3"/>
        <w:rPr>
          <w:rFonts w:eastAsia="仿宋"/>
        </w:rPr>
      </w:pPr>
      <w:bookmarkStart w:id="62" w:name="_Toc15396631"/>
      <w:r>
        <w:rPr>
          <w:rStyle w:val="18"/>
          <w:rFonts w:hint="eastAsia" w:ascii="仿宋" w:hAnsi="仿宋" w:eastAsia="仿宋"/>
          <w:b w:val="0"/>
          <w:bCs w:val="0"/>
        </w:rPr>
        <w:t>十三、</w:t>
      </w:r>
      <w:bookmarkEnd w:id="62"/>
      <w:r>
        <w:rPr>
          <w:rStyle w:val="18"/>
          <w:rFonts w:hint="eastAsia" w:ascii="仿宋" w:hAnsi="仿宋" w:eastAsia="仿宋"/>
          <w:b w:val="0"/>
          <w:bCs w:val="0"/>
        </w:rPr>
        <w:t>财政拨款“三公”经费支出决算表</w:t>
      </w:r>
    </w:p>
    <w:p>
      <w:pPr>
        <w:pStyle w:val="3"/>
        <w:adjustRightInd w:val="0"/>
        <w:snapToGrid w:val="0"/>
        <w:spacing w:line="288" w:lineRule="auto"/>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33</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99259DA"/>
    <w:multiLevelType w:val="multilevel"/>
    <w:tmpl w:val="099259DA"/>
    <w:lvl w:ilvl="0" w:tentative="0">
      <w:start w:val="2"/>
      <w:numFmt w:val="japaneseCounting"/>
      <w:lvlText w:val="%1、"/>
      <w:lvlJc w:val="left"/>
      <w:pPr>
        <w:ind w:left="720" w:hanging="720"/>
      </w:pPr>
      <w:rPr>
        <w:rFonts w:hint="default" w:cs="Times New Roman"/>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5808F9F2"/>
    <w:multiLevelType w:val="singleLevel"/>
    <w:tmpl w:val="5808F9F2"/>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0NTY2MDcyODQ2N2FkODM5ZTkwNDc3NmI1NDljNjAifQ=="/>
  </w:docVars>
  <w:rsids>
    <w:rsidRoot w:val="00F1361C"/>
    <w:rsid w:val="00010BED"/>
    <w:rsid w:val="000222C6"/>
    <w:rsid w:val="0002549F"/>
    <w:rsid w:val="0002566C"/>
    <w:rsid w:val="00031BC7"/>
    <w:rsid w:val="00033236"/>
    <w:rsid w:val="0005156A"/>
    <w:rsid w:val="00051C22"/>
    <w:rsid w:val="000566DF"/>
    <w:rsid w:val="00060AE3"/>
    <w:rsid w:val="00062832"/>
    <w:rsid w:val="0006487A"/>
    <w:rsid w:val="00065F8F"/>
    <w:rsid w:val="00073E5C"/>
    <w:rsid w:val="00074A2F"/>
    <w:rsid w:val="000768F2"/>
    <w:rsid w:val="0009184B"/>
    <w:rsid w:val="00092FAA"/>
    <w:rsid w:val="000933F7"/>
    <w:rsid w:val="00093B9F"/>
    <w:rsid w:val="0009593C"/>
    <w:rsid w:val="000A5956"/>
    <w:rsid w:val="000B047F"/>
    <w:rsid w:val="000B2945"/>
    <w:rsid w:val="000B5923"/>
    <w:rsid w:val="000B5A48"/>
    <w:rsid w:val="000B6FF3"/>
    <w:rsid w:val="000C0F26"/>
    <w:rsid w:val="000C3467"/>
    <w:rsid w:val="000C3CA6"/>
    <w:rsid w:val="000D1267"/>
    <w:rsid w:val="000D1D50"/>
    <w:rsid w:val="000D5782"/>
    <w:rsid w:val="000D7573"/>
    <w:rsid w:val="000E2FDC"/>
    <w:rsid w:val="000E6613"/>
    <w:rsid w:val="000E7119"/>
    <w:rsid w:val="00106006"/>
    <w:rsid w:val="00114E9B"/>
    <w:rsid w:val="001213B5"/>
    <w:rsid w:val="001249B0"/>
    <w:rsid w:val="00137D0B"/>
    <w:rsid w:val="00140F96"/>
    <w:rsid w:val="00146307"/>
    <w:rsid w:val="00146E17"/>
    <w:rsid w:val="0014729F"/>
    <w:rsid w:val="001546E6"/>
    <w:rsid w:val="00156294"/>
    <w:rsid w:val="00157BAB"/>
    <w:rsid w:val="001654D1"/>
    <w:rsid w:val="00175714"/>
    <w:rsid w:val="0018106D"/>
    <w:rsid w:val="00187456"/>
    <w:rsid w:val="001877A7"/>
    <w:rsid w:val="00191536"/>
    <w:rsid w:val="00193249"/>
    <w:rsid w:val="00193372"/>
    <w:rsid w:val="00196687"/>
    <w:rsid w:val="001B7923"/>
    <w:rsid w:val="001C0962"/>
    <w:rsid w:val="001D1986"/>
    <w:rsid w:val="001D7531"/>
    <w:rsid w:val="001E737D"/>
    <w:rsid w:val="001F0592"/>
    <w:rsid w:val="001F61C9"/>
    <w:rsid w:val="001F7506"/>
    <w:rsid w:val="002006CD"/>
    <w:rsid w:val="00202B36"/>
    <w:rsid w:val="00204B7A"/>
    <w:rsid w:val="0020671A"/>
    <w:rsid w:val="0021101A"/>
    <w:rsid w:val="00213E7B"/>
    <w:rsid w:val="00216EDA"/>
    <w:rsid w:val="0021774F"/>
    <w:rsid w:val="00220536"/>
    <w:rsid w:val="0023330E"/>
    <w:rsid w:val="00235629"/>
    <w:rsid w:val="00260C38"/>
    <w:rsid w:val="002616C0"/>
    <w:rsid w:val="0026624C"/>
    <w:rsid w:val="002662AA"/>
    <w:rsid w:val="002677A5"/>
    <w:rsid w:val="00277248"/>
    <w:rsid w:val="00280496"/>
    <w:rsid w:val="002874B1"/>
    <w:rsid w:val="0029093C"/>
    <w:rsid w:val="00290E78"/>
    <w:rsid w:val="00295495"/>
    <w:rsid w:val="002966EB"/>
    <w:rsid w:val="002A5641"/>
    <w:rsid w:val="002A7960"/>
    <w:rsid w:val="002B2613"/>
    <w:rsid w:val="002B602B"/>
    <w:rsid w:val="002D1348"/>
    <w:rsid w:val="002D21F6"/>
    <w:rsid w:val="002F1818"/>
    <w:rsid w:val="002F567B"/>
    <w:rsid w:val="0031554D"/>
    <w:rsid w:val="003216A9"/>
    <w:rsid w:val="00336F8B"/>
    <w:rsid w:val="00352116"/>
    <w:rsid w:val="00353CA1"/>
    <w:rsid w:val="00355F56"/>
    <w:rsid w:val="00364360"/>
    <w:rsid w:val="0036606B"/>
    <w:rsid w:val="0037013F"/>
    <w:rsid w:val="00371AE1"/>
    <w:rsid w:val="00380C92"/>
    <w:rsid w:val="00381E4F"/>
    <w:rsid w:val="00382627"/>
    <w:rsid w:val="003836CF"/>
    <w:rsid w:val="00383821"/>
    <w:rsid w:val="00385C5C"/>
    <w:rsid w:val="003A143B"/>
    <w:rsid w:val="003A484F"/>
    <w:rsid w:val="003B0BE0"/>
    <w:rsid w:val="003B0C1B"/>
    <w:rsid w:val="003B3EB7"/>
    <w:rsid w:val="003B4735"/>
    <w:rsid w:val="003B5D82"/>
    <w:rsid w:val="003B6824"/>
    <w:rsid w:val="003B688C"/>
    <w:rsid w:val="003C0291"/>
    <w:rsid w:val="003C39AE"/>
    <w:rsid w:val="003C741C"/>
    <w:rsid w:val="003C7B60"/>
    <w:rsid w:val="003D1FB2"/>
    <w:rsid w:val="003D66DA"/>
    <w:rsid w:val="003E1310"/>
    <w:rsid w:val="003E3E22"/>
    <w:rsid w:val="003E6F55"/>
    <w:rsid w:val="003F4C84"/>
    <w:rsid w:val="003F65A7"/>
    <w:rsid w:val="003F76AA"/>
    <w:rsid w:val="003F7C15"/>
    <w:rsid w:val="00406254"/>
    <w:rsid w:val="0040770A"/>
    <w:rsid w:val="0042195A"/>
    <w:rsid w:val="004223DE"/>
    <w:rsid w:val="00423D01"/>
    <w:rsid w:val="00434489"/>
    <w:rsid w:val="00435657"/>
    <w:rsid w:val="00437085"/>
    <w:rsid w:val="00443880"/>
    <w:rsid w:val="004464F4"/>
    <w:rsid w:val="00456673"/>
    <w:rsid w:val="0046623A"/>
    <w:rsid w:val="00471401"/>
    <w:rsid w:val="00473F31"/>
    <w:rsid w:val="0048263A"/>
    <w:rsid w:val="00487E5D"/>
    <w:rsid w:val="0049373E"/>
    <w:rsid w:val="004A62E7"/>
    <w:rsid w:val="004A70E2"/>
    <w:rsid w:val="004A711F"/>
    <w:rsid w:val="004B199D"/>
    <w:rsid w:val="004B21AE"/>
    <w:rsid w:val="004B4690"/>
    <w:rsid w:val="004B5526"/>
    <w:rsid w:val="004C2EEE"/>
    <w:rsid w:val="004D76B8"/>
    <w:rsid w:val="004E0A2D"/>
    <w:rsid w:val="004E206B"/>
    <w:rsid w:val="004E4738"/>
    <w:rsid w:val="004E6DF7"/>
    <w:rsid w:val="004F0FBD"/>
    <w:rsid w:val="004F512D"/>
    <w:rsid w:val="004F5674"/>
    <w:rsid w:val="00505A47"/>
    <w:rsid w:val="0050658A"/>
    <w:rsid w:val="00512126"/>
    <w:rsid w:val="00512DE1"/>
    <w:rsid w:val="00512FDA"/>
    <w:rsid w:val="00520DA0"/>
    <w:rsid w:val="005241AD"/>
    <w:rsid w:val="005248EC"/>
    <w:rsid w:val="0053455D"/>
    <w:rsid w:val="00554CB2"/>
    <w:rsid w:val="00563747"/>
    <w:rsid w:val="005664BB"/>
    <w:rsid w:val="00570B32"/>
    <w:rsid w:val="0057481D"/>
    <w:rsid w:val="005768E2"/>
    <w:rsid w:val="0058486E"/>
    <w:rsid w:val="005856F0"/>
    <w:rsid w:val="00586405"/>
    <w:rsid w:val="00586C26"/>
    <w:rsid w:val="00587132"/>
    <w:rsid w:val="00593D82"/>
    <w:rsid w:val="005A5134"/>
    <w:rsid w:val="005B028E"/>
    <w:rsid w:val="005B11F1"/>
    <w:rsid w:val="005B4EFD"/>
    <w:rsid w:val="005B5051"/>
    <w:rsid w:val="005C0E8D"/>
    <w:rsid w:val="005D1C8B"/>
    <w:rsid w:val="005D5CED"/>
    <w:rsid w:val="005D65F8"/>
    <w:rsid w:val="005E16AC"/>
    <w:rsid w:val="005E480E"/>
    <w:rsid w:val="005F1A4C"/>
    <w:rsid w:val="005F41F0"/>
    <w:rsid w:val="00601C2B"/>
    <w:rsid w:val="00605688"/>
    <w:rsid w:val="006070AF"/>
    <w:rsid w:val="00607E6C"/>
    <w:rsid w:val="006101B1"/>
    <w:rsid w:val="00614E44"/>
    <w:rsid w:val="00621028"/>
    <w:rsid w:val="006217EA"/>
    <w:rsid w:val="00622830"/>
    <w:rsid w:val="00630AEF"/>
    <w:rsid w:val="006325F8"/>
    <w:rsid w:val="006345B8"/>
    <w:rsid w:val="00634C9A"/>
    <w:rsid w:val="006352B9"/>
    <w:rsid w:val="006369EC"/>
    <w:rsid w:val="00637548"/>
    <w:rsid w:val="00640819"/>
    <w:rsid w:val="006440E4"/>
    <w:rsid w:val="006447C8"/>
    <w:rsid w:val="006534C3"/>
    <w:rsid w:val="00662CB1"/>
    <w:rsid w:val="0066343B"/>
    <w:rsid w:val="00664777"/>
    <w:rsid w:val="006748A4"/>
    <w:rsid w:val="0067777B"/>
    <w:rsid w:val="0068134A"/>
    <w:rsid w:val="00683E73"/>
    <w:rsid w:val="00692B40"/>
    <w:rsid w:val="006A3141"/>
    <w:rsid w:val="006A5E34"/>
    <w:rsid w:val="006B0F4B"/>
    <w:rsid w:val="006B11EF"/>
    <w:rsid w:val="006B2422"/>
    <w:rsid w:val="006B2B9A"/>
    <w:rsid w:val="006C1937"/>
    <w:rsid w:val="006E3994"/>
    <w:rsid w:val="006F020C"/>
    <w:rsid w:val="00700ED8"/>
    <w:rsid w:val="0070767F"/>
    <w:rsid w:val="007127B7"/>
    <w:rsid w:val="007203C3"/>
    <w:rsid w:val="00722311"/>
    <w:rsid w:val="00731258"/>
    <w:rsid w:val="00733743"/>
    <w:rsid w:val="007416B6"/>
    <w:rsid w:val="00743C82"/>
    <w:rsid w:val="00746AC8"/>
    <w:rsid w:val="00746F48"/>
    <w:rsid w:val="0075404D"/>
    <w:rsid w:val="007602CD"/>
    <w:rsid w:val="0076182A"/>
    <w:rsid w:val="007653CE"/>
    <w:rsid w:val="00766692"/>
    <w:rsid w:val="00767B7E"/>
    <w:rsid w:val="00775790"/>
    <w:rsid w:val="007770C3"/>
    <w:rsid w:val="00784D24"/>
    <w:rsid w:val="00785B09"/>
    <w:rsid w:val="00785FBA"/>
    <w:rsid w:val="00786E4A"/>
    <w:rsid w:val="00787394"/>
    <w:rsid w:val="007875EB"/>
    <w:rsid w:val="00791228"/>
    <w:rsid w:val="0079426B"/>
    <w:rsid w:val="007A1B50"/>
    <w:rsid w:val="007A4D31"/>
    <w:rsid w:val="007B7A35"/>
    <w:rsid w:val="007C593D"/>
    <w:rsid w:val="007D312A"/>
    <w:rsid w:val="007D3F19"/>
    <w:rsid w:val="007E01FA"/>
    <w:rsid w:val="007E23B0"/>
    <w:rsid w:val="007E29B6"/>
    <w:rsid w:val="007E2E8F"/>
    <w:rsid w:val="007F1991"/>
    <w:rsid w:val="007F1DA9"/>
    <w:rsid w:val="007F2C2F"/>
    <w:rsid w:val="007F55FC"/>
    <w:rsid w:val="007F5665"/>
    <w:rsid w:val="007F79C7"/>
    <w:rsid w:val="00800112"/>
    <w:rsid w:val="00806CEE"/>
    <w:rsid w:val="008071C9"/>
    <w:rsid w:val="008253BB"/>
    <w:rsid w:val="008362FE"/>
    <w:rsid w:val="0083706E"/>
    <w:rsid w:val="008422A2"/>
    <w:rsid w:val="008423A5"/>
    <w:rsid w:val="00842AA7"/>
    <w:rsid w:val="00850625"/>
    <w:rsid w:val="00853718"/>
    <w:rsid w:val="00855221"/>
    <w:rsid w:val="00860645"/>
    <w:rsid w:val="00864DBA"/>
    <w:rsid w:val="008708E7"/>
    <w:rsid w:val="00871F71"/>
    <w:rsid w:val="008738BD"/>
    <w:rsid w:val="00882F7A"/>
    <w:rsid w:val="00885AF4"/>
    <w:rsid w:val="008939CD"/>
    <w:rsid w:val="0089787A"/>
    <w:rsid w:val="008A74B6"/>
    <w:rsid w:val="008B1C37"/>
    <w:rsid w:val="008B32B7"/>
    <w:rsid w:val="008B5207"/>
    <w:rsid w:val="008B768C"/>
    <w:rsid w:val="008C242A"/>
    <w:rsid w:val="008C2C02"/>
    <w:rsid w:val="008C3787"/>
    <w:rsid w:val="008C4DB1"/>
    <w:rsid w:val="008C4EAF"/>
    <w:rsid w:val="008C5176"/>
    <w:rsid w:val="008C5E86"/>
    <w:rsid w:val="008C7FD0"/>
    <w:rsid w:val="008D282A"/>
    <w:rsid w:val="008D32B8"/>
    <w:rsid w:val="008E1DE7"/>
    <w:rsid w:val="008E707C"/>
    <w:rsid w:val="008F11F3"/>
    <w:rsid w:val="00900B08"/>
    <w:rsid w:val="00902155"/>
    <w:rsid w:val="00902FA3"/>
    <w:rsid w:val="009100BC"/>
    <w:rsid w:val="00915566"/>
    <w:rsid w:val="00923564"/>
    <w:rsid w:val="0092392E"/>
    <w:rsid w:val="009315F9"/>
    <w:rsid w:val="00934F44"/>
    <w:rsid w:val="00940BF3"/>
    <w:rsid w:val="00942D2E"/>
    <w:rsid w:val="00946945"/>
    <w:rsid w:val="00950D89"/>
    <w:rsid w:val="00951248"/>
    <w:rsid w:val="0095152F"/>
    <w:rsid w:val="0095335E"/>
    <w:rsid w:val="00954C49"/>
    <w:rsid w:val="009565EF"/>
    <w:rsid w:val="0095661E"/>
    <w:rsid w:val="00956A39"/>
    <w:rsid w:val="00956C7C"/>
    <w:rsid w:val="0097099F"/>
    <w:rsid w:val="00971997"/>
    <w:rsid w:val="00971FFC"/>
    <w:rsid w:val="0098660A"/>
    <w:rsid w:val="009931C3"/>
    <w:rsid w:val="009970B4"/>
    <w:rsid w:val="009A6415"/>
    <w:rsid w:val="009B2C43"/>
    <w:rsid w:val="009B4EAE"/>
    <w:rsid w:val="009B60C6"/>
    <w:rsid w:val="009B73F8"/>
    <w:rsid w:val="009B7573"/>
    <w:rsid w:val="009C22F4"/>
    <w:rsid w:val="009C2E98"/>
    <w:rsid w:val="009D1FC8"/>
    <w:rsid w:val="009D3447"/>
    <w:rsid w:val="009D4258"/>
    <w:rsid w:val="009D4711"/>
    <w:rsid w:val="009E7C61"/>
    <w:rsid w:val="009F1185"/>
    <w:rsid w:val="009F14AA"/>
    <w:rsid w:val="009F18CD"/>
    <w:rsid w:val="009F2A13"/>
    <w:rsid w:val="009F6279"/>
    <w:rsid w:val="00A04EB0"/>
    <w:rsid w:val="00A13CC1"/>
    <w:rsid w:val="00A16847"/>
    <w:rsid w:val="00A16BEA"/>
    <w:rsid w:val="00A237D8"/>
    <w:rsid w:val="00A268C4"/>
    <w:rsid w:val="00A307CD"/>
    <w:rsid w:val="00A327D3"/>
    <w:rsid w:val="00A40A00"/>
    <w:rsid w:val="00A4142F"/>
    <w:rsid w:val="00A41F48"/>
    <w:rsid w:val="00A56DF2"/>
    <w:rsid w:val="00A67AB5"/>
    <w:rsid w:val="00A762CB"/>
    <w:rsid w:val="00A77031"/>
    <w:rsid w:val="00A91760"/>
    <w:rsid w:val="00A93B00"/>
    <w:rsid w:val="00A93C21"/>
    <w:rsid w:val="00AA2739"/>
    <w:rsid w:val="00AA53BE"/>
    <w:rsid w:val="00AB0CD9"/>
    <w:rsid w:val="00AB4E2B"/>
    <w:rsid w:val="00AB564B"/>
    <w:rsid w:val="00AB76CC"/>
    <w:rsid w:val="00AC3C6A"/>
    <w:rsid w:val="00AC4A69"/>
    <w:rsid w:val="00AD3971"/>
    <w:rsid w:val="00AD5620"/>
    <w:rsid w:val="00AD7C1B"/>
    <w:rsid w:val="00AE16BA"/>
    <w:rsid w:val="00AE1EBE"/>
    <w:rsid w:val="00AE70D3"/>
    <w:rsid w:val="00AE7C67"/>
    <w:rsid w:val="00AF576E"/>
    <w:rsid w:val="00B03C9D"/>
    <w:rsid w:val="00B060AE"/>
    <w:rsid w:val="00B10517"/>
    <w:rsid w:val="00B11985"/>
    <w:rsid w:val="00B14E76"/>
    <w:rsid w:val="00B161B8"/>
    <w:rsid w:val="00B2048C"/>
    <w:rsid w:val="00B25AC0"/>
    <w:rsid w:val="00B260E8"/>
    <w:rsid w:val="00B2674E"/>
    <w:rsid w:val="00B26D3B"/>
    <w:rsid w:val="00B310B9"/>
    <w:rsid w:val="00B31A88"/>
    <w:rsid w:val="00B35F3F"/>
    <w:rsid w:val="00B36CBB"/>
    <w:rsid w:val="00B425E0"/>
    <w:rsid w:val="00B43312"/>
    <w:rsid w:val="00B440AA"/>
    <w:rsid w:val="00B44B70"/>
    <w:rsid w:val="00B50232"/>
    <w:rsid w:val="00B53C56"/>
    <w:rsid w:val="00B5625C"/>
    <w:rsid w:val="00B6608A"/>
    <w:rsid w:val="00B70159"/>
    <w:rsid w:val="00B718EE"/>
    <w:rsid w:val="00B749D7"/>
    <w:rsid w:val="00B77EA6"/>
    <w:rsid w:val="00B81598"/>
    <w:rsid w:val="00B81DCA"/>
    <w:rsid w:val="00B841F1"/>
    <w:rsid w:val="00B85DD5"/>
    <w:rsid w:val="00B944D6"/>
    <w:rsid w:val="00B969F2"/>
    <w:rsid w:val="00BB4DF0"/>
    <w:rsid w:val="00BC289F"/>
    <w:rsid w:val="00BC5361"/>
    <w:rsid w:val="00BC5460"/>
    <w:rsid w:val="00BC67A2"/>
    <w:rsid w:val="00BC6B50"/>
    <w:rsid w:val="00BD04DB"/>
    <w:rsid w:val="00BD0E25"/>
    <w:rsid w:val="00BD229F"/>
    <w:rsid w:val="00BD3EAC"/>
    <w:rsid w:val="00BE2591"/>
    <w:rsid w:val="00BF0ED8"/>
    <w:rsid w:val="00BF5BD6"/>
    <w:rsid w:val="00BF7420"/>
    <w:rsid w:val="00C03E31"/>
    <w:rsid w:val="00C050FC"/>
    <w:rsid w:val="00C33E72"/>
    <w:rsid w:val="00C354B2"/>
    <w:rsid w:val="00C35554"/>
    <w:rsid w:val="00C42709"/>
    <w:rsid w:val="00C439EA"/>
    <w:rsid w:val="00C43B0C"/>
    <w:rsid w:val="00C533CC"/>
    <w:rsid w:val="00C570A9"/>
    <w:rsid w:val="00C5751C"/>
    <w:rsid w:val="00C61BFC"/>
    <w:rsid w:val="00C62B85"/>
    <w:rsid w:val="00C65438"/>
    <w:rsid w:val="00C80C6F"/>
    <w:rsid w:val="00C91CBB"/>
    <w:rsid w:val="00C93C7D"/>
    <w:rsid w:val="00CA4444"/>
    <w:rsid w:val="00CB0822"/>
    <w:rsid w:val="00CB403F"/>
    <w:rsid w:val="00CB4AE7"/>
    <w:rsid w:val="00CB7F0D"/>
    <w:rsid w:val="00CC09B6"/>
    <w:rsid w:val="00CC666F"/>
    <w:rsid w:val="00CD1843"/>
    <w:rsid w:val="00CD1E3F"/>
    <w:rsid w:val="00CE44F6"/>
    <w:rsid w:val="00CE49DA"/>
    <w:rsid w:val="00CE7B61"/>
    <w:rsid w:val="00CF4436"/>
    <w:rsid w:val="00CF4B48"/>
    <w:rsid w:val="00D00095"/>
    <w:rsid w:val="00D019B0"/>
    <w:rsid w:val="00D12720"/>
    <w:rsid w:val="00D20620"/>
    <w:rsid w:val="00D2154A"/>
    <w:rsid w:val="00D26091"/>
    <w:rsid w:val="00D31BE4"/>
    <w:rsid w:val="00D34E7C"/>
    <w:rsid w:val="00D35489"/>
    <w:rsid w:val="00D51276"/>
    <w:rsid w:val="00D64F8E"/>
    <w:rsid w:val="00D7035F"/>
    <w:rsid w:val="00D741D7"/>
    <w:rsid w:val="00D9106B"/>
    <w:rsid w:val="00DA65AC"/>
    <w:rsid w:val="00DB1913"/>
    <w:rsid w:val="00DC3FDB"/>
    <w:rsid w:val="00DC410D"/>
    <w:rsid w:val="00DC68CA"/>
    <w:rsid w:val="00DC7CBA"/>
    <w:rsid w:val="00DD64D5"/>
    <w:rsid w:val="00DD73B7"/>
    <w:rsid w:val="00DE5CB6"/>
    <w:rsid w:val="00DF218C"/>
    <w:rsid w:val="00DF28BC"/>
    <w:rsid w:val="00DF34B9"/>
    <w:rsid w:val="00DF4F24"/>
    <w:rsid w:val="00DF7DBF"/>
    <w:rsid w:val="00E01053"/>
    <w:rsid w:val="00E069F6"/>
    <w:rsid w:val="00E07ACF"/>
    <w:rsid w:val="00E133E3"/>
    <w:rsid w:val="00E146A3"/>
    <w:rsid w:val="00E331A1"/>
    <w:rsid w:val="00E33202"/>
    <w:rsid w:val="00E336A9"/>
    <w:rsid w:val="00E41F04"/>
    <w:rsid w:val="00E50624"/>
    <w:rsid w:val="00E56545"/>
    <w:rsid w:val="00E568DF"/>
    <w:rsid w:val="00E6324F"/>
    <w:rsid w:val="00E64269"/>
    <w:rsid w:val="00E64F0F"/>
    <w:rsid w:val="00E72E69"/>
    <w:rsid w:val="00E82267"/>
    <w:rsid w:val="00E94B76"/>
    <w:rsid w:val="00E9713E"/>
    <w:rsid w:val="00EA010F"/>
    <w:rsid w:val="00EA33FF"/>
    <w:rsid w:val="00EA748A"/>
    <w:rsid w:val="00EB379D"/>
    <w:rsid w:val="00EB4E2D"/>
    <w:rsid w:val="00EC0432"/>
    <w:rsid w:val="00EC13B0"/>
    <w:rsid w:val="00EC3FA7"/>
    <w:rsid w:val="00ED1B63"/>
    <w:rsid w:val="00ED281D"/>
    <w:rsid w:val="00ED3C1F"/>
    <w:rsid w:val="00ED4085"/>
    <w:rsid w:val="00ED420E"/>
    <w:rsid w:val="00EE0C72"/>
    <w:rsid w:val="00EE2F57"/>
    <w:rsid w:val="00EE513E"/>
    <w:rsid w:val="00EF07A0"/>
    <w:rsid w:val="00EF4C34"/>
    <w:rsid w:val="00EF77C6"/>
    <w:rsid w:val="00F05438"/>
    <w:rsid w:val="00F1361C"/>
    <w:rsid w:val="00F160C7"/>
    <w:rsid w:val="00F1650D"/>
    <w:rsid w:val="00F20EFD"/>
    <w:rsid w:val="00F36D8F"/>
    <w:rsid w:val="00F40F15"/>
    <w:rsid w:val="00F417B1"/>
    <w:rsid w:val="00F43B11"/>
    <w:rsid w:val="00F441E0"/>
    <w:rsid w:val="00F451A6"/>
    <w:rsid w:val="00F565AD"/>
    <w:rsid w:val="00F602DF"/>
    <w:rsid w:val="00F73AF4"/>
    <w:rsid w:val="00F75EA8"/>
    <w:rsid w:val="00F75FEF"/>
    <w:rsid w:val="00F77A3D"/>
    <w:rsid w:val="00F81FD9"/>
    <w:rsid w:val="00F821D7"/>
    <w:rsid w:val="00F841AA"/>
    <w:rsid w:val="00F90CC5"/>
    <w:rsid w:val="00FA23E8"/>
    <w:rsid w:val="00FA5F38"/>
    <w:rsid w:val="00FB150E"/>
    <w:rsid w:val="00FB2048"/>
    <w:rsid w:val="00FC416E"/>
    <w:rsid w:val="00FD3CC1"/>
    <w:rsid w:val="00FD4431"/>
    <w:rsid w:val="00FF1E02"/>
    <w:rsid w:val="00FF30B4"/>
    <w:rsid w:val="00FF6E97"/>
    <w:rsid w:val="0B11410D"/>
    <w:rsid w:val="10C055FF"/>
    <w:rsid w:val="16BB723D"/>
    <w:rsid w:val="240371BF"/>
    <w:rsid w:val="29FD04D3"/>
    <w:rsid w:val="319F7F4E"/>
    <w:rsid w:val="470659A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uiPriority w:val="99"/>
    <w:rPr>
      <w:sz w:val="18"/>
      <w:szCs w:val="18"/>
    </w:rPr>
  </w:style>
  <w:style w:type="paragraph" w:styleId="8">
    <w:name w:val="footer"/>
    <w:basedOn w:val="1"/>
    <w:link w:val="21"/>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2"/>
    <w:semiHidden/>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adjustRightInd w:val="0"/>
      <w:snapToGrid w:val="0"/>
      <w:spacing w:line="440" w:lineRule="exact"/>
      <w:jc w:val="left"/>
    </w:pPr>
    <w:rPr>
      <w:rFonts w:ascii="仿宋" w:hAnsi="仿宋" w:eastAsia="仿宋"/>
      <w:b/>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FollowedHyperlink"/>
    <w:basedOn w:val="13"/>
    <w:semiHidden/>
    <w:unhideWhenUsed/>
    <w:uiPriority w:val="99"/>
    <w:rPr>
      <w:color w:val="800080"/>
      <w:u w:val="single"/>
    </w:rPr>
  </w:style>
  <w:style w:type="character" w:styleId="16">
    <w:name w:val="Hyperlink"/>
    <w:basedOn w:val="13"/>
    <w:unhideWhenUsed/>
    <w:qFormat/>
    <w:uiPriority w:val="99"/>
    <w:rPr>
      <w:color w:val="0000FF" w:themeColor="hyperlink"/>
      <w:u w:val="single"/>
    </w:rPr>
  </w:style>
  <w:style w:type="character" w:customStyle="1" w:styleId="17">
    <w:name w:val="标题 1 Char"/>
    <w:basedOn w:val="13"/>
    <w:link w:val="2"/>
    <w:qFormat/>
    <w:uiPriority w:val="9"/>
    <w:rPr>
      <w:rFonts w:ascii="Times New Roman" w:hAnsi="Times New Roman"/>
      <w:b/>
      <w:bCs/>
      <w:kern w:val="44"/>
      <w:sz w:val="44"/>
      <w:szCs w:val="44"/>
    </w:rPr>
  </w:style>
  <w:style w:type="character" w:customStyle="1" w:styleId="18">
    <w:name w:val="标题 2 Char"/>
    <w:basedOn w:val="13"/>
    <w:link w:val="3"/>
    <w:qFormat/>
    <w:uiPriority w:val="9"/>
    <w:rPr>
      <w:rFonts w:asciiTheme="majorHAnsi" w:hAnsiTheme="majorHAnsi" w:eastAsiaTheme="majorEastAsia" w:cstheme="majorBidi"/>
      <w:b/>
      <w:bCs/>
      <w:kern w:val="2"/>
      <w:sz w:val="32"/>
      <w:szCs w:val="32"/>
    </w:rPr>
  </w:style>
  <w:style w:type="character" w:customStyle="1" w:styleId="19">
    <w:name w:val="标题 3 Char"/>
    <w:basedOn w:val="13"/>
    <w:link w:val="4"/>
    <w:uiPriority w:val="9"/>
    <w:rPr>
      <w:rFonts w:ascii="Times New Roman" w:hAnsi="Times New Roman"/>
      <w:b/>
      <w:bCs/>
      <w:kern w:val="2"/>
      <w:sz w:val="32"/>
      <w:szCs w:val="32"/>
    </w:rPr>
  </w:style>
  <w:style w:type="character" w:customStyle="1" w:styleId="20">
    <w:name w:val="正文文本 Char"/>
    <w:link w:val="5"/>
    <w:qFormat/>
    <w:locked/>
    <w:uiPriority w:val="99"/>
    <w:rPr>
      <w:rFonts w:ascii="仿宋_GB2312" w:hAnsi="Times New Roman" w:eastAsia="仿宋_GB2312"/>
      <w:sz w:val="24"/>
    </w:rPr>
  </w:style>
  <w:style w:type="character" w:customStyle="1" w:styleId="21">
    <w:name w:val="页脚 Char"/>
    <w:link w:val="8"/>
    <w:locked/>
    <w:uiPriority w:val="99"/>
    <w:rPr>
      <w:sz w:val="18"/>
    </w:rPr>
  </w:style>
  <w:style w:type="character" w:customStyle="1" w:styleId="22">
    <w:name w:val="页眉 Char"/>
    <w:link w:val="9"/>
    <w:semiHidden/>
    <w:locked/>
    <w:uiPriority w:val="99"/>
    <w:rPr>
      <w:sz w:val="18"/>
    </w:rPr>
  </w:style>
  <w:style w:type="character" w:customStyle="1" w:styleId="23">
    <w:name w:val="Header Char"/>
    <w:basedOn w:val="13"/>
    <w:semiHidden/>
    <w:uiPriority w:val="99"/>
    <w:rPr>
      <w:rFonts w:ascii="Times New Roman" w:hAnsi="Times New Roman"/>
      <w:sz w:val="18"/>
      <w:szCs w:val="18"/>
    </w:rPr>
  </w:style>
  <w:style w:type="character" w:customStyle="1" w:styleId="24">
    <w:name w:val="Footer Char"/>
    <w:basedOn w:val="13"/>
    <w:semiHidden/>
    <w:uiPriority w:val="99"/>
    <w:rPr>
      <w:rFonts w:ascii="Times New Roman" w:hAnsi="Times New Roman"/>
      <w:sz w:val="18"/>
      <w:szCs w:val="18"/>
    </w:rPr>
  </w:style>
  <w:style w:type="character" w:customStyle="1" w:styleId="25">
    <w:name w:val="Body Text Char"/>
    <w:basedOn w:val="13"/>
    <w:semiHidden/>
    <w:uiPriority w:val="99"/>
    <w:rPr>
      <w:rFonts w:ascii="Times New Roman" w:hAnsi="Times New Roman"/>
      <w:szCs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1"/>
    <w:pPr>
      <w:ind w:firstLine="420" w:firstLineChars="200"/>
    </w:pPr>
  </w:style>
  <w:style w:type="paragraph" w:customStyle="1" w:styleId="2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3"/>
    <w:link w:val="7"/>
    <w:semiHidden/>
    <w:uiPriority w:val="99"/>
    <w:rPr>
      <w:rFonts w:ascii="Times New Roman" w:hAnsi="Times New Roman"/>
      <w:kern w:val="2"/>
      <w:sz w:val="18"/>
      <w:szCs w:val="18"/>
    </w:rPr>
  </w:style>
  <w:style w:type="paragraph" w:customStyle="1" w:styleId="30">
    <w:name w:val="列出段落1"/>
    <w:basedOn w:val="1"/>
    <w:qFormat/>
    <w:uiPriority w:val="34"/>
    <w:pPr>
      <w:ind w:firstLine="420" w:firstLineChars="200"/>
    </w:pPr>
  </w:style>
  <w:style w:type="character" w:customStyle="1" w:styleId="31">
    <w:name w:val="font61"/>
    <w:basedOn w:val="13"/>
    <w:uiPriority w:val="0"/>
    <w:rPr>
      <w:rFonts w:hint="eastAsia" w:ascii="Times New Roman" w:eastAsia="楷体_GB2312"/>
      <w:sz w:val="32"/>
      <w:szCs w:val="24"/>
    </w:r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4">
    <w:name w:val="xl66"/>
    <w:basedOn w:val="1"/>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35">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6">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7">
    <w:name w:val="xl6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8">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39">
    <w:name w:val="xl7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0">
    <w:name w:val="xl72"/>
    <w:basedOn w:val="1"/>
    <w:uiPriority w:val="0"/>
    <w:pPr>
      <w:widowControl/>
      <w:spacing w:before="100" w:beforeAutospacing="1" w:after="100" w:afterAutospacing="1"/>
      <w:jc w:val="left"/>
    </w:pPr>
    <w:rPr>
      <w:rFonts w:ascii="宋体" w:hAnsi="宋体" w:cs="宋体"/>
      <w:color w:val="C0C0C0"/>
      <w:kern w:val="0"/>
      <w:sz w:val="20"/>
      <w:szCs w:val="20"/>
    </w:rPr>
  </w:style>
  <w:style w:type="paragraph" w:customStyle="1" w:styleId="41">
    <w:name w:val="xl7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2">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3">
    <w:name w:val="xl7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4">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5">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6">
    <w:name w:val="xl7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7">
    <w:name w:val="xl79"/>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8">
    <w:name w:val="xl80"/>
    <w:basedOn w:val="1"/>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9">
    <w:name w:val="xl81"/>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4067584195847"/>
          <c:y val="0.0251909997318447"/>
          <c:w val="0.75981142557036"/>
          <c:h val="0.816807651365567"/>
        </c:manualLayout>
      </c:layout>
      <c:barChart>
        <c:barDir val="col"/>
        <c:grouping val="clustered"/>
        <c:varyColors val="0"/>
        <c:ser>
          <c:idx val="0"/>
          <c:order val="0"/>
          <c:tx>
            <c:strRef>
              <c:f>Sheet1!$B$1</c:f>
              <c:strCache>
                <c:ptCount val="1"/>
                <c:pt idx="0">
                  <c:v>2021年</c:v>
                </c:pt>
              </c:strCache>
            </c:strRef>
          </c:tx>
          <c:invertIfNegative val="0"/>
          <c:dLbls>
            <c:delete val="1"/>
          </c:dLbls>
          <c:cat>
            <c:strRef>
              <c:f>Sheet1!$A$2:$A$5</c:f>
              <c:strCache>
                <c:ptCount val="2"/>
                <c:pt idx="0">
                  <c:v>收入</c:v>
                </c:pt>
                <c:pt idx="1">
                  <c:v>支出</c:v>
                </c:pt>
              </c:strCache>
            </c:strRef>
          </c:cat>
          <c:val>
            <c:numRef>
              <c:f>Sheet1!$B$2:$B$5</c:f>
              <c:numCache>
                <c:formatCode>General</c:formatCode>
                <c:ptCount val="4"/>
                <c:pt idx="0">
                  <c:v>369.88</c:v>
                </c:pt>
                <c:pt idx="1">
                  <c:v>369.88</c:v>
                </c:pt>
              </c:numCache>
            </c:numRef>
          </c:val>
        </c:ser>
        <c:ser>
          <c:idx val="1"/>
          <c:order val="1"/>
          <c:tx>
            <c:strRef>
              <c:f>Sheet1!$C$1</c:f>
              <c:strCache>
                <c:ptCount val="1"/>
                <c:pt idx="0">
                  <c:v>2022年</c:v>
                </c:pt>
              </c:strCache>
            </c:strRef>
          </c:tx>
          <c:invertIfNegative val="0"/>
          <c:dLbls>
            <c:delete val="1"/>
          </c:dLbls>
          <c:cat>
            <c:strRef>
              <c:f>Sheet1!$A$2:$A$5</c:f>
              <c:strCache>
                <c:ptCount val="2"/>
                <c:pt idx="0">
                  <c:v>收入</c:v>
                </c:pt>
                <c:pt idx="1">
                  <c:v>支出</c:v>
                </c:pt>
              </c:strCache>
            </c:strRef>
          </c:cat>
          <c:val>
            <c:numRef>
              <c:f>Sheet1!$C$2:$C$5</c:f>
              <c:numCache>
                <c:formatCode>General</c:formatCode>
                <c:ptCount val="4"/>
                <c:pt idx="0">
                  <c:v>339.63</c:v>
                </c:pt>
                <c:pt idx="1">
                  <c:v>339.63</c:v>
                </c:pt>
              </c:numCache>
            </c:numRef>
          </c:val>
        </c:ser>
        <c:dLbls>
          <c:showLegendKey val="0"/>
          <c:showVal val="0"/>
          <c:showCatName val="0"/>
          <c:showSerName val="0"/>
          <c:showPercent val="0"/>
          <c:showBubbleSize val="0"/>
        </c:dLbls>
        <c:gapWidth val="150"/>
        <c:axId val="170019072"/>
        <c:axId val="170021248"/>
      </c:barChart>
      <c:catAx>
        <c:axId val="1700190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021248"/>
        <c:crosses val="autoZero"/>
        <c:auto val="1"/>
        <c:lblAlgn val="ctr"/>
        <c:lblOffset val="100"/>
        <c:noMultiLvlLbl val="0"/>
      </c:catAx>
      <c:valAx>
        <c:axId val="1700212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0190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收入决算情况</a:t>
            </a:r>
            <a:endParaRPr lang="zh-CN" altLang="en-US"/>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338.63</a:t>
                    </a:r>
                    <a:r>
                      <a:rPr lang="zh-CN" altLang="en-US"/>
                      <a:t>（</a:t>
                    </a:r>
                    <a:r>
                      <a:rPr lang="en-US" altLang="en-US"/>
                      <a:t>99.7</a:t>
                    </a:r>
                    <a:r>
                      <a:rPr lang="en-US" altLang="zh-CN"/>
                      <a:t>1</a:t>
                    </a:r>
                    <a:r>
                      <a:rPr lang="en-US" altLang="en-US"/>
                      <a:t>%</a:t>
                    </a:r>
                    <a:r>
                      <a:rPr lang="zh-CN" altLang="en-US"/>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789739321351987"/>
                  <c:y val="-0.019783037956168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a:t>
                    </a:r>
                    <a:r>
                      <a:rPr lang="zh-CN" altLang="en-US"/>
                      <a:t>（</a:t>
                    </a:r>
                    <a:r>
                      <a:rPr lang="en-US" altLang="en-US"/>
                      <a:t>0.</a:t>
                    </a:r>
                    <a:r>
                      <a:rPr lang="en-US" altLang="zh-CN"/>
                      <a:t>29</a:t>
                    </a:r>
                    <a:r>
                      <a:rPr lang="en-US" altLang="en-US"/>
                      <a:t>%</a:t>
                    </a:r>
                    <a:r>
                      <a:rPr lang="zh-CN" altLang="en-US"/>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0993001928216"/>
                  <c:y val="-0.020826731023947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a:t>
                    </a:r>
                    <a:r>
                      <a:rPr lang="zh-CN" altLang="en-US"/>
                      <a:t>（</a:t>
                    </a:r>
                    <a:r>
                      <a:rPr lang="en-US" altLang="en-US"/>
                      <a:t>1.46%</a:t>
                    </a:r>
                    <a:r>
                      <a:rPr lang="zh-CN" altLang="en-US"/>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2"/>
                <c:pt idx="0">
                  <c:v>一般公共预算</c:v>
                </c:pt>
                <c:pt idx="1">
                  <c:v>政府性基金</c:v>
                </c:pt>
              </c:strCache>
            </c:strRef>
          </c:cat>
          <c:val>
            <c:numRef>
              <c:f>Sheet1!$B$2:$B$4</c:f>
              <c:numCache>
                <c:formatCode>General</c:formatCode>
                <c:ptCount val="3"/>
                <c:pt idx="0">
                  <c:v>338.63</c:v>
                </c:pt>
                <c:pt idx="1">
                  <c:v>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53216614865718"/>
          <c:y val="0.212829494444037"/>
          <c:w val="0.411175562444247"/>
          <c:h val="0.742805945985724"/>
        </c:manualLayout>
      </c:layout>
      <c:pieChart>
        <c:varyColors val="1"/>
        <c:ser>
          <c:idx val="0"/>
          <c:order val="0"/>
          <c:tx>
            <c:strRef>
              <c:f>Sheet1!$B$1</c:f>
              <c:strCache>
                <c:ptCount val="1"/>
                <c:pt idx="0">
                  <c:v>支出决算情况</c:v>
                </c:pt>
              </c:strCache>
            </c:strRef>
          </c:tx>
          <c:explosion val="0"/>
          <c:dPt>
            <c:idx val="0"/>
            <c:bubble3D val="0"/>
          </c:dPt>
          <c:dPt>
            <c:idx val="1"/>
            <c:bubble3D val="0"/>
          </c:dPt>
          <c:dLbls>
            <c:dLbl>
              <c:idx val="0"/>
              <c:layout>
                <c:manualLayout>
                  <c:x val="-0.00759131699329112"/>
                  <c:y val="-0.20936014423430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335.63</a:t>
                    </a:r>
                    <a:r>
                      <a:rPr lang="zh-CN" altLang="en-US"/>
                      <a:t>（</a:t>
                    </a:r>
                    <a:r>
                      <a:rPr lang="en-US" altLang="zh-CN"/>
                      <a:t>98.83%</a:t>
                    </a:r>
                    <a:r>
                      <a:rPr lang="zh-CN" altLang="en-US"/>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32806090650981"/>
                  <c:y val="0.0092729413496210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a:t>
                    </a:r>
                    <a:r>
                      <a:rPr lang="zh-CN" altLang="en-US"/>
                      <a:t>（</a:t>
                    </a:r>
                    <a:r>
                      <a:rPr lang="en-US" altLang="zh-CN"/>
                      <a:t>1.17%</a:t>
                    </a:r>
                    <a:r>
                      <a:rPr lang="zh-CN" altLang="en-US"/>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335.63</c:v>
                </c:pt>
                <c:pt idx="1">
                  <c:v>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5814656324714"/>
          <c:y val="0.0499588015894298"/>
          <c:w val="0.75981142557036"/>
          <c:h val="0.833319519270618"/>
        </c:manualLayout>
      </c:layout>
      <c:barChart>
        <c:barDir val="col"/>
        <c:grouping val="clustered"/>
        <c:varyColors val="0"/>
        <c:ser>
          <c:idx val="0"/>
          <c:order val="0"/>
          <c:tx>
            <c:strRef>
              <c:f>Sheet1!$B$1</c:f>
              <c:strCache>
                <c:ptCount val="1"/>
                <c:pt idx="0">
                  <c:v>2020年</c:v>
                </c:pt>
              </c:strCache>
            </c:strRef>
          </c:tx>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331.25</c:v>
                </c:pt>
                <c:pt idx="1">
                  <c:v>331.25</c:v>
                </c:pt>
              </c:numCache>
            </c:numRef>
          </c:val>
        </c:ser>
        <c:ser>
          <c:idx val="1"/>
          <c:order val="1"/>
          <c:tx>
            <c:strRef>
              <c:f>Sheet1!$C$1</c:f>
              <c:strCache>
                <c:ptCount val="1"/>
                <c:pt idx="0">
                  <c:v>2021年</c:v>
                </c:pt>
              </c:strCache>
            </c:strRef>
          </c:tx>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369.88</c:v>
                </c:pt>
                <c:pt idx="1">
                  <c:v>369.88</c:v>
                </c:pt>
              </c:numCache>
            </c:numRef>
          </c:val>
        </c:ser>
        <c:dLbls>
          <c:showLegendKey val="0"/>
          <c:showVal val="0"/>
          <c:showCatName val="0"/>
          <c:showSerName val="0"/>
          <c:showPercent val="0"/>
          <c:showBubbleSize val="0"/>
        </c:dLbls>
        <c:gapWidth val="150"/>
        <c:axId val="63223296"/>
        <c:axId val="63224832"/>
      </c:barChart>
      <c:catAx>
        <c:axId val="632232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3224832"/>
        <c:crosses val="autoZero"/>
        <c:auto val="1"/>
        <c:lblAlgn val="ctr"/>
        <c:lblOffset val="100"/>
        <c:noMultiLvlLbl val="0"/>
      </c:catAx>
      <c:valAx>
        <c:axId val="632248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32232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600"/>
              <a:t>一般公共预算财政拨款支出决算变动情况表</a:t>
            </a:r>
            <a:endParaRPr lang="zh-CN" altLang="en-US" sz="1600"/>
          </a:p>
        </c:rich>
      </c:tx>
      <c:layout/>
      <c:overlay val="0"/>
    </c:title>
    <c:autoTitleDeleted val="0"/>
    <c:plotArea>
      <c:layout>
        <c:manualLayout>
          <c:layoutTarget val="inner"/>
          <c:xMode val="edge"/>
          <c:yMode val="edge"/>
          <c:x val="0.111933124901646"/>
          <c:y val="0.158111536367552"/>
          <c:w val="0.888066875098354"/>
          <c:h val="0.724007703371444"/>
        </c:manualLayout>
      </c:layout>
      <c:barChart>
        <c:barDir val="col"/>
        <c:grouping val="clustered"/>
        <c:varyColors val="0"/>
        <c:ser>
          <c:idx val="0"/>
          <c:order val="0"/>
          <c:tx>
            <c:strRef>
              <c:f>Sheet1!$B$1</c:f>
              <c:strCache>
                <c:ptCount val="1"/>
                <c:pt idx="0">
                  <c:v>一般公共预算财政拨款支出决算变动情况表</c:v>
                </c:pt>
              </c:strCache>
            </c:strRef>
          </c:tx>
          <c:invertIfNegative val="0"/>
          <c:dLbls>
            <c:delete val="1"/>
          </c:dLbls>
          <c:cat>
            <c:strRef>
              <c:f>Sheet1!$A$2:$A$3</c:f>
              <c:strCache>
                <c:ptCount val="2"/>
                <c:pt idx="0">
                  <c:v>2021年公共预算拨款支出</c:v>
                </c:pt>
                <c:pt idx="1">
                  <c:v>2022年公共预算拨款支出</c:v>
                </c:pt>
              </c:strCache>
            </c:strRef>
          </c:cat>
          <c:val>
            <c:numRef>
              <c:f>Sheet1!$B$2:$B$3</c:f>
              <c:numCache>
                <c:formatCode>General</c:formatCode>
                <c:ptCount val="2"/>
                <c:pt idx="0">
                  <c:v>366.98</c:v>
                </c:pt>
                <c:pt idx="1">
                  <c:v>338.63</c:v>
                </c:pt>
              </c:numCache>
            </c:numRef>
          </c:val>
        </c:ser>
        <c:dLbls>
          <c:showLegendKey val="0"/>
          <c:showVal val="0"/>
          <c:showCatName val="0"/>
          <c:showSerName val="0"/>
          <c:showPercent val="0"/>
          <c:showBubbleSize val="0"/>
        </c:dLbls>
        <c:gapWidth val="150"/>
        <c:axId val="129988864"/>
        <c:axId val="129990656"/>
      </c:barChart>
      <c:catAx>
        <c:axId val="129988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990656"/>
        <c:crosses val="autoZero"/>
        <c:auto val="1"/>
        <c:lblAlgn val="ctr"/>
        <c:lblOffset val="100"/>
        <c:noMultiLvlLbl val="0"/>
      </c:catAx>
      <c:valAx>
        <c:axId val="1299906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988864"/>
        <c:crosses val="autoZero"/>
        <c:crossBetween val="between"/>
      </c:valAx>
    </c:plotArea>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一般公共预算财政拨款支出决算情况</c:v>
                </c:pt>
              </c:strCache>
            </c:strRef>
          </c:tx>
          <c:explosion val="0"/>
          <c:dPt>
            <c:idx val="0"/>
            <c:bubble3D val="0"/>
          </c:dPt>
          <c:dPt>
            <c:idx val="1"/>
            <c:bubble3D val="0"/>
          </c:dPt>
          <c:dPt>
            <c:idx val="2"/>
            <c:bubble3D val="0"/>
          </c:dPt>
          <c:dPt>
            <c:idx val="3"/>
            <c:bubble3D val="0"/>
          </c:dPt>
          <c:dLbls>
            <c:delete val="1"/>
          </c:dLbls>
          <c:cat>
            <c:strRef>
              <c:f>Sheet1!$A$2:$A$5</c:f>
              <c:strCache>
                <c:ptCount val="4"/>
                <c:pt idx="0">
                  <c:v>教育支出</c:v>
                </c:pt>
                <c:pt idx="1">
                  <c:v>社会保障和就业</c:v>
                </c:pt>
                <c:pt idx="2">
                  <c:v>医疗卫生</c:v>
                </c:pt>
                <c:pt idx="3">
                  <c:v>住房保障</c:v>
                </c:pt>
              </c:strCache>
            </c:strRef>
          </c:cat>
          <c:val>
            <c:numRef>
              <c:f>Sheet1!$B$2:$B$5</c:f>
              <c:numCache>
                <c:formatCode>General</c:formatCode>
                <c:ptCount val="4"/>
                <c:pt idx="0">
                  <c:v>276.39</c:v>
                </c:pt>
                <c:pt idx="1">
                  <c:v>28.69</c:v>
                </c:pt>
                <c:pt idx="2">
                  <c:v>13.42</c:v>
                </c:pt>
                <c:pt idx="3">
                  <c:v>20.13</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altLang="zh-CN" sz="1400"/>
              <a:t>2022</a:t>
            </a:r>
            <a:r>
              <a:rPr lang="zh-CN" altLang="en-US" sz="1400"/>
              <a:t>年一般公共预算财政拨款基本支出决算结构</a:t>
            </a:r>
            <a:endParaRPr lang="zh-CN" altLang="en-US" sz="1400"/>
          </a:p>
        </c:rich>
      </c:tx>
      <c:layout>
        <c:manualLayout>
          <c:xMode val="edge"/>
          <c:yMode val="edge"/>
          <c:x val="0.091126788753085"/>
          <c:y val="0.0371516603902773"/>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2022年一般公共预算财政拨款基本支出决算结构</c:v>
                </c:pt>
              </c:strCache>
            </c:strRef>
          </c:tx>
          <c:explosion val="0"/>
          <c:dPt>
            <c:idx val="0"/>
            <c:bubble3D val="0"/>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317.29</c:v>
                </c:pt>
                <c:pt idx="1">
                  <c:v>18.34</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a:t>2022</a:t>
            </a:r>
            <a:r>
              <a:rPr lang="zh-CN" altLang="en-US" sz="1400"/>
              <a:t>年“三公”经费财政拨款支出决算结构</a:t>
            </a:r>
            <a:endParaRPr lang="zh-CN" altLang="en-US" sz="1400"/>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“三公”经费财政拨款支出决算具体情况</c:v>
                </c:pt>
              </c:strCache>
            </c:strRef>
          </c:tx>
          <c:explosion val="0"/>
          <c:dPt>
            <c:idx val="0"/>
            <c:bubble3D val="0"/>
          </c:dPt>
          <c:dPt>
            <c:idx val="1"/>
            <c:bubble3D val="0"/>
          </c:dPt>
          <c:dPt>
            <c:idx val="2"/>
            <c:bubble3D val="0"/>
          </c:dPt>
          <c:dLbls>
            <c:delete val="1"/>
          </c:dLbls>
          <c:cat>
            <c:strRef>
              <c:f>Sheet1!$A$2:$A$4</c:f>
              <c:strCache>
                <c:ptCount val="3"/>
                <c:pt idx="0">
                  <c:v>公务接待</c:v>
                </c:pt>
                <c:pt idx="1">
                  <c:v>公务出国</c:v>
                </c:pt>
                <c:pt idx="2">
                  <c:v>公务用车</c:v>
                </c:pt>
              </c:strCache>
            </c:strRef>
          </c:cat>
          <c:val>
            <c:numRef>
              <c:f>Sheet1!$B$2:$B$4</c:f>
              <c:numCache>
                <c:formatCode>General</c:formatCode>
                <c:ptCount val="3"/>
                <c:pt idx="0">
                  <c:v>0.47</c:v>
                </c:pt>
                <c:pt idx="1">
                  <c:v>0</c:v>
                </c:pt>
                <c:pt idx="2">
                  <c:v>0</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0.83747</cdr:x>
      <cdr:y>0.12384</cdr:y>
    </cdr:from>
    <cdr:to>
      <cdr:x>1</cdr:x>
      <cdr:y>0.31269</cdr:y>
    </cdr:to>
    <cdr:sp>
      <cdr:nvSpPr>
        <cdr:cNvPr id="2" name="矩形 1"/>
        <cdr:cNvSpPr/>
      </cdr:nvSpPr>
      <cdr:spPr xmlns:a="http://schemas.openxmlformats.org/drawingml/2006/main">
        <a:xfrm xmlns:a="http://schemas.openxmlformats.org/drawingml/2006/main">
          <a:off x="4514850" y="381000"/>
          <a:ext cx="857250" cy="5810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0.33229</cdr:x>
      <cdr:y>0.44272</cdr:y>
    </cdr:from>
    <cdr:to>
      <cdr:x>0.50566</cdr:x>
      <cdr:y>0.73994</cdr:y>
    </cdr:to>
    <cdr:sp>
      <cdr:nvSpPr>
        <cdr:cNvPr id="3" name="矩形 2"/>
        <cdr:cNvSpPr/>
      </cdr:nvSpPr>
      <cdr:spPr xmlns:a="http://schemas.openxmlformats.org/drawingml/2006/main">
        <a:xfrm xmlns:a="http://schemas.openxmlformats.org/drawingml/2006/main">
          <a:off x="1752600" y="1362075"/>
          <a:ext cx="914400" cy="914400"/>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0.3448</cdr:x>
      <cdr:y>0.47154</cdr:y>
    </cdr:from>
    <cdr:to>
      <cdr:x>0.43982</cdr:x>
      <cdr:y>0.603</cdr:y>
    </cdr:to>
    <cdr:sp>
      <cdr:nvSpPr>
        <cdr:cNvPr id="4" name="矩形 3"/>
        <cdr:cNvSpPr/>
      </cdr:nvSpPr>
      <cdr:spPr xmlns:a="http://schemas.openxmlformats.org/drawingml/2006/main">
        <a:xfrm xmlns:a="http://schemas.openxmlformats.org/drawingml/2006/main">
          <a:off x="1818562" y="1450731"/>
          <a:ext cx="501164" cy="404458"/>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800">
              <a:latin typeface="+mn-ea"/>
              <a:ea typeface="+mn-ea"/>
            </a:rPr>
            <a:t>339.63</a:t>
          </a:r>
          <a:endParaRPr lang="zh-CN" altLang="en-US" sz="800">
            <a:latin typeface="+mn-ea"/>
            <a:ea typeface="+mn-ea"/>
          </a:endParaRPr>
        </a:p>
      </cdr:txBody>
    </cdr:sp>
  </cdr:relSizeAnchor>
  <cdr:relSizeAnchor xmlns:cdr="http://schemas.openxmlformats.org/drawingml/2006/chartDrawing">
    <cdr:from>
      <cdr:x>0.28312</cdr:x>
      <cdr:y>0.04858</cdr:y>
    </cdr:from>
    <cdr:to>
      <cdr:x>0.38813</cdr:x>
      <cdr:y>0.11432</cdr:y>
    </cdr:to>
    <cdr:sp>
      <cdr:nvSpPr>
        <cdr:cNvPr id="5" name="矩形 4"/>
        <cdr:cNvSpPr/>
      </cdr:nvSpPr>
      <cdr:spPr xmlns:a="http://schemas.openxmlformats.org/drawingml/2006/main">
        <a:xfrm xmlns:a="http://schemas.openxmlformats.org/drawingml/2006/main">
          <a:off x="1493246" y="149469"/>
          <a:ext cx="553855" cy="20223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800"/>
            <a:t>369.88</a:t>
          </a:r>
          <a:endParaRPr lang="zh-CN" altLang="en-US" sz="800"/>
        </a:p>
      </cdr:txBody>
    </cdr:sp>
  </cdr:relSizeAnchor>
</c:userShapes>
</file>

<file path=word/drawings/drawing2.xml><?xml version="1.0" encoding="utf-8"?>
<c:userShapes xmlns:c="http://schemas.openxmlformats.org/drawingml/2006/chart">
  <cdr:relSizeAnchor xmlns:cdr="http://schemas.openxmlformats.org/drawingml/2006/chartDrawing">
    <cdr:from>
      <cdr:x>0.89213</cdr:x>
      <cdr:y>0.02477</cdr:y>
    </cdr:from>
    <cdr:to>
      <cdr:x>1</cdr:x>
      <cdr:y>0.11765</cdr:y>
    </cdr:to>
    <cdr:sp>
      <cdr:nvSpPr>
        <cdr:cNvPr id="2" name="矩形 1"/>
        <cdr:cNvSpPr/>
      </cdr:nvSpPr>
      <cdr:spPr xmlns:a="http://schemas.openxmlformats.org/drawingml/2006/main">
        <a:xfrm xmlns:a="http://schemas.openxmlformats.org/drawingml/2006/main">
          <a:off x="4705350" y="76200"/>
          <a:ext cx="568960" cy="28575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600"/>
            <a:t>单位：万元</a:t>
          </a:r>
          <a:endParaRPr lang="zh-CN" altLang="en-US" sz="600"/>
        </a:p>
      </cdr:txBody>
    </cdr:sp>
  </cdr:relSizeAnchor>
  <cdr:relSizeAnchor xmlns:cdr="http://schemas.openxmlformats.org/drawingml/2006/chartDrawing">
    <cdr:from>
      <cdr:x>0.15642</cdr:x>
      <cdr:y>0.55156</cdr:y>
    </cdr:from>
    <cdr:to>
      <cdr:x>0.26978</cdr:x>
      <cdr:y>0.68326</cdr:y>
    </cdr:to>
    <cdr:sp>
      <cdr:nvSpPr>
        <cdr:cNvPr id="3" name="矩形 2"/>
        <cdr:cNvSpPr/>
      </cdr:nvSpPr>
      <cdr:spPr xmlns:a="http://schemas.openxmlformats.org/drawingml/2006/main">
        <a:xfrm xmlns:a="http://schemas.openxmlformats.org/drawingml/2006/main">
          <a:off x="825008" y="1696908"/>
          <a:ext cx="597896" cy="40518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100"/>
            <a:t>331.25</a:t>
          </a:r>
          <a:endParaRPr lang="zh-CN" altLang="en-US" sz="1100"/>
        </a:p>
      </cdr:txBody>
    </cdr:sp>
  </cdr:relSizeAnchor>
  <cdr:relSizeAnchor xmlns:cdr="http://schemas.openxmlformats.org/drawingml/2006/chartDrawing">
    <cdr:from>
      <cdr:x>0.27311</cdr:x>
      <cdr:y>0.10288</cdr:y>
    </cdr:from>
    <cdr:to>
      <cdr:x>0.3648</cdr:x>
      <cdr:y>0.32293</cdr:y>
    </cdr:to>
    <cdr:sp>
      <cdr:nvSpPr>
        <cdr:cNvPr id="4" name="矩形 3"/>
        <cdr:cNvSpPr/>
      </cdr:nvSpPr>
      <cdr:spPr xmlns:a="http://schemas.openxmlformats.org/drawingml/2006/main">
        <a:xfrm xmlns:a="http://schemas.openxmlformats.org/drawingml/2006/main">
          <a:off x="1440451" y="316509"/>
          <a:ext cx="483601" cy="677000"/>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r>
            <a:rPr lang="en-US" altLang="zh-CN" sz="1100"/>
            <a:t>369.88</a:t>
          </a:r>
          <a:endParaRPr lang="zh-CN" altLang="en-US" sz="1100"/>
        </a:p>
      </cdr:txBody>
    </cdr:sp>
  </cdr:relSizeAnchor>
  <cdr:relSizeAnchor xmlns:cdr="http://schemas.openxmlformats.org/drawingml/2006/chartDrawing">
    <cdr:from>
      <cdr:x>0.5315</cdr:x>
      <cdr:y>0.55441</cdr:y>
    </cdr:from>
    <cdr:to>
      <cdr:x>0.65319</cdr:x>
      <cdr:y>0.643</cdr:y>
    </cdr:to>
    <cdr:sp>
      <cdr:nvSpPr>
        <cdr:cNvPr id="5" name="矩形 4"/>
        <cdr:cNvSpPr/>
      </cdr:nvSpPr>
      <cdr:spPr xmlns:a="http://schemas.openxmlformats.org/drawingml/2006/main">
        <a:xfrm xmlns:a="http://schemas.openxmlformats.org/drawingml/2006/main">
          <a:off x="2803307" y="1705693"/>
          <a:ext cx="641830" cy="272554"/>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100"/>
            <a:t>331.25</a:t>
          </a:r>
          <a:endParaRPr lang="zh-CN" altLang="en-US" sz="1100"/>
        </a:p>
      </cdr:txBody>
    </cdr:sp>
  </cdr:relSizeAnchor>
  <cdr:relSizeAnchor xmlns:cdr="http://schemas.openxmlformats.org/drawingml/2006/chartDrawing">
    <cdr:from>
      <cdr:x>0.64819</cdr:x>
      <cdr:y>0.10289</cdr:y>
    </cdr:from>
    <cdr:to>
      <cdr:x>0.76488</cdr:x>
      <cdr:y>0.21148</cdr:y>
    </cdr:to>
    <cdr:sp>
      <cdr:nvSpPr>
        <cdr:cNvPr id="6" name="矩形 5"/>
        <cdr:cNvSpPr/>
      </cdr:nvSpPr>
      <cdr:spPr xmlns:a="http://schemas.openxmlformats.org/drawingml/2006/main">
        <a:xfrm xmlns:a="http://schemas.openxmlformats.org/drawingml/2006/main">
          <a:off x="3418729" y="316546"/>
          <a:ext cx="615459" cy="334086"/>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100"/>
            <a:t>369.88</a:t>
          </a:r>
          <a:endParaRPr lang="zh-CN"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0.27978</cdr:x>
      <cdr:y>0.13431</cdr:y>
    </cdr:from>
    <cdr:to>
      <cdr:x>0.38979</cdr:x>
      <cdr:y>0.21194</cdr:y>
    </cdr:to>
    <cdr:sp>
      <cdr:nvSpPr>
        <cdr:cNvPr id="2" name="矩形 1"/>
        <cdr:cNvSpPr/>
      </cdr:nvSpPr>
      <cdr:spPr xmlns:a="http://schemas.openxmlformats.org/drawingml/2006/main">
        <a:xfrm xmlns:a="http://schemas.openxmlformats.org/drawingml/2006/main">
          <a:off x="1475636" y="413228"/>
          <a:ext cx="580227" cy="23883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100"/>
            <a:t>366.98</a:t>
          </a:r>
          <a:endParaRPr lang="zh-CN" altLang="en-US" sz="1100"/>
        </a:p>
      </cdr:txBody>
    </cdr:sp>
  </cdr:relSizeAnchor>
  <cdr:relSizeAnchor xmlns:cdr="http://schemas.openxmlformats.org/drawingml/2006/chartDrawing">
    <cdr:from>
      <cdr:x>0.70486</cdr:x>
      <cdr:y>0.52012</cdr:y>
    </cdr:from>
    <cdr:to>
      <cdr:x>0.85489</cdr:x>
      <cdr:y>0.60586</cdr:y>
    </cdr:to>
    <cdr:sp>
      <cdr:nvSpPr>
        <cdr:cNvPr id="3" name="矩形 2"/>
        <cdr:cNvSpPr/>
      </cdr:nvSpPr>
      <cdr:spPr xmlns:a="http://schemas.openxmlformats.org/drawingml/2006/main">
        <a:xfrm xmlns:a="http://schemas.openxmlformats.org/drawingml/2006/main">
          <a:off x="3717655" y="1600200"/>
          <a:ext cx="791305" cy="263769"/>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100"/>
            <a:t>338.63</a:t>
          </a:r>
          <a:endParaRPr lang="zh-CN" altLang="en-US" sz="1100"/>
        </a:p>
      </cdr:txBody>
    </cdr:sp>
  </cdr:relSizeAnchor>
  <cdr:relSizeAnchor xmlns:cdr="http://schemas.openxmlformats.org/drawingml/2006/chartDrawing">
    <cdr:from>
      <cdr:x>0.83072</cdr:x>
      <cdr:y>0.14551</cdr:y>
    </cdr:from>
    <cdr:to>
      <cdr:x>1</cdr:x>
      <cdr:y>0.35604</cdr:y>
    </cdr:to>
    <cdr:sp>
      <cdr:nvSpPr>
        <cdr:cNvPr id="4" name="矩形 3"/>
        <cdr:cNvSpPr/>
      </cdr:nvSpPr>
      <cdr:spPr xmlns:a="http://schemas.openxmlformats.org/drawingml/2006/main">
        <a:xfrm xmlns:a="http://schemas.openxmlformats.org/drawingml/2006/main">
          <a:off x="4381500" y="447676"/>
          <a:ext cx="892810" cy="6477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4.xml><?xml version="1.0" encoding="utf-8"?>
<c:userShapes xmlns:c="http://schemas.openxmlformats.org/drawingml/2006/chart">
  <cdr:relSizeAnchor xmlns:cdr="http://schemas.openxmlformats.org/drawingml/2006/chartDrawing">
    <cdr:from>
      <cdr:x>0.80666</cdr:x>
      <cdr:y>0.13657</cdr:y>
    </cdr:from>
    <cdr:to>
      <cdr:x>0.97951</cdr:x>
      <cdr:y>0.21991</cdr:y>
    </cdr:to>
    <cdr:sp>
      <cdr:nvSpPr>
        <cdr:cNvPr id="2" name="矩形 1"/>
        <cdr:cNvSpPr/>
      </cdr:nvSpPr>
      <cdr:spPr xmlns:a="http://schemas.openxmlformats.org/drawingml/2006/main">
        <a:xfrm xmlns:a="http://schemas.openxmlformats.org/drawingml/2006/main">
          <a:off x="4400550" y="561975"/>
          <a:ext cx="942975" cy="3429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800"/>
            <a:t>单位：万元</a:t>
          </a:r>
          <a:endParaRPr lang="zh-CN" altLang="en-US" sz="800"/>
        </a:p>
      </cdr:txBody>
    </cdr:sp>
  </cdr:relSizeAnchor>
  <cdr:relSizeAnchor xmlns:cdr="http://schemas.openxmlformats.org/drawingml/2006/chartDrawing">
    <cdr:from>
      <cdr:x>0.27063</cdr:x>
      <cdr:y>0.53935</cdr:y>
    </cdr:from>
    <cdr:to>
      <cdr:x>0.64952</cdr:x>
      <cdr:y>0.62037</cdr:y>
    </cdr:to>
    <cdr:sp>
      <cdr:nvSpPr>
        <cdr:cNvPr id="3" name="矩形 2"/>
        <cdr:cNvSpPr/>
      </cdr:nvSpPr>
      <cdr:spPr xmlns:a="http://schemas.openxmlformats.org/drawingml/2006/main">
        <a:xfrm xmlns:a="http://schemas.openxmlformats.org/drawingml/2006/main">
          <a:off x="1476375" y="2219325"/>
          <a:ext cx="2066925" cy="3333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1100"/>
            <a:t>276.39</a:t>
          </a:r>
          <a:r>
            <a:rPr lang="zh-CN" altLang="en-US" sz="1100"/>
            <a:t>（</a:t>
          </a:r>
          <a:r>
            <a:rPr lang="en-US" altLang="zh-CN" sz="1100"/>
            <a:t>81.62%</a:t>
          </a:r>
          <a:r>
            <a:rPr lang="zh-CN" altLang="en-US" sz="1100"/>
            <a:t>）</a:t>
          </a:r>
          <a:endParaRPr lang="zh-CN" altLang="en-US" sz="1100"/>
        </a:p>
      </cdr:txBody>
    </cdr:sp>
  </cdr:relSizeAnchor>
  <cdr:relSizeAnchor xmlns:cdr="http://schemas.openxmlformats.org/drawingml/2006/chartDrawing">
    <cdr:from>
      <cdr:x>0.17179</cdr:x>
      <cdr:y>0.26437</cdr:y>
    </cdr:from>
    <cdr:to>
      <cdr:x>0.29857</cdr:x>
      <cdr:y>0.40972</cdr:y>
    </cdr:to>
    <cdr:sp>
      <cdr:nvSpPr>
        <cdr:cNvPr id="4" name="矩形 3"/>
        <cdr:cNvSpPr/>
      </cdr:nvSpPr>
      <cdr:spPr xmlns:a="http://schemas.openxmlformats.org/drawingml/2006/main">
        <a:xfrm xmlns:a="http://schemas.openxmlformats.org/drawingml/2006/main">
          <a:off x="921727" y="767060"/>
          <a:ext cx="680208" cy="421727"/>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800"/>
            <a:t>28.69</a:t>
          </a:r>
          <a:endParaRPr lang="en-US" altLang="zh-CN" sz="800"/>
        </a:p>
        <a:p>
          <a:r>
            <a:rPr lang="zh-CN" altLang="en-US" sz="800"/>
            <a:t>（</a:t>
          </a:r>
          <a:r>
            <a:rPr lang="en-US" altLang="zh-CN" sz="800"/>
            <a:t>8.48%</a:t>
          </a:r>
          <a:r>
            <a:rPr lang="zh-CN" altLang="en-US" sz="800"/>
            <a:t>）</a:t>
          </a:r>
          <a:endParaRPr lang="zh-CN" altLang="en-US" sz="800"/>
        </a:p>
      </cdr:txBody>
    </cdr:sp>
  </cdr:relSizeAnchor>
  <cdr:relSizeAnchor xmlns:cdr="http://schemas.openxmlformats.org/drawingml/2006/chartDrawing">
    <cdr:from>
      <cdr:x>0.24526</cdr:x>
      <cdr:y>0.21698</cdr:y>
    </cdr:from>
    <cdr:to>
      <cdr:x>0.42654</cdr:x>
      <cdr:y>0.32227</cdr:y>
    </cdr:to>
    <cdr:sp>
      <cdr:nvSpPr>
        <cdr:cNvPr id="5" name="矩形 4"/>
        <cdr:cNvSpPr/>
      </cdr:nvSpPr>
      <cdr:spPr xmlns:a="http://schemas.openxmlformats.org/drawingml/2006/main">
        <a:xfrm xmlns:a="http://schemas.openxmlformats.org/drawingml/2006/main">
          <a:off x="1315892" y="629551"/>
          <a:ext cx="972632" cy="30549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700"/>
            <a:t>13.42</a:t>
          </a:r>
          <a:endParaRPr lang="en-US" altLang="zh-CN" sz="700"/>
        </a:p>
        <a:p>
          <a:r>
            <a:rPr lang="zh-CN" altLang="en-US" sz="700"/>
            <a:t>（</a:t>
          </a:r>
          <a:r>
            <a:rPr lang="en-US" altLang="zh-CN" sz="700"/>
            <a:t>3.97%</a:t>
          </a:r>
          <a:r>
            <a:rPr lang="zh-CN" altLang="en-US" sz="700"/>
            <a:t>）</a:t>
          </a:r>
          <a:endParaRPr lang="zh-CN" altLang="en-US" sz="700"/>
        </a:p>
      </cdr:txBody>
    </cdr:sp>
  </cdr:relSizeAnchor>
  <cdr:relSizeAnchor xmlns:cdr="http://schemas.openxmlformats.org/drawingml/2006/chartDrawing">
    <cdr:from>
      <cdr:x>0.31544</cdr:x>
      <cdr:y>0.19262</cdr:y>
    </cdr:from>
    <cdr:to>
      <cdr:x>0.41375</cdr:x>
      <cdr:y>0.24849</cdr:y>
    </cdr:to>
    <cdr:sp>
      <cdr:nvSpPr>
        <cdr:cNvPr id="6" name="矩形 5"/>
        <cdr:cNvSpPr/>
      </cdr:nvSpPr>
      <cdr:spPr xmlns:a="http://schemas.openxmlformats.org/drawingml/2006/main">
        <a:xfrm xmlns:a="http://schemas.openxmlformats.org/drawingml/2006/main">
          <a:off x="1692457" y="558879"/>
          <a:ext cx="527468" cy="16210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en-US" altLang="zh-CN" sz="700"/>
            <a:t>20.13</a:t>
          </a:r>
          <a:endParaRPr lang="en-US" altLang="zh-CN" sz="700"/>
        </a:p>
        <a:p>
          <a:r>
            <a:rPr lang="zh-CN" altLang="en-US" sz="700"/>
            <a:t>（</a:t>
          </a:r>
          <a:r>
            <a:rPr lang="en-US" altLang="zh-CN" sz="700"/>
            <a:t>5.96%</a:t>
          </a:r>
          <a:r>
            <a:rPr lang="zh-CN" altLang="en-US" sz="700"/>
            <a:t>）</a:t>
          </a:r>
          <a:endParaRPr lang="zh-CN" altLang="en-US" sz="700"/>
        </a:p>
      </cdr:txBody>
    </cdr:sp>
  </cdr:relSizeAnchor>
</c:userShapes>
</file>

<file path=word/drawings/drawing5.xml><?xml version="1.0" encoding="utf-8"?>
<c:userShapes xmlns:c="http://schemas.openxmlformats.org/drawingml/2006/chart">
  <cdr:relSizeAnchor xmlns:cdr="http://schemas.openxmlformats.org/drawingml/2006/chartDrawing">
    <cdr:from>
      <cdr:x>0.83637</cdr:x>
      <cdr:y>0.13333</cdr:y>
    </cdr:from>
    <cdr:to>
      <cdr:x>0.98635</cdr:x>
      <cdr:y>0.25067</cdr:y>
    </cdr:to>
    <cdr:sp>
      <cdr:nvSpPr>
        <cdr:cNvPr id="2" name="矩形 1"/>
        <cdr:cNvSpPr/>
      </cdr:nvSpPr>
      <cdr:spPr xmlns:a="http://schemas.openxmlformats.org/drawingml/2006/main">
        <a:xfrm xmlns:a="http://schemas.openxmlformats.org/drawingml/2006/main">
          <a:off x="4514850" y="476250"/>
          <a:ext cx="809625" cy="4191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dr:relSizeAnchor xmlns:cdr="http://schemas.openxmlformats.org/drawingml/2006/chartDrawing">
    <cdr:from>
      <cdr:x>0.23821</cdr:x>
      <cdr:y>0.54933</cdr:y>
    </cdr:from>
    <cdr:to>
      <cdr:x>0.70756</cdr:x>
      <cdr:y>0.632</cdr:y>
    </cdr:to>
    <cdr:sp>
      <cdr:nvSpPr>
        <cdr:cNvPr id="3" name="矩形 2"/>
        <cdr:cNvSpPr/>
      </cdr:nvSpPr>
      <cdr:spPr xmlns:a="http://schemas.openxmlformats.org/drawingml/2006/main">
        <a:xfrm xmlns:a="http://schemas.openxmlformats.org/drawingml/2006/main">
          <a:off x="1285875" y="1962150"/>
          <a:ext cx="2533650" cy="2952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400">
              <a:latin typeface="仿宋" panose="02010609060101010101" pitchFamily="3" charset="-122"/>
              <a:ea typeface="仿宋" panose="02010609060101010101" pitchFamily="3" charset="-122"/>
            </a:rPr>
            <a:t>人员经费</a:t>
          </a:r>
          <a:r>
            <a:rPr lang="en-US" altLang="zh-CN" sz="1400">
              <a:latin typeface="仿宋" panose="02010609060101010101" pitchFamily="3" charset="-122"/>
              <a:ea typeface="仿宋" panose="02010609060101010101" pitchFamily="3" charset="-122"/>
            </a:rPr>
            <a:t>317.29</a:t>
          </a:r>
          <a:r>
            <a:rPr lang="zh-CN" altLang="en-US" sz="1400">
              <a:latin typeface="仿宋" panose="02010609060101010101" pitchFamily="3" charset="-122"/>
              <a:ea typeface="仿宋" panose="02010609060101010101" pitchFamily="3" charset="-122"/>
            </a:rPr>
            <a:t>（</a:t>
          </a:r>
          <a:r>
            <a:rPr lang="en-US" altLang="zh-CN" sz="1400">
              <a:latin typeface="仿宋" panose="02010609060101010101" pitchFamily="3" charset="-122"/>
              <a:ea typeface="仿宋" panose="02010609060101010101" pitchFamily="3" charset="-122"/>
            </a:rPr>
            <a:t>94.54%</a:t>
          </a:r>
          <a:r>
            <a:rPr lang="zh-CN" altLang="en-US" sz="1400">
              <a:latin typeface="仿宋" panose="02010609060101010101" pitchFamily="3" charset="-122"/>
              <a:ea typeface="仿宋" panose="02010609060101010101" pitchFamily="3" charset="-122"/>
            </a:rPr>
            <a:t>）</a:t>
          </a:r>
          <a:endParaRPr lang="zh-CN" altLang="en-US" sz="1400">
            <a:latin typeface="仿宋" panose="02010609060101010101" pitchFamily="3" charset="-122"/>
            <a:ea typeface="仿宋" panose="02010609060101010101" pitchFamily="3" charset="-122"/>
          </a:endParaRPr>
        </a:p>
      </cdr:txBody>
    </cdr:sp>
  </cdr:relSizeAnchor>
  <cdr:relSizeAnchor xmlns:cdr="http://schemas.openxmlformats.org/drawingml/2006/chartDrawing">
    <cdr:from>
      <cdr:x>0.29441</cdr:x>
      <cdr:y>0.19732</cdr:y>
    </cdr:from>
    <cdr:to>
      <cdr:x>0.47044</cdr:x>
      <cdr:y>0.33969</cdr:y>
    </cdr:to>
    <cdr:sp>
      <cdr:nvSpPr>
        <cdr:cNvPr id="4" name="矩形 3"/>
        <cdr:cNvSpPr/>
      </cdr:nvSpPr>
      <cdr:spPr xmlns:a="http://schemas.openxmlformats.org/drawingml/2006/main">
        <a:xfrm xmlns:a="http://schemas.openxmlformats.org/drawingml/2006/main">
          <a:off x="1537187" y="518746"/>
          <a:ext cx="919057" cy="37426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100"/>
            <a:t>公用经费：</a:t>
          </a:r>
          <a:r>
            <a:rPr lang="en-US" altLang="zh-CN" sz="1100"/>
            <a:t>18.34</a:t>
          </a:r>
          <a:r>
            <a:rPr lang="zh-CN" altLang="en-US" sz="1100"/>
            <a:t>（</a:t>
          </a:r>
          <a:r>
            <a:rPr lang="en-US" altLang="zh-CN" sz="1100"/>
            <a:t>5.46%</a:t>
          </a:r>
          <a:r>
            <a:rPr lang="zh-CN" altLang="en-US" sz="1100"/>
            <a:t>）</a:t>
          </a:r>
          <a:r>
            <a:rPr lang="en-US" altLang="zh-CN" sz="1100"/>
            <a:t>         </a:t>
          </a:r>
          <a:endParaRPr lang="zh-CN" alt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0.81808</cdr:x>
      <cdr:y>0.20433</cdr:y>
    </cdr:from>
    <cdr:to>
      <cdr:x>1</cdr:x>
      <cdr:y>0.32817</cdr:y>
    </cdr:to>
    <cdr:sp>
      <cdr:nvSpPr>
        <cdr:cNvPr id="2" name="矩形 1"/>
        <cdr:cNvSpPr/>
      </cdr:nvSpPr>
      <cdr:spPr xmlns:a="http://schemas.openxmlformats.org/drawingml/2006/main">
        <a:xfrm xmlns:a="http://schemas.openxmlformats.org/drawingml/2006/main">
          <a:off x="4314825" y="628650"/>
          <a:ext cx="959485" cy="381000"/>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100"/>
            <a:t>单位：万元</a:t>
          </a:r>
          <a:endParaRPr lang="zh-CN" altLang="en-US" sz="1100"/>
        </a:p>
      </cdr:txBody>
    </cdr:sp>
  </cdr:relSizeAnchor>
  <cdr:relSizeAnchor xmlns:cdr="http://schemas.openxmlformats.org/drawingml/2006/chartDrawing">
    <cdr:from>
      <cdr:x>0.23838</cdr:x>
      <cdr:y>0.41176</cdr:y>
    </cdr:from>
    <cdr:to>
      <cdr:x>0.74404</cdr:x>
      <cdr:y>0.56347</cdr:y>
    </cdr:to>
    <cdr:sp>
      <cdr:nvSpPr>
        <cdr:cNvPr id="3" name="矩形 2"/>
        <cdr:cNvSpPr/>
      </cdr:nvSpPr>
      <cdr:spPr xmlns:a="http://schemas.openxmlformats.org/drawingml/2006/main">
        <a:xfrm xmlns:a="http://schemas.openxmlformats.org/drawingml/2006/main">
          <a:off x="1257300" y="1266825"/>
          <a:ext cx="2667000" cy="4667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0.22755</cdr:x>
      <cdr:y>0.39938</cdr:y>
    </cdr:from>
    <cdr:to>
      <cdr:x>0.61943</cdr:x>
      <cdr:y>0.6192</cdr:y>
    </cdr:to>
    <cdr:sp>
      <cdr:nvSpPr>
        <cdr:cNvPr id="4" name="矩形 3"/>
        <cdr:cNvSpPr/>
      </cdr:nvSpPr>
      <cdr:spPr xmlns:a="http://schemas.openxmlformats.org/drawingml/2006/main">
        <a:xfrm xmlns:a="http://schemas.openxmlformats.org/drawingml/2006/main">
          <a:off x="1200150" y="1228725"/>
          <a:ext cx="2066925" cy="6762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400">
              <a:latin typeface="仿宋" panose="02010609060101010101" pitchFamily="3" charset="-122"/>
              <a:ea typeface="仿宋" panose="02010609060101010101" pitchFamily="3" charset="-122"/>
            </a:rPr>
            <a:t>公务接待</a:t>
          </a:r>
          <a:r>
            <a:rPr lang="en-US" altLang="zh-CN" sz="1400">
              <a:latin typeface="仿宋" panose="02010609060101010101" pitchFamily="3" charset="-122"/>
              <a:ea typeface="仿宋" panose="02010609060101010101" pitchFamily="3" charset="-122"/>
            </a:rPr>
            <a:t>0.00</a:t>
          </a:r>
          <a:r>
            <a:rPr lang="zh-CN" altLang="en-US" sz="1400">
              <a:latin typeface="仿宋" panose="02010609060101010101" pitchFamily="3" charset="-122"/>
              <a:ea typeface="仿宋" panose="02010609060101010101" pitchFamily="3" charset="-122"/>
            </a:rPr>
            <a:t>（</a:t>
          </a:r>
          <a:r>
            <a:rPr lang="en-US" altLang="zh-CN" sz="1400">
              <a:latin typeface="仿宋" panose="02010609060101010101" pitchFamily="3" charset="-122"/>
              <a:ea typeface="仿宋" panose="02010609060101010101" pitchFamily="3" charset="-122"/>
            </a:rPr>
            <a:t>100%</a:t>
          </a:r>
          <a:r>
            <a:rPr lang="zh-CN" altLang="en-US" sz="1400">
              <a:latin typeface="仿宋" panose="02010609060101010101" pitchFamily="3" charset="-122"/>
              <a:ea typeface="仿宋" panose="02010609060101010101" pitchFamily="3" charset="-122"/>
            </a:rPr>
            <a:t>）</a:t>
          </a:r>
          <a:endParaRPr lang="zh-CN" altLang="en-US" sz="1400">
            <a:latin typeface="仿宋" panose="02010609060101010101" pitchFamily="3" charset="-122"/>
            <a:ea typeface="仿宋" panose="02010609060101010101" pitchFamily="3" charset="-122"/>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14910</Words>
  <Characters>17020</Characters>
  <Lines>141</Lines>
  <Paragraphs>39</Paragraphs>
  <TotalTime>0</TotalTime>
  <ScaleCrop>false</ScaleCrop>
  <LinksUpToDate>false</LinksUpToDate>
  <CharactersWithSpaces>17479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2023-10-08T04:01:00Z</dcterms:created>
  <dc:creator>张彬茜</dc:creator>
  <cp:lastModifiedBy>Administrator</cp:lastModifiedBy>
  <cp:lastPrinted>2019-08-01T00:48:00Z</cp:lastPrinted>
  <dcterms:modified xsi:type="dcterms:W3CDTF">2023-12-14T08:31:23Z</dcterms:modified>
  <dc:title>四川省***</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F5BD8E649FE648ECBBAEE67A4B0BFB66_12</vt:lpwstr>
  </property>
</Properties>
</file>