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597"/>
      <w:bookmarkStart w:id="2" w:name="_Toc15396475"/>
      <w:bookmarkStart w:id="3" w:name="_Toc15378441"/>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476"/>
      <w:bookmarkStart w:id="7" w:name="_Toc1537742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县龙源镇人民政府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96599"/>
      <w:bookmarkStart w:id="13" w:name="_Toc15377196"/>
    </w:p>
    <w:p>
      <w:pPr>
        <w:pStyle w:val="42"/>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3"/>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3"/>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2"/>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3"/>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3"/>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3"/>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3"/>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3"/>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3"/>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3"/>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3"/>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3"/>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2"/>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2"/>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3"/>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3"/>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 xml:space="preserve">第一部分 </w:t>
      </w:r>
      <w:r>
        <w:rPr>
          <w:rStyle w:val="32"/>
          <w:rFonts w:hint="eastAsia" w:ascii="黑体" w:hAnsi="黑体" w:eastAsia="黑体"/>
          <w:b w:val="0"/>
          <w:bCs w:val="0"/>
        </w:rPr>
        <w:t>部门概况</w:t>
      </w:r>
      <w:bookmarkEnd w:id="12"/>
      <w:bookmarkEnd w:id="13"/>
    </w:p>
    <w:p>
      <w:pPr>
        <w:pStyle w:val="5"/>
        <w:rPr>
          <w:rStyle w:val="33"/>
          <w:rFonts w:ascii="仿宋" w:hAnsi="仿宋" w:eastAsia="黑体"/>
          <w:b w:val="0"/>
          <w:bCs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pStyle w:val="8"/>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bookmarkStart w:id="18" w:name="_Toc15396601"/>
      <w:bookmarkStart w:id="19" w:name="_Toc15377200"/>
      <w:r>
        <w:rPr>
          <w:rFonts w:hint="eastAsia" w:ascii="仿宋" w:hAnsi="仿宋" w:eastAsia="仿宋"/>
          <w:bCs/>
          <w:sz w:val="32"/>
          <w:szCs w:val="32"/>
        </w:rPr>
        <w:t>（一）主要职能。</w:t>
      </w:r>
      <w:bookmarkEnd w:id="16"/>
      <w:bookmarkEnd w:id="17"/>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outlineLvl w:val="9"/>
        <w:rPr>
          <w:rFonts w:hint="eastAsia" w:ascii="仿宋" w:hAnsi="仿宋" w:eastAsia="仿宋" w:cs="仿宋"/>
          <w:b w:val="0"/>
          <w:bCs/>
          <w:kern w:val="2"/>
          <w:sz w:val="32"/>
          <w:szCs w:val="32"/>
          <w:lang w:val="en-US" w:eastAsia="zh-CN" w:bidi="ar-SA"/>
        </w:rPr>
      </w:pPr>
      <w:bookmarkStart w:id="20" w:name="_Toc15378446"/>
      <w:bookmarkStart w:id="21" w:name="_Toc15377199"/>
      <w:r>
        <w:rPr>
          <w:rFonts w:hint="eastAsia" w:ascii="仿宋" w:hAnsi="仿宋" w:eastAsia="仿宋" w:cs="仿宋"/>
          <w:b w:val="0"/>
          <w:bCs/>
          <w:kern w:val="2"/>
          <w:sz w:val="32"/>
          <w:szCs w:val="32"/>
          <w:lang w:val="en-US" w:eastAsia="zh-CN" w:bidi="ar-SA"/>
        </w:rPr>
        <w:t>1、按计划组织本级财政收入和地方税的征收，完成国家财政计划，不断培植税源，管好财政资金，增强财政实力。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outlineLvl w:val="9"/>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2、负责本行政区域内的民政、计生、文化、教育、卫生、体育等社会公益事业的综合性工作，维护一切经济单位和个人的正当经济权益，取缔非法经济活动，调解和处理民事纠纷，打击刑事犯罪维护社会稳定。</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3、制定和组织实施经济、产业发展计划，制定资源开发技术和产业结构调整方案，组织指导好各业生产，搞好商品流通，协调好本镇与外地区的经济交流与合作，抓好招商引资，项目开发，组织经济运行，促进经济发展。</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outlineLvl w:val="9"/>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4、制定并组织实施镇村建设规划，部署重点工程建设，区域内道路建设及公共设施，水利设施的管理，负责土地、林木、水等自然资源和生态环境的保护，做好护林防火工作。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outlineLvl w:val="9"/>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5、抓好精神文明建设，丰富群众文化生活，提倡移风易俗，反对封建迷信，破除陈规陋习，树立社会主义新风尚。</w:t>
      </w:r>
    </w:p>
    <w:p>
      <w:pPr>
        <w:pStyle w:val="10"/>
        <w:ind w:firstLine="640" w:firstLineChars="20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6、完成上级政府交办的其他事项。</w:t>
      </w:r>
    </w:p>
    <w:p>
      <w:pPr>
        <w:pStyle w:val="8"/>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w:t>
      </w:r>
      <w:r>
        <w:rPr>
          <w:rFonts w:hint="eastAsia" w:ascii="仿宋" w:hAnsi="仿宋" w:eastAsia="仿宋"/>
          <w:bCs/>
          <w:sz w:val="32"/>
          <w:szCs w:val="32"/>
          <w:lang w:val="en-US" w:eastAsia="zh-CN"/>
        </w:rPr>
        <w:t>二</w:t>
      </w:r>
      <w:r>
        <w:rPr>
          <w:rFonts w:hint="eastAsia" w:ascii="仿宋" w:hAnsi="仿宋" w:eastAsia="仿宋"/>
          <w:bCs/>
          <w:sz w:val="32"/>
          <w:szCs w:val="32"/>
        </w:rPr>
        <w:t>）</w:t>
      </w:r>
      <w:r>
        <w:rPr>
          <w:rFonts w:hint="eastAsia" w:ascii="仿宋" w:hAnsi="仿宋" w:eastAsia="仿宋"/>
          <w:bCs/>
          <w:sz w:val="32"/>
          <w:szCs w:val="32"/>
          <w:lang w:val="en-US" w:eastAsia="zh-CN"/>
        </w:rPr>
        <w:t>2022年重点工作</w:t>
      </w:r>
      <w:r>
        <w:rPr>
          <w:rFonts w:hint="eastAsia" w:ascii="仿宋" w:hAnsi="仿宋" w:eastAsia="仿宋"/>
          <w:bCs/>
          <w:sz w:val="32"/>
          <w:szCs w:val="32"/>
        </w:rPr>
        <w:t>。</w:t>
      </w:r>
    </w:p>
    <w:p>
      <w:pPr>
        <w:pStyle w:val="10"/>
        <w:ind w:firstLine="640" w:firstLineChars="200"/>
        <w:rPr>
          <w:rFonts w:hint="eastAsia" w:ascii="仿宋" w:hAnsi="仿宋" w:eastAsia="仿宋" w:cs="仿宋"/>
          <w:b w:val="0"/>
          <w:bCs/>
          <w:kern w:val="2"/>
          <w:sz w:val="32"/>
          <w:szCs w:val="32"/>
          <w:lang w:val="en-US" w:eastAsia="zh-CN" w:bidi="ar-SA"/>
        </w:rPr>
      </w:pPr>
    </w:p>
    <w:bookmarkEnd w:id="20"/>
    <w:bookmarkEnd w:id="21"/>
    <w:p>
      <w:pPr>
        <w:pStyle w:val="10"/>
        <w:ind w:firstLine="420" w:firstLineChars="200"/>
        <w:rPr>
          <w:rFonts w:hint="eastAsia" w:ascii="仿宋" w:hAnsi="仿宋" w:eastAsia="仿宋" w:cs="仿宋"/>
          <w:b w:val="0"/>
          <w:bCs/>
          <w:lang w:val="en-US" w:eastAsia="zh-CN"/>
        </w:rPr>
      </w:pPr>
      <w:r>
        <w:rPr>
          <w:rFonts w:hint="eastAsia" w:ascii="仿宋" w:hAnsi="仿宋" w:eastAsia="仿宋" w:cs="仿宋"/>
          <w:b w:val="0"/>
          <w:bCs/>
          <w:lang w:val="en-US" w:eastAsia="zh-CN"/>
        </w:rPr>
        <w:t>（一）</w:t>
      </w:r>
      <w:r>
        <w:rPr>
          <w:rFonts w:hint="eastAsia" w:ascii="仿宋" w:hAnsi="仿宋" w:eastAsia="仿宋" w:cs="仿宋"/>
          <w:b w:val="0"/>
          <w:bCs/>
          <w:sz w:val="32"/>
          <w:szCs w:val="32"/>
        </w:rPr>
        <w:t>推进经济发展，迈开步子壮大</w:t>
      </w:r>
      <w:r>
        <w:rPr>
          <w:rFonts w:hint="eastAsia" w:ascii="仿宋" w:hAnsi="仿宋" w:eastAsia="仿宋" w:cs="仿宋"/>
          <w:b w:val="0"/>
          <w:bCs/>
          <w:sz w:val="32"/>
          <w:szCs w:val="32"/>
          <w:lang w:eastAsia="zh-CN"/>
        </w:rPr>
        <w:t>龙源，</w:t>
      </w:r>
      <w:r>
        <w:rPr>
          <w:rFonts w:hint="eastAsia" w:ascii="仿宋" w:hAnsi="仿宋" w:eastAsia="仿宋" w:cs="仿宋"/>
          <w:b w:val="0"/>
          <w:bCs/>
          <w:sz w:val="32"/>
          <w:szCs w:val="32"/>
          <w:lang w:val="en-US" w:eastAsia="zh-CN"/>
        </w:rPr>
        <w:t>一是树立“全党抓经济，关键抓项目”思维，二是树立全员招商思维，三是树立营造最优营商环境思维。</w:t>
      </w:r>
    </w:p>
    <w:p>
      <w:pPr>
        <w:pStyle w:val="10"/>
        <w:ind w:firstLine="420" w:firstLineChars="200"/>
        <w:rPr>
          <w:rFonts w:hint="eastAsia" w:ascii="仿宋" w:hAnsi="仿宋" w:eastAsia="仿宋" w:cs="仿宋"/>
          <w:b w:val="0"/>
          <w:bCs/>
          <w:sz w:val="32"/>
          <w:szCs w:val="32"/>
        </w:rPr>
      </w:pPr>
      <w:r>
        <w:rPr>
          <w:rFonts w:hint="eastAsia" w:ascii="仿宋" w:hAnsi="仿宋" w:eastAsia="仿宋" w:cs="仿宋"/>
          <w:b w:val="0"/>
          <w:bCs/>
          <w:lang w:val="en-US" w:eastAsia="zh-CN"/>
        </w:rPr>
        <w:t>（二）</w:t>
      </w:r>
      <w:r>
        <w:rPr>
          <w:rFonts w:hint="eastAsia" w:ascii="仿宋" w:hAnsi="仿宋" w:eastAsia="仿宋" w:cs="仿宋"/>
          <w:b w:val="0"/>
          <w:bCs/>
          <w:sz w:val="32"/>
          <w:szCs w:val="32"/>
        </w:rPr>
        <w:t>围绕乡村振兴，甩开膀子建设</w:t>
      </w:r>
      <w:r>
        <w:rPr>
          <w:rFonts w:hint="eastAsia" w:ascii="仿宋" w:hAnsi="仿宋" w:eastAsia="仿宋" w:cs="仿宋"/>
          <w:b w:val="0"/>
          <w:bCs/>
          <w:sz w:val="32"/>
          <w:szCs w:val="32"/>
          <w:lang w:eastAsia="zh-CN"/>
        </w:rPr>
        <w:t>龙源，</w:t>
      </w:r>
      <w:r>
        <w:rPr>
          <w:rFonts w:hint="eastAsia" w:ascii="仿宋" w:hAnsi="仿宋" w:eastAsia="仿宋" w:cs="仿宋"/>
          <w:b w:val="0"/>
          <w:bCs/>
          <w:sz w:val="32"/>
          <w:szCs w:val="32"/>
          <w:lang w:val="en-US" w:eastAsia="zh-CN"/>
        </w:rPr>
        <w:t>一是持续</w:t>
      </w:r>
      <w:r>
        <w:rPr>
          <w:rFonts w:hint="eastAsia" w:ascii="仿宋_GB2312" w:hAnsi="仿宋_GB2312" w:eastAsia="仿宋_GB2312" w:cs="仿宋_GB2312"/>
          <w:kern w:val="2"/>
          <w:sz w:val="32"/>
          <w:szCs w:val="32"/>
          <w:lang w:val="en-US" w:eastAsia="zh-CN" w:bidi="ar-SA"/>
        </w:rPr>
        <w:t>巩固拓展</w:t>
      </w:r>
      <w:bookmarkStart w:id="73" w:name="_GoBack"/>
      <w:bookmarkEnd w:id="73"/>
      <w:r>
        <w:rPr>
          <w:rFonts w:hint="eastAsia" w:ascii="仿宋_GB2312" w:hAnsi="仿宋_GB2312" w:eastAsia="仿宋_GB2312" w:cs="仿宋_GB2312"/>
          <w:kern w:val="2"/>
          <w:sz w:val="32"/>
          <w:szCs w:val="32"/>
          <w:lang w:val="en-US" w:eastAsia="zh-CN" w:bidi="ar-SA"/>
        </w:rPr>
        <w:t>脱贫攻坚成果同乡村振兴有效衔接</w:t>
      </w:r>
      <w:r>
        <w:rPr>
          <w:rFonts w:hint="eastAsia" w:ascii="仿宋" w:hAnsi="仿宋" w:eastAsia="仿宋" w:cs="仿宋"/>
          <w:b w:val="0"/>
          <w:bCs/>
          <w:sz w:val="32"/>
          <w:szCs w:val="32"/>
          <w:lang w:val="en-US" w:eastAsia="zh-CN"/>
        </w:rPr>
        <w:t>成效，二是大力实施乡村振兴战略，三是持续优化农业产业结构，四是发展壮大村级集体经济。</w:t>
      </w:r>
    </w:p>
    <w:p>
      <w:pPr>
        <w:pStyle w:val="10"/>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抓住人居环境，撸起袖子扮靓</w:t>
      </w:r>
      <w:r>
        <w:rPr>
          <w:rFonts w:hint="eastAsia" w:ascii="仿宋" w:hAnsi="仿宋" w:eastAsia="仿宋" w:cs="仿宋"/>
          <w:b w:val="0"/>
          <w:bCs/>
          <w:sz w:val="32"/>
          <w:szCs w:val="32"/>
          <w:lang w:eastAsia="zh-CN"/>
        </w:rPr>
        <w:t>龙源，</w:t>
      </w:r>
      <w:r>
        <w:rPr>
          <w:rFonts w:hint="eastAsia" w:ascii="仿宋" w:hAnsi="仿宋" w:eastAsia="仿宋" w:cs="仿宋"/>
          <w:b w:val="0"/>
          <w:bCs/>
          <w:sz w:val="32"/>
          <w:szCs w:val="32"/>
          <w:lang w:val="en-US" w:eastAsia="zh-CN"/>
        </w:rPr>
        <w:t>一是落实常态化疫情防控，二是坚定不移推进基础建设，三是切实加强环境资源保护，四是强化安全生产责任机制，五是严守基本农田保护红线，六是提升社会治理工作水平。</w:t>
      </w:r>
    </w:p>
    <w:p>
      <w:pPr>
        <w:pStyle w:val="10"/>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rPr>
        <w:t>盯住民本民生，俯下身子发展</w:t>
      </w:r>
      <w:r>
        <w:rPr>
          <w:rFonts w:hint="eastAsia" w:ascii="仿宋" w:hAnsi="仿宋" w:eastAsia="仿宋" w:cs="仿宋"/>
          <w:b w:val="0"/>
          <w:bCs/>
          <w:sz w:val="32"/>
          <w:szCs w:val="32"/>
          <w:lang w:eastAsia="zh-CN"/>
        </w:rPr>
        <w:t>龙源，</w:t>
      </w:r>
      <w:r>
        <w:rPr>
          <w:rFonts w:hint="eastAsia" w:ascii="仿宋" w:hAnsi="仿宋" w:eastAsia="仿宋" w:cs="仿宋"/>
          <w:b w:val="0"/>
          <w:bCs/>
          <w:sz w:val="32"/>
          <w:szCs w:val="32"/>
          <w:lang w:val="en-US" w:eastAsia="zh-CN"/>
        </w:rPr>
        <w:t>一是持续推进社会保障，二是加快社会事业发展，三是倡导文明和谐新风。</w:t>
      </w:r>
    </w:p>
    <w:p>
      <w:pPr>
        <w:pStyle w:val="7"/>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p>
    <w:p>
      <w:pPr>
        <w:pStyle w:val="5"/>
        <w:rPr>
          <w:rStyle w:val="33"/>
          <w:b w:val="0"/>
          <w:bCs w:val="0"/>
        </w:rPr>
      </w:pPr>
      <w:r>
        <w:rPr>
          <w:rFonts w:hint="eastAsia" w:ascii="黑体" w:eastAsia="黑体"/>
          <w:b w:val="0"/>
        </w:rPr>
        <w:t>二、</w:t>
      </w:r>
      <w:r>
        <w:rPr>
          <w:rFonts w:hint="eastAsia" w:ascii="黑体" w:hAnsi="黑体" w:eastAsia="黑体"/>
          <w:b w:val="0"/>
        </w:rPr>
        <w:t>机</w:t>
      </w:r>
      <w:r>
        <w:rPr>
          <w:rStyle w:val="33"/>
          <w:rFonts w:hint="eastAsia" w:ascii="黑体" w:hAnsi="黑体" w:eastAsia="黑体"/>
          <w:b w:val="0"/>
          <w:bCs w:val="0"/>
        </w:rPr>
        <w:t>构设置</w:t>
      </w:r>
      <w:bookmarkEnd w:id="18"/>
      <w:bookmarkEnd w:id="19"/>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960" w:firstLineChars="300"/>
        <w:jc w:val="both"/>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none"/>
        </w:rPr>
        <w:t>剑阁县</w:t>
      </w:r>
      <w:r>
        <w:rPr>
          <w:rFonts w:hint="eastAsia" w:ascii="仿宋" w:hAnsi="仿宋" w:eastAsia="仿宋" w:cs="仿宋"/>
          <w:sz w:val="32"/>
          <w:szCs w:val="32"/>
          <w:highlight w:val="none"/>
          <w:lang w:val="en-US" w:eastAsia="zh-CN"/>
        </w:rPr>
        <w:t>龙源镇</w:t>
      </w:r>
      <w:r>
        <w:rPr>
          <w:rFonts w:hint="eastAsia" w:ascii="仿宋" w:hAnsi="仿宋" w:eastAsia="仿宋" w:cs="仿宋"/>
          <w:sz w:val="32"/>
          <w:szCs w:val="32"/>
          <w:highlight w:val="none"/>
          <w:lang w:eastAsia="zh-CN"/>
        </w:rPr>
        <w:t>人民政府无</w:t>
      </w:r>
      <w:r>
        <w:rPr>
          <w:rFonts w:hint="eastAsia" w:ascii="仿宋" w:hAnsi="仿宋" w:eastAsia="仿宋" w:cs="仿宋"/>
          <w:sz w:val="32"/>
          <w:szCs w:val="32"/>
          <w:highlight w:val="none"/>
        </w:rPr>
        <w:t>下属二级单位，无纳入202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年度部门</w:t>
      </w:r>
      <w:r>
        <w:rPr>
          <w:rFonts w:hint="eastAsia" w:ascii="仿宋" w:hAnsi="仿宋" w:eastAsia="仿宋" w:cs="仿宋"/>
          <w:sz w:val="32"/>
          <w:szCs w:val="32"/>
          <w:highlight w:val="none"/>
          <w:lang w:eastAsia="zh-CN"/>
        </w:rPr>
        <w:t>预算</w:t>
      </w:r>
      <w:r>
        <w:rPr>
          <w:rFonts w:hint="eastAsia" w:ascii="仿宋" w:hAnsi="仿宋" w:eastAsia="仿宋" w:cs="仿宋"/>
          <w:sz w:val="32"/>
          <w:szCs w:val="32"/>
          <w:highlight w:val="none"/>
        </w:rPr>
        <w:t>编制范围的二级预算单位。</w:t>
      </w:r>
    </w:p>
    <w:p>
      <w:pPr>
        <w:pStyle w:val="8"/>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剑阁县龙源镇人民政府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8"/>
        <w:adjustRightInd w:val="0"/>
        <w:snapToGrid w:val="0"/>
        <w:spacing w:before="93" w:line="600" w:lineRule="exact"/>
        <w:ind w:firstLine="672" w:firstLineChars="210"/>
        <w:rPr>
          <w:rFonts w:hint="eastAsia" w:ascii="仿宋" w:hAnsi="仿宋" w:eastAsia="仿宋"/>
          <w:sz w:val="32"/>
          <w:szCs w:val="32"/>
          <w:lang w:eastAsia="zh-CN"/>
        </w:rPr>
      </w:pPr>
    </w:p>
    <w:p>
      <w:pPr>
        <w:pStyle w:val="4"/>
        <w:ind w:right="440"/>
        <w:jc w:val="center"/>
      </w:pPr>
      <w:bookmarkStart w:id="22" w:name="_Toc15377204"/>
      <w:bookmarkStart w:id="23" w:name="_Toc15396602"/>
      <w:r>
        <w:rPr>
          <w:rFonts w:hint="eastAsia" w:ascii="黑体" w:hAnsi="黑体" w:eastAsia="黑体"/>
          <w:b w:val="0"/>
        </w:rPr>
        <w:t>第二部分 2022年度</w:t>
      </w:r>
      <w:r>
        <w:rPr>
          <w:rStyle w:val="32"/>
          <w:rFonts w:hint="eastAsia" w:ascii="黑体" w:hAnsi="黑体" w:eastAsia="黑体"/>
          <w:b w:val="0"/>
          <w:bCs/>
        </w:rPr>
        <w:t>部门决算情况说明</w:t>
      </w:r>
      <w:bookmarkEnd w:id="22"/>
      <w:bookmarkEnd w:id="23"/>
    </w:p>
    <w:p>
      <w:pPr>
        <w:pStyle w:val="31"/>
        <w:numPr>
          <w:ilvl w:val="0"/>
          <w:numId w:val="1"/>
        </w:numPr>
        <w:spacing w:line="600" w:lineRule="exact"/>
        <w:ind w:firstLineChars="0"/>
        <w:outlineLvl w:val="1"/>
        <w:rPr>
          <w:rStyle w:val="33"/>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3"/>
          <w:rFonts w:hint="eastAsia" w:ascii="黑体" w:hAnsi="黑体" w:eastAsia="黑体"/>
          <w:b w:val="0"/>
        </w:rPr>
        <w:t>入支出决算总体情况说明</w:t>
      </w:r>
      <w:bookmarkEnd w:id="24"/>
      <w:bookmarkEnd w:id="25"/>
    </w:p>
    <w:p>
      <w:pPr>
        <w:spacing w:line="600" w:lineRule="exact"/>
        <w:ind w:firstLine="640" w:firstLineChars="200"/>
        <w:rPr>
          <w:rFonts w:hint="default" w:ascii="仿宋" w:hAnsi="仿宋" w:eastAsia="仿宋"/>
          <w:sz w:val="32"/>
          <w:szCs w:val="32"/>
          <w:highlight w:val="yellow"/>
          <w:lang w:val="en-US"/>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1363.03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1363.03</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 w:hAnsi="仿宋" w:eastAsia="仿宋"/>
          <w:sz w:val="32"/>
          <w:szCs w:val="32"/>
          <w:lang w:val="en-US" w:eastAsia="zh-CN"/>
        </w:rPr>
        <w:t>1454.73</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减少91.7</w:t>
      </w:r>
      <w:r>
        <w:rPr>
          <w:rFonts w:hint="eastAsia" w:ascii="仿宋" w:hAnsi="仿宋" w:eastAsia="仿宋"/>
          <w:sz w:val="32"/>
          <w:szCs w:val="32"/>
        </w:rPr>
        <w:t>万元，</w:t>
      </w:r>
      <w:r>
        <w:rPr>
          <w:rFonts w:hint="eastAsia" w:ascii="仿宋" w:hAnsi="仿宋" w:eastAsia="仿宋"/>
          <w:sz w:val="32"/>
          <w:szCs w:val="32"/>
          <w:lang w:val="en-US" w:eastAsia="zh-CN"/>
        </w:rPr>
        <w:t>降低6.3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1454.73</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减少91.7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降低6.3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w:t>
      </w:r>
      <w:r>
        <w:rPr>
          <w:rFonts w:hint="eastAsia" w:ascii="仿宋" w:hAnsi="仿宋" w:eastAsia="仿宋"/>
          <w:sz w:val="32"/>
          <w:szCs w:val="32"/>
          <w:highlight w:val="none"/>
        </w:rPr>
        <w:t>是</w:t>
      </w:r>
      <w:r>
        <w:rPr>
          <w:rFonts w:hint="eastAsia" w:ascii="仿宋" w:hAnsi="仿宋" w:eastAsia="仿宋"/>
          <w:sz w:val="32"/>
          <w:szCs w:val="32"/>
          <w:highlight w:val="none"/>
          <w:lang w:val="en-US" w:eastAsia="zh-CN"/>
        </w:rPr>
        <w:t>项目减少。</w:t>
      </w:r>
    </w:p>
    <w:p>
      <w:pPr>
        <w:pStyle w:val="2"/>
        <w:rPr>
          <w:rFonts w:hint="eastAsia"/>
        </w:rPr>
      </w:pPr>
    </w:p>
    <w:p>
      <w:pPr>
        <w:pStyle w:val="2"/>
        <w:jc w:val="center"/>
        <w:rPr>
          <w:rFonts w:hint="eastAsia" w:ascii="仿宋" w:hAnsi="仿宋" w:eastAsia="仿宋"/>
          <w:sz w:val="32"/>
          <w:szCs w:val="32"/>
        </w:rPr>
      </w:pPr>
      <w:r>
        <w:drawing>
          <wp:inline distT="0" distB="0" distL="114300" distR="114300">
            <wp:extent cx="4826000" cy="2863850"/>
            <wp:effectExtent l="4445" t="4445" r="8255" b="825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sz w:val="18"/>
          <w:szCs w:val="21"/>
        </w:rPr>
      </w:pPr>
    </w:p>
    <w:p>
      <w:pPr>
        <w:spacing w:line="600" w:lineRule="exact"/>
        <w:ind w:firstLine="480" w:firstLineChars="200"/>
        <w:jc w:val="center"/>
        <w:rPr>
          <w:rFonts w:ascii="仿宋" w:hAnsi="仿宋" w:eastAsia="仿宋"/>
          <w:sz w:val="24"/>
          <w:szCs w:val="24"/>
        </w:rPr>
      </w:pPr>
      <w:r>
        <w:rPr>
          <w:rFonts w:hint="eastAsia" w:ascii="仿宋" w:hAnsi="仿宋" w:eastAsia="仿宋"/>
          <w:sz w:val="24"/>
          <w:szCs w:val="24"/>
        </w:rPr>
        <w:t>图</w:t>
      </w:r>
      <w:r>
        <w:rPr>
          <w:rFonts w:ascii="仿宋" w:hAnsi="仿宋" w:eastAsia="仿宋"/>
          <w:sz w:val="24"/>
          <w:szCs w:val="24"/>
        </w:rPr>
        <w:t>1</w:t>
      </w:r>
      <w:r>
        <w:rPr>
          <w:rFonts w:hint="eastAsia" w:ascii="仿宋" w:hAnsi="仿宋" w:eastAsia="仿宋"/>
          <w:sz w:val="24"/>
          <w:szCs w:val="24"/>
        </w:rPr>
        <w:t>：收入、支出决算变动表</w:t>
      </w:r>
    </w:p>
    <w:p>
      <w:pPr>
        <w:spacing w:line="600" w:lineRule="exact"/>
        <w:ind w:firstLine="640" w:firstLineChars="200"/>
        <w:jc w:val="left"/>
        <w:rPr>
          <w:rFonts w:ascii="仿宋_GB2312" w:eastAsia="仿宋_GB2312"/>
          <w:sz w:val="32"/>
          <w:szCs w:val="32"/>
        </w:rPr>
      </w:pPr>
    </w:p>
    <w:p>
      <w:pPr>
        <w:pStyle w:val="31"/>
        <w:numPr>
          <w:ilvl w:val="0"/>
          <w:numId w:val="1"/>
        </w:numPr>
        <w:spacing w:line="600" w:lineRule="exact"/>
        <w:ind w:firstLineChars="0"/>
        <w:outlineLvl w:val="1"/>
        <w:rPr>
          <w:rStyle w:val="33"/>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3"/>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1363.03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1360.38</w:t>
      </w:r>
      <w:r>
        <w:rPr>
          <w:rFonts w:hint="eastAsia" w:ascii="仿宋" w:hAnsi="仿宋" w:eastAsia="仿宋"/>
          <w:sz w:val="32"/>
          <w:szCs w:val="32"/>
        </w:rPr>
        <w:t>万元，占</w:t>
      </w:r>
      <w:r>
        <w:rPr>
          <w:rFonts w:hint="eastAsia" w:ascii="仿宋" w:hAnsi="仿宋" w:eastAsia="仿宋"/>
          <w:sz w:val="32"/>
          <w:szCs w:val="32"/>
          <w:lang w:val="en-US" w:eastAsia="zh-CN"/>
        </w:rPr>
        <w:t>99.8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2.65</w:t>
      </w:r>
      <w:r>
        <w:rPr>
          <w:rFonts w:hint="eastAsia" w:ascii="仿宋" w:hAnsi="仿宋" w:eastAsia="仿宋"/>
          <w:sz w:val="32"/>
          <w:szCs w:val="32"/>
        </w:rPr>
        <w:t>万元，占</w:t>
      </w:r>
      <w:r>
        <w:rPr>
          <w:rFonts w:hint="eastAsia" w:ascii="仿宋" w:hAnsi="仿宋" w:eastAsia="仿宋"/>
          <w:sz w:val="32"/>
          <w:szCs w:val="32"/>
          <w:lang w:val="en-US" w:eastAsia="zh-CN"/>
        </w:rPr>
        <w:t>0.2</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hint="eastAsia"/>
        </w:rPr>
      </w:pPr>
    </w:p>
    <w:p>
      <w:pPr>
        <w:pStyle w:val="2"/>
        <w:jc w:val="center"/>
        <w:rPr>
          <w:rFonts w:ascii="仿宋" w:hAnsi="仿宋" w:eastAsia="仿宋"/>
          <w:sz w:val="32"/>
          <w:szCs w:val="32"/>
        </w:rPr>
      </w:pPr>
      <w:r>
        <w:drawing>
          <wp:inline distT="0" distB="0" distL="114300" distR="114300">
            <wp:extent cx="4829175" cy="2814320"/>
            <wp:effectExtent l="4445" t="4445" r="5080" b="1968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480" w:firstLineChars="200"/>
        <w:jc w:val="center"/>
        <w:rPr>
          <w:rFonts w:ascii="仿宋" w:hAnsi="仿宋" w:eastAsia="仿宋"/>
          <w:sz w:val="24"/>
          <w:szCs w:val="24"/>
        </w:rPr>
      </w:pPr>
      <w:r>
        <w:rPr>
          <w:rFonts w:hint="eastAsia" w:ascii="仿宋" w:hAnsi="仿宋" w:eastAsia="仿宋"/>
          <w:sz w:val="24"/>
          <w:szCs w:val="24"/>
        </w:rPr>
        <w:t>图2：收入决算结构图</w:t>
      </w:r>
    </w:p>
    <w:p>
      <w:pPr>
        <w:spacing w:line="600" w:lineRule="exact"/>
        <w:ind w:firstLine="640" w:firstLineChars="200"/>
        <w:rPr>
          <w:rFonts w:ascii="仿宋_GB2312" w:eastAsia="仿宋_GB2312"/>
          <w:sz w:val="32"/>
          <w:szCs w:val="32"/>
        </w:rPr>
      </w:pPr>
    </w:p>
    <w:p>
      <w:pPr>
        <w:pStyle w:val="31"/>
        <w:numPr>
          <w:ilvl w:val="0"/>
          <w:numId w:val="1"/>
        </w:numPr>
        <w:spacing w:line="600" w:lineRule="exact"/>
        <w:ind w:firstLineChars="0"/>
        <w:outlineLvl w:val="1"/>
        <w:rPr>
          <w:rStyle w:val="33"/>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3"/>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1363.03</w:t>
      </w:r>
      <w:r>
        <w:rPr>
          <w:rFonts w:hint="eastAsia" w:ascii="仿宋" w:hAnsi="仿宋" w:eastAsia="仿宋"/>
          <w:sz w:val="32"/>
          <w:szCs w:val="32"/>
        </w:rPr>
        <w:t>万元，其中：基本支出</w:t>
      </w:r>
      <w:r>
        <w:rPr>
          <w:rFonts w:hint="eastAsia" w:ascii="仿宋" w:hAnsi="仿宋" w:eastAsia="仿宋"/>
          <w:sz w:val="32"/>
          <w:szCs w:val="32"/>
          <w:lang w:val="en-US" w:eastAsia="zh-CN"/>
        </w:rPr>
        <w:t>1003.7</w:t>
      </w:r>
      <w:r>
        <w:rPr>
          <w:rFonts w:hint="eastAsia" w:ascii="仿宋" w:hAnsi="仿宋" w:eastAsia="仿宋"/>
          <w:sz w:val="32"/>
          <w:szCs w:val="32"/>
        </w:rPr>
        <w:t>万元，占</w:t>
      </w:r>
      <w:r>
        <w:rPr>
          <w:rFonts w:hint="eastAsia" w:ascii="仿宋" w:hAnsi="仿宋" w:eastAsia="仿宋"/>
          <w:sz w:val="32"/>
          <w:szCs w:val="32"/>
          <w:lang w:val="en-US" w:eastAsia="zh-CN"/>
        </w:rPr>
        <w:t>73.64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359.33</w:t>
      </w:r>
      <w:r>
        <w:rPr>
          <w:rFonts w:hint="eastAsia" w:ascii="仿宋" w:hAnsi="仿宋" w:eastAsia="仿宋"/>
          <w:sz w:val="32"/>
          <w:szCs w:val="32"/>
        </w:rPr>
        <w:t>万元，占</w:t>
      </w:r>
      <w:r>
        <w:rPr>
          <w:rFonts w:hint="eastAsia" w:ascii="仿宋" w:hAnsi="仿宋" w:eastAsia="仿宋"/>
          <w:sz w:val="32"/>
          <w:szCs w:val="32"/>
          <w:lang w:val="en-US" w:eastAsia="zh-CN"/>
        </w:rPr>
        <w:t>26.36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sz w:val="32"/>
          <w:szCs w:val="32"/>
        </w:rPr>
      </w:pPr>
    </w:p>
    <w:p>
      <w:pPr>
        <w:pStyle w:val="18"/>
      </w:pPr>
    </w:p>
    <w:p>
      <w:pPr>
        <w:spacing w:line="600" w:lineRule="exact"/>
        <w:ind w:firstLine="640"/>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pStyle w:val="18"/>
        <w:rPr>
          <w:rFonts w:hint="eastAsia" w:ascii="仿宋" w:hAnsi="仿宋" w:eastAsia="仿宋"/>
          <w:sz w:val="32"/>
          <w:szCs w:val="32"/>
        </w:rPr>
      </w:pPr>
      <w:r>
        <w:drawing>
          <wp:inline distT="0" distB="0" distL="114300" distR="114300">
            <wp:extent cx="4826000" cy="2773680"/>
            <wp:effectExtent l="0" t="0" r="12700" b="762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sz w:val="24"/>
          <w:szCs w:val="24"/>
        </w:rPr>
      </w:pPr>
      <w:r>
        <w:rPr>
          <w:rFonts w:hint="eastAsia" w:ascii="仿宋" w:hAnsi="仿宋" w:eastAsia="仿宋"/>
          <w:sz w:val="24"/>
          <w:szCs w:val="24"/>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3"/>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3"/>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1363.03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1363.03</w:t>
      </w:r>
      <w:r>
        <w:rPr>
          <w:rFonts w:hint="eastAsia" w:ascii="仿宋" w:hAnsi="仿宋" w:eastAsia="仿宋"/>
          <w:sz w:val="32"/>
          <w:szCs w:val="32"/>
        </w:rPr>
        <w:t>万元。与2021年</w:t>
      </w:r>
      <w:r>
        <w:rPr>
          <w:rFonts w:hint="eastAsia" w:ascii="仿宋" w:hAnsi="仿宋" w:eastAsia="仿宋"/>
          <w:sz w:val="32"/>
          <w:szCs w:val="32"/>
          <w:lang w:eastAsia="zh-CN"/>
        </w:rPr>
        <w:t>财政拨款收入</w:t>
      </w:r>
      <w:r>
        <w:rPr>
          <w:rFonts w:hint="eastAsia" w:ascii="仿宋" w:hAnsi="仿宋" w:eastAsia="仿宋"/>
          <w:sz w:val="32"/>
          <w:szCs w:val="32"/>
        </w:rPr>
        <w:t>总计</w:t>
      </w:r>
      <w:r>
        <w:rPr>
          <w:rFonts w:hint="eastAsia" w:ascii="仿宋" w:hAnsi="仿宋" w:eastAsia="仿宋"/>
          <w:sz w:val="32"/>
          <w:szCs w:val="32"/>
          <w:lang w:val="en-US" w:eastAsia="zh-CN"/>
        </w:rPr>
        <w:t>1454.73</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减少91.7</w:t>
      </w:r>
      <w:r>
        <w:rPr>
          <w:rFonts w:hint="eastAsia" w:ascii="仿宋" w:hAnsi="仿宋" w:eastAsia="仿宋"/>
          <w:sz w:val="32"/>
          <w:szCs w:val="32"/>
        </w:rPr>
        <w:t>万元，</w:t>
      </w:r>
      <w:r>
        <w:rPr>
          <w:rFonts w:hint="eastAsia" w:ascii="仿宋" w:hAnsi="仿宋" w:eastAsia="仿宋"/>
          <w:sz w:val="32"/>
          <w:szCs w:val="32"/>
          <w:lang w:val="en-US" w:eastAsia="zh-CN"/>
        </w:rPr>
        <w:t>降低6.3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财政拨款支出</w:t>
      </w:r>
      <w:r>
        <w:rPr>
          <w:rFonts w:hint="eastAsia" w:ascii="仿宋" w:hAnsi="仿宋" w:eastAsia="仿宋"/>
          <w:sz w:val="32"/>
          <w:szCs w:val="32"/>
        </w:rPr>
        <w:t>总计</w:t>
      </w:r>
      <w:r>
        <w:rPr>
          <w:rFonts w:hint="eastAsia" w:ascii="仿宋" w:hAnsi="仿宋" w:eastAsia="仿宋"/>
          <w:sz w:val="32"/>
          <w:szCs w:val="32"/>
          <w:lang w:val="en-US" w:eastAsia="zh-CN"/>
        </w:rPr>
        <w:t>1454.73</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减少91.7</w:t>
      </w:r>
      <w:r>
        <w:rPr>
          <w:rFonts w:hint="eastAsia" w:ascii="仿宋" w:hAnsi="仿宋" w:eastAsia="仿宋"/>
          <w:sz w:val="32"/>
          <w:szCs w:val="32"/>
        </w:rPr>
        <w:t>万元，</w:t>
      </w:r>
      <w:r>
        <w:rPr>
          <w:rFonts w:hint="eastAsia" w:ascii="仿宋" w:hAnsi="仿宋" w:eastAsia="仿宋"/>
          <w:sz w:val="32"/>
          <w:szCs w:val="32"/>
          <w:lang w:val="en-US" w:eastAsia="zh-CN"/>
        </w:rPr>
        <w:t>降低6.3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w:t>
      </w:r>
      <w:r>
        <w:rPr>
          <w:rFonts w:hint="eastAsia" w:ascii="仿宋" w:hAnsi="仿宋" w:eastAsia="仿宋"/>
          <w:sz w:val="32"/>
          <w:szCs w:val="32"/>
          <w:highlight w:val="none"/>
        </w:rPr>
        <w:t>是</w:t>
      </w:r>
      <w:r>
        <w:rPr>
          <w:rFonts w:hint="eastAsia" w:ascii="仿宋" w:hAnsi="仿宋" w:eastAsia="仿宋"/>
          <w:sz w:val="32"/>
          <w:szCs w:val="32"/>
          <w:highlight w:val="none"/>
          <w:lang w:val="en-US" w:eastAsia="zh-CN"/>
        </w:rPr>
        <w:t>项目减少。</w:t>
      </w:r>
    </w:p>
    <w:p>
      <w:pPr>
        <w:pStyle w:val="2"/>
        <w:keepNext w:val="0"/>
        <w:keepLines w:val="0"/>
        <w:pageBreakBefore w:val="0"/>
        <w:widowControl w:val="0"/>
        <w:kinsoku/>
        <w:wordWrap/>
        <w:overflowPunct/>
        <w:topLinePunct w:val="0"/>
        <w:autoSpaceDE/>
        <w:autoSpaceDN/>
        <w:bidi w:val="0"/>
        <w:adjustRightInd/>
        <w:snapToGrid/>
        <w:spacing w:line="240" w:lineRule="atLeast"/>
        <w:textAlignment w:val="auto"/>
        <w:rPr>
          <w:rFonts w:ascii="仿宋" w:hAnsi="仿宋" w:eastAsia="仿宋"/>
          <w:sz w:val="32"/>
          <w:szCs w:val="32"/>
        </w:rPr>
      </w:pPr>
      <w:r>
        <w:drawing>
          <wp:inline distT="0" distB="0" distL="114300" distR="114300">
            <wp:extent cx="4826000" cy="2863850"/>
            <wp:effectExtent l="4445" t="4445" r="8255" b="825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240" w:lineRule="atLeast"/>
        <w:ind w:firstLine="1200" w:firstLineChars="500"/>
        <w:jc w:val="center"/>
        <w:textAlignment w:val="auto"/>
        <w:rPr>
          <w:rFonts w:hint="eastAsia" w:ascii="仿宋" w:hAnsi="仿宋" w:eastAsia="仿宋"/>
          <w:sz w:val="24"/>
          <w:szCs w:val="24"/>
        </w:rPr>
      </w:pPr>
      <w:r>
        <w:rPr>
          <w:rFonts w:hint="eastAsia" w:ascii="仿宋" w:hAnsi="仿宋" w:eastAsia="仿宋"/>
          <w:sz w:val="24"/>
          <w:szCs w:val="24"/>
        </w:rPr>
        <w:t>图4：财政拨款收、支决算总计变动情况</w:t>
      </w:r>
    </w:p>
    <w:p>
      <w:pPr>
        <w:pStyle w:val="2"/>
      </w:pPr>
    </w:p>
    <w:p>
      <w:pPr>
        <w:spacing w:line="600" w:lineRule="exact"/>
        <w:ind w:firstLine="640" w:firstLineChars="200"/>
        <w:outlineLvl w:val="1"/>
        <w:rPr>
          <w:rStyle w:val="33"/>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3"/>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default" w:ascii="仿宋" w:hAnsi="仿宋" w:eastAsia="仿宋"/>
          <w:sz w:val="32"/>
          <w:szCs w:val="32"/>
          <w:highlight w:val="yellow"/>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1360.38</w:t>
      </w:r>
      <w:r>
        <w:rPr>
          <w:rFonts w:hint="eastAsia" w:ascii="仿宋" w:hAnsi="仿宋" w:eastAsia="仿宋"/>
          <w:sz w:val="32"/>
          <w:szCs w:val="32"/>
        </w:rPr>
        <w:t>万元，占本年支出合计的</w:t>
      </w:r>
      <w:r>
        <w:rPr>
          <w:rFonts w:hint="eastAsia" w:ascii="仿宋" w:hAnsi="仿宋" w:eastAsia="仿宋"/>
          <w:sz w:val="32"/>
          <w:szCs w:val="32"/>
          <w:lang w:val="en-US" w:eastAsia="zh-CN"/>
        </w:rPr>
        <w:t>99.8</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政府性基金预算财政拨款收入支出2.65万元，占0.02%。</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减少94.35</w:t>
      </w:r>
      <w:r>
        <w:rPr>
          <w:rFonts w:hint="eastAsia" w:ascii="仿宋" w:hAnsi="仿宋" w:eastAsia="仿宋"/>
          <w:sz w:val="32"/>
          <w:szCs w:val="32"/>
        </w:rPr>
        <w:t>万元，</w:t>
      </w:r>
      <w:r>
        <w:rPr>
          <w:rFonts w:hint="eastAsia" w:ascii="仿宋" w:hAnsi="仿宋" w:eastAsia="仿宋"/>
          <w:sz w:val="32"/>
          <w:szCs w:val="32"/>
          <w:lang w:val="en-US" w:eastAsia="zh-CN"/>
        </w:rPr>
        <w:t>降低6.5</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highlight w:val="none"/>
          <w:lang w:val="en-US" w:eastAsia="zh-CN"/>
        </w:rPr>
        <w:t>是项目减少。</w:t>
      </w:r>
    </w:p>
    <w:p>
      <w:pPr>
        <w:pStyle w:val="2"/>
        <w:rPr>
          <w:rFonts w:hint="eastAsia" w:ascii="仿宋" w:hAnsi="仿宋" w:eastAsia="仿宋"/>
          <w:sz w:val="32"/>
          <w:szCs w:val="32"/>
        </w:rPr>
      </w:pPr>
    </w:p>
    <w:p>
      <w:pPr>
        <w:jc w:val="center"/>
        <w:rPr>
          <w:rFonts w:hint="eastAsia" w:ascii="仿宋" w:hAnsi="仿宋" w:eastAsia="仿宋"/>
          <w:sz w:val="32"/>
          <w:szCs w:val="32"/>
        </w:rPr>
      </w:pPr>
      <w:r>
        <w:drawing>
          <wp:inline distT="0" distB="0" distL="114300" distR="114300">
            <wp:extent cx="4826000" cy="2905125"/>
            <wp:effectExtent l="4445" t="4445" r="8255" b="508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 w:val="24"/>
          <w:szCs w:val="24"/>
        </w:rPr>
      </w:pPr>
      <w:r>
        <w:rPr>
          <w:rFonts w:hint="eastAsia" w:ascii="仿宋" w:hAnsi="仿宋" w:eastAsia="仿宋"/>
          <w:sz w:val="24"/>
          <w:szCs w:val="24"/>
        </w:rPr>
        <w:t>图5：一般公共预算财政拨款支出决算变动情况</w:t>
      </w: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1360.38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423.25</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31.11</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0.23万元，占0.017%；</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72.86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5.35</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206.88</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15.21</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37.86</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2.78</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1.68</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0.012</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560.65</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41.21</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56.77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4.17</w:t>
      </w:r>
      <w:r>
        <w:rPr>
          <w:rFonts w:hint="eastAsia" w:ascii="仿宋" w:hAnsi="仿宋" w:eastAsia="仿宋" w:cs="Times New Roman"/>
          <w:sz w:val="32"/>
          <w:szCs w:val="32"/>
        </w:rPr>
        <w:t>％；</w:t>
      </w:r>
      <w:r>
        <w:rPr>
          <w:rFonts w:hint="eastAsia" w:ascii="仿宋" w:hAnsi="仿宋" w:eastAsia="仿宋" w:cs="Times New Roman"/>
          <w:b/>
          <w:sz w:val="32"/>
          <w:szCs w:val="32"/>
        </w:rPr>
        <w:t>灾害防治及应急管理支出</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0.014</w:t>
      </w:r>
      <w:r>
        <w:rPr>
          <w:rFonts w:hint="eastAsia" w:ascii="仿宋" w:hAnsi="仿宋" w:eastAsia="仿宋" w:cs="Times New Roman"/>
          <w:sz w:val="32"/>
          <w:szCs w:val="32"/>
        </w:rPr>
        <w:t>％。</w:t>
      </w:r>
    </w:p>
    <w:p>
      <w:pPr>
        <w:pStyle w:val="2"/>
        <w:rPr>
          <w:rFonts w:hint="eastAsia" w:ascii="仿宋" w:hAnsi="仿宋" w:eastAsia="仿宋" w:cs="Times New Roman"/>
          <w:sz w:val="32"/>
          <w:szCs w:val="32"/>
        </w:rPr>
      </w:pPr>
    </w:p>
    <w:p>
      <w:pPr>
        <w:rPr>
          <w:rFonts w:ascii="仿宋" w:hAnsi="仿宋" w:eastAsia="仿宋"/>
          <w:sz w:val="32"/>
          <w:szCs w:val="32"/>
        </w:rPr>
      </w:pPr>
      <w:r>
        <w:drawing>
          <wp:inline distT="0" distB="0" distL="114300" distR="114300">
            <wp:extent cx="5507355" cy="4568825"/>
            <wp:effectExtent l="4445" t="4445" r="12700" b="17780"/>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960" w:firstLineChars="400"/>
        <w:jc w:val="center"/>
        <w:rPr>
          <w:rFonts w:ascii="仿宋" w:hAnsi="仿宋" w:eastAsia="仿宋"/>
          <w:sz w:val="24"/>
          <w:szCs w:val="24"/>
        </w:rPr>
      </w:pPr>
      <w:r>
        <w:rPr>
          <w:rFonts w:hint="eastAsia" w:ascii="仿宋" w:hAnsi="仿宋" w:eastAsia="仿宋"/>
          <w:sz w:val="24"/>
          <w:szCs w:val="24"/>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1360.38万元</w:t>
      </w:r>
      <w:r>
        <w:rPr>
          <w:rFonts w:hint="eastAsia" w:ascii="仿宋" w:hAnsi="仿宋" w:eastAsia="仿宋"/>
          <w:sz w:val="32"/>
          <w:szCs w:val="32"/>
        </w:rPr>
        <w:t>，</w:t>
      </w:r>
      <w:r>
        <w:rPr>
          <w:rStyle w:val="21"/>
          <w:rFonts w:hint="eastAsia" w:ascii="仿宋" w:hAnsi="仿宋" w:eastAsia="仿宋"/>
          <w:bCs/>
          <w:sz w:val="32"/>
          <w:szCs w:val="32"/>
        </w:rPr>
        <w:t>完成预算</w:t>
      </w:r>
      <w:r>
        <w:rPr>
          <w:rStyle w:val="21"/>
          <w:rFonts w:hint="eastAsia" w:ascii="仿宋" w:hAnsi="仿宋" w:eastAsia="仿宋"/>
          <w:bCs/>
          <w:sz w:val="32"/>
          <w:szCs w:val="32"/>
          <w:lang w:val="en-US" w:eastAsia="zh-CN"/>
        </w:rPr>
        <w:t>100</w:t>
      </w:r>
      <w:r>
        <w:rPr>
          <w:rStyle w:val="21"/>
          <w:rFonts w:ascii="仿宋" w:hAnsi="仿宋" w:eastAsia="仿宋"/>
          <w:bCs/>
          <w:sz w:val="32"/>
          <w:szCs w:val="32"/>
        </w:rPr>
        <w:t>%</w:t>
      </w:r>
      <w:r>
        <w:rPr>
          <w:rStyle w:val="21"/>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rPr>
          <w:rStyle w:val="21"/>
          <w:rFonts w:hint="eastAsia" w:ascii="仿宋" w:hAnsi="仿宋" w:eastAsia="仿宋"/>
          <w:b w:val="0"/>
          <w:bCs/>
          <w:color w:val="000000"/>
          <w:sz w:val="32"/>
          <w:szCs w:val="32"/>
          <w:lang w:eastAsia="zh-CN"/>
        </w:rPr>
      </w:pPr>
      <w:r>
        <w:rPr>
          <w:rStyle w:val="21"/>
          <w:rFonts w:hint="eastAsia" w:ascii="仿宋" w:hAnsi="仿宋" w:eastAsia="仿宋"/>
          <w:b w:val="0"/>
          <w:bCs/>
          <w:color w:val="000000"/>
          <w:sz w:val="32"/>
          <w:szCs w:val="32"/>
          <w:lang w:val="en-US" w:eastAsia="zh-CN"/>
        </w:rPr>
        <w:t>1.</w:t>
      </w:r>
      <w:r>
        <w:rPr>
          <w:rStyle w:val="21"/>
          <w:rFonts w:hint="eastAsia" w:ascii="仿宋" w:hAnsi="仿宋" w:eastAsia="仿宋"/>
          <w:b w:val="0"/>
          <w:bCs/>
          <w:color w:val="000000"/>
          <w:sz w:val="32"/>
          <w:szCs w:val="32"/>
        </w:rPr>
        <w:t>一般公共服务（类）人大事务（款）人大会议（项）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1.29</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000000"/>
          <w:sz w:val="32"/>
          <w:szCs w:val="32"/>
          <w:lang w:val="en-US" w:eastAsia="zh-CN"/>
        </w:rPr>
        <w:t>2.</w:t>
      </w:r>
      <w:r>
        <w:rPr>
          <w:rStyle w:val="21"/>
          <w:rFonts w:hint="eastAsia" w:ascii="仿宋" w:hAnsi="仿宋" w:eastAsia="仿宋"/>
          <w:b w:val="0"/>
          <w:bCs/>
          <w:color w:val="000000"/>
          <w:sz w:val="32"/>
          <w:szCs w:val="32"/>
        </w:rPr>
        <w:t>一般公共服务（类）人大事务（款）代表工作（项）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0.91</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000000"/>
          <w:sz w:val="32"/>
          <w:szCs w:val="32"/>
          <w:lang w:val="en-US" w:eastAsia="zh-CN"/>
        </w:rPr>
        <w:t>3.</w:t>
      </w:r>
      <w:r>
        <w:rPr>
          <w:rStyle w:val="21"/>
          <w:rFonts w:hint="eastAsia" w:ascii="仿宋" w:hAnsi="仿宋" w:eastAsia="仿宋"/>
          <w:b w:val="0"/>
          <w:bCs/>
          <w:color w:val="000000"/>
          <w:sz w:val="32"/>
          <w:szCs w:val="32"/>
        </w:rPr>
        <w:t>一般公共服务（类）政府办公厅（室）及相关机构事务（款）行政运行（项）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w:t>
      </w:r>
      <w:r>
        <w:rPr>
          <w:rStyle w:val="21"/>
          <w:rFonts w:hint="eastAsia" w:ascii="仿宋" w:hAnsi="仿宋" w:eastAsia="仿宋"/>
          <w:b w:val="0"/>
          <w:bCs/>
          <w:color w:val="000000"/>
          <w:sz w:val="32"/>
          <w:szCs w:val="32"/>
          <w:lang w:val="en-US" w:eastAsia="zh-CN"/>
        </w:rPr>
        <w:t>404.80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000000"/>
          <w:sz w:val="32"/>
          <w:szCs w:val="32"/>
          <w:lang w:val="en-US" w:eastAsia="zh-CN"/>
        </w:rPr>
        <w:t>4.</w:t>
      </w:r>
      <w:r>
        <w:rPr>
          <w:rStyle w:val="21"/>
          <w:rFonts w:hint="eastAsia" w:ascii="仿宋" w:hAnsi="仿宋" w:eastAsia="仿宋"/>
          <w:b w:val="0"/>
          <w:bCs/>
          <w:color w:val="000000"/>
          <w:sz w:val="32"/>
          <w:szCs w:val="32"/>
        </w:rPr>
        <w:t>一般公共服务（类）政府办公厅（室）及相关机构事务（款）一般行政管理事务（项）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3.60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auto"/>
          <w:sz w:val="32"/>
          <w:szCs w:val="32"/>
        </w:rPr>
      </w:pPr>
      <w:r>
        <w:rPr>
          <w:rStyle w:val="21"/>
          <w:rFonts w:hint="eastAsia" w:ascii="仿宋" w:hAnsi="仿宋" w:eastAsia="仿宋"/>
          <w:b w:val="0"/>
          <w:bCs/>
          <w:color w:val="auto"/>
          <w:sz w:val="32"/>
          <w:szCs w:val="32"/>
          <w:lang w:val="en-US" w:eastAsia="zh-CN"/>
        </w:rPr>
        <w:t>5.</w:t>
      </w:r>
      <w:r>
        <w:rPr>
          <w:rStyle w:val="21"/>
          <w:rFonts w:hint="eastAsia" w:ascii="仿宋" w:hAnsi="仿宋" w:eastAsia="仿宋"/>
          <w:b w:val="0"/>
          <w:bCs/>
          <w:color w:val="000000"/>
          <w:sz w:val="32"/>
          <w:szCs w:val="32"/>
        </w:rPr>
        <w:t>一般公共服务（类）政府办公厅（室）及相关机构事务（款）</w:t>
      </w:r>
      <w:r>
        <w:rPr>
          <w:rStyle w:val="21"/>
          <w:rFonts w:hint="eastAsia" w:ascii="仿宋" w:hAnsi="仿宋" w:eastAsia="仿宋"/>
          <w:b w:val="0"/>
          <w:bCs/>
          <w:color w:val="000000"/>
          <w:sz w:val="32"/>
          <w:szCs w:val="32"/>
          <w:lang w:val="en-US" w:eastAsia="zh-CN"/>
        </w:rPr>
        <w:t>信访</w:t>
      </w:r>
      <w:r>
        <w:rPr>
          <w:rStyle w:val="21"/>
          <w:rFonts w:hint="eastAsia" w:ascii="仿宋" w:hAnsi="仿宋" w:eastAsia="仿宋"/>
          <w:b w:val="0"/>
          <w:bCs/>
          <w:color w:val="000000"/>
          <w:sz w:val="32"/>
          <w:szCs w:val="32"/>
        </w:rPr>
        <w:t>事务（项）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auto"/>
          <w:sz w:val="32"/>
          <w:szCs w:val="32"/>
        </w:rPr>
      </w:pPr>
      <w:r>
        <w:rPr>
          <w:rStyle w:val="21"/>
          <w:rFonts w:hint="eastAsia" w:ascii="仿宋" w:hAnsi="仿宋" w:eastAsia="仿宋"/>
          <w:b w:val="0"/>
          <w:bCs/>
          <w:color w:val="auto"/>
          <w:sz w:val="32"/>
          <w:szCs w:val="32"/>
          <w:lang w:val="en-US" w:eastAsia="zh-CN"/>
        </w:rPr>
        <w:t>6.</w:t>
      </w:r>
      <w:r>
        <w:rPr>
          <w:rStyle w:val="21"/>
          <w:rFonts w:hint="eastAsia" w:ascii="仿宋" w:hAnsi="仿宋" w:eastAsia="仿宋"/>
          <w:b w:val="0"/>
          <w:bCs/>
          <w:color w:val="000000"/>
          <w:sz w:val="32"/>
          <w:szCs w:val="32"/>
        </w:rPr>
        <w:t>一般公共服务（类）政府办公厅（室）及相关机构事务（款）</w:t>
      </w:r>
      <w:r>
        <w:rPr>
          <w:rStyle w:val="21"/>
          <w:rFonts w:hint="eastAsia" w:ascii="仿宋" w:hAnsi="仿宋" w:eastAsia="仿宋"/>
          <w:b w:val="0"/>
          <w:bCs/>
          <w:color w:val="000000"/>
          <w:sz w:val="32"/>
          <w:szCs w:val="32"/>
          <w:lang w:val="en-US" w:eastAsia="zh-CN"/>
        </w:rPr>
        <w:t>事业运行</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3.60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auto"/>
          <w:sz w:val="32"/>
          <w:szCs w:val="32"/>
        </w:rPr>
      </w:pPr>
      <w:r>
        <w:rPr>
          <w:rStyle w:val="21"/>
          <w:rFonts w:hint="eastAsia" w:ascii="仿宋" w:hAnsi="仿宋" w:eastAsia="仿宋"/>
          <w:b w:val="0"/>
          <w:bCs/>
          <w:color w:val="000000"/>
          <w:sz w:val="32"/>
          <w:szCs w:val="32"/>
          <w:lang w:val="en-US" w:eastAsia="zh-CN"/>
        </w:rPr>
        <w:t>7.</w:t>
      </w:r>
      <w:r>
        <w:rPr>
          <w:rStyle w:val="21"/>
          <w:rFonts w:hint="eastAsia" w:ascii="仿宋" w:hAnsi="仿宋" w:eastAsia="仿宋"/>
          <w:b w:val="0"/>
          <w:bCs/>
          <w:color w:val="000000"/>
          <w:sz w:val="32"/>
          <w:szCs w:val="32"/>
        </w:rPr>
        <w:t>一般公共服务（类）纪检监察事务（款）</w:t>
      </w:r>
      <w:r>
        <w:rPr>
          <w:rStyle w:val="21"/>
          <w:rFonts w:hint="eastAsia" w:ascii="仿宋" w:hAnsi="仿宋" w:eastAsia="仿宋"/>
          <w:b w:val="0"/>
          <w:bCs/>
          <w:color w:val="000000"/>
          <w:sz w:val="32"/>
          <w:szCs w:val="32"/>
          <w:lang w:eastAsia="zh-CN"/>
        </w:rPr>
        <w:t>一般行政管理事务</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0.24</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1"/>
          <w:rFonts w:hint="eastAsia" w:ascii="仿宋" w:hAnsi="仿宋" w:eastAsia="仿宋"/>
          <w:b w:val="0"/>
          <w:bCs/>
          <w:color w:val="000000"/>
          <w:sz w:val="32"/>
          <w:szCs w:val="32"/>
          <w:lang w:val="en-US" w:eastAsia="zh-CN"/>
        </w:rPr>
        <w:t>8.</w:t>
      </w:r>
      <w:r>
        <w:rPr>
          <w:rStyle w:val="21"/>
          <w:rFonts w:hint="eastAsia" w:ascii="仿宋" w:hAnsi="仿宋" w:eastAsia="仿宋"/>
          <w:b w:val="0"/>
          <w:bCs/>
          <w:color w:val="000000"/>
          <w:sz w:val="32"/>
          <w:szCs w:val="32"/>
        </w:rPr>
        <w:t>一般公共服务（类）纪检监察事务（款</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其他纪检监察事务支出（项）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4.60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auto"/>
          <w:sz w:val="32"/>
          <w:szCs w:val="32"/>
          <w:lang w:val="en-US" w:eastAsia="zh-CN"/>
        </w:rPr>
        <w:t>9.</w:t>
      </w:r>
      <w:r>
        <w:rPr>
          <w:rStyle w:val="21"/>
          <w:rFonts w:hint="eastAsia" w:ascii="仿宋" w:hAnsi="仿宋" w:eastAsia="仿宋"/>
          <w:b w:val="0"/>
          <w:bCs/>
          <w:color w:val="000000"/>
          <w:sz w:val="32"/>
          <w:szCs w:val="32"/>
        </w:rPr>
        <w:t>一般公共服务（类）</w:t>
      </w:r>
      <w:r>
        <w:rPr>
          <w:rStyle w:val="21"/>
          <w:rFonts w:hint="eastAsia" w:ascii="仿宋" w:hAnsi="仿宋" w:eastAsia="仿宋"/>
          <w:b w:val="0"/>
          <w:bCs/>
          <w:color w:val="000000"/>
          <w:sz w:val="32"/>
          <w:szCs w:val="32"/>
          <w:lang w:val="en-US" w:eastAsia="zh-CN"/>
        </w:rPr>
        <w:t>党委办公厅（室）及相关机构事务</w:t>
      </w:r>
      <w:r>
        <w:rPr>
          <w:rStyle w:val="21"/>
          <w:rFonts w:hint="eastAsia" w:ascii="仿宋" w:hAnsi="仿宋" w:eastAsia="仿宋"/>
          <w:b w:val="0"/>
          <w:bCs/>
          <w:color w:val="000000"/>
          <w:sz w:val="32"/>
          <w:szCs w:val="32"/>
        </w:rPr>
        <w:t>（款）</w:t>
      </w:r>
      <w:r>
        <w:rPr>
          <w:rStyle w:val="21"/>
          <w:rFonts w:hint="eastAsia" w:ascii="仿宋" w:hAnsi="仿宋" w:eastAsia="仿宋"/>
          <w:b w:val="0"/>
          <w:bCs/>
          <w:color w:val="000000"/>
          <w:sz w:val="32"/>
          <w:szCs w:val="32"/>
          <w:lang w:val="en-US" w:eastAsia="zh-CN"/>
        </w:rPr>
        <w:t>一般行政管理事务</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3.21</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auto"/>
          <w:sz w:val="32"/>
          <w:szCs w:val="32"/>
          <w:lang w:val="en-US" w:eastAsia="zh-CN"/>
        </w:rPr>
        <w:t>10.</w:t>
      </w:r>
      <w:r>
        <w:rPr>
          <w:rStyle w:val="21"/>
          <w:rFonts w:hint="eastAsia" w:ascii="仿宋" w:hAnsi="仿宋" w:eastAsia="仿宋"/>
          <w:b w:val="0"/>
          <w:bCs/>
          <w:color w:val="000000"/>
          <w:sz w:val="32"/>
          <w:szCs w:val="32"/>
          <w:lang w:val="en-US" w:eastAsia="zh-CN"/>
        </w:rPr>
        <w:t>国防支出</w:t>
      </w:r>
      <w:r>
        <w:rPr>
          <w:rStyle w:val="21"/>
          <w:rFonts w:hint="eastAsia" w:ascii="仿宋" w:hAnsi="仿宋" w:eastAsia="仿宋"/>
          <w:b w:val="0"/>
          <w:bCs/>
          <w:color w:val="000000"/>
          <w:sz w:val="32"/>
          <w:szCs w:val="32"/>
        </w:rPr>
        <w:t>（类）</w:t>
      </w:r>
      <w:r>
        <w:rPr>
          <w:rStyle w:val="21"/>
          <w:rFonts w:hint="eastAsia" w:ascii="仿宋" w:hAnsi="仿宋" w:eastAsia="仿宋"/>
          <w:b w:val="0"/>
          <w:bCs/>
          <w:color w:val="000000"/>
          <w:sz w:val="32"/>
          <w:szCs w:val="32"/>
          <w:lang w:val="en-US" w:eastAsia="zh-CN"/>
        </w:rPr>
        <w:t>国防动员</w:t>
      </w:r>
      <w:r>
        <w:rPr>
          <w:rStyle w:val="21"/>
          <w:rFonts w:hint="eastAsia" w:ascii="仿宋" w:hAnsi="仿宋" w:eastAsia="仿宋"/>
          <w:b w:val="0"/>
          <w:bCs/>
          <w:color w:val="000000"/>
          <w:sz w:val="32"/>
          <w:szCs w:val="32"/>
        </w:rPr>
        <w:t>（款）</w:t>
      </w:r>
      <w:r>
        <w:rPr>
          <w:rStyle w:val="21"/>
          <w:rFonts w:hint="eastAsia" w:ascii="仿宋" w:hAnsi="仿宋" w:eastAsia="仿宋"/>
          <w:b w:val="0"/>
          <w:bCs/>
          <w:color w:val="000000"/>
          <w:sz w:val="32"/>
          <w:szCs w:val="32"/>
          <w:lang w:val="en-US" w:eastAsia="zh-CN"/>
        </w:rPr>
        <w:t>兵役征集</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0.23</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21"/>
          <w:rFonts w:hint="eastAsia" w:ascii="仿宋" w:hAnsi="仿宋" w:eastAsia="仿宋"/>
          <w:b w:val="0"/>
          <w:bCs/>
          <w:color w:val="auto"/>
          <w:sz w:val="32"/>
          <w:szCs w:val="32"/>
          <w:lang w:val="en-US" w:eastAsia="zh-CN"/>
        </w:rPr>
        <w:t>11.</w:t>
      </w:r>
      <w:r>
        <w:rPr>
          <w:rStyle w:val="21"/>
          <w:rFonts w:hint="eastAsia" w:ascii="仿宋" w:hAnsi="仿宋" w:eastAsia="仿宋"/>
          <w:b w:val="0"/>
          <w:bCs/>
          <w:color w:val="000000"/>
          <w:sz w:val="32"/>
          <w:szCs w:val="32"/>
        </w:rPr>
        <w:t>文化旅游体育与传媒</w:t>
      </w:r>
      <w:r>
        <w:rPr>
          <w:rStyle w:val="21"/>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（类）文化和旅游（款）</w:t>
      </w:r>
      <w:r>
        <w:rPr>
          <w:rStyle w:val="21"/>
          <w:rFonts w:hint="eastAsia" w:ascii="仿宋" w:hAnsi="仿宋" w:eastAsia="仿宋"/>
          <w:b w:val="0"/>
          <w:bCs/>
          <w:color w:val="000000"/>
          <w:sz w:val="32"/>
          <w:szCs w:val="32"/>
          <w:lang w:val="en-US" w:eastAsia="zh-CN"/>
        </w:rPr>
        <w:t>群众文化</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0.75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numPr>
          <w:ilvl w:val="0"/>
          <w:numId w:val="0"/>
        </w:numPr>
        <w:spacing w:line="600" w:lineRule="exact"/>
        <w:ind w:firstLine="640" w:firstLineChars="200"/>
        <w:rPr>
          <w:rStyle w:val="21"/>
          <w:rFonts w:hint="default" w:ascii="仿宋" w:hAnsi="仿宋" w:eastAsia="仿宋"/>
          <w:b w:val="0"/>
          <w:bCs/>
          <w:color w:val="auto"/>
          <w:sz w:val="32"/>
          <w:szCs w:val="32"/>
          <w:lang w:val="en-US" w:eastAsia="zh-CN"/>
        </w:rPr>
      </w:pPr>
      <w:r>
        <w:rPr>
          <w:rStyle w:val="21"/>
          <w:rFonts w:hint="eastAsia" w:ascii="仿宋" w:hAnsi="仿宋" w:eastAsia="仿宋"/>
          <w:b w:val="0"/>
          <w:bCs/>
          <w:color w:val="auto"/>
          <w:sz w:val="32"/>
          <w:szCs w:val="32"/>
          <w:lang w:val="en-US" w:eastAsia="zh-CN"/>
        </w:rPr>
        <w:t>12.</w:t>
      </w:r>
      <w:r>
        <w:rPr>
          <w:rStyle w:val="21"/>
          <w:rFonts w:hint="eastAsia" w:ascii="仿宋" w:hAnsi="仿宋" w:eastAsia="仿宋"/>
          <w:b w:val="0"/>
          <w:bCs/>
          <w:color w:val="000000"/>
          <w:sz w:val="32"/>
          <w:szCs w:val="32"/>
        </w:rPr>
        <w:t>文化旅游体育与传媒</w:t>
      </w:r>
      <w:r>
        <w:rPr>
          <w:rStyle w:val="21"/>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（类）文化和旅游（款）</w:t>
      </w:r>
      <w:r>
        <w:rPr>
          <w:rStyle w:val="21"/>
          <w:rFonts w:hint="eastAsia" w:ascii="仿宋" w:hAnsi="仿宋" w:eastAsia="仿宋"/>
          <w:b w:val="0"/>
          <w:bCs/>
          <w:color w:val="000000"/>
          <w:sz w:val="32"/>
          <w:szCs w:val="32"/>
          <w:lang w:val="en-US" w:eastAsia="zh-CN"/>
        </w:rPr>
        <w:t>文化和旅游管理事务</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72.11</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13</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社会保障和就业</w:t>
      </w:r>
      <w:r>
        <w:rPr>
          <w:rStyle w:val="21"/>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（类）民政管理事务（款）基层政权建设和社区治理（项）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131.22</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000000"/>
          <w:sz w:val="32"/>
          <w:szCs w:val="32"/>
          <w:lang w:val="en-US" w:eastAsia="zh-CN"/>
        </w:rPr>
        <w:t>14</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社会保障和就业</w:t>
      </w:r>
      <w:r>
        <w:rPr>
          <w:rStyle w:val="21"/>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（类）行政事业单位养老支出（款）机关事业单位基本养老保险缴费支出（项）</w:t>
      </w:r>
      <w:r>
        <w:rPr>
          <w:rStyle w:val="21"/>
          <w:rFonts w:hint="eastAsia" w:ascii="仿宋" w:hAnsi="仿宋" w:eastAsia="仿宋"/>
          <w:b w:val="0"/>
          <w:bCs/>
          <w:color w:val="000000"/>
          <w:sz w:val="32"/>
          <w:szCs w:val="32"/>
          <w:lang w:eastAsia="zh-CN"/>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75.66</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p>
    <w:p>
      <w:pPr>
        <w:spacing w:line="600" w:lineRule="exact"/>
        <w:ind w:firstLine="640" w:firstLineChars="200"/>
        <w:rPr>
          <w:rStyle w:val="21"/>
          <w:rFonts w:hint="eastAsia" w:ascii="仿宋" w:hAnsi="仿宋" w:eastAsia="仿宋"/>
          <w:b w:val="0"/>
          <w:bCs/>
          <w:color w:val="000000"/>
          <w:sz w:val="32"/>
          <w:szCs w:val="32"/>
        </w:rPr>
      </w:pPr>
      <w:r>
        <w:rPr>
          <w:rStyle w:val="21"/>
          <w:rFonts w:hint="eastAsia" w:ascii="仿宋" w:hAnsi="仿宋" w:eastAsia="仿宋"/>
          <w:b w:val="0"/>
          <w:bCs/>
          <w:color w:val="000000"/>
          <w:sz w:val="32"/>
          <w:szCs w:val="32"/>
          <w:lang w:val="en-US" w:eastAsia="zh-CN"/>
        </w:rPr>
        <w:t>15</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1"/>
          <w:rFonts w:hint="eastAsia" w:ascii="仿宋" w:hAnsi="仿宋" w:eastAsia="仿宋"/>
          <w:b w:val="0"/>
          <w:bCs/>
          <w:color w:val="000000"/>
          <w:sz w:val="32"/>
          <w:szCs w:val="32"/>
        </w:rPr>
        <w:t>（类）行政事业单位医疗（款）行政单位医疗（项）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37.86</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pPr>
      <w:r>
        <w:rPr>
          <w:rStyle w:val="21"/>
          <w:rFonts w:hint="eastAsia" w:ascii="仿宋" w:hAnsi="仿宋" w:eastAsia="仿宋"/>
          <w:b w:val="0"/>
          <w:bCs/>
          <w:color w:val="000000"/>
          <w:sz w:val="32"/>
          <w:szCs w:val="32"/>
          <w:lang w:val="en-US" w:eastAsia="zh-CN"/>
        </w:rPr>
        <w:t>16</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1"/>
          <w:rFonts w:hint="eastAsia" w:ascii="仿宋" w:hAnsi="仿宋" w:eastAsia="仿宋"/>
          <w:b w:val="0"/>
          <w:bCs/>
          <w:color w:val="000000"/>
          <w:sz w:val="32"/>
          <w:szCs w:val="32"/>
        </w:rPr>
        <w:t>（类）行政事业单位医疗（款）事业单位医疗（项）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23.05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17</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（类）城乡社区环境卫生（款）城乡社区环境卫生（项）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1.68</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18</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w:t>
      </w:r>
      <w:r>
        <w:rPr>
          <w:rStyle w:val="21"/>
          <w:rFonts w:hint="eastAsia" w:ascii="仿宋" w:hAnsi="仿宋" w:eastAsia="仿宋"/>
          <w:b w:val="0"/>
          <w:bCs/>
          <w:color w:val="000000"/>
          <w:sz w:val="32"/>
          <w:szCs w:val="32"/>
          <w:lang w:val="en-US" w:eastAsia="zh-CN"/>
        </w:rPr>
        <w:t>农业农村</w:t>
      </w:r>
      <w:r>
        <w:rPr>
          <w:rStyle w:val="21"/>
          <w:rFonts w:hint="eastAsia" w:ascii="仿宋" w:hAnsi="仿宋" w:eastAsia="仿宋"/>
          <w:b w:val="0"/>
          <w:bCs/>
          <w:color w:val="000000"/>
          <w:sz w:val="32"/>
          <w:szCs w:val="32"/>
        </w:rPr>
        <w:t>（款）</w:t>
      </w:r>
      <w:r>
        <w:rPr>
          <w:rStyle w:val="21"/>
          <w:rFonts w:hint="eastAsia" w:ascii="仿宋" w:hAnsi="仿宋" w:eastAsia="仿宋"/>
          <w:b w:val="0"/>
          <w:bCs/>
          <w:color w:val="000000"/>
          <w:sz w:val="32"/>
          <w:szCs w:val="32"/>
          <w:lang w:val="en-US" w:eastAsia="zh-CN"/>
        </w:rPr>
        <w:t>事业运行</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221.68</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19</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w:t>
      </w:r>
      <w:r>
        <w:rPr>
          <w:rStyle w:val="21"/>
          <w:rFonts w:hint="eastAsia" w:ascii="仿宋" w:hAnsi="仿宋" w:eastAsia="仿宋"/>
          <w:b w:val="0"/>
          <w:bCs/>
          <w:color w:val="000000"/>
          <w:sz w:val="32"/>
          <w:szCs w:val="32"/>
          <w:lang w:val="en-US" w:eastAsia="zh-CN"/>
        </w:rPr>
        <w:t>农业农村</w:t>
      </w:r>
      <w:r>
        <w:rPr>
          <w:rStyle w:val="21"/>
          <w:rFonts w:hint="eastAsia" w:ascii="仿宋" w:hAnsi="仿宋" w:eastAsia="仿宋"/>
          <w:b w:val="0"/>
          <w:bCs/>
          <w:color w:val="000000"/>
          <w:sz w:val="32"/>
          <w:szCs w:val="32"/>
        </w:rPr>
        <w:t>（款）</w:t>
      </w:r>
      <w:r>
        <w:rPr>
          <w:rStyle w:val="21"/>
          <w:rFonts w:hint="eastAsia" w:ascii="仿宋" w:hAnsi="仿宋" w:eastAsia="仿宋"/>
          <w:b w:val="0"/>
          <w:bCs/>
          <w:color w:val="000000"/>
          <w:sz w:val="32"/>
          <w:szCs w:val="32"/>
          <w:lang w:val="en-US" w:eastAsia="zh-CN"/>
        </w:rPr>
        <w:t>防灾救灾</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16.20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20</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（类）林业和草原（款）林业草原防灾减灾（项）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1.25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21"/>
          <w:rFonts w:hint="eastAsia" w:ascii="仿宋" w:hAnsi="仿宋" w:eastAsia="仿宋"/>
          <w:b w:val="0"/>
          <w:bCs/>
          <w:color w:val="000000"/>
          <w:sz w:val="32"/>
          <w:szCs w:val="32"/>
          <w:lang w:val="en-US" w:eastAsia="zh-CN"/>
        </w:rPr>
        <w:t>21</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w:t>
      </w:r>
      <w:r>
        <w:rPr>
          <w:rFonts w:hint="eastAsia" w:ascii="仿宋_GB2312" w:hAnsi="仿宋_GB2312" w:eastAsia="仿宋_GB2312" w:cs="仿宋_GB2312"/>
          <w:kern w:val="2"/>
          <w:sz w:val="32"/>
          <w:szCs w:val="32"/>
          <w:lang w:val="en-US" w:eastAsia="zh-CN" w:bidi="ar-SA"/>
        </w:rPr>
        <w:t>巩固拓展脱贫攻坚成果同乡村振兴有效衔接</w:t>
      </w:r>
      <w:r>
        <w:rPr>
          <w:rStyle w:val="21"/>
          <w:rFonts w:hint="eastAsia" w:ascii="仿宋" w:hAnsi="仿宋" w:eastAsia="仿宋"/>
          <w:b w:val="0"/>
          <w:bCs/>
          <w:color w:val="000000"/>
          <w:sz w:val="32"/>
          <w:szCs w:val="32"/>
        </w:rPr>
        <w:t>（款）</w:t>
      </w:r>
      <w:r>
        <w:rPr>
          <w:rStyle w:val="21"/>
          <w:rFonts w:hint="eastAsia" w:ascii="仿宋" w:hAnsi="仿宋" w:eastAsia="仿宋"/>
          <w:b w:val="0"/>
          <w:bCs/>
          <w:color w:val="000000"/>
          <w:sz w:val="32"/>
          <w:szCs w:val="32"/>
          <w:lang w:val="en-US" w:eastAsia="zh-CN"/>
        </w:rPr>
        <w:t>生产发展</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7.85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Fonts w:hint="eastAsia"/>
        </w:rPr>
      </w:pPr>
      <w:r>
        <w:rPr>
          <w:rStyle w:val="21"/>
          <w:rFonts w:hint="eastAsia" w:ascii="仿宋" w:hAnsi="仿宋" w:eastAsia="仿宋"/>
          <w:b w:val="0"/>
          <w:bCs/>
          <w:color w:val="000000"/>
          <w:sz w:val="32"/>
          <w:szCs w:val="32"/>
          <w:lang w:val="en-US" w:eastAsia="zh-CN"/>
        </w:rPr>
        <w:t>22</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1"/>
          <w:rFonts w:hint="eastAsia" w:ascii="仿宋" w:hAnsi="仿宋" w:eastAsia="仿宋"/>
          <w:b w:val="0"/>
          <w:bCs/>
          <w:color w:val="000000"/>
          <w:sz w:val="32"/>
          <w:szCs w:val="32"/>
        </w:rPr>
        <w:t>（类）</w:t>
      </w:r>
      <w:r>
        <w:rPr>
          <w:rFonts w:hint="eastAsia" w:ascii="仿宋_GB2312" w:hAnsi="仿宋_GB2312" w:eastAsia="仿宋_GB2312" w:cs="仿宋_GB2312"/>
          <w:kern w:val="2"/>
          <w:sz w:val="32"/>
          <w:szCs w:val="32"/>
          <w:lang w:val="en-US" w:eastAsia="zh-CN" w:bidi="ar-SA"/>
        </w:rPr>
        <w:t>巩固拓展脱贫攻坚成果同乡村振兴有效衔接</w:t>
      </w:r>
      <w:r>
        <w:rPr>
          <w:rStyle w:val="21"/>
          <w:rFonts w:hint="eastAsia" w:ascii="仿宋" w:hAnsi="仿宋" w:eastAsia="仿宋"/>
          <w:b w:val="0"/>
          <w:bCs/>
          <w:color w:val="000000"/>
          <w:sz w:val="32"/>
          <w:szCs w:val="32"/>
        </w:rPr>
        <w:t>（款）其他</w:t>
      </w:r>
      <w:r>
        <w:rPr>
          <w:rFonts w:hint="eastAsia" w:ascii="仿宋_GB2312" w:hAnsi="仿宋_GB2312" w:eastAsia="仿宋_GB2312" w:cs="仿宋_GB2312"/>
          <w:kern w:val="2"/>
          <w:sz w:val="32"/>
          <w:szCs w:val="32"/>
          <w:lang w:val="en-US" w:eastAsia="zh-CN" w:bidi="ar-SA"/>
        </w:rPr>
        <w:t>巩固拓展脱贫攻坚成果同乡村振兴有效衔接</w:t>
      </w:r>
      <w:r>
        <w:rPr>
          <w:rStyle w:val="21"/>
          <w:rFonts w:hint="eastAsia" w:ascii="仿宋" w:hAnsi="仿宋" w:eastAsia="仿宋"/>
          <w:b w:val="0"/>
          <w:bCs/>
          <w:color w:val="000000"/>
          <w:sz w:val="32"/>
          <w:szCs w:val="32"/>
        </w:rPr>
        <w:t>支出（项）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18.00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23</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1"/>
          <w:rFonts w:hint="eastAsia" w:ascii="仿宋" w:hAnsi="仿宋" w:eastAsia="仿宋"/>
          <w:b w:val="0"/>
          <w:bCs/>
          <w:color w:val="000000"/>
          <w:sz w:val="32"/>
          <w:szCs w:val="32"/>
        </w:rPr>
        <w:t>（类）农村综合改革（款）对村民委员会和村党支部的补助（项）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235.67</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color w:val="000000"/>
          <w:sz w:val="32"/>
          <w:szCs w:val="32"/>
          <w:lang w:eastAsia="zh-CN"/>
        </w:rPr>
      </w:pPr>
      <w:r>
        <w:rPr>
          <w:rStyle w:val="21"/>
          <w:rFonts w:hint="eastAsia" w:ascii="仿宋" w:hAnsi="仿宋" w:eastAsia="仿宋"/>
          <w:b w:val="0"/>
          <w:bCs/>
          <w:color w:val="000000"/>
          <w:sz w:val="32"/>
          <w:szCs w:val="32"/>
          <w:lang w:val="en-US" w:eastAsia="zh-CN"/>
        </w:rPr>
        <w:t>24</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1"/>
          <w:rFonts w:hint="eastAsia" w:ascii="仿宋" w:hAnsi="仿宋" w:eastAsia="仿宋"/>
          <w:b w:val="0"/>
          <w:bCs/>
          <w:color w:val="000000"/>
          <w:sz w:val="32"/>
          <w:szCs w:val="32"/>
        </w:rPr>
        <w:t>（类）农村综合改革（款）</w:t>
      </w:r>
      <w:r>
        <w:rPr>
          <w:rStyle w:val="21"/>
          <w:rFonts w:hint="eastAsia" w:ascii="仿宋" w:hAnsi="仿宋" w:eastAsia="仿宋"/>
          <w:b w:val="0"/>
          <w:bCs/>
          <w:color w:val="000000"/>
          <w:sz w:val="32"/>
          <w:szCs w:val="32"/>
          <w:lang w:eastAsia="zh-CN"/>
        </w:rPr>
        <w:t>其他农村综合改革支出</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60</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color w:val="000000"/>
          <w:sz w:val="32"/>
          <w:szCs w:val="32"/>
          <w:lang w:val="en-US" w:eastAsia="zh-CN"/>
        </w:rPr>
        <w:t>25</w:t>
      </w:r>
      <w:r>
        <w:rPr>
          <w:rStyle w:val="21"/>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1"/>
          <w:rFonts w:hint="eastAsia" w:ascii="仿宋" w:hAnsi="仿宋" w:eastAsia="仿宋"/>
          <w:b w:val="0"/>
          <w:bCs/>
          <w:color w:val="000000"/>
          <w:sz w:val="32"/>
          <w:szCs w:val="32"/>
        </w:rPr>
        <w:t>（类）住房改革支出（款）住房公积金（项）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56.77</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firstLineChars="200"/>
      </w:pPr>
      <w:r>
        <w:rPr>
          <w:rStyle w:val="21"/>
          <w:rFonts w:hint="eastAsia" w:ascii="仿宋" w:hAnsi="仿宋" w:eastAsia="仿宋"/>
          <w:b w:val="0"/>
          <w:bCs/>
          <w:color w:val="000000"/>
          <w:sz w:val="32"/>
          <w:szCs w:val="32"/>
          <w:lang w:val="en-US" w:eastAsia="zh-CN"/>
        </w:rPr>
        <w:t>26</w:t>
      </w:r>
      <w:r>
        <w:rPr>
          <w:rStyle w:val="21"/>
          <w:rFonts w:ascii="仿宋" w:hAnsi="仿宋" w:eastAsia="仿宋"/>
          <w:b w:val="0"/>
          <w:bCs/>
          <w:color w:val="000000"/>
          <w:sz w:val="32"/>
          <w:szCs w:val="32"/>
        </w:rPr>
        <w:t>.</w:t>
      </w:r>
      <w:r>
        <w:rPr>
          <w:rFonts w:hint="eastAsia" w:ascii="仿宋" w:hAnsi="仿宋" w:eastAsia="仿宋"/>
          <w:b w:val="0"/>
          <w:bCs/>
          <w:color w:val="000000"/>
          <w:sz w:val="32"/>
          <w:szCs w:val="32"/>
          <w:lang w:val="en-US" w:eastAsia="zh-CN"/>
        </w:rPr>
        <w:t>灾害防治及应急管理支出</w:t>
      </w:r>
      <w:r>
        <w:rPr>
          <w:rStyle w:val="21"/>
          <w:rFonts w:hint="eastAsia" w:ascii="仿宋" w:hAnsi="仿宋" w:eastAsia="仿宋"/>
          <w:b w:val="0"/>
          <w:bCs/>
          <w:color w:val="000000"/>
          <w:sz w:val="32"/>
          <w:szCs w:val="32"/>
        </w:rPr>
        <w:t>（类）</w:t>
      </w:r>
      <w:r>
        <w:rPr>
          <w:rStyle w:val="21"/>
          <w:rFonts w:hint="eastAsia" w:ascii="仿宋" w:hAnsi="仿宋" w:eastAsia="仿宋"/>
          <w:b w:val="0"/>
          <w:bCs/>
          <w:color w:val="000000"/>
          <w:sz w:val="32"/>
          <w:szCs w:val="32"/>
          <w:lang w:val="en-US" w:eastAsia="zh-CN"/>
        </w:rPr>
        <w:t>应急管理事务</w:t>
      </w:r>
      <w:r>
        <w:rPr>
          <w:rStyle w:val="21"/>
          <w:rFonts w:hint="eastAsia" w:ascii="仿宋" w:hAnsi="仿宋" w:eastAsia="仿宋"/>
          <w:b w:val="0"/>
          <w:bCs/>
          <w:color w:val="000000"/>
          <w:sz w:val="32"/>
          <w:szCs w:val="32"/>
        </w:rPr>
        <w:t xml:space="preserve">（款）  </w:t>
      </w:r>
      <w:r>
        <w:rPr>
          <w:rStyle w:val="21"/>
          <w:rFonts w:hint="eastAsia" w:ascii="仿宋" w:hAnsi="仿宋" w:eastAsia="仿宋"/>
          <w:b w:val="0"/>
          <w:bCs/>
          <w:color w:val="000000"/>
          <w:sz w:val="32"/>
          <w:szCs w:val="32"/>
          <w:lang w:eastAsia="zh-CN"/>
        </w:rPr>
        <w:t>应急管理</w:t>
      </w:r>
      <w:r>
        <w:rPr>
          <w:rStyle w:val="21"/>
          <w:rFonts w:hint="eastAsia" w:ascii="仿宋" w:hAnsi="仿宋" w:eastAsia="仿宋"/>
          <w:b w:val="0"/>
          <w:bCs/>
          <w:color w:val="000000"/>
          <w:sz w:val="32"/>
          <w:szCs w:val="32"/>
        </w:rPr>
        <w:t>（项）</w:t>
      </w:r>
      <w:r>
        <w:rPr>
          <w:rStyle w:val="21"/>
          <w:rFonts w:hint="eastAsia" w:ascii="仿宋" w:hAnsi="仿宋" w:eastAsia="仿宋"/>
          <w:b w:val="0"/>
          <w:bCs/>
          <w:color w:val="000000"/>
          <w:sz w:val="32"/>
          <w:szCs w:val="32"/>
          <w:lang w:eastAsia="zh-CN"/>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0.2</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，完成预算</w:t>
      </w:r>
      <w:r>
        <w:rPr>
          <w:rStyle w:val="21"/>
          <w:rFonts w:hint="eastAsia" w:ascii="仿宋" w:hAnsi="仿宋" w:eastAsia="仿宋"/>
          <w:b w:val="0"/>
          <w:bCs/>
          <w:color w:val="000000"/>
          <w:sz w:val="32"/>
          <w:szCs w:val="32"/>
          <w:lang w:val="en-US" w:eastAsia="zh-CN"/>
        </w:rPr>
        <w:t>100%</w:t>
      </w:r>
      <w:r>
        <w:rPr>
          <w:rStyle w:val="21"/>
          <w:rFonts w:hint="eastAsia" w:ascii="仿宋" w:hAnsi="仿宋" w:eastAsia="仿宋"/>
          <w:b w:val="0"/>
          <w:bCs/>
          <w:sz w:val="32"/>
          <w:szCs w:val="32"/>
          <w:lang w:eastAsia="zh-CN"/>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3"/>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3"/>
          <w:rFonts w:hint="eastAsia" w:ascii="黑体" w:hAnsi="黑体" w:eastAsia="黑体"/>
          <w:b w:val="0"/>
        </w:rPr>
        <w:t>般公共预算财政拨款基本支出决算情况说明</w:t>
      </w:r>
      <w:bookmarkEnd w:id="40"/>
      <w:bookmarkEnd w:id="41"/>
      <w:r>
        <w:rPr>
          <w:rStyle w:val="33"/>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1003.7</w:t>
      </w:r>
      <w:r>
        <w:rPr>
          <w:rFonts w:hint="eastAsia" w:ascii="仿宋" w:hAnsi="仿宋" w:eastAsia="仿宋"/>
          <w:sz w:val="32"/>
          <w:szCs w:val="32"/>
        </w:rPr>
        <w:t>万元，其中：</w:t>
      </w:r>
    </w:p>
    <w:p>
      <w:pPr>
        <w:spacing w:line="600" w:lineRule="exact"/>
        <w:rPr>
          <w:rFonts w:ascii="仿宋" w:hAnsi="仿宋" w:eastAsia="仿宋"/>
          <w:sz w:val="32"/>
          <w:szCs w:val="32"/>
          <w:highlight w:val="none"/>
        </w:rPr>
      </w:pPr>
      <w:r>
        <w:rPr>
          <w:rFonts w:hint="eastAsia" w:ascii="仿宋" w:hAnsi="仿宋" w:eastAsia="仿宋"/>
          <w:sz w:val="32"/>
          <w:szCs w:val="32"/>
        </w:rPr>
        <w:t>人员经费</w:t>
      </w:r>
      <w:r>
        <w:rPr>
          <w:rFonts w:hint="eastAsia" w:ascii="仿宋" w:hAnsi="仿宋" w:eastAsia="仿宋"/>
          <w:sz w:val="32"/>
          <w:szCs w:val="32"/>
          <w:lang w:val="en-US" w:eastAsia="zh-CN"/>
        </w:rPr>
        <w:t>905.52</w:t>
      </w:r>
      <w:r>
        <w:rPr>
          <w:rFonts w:hint="eastAsia" w:ascii="仿宋" w:hAnsi="仿宋" w:eastAsia="仿宋"/>
          <w:sz w:val="32"/>
          <w:szCs w:val="32"/>
        </w:rPr>
        <w:t>万元，主要包括：基本工资、津贴补贴、奖金、伙食补助费、绩效工资、机关事业单位基本养老保险缴费、职业年金缴费、</w:t>
      </w:r>
      <w:r>
        <w:rPr>
          <w:rFonts w:hint="eastAsia" w:ascii="仿宋" w:hAnsi="仿宋" w:eastAsia="仿宋"/>
          <w:sz w:val="32"/>
          <w:szCs w:val="32"/>
          <w:lang w:val="en-US" w:eastAsia="zh-CN"/>
        </w:rPr>
        <w:t>职工基本医疗保险缴费、公务员医疗补助缴费、</w:t>
      </w:r>
      <w:r>
        <w:rPr>
          <w:rFonts w:hint="eastAsia" w:ascii="仿宋" w:hAnsi="仿宋" w:eastAsia="仿宋"/>
          <w:sz w:val="32"/>
          <w:szCs w:val="32"/>
        </w:rPr>
        <w:t>其他社会保障缴费、</w:t>
      </w:r>
      <w:r>
        <w:rPr>
          <w:rFonts w:hint="eastAsia" w:ascii="仿宋" w:hAnsi="仿宋" w:eastAsia="仿宋"/>
          <w:sz w:val="32"/>
          <w:szCs w:val="32"/>
          <w:lang w:val="en-US" w:eastAsia="zh-CN"/>
        </w:rPr>
        <w:t>住房公积金、医疗费、</w:t>
      </w:r>
      <w:r>
        <w:rPr>
          <w:rFonts w:hint="eastAsia" w:ascii="仿宋" w:hAnsi="仿宋" w:eastAsia="仿宋"/>
          <w:sz w:val="32"/>
          <w:szCs w:val="32"/>
        </w:rPr>
        <w:t>其他工资福利支出、</w:t>
      </w:r>
      <w:r>
        <w:rPr>
          <w:rFonts w:hint="eastAsia" w:ascii="仿宋" w:hAnsi="仿宋" w:eastAsia="仿宋"/>
          <w:sz w:val="32"/>
          <w:szCs w:val="32"/>
          <w:lang w:val="en-US" w:eastAsia="zh-CN"/>
        </w:rPr>
        <w:t>离休费、退休费、退职（役）费、抚恤金、</w:t>
      </w:r>
      <w:r>
        <w:rPr>
          <w:rFonts w:hint="eastAsia" w:ascii="仿宋" w:hAnsi="仿宋" w:eastAsia="仿宋"/>
          <w:sz w:val="32"/>
          <w:szCs w:val="32"/>
        </w:rPr>
        <w:t>生活补助、</w:t>
      </w:r>
      <w:r>
        <w:rPr>
          <w:rFonts w:hint="eastAsia" w:ascii="仿宋" w:hAnsi="仿宋" w:eastAsia="仿宋"/>
          <w:sz w:val="32"/>
          <w:szCs w:val="32"/>
          <w:lang w:val="en-US" w:eastAsia="zh-CN"/>
        </w:rPr>
        <w:t>救济费、医疗费补助、助学金、</w:t>
      </w:r>
      <w:r>
        <w:rPr>
          <w:rFonts w:hint="eastAsia" w:ascii="仿宋" w:hAnsi="仿宋" w:eastAsia="仿宋"/>
          <w:sz w:val="32"/>
          <w:szCs w:val="32"/>
        </w:rPr>
        <w:t>奖励金、</w:t>
      </w:r>
      <w:r>
        <w:rPr>
          <w:rFonts w:hint="eastAsia" w:ascii="仿宋" w:hAnsi="仿宋" w:eastAsia="仿宋"/>
          <w:sz w:val="32"/>
          <w:szCs w:val="32"/>
          <w:lang w:val="en-US" w:eastAsia="zh-CN"/>
        </w:rPr>
        <w:t>个人农业生产补贴、代缴社会保险费、</w:t>
      </w:r>
      <w:r>
        <w:rPr>
          <w:rFonts w:hint="eastAsia" w:ascii="仿宋" w:hAnsi="仿宋" w:eastAsia="仿宋"/>
          <w:sz w:val="32"/>
          <w:szCs w:val="32"/>
        </w:rPr>
        <w:t>其他对个人和家庭的补助支出。</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98.18</w:t>
      </w:r>
      <w:r>
        <w:rPr>
          <w:rFonts w:hint="eastAsia" w:ascii="仿宋" w:hAnsi="仿宋" w:eastAsia="仿宋"/>
          <w:sz w:val="32"/>
          <w:szCs w:val="32"/>
        </w:rPr>
        <w:t>万元，</w:t>
      </w:r>
      <w:r>
        <w:rPr>
          <w:rFonts w:hint="eastAsia" w:ascii="仿宋" w:hAnsi="仿宋" w:eastAsia="仿宋"/>
          <w:sz w:val="32"/>
          <w:szCs w:val="32"/>
          <w:highlight w:val="none"/>
        </w:rPr>
        <w:t>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33"/>
          <w:rFonts w:ascii="黑体" w:hAnsi="黑体" w:eastAsia="黑体"/>
          <w:b w:val="0"/>
        </w:rPr>
      </w:pPr>
      <w:bookmarkStart w:id="42" w:name="_Toc15377215"/>
      <w:bookmarkStart w:id="43" w:name="_Toc15396609"/>
      <w:r>
        <w:rPr>
          <w:rFonts w:hint="eastAsia" w:ascii="黑体" w:eastAsia="黑体"/>
          <w:sz w:val="32"/>
          <w:szCs w:val="32"/>
        </w:rPr>
        <w:t>七、</w:t>
      </w:r>
      <w:r>
        <w:rPr>
          <w:rStyle w:val="33"/>
          <w:rFonts w:hint="eastAsia" w:ascii="黑体" w:hAnsi="黑体" w:eastAsia="黑体"/>
          <w:b w:val="0"/>
        </w:rPr>
        <w:t>财政拨款</w:t>
      </w:r>
      <w:r>
        <w:rPr>
          <w:rStyle w:val="33"/>
          <w:rFonts w:hint="eastAsia" w:ascii="黑体" w:hAnsi="黑体" w:eastAsia="黑体"/>
        </w:rPr>
        <w:t>“</w:t>
      </w:r>
      <w:r>
        <w:rPr>
          <w:rStyle w:val="33"/>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4.50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val="en-US" w:eastAsia="zh-CN"/>
        </w:rPr>
        <w:t>减少3.16</w:t>
      </w:r>
      <w:r>
        <w:rPr>
          <w:rFonts w:hint="eastAsia" w:ascii="仿宋" w:hAnsi="仿宋" w:eastAsia="仿宋"/>
          <w:sz w:val="32"/>
          <w:szCs w:val="32"/>
        </w:rPr>
        <w:t>万元，</w:t>
      </w:r>
      <w:r>
        <w:rPr>
          <w:rFonts w:hint="eastAsia" w:ascii="仿宋" w:hAnsi="仿宋" w:eastAsia="仿宋"/>
          <w:sz w:val="32"/>
          <w:szCs w:val="32"/>
          <w:lang w:val="en-US" w:eastAsia="zh-CN"/>
        </w:rPr>
        <w:t>降低41.26</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4.50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ind w:left="1680" w:leftChars="400" w:hanging="840" w:hangingChars="400"/>
      </w:pPr>
      <w:r>
        <w:drawing>
          <wp:inline distT="0" distB="0" distL="114300" distR="114300">
            <wp:extent cx="4826000" cy="2743200"/>
            <wp:effectExtent l="4445" t="4445" r="8255" b="1460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ind w:left="1800" w:leftChars="400" w:hanging="960" w:hangingChars="400"/>
        <w:jc w:val="center"/>
        <w:rPr>
          <w:rFonts w:ascii="仿宋" w:hAnsi="仿宋" w:eastAsia="仿宋"/>
          <w:sz w:val="32"/>
          <w:szCs w:val="32"/>
        </w:rPr>
      </w:pPr>
      <w:r>
        <w:rPr>
          <w:rFonts w:hint="eastAsia" w:ascii="仿宋" w:hAnsi="仿宋" w:eastAsia="仿宋"/>
          <w:sz w:val="24"/>
          <w:szCs w:val="24"/>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4.5</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sz w:val="32"/>
          <w:szCs w:val="32"/>
          <w:lang w:val="en-US" w:eastAsia="zh-CN"/>
        </w:rPr>
        <w:t>减少3.16</w:t>
      </w:r>
      <w:r>
        <w:rPr>
          <w:rFonts w:hint="eastAsia" w:ascii="仿宋" w:hAnsi="仿宋" w:eastAsia="仿宋"/>
          <w:sz w:val="32"/>
          <w:szCs w:val="32"/>
        </w:rPr>
        <w:t>万元，</w:t>
      </w:r>
      <w:r>
        <w:rPr>
          <w:rFonts w:hint="eastAsia" w:ascii="仿宋" w:hAnsi="仿宋" w:eastAsia="仿宋"/>
          <w:sz w:val="32"/>
          <w:szCs w:val="32"/>
          <w:lang w:val="en-US" w:eastAsia="zh-CN"/>
        </w:rPr>
        <w:t>降低41.26</w:t>
      </w:r>
      <w:r>
        <w:rPr>
          <w:rFonts w:hint="eastAsia" w:ascii="仿宋" w:hAnsi="仿宋" w:eastAsia="仿宋"/>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4.5</w:t>
      </w:r>
      <w:r>
        <w:rPr>
          <w:rFonts w:hint="eastAsia" w:ascii="仿宋_GB2312" w:eastAsia="仿宋_GB2312"/>
          <w:sz w:val="32"/>
          <w:szCs w:val="32"/>
        </w:rPr>
        <w:t>万元，主要用于执行公务、开展业务活动开支住宿费、用餐费等。</w:t>
      </w:r>
      <w:r>
        <w:rPr>
          <w:rFonts w:hint="eastAsia" w:ascii="仿宋_GB2312" w:eastAsia="仿宋_GB2312"/>
          <w:sz w:val="32"/>
          <w:szCs w:val="32"/>
          <w:highlight w:val="none"/>
        </w:rPr>
        <w:t>国内公务接待</w:t>
      </w:r>
      <w:r>
        <w:rPr>
          <w:rFonts w:hint="eastAsia" w:ascii="仿宋_GB2312" w:eastAsia="仿宋_GB2312"/>
          <w:sz w:val="32"/>
          <w:szCs w:val="32"/>
          <w:highlight w:val="none"/>
          <w:lang w:val="en-US" w:eastAsia="zh-CN"/>
        </w:rPr>
        <w:t>151</w:t>
      </w:r>
      <w:r>
        <w:rPr>
          <w:rFonts w:hint="eastAsia" w:ascii="仿宋_GB2312" w:eastAsia="仿宋_GB2312"/>
          <w:sz w:val="32"/>
          <w:szCs w:val="32"/>
          <w:highlight w:val="none"/>
        </w:rPr>
        <w:t>批次，</w:t>
      </w:r>
      <w:r>
        <w:rPr>
          <w:rFonts w:hint="eastAsia" w:ascii="仿宋_GB2312" w:eastAsia="仿宋_GB2312"/>
          <w:sz w:val="32"/>
          <w:szCs w:val="32"/>
          <w:highlight w:val="none"/>
          <w:lang w:val="en-US" w:eastAsia="zh-CN"/>
        </w:rPr>
        <w:t>752</w:t>
      </w:r>
      <w:r>
        <w:rPr>
          <w:rFonts w:hint="eastAsia" w:ascii="仿宋_GB2312" w:eastAsia="仿宋_GB2312"/>
          <w:sz w:val="32"/>
          <w:szCs w:val="32"/>
          <w:highlight w:val="none"/>
        </w:rPr>
        <w:t>人次（不包括陪同人员），共</w:t>
      </w:r>
      <w:r>
        <w:rPr>
          <w:rFonts w:hint="eastAsia" w:ascii="仿宋_GB2312" w:eastAsia="仿宋_GB2312"/>
          <w:sz w:val="32"/>
          <w:szCs w:val="32"/>
        </w:rPr>
        <w:t>计支出</w:t>
      </w:r>
      <w:r>
        <w:rPr>
          <w:rFonts w:hint="eastAsia" w:ascii="仿宋_GB2312" w:eastAsia="仿宋_GB2312"/>
          <w:sz w:val="32"/>
          <w:szCs w:val="32"/>
          <w:lang w:val="en-US" w:eastAsia="zh-CN"/>
        </w:rPr>
        <w:t>4.5</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4.5万元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33"/>
          <w:rFonts w:ascii="黑体" w:hAnsi="黑体" w:eastAsia="黑体"/>
        </w:rPr>
      </w:pPr>
      <w:r>
        <w:rPr>
          <w:rFonts w:hint="eastAsia" w:ascii="黑体" w:eastAsia="黑体"/>
          <w:sz w:val="32"/>
          <w:szCs w:val="32"/>
        </w:rPr>
        <w:t>八、</w:t>
      </w:r>
      <w:r>
        <w:rPr>
          <w:rStyle w:val="33"/>
          <w:rFonts w:hint="eastAsia" w:ascii="黑体" w:hAnsi="黑体" w:eastAsia="黑体"/>
          <w:b w:val="0"/>
        </w:rPr>
        <w:t>政府性基金预算支出决算情况说明</w:t>
      </w:r>
      <w:bookmarkEnd w:id="46"/>
      <w:bookmarkEnd w:id="47"/>
    </w:p>
    <w:p>
      <w:pPr>
        <w:spacing w:line="600" w:lineRule="exact"/>
        <w:ind w:firstLine="64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2.65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完成预算100%，较2021年增加2.65万元，用于污水处理设施建设和经营。</w:t>
      </w:r>
    </w:p>
    <w:p>
      <w:pPr>
        <w:spacing w:line="600" w:lineRule="exact"/>
        <w:rPr>
          <w:rFonts w:ascii="仿宋_GB2312" w:eastAsia="仿宋_GB2312"/>
          <w:sz w:val="32"/>
          <w:szCs w:val="32"/>
        </w:rPr>
      </w:pPr>
    </w:p>
    <w:p>
      <w:pPr>
        <w:numPr>
          <w:ilvl w:val="0"/>
          <w:numId w:val="2"/>
        </w:numPr>
        <w:spacing w:line="600" w:lineRule="exact"/>
        <w:ind w:firstLine="640"/>
        <w:outlineLvl w:val="1"/>
        <w:rPr>
          <w:rStyle w:val="33"/>
          <w:rFonts w:ascii="黑体" w:hAnsi="黑体" w:eastAsia="黑体"/>
          <w:b w:val="0"/>
        </w:rPr>
      </w:pPr>
      <w:bookmarkStart w:id="48" w:name="_Toc15396611"/>
      <w:bookmarkStart w:id="49" w:name="_Toc15377219"/>
      <w:r>
        <w:rPr>
          <w:rStyle w:val="33"/>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3"/>
          <w:rFonts w:ascii="黑体" w:hAnsi="黑体" w:eastAsia="黑体"/>
          <w:b w:val="0"/>
        </w:rPr>
      </w:pPr>
      <w:bookmarkStart w:id="50" w:name="_Toc15377221"/>
      <w:bookmarkStart w:id="51" w:name="_Toc15396612"/>
      <w:r>
        <w:rPr>
          <w:rStyle w:val="33"/>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highlight w:val="none"/>
        </w:rPr>
      </w:pPr>
      <w:bookmarkStart w:id="52" w:name="_Toc15377222"/>
      <w:r>
        <w:rPr>
          <w:rFonts w:hint="eastAsia" w:ascii="仿宋" w:hAnsi="仿宋" w:eastAsia="仿宋"/>
          <w:b/>
          <w:sz w:val="32"/>
          <w:szCs w:val="32"/>
          <w:highlight w:val="none"/>
        </w:rPr>
        <w:t>（一）机关运行经费支出情况</w:t>
      </w:r>
      <w:bookmarkEnd w:id="52"/>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剑阁县龙源镇人民政府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423.25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增加21.67</w:t>
      </w:r>
      <w:r>
        <w:rPr>
          <w:rFonts w:hint="eastAsia" w:ascii="仿宋_GB2312" w:eastAsia="仿宋_GB2312"/>
          <w:sz w:val="32"/>
          <w:szCs w:val="32"/>
        </w:rPr>
        <w:t>万元，</w:t>
      </w:r>
      <w:r>
        <w:rPr>
          <w:rFonts w:hint="eastAsia" w:ascii="仿宋_GB2312" w:eastAsia="仿宋_GB2312"/>
          <w:sz w:val="32"/>
          <w:szCs w:val="32"/>
          <w:lang w:val="en-US" w:eastAsia="zh-CN"/>
        </w:rPr>
        <w:t>提高5.4</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人员增加，机关运行经费增加。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剑阁县龙源镇人民政府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剑阁县龙源镇人民政府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w:t>
      </w:r>
      <w:r>
        <w:rPr>
          <w:rFonts w:hint="eastAsia" w:ascii="仿宋_GB2312" w:hAnsi="仿宋_GB2312" w:eastAsia="仿宋_GB2312" w:cs="仿宋_GB2312"/>
          <w:sz w:val="32"/>
          <w:szCs w:val="32"/>
          <w:highlight w:val="none"/>
          <w:lang w:val="en-US" w:eastAsia="zh-CN"/>
        </w:rPr>
        <w:t>预算以及资本资产、债券资金等全面开展绩效自评，形成剑阁县龙源镇人民政府部门整体（含部门预算项目）绩效自评报告、新街口道路抢修工程</w:t>
      </w:r>
      <w:r>
        <w:rPr>
          <w:rFonts w:hint="eastAsia" w:ascii="仿宋_GB2312" w:hAnsi="仿宋_GB2312" w:eastAsia="仿宋_GB2312" w:cs="仿宋_GB2312"/>
          <w:sz w:val="32"/>
          <w:szCs w:val="32"/>
          <w:highlight w:val="none"/>
          <w:lang w:val="zh-CN" w:eastAsia="zh-CN"/>
        </w:rPr>
        <w:t>（化解隐性债务）项目</w:t>
      </w:r>
      <w:r>
        <w:rPr>
          <w:rFonts w:hint="eastAsia" w:ascii="仿宋_GB2312" w:hAnsi="仿宋_GB2312" w:eastAsia="仿宋_GB2312" w:cs="仿宋_GB2312"/>
          <w:sz w:val="32"/>
          <w:szCs w:val="32"/>
          <w:highlight w:val="none"/>
          <w:lang w:val="en-US" w:eastAsia="zh-CN"/>
        </w:rPr>
        <w:t>等专项预算项目绩效自评报告，其中，剑阁县龙源镇人民政部门整体（含部门预算项目）绩效自评得分为95分，绩效自评综述：我镇预算安排的基本支出保障了正常的工作运转，在预算执行上是严格遵守各项财经纪律的；在资金的管理和使用上，严守法律底线、纪律底线、道德底线。新街口道路抢修工程</w:t>
      </w:r>
      <w:r>
        <w:rPr>
          <w:rFonts w:hint="eastAsia" w:ascii="仿宋_GB2312" w:hAnsi="仿宋_GB2312" w:eastAsia="仿宋_GB2312" w:cs="仿宋_GB2312"/>
          <w:sz w:val="32"/>
          <w:szCs w:val="32"/>
          <w:highlight w:val="none"/>
          <w:lang w:val="zh-CN" w:eastAsia="zh-CN"/>
        </w:rPr>
        <w:t>（化解隐性债务）</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专项预算项目绩效自评得分为90分，绩效自评综述：通过预算执行全过程绩效监控，保障了债务化解工作的有效进行。绩效自评报告详见附件。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2"/>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32"/>
          <w:rFonts w:hint="eastAsia" w:ascii="黑体" w:hAnsi="黑体" w:eastAsia="黑体"/>
          <w:b w:val="0"/>
        </w:rPr>
        <w:t>词解释</w:t>
      </w:r>
      <w:bookmarkEnd w:id="55"/>
      <w:bookmarkEnd w:id="56"/>
    </w:p>
    <w:p>
      <w:pPr>
        <w:spacing w:line="600" w:lineRule="exact"/>
        <w:jc w:val="left"/>
        <w:rPr>
          <w:rFonts w:ascii="宋体"/>
          <w:b/>
          <w:sz w:val="44"/>
          <w:szCs w:val="44"/>
        </w:rPr>
      </w:pP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（一）一般公共预算拨款收入：指县级财政当年拨付的资金。</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（二）一般公共服务（类）人大事务（款）人大会议（项）：指反映各级人大召开人民代表大会等专门会议的支出。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（三）一般公共服务（类）人大事务（款）代表工作（项）：指反映人大代表开展各类视察等方面的支出。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（四）一般公共服务（类）人大事务（款）其他人大事务（项）：指除上述项目以外的其他人大事务支出。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（五）一般公共服务（类）政府办公厅（室）及相关机构事务（款）行政运行（项）：指反映行政单位（包括实行公务员管理的事业单位）的基本支出。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（六）一般公共服务（类）政府办公厅（室）及相关机构事务（款）一般行政管理事务（项）：指反映行政单位（包括实行公务员管理的事业单位）未单独设置项级科目的其他项目支出。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（七）一般公共服务（类）政府办公厅（室）及相关机构事务（款）信访事务（项）：指反映各级政府用于接待群众来信来访方面的支出。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（八）一般公共服务（类）政府办公厅（室）及相关机构事务（款）事业运行（项）：指反映事业单位的基本支出，不包括行政单位（包括实行公务员管理的事业单位）后勤服务中心、医务室等附属事业单位。</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（九）一般公共服务（类）纪检监察事务（款）一般行政管理事务（项）：指反映行政单位（包括实行公务员管理的事业单位）未单独设置项级科目的其他项目支出。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（十）一般公共服务（类）纪检监察事务（款）其他纪检监察事务支出项）：指反映除上述项目以外其他纪检监察事务方面的支出。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（十一）一般公共服务（类）党委办公厅（室）及相关机构事务（款）一般行政管理事务（项）：指反映行政单位（包括实行公务员管理的事业单位）未单独设置项级科目的其他项目支出。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（十二）国防（类）国防动员（款）兵役征集（项）：指反映用于兵役征集等方面的支出。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（十三）文化旅游体育与传媒（类）文化和旅游（款）群众文化（项）：指反映群众文化方面的支出，包括基层文化馆（站）、群众艺术馆支出等。</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（十四）文化旅游体育与传媒（类）文化和旅游（款）文化和旅游管理事务（项）：指反映文化和旅游管理事务支出。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五）社会保障和就业（类）民政管理事务（款）基层政权建设和社区治理（项）：指反映开展城乡社区治理、城乡社区服务（乡村便民服务）、村（居）民自治、村（居）务公开、乡镇（街道）服务能力建设等基层政权建设和社区治理工作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（十六）社会保障和就业（类）行政事业单位离退休（款）机关事业单位基本养老保险缴费支出（项）：指部门实施养老保险制度由单位缴纳的养老保险费的支出。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（十七）卫生健康支出（类）行政事业单位医疗（款）行政单位医疗（项）：指局机关及参公管理事业单位用于缴纳单位基本医疗保险支出。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（十八）卫生健康支出（类）行政事业单位医疗（款）事业单位医疗（项）：指事业单位用于缴纳单位基本医疗保险支出。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（十九）城乡社区（类）城乡社区规划和管理（款）城乡社区环境卫生（项）：反映城乡社区道路清扫、垃圾清运与处理、公厕建设与维护、园林绿化等方面的支出。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（二十）农林水（类）农业农村（款）事业运行（项）：反映用于农业事业单位基本支出，事业单位设施、系统运行与资产维护等方面的支出。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（二十一）农林水（类）农业农村（款）防灾减灾（项）：反映对农业生产因遭受自然、生物灾害损失给予的补助，促进农业防灾增产措施补助，海难救助补助，因其他灾害导致农牧渔业生产者损失给予的补贴。</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（二十二）农林水（类）林业和草原（款）林业草原防灾减灾（项）：反映用于病虫害等有害生物灾害、森林草原防火、野生动物疫病灾害等方面的支出。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（二十三）农林水（类）</w:t>
      </w:r>
      <w:r>
        <w:rPr>
          <w:rFonts w:hint="eastAsia" w:ascii="仿宋_GB2312" w:hAnsi="仿宋_GB2312" w:eastAsia="仿宋_GB2312" w:cs="仿宋_GB2312"/>
          <w:kern w:val="2"/>
          <w:sz w:val="32"/>
          <w:szCs w:val="32"/>
          <w:lang w:val="en-US" w:eastAsia="zh-CN" w:bidi="ar-SA"/>
        </w:rPr>
        <w:t>巩固拓展脱贫攻坚成果同乡村振兴有效衔接</w:t>
      </w:r>
      <w:r>
        <w:rPr>
          <w:rFonts w:hint="eastAsia" w:ascii="仿宋" w:hAnsi="仿宋" w:eastAsia="仿宋" w:cs="仿宋"/>
          <w:b w:val="0"/>
          <w:bCs/>
          <w:sz w:val="32"/>
          <w:szCs w:val="32"/>
          <w:lang w:val="en-US" w:eastAsia="zh-CN"/>
        </w:rPr>
        <w:t>（款）生产发展（项）：反映用于巩固拓展脱贫攻坚成果同乡村振兴有效衔接产业发展方面的支出。</w:t>
      </w:r>
    </w:p>
    <w:p>
      <w:pPr>
        <w:pStyle w:val="10"/>
        <w:numPr>
          <w:ilvl w:val="0"/>
          <w:numId w:val="0"/>
        </w:numPr>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（二十四）农林水（类）</w:t>
      </w:r>
      <w:r>
        <w:rPr>
          <w:rFonts w:hint="eastAsia" w:ascii="仿宋_GB2312" w:hAnsi="仿宋_GB2312" w:eastAsia="仿宋_GB2312" w:cs="仿宋_GB2312"/>
          <w:kern w:val="2"/>
          <w:sz w:val="32"/>
          <w:szCs w:val="32"/>
          <w:lang w:val="en-US" w:eastAsia="zh-CN" w:bidi="ar-SA"/>
        </w:rPr>
        <w:t>巩固拓展脱贫攻坚成果同乡村振兴有效衔接</w:t>
      </w:r>
      <w:r>
        <w:rPr>
          <w:rFonts w:hint="eastAsia" w:ascii="仿宋" w:hAnsi="仿宋" w:eastAsia="仿宋" w:cs="仿宋"/>
          <w:b w:val="0"/>
          <w:bCs/>
          <w:sz w:val="32"/>
          <w:szCs w:val="32"/>
          <w:lang w:val="en-US" w:eastAsia="zh-CN"/>
        </w:rPr>
        <w:t>（款）其他</w:t>
      </w:r>
      <w:r>
        <w:rPr>
          <w:rFonts w:hint="eastAsia" w:ascii="仿宋_GB2312" w:hAnsi="仿宋_GB2312" w:eastAsia="仿宋_GB2312" w:cs="仿宋_GB2312"/>
          <w:kern w:val="2"/>
          <w:sz w:val="32"/>
          <w:szCs w:val="32"/>
          <w:lang w:val="en-US" w:eastAsia="zh-CN" w:bidi="ar-SA"/>
        </w:rPr>
        <w:t>巩固拓展脱贫攻坚成果同乡村振兴有效衔接</w:t>
      </w:r>
      <w:r>
        <w:rPr>
          <w:rFonts w:hint="eastAsia" w:ascii="仿宋" w:hAnsi="仿宋" w:eastAsia="仿宋" w:cs="仿宋"/>
          <w:b w:val="0"/>
          <w:bCs/>
          <w:sz w:val="32"/>
          <w:szCs w:val="32"/>
          <w:lang w:val="en-US" w:eastAsia="zh-CN"/>
        </w:rPr>
        <w:t>支出（项）：反映除上述项目以外其他用于巩固拓展脱贫攻坚成果同乡村振兴有效衔接方面的支出。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（二十五）农林水（类）农村综合改革（款）对村民委员会和村党支部的补助（项）：反映各级财政对村民委员会和村党支部的补助支出，以及支持建立县级基本财力保障机制安排的村级组织运转奖补资金。</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（二十六）农林水（类）农村综合改革（款）其他农村综合改革支出（项）：反映除上述项目以外其他用于农村综合改革方面的支出。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（二十七）住房保障（类）住房改革支出（款）住房公积金（项）：指按照《住房公积金管理条例》的规定，由单位及其在职职工缴存的长期住房储金。</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（二十八）灾害防治及应急管理支出（类）应急管理事务（款）应急管理（项）：反映用于应急管理的法律法规修订制定，应急预案演练、协调保障等方面的支出。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（二十九）基本支出：指为保证机构正常运转，完成日常工作任务而发生的人员支出和公用支出。</w:t>
      </w:r>
    </w:p>
    <w:p>
      <w:pPr>
        <w:pStyle w:val="10"/>
        <w:numPr>
          <w:ilvl w:val="0"/>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（三十）项目支出：指在基本支出之外为完成特定行政任务和事业发展目标所发生的支出。</w:t>
      </w:r>
    </w:p>
    <w:p>
      <w:pPr>
        <w:pStyle w:val="10"/>
        <w:numPr>
          <w:ilvl w:val="0"/>
          <w:numId w:val="0"/>
        </w:numPr>
        <w:ind w:firstLine="640" w:firstLineChars="200"/>
        <w:rPr>
          <w:rFonts w:hint="eastAsia" w:ascii="仿宋" w:hAnsi="仿宋" w:eastAsia="仿宋" w:cs="仿宋"/>
          <w:sz w:val="32"/>
          <w:szCs w:val="32"/>
        </w:rPr>
      </w:pPr>
      <w:r>
        <w:rPr>
          <w:rFonts w:hint="eastAsia" w:ascii="仿宋" w:hAnsi="仿宋" w:eastAsia="仿宋" w:cs="仿宋"/>
          <w:b w:val="0"/>
          <w:bCs/>
          <w:sz w:val="32"/>
          <w:szCs w:val="32"/>
          <w:lang w:val="en-US" w:eastAsia="zh-CN"/>
        </w:rPr>
        <w:t>（三十一）“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32"/>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2"/>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eastAsia="zh-CN"/>
        </w:rPr>
        <w:t>龙源</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highlight w:val="none"/>
          <w:shd w:val="clear" w:color="auto" w:fill="auto"/>
          <w:lang w:val="zh-CN"/>
        </w:rPr>
      </w:pPr>
      <w:r>
        <w:rPr>
          <w:rFonts w:hint="eastAsia" w:ascii="仿宋_GB2312" w:hAnsi="仿宋_GB2312" w:eastAsia="仿宋_GB2312" w:cs="仿宋_GB2312"/>
          <w:color w:val="000000"/>
          <w:sz w:val="32"/>
          <w:szCs w:val="32"/>
          <w:highlight w:val="none"/>
          <w:shd w:val="clear" w:color="auto" w:fill="auto"/>
          <w:lang w:eastAsia="zh-CN"/>
        </w:rPr>
        <w:t>龙源镇</w:t>
      </w:r>
      <w:r>
        <w:rPr>
          <w:rFonts w:hint="eastAsia" w:ascii="仿宋_GB2312" w:hAnsi="仿宋_GB2312" w:eastAsia="仿宋_GB2312" w:cs="仿宋_GB2312"/>
          <w:color w:val="000000"/>
          <w:sz w:val="32"/>
          <w:szCs w:val="32"/>
          <w:highlight w:val="none"/>
          <w:shd w:val="clear" w:color="auto" w:fill="auto"/>
        </w:rPr>
        <w:t>内设党政综合办事机构六办一所和镇直属事业机构四中心。</w:t>
      </w:r>
      <w:r>
        <w:rPr>
          <w:rFonts w:hint="eastAsia" w:ascii="楷体" w:hAnsi="楷体" w:eastAsia="楷体" w:cs="楷体"/>
          <w:b/>
          <w:bCs/>
          <w:color w:val="000000"/>
          <w:sz w:val="32"/>
          <w:szCs w:val="32"/>
          <w:highlight w:val="none"/>
          <w:shd w:val="clear" w:color="auto" w:fill="auto"/>
        </w:rPr>
        <w:t>六办一所：</w:t>
      </w:r>
      <w:r>
        <w:rPr>
          <w:rFonts w:hint="eastAsia" w:ascii="仿宋_GB2312" w:hAnsi="仿宋_GB2312" w:eastAsia="仿宋_GB2312" w:cs="仿宋_GB2312"/>
          <w:color w:val="000000"/>
          <w:sz w:val="32"/>
          <w:szCs w:val="32"/>
          <w:highlight w:val="none"/>
          <w:shd w:val="clear" w:color="auto" w:fill="auto"/>
        </w:rPr>
        <w:t>党政综合与乡村振兴办公室（农业农村办公室）、党建工作办公室、综合行政执法办公室（应急办公室）、社会事务办公室、经济发展办公室（生态环境保护办公室）、社会治理办公室（信访和群众工作办公室）和财政所。</w:t>
      </w:r>
      <w:r>
        <w:rPr>
          <w:rFonts w:hint="eastAsia" w:ascii="楷体" w:hAnsi="楷体" w:eastAsia="楷体" w:cs="楷体"/>
          <w:b/>
          <w:bCs/>
          <w:color w:val="000000"/>
          <w:sz w:val="32"/>
          <w:szCs w:val="32"/>
          <w:highlight w:val="none"/>
          <w:shd w:val="clear" w:color="auto" w:fill="auto"/>
        </w:rPr>
        <w:t>四中心：</w:t>
      </w:r>
      <w:r>
        <w:rPr>
          <w:rFonts w:hint="eastAsia" w:ascii="仿宋_GB2312" w:hAnsi="仿宋_GB2312" w:eastAsia="仿宋_GB2312" w:cs="仿宋_GB2312"/>
          <w:color w:val="000000"/>
          <w:sz w:val="32"/>
          <w:szCs w:val="32"/>
          <w:highlight w:val="none"/>
          <w:shd w:val="clear" w:color="auto" w:fill="auto"/>
        </w:rPr>
        <w:t>便民服务中心（退役军人服务站）、农业综合服务中心（畜牧兽医站、林业工作站、水利服务站）、乡村建设和文化服务中心、农民工服务中心（社会治安综合治理中心、人力资源和社会保障服务所）。</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highlight w:val="none"/>
          <w:shd w:val="clear" w:color="auto" w:fill="auto"/>
          <w:lang w:val="zh-CN"/>
        </w:rPr>
      </w:pPr>
      <w:r>
        <w:rPr>
          <w:rFonts w:hint="eastAsia" w:ascii="仿宋" w:hAnsi="仿宋" w:eastAsia="仿宋" w:cs="仿宋"/>
          <w:color w:val="000000"/>
          <w:kern w:val="0"/>
          <w:sz w:val="32"/>
          <w:szCs w:val="32"/>
          <w:highlight w:val="none"/>
          <w:shd w:val="clear" w:color="auto" w:fill="auto"/>
          <w:lang w:val="zh-CN"/>
        </w:rPr>
        <w:t>机构职能。</w:t>
      </w:r>
    </w:p>
    <w:p>
      <w:pPr>
        <w:spacing w:line="560" w:lineRule="exact"/>
        <w:ind w:left="0" w:leftChars="0"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1.党政综合与乡村振兴办公室（农业农村办公室）：</w:t>
      </w:r>
    </w:p>
    <w:p>
      <w:pPr>
        <w:spacing w:line="560" w:lineRule="exact"/>
        <w:ind w:left="0" w:leftChars="0"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招商引资规划并组织实施；负责项目规划的编制、申报、实施、建设等相关工作；完成党委、政府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2.</w:t>
      </w:r>
      <w:r>
        <w:rPr>
          <w:rFonts w:hint="eastAsia" w:ascii="仿宋_GB2312" w:hAnsi="仿宋_GB2312" w:eastAsia="仿宋_GB2312" w:cs="仿宋_GB2312"/>
          <w:b/>
          <w:bCs/>
          <w:color w:val="000000"/>
          <w:sz w:val="32"/>
          <w:szCs w:val="32"/>
          <w:shd w:val="clear" w:color="auto" w:fill="FFFFFF"/>
        </w:rPr>
        <w:t>党建工作办公室</w:t>
      </w:r>
      <w:r>
        <w:rPr>
          <w:rFonts w:hint="eastAsia" w:ascii="仿宋_GB2312" w:hAnsi="仿宋_GB2312" w:eastAsia="仿宋_GB2312" w:cs="仿宋_GB2312"/>
          <w:color w:val="000000"/>
          <w:sz w:val="32"/>
          <w:szCs w:val="32"/>
          <w:shd w:val="clear" w:color="auto" w:fill="FFFFFF"/>
        </w:rPr>
        <w:t>：负责基层党组织建设工作，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numPr>
          <w:ilvl w:val="0"/>
          <w:numId w:val="0"/>
        </w:numPr>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3.综合行政执法办公室（应急办公室）：</w:t>
      </w:r>
      <w:r>
        <w:rPr>
          <w:rFonts w:hint="eastAsia" w:ascii="仿宋_GB2312" w:hAnsi="仿宋_GB2312" w:eastAsia="仿宋_GB2312" w:cs="仿宋_GB2312"/>
          <w:color w:val="000000"/>
          <w:sz w:val="32"/>
          <w:szCs w:val="32"/>
          <w:shd w:val="clear" w:color="auto" w:fill="FFFFFF"/>
        </w:rPr>
        <w:t>负责统筹协调、监督管理辖区内综合行政执法相关工作，并对综合行政执法人员行使职权情况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4.社会事务办公室：</w:t>
      </w:r>
      <w:r>
        <w:rPr>
          <w:rFonts w:hint="eastAsia" w:ascii="仿宋_GB2312" w:hAnsi="仿宋_GB2312" w:eastAsia="仿宋_GB2312" w:cs="仿宋_GB2312"/>
          <w:color w:val="000000"/>
          <w:sz w:val="32"/>
          <w:szCs w:val="32"/>
          <w:shd w:val="clear" w:color="auto" w:fill="FFFFFF"/>
        </w:rPr>
        <w:t>负责教育、科学技术、卫生健康、职业健康、老龄、人力资源和社会保障、医疗保障、民政、文化、旅游、体育、广播电视、人民防空、退役军人、残疾人事业等领导的管理、指导和监督；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5.经济发展办公室（生态环境保护办公室）：</w:t>
      </w:r>
      <w:r>
        <w:rPr>
          <w:rFonts w:hint="eastAsia" w:ascii="仿宋_GB2312" w:hAnsi="仿宋_GB2312" w:eastAsia="仿宋_GB2312" w:cs="仿宋_GB2312"/>
          <w:color w:val="000000"/>
          <w:sz w:val="32"/>
          <w:szCs w:val="32"/>
          <w:shd w:val="clear" w:color="auto" w:fill="FFFFFF"/>
        </w:rPr>
        <w:t>负责辖区经济发展、扶贫开发、生态环境保护等工作；负责工业经济、科技通信、能源管理、民营经济、文旅经济、商务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6.社会治理办公室（信访和群众工作办公室）：</w:t>
      </w:r>
      <w:r>
        <w:rPr>
          <w:rFonts w:hint="eastAsia" w:ascii="仿宋_GB2312" w:hAnsi="仿宋_GB2312" w:eastAsia="仿宋_GB2312" w:cs="仿宋_GB2312"/>
          <w:color w:val="000000"/>
          <w:sz w:val="32"/>
          <w:szCs w:val="32"/>
          <w:shd w:val="clear" w:color="auto" w:fill="FFFFFF"/>
        </w:rPr>
        <w:t>负责辖区城乡基层治理体系构建以及基层社会治理效能提升等相关工作；负责综合治理、深化改革、依法治镇、矛盾纠纷调解、信访维稳、扫黄打非、防邪等工作；负责流动人口管理；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7.财政所：</w:t>
      </w:r>
      <w:r>
        <w:rPr>
          <w:rFonts w:hint="eastAsia" w:ascii="仿宋_GB2312" w:hAnsi="仿宋_GB2312" w:eastAsia="仿宋_GB2312" w:cs="仿宋_GB2312"/>
          <w:color w:val="000000"/>
          <w:sz w:val="32"/>
          <w:szCs w:val="32"/>
          <w:shd w:val="clear" w:color="auto" w:fill="FFFFFF"/>
        </w:rPr>
        <w:t>负责编制和执行本级预算、决算；负责财政资金和国有资产的管理和监督；负责集体资产和村级财务的管理、指导；负责内部审计工作；完成党委、政府交办的其他工作。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8</w:t>
      </w:r>
      <w:r>
        <w:rPr>
          <w:rFonts w:hint="eastAsia" w:ascii="仿宋_GB2312" w:hAnsi="仿宋_GB2312" w:eastAsia="仿宋_GB2312" w:cs="仿宋_GB2312"/>
          <w:b/>
          <w:bCs/>
          <w:color w:val="000000"/>
          <w:sz w:val="32"/>
          <w:szCs w:val="32"/>
          <w:shd w:val="clear" w:color="auto" w:fill="FFFFFF"/>
        </w:rPr>
        <w:t>.便民服务中心（退役军人服务站）：</w:t>
      </w:r>
      <w:r>
        <w:rPr>
          <w:rFonts w:hint="eastAsia" w:ascii="仿宋_GB2312" w:hAnsi="仿宋_GB2312" w:eastAsia="仿宋_GB2312" w:cs="仿宋_GB2312"/>
          <w:color w:val="000000"/>
          <w:sz w:val="32"/>
          <w:szCs w:val="32"/>
          <w:shd w:val="clear" w:color="auto" w:fill="FFFFFF"/>
        </w:rPr>
        <w:t>负责集中受理涉及经济发展、公共管理以及与群众密切相关的政务服务、公共服务、便民服务事项；负责教育、卫生健康、救灾救济、退役军人、残疾人事业等各类社会事务的服务性工作；负责辖区内居民医疗保险参保、缴费、医疗救助等相关事务性工作；负责便民服务中心各窗口的日常运行管理，指导村（社区）便民服务站工作；完成党委、政府和上级业务主管部门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9</w:t>
      </w:r>
      <w:r>
        <w:rPr>
          <w:rFonts w:hint="eastAsia" w:ascii="仿宋_GB2312" w:hAnsi="仿宋_GB2312" w:eastAsia="仿宋_GB2312" w:cs="仿宋_GB2312"/>
          <w:b/>
          <w:bCs/>
          <w:color w:val="000000"/>
          <w:sz w:val="32"/>
          <w:szCs w:val="32"/>
          <w:shd w:val="clear" w:color="auto" w:fill="FFFFFF"/>
        </w:rPr>
        <w:t>.农业综合服务中心（畜牧兽医站、林业工作站、水利服务站）：</w:t>
      </w:r>
      <w:r>
        <w:rPr>
          <w:rFonts w:hint="eastAsia" w:ascii="仿宋_GB2312" w:hAnsi="仿宋_GB2312" w:eastAsia="仿宋_GB2312" w:cs="仿宋_GB2312"/>
          <w:color w:val="000000"/>
          <w:sz w:val="32"/>
          <w:szCs w:val="32"/>
          <w:shd w:val="clear" w:color="auto" w:fill="FFFFFF"/>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w:t>
      </w:r>
      <w:r>
        <w:rPr>
          <w:rFonts w:hint="eastAsia" w:ascii="仿宋_GB2312" w:hAnsi="仿宋_GB2312" w:eastAsia="仿宋_GB2312" w:cs="仿宋_GB2312"/>
          <w:color w:val="000000"/>
          <w:sz w:val="32"/>
          <w:szCs w:val="32"/>
          <w:shd w:val="clear" w:color="auto" w:fill="FFFFFF"/>
          <w:lang w:eastAsia="zh-CN"/>
        </w:rPr>
        <w:t>监测</w:t>
      </w:r>
      <w:r>
        <w:rPr>
          <w:rFonts w:hint="eastAsia" w:ascii="仿宋_GB2312" w:hAnsi="仿宋_GB2312" w:eastAsia="仿宋_GB2312" w:cs="仿宋_GB2312"/>
          <w:color w:val="000000"/>
          <w:sz w:val="32"/>
          <w:szCs w:val="32"/>
          <w:shd w:val="clear" w:color="auto" w:fill="FFFFFF"/>
        </w:rPr>
        <w:t>预警等相关事务性工作；完成党委、政府和上级业务主管部门交办的其他工作。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10</w:t>
      </w:r>
      <w:r>
        <w:rPr>
          <w:rFonts w:hint="eastAsia" w:ascii="仿宋_GB2312" w:hAnsi="仿宋_GB2312" w:eastAsia="仿宋_GB2312" w:cs="仿宋_GB2312"/>
          <w:b/>
          <w:bCs/>
          <w:color w:val="000000"/>
          <w:sz w:val="32"/>
          <w:szCs w:val="32"/>
          <w:shd w:val="clear" w:color="auto" w:fill="FFFFFF"/>
        </w:rPr>
        <w:t>.乡村建设和文化服务中心：</w:t>
      </w:r>
      <w:r>
        <w:rPr>
          <w:rFonts w:hint="eastAsia" w:ascii="仿宋_GB2312" w:hAnsi="仿宋_GB2312" w:eastAsia="仿宋_GB2312" w:cs="仿宋_GB2312"/>
          <w:color w:val="000000"/>
          <w:sz w:val="32"/>
          <w:szCs w:val="32"/>
          <w:shd w:val="clear" w:color="auto" w:fill="FFFFFF"/>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lang w:val="zh-CN"/>
        </w:rPr>
      </w:pPr>
      <w:r>
        <w:rPr>
          <w:rFonts w:hint="eastAsia" w:ascii="仿宋_GB2312" w:hAnsi="仿宋_GB2312" w:eastAsia="仿宋_GB2312" w:cs="仿宋_GB2312"/>
          <w:b/>
          <w:bCs/>
          <w:color w:val="000000"/>
          <w:sz w:val="32"/>
          <w:szCs w:val="32"/>
          <w:shd w:val="clear" w:color="auto" w:fill="FFFFFF"/>
          <w:lang w:val="en-US" w:eastAsia="zh-CN"/>
        </w:rPr>
        <w:t>11</w:t>
      </w:r>
      <w:r>
        <w:rPr>
          <w:rFonts w:hint="eastAsia" w:ascii="仿宋_GB2312" w:hAnsi="仿宋_GB2312" w:eastAsia="仿宋_GB2312" w:cs="仿宋_GB2312"/>
          <w:b/>
          <w:bCs/>
          <w:color w:val="000000"/>
          <w:sz w:val="32"/>
          <w:szCs w:val="32"/>
          <w:shd w:val="clear" w:color="auto" w:fill="FFFFFF"/>
        </w:rPr>
        <w:t>.农民工服务中心（社会治安综合治理中心、人力资源和社会保障服务所）：</w:t>
      </w:r>
      <w:r>
        <w:rPr>
          <w:rFonts w:hint="eastAsia" w:ascii="仿宋_GB2312" w:hAnsi="仿宋_GB2312" w:eastAsia="仿宋_GB2312" w:cs="仿宋_GB2312"/>
          <w:color w:val="000000"/>
          <w:sz w:val="32"/>
          <w:szCs w:val="32"/>
          <w:shd w:val="clear" w:color="auto" w:fill="FFFFFF"/>
        </w:rPr>
        <w:t>负责农民工输出、培训、维权、回引及返乡创业等服务性工作；负责社会治安综合治理、矛盾纠纷调解、信访维稳、安全生产、应急管理等事务性工作；负责就业、社会保障等服务性工作；完成党委、政府和上级业务主管部门交办的其他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hAnsi="宋体" w:cs="宋体"/>
          <w:kern w:val="0"/>
          <w:sz w:val="32"/>
          <w:szCs w:val="32"/>
          <w:highlight w:val="none"/>
          <w:shd w:val="clear" w:color="auto" w:fill="FFFFFF"/>
          <w:lang w:val="en-US" w:eastAsia="zh-CN"/>
        </w:rPr>
      </w:pPr>
      <w:r>
        <w:rPr>
          <w:rFonts w:hint="eastAsia" w:hAnsi="宋体" w:cs="宋体"/>
          <w:kern w:val="0"/>
          <w:sz w:val="32"/>
          <w:szCs w:val="32"/>
          <w:highlight w:val="none"/>
          <w:shd w:val="clear" w:color="auto" w:fill="FFFFFF"/>
          <w:lang w:val="en-US" w:eastAsia="zh-CN"/>
        </w:rPr>
        <w:t>2022年总编制数64名，其中行政编制数28名，行政工勤编制2名，事业编制数34名。2022年年末预算实有在职人员70名，其中行政编制26名，事业编制43名，行政工勤1名。</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2022年龙源镇人民政府收入总额为1363.03万元，其中：一般公共预算财政拨款收入1360.38万元。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spacing w:line="600" w:lineRule="exact"/>
        <w:ind w:firstLine="640"/>
        <w:rPr>
          <w:rFonts w:hint="eastAsia" w:ascii="仿宋_GB2312" w:hAnsi="仿宋" w:eastAsia="仿宋_GB2312"/>
          <w:sz w:val="32"/>
          <w:szCs w:val="32"/>
          <w:highlight w:val="none"/>
        </w:rPr>
      </w:pPr>
      <w:r>
        <w:rPr>
          <w:rFonts w:hint="eastAsia" w:ascii="仿宋" w:hAnsi="仿宋" w:eastAsia="仿宋" w:cs="仿宋"/>
          <w:sz w:val="32"/>
          <w:szCs w:val="32"/>
          <w:highlight w:val="none"/>
          <w:lang w:eastAsia="zh-CN"/>
        </w:rPr>
        <w:t>2022</w:t>
      </w:r>
      <w:r>
        <w:rPr>
          <w:rFonts w:hint="eastAsia" w:ascii="仿宋" w:hAnsi="仿宋" w:eastAsia="仿宋" w:cs="仿宋"/>
          <w:sz w:val="32"/>
          <w:szCs w:val="32"/>
          <w:highlight w:val="none"/>
        </w:rPr>
        <w:t>年度</w:t>
      </w:r>
      <w:r>
        <w:rPr>
          <w:rFonts w:hint="eastAsia" w:ascii="仿宋" w:hAnsi="仿宋" w:eastAsia="仿宋" w:cs="仿宋"/>
          <w:sz w:val="32"/>
          <w:szCs w:val="32"/>
          <w:highlight w:val="none"/>
          <w:lang w:eastAsia="zh-CN"/>
        </w:rPr>
        <w:t>龙源镇人民政府支出总额为</w:t>
      </w:r>
      <w:r>
        <w:rPr>
          <w:rFonts w:hint="eastAsia" w:ascii="仿宋" w:hAnsi="仿宋" w:eastAsia="仿宋" w:cs="仿宋"/>
          <w:color w:val="000000"/>
          <w:kern w:val="0"/>
          <w:sz w:val="32"/>
          <w:szCs w:val="32"/>
          <w:shd w:val="clear" w:color="auto" w:fill="FFFFFF"/>
          <w:lang w:val="en-US" w:eastAsia="zh-CN" w:bidi="ar-SA"/>
        </w:rPr>
        <w:t>1363.03</w:t>
      </w:r>
      <w:r>
        <w:rPr>
          <w:rFonts w:hint="eastAsia" w:ascii="仿宋" w:hAnsi="仿宋" w:eastAsia="仿宋" w:cs="仿宋"/>
          <w:color w:val="000000"/>
          <w:sz w:val="32"/>
          <w:szCs w:val="32"/>
          <w:highlight w:val="none"/>
        </w:rPr>
        <w:t>万元，</w:t>
      </w:r>
      <w:r>
        <w:rPr>
          <w:rFonts w:hint="eastAsia" w:ascii="仿宋" w:hAnsi="仿宋" w:eastAsia="仿宋" w:cs="仿宋"/>
          <w:sz w:val="32"/>
          <w:szCs w:val="32"/>
          <w:highlight w:val="none"/>
        </w:rPr>
        <w:t>一般</w:t>
      </w:r>
      <w:r>
        <w:rPr>
          <w:rFonts w:hint="eastAsia" w:ascii="仿宋_GB2312" w:hAnsi="仿宋" w:eastAsia="仿宋_GB2312"/>
          <w:sz w:val="32"/>
          <w:szCs w:val="32"/>
          <w:highlight w:val="none"/>
        </w:rPr>
        <w:t>公共服务支出</w:t>
      </w:r>
      <w:r>
        <w:rPr>
          <w:rFonts w:hint="eastAsia" w:ascii="仿宋_GB2312" w:hAnsi="仿宋" w:eastAsia="仿宋_GB2312"/>
          <w:sz w:val="32"/>
          <w:szCs w:val="32"/>
          <w:highlight w:val="none"/>
          <w:lang w:val="en-US" w:eastAsia="zh-CN"/>
        </w:rPr>
        <w:t>423.25</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31.05</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；文化旅游体育与传媒支出</w:t>
      </w:r>
      <w:r>
        <w:rPr>
          <w:rFonts w:hint="eastAsia" w:ascii="仿宋_GB2312" w:hAnsi="仿宋"/>
          <w:sz w:val="32"/>
          <w:szCs w:val="32"/>
          <w:highlight w:val="none"/>
          <w:lang w:val="en-US" w:eastAsia="zh-CN"/>
        </w:rPr>
        <w:t>72.86</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5.35</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社会保障和就业支出</w:t>
      </w:r>
      <w:r>
        <w:rPr>
          <w:rFonts w:hint="eastAsia" w:ascii="仿宋_GB2312" w:hAnsi="仿宋" w:eastAsia="仿宋_GB2312"/>
          <w:sz w:val="32"/>
          <w:szCs w:val="32"/>
          <w:highlight w:val="none"/>
          <w:lang w:val="en-US" w:eastAsia="zh-CN"/>
        </w:rPr>
        <w:t>206</w:t>
      </w:r>
      <w:r>
        <w:rPr>
          <w:rFonts w:hint="eastAsia" w:ascii="仿宋_GB2312" w:hAnsi="仿宋"/>
          <w:sz w:val="32"/>
          <w:szCs w:val="32"/>
          <w:highlight w:val="none"/>
          <w:lang w:val="en-US" w:eastAsia="zh-CN"/>
        </w:rPr>
        <w:t>.88</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15.18</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卫生健康支出</w:t>
      </w:r>
      <w:r>
        <w:rPr>
          <w:rFonts w:hint="eastAsia" w:ascii="仿宋_GB2312" w:hAnsi="仿宋"/>
          <w:sz w:val="32"/>
          <w:szCs w:val="32"/>
          <w:highlight w:val="none"/>
          <w:lang w:val="en-US" w:eastAsia="zh-CN"/>
        </w:rPr>
        <w:t>37.86</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2.78</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城乡社区支出</w:t>
      </w:r>
      <w:r>
        <w:rPr>
          <w:rFonts w:hint="eastAsia" w:ascii="仿宋_GB2312" w:hAnsi="仿宋" w:eastAsia="仿宋_GB2312"/>
          <w:sz w:val="32"/>
          <w:szCs w:val="32"/>
          <w:highlight w:val="none"/>
          <w:lang w:val="en-US" w:eastAsia="zh-CN"/>
        </w:rPr>
        <w:t>4.33</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0.32</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农林水支出</w:t>
      </w:r>
      <w:r>
        <w:rPr>
          <w:rFonts w:hint="eastAsia" w:ascii="仿宋_GB2312" w:hAnsi="仿宋" w:eastAsia="仿宋_GB2312"/>
          <w:sz w:val="32"/>
          <w:szCs w:val="32"/>
          <w:highlight w:val="none"/>
          <w:lang w:val="en-US" w:eastAsia="zh-CN"/>
        </w:rPr>
        <w:t>560.65</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41.13</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住房保障支出</w:t>
      </w:r>
      <w:r>
        <w:rPr>
          <w:rFonts w:hint="eastAsia" w:ascii="仿宋_GB2312" w:hAnsi="仿宋"/>
          <w:sz w:val="32"/>
          <w:szCs w:val="32"/>
          <w:highlight w:val="none"/>
          <w:lang w:val="en-US" w:eastAsia="zh-CN"/>
        </w:rPr>
        <w:t>56.77</w:t>
      </w:r>
      <w:r>
        <w:rPr>
          <w:rFonts w:hint="eastAsia" w:ascii="仿宋_GB2312" w:hAnsi="仿宋" w:eastAsia="仿宋_GB2312"/>
          <w:sz w:val="32"/>
          <w:szCs w:val="32"/>
          <w:highlight w:val="none"/>
        </w:rPr>
        <w:t>万元，占</w:t>
      </w:r>
      <w:r>
        <w:rPr>
          <w:rFonts w:hint="eastAsia" w:ascii="仿宋_GB2312" w:hAnsi="仿宋"/>
          <w:sz w:val="32"/>
          <w:szCs w:val="32"/>
          <w:highlight w:val="none"/>
          <w:lang w:val="en-US" w:eastAsia="zh-CN"/>
        </w:rPr>
        <w:t>4.16</w:t>
      </w:r>
      <w:r>
        <w:rPr>
          <w:rFonts w:hint="eastAsia" w:ascii="Arial Unicode MS" w:hAnsi="Arial Unicode MS" w:eastAsia="Arial Unicode MS" w:cs="Arial Unicode MS"/>
          <w:sz w:val="32"/>
          <w:szCs w:val="32"/>
          <w:highlight w:val="none"/>
        </w:rPr>
        <w:t>％；</w:t>
      </w:r>
      <w:r>
        <w:rPr>
          <w:rFonts w:hint="eastAsia" w:ascii="仿宋_GB2312" w:hAnsi="仿宋" w:eastAsia="仿宋_GB2312"/>
          <w:sz w:val="32"/>
          <w:szCs w:val="32"/>
          <w:highlight w:val="none"/>
        </w:rPr>
        <w:t>灾害防治及应急管理支出</w:t>
      </w:r>
      <w:r>
        <w:rPr>
          <w:rFonts w:hint="eastAsia" w:ascii="仿宋_GB2312" w:hAnsi="仿宋"/>
          <w:sz w:val="32"/>
          <w:szCs w:val="32"/>
          <w:highlight w:val="none"/>
          <w:lang w:val="en-US" w:eastAsia="zh-CN"/>
        </w:rPr>
        <w:t>0.2</w:t>
      </w:r>
      <w:r>
        <w:rPr>
          <w:rFonts w:hint="eastAsia" w:ascii="仿宋_GB2312" w:hAnsi="仿宋" w:eastAsia="仿宋_GB2312"/>
          <w:sz w:val="32"/>
          <w:szCs w:val="32"/>
          <w:highlight w:val="none"/>
        </w:rPr>
        <w:t>万元，占</w:t>
      </w:r>
      <w:r>
        <w:rPr>
          <w:rFonts w:hint="eastAsia" w:ascii="仿宋_GB2312" w:hAnsi="仿宋" w:eastAsia="仿宋_GB2312"/>
          <w:sz w:val="32"/>
          <w:szCs w:val="32"/>
          <w:highlight w:val="none"/>
          <w:lang w:val="en-US" w:eastAsia="zh-CN"/>
        </w:rPr>
        <w:t>0.03</w:t>
      </w:r>
      <w:r>
        <w:rPr>
          <w:rFonts w:hint="eastAsia" w:ascii="Arial Unicode MS" w:hAnsi="Arial Unicode MS" w:eastAsia="Arial Unicode MS" w:cs="Arial Unicode MS"/>
          <w:sz w:val="32"/>
          <w:szCs w:val="32"/>
          <w:highlight w:val="none"/>
        </w:rPr>
        <w:t>％</w:t>
      </w:r>
      <w:r>
        <w:rPr>
          <w:rFonts w:hint="eastAsia" w:ascii="Arial Unicode MS" w:hAnsi="Arial Unicode MS" w:eastAsia="Arial Unicode MS" w:cs="Arial Unicode MS"/>
          <w:sz w:val="32"/>
          <w:szCs w:val="32"/>
          <w:highlight w:val="none"/>
          <w:lang w:eastAsia="zh-CN"/>
        </w:rPr>
        <w:t>。</w:t>
      </w:r>
      <w:r>
        <w:rPr>
          <w:rFonts w:hint="eastAsia" w:ascii="仿宋" w:hAnsi="仿宋" w:eastAsia="仿宋"/>
          <w:sz w:val="32"/>
          <w:szCs w:val="32"/>
          <w:lang w:val="en-US" w:eastAsia="zh-CN"/>
        </w:rPr>
        <w:t>1.</w:t>
      </w: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sz w:val="32"/>
          <w:szCs w:val="32"/>
          <w:lang w:val="en-US" w:eastAsia="zh-CN"/>
        </w:rPr>
        <w:t>1454.73</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sz w:val="32"/>
          <w:szCs w:val="32"/>
        </w:rPr>
        <w:t>一般公共服务（类）支出</w:t>
      </w:r>
      <w:r>
        <w:rPr>
          <w:rFonts w:hint="eastAsia" w:ascii="仿宋" w:hAnsi="仿宋" w:eastAsia="仿宋"/>
          <w:sz w:val="32"/>
          <w:szCs w:val="32"/>
          <w:lang w:val="en-US" w:eastAsia="zh-CN"/>
        </w:rPr>
        <w:t>401.58</w:t>
      </w:r>
      <w:r>
        <w:rPr>
          <w:rFonts w:hint="eastAsia" w:ascii="仿宋" w:hAnsi="仿宋" w:eastAsia="仿宋"/>
          <w:sz w:val="32"/>
          <w:szCs w:val="32"/>
        </w:rPr>
        <w:t>万元，占</w:t>
      </w:r>
      <w:r>
        <w:rPr>
          <w:rFonts w:hint="eastAsia" w:ascii="仿宋" w:hAnsi="仿宋" w:eastAsia="仿宋"/>
          <w:sz w:val="32"/>
          <w:szCs w:val="32"/>
          <w:lang w:val="en-US" w:eastAsia="zh-CN"/>
        </w:rPr>
        <w:t>27.7</w:t>
      </w:r>
      <w:r>
        <w:rPr>
          <w:rFonts w:hint="eastAsia" w:ascii="仿宋" w:hAnsi="仿宋" w:eastAsia="仿宋"/>
          <w:sz w:val="32"/>
          <w:szCs w:val="32"/>
        </w:rPr>
        <w:t>%；</w:t>
      </w:r>
      <w:r>
        <w:rPr>
          <w:rFonts w:hint="eastAsia" w:ascii="仿宋" w:hAnsi="仿宋" w:eastAsia="仿宋"/>
          <w:sz w:val="32"/>
          <w:szCs w:val="32"/>
          <w:lang w:val="en-US" w:eastAsia="zh-CN"/>
        </w:rPr>
        <w:t>国防支出</w:t>
      </w:r>
      <w:r>
        <w:rPr>
          <w:rFonts w:hint="eastAsia" w:ascii="仿宋" w:hAnsi="仿宋" w:eastAsia="仿宋"/>
          <w:sz w:val="32"/>
          <w:szCs w:val="32"/>
        </w:rPr>
        <w:t>（类）</w:t>
      </w:r>
      <w:r>
        <w:rPr>
          <w:rFonts w:hint="eastAsia" w:ascii="仿宋" w:hAnsi="仿宋" w:eastAsia="仿宋"/>
          <w:sz w:val="32"/>
          <w:szCs w:val="32"/>
          <w:lang w:val="en-US" w:eastAsia="zh-CN"/>
        </w:rPr>
        <w:t>0.5</w:t>
      </w:r>
      <w:r>
        <w:rPr>
          <w:rFonts w:hint="eastAsia" w:ascii="仿宋" w:hAnsi="仿宋" w:eastAsia="仿宋"/>
          <w:sz w:val="32"/>
          <w:szCs w:val="32"/>
        </w:rPr>
        <w:t>万元，占</w:t>
      </w:r>
      <w:r>
        <w:rPr>
          <w:rFonts w:hint="eastAsia" w:ascii="仿宋" w:hAnsi="仿宋" w:eastAsia="仿宋"/>
          <w:sz w:val="32"/>
          <w:szCs w:val="32"/>
          <w:lang w:val="en-US" w:eastAsia="zh-CN"/>
        </w:rPr>
        <w:t>0.03</w:t>
      </w:r>
      <w:r>
        <w:rPr>
          <w:rFonts w:hint="eastAsia" w:ascii="仿宋" w:hAnsi="仿宋" w:eastAsia="仿宋"/>
          <w:sz w:val="32"/>
          <w:szCs w:val="32"/>
        </w:rPr>
        <w:t>%；</w:t>
      </w:r>
      <w:r>
        <w:rPr>
          <w:rFonts w:hint="eastAsia" w:ascii="仿宋" w:hAnsi="仿宋" w:eastAsia="仿宋"/>
          <w:sz w:val="32"/>
          <w:szCs w:val="32"/>
          <w:lang w:val="en-US" w:eastAsia="zh-CN"/>
        </w:rPr>
        <w:t>农林水</w:t>
      </w:r>
      <w:r>
        <w:rPr>
          <w:rFonts w:hint="eastAsia" w:ascii="仿宋" w:hAnsi="仿宋" w:eastAsia="仿宋"/>
          <w:sz w:val="32"/>
          <w:szCs w:val="32"/>
        </w:rPr>
        <w:t>（类）支出</w:t>
      </w:r>
      <w:r>
        <w:rPr>
          <w:rFonts w:hint="eastAsia" w:ascii="仿宋" w:hAnsi="仿宋" w:eastAsia="仿宋"/>
          <w:sz w:val="32"/>
          <w:szCs w:val="32"/>
          <w:lang w:val="en-US" w:eastAsia="zh-CN"/>
        </w:rPr>
        <w:t>731.76</w:t>
      </w:r>
      <w:r>
        <w:rPr>
          <w:rFonts w:hint="eastAsia" w:ascii="仿宋" w:hAnsi="仿宋" w:eastAsia="仿宋"/>
          <w:sz w:val="32"/>
          <w:szCs w:val="32"/>
        </w:rPr>
        <w:t>万元，占</w:t>
      </w:r>
      <w:r>
        <w:rPr>
          <w:rFonts w:hint="eastAsia" w:ascii="仿宋" w:hAnsi="仿宋" w:eastAsia="仿宋"/>
          <w:sz w:val="32"/>
          <w:szCs w:val="32"/>
          <w:lang w:val="en-US" w:eastAsia="zh-CN"/>
        </w:rPr>
        <w:t>50.3</w:t>
      </w:r>
      <w:r>
        <w:rPr>
          <w:rFonts w:hint="eastAsia" w:ascii="仿宋" w:hAnsi="仿宋" w:eastAsia="仿宋"/>
          <w:sz w:val="32"/>
          <w:szCs w:val="32"/>
        </w:rPr>
        <w:t>%；文化旅游体育与传媒（类）支出</w:t>
      </w:r>
      <w:r>
        <w:rPr>
          <w:rFonts w:hint="eastAsia" w:ascii="仿宋" w:hAnsi="仿宋" w:eastAsia="仿宋"/>
          <w:sz w:val="32"/>
          <w:szCs w:val="32"/>
          <w:lang w:val="en-US" w:eastAsia="zh-CN"/>
        </w:rPr>
        <w:t>42.89</w:t>
      </w:r>
      <w:r>
        <w:rPr>
          <w:rFonts w:hint="eastAsia" w:ascii="仿宋" w:hAnsi="仿宋" w:eastAsia="仿宋"/>
          <w:sz w:val="32"/>
          <w:szCs w:val="32"/>
        </w:rPr>
        <w:t>万元，占</w:t>
      </w:r>
      <w:r>
        <w:rPr>
          <w:rFonts w:hint="eastAsia" w:ascii="仿宋" w:hAnsi="仿宋" w:eastAsia="仿宋"/>
          <w:sz w:val="32"/>
          <w:szCs w:val="32"/>
          <w:lang w:val="en-US" w:eastAsia="zh-CN"/>
        </w:rPr>
        <w:t>2.92</w:t>
      </w:r>
      <w:r>
        <w:rPr>
          <w:rFonts w:hint="eastAsia" w:ascii="仿宋" w:hAnsi="仿宋" w:eastAsia="仿宋"/>
          <w:sz w:val="32"/>
          <w:szCs w:val="32"/>
        </w:rPr>
        <w:t>%；社会保障和就业（类）支出</w:t>
      </w:r>
      <w:r>
        <w:rPr>
          <w:rFonts w:hint="eastAsia" w:ascii="仿宋" w:hAnsi="仿宋" w:eastAsia="仿宋"/>
          <w:sz w:val="32"/>
          <w:szCs w:val="32"/>
          <w:lang w:val="en-US" w:eastAsia="zh-CN"/>
        </w:rPr>
        <w:t>138.1</w:t>
      </w:r>
      <w:r>
        <w:rPr>
          <w:rFonts w:hint="eastAsia" w:ascii="仿宋" w:hAnsi="仿宋" w:eastAsia="仿宋"/>
          <w:sz w:val="32"/>
          <w:szCs w:val="32"/>
        </w:rPr>
        <w:t>万元，占</w:t>
      </w:r>
      <w:r>
        <w:rPr>
          <w:rFonts w:hint="eastAsia" w:ascii="仿宋" w:hAnsi="仿宋" w:eastAsia="仿宋"/>
          <w:sz w:val="32"/>
          <w:szCs w:val="32"/>
          <w:lang w:val="en-US" w:eastAsia="zh-CN"/>
        </w:rPr>
        <w:t>9.5</w:t>
      </w:r>
      <w:r>
        <w:rPr>
          <w:rFonts w:hint="eastAsia" w:ascii="仿宋" w:hAnsi="仿宋" w:eastAsia="仿宋"/>
          <w:sz w:val="32"/>
          <w:szCs w:val="32"/>
        </w:rPr>
        <w:t>%；</w:t>
      </w:r>
      <w:r>
        <w:rPr>
          <w:rFonts w:hint="eastAsia" w:ascii="仿宋" w:hAnsi="仿宋" w:eastAsia="仿宋"/>
          <w:sz w:val="32"/>
          <w:szCs w:val="32"/>
          <w:lang w:val="en-US" w:eastAsia="zh-CN"/>
        </w:rPr>
        <w:t>城乡社区支出48.23万元，占3.3%；</w:t>
      </w:r>
      <w:r>
        <w:rPr>
          <w:rFonts w:hint="eastAsia" w:ascii="仿宋" w:hAnsi="仿宋" w:eastAsia="仿宋"/>
          <w:sz w:val="32"/>
          <w:szCs w:val="32"/>
        </w:rPr>
        <w:t>卫生健康支出</w:t>
      </w:r>
      <w:r>
        <w:rPr>
          <w:rFonts w:hint="eastAsia" w:ascii="仿宋" w:hAnsi="仿宋" w:eastAsia="仿宋"/>
          <w:sz w:val="32"/>
          <w:szCs w:val="32"/>
          <w:lang w:val="en-US" w:eastAsia="zh-CN"/>
        </w:rPr>
        <w:t>46.07</w:t>
      </w:r>
      <w:r>
        <w:rPr>
          <w:rFonts w:hint="eastAsia" w:ascii="仿宋" w:hAnsi="仿宋" w:eastAsia="仿宋"/>
          <w:sz w:val="32"/>
          <w:szCs w:val="32"/>
        </w:rPr>
        <w:t>万元，占</w:t>
      </w:r>
      <w:r>
        <w:rPr>
          <w:rFonts w:hint="eastAsia" w:ascii="仿宋" w:hAnsi="仿宋" w:eastAsia="仿宋"/>
          <w:sz w:val="32"/>
          <w:szCs w:val="32"/>
          <w:lang w:val="en-US" w:eastAsia="zh-CN"/>
        </w:rPr>
        <w:t>3.15</w:t>
      </w:r>
      <w:r>
        <w:rPr>
          <w:rFonts w:hint="eastAsia" w:ascii="仿宋" w:hAnsi="仿宋" w:eastAsia="仿宋"/>
          <w:sz w:val="32"/>
          <w:szCs w:val="32"/>
        </w:rPr>
        <w:t>%；住房保障支出</w:t>
      </w:r>
      <w:r>
        <w:rPr>
          <w:rFonts w:hint="eastAsia" w:ascii="仿宋" w:hAnsi="仿宋" w:eastAsia="仿宋"/>
          <w:sz w:val="32"/>
          <w:szCs w:val="32"/>
          <w:lang w:val="en-US" w:eastAsia="zh-CN"/>
        </w:rPr>
        <w:t>45.6</w:t>
      </w:r>
      <w:r>
        <w:rPr>
          <w:rFonts w:hint="eastAsia" w:ascii="仿宋" w:hAnsi="仿宋" w:eastAsia="仿宋"/>
          <w:sz w:val="32"/>
          <w:szCs w:val="32"/>
        </w:rPr>
        <w:t>万元，占</w:t>
      </w:r>
      <w:r>
        <w:rPr>
          <w:rFonts w:hint="eastAsia" w:ascii="仿宋" w:hAnsi="仿宋" w:eastAsia="仿宋"/>
          <w:sz w:val="32"/>
          <w:szCs w:val="32"/>
          <w:lang w:val="en-US" w:eastAsia="zh-CN"/>
        </w:rPr>
        <w:t>3.1</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spacing w:line="59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（一）预决算编制情况。</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及时组织财务人员进行预决算的编制，对本年度相应用款进行及时清理和处理，做到账账相符、账实相符、账证相符</w:t>
      </w:r>
      <w:r>
        <w:rPr>
          <w:rFonts w:hint="eastAsia" w:ascii="仿宋" w:hAnsi="仿宋" w:eastAsia="仿宋"/>
          <w:color w:val="auto"/>
          <w:sz w:val="32"/>
          <w:szCs w:val="32"/>
          <w:lang w:eastAsia="zh-CN"/>
        </w:rPr>
        <w:t>，</w:t>
      </w:r>
      <w:r>
        <w:rPr>
          <w:rFonts w:hint="eastAsia" w:ascii="仿宋" w:hAnsi="仿宋" w:eastAsia="仿宋"/>
          <w:color w:val="auto"/>
          <w:sz w:val="32"/>
          <w:szCs w:val="32"/>
        </w:rPr>
        <w:t>按先预算再支出的原则，及时处理相关事务；对年度绩效目标进行季度梳理和年度分析，及时上报相关报表；对专项预算经费提前细化，分科目上报，做到收支平衡。</w:t>
      </w:r>
    </w:p>
    <w:p>
      <w:pPr>
        <w:spacing w:line="59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（二）预算执行情况。</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按照县财政局的要求，及时上报相应计划，待县财政局审核通过后，严格按计划执行，各季度执行情况良好。基本支出202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年按月进行申报，其中人员工资按月申报并直接支付，日常公用经费按月进行申报并支付，全年执行进度100%。项目支出按月申报并直接支付， 1-12月执行进度100%。</w:t>
      </w:r>
    </w:p>
    <w:p>
      <w:pPr>
        <w:spacing w:line="590" w:lineRule="exact"/>
        <w:ind w:firstLine="640" w:firstLineChars="200"/>
        <w:rPr>
          <w:rFonts w:ascii="仿宋" w:hAnsi="仿宋" w:eastAsia="仿宋"/>
          <w:color w:val="auto"/>
          <w:sz w:val="32"/>
          <w:szCs w:val="32"/>
        </w:rPr>
      </w:pPr>
      <w:r>
        <w:rPr>
          <w:rFonts w:hint="eastAsia" w:ascii="仿宋_GB2312" w:hAnsi="仿宋_GB2312" w:eastAsia="仿宋_GB2312" w:cs="仿宋_GB2312"/>
          <w:color w:val="auto"/>
          <w:sz w:val="32"/>
          <w:szCs w:val="32"/>
          <w:highlight w:val="none"/>
          <w:lang w:val="en-US" w:eastAsia="zh-CN"/>
        </w:rPr>
        <w:t>龙源镇于2022年12月对2022年部门收入进行预算：支出合计1363.03万元。一般公共预算财政拨款收入1360.38万元，占99.8%，政府性基金预算财政拨款收入2.65万元，占0.02%，上级补助收入0万元，占0%，事业收入0万元，占0%，经营收入0万元，占0%，附属单位上缴收入0万元，占0%，其他收入0万元，占0%。</w:t>
      </w:r>
    </w:p>
    <w:p>
      <w:pPr>
        <w:spacing w:line="59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（三）支出绩效情况</w:t>
      </w:r>
    </w:p>
    <w:p>
      <w:pPr>
        <w:spacing w:line="59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1.部门支出绩效</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在202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年度部门决算中反映</w:t>
      </w:r>
      <w:r>
        <w:rPr>
          <w:rFonts w:hint="eastAsia" w:ascii="仿宋" w:hAnsi="仿宋" w:eastAsia="仿宋"/>
          <w:color w:val="auto"/>
          <w:sz w:val="32"/>
          <w:szCs w:val="32"/>
          <w:lang w:val="en-US" w:eastAsia="zh-CN"/>
        </w:rPr>
        <w:t>垃圾清运处置费、农村文化建设经费等两个</w:t>
      </w:r>
      <w:r>
        <w:rPr>
          <w:rFonts w:hint="eastAsia" w:ascii="仿宋" w:hAnsi="仿宋" w:eastAsia="仿宋"/>
          <w:color w:val="auto"/>
          <w:sz w:val="32"/>
          <w:szCs w:val="32"/>
        </w:rPr>
        <w:t xml:space="preserve">项目绩效目标实际完成情况。 </w:t>
      </w:r>
    </w:p>
    <w:p>
      <w:pPr>
        <w:numPr>
          <w:ilvl w:val="0"/>
          <w:numId w:val="5"/>
        </w:numPr>
        <w:spacing w:line="59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污水处理设施建设和运营项目</w:t>
      </w:r>
      <w:r>
        <w:rPr>
          <w:rFonts w:hint="eastAsia" w:ascii="仿宋" w:hAnsi="仿宋" w:eastAsia="仿宋"/>
          <w:color w:val="auto"/>
          <w:sz w:val="32"/>
          <w:szCs w:val="32"/>
          <w:highlight w:val="none"/>
        </w:rPr>
        <w:t>绩效完成情况综述。项目全年预算</w:t>
      </w:r>
      <w:r>
        <w:rPr>
          <w:rFonts w:hint="eastAsia" w:ascii="仿宋" w:hAnsi="仿宋" w:eastAsia="仿宋"/>
          <w:color w:val="auto"/>
          <w:sz w:val="32"/>
          <w:szCs w:val="32"/>
          <w:highlight w:val="none"/>
          <w:lang w:val="en-US" w:eastAsia="zh-CN"/>
        </w:rPr>
        <w:t>2.65</w:t>
      </w:r>
      <w:r>
        <w:rPr>
          <w:rFonts w:hint="eastAsia" w:ascii="仿宋" w:hAnsi="仿宋" w:eastAsia="仿宋"/>
          <w:color w:val="auto"/>
          <w:sz w:val="32"/>
          <w:szCs w:val="32"/>
          <w:highlight w:val="none"/>
        </w:rPr>
        <w:t>万元，执行数为</w:t>
      </w:r>
      <w:r>
        <w:rPr>
          <w:rFonts w:hint="eastAsia" w:ascii="仿宋" w:hAnsi="仿宋" w:eastAsia="仿宋"/>
          <w:color w:val="auto"/>
          <w:sz w:val="32"/>
          <w:szCs w:val="32"/>
          <w:highlight w:val="none"/>
          <w:lang w:val="en-US" w:eastAsia="zh-CN"/>
        </w:rPr>
        <w:t>2.65</w:t>
      </w:r>
      <w:r>
        <w:rPr>
          <w:rFonts w:hint="eastAsia" w:ascii="仿宋" w:hAnsi="仿宋" w:eastAsia="仿宋"/>
          <w:color w:val="auto"/>
          <w:sz w:val="32"/>
          <w:szCs w:val="32"/>
          <w:highlight w:val="none"/>
        </w:rPr>
        <w:t>万元，完成预算的</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%。通过项目实施</w:t>
      </w:r>
      <w:r>
        <w:rPr>
          <w:rFonts w:hint="eastAsia" w:ascii="仿宋_GB2312" w:hAnsi="Times New Roman" w:eastAsia="仿宋_GB2312" w:cs="Times New Roman"/>
          <w:b w:val="0"/>
          <w:bCs w:val="0"/>
          <w:color w:val="auto"/>
          <w:kern w:val="2"/>
          <w:sz w:val="32"/>
          <w:szCs w:val="32"/>
          <w:highlight w:val="none"/>
          <w:lang w:val="en-US" w:eastAsia="zh-CN" w:bidi="ar-SA"/>
        </w:rPr>
        <w:t>，完善污水处理配套设施。</w:t>
      </w:r>
    </w:p>
    <w:p>
      <w:pPr>
        <w:numPr>
          <w:ilvl w:val="0"/>
          <w:numId w:val="0"/>
        </w:numPr>
        <w:spacing w:line="59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lang w:val="en-US" w:eastAsia="zh-CN"/>
        </w:rPr>
        <w:t>农村文化建设群众文化经费</w:t>
      </w:r>
      <w:r>
        <w:rPr>
          <w:rFonts w:hint="eastAsia" w:ascii="仿宋" w:hAnsi="仿宋" w:eastAsia="仿宋"/>
          <w:color w:val="auto"/>
          <w:sz w:val="32"/>
          <w:szCs w:val="32"/>
          <w:highlight w:val="none"/>
        </w:rPr>
        <w:t>项目绩效目标完成情况综述。项目全年预算</w:t>
      </w:r>
      <w:r>
        <w:rPr>
          <w:rFonts w:hint="eastAsia" w:ascii="仿宋" w:hAnsi="仿宋" w:eastAsia="仿宋"/>
          <w:color w:val="auto"/>
          <w:sz w:val="32"/>
          <w:szCs w:val="32"/>
          <w:highlight w:val="none"/>
          <w:lang w:val="en-US" w:eastAsia="zh-CN"/>
        </w:rPr>
        <w:t>数0.75</w:t>
      </w:r>
      <w:r>
        <w:rPr>
          <w:rFonts w:hint="eastAsia" w:ascii="仿宋" w:hAnsi="仿宋" w:eastAsia="仿宋"/>
          <w:color w:val="auto"/>
          <w:sz w:val="32"/>
          <w:szCs w:val="32"/>
          <w:highlight w:val="none"/>
        </w:rPr>
        <w:t>万元，执行数为</w:t>
      </w:r>
      <w:r>
        <w:rPr>
          <w:rFonts w:hint="eastAsia" w:ascii="仿宋" w:hAnsi="仿宋" w:eastAsia="仿宋"/>
          <w:color w:val="auto"/>
          <w:sz w:val="32"/>
          <w:szCs w:val="32"/>
          <w:highlight w:val="none"/>
          <w:lang w:val="en-US" w:eastAsia="zh-CN"/>
        </w:rPr>
        <w:t>0.75</w:t>
      </w:r>
      <w:r>
        <w:rPr>
          <w:rFonts w:hint="eastAsia" w:ascii="仿宋" w:hAnsi="仿宋" w:eastAsia="仿宋"/>
          <w:color w:val="auto"/>
          <w:sz w:val="32"/>
          <w:szCs w:val="32"/>
          <w:highlight w:val="none"/>
        </w:rPr>
        <w:t>万元，完成预算的100%。通过项目实施，</w:t>
      </w:r>
      <w:r>
        <w:rPr>
          <w:rFonts w:hint="eastAsia" w:ascii="仿宋" w:hAnsi="仿宋" w:eastAsia="仿宋" w:cs="宋体"/>
          <w:color w:val="auto"/>
          <w:kern w:val="0"/>
          <w:sz w:val="32"/>
          <w:szCs w:val="32"/>
          <w:highlight w:val="none"/>
        </w:rPr>
        <w:t>改善全镇农村</w:t>
      </w:r>
      <w:r>
        <w:rPr>
          <w:rFonts w:hint="eastAsia" w:ascii="仿宋" w:hAnsi="仿宋" w:eastAsia="仿宋" w:cs="宋体"/>
          <w:color w:val="auto"/>
          <w:kern w:val="0"/>
          <w:sz w:val="32"/>
          <w:szCs w:val="32"/>
          <w:highlight w:val="none"/>
          <w:lang w:val="en-US" w:eastAsia="zh-CN"/>
        </w:rPr>
        <w:t>群众文化得到有效保障，弘扬传统文化有序改善，对</w:t>
      </w:r>
      <w:r>
        <w:rPr>
          <w:rFonts w:hint="eastAsia" w:ascii="仿宋" w:hAnsi="仿宋" w:eastAsia="仿宋" w:cs="宋体"/>
          <w:color w:val="auto"/>
          <w:kern w:val="0"/>
          <w:sz w:val="32"/>
          <w:szCs w:val="32"/>
          <w:highlight w:val="none"/>
        </w:rPr>
        <w:t>美丽乡村</w:t>
      </w:r>
      <w:r>
        <w:rPr>
          <w:rFonts w:hint="eastAsia" w:ascii="仿宋" w:hAnsi="仿宋" w:eastAsia="仿宋" w:cs="宋体"/>
          <w:color w:val="auto"/>
          <w:kern w:val="0"/>
          <w:sz w:val="32"/>
          <w:szCs w:val="32"/>
          <w:highlight w:val="none"/>
          <w:lang w:val="en-US" w:eastAsia="zh-CN"/>
        </w:rPr>
        <w:t>的建设及</w:t>
      </w:r>
      <w:r>
        <w:rPr>
          <w:rFonts w:hint="eastAsia" w:ascii="仿宋_GB2312" w:hAnsi="仿宋_GB2312" w:eastAsia="仿宋_GB2312" w:cs="仿宋_GB2312"/>
          <w:kern w:val="2"/>
          <w:sz w:val="32"/>
          <w:szCs w:val="32"/>
          <w:lang w:val="en-US" w:eastAsia="zh-CN" w:bidi="ar-SA"/>
        </w:rPr>
        <w:t>巩固拓展脱贫攻坚成果同乡村振兴有效衔接</w:t>
      </w:r>
      <w:r>
        <w:rPr>
          <w:rFonts w:hint="eastAsia" w:ascii="仿宋" w:hAnsi="仿宋" w:eastAsia="仿宋" w:cs="宋体"/>
          <w:color w:val="auto"/>
          <w:kern w:val="0"/>
          <w:sz w:val="32"/>
          <w:szCs w:val="32"/>
          <w:highlight w:val="none"/>
          <w:lang w:val="en-US" w:eastAsia="zh-CN"/>
        </w:rPr>
        <w:t>起到推动</w:t>
      </w:r>
      <w:r>
        <w:rPr>
          <w:rFonts w:hint="eastAsia" w:ascii="仿宋" w:hAnsi="仿宋" w:eastAsia="仿宋" w:cs="宋体"/>
          <w:color w:val="auto"/>
          <w:kern w:val="0"/>
          <w:sz w:val="32"/>
          <w:szCs w:val="32"/>
          <w:highlight w:val="none"/>
        </w:rPr>
        <w:t>。</w:t>
      </w:r>
    </w:p>
    <w:p>
      <w:pPr>
        <w:spacing w:line="59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2、机关厉行节约</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认真执行中央八项规定，秉承开源节流的宗旨，严格管控三公经费支出，三公经费支出情况如下：</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（1）“三公”经费支出情况： 2021年公务接待费</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元， 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年公务用车运行维护费</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万元，无因公出国（境）费预算及支出。</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）培训费支出情况： 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年培训费用</w:t>
      </w:r>
      <w:r>
        <w:rPr>
          <w:rFonts w:hint="eastAsia" w:ascii="仿宋" w:hAnsi="仿宋" w:eastAsia="仿宋"/>
          <w:color w:val="auto"/>
          <w:sz w:val="32"/>
          <w:szCs w:val="32"/>
          <w:lang w:val="en-US" w:eastAsia="zh-CN"/>
        </w:rPr>
        <w:t>0.5</w:t>
      </w:r>
      <w:r>
        <w:rPr>
          <w:rFonts w:hint="eastAsia" w:ascii="仿宋" w:hAnsi="仿宋" w:eastAsia="仿宋"/>
          <w:color w:val="auto"/>
          <w:sz w:val="32"/>
          <w:szCs w:val="32"/>
        </w:rPr>
        <w:t>万元。</w:t>
      </w:r>
    </w:p>
    <w:p>
      <w:pPr>
        <w:spacing w:line="59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3.项目预算支出绩效</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（1）项目资金管理情况</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项目资金管理严格按照用款计划执行，按照项目资金管理办法实行专款专用。</w:t>
      </w:r>
    </w:p>
    <w:p>
      <w:pPr>
        <w:spacing w:line="59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（2）绩效目标完成情况</w:t>
      </w:r>
    </w:p>
    <w:p>
      <w:pPr>
        <w:spacing w:line="590" w:lineRule="exact"/>
        <w:ind w:firstLine="640" w:firstLineChars="200"/>
        <w:rPr>
          <w:rFonts w:ascii="仿宋" w:hAnsi="仿宋" w:eastAsia="仿宋" w:cs="宋体"/>
          <w:color w:val="auto"/>
          <w:kern w:val="0"/>
          <w:sz w:val="32"/>
          <w:szCs w:val="32"/>
          <w:shd w:val="clear" w:color="auto" w:fill="FFFFFF"/>
        </w:rPr>
      </w:pPr>
      <w:r>
        <w:rPr>
          <w:rFonts w:hint="eastAsia" w:ascii="仿宋" w:hAnsi="仿宋" w:eastAsia="仿宋"/>
          <w:color w:val="auto"/>
          <w:sz w:val="32"/>
          <w:szCs w:val="32"/>
        </w:rPr>
        <w:t>剑阁县</w:t>
      </w:r>
      <w:r>
        <w:rPr>
          <w:rFonts w:hint="eastAsia" w:ascii="仿宋" w:hAnsi="仿宋" w:eastAsia="仿宋"/>
          <w:color w:val="auto"/>
          <w:sz w:val="32"/>
          <w:szCs w:val="32"/>
          <w:lang w:val="en-US" w:eastAsia="zh-CN"/>
        </w:rPr>
        <w:t>龙源镇人民政府</w:t>
      </w:r>
      <w:r>
        <w:rPr>
          <w:rFonts w:hint="eastAsia" w:ascii="仿宋" w:hAnsi="仿宋" w:eastAsia="仿宋"/>
          <w:color w:val="auto"/>
          <w:sz w:val="32"/>
          <w:szCs w:val="32"/>
        </w:rPr>
        <w:t>在资金的管理和使用上，按照年初预算，严守法律底线、纪律底线，无违反财务管理规定、财经纪律情况发生。会计核算真实完整，项目资金支出和原定用途、预算批复用途相符，财政资金使用效率进一步提高。特别是在各类项目资金的管理使用上，严格按照及时拨付，全面完成了各项目标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我镇按照相关要求对2022年部门整体支出开展绩效自评，从自评结果来看，我镇全年绩效运行良好，保证了部门的正常运行和日常工作的正常开展，重点项目开展也得到较好保障。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100</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1、预算执行力度有待加强。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2、部门间协同有待深入。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3、财务人员业务熟练度有待加强，需转变传统观念，主动学习，对绩效评价工作的深入了解。</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3、加强对业务人员的技能培训，提高其专业度。</w:t>
      </w:r>
    </w:p>
    <w:p>
      <w:pPr>
        <w:pStyle w:val="2"/>
        <w:rPr>
          <w:rFonts w:hint="eastAsia" w:ascii="黑体" w:hAnsi="黑体" w:eastAsia="黑体" w:cs="黑体"/>
          <w:sz w:val="32"/>
          <w:szCs w:val="32"/>
        </w:rPr>
      </w:pPr>
    </w:p>
    <w:tbl>
      <w:tblPr>
        <w:tblStyle w:val="19"/>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461"/>
        <w:gridCol w:w="477"/>
        <w:gridCol w:w="812"/>
        <w:gridCol w:w="989"/>
        <w:gridCol w:w="282"/>
        <w:gridCol w:w="990"/>
        <w:gridCol w:w="252"/>
        <w:gridCol w:w="1031"/>
        <w:gridCol w:w="284"/>
        <w:gridCol w:w="1098"/>
        <w:gridCol w:w="696"/>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960"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0"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9"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龙源</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1363.03</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1363.03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9"/>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1363.03</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1363.03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0"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3"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0"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3"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highlight w:val="none"/>
                <w:u w:val="none"/>
              </w:rPr>
            </w:pPr>
            <w:r>
              <w:rPr>
                <w:rFonts w:hint="eastAsia" w:ascii="宋体" w:hAnsi="宋体" w:eastAsia="宋体" w:cs="宋体"/>
                <w:i w:val="0"/>
                <w:iCs w:val="0"/>
                <w:color w:val="000000"/>
                <w:kern w:val="0"/>
                <w:sz w:val="13"/>
                <w:szCs w:val="13"/>
                <w:highlight w:val="none"/>
                <w:u w:val="none"/>
                <w:lang w:val="en-US" w:eastAsia="zh-CN" w:bidi="ar"/>
              </w:rPr>
              <w:t>经费成本</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highlight w:val="none"/>
                <w:u w:val="none"/>
              </w:rPr>
            </w:pPr>
            <w:r>
              <w:rPr>
                <w:rFonts w:hint="eastAsia" w:ascii="宋体" w:hAnsi="宋体" w:eastAsia="宋体" w:cs="宋体"/>
                <w:i w:val="0"/>
                <w:iCs w:val="0"/>
                <w:color w:val="000000"/>
                <w:kern w:val="0"/>
                <w:sz w:val="13"/>
                <w:szCs w:val="13"/>
                <w:highlight w:val="none"/>
                <w:u w:val="none"/>
                <w:lang w:val="en-US" w:eastAsia="zh-CN" w:bidi="ar"/>
              </w:rPr>
              <w:t>≤</w:t>
            </w:r>
            <w:r>
              <w:rPr>
                <w:rFonts w:hint="eastAsia" w:ascii="宋体" w:hAnsi="宋体" w:cs="宋体"/>
                <w:i w:val="0"/>
                <w:iCs w:val="0"/>
                <w:color w:val="000000"/>
                <w:kern w:val="0"/>
                <w:sz w:val="13"/>
                <w:szCs w:val="13"/>
                <w:highlight w:val="none"/>
                <w:u w:val="none"/>
                <w:lang w:val="en-US" w:eastAsia="zh-CN" w:bidi="ar"/>
              </w:rPr>
              <w:t>1363.03</w:t>
            </w:r>
            <w:r>
              <w:rPr>
                <w:rFonts w:hint="eastAsia" w:ascii="宋体" w:hAnsi="宋体" w:eastAsia="宋体" w:cs="宋体"/>
                <w:i w:val="0"/>
                <w:iCs w:val="0"/>
                <w:color w:val="000000"/>
                <w:kern w:val="0"/>
                <w:sz w:val="13"/>
                <w:szCs w:val="13"/>
                <w:highlight w:val="none"/>
                <w:u w:val="none"/>
                <w:lang w:val="en-US" w:eastAsia="zh-CN" w:bidi="ar"/>
              </w:rPr>
              <w:t>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highlight w:val="none"/>
                <w:u w:val="none"/>
              </w:rPr>
            </w:pPr>
            <w:r>
              <w:rPr>
                <w:rFonts w:hint="eastAsia" w:ascii="宋体" w:hAnsi="宋体" w:eastAsia="宋体" w:cs="宋体"/>
                <w:i w:val="0"/>
                <w:iCs w:val="0"/>
                <w:color w:val="000000"/>
                <w:kern w:val="0"/>
                <w:sz w:val="13"/>
                <w:szCs w:val="13"/>
                <w:highlight w:val="none"/>
                <w:u w:val="none"/>
                <w:lang w:val="en-US" w:eastAsia="zh-CN" w:bidi="ar"/>
              </w:rPr>
              <w:t>≤</w:t>
            </w:r>
            <w:r>
              <w:rPr>
                <w:rFonts w:hint="eastAsia" w:ascii="宋体" w:hAnsi="宋体" w:cs="宋体"/>
                <w:i w:val="0"/>
                <w:iCs w:val="0"/>
                <w:color w:val="000000"/>
                <w:kern w:val="0"/>
                <w:sz w:val="13"/>
                <w:szCs w:val="13"/>
                <w:highlight w:val="none"/>
                <w:u w:val="none"/>
                <w:lang w:val="en-US" w:eastAsia="zh-CN" w:bidi="ar"/>
              </w:rPr>
              <w:t>1363.03</w:t>
            </w:r>
            <w:r>
              <w:rPr>
                <w:rFonts w:hint="eastAsia" w:ascii="宋体" w:hAnsi="宋体" w:eastAsia="宋体" w:cs="宋体"/>
                <w:i w:val="0"/>
                <w:iCs w:val="0"/>
                <w:color w:val="000000"/>
                <w:kern w:val="0"/>
                <w:sz w:val="13"/>
                <w:szCs w:val="13"/>
                <w:highlight w:val="none"/>
                <w:u w:val="none"/>
                <w:lang w:val="en-US" w:eastAsia="zh-CN" w:bidi="ar"/>
              </w:rPr>
              <w:t>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方正小标宋简体" w:hAnsi="方正小标宋简体" w:eastAsia="黑体" w:cs="方正小标宋简体"/>
          <w:color w:val="auto"/>
          <w:kern w:val="2"/>
          <w:sz w:val="44"/>
          <w:szCs w:val="44"/>
          <w:highlight w:val="none"/>
          <w:lang w:val="en-US" w:eastAsia="zh-CN"/>
        </w:rPr>
      </w:pPr>
      <w:r>
        <w:rPr>
          <w:rFonts w:hint="eastAsia" w:ascii="黑体" w:hAnsi="黑体" w:eastAsia="黑体"/>
          <w:sz w:val="30"/>
          <w:szCs w:val="30"/>
          <w:highlight w:val="none"/>
        </w:rPr>
        <w:t>附件</w:t>
      </w:r>
      <w:r>
        <w:rPr>
          <w:rFonts w:hint="eastAsia" w:ascii="黑体" w:hAnsi="黑体" w:eastAsia="黑体"/>
          <w:sz w:val="30"/>
          <w:szCs w:val="30"/>
          <w:highlight w:val="none"/>
          <w:lang w:val="en-US" w:eastAsia="zh-CN"/>
        </w:rPr>
        <w:t>3</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剑阁县龙源镇人民政府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en-US" w:eastAsia="zh-CN"/>
        </w:rPr>
        <w:t>2022年专项资金</w:t>
      </w:r>
      <w:r>
        <w:rPr>
          <w:rFonts w:hint="eastAsia" w:ascii="华文中宋" w:hAnsi="华文中宋" w:eastAsia="华文中宋" w:cs="华文中宋"/>
          <w:b/>
          <w:bCs/>
          <w:sz w:val="36"/>
          <w:szCs w:val="36"/>
          <w:lang w:val="zh-CN" w:eastAsia="zh-CN"/>
        </w:rPr>
        <w:t>（化解隐性债务）</w:t>
      </w:r>
      <w:r>
        <w:rPr>
          <w:rFonts w:hint="eastAsia" w:ascii="华文中宋" w:hAnsi="华文中宋" w:eastAsia="华文中宋" w:cs="华文中宋"/>
          <w:b/>
          <w:bCs/>
          <w:sz w:val="36"/>
          <w:szCs w:val="36"/>
          <w:lang w:val="en-US" w:eastAsia="zh-CN"/>
        </w:rPr>
        <w:t>预算</w:t>
      </w:r>
      <w:r>
        <w:rPr>
          <w:rFonts w:hint="eastAsia" w:ascii="华文中宋" w:hAnsi="华文中宋" w:eastAsia="华文中宋" w:cs="华文中宋"/>
          <w:b/>
          <w:bCs/>
          <w:sz w:val="36"/>
          <w:szCs w:val="36"/>
          <w:lang w:val="zh-CN"/>
        </w:rPr>
        <w:t>项目</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ascii="宋体" w:hAnsi="宋体"/>
          <w:color w:val="auto"/>
          <w:kern w:val="2"/>
          <w:sz w:val="32"/>
          <w:szCs w:val="32"/>
          <w:highlight w:val="none"/>
        </w:rPr>
      </w:pPr>
      <w:r>
        <w:rPr>
          <w:rFonts w:hint="eastAsia" w:ascii="华文中宋" w:hAnsi="华文中宋" w:eastAsia="华文中宋" w:cs="华文中宋"/>
          <w:b/>
          <w:bCs/>
          <w:sz w:val="36"/>
          <w:szCs w:val="36"/>
          <w:lang w:val="zh-CN"/>
        </w:rPr>
        <w:t>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sz w:val="28"/>
          <w:szCs w:val="28"/>
        </w:rPr>
      </w:pPr>
      <w:r>
        <w:rPr>
          <w:rFonts w:hint="eastAsia" w:ascii="黑体" w:hAnsi="宋体" w:eastAsia="黑体"/>
          <w:sz w:val="28"/>
          <w:szCs w:val="28"/>
          <w:highlight w:val="none"/>
        </w:rPr>
        <w:t>一、</w:t>
      </w:r>
      <w:r>
        <w:rPr>
          <w:rFonts w:hint="eastAsia" w:ascii="黑体" w:hAnsi="宋体" w:eastAsia="黑体"/>
          <w:sz w:val="28"/>
          <w:szCs w:val="28"/>
          <w:highlight w:val="none"/>
          <w:lang w:val="zh-CN"/>
        </w:rPr>
        <w:t>项目概况</w:t>
      </w:r>
      <w:r>
        <w:rPr>
          <w:rFonts w:hint="eastAsia" w:ascii="仿宋_GB2312" w:hAnsi="仿宋_GB2312" w:eastAsia="仿宋_GB2312" w:cs="仿宋_GB2312"/>
          <w:color w:val="auto"/>
          <w:kern w:val="0"/>
          <w:sz w:val="28"/>
          <w:szCs w:val="28"/>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sz w:val="28"/>
          <w:szCs w:val="28"/>
        </w:rPr>
      </w:pPr>
      <w:r>
        <w:rPr>
          <w:rFonts w:hint="eastAsia"/>
          <w:sz w:val="28"/>
          <w:szCs w:val="28"/>
          <w:lang w:eastAsia="zh-CN"/>
        </w:rPr>
        <w:t>（一）</w:t>
      </w:r>
      <w:r>
        <w:rPr>
          <w:rFonts w:hint="eastAsia"/>
          <w:b/>
          <w:bCs/>
          <w:sz w:val="28"/>
          <w:szCs w:val="28"/>
        </w:rPr>
        <w:t>项目资金申报及批复情况。</w:t>
      </w:r>
      <w:r>
        <w:rPr>
          <w:rFonts w:hint="eastAsia" w:ascii="仿宋_GB2312" w:hAnsi="仿宋" w:eastAsia="仿宋_GB2312" w:cs="仿宋"/>
          <w:color w:val="000000"/>
          <w:sz w:val="32"/>
          <w:szCs w:val="32"/>
          <w:lang w:val="en-US" w:eastAsia="zh-CN"/>
        </w:rPr>
        <w:t>2022年县财政局下达专项化解隐性债务资金，涉及我镇新街口道路维修工程</w:t>
      </w:r>
      <w:r>
        <w:rPr>
          <w:rFonts w:hint="eastAsia" w:ascii="仿宋_GB2312" w:hAnsi="仿宋" w:eastAsia="仿宋_GB2312" w:cs="仿宋"/>
          <w:color w:val="000000"/>
          <w:sz w:val="32"/>
          <w:szCs w:val="32"/>
          <w:lang w:val="zh-CN" w:eastAsia="zh-CN"/>
        </w:rPr>
        <w:t>（化解隐性债务）项目</w:t>
      </w:r>
      <w:r>
        <w:rPr>
          <w:rFonts w:hint="eastAsia" w:ascii="仿宋_GB2312" w:hAnsi="仿宋" w:eastAsia="仿宋_GB2312" w:cs="仿宋"/>
          <w:color w:val="000000"/>
          <w:sz w:val="32"/>
          <w:szCs w:val="32"/>
          <w:lang w:val="en-US" w:eastAsia="zh-CN"/>
        </w:rPr>
        <w:t>33.64万元，我镇对该项资金的使用符合资金管理办法等相关规定。</w:t>
      </w:r>
    </w:p>
    <w:p>
      <w:pPr>
        <w:ind w:firstLine="560" w:firstLineChars="200"/>
        <w:rPr>
          <w:rFonts w:hint="eastAsia" w:ascii="仿宋_GB2312" w:hAnsi="仿宋" w:eastAsia="仿宋_GB2312" w:cs="仿宋"/>
          <w:color w:val="000000"/>
          <w:sz w:val="32"/>
          <w:szCs w:val="32"/>
          <w:lang w:val="en-US" w:eastAsia="zh-CN"/>
        </w:rPr>
      </w:pPr>
      <w:r>
        <w:rPr>
          <w:rFonts w:hint="eastAsia"/>
          <w:sz w:val="28"/>
          <w:szCs w:val="28"/>
        </w:rPr>
        <w:t>（二）</w:t>
      </w:r>
      <w:r>
        <w:rPr>
          <w:rFonts w:hint="eastAsia"/>
          <w:b/>
          <w:bCs/>
          <w:sz w:val="28"/>
          <w:szCs w:val="28"/>
        </w:rPr>
        <w:t>项目绩效目标。</w:t>
      </w:r>
      <w:r>
        <w:rPr>
          <w:rFonts w:hint="eastAsia" w:ascii="仿宋_GB2312" w:hAnsi="仿宋" w:eastAsia="仿宋_GB2312" w:cs="仿宋"/>
          <w:color w:val="000000"/>
          <w:sz w:val="32"/>
          <w:szCs w:val="32"/>
          <w:lang w:val="en-US" w:eastAsia="zh-CN"/>
        </w:rPr>
        <w:t>完成隐性债务化解33.64万元，提高政府社会诚信度。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仿宋_GB2312" w:hAnsi="仿宋" w:eastAsia="仿宋_GB2312" w:cs="仿宋"/>
          <w:color w:val="000000"/>
          <w:sz w:val="32"/>
          <w:szCs w:val="32"/>
          <w:lang w:val="en-US" w:eastAsia="zh-CN"/>
        </w:rPr>
      </w:pPr>
      <w:r>
        <w:rPr>
          <w:rFonts w:hint="eastAsia"/>
          <w:sz w:val="28"/>
          <w:szCs w:val="28"/>
        </w:rPr>
        <w:t>（三）</w:t>
      </w:r>
      <w:r>
        <w:rPr>
          <w:rFonts w:hint="eastAsia"/>
          <w:b/>
          <w:bCs/>
          <w:sz w:val="28"/>
          <w:szCs w:val="28"/>
        </w:rPr>
        <w:t>项目资金申报相符性。</w:t>
      </w:r>
      <w:r>
        <w:rPr>
          <w:rFonts w:hint="eastAsia" w:ascii="仿宋_GB2312" w:hAnsi="仿宋" w:eastAsia="仿宋_GB2312" w:cs="仿宋"/>
          <w:color w:val="000000"/>
          <w:sz w:val="32"/>
          <w:szCs w:val="32"/>
          <w:lang w:val="zh-CN" w:eastAsia="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二、项目实施及管理情况</w:t>
      </w:r>
    </w:p>
    <w:p>
      <w:pPr>
        <w:ind w:firstLine="562" w:firstLineChars="200"/>
        <w:rPr>
          <w:rFonts w:hint="eastAsia"/>
          <w:b/>
          <w:bCs/>
          <w:sz w:val="28"/>
          <w:szCs w:val="28"/>
        </w:rPr>
      </w:pPr>
      <w:r>
        <w:rPr>
          <w:rFonts w:hint="eastAsia"/>
          <w:b/>
          <w:bCs/>
          <w:sz w:val="28"/>
          <w:szCs w:val="28"/>
        </w:rPr>
        <w:t>（一）资金计划、到位及使用情况。</w:t>
      </w:r>
    </w:p>
    <w:p>
      <w:pPr>
        <w:keepNext w:val="0"/>
        <w:keepLines w:val="0"/>
        <w:pageBreakBefore w:val="0"/>
        <w:widowControl w:val="0"/>
        <w:kinsoku/>
        <w:wordWrap/>
        <w:overflowPunct/>
        <w:topLinePunct w:val="0"/>
        <w:autoSpaceDE/>
        <w:autoSpaceDN/>
        <w:bidi w:val="0"/>
        <w:spacing w:line="576" w:lineRule="exact"/>
        <w:ind w:firstLine="560" w:firstLineChars="200"/>
        <w:textAlignment w:val="auto"/>
        <w:rPr>
          <w:rFonts w:hint="eastAsia"/>
          <w:sz w:val="28"/>
          <w:szCs w:val="28"/>
        </w:rPr>
      </w:pPr>
      <w:r>
        <w:rPr>
          <w:rFonts w:hint="eastAsia"/>
          <w:sz w:val="28"/>
          <w:szCs w:val="28"/>
        </w:rPr>
        <w:t>1．</w:t>
      </w:r>
      <w:r>
        <w:rPr>
          <w:rFonts w:hint="eastAsia" w:ascii="仿宋_GB2312" w:hAnsi="仿宋" w:eastAsia="仿宋_GB2312" w:cs="仿宋"/>
          <w:color w:val="000000"/>
          <w:sz w:val="32"/>
          <w:szCs w:val="32"/>
          <w:lang w:val="zh-CN" w:eastAsia="zh-CN"/>
        </w:rPr>
        <w:t>资金计划及到位</w:t>
      </w:r>
      <w:r>
        <w:rPr>
          <w:rFonts w:hint="eastAsia" w:ascii="仿宋_GB2312" w:hAnsi="仿宋" w:eastAsia="仿宋_GB2312" w:cs="仿宋"/>
          <w:color w:val="000000"/>
          <w:sz w:val="32"/>
          <w:szCs w:val="32"/>
          <w:lang w:val="en-US" w:eastAsia="zh-CN"/>
        </w:rPr>
        <w:t>。该项目计划资金33.64万元，资金到位率100%，到位及时</w:t>
      </w:r>
      <w:r>
        <w:rPr>
          <w:rFonts w:hint="eastAsia" w:ascii="仿宋_GB2312" w:hAnsi="仿宋" w:eastAsia="仿宋_GB2312" w:cs="仿宋"/>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sz w:val="28"/>
          <w:szCs w:val="28"/>
        </w:rPr>
      </w:pPr>
      <w:r>
        <w:rPr>
          <w:rFonts w:hint="eastAsia"/>
          <w:sz w:val="28"/>
          <w:szCs w:val="28"/>
        </w:rPr>
        <w:t>2．</w:t>
      </w:r>
      <w:r>
        <w:rPr>
          <w:rFonts w:hint="eastAsia" w:ascii="仿宋_GB2312" w:hAnsi="仿宋" w:eastAsia="仿宋_GB2312" w:cs="仿宋"/>
          <w:color w:val="000000"/>
          <w:sz w:val="32"/>
          <w:szCs w:val="32"/>
          <w:lang w:val="zh-CN" w:eastAsia="zh-CN"/>
        </w:rPr>
        <w:t>资金使用。截至评价时点</w:t>
      </w:r>
      <w:r>
        <w:rPr>
          <w:rFonts w:hint="eastAsia" w:ascii="仿宋_GB2312" w:hAnsi="仿宋" w:eastAsia="仿宋_GB2312" w:cs="仿宋"/>
          <w:color w:val="000000"/>
          <w:sz w:val="32"/>
          <w:szCs w:val="32"/>
          <w:lang w:val="en-US" w:eastAsia="zh-CN"/>
        </w:rPr>
        <w:t>新街口道路抢修工程</w:t>
      </w:r>
      <w:r>
        <w:rPr>
          <w:rFonts w:hint="eastAsia" w:ascii="仿宋_GB2312" w:hAnsi="仿宋" w:eastAsia="仿宋_GB2312" w:cs="仿宋"/>
          <w:color w:val="000000"/>
          <w:sz w:val="32"/>
          <w:szCs w:val="32"/>
          <w:lang w:val="zh-CN" w:eastAsia="zh-CN"/>
        </w:rPr>
        <w:t>（化解隐性债务）项目资金的实际支出</w:t>
      </w:r>
      <w:r>
        <w:rPr>
          <w:rFonts w:hint="eastAsia" w:ascii="仿宋_GB2312" w:hAnsi="仿宋" w:eastAsia="仿宋_GB2312" w:cs="仿宋"/>
          <w:color w:val="000000"/>
          <w:sz w:val="32"/>
          <w:szCs w:val="32"/>
          <w:lang w:val="en-US" w:eastAsia="zh-CN"/>
        </w:rPr>
        <w:t>33.64万元</w:t>
      </w:r>
      <w:r>
        <w:rPr>
          <w:rFonts w:hint="eastAsia" w:ascii="仿宋_GB2312" w:hAnsi="仿宋" w:eastAsia="仿宋_GB2312" w:cs="仿宋"/>
          <w:color w:val="000000"/>
          <w:sz w:val="32"/>
          <w:szCs w:val="32"/>
          <w:lang w:val="zh-CN" w:eastAsia="zh-CN"/>
        </w:rPr>
        <w:t>，</w:t>
      </w:r>
      <w:r>
        <w:rPr>
          <w:rFonts w:hint="eastAsia" w:ascii="仿宋_GB2312" w:hAnsi="仿宋" w:eastAsia="仿宋_GB2312" w:cs="仿宋"/>
          <w:color w:val="000000"/>
          <w:sz w:val="32"/>
          <w:szCs w:val="32"/>
          <w:lang w:val="en-US" w:eastAsia="zh-CN"/>
        </w:rPr>
        <w:t>我镇已根据实际情况支付完毕， 支付依据合规合法，资金支付与预算相符。</w:t>
      </w:r>
    </w:p>
    <w:p>
      <w:pPr>
        <w:ind w:firstLine="562" w:firstLineChars="200"/>
        <w:rPr>
          <w:rFonts w:hint="eastAsia"/>
          <w:b/>
          <w:bCs/>
          <w:sz w:val="28"/>
          <w:szCs w:val="28"/>
        </w:rPr>
      </w:pPr>
      <w:r>
        <w:rPr>
          <w:rFonts w:hint="eastAsia"/>
          <w:b/>
          <w:bCs/>
          <w:sz w:val="28"/>
          <w:szCs w:val="28"/>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根据项目实施管理办法，该项目在实施中严格做到专款专用专人管理、由镇财政所统一管理严格资金支付凭证审核。支付手续、附件齐全，账务处理及时，会计核算规范。</w:t>
      </w:r>
    </w:p>
    <w:p>
      <w:pPr>
        <w:keepNext w:val="0"/>
        <w:keepLines w:val="0"/>
        <w:pageBreakBefore w:val="0"/>
        <w:widowControl w:val="0"/>
        <w:kinsoku/>
        <w:wordWrap/>
        <w:overflowPunct/>
        <w:topLinePunct w:val="0"/>
        <w:autoSpaceDE/>
        <w:autoSpaceDN/>
        <w:bidi w:val="0"/>
        <w:spacing w:line="576" w:lineRule="exact"/>
        <w:ind w:firstLine="562" w:firstLineChars="200"/>
        <w:textAlignment w:val="auto"/>
        <w:rPr>
          <w:rFonts w:hint="eastAsia"/>
          <w:b/>
          <w:bCs/>
          <w:sz w:val="28"/>
          <w:szCs w:val="28"/>
        </w:rPr>
      </w:pPr>
      <w:r>
        <w:rPr>
          <w:rFonts w:hint="eastAsia"/>
          <w:b/>
          <w:bCs/>
          <w:sz w:val="28"/>
          <w:szCs w:val="28"/>
        </w:rPr>
        <w:t>（三）项目组织实施情况。</w:t>
      </w:r>
    </w:p>
    <w:p>
      <w:pPr>
        <w:pStyle w:val="2"/>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cs="仿宋"/>
          <w:color w:val="000000"/>
          <w:kern w:val="2"/>
          <w:sz w:val="32"/>
          <w:szCs w:val="32"/>
          <w:lang w:val="zh-CN" w:eastAsia="zh-CN" w:bidi="ar-SA"/>
        </w:rPr>
      </w:pPr>
      <w:r>
        <w:rPr>
          <w:rFonts w:hint="eastAsia" w:ascii="仿宋_GB2312" w:hAnsi="仿宋" w:eastAsia="仿宋_GB2312" w:cs="仿宋"/>
          <w:color w:val="000000"/>
          <w:kern w:val="2"/>
          <w:sz w:val="32"/>
          <w:szCs w:val="32"/>
          <w:lang w:val="en-US" w:eastAsia="zh-CN" w:bidi="ar-SA"/>
        </w:rPr>
        <w:t>为实施好化解隐性债务资金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顺利实施。</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三、项目绩效情况</w:t>
      </w:r>
    </w:p>
    <w:p>
      <w:pPr>
        <w:keepNext w:val="0"/>
        <w:keepLines w:val="0"/>
        <w:pageBreakBefore w:val="0"/>
        <w:widowControl w:val="0"/>
        <w:kinsoku/>
        <w:wordWrap/>
        <w:overflowPunct/>
        <w:topLinePunct w:val="0"/>
        <w:autoSpaceDE/>
        <w:autoSpaceDN/>
        <w:bidi w:val="0"/>
        <w:spacing w:line="576" w:lineRule="exact"/>
        <w:ind w:firstLine="562" w:firstLineChars="200"/>
        <w:textAlignment w:val="auto"/>
        <w:rPr>
          <w:rFonts w:hint="eastAsia" w:ascii="仿宋_GB2312" w:hAnsi="仿宋" w:eastAsia="仿宋_GB2312" w:cs="仿宋"/>
          <w:color w:val="000000"/>
          <w:sz w:val="32"/>
          <w:szCs w:val="32"/>
          <w:lang w:val="zh-CN" w:eastAsia="zh-CN"/>
        </w:rPr>
      </w:pPr>
      <w:r>
        <w:rPr>
          <w:rFonts w:hint="eastAsia"/>
          <w:b/>
          <w:bCs/>
          <w:sz w:val="28"/>
          <w:szCs w:val="28"/>
        </w:rPr>
        <w:t>（一）项目完成情况。</w:t>
      </w:r>
      <w:r>
        <w:rPr>
          <w:rFonts w:hint="eastAsia" w:ascii="仿宋_GB2312" w:hAnsi="仿宋" w:eastAsia="仿宋_GB2312" w:cs="仿宋"/>
          <w:color w:val="000000"/>
          <w:sz w:val="32"/>
          <w:szCs w:val="32"/>
          <w:lang w:val="zh-CN" w:eastAsia="zh-CN"/>
        </w:rPr>
        <w:t>偿还债权人</w:t>
      </w:r>
      <w:r>
        <w:rPr>
          <w:rFonts w:hint="eastAsia" w:ascii="仿宋_GB2312" w:hAnsi="仿宋" w:eastAsia="仿宋_GB2312" w:cs="仿宋"/>
          <w:color w:val="000000"/>
          <w:sz w:val="32"/>
          <w:szCs w:val="32"/>
          <w:lang w:val="en-US" w:eastAsia="zh-CN"/>
        </w:rPr>
        <w:t>新街口道路抢修工程</w:t>
      </w:r>
      <w:r>
        <w:rPr>
          <w:rFonts w:hint="eastAsia" w:ascii="仿宋_GB2312" w:hAnsi="仿宋" w:eastAsia="仿宋_GB2312" w:cs="仿宋"/>
          <w:color w:val="000000"/>
          <w:sz w:val="32"/>
          <w:szCs w:val="32"/>
          <w:lang w:val="zh-CN" w:eastAsia="zh-CN"/>
        </w:rPr>
        <w:t>债务</w:t>
      </w:r>
      <w:r>
        <w:rPr>
          <w:rFonts w:hint="eastAsia" w:ascii="仿宋_GB2312" w:hAnsi="仿宋" w:eastAsia="仿宋_GB2312" w:cs="仿宋"/>
          <w:color w:val="000000"/>
          <w:sz w:val="32"/>
          <w:szCs w:val="32"/>
          <w:lang w:val="en-US" w:eastAsia="zh-CN"/>
        </w:rPr>
        <w:t>33.64万元</w:t>
      </w:r>
      <w:r>
        <w:rPr>
          <w:rFonts w:hint="eastAsia" w:ascii="仿宋_GB2312" w:hAnsi="仿宋" w:eastAsia="仿宋_GB2312" w:cs="仿宋"/>
          <w:color w:val="000000"/>
          <w:sz w:val="32"/>
          <w:szCs w:val="32"/>
          <w:lang w:val="zh-CN" w:eastAsia="zh-CN"/>
        </w:rPr>
        <w:t>。</w:t>
      </w:r>
    </w:p>
    <w:p>
      <w:pPr>
        <w:keepNext w:val="0"/>
        <w:keepLines w:val="0"/>
        <w:pageBreakBefore w:val="0"/>
        <w:widowControl w:val="0"/>
        <w:kinsoku/>
        <w:wordWrap/>
        <w:overflowPunct/>
        <w:topLinePunct w:val="0"/>
        <w:autoSpaceDE/>
        <w:autoSpaceDN/>
        <w:bidi w:val="0"/>
        <w:spacing w:line="576" w:lineRule="exact"/>
        <w:ind w:firstLine="562" w:firstLineChars="200"/>
        <w:textAlignment w:val="auto"/>
        <w:rPr>
          <w:rFonts w:hint="default" w:ascii="仿宋_GB2312" w:hAnsi="仿宋" w:eastAsia="仿宋_GB2312" w:cs="仿宋"/>
          <w:color w:val="000000"/>
          <w:sz w:val="32"/>
          <w:szCs w:val="32"/>
          <w:lang w:val="en-US" w:eastAsia="zh-CN"/>
        </w:rPr>
      </w:pPr>
      <w:r>
        <w:rPr>
          <w:rFonts w:hint="eastAsia"/>
          <w:b/>
          <w:bCs/>
          <w:sz w:val="28"/>
          <w:szCs w:val="28"/>
        </w:rPr>
        <w:t>（二）项目效益情况。</w:t>
      </w:r>
      <w:r>
        <w:rPr>
          <w:rFonts w:hint="eastAsia" w:ascii="仿宋_GB2312" w:hAnsi="仿宋" w:eastAsia="仿宋_GB2312" w:cs="仿宋"/>
          <w:color w:val="000000"/>
          <w:sz w:val="32"/>
          <w:szCs w:val="32"/>
          <w:lang w:val="zh-CN" w:eastAsia="zh-CN"/>
        </w:rPr>
        <w:t>通过该项目的实施，提高了政府社会诚信度，</w:t>
      </w:r>
      <w:r>
        <w:rPr>
          <w:rFonts w:hint="eastAsia" w:ascii="仿宋_GB2312" w:hAnsi="仿宋" w:eastAsia="仿宋_GB2312" w:cs="仿宋"/>
          <w:color w:val="000000"/>
          <w:sz w:val="32"/>
          <w:szCs w:val="32"/>
          <w:lang w:val="en-US" w:eastAsia="zh-CN"/>
        </w:rPr>
        <w:t>债权人</w:t>
      </w:r>
      <w:r>
        <w:rPr>
          <w:rFonts w:hint="eastAsia" w:ascii="仿宋_GB2312" w:hAnsi="仿宋" w:eastAsia="仿宋_GB2312" w:cs="仿宋"/>
          <w:color w:val="000000"/>
          <w:sz w:val="32"/>
          <w:szCs w:val="32"/>
          <w:lang w:val="zh-CN" w:eastAsia="zh-CN"/>
        </w:rPr>
        <w:t>满意度，</w:t>
      </w:r>
      <w:r>
        <w:rPr>
          <w:rFonts w:hint="eastAsia" w:ascii="仿宋_GB2312" w:hAnsi="仿宋" w:eastAsia="仿宋_GB2312" w:cs="仿宋"/>
          <w:color w:val="000000"/>
          <w:sz w:val="32"/>
          <w:szCs w:val="32"/>
          <w:lang w:val="en-US" w:eastAsia="zh-CN"/>
        </w:rPr>
        <w:t>有效降低风险度。</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四、问题及建议</w:t>
      </w:r>
    </w:p>
    <w:p>
      <w:pPr>
        <w:keepNext w:val="0"/>
        <w:keepLines w:val="0"/>
        <w:pageBreakBefore w:val="0"/>
        <w:widowControl w:val="0"/>
        <w:kinsoku/>
        <w:wordWrap/>
        <w:overflowPunct/>
        <w:topLinePunct w:val="0"/>
        <w:autoSpaceDE/>
        <w:autoSpaceDN/>
        <w:bidi w:val="0"/>
        <w:spacing w:line="576" w:lineRule="exact"/>
        <w:ind w:firstLine="562" w:firstLineChars="200"/>
        <w:textAlignment w:val="auto"/>
        <w:rPr>
          <w:rFonts w:hint="eastAsia"/>
          <w:sz w:val="28"/>
          <w:szCs w:val="28"/>
          <w:lang w:eastAsia="zh-CN"/>
        </w:rPr>
      </w:pPr>
      <w:r>
        <w:rPr>
          <w:rFonts w:hint="eastAsia"/>
          <w:b/>
          <w:bCs/>
          <w:sz w:val="28"/>
          <w:szCs w:val="28"/>
        </w:rPr>
        <w:t>（一）存在的问题。</w:t>
      </w:r>
      <w:r>
        <w:rPr>
          <w:rFonts w:hint="eastAsia" w:ascii="仿宋_GB2312" w:hAnsi="仿宋" w:eastAsia="仿宋_GB2312" w:cs="仿宋"/>
          <w:color w:val="000000"/>
          <w:sz w:val="32"/>
          <w:szCs w:val="32"/>
          <w:lang w:val="zh-CN" w:eastAsia="zh-CN"/>
        </w:rPr>
        <w:t>隐性债务系历年历史遗留问题，除上级财政支持外，我单位无力偿还其他相关债务</w:t>
      </w:r>
      <w:r>
        <w:rPr>
          <w:rFonts w:hint="eastAsia"/>
          <w:sz w:val="28"/>
          <w:szCs w:val="28"/>
          <w:lang w:eastAsia="zh-CN"/>
        </w:rPr>
        <w:t>。</w:t>
      </w:r>
    </w:p>
    <w:p>
      <w:pPr>
        <w:keepNext w:val="0"/>
        <w:keepLines w:val="0"/>
        <w:pageBreakBefore w:val="0"/>
        <w:widowControl w:val="0"/>
        <w:kinsoku/>
        <w:wordWrap/>
        <w:overflowPunct/>
        <w:topLinePunct w:val="0"/>
        <w:autoSpaceDE/>
        <w:autoSpaceDN/>
        <w:bidi w:val="0"/>
        <w:spacing w:line="576" w:lineRule="exact"/>
        <w:ind w:firstLine="562" w:firstLineChars="200"/>
        <w:textAlignment w:val="auto"/>
        <w:rPr>
          <w:rFonts w:hint="eastAsia" w:ascii="仿宋_GB2312" w:hAnsi="仿宋" w:eastAsia="仿宋_GB2312" w:cs="仿宋"/>
          <w:color w:val="000000"/>
          <w:sz w:val="32"/>
          <w:szCs w:val="32"/>
          <w:lang w:val="zh-CN" w:eastAsia="zh-CN"/>
        </w:rPr>
      </w:pPr>
      <w:r>
        <w:rPr>
          <w:rFonts w:hint="eastAsia"/>
          <w:b/>
          <w:bCs/>
          <w:sz w:val="28"/>
          <w:szCs w:val="28"/>
        </w:rPr>
        <w:t>（二）相关建议。</w:t>
      </w:r>
      <w:r>
        <w:rPr>
          <w:rFonts w:hint="eastAsia" w:ascii="仿宋_GB2312" w:hAnsi="仿宋" w:eastAsia="仿宋_GB2312" w:cs="仿宋"/>
          <w:color w:val="000000"/>
          <w:sz w:val="32"/>
          <w:szCs w:val="32"/>
          <w:lang w:val="zh-CN" w:eastAsia="zh-CN"/>
        </w:rPr>
        <w:t>希望县财政安排资金，早日偿还清债务，维护社会稳定。</w:t>
      </w:r>
    </w:p>
    <w:p>
      <w:pPr>
        <w:pStyle w:val="2"/>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i w:val="0"/>
          <w:caps w:val="0"/>
          <w:color w:val="666666"/>
          <w:spacing w:val="0"/>
          <w:sz w:val="32"/>
          <w:szCs w:val="32"/>
          <w:shd w:val="clear" w:fill="FFFFFF"/>
          <w:lang w:val="en-US" w:eastAsia="zh-CN"/>
        </w:rPr>
      </w:pPr>
    </w:p>
    <w:tbl>
      <w:tblPr>
        <w:tblStyle w:val="19"/>
        <w:tblpPr w:leftFromText="180" w:rightFromText="180" w:vertAnchor="text" w:horzAnchor="page" w:tblpX="1644" w:tblpY="144"/>
        <w:tblOverlap w:val="never"/>
        <w:tblW w:w="10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645"/>
        <w:gridCol w:w="15"/>
        <w:gridCol w:w="862"/>
        <w:gridCol w:w="1987"/>
        <w:gridCol w:w="280"/>
        <w:gridCol w:w="534"/>
        <w:gridCol w:w="477"/>
        <w:gridCol w:w="281"/>
        <w:gridCol w:w="900"/>
        <w:gridCol w:w="533"/>
        <w:gridCol w:w="533"/>
        <w:gridCol w:w="1080"/>
        <w:gridCol w:w="62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5"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lang w:eastAsia="zh-CN"/>
              </w:rPr>
            </w:pPr>
            <w:r>
              <w:rPr>
                <w:rFonts w:hint="eastAsia" w:ascii="黑体" w:hAnsi="宋体" w:eastAsia="黑体" w:cs="黑体"/>
                <w:i w:val="0"/>
                <w:iCs w:val="0"/>
                <w:color w:val="000000"/>
                <w:sz w:val="24"/>
                <w:szCs w:val="24"/>
                <w:u w:val="none"/>
                <w:lang w:eastAsia="zh-CN"/>
              </w:rPr>
              <w:t>附件四</w:t>
            </w:r>
          </w:p>
        </w:tc>
        <w:tc>
          <w:tcPr>
            <w:tcW w:w="2849"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77"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81"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c>
          <w:tcPr>
            <w:tcW w:w="6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Theme="minorEastAsia" w:hAnsiTheme="minorEastAsia" w:eastAsiaTheme="minorEastAsia" w:cstheme="minorEastAsia"/>
                <w:color w:val="000000"/>
                <w:sz w:val="21"/>
                <w:szCs w:val="21"/>
                <w:lang w:val="en-US" w:eastAsia="zh-CN"/>
              </w:rPr>
              <w:t>龙源镇新街口道路抢修工程</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谭正宜15983933779</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龙源</w:t>
            </w:r>
            <w:r>
              <w:rPr>
                <w:rFonts w:hint="eastAsia" w:ascii="宋体" w:hAnsi="宋体" w:eastAsia="宋体" w:cs="宋体"/>
                <w:i w:val="0"/>
                <w:iCs w:val="0"/>
                <w:color w:val="000000"/>
                <w:kern w:val="0"/>
                <w:sz w:val="20"/>
                <w:szCs w:val="20"/>
                <w:u w:val="none"/>
                <w:lang w:val="en-US" w:eastAsia="zh-CN" w:bidi="ar"/>
              </w:rPr>
              <w:t>镇人民政府</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龙源</w:t>
            </w:r>
            <w:r>
              <w:rPr>
                <w:rFonts w:hint="eastAsia" w:ascii="宋体" w:hAnsi="宋体" w:eastAsia="宋体" w:cs="宋体"/>
                <w:i w:val="0"/>
                <w:iCs w:val="0"/>
                <w:color w:val="000000"/>
                <w:kern w:val="0"/>
                <w:sz w:val="20"/>
                <w:szCs w:val="20"/>
                <w:u w:val="none"/>
                <w:lang w:val="en-US" w:eastAsia="zh-CN" w:bidi="ar"/>
              </w:rPr>
              <w:t>镇人民政府</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 xml:space="preserve"> 其中：中央、省、市财政资金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 xml:space="preserve">       县级财政资金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 xml:space="preserve">       其他资金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化解垃圾场设计变更产生的债务</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33.64</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2022年底完成隐性债务化解</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政府社会诚信度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农民工对工程结算满意度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6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r>
    </w:tbl>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4" w:type="first"/>
          <w:footerReference r:id="rId3" w:type="default"/>
          <w:pgSz w:w="11907" w:h="16840"/>
          <w:pgMar w:top="1587" w:right="1587" w:bottom="1587" w:left="1587" w:header="907" w:footer="1020" w:gutter="0"/>
          <w:pgNumType w:fmt="decimal"/>
          <w:cols w:space="720" w:num="1"/>
          <w:docGrid w:linePitch="312" w:charSpace="0"/>
        </w:sect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32"/>
          <w:rFonts w:hint="eastAsia" w:ascii="黑体" w:hAnsi="黑体" w:eastAsia="黑体"/>
          <w:b w:val="0"/>
        </w:rPr>
        <w:t>五部分 附表</w:t>
      </w:r>
      <w:bookmarkEnd w:id="57"/>
      <w:bookmarkEnd w:id="59"/>
      <w:bookmarkStart w:id="60" w:name="_Toc15396619"/>
    </w:p>
    <w:p>
      <w:pPr>
        <w:pStyle w:val="5"/>
        <w:rPr>
          <w:rFonts w:ascii="仿宋" w:hAnsi="仿宋" w:eastAsia="仿宋"/>
        </w:rPr>
      </w:pPr>
      <w:r>
        <w:rPr>
          <w:rFonts w:hint="eastAsia" w:ascii="仿宋" w:hAnsi="仿宋" w:eastAsia="仿宋"/>
          <w:b w:val="0"/>
        </w:rPr>
        <w:t>一、收</w:t>
      </w:r>
      <w:r>
        <w:rPr>
          <w:rStyle w:val="33"/>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33"/>
          <w:rFonts w:hint="eastAsia" w:ascii="仿宋" w:hAnsi="仿宋" w:eastAsia="仿宋"/>
          <w:b w:val="0"/>
          <w:bCs w:val="0"/>
        </w:rPr>
        <w:t>入决算表</w:t>
      </w:r>
      <w:bookmarkEnd w:id="61"/>
    </w:p>
    <w:p>
      <w:pPr>
        <w:pStyle w:val="5"/>
        <w:rPr>
          <w:rFonts w:ascii="仿宋" w:hAnsi="仿宋" w:eastAsia="仿宋"/>
        </w:rPr>
      </w:pPr>
      <w:bookmarkStart w:id="62" w:name="_Toc15396621"/>
      <w:r>
        <w:rPr>
          <w:rStyle w:val="33"/>
          <w:rFonts w:hint="eastAsia" w:ascii="仿宋" w:hAnsi="仿宋" w:eastAsia="仿宋"/>
          <w:b w:val="0"/>
          <w:bCs w:val="0"/>
        </w:rPr>
        <w:t>三、</w:t>
      </w:r>
      <w:r>
        <w:rPr>
          <w:rFonts w:hint="eastAsia" w:ascii="仿宋" w:hAnsi="仿宋" w:eastAsia="仿宋"/>
          <w:b w:val="0"/>
        </w:rPr>
        <w:t>支</w:t>
      </w:r>
      <w:r>
        <w:rPr>
          <w:rStyle w:val="33"/>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33"/>
          <w:rFonts w:hint="eastAsia" w:ascii="仿宋" w:hAnsi="仿宋" w:eastAsia="仿宋"/>
          <w:b w:val="0"/>
          <w:bCs w:val="0"/>
        </w:rPr>
        <w:t>四、</w:t>
      </w:r>
      <w:r>
        <w:rPr>
          <w:rFonts w:hint="eastAsia" w:ascii="仿宋" w:hAnsi="仿宋" w:eastAsia="仿宋"/>
          <w:b w:val="0"/>
        </w:rPr>
        <w:t>财</w:t>
      </w:r>
      <w:r>
        <w:rPr>
          <w:rStyle w:val="33"/>
          <w:rFonts w:hint="eastAsia" w:ascii="仿宋" w:hAnsi="仿宋" w:eastAsia="仿宋"/>
          <w:b w:val="0"/>
          <w:bCs w:val="0"/>
        </w:rPr>
        <w:t>政拨款收入支出决算总表</w:t>
      </w:r>
      <w:bookmarkEnd w:id="63"/>
    </w:p>
    <w:p>
      <w:pPr>
        <w:pStyle w:val="5"/>
        <w:rPr>
          <w:rStyle w:val="33"/>
          <w:rFonts w:ascii="仿宋" w:hAnsi="仿宋" w:eastAsia="仿宋"/>
          <w:b w:val="0"/>
          <w:bCs w:val="0"/>
        </w:rPr>
      </w:pPr>
      <w:bookmarkStart w:id="64" w:name="_Toc15396623"/>
      <w:r>
        <w:rPr>
          <w:rStyle w:val="33"/>
          <w:rFonts w:hint="eastAsia" w:ascii="仿宋" w:hAnsi="仿宋" w:eastAsia="仿宋"/>
          <w:b w:val="0"/>
          <w:bCs w:val="0"/>
        </w:rPr>
        <w:t>五、</w:t>
      </w:r>
      <w:r>
        <w:rPr>
          <w:rFonts w:hint="eastAsia" w:ascii="仿宋" w:hAnsi="仿宋" w:eastAsia="仿宋"/>
          <w:b w:val="0"/>
        </w:rPr>
        <w:t>财</w:t>
      </w:r>
      <w:r>
        <w:rPr>
          <w:rStyle w:val="33"/>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33"/>
          <w:rFonts w:hint="eastAsia" w:ascii="仿宋" w:hAnsi="仿宋" w:eastAsia="仿宋"/>
          <w:b w:val="0"/>
          <w:bCs w:val="0"/>
        </w:rPr>
        <w:t>六、</w:t>
      </w:r>
      <w:r>
        <w:rPr>
          <w:rFonts w:hint="eastAsia" w:ascii="仿宋" w:hAnsi="仿宋" w:eastAsia="仿宋"/>
          <w:b w:val="0"/>
        </w:rPr>
        <w:t>一</w:t>
      </w:r>
      <w:r>
        <w:rPr>
          <w:rStyle w:val="33"/>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33"/>
          <w:rFonts w:hint="eastAsia" w:ascii="仿宋" w:hAnsi="仿宋" w:eastAsia="仿宋"/>
          <w:b w:val="0"/>
          <w:bCs w:val="0"/>
        </w:rPr>
        <w:t>七、</w:t>
      </w:r>
      <w:r>
        <w:rPr>
          <w:rFonts w:hint="eastAsia" w:ascii="仿宋" w:hAnsi="仿宋" w:eastAsia="仿宋"/>
          <w:b w:val="0"/>
        </w:rPr>
        <w:t>一</w:t>
      </w:r>
      <w:r>
        <w:rPr>
          <w:rStyle w:val="33"/>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33"/>
          <w:rFonts w:hint="eastAsia" w:ascii="仿宋" w:hAnsi="仿宋" w:eastAsia="仿宋"/>
          <w:b w:val="0"/>
          <w:bCs w:val="0"/>
        </w:rPr>
        <w:t>八、</w:t>
      </w:r>
      <w:r>
        <w:rPr>
          <w:rFonts w:hint="eastAsia" w:ascii="仿宋" w:hAnsi="仿宋" w:eastAsia="仿宋"/>
          <w:b w:val="0"/>
        </w:rPr>
        <w:t>一</w:t>
      </w:r>
      <w:r>
        <w:rPr>
          <w:rStyle w:val="33"/>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33"/>
          <w:rFonts w:hint="eastAsia" w:ascii="仿宋" w:hAnsi="仿宋" w:eastAsia="仿宋"/>
          <w:b w:val="0"/>
          <w:bCs w:val="0"/>
        </w:rPr>
        <w:t>九、</w:t>
      </w:r>
      <w:r>
        <w:rPr>
          <w:rFonts w:hint="eastAsia" w:ascii="仿宋" w:hAnsi="仿宋" w:eastAsia="仿宋"/>
          <w:b w:val="0"/>
        </w:rPr>
        <w:t>一</w:t>
      </w:r>
      <w:r>
        <w:rPr>
          <w:rStyle w:val="33"/>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33"/>
          <w:rFonts w:hint="eastAsia" w:ascii="仿宋" w:hAnsi="仿宋" w:eastAsia="仿宋"/>
          <w:b w:val="0"/>
          <w:bCs w:val="0"/>
        </w:rPr>
        <w:t>十、</w:t>
      </w:r>
      <w:bookmarkEnd w:id="69"/>
      <w:r>
        <w:rPr>
          <w:rFonts w:hint="eastAsia" w:ascii="仿宋" w:hAnsi="仿宋" w:eastAsia="仿宋"/>
          <w:b w:val="0"/>
        </w:rPr>
        <w:t>政</w:t>
      </w:r>
      <w:r>
        <w:rPr>
          <w:rStyle w:val="33"/>
          <w:rFonts w:hint="eastAsia" w:ascii="仿宋" w:hAnsi="仿宋" w:eastAsia="仿宋"/>
          <w:b w:val="0"/>
          <w:bCs w:val="0"/>
        </w:rPr>
        <w:t>府性基金预算财政拨款收入支出决算表</w:t>
      </w:r>
    </w:p>
    <w:p>
      <w:pPr>
        <w:pStyle w:val="5"/>
        <w:rPr>
          <w:rFonts w:ascii="仿宋" w:hAnsi="仿宋" w:eastAsia="仿宋"/>
        </w:rPr>
      </w:pPr>
      <w:bookmarkStart w:id="70" w:name="_Toc15396629"/>
      <w:r>
        <w:rPr>
          <w:rStyle w:val="33"/>
          <w:rFonts w:hint="eastAsia" w:ascii="仿宋" w:hAnsi="仿宋" w:eastAsia="仿宋"/>
          <w:b w:val="0"/>
          <w:bCs w:val="0"/>
        </w:rPr>
        <w:t>十一、</w:t>
      </w:r>
      <w:bookmarkEnd w:id="70"/>
      <w:r>
        <w:rPr>
          <w:rFonts w:hint="eastAsia" w:ascii="仿宋" w:hAnsi="仿宋" w:eastAsia="仿宋"/>
          <w:b w:val="0"/>
        </w:rPr>
        <w:t>国</w:t>
      </w:r>
      <w:r>
        <w:rPr>
          <w:rStyle w:val="33"/>
          <w:rFonts w:hint="eastAsia" w:ascii="仿宋" w:hAnsi="仿宋" w:eastAsia="仿宋"/>
          <w:b w:val="0"/>
          <w:bCs w:val="0"/>
        </w:rPr>
        <w:t>有资本经营预算财政拨款收入支出决算表</w:t>
      </w:r>
    </w:p>
    <w:p>
      <w:pPr>
        <w:pStyle w:val="5"/>
        <w:rPr>
          <w:rFonts w:ascii="仿宋" w:hAnsi="仿宋" w:eastAsia="仿宋"/>
        </w:rPr>
      </w:pPr>
      <w:bookmarkStart w:id="71" w:name="_Toc15396630"/>
      <w:r>
        <w:rPr>
          <w:rStyle w:val="33"/>
          <w:rFonts w:hint="eastAsia" w:ascii="仿宋" w:hAnsi="仿宋" w:eastAsia="仿宋"/>
          <w:b w:val="0"/>
          <w:bCs w:val="0"/>
        </w:rPr>
        <w:t>十二、</w:t>
      </w:r>
      <w:bookmarkEnd w:id="71"/>
      <w:r>
        <w:rPr>
          <w:rStyle w:val="33"/>
          <w:rFonts w:hint="eastAsia" w:ascii="仿宋" w:hAnsi="仿宋" w:eastAsia="仿宋"/>
          <w:b w:val="0"/>
          <w:bCs w:val="0"/>
        </w:rPr>
        <w:t>国有资本经营预算财政拨款支出决算表</w:t>
      </w:r>
    </w:p>
    <w:p>
      <w:pPr>
        <w:pStyle w:val="5"/>
        <w:rPr>
          <w:rFonts w:eastAsia="仿宋"/>
        </w:rPr>
      </w:pPr>
      <w:bookmarkStart w:id="72" w:name="_Toc15396631"/>
      <w:r>
        <w:rPr>
          <w:rStyle w:val="33"/>
          <w:rFonts w:hint="eastAsia" w:ascii="仿宋" w:hAnsi="仿宋" w:eastAsia="仿宋"/>
          <w:b w:val="0"/>
          <w:bCs w:val="0"/>
        </w:rPr>
        <w:t>十三、</w:t>
      </w:r>
      <w:bookmarkEnd w:id="72"/>
      <w:r>
        <w:rPr>
          <w:rStyle w:val="33"/>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eastAsia="宋体"/>
        <w:lang w:val="en-US" w:eastAsia="zh-CN"/>
      </w:rPr>
    </w:pPr>
    <w:r>
      <w:rPr>
        <w:rFonts w:hint="eastAsia"/>
        <w:lang w:val="en-US" w:eastAsia="zh-CN"/>
      </w:rPr>
      <w:t>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C7CA2"/>
    <w:multiLevelType w:val="singleLevel"/>
    <w:tmpl w:val="AF1C7CA2"/>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AA2C112"/>
    <w:multiLevelType w:val="singleLevel"/>
    <w:tmpl w:val="7AA2C112"/>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0914"/>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4AC7907"/>
    <w:rsid w:val="050462CD"/>
    <w:rsid w:val="050F6516"/>
    <w:rsid w:val="066E0107"/>
    <w:rsid w:val="06840B3B"/>
    <w:rsid w:val="07996F6E"/>
    <w:rsid w:val="085C714C"/>
    <w:rsid w:val="087A5757"/>
    <w:rsid w:val="08E81855"/>
    <w:rsid w:val="091343F8"/>
    <w:rsid w:val="0A2032A3"/>
    <w:rsid w:val="0BA94BA0"/>
    <w:rsid w:val="0D5B5A63"/>
    <w:rsid w:val="0F493293"/>
    <w:rsid w:val="0F98263C"/>
    <w:rsid w:val="101860EC"/>
    <w:rsid w:val="10567FDB"/>
    <w:rsid w:val="10C055FF"/>
    <w:rsid w:val="118107EC"/>
    <w:rsid w:val="133B4C77"/>
    <w:rsid w:val="13D50BC4"/>
    <w:rsid w:val="15AB71A9"/>
    <w:rsid w:val="16BB723D"/>
    <w:rsid w:val="170D692B"/>
    <w:rsid w:val="17AA23CB"/>
    <w:rsid w:val="17EA27C8"/>
    <w:rsid w:val="19264F6F"/>
    <w:rsid w:val="19550115"/>
    <w:rsid w:val="19C81C35"/>
    <w:rsid w:val="1BE8440E"/>
    <w:rsid w:val="1D155CEE"/>
    <w:rsid w:val="1D3C7281"/>
    <w:rsid w:val="1DA07278"/>
    <w:rsid w:val="1DDD4049"/>
    <w:rsid w:val="1FF35744"/>
    <w:rsid w:val="22594F13"/>
    <w:rsid w:val="23860B96"/>
    <w:rsid w:val="240371BF"/>
    <w:rsid w:val="244A2F6C"/>
    <w:rsid w:val="250F386E"/>
    <w:rsid w:val="25B2697E"/>
    <w:rsid w:val="27D37048"/>
    <w:rsid w:val="29FD04D3"/>
    <w:rsid w:val="2B9C3DCE"/>
    <w:rsid w:val="2C8A61B5"/>
    <w:rsid w:val="2D9047DE"/>
    <w:rsid w:val="2DF04E50"/>
    <w:rsid w:val="2F040D46"/>
    <w:rsid w:val="319F7F4E"/>
    <w:rsid w:val="3304709D"/>
    <w:rsid w:val="36426BE7"/>
    <w:rsid w:val="36AA5135"/>
    <w:rsid w:val="36DF2C44"/>
    <w:rsid w:val="376D39B2"/>
    <w:rsid w:val="37BC6D21"/>
    <w:rsid w:val="37E16F03"/>
    <w:rsid w:val="38D469F0"/>
    <w:rsid w:val="3902751A"/>
    <w:rsid w:val="3C561A2F"/>
    <w:rsid w:val="3C8641D0"/>
    <w:rsid w:val="3D6759D2"/>
    <w:rsid w:val="3D98207C"/>
    <w:rsid w:val="3E78745D"/>
    <w:rsid w:val="43010842"/>
    <w:rsid w:val="441D16AC"/>
    <w:rsid w:val="44E268DA"/>
    <w:rsid w:val="48D16F09"/>
    <w:rsid w:val="4A1E1CDA"/>
    <w:rsid w:val="4A583256"/>
    <w:rsid w:val="4A627F82"/>
    <w:rsid w:val="4B0E749A"/>
    <w:rsid w:val="4B4F25DA"/>
    <w:rsid w:val="4B9F509C"/>
    <w:rsid w:val="4BE068DB"/>
    <w:rsid w:val="4C8B2AFF"/>
    <w:rsid w:val="4D577224"/>
    <w:rsid w:val="4DC3171D"/>
    <w:rsid w:val="4DE1199C"/>
    <w:rsid w:val="4EAB630A"/>
    <w:rsid w:val="4ECE2238"/>
    <w:rsid w:val="50581AFE"/>
    <w:rsid w:val="50CC06E1"/>
    <w:rsid w:val="534E7AD3"/>
    <w:rsid w:val="537E6D0A"/>
    <w:rsid w:val="552B6865"/>
    <w:rsid w:val="58C12AF6"/>
    <w:rsid w:val="59E940B2"/>
    <w:rsid w:val="5AB3646E"/>
    <w:rsid w:val="5AF92295"/>
    <w:rsid w:val="5B1A4A87"/>
    <w:rsid w:val="5CD71FC4"/>
    <w:rsid w:val="612400C6"/>
    <w:rsid w:val="6B4B3950"/>
    <w:rsid w:val="6C4A05C8"/>
    <w:rsid w:val="6D2D0F6B"/>
    <w:rsid w:val="6E062E93"/>
    <w:rsid w:val="6E7E3605"/>
    <w:rsid w:val="6FF5CC65"/>
    <w:rsid w:val="715C0E4B"/>
    <w:rsid w:val="72734D90"/>
    <w:rsid w:val="72DB610A"/>
    <w:rsid w:val="73AD73D5"/>
    <w:rsid w:val="73B6EB34"/>
    <w:rsid w:val="73EA4D06"/>
    <w:rsid w:val="744731E5"/>
    <w:rsid w:val="74836A59"/>
    <w:rsid w:val="76BD44A5"/>
    <w:rsid w:val="76E3355F"/>
    <w:rsid w:val="76EC401C"/>
    <w:rsid w:val="778769C8"/>
    <w:rsid w:val="7856695F"/>
    <w:rsid w:val="78911745"/>
    <w:rsid w:val="79EE5BA4"/>
    <w:rsid w:val="7A227C1D"/>
    <w:rsid w:val="7A894339"/>
    <w:rsid w:val="7B6B320F"/>
    <w:rsid w:val="7CD11861"/>
    <w:rsid w:val="7D7004C3"/>
    <w:rsid w:val="7EEF11D3"/>
    <w:rsid w:val="7F475AAC"/>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8">
    <w:name w:val="Body Text"/>
    <w:basedOn w:val="1"/>
    <w:link w:val="29"/>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unhideWhenUsed/>
    <w:qFormat/>
    <w:uiPriority w:val="99"/>
    <w:pPr>
      <w:spacing w:line="620" w:lineRule="exact"/>
    </w:pPr>
    <w:rPr>
      <w:rFonts w:ascii="宋体" w:hAnsi="Courier New" w:cs="Courier New"/>
      <w:szCs w:val="21"/>
    </w:rPr>
  </w:style>
  <w:style w:type="paragraph" w:styleId="11">
    <w:name w:val="Balloon Text"/>
    <w:basedOn w:val="1"/>
    <w:link w:val="35"/>
    <w:semiHidden/>
    <w:unhideWhenUsed/>
    <w:qFormat/>
    <w:uiPriority w:val="99"/>
    <w:rPr>
      <w:sz w:val="18"/>
      <w:szCs w:val="18"/>
    </w:rPr>
  </w:style>
  <w:style w:type="paragraph" w:styleId="12">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8"/>
    <w:qFormat/>
    <w:uiPriority w:val="0"/>
    <w:pPr>
      <w:ind w:firstLine="420" w:firstLineChars="100"/>
    </w:pPr>
  </w:style>
  <w:style w:type="character" w:styleId="21">
    <w:name w:val="Strong"/>
    <w:basedOn w:val="20"/>
    <w:qFormat/>
    <w:uiPriority w:val="99"/>
    <w:rPr>
      <w:b/>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paragraph" w:customStyle="1" w:styleId="23">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4">
    <w:name w:val="Header Char"/>
    <w:basedOn w:val="20"/>
    <w:semiHidden/>
    <w:qFormat/>
    <w:uiPriority w:val="99"/>
    <w:rPr>
      <w:rFonts w:ascii="Times New Roman" w:hAnsi="Times New Roman"/>
      <w:sz w:val="18"/>
      <w:szCs w:val="18"/>
    </w:rPr>
  </w:style>
  <w:style w:type="character" w:customStyle="1" w:styleId="25">
    <w:name w:val="页眉 字符"/>
    <w:link w:val="13"/>
    <w:semiHidden/>
    <w:qFormat/>
    <w:locked/>
    <w:uiPriority w:val="99"/>
    <w:rPr>
      <w:sz w:val="18"/>
    </w:rPr>
  </w:style>
  <w:style w:type="character" w:customStyle="1" w:styleId="26">
    <w:name w:val="Footer Char"/>
    <w:basedOn w:val="20"/>
    <w:semiHidden/>
    <w:qFormat/>
    <w:uiPriority w:val="99"/>
    <w:rPr>
      <w:rFonts w:ascii="Times New Roman" w:hAnsi="Times New Roman"/>
      <w:sz w:val="18"/>
      <w:szCs w:val="18"/>
    </w:rPr>
  </w:style>
  <w:style w:type="character" w:customStyle="1" w:styleId="27">
    <w:name w:val="页脚 字符"/>
    <w:link w:val="12"/>
    <w:qFormat/>
    <w:locked/>
    <w:uiPriority w:val="99"/>
    <w:rPr>
      <w:sz w:val="18"/>
    </w:rPr>
  </w:style>
  <w:style w:type="character" w:customStyle="1" w:styleId="28">
    <w:name w:val="Body Text Char"/>
    <w:basedOn w:val="20"/>
    <w:semiHidden/>
    <w:qFormat/>
    <w:uiPriority w:val="99"/>
    <w:rPr>
      <w:rFonts w:ascii="Times New Roman" w:hAnsi="Times New Roman"/>
      <w:szCs w:val="24"/>
    </w:rPr>
  </w:style>
  <w:style w:type="character" w:customStyle="1" w:styleId="29">
    <w:name w:val="正文文本 字符"/>
    <w:link w:val="8"/>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字符"/>
    <w:basedOn w:val="20"/>
    <w:link w:val="4"/>
    <w:qFormat/>
    <w:uiPriority w:val="9"/>
    <w:rPr>
      <w:rFonts w:ascii="Times New Roman" w:hAnsi="Times New Roman"/>
      <w:b/>
      <w:bCs/>
      <w:kern w:val="44"/>
      <w:sz w:val="44"/>
      <w:szCs w:val="44"/>
    </w:rPr>
  </w:style>
  <w:style w:type="character" w:customStyle="1" w:styleId="33">
    <w:name w:val="标题 2 字符"/>
    <w:basedOn w:val="20"/>
    <w:link w:val="5"/>
    <w:qFormat/>
    <w:uiPriority w:val="9"/>
    <w:rPr>
      <w:rFonts w:asciiTheme="majorHAnsi" w:hAnsiTheme="majorHAnsi" w:eastAsiaTheme="majorEastAsia" w:cstheme="majorBidi"/>
      <w:b/>
      <w:bCs/>
      <w:kern w:val="2"/>
      <w:sz w:val="32"/>
      <w:szCs w:val="32"/>
    </w:rPr>
  </w:style>
  <w:style w:type="paragraph" w:customStyle="1" w:styleId="34">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字符"/>
    <w:basedOn w:val="20"/>
    <w:link w:val="11"/>
    <w:semiHidden/>
    <w:qFormat/>
    <w:uiPriority w:val="99"/>
    <w:rPr>
      <w:rFonts w:ascii="Times New Roman" w:hAnsi="Times New Roman"/>
      <w:kern w:val="2"/>
      <w:sz w:val="18"/>
      <w:szCs w:val="18"/>
    </w:rPr>
  </w:style>
  <w:style w:type="character" w:customStyle="1" w:styleId="36">
    <w:name w:val="标题 3 字符"/>
    <w:basedOn w:val="20"/>
    <w:link w:val="6"/>
    <w:qFormat/>
    <w:uiPriority w:val="9"/>
    <w:rPr>
      <w:rFonts w:ascii="Times New Roman" w:hAnsi="Times New Roman"/>
      <w:b/>
      <w:bCs/>
      <w:kern w:val="2"/>
      <w:sz w:val="32"/>
      <w:szCs w:val="32"/>
    </w:rPr>
  </w:style>
  <w:style w:type="paragraph" w:customStyle="1" w:styleId="37">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四号正文"/>
    <w:basedOn w:val="1"/>
    <w:qFormat/>
    <w:uiPriority w:val="0"/>
    <w:pPr>
      <w:spacing w:line="360" w:lineRule="auto"/>
    </w:pPr>
    <w:rPr>
      <w:rFonts w:ascii="??" w:hAnsi="??"/>
      <w:color w:val="000000"/>
      <w:kern w:val="0"/>
      <w:sz w:val="28"/>
      <w:szCs w:val="21"/>
      <w:lang w:val="zh-CN"/>
    </w:rPr>
  </w:style>
  <w:style w:type="character" w:customStyle="1" w:styleId="39">
    <w:name w:val="font41"/>
    <w:basedOn w:val="20"/>
    <w:qFormat/>
    <w:uiPriority w:val="0"/>
    <w:rPr>
      <w:rFonts w:hint="eastAsia" w:ascii="宋体" w:hAnsi="宋体" w:eastAsia="宋体" w:cs="宋体"/>
      <w:color w:val="000000"/>
      <w:sz w:val="20"/>
      <w:szCs w:val="20"/>
      <w:u w:val="none"/>
    </w:rPr>
  </w:style>
  <w:style w:type="character" w:customStyle="1" w:styleId="40">
    <w:name w:val="font51"/>
    <w:basedOn w:val="20"/>
    <w:qFormat/>
    <w:uiPriority w:val="0"/>
    <w:rPr>
      <w:rFonts w:hint="eastAsia" w:ascii="宋体" w:hAnsi="宋体" w:eastAsia="宋体" w:cs="宋体"/>
      <w:color w:val="000000"/>
      <w:sz w:val="20"/>
      <w:szCs w:val="20"/>
      <w:u w:val="none"/>
    </w:rPr>
  </w:style>
  <w:style w:type="character" w:customStyle="1" w:styleId="41">
    <w:name w:val="font61"/>
    <w:basedOn w:val="20"/>
    <w:qFormat/>
    <w:uiPriority w:val="0"/>
    <w:rPr>
      <w:rFonts w:hint="eastAsia" w:ascii="宋体" w:hAnsi="宋体" w:eastAsia="宋体" w:cs="宋体"/>
      <w:color w:val="000000"/>
      <w:sz w:val="16"/>
      <w:szCs w:val="16"/>
      <w:u w:val="none"/>
    </w:rPr>
  </w:style>
  <w:style w:type="paragraph" w:customStyle="1" w:styleId="42">
    <w:name w:val="WPSOffice手动目录 1"/>
    <w:qFormat/>
    <w:uiPriority w:val="0"/>
    <w:pPr>
      <w:ind w:leftChars="0"/>
    </w:pPr>
    <w:rPr>
      <w:rFonts w:asciiTheme="minorHAnsi" w:hAnsiTheme="minorHAnsi" w:eastAsiaTheme="minorEastAsia" w:cstheme="minorBidi"/>
      <w:sz w:val="20"/>
      <w:szCs w:val="20"/>
    </w:rPr>
  </w:style>
  <w:style w:type="paragraph" w:customStyle="1" w:styleId="4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915;&#31639;&#20844;&#24320;\2021&#20915;&#31639;&#20844;&#24320;\&#21073;&#38401;&#21439;&#40857;&#28304;&#38215;&#20154;&#27665;&#25919;&#24220;2021&#24180;&#20844;&#2432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40857;&#28304;&#20915;&#31639;.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40857;&#28304;&#20915;&#31639;.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G:\&#20915;&#31639;&#20844;&#24320;\2021&#20915;&#31639;&#20844;&#24320;\&#21073;&#38401;&#21439;&#40857;&#28304;&#38215;&#20154;&#27665;&#25919;&#24220;2021&#24180;&#20844;&#24320;&#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40857;&#28304;&#20915;&#31639;.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40857;&#28304;&#20915;&#31639;.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2&#40857;&#28304;&#20915;&#3163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收入、支出决算变动表</a:t>
            </a:r>
            <a:r>
              <a:rPr lang="en-US" altLang="zh-CN"/>
              <a:t>    </a:t>
            </a:r>
            <a:endParaRPr lang="en-US" altLang="zh-CN"/>
          </a:p>
          <a:p>
            <a:pPr defTabSz="914400">
              <a:defRPr lang="zh-CN" sz="1400" b="1" i="0" u="none" strike="noStrike" kern="1200" baseline="0">
                <a:solidFill>
                  <a:schemeClr val="dk1">
                    <a:lumMod val="75000"/>
                    <a:lumOff val="25000"/>
                  </a:schemeClr>
                </a:solidFill>
                <a:latin typeface="+mn-lt"/>
                <a:ea typeface="+mn-ea"/>
                <a:cs typeface="+mn-cs"/>
              </a:defRPr>
            </a:pPr>
            <a:r>
              <a:rPr lang="en-US" altLang="zh-CN"/>
              <a:t>                        </a:t>
            </a:r>
            <a:r>
              <a:rPr lang="en-US" altLang="zh-CN" sz="800"/>
              <a:t>                                                                </a:t>
            </a:r>
            <a:r>
              <a:rPr altLang="en-US" sz="800"/>
              <a:t>单位：万元</a:t>
            </a:r>
            <a:endParaRPr lang="en-US" altLang="en-US" sz="800"/>
          </a:p>
        </c:rich>
      </c:tx>
      <c:layout>
        <c:manualLayout>
          <c:xMode val="edge"/>
          <c:yMode val="edge"/>
          <c:x val="0.206979574512318"/>
          <c:y val="0.0374630450849963"/>
        </c:manualLayout>
      </c:layout>
      <c:overlay val="0"/>
      <c:spPr>
        <a:noFill/>
        <a:ln>
          <a:noFill/>
        </a:ln>
        <a:effectLst/>
      </c:spPr>
    </c:title>
    <c:autoTitleDeleted val="0"/>
    <c:plotArea>
      <c:layout/>
      <c:barChart>
        <c:barDir val="col"/>
        <c:grouping val="clustered"/>
        <c:varyColors val="0"/>
        <c:ser>
          <c:idx val="0"/>
          <c:order val="0"/>
          <c:tx>
            <c:strRef>
              <c:f>'[剑阁县龙源镇人民政府2021年公开表.xls]Z01 收入支出决算总表(财决公开01表)'!$I$11</c:f>
              <c:strCache>
                <c:ptCount val="1"/>
                <c:pt idx="0">
                  <c:v>2021</c:v>
                </c:pt>
              </c:strCache>
            </c:strRef>
          </c:tx>
          <c:spPr>
            <a:solidFill>
              <a:schemeClr val="accent6">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'[剑阁县龙源镇人民政府2021年公开表.xls]Z01 收入支出决算总表(财决公开01表)'!$J$10:$K$10</c:f>
              <c:strCache>
                <c:ptCount val="2"/>
                <c:pt idx="0">
                  <c:v>收入</c:v>
                </c:pt>
                <c:pt idx="1">
                  <c:v>支出</c:v>
                </c:pt>
              </c:strCache>
            </c:strRef>
          </c:cat>
          <c:val>
            <c:numRef>
              <c:f>'[剑阁县龙源镇人民政府2021年公开表.xls]Z01 收入支出决算总表(财决公开01表)'!$J$11:$K$11</c:f>
              <c:numCache>
                <c:formatCode>General</c:formatCode>
                <c:ptCount val="2"/>
                <c:pt idx="0">
                  <c:v>1454.73</c:v>
                </c:pt>
                <c:pt idx="1">
                  <c:v>1454.73</c:v>
                </c:pt>
              </c:numCache>
            </c:numRef>
          </c:val>
        </c:ser>
        <c:ser>
          <c:idx val="1"/>
          <c:order val="1"/>
          <c:tx>
            <c:strRef>
              <c:f>'[剑阁县龙源镇人民政府2021年公开表.xls]Z01 收入支出决算总表(财决公开01表)'!$I$12</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'[剑阁县龙源镇人民政府2021年公开表.xls]Z01 收入支出决算总表(财决公开01表)'!$J$10:$K$10</c:f>
              <c:strCache>
                <c:ptCount val="2"/>
                <c:pt idx="0">
                  <c:v>收入</c:v>
                </c:pt>
                <c:pt idx="1">
                  <c:v>支出</c:v>
                </c:pt>
              </c:strCache>
            </c:strRef>
          </c:cat>
          <c:val>
            <c:numRef>
              <c:f>'[剑阁县龙源镇人民政府2021年公开表.xls]Z01 收入支出决算总表(财决公开01表)'!$J$12:$K$12</c:f>
              <c:numCache>
                <c:formatCode>General</c:formatCode>
                <c:ptCount val="2"/>
                <c:pt idx="0">
                  <c:v>1363.03</c:v>
                </c:pt>
                <c:pt idx="1">
                  <c:v>1363.03</c:v>
                </c:pt>
              </c:numCache>
            </c:numRef>
          </c:val>
        </c:ser>
        <c:dLbls>
          <c:showLegendKey val="0"/>
          <c:showVal val="1"/>
          <c:showCatName val="0"/>
          <c:showSerName val="0"/>
          <c:showPercent val="0"/>
          <c:showBubbleSize val="0"/>
        </c:dLbls>
        <c:gapWidth val="246"/>
        <c:overlap val="-28"/>
        <c:axId val="161515489"/>
        <c:axId val="583813848"/>
      </c:barChart>
      <c:catAx>
        <c:axId val="1615154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813848"/>
        <c:crosses val="autoZero"/>
        <c:auto val="1"/>
        <c:lblAlgn val="ctr"/>
        <c:lblOffset val="100"/>
        <c:noMultiLvlLbl val="0"/>
      </c:catAx>
      <c:valAx>
        <c:axId val="583813848"/>
        <c:scaling>
          <c:orientation val="minMax"/>
          <c:max val="1600"/>
          <c:min val="500"/>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5154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r>
              <a:rPr lang="en-US" altLang="zh-CN"/>
              <a:t>      </a:t>
            </a:r>
            <a:endParaRPr lang="en-US" altLang="zh-CN"/>
          </a:p>
          <a:p>
            <a:pPr defTabSz="914400">
              <a:defRPr lang="zh-CN" sz="1400" b="1" i="0" u="none" strike="noStrike" kern="1200" baseline="0">
                <a:solidFill>
                  <a:schemeClr val="dk1">
                    <a:lumMod val="75000"/>
                    <a:lumOff val="25000"/>
                  </a:schemeClr>
                </a:solidFill>
                <a:latin typeface="+mn-lt"/>
                <a:ea typeface="+mn-ea"/>
                <a:cs typeface="+mn-cs"/>
              </a:defRPr>
            </a:pPr>
            <a:r>
              <a:rPr lang="en-US" altLang="zh-CN"/>
              <a:t>               </a:t>
            </a:r>
            <a:r>
              <a:rPr lang="en-US" altLang="zh-CN" sz="800"/>
              <a:t>                                                                                                                    </a:t>
            </a:r>
            <a:r>
              <a:rPr altLang="en-US" sz="800"/>
              <a:t>单位：万元</a:t>
            </a:r>
            <a:endParaRPr lang="en-US" altLang="en-US" sz="800"/>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Lbls>
            <c:dLbl>
              <c:idx val="1"/>
              <c:layout>
                <c:manualLayout>
                  <c:x val="0.0986842105263158"/>
                  <c:y val="-0.02430555555555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'[2022龙源决算.xls]G01 收入支出决算总表(公开01表)'!$H$11:$H$12</c:f>
              <c:strCache>
                <c:ptCount val="2"/>
                <c:pt idx="0">
                  <c:v>一般公共预算财政拨款收入</c:v>
                </c:pt>
                <c:pt idx="1">
                  <c:v>政府性基金预算财政拨款收入</c:v>
                </c:pt>
              </c:strCache>
            </c:strRef>
          </c:cat>
          <c:val>
            <c:numRef>
              <c:f>'[2022龙源决算.xls]G01 收入支出决算总表(公开01表)'!$I$11:$I$12</c:f>
              <c:numCache>
                <c:formatCode>General</c:formatCode>
                <c:ptCount val="2"/>
                <c:pt idx="0">
                  <c:v>1360.38</c:v>
                </c:pt>
                <c:pt idx="1">
                  <c:v>2.65</c:v>
                </c:pt>
              </c:numCache>
            </c:numRef>
          </c:val>
        </c:ser>
        <c:dLbls>
          <c:showLegendKey val="0"/>
          <c:showVal val="1"/>
          <c:showCatName val="0"/>
          <c:showSerName val="0"/>
          <c:showPercent val="0"/>
          <c:showBubbleSize val="0"/>
        </c:dLbls>
      </c:pie3D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a:p>
            <a:pPr defTabSz="914400">
              <a:defRPr lang="zh-CN" sz="1400" b="1" i="0" u="none" strike="noStrike" kern="1200" baseline="0">
                <a:solidFill>
                  <a:schemeClr val="dk1">
                    <a:lumMod val="75000"/>
                    <a:lumOff val="25000"/>
                  </a:schemeClr>
                </a:solidFill>
                <a:latin typeface="+mn-lt"/>
                <a:ea typeface="+mn-ea"/>
                <a:cs typeface="+mn-cs"/>
              </a:defRPr>
            </a:pPr>
            <a:r>
              <a:rPr lang="en-US" altLang="zh-CN" sz="900"/>
              <a:t>                                                                                                                          </a:t>
            </a:r>
            <a:r>
              <a:rPr sz="900"/>
              <a:t>单位：万元</a:t>
            </a:r>
            <a:endParaRPr sz="900"/>
          </a:p>
        </c:rich>
      </c:tx>
      <c:layout/>
      <c:overlay val="0"/>
      <c:spPr>
        <a:noFill/>
        <a:ln>
          <a:noFill/>
        </a:ln>
        <a:effectLst/>
      </c:spPr>
    </c:title>
    <c:autoTitleDeleted val="0"/>
    <c:plotArea>
      <c:layout/>
      <c:pieChart>
        <c:varyColors val="1"/>
        <c:ser>
          <c:idx val="0"/>
          <c:order val="0"/>
          <c:spPr/>
          <c:explosion val="0"/>
          <c:dPt>
            <c:idx val="0"/>
            <c:bubble3D val="0"/>
            <c:spPr>
              <a:solidFill>
                <a:schemeClr val="accent4">
                  <a:lumMod val="40000"/>
                  <a:lumOff val="60000"/>
                </a:schemeClr>
              </a:solidFill>
              <a:ln>
                <a:noFill/>
              </a:ln>
              <a:effectLst/>
            </c:spPr>
          </c:dPt>
          <c:dPt>
            <c:idx val="1"/>
            <c:bubble3D val="0"/>
            <c:spPr>
              <a:solidFill>
                <a:schemeClr val="accent6">
                  <a:lumMod val="40000"/>
                  <a:lumOff val="60000"/>
                </a:schemeClr>
              </a:solidFill>
              <a:ln>
                <a:solidFill>
                  <a:schemeClr val="bg1"/>
                </a:solidFill>
              </a:ln>
              <a:effectLst/>
            </c:spPr>
          </c:dPt>
          <c:dPt>
            <c:idx val="2"/>
            <c:bubble3D val="0"/>
            <c:spPr>
              <a:solidFill>
                <a:schemeClr val="accent1">
                  <a:lumMod val="75000"/>
                </a:schemeClr>
              </a:solidFill>
              <a:ln>
                <a:solidFill>
                  <a:schemeClr val="bg1"/>
                </a:solidFill>
              </a:ln>
              <a:effectLst/>
            </c:spPr>
          </c:dPt>
          <c:dLbls>
            <c:dLbl>
              <c:idx val="2"/>
              <c:layout>
                <c:manualLayout>
                  <c:x val="0.0931996378255525"/>
                  <c:y val="0.005315024774106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'[2022龙源决算.xls]G10 政府性基金预算财政拨款收入支出决算表(公开10表)'!$G$25:$G$27</c:f>
              <c:strCache>
                <c:ptCount val="3"/>
                <c:pt idx="0">
                  <c:v>基本支出</c:v>
                </c:pt>
                <c:pt idx="1">
                  <c:v>项目支出</c:v>
                </c:pt>
              </c:strCache>
            </c:strRef>
          </c:cat>
          <c:val>
            <c:numRef>
              <c:f>'[2022龙源决算.xls]G10 政府性基金预算财政拨款收入支出决算表(公开10表)'!$H$25:$H$27</c:f>
              <c:numCache>
                <c:formatCode>General</c:formatCode>
                <c:ptCount val="3"/>
                <c:pt idx="0">
                  <c:v>1003.7</c:v>
                </c:pt>
                <c:pt idx="1">
                  <c:v>359.33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3">
        <a:lumMod val="20000"/>
        <a:lumOff val="80000"/>
      </a:schemeClr>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财政拨款收、支决算总计变动表</a:t>
            </a:r>
            <a:r>
              <a:rPr lang="en-US" altLang="zh-CN"/>
              <a:t>    </a:t>
            </a:r>
            <a:endParaRPr lang="en-US" altLang="zh-CN"/>
          </a:p>
          <a:p>
            <a:pPr defTabSz="914400">
              <a:defRPr lang="zh-CN" sz="1400" b="1" i="0" u="none" strike="noStrike" kern="1200" baseline="0">
                <a:solidFill>
                  <a:schemeClr val="dk1">
                    <a:lumMod val="75000"/>
                    <a:lumOff val="25000"/>
                  </a:schemeClr>
                </a:solidFill>
                <a:latin typeface="+mn-lt"/>
                <a:ea typeface="+mn-ea"/>
                <a:cs typeface="+mn-cs"/>
              </a:defRPr>
            </a:pPr>
            <a:r>
              <a:rPr lang="en-US" altLang="zh-CN"/>
              <a:t>                        </a:t>
            </a:r>
            <a:r>
              <a:rPr lang="en-US" altLang="zh-CN" sz="800"/>
              <a:t>                                                              </a:t>
            </a:r>
            <a:r>
              <a:rPr altLang="en-US" sz="800"/>
              <a:t>单位：万元</a:t>
            </a:r>
            <a:endParaRPr lang="en-US" altLang="en-US" sz="800"/>
          </a:p>
        </c:rich>
      </c:tx>
      <c:layout>
        <c:manualLayout>
          <c:xMode val="edge"/>
          <c:yMode val="edge"/>
          <c:x val="0.184611153459686"/>
          <c:y val="0.0441149297856615"/>
        </c:manualLayout>
      </c:layout>
      <c:overlay val="0"/>
      <c:spPr>
        <a:noFill/>
        <a:ln>
          <a:noFill/>
        </a:ln>
        <a:effectLst/>
      </c:spPr>
    </c:title>
    <c:autoTitleDeleted val="0"/>
    <c:plotArea>
      <c:layout/>
      <c:barChart>
        <c:barDir val="col"/>
        <c:grouping val="clustered"/>
        <c:varyColors val="0"/>
        <c:ser>
          <c:idx val="0"/>
          <c:order val="0"/>
          <c:tx>
            <c:strRef>
              <c:f>'[剑阁县龙源镇人民政府2021年公开表.xls]Z01 收入支出决算总表(财决公开01表)'!$I$11</c:f>
              <c:strCache>
                <c:ptCount val="1"/>
                <c:pt idx="0">
                  <c:v>2021</c:v>
                </c:pt>
              </c:strCache>
            </c:strRef>
          </c:tx>
          <c:spPr>
            <a:solidFill>
              <a:schemeClr val="accent6">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'[剑阁县龙源镇人民政府2021年公开表.xls]Z01 收入支出决算总表(财决公开01表)'!$J$10:$K$10</c:f>
              <c:strCache>
                <c:ptCount val="2"/>
                <c:pt idx="0">
                  <c:v>收入</c:v>
                </c:pt>
                <c:pt idx="1">
                  <c:v>支出</c:v>
                </c:pt>
              </c:strCache>
            </c:strRef>
          </c:cat>
          <c:val>
            <c:numRef>
              <c:f>'[剑阁县龙源镇人民政府2021年公开表.xls]Z01 收入支出决算总表(财决公开01表)'!$J$11:$K$11</c:f>
              <c:numCache>
                <c:formatCode>General</c:formatCode>
                <c:ptCount val="2"/>
                <c:pt idx="0">
                  <c:v>1454.73</c:v>
                </c:pt>
                <c:pt idx="1">
                  <c:v>1454.73</c:v>
                </c:pt>
              </c:numCache>
            </c:numRef>
          </c:val>
        </c:ser>
        <c:ser>
          <c:idx val="1"/>
          <c:order val="1"/>
          <c:tx>
            <c:strRef>
              <c:f>'[剑阁县龙源镇人民政府2021年公开表.xls]Z01 收入支出决算总表(财决公开01表)'!$I$12</c:f>
              <c:strCache>
                <c:ptCount val="1"/>
                <c:pt idx="0">
                  <c:v>2022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'[剑阁县龙源镇人民政府2021年公开表.xls]Z01 收入支出决算总表(财决公开01表)'!$J$10:$K$10</c:f>
              <c:strCache>
                <c:ptCount val="2"/>
                <c:pt idx="0">
                  <c:v>收入</c:v>
                </c:pt>
                <c:pt idx="1">
                  <c:v>支出</c:v>
                </c:pt>
              </c:strCache>
            </c:strRef>
          </c:cat>
          <c:val>
            <c:numRef>
              <c:f>'[剑阁县龙源镇人民政府2021年公开表.xls]Z01 收入支出决算总表(财决公开01表)'!$J$12:$K$12</c:f>
              <c:numCache>
                <c:formatCode>General</c:formatCode>
                <c:ptCount val="2"/>
                <c:pt idx="0">
                  <c:v>1363.03</c:v>
                </c:pt>
                <c:pt idx="1">
                  <c:v>1363.03</c:v>
                </c:pt>
              </c:numCache>
            </c:numRef>
          </c:val>
        </c:ser>
        <c:dLbls>
          <c:showLegendKey val="0"/>
          <c:showVal val="1"/>
          <c:showCatName val="0"/>
          <c:showSerName val="0"/>
          <c:showPercent val="0"/>
          <c:showBubbleSize val="0"/>
        </c:dLbls>
        <c:gapWidth val="246"/>
        <c:overlap val="-28"/>
        <c:axId val="161515489"/>
        <c:axId val="583813848"/>
      </c:barChart>
      <c:catAx>
        <c:axId val="1615154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813848"/>
        <c:crosses val="autoZero"/>
        <c:auto val="1"/>
        <c:lblAlgn val="ctr"/>
        <c:lblOffset val="100"/>
        <c:noMultiLvlLbl val="0"/>
      </c:catAx>
      <c:valAx>
        <c:axId val="583813848"/>
        <c:scaling>
          <c:orientation val="minMax"/>
          <c:max val="1600"/>
          <c:min val="500"/>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5154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一般公共预算财政拨款支出变动表</a:t>
            </a:r>
            <a:r>
              <a:rPr lang="en-US" altLang="zh-CN"/>
              <a:t>        </a:t>
            </a:r>
            <a:endParaRPr lang="en-US" altLang="zh-CN"/>
          </a:p>
        </c:rich>
      </c:tx>
      <c:layout/>
      <c:overlay val="0"/>
      <c:spPr>
        <a:noFill/>
        <a:ln>
          <a:noFill/>
        </a:ln>
        <a:effectLst/>
      </c:spPr>
    </c:title>
    <c:autoTitleDeleted val="0"/>
    <c:plotArea>
      <c:layout/>
      <c:lineChart>
        <c:grouping val="standard"/>
        <c:varyColors val="0"/>
        <c:ser>
          <c:idx val="0"/>
          <c:order val="0"/>
          <c:tx>
            <c:strRef>
              <c:f>'[2022龙源决算.xls]G10 政府性基金预算财政拨款收入支出决算表(公开10表)'!$E$41</c:f>
              <c:strCache>
                <c:ptCount val="1"/>
                <c:pt idx="0">
                  <c:v>一般公共预算财政拨款支出</c:v>
                </c:pt>
              </c:strCache>
            </c:strRef>
          </c:tx>
          <c:spPr>
            <a:ln w="28575" cap="rnd">
              <a:solidFill>
                <a:schemeClr val="accent5"/>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'[2022龙源决算.xls]G10 政府性基金预算财政拨款收入支出决算表(公开10表)'!$F$40:$G$40</c:f>
              <c:numCache>
                <c:formatCode>General</c:formatCode>
                <c:ptCount val="2"/>
                <c:pt idx="0">
                  <c:v>2021</c:v>
                </c:pt>
                <c:pt idx="1">
                  <c:v>2022</c:v>
                </c:pt>
              </c:numCache>
            </c:numRef>
          </c:cat>
          <c:val>
            <c:numRef>
              <c:f>'[2022龙源决算.xls]G10 政府性基金预算财政拨款收入支出决算表(公开10表)'!$F$41:$G$41</c:f>
              <c:numCache>
                <c:formatCode>General</c:formatCode>
                <c:ptCount val="2"/>
                <c:pt idx="0">
                  <c:v>1454.73</c:v>
                </c:pt>
                <c:pt idx="1">
                  <c:v>1360.38</c:v>
                </c:pt>
              </c:numCache>
            </c:numRef>
          </c:val>
          <c:smooth val="0"/>
        </c:ser>
        <c:dLbls>
          <c:showLegendKey val="0"/>
          <c:showVal val="1"/>
          <c:showCatName val="0"/>
          <c:showSerName val="0"/>
          <c:showPercent val="0"/>
          <c:showBubbleSize val="0"/>
        </c:dLbls>
        <c:marker val="1"/>
        <c:smooth val="0"/>
        <c:axId val="407579925"/>
        <c:axId val="546157316"/>
      </c:lineChart>
      <c:catAx>
        <c:axId val="4075799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6157316"/>
        <c:crosses val="autoZero"/>
        <c:auto val="1"/>
        <c:lblAlgn val="ctr"/>
        <c:lblOffset val="100"/>
        <c:noMultiLvlLbl val="0"/>
      </c:catAx>
      <c:valAx>
        <c:axId val="54615731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5799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sz="1600"/>
              <a:t>一般公共预算财政拨款支出决算结构图</a:t>
            </a:r>
            <a:endParaRPr sz="1600"/>
          </a:p>
          <a:p>
            <a:pPr defTabSz="914400">
              <a:defRPr lang="zh-CN" sz="1400" b="1" i="0" u="none" strike="noStrike" kern="1200" baseline="0">
                <a:solidFill>
                  <a:schemeClr val="dk1">
                    <a:lumMod val="75000"/>
                    <a:lumOff val="25000"/>
                  </a:schemeClr>
                </a:solidFill>
                <a:latin typeface="+mn-lt"/>
                <a:ea typeface="+mn-ea"/>
                <a:cs typeface="+mn-cs"/>
              </a:defRPr>
            </a:pPr>
            <a:r>
              <a:rPr lang="en-US" altLang="zh-CN" sz="1000"/>
              <a:t>                                                                                  </a:t>
            </a:r>
            <a:r>
              <a:rPr sz="1000"/>
              <a:t>单位：万元</a:t>
            </a:r>
            <a:endParaRPr sz="1000"/>
          </a:p>
        </c:rich>
      </c:tx>
      <c:layout>
        <c:manualLayout>
          <c:xMode val="edge"/>
          <c:yMode val="edge"/>
          <c:x val="0.178091849943978"/>
          <c:y val="0.0132705888965062"/>
        </c:manualLayout>
      </c:layout>
      <c:overlay val="0"/>
      <c:spPr>
        <a:noFill/>
        <a:ln>
          <a:noFill/>
        </a:ln>
        <a:effectLst/>
      </c:spPr>
    </c:title>
    <c:autoTitleDeleted val="0"/>
    <c:plotArea>
      <c:layout>
        <c:manualLayout>
          <c:layoutTarget val="inner"/>
          <c:xMode val="edge"/>
          <c:yMode val="edge"/>
          <c:x val="0.279952861071101"/>
          <c:y val="0.114658925979681"/>
          <c:w val="0.461830561738903"/>
          <c:h val="0.639876632801161"/>
        </c:manualLayout>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6">
                  <a:lumMod val="20000"/>
                  <a:lumOff val="8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Lbls>
            <c:dLbl>
              <c:idx val="1"/>
              <c:layout>
                <c:manualLayout>
                  <c:x val="0.052253869691589"/>
                  <c:y val="-0.05600298034839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9485614376839"/>
                  <c:y val="0.0180536888353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65480305883025"/>
                  <c:y val="-1.56159839168529e-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773195518952355"/>
                  <c:y val="0.009454551692404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19268793028602"/>
                  <c:y val="-0.01580181150240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'[2022龙源决算.xls]G06 一般公共预算财政拨款支出决算表(公开06表)'!$K$18:$K$26</c:f>
              <c:strCache>
                <c:ptCount val="9"/>
                <c:pt idx="0">
                  <c:v>一般公共服务支出</c:v>
                </c:pt>
                <c:pt idx="1">
                  <c:v>国防支出</c:v>
                </c:pt>
                <c:pt idx="2">
                  <c:v>文化旅游体育与传媒支出</c:v>
                </c:pt>
                <c:pt idx="3">
                  <c:v>社会保障和就业支出</c:v>
                </c:pt>
                <c:pt idx="4">
                  <c:v>卫生健康支出</c:v>
                </c:pt>
                <c:pt idx="5">
                  <c:v>城乡社区支出</c:v>
                </c:pt>
                <c:pt idx="6">
                  <c:v>农林水支出</c:v>
                </c:pt>
                <c:pt idx="7">
                  <c:v>住房保障支出</c:v>
                </c:pt>
                <c:pt idx="8">
                  <c:v>灾害防治及应急管理支出</c:v>
                </c:pt>
              </c:strCache>
            </c:strRef>
          </c:cat>
          <c:val>
            <c:numRef>
              <c:f>'[2022龙源决算.xls]G06 一般公共预算财政拨款支出决算表(公开06表)'!$L$18:$L$26</c:f>
              <c:numCache>
                <c:formatCode>General</c:formatCode>
                <c:ptCount val="9"/>
                <c:pt idx="0">
                  <c:v>423.25</c:v>
                </c:pt>
                <c:pt idx="1">
                  <c:v>0.23</c:v>
                </c:pt>
                <c:pt idx="2">
                  <c:v>72.86</c:v>
                </c:pt>
                <c:pt idx="3">
                  <c:v>206.88</c:v>
                </c:pt>
                <c:pt idx="4">
                  <c:v>37.86</c:v>
                </c:pt>
                <c:pt idx="5">
                  <c:v>1.68</c:v>
                </c:pt>
                <c:pt idx="6">
                  <c:v>560.65</c:v>
                </c:pt>
                <c:pt idx="7">
                  <c:v>56.77</c:v>
                </c:pt>
                <c:pt idx="8">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0410222804718218"/>
          <c:y val="0.8210144927536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a:p>
            <a:pPr defTabSz="914400">
              <a:defRPr lang="zh-CN" sz="1400" b="1" i="0" u="none" strike="noStrike" kern="1200" baseline="0">
                <a:solidFill>
                  <a:schemeClr val="dk1">
                    <a:lumMod val="75000"/>
                    <a:lumOff val="25000"/>
                  </a:schemeClr>
                </a:solidFill>
                <a:latin typeface="+mn-lt"/>
                <a:ea typeface="+mn-ea"/>
                <a:cs typeface="+mn-cs"/>
              </a:defRPr>
            </a:pPr>
            <a:r>
              <a:rPr lang="en-US" altLang="zh-CN" sz="1000"/>
              <a:t>                                                                                                 </a:t>
            </a:r>
            <a:r>
              <a:rPr sz="1000"/>
              <a:t>单位：万元</a:t>
            </a:r>
            <a:endParaRPr sz="10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6">
                  <a:lumMod val="40000"/>
                  <a:lumOff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'[2022龙源决算.xls]G13 财政拨款“三公”经费支出决算表(公开13表)'!$I$14:$I$16</c:f>
              <c:strCache>
                <c:ptCount val="3"/>
                <c:pt idx="0">
                  <c:v>因公出国（境）费</c:v>
                </c:pt>
                <c:pt idx="1">
                  <c:v>公务用车购置及运行维护费</c:v>
                </c:pt>
                <c:pt idx="2">
                  <c:v>公务接待费</c:v>
                </c:pt>
              </c:strCache>
            </c:strRef>
          </c:cat>
          <c:val>
            <c:numRef>
              <c:f>'[2022龙源决算.xls]G13 财政拨款“三公”经费支出决算表(公开13表)'!$J$14:$J$16</c:f>
              <c:numCache>
                <c:formatCode>General</c:formatCode>
                <c:ptCount val="3"/>
                <c:pt idx="0">
                  <c:v>0</c:v>
                </c:pt>
                <c:pt idx="1">
                  <c:v>0</c:v>
                </c:pt>
                <c:pt idx="2">
                  <c:v>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13232</Words>
  <Characters>14366</Characters>
  <Lines>58</Lines>
  <Paragraphs>16</Paragraphs>
  <TotalTime>0</TotalTime>
  <ScaleCrop>false</ScaleCrop>
  <LinksUpToDate>false</LinksUpToDate>
  <CharactersWithSpaces>14476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2023-12-14T07:13:49Z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70126FCAEFC24D3D9EEB3D1CF9284D05_12</vt:lpwstr>
  </property>
</Properties>
</file>