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96475"/>
      <w:bookmarkStart w:id="3" w:name="_Toc15377193"/>
      <w:bookmarkStart w:id="4" w:name="_Toc15378441"/>
      <w:bookmarkStart w:id="5" w:name="_Toc1537742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77194"/>
      <w:bookmarkStart w:id="7" w:name="_Toc15378442"/>
      <w:bookmarkStart w:id="8" w:name="_Toc15396598"/>
      <w:bookmarkStart w:id="9" w:name="_Toc15396476"/>
      <w:bookmarkStart w:id="10" w:name="_Toc15377426"/>
      <w:r>
        <w:rPr>
          <w:rFonts w:hint="eastAsia" w:ascii="方正小标宋简体" w:hAnsi="方正小标宋简体" w:eastAsia="方正小标宋简体" w:cs="方正小标宋简体"/>
          <w:sz w:val="72"/>
          <w:szCs w:val="72"/>
          <w:lang w:eastAsia="zh-CN"/>
        </w:rPr>
        <w:t>四川省</w:t>
      </w:r>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lang w:eastAsia="zh-CN"/>
        </w:rPr>
        <w:t>开封中学</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r>
        <w:rPr>
          <w:rFonts w:hint="eastAsia" w:ascii="方正小标宋简体" w:hAnsi="方正小标宋简体" w:eastAsia="方正小标宋简体" w:cs="方正小标宋简体"/>
          <w:sz w:val="72"/>
          <w:szCs w:val="72"/>
        </w:rPr>
        <w:t>公开</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w:t>
      </w:r>
      <w:r>
        <w:rPr>
          <w:rFonts w:hint="eastAsia"/>
          <w:lang w:val="en-US" w:eastAsia="zh-CN"/>
        </w:rPr>
        <w:t>11</w:t>
      </w:r>
      <w:r>
        <w:rPr>
          <w:rFonts w:hint="eastAsia"/>
        </w:rPr>
        <w:t>月</w:t>
      </w:r>
      <w:r>
        <w:rPr>
          <w:rFonts w:hint="eastAsia"/>
          <w:lang w:val="en-US" w:eastAsia="zh-CN"/>
        </w:rPr>
        <w:t>29</w:t>
      </w:r>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第一部分单位概况</w:t>
      </w:r>
    </w:p>
    <w:p>
      <w:pPr>
        <w:pStyle w:val="11"/>
        <w:adjustRightInd w:val="0"/>
        <w:snapToGrid w:val="0"/>
        <w:spacing w:line="440" w:lineRule="exact"/>
        <w:jc w:val="left"/>
        <w:rPr>
          <w:sz w:val="24"/>
        </w:rPr>
      </w:pPr>
      <w:r>
        <w:rPr>
          <w:rFonts w:hint="eastAsia"/>
          <w:sz w:val="24"/>
        </w:rPr>
        <w:t>一、主要职责及重点</w:t>
      </w:r>
      <w:r>
        <w:rPr>
          <w:sz w:val="24"/>
        </w:rPr>
        <w:t>工作</w:t>
      </w:r>
    </w:p>
    <w:p>
      <w:pPr>
        <w:pStyle w:val="11"/>
        <w:adjustRightInd w:val="0"/>
        <w:snapToGrid w:val="0"/>
        <w:spacing w:line="440" w:lineRule="exact"/>
        <w:jc w:val="left"/>
        <w:rPr>
          <w:sz w:val="24"/>
        </w:rPr>
      </w:pPr>
      <w:r>
        <w:rPr>
          <w:rFonts w:hint="eastAsia"/>
          <w:sz w:val="24"/>
        </w:rPr>
        <w:t>（一）单位</w:t>
      </w:r>
      <w:r>
        <w:rPr>
          <w:sz w:val="24"/>
        </w:rPr>
        <w:t>职责</w:t>
      </w:r>
    </w:p>
    <w:p>
      <w:pPr>
        <w:pStyle w:val="11"/>
        <w:adjustRightInd w:val="0"/>
        <w:snapToGrid w:val="0"/>
        <w:spacing w:line="440" w:lineRule="exact"/>
        <w:jc w:val="left"/>
        <w:rPr>
          <w:b/>
          <w:bCs/>
          <w:sz w:val="24"/>
        </w:rPr>
      </w:pPr>
      <w:r>
        <w:rPr>
          <w:rFonts w:hint="eastAsia"/>
          <w:sz w:val="24"/>
        </w:rPr>
        <w:t>（二）2022年重点工作完成情况</w:t>
      </w:r>
    </w:p>
    <w:p>
      <w:pPr>
        <w:pStyle w:val="11"/>
        <w:adjustRightInd w:val="0"/>
        <w:snapToGrid w:val="0"/>
        <w:spacing w:line="440" w:lineRule="exact"/>
        <w:jc w:val="left"/>
        <w:rPr>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 2022年度单位决算情况说明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jc w:val="left"/>
        <w:rPr>
          <w:sz w:val="24"/>
        </w:rPr>
      </w:pPr>
      <w:r>
        <w:rPr>
          <w:rFonts w:hint="eastAsia"/>
          <w:sz w:val="24"/>
        </w:rPr>
        <w:t>九、国有资本经营预算支出决算情况说明</w:t>
      </w:r>
    </w:p>
    <w:p>
      <w:pPr>
        <w:pStyle w:val="11"/>
        <w:adjustRightInd w:val="0"/>
        <w:snapToGrid w:val="0"/>
        <w:spacing w:line="440" w:lineRule="exact"/>
        <w:jc w:val="left"/>
        <w:rPr>
          <w:sz w:val="24"/>
        </w:rPr>
      </w:pPr>
      <w:r>
        <w:rPr>
          <w:rFonts w:hint="eastAsia"/>
          <w:sz w:val="24"/>
        </w:rPr>
        <w:t>十、其他重要事项的情况说明</w:t>
      </w:r>
    </w:p>
    <w:p>
      <w:pPr>
        <w:pStyle w:val="10"/>
        <w:adjustRightInd w:val="0"/>
        <w:snapToGrid w:val="0"/>
        <w:spacing w:before="0" w:line="440" w:lineRule="exact"/>
        <w:jc w:val="left"/>
        <w:rPr>
          <w:rFonts w:cstheme="minorBidi"/>
          <w:sz w:val="24"/>
          <w:szCs w:val="24"/>
        </w:rPr>
      </w:pPr>
      <w:r>
        <w:rPr>
          <w:rFonts w:hint="eastAsia"/>
          <w:sz w:val="24"/>
        </w:rPr>
        <w:t>第三部分名词解释</w:t>
      </w:r>
    </w:p>
    <w:p>
      <w:pPr>
        <w:pStyle w:val="10"/>
        <w:adjustRightInd w:val="0"/>
        <w:snapToGrid w:val="0"/>
        <w:spacing w:before="0" w:line="440" w:lineRule="exact"/>
        <w:jc w:val="left"/>
        <w:rPr>
          <w:rFonts w:cstheme="minorBidi"/>
          <w:sz w:val="24"/>
          <w:szCs w:val="24"/>
        </w:rPr>
      </w:pPr>
      <w:r>
        <w:rPr>
          <w:rFonts w:hint="eastAsia"/>
          <w:sz w:val="24"/>
        </w:rPr>
        <w:t>第四部分附件</w:t>
      </w:r>
    </w:p>
    <w:p>
      <w:pPr>
        <w:pStyle w:val="10"/>
        <w:adjustRightInd w:val="0"/>
        <w:snapToGrid w:val="0"/>
        <w:spacing w:before="0" w:line="440" w:lineRule="exact"/>
        <w:jc w:val="left"/>
        <w:rPr>
          <w:rFonts w:cstheme="minorBidi"/>
          <w:sz w:val="24"/>
          <w:szCs w:val="24"/>
        </w:rPr>
      </w:pPr>
      <w:r>
        <w:rPr>
          <w:rFonts w:hint="eastAsia"/>
          <w:sz w:val="24"/>
        </w:rPr>
        <w:t>第五部分附表</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八、一般公共预算财政拨款基本支出决算明细表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十、政府性基金预算财政拨款收入支出决算表</w:t>
      </w:r>
    </w:p>
    <w:p>
      <w:pPr>
        <w:pStyle w:val="11"/>
        <w:adjustRightInd w:val="0"/>
        <w:snapToGrid w:val="0"/>
        <w:spacing w:line="440" w:lineRule="exact"/>
        <w:jc w:val="left"/>
        <w:rPr>
          <w:sz w:val="24"/>
        </w:rPr>
      </w:pPr>
      <w:r>
        <w:rPr>
          <w:rFonts w:hint="eastAsia"/>
          <w:sz w:val="24"/>
        </w:rPr>
        <w:t>十一、国有资本经营预算财政拨款收入支出决算表</w:t>
      </w:r>
    </w:p>
    <w:p>
      <w:pPr>
        <w:pStyle w:val="11"/>
        <w:adjustRightInd w:val="0"/>
        <w:snapToGrid w:val="0"/>
        <w:spacing w:line="440" w:lineRule="exact"/>
        <w:jc w:val="left"/>
        <w:rPr>
          <w:sz w:val="24"/>
        </w:rPr>
      </w:pPr>
      <w:r>
        <w:rPr>
          <w:rFonts w:hint="eastAsia"/>
          <w:sz w:val="24"/>
        </w:rPr>
        <w:t>十二、国有资本经营预算财政拨款支出决算表</w:t>
      </w:r>
    </w:p>
    <w:p>
      <w:pPr>
        <w:pStyle w:val="11"/>
        <w:adjustRightInd w:val="0"/>
        <w:snapToGrid w:val="0"/>
        <w:spacing w:line="440" w:lineRule="exact"/>
        <w:jc w:val="left"/>
        <w:rPr>
          <w:sz w:val="24"/>
        </w:rPr>
      </w:pPr>
      <w:r>
        <w:rPr>
          <w:rFonts w:hint="eastAsia"/>
          <w:sz w:val="24"/>
        </w:rPr>
        <w:t>十三、财政拨款“三公”经费支出决算表</w:t>
      </w:r>
    </w:p>
    <w:p>
      <w:pPr>
        <w:widowControl/>
        <w:adjustRightInd w:val="0"/>
        <w:snapToGrid w:val="0"/>
        <w:spacing w:line="440" w:lineRule="exact"/>
        <w:ind w:firstLine="1320" w:firstLineChars="550"/>
        <w:jc w:val="left"/>
        <w:rPr>
          <w:rFonts w:ascii="仿宋" w:hAnsi="仿宋" w:eastAsia="仿宋"/>
          <w:sz w:val="24"/>
        </w:rPr>
      </w:pPr>
      <w:r>
        <w:rPr>
          <w:rFonts w:ascii="仿宋" w:hAnsi="仿宋" w:eastAsia="仿宋"/>
          <w:sz w:val="24"/>
        </w:rPr>
        <w:t>(注：</w:t>
      </w:r>
      <w:r>
        <w:rPr>
          <w:rFonts w:hint="eastAsia" w:ascii="仿宋" w:hAnsi="仿宋" w:eastAsia="仿宋"/>
          <w:sz w:val="24"/>
        </w:rPr>
        <w:t>请单位根据实际注明页码</w:t>
      </w:r>
      <w:r>
        <w:rPr>
          <w:rFonts w:ascii="仿宋" w:hAnsi="仿宋" w:eastAsia="仿宋"/>
          <w:sz w:val="24"/>
        </w:rPr>
        <w:t>)</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6"/>
          <w:rFonts w:ascii="黑体" w:hAnsi="黑体" w:eastAsia="黑体"/>
          <w:b w:val="0"/>
          <w:bCs w:val="0"/>
        </w:rPr>
      </w:pPr>
      <w:bookmarkStart w:id="14" w:name="_Toc15396600"/>
      <w:bookmarkStart w:id="15" w:name="_Toc15377197"/>
      <w:r>
        <w:rPr>
          <w:rStyle w:val="26"/>
          <w:rFonts w:hint="eastAsia" w:ascii="黑体" w:hAnsi="黑体" w:eastAsia="黑体"/>
          <w:b w:val="0"/>
          <w:bCs w:val="0"/>
        </w:rPr>
        <w:t>主要职责</w:t>
      </w:r>
    </w:p>
    <w:p>
      <w:pPr>
        <w:pStyle w:val="2"/>
        <w:adjustRightInd w:val="0"/>
        <w:snapToGrid w:val="0"/>
        <w:spacing w:before="93" w:line="600" w:lineRule="exact"/>
        <w:ind w:firstLine="672" w:firstLineChars="210"/>
        <w:outlineLvl w:val="2"/>
        <w:rPr>
          <w:rFonts w:ascii="仿宋" w:hAnsi="仿宋" w:eastAsia="仿宋" w:cs="仿宋"/>
          <w:color w:val="000000"/>
          <w:sz w:val="32"/>
          <w:szCs w:val="32"/>
        </w:rPr>
      </w:pPr>
      <w:bookmarkStart w:id="16" w:name="_Toc15377198"/>
      <w:bookmarkStart w:id="17" w:name="_Toc15378445"/>
      <w:r>
        <w:rPr>
          <w:rFonts w:hint="eastAsia" w:ascii="仿宋" w:hAnsi="仿宋" w:eastAsia="仿宋" w:cs="仿宋"/>
          <w:color w:val="000000"/>
          <w:sz w:val="32"/>
          <w:szCs w:val="32"/>
        </w:rPr>
        <w:t>（一）主要职能。</w:t>
      </w:r>
    </w:p>
    <w:p>
      <w:pPr>
        <w:pStyle w:val="2"/>
        <w:adjustRightInd w:val="0"/>
        <w:snapToGrid w:val="0"/>
        <w:spacing w:before="93" w:line="600" w:lineRule="exact"/>
        <w:ind w:firstLine="672" w:firstLineChars="210"/>
        <w:outlineLvl w:val="2"/>
        <w:rPr>
          <w:rFonts w:ascii="仿宋" w:hAnsi="仿宋" w:eastAsia="仿宋"/>
          <w:bCs/>
          <w:color w:val="000000"/>
          <w:sz w:val="32"/>
          <w:szCs w:val="32"/>
        </w:rPr>
      </w:pPr>
      <w:r>
        <w:rPr>
          <w:rFonts w:ascii="仿宋" w:hAnsi="仿宋" w:eastAsia="仿宋" w:cs="宋体"/>
          <w:color w:val="000000" w:themeColor="text1"/>
          <w:sz w:val="32"/>
          <w:szCs w:val="32"/>
          <w14:textFill>
            <w14:solidFill>
              <w14:schemeClr w14:val="tx1"/>
            </w14:solidFill>
          </w14:textFill>
        </w:rPr>
        <w:t>我单位是一所</w:t>
      </w:r>
      <w:r>
        <w:rPr>
          <w:rFonts w:hint="eastAsia" w:ascii="仿宋" w:hAnsi="仿宋" w:eastAsia="仿宋" w:cs="宋体"/>
          <w:color w:val="000000" w:themeColor="text1"/>
          <w:sz w:val="32"/>
          <w:szCs w:val="32"/>
          <w14:textFill>
            <w14:solidFill>
              <w14:schemeClr w14:val="tx1"/>
            </w14:solidFill>
          </w14:textFill>
        </w:rPr>
        <w:t>农村单一初中</w:t>
      </w:r>
      <w:r>
        <w:rPr>
          <w:rFonts w:ascii="仿宋" w:hAnsi="仿宋" w:eastAsia="仿宋" w:cs="宋体"/>
          <w:color w:val="000000" w:themeColor="text1"/>
          <w:sz w:val="32"/>
          <w:szCs w:val="32"/>
          <w14:textFill>
            <w14:solidFill>
              <w14:schemeClr w14:val="tx1"/>
            </w14:solidFill>
          </w14:textFill>
        </w:rPr>
        <w:t>。有教学班</w:t>
      </w:r>
      <w:r>
        <w:rPr>
          <w:rFonts w:hint="eastAsia" w:ascii="仿宋" w:hAnsi="仿宋" w:eastAsia="仿宋" w:cs="宋体"/>
          <w:color w:val="000000" w:themeColor="text1"/>
          <w:sz w:val="32"/>
          <w:szCs w:val="32"/>
          <w14:textFill>
            <w14:solidFill>
              <w14:schemeClr w14:val="tx1"/>
            </w14:solidFill>
          </w14:textFill>
        </w:rPr>
        <w:t>2</w:t>
      </w:r>
      <w:r>
        <w:rPr>
          <w:rFonts w:hint="eastAsia" w:ascii="仿宋" w:hAnsi="仿宋" w:eastAsia="仿宋" w:cs="宋体"/>
          <w:color w:val="000000" w:themeColor="text1"/>
          <w:sz w:val="32"/>
          <w:szCs w:val="32"/>
          <w:lang w:eastAsia="zh-CN"/>
          <w14:textFill>
            <w14:solidFill>
              <w14:schemeClr w14:val="tx1"/>
            </w14:solidFill>
          </w14:textFill>
        </w:rPr>
        <w:t>1</w:t>
      </w:r>
      <w:r>
        <w:rPr>
          <w:rFonts w:ascii="仿宋" w:hAnsi="仿宋" w:eastAsia="仿宋" w:cs="宋体"/>
          <w:color w:val="000000" w:themeColor="text1"/>
          <w:sz w:val="32"/>
          <w:szCs w:val="32"/>
          <w14:textFill>
            <w14:solidFill>
              <w14:schemeClr w14:val="tx1"/>
            </w14:solidFill>
          </w14:textFill>
        </w:rPr>
        <w:t>个，</w:t>
      </w:r>
      <w:r>
        <w:rPr>
          <w:rFonts w:hint="eastAsia" w:ascii="仿宋" w:hAnsi="仿宋" w:eastAsia="仿宋" w:cs="宋体"/>
          <w:color w:val="000000" w:themeColor="text1"/>
          <w:sz w:val="32"/>
          <w:szCs w:val="32"/>
          <w14:textFill>
            <w14:solidFill>
              <w14:schemeClr w14:val="tx1"/>
            </w14:solidFill>
          </w14:textFill>
        </w:rPr>
        <w:t>初中生</w:t>
      </w:r>
      <w:r>
        <w:rPr>
          <w:rFonts w:hint="eastAsia" w:ascii="仿宋" w:hAnsi="仿宋" w:eastAsia="仿宋" w:cs="宋体"/>
          <w:color w:val="000000" w:themeColor="text1"/>
          <w:sz w:val="32"/>
          <w:szCs w:val="32"/>
          <w:lang w:eastAsia="zh-CN"/>
          <w14:textFill>
            <w14:solidFill>
              <w14:schemeClr w14:val="tx1"/>
            </w14:solidFill>
          </w14:textFill>
        </w:rPr>
        <w:t>879</w:t>
      </w:r>
      <w:r>
        <w:rPr>
          <w:rFonts w:hint="eastAsia" w:ascii="仿宋" w:hAnsi="仿宋" w:eastAsia="仿宋" w:cs="宋体"/>
          <w:color w:val="000000" w:themeColor="text1"/>
          <w:sz w:val="32"/>
          <w:szCs w:val="32"/>
          <w14:textFill>
            <w14:solidFill>
              <w14:schemeClr w14:val="tx1"/>
            </w14:solidFill>
          </w14:textFill>
        </w:rPr>
        <w:t>人</w:t>
      </w:r>
      <w:r>
        <w:rPr>
          <w:rFonts w:ascii="仿宋" w:hAnsi="仿宋" w:eastAsia="仿宋" w:cs="宋体"/>
          <w:color w:val="000000" w:themeColor="text1"/>
          <w:sz w:val="32"/>
          <w:szCs w:val="32"/>
          <w14:textFill>
            <w14:solidFill>
              <w14:schemeClr w14:val="tx1"/>
            </w14:solidFill>
          </w14:textFill>
        </w:rPr>
        <w:t>。教职工</w:t>
      </w:r>
      <w:r>
        <w:rPr>
          <w:rFonts w:hint="eastAsia" w:ascii="仿宋" w:hAnsi="仿宋" w:eastAsia="仿宋" w:cs="宋体"/>
          <w:color w:val="000000" w:themeColor="text1"/>
          <w:sz w:val="32"/>
          <w:szCs w:val="32"/>
          <w:lang w:val="en-US" w:eastAsia="zh-CN"/>
          <w14:textFill>
            <w14:solidFill>
              <w14:schemeClr w14:val="tx1"/>
            </w14:solidFill>
          </w14:textFill>
        </w:rPr>
        <w:t>124</w:t>
      </w:r>
      <w:r>
        <w:rPr>
          <w:rFonts w:ascii="仿宋" w:hAnsi="仿宋" w:eastAsia="仿宋" w:cs="宋体"/>
          <w:color w:val="000000" w:themeColor="text1"/>
          <w:sz w:val="32"/>
          <w:szCs w:val="32"/>
          <w14:textFill>
            <w14:solidFill>
              <w14:schemeClr w14:val="tx1"/>
            </w14:solidFill>
          </w14:textFill>
        </w:rPr>
        <w:t>人。</w:t>
      </w:r>
      <w:r>
        <w:rPr>
          <w:rFonts w:hint="eastAsia" w:ascii="仿宋" w:hAnsi="仿宋" w:eastAsia="仿宋"/>
          <w:bCs/>
          <w:color w:val="000000"/>
          <w:sz w:val="32"/>
          <w:szCs w:val="32"/>
        </w:rPr>
        <w:t>主要职能职责是：实施初中义务教育，促进基础教育均衡发展。</w:t>
      </w:r>
    </w:p>
    <w:p>
      <w:pPr>
        <w:pStyle w:val="2"/>
        <w:adjustRightInd w:val="0"/>
        <w:snapToGrid w:val="0"/>
        <w:spacing w:before="93" w:line="600" w:lineRule="exact"/>
        <w:ind w:firstLine="630"/>
        <w:outlineLvl w:val="2"/>
        <w:rPr>
          <w:rFonts w:ascii="仿宋" w:hAnsi="仿宋" w:eastAsia="仿宋" w:cs="仿宋"/>
          <w:color w:val="000000"/>
          <w:sz w:val="32"/>
          <w:szCs w:val="32"/>
        </w:rPr>
      </w:pPr>
      <w:r>
        <w:rPr>
          <w:rFonts w:hint="eastAsia" w:ascii="仿宋" w:hAnsi="仿宋" w:eastAsia="仿宋" w:cs="仿宋"/>
          <w:color w:val="000000"/>
          <w:sz w:val="32"/>
          <w:szCs w:val="32"/>
        </w:rPr>
        <w:t>（二）</w:t>
      </w:r>
      <w:r>
        <w:rPr>
          <w:rFonts w:ascii="仿宋" w:hAnsi="仿宋" w:eastAsia="仿宋" w:cs="仿宋"/>
          <w:color w:val="000000"/>
          <w:sz w:val="32"/>
          <w:szCs w:val="32"/>
        </w:rPr>
        <w:t>20</w:t>
      </w:r>
      <w:r>
        <w:rPr>
          <w:rFonts w:hint="eastAsia" w:ascii="仿宋" w:hAnsi="仿宋" w:eastAsia="仿宋" w:cs="仿宋"/>
          <w:color w:val="000000"/>
          <w:sz w:val="32"/>
          <w:szCs w:val="32"/>
        </w:rPr>
        <w:t>22年重点工作完成情况。</w:t>
      </w:r>
    </w:p>
    <w:p>
      <w:pPr>
        <w:pStyle w:val="2"/>
        <w:adjustRightInd w:val="0"/>
        <w:snapToGrid w:val="0"/>
        <w:spacing w:before="93" w:line="600" w:lineRule="exact"/>
        <w:ind w:firstLine="630"/>
        <w:outlineLvl w:val="2"/>
        <w:rPr>
          <w:rFonts w:ascii="仿宋" w:hAnsi="仿宋" w:eastAsia="仿宋"/>
          <w:bCs/>
          <w:color w:val="000000"/>
          <w:sz w:val="32"/>
          <w:szCs w:val="32"/>
        </w:rPr>
      </w:pPr>
      <w:r>
        <w:rPr>
          <w:rFonts w:hint="eastAsia" w:ascii="仿宋" w:hAnsi="仿宋" w:eastAsia="仿宋"/>
          <w:bCs/>
          <w:color w:val="000000"/>
          <w:sz w:val="32"/>
          <w:szCs w:val="32"/>
        </w:rPr>
        <w:t>（1）确立正确的工作思路，引领学校向着创建</w:t>
      </w:r>
      <w:r>
        <w:rPr>
          <w:rFonts w:hint="eastAsia" w:ascii="仿宋" w:hAnsi="仿宋" w:eastAsia="仿宋"/>
          <w:bCs/>
          <w:color w:val="000000"/>
          <w:sz w:val="32"/>
          <w:szCs w:val="32"/>
          <w:lang w:eastAsia="zh-CN"/>
        </w:rPr>
        <w:t>领航学</w:t>
      </w:r>
      <w:r>
        <w:rPr>
          <w:rFonts w:hint="eastAsia" w:ascii="仿宋" w:hAnsi="仿宋" w:eastAsia="仿宋"/>
          <w:bCs/>
          <w:color w:val="000000"/>
          <w:sz w:val="32"/>
          <w:szCs w:val="32"/>
        </w:rPr>
        <w:t>校的既定目标不断前进。</w:t>
      </w:r>
    </w:p>
    <w:p>
      <w:pPr>
        <w:pStyle w:val="2"/>
        <w:adjustRightInd w:val="0"/>
        <w:snapToGrid w:val="0"/>
        <w:spacing w:before="93" w:line="600" w:lineRule="exact"/>
        <w:ind w:firstLine="630"/>
        <w:outlineLvl w:val="2"/>
        <w:rPr>
          <w:rFonts w:ascii="仿宋" w:hAnsi="仿宋" w:eastAsia="仿宋"/>
          <w:bCs/>
          <w:color w:val="000000"/>
          <w:sz w:val="32"/>
          <w:szCs w:val="32"/>
        </w:rPr>
      </w:pPr>
      <w:r>
        <w:rPr>
          <w:rFonts w:hint="eastAsia" w:ascii="仿宋" w:hAnsi="仿宋" w:eastAsia="仿宋"/>
          <w:bCs/>
          <w:color w:val="000000"/>
          <w:sz w:val="32"/>
          <w:szCs w:val="32"/>
        </w:rPr>
        <w:t>（2）建设务实的领导班子，带领教师牢记初心使命奉献于教书育人的平凡事业。</w:t>
      </w:r>
    </w:p>
    <w:p>
      <w:pPr>
        <w:pStyle w:val="2"/>
        <w:adjustRightInd w:val="0"/>
        <w:snapToGrid w:val="0"/>
        <w:spacing w:before="93" w:line="600" w:lineRule="exact"/>
        <w:ind w:firstLine="630"/>
        <w:outlineLvl w:val="2"/>
        <w:rPr>
          <w:rFonts w:ascii="仿宋" w:hAnsi="仿宋" w:eastAsia="仿宋"/>
          <w:bCs/>
          <w:color w:val="000000"/>
          <w:sz w:val="32"/>
          <w:szCs w:val="32"/>
        </w:rPr>
      </w:pPr>
      <w:r>
        <w:rPr>
          <w:rFonts w:hint="eastAsia" w:ascii="仿宋" w:hAnsi="仿宋" w:eastAsia="仿宋"/>
          <w:bCs/>
          <w:color w:val="000000"/>
          <w:sz w:val="32"/>
          <w:szCs w:val="32"/>
        </w:rPr>
        <w:t>（3）夯实丰富的校园文化，探索平安和谐的学校内涵助推学校持续发展。</w:t>
      </w:r>
    </w:p>
    <w:p>
      <w:pPr>
        <w:pStyle w:val="2"/>
        <w:adjustRightInd w:val="0"/>
        <w:snapToGrid w:val="0"/>
        <w:spacing w:before="93" w:line="600" w:lineRule="exact"/>
        <w:ind w:firstLine="630"/>
        <w:outlineLvl w:val="2"/>
        <w:rPr>
          <w:rFonts w:ascii="仿宋" w:hAnsi="仿宋" w:eastAsia="仿宋"/>
          <w:bCs/>
          <w:color w:val="000000"/>
          <w:sz w:val="32"/>
          <w:szCs w:val="32"/>
        </w:rPr>
      </w:pPr>
      <w:r>
        <w:rPr>
          <w:rFonts w:hint="eastAsia" w:ascii="仿宋" w:hAnsi="仿宋" w:eastAsia="仿宋"/>
          <w:bCs/>
          <w:color w:val="000000"/>
          <w:sz w:val="32"/>
          <w:szCs w:val="32"/>
        </w:rPr>
        <w:t>（4）落实科学的管理理念，用质量的不断提升再谱教育新篇。</w:t>
      </w:r>
    </w:p>
    <w:p>
      <w:pPr>
        <w:ind w:firstLine="480" w:firstLineChars="150"/>
        <w:rPr>
          <w:rFonts w:ascii="仿宋" w:hAnsi="仿宋" w:eastAsia="仿宋"/>
          <w:bCs/>
          <w:color w:val="000000"/>
          <w:kern w:val="0"/>
          <w:sz w:val="32"/>
          <w:szCs w:val="32"/>
        </w:rPr>
      </w:pPr>
      <w:r>
        <w:rPr>
          <w:rFonts w:hint="eastAsia" w:ascii="仿宋" w:hAnsi="仿宋" w:eastAsia="仿宋"/>
          <w:bCs/>
          <w:color w:val="000000"/>
          <w:kern w:val="0"/>
          <w:sz w:val="32"/>
          <w:szCs w:val="32"/>
        </w:rPr>
        <w:t>在总结过去的基础上，认真学习，找准并突破制约学校发展的瓶颈，提高自己的履职水平，在新学年的学校管理工作中努力做到：认识有高度，思想有深度，专业有厚度，视野有广度，落实有力度，对人有温度，一心一意建好学校小环境谋教育大发展；继续团结带领全校教职工实现2022年的学校工作：人尽其才，物尽其用，立德树人多措并举，常规管理严实益彰，安全防疫万无一失，项目建设如期启动，教学条件大改善，课后服务大推进，教育质量大提升，办学特色大彰显的既定目标；群策群力用汗水浇灌收获，以实干笃定前行，走好无愧于自己的路，办好</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lang w:val="en-US" w:eastAsia="zh-CN"/>
        </w:rPr>
        <w:t>为党育人，为国育才</w:t>
      </w:r>
      <w:r>
        <w:rPr>
          <w:rFonts w:hint="eastAsia" w:ascii="仿宋" w:hAnsi="仿宋" w:eastAsia="仿宋"/>
          <w:bCs/>
          <w:color w:val="000000"/>
          <w:kern w:val="0"/>
          <w:sz w:val="32"/>
          <w:szCs w:val="32"/>
          <w:lang w:eastAsia="zh-CN"/>
        </w:rPr>
        <w:t>”的</w:t>
      </w:r>
      <w:r>
        <w:rPr>
          <w:rFonts w:hint="eastAsia" w:ascii="仿宋" w:hAnsi="仿宋" w:eastAsia="仿宋"/>
          <w:bCs/>
          <w:color w:val="000000"/>
          <w:kern w:val="0"/>
          <w:sz w:val="32"/>
          <w:szCs w:val="32"/>
          <w:lang w:val="en-US" w:eastAsia="zh-CN"/>
        </w:rPr>
        <w:t>好</w:t>
      </w:r>
      <w:r>
        <w:rPr>
          <w:rFonts w:hint="eastAsia" w:ascii="仿宋" w:hAnsi="仿宋" w:eastAsia="仿宋"/>
          <w:bCs/>
          <w:color w:val="000000"/>
          <w:kern w:val="0"/>
          <w:sz w:val="32"/>
          <w:szCs w:val="32"/>
        </w:rPr>
        <w:t>学校！</w:t>
      </w:r>
    </w:p>
    <w:p>
      <w:pPr>
        <w:pStyle w:val="2"/>
        <w:adjustRightInd w:val="0"/>
        <w:snapToGrid w:val="0"/>
        <w:spacing w:before="93" w:line="600" w:lineRule="exact"/>
        <w:ind w:firstLine="630"/>
        <w:outlineLvl w:val="2"/>
        <w:rPr>
          <w:rStyle w:val="26"/>
          <w:rFonts w:ascii="仿宋" w:hAnsi="仿宋" w:eastAsia="仿宋" w:cs="仿宋"/>
          <w:b w:val="0"/>
          <w:bCs w:val="0"/>
          <w:color w:val="000000"/>
          <w:kern w:val="0"/>
        </w:rPr>
      </w:pPr>
      <w:r>
        <w:rPr>
          <w:rFonts w:hint="eastAsia" w:ascii="黑体" w:eastAsia="黑体" w:cs="黑体"/>
          <w:color w:val="000000"/>
        </w:rPr>
        <w:t>二、</w:t>
      </w:r>
      <w:r>
        <w:rPr>
          <w:rFonts w:hint="eastAsia" w:ascii="黑体" w:hAnsi="黑体" w:eastAsia="黑体" w:cs="黑体"/>
          <w:color w:val="000000"/>
        </w:rPr>
        <w:t>机</w:t>
      </w:r>
      <w:r>
        <w:rPr>
          <w:rStyle w:val="26"/>
          <w:rFonts w:hint="eastAsia" w:ascii="黑体" w:hAnsi="黑体" w:eastAsia="黑体" w:cs="黑体"/>
        </w:rPr>
        <w:t>构设置</w:t>
      </w:r>
    </w:p>
    <w:p>
      <w:pPr>
        <w:spacing w:line="576" w:lineRule="exact"/>
        <w:ind w:left="475" w:leftChars="150" w:hanging="160" w:hangingChars="5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本单位无下属二级决算单位.</w:t>
      </w:r>
    </w:p>
    <w:bookmarkEnd w:id="16"/>
    <w:bookmarkEnd w:id="17"/>
    <w:p/>
    <w:bookmarkEnd w:id="14"/>
    <w:bookmarkEnd w:id="15"/>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5"/>
          <w:rFonts w:ascii="黑体" w:hAnsi="黑体" w:eastAsia="黑体"/>
          <w:b w:val="0"/>
          <w:bCs/>
        </w:rPr>
      </w:pPr>
      <w:bookmarkStart w:id="18" w:name="_Toc15377204"/>
      <w:bookmarkStart w:id="19" w:name="_Toc15396602"/>
      <w:r>
        <w:rPr>
          <w:rFonts w:hint="eastAsia" w:ascii="黑体" w:hAnsi="黑体" w:eastAsia="黑体"/>
          <w:b w:val="0"/>
        </w:rPr>
        <w:t>第二部分 2022年度</w:t>
      </w:r>
      <w:r>
        <w:rPr>
          <w:rStyle w:val="25"/>
          <w:rFonts w:hint="eastAsia" w:ascii="黑体" w:hAnsi="黑体" w:eastAsia="黑体"/>
          <w:b w:val="0"/>
          <w:bCs/>
        </w:rPr>
        <w:t>单位决算情况说明</w:t>
      </w:r>
      <w:bookmarkEnd w:id="18"/>
      <w:bookmarkEnd w:id="19"/>
    </w:p>
    <w:p/>
    <w:p>
      <w:pPr>
        <w:pStyle w:val="24"/>
        <w:numPr>
          <w:ilvl w:val="0"/>
          <w:numId w:val="2"/>
        </w:numPr>
        <w:spacing w:line="600" w:lineRule="exact"/>
        <w:ind w:firstLineChars="0"/>
        <w:outlineLvl w:val="1"/>
        <w:rPr>
          <w:rStyle w:val="26"/>
          <w:rFonts w:ascii="黑体" w:hAnsi="黑体" w:eastAsia="黑体"/>
          <w:b w:val="0"/>
        </w:rPr>
      </w:pPr>
      <w:bookmarkStart w:id="20" w:name="_Toc15377205"/>
      <w:bookmarkStart w:id="21"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20"/>
      <w:bookmarkEnd w:id="21"/>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1944.85</w:t>
      </w:r>
      <w:r>
        <w:rPr>
          <w:rFonts w:hint="eastAsia" w:ascii="仿宋" w:hAnsi="仿宋" w:eastAsia="仿宋"/>
          <w:sz w:val="32"/>
          <w:szCs w:val="32"/>
        </w:rPr>
        <w:t>万元。与2021年相比，收、支总计各增加16.3万元，增长</w:t>
      </w:r>
      <w:r>
        <w:rPr>
          <w:rFonts w:hint="eastAsia" w:ascii="仿宋" w:hAnsi="仿宋" w:eastAsia="仿宋"/>
          <w:sz w:val="32"/>
          <w:szCs w:val="32"/>
          <w:lang w:val="en-US" w:eastAsia="zh-CN"/>
        </w:rPr>
        <w:t>0.84</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人员经费增加，</w:t>
      </w:r>
      <w:r>
        <w:rPr>
          <w:rFonts w:hint="eastAsia" w:ascii="仿宋" w:hAnsi="仿宋" w:eastAsia="仿宋"/>
          <w:sz w:val="32"/>
          <w:szCs w:val="32"/>
        </w:rPr>
        <w:t>学生人数增加。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2"/>
        <w:spacing w:before="93"/>
      </w:pPr>
      <w:r>
        <w:drawing>
          <wp:inline distT="0" distB="0" distL="114300" distR="114300">
            <wp:extent cx="4091940" cy="2926080"/>
            <wp:effectExtent l="4445" t="5080" r="18415" b="1016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2"/>
        </w:numPr>
        <w:spacing w:line="600" w:lineRule="exact"/>
        <w:ind w:firstLineChars="0"/>
        <w:outlineLvl w:val="1"/>
        <w:rPr>
          <w:rStyle w:val="26"/>
          <w:rFonts w:ascii="黑体" w:hAnsi="黑体" w:eastAsia="黑体"/>
          <w:b w:val="0"/>
        </w:rPr>
      </w:pPr>
      <w:bookmarkStart w:id="22" w:name="_Toc15377206"/>
      <w:bookmarkStart w:id="23" w:name="_Toc15396604"/>
      <w:r>
        <w:rPr>
          <w:rFonts w:hint="eastAsia" w:ascii="黑体" w:hAnsi="黑体" w:eastAsia="黑体"/>
          <w:sz w:val="32"/>
          <w:szCs w:val="32"/>
        </w:rPr>
        <w:t>收</w:t>
      </w:r>
      <w:r>
        <w:rPr>
          <w:rStyle w:val="26"/>
          <w:rFonts w:hint="eastAsia" w:ascii="黑体" w:hAnsi="黑体" w:eastAsia="黑体"/>
          <w:b w:val="0"/>
        </w:rPr>
        <w:t>入决算情况说明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1944.85</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1944.85</w:t>
      </w:r>
      <w:r>
        <w:rPr>
          <w:rFonts w:hint="eastAsia" w:ascii="仿宋" w:hAnsi="仿宋" w:eastAsia="仿宋"/>
          <w:sz w:val="32"/>
          <w:szCs w:val="32"/>
        </w:rPr>
        <w:t>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1"/>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01表</w:t>
      </w:r>
      <w:r>
        <w:rPr>
          <w:rFonts w:hint="eastAsia" w:ascii="仿宋" w:hAnsi="仿宋" w:eastAsia="仿宋"/>
          <w:b/>
          <w:sz w:val="32"/>
          <w:szCs w:val="32"/>
        </w:rPr>
        <w:t>，仅罗列本单位涉及的收入。</w:t>
      </w:r>
      <w:r>
        <w:rPr>
          <w:rFonts w:ascii="仿宋" w:hAnsi="仿宋" w:eastAsia="仿宋"/>
          <w:b/>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2"/>
        <w:spacing w:before="93"/>
      </w:pPr>
      <w:r>
        <w:rPr>
          <w:rFonts w:hint="eastAsia"/>
        </w:rPr>
        <w:drawing>
          <wp:anchor distT="0" distB="0" distL="114300" distR="114300" simplePos="0" relativeHeight="251659264" behindDoc="0" locked="0" layoutInCell="1" allowOverlap="1">
            <wp:simplePos x="0" y="0"/>
            <wp:positionH relativeFrom="column">
              <wp:posOffset>126365</wp:posOffset>
            </wp:positionH>
            <wp:positionV relativeFrom="paragraph">
              <wp:posOffset>-2704465</wp:posOffset>
            </wp:positionV>
            <wp:extent cx="4956810" cy="3839845"/>
            <wp:effectExtent l="5080" t="4445" r="6350" b="11430"/>
            <wp:wrapSquare wrapText="bothSides"/>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4"/>
        <w:numPr>
          <w:ilvl w:val="0"/>
          <w:numId w:val="2"/>
        </w:numPr>
        <w:spacing w:line="600" w:lineRule="exact"/>
        <w:ind w:firstLineChars="0"/>
        <w:outlineLvl w:val="1"/>
        <w:rPr>
          <w:rStyle w:val="26"/>
          <w:rFonts w:ascii="黑体" w:hAnsi="黑体" w:eastAsia="黑体"/>
          <w:b w:val="0"/>
        </w:rPr>
      </w:pPr>
      <w:bookmarkStart w:id="24" w:name="_Toc15396605"/>
      <w:bookmarkStart w:id="25" w:name="_Toc15377207"/>
      <w:r>
        <w:rPr>
          <w:rFonts w:hint="eastAsia" w:ascii="黑体" w:hAnsi="黑体" w:eastAsia="黑体"/>
          <w:sz w:val="32"/>
          <w:szCs w:val="32"/>
        </w:rPr>
        <w:t>支</w:t>
      </w:r>
      <w:r>
        <w:rPr>
          <w:rStyle w:val="26"/>
          <w:rFonts w:hint="eastAsia" w:ascii="黑体" w:hAnsi="黑体" w:eastAsia="黑体"/>
          <w:b w:val="0"/>
        </w:rPr>
        <w:t>出决算情况说明</w:t>
      </w:r>
      <w:bookmarkEnd w:id="24"/>
      <w:bookmarkEnd w:id="25"/>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1944.85</w:t>
      </w:r>
      <w:r>
        <w:rPr>
          <w:rFonts w:hint="eastAsia" w:ascii="仿宋" w:hAnsi="仿宋" w:eastAsia="仿宋"/>
          <w:sz w:val="32"/>
          <w:szCs w:val="32"/>
        </w:rPr>
        <w:t>万元，其中：基本支出</w:t>
      </w:r>
      <w:r>
        <w:rPr>
          <w:rFonts w:hint="eastAsia" w:ascii="仿宋" w:hAnsi="仿宋" w:eastAsia="仿宋"/>
          <w:sz w:val="32"/>
          <w:szCs w:val="32"/>
          <w:lang w:val="en-US" w:eastAsia="zh-CN"/>
        </w:rPr>
        <w:t>1944.85</w:t>
      </w:r>
      <w:r>
        <w:rPr>
          <w:rFonts w:hint="eastAsia" w:ascii="仿宋" w:hAnsi="仿宋" w:eastAsia="仿宋"/>
          <w:sz w:val="32"/>
          <w:szCs w:val="32"/>
        </w:rPr>
        <w:t>万元，占</w:t>
      </w:r>
      <w:r>
        <w:rPr>
          <w:rFonts w:hint="eastAsia" w:ascii="仿宋" w:hAnsi="仿宋" w:eastAsia="仿宋"/>
          <w:sz w:val="32"/>
          <w:szCs w:val="32"/>
          <w:lang w:val="en-US" w:eastAsia="zh-CN"/>
        </w:rPr>
        <w:t>97.87</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41.38</w:t>
      </w:r>
      <w:r>
        <w:rPr>
          <w:rFonts w:hint="eastAsia" w:ascii="仿宋" w:hAnsi="仿宋" w:eastAsia="仿宋"/>
          <w:sz w:val="32"/>
          <w:szCs w:val="32"/>
        </w:rPr>
        <w:t>万元，占</w:t>
      </w:r>
      <w:r>
        <w:rPr>
          <w:rFonts w:hint="eastAsia" w:ascii="仿宋" w:hAnsi="仿宋" w:eastAsia="仿宋"/>
          <w:sz w:val="32"/>
          <w:szCs w:val="32"/>
          <w:lang w:val="en-US" w:eastAsia="zh-CN"/>
        </w:rPr>
        <w:t>2.13</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1"/>
        <w:rPr>
          <w:rFonts w:ascii="仿宋" w:hAnsi="仿宋" w:eastAsia="仿宋"/>
          <w:sz w:val="32"/>
          <w:szCs w:val="32"/>
          <w:shd w:val="pct10" w:color="auto" w:fill="FFFFFF"/>
        </w:rPr>
      </w:pPr>
      <w:r>
        <w:rPr>
          <w:rFonts w:hint="eastAsia" w:ascii="仿宋" w:hAnsi="仿宋" w:eastAsia="仿宋"/>
          <w:b/>
          <w:sz w:val="32"/>
          <w:szCs w:val="32"/>
        </w:rPr>
        <w:t>（注：数据来源于财决</w:t>
      </w:r>
      <w:r>
        <w:rPr>
          <w:rFonts w:ascii="仿宋" w:hAnsi="仿宋" w:eastAsia="仿宋"/>
          <w:b/>
          <w:sz w:val="32"/>
          <w:szCs w:val="32"/>
        </w:rPr>
        <w:t>04</w:t>
      </w:r>
      <w:r>
        <w:rPr>
          <w:rFonts w:hint="eastAsia" w:ascii="仿宋" w:hAnsi="仿宋" w:eastAsia="仿宋"/>
          <w:b/>
          <w:sz w:val="32"/>
          <w:szCs w:val="32"/>
        </w:rPr>
        <w:t>表，仅罗列本单位涉及的支出。）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（图3：支出决算结构图）（饼状图）</w:t>
      </w:r>
    </w:p>
    <w:p>
      <w:pPr>
        <w:pStyle w:val="2"/>
      </w:pPr>
      <w:r>
        <w:drawing>
          <wp:inline distT="0" distB="0" distL="114300" distR="114300">
            <wp:extent cx="4091940" cy="2926080"/>
            <wp:effectExtent l="4445" t="5080" r="18415" b="1016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spacing w:before="93"/>
      </w:pPr>
    </w:p>
    <w:p>
      <w:pPr>
        <w:spacing w:line="600" w:lineRule="exact"/>
        <w:ind w:firstLine="640" w:firstLineChars="200"/>
        <w:outlineLvl w:val="1"/>
        <w:rPr>
          <w:rStyle w:val="26"/>
          <w:rFonts w:ascii="黑体" w:hAnsi="黑体" w:eastAsia="黑体"/>
          <w:b w:val="0"/>
        </w:rPr>
      </w:pPr>
      <w:bookmarkStart w:id="26" w:name="_Toc15377208"/>
      <w:bookmarkStart w:id="27"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6"/>
      <w:bookmarkEnd w:id="27"/>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22年财政拨款收、支总计1</w:t>
      </w:r>
      <w:r>
        <w:rPr>
          <w:rFonts w:hint="eastAsia" w:ascii="仿宋" w:hAnsi="仿宋" w:eastAsia="仿宋"/>
          <w:sz w:val="32"/>
          <w:szCs w:val="32"/>
          <w:lang w:val="en-US" w:eastAsia="zh-CN"/>
        </w:rPr>
        <w:t>944.85</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21年相比，收、支总计各增加16.3万元，增长</w:t>
      </w:r>
      <w:r>
        <w:rPr>
          <w:rFonts w:hint="eastAsia" w:ascii="仿宋" w:hAnsi="仿宋" w:eastAsia="仿宋"/>
          <w:sz w:val="32"/>
          <w:szCs w:val="32"/>
          <w:lang w:val="en-US" w:eastAsia="zh-CN"/>
        </w:rPr>
        <w:t>0.84</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人员经费增加，</w:t>
      </w:r>
      <w:r>
        <w:rPr>
          <w:rFonts w:hint="eastAsia" w:ascii="仿宋" w:hAnsi="仿宋" w:eastAsia="仿宋"/>
          <w:sz w:val="32"/>
          <w:szCs w:val="32"/>
        </w:rPr>
        <w:t>学生人数增加。</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spacing w:line="600" w:lineRule="exact"/>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pStyle w:val="2"/>
        <w:rPr>
          <w:rFonts w:ascii="仿宋" w:hAnsi="仿宋" w:eastAsia="仿宋"/>
          <w:b/>
          <w:sz w:val="32"/>
          <w:szCs w:val="32"/>
        </w:rPr>
      </w:pPr>
    </w:p>
    <w:p>
      <w:pPr>
        <w:pStyle w:val="2"/>
        <w:rPr>
          <w:rFonts w:ascii="仿宋" w:hAnsi="仿宋" w:eastAsia="仿宋"/>
          <w:b/>
          <w:sz w:val="32"/>
          <w:szCs w:val="32"/>
        </w:rPr>
      </w:pPr>
      <w:r>
        <w:drawing>
          <wp:inline distT="0" distB="0" distL="114300" distR="114300">
            <wp:extent cx="4091940" cy="2926080"/>
            <wp:effectExtent l="4445" t="5080" r="18415" b="1016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spacing w:before="93"/>
      </w:pPr>
    </w:p>
    <w:p>
      <w:pPr>
        <w:spacing w:line="600" w:lineRule="exact"/>
        <w:ind w:firstLine="640" w:firstLineChars="200"/>
        <w:outlineLvl w:val="1"/>
        <w:rPr>
          <w:rStyle w:val="26"/>
          <w:rFonts w:ascii="黑体" w:hAnsi="黑体" w:eastAsia="黑体"/>
          <w:b w:val="0"/>
        </w:rPr>
      </w:pPr>
      <w:bookmarkStart w:id="28" w:name="_Toc15396607"/>
      <w:bookmarkStart w:id="29"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sz w:val="32"/>
          <w:szCs w:val="32"/>
        </w:rPr>
      </w:pPr>
      <w:bookmarkStart w:id="30" w:name="_Toc15377210"/>
      <w:r>
        <w:rPr>
          <w:rFonts w:hint="eastAsia" w:ascii="仿宋" w:hAnsi="仿宋" w:eastAsia="仿宋"/>
          <w:b/>
          <w:sz w:val="32"/>
          <w:szCs w:val="32"/>
        </w:rPr>
        <w:t>（一）一般公共预算财政拨款支出决算总体情况</w:t>
      </w:r>
      <w:bookmarkEnd w:id="30"/>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w:t>
      </w:r>
      <w:r>
        <w:rPr>
          <w:rFonts w:hint="eastAsia" w:ascii="仿宋" w:hAnsi="仿宋" w:eastAsia="仿宋"/>
          <w:sz w:val="32"/>
          <w:szCs w:val="32"/>
          <w:lang w:val="en-US" w:eastAsia="zh-CN"/>
        </w:rPr>
        <w:t>944.85</w:t>
      </w:r>
      <w:r>
        <w:rPr>
          <w:rFonts w:hint="eastAsia" w:ascii="仿宋" w:hAnsi="仿宋" w:eastAsia="仿宋"/>
          <w:sz w:val="32"/>
          <w:szCs w:val="32"/>
        </w:rPr>
        <w:t>万元，占本年支出合计的100</w:t>
      </w:r>
      <w:r>
        <w:rPr>
          <w:rFonts w:ascii="仿宋" w:hAnsi="仿宋" w:eastAsia="仿宋"/>
          <w:sz w:val="32"/>
          <w:szCs w:val="32"/>
        </w:rPr>
        <w:t>%</w:t>
      </w:r>
      <w:r>
        <w:rPr>
          <w:rFonts w:hint="eastAsia" w:ascii="仿宋" w:hAnsi="仿宋" w:eastAsia="仿宋"/>
          <w:sz w:val="32"/>
          <w:szCs w:val="32"/>
        </w:rPr>
        <w:t>。与2021年相比，收、支总计各增加16.3万元，增长</w:t>
      </w:r>
      <w:r>
        <w:rPr>
          <w:rFonts w:hint="eastAsia" w:ascii="仿宋" w:hAnsi="仿宋" w:eastAsia="仿宋"/>
          <w:sz w:val="32"/>
          <w:szCs w:val="32"/>
          <w:lang w:val="en-US" w:eastAsia="zh-CN"/>
        </w:rPr>
        <w:t>0.84</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人员经费增加，</w:t>
      </w:r>
      <w:r>
        <w:rPr>
          <w:rFonts w:hint="eastAsia" w:ascii="仿宋" w:hAnsi="仿宋" w:eastAsia="仿宋"/>
          <w:sz w:val="32"/>
          <w:szCs w:val="32"/>
        </w:rPr>
        <w:t>学生人数增加。</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pStyle w:val="2"/>
        <w:spacing w:before="93"/>
      </w:pPr>
      <w:r>
        <w:drawing>
          <wp:inline distT="0" distB="0" distL="114300" distR="114300">
            <wp:extent cx="4091940" cy="2926080"/>
            <wp:effectExtent l="4445" t="5080" r="18415" b="1016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spacing w:before="93"/>
      </w:pPr>
    </w:p>
    <w:p>
      <w:pPr>
        <w:spacing w:line="600" w:lineRule="exact"/>
        <w:ind w:firstLine="643" w:firstLineChars="200"/>
        <w:outlineLvl w:val="2"/>
        <w:rPr>
          <w:rFonts w:ascii="仿宋" w:hAnsi="仿宋" w:eastAsia="仿宋"/>
          <w:b/>
          <w:sz w:val="32"/>
          <w:szCs w:val="32"/>
        </w:rPr>
      </w:pPr>
      <w:bookmarkStart w:id="31" w:name="_Toc15377211"/>
      <w:r>
        <w:rPr>
          <w:rFonts w:hint="eastAsia" w:ascii="仿宋" w:hAnsi="仿宋" w:eastAsia="仿宋"/>
          <w:b/>
          <w:sz w:val="32"/>
          <w:szCs w:val="32"/>
        </w:rPr>
        <w:t>（二）一般公共预算财政拨款支出决算结构情况</w:t>
      </w:r>
      <w:bookmarkEnd w:id="31"/>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1944.85</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1584.67</w:t>
      </w:r>
      <w:r>
        <w:rPr>
          <w:rFonts w:hint="eastAsia" w:ascii="仿宋" w:hAnsi="仿宋" w:eastAsia="仿宋"/>
          <w:sz w:val="32"/>
          <w:szCs w:val="32"/>
        </w:rPr>
        <w:t>万元，占</w:t>
      </w:r>
      <w:r>
        <w:rPr>
          <w:rFonts w:hint="eastAsia" w:ascii="仿宋" w:hAnsi="仿宋" w:eastAsia="仿宋"/>
          <w:sz w:val="32"/>
          <w:szCs w:val="32"/>
          <w:lang w:val="en-US" w:eastAsia="zh-CN"/>
        </w:rPr>
        <w:t>81.48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文化旅游体育与传媒支出0万元，占0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159.19</w:t>
      </w:r>
      <w:r>
        <w:rPr>
          <w:rFonts w:hint="eastAsia" w:ascii="仿宋" w:hAnsi="仿宋" w:eastAsia="仿宋"/>
          <w:sz w:val="32"/>
          <w:szCs w:val="32"/>
        </w:rPr>
        <w:t>万元，占</w:t>
      </w:r>
      <w:r>
        <w:rPr>
          <w:rFonts w:hint="eastAsia" w:ascii="仿宋" w:hAnsi="仿宋" w:eastAsia="仿宋"/>
          <w:sz w:val="32"/>
          <w:szCs w:val="32"/>
          <w:lang w:val="en-US" w:eastAsia="zh-CN"/>
        </w:rPr>
        <w:t>8.20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79.59</w:t>
      </w:r>
      <w:r>
        <w:rPr>
          <w:rFonts w:hint="eastAsia" w:ascii="仿宋" w:hAnsi="仿宋" w:eastAsia="仿宋"/>
          <w:sz w:val="32"/>
          <w:szCs w:val="32"/>
        </w:rPr>
        <w:t>万元，占</w:t>
      </w:r>
      <w:r>
        <w:rPr>
          <w:rFonts w:hint="eastAsia" w:ascii="仿宋" w:hAnsi="仿宋" w:eastAsia="仿宋"/>
          <w:sz w:val="32"/>
          <w:szCs w:val="32"/>
          <w:lang w:val="en-US" w:eastAsia="zh-CN"/>
        </w:rPr>
        <w:t>4.09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119.39</w:t>
      </w:r>
      <w:r>
        <w:rPr>
          <w:rFonts w:hint="eastAsia" w:ascii="仿宋" w:hAnsi="仿宋" w:eastAsia="仿宋"/>
          <w:sz w:val="32"/>
          <w:szCs w:val="32"/>
        </w:rPr>
        <w:t>万元，占</w:t>
      </w:r>
      <w:r>
        <w:rPr>
          <w:rFonts w:hint="eastAsia" w:ascii="仿宋" w:hAnsi="仿宋" w:eastAsia="仿宋"/>
          <w:sz w:val="32"/>
          <w:szCs w:val="32"/>
          <w:lang w:val="en-US" w:eastAsia="zh-CN"/>
        </w:rPr>
        <w:t>6.14</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（注：数据来源于财决01-1表，仅罗列本单位涉及的全部功能分类科目，至类级。）</w:t>
      </w:r>
    </w:p>
    <w:p>
      <w:pPr>
        <w:spacing w:line="600" w:lineRule="exact"/>
        <w:ind w:firstLine="64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hint="eastAsia" w:ascii="仿宋" w:hAnsi="仿宋" w:eastAsia="仿宋"/>
          <w:sz w:val="32"/>
          <w:szCs w:val="32"/>
        </w:rPr>
      </w:pPr>
    </w:p>
    <w:p>
      <w:pPr>
        <w:pStyle w:val="2"/>
        <w:spacing w:before="93"/>
        <w:rPr>
          <w:rFonts w:hint="eastAsia"/>
        </w:rPr>
      </w:pPr>
    </w:p>
    <w:p>
      <w:pPr>
        <w:pStyle w:val="2"/>
        <w:spacing w:before="93"/>
      </w:pPr>
      <w:r>
        <w:drawing>
          <wp:inline distT="0" distB="0" distL="114300" distR="114300">
            <wp:extent cx="4785360" cy="3459480"/>
            <wp:effectExtent l="4445" t="4445" r="10795" b="10795"/>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sz w:val="32"/>
          <w:szCs w:val="32"/>
        </w:rPr>
      </w:pPr>
      <w:bookmarkStart w:id="32" w:name="_Toc15377212"/>
      <w:r>
        <w:rPr>
          <w:rFonts w:hint="eastAsia" w:ascii="仿宋" w:hAnsi="仿宋" w:eastAsia="仿宋"/>
          <w:b/>
          <w:sz w:val="32"/>
          <w:szCs w:val="32"/>
        </w:rPr>
        <w:t>（三）一般公共预算财政拨款支出决算具体情况</w:t>
      </w:r>
      <w:bookmarkEnd w:id="32"/>
    </w:p>
    <w:p>
      <w:pPr>
        <w:spacing w:line="600" w:lineRule="exact"/>
        <w:ind w:firstLine="643" w:firstLineChars="200"/>
        <w:outlineLvl w:val="2"/>
        <w:rPr>
          <w:rFonts w:ascii="仿宋" w:hAnsi="仿宋" w:eastAsia="仿宋"/>
          <w:sz w:val="32"/>
          <w:szCs w:val="32"/>
        </w:rPr>
      </w:pPr>
      <w:bookmarkStart w:id="33" w:name="_Toc15377444"/>
      <w:bookmarkStart w:id="34" w:name="_Toc15377213"/>
      <w:bookmarkStart w:id="35"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1944.85</w:t>
      </w:r>
      <w:r>
        <w:rPr>
          <w:rFonts w:hint="eastAsia" w:ascii="仿宋" w:hAnsi="仿宋" w:eastAsia="仿宋"/>
          <w:b/>
          <w:sz w:val="32"/>
          <w:szCs w:val="32"/>
        </w:rPr>
        <w:t>万元</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33"/>
      <w:bookmarkEnd w:id="34"/>
      <w:bookmarkEnd w:id="35"/>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1.</w:t>
      </w:r>
      <w:r>
        <w:rPr>
          <w:rStyle w:val="14"/>
          <w:rFonts w:hint="eastAsia" w:ascii="仿宋" w:hAnsi="仿宋" w:eastAsia="仿宋"/>
          <w:bCs/>
          <w:sz w:val="32"/>
          <w:szCs w:val="32"/>
        </w:rPr>
        <w:t>一般公共服务（类）</w:t>
      </w:r>
      <w:r>
        <w:rPr>
          <w:rStyle w:val="14"/>
          <w:rFonts w:ascii="仿宋" w:hAnsi="仿宋" w:eastAsia="仿宋"/>
          <w:bCs/>
          <w:sz w:val="32"/>
          <w:szCs w:val="32"/>
        </w:rPr>
        <w:t>***</w:t>
      </w:r>
      <w:r>
        <w:rPr>
          <w:rStyle w:val="14"/>
          <w:rFonts w:hint="eastAsia" w:ascii="仿宋" w:hAnsi="仿宋" w:eastAsia="仿宋"/>
          <w:bCs/>
          <w:sz w:val="32"/>
          <w:szCs w:val="32"/>
        </w:rPr>
        <w:t>（款）</w:t>
      </w:r>
      <w:r>
        <w:rPr>
          <w:rStyle w:val="14"/>
          <w:rFonts w:ascii="仿宋" w:hAnsi="仿宋" w:eastAsia="仿宋"/>
          <w:bCs/>
          <w:sz w:val="32"/>
          <w:szCs w:val="32"/>
        </w:rPr>
        <w:t>***</w:t>
      </w:r>
      <w:r>
        <w:rPr>
          <w:rStyle w:val="14"/>
          <w:rFonts w:hint="eastAsia" w:ascii="仿宋" w:hAnsi="仿宋" w:eastAsia="仿宋"/>
          <w:bCs/>
          <w:sz w:val="32"/>
          <w:szCs w:val="32"/>
        </w:rPr>
        <w:t>（项）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支出决算为0万元，完成预算0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2.</w:t>
      </w:r>
      <w:r>
        <w:rPr>
          <w:rStyle w:val="14"/>
          <w:rFonts w:hint="eastAsia" w:ascii="仿宋" w:hAnsi="仿宋" w:eastAsia="仿宋"/>
          <w:bCs/>
          <w:sz w:val="32"/>
          <w:szCs w:val="32"/>
        </w:rPr>
        <w:t>教育支出（类）普通</w:t>
      </w:r>
      <w:r>
        <w:rPr>
          <w:rStyle w:val="14"/>
          <w:rFonts w:ascii="仿宋" w:hAnsi="仿宋" w:eastAsia="仿宋"/>
          <w:bCs/>
          <w:sz w:val="32"/>
          <w:szCs w:val="32"/>
        </w:rPr>
        <w:t>教育</w:t>
      </w:r>
      <w:r>
        <w:rPr>
          <w:rStyle w:val="14"/>
          <w:rFonts w:hint="eastAsia" w:ascii="仿宋" w:hAnsi="仿宋" w:eastAsia="仿宋"/>
          <w:bCs/>
          <w:sz w:val="32"/>
          <w:szCs w:val="32"/>
        </w:rPr>
        <w:t>（款）初中</w:t>
      </w:r>
      <w:r>
        <w:rPr>
          <w:rStyle w:val="14"/>
          <w:rFonts w:ascii="仿宋" w:hAnsi="仿宋" w:eastAsia="仿宋"/>
          <w:bCs/>
          <w:sz w:val="32"/>
          <w:szCs w:val="32"/>
        </w:rPr>
        <w:t>教育</w:t>
      </w:r>
      <w:r>
        <w:rPr>
          <w:rStyle w:val="14"/>
          <w:rFonts w:hint="eastAsia" w:ascii="仿宋" w:hAnsi="仿宋" w:eastAsia="仿宋"/>
          <w:bCs/>
          <w:sz w:val="32"/>
          <w:szCs w:val="32"/>
        </w:rPr>
        <w:t>（项）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支出决算为1</w:t>
      </w:r>
      <w:r>
        <w:rPr>
          <w:rStyle w:val="14"/>
          <w:rFonts w:hint="eastAsia" w:ascii="仿宋" w:hAnsi="仿宋" w:eastAsia="仿宋"/>
          <w:b w:val="0"/>
          <w:bCs/>
          <w:sz w:val="32"/>
          <w:szCs w:val="32"/>
          <w:lang w:val="en-US" w:eastAsia="zh-CN"/>
        </w:rPr>
        <w:t>584</w:t>
      </w:r>
      <w:r>
        <w:rPr>
          <w:rStyle w:val="14"/>
          <w:rFonts w:hint="eastAsia" w:ascii="仿宋" w:hAnsi="仿宋" w:eastAsia="仿宋"/>
          <w:b w:val="0"/>
          <w:bCs/>
          <w:sz w:val="32"/>
          <w:szCs w:val="32"/>
        </w:rPr>
        <w:t>.</w:t>
      </w:r>
      <w:r>
        <w:rPr>
          <w:rStyle w:val="14"/>
          <w:rFonts w:hint="eastAsia" w:ascii="仿宋" w:hAnsi="仿宋" w:eastAsia="仿宋"/>
          <w:b w:val="0"/>
          <w:bCs/>
          <w:sz w:val="32"/>
          <w:szCs w:val="32"/>
          <w:lang w:val="en-US" w:eastAsia="zh-CN"/>
        </w:rPr>
        <w:t>6</w:t>
      </w:r>
      <w:r>
        <w:rPr>
          <w:rStyle w:val="14"/>
          <w:rFonts w:hint="eastAsia" w:ascii="仿宋" w:hAnsi="仿宋" w:eastAsia="仿宋"/>
          <w:b w:val="0"/>
          <w:bCs/>
          <w:sz w:val="32"/>
          <w:szCs w:val="32"/>
        </w:rPr>
        <w:t>7万元，完成预算8</w:t>
      </w:r>
      <w:r>
        <w:rPr>
          <w:rStyle w:val="14"/>
          <w:rFonts w:hint="eastAsia" w:ascii="仿宋" w:hAnsi="仿宋" w:eastAsia="仿宋"/>
          <w:b w:val="0"/>
          <w:bCs/>
          <w:sz w:val="32"/>
          <w:szCs w:val="32"/>
          <w:lang w:val="en-US" w:eastAsia="zh-CN"/>
        </w:rPr>
        <w:t>1</w:t>
      </w:r>
      <w:r>
        <w:rPr>
          <w:rStyle w:val="14"/>
          <w:rFonts w:hint="eastAsia" w:ascii="仿宋" w:hAnsi="仿宋" w:eastAsia="仿宋"/>
          <w:b w:val="0"/>
          <w:bCs/>
          <w:sz w:val="32"/>
          <w:szCs w:val="32"/>
        </w:rPr>
        <w:t>.</w:t>
      </w:r>
      <w:r>
        <w:rPr>
          <w:rStyle w:val="14"/>
          <w:rFonts w:hint="eastAsia" w:ascii="仿宋" w:hAnsi="仿宋" w:eastAsia="仿宋"/>
          <w:b w:val="0"/>
          <w:bCs/>
          <w:sz w:val="32"/>
          <w:szCs w:val="32"/>
          <w:lang w:val="en-US" w:eastAsia="zh-CN"/>
        </w:rPr>
        <w:t>48</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3.</w:t>
      </w:r>
      <w:r>
        <w:rPr>
          <w:rStyle w:val="14"/>
          <w:rFonts w:hint="eastAsia" w:ascii="仿宋" w:hAnsi="仿宋" w:eastAsia="仿宋"/>
          <w:bCs/>
          <w:sz w:val="32"/>
          <w:szCs w:val="32"/>
        </w:rPr>
        <w:t>科学技术（类）</w:t>
      </w:r>
      <w:r>
        <w:rPr>
          <w:rStyle w:val="14"/>
          <w:rFonts w:ascii="仿宋" w:hAnsi="仿宋" w:eastAsia="仿宋"/>
          <w:bCs/>
          <w:sz w:val="32"/>
          <w:szCs w:val="32"/>
        </w:rPr>
        <w:t>***</w:t>
      </w:r>
      <w:r>
        <w:rPr>
          <w:rStyle w:val="14"/>
          <w:rFonts w:hint="eastAsia" w:ascii="仿宋" w:hAnsi="仿宋" w:eastAsia="仿宋"/>
          <w:bCs/>
          <w:sz w:val="32"/>
          <w:szCs w:val="32"/>
        </w:rPr>
        <w:t>（款）</w:t>
      </w:r>
      <w:r>
        <w:rPr>
          <w:rStyle w:val="14"/>
          <w:rFonts w:ascii="仿宋" w:hAnsi="仿宋" w:eastAsia="仿宋"/>
          <w:bCs/>
          <w:sz w:val="32"/>
          <w:szCs w:val="32"/>
        </w:rPr>
        <w:t>***</w:t>
      </w:r>
      <w:r>
        <w:rPr>
          <w:rStyle w:val="14"/>
          <w:rFonts w:hint="eastAsia" w:ascii="仿宋" w:hAnsi="仿宋" w:eastAsia="仿宋"/>
          <w:bCs/>
          <w:sz w:val="32"/>
          <w:szCs w:val="32"/>
        </w:rPr>
        <w:t>（项）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支出决算为0万元，完成预算0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4.</w:t>
      </w:r>
      <w:r>
        <w:rPr>
          <w:rStyle w:val="14"/>
          <w:rFonts w:hint="eastAsia" w:ascii="仿宋" w:hAnsi="仿宋" w:eastAsia="仿宋"/>
          <w:bCs/>
          <w:sz w:val="32"/>
          <w:szCs w:val="32"/>
        </w:rPr>
        <w:t>文化旅游体育与传媒（类）</w:t>
      </w:r>
      <w:r>
        <w:rPr>
          <w:rStyle w:val="14"/>
          <w:rFonts w:ascii="仿宋" w:hAnsi="仿宋" w:eastAsia="仿宋"/>
          <w:bCs/>
          <w:sz w:val="32"/>
          <w:szCs w:val="32"/>
        </w:rPr>
        <w:t>***</w:t>
      </w:r>
      <w:r>
        <w:rPr>
          <w:rStyle w:val="14"/>
          <w:rFonts w:hint="eastAsia" w:ascii="仿宋" w:hAnsi="仿宋" w:eastAsia="仿宋"/>
          <w:bCs/>
          <w:sz w:val="32"/>
          <w:szCs w:val="32"/>
        </w:rPr>
        <w:t>（款）</w:t>
      </w:r>
      <w:r>
        <w:rPr>
          <w:rStyle w:val="14"/>
          <w:rFonts w:ascii="仿宋" w:hAnsi="仿宋" w:eastAsia="仿宋"/>
          <w:bCs/>
          <w:sz w:val="32"/>
          <w:szCs w:val="32"/>
        </w:rPr>
        <w:t>***</w:t>
      </w:r>
      <w:r>
        <w:rPr>
          <w:rStyle w:val="14"/>
          <w:rFonts w:hint="eastAsia" w:ascii="仿宋" w:hAnsi="仿宋" w:eastAsia="仿宋"/>
          <w:bCs/>
          <w:sz w:val="32"/>
          <w:szCs w:val="32"/>
        </w:rPr>
        <w:t>（项）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支出决算为0万元，完成预算0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5.</w:t>
      </w:r>
      <w:r>
        <w:rPr>
          <w:rFonts w:hint="eastAsia" w:ascii="仿宋" w:hAnsi="仿宋" w:eastAsia="仿宋" w:cs="仿宋"/>
          <w:b/>
          <w:bCs/>
          <w:color w:val="000000"/>
          <w:sz w:val="32"/>
          <w:szCs w:val="32"/>
        </w:rPr>
        <w:t xml:space="preserve"> 社会保障和就业（</w:t>
      </w:r>
      <w:r>
        <w:rPr>
          <w:rStyle w:val="14"/>
          <w:rFonts w:hint="eastAsia" w:ascii="仿宋" w:hAnsi="仿宋" w:eastAsia="仿宋"/>
          <w:bCs/>
          <w:color w:val="000000"/>
          <w:sz w:val="32"/>
          <w:szCs w:val="32"/>
        </w:rPr>
        <w:t>类）行政事业单位养老保险支出（款）机关事业单位基本养老保险缴费支出（项）</w:t>
      </w:r>
      <w:r>
        <w:rPr>
          <w:rStyle w:val="14"/>
          <w:rFonts w:hint="eastAsia" w:ascii="仿宋" w:hAnsi="仿宋" w:eastAsia="仿宋"/>
          <w:bCs/>
          <w:color w:val="000000"/>
          <w:sz w:val="32"/>
          <w:szCs w:val="32"/>
          <w:lang w:eastAsia="zh-CN"/>
        </w:rPr>
        <w:t>：</w:t>
      </w:r>
      <w:r>
        <w:rPr>
          <w:rStyle w:val="14"/>
          <w:rFonts w:hint="eastAsia" w:ascii="仿宋" w:hAnsi="仿宋" w:eastAsia="仿宋"/>
          <w:b w:val="0"/>
          <w:bCs/>
          <w:sz w:val="32"/>
          <w:szCs w:val="32"/>
        </w:rPr>
        <w:t>支出决算为</w:t>
      </w:r>
      <w:r>
        <w:rPr>
          <w:rFonts w:hint="eastAsia" w:ascii="仿宋" w:hAnsi="仿宋" w:eastAsia="仿宋"/>
          <w:sz w:val="32"/>
          <w:szCs w:val="32"/>
          <w:lang w:val="en-US" w:eastAsia="zh-CN"/>
        </w:rPr>
        <w:t>159.19</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8.20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cs="仿宋"/>
          <w:b w:val="0"/>
          <w:color w:val="000000"/>
          <w:sz w:val="32"/>
          <w:szCs w:val="32"/>
        </w:rPr>
      </w:pPr>
      <w:r>
        <w:rPr>
          <w:rStyle w:val="14"/>
          <w:rFonts w:hint="eastAsia" w:ascii="仿宋" w:hAnsi="仿宋" w:eastAsia="仿宋"/>
          <w:bCs/>
          <w:color w:val="000000"/>
          <w:sz w:val="32"/>
          <w:szCs w:val="32"/>
        </w:rPr>
        <w:t>6</w:t>
      </w:r>
      <w:r>
        <w:rPr>
          <w:rStyle w:val="14"/>
          <w:rFonts w:ascii="仿宋" w:hAnsi="仿宋" w:eastAsia="仿宋"/>
          <w:bCs/>
          <w:color w:val="000000"/>
          <w:sz w:val="32"/>
          <w:szCs w:val="32"/>
        </w:rPr>
        <w:t>.</w:t>
      </w:r>
      <w:r>
        <w:rPr>
          <w:rFonts w:hint="eastAsia" w:ascii="仿宋" w:hAnsi="仿宋" w:eastAsia="仿宋" w:cs="仿宋"/>
          <w:b/>
          <w:bCs/>
          <w:color w:val="000000"/>
          <w:sz w:val="32"/>
          <w:szCs w:val="32"/>
        </w:rPr>
        <w:t>卫生健康支出（</w:t>
      </w:r>
      <w:r>
        <w:rPr>
          <w:rStyle w:val="14"/>
          <w:rFonts w:hint="eastAsia" w:ascii="仿宋" w:hAnsi="仿宋" w:eastAsia="仿宋"/>
          <w:bCs/>
          <w:color w:val="000000"/>
          <w:sz w:val="32"/>
          <w:szCs w:val="32"/>
        </w:rPr>
        <w:t>类）行政事业单位医疗（款）事业单位医疗（项）</w:t>
      </w:r>
      <w:r>
        <w:rPr>
          <w:rStyle w:val="14"/>
          <w:rFonts w:hint="eastAsia" w:ascii="仿宋" w:hAnsi="仿宋" w:eastAsia="仿宋" w:cs="仿宋"/>
          <w:color w:val="000000"/>
          <w:sz w:val="32"/>
          <w:szCs w:val="32"/>
        </w:rPr>
        <w:t>：</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79.59</w:t>
      </w:r>
      <w:r>
        <w:rPr>
          <w:rStyle w:val="14"/>
          <w:rFonts w:hint="eastAsia" w:ascii="仿宋" w:hAnsi="仿宋" w:eastAsia="仿宋" w:cs="仿宋"/>
          <w:b w:val="0"/>
          <w:color w:val="000000"/>
          <w:sz w:val="32"/>
          <w:szCs w:val="32"/>
        </w:rPr>
        <w:t>万元，完成预算</w:t>
      </w:r>
      <w:r>
        <w:rPr>
          <w:rStyle w:val="14"/>
          <w:rFonts w:hint="eastAsia" w:ascii="仿宋" w:hAnsi="仿宋" w:eastAsia="仿宋" w:cs="仿宋"/>
          <w:b w:val="0"/>
          <w:color w:val="000000"/>
          <w:sz w:val="32"/>
          <w:szCs w:val="32"/>
          <w:lang w:val="en-US" w:eastAsia="zh-CN"/>
        </w:rPr>
        <w:t>4.09</w:t>
      </w:r>
      <w:r>
        <w:rPr>
          <w:rStyle w:val="14"/>
          <w:rFonts w:ascii="仿宋" w:hAnsi="仿宋" w:eastAsia="仿宋" w:cs="仿宋"/>
          <w:b w:val="0"/>
          <w:color w:val="000000"/>
          <w:sz w:val="32"/>
          <w:szCs w:val="32"/>
        </w:rPr>
        <w:t>%</w:t>
      </w:r>
      <w:r>
        <w:rPr>
          <w:rStyle w:val="14"/>
          <w:rFonts w:hint="eastAsia" w:ascii="仿宋" w:hAnsi="仿宋" w:eastAsia="仿宋" w:cs="仿宋"/>
          <w:b w:val="0"/>
          <w:color w:val="000000"/>
          <w:sz w:val="32"/>
          <w:szCs w:val="32"/>
        </w:rPr>
        <w:t>。</w:t>
      </w:r>
    </w:p>
    <w:p>
      <w:pPr>
        <w:spacing w:line="600" w:lineRule="exact"/>
        <w:ind w:firstLine="640" w:firstLineChars="200"/>
        <w:rPr>
          <w:rFonts w:ascii="仿宋" w:hAnsi="仿宋" w:eastAsia="仿宋"/>
          <w:b/>
          <w:color w:val="000000"/>
          <w:sz w:val="32"/>
          <w:szCs w:val="32"/>
        </w:rPr>
      </w:pPr>
      <w:r>
        <w:rPr>
          <w:rStyle w:val="14"/>
          <w:rFonts w:hint="eastAsia" w:ascii="仿宋" w:hAnsi="仿宋" w:eastAsia="仿宋" w:cs="仿宋"/>
          <w:b w:val="0"/>
          <w:color w:val="000000"/>
          <w:sz w:val="32"/>
          <w:szCs w:val="32"/>
        </w:rPr>
        <w:t>4、</w:t>
      </w:r>
      <w:r>
        <w:rPr>
          <w:rFonts w:hint="eastAsia" w:ascii="仿宋" w:hAnsi="仿宋" w:eastAsia="仿宋" w:cs="仿宋"/>
          <w:b/>
          <w:bCs/>
          <w:color w:val="000000"/>
          <w:sz w:val="32"/>
          <w:szCs w:val="32"/>
        </w:rPr>
        <w:t>住房保障支出（</w:t>
      </w:r>
      <w:r>
        <w:rPr>
          <w:rStyle w:val="14"/>
          <w:rFonts w:hint="eastAsia" w:ascii="仿宋" w:hAnsi="仿宋" w:eastAsia="仿宋"/>
          <w:bCs/>
          <w:color w:val="000000"/>
          <w:sz w:val="32"/>
          <w:szCs w:val="32"/>
        </w:rPr>
        <w:t>类）住房改革支出（款）住房公积金（项）</w:t>
      </w:r>
      <w:r>
        <w:rPr>
          <w:rStyle w:val="14"/>
          <w:rFonts w:hint="eastAsia" w:ascii="仿宋" w:hAnsi="仿宋" w:eastAsia="仿宋"/>
          <w:bCs/>
          <w:color w:val="000000"/>
          <w:sz w:val="32"/>
          <w:szCs w:val="32"/>
          <w:lang w:eastAsia="zh-CN"/>
        </w:rPr>
        <w:t>：</w:t>
      </w:r>
      <w:r>
        <w:rPr>
          <w:rStyle w:val="14"/>
          <w:rFonts w:hint="eastAsia" w:ascii="仿宋" w:hAnsi="仿宋" w:eastAsia="仿宋" w:cs="仿宋"/>
          <w:b w:val="0"/>
          <w:color w:val="000000"/>
          <w:sz w:val="32"/>
          <w:szCs w:val="32"/>
        </w:rPr>
        <w:t>支出决算数为</w:t>
      </w:r>
      <w:r>
        <w:rPr>
          <w:rStyle w:val="14"/>
          <w:rFonts w:hint="eastAsia" w:ascii="仿宋" w:hAnsi="仿宋" w:eastAsia="仿宋" w:cs="仿宋"/>
          <w:b w:val="0"/>
          <w:color w:val="000000"/>
          <w:sz w:val="32"/>
          <w:szCs w:val="32"/>
          <w:lang w:val="en-US" w:eastAsia="zh-CN"/>
        </w:rPr>
        <w:t>119.39</w:t>
      </w:r>
      <w:r>
        <w:rPr>
          <w:rStyle w:val="14"/>
          <w:rFonts w:hint="eastAsia" w:ascii="仿宋" w:hAnsi="仿宋" w:eastAsia="仿宋" w:cs="仿宋"/>
          <w:b w:val="0"/>
          <w:color w:val="000000"/>
          <w:sz w:val="32"/>
          <w:szCs w:val="32"/>
        </w:rPr>
        <w:t>万元，完成预算</w:t>
      </w:r>
      <w:r>
        <w:rPr>
          <w:rStyle w:val="14"/>
          <w:rFonts w:hint="eastAsia" w:ascii="仿宋" w:hAnsi="仿宋" w:eastAsia="仿宋" w:cs="仿宋"/>
          <w:b w:val="0"/>
          <w:color w:val="000000"/>
          <w:sz w:val="32"/>
          <w:szCs w:val="32"/>
          <w:lang w:val="en-US" w:eastAsia="zh-CN"/>
        </w:rPr>
        <w:t>6.14</w:t>
      </w:r>
      <w:r>
        <w:rPr>
          <w:rStyle w:val="14"/>
          <w:rFonts w:hint="eastAsia" w:ascii="仿宋" w:hAnsi="仿宋" w:eastAsia="仿宋" w:cs="仿宋"/>
          <w:b w:val="0"/>
          <w:color w:val="000000"/>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1-1表和财决08表，仅罗列本单位涉及的全部功能分类科目，至项级。上述“预算”口径为全年预算数。）</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6"/>
        </w:rPr>
      </w:pPr>
      <w:bookmarkStart w:id="36" w:name="_Toc15396608"/>
      <w:bookmarkStart w:id="37"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6"/>
      <w:bookmarkEnd w:id="37"/>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1944.85</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1673.71</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hint="eastAsia"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100.57</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2"/>
        <w:ind w:firstLine="640" w:firstLineChars="200"/>
        <w:rPr>
          <w:rFonts w:hint="default" w:eastAsia="仿宋"/>
          <w:lang w:val="en-US" w:eastAsia="zh-CN"/>
        </w:rPr>
      </w:pPr>
      <w:r>
        <w:rPr>
          <w:rFonts w:hint="eastAsia" w:ascii="仿宋" w:hAnsi="仿宋" w:eastAsia="仿宋"/>
          <w:sz w:val="32"/>
          <w:szCs w:val="32"/>
          <w:lang w:val="en-US" w:eastAsia="zh-CN"/>
        </w:rPr>
        <w:t>项目经费170.57元，</w:t>
      </w:r>
      <w:r>
        <w:rPr>
          <w:rFonts w:hint="eastAsia" w:ascii="仿宋" w:hAnsi="仿宋" w:eastAsia="仿宋"/>
          <w:sz w:val="32"/>
          <w:szCs w:val="32"/>
        </w:rPr>
        <w:t>主要包括：</w:t>
      </w:r>
      <w:r>
        <w:rPr>
          <w:rFonts w:hint="eastAsia" w:ascii="仿宋" w:hAnsi="仿宋" w:eastAsia="仿宋"/>
          <w:sz w:val="32"/>
          <w:szCs w:val="32"/>
          <w:lang w:val="en-US" w:eastAsia="zh-CN"/>
        </w:rPr>
        <w:t>食堂人员补助，免作业本费，网班建设、使用费项目，贫困寄宿生生活补助，贫困非寄宿生生活补助，校园安全保障经费，学生营养餐改善计划，学生运动场后续资金，“校对校”结对，农村校舍安全保障长效机制补助等。</w:t>
      </w:r>
    </w:p>
    <w:p>
      <w:pPr>
        <w:spacing w:line="600" w:lineRule="exact"/>
        <w:ind w:firstLine="645"/>
        <w:rPr>
          <w:rFonts w:hint="eastAsia"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7表和财决08-1表，仅罗列本单位实际支出涉及的经济分类科目。）</w:t>
      </w:r>
    </w:p>
    <w:p>
      <w:pPr>
        <w:pStyle w:val="2"/>
      </w:pPr>
      <w:r>
        <w:drawing>
          <wp:inline distT="0" distB="0" distL="114300" distR="114300">
            <wp:extent cx="4640580" cy="3223260"/>
            <wp:effectExtent l="4445" t="4445" r="18415" b="18415"/>
            <wp:docPr id="13" name="图表 1" descr="7b0a202020202263686172745265734964223a202232303437363132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b/>
          <w:sz w:val="32"/>
          <w:szCs w:val="32"/>
        </w:rPr>
      </w:pPr>
    </w:p>
    <w:p>
      <w:pPr>
        <w:spacing w:line="600" w:lineRule="exact"/>
        <w:ind w:firstLine="640"/>
        <w:outlineLvl w:val="1"/>
        <w:rPr>
          <w:rStyle w:val="26"/>
          <w:rFonts w:ascii="黑体" w:hAnsi="黑体" w:eastAsia="黑体"/>
          <w:b w:val="0"/>
        </w:rPr>
      </w:pPr>
      <w:bookmarkStart w:id="38" w:name="_Toc15396609"/>
      <w:bookmarkStart w:id="39" w:name="_Toc15377215"/>
      <w:r>
        <w:rPr>
          <w:rFonts w:hint="eastAsia" w:ascii="黑体" w:eastAsia="黑体"/>
          <w:sz w:val="32"/>
          <w:szCs w:val="32"/>
        </w:rPr>
        <w:t>七、</w:t>
      </w:r>
      <w:r>
        <w:rPr>
          <w:rStyle w:val="26"/>
          <w:rFonts w:hint="eastAsia" w:ascii="黑体" w:hAnsi="黑体" w:eastAsia="黑体"/>
          <w:b w:val="0"/>
        </w:rPr>
        <w:t>财政拨款</w:t>
      </w:r>
      <w:r>
        <w:rPr>
          <w:rStyle w:val="26"/>
          <w:rFonts w:hint="eastAsia" w:ascii="黑体" w:hAnsi="黑体" w:eastAsia="黑体"/>
        </w:rPr>
        <w:t>“</w:t>
      </w:r>
      <w:r>
        <w:rPr>
          <w:rStyle w:val="26"/>
          <w:rFonts w:hint="eastAsia" w:ascii="黑体" w:hAnsi="黑体" w:eastAsia="黑体"/>
          <w:b w:val="0"/>
        </w:rPr>
        <w:t>三公”经费支出决算情况说明</w:t>
      </w:r>
      <w:bookmarkEnd w:id="38"/>
      <w:bookmarkEnd w:id="39"/>
    </w:p>
    <w:p>
      <w:pPr>
        <w:spacing w:line="600" w:lineRule="exact"/>
        <w:ind w:firstLine="640"/>
        <w:outlineLvl w:val="2"/>
        <w:rPr>
          <w:rFonts w:ascii="仿宋" w:hAnsi="仿宋" w:eastAsia="仿宋"/>
          <w:b/>
          <w:sz w:val="32"/>
          <w:szCs w:val="32"/>
        </w:rPr>
      </w:pPr>
      <w:bookmarkStart w:id="40" w:name="_Toc15377216"/>
      <w:r>
        <w:rPr>
          <w:rFonts w:hint="eastAsia" w:ascii="仿宋" w:hAnsi="仿宋" w:eastAsia="仿宋"/>
          <w:b/>
          <w:sz w:val="32"/>
          <w:szCs w:val="32"/>
        </w:rPr>
        <w:t>（一）“三公”经费财政拨款支出决算总体情况说明</w:t>
      </w:r>
      <w:bookmarkEnd w:id="40"/>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22年“三公”经费财政拨款支出决算为0.38万元，完成预算100</w:t>
      </w:r>
      <w:r>
        <w:rPr>
          <w:rFonts w:ascii="仿宋" w:hAnsi="仿宋" w:eastAsia="仿宋"/>
          <w:sz w:val="32"/>
          <w:szCs w:val="32"/>
        </w:rPr>
        <w:t>%</w:t>
      </w:r>
      <w:r>
        <w:rPr>
          <w:rFonts w:hint="eastAsia" w:ascii="仿宋" w:hAnsi="仿宋" w:eastAsia="仿宋"/>
          <w:sz w:val="32"/>
          <w:szCs w:val="32"/>
        </w:rPr>
        <w:t>，较上年无增减。</w:t>
      </w:r>
    </w:p>
    <w:p>
      <w:pPr>
        <w:spacing w:line="600" w:lineRule="exact"/>
        <w:ind w:firstLine="640"/>
        <w:rPr>
          <w:rFonts w:ascii="仿宋" w:hAnsi="仿宋" w:eastAsia="仿宋"/>
          <w:b/>
          <w:sz w:val="32"/>
          <w:szCs w:val="32"/>
        </w:rPr>
      </w:pPr>
      <w:r>
        <w:rPr>
          <w:rFonts w:hint="eastAsia" w:ascii="仿宋" w:hAnsi="仿宋" w:eastAsia="仿宋"/>
          <w:b/>
          <w:sz w:val="32"/>
          <w:szCs w:val="32"/>
        </w:rPr>
        <w:t>（注：上述“预算”口径为全年预算数，包括一般公共预算和政府性基金预算财政拨款支出决算情况。）</w:t>
      </w:r>
    </w:p>
    <w:p>
      <w:pPr>
        <w:spacing w:line="600" w:lineRule="exact"/>
        <w:ind w:firstLine="640"/>
        <w:outlineLvl w:val="2"/>
        <w:rPr>
          <w:rFonts w:ascii="仿宋" w:hAnsi="仿宋" w:eastAsia="仿宋"/>
          <w:b/>
          <w:sz w:val="32"/>
          <w:szCs w:val="32"/>
        </w:rPr>
      </w:pPr>
      <w:bookmarkStart w:id="41" w:name="_Toc15377217"/>
      <w:r>
        <w:rPr>
          <w:rFonts w:hint="eastAsia" w:ascii="仿宋" w:hAnsi="仿宋" w:eastAsia="仿宋"/>
          <w:b/>
          <w:sz w:val="32"/>
          <w:szCs w:val="32"/>
        </w:rPr>
        <w:t>（二）“三公”经费财政拨款支出决算具体情况说明</w:t>
      </w:r>
      <w:bookmarkEnd w:id="4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；公务接待费支出决算0.38万元，占0.002</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rPr>
      </w:pPr>
      <w:r>
        <w:rPr>
          <w:rFonts w:hint="eastAsia" w:ascii="仿宋" w:hAnsi="仿宋" w:eastAsia="仿宋"/>
          <w:sz w:val="32"/>
          <w:szCs w:val="32"/>
        </w:rPr>
        <w:t>（图7：“三公”经费财政拨款支出结构）（饼状图）</w:t>
      </w:r>
    </w:p>
    <w:p>
      <w:pPr>
        <w:pStyle w:val="2"/>
        <w:spacing w:before="93"/>
        <w:rPr>
          <w:rFonts w:hint="eastAsia"/>
        </w:rPr>
      </w:pPr>
      <w:r>
        <w:rPr>
          <w:rFonts w:hint="eastAsia"/>
        </w:rP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
        <w:spacing w:before="93"/>
        <w:rPr>
          <w:rFonts w:hint="eastAsia"/>
        </w:rPr>
      </w:pPr>
    </w:p>
    <w:p>
      <w:pPr>
        <w:pStyle w:val="2"/>
        <w:spacing w:before="93"/>
        <w:rPr>
          <w:rFonts w:hint="eastAsia"/>
        </w:rPr>
      </w:pPr>
    </w:p>
    <w:p>
      <w:pPr>
        <w:pStyle w:val="2"/>
        <w:spacing w:before="93"/>
      </w:pP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Fonts w:hint="eastAsia" w:ascii="仿宋_GB2312" w:eastAsia="仿宋_GB2312"/>
          <w:sz w:val="32"/>
          <w:szCs w:val="32"/>
          <w:lang w:eastAsia="zh-CN"/>
        </w:rPr>
        <w:t>，</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0万元。主要用于</w:t>
      </w:r>
      <w:r>
        <w:rPr>
          <w:rFonts w:ascii="仿宋_GB2312" w:eastAsia="仿宋_GB2312"/>
          <w:sz w:val="32"/>
          <w:szCs w:val="32"/>
        </w:rPr>
        <w:t>…</w:t>
      </w:r>
      <w:r>
        <w:rPr>
          <w:rFonts w:hint="eastAsia" w:ascii="仿宋_GB2312" w:eastAsia="仿宋_GB2312"/>
          <w:sz w:val="32"/>
          <w:szCs w:val="32"/>
        </w:rPr>
        <w:t>（具体工作）等所需的公务用车燃料费、维修费、过路过桥费、保险费等支出。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0.38万元，</w:t>
      </w:r>
      <w:r>
        <w:rPr>
          <w:rStyle w:val="14"/>
          <w:rFonts w:hint="eastAsia" w:ascii="仿宋" w:hAnsi="仿宋" w:eastAsia="仿宋"/>
          <w:b w:val="0"/>
          <w:bCs/>
          <w:sz w:val="32"/>
          <w:szCs w:val="32"/>
        </w:rPr>
        <w:t>完成预算0.002</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减少0.095</w:t>
      </w:r>
      <w:r>
        <w:rPr>
          <w:rFonts w:hint="eastAsia" w:ascii="仿宋_GB2312" w:eastAsia="仿宋_GB2312"/>
          <w:sz w:val="32"/>
          <w:szCs w:val="32"/>
        </w:rPr>
        <w:t>万元，</w:t>
      </w:r>
      <w:r>
        <w:rPr>
          <w:rFonts w:hint="eastAsia" w:ascii="仿宋_GB2312" w:eastAsia="仿宋_GB2312"/>
          <w:sz w:val="32"/>
          <w:szCs w:val="32"/>
          <w:lang w:val="en-US" w:eastAsia="zh-CN"/>
        </w:rPr>
        <w:t>减少0.2</w:t>
      </w:r>
      <w:r>
        <w:rPr>
          <w:rFonts w:ascii="仿宋_GB2312" w:eastAsia="仿宋_GB2312"/>
          <w:sz w:val="32"/>
          <w:szCs w:val="32"/>
        </w:rPr>
        <w:t>%</w:t>
      </w:r>
      <w:r>
        <w:rPr>
          <w:rFonts w:hint="eastAsia" w:ascii="仿宋_GB2312" w:eastAsia="仿宋_GB2312"/>
          <w:sz w:val="32"/>
          <w:szCs w:val="32"/>
        </w:rPr>
        <w:t>。主要原因是按财政预算执行。其中：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0.38</w:t>
      </w:r>
      <w:r>
        <w:rPr>
          <w:rFonts w:hint="eastAsia" w:ascii="仿宋_GB2312" w:eastAsia="仿宋_GB2312"/>
          <w:sz w:val="32"/>
          <w:szCs w:val="32"/>
        </w:rPr>
        <w:t>万元，主要用于执行公务、开展业务活动开支的住宿费、用餐费等。国内公务接待1</w:t>
      </w:r>
      <w:r>
        <w:rPr>
          <w:rFonts w:hint="eastAsia" w:ascii="仿宋_GB2312" w:eastAsia="仿宋_GB2312"/>
          <w:sz w:val="32"/>
          <w:szCs w:val="32"/>
          <w:lang w:val="en-US" w:eastAsia="zh-CN"/>
        </w:rPr>
        <w:t>9</w:t>
      </w:r>
      <w:r>
        <w:rPr>
          <w:rFonts w:hint="eastAsia" w:ascii="仿宋_GB2312" w:eastAsia="仿宋_GB2312"/>
          <w:sz w:val="32"/>
          <w:szCs w:val="32"/>
        </w:rPr>
        <w:t>批次，</w:t>
      </w:r>
      <w:r>
        <w:rPr>
          <w:rFonts w:hint="eastAsia" w:ascii="仿宋_GB2312" w:eastAsia="仿宋_GB2312"/>
          <w:sz w:val="32"/>
          <w:szCs w:val="32"/>
          <w:lang w:val="en-US" w:eastAsia="zh-CN"/>
        </w:rPr>
        <w:t>121</w:t>
      </w:r>
      <w:r>
        <w:rPr>
          <w:rFonts w:hint="eastAsia" w:ascii="仿宋_GB2312" w:eastAsia="仿宋_GB2312"/>
          <w:sz w:val="32"/>
          <w:szCs w:val="32"/>
        </w:rPr>
        <w:t>人次（不包括陪同人员），共计支出0.38万元。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万元，主要用于接待</w:t>
      </w:r>
      <w:r>
        <w:rPr>
          <w:rFonts w:ascii="仿宋_GB2312" w:eastAsia="仿宋_GB2312"/>
          <w:sz w:val="32"/>
          <w:szCs w:val="32"/>
        </w:rPr>
        <w:t>…</w:t>
      </w:r>
      <w:r>
        <w:rPr>
          <w:rFonts w:hint="eastAsia" w:ascii="仿宋_GB2312" w:eastAsia="仿宋_GB2312"/>
          <w:sz w:val="32"/>
          <w:szCs w:val="32"/>
        </w:rPr>
        <w:t>（具体项目）。外事接待0批次，0人次（不包括陪同人员），共计支出0万元。</w:t>
      </w:r>
      <w:bookmarkStart w:id="42" w:name="_Toc15396610"/>
      <w:bookmarkStart w:id="43" w:name="_Toc15377218"/>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6"/>
          <w:rFonts w:ascii="黑体" w:hAnsi="黑体" w:eastAsia="黑体"/>
          <w:b w:val="0"/>
        </w:rPr>
      </w:pPr>
      <w:bookmarkStart w:id="44" w:name="_Toc15377219"/>
      <w:bookmarkStart w:id="45" w:name="_Toc15396611"/>
      <w:r>
        <w:rPr>
          <w:rStyle w:val="26"/>
          <w:rFonts w:hint="eastAsia" w:ascii="黑体" w:hAnsi="黑体" w:eastAsia="黑体"/>
          <w:b w:val="0"/>
        </w:rPr>
        <w:t>国有资本经营预算支出决算情况说明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6"/>
          <w:rFonts w:ascii="黑体" w:hAnsi="黑体" w:eastAsia="黑体"/>
          <w:b w:val="0"/>
        </w:rPr>
      </w:pPr>
      <w:bookmarkStart w:id="46" w:name="_Toc15377221"/>
      <w:bookmarkStart w:id="47" w:name="_Toc15396612"/>
      <w:r>
        <w:rPr>
          <w:rStyle w:val="26"/>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sz w:val="32"/>
          <w:szCs w:val="32"/>
        </w:rPr>
      </w:pPr>
      <w:bookmarkStart w:id="48" w:name="_Toc15377222"/>
      <w:r>
        <w:rPr>
          <w:rFonts w:hint="eastAsia" w:ascii="仿宋" w:hAnsi="仿宋" w:eastAsia="仿宋"/>
          <w:b/>
          <w:sz w:val="32"/>
          <w:szCs w:val="32"/>
        </w:rPr>
        <w:t>（一）机关运行经费支出情况</w:t>
      </w:r>
      <w:bookmarkEnd w:id="4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22年，剑阁县</w:t>
      </w:r>
      <w:r>
        <w:rPr>
          <w:rFonts w:hint="eastAsia" w:ascii="仿宋_GB2312" w:eastAsia="仿宋_GB2312"/>
          <w:sz w:val="32"/>
          <w:szCs w:val="32"/>
          <w:lang w:eastAsia="zh-CN"/>
        </w:rPr>
        <w:t>开封中学</w:t>
      </w:r>
      <w:r>
        <w:rPr>
          <w:rFonts w:ascii="仿宋_GB2312" w:eastAsia="仿宋_GB2312"/>
          <w:sz w:val="32"/>
          <w:szCs w:val="32"/>
        </w:rPr>
        <w:t>校</w:t>
      </w:r>
      <w:r>
        <w:rPr>
          <w:rFonts w:hint="eastAsia" w:ascii="仿宋_GB2312" w:eastAsia="仿宋_GB2312"/>
          <w:sz w:val="32"/>
          <w:szCs w:val="32"/>
        </w:rPr>
        <w:t>机关运行经费支出0万元，比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（或与</w:t>
      </w:r>
      <w:r>
        <w:rPr>
          <w:rFonts w:ascii="仿宋_GB2312" w:eastAsia="仿宋_GB2312"/>
          <w:sz w:val="32"/>
          <w:szCs w:val="32"/>
        </w:rPr>
        <w:t>20</w:t>
      </w:r>
      <w:r>
        <w:rPr>
          <w:rFonts w:hint="eastAsia" w:ascii="仿宋_GB2312" w:eastAsia="仿宋_GB2312"/>
          <w:sz w:val="32"/>
          <w:szCs w:val="32"/>
        </w:rPr>
        <w:t>21年决算数持平）。</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9" w:name="_Toc15377223"/>
      <w:r>
        <w:rPr>
          <w:rFonts w:hint="eastAsia" w:ascii="仿宋" w:hAnsi="仿宋" w:eastAsia="仿宋"/>
          <w:b/>
          <w:sz w:val="32"/>
          <w:szCs w:val="32"/>
        </w:rPr>
        <w:t>（二）政府采购支出情况</w:t>
      </w:r>
      <w:bookmarkEnd w:id="4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22年，剑阁县</w:t>
      </w:r>
      <w:r>
        <w:rPr>
          <w:rFonts w:hint="eastAsia" w:ascii="仿宋_GB2312" w:eastAsia="仿宋_GB2312"/>
          <w:sz w:val="32"/>
          <w:szCs w:val="32"/>
          <w:lang w:eastAsia="zh-CN"/>
        </w:rPr>
        <w:t>开封中学</w:t>
      </w:r>
      <w:r>
        <w:rPr>
          <w:rFonts w:ascii="仿宋_GB2312" w:eastAsia="仿宋_GB2312"/>
          <w:sz w:val="32"/>
          <w:szCs w:val="32"/>
        </w:rPr>
        <w:t>校</w:t>
      </w:r>
      <w:r>
        <w:rPr>
          <w:rFonts w:hint="eastAsia" w:ascii="仿宋_GB2312" w:eastAsia="仿宋_GB2312"/>
          <w:sz w:val="32"/>
          <w:szCs w:val="32"/>
        </w:rPr>
        <w:t>政府采购支出总额0万元，其中：政府采购货物支出0万元、政府采购工程支出0万元、政府采购服务支出0万元。主要用于</w:t>
      </w:r>
      <w:r>
        <w:rPr>
          <w:rFonts w:ascii="仿宋_GB2312" w:eastAsia="仿宋_GB2312"/>
          <w:sz w:val="32"/>
          <w:szCs w:val="32"/>
        </w:rPr>
        <w:t>…</w:t>
      </w:r>
      <w:r>
        <w:rPr>
          <w:rFonts w:hint="eastAsia" w:ascii="仿宋_GB2312" w:eastAsia="仿宋_GB2312"/>
          <w:sz w:val="32"/>
          <w:szCs w:val="32"/>
        </w:rPr>
        <w:t>（具体工作）。授予中小企业合同金额0万元，占政府采购支出总额的0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0" w:name="_Toc15377224"/>
      <w:r>
        <w:rPr>
          <w:rFonts w:hint="eastAsia" w:ascii="仿宋" w:hAnsi="仿宋" w:eastAsia="仿宋"/>
          <w:b/>
          <w:sz w:val="32"/>
          <w:szCs w:val="32"/>
        </w:rPr>
        <w:t>（三）国有资产占有使用情况</w:t>
      </w:r>
      <w:bookmarkEnd w:id="50"/>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日，剑阁县</w:t>
      </w:r>
      <w:r>
        <w:rPr>
          <w:rFonts w:hint="eastAsia" w:ascii="仿宋_GB2312" w:eastAsia="仿宋_GB2312"/>
          <w:sz w:val="32"/>
          <w:szCs w:val="32"/>
          <w:lang w:eastAsia="zh-CN"/>
        </w:rPr>
        <w:t>开封中学</w:t>
      </w:r>
      <w:r>
        <w:rPr>
          <w:rFonts w:ascii="仿宋_GB2312" w:eastAsia="仿宋_GB2312"/>
          <w:sz w:val="32"/>
          <w:szCs w:val="32"/>
        </w:rPr>
        <w:t>校</w:t>
      </w:r>
      <w:r>
        <w:rPr>
          <w:rFonts w:hint="eastAsia" w:ascii="仿宋_GB2312" w:eastAsia="仿宋_GB2312"/>
          <w:sz w:val="32"/>
          <w:szCs w:val="32"/>
        </w:rPr>
        <w:t>共有车辆0辆，其中：主要领导干部用车0辆、机要通信用车0辆、应急保障用车0辆、其他用车0辆。单价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表，按单位决算报表填报数据罗列车辆情况。）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hint="eastAsia" w:hAnsi="仿宋_GB2312" w:cs="仿宋_GB2312"/>
          <w:sz w:val="32"/>
          <w:szCs w:val="32"/>
          <w:lang w:val="en-US" w:eastAsia="zh-CN"/>
        </w:rPr>
        <w:t>四川省剑阁县开封中学</w:t>
      </w:r>
      <w:r>
        <w:rPr>
          <w:rFonts w:hint="eastAsia" w:hAnsi="仿宋_GB2312" w:cs="仿宋_GB2312"/>
          <w:sz w:val="32"/>
          <w:szCs w:val="32"/>
        </w:rPr>
        <w:t>项目目标绩效考核奖励、优秀公务员和事业人员嘉奖、工会经费与福利费、生均公用经费、校园安全保障经费、食堂人员补助、在职工资福利支出（事业）、其他补助支出、学生营养改善计划、农村校舍安全保障长效机制补助、农村义务教育综合奖补、免作业本费、贫困寄宿生生活补助、贫困非寄宿生生活补助、</w:t>
      </w:r>
      <w:r>
        <w:rPr>
          <w:rFonts w:hint="eastAsia" w:hAnsi="仿宋_GB2312" w:cs="仿宋_GB2312"/>
          <w:sz w:val="32"/>
          <w:szCs w:val="32"/>
          <w:lang w:val="en-US" w:eastAsia="zh-CN"/>
        </w:rPr>
        <w:t>开封</w:t>
      </w:r>
      <w:r>
        <w:rPr>
          <w:rFonts w:hint="eastAsia" w:hAnsi="仿宋_GB2312" w:cs="仿宋_GB2312"/>
          <w:sz w:val="32"/>
          <w:szCs w:val="32"/>
        </w:rPr>
        <w:t>中学运动场</w:t>
      </w:r>
      <w:r>
        <w:rPr>
          <w:rFonts w:hint="eastAsia" w:hAnsi="仿宋_GB2312" w:cs="仿宋_GB2312"/>
          <w:sz w:val="32"/>
          <w:szCs w:val="32"/>
          <w:lang w:val="en-US" w:eastAsia="zh-CN"/>
        </w:rPr>
        <w:t>建设工程</w:t>
      </w:r>
      <w:r>
        <w:rPr>
          <w:rFonts w:hint="eastAsia" w:hAnsi="仿宋_GB2312" w:cs="仿宋_GB2312"/>
          <w:sz w:val="32"/>
          <w:szCs w:val="32"/>
        </w:rPr>
        <w:t>项目等1</w:t>
      </w:r>
      <w:r>
        <w:rPr>
          <w:rFonts w:hint="eastAsia" w:hAnsi="仿宋_GB2312" w:cs="仿宋_GB2312"/>
          <w:sz w:val="32"/>
          <w:szCs w:val="32"/>
          <w:lang w:val="en-US" w:eastAsia="zh-CN"/>
        </w:rPr>
        <w:t>6</w:t>
      </w:r>
      <w:r>
        <w:rPr>
          <w:rFonts w:hint="eastAsia" w:hAnsi="仿宋_GB2312" w:cs="仿宋_GB2312"/>
          <w:sz w:val="32"/>
          <w:szCs w:val="32"/>
        </w:rPr>
        <w:t>个项目开展了预算事前绩效评估，对1</w:t>
      </w:r>
      <w:r>
        <w:rPr>
          <w:rFonts w:hint="eastAsia" w:hAnsi="仿宋_GB2312" w:cs="仿宋_GB2312"/>
          <w:sz w:val="32"/>
          <w:szCs w:val="32"/>
          <w:lang w:val="en-US" w:eastAsia="zh-CN"/>
        </w:rPr>
        <w:t>6</w:t>
      </w:r>
      <w:r>
        <w:rPr>
          <w:rFonts w:hint="eastAsia" w:hAnsi="仿宋_GB2312" w:cs="仿宋_GB2312"/>
          <w:sz w:val="32"/>
          <w:szCs w:val="32"/>
        </w:rPr>
        <w:t>个项目编制了绩效目标，预算执行过程中，选取1</w:t>
      </w:r>
      <w:r>
        <w:rPr>
          <w:rFonts w:hint="eastAsia" w:hAnsi="仿宋_GB2312" w:cs="仿宋_GB2312"/>
          <w:sz w:val="32"/>
          <w:szCs w:val="32"/>
          <w:lang w:val="en-US" w:eastAsia="zh-CN"/>
        </w:rPr>
        <w:t>6</w:t>
      </w:r>
      <w:r>
        <w:rPr>
          <w:rFonts w:hint="eastAsia" w:hAnsi="仿宋_GB2312" w:cs="仿宋_GB2312"/>
          <w:sz w:val="32"/>
          <w:szCs w:val="32"/>
        </w:rPr>
        <w:t>个项目开展绩效监控，组织对1</w:t>
      </w:r>
      <w:r>
        <w:rPr>
          <w:rFonts w:hint="eastAsia" w:hAnsi="仿宋_GB2312" w:cs="仿宋_GB2312"/>
          <w:sz w:val="32"/>
          <w:szCs w:val="32"/>
          <w:lang w:val="en-US" w:eastAsia="zh-CN"/>
        </w:rPr>
        <w:t>6</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51" w:name="_Toc15396613"/>
      <w:bookmarkStart w:id="52" w:name="_Toc15377225"/>
      <w:r>
        <w:rPr>
          <w:rFonts w:hint="eastAsia" w:ascii="黑体" w:hAnsi="黑体" w:eastAsia="黑体"/>
          <w:sz w:val="44"/>
          <w:szCs w:val="44"/>
        </w:rPr>
        <w:t>名</w:t>
      </w:r>
      <w:r>
        <w:rPr>
          <w:rStyle w:val="25"/>
          <w:rFonts w:hint="eastAsia" w:ascii="黑体" w:hAnsi="黑体" w:eastAsia="黑体"/>
          <w:b w:val="0"/>
        </w:rPr>
        <w:t>词解释</w:t>
      </w:r>
      <w:bookmarkEnd w:id="51"/>
      <w:bookmarkEnd w:id="52"/>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一般公共服务（类）…（款）…（项）：指……。</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外交（类）…（款）…（项）：指……。</w:t>
      </w:r>
    </w:p>
    <w:p>
      <w:pPr>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公共安全（类）…（款）…（项）：指……。</w:t>
      </w:r>
    </w:p>
    <w:p>
      <w:pPr>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教育（类）…（款）…（项）：指……。</w:t>
      </w:r>
    </w:p>
    <w:p>
      <w:pPr>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科学技术（类）…（款）…（项）：指……。</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文化旅游体育与传媒（类）…（款）…（项）：指……。</w:t>
      </w:r>
    </w:p>
    <w:p>
      <w:pPr>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社会保障和就业（类）…（款）…（项）：指……。</w:t>
      </w:r>
    </w:p>
    <w:p>
      <w:pPr>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卫生健康（类）…（款）…（项）：指……。</w:t>
      </w:r>
    </w:p>
    <w:p>
      <w:pPr>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节能环保（类）…（款）…（项）：指……。</w:t>
      </w:r>
    </w:p>
    <w:p>
      <w:pPr>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城乡社区（类）…（款）…（项）：指……。</w:t>
      </w:r>
    </w:p>
    <w:p>
      <w:pPr>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农林水（类）…（款）…（项）：指……。</w:t>
      </w:r>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交通运输（类）…（款）…（项）：指……。</w:t>
      </w:r>
    </w:p>
    <w:p>
      <w:pPr>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资源勘探工业信息等（类）…（款）…（项）：指……。</w:t>
      </w:r>
    </w:p>
    <w:p>
      <w:pPr>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商业服务业（类）…（款）…（项）：指……。</w:t>
      </w:r>
    </w:p>
    <w:p>
      <w:pPr>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金融（类）…（款）…（项）：指……。</w:t>
      </w:r>
    </w:p>
    <w:p>
      <w:pPr>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自然资源海洋气象等（类）…（款）…（项）：指……。</w:t>
      </w:r>
    </w:p>
    <w:p>
      <w:pPr>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住房保障（类）…（款）…（项）：指……。</w:t>
      </w:r>
    </w:p>
    <w:p>
      <w:pPr>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粮油物资储备（类）…（款）…（项）：指……。</w:t>
      </w:r>
    </w:p>
    <w:p>
      <w:pPr>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30.</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31.</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5"/>
          <w:rFonts w:ascii="黑体" w:hAnsi="黑体" w:eastAsia="黑体"/>
          <w:b w:val="0"/>
        </w:rPr>
      </w:pPr>
      <w:bookmarkStart w:id="53" w:name="_Toc15377226"/>
      <w:bookmarkStart w:id="69" w:name="_GoBack"/>
      <w:bookmarkEnd w:id="69"/>
      <w:r>
        <w:rPr>
          <w:rFonts w:ascii="宋体"/>
          <w:b/>
          <w:sz w:val="44"/>
          <w:szCs w:val="44"/>
        </w:rPr>
        <w:br w:type="page"/>
      </w:r>
      <w:bookmarkStart w:id="54" w:name="_Toc15396614"/>
      <w:r>
        <w:rPr>
          <w:rFonts w:hint="eastAsia" w:ascii="黑体" w:hAnsi="黑体" w:eastAsia="黑体"/>
          <w:sz w:val="44"/>
          <w:szCs w:val="44"/>
        </w:rPr>
        <w:t>第</w:t>
      </w:r>
      <w:r>
        <w:rPr>
          <w:rStyle w:val="25"/>
          <w:rFonts w:hint="eastAsia" w:ascii="黑体" w:hAnsi="黑体" w:eastAsia="黑体"/>
          <w:b w:val="0"/>
        </w:rPr>
        <w:t>四部分 附件</w:t>
      </w:r>
      <w:bookmarkEnd w:id="54"/>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rPr>
      </w:pPr>
      <w:bookmarkStart w:id="55" w:name="_Toc15396618"/>
      <w:r>
        <w:rPr>
          <w:rFonts w:hint="eastAsia" w:ascii="宋体" w:hAnsi="宋体" w:cs="宋体"/>
          <w:kern w:val="0"/>
          <w:sz w:val="32"/>
          <w:szCs w:val="32"/>
        </w:rPr>
        <w:t>部门预算项目支出绩效自评表（2022年度）</w:t>
      </w:r>
    </w:p>
    <w:tbl>
      <w:tblPr>
        <w:tblStyle w:val="12"/>
        <w:tblW w:w="9800" w:type="dxa"/>
        <w:tblInd w:w="95" w:type="dxa"/>
        <w:tblLayout w:type="autofit"/>
        <w:tblCellMar>
          <w:top w:w="0" w:type="dxa"/>
          <w:left w:w="108" w:type="dxa"/>
          <w:bottom w:w="0" w:type="dxa"/>
          <w:right w:w="108" w:type="dxa"/>
        </w:tblCellMar>
      </w:tblPr>
      <w:tblGrid>
        <w:gridCol w:w="697"/>
        <w:gridCol w:w="1221"/>
        <w:gridCol w:w="998"/>
        <w:gridCol w:w="1523"/>
        <w:gridCol w:w="520"/>
        <w:gridCol w:w="752"/>
        <w:gridCol w:w="400"/>
        <w:gridCol w:w="1093"/>
        <w:gridCol w:w="576"/>
        <w:gridCol w:w="460"/>
        <w:gridCol w:w="1560"/>
      </w:tblGrid>
      <w:tr>
        <w:tblPrEx>
          <w:tblCellMar>
            <w:top w:w="0" w:type="dxa"/>
            <w:left w:w="108" w:type="dxa"/>
            <w:bottom w:w="0" w:type="dxa"/>
            <w:right w:w="108" w:type="dxa"/>
          </w:tblCellMar>
        </w:tblPrEx>
        <w:trPr>
          <w:trHeight w:val="409" w:hRule="atLeast"/>
        </w:trPr>
        <w:tc>
          <w:tcPr>
            <w:tcW w:w="4439" w:type="dxa"/>
            <w:gridSpan w:val="4"/>
            <w:tcBorders>
              <w:top w:val="nil"/>
              <w:left w:val="nil"/>
              <w:bottom w:val="nil"/>
              <w:right w:val="nil"/>
            </w:tcBorders>
            <w:shd w:val="clear" w:color="auto" w:fill="auto"/>
            <w:vAlign w:val="center"/>
          </w:tcPr>
          <w:p>
            <w:pPr>
              <w:widowControl/>
              <w:jc w:val="left"/>
              <w:rPr>
                <w:rFonts w:ascii="宋体" w:hAnsi="宋体" w:cs="宋体"/>
                <w:color w:val="C0C0C0"/>
                <w:kern w:val="0"/>
                <w:sz w:val="20"/>
                <w:szCs w:val="20"/>
              </w:rPr>
            </w:pPr>
            <w:r>
              <w:rPr>
                <w:rFonts w:hint="eastAsia" w:ascii="宋体" w:hAnsi="宋体" w:cs="宋体"/>
                <w:color w:val="C0C0C0"/>
                <w:kern w:val="0"/>
                <w:sz w:val="20"/>
                <w:szCs w:val="20"/>
              </w:rPr>
              <w:t>报表编号：510000_0013zp</w:t>
            </w:r>
          </w:p>
        </w:tc>
        <w:tc>
          <w:tcPr>
            <w:tcW w:w="52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2245"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46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51082321R000000025238</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目标绩效考核奖励</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四川省剑阁县开封中学</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256.41</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256.41</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256.41</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256.41</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660"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51082321R000000025241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优秀公务员和事业人员嘉奖</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四川省剑阁县开封中学</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2.85</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2.85</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2.85</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2.85</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51082321Y000000029651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工会经费与福利费</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四川省剑阁县开封中学</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保障单位日常运转，提高预算编制质量，严格执行预算</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19.88</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6</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6</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19.88</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6</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6</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科目调整次数</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6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预算编制准确率（计算方法为：∣（执行数</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预算数）/预算数∣）</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99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经济效益指标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运转保障率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90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9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“三公经费”控制率[计算方法为：（三公经费实际支出数/预算安排数]×100%）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51082321Y000000056693-生均公用经费</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四川省剑阁县开封中学</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保障单位日常运转，提高预算编制质量，严格执行预算</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85.99</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90.62</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32.19</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35.52</w:t>
            </w:r>
            <w:r>
              <w:rPr>
                <w:rFonts w:hint="eastAsia" w:ascii="宋体" w:hAnsi="宋体" w:cs="宋体"/>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85.99</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90.62</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32.19</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35.52</w:t>
            </w:r>
            <w:r>
              <w:rPr>
                <w:rFonts w:hint="eastAsia" w:ascii="宋体" w:hAnsi="宋体" w:cs="宋体"/>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科目调整次数</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6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预算编制准确率（计算方法为：∣（执行数</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预算数）/预算数∣）</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99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经济效益指标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运转保障率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90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9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“三公经费”控制率[计算方法为：（三公经费实际支出数/预算安排数]×100%）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51082321Y000000094349</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校园安全保障经费</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四川省剑阁县开封中学</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51082321Y000000096540</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食堂人员补助</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w:t>
            </w:r>
            <w:r>
              <w:rPr>
                <w:rFonts w:hint="eastAsia" w:ascii="宋体" w:hAnsi="宋体" w:cs="宋体"/>
                <w:color w:val="000000"/>
                <w:kern w:val="0"/>
                <w:sz w:val="18"/>
                <w:szCs w:val="18"/>
                <w:lang w:eastAsia="zh-CN"/>
              </w:rPr>
              <w:t>开封中学</w:t>
            </w:r>
            <w:r>
              <w:rPr>
                <w:rFonts w:hint="eastAsia" w:ascii="宋体" w:hAnsi="宋体" w:cs="宋体"/>
                <w:color w:val="000000"/>
                <w:kern w:val="0"/>
                <w:sz w:val="18"/>
                <w:szCs w:val="18"/>
              </w:rPr>
              <w:t>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3</w:t>
            </w:r>
            <w:r>
              <w:rPr>
                <w:rFonts w:hint="eastAsia" w:ascii="宋体" w:hAnsi="宋体" w:cs="宋体"/>
                <w:color w:val="000000"/>
                <w:kern w:val="0"/>
                <w:sz w:val="18"/>
                <w:szCs w:val="18"/>
              </w:rPr>
              <w:t>.00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3</w:t>
            </w:r>
            <w:r>
              <w:rPr>
                <w:rFonts w:hint="eastAsia" w:ascii="宋体" w:hAnsi="宋体" w:cs="宋体"/>
                <w:color w:val="000000"/>
                <w:kern w:val="0"/>
                <w:sz w:val="18"/>
                <w:szCs w:val="18"/>
              </w:rPr>
              <w:t>.00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rPr>
              <w:t>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3</w:t>
            </w:r>
            <w:r>
              <w:rPr>
                <w:rFonts w:hint="eastAsia" w:ascii="宋体" w:hAnsi="宋体" w:cs="宋体"/>
                <w:color w:val="000000"/>
                <w:kern w:val="0"/>
                <w:sz w:val="18"/>
                <w:szCs w:val="18"/>
              </w:rPr>
              <w:t>.00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3</w:t>
            </w:r>
            <w:r>
              <w:rPr>
                <w:rFonts w:hint="eastAsia" w:ascii="宋体" w:hAnsi="宋体" w:cs="宋体"/>
                <w:color w:val="000000"/>
                <w:kern w:val="0"/>
                <w:sz w:val="18"/>
                <w:szCs w:val="18"/>
              </w:rPr>
              <w:t>.00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rPr>
              <w:t>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51082322R000000309796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在职工资福利支出（事业）</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w:t>
            </w:r>
            <w:r>
              <w:rPr>
                <w:rFonts w:hint="eastAsia" w:ascii="宋体" w:hAnsi="宋体" w:cs="宋体"/>
                <w:color w:val="000000"/>
                <w:kern w:val="0"/>
                <w:sz w:val="18"/>
                <w:szCs w:val="18"/>
                <w:lang w:eastAsia="zh-CN"/>
              </w:rPr>
              <w:t>开封中学</w:t>
            </w:r>
            <w:r>
              <w:rPr>
                <w:rFonts w:hint="eastAsia" w:ascii="宋体" w:hAnsi="宋体" w:cs="宋体"/>
                <w:color w:val="000000"/>
                <w:kern w:val="0"/>
                <w:sz w:val="18"/>
                <w:szCs w:val="18"/>
              </w:rPr>
              <w:t>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严格执行相关政策，保障工资及时、足额发放或社保及时、足额缴纳，预算编制科学合理，减少结余资金。</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1428.75</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1383.47</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1383.47</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1428.75</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1383.47</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1383.47</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发放（缴纳）覆盖率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足额保障率（参保率）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51082322R000000400563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其他补助支出</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四川省剑阁县开封中学</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严格执行相关政策，保障工资及时、足额发放或社保及时、足额缴纳，预算编制科学合理，减少结余资金。</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10.05</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10.05</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10.05</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10.05</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10.05</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10.05</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发放（缴纳）覆盖率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足额保障率（参保率）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51082322T000005304589</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学生营养改善计划</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四川省剑阁县开封中学</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73.53</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73.94</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29.02</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39.25</w:t>
            </w:r>
            <w:r>
              <w:rPr>
                <w:rFonts w:hint="eastAsia" w:ascii="宋体" w:hAnsi="宋体" w:cs="宋体"/>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73.53</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73.94</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29.02</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39.25</w:t>
            </w:r>
            <w:r>
              <w:rPr>
                <w:rFonts w:hint="eastAsia" w:ascii="宋体" w:hAnsi="宋体" w:cs="宋体"/>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51082322T00000</w:t>
            </w:r>
            <w:r>
              <w:rPr>
                <w:rFonts w:hint="eastAsia" w:ascii="宋体" w:hAnsi="宋体" w:cs="宋体"/>
                <w:color w:val="000000"/>
                <w:kern w:val="0"/>
                <w:sz w:val="18"/>
                <w:szCs w:val="18"/>
                <w:lang w:val="en-US" w:eastAsia="zh-CN"/>
              </w:rPr>
              <w:t>8684010</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网班建设、使用费项目</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四川省剑阁县开封中学</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8.5</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8.5</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8.5</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100</w:t>
            </w:r>
            <w:r>
              <w:rPr>
                <w:rFonts w:hint="eastAsia" w:ascii="宋体" w:hAnsi="宋体" w:cs="宋体"/>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8.5</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8.5</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8.5</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100</w:t>
            </w:r>
            <w:r>
              <w:rPr>
                <w:rFonts w:hint="eastAsia" w:ascii="宋体" w:hAnsi="宋体" w:cs="宋体"/>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51082322T000005306045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免作业本费</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四川省剑阁县开封中学</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3.13</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3.13</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3.13</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100</w:t>
            </w:r>
            <w:r>
              <w:rPr>
                <w:rFonts w:hint="eastAsia" w:ascii="宋体" w:hAnsi="宋体" w:cs="宋体"/>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3.13</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3.13</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3.13</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100</w:t>
            </w:r>
            <w:r>
              <w:rPr>
                <w:rFonts w:hint="eastAsia" w:ascii="宋体" w:hAnsi="宋体" w:cs="宋体"/>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51082322T000005306788</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贫困寄宿生生活补助</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四川省剑阁县开封中学</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44.25</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41.25</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41.25</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100</w:t>
            </w:r>
            <w:r>
              <w:rPr>
                <w:rFonts w:hint="eastAsia" w:ascii="宋体" w:hAnsi="宋体" w:cs="宋体"/>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44.25</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41.25</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41.25</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100</w:t>
            </w:r>
            <w:r>
              <w:rPr>
                <w:rFonts w:hint="eastAsia" w:ascii="宋体" w:hAnsi="宋体" w:cs="宋体"/>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51082322T000005306905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贫困非寄宿生生活补助</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w:t>
            </w:r>
            <w:r>
              <w:rPr>
                <w:rFonts w:hint="eastAsia" w:ascii="宋体" w:hAnsi="宋体" w:cs="宋体"/>
                <w:color w:val="000000"/>
                <w:kern w:val="0"/>
                <w:sz w:val="18"/>
                <w:szCs w:val="18"/>
                <w:lang w:eastAsia="zh-CN"/>
              </w:rPr>
              <w:t>开封中学</w:t>
            </w:r>
            <w:r>
              <w:rPr>
                <w:rFonts w:hint="eastAsia" w:ascii="宋体" w:hAnsi="宋体" w:cs="宋体"/>
                <w:color w:val="000000"/>
                <w:kern w:val="0"/>
                <w:sz w:val="18"/>
                <w:szCs w:val="18"/>
              </w:rPr>
              <w:t>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0.375</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0.375</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100</w:t>
            </w:r>
            <w:r>
              <w:rPr>
                <w:rFonts w:hint="eastAsia" w:ascii="宋体" w:hAnsi="宋体" w:cs="宋体"/>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0.375</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0.375</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100</w:t>
            </w:r>
            <w:r>
              <w:rPr>
                <w:rFonts w:hint="eastAsia" w:ascii="宋体" w:hAnsi="宋体" w:cs="宋体"/>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51082322T000005649577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开封</w:t>
            </w:r>
            <w:r>
              <w:rPr>
                <w:rFonts w:hint="eastAsia" w:ascii="宋体" w:hAnsi="宋体" w:cs="宋体"/>
                <w:color w:val="000000"/>
                <w:kern w:val="0"/>
                <w:sz w:val="18"/>
                <w:szCs w:val="18"/>
              </w:rPr>
              <w:t>中学运动场</w:t>
            </w:r>
            <w:r>
              <w:rPr>
                <w:rFonts w:hint="eastAsia" w:ascii="宋体" w:hAnsi="宋体" w:cs="宋体"/>
                <w:color w:val="000000"/>
                <w:kern w:val="0"/>
                <w:sz w:val="18"/>
                <w:szCs w:val="18"/>
                <w:lang w:val="en-US" w:eastAsia="zh-CN"/>
              </w:rPr>
              <w:t>后续资金</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四川省剑阁县开封中学</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41.38</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41.38</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19</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45.92</w:t>
            </w:r>
            <w:r>
              <w:rPr>
                <w:rFonts w:hint="eastAsia" w:ascii="宋体" w:hAnsi="宋体" w:cs="宋体"/>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41.38</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41.38</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19</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45.92</w:t>
            </w:r>
            <w:r>
              <w:rPr>
                <w:rFonts w:hint="eastAsia" w:ascii="宋体" w:hAnsi="宋体" w:cs="宋体"/>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1221"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998"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1523"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520"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752"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400"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1093"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576"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460"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1560"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51082322T00000</w:t>
            </w:r>
            <w:r>
              <w:rPr>
                <w:rFonts w:hint="eastAsia" w:ascii="宋体" w:hAnsi="宋体" w:cs="宋体"/>
                <w:color w:val="000000"/>
                <w:kern w:val="0"/>
                <w:sz w:val="18"/>
                <w:szCs w:val="18"/>
                <w:lang w:val="en-US" w:eastAsia="zh-CN"/>
              </w:rPr>
              <w:t>7030142</w:t>
            </w:r>
            <w:r>
              <w:rPr>
                <w:rFonts w:hint="eastAsia" w:ascii="宋体" w:hAnsi="宋体" w:cs="宋体"/>
                <w:color w:val="000000"/>
                <w:kern w:val="0"/>
                <w:sz w:val="18"/>
                <w:szCs w:val="18"/>
              </w:rPr>
              <w:t>-</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校对校</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结对项目</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四川省剑阁县开封中学</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2</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2</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2</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2</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p>
        </w:tc>
        <w:tc>
          <w:tcPr>
            <w:tcW w:w="1221"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998"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1523"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520"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752"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400"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1093"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576"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460"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1560"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p>
        </w:tc>
        <w:tc>
          <w:tcPr>
            <w:tcW w:w="1221"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998"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1523"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520"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752"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400"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1093"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576"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460"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c>
          <w:tcPr>
            <w:tcW w:w="1560" w:type="dxa"/>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9800" w:type="dxa"/>
            <w:gridSpan w:val="11"/>
            <w:tcBorders>
              <w:top w:val="nil"/>
              <w:left w:val="nil"/>
              <w:bottom w:val="nil"/>
              <w:right w:val="nil"/>
            </w:tcBorders>
            <w:shd w:val="clear" w:color="auto" w:fill="auto"/>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9800" w:type="dxa"/>
            <w:gridSpan w:val="11"/>
            <w:tcBorders>
              <w:top w:val="nil"/>
              <w:left w:val="nil"/>
              <w:bottom w:val="nil"/>
              <w:right w:val="nil"/>
            </w:tcBorders>
            <w:shd w:val="clear" w:color="auto" w:fill="auto"/>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9800" w:type="dxa"/>
            <w:gridSpan w:val="11"/>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1、报表说明</w:t>
            </w:r>
            <w:r>
              <w:rPr>
                <w:rFonts w:hint="eastAsia" w:ascii="宋体" w:hAnsi="宋体" w:cs="宋体"/>
                <w:kern w:val="0"/>
                <w:sz w:val="18"/>
                <w:szCs w:val="18"/>
                <w:lang w:eastAsia="zh-CN"/>
              </w:rPr>
              <w:t>：</w:t>
            </w:r>
            <w:r>
              <w:rPr>
                <w:rFonts w:hint="eastAsia" w:ascii="宋体" w:hAnsi="宋体" w:cs="宋体"/>
                <w:kern w:val="0"/>
                <w:sz w:val="18"/>
                <w:szCs w:val="18"/>
              </w:rPr>
              <w:t>该报表查询项目信息、绩效目标信息、预算及执行情况，用于预算单位查询导出开展项目自评。</w:t>
            </w:r>
          </w:p>
        </w:tc>
      </w:tr>
      <w:tr>
        <w:tblPrEx>
          <w:tblCellMar>
            <w:top w:w="0" w:type="dxa"/>
            <w:left w:w="108" w:type="dxa"/>
            <w:bottom w:w="0" w:type="dxa"/>
            <w:right w:w="108" w:type="dxa"/>
          </w:tblCellMar>
        </w:tblPrEx>
        <w:trPr>
          <w:trHeight w:val="285" w:hRule="atLeast"/>
        </w:trPr>
        <w:tc>
          <w:tcPr>
            <w:tcW w:w="9800" w:type="dxa"/>
            <w:gridSpan w:val="11"/>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2、取数口径：部门项目绩效目标表信息，包括年初预算、追加预算、结转预算和调整预算的绩效目标（以项目的最终绩效目标为准）。</w:t>
            </w:r>
          </w:p>
        </w:tc>
      </w:tr>
      <w:tr>
        <w:tblPrEx>
          <w:tblCellMar>
            <w:top w:w="0" w:type="dxa"/>
            <w:left w:w="108" w:type="dxa"/>
            <w:bottom w:w="0" w:type="dxa"/>
            <w:right w:w="108" w:type="dxa"/>
          </w:tblCellMar>
        </w:tblPrEx>
        <w:trPr>
          <w:trHeight w:val="285" w:hRule="atLeast"/>
        </w:trPr>
        <w:tc>
          <w:tcPr>
            <w:tcW w:w="9800" w:type="dxa"/>
            <w:gridSpan w:val="11"/>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适用地区：全省范围</w:t>
            </w:r>
          </w:p>
        </w:tc>
      </w:tr>
      <w:tr>
        <w:tblPrEx>
          <w:tblCellMar>
            <w:top w:w="0" w:type="dxa"/>
            <w:left w:w="108" w:type="dxa"/>
            <w:bottom w:w="0" w:type="dxa"/>
            <w:right w:w="108" w:type="dxa"/>
          </w:tblCellMar>
        </w:tblPrEx>
        <w:trPr>
          <w:trHeight w:val="285" w:hRule="atLeast"/>
        </w:trPr>
        <w:tc>
          <w:tcPr>
            <w:tcW w:w="9800" w:type="dxa"/>
            <w:gridSpan w:val="11"/>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适用用户：部门用户、单位用户</w:t>
            </w:r>
          </w:p>
        </w:tc>
      </w:tr>
      <w:tr>
        <w:tblPrEx>
          <w:tblCellMar>
            <w:top w:w="0" w:type="dxa"/>
            <w:left w:w="108" w:type="dxa"/>
            <w:bottom w:w="0" w:type="dxa"/>
            <w:right w:w="108" w:type="dxa"/>
          </w:tblCellMar>
        </w:tblPrEx>
        <w:trPr>
          <w:trHeight w:val="285" w:hRule="atLeast"/>
        </w:trPr>
        <w:tc>
          <w:tcPr>
            <w:tcW w:w="9800" w:type="dxa"/>
            <w:gridSpan w:val="11"/>
            <w:tcBorders>
              <w:top w:val="nil"/>
              <w:left w:val="nil"/>
              <w:bottom w:val="nil"/>
              <w:right w:val="nil"/>
            </w:tcBorders>
            <w:shd w:val="clear" w:color="auto" w:fill="auto"/>
            <w:vAlign w:val="center"/>
          </w:tcPr>
          <w:p>
            <w:pPr>
              <w:widowControl/>
              <w:jc w:val="left"/>
              <w:rPr>
                <w:rFonts w:hint="eastAsia" w:ascii="宋体" w:hAnsi="宋体" w:cs="宋体"/>
                <w:kern w:val="0"/>
                <w:sz w:val="18"/>
                <w:szCs w:val="18"/>
              </w:rPr>
            </w:pPr>
          </w:p>
        </w:tc>
      </w:tr>
    </w:tbl>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3"/>
      <w:bookmarkEnd w:id="55"/>
      <w:bookmarkStart w:id="56" w:name="_Toc1539661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6"/>
    </w:p>
    <w:p>
      <w:pPr>
        <w:pStyle w:val="4"/>
        <w:rPr>
          <w:rFonts w:ascii="仿宋" w:hAnsi="仿宋" w:eastAsia="仿宋"/>
        </w:rPr>
      </w:pPr>
      <w:bookmarkStart w:id="57" w:name="_Toc15396620"/>
      <w:r>
        <w:rPr>
          <w:rFonts w:hint="eastAsia" w:ascii="仿宋" w:hAnsi="仿宋" w:eastAsia="仿宋"/>
          <w:b w:val="0"/>
        </w:rPr>
        <w:t>二、收</w:t>
      </w:r>
      <w:r>
        <w:rPr>
          <w:rStyle w:val="26"/>
          <w:rFonts w:hint="eastAsia" w:ascii="仿宋" w:hAnsi="仿宋" w:eastAsia="仿宋"/>
          <w:b w:val="0"/>
          <w:bCs w:val="0"/>
        </w:rPr>
        <w:t>入决算表</w:t>
      </w:r>
      <w:bookmarkEnd w:id="57"/>
    </w:p>
    <w:p>
      <w:pPr>
        <w:pStyle w:val="4"/>
        <w:rPr>
          <w:rFonts w:ascii="仿宋" w:hAnsi="仿宋" w:eastAsia="仿宋"/>
        </w:rPr>
      </w:pPr>
      <w:bookmarkStart w:id="58"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58"/>
    </w:p>
    <w:p>
      <w:pPr>
        <w:pStyle w:val="4"/>
        <w:rPr>
          <w:rFonts w:ascii="仿宋" w:hAnsi="仿宋" w:eastAsia="仿宋"/>
          <w:b w:val="0"/>
        </w:rPr>
      </w:pPr>
      <w:bookmarkStart w:id="59"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59"/>
    </w:p>
    <w:p>
      <w:pPr>
        <w:pStyle w:val="4"/>
        <w:rPr>
          <w:rStyle w:val="26"/>
          <w:rFonts w:ascii="仿宋" w:hAnsi="仿宋" w:eastAsia="仿宋"/>
          <w:b w:val="0"/>
          <w:bCs w:val="0"/>
        </w:rPr>
      </w:pPr>
      <w:bookmarkStart w:id="60"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60"/>
      <w:bookmarkStart w:id="61"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1"/>
    </w:p>
    <w:p>
      <w:pPr>
        <w:pStyle w:val="4"/>
        <w:rPr>
          <w:rFonts w:ascii="仿宋" w:hAnsi="仿宋" w:eastAsia="仿宋"/>
        </w:rPr>
      </w:pPr>
      <w:bookmarkStart w:id="62"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2"/>
    </w:p>
    <w:p>
      <w:pPr>
        <w:pStyle w:val="4"/>
        <w:rPr>
          <w:rFonts w:ascii="仿宋" w:hAnsi="仿宋" w:eastAsia="仿宋"/>
        </w:rPr>
      </w:pPr>
      <w:bookmarkStart w:id="63"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3"/>
    </w:p>
    <w:p>
      <w:pPr>
        <w:pStyle w:val="4"/>
        <w:rPr>
          <w:rFonts w:ascii="仿宋" w:hAnsi="仿宋" w:eastAsia="仿宋"/>
        </w:rPr>
      </w:pPr>
      <w:bookmarkStart w:id="64"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4"/>
    </w:p>
    <w:p>
      <w:pPr>
        <w:pStyle w:val="4"/>
        <w:rPr>
          <w:rFonts w:ascii="仿宋" w:hAnsi="仿宋" w:eastAsia="仿宋"/>
        </w:rPr>
      </w:pPr>
      <w:bookmarkStart w:id="65" w:name="_Toc15396628"/>
      <w:r>
        <w:rPr>
          <w:rStyle w:val="26"/>
          <w:rFonts w:hint="eastAsia" w:ascii="仿宋" w:hAnsi="仿宋" w:eastAsia="仿宋"/>
          <w:b w:val="0"/>
          <w:bCs w:val="0"/>
        </w:rPr>
        <w:t>十、</w:t>
      </w:r>
      <w:bookmarkEnd w:id="65"/>
      <w:r>
        <w:rPr>
          <w:rFonts w:hint="eastAsia" w:ascii="仿宋" w:hAnsi="仿宋" w:eastAsia="仿宋"/>
          <w:b w:val="0"/>
        </w:rPr>
        <w:t>政</w:t>
      </w:r>
      <w:r>
        <w:rPr>
          <w:rStyle w:val="26"/>
          <w:rFonts w:hint="eastAsia" w:ascii="仿宋" w:hAnsi="仿宋" w:eastAsia="仿宋"/>
          <w:b w:val="0"/>
          <w:bCs w:val="0"/>
        </w:rPr>
        <w:t>府性基金预算财政拨款收入支出决算表</w:t>
      </w:r>
    </w:p>
    <w:p>
      <w:pPr>
        <w:pStyle w:val="4"/>
        <w:rPr>
          <w:rFonts w:ascii="仿宋" w:hAnsi="仿宋" w:eastAsia="仿宋"/>
        </w:rPr>
      </w:pPr>
      <w:bookmarkStart w:id="66" w:name="_Toc15396629"/>
      <w:r>
        <w:rPr>
          <w:rStyle w:val="26"/>
          <w:rFonts w:hint="eastAsia" w:ascii="仿宋" w:hAnsi="仿宋" w:eastAsia="仿宋"/>
          <w:b w:val="0"/>
          <w:bCs w:val="0"/>
        </w:rPr>
        <w:t>十一、</w:t>
      </w:r>
      <w:bookmarkEnd w:id="66"/>
      <w:r>
        <w:rPr>
          <w:rFonts w:hint="eastAsia" w:ascii="仿宋" w:hAnsi="仿宋" w:eastAsia="仿宋"/>
          <w:b w:val="0"/>
        </w:rPr>
        <w:t>国</w:t>
      </w:r>
      <w:r>
        <w:rPr>
          <w:rStyle w:val="26"/>
          <w:rFonts w:hint="eastAsia" w:ascii="仿宋" w:hAnsi="仿宋" w:eastAsia="仿宋"/>
          <w:b w:val="0"/>
          <w:bCs w:val="0"/>
        </w:rPr>
        <w:t>有资本经营预算财政拨款收入支出决算表</w:t>
      </w:r>
    </w:p>
    <w:p>
      <w:pPr>
        <w:pStyle w:val="4"/>
        <w:rPr>
          <w:rFonts w:ascii="仿宋" w:hAnsi="仿宋" w:eastAsia="仿宋"/>
        </w:rPr>
      </w:pPr>
      <w:bookmarkStart w:id="67" w:name="_Toc15396630"/>
      <w:r>
        <w:rPr>
          <w:rStyle w:val="26"/>
          <w:rFonts w:hint="eastAsia" w:ascii="仿宋" w:hAnsi="仿宋" w:eastAsia="仿宋"/>
          <w:b w:val="0"/>
          <w:bCs w:val="0"/>
        </w:rPr>
        <w:t>十二、</w:t>
      </w:r>
      <w:bookmarkEnd w:id="67"/>
      <w:r>
        <w:rPr>
          <w:rStyle w:val="26"/>
          <w:rFonts w:hint="eastAsia" w:ascii="仿宋" w:hAnsi="仿宋" w:eastAsia="仿宋"/>
          <w:b w:val="0"/>
          <w:bCs w:val="0"/>
        </w:rPr>
        <w:t>国有资本经营预算财政拨款支出决算表</w:t>
      </w:r>
    </w:p>
    <w:p>
      <w:pPr>
        <w:pStyle w:val="4"/>
        <w:rPr>
          <w:rFonts w:eastAsia="仿宋"/>
        </w:rPr>
      </w:pPr>
      <w:bookmarkStart w:id="68" w:name="_Toc15396631"/>
      <w:r>
        <w:rPr>
          <w:rStyle w:val="26"/>
          <w:rFonts w:hint="eastAsia" w:ascii="仿宋" w:hAnsi="仿宋" w:eastAsia="仿宋"/>
          <w:b w:val="0"/>
          <w:bCs w:val="0"/>
        </w:rPr>
        <w:t>十三、</w:t>
      </w:r>
      <w:bookmarkEnd w:id="68"/>
      <w:r>
        <w:rPr>
          <w:rStyle w:val="26"/>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38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172A27"/>
    <w:rsid w:val="0001672F"/>
    <w:rsid w:val="000222C6"/>
    <w:rsid w:val="0002549F"/>
    <w:rsid w:val="00036995"/>
    <w:rsid w:val="000409D9"/>
    <w:rsid w:val="00045391"/>
    <w:rsid w:val="000468DB"/>
    <w:rsid w:val="000511A0"/>
    <w:rsid w:val="0006487A"/>
    <w:rsid w:val="00065F8F"/>
    <w:rsid w:val="00070A43"/>
    <w:rsid w:val="000768F2"/>
    <w:rsid w:val="0009184B"/>
    <w:rsid w:val="00094236"/>
    <w:rsid w:val="0009593C"/>
    <w:rsid w:val="00097322"/>
    <w:rsid w:val="000A3C70"/>
    <w:rsid w:val="000A3FF4"/>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B2FD8"/>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95D86"/>
    <w:rsid w:val="002A31DE"/>
    <w:rsid w:val="002B2613"/>
    <w:rsid w:val="002B42D8"/>
    <w:rsid w:val="002C7CD4"/>
    <w:rsid w:val="002D6D05"/>
    <w:rsid w:val="002F1818"/>
    <w:rsid w:val="002F567B"/>
    <w:rsid w:val="003216A9"/>
    <w:rsid w:val="00335A74"/>
    <w:rsid w:val="003520EB"/>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423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4249"/>
    <w:rsid w:val="004E575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5F20F4"/>
    <w:rsid w:val="005F4196"/>
    <w:rsid w:val="00605688"/>
    <w:rsid w:val="006070AF"/>
    <w:rsid w:val="00607E6C"/>
    <w:rsid w:val="006101B1"/>
    <w:rsid w:val="00611B53"/>
    <w:rsid w:val="00614E44"/>
    <w:rsid w:val="0062270A"/>
    <w:rsid w:val="00622830"/>
    <w:rsid w:val="00623DA0"/>
    <w:rsid w:val="00630AEF"/>
    <w:rsid w:val="00630E31"/>
    <w:rsid w:val="006325F8"/>
    <w:rsid w:val="00633463"/>
    <w:rsid w:val="00634C9A"/>
    <w:rsid w:val="006440E4"/>
    <w:rsid w:val="0066343B"/>
    <w:rsid w:val="00664777"/>
    <w:rsid w:val="006748A4"/>
    <w:rsid w:val="00676163"/>
    <w:rsid w:val="00681A31"/>
    <w:rsid w:val="00683E73"/>
    <w:rsid w:val="006946FC"/>
    <w:rsid w:val="006A3141"/>
    <w:rsid w:val="006A45DB"/>
    <w:rsid w:val="006A5E34"/>
    <w:rsid w:val="006B2422"/>
    <w:rsid w:val="006B2B9A"/>
    <w:rsid w:val="006C1937"/>
    <w:rsid w:val="006F020C"/>
    <w:rsid w:val="0071099B"/>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5C23"/>
    <w:rsid w:val="00850625"/>
    <w:rsid w:val="00853718"/>
    <w:rsid w:val="00855221"/>
    <w:rsid w:val="00860645"/>
    <w:rsid w:val="00871F71"/>
    <w:rsid w:val="00872A13"/>
    <w:rsid w:val="00872FD8"/>
    <w:rsid w:val="00885AF4"/>
    <w:rsid w:val="008939CD"/>
    <w:rsid w:val="008B768C"/>
    <w:rsid w:val="008C2609"/>
    <w:rsid w:val="008C4DB1"/>
    <w:rsid w:val="008C4EAF"/>
    <w:rsid w:val="008C5176"/>
    <w:rsid w:val="008C7FD0"/>
    <w:rsid w:val="008E1DE7"/>
    <w:rsid w:val="008E707C"/>
    <w:rsid w:val="00900B08"/>
    <w:rsid w:val="00902155"/>
    <w:rsid w:val="00902FA3"/>
    <w:rsid w:val="00907375"/>
    <w:rsid w:val="00923564"/>
    <w:rsid w:val="0092392E"/>
    <w:rsid w:val="009315F9"/>
    <w:rsid w:val="00933499"/>
    <w:rsid w:val="00935C98"/>
    <w:rsid w:val="00946945"/>
    <w:rsid w:val="00951248"/>
    <w:rsid w:val="0095152F"/>
    <w:rsid w:val="0095294E"/>
    <w:rsid w:val="00954C49"/>
    <w:rsid w:val="00955E37"/>
    <w:rsid w:val="009575B9"/>
    <w:rsid w:val="0096294D"/>
    <w:rsid w:val="0097099F"/>
    <w:rsid w:val="00971997"/>
    <w:rsid w:val="00971FFC"/>
    <w:rsid w:val="0098660A"/>
    <w:rsid w:val="009931C3"/>
    <w:rsid w:val="009A5375"/>
    <w:rsid w:val="009B2C43"/>
    <w:rsid w:val="009B4EAE"/>
    <w:rsid w:val="009B7573"/>
    <w:rsid w:val="009C22F4"/>
    <w:rsid w:val="009C2A4B"/>
    <w:rsid w:val="009C2E98"/>
    <w:rsid w:val="009D3447"/>
    <w:rsid w:val="009D4711"/>
    <w:rsid w:val="009D5FC2"/>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51DB"/>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306"/>
    <w:rsid w:val="00B57DAF"/>
    <w:rsid w:val="00B77EA6"/>
    <w:rsid w:val="00B81598"/>
    <w:rsid w:val="00B841F1"/>
    <w:rsid w:val="00B873A9"/>
    <w:rsid w:val="00B944D6"/>
    <w:rsid w:val="00BB4DF0"/>
    <w:rsid w:val="00BC289F"/>
    <w:rsid w:val="00BC2D50"/>
    <w:rsid w:val="00BC5361"/>
    <w:rsid w:val="00BC5460"/>
    <w:rsid w:val="00BC6B50"/>
    <w:rsid w:val="00BD0E25"/>
    <w:rsid w:val="00BE2449"/>
    <w:rsid w:val="00BF5BD6"/>
    <w:rsid w:val="00C03E31"/>
    <w:rsid w:val="00C1671B"/>
    <w:rsid w:val="00C209F3"/>
    <w:rsid w:val="00C33E72"/>
    <w:rsid w:val="00C354B2"/>
    <w:rsid w:val="00C35554"/>
    <w:rsid w:val="00C42709"/>
    <w:rsid w:val="00C533CC"/>
    <w:rsid w:val="00C56F3A"/>
    <w:rsid w:val="00C5751C"/>
    <w:rsid w:val="00C61BFC"/>
    <w:rsid w:val="00C62B85"/>
    <w:rsid w:val="00C65438"/>
    <w:rsid w:val="00C6637F"/>
    <w:rsid w:val="00C87FD8"/>
    <w:rsid w:val="00C91381"/>
    <w:rsid w:val="00C91CBB"/>
    <w:rsid w:val="00CA2AF6"/>
    <w:rsid w:val="00CB4E70"/>
    <w:rsid w:val="00CC09B6"/>
    <w:rsid w:val="00CC666F"/>
    <w:rsid w:val="00CD1E3F"/>
    <w:rsid w:val="00CE44F6"/>
    <w:rsid w:val="00CE49DA"/>
    <w:rsid w:val="00CE7B61"/>
    <w:rsid w:val="00D00095"/>
    <w:rsid w:val="00D114F0"/>
    <w:rsid w:val="00D20620"/>
    <w:rsid w:val="00D254F7"/>
    <w:rsid w:val="00D26091"/>
    <w:rsid w:val="00D2685C"/>
    <w:rsid w:val="00D273A1"/>
    <w:rsid w:val="00D34E7C"/>
    <w:rsid w:val="00D35489"/>
    <w:rsid w:val="00D36AFE"/>
    <w:rsid w:val="00D51276"/>
    <w:rsid w:val="00D7035F"/>
    <w:rsid w:val="00D86348"/>
    <w:rsid w:val="00DA634F"/>
    <w:rsid w:val="00DA65AC"/>
    <w:rsid w:val="00DA6A7D"/>
    <w:rsid w:val="00DB1913"/>
    <w:rsid w:val="00DC410D"/>
    <w:rsid w:val="00DC5A81"/>
    <w:rsid w:val="00DC68CA"/>
    <w:rsid w:val="00DC7CBA"/>
    <w:rsid w:val="00DD33DB"/>
    <w:rsid w:val="00DD73B7"/>
    <w:rsid w:val="00DF28BC"/>
    <w:rsid w:val="00DF34B9"/>
    <w:rsid w:val="00E01053"/>
    <w:rsid w:val="00E0276C"/>
    <w:rsid w:val="00E07ACF"/>
    <w:rsid w:val="00E15E2E"/>
    <w:rsid w:val="00E331A1"/>
    <w:rsid w:val="00E33202"/>
    <w:rsid w:val="00E336A9"/>
    <w:rsid w:val="00E41FB6"/>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627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D63AE"/>
    <w:rsid w:val="00FF1E02"/>
    <w:rsid w:val="00FF30B4"/>
    <w:rsid w:val="01564A30"/>
    <w:rsid w:val="053A62B5"/>
    <w:rsid w:val="0A2032A3"/>
    <w:rsid w:val="0B8A37D8"/>
    <w:rsid w:val="10C055FF"/>
    <w:rsid w:val="118107EC"/>
    <w:rsid w:val="119E2B14"/>
    <w:rsid w:val="11DD6519"/>
    <w:rsid w:val="13E23345"/>
    <w:rsid w:val="16BB723D"/>
    <w:rsid w:val="18015F3F"/>
    <w:rsid w:val="19F457EB"/>
    <w:rsid w:val="1BE8440E"/>
    <w:rsid w:val="1D155CEE"/>
    <w:rsid w:val="20D948F2"/>
    <w:rsid w:val="20F57F95"/>
    <w:rsid w:val="240371BF"/>
    <w:rsid w:val="25711CC6"/>
    <w:rsid w:val="25C741E6"/>
    <w:rsid w:val="27842671"/>
    <w:rsid w:val="29FD04D3"/>
    <w:rsid w:val="2ABE7A3E"/>
    <w:rsid w:val="2C6C60DD"/>
    <w:rsid w:val="2CA234A8"/>
    <w:rsid w:val="2EFA178C"/>
    <w:rsid w:val="30B46D73"/>
    <w:rsid w:val="319F7F4E"/>
    <w:rsid w:val="383D272C"/>
    <w:rsid w:val="39AE70AB"/>
    <w:rsid w:val="3BB24181"/>
    <w:rsid w:val="3C0C0783"/>
    <w:rsid w:val="3F9F3A96"/>
    <w:rsid w:val="41303C32"/>
    <w:rsid w:val="48BF60AB"/>
    <w:rsid w:val="493C27E9"/>
    <w:rsid w:val="496F39ED"/>
    <w:rsid w:val="49FF41D3"/>
    <w:rsid w:val="4BE068DB"/>
    <w:rsid w:val="4BF6002B"/>
    <w:rsid w:val="4CA77112"/>
    <w:rsid w:val="4ECE2238"/>
    <w:rsid w:val="501475B1"/>
    <w:rsid w:val="51DB4B86"/>
    <w:rsid w:val="55333C3E"/>
    <w:rsid w:val="64CA39A1"/>
    <w:rsid w:val="69630ADE"/>
    <w:rsid w:val="6C4A05C8"/>
    <w:rsid w:val="6D3B1A89"/>
    <w:rsid w:val="71BF4EC2"/>
    <w:rsid w:val="72734D90"/>
    <w:rsid w:val="7412278C"/>
    <w:rsid w:val="79E7B28D"/>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FollowedHyperlink"/>
    <w:basedOn w:val="13"/>
    <w:semiHidden/>
    <w:unhideWhenUsed/>
    <w:qFormat/>
    <w:uiPriority w:val="99"/>
    <w:rPr>
      <w:color w:val="800080"/>
      <w:u w:val="single"/>
    </w:rPr>
  </w:style>
  <w:style w:type="character" w:styleId="16">
    <w:name w:val="Hyperlink"/>
    <w:basedOn w:val="13"/>
    <w:unhideWhenUsed/>
    <w:qFormat/>
    <w:uiPriority w:val="99"/>
    <w:rPr>
      <w:color w:val="0000FF" w:themeColor="hyperlink"/>
      <w:u w:val="single"/>
      <w14:textFill>
        <w14:solidFill>
          <w14:schemeClr w14:val="hlink"/>
        </w14:solidFill>
      </w14:textFill>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3"/>
    <w:qFormat/>
    <w:uiPriority w:val="9"/>
    <w:rPr>
      <w:rFonts w:ascii="Times New Roman" w:hAnsi="Times New Roman"/>
      <w:b/>
      <w:bCs/>
      <w:kern w:val="44"/>
      <w:sz w:val="44"/>
      <w:szCs w:val="44"/>
    </w:rPr>
  </w:style>
  <w:style w:type="character" w:customStyle="1" w:styleId="26">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标题 2 Char1"/>
    <w:basedOn w:val="13"/>
    <w:qFormat/>
    <w:locked/>
    <w:uiPriority w:val="99"/>
    <w:rPr>
      <w:rFonts w:ascii="Cambria" w:hAnsi="Cambria" w:eastAsia="宋体" w:cs="Cambria"/>
      <w:b/>
      <w:bCs/>
      <w:kern w:val="2"/>
      <w:sz w:val="32"/>
      <w:szCs w:val="32"/>
    </w:rPr>
  </w:style>
  <w:style w:type="paragraph" w:customStyle="1" w:styleId="32">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18"/>
      <w:szCs w:val="18"/>
    </w:rPr>
  </w:style>
  <w:style w:type="paragraph" w:customStyle="1" w:styleId="33">
    <w:name w:val="xl66"/>
    <w:basedOn w:val="1"/>
    <w:qFormat/>
    <w:uiPriority w:val="0"/>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34">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35">
    <w:name w:val="xl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36">
    <w:name w:val="xl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37">
    <w:name w:val="xl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i/>
      <w:iCs/>
      <w:color w:val="000000"/>
      <w:kern w:val="0"/>
      <w:sz w:val="16"/>
      <w:szCs w:val="16"/>
    </w:rPr>
  </w:style>
  <w:style w:type="paragraph" w:customStyle="1" w:styleId="38">
    <w:name w:val="xl7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9">
    <w:name w:val="xl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color w:val="000000"/>
      <w:kern w:val="0"/>
      <w:sz w:val="18"/>
      <w:szCs w:val="18"/>
    </w:rPr>
  </w:style>
  <w:style w:type="paragraph" w:customStyle="1" w:styleId="40">
    <w:name w:val="xl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i/>
      <w:iCs/>
      <w:color w:val="000000"/>
      <w:kern w:val="0"/>
      <w:sz w:val="16"/>
      <w:szCs w:val="16"/>
    </w:rPr>
  </w:style>
  <w:style w:type="paragraph" w:customStyle="1" w:styleId="41">
    <w:name w:val="xl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i/>
      <w:iCs/>
      <w:color w:val="000000"/>
      <w:kern w:val="0"/>
      <w:sz w:val="18"/>
      <w:szCs w:val="18"/>
    </w:rPr>
  </w:style>
  <w:style w:type="paragraph" w:customStyle="1" w:styleId="42">
    <w:name w:val="xl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ourier New" w:hAnsi="Courier New" w:cs="Courier New"/>
      <w:color w:val="000000"/>
      <w:kern w:val="0"/>
      <w:sz w:val="18"/>
      <w:szCs w:val="18"/>
    </w:rPr>
  </w:style>
  <w:style w:type="paragraph" w:customStyle="1" w:styleId="43">
    <w:name w:val="xl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b/>
      <w:bCs/>
      <w:color w:val="000000"/>
      <w:kern w:val="0"/>
      <w:sz w:val="30"/>
      <w:szCs w:val="30"/>
    </w:rPr>
  </w:style>
  <w:style w:type="paragraph" w:customStyle="1" w:styleId="44">
    <w:name w:val="xl77"/>
    <w:basedOn w:val="1"/>
    <w:qFormat/>
    <w:uiPriority w:val="0"/>
    <w:pPr>
      <w:widowControl/>
      <w:spacing w:before="100" w:beforeAutospacing="1" w:after="100" w:afterAutospacing="1"/>
      <w:jc w:val="left"/>
    </w:pPr>
    <w:rPr>
      <w:rFonts w:ascii="宋体" w:hAnsi="宋体" w:cs="宋体"/>
      <w:color w:val="C0C0C0"/>
      <w:kern w:val="0"/>
      <w:sz w:val="20"/>
      <w:szCs w:val="20"/>
    </w:rPr>
  </w:style>
  <w:style w:type="paragraph" w:customStyle="1" w:styleId="45">
    <w:name w:val="xl78"/>
    <w:basedOn w:val="1"/>
    <w:qFormat/>
    <w:uiPriority w:val="0"/>
    <w:pPr>
      <w:widowControl/>
      <w:spacing w:before="100" w:beforeAutospacing="1" w:after="100" w:afterAutospacing="1"/>
      <w:jc w:val="left"/>
    </w:pPr>
    <w:rPr>
      <w:rFonts w:ascii="宋体" w:hAnsi="宋体" w:cs="宋体"/>
      <w:color w:val="000000"/>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Desktop\&#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us\Desktop\&#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sus\Desktop\&#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sus\Desktop\&#20844;&#24320;&#26448;&#26009;\&#20915;&#31639;&#20844;&#24320;&#25554;&#22270;&#21046;&#20316;&#31034;&#20363;.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sus\Desktop\&#20844;&#24320;&#26448;&#26009;\&#20915;&#31639;&#20844;&#24320;&#25554;&#22270;&#21046;&#20316;&#31034;&#20363;.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1928.55</c:v>
                </c:pt>
                <c:pt idx="1">
                  <c:v>1944.85</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max val="2200"/>
          <c:min val="165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majorUnit val="100"/>
        <c:minorUnit val="10"/>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收入决算结构图</c:v>
                </c:pt>
              </c:strCache>
            </c:strRef>
          </c:tx>
          <c:spPr>
            <a:scene3d>
              <a:camera prst="orthographicFront"/>
              <a:lightRig rig="threePt" dir="t"/>
            </a:scene3d>
            <a:sp3d contourW="9525"/>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1</a:t>
                    </a:r>
                    <a:r>
                      <a:rPr lang="en-US" altLang="zh-CN"/>
                      <a:t>944.85</a:t>
                    </a:r>
                    <a:r>
                      <a:t>, 100%</a:t>
                    </a:r>
                  </a:p>
                </c:rich>
              </c:tx>
              <c:dLblPos val="inEnd"/>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政府性基金预算收入</c:v>
                </c:pt>
              </c:strCache>
            </c:strRef>
          </c:cat>
          <c:val>
            <c:numRef>
              <c:f>Sheet1!$B$2:$B$3</c:f>
              <c:numCache>
                <c:formatCode>General</c:formatCode>
                <c:ptCount val="2"/>
                <c:pt idx="0">
                  <c:v>1663.53</c:v>
                </c:pt>
                <c:pt idx="1">
                  <c:v>0</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0.9787</c:v>
                </c:pt>
                <c:pt idx="1">
                  <c:v>0.0213</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1928.55</c:v>
                </c:pt>
                <c:pt idx="1">
                  <c:v>1944.85</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max val="2200"/>
          <c:min val="165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majorUnit val="100"/>
        <c:minorUnit val="10"/>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1928.55</c:v>
                </c:pt>
                <c:pt idx="1">
                  <c:v>1944.85</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max val="2200"/>
          <c:min val="165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majorUnit val="100"/>
        <c:minorUnit val="10"/>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教育支出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81.48</c:v>
                </c:pt>
                <c:pt idx="1">
                  <c:v>8.2</c:v>
                </c:pt>
                <c:pt idx="2">
                  <c:v>4.09</c:v>
                </c:pt>
                <c:pt idx="3">
                  <c:v>6.14</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solidFill>
                        <a:latin typeface="+mn-lt"/>
                        <a:ea typeface="+mn-ea"/>
                        <a:cs typeface="+mn-cs"/>
                      </a:defRPr>
                    </a:pPr>
                    <a:r>
                      <a:t>人员经费, 86</a:t>
                    </a:r>
                    <a:r>
                      <a:rPr lang="en-US" altLang="zh-CN"/>
                      <a:t>.06</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2"/>
                        </a:solidFill>
                        <a:latin typeface="+mn-lt"/>
                        <a:ea typeface="+mn-ea"/>
                        <a:cs typeface="+mn-cs"/>
                      </a:defRPr>
                    </a:pPr>
                    <a:r>
                      <a:t>公用经费, 5</a:t>
                    </a:r>
                    <a:r>
                      <a:rPr lang="en-US" altLang="zh-CN"/>
                      <a:t>.17</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3"/>
                        </a:solidFill>
                        <a:latin typeface="+mn-lt"/>
                        <a:ea typeface="+mn-ea"/>
                        <a:cs typeface="+mn-cs"/>
                      </a:defRPr>
                    </a:pPr>
                    <a:r>
                      <a:t>项目经费</a:t>
                    </a:r>
                  </a:p>
                  <a:p>
                    <a:pPr defTabSz="914400">
                      <a:defRPr lang="zh-CN" sz="1000" b="1" i="0" u="none" strike="noStrike" kern="1200" spc="0" baseline="0">
                        <a:solidFill>
                          <a:schemeClr val="accent3"/>
                        </a:solidFill>
                        <a:latin typeface="+mn-lt"/>
                        <a:ea typeface="+mn-ea"/>
                        <a:cs typeface="+mn-cs"/>
                      </a:defRPr>
                    </a:pPr>
                    <a:r>
                      <a:rPr lang="en-US" altLang="zh-CN"/>
                      <a:t>8.77</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[决算公开插图制作示例.xlsx]图三!$A$2:$C$2</c:f>
              <c:strCache>
                <c:ptCount val="3"/>
                <c:pt idx="0">
                  <c:v>人员经费</c:v>
                </c:pt>
                <c:pt idx="1">
                  <c:v>公用经费</c:v>
                </c:pt>
                <c:pt idx="2">
                  <c:v>项目经费</c:v>
                </c:pt>
              </c:strCache>
            </c:strRef>
          </c:cat>
          <c:val>
            <c:numRef>
              <c:f>[决算公开插图制作示例.xlsx]图三!$A$3:$C$3</c:f>
              <c:numCache>
                <c:formatCode>0.00%</c:formatCode>
                <c:ptCount val="3"/>
                <c:pt idx="0">
                  <c:v>0.8606</c:v>
                </c:pt>
                <c:pt idx="1">
                  <c:v>0.0517</c:v>
                </c:pt>
                <c:pt idx="2">
                  <c:v>0.0877</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explosion val="0"/>
          <c:dPt>
            <c:idx val="0"/>
            <c:bubble3D val="0"/>
          </c:dPt>
          <c:dPt>
            <c:idx val="1"/>
            <c:bubble3D val="0"/>
          </c:dPt>
          <c:dPt>
            <c:idx val="2"/>
            <c:bubble3D val="0"/>
          </c:dPt>
          <c:dLbls>
            <c:delete val="1"/>
          </c:dLbls>
          <c:cat>
            <c:strRef>
              <c:f>Sheet1!$A$2:$A$4</c:f>
              <c:strCache>
                <c:ptCount val="3"/>
                <c:pt idx="0">
                  <c:v>因公出国（境）费</c:v>
                </c:pt>
                <c:pt idx="1">
                  <c:v>公务用车购置及运行维护费支出</c:v>
                </c:pt>
                <c:pt idx="2">
                  <c:v>公务接待费</c:v>
                </c:pt>
              </c:strCache>
            </c:strRef>
          </c:cat>
          <c:val>
            <c:numRef>
              <c:f>Sheet1!$B$2:$B$4</c:f>
              <c:numCache>
                <c:formatCode>General</c:formatCode>
                <c:ptCount val="3"/>
                <c:pt idx="0">
                  <c:v>0</c:v>
                </c:pt>
                <c:pt idx="1">
                  <c:v>0</c:v>
                </c:pt>
                <c:pt idx="2">
                  <c:v>0.38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9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styleClr val="auto"/>
    </cs:lnRef>
    <cs:fillRef idx="1">
      <cs:styleClr val="auto"/>
    </cs:fillRef>
    <cs:effectRef idx="0"/>
    <cs:fontRef idx="minor">
      <a:schemeClr val="dk1"/>
    </cs:fontRef>
    <cs:spPr>
      <a:ln>
        <a:solidFill>
          <a:schemeClr val="bg1"/>
        </a:solidFill>
      </a:ln>
      <a:effectLst/>
      <a:scene3d>
        <a:camera prst="orthographicFront"/>
        <a:lightRig rig="threePt" dir="t"/>
      </a:scene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4">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cs:styleClr val="auto"/>
    </cs:fontRef>
    <cs:defRPr sz="1000" b="1" i="0" u="none" strike="noStrike" kern="1200" spc="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D478-B450-4F92-A4CA-FE61BDB7BF2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37</Pages>
  <Words>13653</Words>
  <Characters>15666</Characters>
  <Lines>1</Lines>
  <Paragraphs>1</Paragraphs>
  <TotalTime>22</TotalTime>
  <ScaleCrop>false</ScaleCrop>
  <LinksUpToDate>false</LinksUpToDate>
  <CharactersWithSpaces>16152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2023-12-14T08:10:12Z</dcterms:modified>
  <dc:title>四川省***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5E54E37564C34A9A9C5C5F5628812E05_13</vt:lpwstr>
  </property>
</Properties>
</file>