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77425"/>
      <w:bookmarkStart w:id="4" w:name="_Toc15378441"/>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77194"/>
      <w:bookmarkStart w:id="7" w:name="_Toc15377426"/>
      <w:bookmarkStart w:id="8" w:name="_Toc15396598"/>
      <w:bookmarkStart w:id="9" w:name="_Toc15378442"/>
      <w:bookmarkStart w:id="10" w:name="_Toc15396476"/>
      <w:r>
        <w:rPr>
          <w:rFonts w:hint="eastAsia" w:ascii="方正小标宋简体" w:hAnsi="方正小标宋简体" w:eastAsia="方正小标宋简体" w:cs="方正小标宋简体"/>
          <w:sz w:val="52"/>
          <w:szCs w:val="52"/>
        </w:rPr>
        <w:t>剑阁县</w:t>
      </w:r>
      <w:bookmarkEnd w:id="0"/>
      <w:bookmarkStart w:id="11" w:name="_Toc15306268"/>
      <w:r>
        <w:rPr>
          <w:rFonts w:hint="eastAsia" w:ascii="方正小标宋简体" w:hAnsi="方正小标宋简体" w:eastAsia="方正小标宋简体" w:cs="方正小标宋简体"/>
          <w:sz w:val="52"/>
          <w:szCs w:val="52"/>
        </w:rPr>
        <w:t>长岭小学校单位决算</w:t>
      </w:r>
      <w:bookmarkEnd w:id="6"/>
      <w:bookmarkEnd w:id="7"/>
      <w:bookmarkEnd w:id="8"/>
      <w:bookmarkEnd w:id="9"/>
      <w:bookmarkEnd w:id="10"/>
      <w:bookmarkEnd w:id="11"/>
    </w:p>
    <w:p>
      <w:pPr>
        <w:pStyle w:val="2"/>
        <w:spacing w:before="93"/>
      </w:pPr>
    </w:p>
    <w:p>
      <w:pPr>
        <w:pStyle w:val="2"/>
        <w:spacing w:before="93"/>
        <w:jc w:val="center"/>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0"/>
        <w:adjustRightInd w:val="0"/>
        <w:snapToGrid w:val="0"/>
        <w:spacing w:before="0" w:line="40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sz w:val="24"/>
        </w:rPr>
        <w:t>……………………………………</w:t>
      </w:r>
      <w:bookmarkStart w:id="12" w:name="_Hlk148044443"/>
      <w:r>
        <w:rPr>
          <w:sz w:val="24"/>
        </w:rPr>
        <w:t>…</w:t>
      </w:r>
      <w:bookmarkEnd w:id="12"/>
      <w:r>
        <w:rPr>
          <w:sz w:val="24"/>
        </w:rPr>
        <w:t>……</w:t>
      </w:r>
      <w:r>
        <w:rPr>
          <w:rFonts w:hint="eastAsia"/>
          <w:sz w:val="24"/>
        </w:rPr>
        <w:t>…</w:t>
      </w:r>
      <w:r>
        <w:rPr>
          <w:sz w:val="24"/>
        </w:rPr>
        <w:t>3</w:t>
      </w:r>
    </w:p>
    <w:p>
      <w:pPr>
        <w:pStyle w:val="11"/>
        <w:adjustRightInd w:val="0"/>
        <w:snapToGrid w:val="0"/>
        <w:spacing w:line="400" w:lineRule="exact"/>
        <w:ind w:left="0" w:leftChars="0"/>
        <w:jc w:val="left"/>
        <w:rPr>
          <w:sz w:val="24"/>
        </w:rPr>
      </w:pPr>
      <w:r>
        <w:rPr>
          <w:rFonts w:hint="eastAsia"/>
          <w:sz w:val="24"/>
        </w:rPr>
        <w:t>一、主要职责及重点</w:t>
      </w:r>
      <w:r>
        <w:rPr>
          <w:sz w:val="24"/>
        </w:rPr>
        <w:t>工作</w:t>
      </w:r>
      <w:r>
        <w:rPr>
          <w:rFonts w:hint="eastAsia"/>
          <w:sz w:val="24"/>
        </w:rPr>
        <w:t>.</w:t>
      </w:r>
      <w:r>
        <w:rPr>
          <w:sz w:val="24"/>
        </w:rPr>
        <w:t>.…………………………………….…3</w:t>
      </w:r>
    </w:p>
    <w:p>
      <w:pPr>
        <w:pStyle w:val="11"/>
        <w:adjustRightInd w:val="0"/>
        <w:snapToGrid w:val="0"/>
        <w:spacing w:line="400" w:lineRule="exact"/>
        <w:ind w:left="0" w:leftChars="0"/>
        <w:jc w:val="left"/>
        <w:rPr>
          <w:sz w:val="24"/>
        </w:rPr>
      </w:pPr>
      <w:r>
        <w:rPr>
          <w:rFonts w:hint="eastAsia"/>
          <w:sz w:val="24"/>
        </w:rPr>
        <w:t>（一）单位</w:t>
      </w:r>
      <w:r>
        <w:rPr>
          <w:sz w:val="24"/>
        </w:rPr>
        <w:t>职责……………..………………………………….…3</w:t>
      </w:r>
    </w:p>
    <w:p>
      <w:pPr>
        <w:pStyle w:val="11"/>
        <w:adjustRightInd w:val="0"/>
        <w:snapToGrid w:val="0"/>
        <w:spacing w:line="400" w:lineRule="exact"/>
        <w:ind w:left="0" w:leftChars="0"/>
        <w:jc w:val="left"/>
        <w:rPr>
          <w:b/>
          <w:bCs/>
          <w:sz w:val="24"/>
        </w:rPr>
      </w:pPr>
      <w:r>
        <w:rPr>
          <w:rFonts w:hint="eastAsia"/>
          <w:sz w:val="24"/>
        </w:rPr>
        <w:t>（二）2022年重点工作完成情况</w:t>
      </w:r>
      <w:r>
        <w:rPr>
          <w:sz w:val="24"/>
        </w:rPr>
        <w:t>…………….……………….…3</w:t>
      </w:r>
    </w:p>
    <w:p>
      <w:pPr>
        <w:pStyle w:val="11"/>
        <w:adjustRightInd w:val="0"/>
        <w:snapToGrid w:val="0"/>
        <w:spacing w:line="400" w:lineRule="exact"/>
        <w:ind w:left="0" w:leftChars="0"/>
        <w:jc w:val="left"/>
      </w:pPr>
      <w:r>
        <w:rPr>
          <w:rFonts w:hint="eastAsia"/>
          <w:sz w:val="24"/>
        </w:rPr>
        <w:t>二、机构设置</w:t>
      </w:r>
      <w:r>
        <w:rPr>
          <w:sz w:val="24"/>
        </w:rPr>
        <w:t>………………………………….………………..…6</w:t>
      </w:r>
    </w:p>
    <w:p>
      <w:pPr>
        <w:pStyle w:val="10"/>
        <w:adjustRightInd w:val="0"/>
        <w:snapToGrid w:val="0"/>
        <w:spacing w:before="0" w:line="400" w:lineRule="exact"/>
        <w:jc w:val="left"/>
        <w:rPr>
          <w:sz w:val="24"/>
          <w:szCs w:val="24"/>
        </w:rPr>
      </w:pPr>
      <w:r>
        <w:rPr>
          <w:rFonts w:hint="eastAsia"/>
          <w:sz w:val="24"/>
        </w:rPr>
        <w:t>第二部分 2022年度单位决算情况说明</w:t>
      </w:r>
      <w:r>
        <w:rPr>
          <w:sz w:val="24"/>
        </w:rPr>
        <w:t>………………………</w:t>
      </w:r>
      <w:r>
        <w:rPr>
          <w:rFonts w:hint="eastAsia"/>
          <w:sz w:val="24"/>
        </w:rPr>
        <w:t>…</w:t>
      </w:r>
      <w:r>
        <w:rPr>
          <w:sz w:val="24"/>
        </w:rPr>
        <w:t>6</w:t>
      </w:r>
    </w:p>
    <w:p>
      <w:pPr>
        <w:pStyle w:val="11"/>
        <w:adjustRightInd w:val="0"/>
        <w:snapToGrid w:val="0"/>
        <w:spacing w:line="400" w:lineRule="exact"/>
        <w:ind w:left="0" w:leftChars="0"/>
        <w:jc w:val="left"/>
        <w:rPr>
          <w:rFonts w:ascii="仿宋" w:hAnsi="仿宋" w:eastAsia="仿宋" w:cstheme="minorBidi"/>
          <w:sz w:val="24"/>
        </w:rPr>
      </w:pPr>
      <w:r>
        <w:rPr>
          <w:rFonts w:hint="eastAsia"/>
          <w:sz w:val="24"/>
        </w:rPr>
        <w:t>一、收入支出决算总体情况说明</w:t>
      </w:r>
      <w:r>
        <w:rPr>
          <w:sz w:val="24"/>
        </w:rPr>
        <w:t>………………………..…….…6</w:t>
      </w:r>
    </w:p>
    <w:p>
      <w:pPr>
        <w:pStyle w:val="11"/>
        <w:adjustRightInd w:val="0"/>
        <w:snapToGrid w:val="0"/>
        <w:spacing w:line="400" w:lineRule="exact"/>
        <w:ind w:left="0" w:leftChars="0"/>
        <w:jc w:val="left"/>
        <w:rPr>
          <w:rFonts w:ascii="仿宋" w:hAnsi="仿宋" w:eastAsia="仿宋" w:cstheme="minorBidi"/>
          <w:sz w:val="24"/>
        </w:rPr>
      </w:pPr>
      <w:r>
        <w:rPr>
          <w:rFonts w:hint="eastAsia"/>
          <w:sz w:val="24"/>
        </w:rPr>
        <w:t>二、收入决算情况说明</w:t>
      </w:r>
      <w:r>
        <w:rPr>
          <w:sz w:val="24"/>
        </w:rPr>
        <w:t>………………………………….….….…6</w:t>
      </w:r>
    </w:p>
    <w:p>
      <w:pPr>
        <w:pStyle w:val="11"/>
        <w:adjustRightInd w:val="0"/>
        <w:snapToGrid w:val="0"/>
        <w:spacing w:line="400" w:lineRule="exact"/>
        <w:ind w:left="0" w:leftChars="0"/>
        <w:jc w:val="left"/>
        <w:rPr>
          <w:rFonts w:ascii="仿宋" w:hAnsi="仿宋" w:eastAsia="仿宋" w:cstheme="minorBidi"/>
          <w:sz w:val="24"/>
        </w:rPr>
      </w:pPr>
      <w:r>
        <w:rPr>
          <w:rFonts w:hint="eastAsia"/>
          <w:sz w:val="24"/>
        </w:rPr>
        <w:t>三、支出决算情况说明</w:t>
      </w:r>
      <w:r>
        <w:rPr>
          <w:sz w:val="24"/>
        </w:rPr>
        <w:t>…………………………………….…..…7</w:t>
      </w:r>
    </w:p>
    <w:p>
      <w:pPr>
        <w:pStyle w:val="11"/>
        <w:adjustRightInd w:val="0"/>
        <w:snapToGrid w:val="0"/>
        <w:spacing w:line="400" w:lineRule="exact"/>
        <w:ind w:left="0" w:leftChars="0"/>
        <w:jc w:val="left"/>
        <w:rPr>
          <w:rFonts w:ascii="仿宋" w:hAnsi="仿宋" w:eastAsia="仿宋" w:cstheme="minorBidi"/>
          <w:sz w:val="24"/>
        </w:rPr>
      </w:pPr>
      <w:r>
        <w:rPr>
          <w:rFonts w:hint="eastAsia"/>
          <w:sz w:val="24"/>
        </w:rPr>
        <w:t>四、财政拨款收入支出决算总体情况说明</w:t>
      </w:r>
      <w:r>
        <w:rPr>
          <w:sz w:val="24"/>
        </w:rPr>
        <w:t>……………….…..…8</w:t>
      </w:r>
    </w:p>
    <w:p>
      <w:pPr>
        <w:pStyle w:val="11"/>
        <w:adjustRightInd w:val="0"/>
        <w:snapToGrid w:val="0"/>
        <w:spacing w:line="400" w:lineRule="exact"/>
        <w:ind w:left="0" w:leftChars="0"/>
        <w:jc w:val="left"/>
        <w:rPr>
          <w:rFonts w:ascii="仿宋" w:hAnsi="仿宋" w:eastAsia="仿宋" w:cstheme="minorBidi"/>
          <w:sz w:val="24"/>
        </w:rPr>
      </w:pPr>
      <w:r>
        <w:rPr>
          <w:rFonts w:hint="eastAsia"/>
          <w:sz w:val="24"/>
        </w:rPr>
        <w:t>五、一般公共预算财政拨款支出决算情况说明</w:t>
      </w:r>
      <w:r>
        <w:rPr>
          <w:sz w:val="24"/>
        </w:rPr>
        <w:t>…………………8</w:t>
      </w:r>
    </w:p>
    <w:p>
      <w:pPr>
        <w:pStyle w:val="11"/>
        <w:adjustRightInd w:val="0"/>
        <w:snapToGrid w:val="0"/>
        <w:spacing w:line="400" w:lineRule="exact"/>
        <w:ind w:left="0" w:leftChars="0"/>
        <w:jc w:val="left"/>
        <w:rPr>
          <w:rFonts w:ascii="仿宋" w:hAnsi="仿宋" w:eastAsia="仿宋" w:cstheme="minorBidi"/>
          <w:sz w:val="24"/>
        </w:rPr>
      </w:pPr>
      <w:r>
        <w:rPr>
          <w:rFonts w:hint="eastAsia"/>
          <w:sz w:val="24"/>
        </w:rPr>
        <w:t>六、一般公共预算财政拨款基本支出决算情况说明</w:t>
      </w:r>
      <w:r>
        <w:rPr>
          <w:sz w:val="24"/>
        </w:rPr>
        <w:t>………...…10</w:t>
      </w:r>
    </w:p>
    <w:p>
      <w:pPr>
        <w:pStyle w:val="11"/>
        <w:adjustRightInd w:val="0"/>
        <w:snapToGrid w:val="0"/>
        <w:spacing w:line="400" w:lineRule="exact"/>
        <w:ind w:left="0" w:leftChars="0"/>
        <w:jc w:val="left"/>
        <w:rPr>
          <w:rFonts w:ascii="仿宋" w:hAnsi="仿宋" w:eastAsia="仿宋" w:cstheme="minorBidi"/>
          <w:sz w:val="24"/>
        </w:rPr>
      </w:pPr>
      <w:r>
        <w:rPr>
          <w:rFonts w:hint="eastAsia"/>
          <w:sz w:val="24"/>
        </w:rPr>
        <w:t>七、财政拨款“三公”经费支出决算情况说明</w:t>
      </w:r>
      <w:r>
        <w:rPr>
          <w:sz w:val="24"/>
        </w:rPr>
        <w:t>……………..…10</w:t>
      </w:r>
    </w:p>
    <w:p>
      <w:pPr>
        <w:pStyle w:val="11"/>
        <w:adjustRightInd w:val="0"/>
        <w:snapToGrid w:val="0"/>
        <w:spacing w:line="400" w:lineRule="exact"/>
        <w:ind w:left="0" w:leftChars="0"/>
        <w:jc w:val="left"/>
        <w:rPr>
          <w:rFonts w:ascii="仿宋" w:hAnsi="仿宋" w:eastAsia="仿宋" w:cstheme="minorBidi"/>
          <w:sz w:val="24"/>
        </w:rPr>
      </w:pPr>
      <w:r>
        <w:rPr>
          <w:rFonts w:hint="eastAsia"/>
          <w:sz w:val="24"/>
        </w:rPr>
        <w:t>八、政府性基金预算支出决算情况说明</w:t>
      </w:r>
      <w:r>
        <w:rPr>
          <w:sz w:val="24"/>
        </w:rPr>
        <w:t>……………………..…11</w:t>
      </w:r>
    </w:p>
    <w:p>
      <w:pPr>
        <w:pStyle w:val="11"/>
        <w:adjustRightInd w:val="0"/>
        <w:snapToGrid w:val="0"/>
        <w:spacing w:line="400" w:lineRule="exact"/>
        <w:ind w:left="0" w:leftChars="0"/>
        <w:jc w:val="left"/>
        <w:rPr>
          <w:sz w:val="24"/>
        </w:rPr>
      </w:pPr>
      <w:r>
        <w:rPr>
          <w:rFonts w:hint="eastAsia"/>
          <w:sz w:val="24"/>
        </w:rPr>
        <w:t>九、国有资本经营预算支出决算情况说明</w:t>
      </w:r>
      <w:r>
        <w:rPr>
          <w:sz w:val="24"/>
        </w:rPr>
        <w:t>…………………..…11</w:t>
      </w:r>
    </w:p>
    <w:p>
      <w:pPr>
        <w:pStyle w:val="11"/>
        <w:adjustRightInd w:val="0"/>
        <w:snapToGrid w:val="0"/>
        <w:spacing w:line="400" w:lineRule="exact"/>
        <w:ind w:left="0" w:leftChars="0"/>
        <w:jc w:val="left"/>
        <w:rPr>
          <w:sz w:val="24"/>
        </w:rPr>
      </w:pPr>
      <w:r>
        <w:rPr>
          <w:rFonts w:hint="eastAsia"/>
          <w:sz w:val="24"/>
        </w:rPr>
        <w:t>十、其他重要事项的情况说明</w:t>
      </w:r>
      <w:r>
        <w:rPr>
          <w:sz w:val="24"/>
        </w:rPr>
        <w:t>…………………………….….…11</w:t>
      </w:r>
    </w:p>
    <w:p>
      <w:pPr>
        <w:pStyle w:val="10"/>
        <w:adjustRightInd w:val="0"/>
        <w:snapToGrid w:val="0"/>
        <w:spacing w:before="0" w:line="40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sz w:val="24"/>
        </w:rPr>
        <w:t>………………………………………………12</w:t>
      </w:r>
    </w:p>
    <w:p>
      <w:pPr>
        <w:pStyle w:val="10"/>
        <w:adjustRightInd w:val="0"/>
        <w:snapToGrid w:val="0"/>
        <w:spacing w:before="0" w:line="40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sz w:val="24"/>
        </w:rPr>
        <w:t>…………………………………………………</w:t>
      </w:r>
      <w:r>
        <w:rPr>
          <w:rFonts w:hint="eastAsia"/>
          <w:sz w:val="24"/>
        </w:rPr>
        <w:t>…</w:t>
      </w:r>
      <w:r>
        <w:rPr>
          <w:sz w:val="24"/>
        </w:rPr>
        <w:t>14</w:t>
      </w:r>
    </w:p>
    <w:p>
      <w:pPr>
        <w:pStyle w:val="10"/>
        <w:adjustRightInd w:val="0"/>
        <w:snapToGrid w:val="0"/>
        <w:spacing w:before="0" w:line="40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sz w:val="24"/>
        </w:rPr>
        <w:t>……………………………………………………16</w:t>
      </w:r>
    </w:p>
    <w:p>
      <w:pPr>
        <w:pStyle w:val="11"/>
        <w:adjustRightInd w:val="0"/>
        <w:snapToGrid w:val="0"/>
        <w:spacing w:line="400" w:lineRule="exact"/>
        <w:ind w:left="0" w:leftChars="0"/>
        <w:jc w:val="left"/>
        <w:rPr>
          <w:sz w:val="24"/>
        </w:rPr>
      </w:pPr>
      <w:r>
        <w:rPr>
          <w:rFonts w:hint="eastAsia"/>
          <w:sz w:val="24"/>
        </w:rPr>
        <w:t>一、收入支出决算总表</w:t>
      </w:r>
      <w:r>
        <w:rPr>
          <w:sz w:val="24"/>
        </w:rPr>
        <w:t>……………………………………………16</w:t>
      </w:r>
    </w:p>
    <w:p>
      <w:pPr>
        <w:pStyle w:val="11"/>
        <w:adjustRightInd w:val="0"/>
        <w:snapToGrid w:val="0"/>
        <w:spacing w:line="400" w:lineRule="exact"/>
        <w:ind w:left="0" w:leftChars="0"/>
        <w:jc w:val="left"/>
        <w:rPr>
          <w:sz w:val="24"/>
        </w:rPr>
      </w:pPr>
      <w:r>
        <w:rPr>
          <w:rFonts w:hint="eastAsia"/>
          <w:sz w:val="24"/>
        </w:rPr>
        <w:t>二、收入决算表</w:t>
      </w:r>
      <w:r>
        <w:rPr>
          <w:sz w:val="24"/>
        </w:rPr>
        <w:t>……………………………………………………16</w:t>
      </w:r>
    </w:p>
    <w:p>
      <w:pPr>
        <w:pStyle w:val="11"/>
        <w:adjustRightInd w:val="0"/>
        <w:snapToGrid w:val="0"/>
        <w:spacing w:line="400" w:lineRule="exact"/>
        <w:ind w:left="0" w:leftChars="0"/>
        <w:jc w:val="left"/>
        <w:rPr>
          <w:sz w:val="24"/>
        </w:rPr>
      </w:pPr>
      <w:r>
        <w:rPr>
          <w:rFonts w:hint="eastAsia"/>
          <w:sz w:val="24"/>
        </w:rPr>
        <w:t>三、支出决算表</w:t>
      </w:r>
      <w:r>
        <w:rPr>
          <w:sz w:val="24"/>
        </w:rPr>
        <w:t>……………………………………………………16</w:t>
      </w:r>
    </w:p>
    <w:p>
      <w:pPr>
        <w:pStyle w:val="11"/>
        <w:adjustRightInd w:val="0"/>
        <w:snapToGrid w:val="0"/>
        <w:spacing w:line="400" w:lineRule="exact"/>
        <w:ind w:left="0" w:leftChars="0"/>
        <w:jc w:val="left"/>
        <w:rPr>
          <w:sz w:val="24"/>
        </w:rPr>
      </w:pPr>
      <w:r>
        <w:rPr>
          <w:rFonts w:hint="eastAsia"/>
          <w:sz w:val="24"/>
        </w:rPr>
        <w:t>四、财政拨款收入支出决算总表</w:t>
      </w:r>
      <w:r>
        <w:rPr>
          <w:sz w:val="24"/>
        </w:rPr>
        <w:t>…………………………………16</w:t>
      </w:r>
    </w:p>
    <w:p>
      <w:pPr>
        <w:pStyle w:val="11"/>
        <w:adjustRightInd w:val="0"/>
        <w:snapToGrid w:val="0"/>
        <w:spacing w:line="400" w:lineRule="exact"/>
        <w:ind w:left="0" w:leftChars="0"/>
        <w:jc w:val="left"/>
        <w:rPr>
          <w:sz w:val="24"/>
        </w:rPr>
      </w:pPr>
      <w:r>
        <w:rPr>
          <w:rFonts w:hint="eastAsia"/>
          <w:sz w:val="24"/>
        </w:rPr>
        <w:t>五、财政拨款支出决算明细表</w:t>
      </w:r>
      <w:r>
        <w:rPr>
          <w:sz w:val="24"/>
        </w:rPr>
        <w:t>……………………………………16</w:t>
      </w:r>
    </w:p>
    <w:p>
      <w:pPr>
        <w:pStyle w:val="11"/>
        <w:adjustRightInd w:val="0"/>
        <w:snapToGrid w:val="0"/>
        <w:spacing w:line="400" w:lineRule="exact"/>
        <w:ind w:left="0" w:leftChars="0"/>
        <w:jc w:val="left"/>
        <w:rPr>
          <w:sz w:val="24"/>
        </w:rPr>
      </w:pPr>
      <w:r>
        <w:rPr>
          <w:rFonts w:hint="eastAsia"/>
          <w:sz w:val="24"/>
        </w:rPr>
        <w:t>六、一般公共预算财政拨款支出决算表</w:t>
      </w:r>
      <w:r>
        <w:rPr>
          <w:sz w:val="24"/>
        </w:rPr>
        <w:t>…………………………16</w:t>
      </w:r>
    </w:p>
    <w:p>
      <w:pPr>
        <w:pStyle w:val="11"/>
        <w:adjustRightInd w:val="0"/>
        <w:snapToGrid w:val="0"/>
        <w:spacing w:line="400" w:lineRule="exact"/>
        <w:ind w:left="0" w:leftChars="0"/>
        <w:jc w:val="left"/>
        <w:rPr>
          <w:sz w:val="24"/>
        </w:rPr>
      </w:pPr>
      <w:r>
        <w:rPr>
          <w:rFonts w:hint="eastAsia"/>
          <w:sz w:val="24"/>
        </w:rPr>
        <w:t>七、一般公共预算财政拨款支出决算明细表</w:t>
      </w:r>
      <w:r>
        <w:rPr>
          <w:sz w:val="24"/>
        </w:rPr>
        <w:t>……………………16</w:t>
      </w:r>
    </w:p>
    <w:p>
      <w:pPr>
        <w:pStyle w:val="11"/>
        <w:adjustRightInd w:val="0"/>
        <w:snapToGrid w:val="0"/>
        <w:spacing w:line="400" w:lineRule="exact"/>
        <w:ind w:left="0" w:leftChars="0"/>
        <w:jc w:val="left"/>
        <w:rPr>
          <w:sz w:val="24"/>
        </w:rPr>
      </w:pPr>
      <w:r>
        <w:rPr>
          <w:rFonts w:hint="eastAsia"/>
          <w:sz w:val="24"/>
        </w:rPr>
        <w:t>八、一般公共预算财政拨款基本支出决算明细表</w:t>
      </w:r>
      <w:r>
        <w:rPr>
          <w:sz w:val="24"/>
        </w:rPr>
        <w:t>………………16</w:t>
      </w:r>
    </w:p>
    <w:p>
      <w:pPr>
        <w:pStyle w:val="11"/>
        <w:adjustRightInd w:val="0"/>
        <w:snapToGrid w:val="0"/>
        <w:spacing w:line="400" w:lineRule="exact"/>
        <w:ind w:left="0" w:leftChars="0"/>
        <w:jc w:val="left"/>
        <w:rPr>
          <w:sz w:val="24"/>
        </w:rPr>
      </w:pPr>
      <w:r>
        <w:rPr>
          <w:rFonts w:hint="eastAsia"/>
          <w:sz w:val="24"/>
        </w:rPr>
        <w:t>九、一般公共预算财政拨款项目支出决算表</w:t>
      </w:r>
      <w:r>
        <w:rPr>
          <w:sz w:val="24"/>
        </w:rPr>
        <w:t>……………………16</w:t>
      </w:r>
    </w:p>
    <w:p>
      <w:pPr>
        <w:pStyle w:val="11"/>
        <w:adjustRightInd w:val="0"/>
        <w:snapToGrid w:val="0"/>
        <w:spacing w:line="400" w:lineRule="exact"/>
        <w:ind w:left="0" w:leftChars="0"/>
        <w:jc w:val="left"/>
        <w:rPr>
          <w:sz w:val="24"/>
        </w:rPr>
      </w:pPr>
      <w:r>
        <w:rPr>
          <w:rFonts w:hint="eastAsia"/>
          <w:sz w:val="24"/>
        </w:rPr>
        <w:t>十、政府性基金预算财政拨款收入支出决算表</w:t>
      </w:r>
      <w:r>
        <w:rPr>
          <w:sz w:val="24"/>
        </w:rPr>
        <w:t>…………………16</w:t>
      </w:r>
    </w:p>
    <w:p>
      <w:pPr>
        <w:pStyle w:val="11"/>
        <w:adjustRightInd w:val="0"/>
        <w:snapToGrid w:val="0"/>
        <w:spacing w:line="400" w:lineRule="exact"/>
        <w:ind w:left="0" w:leftChars="0"/>
        <w:jc w:val="left"/>
        <w:rPr>
          <w:sz w:val="24"/>
        </w:rPr>
      </w:pPr>
      <w:r>
        <w:rPr>
          <w:rFonts w:hint="eastAsia"/>
          <w:sz w:val="24"/>
        </w:rPr>
        <w:t>十一、国有资本经营预算财政拨款收入支出决算表</w:t>
      </w:r>
      <w:r>
        <w:rPr>
          <w:sz w:val="24"/>
        </w:rPr>
        <w:t>……………16</w:t>
      </w:r>
    </w:p>
    <w:p>
      <w:pPr>
        <w:pStyle w:val="11"/>
        <w:adjustRightInd w:val="0"/>
        <w:snapToGrid w:val="0"/>
        <w:spacing w:line="400" w:lineRule="exact"/>
        <w:ind w:left="0" w:leftChars="0"/>
        <w:jc w:val="left"/>
        <w:rPr>
          <w:sz w:val="24"/>
        </w:rPr>
      </w:pPr>
      <w:r>
        <w:rPr>
          <w:rFonts w:hint="eastAsia"/>
          <w:sz w:val="24"/>
        </w:rPr>
        <w:t>十二、国有资本经营预算财政拨款支出决算表</w:t>
      </w:r>
      <w:r>
        <w:rPr>
          <w:sz w:val="24"/>
        </w:rPr>
        <w:t>…………………16</w:t>
      </w:r>
    </w:p>
    <w:p>
      <w:pPr>
        <w:pStyle w:val="11"/>
        <w:adjustRightInd w:val="0"/>
        <w:snapToGrid w:val="0"/>
        <w:spacing w:line="400" w:lineRule="exact"/>
        <w:ind w:left="0" w:leftChars="0"/>
        <w:jc w:val="left"/>
        <w:rPr>
          <w:sz w:val="24"/>
        </w:rPr>
      </w:pPr>
      <w:r>
        <w:rPr>
          <w:rFonts w:hint="eastAsia"/>
          <w:sz w:val="24"/>
        </w:rPr>
        <w:t>十三、财政拨款“三公”经费支出决算表</w:t>
      </w:r>
      <w:r>
        <w:rPr>
          <w:sz w:val="24"/>
        </w:rPr>
        <w:t>………………………16</w:t>
      </w:r>
    </w:p>
    <w:p>
      <w:pPr>
        <w:widowControl/>
        <w:spacing w:line="440" w:lineRule="exact"/>
        <w:jc w:val="left"/>
        <w:rPr>
          <w:rFonts w:ascii="仿宋" w:hAnsi="仿宋" w:eastAsia="仿宋"/>
          <w:bCs/>
          <w:kern w:val="44"/>
          <w:sz w:val="24"/>
        </w:rPr>
      </w:pPr>
      <w:bookmarkStart w:id="13" w:name="_Toc15396599"/>
      <w:bookmarkStart w:id="14"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3"/>
      <w:bookmarkEnd w:id="14"/>
    </w:p>
    <w:p>
      <w:pPr>
        <w:pStyle w:val="4"/>
        <w:numPr>
          <w:ilvl w:val="0"/>
          <w:numId w:val="1"/>
        </w:numPr>
        <w:rPr>
          <w:rStyle w:val="25"/>
          <w:rFonts w:ascii="黑体" w:hAnsi="黑体" w:eastAsia="黑体"/>
          <w:b w:val="0"/>
          <w:bCs w:val="0"/>
        </w:rPr>
      </w:pPr>
      <w:bookmarkStart w:id="15" w:name="_Toc15377197"/>
      <w:bookmarkStart w:id="16" w:name="_Toc15396600"/>
      <w:r>
        <w:rPr>
          <w:rStyle w:val="25"/>
          <w:rFonts w:hint="eastAsia" w:ascii="黑体" w:hAnsi="黑体" w:eastAsia="黑体"/>
          <w:b w:val="0"/>
          <w:bCs w:val="0"/>
        </w:rPr>
        <w:t>主要职责及重点工作</w:t>
      </w:r>
    </w:p>
    <w:p>
      <w:pPr>
        <w:spacing w:line="600" w:lineRule="exact"/>
        <w:rPr>
          <w:rFonts w:ascii="仿宋" w:hAnsi="仿宋" w:eastAsia="仿宋"/>
          <w:sz w:val="32"/>
          <w:szCs w:val="32"/>
        </w:rPr>
      </w:pPr>
      <w:r>
        <w:rPr>
          <w:rFonts w:hint="eastAsia" w:ascii="仿宋" w:hAnsi="仿宋" w:eastAsia="仿宋"/>
          <w:sz w:val="32"/>
          <w:szCs w:val="32"/>
        </w:rPr>
        <w:t>（一）单位职责</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剑阁县长岭小学校属财政预算一级单位，执行事业单位会计制度，宗旨和业务范围：实施小学义务教育，促进基础教育发展。</w:t>
      </w:r>
    </w:p>
    <w:p>
      <w:pPr>
        <w:pStyle w:val="2"/>
        <w:spacing w:before="93" w:line="360" w:lineRule="exact"/>
      </w:pPr>
      <w:r>
        <w:rPr>
          <w:rFonts w:hint="eastAsia"/>
        </w:rPr>
        <w:t>（二）2</w:t>
      </w:r>
      <w:r>
        <w:t>022</w:t>
      </w:r>
      <w:r>
        <w:rPr>
          <w:rFonts w:hint="eastAsia"/>
        </w:rPr>
        <w:t>年重点工作完成情况</w:t>
      </w:r>
    </w:p>
    <w:p>
      <w:pPr>
        <w:pStyle w:val="2"/>
        <w:spacing w:before="93" w:line="360" w:lineRule="exact"/>
      </w:pPr>
      <w:r>
        <w:rPr>
          <w:rFonts w:hint="eastAsia"/>
        </w:rPr>
        <w:t>A</w:t>
      </w:r>
      <w:r>
        <w:rPr>
          <w:rFonts w:hint="eastAsia"/>
          <w:lang w:eastAsia="zh-CN"/>
        </w:rPr>
        <w:t>.</w:t>
      </w:r>
      <w:r>
        <w:rPr>
          <w:rFonts w:hint="eastAsia"/>
        </w:rPr>
        <w:t>加强领导班子建设，充分发挥班子的主导作用</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一年来，领导班子团结一致。上学期初，领导深入分析学校的教学情况，</w:t>
      </w:r>
      <w:r>
        <w:rPr>
          <w:rFonts w:hint="eastAsia" w:ascii="仿宋" w:hAnsi="仿宋" w:eastAsia="仿宋"/>
          <w:sz w:val="32"/>
          <w:szCs w:val="32"/>
          <w:lang w:eastAsia="zh-CN"/>
        </w:rPr>
        <w:t>制订</w:t>
      </w:r>
      <w:r>
        <w:rPr>
          <w:rFonts w:hint="eastAsia" w:ascii="仿宋" w:hAnsi="仿宋" w:eastAsia="仿宋"/>
          <w:sz w:val="32"/>
          <w:szCs w:val="32"/>
        </w:rPr>
        <w:t>出各项工作计划，规章制度做到有章可循，心中有数。教导处能指导教师</w:t>
      </w:r>
      <w:r>
        <w:rPr>
          <w:rFonts w:hint="eastAsia" w:ascii="仿宋" w:hAnsi="仿宋" w:eastAsia="仿宋"/>
          <w:sz w:val="32"/>
          <w:szCs w:val="32"/>
          <w:lang w:eastAsia="zh-CN"/>
        </w:rPr>
        <w:t>制定</w:t>
      </w:r>
      <w:r>
        <w:rPr>
          <w:rFonts w:hint="eastAsia" w:ascii="仿宋" w:hAnsi="仿宋" w:eastAsia="仿宋"/>
          <w:sz w:val="32"/>
          <w:szCs w:val="32"/>
        </w:rPr>
        <w:t>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七月份</w:t>
      </w:r>
      <w:r>
        <w:rPr>
          <w:rFonts w:hint="eastAsia" w:ascii="仿宋" w:hAnsi="仿宋" w:eastAsia="仿宋"/>
          <w:sz w:val="32"/>
          <w:szCs w:val="32"/>
          <w:lang w:eastAsia="zh-CN"/>
        </w:rPr>
        <w:t>起</w:t>
      </w:r>
      <w:r>
        <w:rPr>
          <w:rFonts w:hint="eastAsia" w:ascii="仿宋" w:hAnsi="仿宋" w:eastAsia="仿宋"/>
          <w:sz w:val="32"/>
          <w:szCs w:val="32"/>
        </w:rPr>
        <w:t>根据上级要求，我们在领导层充实了年轻血液，两位年轻领导的加入，使我校活动及各项工作充满了活力。领导们有强烈事业心和高度责任感，每天都是早到校、晚离校，以校为家。学校领导班子凡事能主动与当地党政联系，经常向上级反映、汇报学校工作开展情况。学校也要求和组织教师家访，深入了解家长对我校的工作意见，及有关教师的教学态度等情况，做到学校、社会、家庭三结合。</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加强教学管理，全面提高教学质量是学校领导义不容辞的职责。学期一开始，领导带头完成各项常规任务，领导班子深入课堂听课，了解教学动态，掌握教学第一手材料，为课堂教学</w:t>
      </w:r>
      <w:r>
        <w:rPr>
          <w:rFonts w:hint="eastAsia" w:ascii="仿宋" w:hAnsi="仿宋" w:eastAsia="仿宋"/>
          <w:sz w:val="32"/>
          <w:szCs w:val="32"/>
          <w:lang w:eastAsia="zh-CN"/>
        </w:rPr>
        <w:t>做</w:t>
      </w:r>
      <w:r>
        <w:rPr>
          <w:rFonts w:hint="eastAsia" w:ascii="仿宋" w:hAnsi="仿宋" w:eastAsia="仿宋"/>
          <w:sz w:val="32"/>
          <w:szCs w:val="32"/>
        </w:rPr>
        <w:t>依据，在领导的带动下，教师相互听课已蔚然成风，大家实实在在地研究课堂教学微观领域经常面临的问题，发表意见，交流困惑，提高了教研组的凝聚力和研讨能力。</w:t>
      </w:r>
    </w:p>
    <w:p>
      <w:pPr>
        <w:spacing w:line="360" w:lineRule="exact"/>
        <w:rPr>
          <w:rFonts w:ascii="仿宋" w:hAnsi="仿宋" w:eastAsia="仿宋"/>
          <w:sz w:val="32"/>
          <w:szCs w:val="32"/>
        </w:rPr>
      </w:pPr>
      <w:r>
        <w:rPr>
          <w:rFonts w:hint="eastAsia" w:ascii="仿宋" w:hAnsi="仿宋" w:eastAsia="仿宋"/>
          <w:sz w:val="32"/>
          <w:szCs w:val="32"/>
        </w:rPr>
        <w:t>B</w:t>
      </w:r>
      <w:r>
        <w:rPr>
          <w:rFonts w:hint="eastAsia" w:ascii="仿宋" w:hAnsi="仿宋" w:eastAsia="仿宋"/>
          <w:sz w:val="32"/>
          <w:szCs w:val="32"/>
          <w:lang w:eastAsia="zh-CN"/>
        </w:rPr>
        <w:t>.</w:t>
      </w:r>
      <w:r>
        <w:rPr>
          <w:rFonts w:hint="eastAsia" w:ascii="仿宋" w:hAnsi="仿宋" w:eastAsia="仿宋"/>
          <w:sz w:val="32"/>
          <w:szCs w:val="32"/>
        </w:rPr>
        <w:t>重视队伍建设，培养优秀师资</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师资力量的雄厚与薄弱，直接影响学校的教学水平。一年来，我校注重对教师队伍的建设。首先加强职业道德修养，开展教师政治业务学习，继续深入“青蓝工程”的老带青工作。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w:t>
      </w:r>
      <w:r>
        <w:rPr>
          <w:rFonts w:hint="eastAsia" w:ascii="仿宋" w:hAnsi="仿宋" w:eastAsia="仿宋"/>
          <w:sz w:val="32"/>
          <w:szCs w:val="32"/>
          <w:lang w:eastAsia="zh-CN"/>
        </w:rPr>
        <w:t>再</w:t>
      </w:r>
      <w:r>
        <w:rPr>
          <w:rFonts w:hint="eastAsia" w:ascii="仿宋" w:hAnsi="仿宋" w:eastAsia="仿宋"/>
          <w:sz w:val="32"/>
          <w:szCs w:val="32"/>
        </w:rPr>
        <w:t>以提高教师实施素质教育的能力和水平为重点，鼓励教师自学，为老师提供各种学习机会，使青年教师迅速成为教学骨干和学科带头人。</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spacing w:line="360" w:lineRule="exact"/>
        <w:rPr>
          <w:rFonts w:ascii="仿宋" w:hAnsi="仿宋" w:eastAsia="仿宋"/>
          <w:sz w:val="32"/>
          <w:szCs w:val="32"/>
        </w:rPr>
      </w:pPr>
      <w:r>
        <w:rPr>
          <w:rFonts w:hint="eastAsia" w:ascii="仿宋" w:hAnsi="仿宋" w:eastAsia="仿宋"/>
          <w:sz w:val="32"/>
          <w:szCs w:val="32"/>
        </w:rPr>
        <w:t>C</w:t>
      </w:r>
      <w:r>
        <w:rPr>
          <w:rFonts w:hint="eastAsia" w:ascii="仿宋" w:hAnsi="仿宋" w:eastAsia="仿宋"/>
          <w:sz w:val="32"/>
          <w:szCs w:val="32"/>
          <w:lang w:eastAsia="zh-CN"/>
        </w:rPr>
        <w:t>.</w:t>
      </w:r>
      <w:r>
        <w:rPr>
          <w:rFonts w:hint="eastAsia" w:ascii="仿宋" w:hAnsi="仿宋" w:eastAsia="仿宋"/>
          <w:sz w:val="32"/>
          <w:szCs w:val="32"/>
        </w:rPr>
        <w:t>加强德育工作，建设文明校风</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德育是五育之首，本学年度我校成立了德育工作领导小组，专门</w:t>
      </w:r>
      <w:r>
        <w:rPr>
          <w:rFonts w:hint="eastAsia" w:ascii="仿宋" w:hAnsi="仿宋" w:eastAsia="仿宋"/>
          <w:sz w:val="32"/>
          <w:szCs w:val="32"/>
          <w:lang w:eastAsia="zh-CN"/>
        </w:rPr>
        <w:t>制定了</w:t>
      </w:r>
      <w:r>
        <w:rPr>
          <w:rFonts w:hint="eastAsia" w:ascii="仿宋" w:hAnsi="仿宋" w:eastAsia="仿宋"/>
          <w:sz w:val="32"/>
          <w:szCs w:val="32"/>
        </w:rPr>
        <w:t>学校德育工作计划，并开展一系列活动进行德育教育。</w:t>
      </w:r>
    </w:p>
    <w:p>
      <w:pPr>
        <w:spacing w:line="360" w:lineRule="exact"/>
        <w:rPr>
          <w:rFonts w:ascii="仿宋" w:hAnsi="仿宋" w:eastAsia="仿宋"/>
          <w:sz w:val="32"/>
          <w:szCs w:val="32"/>
        </w:rPr>
      </w:pPr>
      <w:r>
        <w:rPr>
          <w:rFonts w:hint="eastAsia" w:ascii="仿宋" w:hAnsi="仿宋" w:eastAsia="仿宋"/>
          <w:sz w:val="32"/>
          <w:szCs w:val="32"/>
        </w:rPr>
        <w:t>1、通过校会、主题班、队活动开展各种教育</w:t>
      </w:r>
      <w:r>
        <w:rPr>
          <w:rFonts w:hint="eastAsia" w:ascii="仿宋" w:hAnsi="仿宋" w:eastAsia="仿宋"/>
          <w:sz w:val="32"/>
          <w:szCs w:val="32"/>
          <w:lang w:eastAsia="zh-CN"/>
        </w:rPr>
        <w:t>：</w:t>
      </w:r>
    </w:p>
    <w:p>
      <w:pPr>
        <w:spacing w:line="360" w:lineRule="exact"/>
        <w:rPr>
          <w:rFonts w:ascii="仿宋" w:hAnsi="仿宋" w:eastAsia="仿宋"/>
          <w:sz w:val="32"/>
          <w:szCs w:val="32"/>
        </w:rPr>
      </w:pPr>
      <w:r>
        <w:rPr>
          <w:rFonts w:hint="eastAsia" w:ascii="仿宋" w:hAnsi="仿宋" w:eastAsia="仿宋"/>
          <w:sz w:val="32"/>
          <w:szCs w:val="32"/>
        </w:rPr>
        <w:t>2、坚持升旗仪式，在国旗下进行五爱教育。</w:t>
      </w:r>
    </w:p>
    <w:p>
      <w:pPr>
        <w:spacing w:line="360" w:lineRule="exact"/>
        <w:rPr>
          <w:rFonts w:ascii="仿宋" w:hAnsi="仿宋" w:eastAsia="仿宋"/>
          <w:sz w:val="32"/>
          <w:szCs w:val="32"/>
        </w:rPr>
      </w:pPr>
      <w:r>
        <w:rPr>
          <w:rFonts w:hint="eastAsia" w:ascii="仿宋" w:hAnsi="仿宋" w:eastAsia="仿宋"/>
          <w:sz w:val="32"/>
          <w:szCs w:val="32"/>
        </w:rPr>
        <w:t>3、充分利用纪念日对学生进行思想政治教育；</w:t>
      </w:r>
    </w:p>
    <w:p>
      <w:pPr>
        <w:spacing w:line="360" w:lineRule="exact"/>
        <w:rPr>
          <w:rFonts w:ascii="仿宋" w:hAnsi="仿宋" w:eastAsia="仿宋"/>
          <w:sz w:val="32"/>
          <w:szCs w:val="32"/>
        </w:rPr>
      </w:pPr>
      <w:r>
        <w:rPr>
          <w:rFonts w:hint="eastAsia" w:ascii="仿宋" w:hAnsi="仿宋" w:eastAsia="仿宋"/>
          <w:sz w:val="32"/>
          <w:szCs w:val="32"/>
        </w:rPr>
        <w:t>4、优秀班级评比制度中把学生德育作为评比的一项内容；</w:t>
      </w:r>
    </w:p>
    <w:p>
      <w:pPr>
        <w:spacing w:line="360" w:lineRule="exact"/>
        <w:rPr>
          <w:rFonts w:ascii="仿宋" w:hAnsi="仿宋" w:eastAsia="仿宋"/>
          <w:sz w:val="32"/>
          <w:szCs w:val="32"/>
        </w:rPr>
      </w:pPr>
      <w:r>
        <w:rPr>
          <w:rFonts w:hint="eastAsia" w:ascii="仿宋" w:hAnsi="仿宋" w:eastAsia="仿宋"/>
          <w:sz w:val="32"/>
          <w:szCs w:val="32"/>
        </w:rPr>
        <w:t>5、要求教师认真上好品德社会课，强调教师应细致耐心做好后进生、顽皮生的转化工作。</w:t>
      </w:r>
    </w:p>
    <w:p>
      <w:pPr>
        <w:spacing w:line="360" w:lineRule="exact"/>
        <w:rPr>
          <w:rFonts w:ascii="仿宋" w:hAnsi="仿宋" w:eastAsia="仿宋"/>
          <w:sz w:val="32"/>
          <w:szCs w:val="32"/>
        </w:rPr>
      </w:pPr>
      <w:r>
        <w:rPr>
          <w:rFonts w:hint="eastAsia" w:ascii="仿宋" w:hAnsi="仿宋" w:eastAsia="仿宋"/>
          <w:sz w:val="32"/>
          <w:szCs w:val="32"/>
        </w:rPr>
        <w:t>6、充分发挥少先队组织的作用，开展各种活动，以红领巾广播站为阵地，开展主题教育、雏鹰争章等进行德育教育。</w:t>
      </w:r>
    </w:p>
    <w:p>
      <w:pPr>
        <w:spacing w:line="360" w:lineRule="exact"/>
        <w:rPr>
          <w:rFonts w:ascii="仿宋" w:hAnsi="仿宋" w:eastAsia="仿宋"/>
          <w:sz w:val="32"/>
          <w:szCs w:val="32"/>
        </w:rPr>
      </w:pPr>
      <w:r>
        <w:rPr>
          <w:rFonts w:hint="eastAsia" w:ascii="仿宋" w:hAnsi="仿宋" w:eastAsia="仿宋"/>
          <w:sz w:val="32"/>
          <w:szCs w:val="32"/>
        </w:rPr>
        <w:t>7、学校根据实际情况，申报了“传承长岭红色文化，开展有效德育教育”的课题，并制定了研究计划和细则，并准备以此编写德育校本教材。</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2022年，我们接受了市级文明校园复查；2022年10月我们成功创建了“市级绿色校园”；2022年6月我校承接全县红色共同体学校现场会；</w:t>
      </w:r>
    </w:p>
    <w:p>
      <w:pPr>
        <w:spacing w:line="360" w:lineRule="exact"/>
        <w:rPr>
          <w:rFonts w:ascii="仿宋" w:hAnsi="仿宋" w:eastAsia="仿宋"/>
          <w:sz w:val="32"/>
          <w:szCs w:val="32"/>
        </w:rPr>
      </w:pPr>
      <w:r>
        <w:rPr>
          <w:rFonts w:hint="eastAsia" w:ascii="仿宋" w:hAnsi="仿宋" w:eastAsia="仿宋"/>
          <w:sz w:val="32"/>
          <w:szCs w:val="32"/>
        </w:rPr>
        <w:t>D</w:t>
      </w:r>
      <w:r>
        <w:rPr>
          <w:rFonts w:hint="eastAsia" w:ascii="仿宋" w:hAnsi="仿宋" w:eastAsia="仿宋"/>
          <w:sz w:val="32"/>
          <w:szCs w:val="32"/>
          <w:lang w:eastAsia="zh-CN"/>
        </w:rPr>
        <w:t>.</w:t>
      </w:r>
      <w:r>
        <w:rPr>
          <w:rFonts w:hint="eastAsia" w:ascii="仿宋" w:hAnsi="仿宋" w:eastAsia="仿宋"/>
          <w:sz w:val="32"/>
          <w:szCs w:val="32"/>
        </w:rPr>
        <w:t>狠抓教育教学。</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教学工作是学校的中心工作。我们通过抓教研、教改和教学常规，提高教学质量，培养学生学习兴趣。开学初，我们召开教研组长会议，共同商定一学期中的教研组活动，并把活动落到实处。</w:t>
      </w:r>
    </w:p>
    <w:p>
      <w:pPr>
        <w:spacing w:line="360" w:lineRule="exact"/>
        <w:rPr>
          <w:rFonts w:ascii="仿宋" w:hAnsi="仿宋" w:eastAsia="仿宋"/>
          <w:sz w:val="32"/>
          <w:szCs w:val="32"/>
        </w:rPr>
      </w:pPr>
      <w:r>
        <w:rPr>
          <w:rFonts w:hint="eastAsia" w:ascii="仿宋" w:hAnsi="仿宋" w:eastAsia="仿宋"/>
          <w:sz w:val="32"/>
          <w:szCs w:val="32"/>
        </w:rPr>
        <w:t>1、积极开展了教研活动。全年开展教研课堂，全体教师参与听课和研讨交流，并就教学中的问题探讨出解决办法，真正起到了教研的作用。</w:t>
      </w:r>
    </w:p>
    <w:p>
      <w:pPr>
        <w:spacing w:line="360" w:lineRule="exact"/>
        <w:rPr>
          <w:rFonts w:ascii="仿宋" w:hAnsi="仿宋" w:eastAsia="仿宋"/>
          <w:sz w:val="32"/>
          <w:szCs w:val="32"/>
        </w:rPr>
      </w:pPr>
      <w:r>
        <w:rPr>
          <w:rFonts w:hint="eastAsia" w:ascii="仿宋" w:hAnsi="仿宋" w:eastAsia="仿宋"/>
          <w:sz w:val="32"/>
          <w:szCs w:val="32"/>
        </w:rPr>
        <w:t>2、教学常规是教师开展日常教学工作的准则，良好的管理体制是我们顺利实施课程改革、提高教学质量的重要保证，因此，我们始终抓实抓好，重点做了几点工作。</w:t>
      </w:r>
    </w:p>
    <w:p>
      <w:pPr>
        <w:spacing w:line="360" w:lineRule="exact"/>
        <w:rPr>
          <w:rFonts w:ascii="仿宋" w:hAnsi="仿宋" w:eastAsia="仿宋"/>
          <w:sz w:val="32"/>
          <w:szCs w:val="32"/>
        </w:rPr>
      </w:pPr>
      <w:r>
        <w:rPr>
          <w:rFonts w:hint="eastAsia" w:ascii="仿宋" w:hAnsi="仿宋" w:eastAsia="仿宋"/>
          <w:sz w:val="32"/>
          <w:szCs w:val="32"/>
        </w:rPr>
        <w:t>(1)、严格按《四川省2022年新课程设置方案》，开齐、上足，教好每一门课程，不随意增减，严禁语数科占用艺体科。每一科期末都有考核并把成绩上交教导处。</w:t>
      </w:r>
    </w:p>
    <w:p>
      <w:pPr>
        <w:spacing w:line="360" w:lineRule="exact"/>
        <w:rPr>
          <w:rFonts w:ascii="仿宋" w:hAnsi="仿宋" w:eastAsia="仿宋"/>
          <w:sz w:val="32"/>
          <w:szCs w:val="32"/>
        </w:rPr>
      </w:pPr>
      <w:r>
        <w:rPr>
          <w:rFonts w:hint="eastAsia" w:ascii="仿宋" w:hAnsi="仿宋" w:eastAsia="仿宋"/>
          <w:sz w:val="32"/>
          <w:szCs w:val="32"/>
        </w:rPr>
        <w:t>(2)、做好学籍管理工作。</w:t>
      </w:r>
    </w:p>
    <w:p>
      <w:pPr>
        <w:spacing w:line="360" w:lineRule="exact"/>
        <w:rPr>
          <w:rFonts w:ascii="仿宋" w:hAnsi="仿宋" w:eastAsia="仿宋"/>
          <w:sz w:val="32"/>
          <w:szCs w:val="32"/>
        </w:rPr>
      </w:pPr>
      <w:r>
        <w:rPr>
          <w:rFonts w:hint="eastAsia" w:ascii="仿宋" w:hAnsi="仿宋" w:eastAsia="仿宋"/>
          <w:sz w:val="32"/>
          <w:szCs w:val="32"/>
        </w:rPr>
        <w:t>(3)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spacing w:line="360" w:lineRule="exact"/>
        <w:rPr>
          <w:rFonts w:ascii="仿宋" w:hAnsi="仿宋" w:eastAsia="仿宋"/>
          <w:sz w:val="32"/>
          <w:szCs w:val="32"/>
        </w:rPr>
      </w:pPr>
      <w:r>
        <w:rPr>
          <w:rFonts w:hint="eastAsia" w:ascii="仿宋" w:hAnsi="仿宋" w:eastAsia="仿宋"/>
          <w:sz w:val="32"/>
          <w:szCs w:val="32"/>
        </w:rPr>
        <w:t>(4)、以“学生”为中心点，规范学习行为着力抓好学生的“规范”教育。从学生的基础文明行为，养成教育的训练抓起，抓纪律，抓常规，抓行为。本学年狠抓学生早读及午自习、班主任跟班及文明班评比。效果非常好。</w:t>
      </w:r>
    </w:p>
    <w:p>
      <w:pPr>
        <w:spacing w:line="360" w:lineRule="exact"/>
        <w:rPr>
          <w:rFonts w:ascii="仿宋" w:hAnsi="仿宋" w:eastAsia="仿宋"/>
          <w:sz w:val="32"/>
          <w:szCs w:val="32"/>
        </w:rPr>
      </w:pPr>
      <w:r>
        <w:rPr>
          <w:rFonts w:hint="eastAsia" w:ascii="仿宋" w:hAnsi="仿宋" w:eastAsia="仿宋"/>
          <w:sz w:val="32"/>
          <w:szCs w:val="32"/>
        </w:rPr>
        <w:t>(5)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我校本期又有30人次参加书法大赛。</w:t>
      </w:r>
    </w:p>
    <w:p>
      <w:pPr>
        <w:spacing w:line="360" w:lineRule="exact"/>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加大</w:t>
      </w:r>
      <w:r>
        <w:rPr>
          <w:rFonts w:hint="eastAsia" w:ascii="仿宋" w:hAnsi="仿宋" w:eastAsia="仿宋"/>
          <w:sz w:val="32"/>
          <w:szCs w:val="32"/>
        </w:rPr>
        <w:t>毕业班的教学管理力度。</w:t>
      </w:r>
      <w:r>
        <w:rPr>
          <w:rFonts w:hint="eastAsia" w:ascii="仿宋" w:hAnsi="仿宋" w:eastAsia="仿宋"/>
          <w:sz w:val="32"/>
          <w:szCs w:val="32"/>
          <w:lang w:eastAsia="zh-CN"/>
        </w:rPr>
        <w:t>一所学校</w:t>
      </w:r>
      <w:r>
        <w:rPr>
          <w:rFonts w:hint="eastAsia" w:ascii="仿宋" w:hAnsi="仿宋" w:eastAsia="仿宋"/>
          <w:sz w:val="32"/>
          <w:szCs w:val="32"/>
        </w:rPr>
        <w:t>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spacing w:line="360" w:lineRule="exact"/>
        <w:rPr>
          <w:rFonts w:ascii="仿宋" w:hAnsi="仿宋" w:eastAsia="仿宋"/>
          <w:sz w:val="32"/>
          <w:szCs w:val="32"/>
        </w:rPr>
      </w:pPr>
      <w:r>
        <w:rPr>
          <w:rFonts w:hint="eastAsia" w:ascii="仿宋" w:hAnsi="仿宋" w:eastAsia="仿宋"/>
          <w:sz w:val="32"/>
          <w:szCs w:val="32"/>
        </w:rPr>
        <w:t>(7)加强寄宿学生的管理。学校然制定了制度、管理办法，安排了管理表，并把抓好寄宿生的安全及成绩放在首要位置，克服困难做好学生的生活管理。以争取今后的寄宿生工作开展</w:t>
      </w:r>
      <w:r>
        <w:rPr>
          <w:rFonts w:hint="eastAsia" w:ascii="仿宋" w:hAnsi="仿宋" w:eastAsia="仿宋"/>
          <w:sz w:val="32"/>
          <w:szCs w:val="32"/>
          <w:lang w:eastAsia="zh-CN"/>
        </w:rPr>
        <w:t>得</w:t>
      </w:r>
      <w:r>
        <w:rPr>
          <w:rFonts w:hint="eastAsia" w:ascii="仿宋" w:hAnsi="仿宋" w:eastAsia="仿宋"/>
          <w:sz w:val="32"/>
          <w:szCs w:val="32"/>
        </w:rPr>
        <w:t>更好。</w:t>
      </w:r>
    </w:p>
    <w:p>
      <w:pPr>
        <w:spacing w:line="360" w:lineRule="exact"/>
        <w:rPr>
          <w:rFonts w:ascii="仿宋" w:hAnsi="仿宋" w:eastAsia="仿宋"/>
          <w:sz w:val="32"/>
          <w:szCs w:val="32"/>
        </w:rPr>
      </w:pPr>
      <w:r>
        <w:rPr>
          <w:rFonts w:hint="eastAsia" w:ascii="仿宋" w:hAnsi="仿宋" w:eastAsia="仿宋"/>
          <w:sz w:val="32"/>
          <w:szCs w:val="32"/>
        </w:rPr>
        <w:t>E</w:t>
      </w:r>
      <w:r>
        <w:rPr>
          <w:rFonts w:hint="eastAsia" w:ascii="仿宋" w:hAnsi="仿宋" w:eastAsia="仿宋"/>
          <w:sz w:val="32"/>
          <w:szCs w:val="32"/>
          <w:lang w:eastAsia="zh-CN"/>
        </w:rPr>
        <w:t>.</w:t>
      </w:r>
      <w:r>
        <w:rPr>
          <w:rFonts w:hint="eastAsia" w:ascii="仿宋" w:hAnsi="仿宋" w:eastAsia="仿宋"/>
          <w:sz w:val="32"/>
          <w:szCs w:val="32"/>
        </w:rPr>
        <w:t>加强家访和安全管理工作</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我校主动进行“千名教师访万家”活动，进一步加强学校与家庭的联系，协调学校与家庭的教育步调，统一学校与家庭教育对学生的要求，共同做好学生的教育工作，促进学生德智体美全面发展；我们还加强学校管理，增强师生的安全意识，确保学生的人身安全。我们还加强了家访和安全管理工作。</w:t>
      </w:r>
    </w:p>
    <w:p>
      <w:pPr>
        <w:spacing w:line="360" w:lineRule="exact"/>
        <w:rPr>
          <w:rFonts w:ascii="仿宋" w:hAnsi="仿宋" w:eastAsia="仿宋"/>
          <w:sz w:val="32"/>
          <w:szCs w:val="32"/>
        </w:rPr>
      </w:pPr>
      <w:r>
        <w:rPr>
          <w:rFonts w:hint="eastAsia" w:ascii="仿宋" w:hAnsi="仿宋" w:eastAsia="仿宋"/>
          <w:sz w:val="32"/>
          <w:szCs w:val="32"/>
        </w:rPr>
        <w:t>1、春季我们承接广元市交通局“组织的水上安全进校园活动”现场会</w:t>
      </w:r>
    </w:p>
    <w:p>
      <w:pPr>
        <w:spacing w:line="360" w:lineRule="exact"/>
        <w:rPr>
          <w:rFonts w:ascii="仿宋" w:hAnsi="仿宋" w:eastAsia="仿宋"/>
          <w:sz w:val="32"/>
          <w:szCs w:val="32"/>
        </w:rPr>
      </w:pPr>
      <w:r>
        <w:rPr>
          <w:rFonts w:hint="eastAsia" w:ascii="仿宋" w:hAnsi="仿宋" w:eastAsia="仿宋"/>
          <w:sz w:val="32"/>
          <w:szCs w:val="32"/>
        </w:rPr>
        <w:t>2、学校期初发放告家长书，就学生要注意的学习、安全等要求家长管理教育孩子，加强了学校与家庭、社会的联系，增强了学校的教育合力。</w:t>
      </w:r>
    </w:p>
    <w:p>
      <w:pPr>
        <w:spacing w:line="360" w:lineRule="exact"/>
        <w:rPr>
          <w:rFonts w:ascii="仿宋" w:hAnsi="仿宋" w:eastAsia="仿宋"/>
          <w:sz w:val="32"/>
          <w:szCs w:val="32"/>
        </w:rPr>
      </w:pPr>
      <w:r>
        <w:rPr>
          <w:rFonts w:hint="eastAsia" w:ascii="仿宋" w:hAnsi="仿宋" w:eastAsia="仿宋"/>
          <w:sz w:val="32"/>
          <w:szCs w:val="32"/>
        </w:rPr>
        <w:t>3、学校做好封闭式教学管理，严格学生外出请假制度。各班做好学生名册的登记和上报工作，做到学生上课，各科任老师做好点名制度、有事先请假制度，做到时时查学生勤。</w:t>
      </w:r>
    </w:p>
    <w:p>
      <w:pPr>
        <w:spacing w:line="360" w:lineRule="exact"/>
        <w:rPr>
          <w:rFonts w:ascii="仿宋" w:hAnsi="仿宋" w:eastAsia="仿宋"/>
          <w:sz w:val="32"/>
          <w:szCs w:val="32"/>
        </w:rPr>
      </w:pPr>
      <w:r>
        <w:rPr>
          <w:rFonts w:hint="eastAsia" w:ascii="仿宋" w:hAnsi="仿宋" w:eastAsia="仿宋"/>
          <w:sz w:val="32"/>
          <w:szCs w:val="32"/>
        </w:rPr>
        <w:t>4、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spacing w:line="360" w:lineRule="exact"/>
        <w:rPr>
          <w:rFonts w:ascii="仿宋" w:hAnsi="仿宋" w:eastAsia="仿宋"/>
          <w:sz w:val="32"/>
          <w:szCs w:val="32"/>
        </w:rPr>
      </w:pPr>
      <w:r>
        <w:rPr>
          <w:rFonts w:hint="eastAsia" w:ascii="仿宋" w:hAnsi="仿宋" w:eastAsia="仿宋"/>
          <w:sz w:val="32"/>
          <w:szCs w:val="32"/>
        </w:rPr>
        <w:t>5、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spacing w:line="360" w:lineRule="exact"/>
        <w:rPr>
          <w:rFonts w:ascii="仿宋" w:hAnsi="仿宋" w:eastAsia="仿宋"/>
          <w:sz w:val="32"/>
          <w:szCs w:val="32"/>
        </w:rPr>
      </w:pPr>
      <w:r>
        <w:rPr>
          <w:rFonts w:hint="eastAsia" w:ascii="仿宋" w:hAnsi="仿宋" w:eastAsia="仿宋"/>
          <w:sz w:val="32"/>
          <w:szCs w:val="32"/>
        </w:rPr>
        <w:t>F</w:t>
      </w:r>
      <w:r>
        <w:rPr>
          <w:rFonts w:hint="eastAsia" w:ascii="仿宋" w:hAnsi="仿宋" w:eastAsia="仿宋"/>
          <w:sz w:val="32"/>
          <w:szCs w:val="32"/>
          <w:lang w:eastAsia="zh-CN"/>
        </w:rPr>
        <w:t>.</w:t>
      </w:r>
      <w:r>
        <w:rPr>
          <w:rFonts w:hint="eastAsia" w:ascii="仿宋" w:hAnsi="仿宋" w:eastAsia="仿宋"/>
          <w:sz w:val="32"/>
          <w:szCs w:val="32"/>
        </w:rPr>
        <w:t>坚持财务制度，积极开展勤俭办学。</w:t>
      </w:r>
    </w:p>
    <w:p>
      <w:pPr>
        <w:spacing w:line="360" w:lineRule="exact"/>
        <w:rPr>
          <w:rFonts w:ascii="仿宋" w:hAnsi="仿宋" w:eastAsia="仿宋"/>
          <w:sz w:val="32"/>
          <w:szCs w:val="32"/>
        </w:rPr>
      </w:pPr>
      <w:r>
        <w:rPr>
          <w:rFonts w:hint="eastAsia" w:ascii="仿宋" w:hAnsi="仿宋" w:eastAsia="仿宋"/>
          <w:sz w:val="32"/>
          <w:szCs w:val="32"/>
        </w:rPr>
        <w:t>⒈学校严格按照局文件标准规范收费，严格执行学校财务管理制度。</w:t>
      </w:r>
    </w:p>
    <w:p>
      <w:pPr>
        <w:spacing w:line="360" w:lineRule="exact"/>
        <w:rPr>
          <w:rFonts w:ascii="仿宋" w:hAnsi="仿宋" w:eastAsia="仿宋"/>
          <w:sz w:val="32"/>
          <w:szCs w:val="32"/>
        </w:rPr>
      </w:pPr>
      <w:r>
        <w:rPr>
          <w:rFonts w:hint="eastAsia" w:ascii="仿宋" w:hAnsi="仿宋" w:eastAsia="仿宋"/>
          <w:sz w:val="32"/>
          <w:szCs w:val="32"/>
        </w:rPr>
        <w:t>⒉学校坚持财经纪律，勤俭节约，努力改善学生的学习环境、教师的生活条件及待遇，保证教师安心工作。</w:t>
      </w:r>
    </w:p>
    <w:p>
      <w:pPr>
        <w:spacing w:line="360" w:lineRule="exact"/>
        <w:rPr>
          <w:rFonts w:ascii="仿宋" w:hAnsi="仿宋" w:eastAsia="仿宋"/>
          <w:sz w:val="32"/>
          <w:szCs w:val="32"/>
        </w:rPr>
      </w:pPr>
      <w:r>
        <w:rPr>
          <w:rFonts w:hint="eastAsia" w:ascii="仿宋" w:hAnsi="仿宋" w:eastAsia="仿宋"/>
          <w:sz w:val="32"/>
          <w:szCs w:val="32"/>
        </w:rPr>
        <w:t>⒊学校</w:t>
      </w:r>
      <w:r>
        <w:rPr>
          <w:rFonts w:hint="eastAsia" w:ascii="仿宋" w:hAnsi="仿宋" w:eastAsia="仿宋"/>
          <w:sz w:val="32"/>
          <w:szCs w:val="32"/>
          <w:lang w:eastAsia="zh-CN"/>
        </w:rPr>
        <w:t>广开门路</w:t>
      </w:r>
      <w:r>
        <w:rPr>
          <w:rFonts w:hint="eastAsia" w:ascii="仿宋" w:hAnsi="仿宋" w:eastAsia="仿宋"/>
          <w:sz w:val="32"/>
          <w:szCs w:val="32"/>
        </w:rPr>
        <w:t>，积极争款消除安全隐患，改善办学条件。</w:t>
      </w:r>
    </w:p>
    <w:p>
      <w:pPr>
        <w:spacing w:line="360" w:lineRule="exact"/>
        <w:rPr>
          <w:rFonts w:ascii="仿宋" w:hAnsi="仿宋" w:eastAsia="仿宋"/>
          <w:sz w:val="32"/>
          <w:szCs w:val="32"/>
        </w:rPr>
      </w:pPr>
      <w:r>
        <w:rPr>
          <w:rFonts w:hint="eastAsia" w:ascii="仿宋" w:hAnsi="仿宋" w:eastAsia="仿宋"/>
          <w:sz w:val="32"/>
          <w:szCs w:val="32"/>
        </w:rPr>
        <w:t>4.学校开展安全宣传教育活动，创建平安和谐校园。</w:t>
      </w:r>
    </w:p>
    <w:p>
      <w:pPr>
        <w:pStyle w:val="4"/>
        <w:spacing w:line="360" w:lineRule="exact"/>
        <w:rPr>
          <w:rFonts w:ascii="黑体" w:hAnsi="黑体" w:eastAsia="黑体"/>
          <w:b w:val="0"/>
        </w:rPr>
      </w:pPr>
      <w:r>
        <w:rPr>
          <w:rFonts w:hint="eastAsia" w:ascii="黑体" w:hAnsi="黑体" w:eastAsia="黑体"/>
          <w:b w:val="0"/>
        </w:rPr>
        <w:t>二、机构设置</w:t>
      </w:r>
    </w:p>
    <w:bookmarkEnd w:id="15"/>
    <w:bookmarkEnd w:id="16"/>
    <w:p>
      <w:pPr>
        <w:spacing w:line="360" w:lineRule="exact"/>
        <w:ind w:firstLine="640" w:firstLineChars="200"/>
        <w:rPr>
          <w:rFonts w:ascii="仿宋" w:hAnsi="仿宋" w:eastAsia="仿宋"/>
          <w:kern w:val="0"/>
          <w:sz w:val="32"/>
          <w:szCs w:val="32"/>
        </w:rPr>
      </w:pPr>
      <w:r>
        <w:rPr>
          <w:rFonts w:hint="eastAsia" w:ascii="仿宋" w:hAnsi="仿宋" w:eastAsia="仿宋"/>
          <w:sz w:val="32"/>
          <w:szCs w:val="32"/>
        </w:rPr>
        <w:t>剑阁县长岭小学校独立编制机构数1个，独立核算机构数1个，全年编制机构数和独立核算机构数无变化。</w:t>
      </w:r>
    </w:p>
    <w:p>
      <w:pPr>
        <w:pStyle w:val="3"/>
        <w:ind w:right="440"/>
        <w:jc w:val="center"/>
        <w:rPr>
          <w:rStyle w:val="24"/>
          <w:rFonts w:ascii="黑体" w:hAnsi="黑体" w:eastAsia="黑体"/>
          <w:b w:val="0"/>
          <w:bCs/>
        </w:rPr>
      </w:pPr>
      <w:bookmarkStart w:id="17" w:name="_Toc15396602"/>
      <w:bookmarkStart w:id="18"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7"/>
      <w:bookmarkEnd w:id="18"/>
    </w:p>
    <w:p>
      <w:pPr>
        <w:pStyle w:val="23"/>
        <w:numPr>
          <w:ilvl w:val="0"/>
          <w:numId w:val="2"/>
        </w:numPr>
        <w:spacing w:line="600" w:lineRule="exact"/>
        <w:ind w:firstLineChars="0"/>
        <w:outlineLvl w:val="1"/>
        <w:rPr>
          <w:rStyle w:val="25"/>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pPr>
        <w:spacing w:line="36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313.14</w:t>
      </w:r>
      <w:r>
        <w:rPr>
          <w:rFonts w:hint="eastAsia" w:ascii="仿宋" w:hAnsi="仿宋" w:eastAsia="仿宋"/>
          <w:sz w:val="32"/>
          <w:szCs w:val="32"/>
        </w:rPr>
        <w:t>万元。与2021年相比，收、支总计各减少</w:t>
      </w:r>
      <w:r>
        <w:rPr>
          <w:rFonts w:ascii="仿宋" w:hAnsi="仿宋" w:eastAsia="仿宋"/>
          <w:sz w:val="32"/>
          <w:szCs w:val="32"/>
        </w:rPr>
        <w:t>129.4</w:t>
      </w:r>
      <w:r>
        <w:rPr>
          <w:rFonts w:hint="eastAsia" w:ascii="仿宋" w:hAnsi="仿宋" w:eastAsia="仿宋"/>
          <w:sz w:val="32"/>
          <w:szCs w:val="32"/>
        </w:rPr>
        <w:t>万元，下降</w:t>
      </w:r>
      <w:r>
        <w:rPr>
          <w:rFonts w:ascii="仿宋" w:hAnsi="仿宋" w:eastAsia="仿宋"/>
          <w:sz w:val="32"/>
          <w:szCs w:val="32"/>
        </w:rPr>
        <w:t>29.24%</w:t>
      </w:r>
      <w:r>
        <w:rPr>
          <w:rFonts w:hint="eastAsia" w:ascii="仿宋" w:hAnsi="仿宋" w:eastAsia="仿宋"/>
          <w:sz w:val="32"/>
          <w:szCs w:val="32"/>
        </w:rPr>
        <w:t>。主要变动原因是202</w:t>
      </w:r>
      <w:r>
        <w:rPr>
          <w:rFonts w:hint="eastAsia" w:ascii="仿宋" w:hAnsi="仿宋" w:eastAsia="仿宋"/>
          <w:sz w:val="32"/>
          <w:szCs w:val="32"/>
          <w:lang w:val="en-US" w:eastAsia="zh-CN"/>
        </w:rPr>
        <w:t>2</w:t>
      </w:r>
      <w:r>
        <w:rPr>
          <w:rFonts w:hint="eastAsia" w:ascii="仿宋" w:hAnsi="仿宋" w:eastAsia="仿宋"/>
          <w:sz w:val="32"/>
          <w:szCs w:val="32"/>
        </w:rPr>
        <w:t>年无结转和结余及师生人员减少、政府性基金投入减少。</w:t>
      </w:r>
    </w:p>
    <w:tbl>
      <w:tblPr>
        <w:tblStyle w:val="12"/>
        <w:tblW w:w="8104" w:type="dxa"/>
        <w:tblInd w:w="0" w:type="dxa"/>
        <w:tblLayout w:type="autofit"/>
        <w:tblCellMar>
          <w:top w:w="0" w:type="dxa"/>
          <w:left w:w="108" w:type="dxa"/>
          <w:bottom w:w="0" w:type="dxa"/>
          <w:right w:w="108" w:type="dxa"/>
        </w:tblCellMar>
      </w:tblPr>
      <w:tblGrid>
        <w:gridCol w:w="8346"/>
      </w:tblGrid>
      <w:tr>
        <w:tblPrEx>
          <w:tblCellMar>
            <w:top w:w="0" w:type="dxa"/>
            <w:left w:w="108" w:type="dxa"/>
            <w:bottom w:w="0" w:type="dxa"/>
            <w:right w:w="108" w:type="dxa"/>
          </w:tblCellMar>
        </w:tblPrEx>
        <w:trPr>
          <w:trHeight w:val="280" w:hRule="atLeast"/>
        </w:trPr>
        <w:tc>
          <w:tcPr>
            <w:tcW w:w="8104"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图1</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收支决算总计变动情况图</w:t>
            </w:r>
          </w:p>
          <w:p>
            <w:pPr>
              <w:pStyle w:val="2"/>
              <w:spacing w:before="93"/>
              <w:rPr>
                <w:rFonts w:hint="eastAsia"/>
              </w:rPr>
            </w:pPr>
            <w:r>
              <w:drawing>
                <wp:inline distT="0" distB="0" distL="0" distR="0">
                  <wp:extent cx="5155565" cy="3031490"/>
                  <wp:effectExtent l="0" t="0" r="6985" b="16510"/>
                  <wp:docPr id="24070107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pPr>
        <w:spacing w:line="36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313.14</w:t>
      </w:r>
      <w:r>
        <w:rPr>
          <w:rFonts w:hint="eastAsia" w:ascii="仿宋" w:hAnsi="仿宋" w:eastAsia="仿宋"/>
          <w:sz w:val="32"/>
          <w:szCs w:val="32"/>
        </w:rPr>
        <w:t>万元，其中：一般公共预算财政拨款收入</w:t>
      </w:r>
      <w:r>
        <w:rPr>
          <w:rFonts w:ascii="仿宋" w:hAnsi="仿宋" w:eastAsia="仿宋"/>
          <w:sz w:val="32"/>
          <w:szCs w:val="32"/>
        </w:rPr>
        <w:t>312.14</w:t>
      </w:r>
      <w:r>
        <w:rPr>
          <w:rFonts w:hint="eastAsia" w:ascii="仿宋" w:hAnsi="仿宋" w:eastAsia="仿宋"/>
          <w:sz w:val="32"/>
          <w:szCs w:val="32"/>
        </w:rPr>
        <w:t>万元，占</w:t>
      </w:r>
      <w:r>
        <w:rPr>
          <w:rFonts w:ascii="仿宋" w:hAnsi="仿宋" w:eastAsia="仿宋"/>
          <w:sz w:val="32"/>
          <w:szCs w:val="32"/>
        </w:rPr>
        <w:t>99.68%</w:t>
      </w:r>
      <w:r>
        <w:rPr>
          <w:rFonts w:hint="eastAsia" w:ascii="仿宋" w:hAnsi="仿宋" w:eastAsia="仿宋"/>
          <w:sz w:val="32"/>
          <w:szCs w:val="32"/>
        </w:rPr>
        <w:t>；政府性基金预算财政拨款收入</w:t>
      </w:r>
      <w:r>
        <w:rPr>
          <w:rFonts w:ascii="仿宋" w:hAnsi="仿宋" w:eastAsia="仿宋"/>
          <w:sz w:val="32"/>
          <w:szCs w:val="32"/>
        </w:rPr>
        <w:t>1</w:t>
      </w:r>
      <w:r>
        <w:rPr>
          <w:rFonts w:hint="eastAsia" w:ascii="仿宋" w:hAnsi="仿宋" w:eastAsia="仿宋"/>
          <w:sz w:val="32"/>
          <w:szCs w:val="32"/>
        </w:rPr>
        <w:t>万元，占</w:t>
      </w:r>
      <w:r>
        <w:rPr>
          <w:rFonts w:ascii="仿宋" w:hAnsi="仿宋" w:eastAsia="仿宋"/>
          <w:sz w:val="32"/>
          <w:szCs w:val="32"/>
        </w:rPr>
        <w:t>0.32%</w:t>
      </w:r>
      <w:r>
        <w:rPr>
          <w:rFonts w:hint="eastAsia" w:ascii="仿宋" w:hAnsi="仿宋" w:eastAsia="仿宋"/>
          <w:sz w:val="32"/>
          <w:szCs w:val="32"/>
        </w:rPr>
        <w:t>。</w:t>
      </w:r>
    </w:p>
    <w:p>
      <w:pPr>
        <w:pStyle w:val="2"/>
        <w:spacing w:before="93"/>
      </w:pPr>
      <w:r>
        <w:drawing>
          <wp:inline distT="0" distB="0" distL="0" distR="0">
            <wp:extent cx="5219065" cy="3347720"/>
            <wp:effectExtent l="0" t="0" r="635" b="5080"/>
            <wp:docPr id="13917839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3"/>
        </w:numPr>
        <w:spacing w:line="600" w:lineRule="exact"/>
        <w:ind w:firstLineChars="0"/>
        <w:outlineLvl w:val="1"/>
        <w:rPr>
          <w:rStyle w:val="25"/>
          <w:rFonts w:ascii="黑体" w:hAnsi="黑体" w:eastAsia="黑体"/>
          <w:b w:val="0"/>
        </w:rPr>
      </w:pPr>
      <w:bookmarkStart w:id="21" w:name="_Toc15396605"/>
      <w:bookmarkStart w:id="22" w:name="_Toc15377207"/>
      <w:r>
        <w:rPr>
          <w:rFonts w:hint="eastAsia" w:ascii="黑体" w:hAnsi="黑体" w:eastAsia="黑体"/>
          <w:sz w:val="32"/>
          <w:szCs w:val="32"/>
        </w:rPr>
        <w:t>支</w:t>
      </w:r>
      <w:r>
        <w:rPr>
          <w:rStyle w:val="25"/>
          <w:rFonts w:hint="eastAsia" w:ascii="黑体" w:hAnsi="黑体" w:eastAsia="黑体"/>
          <w:b w:val="0"/>
        </w:rPr>
        <w:t>出决算情况说明</w:t>
      </w:r>
      <w:bookmarkEnd w:id="21"/>
      <w:bookmarkEnd w:id="22"/>
    </w:p>
    <w:p>
      <w:pPr>
        <w:spacing w:line="36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313.14</w:t>
      </w:r>
      <w:r>
        <w:rPr>
          <w:rFonts w:hint="eastAsia" w:ascii="仿宋" w:hAnsi="仿宋" w:eastAsia="仿宋"/>
          <w:sz w:val="32"/>
          <w:szCs w:val="32"/>
        </w:rPr>
        <w:t>万元，其中：基本支出</w:t>
      </w:r>
      <w:r>
        <w:rPr>
          <w:rFonts w:ascii="仿宋" w:hAnsi="仿宋" w:eastAsia="仿宋"/>
          <w:sz w:val="32"/>
          <w:szCs w:val="32"/>
        </w:rPr>
        <w:t>312.14</w:t>
      </w:r>
      <w:r>
        <w:rPr>
          <w:rFonts w:hint="eastAsia" w:ascii="仿宋" w:hAnsi="仿宋" w:eastAsia="仿宋"/>
          <w:sz w:val="32"/>
          <w:szCs w:val="32"/>
        </w:rPr>
        <w:t>万元，占</w:t>
      </w:r>
      <w:r>
        <w:rPr>
          <w:rFonts w:ascii="仿宋" w:hAnsi="仿宋" w:eastAsia="仿宋"/>
          <w:sz w:val="32"/>
          <w:szCs w:val="32"/>
        </w:rPr>
        <w:t>99.68%</w:t>
      </w:r>
      <w:r>
        <w:rPr>
          <w:rFonts w:hint="eastAsia" w:ascii="仿宋" w:hAnsi="仿宋" w:eastAsia="仿宋"/>
          <w:sz w:val="32"/>
          <w:szCs w:val="32"/>
        </w:rPr>
        <w:t>；项目支出</w:t>
      </w:r>
      <w:r>
        <w:rPr>
          <w:rFonts w:ascii="仿宋" w:hAnsi="仿宋" w:eastAsia="仿宋"/>
          <w:sz w:val="32"/>
          <w:szCs w:val="32"/>
        </w:rPr>
        <w:t>1</w:t>
      </w:r>
      <w:r>
        <w:rPr>
          <w:rFonts w:hint="eastAsia" w:ascii="仿宋" w:hAnsi="仿宋" w:eastAsia="仿宋"/>
          <w:sz w:val="32"/>
          <w:szCs w:val="32"/>
        </w:rPr>
        <w:t>万元，占</w:t>
      </w:r>
      <w:r>
        <w:rPr>
          <w:rFonts w:ascii="仿宋" w:hAnsi="仿宋" w:eastAsia="仿宋"/>
          <w:sz w:val="32"/>
          <w:szCs w:val="32"/>
        </w:rPr>
        <w:t>0.32%</w:t>
      </w:r>
      <w:r>
        <w:rPr>
          <w:rFonts w:hint="eastAsia" w:ascii="仿宋" w:hAnsi="仿宋" w:eastAsia="仿宋"/>
          <w:sz w:val="32"/>
          <w:szCs w:val="32"/>
        </w:rPr>
        <w:t>。</w:t>
      </w:r>
    </w:p>
    <w:p>
      <w:pPr>
        <w:pStyle w:val="2"/>
        <w:spacing w:before="93"/>
        <w:rPr>
          <w:rFonts w:asciiTheme="minorHAnsi" w:hAnsiTheme="minorHAnsi" w:eastAsiaTheme="minorEastAsia" w:cstheme="minorBidi"/>
          <w:sz w:val="20"/>
          <w:szCs w:val="20"/>
        </w:rPr>
      </w:pPr>
      <w:r>
        <w:fldChar w:fldCharType="begin"/>
      </w:r>
      <w:r>
        <w:instrText xml:space="preserve"> </w:instrText>
      </w:r>
      <w:r>
        <w:rPr>
          <w:rFonts w:hint="eastAsia"/>
        </w:rPr>
        <w:instrText xml:space="preserve">LINK Excel.Sheet.12 "C:\\Users\\42956\\AppData\\Local\\Temp\\360zip$Temp\\360$1\\决算公开插图制作示例.xlsx" "图三!R5C6:R5C11" \a \f 4 \h</w:instrText>
      </w:r>
      <w:r>
        <w:instrText xml:space="preserve">  \* MERGEFORMAT </w:instrText>
      </w:r>
      <w:r>
        <w:fldChar w:fldCharType="separate"/>
      </w:r>
    </w:p>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图3：支出决算结构图</w:t>
      </w:r>
    </w:p>
    <w:p>
      <w:pPr>
        <w:pStyle w:val="2"/>
        <w:spacing w:before="93"/>
      </w:pPr>
      <w:r>
        <w:fldChar w:fldCharType="end"/>
      </w:r>
      <w:r>
        <w:drawing>
          <wp:inline distT="0" distB="0" distL="0" distR="0">
            <wp:extent cx="5212080" cy="2384425"/>
            <wp:effectExtent l="0" t="0" r="7620" b="15875"/>
            <wp:docPr id="183066546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outlineLvl w:val="1"/>
        <w:rPr>
          <w:rStyle w:val="25"/>
          <w:rFonts w:ascii="黑体" w:hAnsi="黑体" w:eastAsia="黑体"/>
          <w:b w:val="0"/>
        </w:rPr>
      </w:pPr>
      <w:bookmarkStart w:id="23" w:name="_Toc15377208"/>
      <w:bookmarkStart w:id="24"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3"/>
      <w:bookmarkEnd w:id="24"/>
    </w:p>
    <w:p>
      <w:pPr>
        <w:spacing w:line="36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313.14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129.4</w:t>
      </w:r>
      <w:r>
        <w:rPr>
          <w:rFonts w:hint="eastAsia" w:ascii="仿宋" w:hAnsi="仿宋" w:eastAsia="仿宋"/>
          <w:sz w:val="32"/>
          <w:szCs w:val="32"/>
        </w:rPr>
        <w:t>万元，下降</w:t>
      </w:r>
      <w:r>
        <w:rPr>
          <w:rFonts w:ascii="仿宋" w:hAnsi="仿宋" w:eastAsia="仿宋"/>
          <w:sz w:val="32"/>
          <w:szCs w:val="32"/>
        </w:rPr>
        <w:t>29.24%</w:t>
      </w:r>
      <w:r>
        <w:rPr>
          <w:rFonts w:hint="eastAsia" w:ascii="仿宋" w:hAnsi="仿宋" w:eastAsia="仿宋"/>
          <w:sz w:val="32"/>
          <w:szCs w:val="32"/>
        </w:rPr>
        <w:t>。主要变动原因是20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年无结转和结余及师生人员减少、政府性基金投入减少。</w:t>
      </w:r>
    </w:p>
    <w:p>
      <w:pPr>
        <w:spacing w:line="600" w:lineRule="exact"/>
        <w:ind w:firstLine="640"/>
        <w:jc w:val="center"/>
        <w:rPr>
          <w:rFonts w:ascii="仿宋" w:hAnsi="仿宋" w:eastAsia="仿宋"/>
          <w:sz w:val="28"/>
          <w:szCs w:val="28"/>
        </w:rPr>
      </w:pPr>
      <w:r>
        <w:rPr>
          <w:rFonts w:hint="eastAsia" w:ascii="仿宋" w:hAnsi="仿宋" w:eastAsia="仿宋"/>
          <w:sz w:val="28"/>
          <w:szCs w:val="28"/>
        </w:rPr>
        <w:t>图4：财政拨款收、决算总计变动情况图</w:t>
      </w:r>
    </w:p>
    <w:tbl>
      <w:tblPr>
        <w:tblStyle w:val="12"/>
        <w:tblW w:w="10252" w:type="dxa"/>
        <w:tblInd w:w="0" w:type="dxa"/>
        <w:tblLayout w:type="autofit"/>
        <w:tblCellMar>
          <w:top w:w="0" w:type="dxa"/>
          <w:left w:w="108" w:type="dxa"/>
          <w:bottom w:w="0" w:type="dxa"/>
          <w:right w:w="108" w:type="dxa"/>
        </w:tblCellMar>
      </w:tblPr>
      <w:tblGrid>
        <w:gridCol w:w="3236"/>
        <w:gridCol w:w="7016"/>
      </w:tblGrid>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ascii="宋体" w:hAnsi="宋体" w:eastAsia="Times New Roman" w:cs="宋体"/>
                <w:kern w:val="0"/>
                <w:sz w:val="20"/>
                <w:szCs w:val="20"/>
              </w:rPr>
            </w:pPr>
          </w:p>
        </w:tc>
        <w:tc>
          <w:tcPr>
            <w:tcW w:w="7016" w:type="dxa"/>
            <w:tcBorders>
              <w:top w:val="nil"/>
              <w:left w:val="nil"/>
              <w:bottom w:val="nil"/>
              <w:right w:val="nil"/>
            </w:tcBorders>
            <w:shd w:val="clear" w:color="auto" w:fill="auto"/>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2"/>
                <w:szCs w:val="22"/>
              </w:rPr>
            </w:pPr>
          </w:p>
        </w:tc>
        <w:tc>
          <w:tcPr>
            <w:tcW w:w="7016" w:type="dxa"/>
            <w:vMerge w:val="restart"/>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drawing>
                <wp:anchor distT="0" distB="0" distL="114300" distR="114300" simplePos="0" relativeHeight="251659264" behindDoc="0" locked="0" layoutInCell="1" allowOverlap="1">
                  <wp:simplePos x="0" y="0"/>
                  <wp:positionH relativeFrom="column">
                    <wp:posOffset>-1429385</wp:posOffset>
                  </wp:positionH>
                  <wp:positionV relativeFrom="paragraph">
                    <wp:posOffset>-364490</wp:posOffset>
                  </wp:positionV>
                  <wp:extent cx="4165600" cy="2679700"/>
                  <wp:effectExtent l="0" t="0" r="6350" b="6350"/>
                  <wp:wrapNone/>
                  <wp:docPr id="55013732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2"/>
                <w:szCs w:val="22"/>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3236" w:type="dxa"/>
            <w:tcBorders>
              <w:top w:val="nil"/>
              <w:left w:val="nil"/>
              <w:bottom w:val="nil"/>
              <w:right w:val="nil"/>
            </w:tcBorders>
            <w:shd w:val="clear" w:color="auto" w:fill="auto"/>
            <w:noWrap/>
            <w:vAlign w:val="center"/>
          </w:tcPr>
          <w:p>
            <w:pPr>
              <w:widowControl/>
              <w:jc w:val="left"/>
              <w:rPr>
                <w:rFonts w:hint="eastAsia" w:eastAsiaTheme="minorEastAsia"/>
                <w:kern w:val="0"/>
                <w:sz w:val="20"/>
                <w:szCs w:val="20"/>
              </w:rPr>
            </w:pPr>
          </w:p>
        </w:tc>
        <w:tc>
          <w:tcPr>
            <w:tcW w:w="7016" w:type="dxa"/>
            <w:vMerge w:val="continue"/>
            <w:tcBorders>
              <w:top w:val="nil"/>
              <w:left w:val="nil"/>
              <w:bottom w:val="nil"/>
              <w:right w:val="nil"/>
            </w:tcBorders>
            <w:vAlign w:val="center"/>
          </w:tcPr>
          <w:p>
            <w:pPr>
              <w:widowControl/>
              <w:jc w:val="left"/>
              <w:rPr>
                <w:rFonts w:ascii="宋体" w:hAnsi="宋体" w:cs="宋体"/>
                <w:color w:val="000000"/>
                <w:kern w:val="0"/>
                <w:sz w:val="22"/>
                <w:szCs w:val="22"/>
              </w:rPr>
            </w:pPr>
          </w:p>
        </w:tc>
      </w:tr>
    </w:tbl>
    <w:p>
      <w:pPr>
        <w:spacing w:line="600" w:lineRule="exact"/>
        <w:outlineLvl w:val="1"/>
        <w:rPr>
          <w:rStyle w:val="25"/>
          <w:rFonts w:ascii="黑体" w:hAnsi="黑体" w:eastAsia="黑体"/>
          <w:b w:val="0"/>
        </w:rPr>
      </w:pPr>
      <w:bookmarkStart w:id="25" w:name="_Toc15377209"/>
      <w:bookmarkStart w:id="26"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5"/>
      <w:bookmarkEnd w:id="26"/>
    </w:p>
    <w:p>
      <w:pPr>
        <w:spacing w:line="600" w:lineRule="exact"/>
        <w:outlineLvl w:val="2"/>
        <w:rPr>
          <w:rFonts w:ascii="仿宋" w:hAnsi="仿宋" w:eastAsia="仿宋"/>
          <w:b/>
          <w:sz w:val="32"/>
          <w:szCs w:val="32"/>
        </w:rPr>
      </w:pPr>
      <w:bookmarkStart w:id="27" w:name="_Toc15377210"/>
      <w:r>
        <w:rPr>
          <w:rFonts w:hint="eastAsia" w:ascii="仿宋" w:hAnsi="仿宋" w:eastAsia="仿宋"/>
          <w:b/>
          <w:sz w:val="32"/>
          <w:szCs w:val="32"/>
        </w:rPr>
        <w:t>（一）一般公共预算财政拨款支出决算总体情况</w:t>
      </w:r>
      <w:bookmarkEnd w:id="27"/>
    </w:p>
    <w:p>
      <w:pPr>
        <w:spacing w:line="3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312.14</w:t>
      </w:r>
      <w:r>
        <w:rPr>
          <w:rFonts w:hint="eastAsia" w:ascii="仿宋" w:hAnsi="仿宋" w:eastAsia="仿宋"/>
          <w:sz w:val="32"/>
          <w:szCs w:val="32"/>
        </w:rPr>
        <w:t>万元，占本年支出合计的</w:t>
      </w:r>
      <w:r>
        <w:rPr>
          <w:rFonts w:ascii="仿宋" w:hAnsi="仿宋" w:eastAsia="仿宋"/>
          <w:sz w:val="32"/>
          <w:szCs w:val="32"/>
        </w:rPr>
        <w:t>99.68%</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126.09</w:t>
      </w:r>
      <w:r>
        <w:rPr>
          <w:rFonts w:hint="eastAsia" w:ascii="仿宋" w:hAnsi="仿宋" w:eastAsia="仿宋"/>
          <w:sz w:val="32"/>
          <w:szCs w:val="32"/>
        </w:rPr>
        <w:t>万元，下降</w:t>
      </w:r>
      <w:r>
        <w:rPr>
          <w:rFonts w:ascii="仿宋" w:hAnsi="仿宋" w:eastAsia="仿宋"/>
          <w:sz w:val="32"/>
          <w:szCs w:val="32"/>
        </w:rPr>
        <w:t>28.77%</w:t>
      </w:r>
      <w:r>
        <w:rPr>
          <w:rFonts w:hint="eastAsia" w:ascii="仿宋" w:hAnsi="仿宋" w:eastAsia="仿宋"/>
          <w:sz w:val="32"/>
          <w:szCs w:val="32"/>
        </w:rPr>
        <w:t>。主要变动原因是202</w:t>
      </w:r>
      <w:r>
        <w:rPr>
          <w:rFonts w:hint="eastAsia" w:ascii="仿宋" w:hAnsi="仿宋" w:eastAsia="仿宋"/>
          <w:sz w:val="32"/>
          <w:szCs w:val="32"/>
          <w:lang w:val="en-US" w:eastAsia="zh-CN"/>
        </w:rPr>
        <w:t>2</w:t>
      </w:r>
      <w:r>
        <w:rPr>
          <w:rFonts w:hint="eastAsia" w:ascii="仿宋" w:hAnsi="仿宋" w:eastAsia="仿宋"/>
          <w:sz w:val="32"/>
          <w:szCs w:val="32"/>
        </w:rPr>
        <w:t>年无结转和结余及师生人员减少、政府性基金投入减少。</w:t>
      </w:r>
    </w:p>
    <w:p>
      <w:pPr>
        <w:pStyle w:val="2"/>
        <w:spacing w:before="93"/>
        <w:jc w:val="center"/>
        <w:rPr>
          <w:sz w:val="28"/>
          <w:szCs w:val="28"/>
        </w:rPr>
      </w:pPr>
      <w:r>
        <w:rPr>
          <w:rFonts w:hint="eastAsia"/>
          <w:sz w:val="28"/>
          <w:szCs w:val="28"/>
        </w:rPr>
        <w:t>图5：一般公共预算财政拨款支出决算变动情况图</w:t>
      </w:r>
    </w:p>
    <w:p>
      <w:pPr>
        <w:pStyle w:val="2"/>
        <w:spacing w:before="93"/>
        <w:rPr>
          <w:rFonts w:hint="eastAsia"/>
        </w:rPr>
      </w:pPr>
      <w:r>
        <w:drawing>
          <wp:inline distT="0" distB="0" distL="0" distR="0">
            <wp:extent cx="5274945" cy="2074545"/>
            <wp:effectExtent l="0" t="0" r="1905" b="1905"/>
            <wp:docPr id="143871857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outlineLvl w:val="2"/>
        <w:rPr>
          <w:rFonts w:ascii="仿宋" w:hAnsi="仿宋" w:eastAsia="仿宋"/>
          <w:b/>
          <w:sz w:val="32"/>
          <w:szCs w:val="32"/>
        </w:rPr>
      </w:pPr>
      <w:bookmarkStart w:id="28" w:name="_Toc15377211"/>
      <w:r>
        <w:rPr>
          <w:rFonts w:hint="eastAsia" w:ascii="仿宋" w:hAnsi="仿宋" w:eastAsia="仿宋"/>
          <w:b/>
          <w:sz w:val="32"/>
          <w:szCs w:val="32"/>
        </w:rPr>
        <w:t>（二）一般公共预算财政拨款支出决算结构情况</w:t>
      </w:r>
      <w:bookmarkEnd w:id="28"/>
    </w:p>
    <w:p>
      <w:pPr>
        <w:spacing w:line="36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312.14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ascii="仿宋" w:hAnsi="仿宋" w:eastAsia="仿宋"/>
          <w:sz w:val="32"/>
          <w:szCs w:val="32"/>
        </w:rPr>
        <w:t>262.04</w:t>
      </w:r>
      <w:r>
        <w:rPr>
          <w:rFonts w:hint="eastAsia" w:ascii="仿宋" w:hAnsi="仿宋" w:eastAsia="仿宋"/>
          <w:sz w:val="32"/>
          <w:szCs w:val="32"/>
        </w:rPr>
        <w:t>万元，占</w:t>
      </w:r>
      <w:r>
        <w:rPr>
          <w:rFonts w:ascii="仿宋" w:hAnsi="仿宋" w:eastAsia="仿宋"/>
          <w:sz w:val="32"/>
          <w:szCs w:val="32"/>
        </w:rPr>
        <w:t>83.95%</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23.09</w:t>
      </w:r>
      <w:r>
        <w:rPr>
          <w:rFonts w:hint="eastAsia" w:ascii="仿宋" w:hAnsi="仿宋" w:eastAsia="仿宋"/>
          <w:sz w:val="32"/>
          <w:szCs w:val="32"/>
        </w:rPr>
        <w:t>万元，占</w:t>
      </w:r>
      <w:r>
        <w:rPr>
          <w:rFonts w:ascii="仿宋" w:hAnsi="仿宋" w:eastAsia="仿宋"/>
          <w:sz w:val="32"/>
          <w:szCs w:val="32"/>
        </w:rPr>
        <w:t>7.39%</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10.80</w:t>
      </w:r>
      <w:r>
        <w:rPr>
          <w:rFonts w:hint="eastAsia" w:ascii="仿宋" w:hAnsi="仿宋" w:eastAsia="仿宋"/>
          <w:sz w:val="32"/>
          <w:szCs w:val="32"/>
        </w:rPr>
        <w:t>万元，占</w:t>
      </w:r>
      <w:r>
        <w:rPr>
          <w:rFonts w:ascii="仿宋" w:hAnsi="仿宋" w:eastAsia="仿宋"/>
          <w:sz w:val="32"/>
          <w:szCs w:val="32"/>
        </w:rPr>
        <w:t>3.46%</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16.21</w:t>
      </w:r>
      <w:r>
        <w:rPr>
          <w:rFonts w:hint="eastAsia" w:ascii="仿宋" w:hAnsi="仿宋" w:eastAsia="仿宋"/>
          <w:sz w:val="32"/>
          <w:szCs w:val="32"/>
        </w:rPr>
        <w:t>万元，占</w:t>
      </w:r>
      <w:r>
        <w:rPr>
          <w:rFonts w:ascii="仿宋" w:hAnsi="仿宋" w:eastAsia="仿宋"/>
          <w:sz w:val="32"/>
          <w:szCs w:val="32"/>
        </w:rPr>
        <w:t>5.19%</w:t>
      </w:r>
      <w:r>
        <w:rPr>
          <w:rFonts w:hint="eastAsia" w:ascii="仿宋" w:hAnsi="仿宋" w:eastAsia="仿宋"/>
          <w:sz w:val="32"/>
          <w:szCs w:val="32"/>
        </w:rPr>
        <w:t>。</w:t>
      </w:r>
    </w:p>
    <w:p>
      <w:pPr>
        <w:pStyle w:val="2"/>
        <w:spacing w:before="93"/>
        <w:jc w:val="center"/>
        <w:rPr>
          <w:rFonts w:hint="eastAsia"/>
          <w:sz w:val="28"/>
          <w:szCs w:val="28"/>
        </w:rPr>
      </w:pPr>
      <w:r>
        <w:rPr>
          <w:rFonts w:hint="eastAsia"/>
          <w:sz w:val="28"/>
          <w:szCs w:val="28"/>
        </w:rPr>
        <w:t>图六：一般公共预算财政拨款支出决算结构图</w:t>
      </w:r>
    </w:p>
    <w:p>
      <w:pPr>
        <w:pStyle w:val="2"/>
        <w:spacing w:before="93"/>
        <w:rPr>
          <w:rFonts w:hint="eastAsia"/>
        </w:rPr>
      </w:pPr>
      <w:r>
        <w:drawing>
          <wp:inline distT="0" distB="0" distL="0" distR="0">
            <wp:extent cx="5155565" cy="2138045"/>
            <wp:effectExtent l="0" t="0" r="6985" b="14605"/>
            <wp:docPr id="48989054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outlineLvl w:val="2"/>
        <w:rPr>
          <w:rFonts w:ascii="仿宋" w:hAnsi="仿宋" w:eastAsia="仿宋"/>
          <w:b/>
          <w:sz w:val="32"/>
          <w:szCs w:val="32"/>
        </w:rPr>
      </w:pPr>
      <w:bookmarkStart w:id="29" w:name="_Toc15377212"/>
      <w:r>
        <w:rPr>
          <w:rFonts w:hint="eastAsia" w:ascii="仿宋" w:hAnsi="仿宋" w:eastAsia="仿宋"/>
          <w:b/>
          <w:sz w:val="32"/>
          <w:szCs w:val="32"/>
        </w:rPr>
        <w:t>（三）一般公共预算财政拨款支出决算具体情况</w:t>
      </w:r>
      <w:bookmarkEnd w:id="29"/>
    </w:p>
    <w:p>
      <w:pPr>
        <w:spacing w:line="360" w:lineRule="exact"/>
        <w:ind w:firstLine="643" w:firstLineChars="200"/>
        <w:outlineLvl w:val="2"/>
        <w:rPr>
          <w:rFonts w:ascii="仿宋" w:hAnsi="仿宋" w:eastAsia="仿宋"/>
          <w:sz w:val="32"/>
          <w:szCs w:val="32"/>
        </w:rPr>
      </w:pPr>
      <w:bookmarkStart w:id="30" w:name="_Toc15377444"/>
      <w:bookmarkStart w:id="31" w:name="_Toc15377213"/>
      <w:bookmarkStart w:id="32" w:name="_Toc15378460"/>
      <w:r>
        <w:rPr>
          <w:rFonts w:hint="eastAsia" w:ascii="仿宋" w:hAnsi="仿宋" w:eastAsia="仿宋"/>
          <w:b/>
          <w:sz w:val="32"/>
          <w:szCs w:val="32"/>
        </w:rPr>
        <w:t>2022年一般公共预算支出决算数为</w:t>
      </w:r>
      <w:r>
        <w:rPr>
          <w:rFonts w:ascii="仿宋" w:hAnsi="仿宋" w:eastAsia="仿宋"/>
          <w:b/>
          <w:sz w:val="32"/>
          <w:szCs w:val="32"/>
        </w:rPr>
        <w:t>312.14</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ascii="仿宋" w:hAnsi="仿宋" w:eastAsia="仿宋"/>
          <w:bCs/>
          <w:sz w:val="32"/>
          <w:szCs w:val="32"/>
        </w:rPr>
        <w:t>100%</w:t>
      </w:r>
      <w:r>
        <w:rPr>
          <w:rStyle w:val="14"/>
          <w:rFonts w:hint="eastAsia" w:ascii="仿宋" w:hAnsi="仿宋" w:eastAsia="仿宋"/>
          <w:bCs/>
          <w:sz w:val="32"/>
          <w:szCs w:val="32"/>
        </w:rPr>
        <w:t>。其中：</w:t>
      </w:r>
      <w:bookmarkEnd w:id="30"/>
      <w:bookmarkEnd w:id="31"/>
      <w:bookmarkEnd w:id="32"/>
    </w:p>
    <w:p>
      <w:pPr>
        <w:spacing w:line="360" w:lineRule="exact"/>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教育（类）普通教育（款）小学（学前）教育（项）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262.04</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360" w:lineRule="exact"/>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社会保障和就业（类）行政事业单位养老（款）机关事业单位基本养老保险缴费支出（项）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23.09</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360" w:lineRule="exact"/>
        <w:rPr>
          <w:rFonts w:ascii="仿宋" w:hAnsi="仿宋" w:eastAsia="仿宋"/>
          <w:b/>
          <w:sz w:val="32"/>
          <w:szCs w:val="32"/>
        </w:rPr>
      </w:pPr>
      <w:r>
        <w:rPr>
          <w:rStyle w:val="14"/>
          <w:rFonts w:ascii="仿宋" w:hAnsi="仿宋" w:eastAsia="仿宋"/>
          <w:bCs/>
          <w:sz w:val="32"/>
          <w:szCs w:val="32"/>
        </w:rPr>
        <w:t>3.</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（类）行政事业单位医疗（款）事业单位医疗（项）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10.80</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360" w:lineRule="exac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.住房保障（类）住房改革支出（款）住房公积金缴费支出（项）：</w:t>
      </w:r>
      <w:r>
        <w:rPr>
          <w:rStyle w:val="14"/>
          <w:rFonts w:hint="eastAsia" w:ascii="仿宋" w:hAnsi="仿宋" w:eastAsia="仿宋"/>
          <w:b w:val="0"/>
          <w:bCs/>
          <w:sz w:val="32"/>
          <w:szCs w:val="32"/>
        </w:rPr>
        <w:t>支出决算为</w:t>
      </w:r>
      <w:r>
        <w:rPr>
          <w:rStyle w:val="14"/>
          <w:rFonts w:ascii="仿宋" w:hAnsi="仿宋" w:eastAsia="仿宋"/>
          <w:b w:val="0"/>
          <w:bCs/>
          <w:sz w:val="32"/>
          <w:szCs w:val="32"/>
        </w:rPr>
        <w:t>16.21</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tabs>
          <w:tab w:val="right" w:pos="8306"/>
        </w:tabs>
        <w:spacing w:line="600" w:lineRule="exact"/>
        <w:outlineLvl w:val="1"/>
        <w:rPr>
          <w:rStyle w:val="25"/>
        </w:rPr>
      </w:pPr>
      <w:bookmarkStart w:id="33" w:name="_Toc15377214"/>
      <w:bookmarkStart w:id="3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3"/>
      <w:bookmarkEnd w:id="34"/>
      <w:r>
        <w:rPr>
          <w:rStyle w:val="25"/>
          <w:rFonts w:ascii="黑体" w:hAnsi="黑体" w:eastAsia="黑体"/>
          <w:b w:val="0"/>
        </w:rPr>
        <w:tab/>
      </w:r>
    </w:p>
    <w:p>
      <w:pPr>
        <w:spacing w:line="360" w:lineRule="exact"/>
        <w:ind w:firstLine="646"/>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312.14</w:t>
      </w:r>
      <w:r>
        <w:rPr>
          <w:rFonts w:hint="eastAsia" w:ascii="仿宋" w:hAnsi="仿宋" w:eastAsia="仿宋"/>
          <w:sz w:val="32"/>
          <w:szCs w:val="32"/>
        </w:rPr>
        <w:t>万元，其中：</w:t>
      </w:r>
    </w:p>
    <w:p>
      <w:pPr>
        <w:spacing w:line="360" w:lineRule="exact"/>
        <w:ind w:firstLine="646"/>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241</w:t>
      </w:r>
      <w:r>
        <w:rPr>
          <w:rFonts w:hint="eastAsia" w:ascii="仿宋" w:hAnsi="仿宋" w:eastAsia="仿宋"/>
          <w:sz w:val="32"/>
          <w:szCs w:val="32"/>
        </w:rPr>
        <w:t>万元，主要包括：基本工资、津贴补贴、奖金、绩效工资、机关事业单位基本养老保险缴费、其他社会保障缴费、职工基本医疗保险缴费、住房公积金、其他对个人和家庭的补助支出等。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公用经费3</w:t>
      </w:r>
      <w:r>
        <w:rPr>
          <w:rFonts w:ascii="仿宋" w:hAnsi="仿宋" w:eastAsia="仿宋"/>
          <w:sz w:val="32"/>
          <w:szCs w:val="32"/>
        </w:rPr>
        <w:t>3.28</w:t>
      </w:r>
      <w:r>
        <w:rPr>
          <w:rFonts w:hint="eastAsia" w:ascii="仿宋" w:hAnsi="仿宋" w:eastAsia="仿宋"/>
          <w:sz w:val="32"/>
          <w:szCs w:val="32"/>
        </w:rPr>
        <w:t>万元，主要包括：办公费、印刷费、手续费、水费、电费、邮电费、差旅费、维修（护）费、培训费、公务接待费、劳务费、其他商品和服务支出等。</w:t>
      </w:r>
    </w:p>
    <w:p>
      <w:pPr>
        <w:spacing w:line="600" w:lineRule="exact"/>
        <w:outlineLvl w:val="1"/>
        <w:rPr>
          <w:rStyle w:val="25"/>
          <w:rFonts w:ascii="黑体" w:hAnsi="黑体" w:eastAsia="黑体"/>
          <w:b w:val="0"/>
        </w:rPr>
      </w:pPr>
      <w:bookmarkStart w:id="35" w:name="_Toc15396609"/>
      <w:bookmarkStart w:id="36"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5"/>
      <w:bookmarkEnd w:id="36"/>
    </w:p>
    <w:p>
      <w:pPr>
        <w:spacing w:line="600" w:lineRule="exact"/>
        <w:outlineLvl w:val="2"/>
        <w:rPr>
          <w:rFonts w:ascii="仿宋" w:hAnsi="仿宋" w:eastAsia="仿宋"/>
          <w:b/>
          <w:sz w:val="32"/>
          <w:szCs w:val="32"/>
        </w:rPr>
      </w:pPr>
      <w:bookmarkStart w:id="37" w:name="_Toc15377216"/>
      <w:r>
        <w:rPr>
          <w:rFonts w:hint="eastAsia" w:ascii="仿宋" w:hAnsi="仿宋" w:eastAsia="仿宋"/>
          <w:b/>
          <w:sz w:val="32"/>
          <w:szCs w:val="32"/>
        </w:rPr>
        <w:t>（一）“三公”经费财政拨款支出决算总体情况说明</w:t>
      </w:r>
      <w:bookmarkEnd w:id="37"/>
    </w:p>
    <w:p>
      <w:pPr>
        <w:spacing w:line="36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0.38</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，较上年增加</w:t>
      </w:r>
      <w:r>
        <w:rPr>
          <w:rFonts w:ascii="仿宋" w:hAnsi="仿宋" w:eastAsia="仿宋"/>
          <w:sz w:val="32"/>
          <w:szCs w:val="32"/>
        </w:rPr>
        <w:t>0.38</w:t>
      </w:r>
      <w:r>
        <w:rPr>
          <w:rFonts w:hint="eastAsia" w:ascii="仿宋" w:hAnsi="仿宋" w:eastAsia="仿宋"/>
          <w:sz w:val="32"/>
          <w:szCs w:val="32"/>
        </w:rPr>
        <w:t>万元，增长</w:t>
      </w:r>
      <w:r>
        <w:rPr>
          <w:rFonts w:ascii="仿宋" w:hAnsi="仿宋" w:eastAsia="仿宋"/>
          <w:sz w:val="32"/>
          <w:szCs w:val="32"/>
        </w:rPr>
        <w:t>80</w:t>
      </w:r>
      <w:r>
        <w:rPr>
          <w:rFonts w:hint="eastAsia" w:ascii="仿宋" w:hAnsi="仿宋" w:eastAsia="仿宋"/>
          <w:sz w:val="32"/>
          <w:szCs w:val="32"/>
        </w:rPr>
        <w:t>%。</w:t>
      </w:r>
    </w:p>
    <w:p>
      <w:pPr>
        <w:spacing w:line="360" w:lineRule="exact"/>
        <w:outlineLvl w:val="2"/>
        <w:rPr>
          <w:rFonts w:ascii="仿宋" w:hAnsi="仿宋" w:eastAsia="仿宋"/>
          <w:b/>
          <w:sz w:val="32"/>
          <w:szCs w:val="32"/>
        </w:rPr>
      </w:pPr>
      <w:bookmarkStart w:id="38" w:name="_Toc15377217"/>
      <w:r>
        <w:rPr>
          <w:rFonts w:hint="eastAsia" w:ascii="仿宋" w:hAnsi="仿宋" w:eastAsia="仿宋"/>
          <w:b/>
          <w:sz w:val="32"/>
          <w:szCs w:val="32"/>
        </w:rPr>
        <w:t>（二）“三公”经费财政拨款支出决算具体情况说明</w:t>
      </w:r>
      <w:bookmarkEnd w:id="38"/>
    </w:p>
    <w:p>
      <w:pPr>
        <w:spacing w:line="36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0.38</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pStyle w:val="2"/>
        <w:spacing w:before="93"/>
        <w:jc w:val="center"/>
        <w:rPr>
          <w:sz w:val="28"/>
          <w:szCs w:val="28"/>
        </w:rPr>
      </w:pPr>
      <w:r>
        <w:rPr>
          <w:rFonts w:hint="eastAsia"/>
          <w:sz w:val="28"/>
          <w:szCs w:val="28"/>
        </w:rPr>
        <w:t>图7：“三公”经费财政拨款支出结构图</w:t>
      </w:r>
    </w:p>
    <w:p>
      <w:pPr>
        <w:pStyle w:val="2"/>
        <w:spacing w:before="93"/>
        <w:rPr>
          <w:rFonts w:hint="eastAsia"/>
        </w:rPr>
      </w:pPr>
      <w:r>
        <w:drawing>
          <wp:inline distT="0" distB="0" distL="0" distR="0">
            <wp:extent cx="5183505" cy="1420495"/>
            <wp:effectExtent l="0" t="0" r="17145" b="8255"/>
            <wp:docPr id="93765126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360" w:lineRule="exact"/>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w:t>
      </w:r>
    </w:p>
    <w:p>
      <w:pPr>
        <w:spacing w:line="360" w:lineRule="exact"/>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p>
    <w:p>
      <w:pPr>
        <w:spacing w:line="36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360" w:lineRule="exact"/>
        <w:ind w:firstLine="640"/>
        <w:rPr>
          <w:rFonts w:ascii="仿宋_GB2312" w:eastAsia="仿宋_GB2312"/>
          <w:sz w:val="32"/>
          <w:szCs w:val="32"/>
        </w:rPr>
      </w:pPr>
      <w:r>
        <w:rPr>
          <w:rFonts w:hint="eastAsia" w:ascii="仿宋_GB2312" w:eastAsia="仿宋_GB2312"/>
          <w:b/>
          <w:sz w:val="32"/>
          <w:szCs w:val="32"/>
        </w:rPr>
        <w:t>公务用车运行维护费支出0</w:t>
      </w:r>
      <w:r>
        <w:rPr>
          <w:rFonts w:hint="eastAsia" w:ascii="仿宋_GB2312" w:eastAsia="仿宋_GB2312"/>
          <w:sz w:val="32"/>
          <w:szCs w:val="32"/>
        </w:rPr>
        <w:t>万元。</w:t>
      </w:r>
    </w:p>
    <w:p>
      <w:pPr>
        <w:spacing w:line="360" w:lineRule="exact"/>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bookmarkStart w:id="64" w:name="_GoBack"/>
      <w:bookmarkEnd w:id="64"/>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0.38</w:t>
      </w:r>
      <w:r>
        <w:rPr>
          <w:rFonts w:hint="eastAsia" w:ascii="仿宋_GB2312" w:eastAsia="仿宋_GB2312"/>
          <w:sz w:val="32"/>
          <w:szCs w:val="32"/>
        </w:rPr>
        <w:t>万元，增长</w:t>
      </w:r>
      <w:r>
        <w:rPr>
          <w:rFonts w:ascii="仿宋_GB2312" w:eastAsia="仿宋_GB2312"/>
          <w:sz w:val="32"/>
          <w:szCs w:val="32"/>
        </w:rPr>
        <w:t>80%</w:t>
      </w:r>
      <w:r>
        <w:rPr>
          <w:rFonts w:hint="eastAsia" w:ascii="仿宋_GB2312" w:eastAsia="仿宋_GB2312"/>
          <w:sz w:val="32"/>
          <w:szCs w:val="32"/>
        </w:rPr>
        <w:t>。主要原因是接待退休教职工及当地老促会调研活动等。其中：</w:t>
      </w:r>
    </w:p>
    <w:p>
      <w:pPr>
        <w:spacing w:line="36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0.38</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10</w:t>
      </w:r>
      <w:r>
        <w:rPr>
          <w:rFonts w:hint="eastAsia" w:ascii="仿宋_GB2312" w:eastAsia="仿宋_GB2312"/>
          <w:sz w:val="32"/>
          <w:szCs w:val="32"/>
        </w:rPr>
        <w:t>批次，</w:t>
      </w:r>
      <w:r>
        <w:rPr>
          <w:rFonts w:ascii="仿宋_GB2312" w:eastAsia="仿宋_GB2312"/>
          <w:sz w:val="32"/>
          <w:szCs w:val="32"/>
        </w:rPr>
        <w:t>80</w:t>
      </w:r>
      <w:r>
        <w:rPr>
          <w:rFonts w:hint="eastAsia" w:ascii="仿宋_GB2312" w:eastAsia="仿宋_GB2312"/>
          <w:sz w:val="32"/>
          <w:szCs w:val="32"/>
        </w:rPr>
        <w:t>人次（不包括陪同人员），共计支出</w:t>
      </w:r>
      <w:r>
        <w:rPr>
          <w:rFonts w:ascii="仿宋_GB2312" w:eastAsia="仿宋_GB2312"/>
          <w:sz w:val="32"/>
          <w:szCs w:val="32"/>
        </w:rPr>
        <w:t>0.38</w:t>
      </w:r>
      <w:r>
        <w:rPr>
          <w:rFonts w:hint="eastAsia" w:ascii="仿宋_GB2312" w:eastAsia="仿宋_GB2312"/>
          <w:sz w:val="32"/>
          <w:szCs w:val="32"/>
        </w:rPr>
        <w:t>万元，具体内容包括：接待学校退休教职工重阳节团聚、当地老促会工作人员到校调研和关爱工作开展以及爱心人员的捐赠业务活动。</w:t>
      </w:r>
    </w:p>
    <w:p>
      <w:pPr>
        <w:spacing w:line="36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人次，共计支出</w:t>
      </w:r>
      <w:r>
        <w:rPr>
          <w:rFonts w:ascii="仿宋_GB2312" w:eastAsia="仿宋_GB2312"/>
          <w:sz w:val="32"/>
          <w:szCs w:val="32"/>
        </w:rPr>
        <w:t>0</w:t>
      </w:r>
      <w:r>
        <w:rPr>
          <w:rFonts w:hint="eastAsia" w:ascii="仿宋_GB2312" w:eastAsia="仿宋_GB2312"/>
          <w:sz w:val="32"/>
          <w:szCs w:val="32"/>
        </w:rPr>
        <w:t>万元。</w:t>
      </w:r>
      <w:bookmarkStart w:id="39" w:name="_Toc15396610"/>
      <w:bookmarkStart w:id="40" w:name="_Toc15377218"/>
    </w:p>
    <w:p>
      <w:pPr>
        <w:spacing w:line="600" w:lineRule="exact"/>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39"/>
      <w:bookmarkEnd w:id="40"/>
    </w:p>
    <w:p>
      <w:pPr>
        <w:spacing w:line="36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1</w:t>
      </w:r>
      <w:r>
        <w:rPr>
          <w:rFonts w:hint="eastAsia" w:ascii="仿宋_GB2312" w:eastAsia="仿宋_GB2312"/>
          <w:sz w:val="32"/>
          <w:szCs w:val="32"/>
        </w:rPr>
        <w:t>万元。</w:t>
      </w:r>
    </w:p>
    <w:p>
      <w:pPr>
        <w:pStyle w:val="23"/>
        <w:numPr>
          <w:ilvl w:val="0"/>
          <w:numId w:val="4"/>
        </w:numPr>
        <w:spacing w:line="600" w:lineRule="exact"/>
        <w:ind w:firstLineChars="0"/>
        <w:outlineLvl w:val="1"/>
        <w:rPr>
          <w:rStyle w:val="25"/>
          <w:rFonts w:ascii="黑体" w:hAnsi="黑体" w:eastAsia="黑体"/>
          <w:b w:val="0"/>
        </w:rPr>
      </w:pPr>
      <w:bookmarkStart w:id="41" w:name="_Toc15396611"/>
      <w:bookmarkStart w:id="42" w:name="_Toc15377219"/>
      <w:r>
        <w:rPr>
          <w:rStyle w:val="25"/>
          <w:rFonts w:hint="eastAsia" w:ascii="黑体" w:hAnsi="黑体" w:eastAsia="黑体"/>
          <w:b w:val="0"/>
        </w:rPr>
        <w:t>国有资本经营预算支出决算情况说明</w:t>
      </w:r>
      <w:bookmarkEnd w:id="41"/>
      <w:bookmarkEnd w:id="42"/>
    </w:p>
    <w:p>
      <w:pPr>
        <w:spacing w:line="36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pStyle w:val="23"/>
        <w:numPr>
          <w:ilvl w:val="0"/>
          <w:numId w:val="4"/>
        </w:numPr>
        <w:spacing w:line="600" w:lineRule="exact"/>
        <w:ind w:firstLineChars="0"/>
        <w:outlineLvl w:val="1"/>
        <w:rPr>
          <w:rStyle w:val="25"/>
          <w:rFonts w:ascii="黑体" w:hAnsi="黑体" w:eastAsia="黑体"/>
          <w:b w:val="0"/>
        </w:rPr>
      </w:pPr>
      <w:bookmarkStart w:id="43" w:name="_Toc15377221"/>
      <w:bookmarkStart w:id="44" w:name="_Toc15396612"/>
      <w:r>
        <w:rPr>
          <w:rStyle w:val="25"/>
          <w:rFonts w:hint="eastAsia" w:ascii="黑体" w:hAnsi="黑体" w:eastAsia="黑体"/>
          <w:b w:val="0"/>
        </w:rPr>
        <w:t>其他重要事项的情况说明</w:t>
      </w:r>
      <w:bookmarkEnd w:id="43"/>
      <w:bookmarkEnd w:id="44"/>
    </w:p>
    <w:p>
      <w:pPr>
        <w:spacing w:line="600" w:lineRule="exact"/>
        <w:outlineLvl w:val="2"/>
        <w:rPr>
          <w:rFonts w:ascii="仿宋" w:hAnsi="仿宋" w:eastAsia="仿宋"/>
          <w:sz w:val="32"/>
          <w:szCs w:val="32"/>
        </w:rPr>
      </w:pPr>
      <w:bookmarkStart w:id="45" w:name="_Toc15377222"/>
      <w:r>
        <w:rPr>
          <w:rFonts w:hint="eastAsia" w:ascii="仿宋" w:hAnsi="仿宋" w:eastAsia="仿宋"/>
          <w:b/>
          <w:sz w:val="32"/>
          <w:szCs w:val="32"/>
        </w:rPr>
        <w:t>（一）机关运行经费支出情况</w:t>
      </w:r>
      <w:bookmarkEnd w:id="45"/>
    </w:p>
    <w:p>
      <w:pPr>
        <w:spacing w:line="3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22年，剑阁县长岭小学校机关运行经费支出</w:t>
      </w:r>
      <w:r>
        <w:rPr>
          <w:rFonts w:ascii="仿宋_GB2312" w:eastAsia="仿宋_GB2312"/>
          <w:sz w:val="32"/>
          <w:szCs w:val="32"/>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jc w:val="left"/>
        <w:outlineLvl w:val="2"/>
        <w:rPr>
          <w:rFonts w:ascii="仿宋" w:hAnsi="仿宋" w:eastAsia="仿宋"/>
          <w:b/>
          <w:sz w:val="32"/>
          <w:szCs w:val="32"/>
        </w:rPr>
      </w:pPr>
      <w:bookmarkStart w:id="46" w:name="_Toc15377223"/>
      <w:r>
        <w:rPr>
          <w:rFonts w:hint="eastAsia" w:ascii="仿宋" w:hAnsi="仿宋" w:eastAsia="仿宋"/>
          <w:b/>
          <w:sz w:val="32"/>
          <w:szCs w:val="32"/>
        </w:rPr>
        <w:t>（二）政府采购支出情况</w:t>
      </w:r>
      <w:bookmarkEnd w:id="46"/>
    </w:p>
    <w:p>
      <w:pPr>
        <w:spacing w:line="3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22年，剑阁县长岭小学校政府采购支出总额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w:t>
      </w:r>
    </w:p>
    <w:p>
      <w:pPr>
        <w:autoSpaceDE w:val="0"/>
        <w:autoSpaceDN w:val="0"/>
        <w:adjustRightInd w:val="0"/>
        <w:spacing w:line="600" w:lineRule="exact"/>
        <w:jc w:val="left"/>
        <w:outlineLvl w:val="2"/>
        <w:rPr>
          <w:rFonts w:ascii="仿宋" w:hAnsi="仿宋" w:eastAsia="仿宋"/>
          <w:b/>
          <w:sz w:val="32"/>
          <w:szCs w:val="32"/>
        </w:rPr>
      </w:pPr>
      <w:bookmarkStart w:id="47" w:name="_Toc15377224"/>
      <w:r>
        <w:rPr>
          <w:rFonts w:hint="eastAsia" w:ascii="仿宋" w:hAnsi="仿宋" w:eastAsia="仿宋"/>
          <w:b/>
          <w:sz w:val="32"/>
          <w:szCs w:val="32"/>
        </w:rPr>
        <w:t>（三）国有资产占有使用情况</w:t>
      </w:r>
      <w:bookmarkEnd w:id="47"/>
    </w:p>
    <w:p>
      <w:pPr>
        <w:autoSpaceDE w:val="0"/>
        <w:autoSpaceDN w:val="0"/>
        <w:adjustRightInd w:val="0"/>
        <w:spacing w:line="36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日，剑阁县长岭小学校共有车辆</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360" w:lineRule="exact"/>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line="360" w:lineRule="exact"/>
        <w:ind w:firstLine="640" w:firstLineChars="200"/>
        <w:rPr>
          <w:rFonts w:hAnsi="仿宋_GB2312" w:cs="仿宋_GB2312"/>
          <w:sz w:val="32"/>
          <w:szCs w:val="32"/>
        </w:rPr>
      </w:pPr>
      <w:r>
        <w:rPr>
          <w:rFonts w:hint="eastAsia" w:hAnsi="仿宋_GB2312" w:cs="仿宋_GB2312"/>
          <w:sz w:val="32"/>
          <w:szCs w:val="32"/>
        </w:rPr>
        <w:t>根据预算绩效管理要求，本单位在2022年度预算编制阶段，组织对一般公共预算项目中</w:t>
      </w:r>
      <w:r>
        <w:rPr>
          <w:rFonts w:hAnsi="仿宋_GB2312" w:cs="仿宋_GB2312"/>
          <w:sz w:val="32"/>
          <w:szCs w:val="32"/>
        </w:rPr>
        <w:t>3</w:t>
      </w:r>
      <w:r>
        <w:rPr>
          <w:rFonts w:hint="eastAsia" w:hAnsi="仿宋_GB2312" w:cs="仿宋_GB2312"/>
          <w:sz w:val="32"/>
          <w:szCs w:val="32"/>
        </w:rPr>
        <w:t>个项目开展了预算事前绩效评估，对</w:t>
      </w:r>
      <w:r>
        <w:rPr>
          <w:rFonts w:hAnsi="仿宋_GB2312" w:cs="仿宋_GB2312"/>
          <w:sz w:val="32"/>
          <w:szCs w:val="32"/>
        </w:rPr>
        <w:t>8</w:t>
      </w:r>
      <w:r>
        <w:rPr>
          <w:rFonts w:hint="eastAsia" w:hAnsi="仿宋_GB2312" w:cs="仿宋_GB2312"/>
          <w:sz w:val="32"/>
          <w:szCs w:val="32"/>
        </w:rPr>
        <w:t>个项目编制了绩效目标，预算执行过程中，选取</w:t>
      </w:r>
      <w:r>
        <w:rPr>
          <w:rFonts w:hAnsi="仿宋_GB2312" w:cs="仿宋_GB2312"/>
          <w:sz w:val="32"/>
          <w:szCs w:val="32"/>
        </w:rPr>
        <w:t>5</w:t>
      </w:r>
      <w:r>
        <w:rPr>
          <w:rFonts w:hint="eastAsia" w:hAnsi="仿宋_GB2312" w:cs="仿宋_GB2312"/>
          <w:sz w:val="32"/>
          <w:szCs w:val="32"/>
        </w:rPr>
        <w:t>个项目开展绩效监控，组织对</w:t>
      </w:r>
      <w:r>
        <w:rPr>
          <w:rFonts w:hAnsi="仿宋_GB2312" w:cs="仿宋_GB2312"/>
          <w:sz w:val="32"/>
          <w:szCs w:val="32"/>
        </w:rPr>
        <w:t>2</w:t>
      </w:r>
      <w:r>
        <w:rPr>
          <w:rFonts w:hint="eastAsia" w:hAnsi="仿宋_GB2312" w:cs="仿宋_GB2312"/>
          <w:sz w:val="32"/>
          <w:szCs w:val="32"/>
        </w:rPr>
        <w:t>个项目开展绩效自评，绩效自评表详见第四部分附件。</w:t>
      </w:r>
    </w:p>
    <w:p>
      <w:pPr>
        <w:pStyle w:val="2"/>
        <w:spacing w:before="93" w:line="360" w:lineRule="exact"/>
        <w:ind w:firstLine="640" w:firstLineChars="200"/>
        <w:rPr>
          <w:rFonts w:hAnsi="仿宋_GB2312" w:cs="仿宋_GB2312"/>
          <w:sz w:val="32"/>
          <w:szCs w:val="32"/>
        </w:rPr>
      </w:pPr>
    </w:p>
    <w:p>
      <w:pPr>
        <w:pStyle w:val="2"/>
        <w:spacing w:before="93" w:line="360" w:lineRule="exact"/>
        <w:ind w:firstLine="880" w:firstLineChars="200"/>
        <w:jc w:val="center"/>
        <w:rPr>
          <w:rFonts w:ascii="黑体" w:hAnsi="黑体" w:eastAsia="黑体"/>
          <w:sz w:val="44"/>
          <w:szCs w:val="44"/>
        </w:rPr>
      </w:pPr>
      <w:r>
        <w:rPr>
          <w:rFonts w:hint="eastAsia" w:ascii="黑体" w:hAnsi="黑体" w:eastAsia="黑体"/>
          <w:sz w:val="44"/>
          <w:szCs w:val="44"/>
        </w:rPr>
        <w:t>第三部分 名词解释</w:t>
      </w:r>
    </w:p>
    <w:p>
      <w:pPr>
        <w:spacing w:line="600" w:lineRule="exact"/>
        <w:jc w:val="left"/>
        <w:rPr>
          <w:rFonts w:ascii="宋体"/>
          <w:b/>
          <w:sz w:val="44"/>
          <w:szCs w:val="44"/>
        </w:rPr>
      </w:pPr>
    </w:p>
    <w:p>
      <w:pPr>
        <w:pStyle w:val="22"/>
        <w:spacing w:line="360" w:lineRule="exact"/>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360" w:lineRule="exact"/>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360" w:lineRule="exact"/>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360" w:lineRule="exact"/>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2"/>
        <w:spacing w:line="360" w:lineRule="exact"/>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360" w:lineRule="exact"/>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360" w:lineRule="exact"/>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360" w:lineRule="exact"/>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2"/>
        <w:spacing w:line="360" w:lineRule="exact"/>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.教育（类）普通教育（款）小学教育（项）：指五年或六年制初等教育办学类型；教育（类）普通教育（款）学前教育（项）：指学前教育人员工资、办公、差旅等公用经费。</w:t>
      </w:r>
    </w:p>
    <w:p>
      <w:pPr>
        <w:pStyle w:val="22"/>
        <w:spacing w:line="360" w:lineRule="exac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0</w:t>
      </w:r>
      <w:r>
        <w:rPr>
          <w:rFonts w:hint="eastAsia" w:ascii="仿宋_GB2312" w:eastAsia="仿宋_GB2312"/>
          <w:color w:val="auto"/>
          <w:sz w:val="32"/>
          <w:szCs w:val="32"/>
        </w:rPr>
        <w:t>.社会保障和就业（类）行政事业单位养老支出（款）机关事业单位基本养老保险缴费支出（项）：指缴纳职工养老保险。</w:t>
      </w:r>
    </w:p>
    <w:p>
      <w:pPr>
        <w:pStyle w:val="22"/>
        <w:spacing w:line="360" w:lineRule="exac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1</w:t>
      </w:r>
      <w:r>
        <w:rPr>
          <w:rFonts w:hint="eastAsia" w:ascii="仿宋_GB2312" w:eastAsia="仿宋_GB2312"/>
          <w:color w:val="auto"/>
          <w:sz w:val="32"/>
          <w:szCs w:val="32"/>
        </w:rPr>
        <w:t>.卫生健康（类）行政事业单位医疗（款）事业单位医疗（项）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指缴纳职工医疗保险。</w:t>
      </w:r>
    </w:p>
    <w:p>
      <w:pPr>
        <w:pStyle w:val="22"/>
        <w:spacing w:line="360" w:lineRule="exac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2</w:t>
      </w:r>
      <w:r>
        <w:rPr>
          <w:rFonts w:hint="eastAsia" w:ascii="仿宋_GB2312" w:eastAsia="仿宋_GB2312"/>
          <w:color w:val="auto"/>
          <w:sz w:val="32"/>
          <w:szCs w:val="32"/>
        </w:rPr>
        <w:t>.住房保障（类）住房改革支出（款）住房公积金（项）：指缴纳职工住房公积金。</w:t>
      </w:r>
    </w:p>
    <w:p>
      <w:pPr>
        <w:pStyle w:val="22"/>
        <w:spacing w:line="360" w:lineRule="exac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3</w:t>
      </w:r>
      <w:r>
        <w:rPr>
          <w:rFonts w:hint="eastAsia" w:ascii="仿宋_GB2312" w:eastAsia="仿宋_GB2312"/>
          <w:color w:val="auto"/>
          <w:sz w:val="32"/>
          <w:szCs w:val="32"/>
        </w:rPr>
        <w:t>.基本支出：指为保障机构正常运转、完成日常工作任务而发生的人员支出和公用支出。</w:t>
      </w:r>
    </w:p>
    <w:p>
      <w:pPr>
        <w:pStyle w:val="22"/>
        <w:spacing w:line="360" w:lineRule="exac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4</w:t>
      </w:r>
      <w:r>
        <w:rPr>
          <w:rFonts w:hint="eastAsia" w:ascii="仿宋_GB2312" w:eastAsia="仿宋_GB2312"/>
          <w:color w:val="auto"/>
          <w:sz w:val="32"/>
          <w:szCs w:val="32"/>
        </w:rPr>
        <w:t xml:space="preserve">.项目支出：指在基本支出之外为完成特定行政任务和事业发展目标所发生的支出。 </w:t>
      </w:r>
    </w:p>
    <w:p>
      <w:pPr>
        <w:pStyle w:val="22"/>
        <w:spacing w:line="360" w:lineRule="exac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5</w:t>
      </w:r>
      <w:r>
        <w:rPr>
          <w:rFonts w:hint="eastAsia" w:ascii="仿宋_GB2312" w:eastAsia="仿宋_GB2312"/>
          <w:color w:val="auto"/>
          <w:sz w:val="32"/>
          <w:szCs w:val="32"/>
        </w:rPr>
        <w:t>.经营支出：指事业单位在专业业务活动及其辅助活动之外开展非独立核算经营活动发生的支出。</w:t>
      </w:r>
    </w:p>
    <w:p>
      <w:pPr>
        <w:pStyle w:val="22"/>
        <w:spacing w:line="360" w:lineRule="exac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6</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360" w:lineRule="exac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7</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rPr>
          <w:rFonts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hint="eastAsia"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ascii="仿宋_GB2312" w:eastAsia="仿宋_GB2312"/>
          <w:color w:val="auto"/>
          <w:sz w:val="32"/>
          <w:szCs w:val="32"/>
        </w:rPr>
      </w:pPr>
    </w:p>
    <w:p>
      <w:pPr>
        <w:pStyle w:val="22"/>
        <w:spacing w:line="560" w:lineRule="exact"/>
        <w:rPr>
          <w:rFonts w:hint="eastAsia" w:ascii="仿宋_GB2312" w:eastAsia="仿宋_GB2312"/>
          <w:color w:val="auto"/>
          <w:sz w:val="32"/>
          <w:szCs w:val="32"/>
        </w:rPr>
      </w:pPr>
    </w:p>
    <w:p>
      <w:pPr>
        <w:spacing w:line="600" w:lineRule="exact"/>
        <w:jc w:val="center"/>
        <w:outlineLvl w:val="0"/>
        <w:rPr>
          <w:rStyle w:val="24"/>
          <w:rFonts w:ascii="黑体" w:hAnsi="黑体" w:eastAsia="黑体"/>
          <w:b w:val="0"/>
        </w:rPr>
      </w:pPr>
      <w:bookmarkStart w:id="48" w:name="_Toc15396614"/>
      <w:bookmarkStart w:id="49" w:name="_Toc15377226"/>
      <w:r>
        <w:rPr>
          <w:rFonts w:hint="eastAsia" w:ascii="黑体" w:hAnsi="黑体" w:eastAsia="黑体"/>
          <w:sz w:val="44"/>
          <w:szCs w:val="44"/>
        </w:rPr>
        <w:t>第</w:t>
      </w:r>
      <w:r>
        <w:rPr>
          <w:rStyle w:val="24"/>
          <w:rFonts w:hint="eastAsia" w:ascii="黑体" w:hAnsi="黑体" w:eastAsia="黑体"/>
          <w:b w:val="0"/>
        </w:rPr>
        <w:t>四部分 附件</w:t>
      </w:r>
      <w:bookmarkEnd w:id="48"/>
    </w:p>
    <w:p>
      <w:pPr>
        <w:pStyle w:val="2"/>
        <w:spacing w:before="93"/>
        <w:rPr>
          <w:rFonts w:hAnsi="Calibri" w:cs="仿宋"/>
          <w:sz w:val="32"/>
          <w:szCs w:val="32"/>
        </w:rPr>
      </w:pPr>
      <w:bookmarkStart w:id="50" w:name="_Toc15396618"/>
      <w:r>
        <w:drawing>
          <wp:inline distT="0" distB="0" distL="0" distR="0">
            <wp:extent cx="5338445" cy="8306435"/>
            <wp:effectExtent l="0" t="0" r="0" b="0"/>
            <wp:docPr id="972406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06797"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48452" cy="8322543"/>
                    </a:xfrm>
                    <a:prstGeom prst="rect">
                      <a:avLst/>
                    </a:prstGeom>
                    <a:noFill/>
                    <a:ln>
                      <a:noFill/>
                    </a:ln>
                  </pic:spPr>
                </pic:pic>
              </a:graphicData>
            </a:graphic>
          </wp:inline>
        </w:drawing>
      </w:r>
    </w:p>
    <w:p>
      <w:pPr>
        <w:pStyle w:val="2"/>
        <w:spacing w:before="93"/>
        <w:rPr>
          <w:rFonts w:hAnsi="Calibri" w:cs="仿宋"/>
          <w:sz w:val="32"/>
          <w:szCs w:val="32"/>
        </w:rPr>
      </w:pPr>
    </w:p>
    <w:p>
      <w:pPr>
        <w:pStyle w:val="2"/>
        <w:spacing w:before="93"/>
        <w:rPr>
          <w:rFonts w:hAnsi="Calibri" w:cs="仿宋"/>
          <w:sz w:val="32"/>
          <w:szCs w:val="32"/>
        </w:rPr>
      </w:pPr>
      <w:r>
        <w:drawing>
          <wp:inline distT="0" distB="0" distL="0" distR="0">
            <wp:extent cx="5274310" cy="3576320"/>
            <wp:effectExtent l="0" t="0" r="2540" b="5080"/>
            <wp:docPr id="17205187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18758"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3576320"/>
                    </a:xfrm>
                    <a:prstGeom prst="rect">
                      <a:avLst/>
                    </a:prstGeom>
                    <a:noFill/>
                    <a:ln>
                      <a:noFill/>
                    </a:ln>
                  </pic:spPr>
                </pic:pic>
              </a:graphicData>
            </a:graphic>
          </wp:inline>
        </w:drawing>
      </w:r>
    </w:p>
    <w:p>
      <w:pPr>
        <w:pStyle w:val="2"/>
        <w:spacing w:before="93"/>
        <w:rPr>
          <w:rFonts w:hAnsi="Calibri" w:cs="仿宋"/>
          <w:sz w:val="32"/>
          <w:szCs w:val="32"/>
        </w:rPr>
      </w:pPr>
      <w:r>
        <w:drawing>
          <wp:inline distT="0" distB="0" distL="0" distR="0">
            <wp:extent cx="5274310" cy="4342765"/>
            <wp:effectExtent l="0" t="0" r="2540" b="635"/>
            <wp:docPr id="11050982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98271"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4342765"/>
                    </a:xfrm>
                    <a:prstGeom prst="rect">
                      <a:avLst/>
                    </a:prstGeom>
                    <a:noFill/>
                    <a:ln>
                      <a:noFill/>
                    </a:ln>
                  </pic:spPr>
                </pic:pic>
              </a:graphicData>
            </a:graphic>
          </wp:inline>
        </w:drawing>
      </w: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49"/>
      <w:bookmarkEnd w:id="50"/>
      <w:bookmarkStart w:id="51"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1"/>
    </w:p>
    <w:p>
      <w:pPr>
        <w:pStyle w:val="4"/>
        <w:rPr>
          <w:rFonts w:ascii="仿宋" w:hAnsi="仿宋" w:eastAsia="仿宋"/>
        </w:rPr>
      </w:pPr>
      <w:bookmarkStart w:id="52" w:name="_Toc15396620"/>
      <w:r>
        <w:rPr>
          <w:rFonts w:hint="eastAsia" w:ascii="仿宋" w:hAnsi="仿宋" w:eastAsia="仿宋"/>
          <w:b w:val="0"/>
        </w:rPr>
        <w:t>二、收</w:t>
      </w:r>
      <w:r>
        <w:rPr>
          <w:rStyle w:val="25"/>
          <w:rFonts w:hint="eastAsia" w:ascii="仿宋" w:hAnsi="仿宋" w:eastAsia="仿宋"/>
          <w:b w:val="0"/>
          <w:bCs w:val="0"/>
        </w:rPr>
        <w:t>入决算表</w:t>
      </w:r>
      <w:bookmarkEnd w:id="52"/>
    </w:p>
    <w:p>
      <w:pPr>
        <w:pStyle w:val="4"/>
        <w:rPr>
          <w:rFonts w:ascii="仿宋" w:hAnsi="仿宋" w:eastAsia="仿宋"/>
        </w:rPr>
      </w:pPr>
      <w:bookmarkStart w:id="53"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3"/>
    </w:p>
    <w:p>
      <w:pPr>
        <w:pStyle w:val="4"/>
        <w:rPr>
          <w:rFonts w:ascii="仿宋" w:hAnsi="仿宋" w:eastAsia="仿宋"/>
          <w:b w:val="0"/>
        </w:rPr>
      </w:pPr>
      <w:bookmarkStart w:id="54"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4"/>
    </w:p>
    <w:p>
      <w:pPr>
        <w:pStyle w:val="4"/>
        <w:rPr>
          <w:rStyle w:val="25"/>
          <w:rFonts w:ascii="仿宋" w:hAnsi="仿宋" w:eastAsia="仿宋"/>
          <w:b w:val="0"/>
          <w:bCs w:val="0"/>
        </w:rPr>
      </w:pPr>
      <w:bookmarkStart w:id="55"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5"/>
      <w:bookmarkStart w:id="56"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6"/>
    </w:p>
    <w:p>
      <w:pPr>
        <w:pStyle w:val="4"/>
        <w:rPr>
          <w:rFonts w:ascii="仿宋" w:hAnsi="仿宋" w:eastAsia="仿宋"/>
        </w:rPr>
      </w:pPr>
      <w:bookmarkStart w:id="57"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57"/>
    </w:p>
    <w:p>
      <w:pPr>
        <w:pStyle w:val="4"/>
        <w:rPr>
          <w:rFonts w:ascii="仿宋" w:hAnsi="仿宋" w:eastAsia="仿宋"/>
        </w:rPr>
      </w:pPr>
      <w:bookmarkStart w:id="58"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58"/>
    </w:p>
    <w:p>
      <w:pPr>
        <w:pStyle w:val="4"/>
        <w:rPr>
          <w:rFonts w:ascii="仿宋" w:hAnsi="仿宋" w:eastAsia="仿宋"/>
        </w:rPr>
      </w:pPr>
      <w:bookmarkStart w:id="59"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59"/>
    </w:p>
    <w:p>
      <w:pPr>
        <w:pStyle w:val="4"/>
        <w:rPr>
          <w:rFonts w:ascii="仿宋" w:hAnsi="仿宋" w:eastAsia="仿宋"/>
        </w:rPr>
      </w:pPr>
      <w:bookmarkStart w:id="60" w:name="_Toc15396628"/>
      <w:r>
        <w:rPr>
          <w:rStyle w:val="25"/>
          <w:rFonts w:hint="eastAsia" w:ascii="仿宋" w:hAnsi="仿宋" w:eastAsia="仿宋"/>
          <w:b w:val="0"/>
          <w:bCs w:val="0"/>
        </w:rPr>
        <w:t>十、</w:t>
      </w:r>
      <w:bookmarkEnd w:id="60"/>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1" w:name="_Toc15396629"/>
      <w:r>
        <w:rPr>
          <w:rStyle w:val="25"/>
          <w:rFonts w:hint="eastAsia" w:ascii="仿宋" w:hAnsi="仿宋" w:eastAsia="仿宋"/>
          <w:b w:val="0"/>
          <w:bCs w:val="0"/>
        </w:rPr>
        <w:t>十一、</w:t>
      </w:r>
      <w:bookmarkEnd w:id="61"/>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2" w:name="_Toc15396630"/>
      <w:r>
        <w:rPr>
          <w:rStyle w:val="25"/>
          <w:rFonts w:hint="eastAsia" w:ascii="仿宋" w:hAnsi="仿宋" w:eastAsia="仿宋"/>
          <w:b w:val="0"/>
          <w:bCs w:val="0"/>
        </w:rPr>
        <w:t>十二、</w:t>
      </w:r>
      <w:bookmarkEnd w:id="62"/>
      <w:r>
        <w:rPr>
          <w:rStyle w:val="25"/>
          <w:rFonts w:hint="eastAsia" w:ascii="仿宋" w:hAnsi="仿宋" w:eastAsia="仿宋"/>
          <w:b w:val="0"/>
          <w:bCs w:val="0"/>
        </w:rPr>
        <w:t>国有资本经营预算财政拨款支出决算表</w:t>
      </w:r>
    </w:p>
    <w:p>
      <w:pPr>
        <w:pStyle w:val="4"/>
        <w:rPr>
          <w:rFonts w:eastAsia="仿宋"/>
        </w:rPr>
      </w:pPr>
      <w:bookmarkStart w:id="63" w:name="_Toc15396631"/>
      <w:r>
        <w:rPr>
          <w:rStyle w:val="25"/>
          <w:rFonts w:hint="eastAsia" w:ascii="仿宋" w:hAnsi="仿宋" w:eastAsia="仿宋"/>
          <w:b w:val="0"/>
          <w:bCs w:val="0"/>
        </w:rPr>
        <w:t>十三、</w:t>
      </w:r>
      <w:bookmarkEnd w:id="63"/>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D08C98-348F-43B3-A3CD-AF2D5D2974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33A27D-DC42-4BC7-ACF7-02A156663B8A}"/>
  </w:font>
  <w:font w:name="Cambria">
    <w:panose1 w:val="02040503050406030204"/>
    <w:charset w:val="00"/>
    <w:family w:val="roman"/>
    <w:pitch w:val="default"/>
    <w:sig w:usb0="E00006FF" w:usb1="420024FF" w:usb2="02000000" w:usb3="00000000" w:csb0="2000019F" w:csb1="00000000"/>
    <w:embedRegular r:id="rId3" w:fontKey="{C8B18914-EA02-415E-AB36-26303B10B2B8}"/>
  </w:font>
  <w:font w:name="仿宋_GB2312">
    <w:altName w:val="仿宋"/>
    <w:panose1 w:val="00000000000000000000"/>
    <w:charset w:val="86"/>
    <w:family w:val="modern"/>
    <w:pitch w:val="default"/>
    <w:sig w:usb0="00000000" w:usb1="00000000" w:usb2="00000000" w:usb3="00000000" w:csb0="00040000" w:csb1="00000000"/>
    <w:embedRegular r:id="rId4" w:fontKey="{A8123D76-CB96-44DD-800F-4F0FA08CB59B}"/>
  </w:font>
  <w:font w:name="仿宋">
    <w:panose1 w:val="02010609060101010101"/>
    <w:charset w:val="86"/>
    <w:family w:val="modern"/>
    <w:pitch w:val="default"/>
    <w:sig w:usb0="800002BF" w:usb1="38CF7CFA" w:usb2="00000016" w:usb3="00000000" w:csb0="00040001" w:csb1="00000000"/>
    <w:embedRegular r:id="rId5" w:fontKey="{77DC326E-4A42-4F82-B4B5-5E3C63A5DBE0}"/>
  </w:font>
  <w:font w:name="方正小标宋简体">
    <w:panose1 w:val="02000000000000000000"/>
    <w:charset w:val="86"/>
    <w:family w:val="script"/>
    <w:pitch w:val="default"/>
    <w:sig w:usb0="00000001" w:usb1="08000000" w:usb2="00000000" w:usb3="00000000" w:csb0="00040000" w:csb1="00000000"/>
    <w:embedRegular r:id="rId6" w:fontKey="{86428EBB-D1FE-48E4-8AF1-F0F979ADCF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0167A"/>
    <w:multiLevelType w:val="multilevel"/>
    <w:tmpl w:val="0980167A"/>
    <w:lvl w:ilvl="0" w:tentative="0">
      <w:start w:val="9"/>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abstractNum w:abstractNumId="2">
    <w:nsid w:val="4954690D"/>
    <w:multiLevelType w:val="multilevel"/>
    <w:tmpl w:val="4954690D"/>
    <w:lvl w:ilvl="0" w:tentative="0">
      <w:start w:val="3"/>
      <w:numFmt w:val="japaneseCounting"/>
      <w:lvlText w:val="%1、"/>
      <w:lvlJc w:val="left"/>
      <w:pPr>
        <w:ind w:left="720" w:hanging="720"/>
      </w:pPr>
      <w:rPr>
        <w:rFonts w:hint="default"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D8A3F14"/>
    <w:multiLevelType w:val="multilevel"/>
    <w:tmpl w:val="5D8A3F14"/>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1M2VjZDNkNmI4OWZkMThmMzE1MjhjOWI3MzQzN2EifQ=="/>
  </w:docVars>
  <w:rsids>
    <w:rsidRoot w:val="00F1361C"/>
    <w:rsid w:val="00003280"/>
    <w:rsid w:val="000222C6"/>
    <w:rsid w:val="0002549F"/>
    <w:rsid w:val="00044ED6"/>
    <w:rsid w:val="000468DB"/>
    <w:rsid w:val="0005639D"/>
    <w:rsid w:val="0006487A"/>
    <w:rsid w:val="00065F8F"/>
    <w:rsid w:val="00070A43"/>
    <w:rsid w:val="000768F2"/>
    <w:rsid w:val="0009184B"/>
    <w:rsid w:val="00094236"/>
    <w:rsid w:val="0009593C"/>
    <w:rsid w:val="00097322"/>
    <w:rsid w:val="000A6A92"/>
    <w:rsid w:val="000B047F"/>
    <w:rsid w:val="000B5923"/>
    <w:rsid w:val="000B5A48"/>
    <w:rsid w:val="000B6F5E"/>
    <w:rsid w:val="000B6FF3"/>
    <w:rsid w:val="000C3467"/>
    <w:rsid w:val="000C3CA6"/>
    <w:rsid w:val="000D1267"/>
    <w:rsid w:val="000D1D50"/>
    <w:rsid w:val="000D5782"/>
    <w:rsid w:val="000E6613"/>
    <w:rsid w:val="000E7119"/>
    <w:rsid w:val="00114E9B"/>
    <w:rsid w:val="00142216"/>
    <w:rsid w:val="00144D6A"/>
    <w:rsid w:val="0014729F"/>
    <w:rsid w:val="001514F8"/>
    <w:rsid w:val="00157BAB"/>
    <w:rsid w:val="001654D1"/>
    <w:rsid w:val="00174518"/>
    <w:rsid w:val="0018106D"/>
    <w:rsid w:val="001877A7"/>
    <w:rsid w:val="00191536"/>
    <w:rsid w:val="00196687"/>
    <w:rsid w:val="001A3C1B"/>
    <w:rsid w:val="001B6A48"/>
    <w:rsid w:val="001C0962"/>
    <w:rsid w:val="001D7531"/>
    <w:rsid w:val="001E737D"/>
    <w:rsid w:val="001F0592"/>
    <w:rsid w:val="001F7506"/>
    <w:rsid w:val="002006CD"/>
    <w:rsid w:val="00200840"/>
    <w:rsid w:val="00202B36"/>
    <w:rsid w:val="00204B7A"/>
    <w:rsid w:val="00204CDE"/>
    <w:rsid w:val="0021101A"/>
    <w:rsid w:val="00220536"/>
    <w:rsid w:val="00235629"/>
    <w:rsid w:val="00255F51"/>
    <w:rsid w:val="00260C38"/>
    <w:rsid w:val="002616C0"/>
    <w:rsid w:val="00265372"/>
    <w:rsid w:val="002662AA"/>
    <w:rsid w:val="0027256D"/>
    <w:rsid w:val="00280496"/>
    <w:rsid w:val="00291BC6"/>
    <w:rsid w:val="00294DC9"/>
    <w:rsid w:val="00295495"/>
    <w:rsid w:val="002A1E9B"/>
    <w:rsid w:val="002A31DE"/>
    <w:rsid w:val="002B2613"/>
    <w:rsid w:val="002C7CD4"/>
    <w:rsid w:val="002D0926"/>
    <w:rsid w:val="002D6D05"/>
    <w:rsid w:val="002F1818"/>
    <w:rsid w:val="002F567B"/>
    <w:rsid w:val="003216A9"/>
    <w:rsid w:val="0033380B"/>
    <w:rsid w:val="00335A74"/>
    <w:rsid w:val="00342378"/>
    <w:rsid w:val="00363DBC"/>
    <w:rsid w:val="0036561B"/>
    <w:rsid w:val="0037013F"/>
    <w:rsid w:val="00380C92"/>
    <w:rsid w:val="003A484F"/>
    <w:rsid w:val="003A4883"/>
    <w:rsid w:val="003B0BE0"/>
    <w:rsid w:val="003B0C1B"/>
    <w:rsid w:val="003B688C"/>
    <w:rsid w:val="003C0291"/>
    <w:rsid w:val="003C39AE"/>
    <w:rsid w:val="003C7B60"/>
    <w:rsid w:val="003D0C0F"/>
    <w:rsid w:val="003D1FB2"/>
    <w:rsid w:val="003D3693"/>
    <w:rsid w:val="003D66DA"/>
    <w:rsid w:val="003E1310"/>
    <w:rsid w:val="003E6F55"/>
    <w:rsid w:val="00406254"/>
    <w:rsid w:val="004223DE"/>
    <w:rsid w:val="00434489"/>
    <w:rsid w:val="00437085"/>
    <w:rsid w:val="00443880"/>
    <w:rsid w:val="004464F4"/>
    <w:rsid w:val="00471401"/>
    <w:rsid w:val="00473F31"/>
    <w:rsid w:val="0048263A"/>
    <w:rsid w:val="00487E5D"/>
    <w:rsid w:val="004936A3"/>
    <w:rsid w:val="004A711F"/>
    <w:rsid w:val="004B1842"/>
    <w:rsid w:val="004B199D"/>
    <w:rsid w:val="004B4690"/>
    <w:rsid w:val="004E0A2D"/>
    <w:rsid w:val="004E206B"/>
    <w:rsid w:val="004E6DF7"/>
    <w:rsid w:val="004F0FBD"/>
    <w:rsid w:val="004F164F"/>
    <w:rsid w:val="00502AF7"/>
    <w:rsid w:val="00505A47"/>
    <w:rsid w:val="00512FDA"/>
    <w:rsid w:val="00520DA0"/>
    <w:rsid w:val="00520DA2"/>
    <w:rsid w:val="00534C6C"/>
    <w:rsid w:val="005664BB"/>
    <w:rsid w:val="00566FFA"/>
    <w:rsid w:val="0057481D"/>
    <w:rsid w:val="0058486E"/>
    <w:rsid w:val="00585B33"/>
    <w:rsid w:val="00586982"/>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4192"/>
    <w:rsid w:val="00630AEF"/>
    <w:rsid w:val="00630E31"/>
    <w:rsid w:val="006325F8"/>
    <w:rsid w:val="00633463"/>
    <w:rsid w:val="00634C9A"/>
    <w:rsid w:val="006440E4"/>
    <w:rsid w:val="006504C2"/>
    <w:rsid w:val="0066343B"/>
    <w:rsid w:val="00664777"/>
    <w:rsid w:val="00670A83"/>
    <w:rsid w:val="006748A4"/>
    <w:rsid w:val="00681A31"/>
    <w:rsid w:val="00683E73"/>
    <w:rsid w:val="006A3141"/>
    <w:rsid w:val="006A5361"/>
    <w:rsid w:val="006A59B0"/>
    <w:rsid w:val="006A5E34"/>
    <w:rsid w:val="006B15ED"/>
    <w:rsid w:val="006B2422"/>
    <w:rsid w:val="006B2B9A"/>
    <w:rsid w:val="006C1937"/>
    <w:rsid w:val="006F020C"/>
    <w:rsid w:val="007127B7"/>
    <w:rsid w:val="0071798E"/>
    <w:rsid w:val="00723A78"/>
    <w:rsid w:val="007416B6"/>
    <w:rsid w:val="00746F48"/>
    <w:rsid w:val="0075404D"/>
    <w:rsid w:val="0076182A"/>
    <w:rsid w:val="00767B7E"/>
    <w:rsid w:val="007770C3"/>
    <w:rsid w:val="00784D24"/>
    <w:rsid w:val="00785FBA"/>
    <w:rsid w:val="00786E4A"/>
    <w:rsid w:val="007875EB"/>
    <w:rsid w:val="0079426B"/>
    <w:rsid w:val="007B6D8C"/>
    <w:rsid w:val="007C0C22"/>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CE5"/>
    <w:rsid w:val="00871F71"/>
    <w:rsid w:val="00872FD8"/>
    <w:rsid w:val="00885AF4"/>
    <w:rsid w:val="008939CD"/>
    <w:rsid w:val="008B4745"/>
    <w:rsid w:val="008B768C"/>
    <w:rsid w:val="008C4DB1"/>
    <w:rsid w:val="008C4EAF"/>
    <w:rsid w:val="008C5176"/>
    <w:rsid w:val="008C7FD0"/>
    <w:rsid w:val="008D2B50"/>
    <w:rsid w:val="008E1DE7"/>
    <w:rsid w:val="008E707C"/>
    <w:rsid w:val="00900B08"/>
    <w:rsid w:val="00902155"/>
    <w:rsid w:val="00902FA3"/>
    <w:rsid w:val="00923564"/>
    <w:rsid w:val="0092392E"/>
    <w:rsid w:val="009315F9"/>
    <w:rsid w:val="00933499"/>
    <w:rsid w:val="00935C98"/>
    <w:rsid w:val="009405D6"/>
    <w:rsid w:val="00946945"/>
    <w:rsid w:val="00951248"/>
    <w:rsid w:val="0095152F"/>
    <w:rsid w:val="00954C49"/>
    <w:rsid w:val="00955E37"/>
    <w:rsid w:val="009575B9"/>
    <w:rsid w:val="0096294D"/>
    <w:rsid w:val="0097099F"/>
    <w:rsid w:val="00971997"/>
    <w:rsid w:val="00971FFC"/>
    <w:rsid w:val="0098660A"/>
    <w:rsid w:val="009931C3"/>
    <w:rsid w:val="009A1611"/>
    <w:rsid w:val="009B2C43"/>
    <w:rsid w:val="009B4EAE"/>
    <w:rsid w:val="009B7573"/>
    <w:rsid w:val="009C22F4"/>
    <w:rsid w:val="009C2A4B"/>
    <w:rsid w:val="009C2E98"/>
    <w:rsid w:val="009D3447"/>
    <w:rsid w:val="009D4711"/>
    <w:rsid w:val="009E193D"/>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06A7"/>
    <w:rsid w:val="00A67AB5"/>
    <w:rsid w:val="00A733B2"/>
    <w:rsid w:val="00A741C2"/>
    <w:rsid w:val="00A91760"/>
    <w:rsid w:val="00A93B00"/>
    <w:rsid w:val="00A93C21"/>
    <w:rsid w:val="00AA3C52"/>
    <w:rsid w:val="00AB0A7F"/>
    <w:rsid w:val="00AB64C9"/>
    <w:rsid w:val="00AC3C6A"/>
    <w:rsid w:val="00AD0BC9"/>
    <w:rsid w:val="00AD5620"/>
    <w:rsid w:val="00AD656B"/>
    <w:rsid w:val="00AD7C1B"/>
    <w:rsid w:val="00AE16BA"/>
    <w:rsid w:val="00AE1EBE"/>
    <w:rsid w:val="00B03C9D"/>
    <w:rsid w:val="00B060AE"/>
    <w:rsid w:val="00B10517"/>
    <w:rsid w:val="00B114A5"/>
    <w:rsid w:val="00B14E76"/>
    <w:rsid w:val="00B161B8"/>
    <w:rsid w:val="00B2048C"/>
    <w:rsid w:val="00B23D65"/>
    <w:rsid w:val="00B310B9"/>
    <w:rsid w:val="00B35F3F"/>
    <w:rsid w:val="00B36CBB"/>
    <w:rsid w:val="00B425E0"/>
    <w:rsid w:val="00B434C8"/>
    <w:rsid w:val="00B43F6D"/>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6DB1"/>
    <w:rsid w:val="00C5751C"/>
    <w:rsid w:val="00C61BFC"/>
    <w:rsid w:val="00C629A5"/>
    <w:rsid w:val="00C62B85"/>
    <w:rsid w:val="00C65438"/>
    <w:rsid w:val="00C73A28"/>
    <w:rsid w:val="00C836C0"/>
    <w:rsid w:val="00C87FD8"/>
    <w:rsid w:val="00C91381"/>
    <w:rsid w:val="00C91CBB"/>
    <w:rsid w:val="00C95B6D"/>
    <w:rsid w:val="00CB4E70"/>
    <w:rsid w:val="00CC09B6"/>
    <w:rsid w:val="00CC666F"/>
    <w:rsid w:val="00CD1E3F"/>
    <w:rsid w:val="00CE327D"/>
    <w:rsid w:val="00CE44F6"/>
    <w:rsid w:val="00CE49DA"/>
    <w:rsid w:val="00CE7B61"/>
    <w:rsid w:val="00D00095"/>
    <w:rsid w:val="00D114F0"/>
    <w:rsid w:val="00D12977"/>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7D91"/>
    <w:rsid w:val="00E31AF5"/>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791F"/>
    <w:rsid w:val="00F1361C"/>
    <w:rsid w:val="00F156F0"/>
    <w:rsid w:val="00F160C7"/>
    <w:rsid w:val="00F21E33"/>
    <w:rsid w:val="00F2408F"/>
    <w:rsid w:val="00F240E9"/>
    <w:rsid w:val="00F36D8F"/>
    <w:rsid w:val="00F4162F"/>
    <w:rsid w:val="00F417B1"/>
    <w:rsid w:val="00F41A44"/>
    <w:rsid w:val="00F45853"/>
    <w:rsid w:val="00F602DF"/>
    <w:rsid w:val="00F754A1"/>
    <w:rsid w:val="00F76332"/>
    <w:rsid w:val="00F81FD9"/>
    <w:rsid w:val="00F841AA"/>
    <w:rsid w:val="00F84A94"/>
    <w:rsid w:val="00F87E96"/>
    <w:rsid w:val="00FA23E8"/>
    <w:rsid w:val="00FA70E4"/>
    <w:rsid w:val="00FD3CC1"/>
    <w:rsid w:val="00FE3058"/>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ECE121F"/>
    <w:rsid w:val="3F9F3A96"/>
    <w:rsid w:val="452B62AC"/>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42956\AppData\Local\Temp\360zip$Temp\360$1\&#20915;&#31639;&#20844;&#24320;&#25554;&#22270;&#21046;&#20316;&#31034;&#20363;.xlsx"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图一!$A$1:$B$1</c:f>
              <c:strCache>
                <c:ptCount val="2"/>
                <c:pt idx="0">
                  <c:v>2021年</c:v>
                </c:pt>
                <c:pt idx="1">
                  <c:v>2022年</c:v>
                </c:pt>
              </c:strCache>
            </c:strRef>
          </c:cat>
          <c:val>
            <c:numRef>
              <c:f>图一!$A$2:$B$2</c:f>
              <c:numCache>
                <c:formatCode>General</c:formatCode>
                <c:ptCount val="2"/>
                <c:pt idx="0">
                  <c:v>442.54</c:v>
                </c:pt>
                <c:pt idx="1">
                  <c:v>313.14</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图二!$C$1:$C$6</c:f>
              <c:numCache>
                <c:formatCode>0.00%</c:formatCode>
                <c:ptCount val="6"/>
                <c:pt idx="0">
                  <c:v>0.9968</c:v>
                </c:pt>
                <c:pt idx="1">
                  <c:v>0.0032</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539520712084902"/>
          <c:y val="0.767990932951563"/>
          <c:w val="0.770356727148237"/>
          <c:h val="0.2067565417959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图三!$A$2:$B$2</c:f>
              <c:strCache>
                <c:ptCount val="2"/>
                <c:pt idx="0">
                  <c:v>基本支出</c:v>
                </c:pt>
                <c:pt idx="1">
                  <c:v>项目支出</c:v>
                </c:pt>
              </c:strCache>
            </c:strRef>
          </c:cat>
          <c:val>
            <c:numRef>
              <c:f>图三!$A$3:$B$3</c:f>
              <c:numCache>
                <c:formatCode>0.00%</c:formatCode>
                <c:ptCount val="2"/>
                <c:pt idx="0">
                  <c:v>0.9968</c:v>
                </c:pt>
                <c:pt idx="1">
                  <c:v>0.0032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'图4 '!$A$1:$B$1</c:f>
              <c:strCache>
                <c:ptCount val="2"/>
                <c:pt idx="0">
                  <c:v>2021年</c:v>
                </c:pt>
                <c:pt idx="1">
                  <c:v>2022年</c:v>
                </c:pt>
              </c:strCache>
            </c:strRef>
          </c:cat>
          <c:val>
            <c:numRef>
              <c:f>'图4 '!$A$2:$B$2</c:f>
              <c:numCache>
                <c:formatCode>General</c:formatCode>
                <c:ptCount val="2"/>
                <c:pt idx="0">
                  <c:v>313.14</c:v>
                </c:pt>
                <c:pt idx="1">
                  <c:v>442.54</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图5!$A$1:$B$1</c:f>
              <c:strCache>
                <c:ptCount val="2"/>
                <c:pt idx="0">
                  <c:v>2021年</c:v>
                </c:pt>
                <c:pt idx="1">
                  <c:v>2022年</c:v>
                </c:pt>
              </c:strCache>
            </c:strRef>
          </c:cat>
          <c:val>
            <c:numRef>
              <c:f>图5!$A$2:$B$2</c:f>
              <c:numCache>
                <c:formatCode>General</c:formatCode>
                <c:ptCount val="2"/>
                <c:pt idx="0">
                  <c:v>438.24</c:v>
                </c:pt>
                <c:pt idx="1">
                  <c:v>312.14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图6!$A$2:$A$5</c:f>
              <c:strCache>
                <c:ptCount val="4"/>
                <c:pt idx="0">
                  <c:v>教育支出</c:v>
                </c:pt>
                <c:pt idx="1">
                  <c:v>社会保障和就业（类）支出</c:v>
                </c:pt>
                <c:pt idx="2">
                  <c:v>卫生健康(类)支出</c:v>
                </c:pt>
                <c:pt idx="3">
                  <c:v>住房保障（类）支出</c:v>
                </c:pt>
              </c:strCache>
            </c:strRef>
          </c:cat>
          <c:val>
            <c:numRef>
              <c:f>图6!$B$2:$B$5</c:f>
              <c:numCache>
                <c:formatCode>General</c:formatCode>
                <c:ptCount val="4"/>
                <c:pt idx="0">
                  <c:v>262.04</c:v>
                </c:pt>
                <c:pt idx="1">
                  <c:v>23.09</c:v>
                </c:pt>
                <c:pt idx="2">
                  <c:v>10.8</c:v>
                </c:pt>
                <c:pt idx="3">
                  <c:v>16.21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图7!$A$2:$A$4</c:f>
              <c:strCache>
                <c:ptCount val="3"/>
                <c:pt idx="0">
                  <c:v>因公出国（境）费支出</c:v>
                </c:pt>
                <c:pt idx="1">
                  <c:v>公务用车购置及运行维护费支出</c:v>
                </c:pt>
                <c:pt idx="2">
                  <c:v>公务接待费支出</c:v>
                </c:pt>
              </c:strCache>
            </c:strRef>
          </c:cat>
          <c:val>
            <c:numRef>
              <c:f>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0D1D-9324-4A84-A606-0CF4CC77F04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1199</Words>
  <Characters>6838</Characters>
  <Lines>56</Lines>
  <Paragraphs>16</Paragraphs>
  <TotalTime>251</TotalTime>
  <ScaleCrop>false</ScaleCrop>
  <LinksUpToDate>false</LinksUpToDate>
  <CharactersWithSpaces>8021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2023-10-12T11:15:00Z</dcterms:created>
  <dc:creator>曹颖</dc:creator>
  <cp:lastModifiedBy>罗汉</cp:lastModifiedBy>
  <cp:lastPrinted>2023-10-12T14:44:00Z</cp:lastPrinted>
  <dcterms:modified xsi:type="dcterms:W3CDTF">2023-12-11T07:23:50Z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4349DEC23F264231A7E9262E45772B50_12</vt:lpwstr>
  </property>
</Properties>
</file>