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7193"/>
      <w:bookmarkStart w:id="4" w:name="_Toc15378441"/>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476"/>
      <w:bookmarkStart w:id="9" w:name="_Toc15377194"/>
      <w:bookmarkStart w:id="10" w:name="_Toc15396598"/>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江口嘉陵学校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rPr>
          <w:rFonts w:hint="eastAsia"/>
          <w:sz w:val="24"/>
        </w:rPr>
      </w:pP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主要职责及重点工作</w:t>
      </w:r>
    </w:p>
    <w:p>
      <w:pPr>
        <w:pStyle w:val="2"/>
        <w:keepNext w:val="0"/>
        <w:keepLines w:val="0"/>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outlineLvl w:val="2"/>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（一）单位职责</w:t>
      </w:r>
    </w:p>
    <w:p>
      <w:pPr>
        <w:pStyle w:val="2"/>
        <w:keepNext w:val="0"/>
        <w:keepLines w:val="0"/>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outlineLvl w:val="2"/>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剑阁县江口嘉陵学校是一所农村九年一贯制学校。有教学班23个。其基本职能及主要工作是实施中小学义务教育教学，促进教育全面均衡发展。</w:t>
      </w:r>
      <w:bookmarkEnd w:id="16"/>
      <w:bookmarkEnd w:id="17"/>
      <w:bookmarkStart w:id="18" w:name="_Toc15377199"/>
      <w:bookmarkStart w:id="19" w:name="_Toc15378446"/>
    </w:p>
    <w:p>
      <w:pPr>
        <w:pStyle w:val="2"/>
        <w:keepNext w:val="0"/>
        <w:keepLines w:val="0"/>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outlineLvl w:val="2"/>
        <w:rPr>
          <w:rFonts w:hint="eastAsia"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8"/>
      <w:bookmarkEnd w:id="19"/>
    </w:p>
    <w:p>
      <w:pPr>
        <w:keepNext w:val="0"/>
        <w:keepLines w:val="0"/>
        <w:pageBreakBefore w:val="0"/>
        <w:widowControl/>
        <w:suppressLineNumbers w:val="0"/>
        <w:kinsoku/>
        <w:wordWrap/>
        <w:overflowPunct/>
        <w:topLinePunct w:val="0"/>
        <w:autoSpaceDE w:val="0"/>
        <w:autoSpaceDN/>
        <w:bidi w:val="0"/>
        <w:spacing w:line="500" w:lineRule="exact"/>
        <w:ind w:lef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1.狠抓教学常规工作，注重教学细节。</w:t>
      </w:r>
    </w:p>
    <w:p>
      <w:pPr>
        <w:keepNext w:val="0"/>
        <w:keepLines w:val="0"/>
        <w:pageBreakBefore w:val="0"/>
        <w:widowControl/>
        <w:suppressLineNumbers w:val="0"/>
        <w:kinsoku/>
        <w:wordWrap/>
        <w:overflowPunct/>
        <w:topLinePunct w:val="0"/>
        <w:autoSpaceDE w:val="0"/>
        <w:autoSpaceDN/>
        <w:bidi w:val="0"/>
        <w:spacing w:line="500" w:lineRule="exact"/>
        <w:ind w:lef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（1）严格制订教学计划，细化教学目标，做到按目标计划进行教学活动，提高了教学计划的针对性和可操作性，保证了学校各种教学、教科研活动的有序进行。 </w:t>
      </w:r>
    </w:p>
    <w:p>
      <w:pPr>
        <w:keepNext w:val="0"/>
        <w:keepLines w:val="0"/>
        <w:pageBreakBefore w:val="0"/>
        <w:widowControl/>
        <w:suppressLineNumbers w:val="0"/>
        <w:kinsoku/>
        <w:wordWrap/>
        <w:overflowPunct/>
        <w:topLinePunct w:val="0"/>
        <w:autoSpaceDE w:val="0"/>
        <w:autoSpaceDN/>
        <w:bidi w:val="0"/>
        <w:spacing w:line="5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（2）继续坚持集体坐班备课，做到人人守时，主动参与，积极探讨，资源共享，大幅地提升了课堂的有效性。</w:t>
      </w:r>
    </w:p>
    <w:p>
      <w:pPr>
        <w:keepNext w:val="0"/>
        <w:keepLines w:val="0"/>
        <w:pageBreakBefore w:val="0"/>
        <w:widowControl/>
        <w:suppressLineNumbers w:val="0"/>
        <w:kinsoku/>
        <w:wordWrap/>
        <w:overflowPunct/>
        <w:topLinePunct w:val="0"/>
        <w:autoSpaceDE w:val="0"/>
        <w:autoSpaceDN/>
        <w:bidi w:val="0"/>
        <w:spacing w:line="500" w:lineRule="exact"/>
        <w:ind w:lef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（3）坚持以生为本的生本教学理念，不断地改进、创新教学思路，提高学生主动参与学习，成为学习的主体。  </w:t>
      </w:r>
    </w:p>
    <w:p>
      <w:pPr>
        <w:keepNext w:val="0"/>
        <w:keepLines w:val="0"/>
        <w:pageBreakBefore w:val="0"/>
        <w:widowControl/>
        <w:suppressLineNumbers w:val="0"/>
        <w:kinsoku/>
        <w:wordWrap/>
        <w:overflowPunct/>
        <w:topLinePunct w:val="0"/>
        <w:autoSpaceDE w:val="0"/>
        <w:autoSpaceDN/>
        <w:bidi w:val="0"/>
        <w:spacing w:line="500" w:lineRule="exact"/>
        <w:ind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4）切实抓好课堂教学。首先教师根据工作要求早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   </w:t>
      </w:r>
    </w:p>
    <w:p>
      <w:pPr>
        <w:keepNext w:val="0"/>
        <w:keepLines w:val="0"/>
        <w:pageBreakBefore w:val="0"/>
        <w:widowControl/>
        <w:suppressLineNumbers w:val="0"/>
        <w:kinsoku/>
        <w:wordWrap/>
        <w:overflowPunct/>
        <w:topLinePunct w:val="0"/>
        <w:autoSpaceDE w:val="0"/>
        <w:autoSpaceDN/>
        <w:bidi w:val="0"/>
        <w:spacing w:line="500" w:lineRule="exact"/>
        <w:ind w:left="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加强对教研活动的管理，开展持久的校本培训活动，开展校本课程开发与实验活动，开展课改专题总结活动，持久开展教育科研活动。学校通过建立随堂听课制度，提倡跨学科听课，鼓励教师积极开展相互间的日常听课活动，进一步明确了听课要求。</w:t>
      </w:r>
    </w:p>
    <w:p>
      <w:pPr>
        <w:pStyle w:val="2"/>
        <w:keepNext w:val="0"/>
        <w:keepLines w:val="0"/>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outlineLvl w:val="2"/>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加强了学校的安全工作，认真学习上级各项法规政策，落实各级安全工作会议精神，学校未出现任何重、特大事故。建立健全学校安全工作机制和工作网络，层层落实学校安全责任，确保责任到岗，明确到人，落实到位。我校加强对学生的安全教育和监管力度，认真宣传安全方面的法律法规，采取各种形式对学生进行安全教育，发挥课堂主阵地的作用，开设安全教育课、一周一主题的生本德育课。加大对学校安全隐患的排查和整改力度，消除安全隐患，确保师生安全。 本年度我校积极改善办学条件，为学校的发展提供了有利的条件，教育教学得到了大幅度提升。</w:t>
      </w:r>
    </w:p>
    <w:p>
      <w:pPr>
        <w:pStyle w:val="2"/>
        <w:keepNext w:val="0"/>
        <w:keepLines w:val="0"/>
        <w:pageBreakBefore w:val="0"/>
        <w:widowControl w:val="0"/>
        <w:kinsoku/>
        <w:wordWrap/>
        <w:overflowPunct/>
        <w:topLinePunct w:val="0"/>
        <w:autoSpaceDE/>
        <w:autoSpaceDN/>
        <w:bidi w:val="0"/>
        <w:adjustRightInd w:val="0"/>
        <w:snapToGrid w:val="0"/>
        <w:spacing w:before="93" w:line="500" w:lineRule="exact"/>
        <w:ind w:firstLine="672" w:firstLineChars="210"/>
        <w:textAlignment w:val="auto"/>
        <w:outlineLvl w:val="2"/>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4.财务收支情况 本年度学校经费全部由财政拨款，执行上级收支两条线财务制度，按年初预算进行开支。加强财会管理，做好财务工作。财会人员严格执行国家的财政法规，认真履行《会计人员职责》，本着对领导负责、对自己负责的精神，做到了账目清楚相符，日清月结。做到了花钱有批示，记账有凭证。在收费方面严格执行上级规定的收费标准，杜绝乱收费现象。 </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pPr>
      <w:r>
        <w:rPr>
          <w:rFonts w:hint="eastAsia" w:ascii="仿宋" w:hAnsi="仿宋" w:eastAsia="仿宋" w:cs="Times New Roman"/>
          <w:color w:val="000000"/>
          <w:kern w:val="2"/>
          <w:sz w:val="32"/>
          <w:szCs w:val="32"/>
          <w:lang w:val="en-US" w:eastAsia="zh-CN" w:bidi="ar-SA"/>
        </w:rPr>
        <w:t>5.加强学校的疫情防控工作，落实好学校、学生及教职工的一日三检工作，做到教职工非必要不外出，外出必须按规定程序报备，同时严格按照相关文件要求执行相关外出人员的核酸检测等工作，确保了学校教职工员及学生的健康。</w:t>
      </w:r>
    </w:p>
    <w:p>
      <w:pPr>
        <w:pStyle w:val="4"/>
        <w:rPr>
          <w:rFonts w:hint="eastAsia" w:ascii="黑体" w:hAnsi="黑体" w:eastAsia="黑体"/>
          <w:b w:val="0"/>
        </w:rPr>
      </w:pPr>
      <w:r>
        <w:rPr>
          <w:rFonts w:hint="eastAsia" w:ascii="黑体" w:hAnsi="黑体" w:eastAsia="黑体"/>
          <w:b w:val="0"/>
        </w:rPr>
        <w:t>二、机构设置</w:t>
      </w:r>
    </w:p>
    <w:p>
      <w:pPr>
        <w:ind w:firstLine="640" w:firstLineChars="200"/>
        <w:rPr>
          <w:rFonts w:hint="eastAsia" w:ascii="仿宋" w:hAnsi="仿宋" w:eastAsia="仿宋"/>
          <w:color w:val="000000"/>
          <w:kern w:val="0"/>
          <w:sz w:val="32"/>
          <w:szCs w:val="32"/>
          <w:lang w:val="en-US" w:eastAsia="zh-CN" w:bidi="ar-SA"/>
        </w:rPr>
      </w:pPr>
      <w:r>
        <w:rPr>
          <w:rFonts w:hint="eastAsia" w:ascii="仿宋" w:hAnsi="仿宋" w:eastAsia="仿宋"/>
          <w:color w:val="000000"/>
          <w:kern w:val="0"/>
          <w:sz w:val="32"/>
          <w:szCs w:val="32"/>
          <w:lang w:val="en-US" w:eastAsia="zh-CN" w:bidi="ar-SA"/>
        </w:rPr>
        <w:t>本单位下属二级单位0个，其中行政单位0个，参照公务员法管理的事业单位0个，其他事业单位0个。</w:t>
      </w:r>
    </w:p>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20" w:name="_Toc15377204"/>
      <w:bookmarkStart w:id="21"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1018.62</w:t>
      </w:r>
      <w:r>
        <w:rPr>
          <w:rFonts w:hint="eastAsia" w:ascii="仿宋" w:hAnsi="仿宋" w:eastAsia="仿宋"/>
          <w:sz w:val="32"/>
          <w:szCs w:val="32"/>
        </w:rPr>
        <w:t>万元。与</w:t>
      </w:r>
      <w:bookmarkStart w:id="71" w:name="_GoBack"/>
      <w:bookmarkEnd w:id="71"/>
      <w:r>
        <w:rPr>
          <w:rFonts w:hint="eastAsia" w:ascii="仿宋" w:hAnsi="仿宋" w:eastAsia="仿宋"/>
          <w:sz w:val="32"/>
          <w:szCs w:val="32"/>
        </w:rPr>
        <w:t>2021年相比，收、支总计各减少</w:t>
      </w:r>
      <w:r>
        <w:rPr>
          <w:rFonts w:hint="eastAsia" w:ascii="仿宋" w:hAnsi="仿宋" w:eastAsia="仿宋"/>
          <w:sz w:val="32"/>
          <w:szCs w:val="32"/>
          <w:lang w:val="en-US" w:eastAsia="zh-CN"/>
        </w:rPr>
        <w:t>149.58</w:t>
      </w:r>
      <w:r>
        <w:rPr>
          <w:rFonts w:hint="eastAsia" w:ascii="仿宋" w:hAnsi="仿宋" w:eastAsia="仿宋"/>
          <w:sz w:val="32"/>
          <w:szCs w:val="32"/>
        </w:rPr>
        <w:t>万元，下降</w:t>
      </w:r>
      <w:r>
        <w:rPr>
          <w:rFonts w:hint="eastAsia" w:ascii="仿宋" w:hAnsi="仿宋" w:eastAsia="仿宋"/>
          <w:sz w:val="32"/>
          <w:szCs w:val="32"/>
          <w:lang w:val="en-US" w:eastAsia="zh-CN"/>
        </w:rPr>
        <w:t>14.68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人员经费的</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，工程项目</w:t>
      </w:r>
      <w:r>
        <w:rPr>
          <w:rFonts w:hint="eastAsia" w:ascii="仿宋" w:hAnsi="仿宋" w:eastAsia="仿宋"/>
          <w:color w:val="000000"/>
          <w:sz w:val="32"/>
          <w:szCs w:val="32"/>
          <w:lang w:val="en-US" w:eastAsia="zh-CN"/>
        </w:rPr>
        <w:t>减少</w:t>
      </w:r>
      <w:r>
        <w:rPr>
          <w:rFonts w:hint="eastAsia" w:ascii="仿宋" w:hAnsi="仿宋" w:eastAsia="仿宋"/>
          <w:sz w:val="32"/>
          <w:szCs w:val="32"/>
        </w:rPr>
        <w:t>。</w:t>
      </w:r>
    </w:p>
    <w:p>
      <w:pPr>
        <w:pStyle w:val="2"/>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1018.62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1017.42</w:t>
      </w:r>
      <w:r>
        <w:rPr>
          <w:rFonts w:hint="eastAsia" w:ascii="仿宋" w:hAnsi="仿宋" w:eastAsia="仿宋"/>
          <w:sz w:val="32"/>
          <w:szCs w:val="32"/>
        </w:rPr>
        <w:t>万元，占</w:t>
      </w:r>
      <w:r>
        <w:rPr>
          <w:rFonts w:hint="eastAsia" w:ascii="仿宋" w:hAnsi="仿宋" w:eastAsia="仿宋"/>
          <w:sz w:val="32"/>
          <w:szCs w:val="32"/>
          <w:lang w:val="en-US" w:eastAsia="zh-CN"/>
        </w:rPr>
        <w:t>99.88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1.2</w:t>
      </w:r>
      <w:r>
        <w:rPr>
          <w:rFonts w:hint="eastAsia" w:ascii="仿宋" w:hAnsi="仿宋" w:eastAsia="仿宋"/>
          <w:sz w:val="32"/>
          <w:szCs w:val="32"/>
        </w:rPr>
        <w:t>万元，占</w:t>
      </w:r>
      <w:r>
        <w:rPr>
          <w:rFonts w:hint="eastAsia" w:ascii="仿宋" w:hAnsi="仿宋" w:eastAsia="仿宋"/>
          <w:sz w:val="32"/>
          <w:szCs w:val="32"/>
          <w:lang w:val="en-US" w:eastAsia="zh-CN"/>
        </w:rPr>
        <w:t>0.12</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3274060"/>
            <wp:effectExtent l="6350" t="6350" r="13970" b="15240"/>
            <wp:docPr id="3" name="图表 3" descr="7b0a202020202263686172745265734964223a202232303436393732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1018.62</w:t>
      </w:r>
      <w:r>
        <w:rPr>
          <w:rFonts w:hint="eastAsia" w:ascii="仿宋" w:hAnsi="仿宋" w:eastAsia="仿宋"/>
          <w:sz w:val="32"/>
          <w:szCs w:val="32"/>
        </w:rPr>
        <w:t>万元，其中：基本支出</w:t>
      </w:r>
      <w:r>
        <w:rPr>
          <w:rFonts w:hint="eastAsia" w:ascii="仿宋" w:hAnsi="仿宋" w:eastAsia="仿宋"/>
          <w:sz w:val="32"/>
          <w:szCs w:val="32"/>
          <w:lang w:val="en-US" w:eastAsia="zh-CN"/>
        </w:rPr>
        <w:t>1017.42</w:t>
      </w:r>
      <w:r>
        <w:rPr>
          <w:rFonts w:hint="eastAsia" w:ascii="仿宋" w:hAnsi="仿宋" w:eastAsia="仿宋"/>
          <w:sz w:val="32"/>
          <w:szCs w:val="32"/>
        </w:rPr>
        <w:t>万元，占</w:t>
      </w:r>
      <w:r>
        <w:rPr>
          <w:rFonts w:hint="eastAsia" w:ascii="仿宋" w:hAnsi="仿宋" w:eastAsia="仿宋"/>
          <w:sz w:val="32"/>
          <w:szCs w:val="32"/>
          <w:lang w:val="en-US" w:eastAsia="zh-CN"/>
        </w:rPr>
        <w:t>99.88</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1.2</w:t>
      </w:r>
      <w:r>
        <w:rPr>
          <w:rFonts w:hint="eastAsia" w:ascii="仿宋" w:hAnsi="仿宋" w:eastAsia="仿宋"/>
          <w:sz w:val="32"/>
          <w:szCs w:val="32"/>
        </w:rPr>
        <w:t>万元，占</w:t>
      </w:r>
      <w:r>
        <w:rPr>
          <w:rFonts w:hint="eastAsia" w:ascii="仿宋" w:hAnsi="仿宋" w:eastAsia="仿宋"/>
          <w:sz w:val="32"/>
          <w:szCs w:val="32"/>
          <w:lang w:val="en-US" w:eastAsia="zh-CN"/>
        </w:rPr>
        <w:t>0.12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lang w:val="en-US" w:eastAsia="zh-CN"/>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2"/>
        <w:rPr>
          <w:rFonts w:ascii="仿宋" w:hAnsi="仿宋" w:eastAsia="仿宋"/>
          <w:sz w:val="32"/>
          <w:szCs w:val="32"/>
          <w:shd w:val="pct10" w:color="auto" w:fill="FFFFFF"/>
        </w:rPr>
      </w:pPr>
      <w:r>
        <w:drawing>
          <wp:inline distT="0" distB="0" distL="114300" distR="114300">
            <wp:extent cx="5179695" cy="3837305"/>
            <wp:effectExtent l="4445" t="4445" r="16510" b="635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ascii="仿宋" w:hAnsi="仿宋" w:eastAsia="仿宋"/>
          <w:sz w:val="32"/>
          <w:szCs w:val="32"/>
          <w:shd w:val="pct10" w:color="auto" w:fill="FFFFFF"/>
        </w:rPr>
      </w:pPr>
    </w:p>
    <w:p>
      <w:pPr>
        <w:pStyle w:val="2"/>
        <w:rPr>
          <w:rFonts w:ascii="仿宋" w:hAnsi="仿宋" w:eastAsia="仿宋"/>
          <w:sz w:val="32"/>
          <w:szCs w:val="32"/>
          <w:shd w:val="pct10" w:color="auto" w:fill="FFFFFF"/>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hint="eastAsia" w:ascii="黑体" w:hAnsi="黑体" w:eastAsia="黑体"/>
          <w:sz w:val="32"/>
          <w:szCs w:val="32"/>
        </w:rPr>
      </w:pPr>
      <w:bookmarkStart w:id="28" w:name="_Toc15377208"/>
      <w:bookmarkStart w:id="29" w:name="_Toc15396606"/>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1018.62</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149.58</w:t>
      </w:r>
      <w:r>
        <w:rPr>
          <w:rFonts w:hint="eastAsia" w:ascii="仿宋" w:hAnsi="仿宋" w:eastAsia="仿宋"/>
          <w:sz w:val="32"/>
          <w:szCs w:val="32"/>
        </w:rPr>
        <w:t>万元，下降</w:t>
      </w:r>
      <w:r>
        <w:rPr>
          <w:rFonts w:hint="eastAsia" w:ascii="仿宋" w:hAnsi="仿宋" w:eastAsia="仿宋"/>
          <w:sz w:val="32"/>
          <w:szCs w:val="32"/>
          <w:lang w:val="en-US" w:eastAsia="zh-CN"/>
        </w:rPr>
        <w:t>14.68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人员经费的</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，工程项目</w:t>
      </w:r>
      <w:r>
        <w:rPr>
          <w:rFonts w:hint="eastAsia" w:ascii="仿宋" w:hAnsi="仿宋" w:eastAsia="仿宋"/>
          <w:color w:val="000000"/>
          <w:sz w:val="32"/>
          <w:szCs w:val="32"/>
          <w:lang w:val="en-US" w:eastAsia="zh-CN"/>
        </w:rPr>
        <w:t>减少</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pStyle w:val="2"/>
        <w:rPr>
          <w:rFonts w:hint="eastAsia"/>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420" w:firstLineChars="200"/>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黑体" w:hAnsi="黑体" w:eastAsia="黑体"/>
          <w:sz w:val="32"/>
          <w:szCs w:val="32"/>
        </w:rPr>
      </w:pPr>
      <w:r>
        <w:rPr>
          <w:rFonts w:hint="eastAsia" w:ascii="仿宋" w:hAnsi="仿宋" w:eastAsia="仿宋"/>
          <w:sz w:val="32"/>
          <w:szCs w:val="32"/>
        </w:rPr>
        <w:t>（图4：财政拨款收、支决算总计变动情况）（柱状图）</w:t>
      </w:r>
      <w:bookmarkStart w:id="30" w:name="_Toc15377209"/>
      <w:bookmarkStart w:id="31" w:name="_Toc15396607"/>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1017.42</w:t>
      </w:r>
      <w:r>
        <w:rPr>
          <w:rFonts w:hint="eastAsia" w:ascii="仿宋" w:hAnsi="仿宋" w:eastAsia="仿宋"/>
          <w:sz w:val="32"/>
          <w:szCs w:val="32"/>
        </w:rPr>
        <w:t>万元，占本年支出合计的</w:t>
      </w:r>
      <w:r>
        <w:rPr>
          <w:rFonts w:hint="eastAsia" w:ascii="仿宋" w:hAnsi="仿宋" w:eastAsia="仿宋"/>
          <w:sz w:val="32"/>
          <w:szCs w:val="32"/>
          <w:lang w:val="en-US" w:eastAsia="zh-CN"/>
        </w:rPr>
        <w:t>99.88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150.78</w:t>
      </w:r>
      <w:r>
        <w:rPr>
          <w:rFonts w:hint="eastAsia" w:ascii="仿宋" w:hAnsi="仿宋" w:eastAsia="仿宋"/>
          <w:sz w:val="32"/>
          <w:szCs w:val="32"/>
        </w:rPr>
        <w:t>万元，下降</w:t>
      </w:r>
      <w:r>
        <w:rPr>
          <w:rFonts w:hint="eastAsia" w:ascii="仿宋" w:hAnsi="仿宋" w:eastAsia="仿宋"/>
          <w:sz w:val="32"/>
          <w:szCs w:val="32"/>
          <w:lang w:val="en-US" w:eastAsia="zh-CN"/>
        </w:rPr>
        <w:t>14.82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人员经费的</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，工程项目</w:t>
      </w:r>
      <w:r>
        <w:rPr>
          <w:rFonts w:hint="eastAsia" w:ascii="仿宋" w:hAnsi="仿宋" w:eastAsia="仿宋"/>
          <w:color w:val="000000"/>
          <w:sz w:val="32"/>
          <w:szCs w:val="32"/>
          <w:lang w:val="en-US" w:eastAsia="zh-CN"/>
        </w:rPr>
        <w:t>减少</w:t>
      </w:r>
      <w:r>
        <w:rPr>
          <w:rFonts w:hint="eastAsia" w:ascii="仿宋" w:hAnsi="仿宋" w:eastAsia="仿宋"/>
          <w:sz w:val="32"/>
          <w:szCs w:val="32"/>
        </w:rPr>
        <w:t>。</w:t>
      </w:r>
    </w:p>
    <w:p>
      <w:pPr>
        <w:spacing w:line="600" w:lineRule="exact"/>
        <w:ind w:firstLine="420" w:firstLineChars="200"/>
      </w:pPr>
      <w:r>
        <w:drawing>
          <wp:anchor distT="0" distB="0" distL="114300" distR="114300" simplePos="0" relativeHeight="251660288" behindDoc="0" locked="0" layoutInCell="1" allowOverlap="1">
            <wp:simplePos x="0" y="0"/>
            <wp:positionH relativeFrom="column">
              <wp:posOffset>342265</wp:posOffset>
            </wp:positionH>
            <wp:positionV relativeFrom="paragraph">
              <wp:posOffset>48260</wp:posOffset>
            </wp:positionV>
            <wp:extent cx="4750435" cy="2802255"/>
            <wp:effectExtent l="4445" t="5080" r="7620" b="12065"/>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1017.42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846.57</w:t>
      </w:r>
      <w:r>
        <w:rPr>
          <w:rFonts w:hint="eastAsia" w:ascii="仿宋" w:hAnsi="仿宋" w:eastAsia="仿宋"/>
          <w:sz w:val="32"/>
          <w:szCs w:val="32"/>
        </w:rPr>
        <w:t>万元，占</w:t>
      </w:r>
      <w:r>
        <w:rPr>
          <w:rFonts w:hint="eastAsia" w:ascii="仿宋" w:hAnsi="仿宋" w:eastAsia="仿宋"/>
          <w:sz w:val="32"/>
          <w:szCs w:val="32"/>
          <w:lang w:val="en-US" w:eastAsia="zh-CN"/>
        </w:rPr>
        <w:t>83.21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78.64</w:t>
      </w:r>
      <w:r>
        <w:rPr>
          <w:rFonts w:hint="eastAsia" w:ascii="仿宋" w:hAnsi="仿宋" w:eastAsia="仿宋"/>
          <w:sz w:val="32"/>
          <w:szCs w:val="32"/>
        </w:rPr>
        <w:t>万元，占</w:t>
      </w:r>
      <w:r>
        <w:rPr>
          <w:rFonts w:hint="eastAsia" w:ascii="仿宋" w:hAnsi="仿宋" w:eastAsia="仿宋"/>
          <w:sz w:val="32"/>
          <w:szCs w:val="32"/>
          <w:lang w:val="en-US" w:eastAsia="zh-CN"/>
        </w:rPr>
        <w:t>7.73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36.89</w:t>
      </w:r>
      <w:r>
        <w:rPr>
          <w:rFonts w:hint="eastAsia" w:ascii="仿宋" w:hAnsi="仿宋" w:eastAsia="仿宋"/>
          <w:sz w:val="32"/>
          <w:szCs w:val="32"/>
        </w:rPr>
        <w:t>万元，占</w:t>
      </w:r>
      <w:r>
        <w:rPr>
          <w:rFonts w:hint="eastAsia" w:ascii="仿宋" w:hAnsi="仿宋" w:eastAsia="仿宋"/>
          <w:sz w:val="32"/>
          <w:szCs w:val="32"/>
          <w:lang w:val="en-US" w:eastAsia="zh-CN"/>
        </w:rPr>
        <w:t>3.63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55.33</w:t>
      </w:r>
      <w:r>
        <w:rPr>
          <w:rFonts w:hint="eastAsia" w:ascii="仿宋" w:hAnsi="仿宋" w:eastAsia="仿宋"/>
          <w:sz w:val="32"/>
          <w:szCs w:val="32"/>
        </w:rPr>
        <w:t>万元，占</w:t>
      </w:r>
      <w:r>
        <w:rPr>
          <w:rFonts w:hint="eastAsia" w:ascii="仿宋" w:hAnsi="仿宋" w:eastAsia="仿宋"/>
          <w:sz w:val="32"/>
          <w:szCs w:val="32"/>
          <w:lang w:val="en-US" w:eastAsia="zh-CN"/>
        </w:rPr>
        <w:t>5.43</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pStyle w:val="2"/>
        <w:rPr>
          <w:rFonts w:ascii="仿宋" w:hAnsi="仿宋" w:eastAsia="仿宋"/>
          <w:sz w:val="32"/>
          <w:szCs w:val="32"/>
        </w:rPr>
      </w:pPr>
      <w:r>
        <w:drawing>
          <wp:inline distT="0" distB="0" distL="114300" distR="114300">
            <wp:extent cx="5118735" cy="3575685"/>
            <wp:effectExtent l="4445" t="4445" r="20320" b="2032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8460"/>
      <w:bookmarkStart w:id="36" w:name="_Toc15377213"/>
      <w:bookmarkStart w:id="37" w:name="_Toc15377444"/>
      <w:r>
        <w:rPr>
          <w:rFonts w:hint="eastAsia" w:ascii="仿宋" w:hAnsi="仿宋" w:eastAsia="仿宋"/>
          <w:b/>
          <w:sz w:val="32"/>
          <w:szCs w:val="32"/>
        </w:rPr>
        <w:t>2022年一般公共预算支出决算数为</w:t>
      </w:r>
      <w:r>
        <w:rPr>
          <w:rFonts w:hint="eastAsia" w:ascii="仿宋" w:hAnsi="仿宋" w:eastAsia="仿宋"/>
          <w:b w:val="0"/>
          <w:bCs/>
          <w:sz w:val="32"/>
          <w:szCs w:val="32"/>
          <w:lang w:val="en-US" w:eastAsia="zh-CN"/>
        </w:rPr>
        <w:t>1017.42万元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5"/>
      <w:bookmarkEnd w:id="36"/>
      <w:bookmarkEnd w:id="37"/>
    </w:p>
    <w:p>
      <w:pPr>
        <w:numPr>
          <w:ilvl w:val="0"/>
          <w:numId w:val="0"/>
        </w:numPr>
        <w:spacing w:line="600" w:lineRule="exact"/>
        <w:ind w:firstLine="643" w:firstLineChars="200"/>
        <w:rPr>
          <w:rFonts w:hint="eastAsia" w:ascii="仿宋" w:hAnsi="仿宋" w:eastAsia="仿宋"/>
          <w:b/>
          <w:sz w:val="32"/>
          <w:szCs w:val="32"/>
          <w:highlight w:val="none"/>
          <w:lang w:eastAsia="zh-CN"/>
        </w:rPr>
      </w:pP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教育支出</w:t>
      </w:r>
      <w:r>
        <w:rPr>
          <w:rFonts w:hint="eastAsia" w:ascii="仿宋" w:hAnsi="仿宋" w:eastAsia="仿宋" w:cs="仿宋"/>
          <w:b/>
          <w:bCs/>
          <w:color w:val="000000"/>
          <w:sz w:val="32"/>
          <w:szCs w:val="32"/>
          <w:highlight w:val="none"/>
          <w:lang w:eastAsia="zh-CN"/>
        </w:rPr>
        <w:t>（</w:t>
      </w:r>
      <w:r>
        <w:rPr>
          <w:rStyle w:val="14"/>
          <w:rFonts w:hint="eastAsia" w:ascii="仿宋" w:hAnsi="仿宋" w:eastAsia="仿宋"/>
          <w:bCs/>
          <w:color w:val="000000"/>
          <w:sz w:val="32"/>
          <w:szCs w:val="32"/>
          <w:highlight w:val="none"/>
          <w:lang w:val="en-US" w:eastAsia="zh-CN"/>
        </w:rPr>
        <w:t>类）普通教育（款）</w:t>
      </w:r>
      <w:r>
        <w:rPr>
          <w:rStyle w:val="14"/>
          <w:rFonts w:hint="eastAsia" w:ascii="仿宋" w:hAnsi="仿宋" w:eastAsia="仿宋" w:cs="仿宋"/>
          <w:color w:val="000000"/>
          <w:sz w:val="32"/>
          <w:szCs w:val="32"/>
          <w:highlight w:val="none"/>
        </w:rPr>
        <w:t>小学教育</w:t>
      </w:r>
      <w:r>
        <w:rPr>
          <w:rStyle w:val="14"/>
          <w:rFonts w:hint="eastAsia" w:ascii="仿宋" w:hAnsi="仿宋" w:eastAsia="仿宋" w:cs="仿宋"/>
          <w:color w:val="000000"/>
          <w:sz w:val="32"/>
          <w:szCs w:val="32"/>
          <w:highlight w:val="none"/>
          <w:lang w:eastAsia="zh-CN"/>
        </w:rPr>
        <w:t>（</w:t>
      </w:r>
      <w:r>
        <w:rPr>
          <w:rStyle w:val="14"/>
          <w:rFonts w:hint="eastAsia" w:ascii="仿宋" w:hAnsi="仿宋" w:eastAsia="仿宋" w:cs="仿宋"/>
          <w:color w:val="000000"/>
          <w:sz w:val="32"/>
          <w:szCs w:val="32"/>
          <w:highlight w:val="none"/>
          <w:lang w:val="en-US" w:eastAsia="zh-CN"/>
        </w:rPr>
        <w:t>项）</w:t>
      </w:r>
      <w:r>
        <w:rPr>
          <w:rStyle w:val="14"/>
          <w:rFonts w:hint="eastAsia" w:ascii="仿宋" w:hAnsi="仿宋" w:eastAsia="仿宋" w:cs="仿宋"/>
          <w:b w:val="0"/>
          <w:bCs w:val="0"/>
          <w:color w:val="000000"/>
          <w:sz w:val="32"/>
          <w:szCs w:val="32"/>
          <w:highlight w:val="none"/>
        </w:rPr>
        <w:t>：支出决算数为</w:t>
      </w:r>
      <w:r>
        <w:rPr>
          <w:rStyle w:val="14"/>
          <w:rFonts w:hint="eastAsia" w:ascii="仿宋" w:hAnsi="仿宋" w:eastAsia="仿宋" w:cs="仿宋"/>
          <w:b w:val="0"/>
          <w:bCs w:val="0"/>
          <w:color w:val="000000"/>
          <w:sz w:val="32"/>
          <w:szCs w:val="32"/>
          <w:highlight w:val="none"/>
          <w:lang w:val="en-US" w:eastAsia="zh-CN"/>
        </w:rPr>
        <w:t>825.01</w:t>
      </w:r>
      <w:r>
        <w:rPr>
          <w:rStyle w:val="14"/>
          <w:rFonts w:hint="eastAsia" w:ascii="仿宋" w:hAnsi="仿宋" w:eastAsia="仿宋" w:cs="仿宋"/>
          <w:b w:val="0"/>
          <w:bCs w:val="0"/>
          <w:color w:val="000000"/>
          <w:sz w:val="32"/>
          <w:szCs w:val="32"/>
          <w:highlight w:val="none"/>
        </w:rPr>
        <w:t>万元，完成预算</w:t>
      </w:r>
      <w:r>
        <w:rPr>
          <w:rStyle w:val="14"/>
          <w:rFonts w:hint="eastAsia" w:ascii="仿宋" w:hAnsi="仿宋" w:eastAsia="仿宋" w:cs="仿宋"/>
          <w:b w:val="0"/>
          <w:bCs w:val="0"/>
          <w:color w:val="000000"/>
          <w:sz w:val="32"/>
          <w:szCs w:val="32"/>
          <w:highlight w:val="none"/>
          <w:lang w:val="en-US" w:eastAsia="zh-CN"/>
        </w:rPr>
        <w:t>100</w:t>
      </w:r>
      <w:r>
        <w:rPr>
          <w:rStyle w:val="14"/>
          <w:rFonts w:hint="eastAsia" w:ascii="仿宋" w:hAnsi="仿宋" w:eastAsia="仿宋" w:cs="仿宋"/>
          <w:b w:val="0"/>
          <w:bCs w:val="0"/>
          <w:color w:val="000000"/>
          <w:sz w:val="32"/>
          <w:szCs w:val="32"/>
          <w:highlight w:val="none"/>
        </w:rPr>
        <w:t>%</w:t>
      </w:r>
      <w:r>
        <w:rPr>
          <w:rStyle w:val="14"/>
          <w:rFonts w:hint="eastAsia" w:ascii="仿宋" w:hAnsi="仿宋" w:eastAsia="仿宋" w:cs="仿宋"/>
          <w:b w:val="0"/>
          <w:bCs w:val="0"/>
          <w:color w:val="000000"/>
          <w:sz w:val="32"/>
          <w:szCs w:val="32"/>
          <w:highlight w:val="none"/>
          <w:lang w:eastAsia="zh-CN"/>
        </w:rPr>
        <w:t>。</w:t>
      </w:r>
    </w:p>
    <w:p>
      <w:pPr>
        <w:numPr>
          <w:ilvl w:val="0"/>
          <w:numId w:val="0"/>
        </w:numPr>
        <w:spacing w:line="600" w:lineRule="exact"/>
        <w:ind w:firstLine="643" w:firstLineChars="200"/>
        <w:rPr>
          <w:rFonts w:hint="eastAsia" w:ascii="仿宋" w:hAnsi="仿宋" w:eastAsia="仿宋"/>
          <w:b/>
          <w:sz w:val="32"/>
          <w:szCs w:val="32"/>
          <w:highlight w:val="none"/>
          <w:lang w:eastAsia="zh-CN"/>
        </w:rPr>
      </w:pPr>
      <w:r>
        <w:rPr>
          <w:rFonts w:hint="eastAsia" w:ascii="仿宋" w:hAnsi="仿宋" w:eastAsia="仿宋" w:cs="仿宋"/>
          <w:b/>
          <w:bCs/>
          <w:color w:val="000000"/>
          <w:sz w:val="32"/>
          <w:szCs w:val="32"/>
          <w:highlight w:val="none"/>
          <w:lang w:val="en-US" w:eastAsia="zh-CN"/>
        </w:rPr>
        <w:t>2.</w:t>
      </w:r>
      <w:r>
        <w:rPr>
          <w:rFonts w:hint="eastAsia" w:ascii="仿宋" w:hAnsi="仿宋" w:eastAsia="仿宋" w:cs="仿宋"/>
          <w:b/>
          <w:bCs/>
          <w:color w:val="000000"/>
          <w:sz w:val="32"/>
          <w:szCs w:val="32"/>
          <w:highlight w:val="none"/>
        </w:rPr>
        <w:t>教育支出</w:t>
      </w:r>
      <w:r>
        <w:rPr>
          <w:rFonts w:hint="eastAsia" w:ascii="仿宋" w:hAnsi="仿宋" w:eastAsia="仿宋" w:cs="仿宋"/>
          <w:b/>
          <w:bCs/>
          <w:color w:val="000000"/>
          <w:sz w:val="32"/>
          <w:szCs w:val="32"/>
          <w:highlight w:val="none"/>
          <w:lang w:eastAsia="zh-CN"/>
        </w:rPr>
        <w:t>（</w:t>
      </w:r>
      <w:r>
        <w:rPr>
          <w:rStyle w:val="14"/>
          <w:rFonts w:hint="eastAsia" w:ascii="仿宋" w:hAnsi="仿宋" w:eastAsia="仿宋"/>
          <w:bCs/>
          <w:color w:val="000000"/>
          <w:sz w:val="32"/>
          <w:szCs w:val="32"/>
          <w:highlight w:val="none"/>
          <w:lang w:val="en-US" w:eastAsia="zh-CN"/>
        </w:rPr>
        <w:t>类）普通教育（款）</w:t>
      </w:r>
      <w:r>
        <w:rPr>
          <w:rStyle w:val="14"/>
          <w:rFonts w:hint="eastAsia" w:ascii="仿宋" w:hAnsi="仿宋" w:eastAsia="仿宋" w:cs="仿宋"/>
          <w:color w:val="000000"/>
          <w:sz w:val="32"/>
          <w:szCs w:val="32"/>
          <w:highlight w:val="none"/>
          <w:lang w:eastAsia="zh-CN"/>
        </w:rPr>
        <w:t>初中</w:t>
      </w:r>
      <w:r>
        <w:rPr>
          <w:rStyle w:val="14"/>
          <w:rFonts w:hint="eastAsia" w:ascii="仿宋" w:hAnsi="仿宋" w:eastAsia="仿宋" w:cs="仿宋"/>
          <w:color w:val="000000"/>
          <w:sz w:val="32"/>
          <w:szCs w:val="32"/>
          <w:highlight w:val="none"/>
        </w:rPr>
        <w:t>教育</w:t>
      </w:r>
      <w:r>
        <w:rPr>
          <w:rStyle w:val="14"/>
          <w:rFonts w:hint="eastAsia" w:ascii="仿宋" w:hAnsi="仿宋" w:eastAsia="仿宋" w:cs="仿宋"/>
          <w:color w:val="000000"/>
          <w:sz w:val="32"/>
          <w:szCs w:val="32"/>
          <w:highlight w:val="none"/>
          <w:lang w:eastAsia="zh-CN"/>
        </w:rPr>
        <w:t>（</w:t>
      </w:r>
      <w:r>
        <w:rPr>
          <w:rStyle w:val="14"/>
          <w:rFonts w:hint="eastAsia" w:ascii="仿宋" w:hAnsi="仿宋" w:eastAsia="仿宋" w:cs="仿宋"/>
          <w:color w:val="000000"/>
          <w:sz w:val="32"/>
          <w:szCs w:val="32"/>
          <w:highlight w:val="none"/>
          <w:lang w:val="en-US" w:eastAsia="zh-CN"/>
        </w:rPr>
        <w:t>项）：</w:t>
      </w:r>
      <w:r>
        <w:rPr>
          <w:rStyle w:val="14"/>
          <w:rFonts w:hint="eastAsia" w:ascii="仿宋" w:hAnsi="仿宋" w:eastAsia="仿宋" w:cs="仿宋"/>
          <w:b w:val="0"/>
          <w:bCs w:val="0"/>
          <w:color w:val="000000"/>
          <w:sz w:val="32"/>
          <w:szCs w:val="32"/>
          <w:highlight w:val="none"/>
        </w:rPr>
        <w:t>支出决算数为</w:t>
      </w:r>
      <w:r>
        <w:rPr>
          <w:rStyle w:val="14"/>
          <w:rFonts w:hint="eastAsia" w:ascii="仿宋" w:hAnsi="仿宋" w:eastAsia="仿宋" w:cs="仿宋"/>
          <w:b w:val="0"/>
          <w:bCs w:val="0"/>
          <w:color w:val="000000"/>
          <w:sz w:val="32"/>
          <w:szCs w:val="32"/>
          <w:highlight w:val="none"/>
          <w:lang w:val="en-US" w:eastAsia="zh-CN"/>
        </w:rPr>
        <w:t>21.56</w:t>
      </w:r>
      <w:r>
        <w:rPr>
          <w:rStyle w:val="14"/>
          <w:rFonts w:hint="eastAsia" w:ascii="仿宋" w:hAnsi="仿宋" w:eastAsia="仿宋" w:cs="仿宋"/>
          <w:b w:val="0"/>
          <w:bCs w:val="0"/>
          <w:color w:val="000000"/>
          <w:sz w:val="32"/>
          <w:szCs w:val="32"/>
          <w:highlight w:val="none"/>
        </w:rPr>
        <w:t>万元，完成预算</w:t>
      </w:r>
      <w:r>
        <w:rPr>
          <w:rStyle w:val="14"/>
          <w:rFonts w:hint="eastAsia" w:ascii="仿宋" w:hAnsi="仿宋" w:eastAsia="仿宋" w:cs="仿宋"/>
          <w:b w:val="0"/>
          <w:bCs w:val="0"/>
          <w:color w:val="000000"/>
          <w:sz w:val="32"/>
          <w:szCs w:val="32"/>
          <w:highlight w:val="none"/>
          <w:lang w:val="en-US" w:eastAsia="zh-CN"/>
        </w:rPr>
        <w:t>100</w:t>
      </w:r>
      <w:r>
        <w:rPr>
          <w:rStyle w:val="14"/>
          <w:rFonts w:hint="eastAsia" w:ascii="仿宋" w:hAnsi="仿宋" w:eastAsia="仿宋" w:cs="仿宋"/>
          <w:b w:val="0"/>
          <w:bCs w:val="0"/>
          <w:color w:val="000000"/>
          <w:sz w:val="32"/>
          <w:szCs w:val="32"/>
          <w:highlight w:val="none"/>
        </w:rPr>
        <w:t>%</w:t>
      </w:r>
      <w:r>
        <w:rPr>
          <w:rStyle w:val="14"/>
          <w:rFonts w:hint="eastAsia" w:ascii="仿宋" w:hAnsi="仿宋" w:eastAsia="仿宋" w:cs="仿宋"/>
          <w:b w:val="0"/>
          <w:bCs w:val="0"/>
          <w:color w:val="000000"/>
          <w:sz w:val="32"/>
          <w:szCs w:val="32"/>
          <w:highlight w:val="none"/>
          <w:lang w:eastAsia="zh-CN"/>
        </w:rPr>
        <w:t>；</w:t>
      </w:r>
    </w:p>
    <w:p>
      <w:pPr>
        <w:numPr>
          <w:ilvl w:val="0"/>
          <w:numId w:val="0"/>
        </w:num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rPr>
        <w:t>社会保障和就业</w:t>
      </w:r>
      <w:r>
        <w:rPr>
          <w:rFonts w:hint="eastAsia" w:ascii="仿宋" w:hAnsi="仿宋" w:eastAsia="仿宋" w:cs="仿宋"/>
          <w:b/>
          <w:bCs/>
          <w:color w:val="000000"/>
          <w:sz w:val="32"/>
          <w:szCs w:val="32"/>
          <w:lang w:eastAsia="zh-CN"/>
        </w:rPr>
        <w:t>（</w:t>
      </w:r>
      <w:r>
        <w:rPr>
          <w:rStyle w:val="14"/>
          <w:rFonts w:hint="eastAsia" w:ascii="仿宋" w:hAnsi="仿宋" w:eastAsia="仿宋"/>
          <w:bCs/>
          <w:color w:val="000000"/>
          <w:sz w:val="32"/>
          <w:szCs w:val="32"/>
          <w:lang w:val="en-US" w:eastAsia="zh-CN"/>
        </w:rPr>
        <w:t>类）行政事业单位养老保险支出（款）事业单位离退休（项）：</w:t>
      </w:r>
      <w:r>
        <w:rPr>
          <w:rFonts w:hint="eastAsia" w:ascii="仿宋" w:hAnsi="仿宋" w:eastAsia="仿宋" w:cs="仿宋"/>
          <w:color w:val="000000"/>
          <w:sz w:val="32"/>
          <w:szCs w:val="32"/>
          <w:lang w:val="en-US" w:eastAsia="zh-CN"/>
        </w:rPr>
        <w:t>支出4.87万元，</w:t>
      </w:r>
      <w:r>
        <w:rPr>
          <w:rStyle w:val="14"/>
          <w:rFonts w:hint="eastAsia" w:ascii="仿宋" w:hAnsi="仿宋" w:eastAsia="仿宋" w:cs="仿宋"/>
          <w:b w:val="0"/>
          <w:bCs w:val="0"/>
          <w:color w:val="000000"/>
          <w:sz w:val="32"/>
          <w:szCs w:val="32"/>
          <w:highlight w:val="none"/>
        </w:rPr>
        <w:t>完成预算</w:t>
      </w:r>
      <w:r>
        <w:rPr>
          <w:rStyle w:val="14"/>
          <w:rFonts w:hint="eastAsia" w:ascii="仿宋" w:hAnsi="仿宋" w:eastAsia="仿宋" w:cs="仿宋"/>
          <w:b w:val="0"/>
          <w:bCs w:val="0"/>
          <w:color w:val="000000"/>
          <w:sz w:val="32"/>
          <w:szCs w:val="32"/>
          <w:highlight w:val="none"/>
          <w:lang w:val="en-US" w:eastAsia="zh-CN"/>
        </w:rPr>
        <w:t>100</w:t>
      </w:r>
      <w:r>
        <w:rPr>
          <w:rStyle w:val="14"/>
          <w:rFonts w:hint="eastAsia" w:ascii="仿宋" w:hAnsi="仿宋" w:eastAsia="仿宋" w:cs="仿宋"/>
          <w:b w:val="0"/>
          <w:bCs w:val="0"/>
          <w:color w:val="000000"/>
          <w:sz w:val="32"/>
          <w:szCs w:val="32"/>
          <w:highlight w:val="none"/>
        </w:rPr>
        <w:t>%</w:t>
      </w:r>
      <w:r>
        <w:rPr>
          <w:rStyle w:val="14"/>
          <w:rFonts w:hint="eastAsia" w:ascii="仿宋" w:hAnsi="仿宋" w:eastAsia="仿宋" w:cs="仿宋"/>
          <w:b w:val="0"/>
          <w:bCs w:val="0"/>
          <w:color w:val="000000"/>
          <w:sz w:val="32"/>
          <w:szCs w:val="32"/>
          <w:highlight w:val="none"/>
          <w:lang w:eastAsia="zh-CN"/>
        </w:rPr>
        <w:t>。</w:t>
      </w:r>
    </w:p>
    <w:p>
      <w:pPr>
        <w:numPr>
          <w:ilvl w:val="0"/>
          <w:numId w:val="0"/>
        </w:num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社会保障和就业</w:t>
      </w:r>
      <w:r>
        <w:rPr>
          <w:rFonts w:hint="eastAsia" w:ascii="仿宋" w:hAnsi="仿宋" w:eastAsia="仿宋" w:cs="仿宋"/>
          <w:b/>
          <w:bCs/>
          <w:color w:val="000000"/>
          <w:sz w:val="32"/>
          <w:szCs w:val="32"/>
          <w:lang w:eastAsia="zh-CN"/>
        </w:rPr>
        <w:t>（</w:t>
      </w:r>
      <w:r>
        <w:rPr>
          <w:rStyle w:val="14"/>
          <w:rFonts w:hint="eastAsia" w:ascii="仿宋" w:hAnsi="仿宋" w:eastAsia="仿宋"/>
          <w:bCs/>
          <w:color w:val="000000"/>
          <w:sz w:val="32"/>
          <w:szCs w:val="32"/>
          <w:lang w:val="en-US" w:eastAsia="zh-CN"/>
        </w:rPr>
        <w:t>类）行政事业单位养老保险支出（款）机关事业单位基本养老保险缴费支出（项）：</w:t>
      </w:r>
      <w:r>
        <w:rPr>
          <w:rFonts w:hint="eastAsia" w:ascii="仿宋" w:hAnsi="仿宋" w:eastAsia="仿宋" w:cs="仿宋"/>
          <w:color w:val="000000"/>
          <w:sz w:val="32"/>
          <w:szCs w:val="32"/>
          <w:lang w:val="en-US" w:eastAsia="zh-CN"/>
        </w:rPr>
        <w:t>支出73.77万元，</w:t>
      </w:r>
      <w:r>
        <w:rPr>
          <w:rStyle w:val="14"/>
          <w:rFonts w:hint="eastAsia" w:ascii="仿宋" w:hAnsi="仿宋" w:eastAsia="仿宋" w:cs="仿宋"/>
          <w:b w:val="0"/>
          <w:bCs w:val="0"/>
          <w:color w:val="000000"/>
          <w:sz w:val="32"/>
          <w:szCs w:val="32"/>
          <w:highlight w:val="none"/>
        </w:rPr>
        <w:t>完成预算</w:t>
      </w:r>
      <w:r>
        <w:rPr>
          <w:rStyle w:val="14"/>
          <w:rFonts w:hint="eastAsia" w:ascii="仿宋" w:hAnsi="仿宋" w:eastAsia="仿宋" w:cs="仿宋"/>
          <w:b w:val="0"/>
          <w:bCs w:val="0"/>
          <w:color w:val="000000"/>
          <w:sz w:val="32"/>
          <w:szCs w:val="32"/>
          <w:highlight w:val="none"/>
          <w:lang w:val="en-US" w:eastAsia="zh-CN"/>
        </w:rPr>
        <w:t>100</w:t>
      </w:r>
      <w:r>
        <w:rPr>
          <w:rStyle w:val="14"/>
          <w:rFonts w:hint="eastAsia" w:ascii="仿宋" w:hAnsi="仿宋" w:eastAsia="仿宋" w:cs="仿宋"/>
          <w:b w:val="0"/>
          <w:bCs w:val="0"/>
          <w:color w:val="000000"/>
          <w:sz w:val="32"/>
          <w:szCs w:val="32"/>
          <w:highlight w:val="none"/>
        </w:rPr>
        <w:t>%</w:t>
      </w:r>
      <w:r>
        <w:rPr>
          <w:rStyle w:val="14"/>
          <w:rFonts w:hint="eastAsia" w:ascii="仿宋" w:hAnsi="仿宋" w:eastAsia="仿宋" w:cs="仿宋"/>
          <w:b w:val="0"/>
          <w:bCs w:val="0"/>
          <w:color w:val="000000"/>
          <w:sz w:val="32"/>
          <w:szCs w:val="32"/>
          <w:highlight w:val="none"/>
          <w:lang w:eastAsia="zh-CN"/>
        </w:rPr>
        <w:t>。</w:t>
      </w:r>
    </w:p>
    <w:p>
      <w:pPr>
        <w:spacing w:line="600" w:lineRule="exact"/>
        <w:ind w:firstLine="643" w:firstLineChars="200"/>
        <w:rPr>
          <w:rStyle w:val="14"/>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rPr>
        <w:t>卫生健康支出</w:t>
      </w:r>
      <w:r>
        <w:rPr>
          <w:rFonts w:hint="eastAsia" w:ascii="仿宋" w:hAnsi="仿宋" w:eastAsia="仿宋" w:cs="仿宋"/>
          <w:b/>
          <w:bCs/>
          <w:color w:val="000000"/>
          <w:sz w:val="32"/>
          <w:szCs w:val="32"/>
          <w:lang w:eastAsia="zh-CN"/>
        </w:rPr>
        <w:t>（</w:t>
      </w:r>
      <w:r>
        <w:rPr>
          <w:rStyle w:val="14"/>
          <w:rFonts w:hint="eastAsia" w:ascii="仿宋" w:hAnsi="仿宋" w:eastAsia="仿宋"/>
          <w:bCs/>
          <w:color w:val="000000"/>
          <w:sz w:val="32"/>
          <w:szCs w:val="32"/>
          <w:lang w:val="en-US" w:eastAsia="zh-CN"/>
        </w:rPr>
        <w:t>类）行政事业单位医疗（款）事业单位医疗（项）</w:t>
      </w:r>
      <w:r>
        <w:rPr>
          <w:rStyle w:val="14"/>
          <w:rFonts w:hint="eastAsia" w:ascii="仿宋" w:hAnsi="仿宋" w:eastAsia="仿宋" w:cs="仿宋"/>
          <w:color w:val="000000"/>
          <w:sz w:val="32"/>
          <w:szCs w:val="32"/>
        </w:rPr>
        <w:t>：</w:t>
      </w:r>
      <w:r>
        <w:rPr>
          <w:rStyle w:val="14"/>
          <w:rFonts w:hint="eastAsia" w:ascii="仿宋" w:hAnsi="仿宋" w:eastAsia="仿宋" w:cs="仿宋"/>
          <w:b w:val="0"/>
          <w:bCs w:val="0"/>
          <w:color w:val="000000"/>
          <w:sz w:val="32"/>
          <w:szCs w:val="32"/>
        </w:rPr>
        <w:t>支出决算为</w:t>
      </w:r>
      <w:r>
        <w:rPr>
          <w:rStyle w:val="14"/>
          <w:rFonts w:hint="eastAsia" w:ascii="仿宋" w:hAnsi="仿宋" w:eastAsia="仿宋" w:cs="仿宋"/>
          <w:b w:val="0"/>
          <w:bCs w:val="0"/>
          <w:color w:val="000000"/>
          <w:sz w:val="32"/>
          <w:szCs w:val="32"/>
          <w:lang w:val="en-US" w:eastAsia="zh-CN"/>
        </w:rPr>
        <w:t>36.89</w:t>
      </w:r>
      <w:r>
        <w:rPr>
          <w:rStyle w:val="14"/>
          <w:rFonts w:hint="eastAsia" w:ascii="仿宋" w:hAnsi="仿宋" w:eastAsia="仿宋" w:cs="仿宋"/>
          <w:b w:val="0"/>
          <w:bCs w:val="0"/>
          <w:color w:val="000000"/>
          <w:sz w:val="32"/>
          <w:szCs w:val="32"/>
        </w:rPr>
        <w:t>万元，完成预算</w:t>
      </w:r>
      <w:r>
        <w:rPr>
          <w:rStyle w:val="14"/>
          <w:rFonts w:hint="eastAsia" w:ascii="仿宋" w:hAnsi="仿宋" w:eastAsia="仿宋" w:cs="仿宋"/>
          <w:b w:val="0"/>
          <w:bCs w:val="0"/>
          <w:color w:val="000000"/>
          <w:sz w:val="32"/>
          <w:szCs w:val="32"/>
          <w:lang w:val="en-US" w:eastAsia="zh-CN"/>
        </w:rPr>
        <w:t>100</w:t>
      </w:r>
      <w:r>
        <w:rPr>
          <w:rStyle w:val="14"/>
          <w:rFonts w:ascii="仿宋" w:hAnsi="仿宋" w:eastAsia="仿宋" w:cs="仿宋"/>
          <w:b w:val="0"/>
          <w:bCs w:val="0"/>
          <w:color w:val="000000"/>
          <w:sz w:val="32"/>
          <w:szCs w:val="32"/>
        </w:rPr>
        <w:t>%</w:t>
      </w:r>
      <w:r>
        <w:rPr>
          <w:rStyle w:val="14"/>
          <w:rFonts w:hint="eastAsia" w:ascii="仿宋" w:hAnsi="仿宋" w:eastAsia="仿宋" w:cs="仿宋"/>
          <w:b w:val="0"/>
          <w:bCs w:val="0"/>
          <w:color w:val="000000"/>
          <w:sz w:val="32"/>
          <w:szCs w:val="32"/>
        </w:rPr>
        <w:t>。</w:t>
      </w:r>
    </w:p>
    <w:p>
      <w:pPr>
        <w:tabs>
          <w:tab w:val="right" w:pos="8306"/>
        </w:tabs>
        <w:spacing w:line="600" w:lineRule="exact"/>
        <w:ind w:firstLine="640"/>
        <w:outlineLvl w:val="1"/>
        <w:rPr>
          <w:rFonts w:hint="eastAsia" w:ascii="仿宋" w:hAnsi="仿宋" w:eastAsia="仿宋"/>
          <w:b/>
          <w:sz w:val="32"/>
          <w:szCs w:val="32"/>
          <w:lang w:eastAsia="zh-CN"/>
        </w:rPr>
      </w:pPr>
      <w:r>
        <w:rPr>
          <w:rFonts w:hint="eastAsia" w:ascii="仿宋" w:hAnsi="仿宋" w:eastAsia="仿宋" w:cs="仿宋"/>
          <w:b/>
          <w:bCs/>
          <w:color w:val="000000"/>
          <w:sz w:val="32"/>
          <w:szCs w:val="32"/>
          <w:lang w:val="en-US" w:eastAsia="zh-CN"/>
        </w:rPr>
        <w:t>6.</w:t>
      </w:r>
      <w:r>
        <w:rPr>
          <w:rFonts w:hint="eastAsia" w:ascii="仿宋" w:hAnsi="仿宋" w:eastAsia="仿宋" w:cs="仿宋"/>
          <w:b/>
          <w:bCs/>
          <w:color w:val="000000"/>
          <w:sz w:val="32"/>
          <w:szCs w:val="32"/>
        </w:rPr>
        <w:t>住房保障支出</w:t>
      </w:r>
      <w:r>
        <w:rPr>
          <w:rFonts w:hint="eastAsia" w:ascii="仿宋" w:hAnsi="仿宋" w:eastAsia="仿宋" w:cs="仿宋"/>
          <w:b/>
          <w:bCs/>
          <w:color w:val="000000"/>
          <w:sz w:val="32"/>
          <w:szCs w:val="32"/>
          <w:lang w:eastAsia="zh-CN"/>
        </w:rPr>
        <w:t>（</w:t>
      </w:r>
      <w:r>
        <w:rPr>
          <w:rStyle w:val="14"/>
          <w:rFonts w:hint="eastAsia" w:ascii="仿宋" w:hAnsi="仿宋" w:eastAsia="仿宋"/>
          <w:bCs/>
          <w:color w:val="000000"/>
          <w:sz w:val="32"/>
          <w:szCs w:val="32"/>
          <w:lang w:val="en-US" w:eastAsia="zh-CN"/>
        </w:rPr>
        <w:t>类）住房改革支出（款）住房公积金（项）：</w:t>
      </w:r>
      <w:r>
        <w:rPr>
          <w:rStyle w:val="14"/>
          <w:rFonts w:hint="eastAsia" w:ascii="仿宋" w:hAnsi="仿宋" w:eastAsia="仿宋" w:cs="仿宋"/>
          <w:b w:val="0"/>
          <w:bCs w:val="0"/>
          <w:color w:val="000000"/>
          <w:sz w:val="32"/>
          <w:szCs w:val="32"/>
        </w:rPr>
        <w:t>支出决算数为</w:t>
      </w:r>
      <w:r>
        <w:rPr>
          <w:rStyle w:val="14"/>
          <w:rFonts w:hint="eastAsia" w:ascii="仿宋" w:hAnsi="仿宋" w:eastAsia="仿宋" w:cs="仿宋"/>
          <w:b w:val="0"/>
          <w:bCs w:val="0"/>
          <w:color w:val="000000"/>
          <w:sz w:val="32"/>
          <w:szCs w:val="32"/>
          <w:lang w:val="en-US" w:eastAsia="zh-CN"/>
        </w:rPr>
        <w:t>55.33</w:t>
      </w:r>
      <w:r>
        <w:rPr>
          <w:rStyle w:val="14"/>
          <w:rFonts w:hint="eastAsia" w:ascii="仿宋" w:hAnsi="仿宋" w:eastAsia="仿宋" w:cs="仿宋"/>
          <w:b w:val="0"/>
          <w:bCs w:val="0"/>
          <w:color w:val="000000"/>
          <w:sz w:val="32"/>
          <w:szCs w:val="32"/>
        </w:rPr>
        <w:t>万元，完成预算</w:t>
      </w:r>
      <w:r>
        <w:rPr>
          <w:rStyle w:val="14"/>
          <w:rFonts w:hint="eastAsia" w:ascii="仿宋" w:hAnsi="仿宋" w:eastAsia="仿宋" w:cs="仿宋"/>
          <w:b w:val="0"/>
          <w:bCs w:val="0"/>
          <w:color w:val="000000"/>
          <w:sz w:val="32"/>
          <w:szCs w:val="32"/>
          <w:lang w:val="en-US" w:eastAsia="zh-CN"/>
        </w:rPr>
        <w:t>100</w:t>
      </w:r>
      <w:r>
        <w:rPr>
          <w:rStyle w:val="14"/>
          <w:rFonts w:hint="eastAsia" w:ascii="仿宋" w:hAnsi="仿宋" w:eastAsia="仿宋" w:cs="仿宋"/>
          <w:b w:val="0"/>
          <w:bCs w:val="0"/>
          <w:color w:val="000000"/>
          <w:sz w:val="32"/>
          <w:szCs w:val="32"/>
        </w:rPr>
        <w:t>%</w:t>
      </w:r>
      <w:r>
        <w:rPr>
          <w:rStyle w:val="14"/>
          <w:rFonts w:hint="eastAsia" w:ascii="仿宋" w:hAnsi="仿宋" w:eastAsia="仿宋" w:cs="仿宋"/>
          <w:b w:val="0"/>
          <w:bCs w:val="0"/>
          <w:color w:val="000000"/>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5"/>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b w:val="0"/>
          <w:bCs/>
          <w:sz w:val="32"/>
          <w:szCs w:val="32"/>
          <w:lang w:val="en-US" w:eastAsia="zh-CN"/>
        </w:rPr>
        <w:t>1017.42万元</w:t>
      </w:r>
      <w:r>
        <w:rPr>
          <w:rFonts w:hint="eastAsia" w:ascii="仿宋" w:hAnsi="仿宋" w:eastAsia="仿宋"/>
          <w:sz w:val="32"/>
          <w:szCs w:val="32"/>
        </w:rPr>
        <w:t>，其中：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948.52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68.90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26.32</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pPr>
      <w:r>
        <w:drawing>
          <wp:inline distT="0" distB="0" distL="114300" distR="114300">
            <wp:extent cx="4871720" cy="2623820"/>
            <wp:effectExtent l="4445" t="5080" r="19685" b="1905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剑阁县江口嘉陵学校无因公出国（境）经费支出预算</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剑阁县江口嘉陵学校无公务用车购置及运行维护费支出预算</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26.32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受疫情影响，公务接待费预算减少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0.38</w:t>
      </w:r>
      <w:r>
        <w:rPr>
          <w:rFonts w:hint="eastAsia" w:ascii="仿宋_GB2312" w:eastAsia="仿宋_GB2312"/>
          <w:sz w:val="32"/>
          <w:szCs w:val="32"/>
        </w:rPr>
        <w:t>万元，主要用于执行公务、开展业务活动开支的交通费、住宿费、用餐费等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20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万元，具体内容包括：接待退休教师0.</w:t>
      </w:r>
      <w:r>
        <w:rPr>
          <w:rFonts w:hint="eastAsia" w:ascii="仿宋_GB2312" w:eastAsia="仿宋_GB2312"/>
          <w:sz w:val="32"/>
          <w:szCs w:val="32"/>
          <w:lang w:val="en-US" w:eastAsia="zh-CN"/>
        </w:rPr>
        <w:t>29</w:t>
      </w:r>
      <w:r>
        <w:rPr>
          <w:rFonts w:hint="eastAsia" w:ascii="仿宋_GB2312" w:eastAsia="仿宋_GB2312"/>
          <w:sz w:val="32"/>
          <w:szCs w:val="32"/>
        </w:rPr>
        <w:t>万元，接待外来活动人员0.</w:t>
      </w:r>
      <w:r>
        <w:rPr>
          <w:rFonts w:hint="eastAsia" w:ascii="仿宋_GB2312" w:eastAsia="仿宋_GB2312"/>
          <w:sz w:val="32"/>
          <w:szCs w:val="32"/>
          <w:lang w:val="en-US" w:eastAsia="zh-CN"/>
        </w:rPr>
        <w:t>0</w:t>
      </w:r>
      <w:r>
        <w:rPr>
          <w:rFonts w:hint="eastAsia" w:ascii="仿宋_GB2312" w:eastAsia="仿宋_GB2312"/>
          <w:sz w:val="32"/>
          <w:szCs w:val="32"/>
        </w:rPr>
        <w:t>9万元。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Fonts w:ascii="黑体" w:eastAsia="黑体"/>
          <w:sz w:val="32"/>
          <w:szCs w:val="32"/>
        </w:rPr>
      </w:pPr>
      <w:bookmarkStart w:id="44" w:name="_Toc15377218"/>
      <w:bookmarkStart w:id="45"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1.2</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8" w:name="_Toc15377221"/>
      <w:bookmarkStart w:id="49" w:name="_Toc15396612"/>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剑阁县江口嘉陵学校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剑阁县江口嘉陵学校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剑阁县江口嘉陵学校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hint="eastAsia" w:ascii="仿宋_GB2312" w:eastAsia="仿宋_GB2312"/>
          <w:sz w:val="32"/>
          <w:szCs w:val="32"/>
        </w:rPr>
        <w:t>根据预算绩效管理要求，本单位在2022年度预算编制阶段，组织对人员类项目和运转类项目等3个项目开展了预算事前绩效评估，对3个项目编制了绩效目标，预算执行过程中，选取3个项目开展绩效监控，组织对3个项目开展绩效自评，绩效自评表详见第四部分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ind w:firstLine="640" w:firstLineChars="200"/>
        <w:rPr>
          <w:rFonts w:hint="eastAsia"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教育（类）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学前教育</w:t>
      </w:r>
      <w:r>
        <w:rPr>
          <w:rFonts w:hint="eastAsia" w:ascii="仿宋_GB2312" w:eastAsia="仿宋_GB2312"/>
          <w:sz w:val="32"/>
          <w:szCs w:val="32"/>
        </w:rPr>
        <w:t>（项）：指</w:t>
      </w:r>
      <w:r>
        <w:rPr>
          <w:rFonts w:hint="eastAsia" w:ascii="仿宋_GB2312" w:eastAsia="仿宋_GB2312"/>
          <w:sz w:val="32"/>
          <w:szCs w:val="32"/>
          <w:lang w:val="en-US" w:eastAsia="zh-CN"/>
        </w:rPr>
        <w:t>单位从同级财政部门取得的学前教育资金。</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教育（类）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小学教育</w:t>
      </w:r>
      <w:r>
        <w:rPr>
          <w:rFonts w:hint="eastAsia" w:ascii="仿宋_GB2312" w:eastAsia="仿宋_GB2312"/>
          <w:sz w:val="32"/>
          <w:szCs w:val="32"/>
        </w:rPr>
        <w:t>（项）：指</w:t>
      </w:r>
      <w:r>
        <w:rPr>
          <w:rFonts w:hint="eastAsia" w:ascii="仿宋_GB2312" w:eastAsia="仿宋_GB2312"/>
          <w:sz w:val="32"/>
          <w:szCs w:val="32"/>
          <w:lang w:val="en-US" w:eastAsia="zh-CN"/>
        </w:rPr>
        <w:t>单位从同级财政部门取得的小学教育资金。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w:t>
      </w:r>
      <w:r>
        <w:rPr>
          <w:rFonts w:hint="eastAsia" w:ascii="仿宋_GB2312" w:eastAsia="仿宋_GB2312"/>
          <w:sz w:val="32"/>
          <w:szCs w:val="32"/>
        </w:rPr>
        <w:t>（款）</w:t>
      </w:r>
      <w:r>
        <w:rPr>
          <w:rFonts w:hint="eastAsia" w:ascii="仿宋_GB2312" w:eastAsia="仿宋_GB2312"/>
          <w:sz w:val="32"/>
          <w:szCs w:val="32"/>
          <w:lang w:val="en-US" w:eastAsia="zh-CN"/>
        </w:rPr>
        <w:t>机关事业单位养老保险缴费</w:t>
      </w:r>
      <w:r>
        <w:rPr>
          <w:rFonts w:hint="eastAsia" w:ascii="仿宋_GB2312" w:eastAsia="仿宋_GB2312"/>
          <w:sz w:val="32"/>
          <w:szCs w:val="32"/>
        </w:rPr>
        <w:t>（项）：指机关事业单位实施养老保险制度由单位缴纳的基本养老保险费。</w:t>
      </w:r>
    </w:p>
    <w:p>
      <w:pPr>
        <w:ind w:firstLine="640" w:firstLineChars="200"/>
        <w:rPr>
          <w:rFonts w:hint="eastAsia" w:ascii="仿宋_GB2312" w:eastAsia="仿宋_GB2312"/>
          <w:sz w:val="32"/>
          <w:szCs w:val="32"/>
          <w:lang w:val="en-US" w:eastAsia="zh-CN"/>
        </w:rPr>
      </w:pPr>
      <w:r>
        <w:rPr>
          <w:rFonts w:ascii="仿宋_GB2312" w:eastAsia="仿宋_GB2312"/>
          <w:sz w:val="32"/>
          <w:szCs w:val="32"/>
        </w:rPr>
        <w:t>5.</w:t>
      </w:r>
      <w:r>
        <w:rPr>
          <w:rFonts w:hint="eastAsia" w:ascii="仿宋_GB2312" w:eastAsia="仿宋_GB2312"/>
          <w:sz w:val="32"/>
          <w:szCs w:val="32"/>
        </w:rPr>
        <w:t>社会保障和就业（类）</w:t>
      </w:r>
      <w:r>
        <w:rPr>
          <w:rFonts w:hint="eastAsia" w:ascii="仿宋_GB2312" w:eastAsia="仿宋_GB2312"/>
          <w:sz w:val="32"/>
          <w:szCs w:val="32"/>
          <w:lang w:val="en-US" w:eastAsia="zh-CN"/>
        </w:rPr>
        <w:t>其他社会保障和就业</w:t>
      </w:r>
      <w:r>
        <w:rPr>
          <w:rFonts w:hint="eastAsia" w:ascii="仿宋_GB2312" w:eastAsia="仿宋_GB2312"/>
          <w:sz w:val="32"/>
          <w:szCs w:val="32"/>
        </w:rPr>
        <w:t>（款）</w:t>
      </w:r>
      <w:r>
        <w:rPr>
          <w:rFonts w:hint="eastAsia" w:ascii="仿宋_GB2312" w:eastAsia="仿宋_GB2312"/>
          <w:sz w:val="32"/>
          <w:szCs w:val="32"/>
          <w:lang w:val="en-US" w:eastAsia="zh-CN"/>
        </w:rPr>
        <w:t>其他社会保障和就业</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lang w:val="en-US" w:eastAsia="zh-CN"/>
        </w:rPr>
        <w:t>除上述项目外，其他用于行政事业单位离退休方面的支出。</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卫生健康（类）</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事业单位医疗</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rPr>
        <w:t>局机关及参公管理事业单位用于缴纳单位基本医疗保险支出。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val="en-US" w:eastAsia="zh-CN"/>
        </w:rPr>
        <w:t>住房改革</w:t>
      </w:r>
      <w:r>
        <w:rPr>
          <w:rFonts w:hint="eastAsia" w:ascii="仿宋_GB2312" w:eastAsia="仿宋_GB2312"/>
          <w:sz w:val="32"/>
          <w:szCs w:val="32"/>
        </w:rPr>
        <w:t>（款）</w:t>
      </w:r>
      <w:r>
        <w:rPr>
          <w:rFonts w:hint="eastAsia" w:ascii="仿宋_GB2312" w:eastAsia="仿宋_GB2312"/>
          <w:sz w:val="32"/>
          <w:szCs w:val="32"/>
          <w:lang w:val="en-US" w:eastAsia="zh-CN"/>
        </w:rPr>
        <w:t>住房公积金</w:t>
      </w:r>
      <w:r>
        <w:rPr>
          <w:rFonts w:hint="eastAsia" w:ascii="仿宋_GB2312" w:eastAsia="仿宋_GB2312"/>
          <w:sz w:val="32"/>
          <w:szCs w:val="32"/>
        </w:rPr>
        <w:t>（项）：指按照《住房公积金管理条例》的规定，由单位及其在职职工缴存的长期住房储金。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sz w:val="32"/>
          <w:szCs w:val="32"/>
        </w:rPr>
      </w:pPr>
    </w:p>
    <w:p>
      <w:pPr>
        <w:spacing w:line="600" w:lineRule="exact"/>
        <w:jc w:val="center"/>
        <w:outlineLvl w:val="0"/>
        <w:rPr>
          <w:rFonts w:ascii="仿宋_GB2312" w:hAnsi="仿宋_GB2312" w:eastAsia="仿宋_GB2312" w:cs="仿宋_GB2312"/>
          <w:sz w:val="32"/>
          <w:szCs w:val="32"/>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4"/>
          <w:rFonts w:hint="eastAsia" w:ascii="黑体" w:hAnsi="黑体" w:eastAsia="黑体"/>
          <w:b w:val="0"/>
        </w:rPr>
        <w:t>四部分 附件</w:t>
      </w:r>
      <w:bookmarkEnd w:id="56"/>
    </w:p>
    <w:p>
      <w:pPr>
        <w:spacing w:line="600" w:lineRule="exact"/>
        <w:jc w:val="center"/>
        <w:outlineLvl w:val="0"/>
        <w:rPr>
          <w:rFonts w:ascii="宋体" w:hAnsi="宋体" w:cs="宋体"/>
          <w:kern w:val="0"/>
          <w:sz w:val="32"/>
          <w:szCs w:val="32"/>
        </w:rPr>
      </w:pPr>
      <w:bookmarkStart w:id="57" w:name="_Toc15396618"/>
      <w:r>
        <w:rPr>
          <w:rFonts w:hint="eastAsia" w:ascii="宋体" w:hAnsi="宋体" w:cs="宋体"/>
          <w:kern w:val="0"/>
          <w:sz w:val="32"/>
          <w:szCs w:val="32"/>
        </w:rPr>
        <w:t>部门预算项目支出绩效自评表（2022年度）</w:t>
      </w:r>
    </w:p>
    <w:tbl>
      <w:tblPr>
        <w:tblStyle w:val="12"/>
        <w:tblW w:w="57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651"/>
        <w:gridCol w:w="802"/>
        <w:gridCol w:w="1431"/>
        <w:gridCol w:w="434"/>
        <w:gridCol w:w="774"/>
        <w:gridCol w:w="423"/>
        <w:gridCol w:w="904"/>
        <w:gridCol w:w="576"/>
        <w:gridCol w:w="401"/>
        <w:gridCol w:w="2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15.49</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95.89%</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15.49</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95.89%</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145.34</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145.34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145.34</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145.34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遗属生活补助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14.85</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14.85</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103.57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104.83</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75.28%</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103.57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104.83</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78.92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75.28%</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为学龄前儿童提供保育和保教服务</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29.43</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91.76%</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29.43</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91.76%</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幼儿教育</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保育教育效果</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704.30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734.70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706.83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96.21%</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704.30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734.70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706.83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96.21%</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91.82</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74.71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81.37%</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91.82</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74.71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81.37%</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8.26</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58.99%</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8.26</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58.99%</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51082322T000005313478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新建项目补助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剑阁县江口嘉陵学校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6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7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5"/>
      <w:bookmarkEnd w:id="57"/>
      <w:bookmarkStart w:id="58"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5"/>
          <w:rFonts w:hint="eastAsia" w:ascii="仿宋" w:hAnsi="仿宋" w:eastAsia="仿宋"/>
          <w:b w:val="0"/>
          <w:bCs w:val="0"/>
        </w:rPr>
        <w:t>入决算表</w:t>
      </w:r>
      <w:bookmarkEnd w:id="59"/>
    </w:p>
    <w:p>
      <w:pPr>
        <w:pStyle w:val="4"/>
        <w:rPr>
          <w:rFonts w:ascii="仿宋" w:hAnsi="仿宋" w:eastAsia="仿宋"/>
        </w:rPr>
      </w:pPr>
      <w:bookmarkStart w:id="60"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1"/>
    </w:p>
    <w:p>
      <w:pPr>
        <w:pStyle w:val="4"/>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5"/>
          <w:rFonts w:hint="eastAsia" w:ascii="仿宋" w:hAnsi="仿宋" w:eastAsia="仿宋"/>
          <w:b w:val="0"/>
          <w:bCs w:val="0"/>
        </w:rPr>
        <w:t>十、</w:t>
      </w:r>
      <w:bookmarkEnd w:id="67"/>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5"/>
          <w:rFonts w:hint="eastAsia" w:ascii="仿宋" w:hAnsi="仿宋" w:eastAsia="仿宋"/>
          <w:b w:val="0"/>
          <w:bCs w:val="0"/>
        </w:rPr>
        <w:t>十一、</w:t>
      </w:r>
      <w:bookmarkEnd w:id="68"/>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5"/>
          <w:rFonts w:hint="eastAsia" w:ascii="仿宋" w:hAnsi="仿宋" w:eastAsia="仿宋"/>
          <w:b w:val="0"/>
          <w:bCs w:val="0"/>
        </w:rPr>
        <w:t>十二、</w:t>
      </w:r>
      <w:bookmarkEnd w:id="69"/>
      <w:r>
        <w:rPr>
          <w:rStyle w:val="25"/>
          <w:rFonts w:hint="eastAsia" w:ascii="仿宋" w:hAnsi="仿宋" w:eastAsia="仿宋"/>
          <w:b w:val="0"/>
          <w:bCs w:val="0"/>
        </w:rPr>
        <w:t>国有资本经营预算财政拨款支出决算表</w:t>
      </w:r>
    </w:p>
    <w:p>
      <w:pPr>
        <w:pStyle w:val="4"/>
        <w:rPr>
          <w:rFonts w:eastAsia="仿宋"/>
        </w:rPr>
      </w:pPr>
      <w:bookmarkStart w:id="70" w:name="_Toc15396631"/>
      <w:r>
        <w:rPr>
          <w:rStyle w:val="25"/>
          <w:rFonts w:hint="eastAsia" w:ascii="仿宋" w:hAnsi="仿宋" w:eastAsia="仿宋"/>
          <w:b w:val="0"/>
          <w:bCs w:val="0"/>
        </w:rPr>
        <w:t>十三、</w:t>
      </w:r>
      <w:bookmarkEnd w:id="70"/>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5A8D2F-1D8D-4B72-8296-B98898F13E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B11BB05-FAC7-4257-B488-841D88809467}"/>
  </w:font>
  <w:font w:name="仿宋_GB2312">
    <w:altName w:val="仿宋"/>
    <w:panose1 w:val="00000000000000000000"/>
    <w:charset w:val="86"/>
    <w:family w:val="modern"/>
    <w:pitch w:val="default"/>
    <w:sig w:usb0="00000000" w:usb1="00000000" w:usb2="00000000" w:usb3="00000000" w:csb0="00040000" w:csb1="00000000"/>
    <w:embedRegular r:id="rId3" w:fontKey="{F274AD24-0836-4368-B8C1-6D775F840ADB}"/>
  </w:font>
  <w:font w:name="仿宋">
    <w:panose1 w:val="02010609060101010101"/>
    <w:charset w:val="86"/>
    <w:family w:val="modern"/>
    <w:pitch w:val="default"/>
    <w:sig w:usb0="800002BF" w:usb1="38CF7CFA" w:usb2="00000016" w:usb3="00000000" w:csb0="00040001" w:csb1="00000000"/>
    <w:embedRegular r:id="rId4" w:fontKey="{BA95714E-C43F-4383-A0C2-B8C87560143C}"/>
  </w:font>
  <w:font w:name="方正小标宋简体">
    <w:panose1 w:val="02000000000000000000"/>
    <w:charset w:val="86"/>
    <w:family w:val="script"/>
    <w:pitch w:val="default"/>
    <w:sig w:usb0="00000001" w:usb1="08000000" w:usb2="00000000" w:usb3="00000000" w:csb0="00040000" w:csb1="00000000"/>
    <w:embedRegular r:id="rId5" w:fontKey="{C808145D-E12D-4905-86BD-50B3AF575BC1}"/>
  </w:font>
  <w:font w:name="微软雅黑">
    <w:panose1 w:val="020B0503020204020204"/>
    <w:charset w:val="86"/>
    <w:family w:val="auto"/>
    <w:pitch w:val="default"/>
    <w:sig w:usb0="80000287" w:usb1="2ACF3C50" w:usb2="00000016" w:usb3="00000000" w:csb0="0004001F" w:csb1="00000000"/>
    <w:embedRegular r:id="rId6" w:fontKey="{B1B764DB-1991-40CD-89E1-3E1C4EAA2D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9E85593"/>
    <w:rsid w:val="1BE8440E"/>
    <w:rsid w:val="1D155CEE"/>
    <w:rsid w:val="20F57F95"/>
    <w:rsid w:val="240371BF"/>
    <w:rsid w:val="25711CC6"/>
    <w:rsid w:val="25C741E6"/>
    <w:rsid w:val="271C4D9C"/>
    <w:rsid w:val="27842671"/>
    <w:rsid w:val="29FD04D3"/>
    <w:rsid w:val="2ABE7A3E"/>
    <w:rsid w:val="2CA234A8"/>
    <w:rsid w:val="2EFA178C"/>
    <w:rsid w:val="30B46D73"/>
    <w:rsid w:val="319F7F4E"/>
    <w:rsid w:val="358F5D49"/>
    <w:rsid w:val="383D272C"/>
    <w:rsid w:val="39AE70AB"/>
    <w:rsid w:val="3C0C0783"/>
    <w:rsid w:val="3F9F3A96"/>
    <w:rsid w:val="48BF60AB"/>
    <w:rsid w:val="493C27E9"/>
    <w:rsid w:val="496F39ED"/>
    <w:rsid w:val="49FF41D3"/>
    <w:rsid w:val="4BE068DB"/>
    <w:rsid w:val="4BF6002B"/>
    <w:rsid w:val="4ECE2238"/>
    <w:rsid w:val="51DB4B86"/>
    <w:rsid w:val="55333C3E"/>
    <w:rsid w:val="58C50EF7"/>
    <w:rsid w:val="5C5B249F"/>
    <w:rsid w:val="64CA39A1"/>
    <w:rsid w:val="69630ADE"/>
    <w:rsid w:val="6C4A05C8"/>
    <w:rsid w:val="6D3B1A89"/>
    <w:rsid w:val="71BF4EC2"/>
    <w:rsid w:val="72734D90"/>
    <w:rsid w:val="7412278C"/>
    <w:rsid w:val="79E7B28D"/>
    <w:rsid w:val="7F066C0E"/>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E:\&#24635;\2023&#24180;&#31179;\8&#26376;\2022&#20915;&#31639;&#20844;&#24320;\&#20844;&#24320;&#21450;&#25209;&#22797;&#26448;&#26009;&#65288;2023&#24180;&#24230;&#65289;(2)\&#20844;&#24320;&#21450;&#25209;&#22797;&#26448;&#26009;&#65288;2023&#24180;&#24230;&#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file:///E:\&#24635;\2023&#24180;&#31179;\8&#26376;\2022&#20915;&#31639;&#20844;&#24320;\&#20844;&#24320;&#21450;&#25209;&#22797;&#26448;&#26009;&#65288;2023&#24180;&#24230;&#65289;(2)\&#20844;&#24320;&#21450;&#25209;&#22797;&#26448;&#26009;&#65288;2023&#24180;&#24230;&#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4635;\2023&#24180;&#31179;\8&#26376;\2022&#20915;&#31639;&#20844;&#24320;\&#20844;&#24320;&#21450;&#25209;&#22797;&#26448;&#26009;&#65288;2023&#24180;&#24230;&#65289;(2)\&#20844;&#24320;&#21450;&#25209;&#22797;&#26448;&#26009;&#65288;2023&#24180;&#24230;&#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4635;\2023&#24180;&#31179;\8&#26376;\2022&#20915;&#31639;&#20844;&#24320;\&#20844;&#24320;&#21450;&#25209;&#22797;&#26448;&#26009;&#65288;2023&#24180;&#24230;&#65289;(2)\&#20844;&#24320;&#21450;&#25209;&#22797;&#26448;&#26009;&#65288;2023&#24180;&#24230;&#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4635;\2023&#24180;&#31179;\8&#26376;\2022&#20915;&#31639;&#20844;&#24320;\&#20844;&#24320;&#21450;&#25209;&#22797;&#26448;&#26009;&#65288;2023&#24180;&#24230;&#65289;(2)\&#20844;&#24320;&#21450;&#25209;&#22797;&#26448;&#26009;&#65288;2023&#24180;&#24230;&#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4635;\2023&#24180;&#31179;\8&#26376;\2022&#20915;&#31639;&#20844;&#24320;\&#20844;&#24320;&#21450;&#25209;&#22797;&#26448;&#26009;&#65288;2023&#24180;&#24230;&#65289;(2)\&#20844;&#24320;&#21450;&#25209;&#22797;&#26448;&#26009;&#65288;2023&#24180;&#24230;&#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1168.20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1018.62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0.00_ </c:formatCode>
                <c:ptCount val="2"/>
                <c:pt idx="0">
                  <c:v>1168.2</c:v>
                </c:pt>
                <c:pt idx="1" c:formatCode="General">
                  <c:v>1018.62</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收入决算结构表</a:t>
            </a:r>
          </a:p>
        </c:rich>
      </c:tx>
      <c:layout/>
      <c:overlay val="0"/>
      <c:spPr>
        <a:noFill/>
        <a:ln>
          <a:noFill/>
        </a:ln>
        <a:effectLst/>
      </c:spPr>
    </c:title>
    <c:autoTitleDeleted val="0"/>
    <c:plotArea>
      <c:layout>
        <c:manualLayout>
          <c:layoutTarget val="inner"/>
          <c:xMode val="edge"/>
          <c:yMode val="edge"/>
          <c:x val="0.26465889612255"/>
          <c:y val="0.211675094816688"/>
          <c:w val="0.400959024181846"/>
          <c:h val="0.669068338249754"/>
        </c:manualLayout>
      </c:layout>
      <c:pieChart>
        <c:varyColors val="1"/>
        <c:ser>
          <c:idx val="0"/>
          <c:order val="0"/>
          <c:tx>
            <c:strRef>
              <c:f>Sheet1!$B$1</c:f>
              <c:strCache>
                <c:ptCount val="1"/>
                <c:pt idx="0">
                  <c:v>收入决算结构表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1017.42</a:t>
                    </a:r>
                    <a:r>
                      <a:t>, </a:t>
                    </a:r>
                    <a:r>
                      <a:rPr lang="en-US" altLang="zh-CN"/>
                      <a:t>99</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1.2, </a:t>
                    </a:r>
                    <a:r>
                      <a:rPr lang="en-US" altLang="zh-CN"/>
                      <a:t>1</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1476.58</c:v>
                </c:pt>
                <c:pt idx="1">
                  <c:v>1.2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t"/>
      <c:layout>
        <c:manualLayout>
          <c:xMode val="edge"/>
          <c:yMode val="edge"/>
          <c:x val="0.755375694612225"/>
          <c:y val="0.300042498937527"/>
          <c:w val="0.217443827011355"/>
          <c:h val="0.451551211219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1270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0.9988</c:v>
                </c:pt>
                <c:pt idx="1">
                  <c:v>0.0012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1168.2</c:v>
                </c:pt>
                <c:pt idx="1">
                  <c:v>1018.62</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1168.2</c:v>
                </c:pt>
                <c:pt idx="1">
                  <c:v>1017.42</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教育支出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846.57</c:v>
                </c:pt>
                <c:pt idx="1">
                  <c:v>78.64</c:v>
                </c:pt>
                <c:pt idx="2">
                  <c:v>36.89</c:v>
                </c:pt>
                <c:pt idx="3">
                  <c:v>55.33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0.38，</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6585</Words>
  <Characters>7142</Characters>
  <Lines>41</Lines>
  <Paragraphs>11</Paragraphs>
  <TotalTime>33</TotalTime>
  <ScaleCrop>false</ScaleCrop>
  <LinksUpToDate>false</LinksUpToDate>
  <CharactersWithSpaces>7178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2023-12-11T08:06:22Z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8CBA06132F0F45EAAC3A5499B742B2E3_12</vt:lpwstr>
  </property>
</Properties>
</file>