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425"/>
      <w:bookmarkStart w:id="1" w:name="_Toc15377193"/>
      <w:bookmarkStart w:id="2" w:name="_Toc15396597"/>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96476"/>
      <w:bookmarkStart w:id="8" w:name="_Toc15378442"/>
      <w:bookmarkStart w:id="9" w:name="_Toc15377426"/>
      <w:bookmarkStart w:id="10" w:name="_Toc15396598"/>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锦屏小学校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26</w:t>
      </w:r>
      <w:r>
        <w:rPr>
          <w:rFonts w:hint="eastAsia"/>
        </w:rPr>
        <w:t>日</w:t>
      </w:r>
    </w:p>
    <w:p/>
    <w:p>
      <w:pPr>
        <w:pStyle w:val="11"/>
        <w:adjustRightInd w:val="0"/>
        <w:snapToGrid w:val="0"/>
        <w:spacing w:before="0" w:line="240" w:lineRule="auto"/>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 xml:space="preserve">   ................................................4</w:t>
      </w:r>
    </w:p>
    <w:p>
      <w:pPr>
        <w:pStyle w:val="12"/>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ascii="Times New Roman" w:hAnsi="Times New Roman" w:cs="Times New Roman"/>
          <w:sz w:val="24"/>
        </w:rPr>
        <w:t>一、部门职责及重点工作</w:t>
      </w:r>
      <w:r>
        <w:rPr>
          <w:rFonts w:hint="eastAsia" w:ascii="Times New Roman" w:hAnsi="Times New Roman" w:cs="Times New Roman"/>
          <w:sz w:val="24"/>
          <w:lang w:val="en-US" w:eastAsia="zh-CN"/>
        </w:rPr>
        <w:t xml:space="preserve">   </w:t>
      </w:r>
      <w:r>
        <w:rPr>
          <w:rFonts w:hint="eastAsia" w:ascii="仿宋" w:hAnsi="仿宋" w:eastAsia="仿宋" w:cs="Times New Roman"/>
          <w:kern w:val="2"/>
          <w:sz w:val="24"/>
          <w:szCs w:val="28"/>
          <w:lang w:val="en-US" w:eastAsia="zh-CN" w:bidi="ar-SA"/>
        </w:rPr>
        <w:t>........................................4</w:t>
      </w:r>
    </w:p>
    <w:p>
      <w:pPr>
        <w:pStyle w:val="12"/>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ascii="Times New Roman" w:hAnsi="Times New Roman" w:cs="Times New Roman"/>
          <w:sz w:val="24"/>
          <w:lang w:eastAsia="zh-CN"/>
        </w:rPr>
        <w:t>（一）</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部门职责</w:t>
      </w:r>
      <w:r>
        <w:rPr>
          <w:rFonts w:hint="eastAsia" w:ascii="Times New Roman" w:hAnsi="Times New Roman" w:cs="Times New Roman"/>
          <w:sz w:val="24"/>
          <w:lang w:val="en-US" w:eastAsia="zh-CN"/>
        </w:rPr>
        <w:t xml:space="preserve">  </w:t>
      </w:r>
      <w:r>
        <w:rPr>
          <w:rFonts w:hint="eastAsia" w:ascii="仿宋" w:hAnsi="仿宋" w:eastAsia="仿宋" w:cs="Times New Roman"/>
          <w:kern w:val="2"/>
          <w:sz w:val="24"/>
          <w:szCs w:val="28"/>
          <w:lang w:val="en-US" w:eastAsia="zh-CN" w:bidi="ar-SA"/>
        </w:rPr>
        <w:t>................................................4</w:t>
      </w:r>
    </w:p>
    <w:p>
      <w:pPr>
        <w:pStyle w:val="12"/>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ascii="Times New Roman" w:hAnsi="Times New Roman" w:cs="Times New Roman"/>
          <w:sz w:val="24"/>
          <w:lang w:eastAsia="zh-CN"/>
        </w:rPr>
        <w:t>（二）2022年重点工作完成情况</w:t>
      </w:r>
      <w:r>
        <w:rPr>
          <w:rFonts w:hint="eastAsia" w:ascii="Times New Roman" w:hAnsi="Times New Roman" w:cs="Times New Roman"/>
          <w:sz w:val="24"/>
          <w:lang w:val="en-US" w:eastAsia="zh-CN"/>
        </w:rPr>
        <w:t xml:space="preserve"> </w:t>
      </w:r>
      <w:r>
        <w:rPr>
          <w:rFonts w:hint="eastAsia" w:ascii="仿宋" w:hAnsi="仿宋" w:eastAsia="仿宋" w:cs="Times New Roman"/>
          <w:kern w:val="2"/>
          <w:sz w:val="24"/>
          <w:szCs w:val="28"/>
          <w:lang w:val="en-US" w:eastAsia="zh-CN" w:bidi="ar-SA"/>
        </w:rPr>
        <w:t>...................................5</w:t>
      </w:r>
    </w:p>
    <w:p>
      <w:pPr>
        <w:pStyle w:val="12"/>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二、机构设置</w:t>
      </w:r>
      <w:r>
        <w:rPr>
          <w:rFonts w:hint="eastAsia" w:ascii="Times New Roman" w:hAnsi="Times New Roman" w:cs="Times New Roman"/>
          <w:sz w:val="24"/>
          <w:lang w:val="en-US" w:eastAsia="zh-CN"/>
        </w:rPr>
        <w:t xml:space="preserve">     </w:t>
      </w:r>
      <w:r>
        <w:rPr>
          <w:rFonts w:hint="eastAsia" w:ascii="仿宋" w:hAnsi="仿宋" w:eastAsia="仿宋" w:cs="Times New Roman"/>
          <w:kern w:val="2"/>
          <w:sz w:val="24"/>
          <w:szCs w:val="28"/>
          <w:lang w:val="en-US" w:eastAsia="zh-CN" w:bidi="ar-SA"/>
        </w:rPr>
        <w:t>................................................6</w:t>
      </w:r>
    </w:p>
    <w:p>
      <w:pPr>
        <w:pStyle w:val="12"/>
        <w:adjustRightInd w:val="0"/>
        <w:snapToGrid w:val="0"/>
        <w:spacing w:line="440" w:lineRule="exact"/>
        <w:ind w:left="0" w:leftChars="0" w:firstLine="0" w:firstLineChars="0"/>
        <w:jc w:val="left"/>
        <w:rPr>
          <w:sz w:val="24"/>
          <w:szCs w:val="24"/>
        </w:rPr>
      </w:pPr>
      <w:r>
        <w:rPr>
          <w:rFonts w:hint="eastAsia" w:ascii="仿宋" w:hAnsi="仿宋" w:eastAsia="仿宋" w:cs="Times New Roman"/>
          <w:kern w:val="2"/>
          <w:sz w:val="24"/>
          <w:szCs w:val="28"/>
          <w:lang w:val="en-US" w:eastAsia="zh-CN" w:bidi="ar-SA"/>
        </w:rPr>
        <w:t>第二部分 2022年度部门决算情况明 ......... ..........................7</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 xml:space="preserve">     </w:t>
      </w:r>
      <w:r>
        <w:rPr>
          <w:rFonts w:hint="eastAsia" w:ascii="仿宋" w:hAnsi="仿宋" w:eastAsia="仿宋" w:cs="Times New Roman"/>
          <w:kern w:val="2"/>
          <w:sz w:val="24"/>
          <w:szCs w:val="28"/>
          <w:lang w:val="en-US" w:eastAsia="zh-CN" w:bidi="ar-SA"/>
        </w:rPr>
        <w:t>................................7</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 xml:space="preserve"> </w:t>
      </w:r>
      <w:r>
        <w:rPr>
          <w:rFonts w:hint="eastAsia" w:ascii="仿宋" w:hAnsi="仿宋" w:eastAsia="仿宋" w:cs="Times New Roman"/>
          <w:kern w:val="2"/>
          <w:sz w:val="24"/>
          <w:szCs w:val="28"/>
          <w:lang w:val="en-US" w:eastAsia="zh-CN" w:bidi="ar-SA"/>
        </w:rPr>
        <w:t>............................................7</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 xml:space="preserve"> </w:t>
      </w:r>
      <w:r>
        <w:rPr>
          <w:rFonts w:hint="eastAsia" w:ascii="仿宋" w:hAnsi="仿宋" w:eastAsia="仿宋" w:cs="Times New Roman"/>
          <w:kern w:val="2"/>
          <w:sz w:val="24"/>
          <w:szCs w:val="28"/>
          <w:lang w:val="en-US" w:eastAsia="zh-CN" w:bidi="ar-SA"/>
        </w:rPr>
        <w:t>............................................8</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lang w:val="en-US" w:eastAsia="zh-CN"/>
        </w:rPr>
        <w:t xml:space="preserve"> </w:t>
      </w:r>
      <w:r>
        <w:rPr>
          <w:rFonts w:hint="eastAsia" w:ascii="仿宋" w:hAnsi="仿宋" w:eastAsia="仿宋" w:cs="Times New Roman"/>
          <w:kern w:val="2"/>
          <w:sz w:val="24"/>
          <w:szCs w:val="28"/>
          <w:lang w:val="en-US" w:eastAsia="zh-CN" w:bidi="ar-SA"/>
        </w:rPr>
        <w:t>............................9</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ascii="仿宋" w:hAnsi="仿宋" w:eastAsia="仿宋" w:cs="Times New Roman"/>
          <w:kern w:val="2"/>
          <w:sz w:val="24"/>
          <w:szCs w:val="28"/>
          <w:lang w:val="en-US" w:eastAsia="zh-CN" w:bidi="ar-SA"/>
        </w:rPr>
        <w:t>........................10</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ascii="仿宋" w:hAnsi="仿宋" w:eastAsia="仿宋" w:cs="Times New Roman"/>
          <w:kern w:val="2"/>
          <w:sz w:val="24"/>
          <w:szCs w:val="28"/>
          <w:lang w:val="en-US" w:eastAsia="zh-CN" w:bidi="ar-SA"/>
        </w:rPr>
        <w:t>....................13</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ascii="仿宋" w:hAnsi="仿宋" w:eastAsia="仿宋" w:cs="Times New Roman"/>
          <w:kern w:val="2"/>
          <w:sz w:val="24"/>
          <w:szCs w:val="28"/>
          <w:lang w:val="en-US" w:eastAsia="zh-CN" w:bidi="ar-SA"/>
        </w:rPr>
        <w:t>........................14</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ascii="仿宋" w:hAnsi="仿宋" w:eastAsia="仿宋" w:cs="Times New Roman"/>
          <w:kern w:val="2"/>
          <w:sz w:val="24"/>
          <w:szCs w:val="28"/>
          <w:lang w:val="en-US" w:eastAsia="zh-CN" w:bidi="ar-SA"/>
        </w:rPr>
        <w:t>..............................15</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ascii="仿宋" w:hAnsi="仿宋" w:eastAsia="仿宋" w:cs="Times New Roman"/>
          <w:kern w:val="2"/>
          <w:sz w:val="24"/>
          <w:szCs w:val="28"/>
          <w:lang w:val="en-US" w:eastAsia="zh-CN" w:bidi="ar-SA"/>
        </w:rPr>
        <w:t>............................15</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仿宋" w:hAnsi="仿宋" w:eastAsia="仿宋" w:cs="Times New Roman"/>
          <w:kern w:val="2"/>
          <w:sz w:val="24"/>
          <w:szCs w:val="28"/>
          <w:lang w:val="en-US" w:eastAsia="zh-CN" w:bidi="ar-SA"/>
        </w:rPr>
        <w:t>......................................15</w:t>
      </w:r>
      <w:r>
        <w:rPr>
          <w:rFonts w:hint="eastAsia" w:asciiTheme="minorEastAsia" w:hAnsiTheme="minorEastAsia" w:eastAsiaTheme="minorEastAsia" w:cstheme="minorEastAsia"/>
          <w:sz w:val="24"/>
        </w:rPr>
        <w:tab/>
      </w:r>
    </w:p>
    <w:p>
      <w:pPr>
        <w:pStyle w:val="11"/>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仿宋" w:hAnsi="仿宋" w:eastAsia="仿宋" w:cs="Times New Roman"/>
          <w:kern w:val="2"/>
          <w:sz w:val="24"/>
          <w:szCs w:val="28"/>
          <w:lang w:val="en-US" w:eastAsia="zh-CN" w:bidi="ar-SA"/>
        </w:rPr>
        <w:t>..................................................</w:t>
      </w:r>
      <w:r>
        <w:rPr>
          <w:rFonts w:hint="eastAsia" w:cs="Times New Roman"/>
          <w:kern w:val="2"/>
          <w:sz w:val="24"/>
          <w:szCs w:val="28"/>
          <w:lang w:val="en-US" w:eastAsia="zh-CN" w:bidi="ar-SA"/>
        </w:rPr>
        <w:t>17</w:t>
      </w:r>
    </w:p>
    <w:p>
      <w:pPr>
        <w:pStyle w:val="11"/>
        <w:adjustRightInd w:val="0"/>
        <w:snapToGrid w:val="0"/>
        <w:spacing w:before="0" w:line="440" w:lineRule="exact"/>
        <w:jc w:val="left"/>
        <w:rPr>
          <w:rFonts w:hint="default" w:cs="Times New Roman"/>
          <w:kern w:val="2"/>
          <w:sz w:val="24"/>
          <w:szCs w:val="28"/>
          <w:lang w:val="en-US" w:eastAsia="zh-CN" w:bidi="ar-SA"/>
        </w:rPr>
      </w:pPr>
      <w:r>
        <w:rPr>
          <w:rFonts w:hint="eastAsia"/>
          <w:sz w:val="24"/>
        </w:rPr>
        <w:t>第四部分</w:t>
      </w:r>
      <w:r>
        <w:rPr>
          <w:sz w:val="24"/>
        </w:rPr>
        <w:t xml:space="preserve"> </w:t>
      </w:r>
      <w:r>
        <w:rPr>
          <w:rFonts w:hint="eastAsia"/>
          <w:sz w:val="24"/>
        </w:rPr>
        <w:t>附件</w:t>
      </w:r>
      <w:r>
        <w:rPr>
          <w:rFonts w:hint="eastAsia" w:ascii="仿宋" w:hAnsi="仿宋" w:eastAsia="仿宋" w:cs="Times New Roman"/>
          <w:kern w:val="2"/>
          <w:sz w:val="24"/>
          <w:szCs w:val="28"/>
          <w:lang w:val="en-US" w:eastAsia="zh-CN" w:bidi="ar-SA"/>
        </w:rPr>
        <w:t>......................................................</w:t>
      </w:r>
      <w:r>
        <w:rPr>
          <w:rFonts w:hint="eastAsia" w:cs="Times New Roman"/>
          <w:kern w:val="2"/>
          <w:sz w:val="24"/>
          <w:szCs w:val="28"/>
          <w:lang w:val="en-US" w:eastAsia="zh-CN" w:bidi="ar-SA"/>
        </w:rPr>
        <w:t>19</w:t>
      </w:r>
    </w:p>
    <w:p>
      <w:pPr>
        <w:pStyle w:val="11"/>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仿宋" w:hAnsi="仿宋" w:eastAsia="仿宋" w:cs="Times New Roman"/>
          <w:kern w:val="2"/>
          <w:sz w:val="24"/>
          <w:szCs w:val="28"/>
          <w:lang w:val="en-US" w:eastAsia="zh-CN" w:bidi="ar-SA"/>
        </w:rPr>
        <w:t>......................................................</w:t>
      </w:r>
      <w:r>
        <w:rPr>
          <w:rFonts w:hint="eastAsia" w:cs="Times New Roman"/>
          <w:kern w:val="2"/>
          <w:sz w:val="24"/>
          <w:szCs w:val="28"/>
          <w:lang w:val="en-US" w:eastAsia="zh-CN" w:bidi="ar-SA"/>
        </w:rPr>
        <w:t>20</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sz w:val="40"/>
          <w:szCs w:val="40"/>
        </w:rPr>
      </w:pPr>
      <w:r>
        <w:rPr>
          <w:rFonts w:hint="eastAsia"/>
          <w:sz w:val="32"/>
          <w:szCs w:val="40"/>
        </w:rPr>
        <w:t>部门职责及重点</w:t>
      </w:r>
      <w:r>
        <w:rPr>
          <w:sz w:val="32"/>
          <w:szCs w:val="40"/>
        </w:rPr>
        <w:t>工作</w:t>
      </w:r>
    </w:p>
    <w:p>
      <w:pPr>
        <w:pStyle w:val="4"/>
        <w:spacing w:line="240" w:lineRule="auto"/>
        <w:ind w:firstLine="640" w:firstLineChars="200"/>
        <w:rPr>
          <w:rFonts w:hint="eastAsia"/>
          <w:sz w:val="40"/>
          <w:szCs w:val="40"/>
        </w:rPr>
      </w:pPr>
      <w:r>
        <w:rPr>
          <w:rFonts w:hint="eastAsia" w:ascii="Times New Roman" w:hAnsi="Times New Roman" w:eastAsia="宋体" w:cs="Times New Roman"/>
          <w:b w:val="0"/>
          <w:bCs w:val="0"/>
          <w:sz w:val="32"/>
          <w:szCs w:val="32"/>
          <w:lang w:eastAsia="zh-CN"/>
        </w:rPr>
        <w:t>（一）</w:t>
      </w:r>
      <w:r>
        <w:rPr>
          <w:rFonts w:hint="eastAsia" w:ascii="Times New Roman" w:hAnsi="Times New Roman" w:eastAsia="宋体" w:cs="Times New Roman"/>
          <w:b w:val="0"/>
          <w:bCs w:val="0"/>
          <w:sz w:val="32"/>
          <w:szCs w:val="32"/>
          <w:lang w:val="en-US" w:eastAsia="zh-CN"/>
        </w:rPr>
        <w:t xml:space="preserve"> </w:t>
      </w:r>
      <w:r>
        <w:rPr>
          <w:rFonts w:hint="eastAsia" w:ascii="Times New Roman" w:hAnsi="Times New Roman" w:eastAsia="宋体" w:cs="Times New Roman"/>
          <w:b w:val="0"/>
          <w:bCs w:val="0"/>
          <w:sz w:val="32"/>
          <w:szCs w:val="32"/>
        </w:rPr>
        <w:t>部门</w:t>
      </w:r>
      <w:r>
        <w:rPr>
          <w:rFonts w:ascii="Times New Roman" w:hAnsi="Times New Roman" w:eastAsia="宋体" w:cs="Times New Roman"/>
          <w:b w:val="0"/>
          <w:bCs w:val="0"/>
          <w:sz w:val="32"/>
          <w:szCs w:val="32"/>
        </w:rPr>
        <w:t>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实施小学义务教育，促进基础教育发展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1、正确贯彻执行党和国家的教育方针、政策、法规。</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2、维护学校的教学秩序，为学生创造良好的学习环境。</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3、积极稳妥地推进教育改革，按教育规律办事，不断提高教育质量。</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4、根据学校规模，设置学校管理机构，建立健全各项规章制度和岗位责任制。</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5、坚持教书育人，服务育人，环境育人方针，加强对学生的思想品德教育，使学生的德智体美全面发展。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6、抓好教师队伍建设，加强师德师风建设，提高青年教师的教学技能，使每个教师都热心于教育事业。</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7、做好安全防范，保证学生的</w:t>
      </w:r>
      <w:r>
        <w:rPr>
          <w:rFonts w:hint="eastAsia" w:ascii="仿宋" w:hAnsi="仿宋" w:eastAsia="仿宋"/>
          <w:bCs/>
          <w:sz w:val="32"/>
          <w:szCs w:val="32"/>
          <w:lang w:eastAsia="zh-CN"/>
        </w:rPr>
        <w:t>人身安全</w:t>
      </w:r>
      <w:bookmarkStart w:id="64" w:name="_GoBack"/>
      <w:bookmarkEnd w:id="64"/>
      <w:r>
        <w:rPr>
          <w:rFonts w:hint="eastAsia" w:ascii="仿宋" w:hAnsi="仿宋" w:eastAsia="仿宋"/>
          <w:bCs/>
          <w:sz w:val="32"/>
          <w:szCs w:val="32"/>
        </w:rPr>
        <w:t>。</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8、做好疫情防控工作，保证师生安全。</w:t>
      </w:r>
    </w:p>
    <w:p>
      <w:pPr>
        <w:pStyle w:val="4"/>
        <w:spacing w:line="240" w:lineRule="auto"/>
        <w:ind w:firstLine="640" w:firstLineChars="200"/>
        <w:jc w:val="left"/>
        <w:rPr>
          <w:rFonts w:ascii="仿宋" w:hAnsi="仿宋" w:eastAsia="仿宋"/>
          <w:b w:val="0"/>
          <w:bCs w:val="0"/>
          <w:sz w:val="32"/>
          <w:szCs w:val="40"/>
        </w:rPr>
      </w:pPr>
      <w:r>
        <w:rPr>
          <w:rFonts w:hint="eastAsia"/>
          <w:b w:val="0"/>
          <w:bCs w:val="0"/>
          <w:sz w:val="32"/>
          <w:szCs w:val="40"/>
        </w:rPr>
        <w:t>（二）2022年重点工作完成情况</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rPr>
        <w:t>1、做好疫情防控，保证师生安全</w:t>
      </w:r>
      <w:r>
        <w:rPr>
          <w:rFonts w:hint="eastAsia" w:ascii="仿宋" w:hAnsi="仿宋" w:eastAsia="仿宋"/>
          <w:bCs/>
          <w:color w:val="auto"/>
          <w:sz w:val="32"/>
          <w:szCs w:val="32"/>
          <w:lang w:eastAsia="zh-CN"/>
        </w:rPr>
        <w:t>，保证教育教学工作顺利开展。</w:t>
      </w:r>
      <w:r>
        <w:rPr>
          <w:rFonts w:hint="eastAsia" w:ascii="仿宋" w:hAnsi="仿宋" w:eastAsia="仿宋"/>
          <w:bCs/>
          <w:sz w:val="32"/>
          <w:szCs w:val="32"/>
        </w:rPr>
        <w:t>牢抓校园安全，强抓疫情防控和常见传染病。学校坚持安全第一思想不放松，抓实抓牢校园安全和疫情防控。</w:t>
      </w:r>
    </w:p>
    <w:p>
      <w:pPr>
        <w:pStyle w:val="2"/>
        <w:adjustRightInd w:val="0"/>
        <w:snapToGrid w:val="0"/>
        <w:spacing w:before="93" w:line="600" w:lineRule="exact"/>
        <w:ind w:firstLine="672" w:firstLineChars="210"/>
        <w:outlineLvl w:val="2"/>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根据上级要求，开展乡村振兴工作。</w:t>
      </w:r>
      <w:r>
        <w:rPr>
          <w:rFonts w:hint="eastAsia" w:ascii="仿宋" w:hAnsi="仿宋" w:eastAsia="仿宋"/>
          <w:bCs/>
          <w:sz w:val="32"/>
          <w:szCs w:val="32"/>
        </w:rPr>
        <w:t>坚持扶贫政策落实，巩固脱贫攻坚成果，202</w:t>
      </w:r>
      <w:r>
        <w:rPr>
          <w:rFonts w:hint="eastAsia" w:ascii="仿宋" w:hAnsi="仿宋" w:eastAsia="仿宋"/>
          <w:bCs/>
          <w:sz w:val="32"/>
          <w:szCs w:val="32"/>
          <w:lang w:val="en-US" w:eastAsia="zh-CN"/>
        </w:rPr>
        <w:t>2</w:t>
      </w:r>
      <w:r>
        <w:rPr>
          <w:rFonts w:hint="eastAsia" w:ascii="仿宋" w:hAnsi="仿宋" w:eastAsia="仿宋"/>
          <w:bCs/>
          <w:sz w:val="32"/>
          <w:szCs w:val="32"/>
        </w:rPr>
        <w:t>年，国家实施巩固脱贫攻坚成果与乡村振兴有效衔接。组织全校教师多次下村入户深入精准贫困户宣传从幼儿园到大学的教育资助政策，确保贫困户子女不因贫困而辍学，不因读书而贫困，尽全力做到义务教育阶段学生一个都不少，全部接受义务教育。保证了真正贫困学生家庭享受党和政府的资助和温暖。</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3、不忘初心，加强学校党建工作，做好党群工作，推进廉政建设</w:t>
      </w:r>
      <w:r>
        <w:rPr>
          <w:rFonts w:hint="eastAsia" w:ascii="仿宋" w:hAnsi="仿宋" w:eastAsia="仿宋"/>
          <w:bCs/>
          <w:sz w:val="32"/>
          <w:szCs w:val="32"/>
          <w:lang w:eastAsia="zh-CN"/>
        </w:rPr>
        <w:t>，</w:t>
      </w:r>
      <w:r>
        <w:rPr>
          <w:rFonts w:hint="eastAsia" w:ascii="仿宋" w:hAnsi="仿宋" w:eastAsia="仿宋"/>
          <w:bCs/>
          <w:sz w:val="32"/>
          <w:szCs w:val="32"/>
        </w:rPr>
        <w:t>坚持党建引领学校工作，切实履行党组织书记抓党建的第一责任。学校支部组织带领全体党员干部认真开展党史教育，以学党史、纯思想、建功业的实际行动向党献礼。</w:t>
      </w:r>
    </w:p>
    <w:p>
      <w:pPr>
        <w:pStyle w:val="2"/>
        <w:adjustRightInd w:val="0"/>
        <w:snapToGrid w:val="0"/>
        <w:spacing w:before="93" w:line="600" w:lineRule="exact"/>
        <w:ind w:firstLine="672" w:firstLineChars="210"/>
        <w:outlineLvl w:val="2"/>
        <w:rPr>
          <w:rFonts w:hint="eastAsia" w:ascii="仿宋" w:hAnsi="仿宋" w:eastAsia="仿宋"/>
          <w:bCs/>
          <w:sz w:val="32"/>
          <w:szCs w:val="32"/>
          <w:lang w:eastAsia="zh-CN"/>
        </w:rPr>
      </w:pPr>
      <w:r>
        <w:rPr>
          <w:rFonts w:hint="eastAsia" w:ascii="仿宋" w:hAnsi="仿宋" w:eastAsia="仿宋"/>
          <w:bCs/>
          <w:sz w:val="32"/>
          <w:szCs w:val="32"/>
          <w:lang w:val="en-US" w:eastAsia="zh-CN"/>
        </w:rPr>
        <w:t>4、</w:t>
      </w:r>
      <w:r>
        <w:rPr>
          <w:rFonts w:hint="eastAsia" w:ascii="仿宋" w:hAnsi="仿宋" w:eastAsia="仿宋"/>
          <w:bCs/>
          <w:sz w:val="32"/>
          <w:szCs w:val="32"/>
        </w:rPr>
        <w:t>坚持德育为先，构建文明校园</w:t>
      </w:r>
      <w:r>
        <w:rPr>
          <w:rFonts w:hint="eastAsia" w:ascii="仿宋" w:hAnsi="仿宋" w:eastAsia="仿宋"/>
          <w:bCs/>
          <w:sz w:val="32"/>
          <w:szCs w:val="32"/>
          <w:lang w:eastAsia="zh-CN"/>
        </w:rPr>
        <w:t>。</w:t>
      </w:r>
      <w:r>
        <w:rPr>
          <w:rFonts w:hint="eastAsia" w:ascii="仿宋" w:hAnsi="仿宋" w:eastAsia="仿宋"/>
          <w:bCs/>
          <w:sz w:val="32"/>
          <w:szCs w:val="32"/>
        </w:rPr>
        <w:t>五育并举，持续推进德育工作，坚持五育并举，始终把德育工作放在首位。在一日复一日的重复工作中，全体教师没有厌倦，更不敢懈怠，始终把教书育人的神圣使命当成我们的崇高事业，奉行“捧着一颗心来，不带半根草去”的教育初心，践行先成人、后成才的教育使命，坚持五育并举、德育首位的教育责任，让我们每一个孩子在德智体美劳让德育走在最前面</w:t>
      </w:r>
      <w:r>
        <w:rPr>
          <w:rFonts w:hint="eastAsia" w:ascii="仿宋" w:hAnsi="仿宋" w:eastAsia="仿宋"/>
          <w:bCs/>
          <w:sz w:val="32"/>
          <w:szCs w:val="32"/>
          <w:lang w:eastAsia="zh-CN"/>
        </w:rPr>
        <w:t>。</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lang w:val="en-US" w:eastAsia="zh-CN"/>
        </w:rPr>
        <w:t>5</w:t>
      </w:r>
      <w:r>
        <w:rPr>
          <w:rFonts w:hint="eastAsia" w:ascii="仿宋" w:hAnsi="仿宋" w:eastAsia="仿宋"/>
          <w:bCs/>
          <w:sz w:val="32"/>
          <w:szCs w:val="32"/>
        </w:rPr>
        <w:t>、强化常规管理，提升教学质量</w:t>
      </w:r>
      <w:r>
        <w:rPr>
          <w:rFonts w:hint="eastAsia" w:ascii="仿宋" w:hAnsi="仿宋" w:eastAsia="仿宋"/>
          <w:bCs/>
          <w:sz w:val="32"/>
          <w:szCs w:val="32"/>
          <w:lang w:eastAsia="zh-CN"/>
        </w:rPr>
        <w:t>。</w:t>
      </w:r>
      <w:r>
        <w:rPr>
          <w:rFonts w:hint="eastAsia" w:ascii="仿宋" w:hAnsi="仿宋" w:eastAsia="仿宋"/>
          <w:bCs/>
          <w:sz w:val="32"/>
          <w:szCs w:val="32"/>
        </w:rPr>
        <w:t>优化管理制度，提升教师凝聚力。坚持师生切身利益为宗旨，切实解决师生后顾之忧。在平时的工作中，校长以身作则，按时上班，坚持坐班，没公事从不无故离开学校。行政值周坚持每天巡查，及时发现问题，及时纠正制止。</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6、合作交流，开展教学教研活动。学校教学工作，始终坚持教学中心地位不动摇，坚决贯彻“双减”落地落实不走样。在平时的教学工作中，学校教务处认真落实教学常规，注重教学过程管理，实行教学管理精细化，做到工作有布置、有检查、有记录、有总结、有反馈、有整改，年级组密切配合，全校教师的教育教学工作更加规范落实，教师们的教学质量意识不断提高，比质量、比业绩的良好风气进一步浓厚。</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7、健全规章制度，抓实抓好意识形态精诚合作，扎实抓好师德师风建设，学校始终坚持作风纪律挺在最前面，扎实抓好师德师风建设，努力培养优良教师队伍。</w:t>
      </w:r>
    </w:p>
    <w:p>
      <w:pPr>
        <w:numPr>
          <w:ilvl w:val="0"/>
          <w:numId w:val="0"/>
        </w:numPr>
      </w:pPr>
    </w:p>
    <w:p>
      <w:pPr>
        <w:pStyle w:val="4"/>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widowControl/>
        <w:ind w:firstLine="640" w:firstLineChars="200"/>
        <w:jc w:val="left"/>
        <w:rPr>
          <w:rFonts w:ascii="仿宋" w:hAnsi="仿宋" w:eastAsia="仿宋"/>
          <w:kern w:val="0"/>
          <w:sz w:val="32"/>
          <w:szCs w:val="32"/>
        </w:rPr>
      </w:pPr>
      <w:r>
        <w:rPr>
          <w:rFonts w:hint="eastAsia" w:ascii="仿宋" w:hAnsi="仿宋" w:eastAsia="仿宋"/>
          <w:sz w:val="32"/>
          <w:szCs w:val="32"/>
        </w:rPr>
        <w:t>剑阁县锦屏小学校属一级预算事业单位1个，下属二级单位0个，其中行政单位0个，参照公务员法管理的事业单位0个，其他事业单位0个。</w:t>
      </w: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392.25</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22.82</w:t>
      </w:r>
      <w:r>
        <w:rPr>
          <w:rFonts w:hint="eastAsia" w:ascii="仿宋" w:hAnsi="仿宋" w:eastAsia="仿宋"/>
          <w:sz w:val="32"/>
          <w:szCs w:val="32"/>
        </w:rPr>
        <w:t>万元，下降</w:t>
      </w:r>
      <w:r>
        <w:rPr>
          <w:rFonts w:hint="eastAsia" w:ascii="仿宋" w:hAnsi="仿宋" w:eastAsia="仿宋"/>
          <w:sz w:val="32"/>
          <w:szCs w:val="32"/>
          <w:lang w:val="en-US" w:eastAsia="zh-CN"/>
        </w:rPr>
        <w:t>5.81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学生及教职工减少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pPr>
      <w:r>
        <w:drawing>
          <wp:inline distT="0" distB="0" distL="114300" distR="114300">
            <wp:extent cx="5149850" cy="3102610"/>
            <wp:effectExtent l="0" t="0" r="1270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49850" cy="3102610"/>
                    </a:xfrm>
                    <a:prstGeom prst="rect">
                      <a:avLst/>
                    </a:prstGeom>
                    <a:noFill/>
                    <a:ln>
                      <a:noFill/>
                    </a:ln>
                  </pic:spPr>
                </pic:pic>
              </a:graphicData>
            </a:graphic>
          </wp:inline>
        </w:drawing>
      </w:r>
    </w:p>
    <w:p>
      <w:pPr>
        <w:spacing w:line="600" w:lineRule="exact"/>
        <w:ind w:firstLine="640" w:firstLineChars="200"/>
        <w:jc w:val="lef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392.25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392.25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rPr>
          <w:rFonts w:ascii="仿宋_GB2312" w:eastAsia="仿宋_GB2312"/>
          <w:sz w:val="32"/>
          <w:szCs w:val="32"/>
        </w:rPr>
      </w:pPr>
      <w:r>
        <w:rPr>
          <w:rFonts w:hint="eastAsia" w:ascii="仿宋" w:hAnsi="仿宋" w:eastAsia="仿宋"/>
          <w:sz w:val="32"/>
          <w:szCs w:val="32"/>
        </w:rPr>
        <w:t>（图2：收入决算结构图）</w:t>
      </w:r>
    </w:p>
    <w:p>
      <w:pPr>
        <w:pStyle w:val="2"/>
        <w:rPr>
          <w:rFonts w:ascii="仿宋_GB2312" w:eastAsia="仿宋_GB2312"/>
          <w:sz w:val="32"/>
          <w:szCs w:val="32"/>
        </w:rPr>
      </w:pPr>
      <w:r>
        <w:rPr>
          <w:rFonts w:hint="eastAsia" w:ascii="仿宋" w:hAnsi="仿宋" w:eastAsia="仿宋"/>
          <w:sz w:val="32"/>
          <w:szCs w:val="32"/>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p>
    <w:p>
      <w:pPr>
        <w:pStyle w:val="2"/>
      </w:pP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392.25</w:t>
      </w:r>
      <w:r>
        <w:rPr>
          <w:rFonts w:hint="eastAsia" w:ascii="仿宋" w:hAnsi="仿宋" w:eastAsia="仿宋"/>
          <w:sz w:val="32"/>
          <w:szCs w:val="32"/>
        </w:rPr>
        <w:t>万元，其中：基本支出</w:t>
      </w:r>
      <w:r>
        <w:rPr>
          <w:rFonts w:hint="eastAsia" w:ascii="仿宋" w:hAnsi="仿宋" w:eastAsia="仿宋"/>
          <w:sz w:val="32"/>
          <w:szCs w:val="32"/>
          <w:lang w:val="en-US" w:eastAsia="zh-CN"/>
        </w:rPr>
        <w:t>392.25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；项目支出0万元，占0%；上缴上级支出0万元，占0%；经营支出0万元，占0%；对附属单位补助支出0万元，占0%。</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eastAsia="仿宋_GB2312"/>
          <w:lang w:eastAsia="zh-CN"/>
        </w:rPr>
      </w:pPr>
      <w:r>
        <w:rPr>
          <w:rFonts w:hint="eastAsia" w:ascii="仿宋" w:hAnsi="仿宋" w:eastAsia="仿宋"/>
          <w:sz w:val="32"/>
          <w:szCs w:val="32"/>
        </w:rPr>
        <w:t>（图3：支出决算结构图）</w:t>
      </w: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hint="eastAsia" w:eastAsia="仿宋_GB2312"/>
          <w:lang w:eastAsia="zh-CN"/>
        </w:rPr>
      </w:pPr>
    </w:p>
    <w:p>
      <w:pPr>
        <w:spacing w:line="600" w:lineRule="exact"/>
        <w:ind w:firstLine="420" w:firstLineChars="200"/>
        <w:rPr>
          <w:rFonts w:ascii="仿宋_GB2312" w:eastAsia="仿宋_GB2312"/>
          <w:sz w:val="32"/>
          <w:szCs w:val="32"/>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-3519805</wp:posOffset>
            </wp:positionV>
            <wp:extent cx="5080000" cy="3810000"/>
            <wp:effectExtent l="4445" t="4445" r="20955" b="1460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黑体" w:hAnsi="黑体" w:eastAsia="黑体"/>
          <w:sz w:val="32"/>
          <w:szCs w:val="32"/>
        </w:rPr>
      </w:pPr>
      <w:bookmarkStart w:id="24" w:name="_Toc15396606"/>
      <w:bookmarkStart w:id="25" w:name="_Toc15377208"/>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392.25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22.82</w:t>
      </w:r>
      <w:r>
        <w:rPr>
          <w:rFonts w:hint="eastAsia" w:ascii="仿宋" w:hAnsi="仿宋" w:eastAsia="仿宋"/>
          <w:sz w:val="32"/>
          <w:szCs w:val="32"/>
        </w:rPr>
        <w:t>万元，下降</w:t>
      </w:r>
      <w:r>
        <w:rPr>
          <w:rFonts w:hint="eastAsia" w:ascii="仿宋" w:hAnsi="仿宋" w:eastAsia="仿宋"/>
          <w:sz w:val="32"/>
          <w:szCs w:val="32"/>
          <w:lang w:val="en-US" w:eastAsia="zh-CN"/>
        </w:rPr>
        <w:t>5.81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学生及教职工减少</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（图4：财政拨款收、支决算总计变动情况）</w:t>
      </w:r>
      <w:bookmarkStart w:id="26" w:name="_Toc15377209"/>
      <w:bookmarkStart w:id="27" w:name="_Toc15396607"/>
    </w:p>
    <w:p>
      <w:pPr>
        <w:pStyle w:val="2"/>
        <w:rPr>
          <w:rFonts w:hint="eastAsia"/>
        </w:rPr>
      </w:pPr>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0288" behindDoc="0" locked="0" layoutInCell="1" allowOverlap="1">
            <wp:simplePos x="0" y="0"/>
            <wp:positionH relativeFrom="column">
              <wp:posOffset>-64135</wp:posOffset>
            </wp:positionH>
            <wp:positionV relativeFrom="paragraph">
              <wp:posOffset>252095</wp:posOffset>
            </wp:positionV>
            <wp:extent cx="5337175" cy="3215640"/>
            <wp:effectExtent l="0" t="0" r="15875" b="38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337175" cy="3215640"/>
                    </a:xfrm>
                    <a:prstGeom prst="rect">
                      <a:avLst/>
                    </a:prstGeom>
                    <a:noFill/>
                    <a:ln>
                      <a:noFill/>
                    </a:ln>
                  </pic:spPr>
                </pic:pic>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392.25</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22.82</w:t>
      </w:r>
      <w:r>
        <w:rPr>
          <w:rFonts w:hint="eastAsia" w:ascii="仿宋" w:hAnsi="仿宋" w:eastAsia="仿宋"/>
          <w:sz w:val="32"/>
          <w:szCs w:val="32"/>
        </w:rPr>
        <w:t>万元，下降</w:t>
      </w:r>
      <w:r>
        <w:rPr>
          <w:rFonts w:hint="eastAsia" w:ascii="仿宋" w:hAnsi="仿宋" w:eastAsia="仿宋"/>
          <w:sz w:val="32"/>
          <w:szCs w:val="32"/>
          <w:lang w:val="en-US" w:eastAsia="zh-CN"/>
        </w:rPr>
        <w:t>5.81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学生及教职工减少</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2"/>
      </w:pPr>
      <w:r>
        <w:drawing>
          <wp:anchor distT="0" distB="0" distL="114300" distR="114300" simplePos="0" relativeHeight="251661312" behindDoc="0" locked="0" layoutInCell="1" allowOverlap="1">
            <wp:simplePos x="0" y="0"/>
            <wp:positionH relativeFrom="column">
              <wp:posOffset>31750</wp:posOffset>
            </wp:positionH>
            <wp:positionV relativeFrom="paragraph">
              <wp:posOffset>422275</wp:posOffset>
            </wp:positionV>
            <wp:extent cx="5249545" cy="3162935"/>
            <wp:effectExtent l="0" t="0" r="8255" b="184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49545" cy="3162935"/>
                    </a:xfrm>
                    <a:prstGeom prst="rect">
                      <a:avLst/>
                    </a:prstGeom>
                    <a:noFill/>
                    <a:ln>
                      <a:noFill/>
                    </a:ln>
                  </pic:spPr>
                </pic:pic>
              </a:graphicData>
            </a:graphic>
          </wp:anchor>
        </w:drawing>
      </w:r>
    </w:p>
    <w:p>
      <w:pPr>
        <w:spacing w:line="600" w:lineRule="exact"/>
        <w:ind w:firstLine="643" w:firstLineChars="200"/>
        <w:outlineLvl w:val="2"/>
        <w:rPr>
          <w:rFonts w:hint="eastAsia" w:ascii="仿宋" w:hAnsi="仿宋" w:eastAsia="仿宋"/>
          <w:b/>
          <w:sz w:val="32"/>
          <w:szCs w:val="32"/>
        </w:rPr>
      </w:pPr>
      <w:bookmarkStart w:id="29" w:name="_Toc15377211"/>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392.25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331.19</w:t>
      </w:r>
      <w:r>
        <w:rPr>
          <w:rFonts w:hint="eastAsia" w:ascii="仿宋" w:hAnsi="仿宋" w:eastAsia="仿宋"/>
          <w:sz w:val="32"/>
          <w:szCs w:val="32"/>
        </w:rPr>
        <w:t>万元，占</w:t>
      </w:r>
      <w:r>
        <w:rPr>
          <w:rFonts w:hint="eastAsia" w:ascii="仿宋" w:hAnsi="仿宋" w:eastAsia="仿宋"/>
          <w:sz w:val="32"/>
          <w:szCs w:val="32"/>
          <w:lang w:val="en-US" w:eastAsia="zh-CN"/>
        </w:rPr>
        <w:t>84.43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27.13</w:t>
      </w:r>
      <w:r>
        <w:rPr>
          <w:rFonts w:hint="eastAsia" w:ascii="仿宋" w:hAnsi="仿宋" w:eastAsia="仿宋"/>
          <w:sz w:val="32"/>
          <w:szCs w:val="32"/>
        </w:rPr>
        <w:t>万元，占</w:t>
      </w:r>
      <w:r>
        <w:rPr>
          <w:rFonts w:hint="eastAsia" w:ascii="仿宋" w:hAnsi="仿宋" w:eastAsia="仿宋"/>
          <w:sz w:val="32"/>
          <w:szCs w:val="32"/>
          <w:lang w:val="en-US" w:eastAsia="zh-CN"/>
        </w:rPr>
        <w:t>6.92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13.57</w:t>
      </w:r>
      <w:r>
        <w:rPr>
          <w:rFonts w:hint="eastAsia" w:ascii="仿宋" w:hAnsi="仿宋" w:eastAsia="仿宋"/>
          <w:sz w:val="32"/>
          <w:szCs w:val="32"/>
        </w:rPr>
        <w:t>万元，占</w:t>
      </w:r>
      <w:r>
        <w:rPr>
          <w:rFonts w:hint="eastAsia" w:ascii="仿宋" w:hAnsi="仿宋" w:eastAsia="仿宋"/>
          <w:sz w:val="32"/>
          <w:szCs w:val="32"/>
          <w:lang w:val="en-US" w:eastAsia="zh-CN"/>
        </w:rPr>
        <w:t>3.46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20.35</w:t>
      </w:r>
      <w:r>
        <w:rPr>
          <w:rFonts w:hint="eastAsia" w:ascii="仿宋" w:hAnsi="仿宋" w:eastAsia="仿宋"/>
          <w:sz w:val="32"/>
          <w:szCs w:val="32"/>
        </w:rPr>
        <w:t>万元，占</w:t>
      </w:r>
      <w:r>
        <w:rPr>
          <w:rFonts w:hint="eastAsia" w:ascii="仿宋" w:hAnsi="仿宋" w:eastAsia="仿宋"/>
          <w:sz w:val="32"/>
          <w:szCs w:val="32"/>
          <w:lang w:val="en-US" w:eastAsia="zh-CN"/>
        </w:rPr>
        <w:t>5.19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p>
    <w:p>
      <w:pPr>
        <w:spacing w:line="600" w:lineRule="exact"/>
        <w:outlineLvl w:val="2"/>
        <w:rPr>
          <w:rFonts w:hint="eastAsia"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p>
    <w:p>
      <w:pPr>
        <w:spacing w:line="600" w:lineRule="exact"/>
        <w:ind w:firstLine="640" w:firstLineChars="200"/>
        <w:outlineLvl w:val="2"/>
      </w:pPr>
      <w:r>
        <w:rPr>
          <w:rFonts w:hint="eastAsia" w:ascii="仿宋" w:hAnsi="仿宋" w:eastAsia="仿宋"/>
          <w:sz w:val="32"/>
          <w:szCs w:val="32"/>
        </w:rPr>
        <w:t>（图6：一般公共预算财政拨款支出决算结构）</w:t>
      </w:r>
      <w:bookmarkStart w:id="30" w:name="_Toc15377212"/>
    </w:p>
    <w:p>
      <w:pPr>
        <w:spacing w:line="600" w:lineRule="exact"/>
        <w:ind w:firstLine="420" w:firstLineChars="200"/>
        <w:outlineLvl w:val="2"/>
      </w:pPr>
      <w:r>
        <w:drawing>
          <wp:anchor distT="0" distB="0" distL="114300" distR="114300" simplePos="0" relativeHeight="251662336" behindDoc="0" locked="0" layoutInCell="1" allowOverlap="1">
            <wp:simplePos x="0" y="0"/>
            <wp:positionH relativeFrom="column">
              <wp:posOffset>266700</wp:posOffset>
            </wp:positionH>
            <wp:positionV relativeFrom="paragraph">
              <wp:posOffset>177800</wp:posOffset>
            </wp:positionV>
            <wp:extent cx="4619625" cy="4943475"/>
            <wp:effectExtent l="0" t="0" r="9525" b="9525"/>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4619625" cy="4943475"/>
                    </a:xfrm>
                    <a:prstGeom prst="rect">
                      <a:avLst/>
                    </a:prstGeom>
                    <a:noFill/>
                    <a:ln>
                      <a:noFill/>
                    </a:ln>
                  </pic:spPr>
                </pic:pic>
              </a:graphicData>
            </a:graphic>
          </wp:anchor>
        </w:drawing>
      </w: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392.25</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p>
    <w:p>
      <w:pPr>
        <w:spacing w:line="600" w:lineRule="exact"/>
        <w:ind w:firstLine="643" w:firstLineChars="200"/>
        <w:rPr>
          <w:rStyle w:val="16"/>
          <w:rFonts w:hint="eastAsia" w:ascii="仿宋" w:hAnsi="仿宋" w:eastAsia="仿宋" w:cs="仿宋"/>
          <w:b w:val="0"/>
          <w:bCs/>
          <w:color w:val="000000"/>
          <w:sz w:val="32"/>
          <w:szCs w:val="32"/>
          <w:lang w:eastAsia="zh-CN"/>
        </w:rPr>
      </w:pPr>
      <w:r>
        <w:rPr>
          <w:rStyle w:val="16"/>
          <w:rFonts w:ascii="仿宋" w:hAnsi="仿宋" w:eastAsia="仿宋"/>
          <w:bCs/>
          <w:sz w:val="32"/>
          <w:szCs w:val="32"/>
        </w:rPr>
        <w:t>1.</w:t>
      </w:r>
      <w:r>
        <w:rPr>
          <w:rStyle w:val="16"/>
          <w:rFonts w:hint="eastAsia" w:ascii="仿宋" w:hAnsi="仿宋" w:eastAsia="仿宋"/>
          <w:bCs/>
          <w:color w:val="000000"/>
          <w:sz w:val="32"/>
          <w:szCs w:val="32"/>
        </w:rPr>
        <w:t>教育（类）</w:t>
      </w:r>
      <w:r>
        <w:rPr>
          <w:rStyle w:val="16"/>
          <w:rFonts w:hint="eastAsia" w:ascii="仿宋" w:hAnsi="仿宋" w:eastAsia="仿宋"/>
          <w:bCs/>
          <w:color w:val="000000"/>
          <w:sz w:val="32"/>
          <w:szCs w:val="32"/>
          <w:lang w:eastAsia="zh-CN"/>
        </w:rPr>
        <w:t>普通教育</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学前教育</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7.75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sz w:val="32"/>
          <w:szCs w:val="32"/>
        </w:rPr>
        <w:t>决算数等于预算数</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cs="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hint="eastAsia" w:ascii="仿宋" w:hAnsi="仿宋" w:eastAsia="仿宋"/>
          <w:bCs/>
          <w:color w:val="000000"/>
          <w:sz w:val="32"/>
          <w:szCs w:val="32"/>
        </w:rPr>
        <w:t>教育（类）</w:t>
      </w:r>
      <w:r>
        <w:rPr>
          <w:rStyle w:val="16"/>
          <w:rFonts w:hint="eastAsia" w:ascii="仿宋" w:hAnsi="仿宋" w:eastAsia="仿宋"/>
          <w:bCs/>
          <w:color w:val="000000"/>
          <w:sz w:val="32"/>
          <w:szCs w:val="32"/>
          <w:lang w:eastAsia="zh-CN"/>
        </w:rPr>
        <w:t>普通教育</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小学教育</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313.45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sz w:val="32"/>
          <w:szCs w:val="32"/>
        </w:rPr>
        <w:t>决算数等于预算数</w:t>
      </w:r>
      <w:r>
        <w:rPr>
          <w:rStyle w:val="16"/>
          <w:rFonts w:hint="eastAsia" w:ascii="仿宋" w:hAnsi="仿宋" w:eastAsia="仿宋" w:cs="仿宋"/>
          <w:b w:val="0"/>
          <w:bCs/>
          <w:color w:val="000000"/>
          <w:sz w:val="32"/>
          <w:szCs w:val="32"/>
        </w:rPr>
        <w:t>。</w:t>
      </w:r>
    </w:p>
    <w:p>
      <w:pPr>
        <w:spacing w:line="600" w:lineRule="exact"/>
        <w:ind w:firstLine="643" w:firstLineChars="200"/>
        <w:rPr>
          <w:rStyle w:val="16"/>
          <w:rFonts w:hint="eastAsia" w:ascii="仿宋" w:hAnsi="仿宋" w:eastAsia="仿宋" w:cs="仿宋"/>
          <w:b w:val="0"/>
          <w:bCs/>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社会保障和就业（类）行政事业单位养老支出（款）机关事业单位基本养老保险缴费支出（项）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Fonts w:hint="eastAsia" w:ascii="仿宋" w:hAnsi="仿宋" w:eastAsia="仿宋"/>
          <w:sz w:val="32"/>
          <w:szCs w:val="32"/>
          <w:lang w:val="en-US" w:eastAsia="zh-CN"/>
        </w:rPr>
        <w:t>27.13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sz w:val="32"/>
          <w:szCs w:val="32"/>
        </w:rPr>
        <w:t>决算数等于预算数</w:t>
      </w:r>
      <w:r>
        <w:rPr>
          <w:rStyle w:val="16"/>
          <w:rFonts w:hint="eastAsia" w:ascii="仿宋" w:hAnsi="仿宋" w:eastAsia="仿宋" w:cs="仿宋"/>
          <w:b w:val="0"/>
          <w:bCs/>
          <w:color w:val="000000"/>
          <w:sz w:val="32"/>
          <w:szCs w:val="32"/>
        </w:rPr>
        <w:t>。</w:t>
      </w:r>
    </w:p>
    <w:p>
      <w:pPr>
        <w:spacing w:line="600" w:lineRule="exact"/>
        <w:ind w:firstLine="643" w:firstLineChars="200"/>
        <w:rPr>
          <w:rStyle w:val="16"/>
          <w:rFonts w:hint="eastAsia" w:ascii="仿宋" w:hAnsi="仿宋" w:eastAsia="仿宋" w:cs="仿宋"/>
          <w:b w:val="0"/>
          <w:bCs/>
          <w:color w:val="000000"/>
          <w:sz w:val="32"/>
          <w:szCs w:val="32"/>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（类）行政事业单位医疗（款）事业单位医疗（项）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Fonts w:hint="eastAsia" w:ascii="仿宋" w:hAnsi="仿宋" w:eastAsia="仿宋"/>
          <w:sz w:val="32"/>
          <w:szCs w:val="32"/>
          <w:lang w:val="en-US" w:eastAsia="zh-CN"/>
        </w:rPr>
        <w:t>13.57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sz w:val="32"/>
          <w:szCs w:val="32"/>
        </w:rPr>
        <w:t>决算数等于预算数</w:t>
      </w:r>
      <w:r>
        <w:rPr>
          <w:rStyle w:val="16"/>
          <w:rFonts w:hint="eastAsia" w:ascii="仿宋" w:hAnsi="仿宋" w:eastAsia="仿宋" w:cs="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 w:hAnsi="仿宋" w:eastAsia="仿宋"/>
          <w:b/>
          <w:bCs/>
          <w:color w:val="000000"/>
          <w:sz w:val="32"/>
          <w:szCs w:val="32"/>
        </w:rPr>
        <w:t>住房保障</w:t>
      </w:r>
      <w:r>
        <w:rPr>
          <w:rStyle w:val="16"/>
          <w:rFonts w:hint="eastAsia" w:ascii="仿宋" w:hAnsi="仿宋" w:eastAsia="仿宋"/>
          <w:bCs/>
          <w:color w:val="000000"/>
          <w:sz w:val="32"/>
          <w:szCs w:val="32"/>
        </w:rPr>
        <w:t>（类）住房改革（款）住房公积金（项）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Fonts w:hint="eastAsia" w:ascii="仿宋" w:hAnsi="仿宋" w:eastAsia="仿宋"/>
          <w:sz w:val="32"/>
          <w:szCs w:val="32"/>
          <w:lang w:val="en-US" w:eastAsia="zh-CN"/>
        </w:rPr>
        <w:t>20.35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sz w:val="32"/>
          <w:szCs w:val="32"/>
        </w:rPr>
        <w:t>决算数等于预算数</w:t>
      </w:r>
      <w:r>
        <w:rPr>
          <w:rStyle w:val="16"/>
          <w:rFonts w:hint="eastAsia" w:ascii="仿宋" w:hAnsi="仿宋" w:eastAsia="仿宋" w:cs="仿宋"/>
          <w:b w:val="0"/>
          <w:bCs/>
          <w:color w:val="000000"/>
          <w:sz w:val="32"/>
          <w:szCs w:val="32"/>
        </w:rPr>
        <w:t>。</w:t>
      </w:r>
    </w:p>
    <w:p>
      <w:pPr>
        <w:spacing w:line="600" w:lineRule="exact"/>
        <w:rPr>
          <w:rFonts w:ascii="仿宋" w:hAnsi="仿宋" w:eastAsia="仿宋"/>
          <w:b/>
          <w:sz w:val="32"/>
          <w:szCs w:val="32"/>
        </w:rPr>
      </w:pPr>
    </w:p>
    <w:p>
      <w:pPr>
        <w:tabs>
          <w:tab w:val="right" w:pos="8306"/>
        </w:tabs>
        <w:spacing w:line="600" w:lineRule="exact"/>
        <w:ind w:firstLine="640"/>
        <w:outlineLvl w:val="1"/>
        <w:rPr>
          <w:rStyle w:val="28"/>
        </w:rPr>
      </w:pPr>
      <w:bookmarkStart w:id="31" w:name="_Toc15377214"/>
      <w:bookmarkStart w:id="3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1"/>
      <w:bookmarkEnd w:id="32"/>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392.25</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347.78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44.47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3" w:name="_Toc15396609"/>
      <w:bookmarkStart w:id="34"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3"/>
      <w:bookmarkEnd w:id="34"/>
    </w:p>
    <w:p>
      <w:pPr>
        <w:spacing w:line="600" w:lineRule="exact"/>
        <w:ind w:firstLine="640"/>
        <w:outlineLvl w:val="2"/>
        <w:rPr>
          <w:rFonts w:ascii="仿宋" w:hAnsi="仿宋" w:eastAsia="仿宋"/>
          <w:b/>
          <w:sz w:val="32"/>
          <w:szCs w:val="32"/>
        </w:rPr>
      </w:pPr>
      <w:bookmarkStart w:id="35" w:name="_Toc15377216"/>
      <w:r>
        <w:rPr>
          <w:rFonts w:hint="eastAsia" w:ascii="仿宋" w:hAnsi="仿宋" w:eastAsia="仿宋"/>
          <w:b/>
          <w:sz w:val="32"/>
          <w:szCs w:val="32"/>
        </w:rPr>
        <w:t>（一）“三公”经费财政拨款支出决算总体情况说明</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w:t>
      </w:r>
      <w:r>
        <w:rPr>
          <w:rFonts w:hint="eastAsia" w:ascii="仿宋" w:hAnsi="仿宋" w:eastAsia="仿宋"/>
          <w:sz w:val="32"/>
          <w:szCs w:val="32"/>
        </w:rPr>
        <w:t>万元，完成预算</w:t>
      </w:r>
      <w:r>
        <w:rPr>
          <w:rFonts w:hint="eastAsia" w:ascii="仿宋" w:hAnsi="仿宋" w:eastAsia="仿宋"/>
          <w:sz w:val="32"/>
          <w:szCs w:val="32"/>
          <w:lang w:val="en-US" w:eastAsia="zh-CN"/>
        </w:rPr>
        <w:t>78.95</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0.05</w:t>
      </w:r>
      <w:r>
        <w:rPr>
          <w:rFonts w:hint="eastAsia" w:ascii="仿宋" w:hAnsi="仿宋" w:eastAsia="仿宋"/>
          <w:sz w:val="32"/>
          <w:szCs w:val="32"/>
        </w:rPr>
        <w:t>万元，增长</w:t>
      </w:r>
      <w:r>
        <w:rPr>
          <w:rFonts w:hint="eastAsia" w:ascii="仿宋" w:hAnsi="仿宋" w:eastAsia="仿宋"/>
          <w:sz w:val="32"/>
          <w:szCs w:val="32"/>
          <w:lang w:val="en-US" w:eastAsia="zh-CN"/>
        </w:rPr>
        <w:t>16.67</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接待费产生的不多</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6" w:name="_Toc15377217"/>
      <w:r>
        <w:rPr>
          <w:rFonts w:hint="eastAsia" w:ascii="仿宋" w:hAnsi="仿宋" w:eastAsia="仿宋"/>
          <w:b/>
          <w:sz w:val="32"/>
          <w:szCs w:val="32"/>
        </w:rPr>
        <w:t>（二）“三公”经费财政拨款支出决算具体情况说明</w:t>
      </w:r>
      <w:bookmarkEnd w:id="3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pStyle w:val="2"/>
      </w:pPr>
      <w:r>
        <w:rPr>
          <w:rFonts w:hint="eastAsia" w:eastAsia="仿宋_GB2312"/>
          <w:lang w:eastAsia="zh-CN"/>
        </w:rPr>
        <w:drawing>
          <wp:anchor distT="0" distB="0" distL="114300" distR="114300" simplePos="0" relativeHeight="251663360" behindDoc="0" locked="0" layoutInCell="1" allowOverlap="1">
            <wp:simplePos x="0" y="0"/>
            <wp:positionH relativeFrom="column">
              <wp:posOffset>31750</wp:posOffset>
            </wp:positionH>
            <wp:positionV relativeFrom="paragraph">
              <wp:posOffset>334645</wp:posOffset>
            </wp:positionV>
            <wp:extent cx="5080000" cy="3810000"/>
            <wp:effectExtent l="4445" t="4445" r="20955"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78.95</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0.05</w:t>
      </w:r>
      <w:r>
        <w:rPr>
          <w:rFonts w:hint="eastAsia" w:ascii="仿宋_GB2312" w:eastAsia="仿宋_GB2312"/>
          <w:sz w:val="32"/>
          <w:szCs w:val="32"/>
        </w:rPr>
        <w:t>万元，增长</w:t>
      </w:r>
      <w:r>
        <w:rPr>
          <w:rFonts w:hint="eastAsia" w:ascii="仿宋_GB2312" w:eastAsia="仿宋_GB2312"/>
          <w:sz w:val="32"/>
          <w:szCs w:val="32"/>
          <w:lang w:val="en-US" w:eastAsia="zh-CN"/>
        </w:rPr>
        <w:t>16.67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接待费增多</w:t>
      </w:r>
      <w:r>
        <w:rPr>
          <w:rFonts w:hint="eastAsia" w:ascii="仿宋_GB2312" w:eastAsia="仿宋_GB2312"/>
          <w:sz w:val="32"/>
          <w:szCs w:val="32"/>
        </w:rPr>
        <w:t>。其中：</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 w:hAnsi="仿宋" w:eastAsia="仿宋" w:cs="仿宋"/>
          <w:i w:val="0"/>
          <w:iCs w:val="0"/>
          <w:caps w:val="0"/>
          <w:color w:val="000000"/>
          <w:spacing w:val="0"/>
          <w:sz w:val="32"/>
          <w:szCs w:val="32"/>
        </w:rPr>
        <w:t>单位开展</w:t>
      </w:r>
      <w:r>
        <w:rPr>
          <w:rFonts w:hint="eastAsia" w:ascii="仿宋" w:hAnsi="仿宋" w:eastAsia="仿宋" w:cs="仿宋"/>
          <w:i w:val="0"/>
          <w:iCs w:val="0"/>
          <w:caps w:val="0"/>
          <w:color w:val="000000"/>
          <w:spacing w:val="0"/>
          <w:sz w:val="32"/>
          <w:szCs w:val="32"/>
          <w:lang w:eastAsia="zh-CN"/>
        </w:rPr>
        <w:t>教研</w:t>
      </w:r>
      <w:r>
        <w:rPr>
          <w:rFonts w:hint="eastAsia" w:ascii="仿宋" w:hAnsi="仿宋" w:eastAsia="仿宋" w:cs="仿宋"/>
          <w:i w:val="0"/>
          <w:iCs w:val="0"/>
          <w:caps w:val="0"/>
          <w:color w:val="000000"/>
          <w:spacing w:val="0"/>
          <w:sz w:val="32"/>
          <w:szCs w:val="32"/>
        </w:rPr>
        <w:t>活动和接待上级检查等</w:t>
      </w:r>
      <w:r>
        <w:rPr>
          <w:rFonts w:hint="eastAsia" w:ascii="仿宋_GB2312" w:eastAsia="仿宋_GB2312"/>
          <w:sz w:val="32"/>
          <w:szCs w:val="32"/>
        </w:rPr>
        <w:t>开支的用餐费。国内公务接待</w:t>
      </w:r>
      <w:r>
        <w:rPr>
          <w:rFonts w:hint="eastAsia" w:ascii="仿宋_GB2312" w:eastAsia="仿宋_GB2312"/>
          <w:sz w:val="32"/>
          <w:szCs w:val="32"/>
          <w:lang w:val="en-US" w:eastAsia="zh-CN"/>
        </w:rPr>
        <w:t>8</w:t>
      </w:r>
      <w:r>
        <w:rPr>
          <w:rFonts w:hint="eastAsia" w:ascii="仿宋_GB2312" w:eastAsia="仿宋_GB2312"/>
          <w:sz w:val="32"/>
          <w:szCs w:val="32"/>
        </w:rPr>
        <w:t>批次，</w:t>
      </w:r>
      <w:r>
        <w:rPr>
          <w:rFonts w:hint="eastAsia" w:ascii="仿宋_GB2312" w:eastAsia="仿宋_GB2312"/>
          <w:sz w:val="32"/>
          <w:szCs w:val="32"/>
          <w:lang w:val="en-US" w:eastAsia="zh-CN"/>
        </w:rPr>
        <w:t>81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w:t>
      </w:r>
      <w:r>
        <w:rPr>
          <w:rFonts w:hint="eastAsia" w:ascii="仿宋_GB2312" w:eastAsia="仿宋_GB2312"/>
          <w:sz w:val="32"/>
          <w:szCs w:val="32"/>
        </w:rPr>
        <w:t>万元，具体内容包括：</w:t>
      </w:r>
      <w:r>
        <w:rPr>
          <w:rFonts w:hint="eastAsia" w:ascii="仿宋_GB2312" w:eastAsia="仿宋_GB2312"/>
          <w:color w:val="auto"/>
          <w:sz w:val="32"/>
          <w:szCs w:val="32"/>
        </w:rPr>
        <w:t>校际教研活动</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批次，生活费金额</w:t>
      </w:r>
      <w:r>
        <w:rPr>
          <w:rFonts w:ascii="仿宋_GB2312" w:eastAsia="仿宋_GB2312"/>
          <w:color w:val="auto"/>
          <w:sz w:val="32"/>
          <w:szCs w:val="32"/>
        </w:rPr>
        <w:t>0.</w:t>
      </w:r>
      <w:r>
        <w:rPr>
          <w:rFonts w:hint="eastAsia" w:ascii="仿宋_GB2312" w:eastAsia="仿宋_GB2312"/>
          <w:color w:val="auto"/>
          <w:sz w:val="32"/>
          <w:szCs w:val="32"/>
          <w:lang w:val="en-US" w:eastAsia="zh-CN"/>
        </w:rPr>
        <w:t>161</w:t>
      </w:r>
      <w:r>
        <w:rPr>
          <w:rFonts w:hint="eastAsia" w:ascii="仿宋_GB2312" w:eastAsia="仿宋_GB2312"/>
          <w:color w:val="auto"/>
          <w:sz w:val="32"/>
          <w:szCs w:val="32"/>
        </w:rPr>
        <w:t>万元；</w:t>
      </w:r>
      <w:r>
        <w:rPr>
          <w:rFonts w:hint="eastAsia" w:ascii="仿宋_GB2312" w:eastAsia="仿宋_GB2312"/>
          <w:color w:val="auto"/>
          <w:sz w:val="32"/>
          <w:szCs w:val="32"/>
          <w:lang w:eastAsia="zh-CN"/>
        </w:rPr>
        <w:t>邀请专家到我校开展各类专题讲座</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批次，生活费金额0.</w:t>
      </w:r>
      <w:r>
        <w:rPr>
          <w:rFonts w:hint="eastAsia" w:ascii="仿宋_GB2312" w:eastAsia="仿宋_GB2312"/>
          <w:color w:val="auto"/>
          <w:sz w:val="32"/>
          <w:szCs w:val="32"/>
          <w:lang w:val="en-US" w:eastAsia="zh-CN"/>
        </w:rPr>
        <w:t>139</w:t>
      </w:r>
      <w:r>
        <w:rPr>
          <w:rFonts w:hint="eastAsia" w:ascii="仿宋_GB2312" w:eastAsia="仿宋_GB2312"/>
          <w:color w:val="auto"/>
          <w:sz w:val="32"/>
          <w:szCs w:val="32"/>
        </w:rPr>
        <w:t>万元</w:t>
      </w:r>
      <w:r>
        <w:rPr>
          <w:rFonts w:hint="eastAsia" w:ascii="仿宋" w:hAnsi="仿宋" w:eastAsia="仿宋" w:cs="仿宋"/>
          <w:i w:val="0"/>
          <w:iCs w:val="0"/>
          <w:caps w:val="0"/>
          <w:color w:val="000000"/>
          <w:spacing w:val="0"/>
          <w:sz w:val="32"/>
          <w:szCs w:val="32"/>
          <w:lang w:eastAsia="zh-CN"/>
        </w:rPr>
        <w:t>。</w:t>
      </w:r>
    </w:p>
    <w:p>
      <w:pPr>
        <w:spacing w:line="600" w:lineRule="exact"/>
        <w:ind w:firstLine="640"/>
        <w:outlineLvl w:val="1"/>
        <w:rPr>
          <w:rFonts w:ascii="黑体" w:eastAsia="黑体"/>
          <w:sz w:val="32"/>
          <w:szCs w:val="32"/>
        </w:rPr>
      </w:pPr>
      <w:bookmarkStart w:id="37" w:name="_Toc15377218"/>
      <w:bookmarkStart w:id="38" w:name="_Toc15396610"/>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7"/>
      <w:bookmarkEnd w:id="3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39" w:name="_Toc15377219"/>
      <w:bookmarkStart w:id="40" w:name="_Toc15396611"/>
      <w:r>
        <w:rPr>
          <w:rStyle w:val="28"/>
          <w:rFonts w:hint="eastAsia" w:ascii="黑体" w:hAnsi="黑体" w:eastAsia="黑体"/>
          <w:b w:val="0"/>
        </w:rPr>
        <w:t>国有资本经营预算支出决算情况说明</w:t>
      </w:r>
      <w:bookmarkEnd w:id="39"/>
      <w:bookmarkEnd w:id="4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1" w:name="_Toc15396612"/>
      <w:bookmarkStart w:id="42" w:name="_Toc15377221"/>
      <w:r>
        <w:rPr>
          <w:rStyle w:val="28"/>
          <w:rFonts w:hint="eastAsia" w:ascii="黑体" w:hAnsi="黑体" w:eastAsia="黑体"/>
          <w:b w:val="0"/>
        </w:rPr>
        <w:t>其他重要事项的情况说明</w:t>
      </w:r>
      <w:bookmarkEnd w:id="41"/>
      <w:bookmarkEnd w:id="42"/>
    </w:p>
    <w:p>
      <w:pPr>
        <w:spacing w:line="600" w:lineRule="exact"/>
        <w:ind w:firstLine="643" w:firstLineChars="200"/>
        <w:outlineLvl w:val="2"/>
        <w:rPr>
          <w:rFonts w:ascii="仿宋" w:hAnsi="仿宋" w:eastAsia="仿宋"/>
          <w:sz w:val="32"/>
          <w:szCs w:val="32"/>
        </w:rPr>
      </w:pPr>
      <w:bookmarkStart w:id="43" w:name="_Toc15377222"/>
      <w:r>
        <w:rPr>
          <w:rFonts w:hint="eastAsia" w:ascii="仿宋" w:hAnsi="仿宋" w:eastAsia="仿宋"/>
          <w:b/>
          <w:sz w:val="32"/>
          <w:szCs w:val="32"/>
        </w:rPr>
        <w:t>（一）机关运行经费支出情况</w:t>
      </w:r>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22年，剑阁县锦屏小学校机关运行经费支出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3"/>
      <w:r>
        <w:rPr>
          <w:rFonts w:hint="eastAsia" w:ascii="仿宋" w:hAnsi="仿宋" w:eastAsia="仿宋"/>
          <w:b/>
          <w:sz w:val="32"/>
          <w:szCs w:val="32"/>
        </w:rPr>
        <w:t>（二）政府采购支出情况</w:t>
      </w:r>
      <w:bookmarkEnd w:id="4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22年，剑阁县锦屏小学校政府采购支出总额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4"/>
      <w:r>
        <w:rPr>
          <w:rFonts w:hint="eastAsia" w:ascii="仿宋" w:hAnsi="仿宋" w:eastAsia="仿宋"/>
          <w:b/>
          <w:sz w:val="32"/>
          <w:szCs w:val="32"/>
        </w:rPr>
        <w:t>（三）国有资产占有使用情况</w:t>
      </w:r>
      <w:bookmarkEnd w:id="4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日，剑阁县锦屏小学校共有车辆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根据预算绩效管理要求，本部门在2022年度预算编制阶段，组织对目标绩效考核奖励项目等</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剑阁县锦屏小学校</w:t>
      </w:r>
      <w:r>
        <w:rPr>
          <w:rFonts w:hint="eastAsia" w:ascii="仿宋_GB2312" w:hAnsi="仿宋_GB2312" w:eastAsia="仿宋_GB2312" w:cs="仿宋_GB2312"/>
          <w:sz w:val="32"/>
          <w:szCs w:val="32"/>
        </w:rPr>
        <w:t>目标绩效考核奖励绩效自评报告、</w:t>
      </w:r>
      <w:r>
        <w:rPr>
          <w:rFonts w:hint="eastAsia" w:ascii="仿宋_GB2312" w:hAnsi="仿宋_GB2312" w:eastAsia="仿宋_GB2312" w:cs="仿宋_GB2312"/>
          <w:sz w:val="32"/>
          <w:szCs w:val="32"/>
          <w:lang w:eastAsia="zh-CN"/>
        </w:rPr>
        <w:t>幼儿资助</w:t>
      </w:r>
      <w:r>
        <w:rPr>
          <w:rFonts w:hint="eastAsia" w:ascii="仿宋_GB2312" w:hAnsi="仿宋_GB2312" w:eastAsia="仿宋_GB2312" w:cs="仿宋_GB2312"/>
          <w:sz w:val="32"/>
          <w:szCs w:val="32"/>
        </w:rPr>
        <w:t>等专项预算项目绩效自评报告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绩效自评报告详见附件。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6" w:name="_Toc15377225"/>
      <w:bookmarkStart w:id="47" w:name="_Toc15396613"/>
      <w:r>
        <w:rPr>
          <w:rFonts w:hint="eastAsia" w:ascii="黑体" w:hAnsi="黑体" w:eastAsia="黑体"/>
          <w:sz w:val="44"/>
          <w:szCs w:val="44"/>
        </w:rPr>
        <w:t>名</w:t>
      </w:r>
      <w:r>
        <w:rPr>
          <w:rStyle w:val="27"/>
          <w:rFonts w:hint="eastAsia" w:ascii="黑体" w:hAnsi="黑体" w:eastAsia="黑体"/>
          <w:b w:val="0"/>
        </w:rPr>
        <w:t>词解释</w:t>
      </w:r>
      <w:bookmarkEnd w:id="46"/>
      <w:bookmarkEnd w:id="47"/>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color w:val="auto"/>
          <w:sz w:val="32"/>
          <w:szCs w:val="32"/>
        </w:rPr>
      </w:pPr>
      <w:r>
        <w:rPr>
          <w:rFonts w:ascii="仿宋_GB2312" w:eastAsia="仿宋_GB2312"/>
          <w:sz w:val="32"/>
          <w:szCs w:val="32"/>
        </w:rPr>
        <w:t>9.</w:t>
      </w:r>
      <w:r>
        <w:rPr>
          <w:rFonts w:hint="eastAsia" w:ascii="仿宋_GB2312" w:eastAsia="仿宋_GB2312"/>
          <w:color w:val="auto"/>
          <w:sz w:val="32"/>
          <w:szCs w:val="32"/>
        </w:rPr>
        <w:t>一般公共预算拨款收入：指县级财政当年拨付的资金。</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教育（类）普通教育（款）学前教育（项）：指学校正常运转的基本支出，包括基本工资、津贴补贴等人员经费，工会经费、福利费、办公费、印刷费、水电费等日常公用经费，其他社会保障缴费（失业保险和工伤保险）及遗属生活补助、贫困住校生生活补助等。</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教育（类）普通教育（款）小学教育（项）：指学校正常运转的基本支出，包括基本工资、津贴补贴等人员经费，工会经费、福利费、办公费、印刷费、水电费等日常公用经费，其他社会保障缴费（失业保险和工伤保险）及遗属生活补助、贫困住校生生活补助等。</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xml:space="preserve"> 社会保障和就业（类）行政事业单位养老支出（款）机关事业单位基本养老保险缴费支出（项）：指部门实施养老保险制度由单位缴纳的养老保险费的支出。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.其他社会保障和就业支出（类）其他社会保障和就业支出（款）：指财政拨付给单位，再由单位支付给退休人员的一次性退休补贴</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.卫生健康支出（类）行政事业单位医疗（款）事业单位医疗（项）：指事业单位用于缴纳单位在职及退休人员基本医疗保险支出。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.住房保障（类）住房改革支出（款）住房公积金（项）：指按照《住房公积金管理条例》的规定，由单位及其在职职工缴存的长期住房储蓄金。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7"/>
          <w:rFonts w:ascii="黑体" w:hAnsi="黑体" w:eastAsia="黑体"/>
          <w:b w:val="0"/>
        </w:rPr>
      </w:pPr>
      <w:bookmarkStart w:id="48" w:name="_Toc15377226"/>
      <w:r>
        <w:rPr>
          <w:rFonts w:ascii="宋体"/>
          <w:b/>
          <w:sz w:val="44"/>
          <w:szCs w:val="44"/>
        </w:rPr>
        <w:br w:type="page"/>
      </w:r>
      <w:bookmarkStart w:id="49" w:name="_Toc15396614"/>
      <w:r>
        <w:rPr>
          <w:rFonts w:hint="eastAsia" w:ascii="黑体" w:hAnsi="黑体" w:eastAsia="黑体"/>
          <w:sz w:val="44"/>
          <w:szCs w:val="44"/>
        </w:rPr>
        <w:t>第</w:t>
      </w:r>
      <w:r>
        <w:rPr>
          <w:rStyle w:val="27"/>
          <w:rFonts w:hint="eastAsia" w:ascii="黑体" w:hAnsi="黑体" w:eastAsia="黑体"/>
          <w:b w:val="0"/>
        </w:rPr>
        <w:t>四部分 附件</w:t>
      </w:r>
      <w:bookmarkEnd w:id="49"/>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spacing w:line="600" w:lineRule="exact"/>
        <w:jc w:val="center"/>
        <w:outlineLvl w:val="0"/>
        <w:rPr>
          <w:rFonts w:hint="eastAsia" w:ascii="黑体" w:hAnsi="黑体" w:eastAsia="黑体"/>
          <w:sz w:val="44"/>
          <w:szCs w:val="44"/>
        </w:rPr>
      </w:pPr>
      <w:bookmarkStart w:id="50" w:name="_Toc15396618"/>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8"/>
      <w:bookmarkEnd w:id="50"/>
      <w:bookmarkStart w:id="51"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1"/>
    </w:p>
    <w:p>
      <w:pPr>
        <w:pStyle w:val="4"/>
        <w:rPr>
          <w:rFonts w:ascii="仿宋" w:hAnsi="仿宋" w:eastAsia="仿宋"/>
        </w:rPr>
      </w:pPr>
      <w:bookmarkStart w:id="52" w:name="_Toc15396620"/>
      <w:r>
        <w:rPr>
          <w:rFonts w:hint="eastAsia" w:ascii="仿宋" w:hAnsi="仿宋" w:eastAsia="仿宋"/>
          <w:b w:val="0"/>
        </w:rPr>
        <w:t>二、收</w:t>
      </w:r>
      <w:r>
        <w:rPr>
          <w:rStyle w:val="28"/>
          <w:rFonts w:hint="eastAsia" w:ascii="仿宋" w:hAnsi="仿宋" w:eastAsia="仿宋"/>
          <w:b w:val="0"/>
          <w:bCs w:val="0"/>
        </w:rPr>
        <w:t>入决算表</w:t>
      </w:r>
      <w:bookmarkEnd w:id="52"/>
    </w:p>
    <w:p>
      <w:pPr>
        <w:pStyle w:val="4"/>
        <w:rPr>
          <w:rFonts w:ascii="仿宋" w:hAnsi="仿宋" w:eastAsia="仿宋"/>
        </w:rPr>
      </w:pPr>
      <w:bookmarkStart w:id="5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3"/>
    </w:p>
    <w:p>
      <w:pPr>
        <w:pStyle w:val="4"/>
        <w:rPr>
          <w:rFonts w:ascii="仿宋" w:hAnsi="仿宋" w:eastAsia="仿宋"/>
          <w:b w:val="0"/>
        </w:rPr>
      </w:pPr>
      <w:bookmarkStart w:id="54"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4"/>
    </w:p>
    <w:p>
      <w:pPr>
        <w:pStyle w:val="4"/>
        <w:rPr>
          <w:rStyle w:val="28"/>
          <w:rFonts w:ascii="仿宋" w:hAnsi="仿宋" w:eastAsia="仿宋"/>
          <w:b w:val="0"/>
          <w:bCs w:val="0"/>
        </w:rPr>
      </w:pPr>
      <w:bookmarkStart w:id="55"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5"/>
      <w:bookmarkStart w:id="56"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6"/>
    </w:p>
    <w:p>
      <w:pPr>
        <w:pStyle w:val="4"/>
        <w:rPr>
          <w:rFonts w:ascii="仿宋" w:hAnsi="仿宋" w:eastAsia="仿宋"/>
        </w:rPr>
      </w:pPr>
      <w:bookmarkStart w:id="57"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7"/>
    </w:p>
    <w:p>
      <w:pPr>
        <w:pStyle w:val="4"/>
        <w:rPr>
          <w:rFonts w:ascii="仿宋" w:hAnsi="仿宋" w:eastAsia="仿宋"/>
        </w:rPr>
      </w:pPr>
      <w:bookmarkStart w:id="58"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8"/>
    </w:p>
    <w:p>
      <w:pPr>
        <w:pStyle w:val="4"/>
        <w:rPr>
          <w:rFonts w:ascii="仿宋" w:hAnsi="仿宋" w:eastAsia="仿宋"/>
        </w:rPr>
      </w:pPr>
      <w:bookmarkStart w:id="59"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9"/>
    </w:p>
    <w:p>
      <w:pPr>
        <w:pStyle w:val="4"/>
        <w:rPr>
          <w:rFonts w:ascii="仿宋" w:hAnsi="仿宋" w:eastAsia="仿宋"/>
        </w:rPr>
      </w:pPr>
      <w:bookmarkStart w:id="60" w:name="_Toc15396628"/>
      <w:r>
        <w:rPr>
          <w:rStyle w:val="28"/>
          <w:rFonts w:hint="eastAsia" w:ascii="仿宋" w:hAnsi="仿宋" w:eastAsia="仿宋"/>
          <w:b w:val="0"/>
          <w:bCs w:val="0"/>
        </w:rPr>
        <w:t>十、</w:t>
      </w:r>
      <w:bookmarkEnd w:id="60"/>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1" w:name="_Toc15396629"/>
      <w:r>
        <w:rPr>
          <w:rStyle w:val="28"/>
          <w:rFonts w:hint="eastAsia" w:ascii="仿宋" w:hAnsi="仿宋" w:eastAsia="仿宋"/>
          <w:b w:val="0"/>
          <w:bCs w:val="0"/>
        </w:rPr>
        <w:t>十一、</w:t>
      </w:r>
      <w:bookmarkEnd w:id="61"/>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2" w:name="_Toc15396630"/>
      <w:r>
        <w:rPr>
          <w:rStyle w:val="28"/>
          <w:rFonts w:hint="eastAsia" w:ascii="仿宋" w:hAnsi="仿宋" w:eastAsia="仿宋"/>
          <w:b w:val="0"/>
          <w:bCs w:val="0"/>
        </w:rPr>
        <w:t>十二、</w:t>
      </w:r>
      <w:bookmarkEnd w:id="62"/>
      <w:r>
        <w:rPr>
          <w:rStyle w:val="28"/>
          <w:rFonts w:hint="eastAsia" w:ascii="仿宋" w:hAnsi="仿宋" w:eastAsia="仿宋"/>
          <w:b w:val="0"/>
          <w:bCs w:val="0"/>
        </w:rPr>
        <w:t>国有资本经营预算财政拨款支出决算表</w:t>
      </w:r>
    </w:p>
    <w:p>
      <w:pPr>
        <w:pStyle w:val="4"/>
        <w:rPr>
          <w:rFonts w:eastAsia="仿宋"/>
        </w:rPr>
      </w:pPr>
      <w:bookmarkStart w:id="63" w:name="_Toc15396631"/>
      <w:r>
        <w:rPr>
          <w:rStyle w:val="28"/>
          <w:rFonts w:hint="eastAsia" w:ascii="仿宋" w:hAnsi="仿宋" w:eastAsia="仿宋"/>
          <w:b w:val="0"/>
          <w:bCs w:val="0"/>
        </w:rPr>
        <w:t>十三、</w:t>
      </w:r>
      <w:bookmarkEnd w:id="63"/>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92167D-E445-439D-91A1-585CD7BB6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13778061-A66A-4547-B1B5-FF4F686B10EC}"/>
  </w:font>
  <w:font w:name="仿宋_GB2312">
    <w:altName w:val="仿宋"/>
    <w:panose1 w:val="02010609030101010101"/>
    <w:charset w:val="86"/>
    <w:family w:val="modern"/>
    <w:pitch w:val="default"/>
    <w:sig w:usb0="00000000" w:usb1="00000000" w:usb2="00000000" w:usb3="00000000" w:csb0="00040000" w:csb1="00000000"/>
    <w:embedRegular r:id="rId3" w:fontKey="{681A2B62-E2EB-484E-9ED8-B225AC8BE621}"/>
  </w:font>
  <w:font w:name="仿宋">
    <w:panose1 w:val="02010609060101010101"/>
    <w:charset w:val="86"/>
    <w:family w:val="modern"/>
    <w:pitch w:val="default"/>
    <w:sig w:usb0="800002BF" w:usb1="38CF7CFA" w:usb2="00000016" w:usb3="00000000" w:csb0="00040001" w:csb1="00000000"/>
    <w:embedRegular r:id="rId4" w:fontKey="{D329BD38-FA7C-4939-9445-575FF7666CC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F4A57BEA-B9E6-434C-BE4A-35934EE07C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16</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8CE475C"/>
    <w:multiLevelType w:val="singleLevel"/>
    <w:tmpl w:val="48CE475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DC86664"/>
    <w:rsid w:val="1FF35744"/>
    <w:rsid w:val="23860B96"/>
    <w:rsid w:val="240371BF"/>
    <w:rsid w:val="24C15DB7"/>
    <w:rsid w:val="29FD04D3"/>
    <w:rsid w:val="2C8A61B5"/>
    <w:rsid w:val="2DF04E50"/>
    <w:rsid w:val="2F040D46"/>
    <w:rsid w:val="319F7F4E"/>
    <w:rsid w:val="3304709D"/>
    <w:rsid w:val="34BA2581"/>
    <w:rsid w:val="36AA5135"/>
    <w:rsid w:val="376D39B2"/>
    <w:rsid w:val="37E16F03"/>
    <w:rsid w:val="38D469F0"/>
    <w:rsid w:val="3D98207C"/>
    <w:rsid w:val="3E78745D"/>
    <w:rsid w:val="44E268DA"/>
    <w:rsid w:val="4A5B6E7A"/>
    <w:rsid w:val="4A627F82"/>
    <w:rsid w:val="4B0E749A"/>
    <w:rsid w:val="4B4F25DA"/>
    <w:rsid w:val="4BE068DB"/>
    <w:rsid w:val="4D577224"/>
    <w:rsid w:val="4EAB630A"/>
    <w:rsid w:val="4ECE2238"/>
    <w:rsid w:val="537E6D0A"/>
    <w:rsid w:val="5AF92295"/>
    <w:rsid w:val="5CD71FC4"/>
    <w:rsid w:val="5E0D6A44"/>
    <w:rsid w:val="6C4A05C8"/>
    <w:rsid w:val="6E7E3605"/>
    <w:rsid w:val="6FF5CC65"/>
    <w:rsid w:val="715C0E4B"/>
    <w:rsid w:val="722F6C9B"/>
    <w:rsid w:val="72734D90"/>
    <w:rsid w:val="73AD73D5"/>
    <w:rsid w:val="73B6EB34"/>
    <w:rsid w:val="744731E5"/>
    <w:rsid w:val="75DB226C"/>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next w:val="1"/>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本年支出</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83"/>
          <c:y val="0.105833333333333"/>
          <c:w val="0.62725"/>
          <c:h val="0.836333333333333"/>
        </c:manualLayout>
      </c:layout>
      <c:pieChart>
        <c:varyColors val="1"/>
        <c:ser>
          <c:idx val="0"/>
          <c:order val="0"/>
          <c:tx>
            <c:strRef>
              <c:f>Sheet1!$B$1</c:f>
              <c:strCache>
                <c:ptCount val="1"/>
                <c:pt idx="0">
                  <c:v>三公经费支出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0</TotalTime>
  <ScaleCrop>false</ScaleCrop>
  <LinksUpToDate>false</LinksUpToDate>
  <CharactersWithSpaces>8214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2023-11-29T01:41:29Z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38519598C8D8447AA4A8EEF14951863F_13</vt:lpwstr>
  </property>
</Properties>
</file>