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193"/>
      <w:bookmarkStart w:id="3" w:name="_Toc15377425"/>
      <w:bookmarkStart w:id="4" w:name="_Toc15396475"/>
      <w:bookmarkStart w:id="5" w:name="_Toc15396597"/>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pacing w:val="-16"/>
          <w:sz w:val="72"/>
          <w:szCs w:val="72"/>
        </w:rPr>
      </w:pPr>
      <w:bookmarkStart w:id="6" w:name="_Toc15377426"/>
      <w:bookmarkStart w:id="7" w:name="_Toc15378442"/>
      <w:bookmarkStart w:id="8" w:name="_Toc15396476"/>
      <w:bookmarkStart w:id="9" w:name="_Toc15396598"/>
      <w:bookmarkStart w:id="10" w:name="_Toc15377194"/>
      <w:r>
        <w:rPr>
          <w:rFonts w:hint="eastAsia" w:ascii="方正小标宋简体" w:hAnsi="方正小标宋简体" w:eastAsia="方正小标宋简体" w:cs="方正小标宋简体"/>
          <w:sz w:val="72"/>
          <w:szCs w:val="72"/>
        </w:rPr>
        <w:t>剑阁县</w:t>
      </w:r>
      <w:bookmarkEnd w:id="0"/>
      <w:bookmarkStart w:id="11" w:name="_Toc15306268"/>
      <w:r>
        <w:rPr>
          <w:rFonts w:hint="eastAsia" w:ascii="方正小标宋简体" w:hAnsi="方正小标宋简体" w:eastAsia="方正小标宋简体" w:cs="方正小标宋简体"/>
          <w:spacing w:val="-16"/>
          <w:sz w:val="72"/>
          <w:szCs w:val="72"/>
        </w:rPr>
        <w:t>教育科学研究室</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公开时间：2023年10月26日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2"/>
        <w:adjustRightInd w:val="0"/>
        <w:snapToGrid w:val="0"/>
        <w:spacing w:line="440" w:lineRule="exact"/>
        <w:jc w:val="left"/>
        <w:rPr>
          <w:sz w:val="24"/>
        </w:rPr>
      </w:pPr>
      <w:r>
        <w:rPr>
          <w:rFonts w:hint="eastAsia"/>
          <w:sz w:val="24"/>
        </w:rPr>
        <w:t>一、主要职责及重点</w:t>
      </w:r>
      <w:r>
        <w:rPr>
          <w:sz w:val="24"/>
        </w:rPr>
        <w:t>工作</w:t>
      </w:r>
    </w:p>
    <w:p>
      <w:pPr>
        <w:pStyle w:val="12"/>
        <w:adjustRightInd w:val="0"/>
        <w:snapToGrid w:val="0"/>
        <w:spacing w:line="440" w:lineRule="exact"/>
        <w:jc w:val="left"/>
        <w:rPr>
          <w:sz w:val="24"/>
        </w:rPr>
      </w:pPr>
      <w:r>
        <w:rPr>
          <w:rFonts w:hint="eastAsia"/>
          <w:sz w:val="24"/>
        </w:rPr>
        <w:t>（一）单位</w:t>
      </w:r>
      <w:r>
        <w:rPr>
          <w:sz w:val="24"/>
        </w:rPr>
        <w:t>职责</w:t>
      </w:r>
    </w:p>
    <w:p>
      <w:pPr>
        <w:pStyle w:val="12"/>
        <w:adjustRightInd w:val="0"/>
        <w:snapToGrid w:val="0"/>
        <w:spacing w:line="440" w:lineRule="exact"/>
        <w:jc w:val="left"/>
        <w:rPr>
          <w:b/>
          <w:bCs/>
          <w:sz w:val="24"/>
        </w:rPr>
      </w:pPr>
      <w:r>
        <w:rPr>
          <w:rFonts w:hint="eastAsia"/>
          <w:sz w:val="24"/>
        </w:rPr>
        <w:t>（二）2022年重点工作完成情况</w:t>
      </w:r>
    </w:p>
    <w:p>
      <w:pPr>
        <w:pStyle w:val="12"/>
        <w:adjustRightInd w:val="0"/>
        <w:snapToGrid w:val="0"/>
        <w:spacing w:line="440" w:lineRule="exact"/>
        <w:jc w:val="left"/>
        <w:rPr>
          <w:sz w:val="24"/>
        </w:rPr>
      </w:pPr>
      <w:r>
        <w:rPr>
          <w:rFonts w:hint="eastAsia"/>
          <w:sz w:val="24"/>
        </w:rPr>
        <w:t>二、机构设置</w:t>
      </w:r>
    </w:p>
    <w:p>
      <w:pPr>
        <w:pStyle w:val="11"/>
        <w:adjustRightInd w:val="0"/>
        <w:snapToGrid w:val="0"/>
        <w:spacing w:before="0" w:line="440" w:lineRule="exact"/>
        <w:jc w:val="left"/>
        <w:rPr>
          <w:sz w:val="24"/>
          <w:szCs w:val="24"/>
        </w:rPr>
      </w:pPr>
      <w:r>
        <w:rPr>
          <w:rFonts w:hint="eastAsia"/>
          <w:sz w:val="24"/>
        </w:rPr>
        <w:t>第二部分 2022年度单位决算情况说明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2"/>
        <w:adjustRightInd w:val="0"/>
        <w:snapToGrid w:val="0"/>
        <w:spacing w:line="440" w:lineRule="exact"/>
        <w:jc w:val="left"/>
        <w:rPr>
          <w:sz w:val="24"/>
        </w:rPr>
      </w:pPr>
      <w:r>
        <w:rPr>
          <w:rFonts w:hint="eastAsia"/>
          <w:sz w:val="24"/>
        </w:rPr>
        <w:t>九、国有资本经营预算支出决算情况说明</w:t>
      </w:r>
    </w:p>
    <w:p>
      <w:pPr>
        <w:pStyle w:val="12"/>
        <w:adjustRightInd w:val="0"/>
        <w:snapToGrid w:val="0"/>
        <w:spacing w:line="440" w:lineRule="exact"/>
        <w:jc w:val="left"/>
        <w:rPr>
          <w:sz w:val="24"/>
        </w:rPr>
      </w:pPr>
      <w:r>
        <w:rPr>
          <w:rFonts w:hint="eastAsia"/>
          <w:sz w:val="24"/>
        </w:rPr>
        <w:t>十、其他重要事项的情况说明</w:t>
      </w:r>
    </w:p>
    <w:p>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sz w:val="24"/>
        </w:rPr>
      </w:pPr>
      <w:r>
        <w:rPr>
          <w:rFonts w:hint="eastAsia"/>
          <w:sz w:val="24"/>
        </w:rPr>
        <w:t>十三、财政拨款“三公”经费支出决算表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6"/>
          <w:rFonts w:ascii="黑体" w:hAnsi="黑体" w:eastAsia="黑体"/>
          <w:b/>
          <w:bCs w:val="0"/>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7"/>
          <w:rFonts w:ascii="黑体" w:hAnsi="黑体" w:eastAsia="黑体"/>
          <w:b w:val="0"/>
          <w:bCs w:val="0"/>
        </w:rPr>
      </w:pPr>
      <w:bookmarkStart w:id="14" w:name="_Toc15377197"/>
      <w:bookmarkStart w:id="15" w:name="_Toc15396600"/>
      <w:r>
        <w:rPr>
          <w:rStyle w:val="27"/>
          <w:rFonts w:hint="eastAsia" w:ascii="黑体" w:hAnsi="黑体" w:eastAsia="黑体"/>
          <w:b w:val="0"/>
          <w:bCs w:val="0"/>
        </w:rPr>
        <w:t>主要职责</w:t>
      </w:r>
    </w:p>
    <w:p>
      <w:pPr>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1.围绕基础教育课程改革，深入扎实地做好</w:t>
      </w:r>
      <w:r>
        <w:fldChar w:fldCharType="begin"/>
      </w:r>
      <w:r>
        <w:instrText xml:space="preserve"> HYPERLINK "http://www.unjs.com/Special/jiaoxuegongzuozongjie/" \t "_blank" </w:instrText>
      </w:r>
      <w:r>
        <w:fldChar w:fldCharType="separate"/>
      </w:r>
      <w:r>
        <w:rPr>
          <w:rFonts w:hint="eastAsia" w:ascii="仿宋" w:hAnsi="仿宋" w:eastAsia="仿宋"/>
          <w:color w:val="000000"/>
          <w:sz w:val="32"/>
          <w:szCs w:val="32"/>
        </w:rPr>
        <w:t>教学</w:t>
      </w:r>
      <w:r>
        <w:rPr>
          <w:rFonts w:hint="eastAsia" w:ascii="仿宋" w:hAnsi="仿宋" w:eastAsia="仿宋"/>
          <w:color w:val="000000"/>
          <w:sz w:val="32"/>
          <w:szCs w:val="32"/>
        </w:rPr>
        <w:fldChar w:fldCharType="end"/>
      </w:r>
      <w:r>
        <w:rPr>
          <w:rFonts w:hint="eastAsia" w:ascii="仿宋" w:hAnsi="仿宋" w:eastAsia="仿宋"/>
          <w:color w:val="000000"/>
          <w:sz w:val="32"/>
          <w:szCs w:val="32"/>
        </w:rPr>
        <w:t>研究、指导、服务</w:t>
      </w:r>
      <w:r>
        <w:fldChar w:fldCharType="begin"/>
      </w:r>
      <w:r>
        <w:instrText xml:space="preserve"> HYPERLINK "http://www.unjs.com/Special/gongzuosixianghuibao/" \t "_blank" </w:instrText>
      </w:r>
      <w:r>
        <w:fldChar w:fldCharType="separate"/>
      </w:r>
      <w:r>
        <w:rPr>
          <w:rFonts w:hint="eastAsia" w:ascii="仿宋" w:hAnsi="仿宋" w:eastAsia="仿宋"/>
          <w:color w:val="000000"/>
          <w:sz w:val="32"/>
          <w:szCs w:val="32"/>
        </w:rPr>
        <w:t>工作</w:t>
      </w:r>
      <w:r>
        <w:rPr>
          <w:rFonts w:hint="eastAsia" w:ascii="仿宋" w:hAnsi="仿宋" w:eastAsia="仿宋"/>
          <w:color w:val="000000"/>
          <w:sz w:val="32"/>
          <w:szCs w:val="32"/>
        </w:rPr>
        <w:fldChar w:fldCharType="end"/>
      </w:r>
      <w:r>
        <w:rPr>
          <w:rFonts w:hint="eastAsia" w:ascii="仿宋" w:hAnsi="仿宋" w:eastAsia="仿宋"/>
          <w:color w:val="000000"/>
          <w:sz w:val="32"/>
          <w:szCs w:val="32"/>
        </w:rPr>
        <w:t>，从整体上提高新课程</w:t>
      </w:r>
      <w:r>
        <w:fldChar w:fldCharType="begin"/>
      </w:r>
      <w:r>
        <w:instrText xml:space="preserve"> HYPERLINK "http://www.unjs.com/Special/xiangmushishifangan/" \t "_blank" </w:instrText>
      </w:r>
      <w:r>
        <w:fldChar w:fldCharType="separate"/>
      </w:r>
      <w:r>
        <w:rPr>
          <w:rFonts w:hint="eastAsia" w:ascii="仿宋" w:hAnsi="仿宋" w:eastAsia="仿宋"/>
          <w:color w:val="000000"/>
          <w:sz w:val="32"/>
          <w:szCs w:val="32"/>
        </w:rPr>
        <w:t>实施</w:t>
      </w:r>
      <w:r>
        <w:rPr>
          <w:rFonts w:hint="eastAsia" w:ascii="仿宋" w:hAnsi="仿宋" w:eastAsia="仿宋"/>
          <w:color w:val="000000"/>
          <w:sz w:val="32"/>
          <w:szCs w:val="32"/>
        </w:rPr>
        <w:fldChar w:fldCharType="end"/>
      </w:r>
      <w:r>
        <w:fldChar w:fldCharType="begin"/>
      </w:r>
      <w:r>
        <w:instrText xml:space="preserve"> HYPERLINK "http://www.unjs.com/Special/shui/" \t "_blank" </w:instrText>
      </w:r>
      <w:r>
        <w:fldChar w:fldCharType="separate"/>
      </w:r>
      <w:r>
        <w:rPr>
          <w:rFonts w:hint="eastAsia" w:ascii="仿宋" w:hAnsi="仿宋" w:eastAsia="仿宋"/>
          <w:color w:val="000000"/>
          <w:sz w:val="32"/>
          <w:szCs w:val="32"/>
        </w:rPr>
        <w:t>水</w:t>
      </w:r>
      <w:r>
        <w:rPr>
          <w:rFonts w:hint="eastAsia" w:ascii="仿宋" w:hAnsi="仿宋" w:eastAsia="仿宋"/>
          <w:color w:val="000000"/>
          <w:sz w:val="32"/>
          <w:szCs w:val="32"/>
        </w:rPr>
        <w:fldChar w:fldCharType="end"/>
      </w:r>
      <w:r>
        <w:rPr>
          <w:rFonts w:hint="eastAsia" w:ascii="仿宋" w:hAnsi="仿宋" w:eastAsia="仿宋"/>
          <w:color w:val="000000"/>
          <w:sz w:val="32"/>
          <w:szCs w:val="32"/>
        </w:rPr>
        <w:t>平。</w:t>
      </w:r>
      <w:r>
        <w:rPr>
          <w:rFonts w:ascii="仿宋" w:hAnsi="仿宋" w:eastAsia="仿宋"/>
          <w:color w:val="000000"/>
          <w:sz w:val="32"/>
          <w:szCs w:val="32"/>
        </w:rPr>
        <w:tab/>
      </w:r>
    </w:p>
    <w:p>
      <w:pPr>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2.从教育教学实际出发，开展教育</w:t>
      </w:r>
      <w:r>
        <w:fldChar w:fldCharType="begin"/>
      </w:r>
      <w:r>
        <w:instrText xml:space="preserve"> HYPERLINK "http://www.unjs.com/Special/sixianggongzuozongjie/" \t "_blank" </w:instrText>
      </w:r>
      <w:r>
        <w:fldChar w:fldCharType="separate"/>
      </w:r>
      <w:r>
        <w:rPr>
          <w:rFonts w:hint="eastAsia" w:ascii="仿宋" w:hAnsi="仿宋" w:eastAsia="仿宋"/>
          <w:color w:val="000000"/>
          <w:sz w:val="32"/>
          <w:szCs w:val="32"/>
        </w:rPr>
        <w:t>思想</w:t>
      </w:r>
      <w:r>
        <w:rPr>
          <w:rFonts w:hint="eastAsia" w:ascii="仿宋" w:hAnsi="仿宋" w:eastAsia="仿宋"/>
          <w:color w:val="000000"/>
          <w:sz w:val="32"/>
          <w:szCs w:val="32"/>
        </w:rPr>
        <w:fldChar w:fldCharType="end"/>
      </w:r>
      <w:r>
        <w:rPr>
          <w:rFonts w:hint="eastAsia" w:ascii="仿宋" w:hAnsi="仿宋" w:eastAsia="仿宋"/>
          <w:color w:val="000000"/>
          <w:sz w:val="32"/>
          <w:szCs w:val="32"/>
        </w:rPr>
        <w:t>、教学理论、课程结构、教学内容、教学过程、教学</w:t>
      </w:r>
      <w:r>
        <w:fldChar w:fldCharType="begin"/>
      </w:r>
      <w:r>
        <w:instrText xml:space="preserve"> HYPERLINK "http://www.unjs.com/Special/xuexifangfa/" \t "_blank" </w:instrText>
      </w:r>
      <w:r>
        <w:fldChar w:fldCharType="separate"/>
      </w:r>
      <w:r>
        <w:rPr>
          <w:rFonts w:hint="eastAsia" w:ascii="仿宋" w:hAnsi="仿宋" w:eastAsia="仿宋"/>
          <w:color w:val="000000"/>
          <w:sz w:val="32"/>
          <w:szCs w:val="32"/>
        </w:rPr>
        <w:t>方法</w:t>
      </w:r>
      <w:r>
        <w:rPr>
          <w:rFonts w:hint="eastAsia" w:ascii="仿宋" w:hAnsi="仿宋" w:eastAsia="仿宋"/>
          <w:color w:val="000000"/>
          <w:sz w:val="32"/>
          <w:szCs w:val="32"/>
        </w:rPr>
        <w:fldChar w:fldCharType="end"/>
      </w:r>
      <w:r>
        <w:rPr>
          <w:rFonts w:hint="eastAsia" w:ascii="仿宋" w:hAnsi="仿宋" w:eastAsia="仿宋"/>
          <w:color w:val="000000"/>
          <w:sz w:val="32"/>
          <w:szCs w:val="32"/>
        </w:rPr>
        <w:t>、教学手段、教学</w:t>
      </w:r>
      <w:r>
        <w:fldChar w:fldCharType="begin"/>
      </w:r>
      <w:r>
        <w:instrText xml:space="preserve"> HYPERLINK "http://www.unjs.com/Special/ziwopingjia/" \t "_blank" </w:instrText>
      </w:r>
      <w:r>
        <w:fldChar w:fldCharType="separate"/>
      </w:r>
      <w:r>
        <w:rPr>
          <w:rFonts w:hint="eastAsia" w:ascii="仿宋" w:hAnsi="仿宋" w:eastAsia="仿宋"/>
          <w:color w:val="000000"/>
          <w:sz w:val="32"/>
          <w:szCs w:val="32"/>
        </w:rPr>
        <w:t>评价</w:t>
      </w:r>
      <w:r>
        <w:rPr>
          <w:rFonts w:hint="eastAsia" w:ascii="仿宋" w:hAnsi="仿宋" w:eastAsia="仿宋"/>
          <w:color w:val="000000"/>
          <w:sz w:val="32"/>
          <w:szCs w:val="32"/>
        </w:rPr>
        <w:fldChar w:fldCharType="end"/>
      </w:r>
      <w:r>
        <w:rPr>
          <w:rFonts w:hint="eastAsia" w:ascii="仿宋" w:hAnsi="仿宋" w:eastAsia="仿宋"/>
          <w:color w:val="000000"/>
          <w:sz w:val="32"/>
          <w:szCs w:val="32"/>
        </w:rPr>
        <w:t>等方面的应用研究。</w:t>
      </w:r>
    </w:p>
    <w:p>
      <w:pPr>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3.依据上级有关部门制定的教育科研</w:t>
      </w:r>
      <w:r>
        <w:fldChar w:fldCharType="begin"/>
      </w:r>
      <w:r>
        <w:instrText xml:space="preserve"> HYPERLINK "http://www.unjs.com/Special/daxueshengguihuashu/" \t "_blank" </w:instrText>
      </w:r>
      <w:r>
        <w:fldChar w:fldCharType="separate"/>
      </w:r>
      <w:r>
        <w:rPr>
          <w:rFonts w:hint="eastAsia" w:ascii="仿宋" w:hAnsi="仿宋" w:eastAsia="仿宋"/>
          <w:color w:val="000000"/>
          <w:sz w:val="32"/>
          <w:szCs w:val="32"/>
        </w:rPr>
        <w:t>规划</w:t>
      </w:r>
      <w:r>
        <w:rPr>
          <w:rFonts w:hint="eastAsia" w:ascii="仿宋" w:hAnsi="仿宋" w:eastAsia="仿宋"/>
          <w:color w:val="000000"/>
          <w:sz w:val="32"/>
          <w:szCs w:val="32"/>
        </w:rPr>
        <w:fldChar w:fldCharType="end"/>
      </w:r>
      <w:r>
        <w:rPr>
          <w:rFonts w:hint="eastAsia" w:ascii="仿宋" w:hAnsi="仿宋" w:eastAsia="仿宋"/>
          <w:color w:val="000000"/>
          <w:sz w:val="32"/>
          <w:szCs w:val="32"/>
        </w:rPr>
        <w:t>及课题管理办法，提出我县教育教学研究的整体规划和实施意见。做好教研课题申报、管理及成果的推广等工作。</w:t>
      </w:r>
    </w:p>
    <w:p>
      <w:pPr>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4.组织开展教育教学改革</w:t>
      </w:r>
      <w:r>
        <w:fldChar w:fldCharType="begin"/>
      </w:r>
      <w:r>
        <w:instrText xml:space="preserve"> HYPERLINK "http://www.unjs.com/Special/youqudeshiyanzuowen/" \t "_blank" </w:instrText>
      </w:r>
      <w:r>
        <w:fldChar w:fldCharType="separate"/>
      </w:r>
      <w:r>
        <w:rPr>
          <w:rFonts w:hint="eastAsia" w:ascii="仿宋" w:hAnsi="仿宋" w:eastAsia="仿宋"/>
          <w:color w:val="000000"/>
          <w:sz w:val="32"/>
          <w:szCs w:val="32"/>
        </w:rPr>
        <w:t>实验</w:t>
      </w:r>
      <w:r>
        <w:rPr>
          <w:rFonts w:hint="eastAsia" w:ascii="仿宋" w:hAnsi="仿宋" w:eastAsia="仿宋"/>
          <w:color w:val="000000"/>
          <w:sz w:val="32"/>
          <w:szCs w:val="32"/>
        </w:rPr>
        <w:fldChar w:fldCharType="end"/>
      </w:r>
      <w:r>
        <w:rPr>
          <w:rFonts w:hint="eastAsia" w:ascii="仿宋" w:hAnsi="仿宋" w:eastAsia="仿宋"/>
          <w:color w:val="000000"/>
          <w:sz w:val="32"/>
          <w:szCs w:val="32"/>
        </w:rPr>
        <w:t>，推广教育教学</w:t>
      </w:r>
      <w:r>
        <w:fldChar w:fldCharType="begin"/>
      </w:r>
      <w:r>
        <w:instrText xml:space="preserve"> HYPERLINK "http://www.unjs.com/Special/jiaoxuejingyan/" \t "_blank" </w:instrText>
      </w:r>
      <w:r>
        <w:fldChar w:fldCharType="separate"/>
      </w:r>
      <w:r>
        <w:rPr>
          <w:rFonts w:hint="eastAsia" w:ascii="仿宋" w:hAnsi="仿宋" w:eastAsia="仿宋"/>
          <w:color w:val="000000"/>
          <w:sz w:val="32"/>
          <w:szCs w:val="32"/>
        </w:rPr>
        <w:t>经验</w:t>
      </w:r>
      <w:r>
        <w:rPr>
          <w:rFonts w:hint="eastAsia" w:ascii="仿宋" w:hAnsi="仿宋" w:eastAsia="仿宋"/>
          <w:color w:val="000000"/>
          <w:sz w:val="32"/>
          <w:szCs w:val="32"/>
        </w:rPr>
        <w:fldChar w:fldCharType="end"/>
      </w:r>
      <w:r>
        <w:rPr>
          <w:rFonts w:hint="eastAsia" w:ascii="仿宋" w:hAnsi="仿宋" w:eastAsia="仿宋"/>
          <w:color w:val="000000"/>
          <w:sz w:val="32"/>
          <w:szCs w:val="32"/>
        </w:rPr>
        <w:t>，推动教学改革，为教育行政部门的决策提供依据。</w:t>
      </w:r>
    </w:p>
    <w:p>
      <w:pPr>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5.加强对中小学</w:t>
      </w:r>
      <w:r>
        <w:fldChar w:fldCharType="begin"/>
      </w:r>
      <w:r>
        <w:instrText xml:space="preserve"> HYPERLINK "http://www.unjs.com/Special/zhixingli/" \t "_blank" </w:instrText>
      </w:r>
      <w:r>
        <w:fldChar w:fldCharType="separate"/>
      </w:r>
      <w:r>
        <w:rPr>
          <w:rFonts w:hint="eastAsia" w:ascii="仿宋" w:hAnsi="仿宋" w:eastAsia="仿宋"/>
          <w:color w:val="000000"/>
          <w:sz w:val="32"/>
          <w:szCs w:val="32"/>
        </w:rPr>
        <w:t>执行</w:t>
      </w:r>
      <w:r>
        <w:rPr>
          <w:rFonts w:hint="eastAsia" w:ascii="仿宋" w:hAnsi="仿宋" w:eastAsia="仿宋"/>
          <w:color w:val="000000"/>
          <w:sz w:val="32"/>
          <w:szCs w:val="32"/>
        </w:rPr>
        <w:fldChar w:fldCharType="end"/>
      </w:r>
      <w:r>
        <w:rPr>
          <w:rFonts w:hint="eastAsia" w:ascii="仿宋" w:hAnsi="仿宋" w:eastAsia="仿宋"/>
          <w:color w:val="000000"/>
          <w:sz w:val="32"/>
          <w:szCs w:val="32"/>
        </w:rPr>
        <w:t>课题</w:t>
      </w:r>
      <w:r>
        <w:fldChar w:fldCharType="begin"/>
      </w:r>
      <w:r>
        <w:instrText xml:space="preserve"> HYPERLINK "http://www.unjs.com/fanwenwang/gzjh/" \t "_blank" </w:instrText>
      </w:r>
      <w:r>
        <w:fldChar w:fldCharType="separate"/>
      </w:r>
      <w:r>
        <w:rPr>
          <w:rFonts w:hint="eastAsia" w:ascii="仿宋" w:hAnsi="仿宋" w:eastAsia="仿宋"/>
          <w:color w:val="000000"/>
          <w:sz w:val="32"/>
          <w:szCs w:val="32"/>
        </w:rPr>
        <w:t>计划</w:t>
      </w:r>
      <w:r>
        <w:rPr>
          <w:rFonts w:hint="eastAsia" w:ascii="仿宋" w:hAnsi="仿宋" w:eastAsia="仿宋"/>
          <w:color w:val="000000"/>
          <w:sz w:val="32"/>
          <w:szCs w:val="32"/>
        </w:rPr>
        <w:fldChar w:fldCharType="end"/>
      </w:r>
      <w:r>
        <w:rPr>
          <w:rFonts w:hint="eastAsia" w:ascii="仿宋" w:hAnsi="仿宋" w:eastAsia="仿宋"/>
          <w:color w:val="000000"/>
          <w:sz w:val="32"/>
          <w:szCs w:val="32"/>
        </w:rPr>
        <w:t>、课程标准和教材使用</w:t>
      </w:r>
      <w:r>
        <w:fldChar w:fldCharType="begin"/>
      </w:r>
      <w:r>
        <w:instrText xml:space="preserve"> HYPERLINK "http://www.unjs.com/Special/qingkuangshuoming/" \t "_blank" </w:instrText>
      </w:r>
      <w:r>
        <w:fldChar w:fldCharType="separate"/>
      </w:r>
      <w:r>
        <w:rPr>
          <w:rFonts w:hint="eastAsia" w:ascii="仿宋" w:hAnsi="仿宋" w:eastAsia="仿宋"/>
          <w:color w:val="000000"/>
          <w:sz w:val="32"/>
          <w:szCs w:val="32"/>
        </w:rPr>
        <w:t>情况</w:t>
      </w:r>
      <w:r>
        <w:rPr>
          <w:rFonts w:hint="eastAsia" w:ascii="仿宋" w:hAnsi="仿宋" w:eastAsia="仿宋"/>
          <w:color w:val="000000"/>
          <w:sz w:val="32"/>
          <w:szCs w:val="32"/>
        </w:rPr>
        <w:fldChar w:fldCharType="end"/>
      </w:r>
      <w:r>
        <w:rPr>
          <w:rFonts w:hint="eastAsia" w:ascii="仿宋" w:hAnsi="仿宋" w:eastAsia="仿宋"/>
          <w:color w:val="000000"/>
          <w:sz w:val="32"/>
          <w:szCs w:val="32"/>
        </w:rPr>
        <w:t>的</w:t>
      </w:r>
      <w:r>
        <w:fldChar w:fldCharType="begin"/>
      </w:r>
      <w:r>
        <w:instrText xml:space="preserve"> HYPERLINK "http://www.unjs.com/Special/diaoyanbaogao/" \t "_blank" </w:instrText>
      </w:r>
      <w:r>
        <w:fldChar w:fldCharType="separate"/>
      </w:r>
      <w:r>
        <w:rPr>
          <w:rFonts w:hint="eastAsia" w:ascii="仿宋" w:hAnsi="仿宋" w:eastAsia="仿宋"/>
          <w:color w:val="000000"/>
          <w:sz w:val="32"/>
          <w:szCs w:val="32"/>
        </w:rPr>
        <w:t>调研</w:t>
      </w:r>
      <w:r>
        <w:rPr>
          <w:rFonts w:hint="eastAsia" w:ascii="仿宋" w:hAnsi="仿宋" w:eastAsia="仿宋"/>
          <w:color w:val="000000"/>
          <w:sz w:val="32"/>
          <w:szCs w:val="32"/>
        </w:rPr>
        <w:fldChar w:fldCharType="end"/>
      </w:r>
      <w:r>
        <w:rPr>
          <w:rFonts w:hint="eastAsia" w:ascii="仿宋" w:hAnsi="仿宋" w:eastAsia="仿宋"/>
          <w:color w:val="000000"/>
          <w:sz w:val="32"/>
          <w:szCs w:val="32"/>
        </w:rPr>
        <w:t>。</w:t>
      </w:r>
    </w:p>
    <w:p>
      <w:pPr>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6.监控</w:t>
      </w:r>
      <w:r>
        <w:fldChar w:fldCharType="begin"/>
      </w:r>
      <w:r>
        <w:instrText xml:space="preserve"> HYPERLINK "http://www.unjs.com/Special/xuexiaogongzuojihua/" \t "_blank" </w:instrText>
      </w:r>
      <w:r>
        <w:fldChar w:fldCharType="separate"/>
      </w:r>
      <w:r>
        <w:rPr>
          <w:rFonts w:hint="eastAsia" w:ascii="仿宋" w:hAnsi="仿宋" w:eastAsia="仿宋"/>
          <w:color w:val="000000"/>
          <w:sz w:val="32"/>
          <w:szCs w:val="32"/>
        </w:rPr>
        <w:t>学校</w:t>
      </w:r>
      <w:r>
        <w:rPr>
          <w:rFonts w:hint="eastAsia" w:ascii="仿宋" w:hAnsi="仿宋" w:eastAsia="仿宋"/>
          <w:color w:val="000000"/>
          <w:sz w:val="32"/>
          <w:szCs w:val="32"/>
        </w:rPr>
        <w:fldChar w:fldCharType="end"/>
      </w:r>
      <w:r>
        <w:rPr>
          <w:rFonts w:hint="eastAsia" w:ascii="仿宋" w:hAnsi="仿宋" w:eastAsia="仿宋"/>
          <w:color w:val="000000"/>
          <w:sz w:val="32"/>
          <w:szCs w:val="32"/>
        </w:rPr>
        <w:t>的教学质量，对教学工作的全过程实施有效的指导和管理。进行教学视导，检查教学工作以及教育科研和教学研究工作，对教学质量进行评估。研究考试方法的改革，对考试命题进行指导和规范，承担考试命题工作，参与考试评卷和进行质量</w:t>
      </w:r>
      <w:r>
        <w:fldChar w:fldCharType="begin"/>
      </w:r>
      <w:r>
        <w:instrText xml:space="preserve"> HYPERLINK "http://www.unjs.com/Special/dangxingfenxicailiao/" \t "_blank" </w:instrText>
      </w:r>
      <w:r>
        <w:fldChar w:fldCharType="separate"/>
      </w:r>
      <w:r>
        <w:rPr>
          <w:rFonts w:hint="eastAsia" w:ascii="仿宋" w:hAnsi="仿宋" w:eastAsia="仿宋"/>
          <w:color w:val="000000"/>
          <w:sz w:val="32"/>
          <w:szCs w:val="32"/>
        </w:rPr>
        <w:t>分析</w:t>
      </w:r>
      <w:r>
        <w:rPr>
          <w:rFonts w:hint="eastAsia" w:ascii="仿宋" w:hAnsi="仿宋" w:eastAsia="仿宋"/>
          <w:color w:val="000000"/>
          <w:sz w:val="32"/>
          <w:szCs w:val="32"/>
        </w:rPr>
        <w:fldChar w:fldCharType="end"/>
      </w:r>
      <w:r>
        <w:rPr>
          <w:rFonts w:hint="eastAsia" w:ascii="仿宋" w:hAnsi="仿宋" w:eastAsia="仿宋"/>
          <w:color w:val="000000"/>
          <w:sz w:val="32"/>
          <w:szCs w:val="32"/>
        </w:rPr>
        <w:t>。</w:t>
      </w:r>
    </w:p>
    <w:p>
      <w:pPr>
        <w:spacing w:line="56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7.负责普通中小学学科竞赛的管理工作。</w:t>
      </w:r>
    </w:p>
    <w:p>
      <w:pPr>
        <w:pStyle w:val="2"/>
        <w:spacing w:before="93"/>
        <w:ind w:firstLine="707" w:firstLineChars="221"/>
      </w:pPr>
      <w:r>
        <w:rPr>
          <w:rFonts w:hint="eastAsia" w:ascii="仿宋" w:hAnsi="仿宋" w:eastAsia="仿宋"/>
          <w:color w:val="000000"/>
          <w:sz w:val="32"/>
          <w:szCs w:val="32"/>
        </w:rPr>
        <w:t>8.为教育行政部门和学校提供教育教学咨询。</w:t>
      </w:r>
    </w:p>
    <w:p>
      <w:pPr>
        <w:pStyle w:val="4"/>
        <w:rPr>
          <w:rFonts w:ascii="黑体" w:hAnsi="黑体" w:eastAsia="黑体"/>
          <w:b w:val="0"/>
        </w:rPr>
      </w:pPr>
      <w:r>
        <w:rPr>
          <w:rFonts w:hint="eastAsia" w:ascii="黑体" w:hAnsi="黑体" w:eastAsia="黑体"/>
          <w:b w:val="0"/>
        </w:rPr>
        <w:t>二、机构设置</w:t>
      </w:r>
    </w:p>
    <w:bookmarkEnd w:id="14"/>
    <w:bookmarkEnd w:id="15"/>
    <w:p>
      <w:pPr>
        <w:ind w:firstLine="566" w:firstLineChars="177"/>
        <w:rPr>
          <w:rFonts w:ascii="仿宋" w:hAnsi="仿宋" w:eastAsia="仿宋"/>
          <w:kern w:val="0"/>
          <w:sz w:val="32"/>
          <w:szCs w:val="32"/>
        </w:rPr>
      </w:pPr>
      <w:r>
        <w:rPr>
          <w:rFonts w:hint="eastAsia" w:ascii="仿宋" w:hAnsi="仿宋" w:eastAsia="仿宋"/>
          <w:color w:val="000000"/>
          <w:sz w:val="32"/>
          <w:szCs w:val="32"/>
        </w:rPr>
        <w:t>剑阁县教育科学研究室下属二级预算单位0个，其中行政单位0个，参照公务员法管理的事业单位0个，全额事业单位0个，差额事业单位0个。</w:t>
      </w:r>
      <w:r>
        <w:rPr>
          <w:rFonts w:ascii="仿宋" w:hAnsi="仿宋" w:eastAsia="仿宋"/>
          <w:sz w:val="32"/>
          <w:szCs w:val="32"/>
        </w:rPr>
        <w:br w:type="page"/>
      </w:r>
    </w:p>
    <w:p>
      <w:pPr>
        <w:pStyle w:val="3"/>
        <w:ind w:right="440"/>
        <w:jc w:val="center"/>
        <w:rPr>
          <w:rStyle w:val="26"/>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6"/>
          <w:rFonts w:hint="eastAsia" w:ascii="黑体" w:hAnsi="黑体" w:eastAsia="黑体"/>
          <w:b w:val="0"/>
          <w:bCs/>
        </w:rPr>
        <w:t>单位决算情况说明</w:t>
      </w:r>
      <w:bookmarkEnd w:id="16"/>
      <w:bookmarkEnd w:id="17"/>
    </w:p>
    <w:p/>
    <w:p>
      <w:pPr>
        <w:pStyle w:val="25"/>
        <w:numPr>
          <w:ilvl w:val="0"/>
          <w:numId w:val="2"/>
        </w:numPr>
        <w:spacing w:line="600" w:lineRule="exact"/>
        <w:ind w:firstLineChars="0"/>
        <w:outlineLvl w:val="1"/>
        <w:rPr>
          <w:rStyle w:val="27"/>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7"/>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2022年度收、支总计333.78万元。与2021年相比，收、支总计各减少31.40万元，下降8.6</w:t>
      </w:r>
      <w:r>
        <w:rPr>
          <w:rFonts w:ascii="仿宋" w:hAnsi="仿宋" w:eastAsia="仿宋"/>
          <w:sz w:val="32"/>
          <w:szCs w:val="32"/>
        </w:rPr>
        <w:t>%</w:t>
      </w:r>
      <w:r>
        <w:rPr>
          <w:rFonts w:hint="eastAsia" w:ascii="仿宋" w:hAnsi="仿宋" w:eastAsia="仿宋"/>
          <w:sz w:val="32"/>
          <w:szCs w:val="32"/>
        </w:rPr>
        <w:t>。主要变动原因是2022年人员减少，上年结转58.77万元。</w:t>
      </w:r>
    </w:p>
    <w:p>
      <w:pPr>
        <w:pStyle w:val="2"/>
        <w:spacing w:before="93"/>
      </w:pPr>
      <w:r>
        <w:rPr>
          <w:rFonts w:hint="eastAsia"/>
        </w:rPr>
        <w:drawing>
          <wp:inline distT="0" distB="0" distL="0" distR="0">
            <wp:extent cx="4438650" cy="2333625"/>
            <wp:effectExtent l="0" t="0" r="1905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5"/>
        <w:numPr>
          <w:ilvl w:val="0"/>
          <w:numId w:val="2"/>
        </w:numPr>
        <w:spacing w:line="600" w:lineRule="exact"/>
        <w:ind w:firstLineChars="0"/>
        <w:outlineLvl w:val="1"/>
        <w:rPr>
          <w:rStyle w:val="27"/>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7"/>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22年本年收入合计275.01万元，其中：一般公共预算财政拨款收入275.01万元，占100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。上年结转58.77万元</w:t>
      </w:r>
    </w:p>
    <w:p>
      <w:pPr>
        <w:spacing w:line="600" w:lineRule="exact"/>
        <w:ind w:firstLine="643" w:firstLineChars="200"/>
        <w:outlineLvl w:val="1"/>
        <w:rPr>
          <w:rFonts w:ascii="仿宋" w:hAnsi="仿宋" w:eastAsia="仿宋"/>
          <w:b/>
          <w:sz w:val="32"/>
          <w:szCs w:val="32"/>
        </w:rPr>
      </w:pPr>
    </w:p>
    <w:p>
      <w:pPr>
        <w:pStyle w:val="2"/>
        <w:spacing w:before="93"/>
        <w:ind w:firstLine="425" w:firstLineChars="133"/>
      </w:pPr>
      <w:r>
        <w:rPr>
          <w:rFonts w:hint="eastAsia" w:ascii="仿宋" w:hAnsi="仿宋" w:eastAsia="仿宋"/>
          <w:sz w:val="32"/>
          <w:szCs w:val="32"/>
        </w:rPr>
        <w:drawing>
          <wp:inline distT="0" distB="0" distL="0" distR="0">
            <wp:extent cx="4552950" cy="1476375"/>
            <wp:effectExtent l="0" t="0" r="1905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spacing w:before="93"/>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25"/>
        <w:numPr>
          <w:ilvl w:val="0"/>
          <w:numId w:val="2"/>
        </w:numPr>
        <w:spacing w:line="600" w:lineRule="exact"/>
        <w:ind w:firstLineChars="0"/>
        <w:outlineLvl w:val="1"/>
        <w:rPr>
          <w:rStyle w:val="27"/>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7"/>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22年本年支出合计333.78万元，其中：基本支出333.78万元，占100</w:t>
      </w:r>
      <w:r>
        <w:rPr>
          <w:rFonts w:ascii="仿宋" w:hAnsi="仿宋" w:eastAsia="仿宋"/>
          <w:sz w:val="32"/>
          <w:szCs w:val="32"/>
        </w:rPr>
        <w:t>%</w:t>
      </w:r>
      <w:r>
        <w:rPr>
          <w:rFonts w:hint="eastAsia" w:ascii="仿宋" w:hAnsi="仿宋" w:eastAsia="仿宋"/>
          <w:sz w:val="32"/>
          <w:szCs w:val="32"/>
        </w:rPr>
        <w:t>；项目支出0万元，占0</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3表，仅罗列本单位涉及的支出。）</w:t>
      </w:r>
    </w:p>
    <w:p>
      <w:pPr>
        <w:pStyle w:val="2"/>
        <w:spacing w:before="93"/>
        <w:ind w:firstLine="1132" w:firstLineChars="354"/>
      </w:pPr>
      <w:r>
        <w:rPr>
          <w:rFonts w:hint="eastAsia" w:ascii="仿宋" w:hAnsi="仿宋" w:eastAsia="仿宋"/>
          <w:sz w:val="32"/>
          <w:szCs w:val="32"/>
          <w:shd w:val="pct10" w:color="auto" w:fill="FFFFFF"/>
        </w:rPr>
        <w:drawing>
          <wp:inline distT="0" distB="0" distL="0" distR="0">
            <wp:extent cx="3190875" cy="2162175"/>
            <wp:effectExtent l="0" t="0" r="9525"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（图3：支出决算结构图）（饼状图）</w:t>
      </w:r>
    </w:p>
    <w:p>
      <w:pPr>
        <w:spacing w:line="600" w:lineRule="exact"/>
        <w:ind w:firstLine="640" w:firstLineChars="200"/>
        <w:outlineLvl w:val="1"/>
        <w:rPr>
          <w:rStyle w:val="27"/>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22年财政拨款收、支总计333.78万元。与</w:t>
      </w:r>
      <w:r>
        <w:rPr>
          <w:rFonts w:ascii="仿宋" w:hAnsi="仿宋" w:eastAsia="仿宋"/>
          <w:sz w:val="32"/>
          <w:szCs w:val="32"/>
        </w:rPr>
        <w:t>20</w:t>
      </w:r>
      <w:r>
        <w:rPr>
          <w:rFonts w:hint="eastAsia" w:ascii="仿宋" w:hAnsi="仿宋" w:eastAsia="仿宋"/>
          <w:sz w:val="32"/>
          <w:szCs w:val="32"/>
        </w:rPr>
        <w:t>21年相比，财政拨款收、支总计各减少31.4万元，下降8.6</w:t>
      </w:r>
      <w:r>
        <w:rPr>
          <w:rFonts w:ascii="仿宋" w:hAnsi="仿宋" w:eastAsia="仿宋"/>
          <w:sz w:val="32"/>
          <w:szCs w:val="32"/>
        </w:rPr>
        <w:t>%</w:t>
      </w:r>
      <w:r>
        <w:rPr>
          <w:rFonts w:hint="eastAsia" w:ascii="仿宋" w:hAnsi="仿宋" w:eastAsia="仿宋"/>
          <w:sz w:val="32"/>
          <w:szCs w:val="32"/>
        </w:rPr>
        <w:t>。主要变动原因是人员调出、退休。</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rPr>
          <w:rFonts w:ascii="仿宋" w:hAnsi="仿宋" w:eastAsia="仿宋"/>
          <w:sz w:val="32"/>
          <w:szCs w:val="32"/>
        </w:rPr>
      </w:pPr>
    </w:p>
    <w:p>
      <w:pPr>
        <w:pStyle w:val="2"/>
        <w:spacing w:before="93"/>
        <w:ind w:firstLine="566" w:firstLineChars="177"/>
      </w:pPr>
      <w:r>
        <w:rPr>
          <w:rFonts w:hint="eastAsia" w:ascii="仿宋" w:hAnsi="仿宋" w:eastAsia="仿宋"/>
          <w:sz w:val="32"/>
          <w:szCs w:val="32"/>
        </w:rPr>
        <w:drawing>
          <wp:inline distT="0" distB="0" distL="0" distR="0">
            <wp:extent cx="4257675" cy="1571625"/>
            <wp:effectExtent l="0" t="0" r="9525"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firstLineChars="200"/>
        <w:outlineLvl w:val="1"/>
        <w:rPr>
          <w:rStyle w:val="27"/>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22年一般公共预算财政拨款支出333.78万元，占本年支出合计的100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21年相比，一般公共预算财政拨款支出减少31.4万元，下降8.6</w:t>
      </w:r>
      <w:r>
        <w:rPr>
          <w:rFonts w:ascii="仿宋" w:hAnsi="仿宋" w:eastAsia="仿宋"/>
          <w:sz w:val="32"/>
          <w:szCs w:val="32"/>
        </w:rPr>
        <w:t>%</w:t>
      </w:r>
      <w:r>
        <w:rPr>
          <w:rFonts w:hint="eastAsia" w:ascii="仿宋" w:hAnsi="仿宋" w:eastAsia="仿宋"/>
          <w:sz w:val="32"/>
          <w:szCs w:val="32"/>
        </w:rPr>
        <w:t>。主要变动原因是人员减少。</w:t>
      </w:r>
    </w:p>
    <w:p>
      <w:pPr>
        <w:pStyle w:val="2"/>
        <w:spacing w:before="93"/>
        <w:ind w:firstLine="708" w:firstLineChars="236"/>
      </w:pPr>
      <w:r>
        <w:drawing>
          <wp:inline distT="0" distB="0" distL="0" distR="0">
            <wp:extent cx="3352800" cy="14859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22年一般公共预算财政拨款支出333.78万元，主要用于以下方面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rPr>
        <w:t>278.21万元，占83.35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24.70万元，占7.4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12.35万元，占3.7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18.52万元，占5.55</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rPr>
          <w:rFonts w:ascii="仿宋" w:hAnsi="仿宋" w:eastAsia="仿宋"/>
          <w:sz w:val="32"/>
          <w:szCs w:val="32"/>
        </w:rPr>
      </w:pPr>
    </w:p>
    <w:p>
      <w:pPr>
        <w:pStyle w:val="2"/>
        <w:spacing w:before="93"/>
        <w:ind w:firstLine="707" w:firstLineChars="221"/>
      </w:pPr>
      <w:r>
        <w:rPr>
          <w:rFonts w:hint="eastAsia" w:ascii="仿宋" w:hAnsi="仿宋" w:eastAsia="仿宋"/>
          <w:sz w:val="32"/>
          <w:szCs w:val="32"/>
        </w:rPr>
        <w:drawing>
          <wp:inline distT="0" distB="0" distL="0" distR="0">
            <wp:extent cx="4010025" cy="2181225"/>
            <wp:effectExtent l="0" t="0" r="9525"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444"/>
      <w:bookmarkStart w:id="32" w:name="_Toc15378460"/>
      <w:bookmarkStart w:id="33" w:name="_Toc15377213"/>
      <w:r>
        <w:rPr>
          <w:rFonts w:hint="eastAsia" w:ascii="仿宋" w:hAnsi="仿宋" w:eastAsia="仿宋"/>
          <w:b/>
          <w:sz w:val="32"/>
          <w:szCs w:val="32"/>
        </w:rPr>
        <w:t>2022年一般公共预算支出决算数为333.78</w:t>
      </w:r>
      <w:r>
        <w:rPr>
          <w:rFonts w:hint="eastAsia" w:ascii="仿宋" w:hAnsi="仿宋" w:eastAsia="仿宋"/>
          <w:sz w:val="32"/>
          <w:szCs w:val="32"/>
        </w:rPr>
        <w:t>，</w:t>
      </w:r>
      <w:r>
        <w:rPr>
          <w:rStyle w:val="16"/>
          <w:rFonts w:hint="eastAsia" w:ascii="仿宋" w:hAnsi="仿宋" w:eastAsia="仿宋"/>
          <w:bCs/>
          <w:sz w:val="32"/>
          <w:szCs w:val="32"/>
        </w:rPr>
        <w:t>完成预算100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1</w:t>
      </w:r>
      <w:r>
        <w:rPr>
          <w:rStyle w:val="16"/>
          <w:rFonts w:ascii="仿宋" w:hAnsi="仿宋" w:eastAsia="仿宋"/>
          <w:bCs/>
          <w:sz w:val="32"/>
          <w:szCs w:val="32"/>
        </w:rPr>
        <w:t>.</w:t>
      </w:r>
      <w:r>
        <w:rPr>
          <w:rStyle w:val="16"/>
          <w:rFonts w:hint="eastAsia" w:ascii="仿宋" w:hAnsi="仿宋" w:eastAsia="仿宋"/>
          <w:bCs/>
          <w:sz w:val="32"/>
          <w:szCs w:val="32"/>
        </w:rPr>
        <w:t>教育（类）教育管理事务（款）其他教育管理事务支出（项）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支出决算为278.21万元，完成预算100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2</w:t>
      </w:r>
      <w:r>
        <w:rPr>
          <w:rStyle w:val="16"/>
          <w:rFonts w:ascii="仿宋" w:hAnsi="仿宋" w:eastAsia="仿宋"/>
          <w:bCs/>
          <w:sz w:val="32"/>
          <w:szCs w:val="32"/>
        </w:rPr>
        <w:t>.</w:t>
      </w:r>
      <w:r>
        <w:rPr>
          <w:rStyle w:val="16"/>
          <w:rFonts w:hint="eastAsia" w:ascii="仿宋" w:hAnsi="仿宋" w:eastAsia="仿宋"/>
          <w:bCs/>
          <w:sz w:val="32"/>
          <w:szCs w:val="32"/>
        </w:rPr>
        <w:t>社会保障和就业（类）行政事业单位养老支出（款）机关事业单位基本养老保险缴费支出（项）</w:t>
      </w:r>
      <w:r>
        <w:rPr>
          <w:rStyle w:val="16"/>
          <w:rFonts w:hint="eastAsia" w:ascii="仿宋" w:hAnsi="仿宋" w:eastAsia="仿宋"/>
          <w:bCs/>
          <w:sz w:val="32"/>
          <w:szCs w:val="32"/>
          <w:lang w:eastAsia="zh-CN"/>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支出决算为24.7万元，完成预算100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6"/>
          <w:rFonts w:hint="eastAsia" w:ascii="仿宋" w:hAnsi="仿宋" w:eastAsia="仿宋"/>
          <w:bCs/>
          <w:sz w:val="32"/>
          <w:szCs w:val="32"/>
        </w:rPr>
        <w:t>3</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（类）行政事业单位医疗（款）事业单位医疗（项）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支出决算为12.35万元，完成预算100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spacing w:line="520" w:lineRule="exact"/>
        <w:ind w:firstLine="643" w:firstLineChars="200"/>
        <w:rPr>
          <w:rFonts w:ascii="仿宋" w:hAnsi="仿宋" w:eastAsia="仿宋"/>
          <w:b/>
          <w:sz w:val="32"/>
          <w:szCs w:val="32"/>
        </w:rPr>
      </w:pPr>
      <w:r>
        <w:rPr>
          <w:rStyle w:val="16"/>
          <w:rFonts w:hint="eastAsia" w:ascii="仿宋" w:hAnsi="仿宋" w:eastAsia="仿宋"/>
          <w:bCs/>
          <w:sz w:val="32"/>
          <w:szCs w:val="32"/>
        </w:rPr>
        <w:t>4</w:t>
      </w:r>
      <w:r>
        <w:rPr>
          <w:rStyle w:val="16"/>
          <w:rFonts w:ascii="仿宋" w:hAnsi="仿宋" w:eastAsia="仿宋"/>
          <w:bCs/>
          <w:sz w:val="32"/>
          <w:szCs w:val="32"/>
        </w:rPr>
        <w:t>.</w:t>
      </w:r>
      <w:r>
        <w:rPr>
          <w:rFonts w:hint="eastAsia" w:ascii="仿宋" w:hAnsi="仿宋" w:eastAsia="仿宋"/>
          <w:b/>
          <w:bCs/>
          <w:sz w:val="32"/>
          <w:szCs w:val="32"/>
        </w:rPr>
        <w:t>住房保障支出</w:t>
      </w:r>
      <w:r>
        <w:rPr>
          <w:rStyle w:val="16"/>
          <w:rFonts w:hint="eastAsia" w:ascii="仿宋" w:hAnsi="仿宋" w:eastAsia="仿宋"/>
          <w:bCs/>
          <w:sz w:val="32"/>
          <w:szCs w:val="32"/>
        </w:rPr>
        <w:t>（类）住房改革支出（款）住房公积金（项）</w:t>
      </w:r>
      <w:r>
        <w:rPr>
          <w:rStyle w:val="16"/>
          <w:rFonts w:hint="eastAsia" w:ascii="仿宋" w:hAnsi="仿宋" w:eastAsia="仿宋"/>
          <w:bCs/>
          <w:sz w:val="32"/>
          <w:szCs w:val="32"/>
          <w:lang w:eastAsia="zh-CN"/>
        </w:rPr>
        <w:t>：</w:t>
      </w:r>
      <w:r>
        <w:rPr>
          <w:rStyle w:val="16"/>
          <w:rFonts w:hint="eastAsia" w:ascii="仿宋" w:hAnsi="仿宋" w:eastAsia="仿宋"/>
          <w:b w:val="0"/>
          <w:bCs/>
          <w:sz w:val="32"/>
          <w:szCs w:val="32"/>
        </w:rPr>
        <w:t>支出决算为18.52万元，完成预算100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p>
    <w:p>
      <w:pPr>
        <w:tabs>
          <w:tab w:val="right" w:pos="8306"/>
        </w:tabs>
        <w:spacing w:line="600" w:lineRule="exact"/>
        <w:ind w:firstLine="640"/>
        <w:outlineLvl w:val="1"/>
        <w:rPr>
          <w:rStyle w:val="27"/>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4"/>
      <w:bookmarkEnd w:id="35"/>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22年一般公共预算财政拨款基本支出333.78万元，其中：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269.40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64.38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7"/>
          <w:rFonts w:ascii="黑体" w:hAnsi="黑体" w:eastAsia="黑体"/>
          <w:b w:val="0"/>
        </w:rPr>
      </w:pPr>
      <w:bookmarkStart w:id="36" w:name="_Toc15396609"/>
      <w:bookmarkStart w:id="37" w:name="_Toc15377215"/>
      <w:r>
        <w:rPr>
          <w:rFonts w:hint="eastAsia" w:ascii="黑体" w:eastAsia="黑体"/>
          <w:sz w:val="32"/>
          <w:szCs w:val="32"/>
        </w:rPr>
        <w:t>七、</w:t>
      </w:r>
      <w:r>
        <w:rPr>
          <w:rStyle w:val="27"/>
          <w:rFonts w:hint="eastAsia" w:ascii="黑体" w:hAnsi="黑体" w:eastAsia="黑体"/>
          <w:b w:val="0"/>
        </w:rPr>
        <w:t>财政拨款</w:t>
      </w:r>
      <w:r>
        <w:rPr>
          <w:rStyle w:val="27"/>
          <w:rFonts w:hint="eastAsia" w:ascii="黑体" w:hAnsi="黑体" w:eastAsia="黑体"/>
        </w:rPr>
        <w:t>“</w:t>
      </w:r>
      <w:r>
        <w:rPr>
          <w:rStyle w:val="27"/>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22年“三公”经费财政拨款支出决算为0.76万元，完成预算100</w:t>
      </w:r>
      <w:r>
        <w:rPr>
          <w:rFonts w:ascii="仿宋" w:hAnsi="仿宋" w:eastAsia="仿宋"/>
          <w:sz w:val="32"/>
          <w:szCs w:val="32"/>
        </w:rPr>
        <w:t>%</w:t>
      </w:r>
      <w:r>
        <w:rPr>
          <w:rFonts w:hint="eastAsia" w:ascii="仿宋" w:hAnsi="仿宋" w:eastAsia="仿宋"/>
          <w:sz w:val="32"/>
          <w:szCs w:val="32"/>
        </w:rPr>
        <w:t>，较上年减少0.19万元，下降20%。</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；公务接待费支出决算0.76万元，占100</w:t>
      </w:r>
      <w:r>
        <w:rPr>
          <w:rFonts w:ascii="仿宋" w:hAnsi="仿宋" w:eastAsia="仿宋"/>
          <w:sz w:val="32"/>
          <w:szCs w:val="32"/>
        </w:rPr>
        <w:t>%</w:t>
      </w:r>
      <w:r>
        <w:rPr>
          <w:rFonts w:hint="eastAsia" w:ascii="仿宋" w:hAnsi="仿宋" w:eastAsia="仿宋"/>
          <w:sz w:val="32"/>
          <w:szCs w:val="32"/>
        </w:rPr>
        <w:t>。具体情况如下：</w:t>
      </w:r>
    </w:p>
    <w:p>
      <w:pPr>
        <w:pStyle w:val="2"/>
        <w:spacing w:before="93"/>
        <w:ind w:firstLine="708" w:firstLineChars="236"/>
      </w:pPr>
      <w:r>
        <w:drawing>
          <wp:inline distT="0" distB="0" distL="0" distR="0">
            <wp:extent cx="3581400" cy="1457325"/>
            <wp:effectExtent l="0" t="0" r="1905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2"/>
        <w:spacing w:before="93"/>
      </w:pPr>
    </w:p>
    <w:p>
      <w:pPr>
        <w:pStyle w:val="2"/>
        <w:spacing w:before="93"/>
      </w:pPr>
    </w:p>
    <w:p>
      <w:pPr>
        <w:pStyle w:val="2"/>
        <w:spacing w:before="93"/>
      </w:pP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全年安排因公出国（境）团组0次，出国（境）0人。因公出国（境）支出决算比</w:t>
      </w:r>
      <w:r>
        <w:rPr>
          <w:rFonts w:ascii="仿宋_GB2312" w:eastAsia="仿宋_GB2312"/>
          <w:sz w:val="32"/>
          <w:szCs w:val="32"/>
        </w:rPr>
        <w:t>20</w:t>
      </w:r>
      <w:r>
        <w:rPr>
          <w:rFonts w:hint="eastAsia" w:ascii="仿宋_GB2312" w:eastAsia="仿宋_GB2312"/>
          <w:sz w:val="32"/>
          <w:szCs w:val="32"/>
        </w:rPr>
        <w:t>21年增加0万元，增长0</w:t>
      </w:r>
      <w:r>
        <w:rPr>
          <w:rFonts w:ascii="仿宋_GB2312" w:eastAsia="仿宋_GB2312"/>
          <w:sz w:val="32"/>
          <w:szCs w:val="32"/>
        </w:rPr>
        <w:t>%</w:t>
      </w: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21年增加0万元，增长0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0万元。全年按规定更新购置公务用车0辆，其中：轿车0辆、金额0万元，越野车0辆、金额0万元，载客汽车0辆、金额0万元0。截至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0.76万元，</w:t>
      </w:r>
      <w:r>
        <w:rPr>
          <w:rStyle w:val="16"/>
          <w:rFonts w:hint="eastAsia" w:ascii="仿宋" w:hAnsi="仿宋" w:eastAsia="仿宋"/>
          <w:b w:val="0"/>
          <w:bCs/>
          <w:sz w:val="32"/>
          <w:szCs w:val="32"/>
        </w:rPr>
        <w:t>完成预算100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21年减少0.19万元，下降20</w:t>
      </w:r>
      <w:r>
        <w:rPr>
          <w:rFonts w:ascii="仿宋_GB2312" w:eastAsia="仿宋_GB2312"/>
          <w:sz w:val="32"/>
          <w:szCs w:val="32"/>
        </w:rPr>
        <w:t>%</w:t>
      </w:r>
      <w:r>
        <w:rPr>
          <w:rFonts w:hint="eastAsia" w:ascii="仿宋_GB2312" w:eastAsia="仿宋_GB2312"/>
          <w:sz w:val="32"/>
          <w:szCs w:val="32"/>
        </w:rPr>
        <w:t>。主要原因是缩减经费开支。其中：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0.76</w:t>
      </w:r>
      <w:r>
        <w:rPr>
          <w:rFonts w:hint="eastAsia" w:ascii="仿宋_GB2312" w:eastAsia="仿宋_GB2312"/>
          <w:sz w:val="32"/>
          <w:szCs w:val="32"/>
        </w:rPr>
        <w:t>万元，主要用于执行公务、开展业务活动开支的交通费、住宿费、用餐费等。国内公务接待16批次，98人次（不包括陪同人员），共计支出0.76万元，接待上级检查工作、组织交流学习等。</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p>
    <w:p>
      <w:pPr>
        <w:spacing w:line="600" w:lineRule="exact"/>
        <w:ind w:firstLine="640"/>
        <w:outlineLvl w:val="1"/>
        <w:rPr>
          <w:rFonts w:ascii="黑体" w:eastAsia="黑体"/>
          <w:sz w:val="32"/>
          <w:szCs w:val="32"/>
        </w:rPr>
      </w:pPr>
      <w:bookmarkStart w:id="40" w:name="_Toc15377218"/>
      <w:bookmarkStart w:id="41" w:name="_Toc15396610"/>
    </w:p>
    <w:p>
      <w:pPr>
        <w:spacing w:line="600" w:lineRule="exact"/>
        <w:ind w:firstLine="640"/>
        <w:outlineLvl w:val="1"/>
        <w:rPr>
          <w:rStyle w:val="27"/>
          <w:rFonts w:ascii="黑体" w:hAnsi="黑体" w:eastAsia="黑体"/>
        </w:rPr>
      </w:pPr>
      <w:r>
        <w:rPr>
          <w:rFonts w:hint="eastAsia" w:ascii="黑体" w:eastAsia="黑体"/>
          <w:sz w:val="32"/>
          <w:szCs w:val="32"/>
        </w:rPr>
        <w:t>八、</w:t>
      </w:r>
      <w:r>
        <w:rPr>
          <w:rStyle w:val="27"/>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3"/>
        </w:numPr>
        <w:spacing w:line="600" w:lineRule="exact"/>
        <w:ind w:firstLine="640"/>
        <w:outlineLvl w:val="1"/>
        <w:rPr>
          <w:rStyle w:val="27"/>
          <w:rFonts w:ascii="黑体" w:hAnsi="黑体" w:eastAsia="黑体"/>
          <w:b w:val="0"/>
        </w:rPr>
      </w:pPr>
      <w:bookmarkStart w:id="42" w:name="_Toc15377219"/>
      <w:bookmarkStart w:id="43" w:name="_Toc15396611"/>
      <w:r>
        <w:rPr>
          <w:rStyle w:val="27"/>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3"/>
        </w:numPr>
        <w:spacing w:line="600" w:lineRule="exact"/>
        <w:ind w:firstLine="640"/>
        <w:outlineLvl w:val="1"/>
        <w:rPr>
          <w:rStyle w:val="27"/>
          <w:rFonts w:ascii="黑体" w:hAnsi="黑体" w:eastAsia="黑体"/>
          <w:b w:val="0"/>
        </w:rPr>
      </w:pPr>
      <w:bookmarkStart w:id="44" w:name="_Toc15396612"/>
      <w:bookmarkStart w:id="45" w:name="_Toc15377221"/>
      <w:r>
        <w:rPr>
          <w:rStyle w:val="27"/>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22年，剑阁县教育科学研究室机关运行经费支出0万元，比</w:t>
      </w:r>
      <w:r>
        <w:rPr>
          <w:rFonts w:ascii="仿宋_GB2312" w:eastAsia="仿宋_GB2312"/>
          <w:sz w:val="32"/>
          <w:szCs w:val="32"/>
        </w:rPr>
        <w:t>20</w:t>
      </w:r>
      <w:r>
        <w:rPr>
          <w:rFonts w:hint="eastAsia" w:ascii="仿宋_GB2312" w:eastAsia="仿宋_GB2312"/>
          <w:sz w:val="32"/>
          <w:szCs w:val="32"/>
        </w:rPr>
        <w:t>21年增加0万元，增长0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ind w:firstLine="707" w:firstLineChars="221"/>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22年，剑阁县教育科学研究室政府采购支出总额0万元，其中：政府采购货物支出0万元、政府采购工程支出0万元、政府采购服务支出0万元。主要用于学校“工匠精神培育阅读</w:t>
      </w:r>
      <w:r>
        <w:rPr>
          <w:rFonts w:hint="eastAsia" w:ascii="仿宋_GB2312" w:eastAsia="仿宋_GB2312"/>
          <w:sz w:val="32"/>
          <w:szCs w:val="32"/>
          <w:lang w:eastAsia="zh-CN"/>
        </w:rPr>
        <w:t>”“</w:t>
      </w:r>
      <w:r>
        <w:rPr>
          <w:rFonts w:hint="eastAsia" w:ascii="仿宋_GB2312" w:eastAsia="仿宋_GB2312"/>
          <w:sz w:val="32"/>
          <w:szCs w:val="32"/>
        </w:rPr>
        <w:t>班主任管理系统”等软件资源包采购。授予中小企业合同金额0万元，占政府采购支出总额的0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yellow"/>
        </w:rPr>
      </w:pPr>
      <w:r>
        <w:rPr>
          <w:rFonts w:hint="eastAsia" w:hAnsi="仿宋_GB2312" w:cs="仿宋_GB2312"/>
          <w:sz w:val="32"/>
          <w:szCs w:val="32"/>
        </w:rPr>
        <w:t>根据预算绩效管理要求，本单位在2022年度预算编制阶段，本部门2022年无项目资金，组织对4个项目开展了预算事前绩效评估，对4个项目编制了绩效目标，预算执行过程中，选取4个项目开展绩效监控，组织对4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6"/>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6"/>
          <w:rFonts w:hint="eastAsia" w:ascii="黑体" w:hAnsi="黑体" w:eastAsia="黑体"/>
          <w:b w:val="0"/>
        </w:rPr>
        <w:t>词解释</w:t>
      </w:r>
      <w:bookmarkEnd w:id="49"/>
      <w:bookmarkEnd w:id="50"/>
    </w:p>
    <w:p>
      <w:pPr>
        <w:spacing w:line="600" w:lineRule="exact"/>
        <w:jc w:val="left"/>
        <w:rPr>
          <w:rFonts w:ascii="宋体"/>
          <w:b/>
          <w:sz w:val="44"/>
          <w:szCs w:val="44"/>
        </w:rPr>
      </w:pP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4"/>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520" w:lineRule="exact"/>
        <w:ind w:firstLine="640" w:firstLineChars="200"/>
        <w:rPr>
          <w:rFonts w:ascii="仿宋_GB2312" w:eastAsia="仿宋_GB2312"/>
          <w:sz w:val="32"/>
          <w:szCs w:val="32"/>
        </w:rPr>
      </w:pPr>
      <w:r>
        <w:rPr>
          <w:rFonts w:hint="eastAsia" w:ascii="仿宋_GB2312" w:eastAsia="仿宋_GB2312"/>
          <w:sz w:val="32"/>
          <w:szCs w:val="32"/>
        </w:rPr>
        <w:t>９</w:t>
      </w:r>
      <w:r>
        <w:rPr>
          <w:rFonts w:ascii="仿宋_GB2312" w:eastAsia="仿宋_GB2312"/>
          <w:sz w:val="32"/>
          <w:szCs w:val="32"/>
        </w:rPr>
        <w:t>.</w:t>
      </w:r>
      <w:r>
        <w:rPr>
          <w:rFonts w:hint="eastAsia" w:ascii="仿宋_GB2312" w:eastAsia="仿宋_GB2312"/>
          <w:sz w:val="32"/>
          <w:szCs w:val="32"/>
        </w:rPr>
        <w:t>教育（类）教育管理事务（款）其他教育管理事务（项）：指用于一般行政管理事务和机关服务等以外用于教育管理事务方面的支出。</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sz w:val="32"/>
          <w:szCs w:val="32"/>
        </w:rPr>
        <w:t>社会保障和就业（类）行政事业单位养老支出（款）事业单位离退休（项）：指反映事业单位开支的离退休经费。</w:t>
      </w:r>
    </w:p>
    <w:p>
      <w:pPr>
        <w:spacing w:line="50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sz w:val="32"/>
          <w:szCs w:val="32"/>
        </w:rPr>
        <w:t xml:space="preserve"> 医疗卫生与计划生育（类）医疗保障（款）事业单位医疗（项）：</w:t>
      </w:r>
      <w:r>
        <w:rPr>
          <w:rFonts w:hint="eastAsia" w:ascii="仿宋_GB2312" w:eastAsia="仿宋_GB2312"/>
          <w:color w:val="000000"/>
          <w:sz w:val="32"/>
          <w:szCs w:val="32"/>
        </w:rPr>
        <w:t>指事业单位基本医疗保险缴费经费。</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住房保障支出（类）住房改革支出（款）住房公积金（项）：指反映行政事业单位按人力资源和社会保障部、财政部规定的基本工资和津贴补贴以及按规定比例为职工缴纳的住房公积金。</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15</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4"/>
        <w:spacing w:line="5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hint="eastAsia" w:ascii="黑体" w:hAnsi="黑体" w:eastAsia="黑体"/>
          <w:sz w:val="44"/>
          <w:szCs w:val="44"/>
        </w:rPr>
      </w:pPr>
      <w:bookmarkStart w:id="51" w:name="_Toc15396614"/>
      <w:bookmarkStart w:id="52" w:name="_Toc15377226"/>
    </w:p>
    <w:p>
      <w:pPr>
        <w:spacing w:line="600" w:lineRule="exact"/>
        <w:jc w:val="center"/>
        <w:outlineLvl w:val="0"/>
        <w:rPr>
          <w:rStyle w:val="26"/>
          <w:rFonts w:ascii="黑体" w:hAnsi="黑体" w:eastAsia="黑体"/>
          <w:b w:val="0"/>
        </w:rPr>
      </w:pPr>
      <w:r>
        <w:rPr>
          <w:rFonts w:hint="eastAsia" w:ascii="黑体" w:hAnsi="黑体" w:eastAsia="黑体"/>
          <w:sz w:val="44"/>
          <w:szCs w:val="44"/>
        </w:rPr>
        <w:t>第</w:t>
      </w:r>
      <w:r>
        <w:rPr>
          <w:rStyle w:val="26"/>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p>
      <w:pPr>
        <w:spacing w:line="600" w:lineRule="exact"/>
        <w:jc w:val="left"/>
        <w:outlineLvl w:val="0"/>
        <w:rPr>
          <w:rFonts w:ascii="仿宋_GB2312" w:hAnsi="Calibri" w:eastAsia="仿宋_GB2312" w:cs="仿宋"/>
          <w:kern w:val="0"/>
          <w:sz w:val="32"/>
          <w:szCs w:val="32"/>
        </w:rPr>
      </w:pPr>
    </w:p>
    <w:p>
      <w:pPr>
        <w:pStyle w:val="2"/>
        <w:spacing w:before="93"/>
        <w:rPr>
          <w:rFonts w:hAnsi="Calibri" w:cs="仿宋"/>
          <w:sz w:val="32"/>
          <w:szCs w:val="32"/>
        </w:rPr>
      </w:pPr>
    </w:p>
    <w:p>
      <w:pPr>
        <w:pStyle w:val="2"/>
        <w:spacing w:before="93"/>
        <w:rPr>
          <w:rFonts w:hAnsi="Calibri" w:cs="仿宋"/>
          <w:sz w:val="32"/>
          <w:szCs w:val="32"/>
        </w:rPr>
      </w:pPr>
      <w:bookmarkStart w:id="67" w:name="_GoBack"/>
      <w:bookmarkEnd w:id="67"/>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7"/>
          <w:rFonts w:hint="eastAsia" w:ascii="仿宋" w:hAnsi="仿宋" w:eastAsia="仿宋"/>
          <w:b w:val="0"/>
          <w:bCs w:val="0"/>
        </w:rPr>
        <w:t>入决算表</w:t>
      </w:r>
      <w:bookmarkEnd w:id="55"/>
    </w:p>
    <w:p>
      <w:pPr>
        <w:pStyle w:val="4"/>
        <w:rPr>
          <w:rFonts w:ascii="仿宋" w:hAnsi="仿宋" w:eastAsia="仿宋"/>
        </w:rPr>
      </w:pPr>
      <w:bookmarkStart w:id="56"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7"/>
    </w:p>
    <w:p>
      <w:pPr>
        <w:pStyle w:val="4"/>
        <w:rPr>
          <w:rStyle w:val="27"/>
          <w:rFonts w:ascii="仿宋" w:hAnsi="仿宋" w:eastAsia="仿宋"/>
          <w:b w:val="0"/>
          <w:bCs w:val="0"/>
        </w:rPr>
      </w:pPr>
      <w:bookmarkStart w:id="58"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7"/>
          <w:rFonts w:hint="eastAsia" w:ascii="仿宋" w:hAnsi="仿宋" w:eastAsia="仿宋"/>
          <w:b w:val="0"/>
          <w:bCs w:val="0"/>
        </w:rPr>
        <w:t>十、</w:t>
      </w:r>
      <w:bookmarkEnd w:id="63"/>
      <w:r>
        <w:rPr>
          <w:rFonts w:hint="eastAsia" w:ascii="仿宋" w:hAnsi="仿宋" w:eastAsia="仿宋"/>
          <w:b w:val="0"/>
        </w:rPr>
        <w:t>政</w:t>
      </w:r>
      <w:r>
        <w:rPr>
          <w:rStyle w:val="27"/>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7"/>
          <w:rFonts w:hint="eastAsia" w:ascii="仿宋" w:hAnsi="仿宋" w:eastAsia="仿宋"/>
          <w:b w:val="0"/>
          <w:bCs w:val="0"/>
        </w:rPr>
        <w:t>十一、</w:t>
      </w:r>
      <w:bookmarkEnd w:id="64"/>
      <w:r>
        <w:rPr>
          <w:rFonts w:hint="eastAsia" w:ascii="仿宋" w:hAnsi="仿宋" w:eastAsia="仿宋"/>
          <w:b w:val="0"/>
        </w:rPr>
        <w:t>国</w:t>
      </w:r>
      <w:r>
        <w:rPr>
          <w:rStyle w:val="27"/>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7"/>
          <w:rFonts w:hint="eastAsia" w:ascii="仿宋" w:hAnsi="仿宋" w:eastAsia="仿宋"/>
          <w:b w:val="0"/>
          <w:bCs w:val="0"/>
        </w:rPr>
        <w:t>十二、</w:t>
      </w:r>
      <w:bookmarkEnd w:id="65"/>
      <w:r>
        <w:rPr>
          <w:rStyle w:val="27"/>
          <w:rFonts w:hint="eastAsia" w:ascii="仿宋" w:hAnsi="仿宋" w:eastAsia="仿宋"/>
          <w:b w:val="0"/>
          <w:bCs w:val="0"/>
        </w:rPr>
        <w:t>国有资本经营预算财政拨款支出决算表</w:t>
      </w:r>
    </w:p>
    <w:p>
      <w:pPr>
        <w:pStyle w:val="4"/>
        <w:rPr>
          <w:rFonts w:eastAsia="仿宋"/>
        </w:rPr>
      </w:pPr>
      <w:bookmarkStart w:id="66" w:name="_Toc15396631"/>
      <w:r>
        <w:rPr>
          <w:rStyle w:val="27"/>
          <w:rFonts w:hint="eastAsia" w:ascii="仿宋" w:hAnsi="仿宋" w:eastAsia="仿宋"/>
          <w:b w:val="0"/>
          <w:bCs w:val="0"/>
        </w:rPr>
        <w:t>十三、</w:t>
      </w:r>
      <w:bookmarkEnd w:id="66"/>
      <w:r>
        <w:rPr>
          <w:rStyle w:val="27"/>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09D9"/>
    <w:rsid w:val="000468DB"/>
    <w:rsid w:val="0006487A"/>
    <w:rsid w:val="00065F8F"/>
    <w:rsid w:val="00066126"/>
    <w:rsid w:val="00070A43"/>
    <w:rsid w:val="000768F2"/>
    <w:rsid w:val="00086260"/>
    <w:rsid w:val="0009184B"/>
    <w:rsid w:val="0009196E"/>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3E2F"/>
    <w:rsid w:val="00114E9B"/>
    <w:rsid w:val="00142216"/>
    <w:rsid w:val="00144D6A"/>
    <w:rsid w:val="0014729F"/>
    <w:rsid w:val="00157BAB"/>
    <w:rsid w:val="001654D1"/>
    <w:rsid w:val="00174518"/>
    <w:rsid w:val="0018106D"/>
    <w:rsid w:val="001877A7"/>
    <w:rsid w:val="00191536"/>
    <w:rsid w:val="00196687"/>
    <w:rsid w:val="001A3C1B"/>
    <w:rsid w:val="001C0962"/>
    <w:rsid w:val="001D073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6C57"/>
    <w:rsid w:val="002B2613"/>
    <w:rsid w:val="002C7CD4"/>
    <w:rsid w:val="002D6D05"/>
    <w:rsid w:val="002F1818"/>
    <w:rsid w:val="002F567B"/>
    <w:rsid w:val="00310B02"/>
    <w:rsid w:val="003216A9"/>
    <w:rsid w:val="00335A74"/>
    <w:rsid w:val="0036561B"/>
    <w:rsid w:val="0037013F"/>
    <w:rsid w:val="00380C92"/>
    <w:rsid w:val="00384E74"/>
    <w:rsid w:val="00392EF0"/>
    <w:rsid w:val="003A484F"/>
    <w:rsid w:val="003A4883"/>
    <w:rsid w:val="003B0BE0"/>
    <w:rsid w:val="003B0C1B"/>
    <w:rsid w:val="003B688C"/>
    <w:rsid w:val="003C0291"/>
    <w:rsid w:val="003C39AE"/>
    <w:rsid w:val="003C7B60"/>
    <w:rsid w:val="003D0C0F"/>
    <w:rsid w:val="003D1FB2"/>
    <w:rsid w:val="003D66DA"/>
    <w:rsid w:val="003E1310"/>
    <w:rsid w:val="003E6F55"/>
    <w:rsid w:val="003F1772"/>
    <w:rsid w:val="00406254"/>
    <w:rsid w:val="004223DE"/>
    <w:rsid w:val="00434489"/>
    <w:rsid w:val="00437085"/>
    <w:rsid w:val="00443880"/>
    <w:rsid w:val="004464F4"/>
    <w:rsid w:val="00471401"/>
    <w:rsid w:val="00473F31"/>
    <w:rsid w:val="0048263A"/>
    <w:rsid w:val="00482B1B"/>
    <w:rsid w:val="00487E5D"/>
    <w:rsid w:val="004A45D4"/>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6167"/>
    <w:rsid w:val="00587AA4"/>
    <w:rsid w:val="0059014D"/>
    <w:rsid w:val="005B5C64"/>
    <w:rsid w:val="005C5337"/>
    <w:rsid w:val="005C6BD0"/>
    <w:rsid w:val="005D1C8B"/>
    <w:rsid w:val="005D468D"/>
    <w:rsid w:val="005D5CED"/>
    <w:rsid w:val="005F1A4C"/>
    <w:rsid w:val="006000CA"/>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2C12"/>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196C"/>
    <w:rsid w:val="00784D24"/>
    <w:rsid w:val="00785FBA"/>
    <w:rsid w:val="00786E4A"/>
    <w:rsid w:val="007875EB"/>
    <w:rsid w:val="0079426B"/>
    <w:rsid w:val="007D1682"/>
    <w:rsid w:val="007D312A"/>
    <w:rsid w:val="007D3F19"/>
    <w:rsid w:val="007D5975"/>
    <w:rsid w:val="007E23B0"/>
    <w:rsid w:val="007E23E5"/>
    <w:rsid w:val="007F1991"/>
    <w:rsid w:val="007F2C2F"/>
    <w:rsid w:val="007F55FC"/>
    <w:rsid w:val="007F5665"/>
    <w:rsid w:val="00800112"/>
    <w:rsid w:val="00813348"/>
    <w:rsid w:val="008253BB"/>
    <w:rsid w:val="0083706E"/>
    <w:rsid w:val="008408F6"/>
    <w:rsid w:val="008423A5"/>
    <w:rsid w:val="00850625"/>
    <w:rsid w:val="00852102"/>
    <w:rsid w:val="00853718"/>
    <w:rsid w:val="00855221"/>
    <w:rsid w:val="00860645"/>
    <w:rsid w:val="00864FC7"/>
    <w:rsid w:val="00871F71"/>
    <w:rsid w:val="00872FD8"/>
    <w:rsid w:val="00882A0B"/>
    <w:rsid w:val="00885AF4"/>
    <w:rsid w:val="008939CD"/>
    <w:rsid w:val="008B3BC0"/>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066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E3086"/>
    <w:rsid w:val="00B03C9D"/>
    <w:rsid w:val="00B060AE"/>
    <w:rsid w:val="00B10517"/>
    <w:rsid w:val="00B11A03"/>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264C"/>
    <w:rsid w:val="00B944D6"/>
    <w:rsid w:val="00BB4DF0"/>
    <w:rsid w:val="00BC289F"/>
    <w:rsid w:val="00BC2D50"/>
    <w:rsid w:val="00BC5361"/>
    <w:rsid w:val="00BC5460"/>
    <w:rsid w:val="00BC6B50"/>
    <w:rsid w:val="00BC7F2A"/>
    <w:rsid w:val="00BD0E25"/>
    <w:rsid w:val="00BF5BD6"/>
    <w:rsid w:val="00C03E31"/>
    <w:rsid w:val="00C1671B"/>
    <w:rsid w:val="00C33E72"/>
    <w:rsid w:val="00C354B2"/>
    <w:rsid w:val="00C35554"/>
    <w:rsid w:val="00C42709"/>
    <w:rsid w:val="00C44312"/>
    <w:rsid w:val="00C47965"/>
    <w:rsid w:val="00C533CC"/>
    <w:rsid w:val="00C56F3A"/>
    <w:rsid w:val="00C5751C"/>
    <w:rsid w:val="00C61BFC"/>
    <w:rsid w:val="00C62B85"/>
    <w:rsid w:val="00C65438"/>
    <w:rsid w:val="00C66462"/>
    <w:rsid w:val="00C87C97"/>
    <w:rsid w:val="00C87FD8"/>
    <w:rsid w:val="00C91381"/>
    <w:rsid w:val="00C91CBB"/>
    <w:rsid w:val="00CB4E70"/>
    <w:rsid w:val="00CC09B6"/>
    <w:rsid w:val="00CC666F"/>
    <w:rsid w:val="00CD1E3F"/>
    <w:rsid w:val="00CD639C"/>
    <w:rsid w:val="00CE44F6"/>
    <w:rsid w:val="00CE49DA"/>
    <w:rsid w:val="00CE7B61"/>
    <w:rsid w:val="00CF385D"/>
    <w:rsid w:val="00D00095"/>
    <w:rsid w:val="00D114F0"/>
    <w:rsid w:val="00D12AF4"/>
    <w:rsid w:val="00D20620"/>
    <w:rsid w:val="00D254F7"/>
    <w:rsid w:val="00D26091"/>
    <w:rsid w:val="00D2685C"/>
    <w:rsid w:val="00D34E7C"/>
    <w:rsid w:val="00D35489"/>
    <w:rsid w:val="00D36AFE"/>
    <w:rsid w:val="00D51276"/>
    <w:rsid w:val="00D53CE9"/>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240A"/>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540C"/>
    <w:rsid w:val="053A62B5"/>
    <w:rsid w:val="0A2032A3"/>
    <w:rsid w:val="0B8A37D8"/>
    <w:rsid w:val="10172DB1"/>
    <w:rsid w:val="10C055FF"/>
    <w:rsid w:val="118107EC"/>
    <w:rsid w:val="11DD6519"/>
    <w:rsid w:val="16BB723D"/>
    <w:rsid w:val="18015F3F"/>
    <w:rsid w:val="1BE8440E"/>
    <w:rsid w:val="1D155CEE"/>
    <w:rsid w:val="20F57F95"/>
    <w:rsid w:val="240371BF"/>
    <w:rsid w:val="25711CC6"/>
    <w:rsid w:val="25C741E6"/>
    <w:rsid w:val="27842671"/>
    <w:rsid w:val="29FD04D3"/>
    <w:rsid w:val="2ABE7A3E"/>
    <w:rsid w:val="2AFC4483"/>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4CA39A1"/>
    <w:rsid w:val="69630ADE"/>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Body Text Indent"/>
    <w:basedOn w:val="1"/>
    <w:link w:val="32"/>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link w:val="33"/>
    <w:semiHidden/>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正文文本缩进 Char"/>
    <w:basedOn w:val="15"/>
    <w:link w:val="6"/>
    <w:semiHidden/>
    <w:qFormat/>
    <w:uiPriority w:val="99"/>
    <w:rPr>
      <w:rFonts w:ascii="Times New Roman" w:hAnsi="Times New Roman" w:eastAsia="宋体" w:cs="Times New Roman"/>
      <w:kern w:val="2"/>
      <w:sz w:val="21"/>
      <w:szCs w:val="24"/>
    </w:rPr>
  </w:style>
  <w:style w:type="character" w:customStyle="1" w:styleId="33">
    <w:name w:val="正文首行缩进 2 Char"/>
    <w:basedOn w:val="32"/>
    <w:link w:val="13"/>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收支总额</c:v>
                </c:pt>
              </c:strCache>
            </c:strRef>
          </c:tx>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extLst>
            </c:dLbl>
            <c:dLbl>
              <c:idx val="1"/>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Sheet1!$A$2:$A$3</c:f>
              <c:numCache>
                <c:formatCode>General</c:formatCode>
                <c:ptCount val="2"/>
                <c:pt idx="0">
                  <c:v>2021</c:v>
                </c:pt>
                <c:pt idx="1">
                  <c:v>2022</c:v>
                </c:pt>
              </c:numCache>
            </c:numRef>
          </c:cat>
          <c:val>
            <c:numRef>
              <c:f>Sheet1!$B$2:$B$3</c:f>
              <c:numCache>
                <c:formatCode>General</c:formatCode>
                <c:ptCount val="2"/>
                <c:pt idx="0">
                  <c:v>365.18</c:v>
                </c:pt>
                <c:pt idx="1">
                  <c:v>333.78</c:v>
                </c:pt>
              </c:numCache>
            </c:numRef>
          </c:val>
        </c:ser>
        <c:dLbls>
          <c:showLegendKey val="0"/>
          <c:showVal val="0"/>
          <c:showCatName val="0"/>
          <c:showSerName val="0"/>
          <c:showPercent val="0"/>
          <c:showBubbleSize val="0"/>
        </c:dLbls>
        <c:gapWidth val="150"/>
        <c:overlap val="100"/>
        <c:axId val="68193664"/>
        <c:axId val="68269184"/>
      </c:barChart>
      <c:catAx>
        <c:axId val="6819366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269184"/>
        <c:crosses val="autoZero"/>
        <c:auto val="1"/>
        <c:lblAlgn val="ctr"/>
        <c:lblOffset val="100"/>
        <c:noMultiLvlLbl val="0"/>
      </c:catAx>
      <c:valAx>
        <c:axId val="682691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1936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本年收入</a:t>
            </a:r>
            <a:endParaRPr lang="zh-CN" altLang="en-US"/>
          </a:p>
        </c:rich>
      </c:tx>
      <c:layout/>
      <c:overlay val="0"/>
    </c:title>
    <c:autoTitleDeleted val="0"/>
    <c:plotArea>
      <c:layout/>
      <c:pieChart>
        <c:varyColors val="1"/>
        <c:ser>
          <c:idx val="0"/>
          <c:order val="0"/>
          <c:tx>
            <c:strRef>
              <c:f>Sheet1!$B$1</c:f>
              <c:strCache>
                <c:ptCount val="1"/>
                <c:pt idx="0">
                  <c:v>金额</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事业收入</c:v>
                </c:pt>
              </c:strCache>
            </c:strRef>
          </c:cat>
          <c:val>
            <c:numRef>
              <c:f>Sheet1!$B$2:$B$3</c:f>
              <c:numCache>
                <c:formatCode>General</c:formatCode>
                <c:ptCount val="2"/>
                <c:pt idx="0">
                  <c:v>275.01</c:v>
                </c:pt>
                <c:pt idx="1">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本年支出</a:t>
            </a:r>
            <a:endParaRPr lang="zh-CN"/>
          </a:p>
        </c:rich>
      </c:tx>
      <c:layout/>
      <c:overlay val="0"/>
    </c:title>
    <c:autoTitleDeleted val="0"/>
    <c:plotArea>
      <c:layout>
        <c:manualLayout>
          <c:layoutTarget val="inner"/>
          <c:xMode val="edge"/>
          <c:yMode val="edge"/>
          <c:x val="0.207809114769745"/>
          <c:y val="0.22456131486238"/>
          <c:w val="0.452323621478449"/>
          <c:h val="0.775438596491228"/>
        </c:manualLayout>
      </c:layout>
      <c:pieChart>
        <c:varyColors val="1"/>
        <c:ser>
          <c:idx val="0"/>
          <c:order val="0"/>
          <c:tx>
            <c:strRef>
              <c:f>Sheet1!$B$1</c:f>
              <c:strCache>
                <c:ptCount val="1"/>
                <c:pt idx="0">
                  <c:v>销售额</c:v>
                </c:pt>
              </c:strCache>
            </c:strRef>
          </c:tx>
          <c:explosion val="0"/>
          <c:dPt>
            <c:idx val="0"/>
            <c:bubble3D val="0"/>
          </c:dPt>
          <c:dPt>
            <c:idx val="1"/>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333.78</c:v>
                </c:pt>
                <c:pt idx="1">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5483450474731"/>
          <c:y val="0.0493132903841565"/>
          <c:w val="0.844516549525269"/>
          <c:h val="0.701421140539251"/>
        </c:manualLayout>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2021年</c:v>
                </c:pt>
              </c:strCache>
            </c:strRef>
          </c:cat>
          <c:val>
            <c:numRef>
              <c:f>Sheet1!$B$2:$B$3</c:f>
              <c:numCache>
                <c:formatCode>General</c:formatCode>
                <c:ptCount val="2"/>
                <c:pt idx="0">
                  <c:v>333.78</c:v>
                </c:pt>
                <c:pt idx="1">
                  <c:v>365.18</c:v>
                </c:pt>
              </c:numCache>
            </c:numRef>
          </c:val>
        </c:ser>
        <c:dLbls>
          <c:showLegendKey val="0"/>
          <c:showVal val="0"/>
          <c:showCatName val="0"/>
          <c:showSerName val="0"/>
          <c:showPercent val="0"/>
          <c:showBubbleSize val="0"/>
        </c:dLbls>
        <c:gapWidth val="150"/>
        <c:axId val="68484096"/>
        <c:axId val="68698880"/>
      </c:barChart>
      <c:catAx>
        <c:axId val="684840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698880"/>
        <c:crosses val="autoZero"/>
        <c:auto val="1"/>
        <c:lblAlgn val="ctr"/>
        <c:lblOffset val="100"/>
        <c:noMultiLvlLbl val="0"/>
      </c:catAx>
      <c:valAx>
        <c:axId val="68698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48409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832731846019"/>
          <c:y val="0.113000138140627"/>
          <c:w val="0.836611712598425"/>
          <c:h val="0.74070783257356"/>
        </c:manualLayout>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2022年</c:v>
                </c:pt>
                <c:pt idx="1">
                  <c:v>2021年</c:v>
                </c:pt>
              </c:strCache>
            </c:strRef>
          </c:cat>
          <c:val>
            <c:numRef>
              <c:f>Sheet1!$B$2:$B$3</c:f>
              <c:numCache>
                <c:formatCode>General</c:formatCode>
                <c:ptCount val="2"/>
                <c:pt idx="0">
                  <c:v>333.78</c:v>
                </c:pt>
                <c:pt idx="1">
                  <c:v>365.18</c:v>
                </c:pt>
              </c:numCache>
            </c:numRef>
          </c:val>
        </c:ser>
        <c:dLbls>
          <c:showLegendKey val="0"/>
          <c:showVal val="0"/>
          <c:showCatName val="0"/>
          <c:showSerName val="0"/>
          <c:showPercent val="0"/>
          <c:showBubbleSize val="0"/>
        </c:dLbls>
        <c:gapWidth val="150"/>
        <c:axId val="68730880"/>
        <c:axId val="68732416"/>
      </c:barChart>
      <c:catAx>
        <c:axId val="6873088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732416"/>
        <c:crosses val="autoZero"/>
        <c:auto val="1"/>
        <c:lblAlgn val="ctr"/>
        <c:lblOffset val="100"/>
        <c:noMultiLvlLbl val="0"/>
      </c:catAx>
      <c:valAx>
        <c:axId val="687324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73088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教育支出</c:v>
                </c:pt>
                <c:pt idx="1">
                  <c:v>社会保障和就业支出</c:v>
                </c:pt>
                <c:pt idx="2">
                  <c:v>卫生健康支出</c:v>
                </c:pt>
                <c:pt idx="3">
                  <c:v>住房保障支出</c:v>
                </c:pt>
              </c:strCache>
            </c:strRef>
          </c:cat>
          <c:val>
            <c:numRef>
              <c:f>Sheet1!$B$2:$B$5</c:f>
              <c:numCache>
                <c:formatCode>General</c:formatCode>
                <c:ptCount val="4"/>
                <c:pt idx="0">
                  <c:v>278.21</c:v>
                </c:pt>
                <c:pt idx="1">
                  <c:v>24.7</c:v>
                </c:pt>
                <c:pt idx="2">
                  <c:v>12.35</c:v>
                </c:pt>
                <c:pt idx="3">
                  <c:v>18.52</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0.76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4957</Words>
  <Characters>5322</Characters>
  <Lines>47</Lines>
  <Paragraphs>13</Paragraphs>
  <TotalTime>400</TotalTime>
  <ScaleCrop>false</ScaleCrop>
  <LinksUpToDate>false</LinksUpToDate>
  <CharactersWithSpaces>5341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2023-12-11T09:07:50Z</dcterms:modified>
  <dc:title>四川省***</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EF2231B80BDF4472ABCE035F732605F4_12</vt:lpwstr>
  </property>
</Properties>
</file>