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1" w:name="_Toc15396475"/>
      <w:bookmarkStart w:id="2" w:name="_Toc15378441"/>
      <w:bookmarkStart w:id="3" w:name="_Toc15377193"/>
      <w:bookmarkStart w:id="4" w:name="_Toc15377425"/>
      <w:bookmarkStart w:id="5" w:name="_Toc15396597"/>
      <w:r>
        <w:rPr>
          <w:rFonts w:hint="eastAsia" w:ascii="方正小标宋简体" w:hAnsi="方正小标宋简体" w:eastAsia="方正小标宋简体" w:cs="方正小标宋简体"/>
          <w:sz w:val="56"/>
          <w:szCs w:val="56"/>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6"/>
          <w:szCs w:val="56"/>
        </w:rPr>
      </w:pPr>
      <w:bookmarkStart w:id="6" w:name="_Toc15377426"/>
      <w:bookmarkStart w:id="7" w:name="_Toc15396476"/>
      <w:bookmarkStart w:id="8" w:name="_Toc15396598"/>
      <w:bookmarkStart w:id="9" w:name="_Toc15378442"/>
      <w:bookmarkStart w:id="10" w:name="_Toc15377194"/>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柏垭小学校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p>
    <w:p>
      <w:pPr>
        <w:widowControl/>
        <w:jc w:val="center"/>
        <w:rPr>
          <w:rFonts w:hint="eastAsia" w:ascii="黑体" w:hAnsi="黑体" w:eastAsia="黑体"/>
          <w:sz w:val="48"/>
          <w:szCs w:val="48"/>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pStyle w:val="10"/>
        <w:jc w:val="center"/>
        <w:rPr>
          <w:rFonts w:hint="eastAsia"/>
        </w:rPr>
      </w:pPr>
      <w:r>
        <w:rPr>
          <w:rFonts w:hint="eastAsia"/>
        </w:rPr>
        <w:t>公开时间：2023年</w:t>
      </w:r>
      <w:r>
        <w:rPr>
          <w:rFonts w:hint="eastAsia"/>
          <w:lang w:val="en-US" w:eastAsia="zh-CN"/>
        </w:rPr>
        <w:t>11</w:t>
      </w:r>
      <w:r>
        <w:rPr>
          <w:rFonts w:hint="eastAsia"/>
        </w:rPr>
        <w:t>月</w:t>
      </w:r>
      <w:r>
        <w:rPr>
          <w:rFonts w:hint="eastAsia"/>
          <w:lang w:val="en-US" w:eastAsia="zh-CN"/>
        </w:rPr>
        <w:t>28</w:t>
      </w:r>
      <w:r>
        <w:rPr>
          <w:rFonts w:hint="eastAsia"/>
        </w:rPr>
        <w:t>日</w:t>
      </w:r>
    </w:p>
    <w:p>
      <w:pPr>
        <w:pStyle w:val="10"/>
        <w:jc w:val="both"/>
        <w:rPr>
          <w:rFonts w:hint="eastAsia" w:ascii="仿宋" w:hAnsi="仿宋" w:eastAsia="仿宋" w:cs="仿宋"/>
          <w:sz w:val="32"/>
          <w:szCs w:val="32"/>
          <w:lang w:val="en-US" w:eastAsia="zh-CN"/>
        </w:rPr>
      </w:pPr>
      <w:r>
        <w:rPr>
          <w:rFonts w:hint="eastAsia" w:ascii="仿宋" w:hAnsi="仿宋" w:eastAsia="仿宋" w:cs="仿宋"/>
          <w:sz w:val="32"/>
          <w:szCs w:val="32"/>
        </w:rPr>
        <w:t>第一部分 单位概况</w:t>
      </w:r>
      <w:r>
        <w:rPr>
          <w:rFonts w:hint="eastAsia" w:ascii="微软雅黑" w:hAnsi="微软雅黑" w:eastAsia="微软雅黑" w:cs="微软雅黑"/>
          <w:sz w:val="32"/>
          <w:szCs w:val="32"/>
        </w:rPr>
        <w:t>······································································</w:t>
      </w:r>
      <w:r>
        <w:rPr>
          <w:rFonts w:hint="eastAsia" w:cs="仿宋"/>
          <w:sz w:val="32"/>
          <w:szCs w:val="32"/>
          <w:lang w:val="en-US" w:eastAsia="zh-CN"/>
        </w:rPr>
        <w:t>4</w:t>
      </w:r>
    </w:p>
    <w:p>
      <w:pPr>
        <w:pStyle w:val="11"/>
        <w:adjustRightInd w:val="0"/>
        <w:snapToGrid w:val="0"/>
        <w:spacing w:line="44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一、主要职责及重点工作</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4</w:t>
      </w:r>
    </w:p>
    <w:p>
      <w:pPr>
        <w:pStyle w:val="11"/>
        <w:adjustRightInd w:val="0"/>
        <w:snapToGrid w:val="0"/>
        <w:spacing w:line="440" w:lineRule="exact"/>
        <w:jc w:val="left"/>
        <w:rPr>
          <w:rFonts w:hint="eastAsia" w:ascii="仿宋" w:hAnsi="仿宋" w:eastAsia="仿宋" w:cs="仿宋"/>
          <w:sz w:val="32"/>
          <w:szCs w:val="32"/>
          <w:lang w:val="en-US" w:eastAsia="zh-CN"/>
        </w:rPr>
      </w:pPr>
      <w:r>
        <w:rPr>
          <w:rFonts w:hint="eastAsia" w:ascii="仿宋" w:hAnsi="仿宋" w:eastAsia="仿宋" w:cs="仿宋"/>
          <w:sz w:val="32"/>
          <w:szCs w:val="32"/>
        </w:rPr>
        <w:t>（一）单位职责</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4</w:t>
      </w:r>
    </w:p>
    <w:p>
      <w:pPr>
        <w:pStyle w:val="11"/>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4</w:t>
      </w:r>
    </w:p>
    <w:p>
      <w:pPr>
        <w:pStyle w:val="11"/>
        <w:adjustRightInd w:val="0"/>
        <w:snapToGrid w:val="0"/>
        <w:spacing w:line="440" w:lineRule="exact"/>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二、机构设置</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5</w:t>
      </w:r>
    </w:p>
    <w:p>
      <w:pPr>
        <w:pStyle w:val="11"/>
        <w:adjustRightInd w:val="0"/>
        <w:snapToGrid w:val="0"/>
        <w:spacing w:line="440" w:lineRule="exact"/>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rPr>
        <w:t>第二部分 2022年度单位决算情况说明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6</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6</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6</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7</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8</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8</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六、一般公共预算财政拨款基本支出决算情况说明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11</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七、财政拨款“三公”经费支出决算情况说明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11</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八、政府性基金预算支出决算情况说明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13</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九、国有资本经营预算支出决算情况说明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13</w:t>
      </w:r>
    </w:p>
    <w:p>
      <w:pPr>
        <w:pStyle w:val="11"/>
        <w:adjustRightInd w:val="0"/>
        <w:snapToGrid w:val="0"/>
        <w:spacing w:line="440" w:lineRule="exact"/>
        <w:ind w:left="0" w:leftChars="0" w:firstLine="640" w:firstLineChars="200"/>
        <w:jc w:val="left"/>
        <w:rPr>
          <w:rFonts w:hint="default" w:ascii="仿宋" w:hAnsi="仿宋" w:eastAsia="仿宋" w:cs="仿宋"/>
          <w:sz w:val="32"/>
          <w:szCs w:val="32"/>
          <w:lang w:val="en-US"/>
        </w:rPr>
      </w:pPr>
      <w:r>
        <w:rPr>
          <w:rFonts w:hint="eastAsia" w:ascii="仿宋" w:hAnsi="仿宋" w:eastAsia="仿宋" w:cs="仿宋"/>
          <w:sz w:val="32"/>
          <w:szCs w:val="32"/>
        </w:rPr>
        <w:t>十、其他重要事项的情况说明</w:t>
      </w:r>
      <w:r>
        <w:rPr>
          <w:rFonts w:hint="eastAsia" w:ascii="微软雅黑" w:hAnsi="微软雅黑" w:eastAsia="微软雅黑" w:cs="微软雅黑"/>
          <w:sz w:val="32"/>
          <w:szCs w:val="32"/>
        </w:rPr>
        <w:t>··········································</w:t>
      </w:r>
      <w:r>
        <w:rPr>
          <w:rFonts w:hint="eastAsia" w:ascii="仿宋" w:hAnsi="仿宋" w:eastAsia="仿宋" w:cs="仿宋"/>
          <w:sz w:val="32"/>
          <w:szCs w:val="32"/>
          <w:lang w:val="en-US" w:eastAsia="zh-CN"/>
        </w:rPr>
        <w:t>13</w:t>
      </w:r>
    </w:p>
    <w:p>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rPr>
        <w:t>第三部分 名词解释</w:t>
      </w:r>
      <w:r>
        <w:rPr>
          <w:rFonts w:hint="eastAsia" w:ascii="微软雅黑" w:hAnsi="微软雅黑" w:eastAsia="微软雅黑" w:cs="微软雅黑"/>
          <w:sz w:val="32"/>
          <w:szCs w:val="32"/>
        </w:rPr>
        <w:t>·····································································</w:t>
      </w:r>
      <w:r>
        <w:rPr>
          <w:rFonts w:hint="eastAsia" w:cs="仿宋"/>
          <w:sz w:val="32"/>
          <w:szCs w:val="32"/>
          <w:lang w:val="en-US" w:eastAsia="zh-CN"/>
        </w:rPr>
        <w:t>15</w:t>
      </w:r>
    </w:p>
    <w:p>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rPr>
        <w:t>第四部分 附件</w:t>
      </w:r>
      <w:r>
        <w:rPr>
          <w:rFonts w:hint="eastAsia" w:ascii="微软雅黑" w:hAnsi="微软雅黑" w:eastAsia="微软雅黑" w:cs="微软雅黑"/>
          <w:sz w:val="32"/>
          <w:szCs w:val="32"/>
        </w:rPr>
        <w:t>·············································································</w:t>
      </w:r>
      <w:r>
        <w:rPr>
          <w:rFonts w:hint="eastAsia" w:cs="仿宋"/>
          <w:sz w:val="32"/>
          <w:szCs w:val="32"/>
          <w:lang w:val="en-US" w:eastAsia="zh-CN"/>
        </w:rPr>
        <w:t>17</w:t>
      </w:r>
    </w:p>
    <w:p>
      <w:pPr>
        <w:pStyle w:val="10"/>
        <w:adjustRightInd w:val="0"/>
        <w:snapToGrid w:val="0"/>
        <w:spacing w:before="0" w:line="440" w:lineRule="exact"/>
        <w:jc w:val="left"/>
        <w:rPr>
          <w:rFonts w:hint="default" w:ascii="仿宋" w:hAnsi="仿宋" w:eastAsia="仿宋" w:cs="仿宋"/>
          <w:sz w:val="32"/>
          <w:szCs w:val="32"/>
          <w:lang w:val="en-US"/>
        </w:rPr>
      </w:pPr>
      <w:r>
        <w:rPr>
          <w:rFonts w:hint="eastAsia" w:ascii="仿宋" w:hAnsi="仿宋" w:eastAsia="仿宋" w:cs="仿宋"/>
          <w:sz w:val="32"/>
          <w:szCs w:val="32"/>
        </w:rPr>
        <w:t>第五部分 附表</w:t>
      </w:r>
      <w:r>
        <w:rPr>
          <w:rFonts w:hint="eastAsia" w:ascii="微软雅黑" w:hAnsi="微软雅黑" w:eastAsia="微软雅黑" w:cs="微软雅黑"/>
          <w:sz w:val="32"/>
          <w:szCs w:val="32"/>
        </w:rPr>
        <w:t>·············································································</w:t>
      </w:r>
      <w:r>
        <w:rPr>
          <w:rFonts w:hint="eastAsia" w:cs="仿宋"/>
          <w:sz w:val="32"/>
          <w:szCs w:val="32"/>
          <w:lang w:val="en-US" w:eastAsia="zh-CN"/>
        </w:rPr>
        <w:t>37</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1"/>
        <w:adjustRightInd w:val="0"/>
        <w:snapToGrid w:val="0"/>
        <w:spacing w:line="440" w:lineRule="exact"/>
        <w:ind w:left="0" w:leftChars="0" w:firstLine="640" w:firstLineChars="200"/>
        <w:jc w:val="left"/>
        <w:rPr>
          <w:rFonts w:hint="eastAsia" w:ascii="仿宋" w:hAnsi="仿宋" w:eastAsia="仿宋" w:cs="仿宋"/>
          <w:sz w:val="32"/>
          <w:szCs w:val="32"/>
        </w:rPr>
        <w:sectPr>
          <w:footerReference r:id="rId7" w:type="first"/>
          <w:footerReference r:id="rId6" w:type="default"/>
          <w:pgSz w:w="11906" w:h="16838"/>
          <w:pgMar w:top="1440" w:right="1800" w:bottom="1440" w:left="1800" w:header="851" w:footer="992" w:gutter="0"/>
          <w:pgNumType w:fmt="decimal" w:start="3"/>
          <w:cols w:space="425" w:num="1"/>
          <w:titlePg/>
          <w:docGrid w:type="lines" w:linePitch="312" w:charSpace="0"/>
        </w:sectPr>
      </w:pPr>
      <w:r>
        <w:rPr>
          <w:rFonts w:hint="eastAsia" w:ascii="仿宋" w:hAnsi="仿宋" w:eastAsia="仿宋" w:cs="仿宋"/>
          <w:sz w:val="32"/>
          <w:szCs w:val="32"/>
        </w:rPr>
        <w:t>十三、财政拨款“三公”经费支出决算表</w:t>
      </w:r>
      <w:bookmarkStart w:id="12" w:name="_Toc15396599"/>
      <w:bookmarkStart w:id="13" w:name="_Toc15377196"/>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剑阁县</w:t>
      </w:r>
      <w:r>
        <w:rPr>
          <w:rFonts w:hint="eastAsia" w:ascii="仿宋" w:hAnsi="仿宋" w:eastAsia="仿宋"/>
          <w:bCs/>
          <w:color w:val="000000"/>
          <w:sz w:val="32"/>
          <w:szCs w:val="32"/>
          <w:lang w:eastAsia="zh-CN"/>
        </w:rPr>
        <w:t>柏垭</w:t>
      </w:r>
      <w:r>
        <w:rPr>
          <w:rFonts w:hint="eastAsia" w:ascii="仿宋" w:hAnsi="仿宋" w:eastAsia="仿宋"/>
          <w:bCs/>
          <w:color w:val="000000"/>
          <w:sz w:val="32"/>
          <w:szCs w:val="32"/>
        </w:rPr>
        <w:t>小学校属财政预算一级单位，执行事业单位会计制度，本单位现有</w:t>
      </w:r>
      <w:r>
        <w:rPr>
          <w:rFonts w:hint="eastAsia" w:ascii="仿宋" w:hAnsi="仿宋" w:eastAsia="仿宋"/>
          <w:bCs/>
          <w:color w:val="000000"/>
          <w:sz w:val="32"/>
          <w:szCs w:val="32"/>
          <w:lang w:val="en-US" w:eastAsia="zh-CN"/>
        </w:rPr>
        <w:t>6</w:t>
      </w:r>
      <w:r>
        <w:rPr>
          <w:rFonts w:hint="eastAsia" w:ascii="仿宋" w:hAnsi="仿宋" w:eastAsia="仿宋"/>
          <w:bCs/>
          <w:color w:val="000000"/>
          <w:sz w:val="32"/>
          <w:szCs w:val="32"/>
        </w:rPr>
        <w:t>个教学班，</w:t>
      </w:r>
      <w:r>
        <w:rPr>
          <w:rFonts w:hint="eastAsia" w:ascii="仿宋" w:hAnsi="仿宋" w:eastAsia="仿宋"/>
          <w:bCs/>
          <w:color w:val="000000"/>
          <w:sz w:val="32"/>
          <w:szCs w:val="32"/>
          <w:lang w:val="en-US" w:eastAsia="zh-CN"/>
        </w:rPr>
        <w:t>17</w:t>
      </w:r>
      <w:r>
        <w:rPr>
          <w:rFonts w:hint="eastAsia" w:ascii="仿宋" w:hAnsi="仿宋" w:eastAsia="仿宋"/>
          <w:bCs/>
          <w:color w:val="000000"/>
          <w:sz w:val="32"/>
          <w:szCs w:val="32"/>
        </w:rPr>
        <w:t>位教职工.其基本职能及主要工作是实施</w:t>
      </w:r>
      <w:r>
        <w:rPr>
          <w:rFonts w:hint="eastAsia" w:ascii="仿宋" w:hAnsi="仿宋" w:eastAsia="仿宋"/>
          <w:bCs/>
          <w:color w:val="000000"/>
          <w:sz w:val="32"/>
          <w:szCs w:val="32"/>
          <w:lang w:val="en-US" w:eastAsia="zh-CN"/>
        </w:rPr>
        <w:t>小学</w:t>
      </w:r>
      <w:r>
        <w:rPr>
          <w:rFonts w:hint="eastAsia" w:ascii="仿宋" w:hAnsi="仿宋" w:eastAsia="仿宋"/>
          <w:bCs/>
          <w:color w:val="000000"/>
          <w:sz w:val="32"/>
          <w:szCs w:val="32"/>
        </w:rPr>
        <w:t>义务教育，促进基础教育发展。</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22</w:t>
      </w:r>
      <w:r>
        <w:rPr>
          <w:rFonts w:hint="eastAsia" w:ascii="仿宋" w:hAnsi="仿宋" w:eastAsia="仿宋"/>
          <w:bCs/>
          <w:color w:val="000000"/>
          <w:sz w:val="32"/>
          <w:szCs w:val="32"/>
        </w:rPr>
        <w:t>年重点工作完成情况。</w:t>
      </w:r>
      <w:bookmarkEnd w:id="18"/>
      <w:bookmarkEnd w:id="19"/>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1、为了更好地发展提高教育教学质量，结合我校实际逐步建立健全学校领导班子建设，开展“五个一”活动，争创学习型、</w:t>
      </w:r>
      <w:r>
        <w:rPr>
          <w:rFonts w:hint="eastAsia" w:ascii="仿宋" w:hAnsi="仿宋" w:eastAsia="仿宋"/>
          <w:bCs/>
          <w:color w:val="000000"/>
          <w:sz w:val="32"/>
          <w:szCs w:val="32"/>
          <w:lang w:eastAsia="zh-CN"/>
        </w:rPr>
        <w:t>创新型</w:t>
      </w:r>
      <w:r>
        <w:rPr>
          <w:rFonts w:hint="eastAsia" w:ascii="仿宋" w:hAnsi="仿宋" w:eastAsia="仿宋"/>
          <w:bCs/>
          <w:color w:val="000000"/>
          <w:sz w:val="32"/>
          <w:szCs w:val="32"/>
        </w:rPr>
        <w:t xml:space="preserve">领导班子。转变教学观念，强化了行风建设促进了精神文明建设。 </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2、开展共同备课，互相听课评课，取长补短提高了教育教学质量。利用第二课堂活动加强素质教育。优化教学常规管理，教学质效不断提高。</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 xml:space="preserve">3、组织全体教职工共同讨论制定考核细则，并逐步改进和完善常规考核，建立起一套适合本校实际的学校管理制度，实现依法办学、依法行政，以此促进全局工作逐步走上规范化、科学化、民主化轨道，着力推进了和谐教育，取得较好的社会效益。 </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4、根据学校实际情况继续对师生进行内容丰富、形式多样的交通安全、消防安全、毒品安全、食品卫生安全、生活常识安全、体育运动安全教育，宣传普及公共安全知识，增强师生安全意识加大对学校食品卫生，校园安全，校园周边安全，交通安全，制定层层目标管理责任制度。</w:t>
      </w:r>
    </w:p>
    <w:p>
      <w:pPr>
        <w:pStyle w:val="2"/>
        <w:adjustRightInd w:val="0"/>
        <w:snapToGrid w:val="0"/>
        <w:spacing w:before="93" w:line="600" w:lineRule="exact"/>
        <w:outlineLvl w:val="2"/>
        <w:rPr>
          <w:rFonts w:hint="eastAsia" w:ascii="黑体" w:hAnsi="黑体" w:eastAsia="黑体"/>
          <w:b w:val="0"/>
        </w:rPr>
      </w:pPr>
      <w:r>
        <w:rPr>
          <w:rFonts w:hint="eastAsia" w:ascii="黑体" w:hAnsi="黑体" w:eastAsia="黑体"/>
          <w:b w:val="0"/>
        </w:rPr>
        <w:t>二、机构设置</w:t>
      </w:r>
    </w:p>
    <w:p>
      <w:pPr>
        <w:pStyle w:val="2"/>
        <w:adjustRightInd w:val="0"/>
        <w:snapToGrid w:val="0"/>
        <w:spacing w:before="93" w:line="600" w:lineRule="exact"/>
        <w:ind w:firstLine="640" w:firstLineChars="200"/>
        <w:outlineLvl w:val="2"/>
        <w:rPr>
          <w:rFonts w:hint="eastAsia" w:ascii="黑体" w:hAnsi="黑体" w:eastAsia="黑体"/>
          <w:b w:val="0"/>
        </w:rPr>
      </w:pPr>
      <w:r>
        <w:rPr>
          <w:rFonts w:hint="eastAsia" w:ascii="仿宋" w:hAnsi="仿宋" w:eastAsia="仿宋"/>
          <w:sz w:val="32"/>
          <w:szCs w:val="32"/>
          <w:lang w:val="en-US" w:eastAsia="zh-CN"/>
        </w:rPr>
        <w:t>本单位下属二级决算单位0个，其中行政单位0个，参照公务员法管理的事业单位0个，其他事业单位0个。</w:t>
      </w: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20" w:name="_Toc15377204"/>
      <w:bookmarkStart w:id="21"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276.03</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58.53</w:t>
      </w:r>
      <w:r>
        <w:rPr>
          <w:rFonts w:hint="eastAsia" w:ascii="仿宋" w:hAnsi="仿宋" w:eastAsia="仿宋"/>
          <w:sz w:val="32"/>
          <w:szCs w:val="32"/>
        </w:rPr>
        <w:t>万元，下降</w:t>
      </w:r>
      <w:r>
        <w:rPr>
          <w:rFonts w:hint="eastAsia" w:ascii="仿宋" w:hAnsi="仿宋" w:eastAsia="仿宋"/>
          <w:sz w:val="32"/>
          <w:szCs w:val="32"/>
          <w:lang w:val="en-US" w:eastAsia="zh-CN"/>
        </w:rPr>
        <w:t>17.49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学生减少，人员变动</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jc w:val="cente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276.03</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275.03</w:t>
      </w:r>
      <w:r>
        <w:rPr>
          <w:rFonts w:hint="eastAsia" w:ascii="仿宋" w:hAnsi="仿宋" w:eastAsia="仿宋"/>
          <w:sz w:val="32"/>
          <w:szCs w:val="32"/>
        </w:rPr>
        <w:t>万元，占</w:t>
      </w:r>
      <w:r>
        <w:rPr>
          <w:rFonts w:hint="eastAsia" w:ascii="仿宋" w:hAnsi="仿宋" w:eastAsia="仿宋"/>
          <w:sz w:val="32"/>
          <w:szCs w:val="32"/>
          <w:lang w:val="en-US" w:eastAsia="zh-CN"/>
        </w:rPr>
        <w:t>99.64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0.36</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color w:val="auto"/>
        </w:rPr>
      </w:pPr>
      <w:bookmarkStart w:id="26" w:name="_Toc15377207"/>
      <w:bookmarkStart w:id="27" w:name="_Toc15396605"/>
      <w:r>
        <w:rPr>
          <w:rFonts w:hint="eastAsia" w:ascii="黑体" w:hAnsi="黑体" w:eastAsia="黑体"/>
          <w:color w:val="auto"/>
          <w:sz w:val="32"/>
          <w:szCs w:val="32"/>
        </w:rPr>
        <w:t>支</w:t>
      </w:r>
      <w:r>
        <w:rPr>
          <w:rStyle w:val="25"/>
          <w:rFonts w:hint="eastAsia" w:ascii="黑体" w:hAnsi="黑体" w:eastAsia="黑体"/>
          <w:b w:val="0"/>
          <w:color w:val="auto"/>
        </w:rPr>
        <w:t>出决算情况说明</w:t>
      </w:r>
      <w:bookmarkEnd w:id="26"/>
      <w:bookmarkEnd w:id="27"/>
    </w:p>
    <w:p>
      <w:pPr>
        <w:spacing w:line="600" w:lineRule="exact"/>
        <w:ind w:firstLine="640" w:firstLineChars="200"/>
        <w:outlineLvl w:val="1"/>
        <w:rPr>
          <w:rFonts w:ascii="仿宋" w:hAnsi="仿宋" w:eastAsia="仿宋"/>
          <w:b/>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22年本年支出合计</w:t>
      </w:r>
      <w:r>
        <w:rPr>
          <w:rFonts w:hint="eastAsia" w:ascii="仿宋" w:hAnsi="仿宋" w:eastAsia="仿宋"/>
          <w:color w:val="auto"/>
          <w:sz w:val="32"/>
          <w:szCs w:val="32"/>
          <w:lang w:val="en-US" w:eastAsia="zh-CN"/>
        </w:rPr>
        <w:t>276.03</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275.03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99.64</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0.36</w:t>
      </w:r>
      <w:r>
        <w:rPr>
          <w:rFonts w:ascii="仿宋" w:hAnsi="仿宋" w:eastAsia="仿宋"/>
          <w:color w:val="auto"/>
          <w:sz w:val="32"/>
          <w:szCs w:val="32"/>
        </w:rPr>
        <w:t>%</w:t>
      </w:r>
      <w:r>
        <w:rPr>
          <w:rFonts w:hint="eastAsia" w:ascii="仿宋" w:hAnsi="仿宋" w:eastAsia="仿宋"/>
          <w:color w:val="auto"/>
          <w:sz w:val="32"/>
          <w:szCs w:val="32"/>
        </w:rPr>
        <w:t>；上缴上级支出 0 万元，占 0%；经营支出0 万元，占0%；对附属单位补助支出 0 万元，占0%。</w:t>
      </w:r>
    </w:p>
    <w:p>
      <w:pPr>
        <w:spacing w:line="600" w:lineRule="exact"/>
        <w:jc w:val="center"/>
        <w:rPr>
          <w:rFonts w:hint="eastAsia" w:ascii="仿宋" w:hAnsi="仿宋" w:eastAsia="仿宋"/>
          <w:color w:val="0000FF"/>
          <w:sz w:val="32"/>
          <w:szCs w:val="32"/>
        </w:rPr>
      </w:pPr>
      <w:r>
        <w:rPr>
          <w:rFonts w:hint="eastAsia" w:ascii="仿宋" w:hAnsi="仿宋" w:eastAsia="仿宋"/>
          <w:color w:val="auto"/>
          <w:sz w:val="32"/>
          <w:szCs w:val="32"/>
        </w:rPr>
        <w:t>（图3：支出决算结构图）（饼状图）</w:t>
      </w:r>
    </w:p>
    <w:p>
      <w:pPr>
        <w:pStyle w:val="2"/>
        <w:jc w:val="cente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276.03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58.53</w:t>
      </w:r>
      <w:r>
        <w:rPr>
          <w:rFonts w:hint="eastAsia" w:ascii="仿宋" w:hAnsi="仿宋" w:eastAsia="仿宋"/>
          <w:sz w:val="32"/>
          <w:szCs w:val="32"/>
        </w:rPr>
        <w:t>万元，下降</w:t>
      </w:r>
      <w:r>
        <w:rPr>
          <w:rFonts w:hint="eastAsia" w:ascii="仿宋" w:hAnsi="仿宋" w:eastAsia="仿宋"/>
          <w:sz w:val="32"/>
          <w:szCs w:val="32"/>
          <w:lang w:val="en-US" w:eastAsia="zh-CN"/>
        </w:rPr>
        <w:t>17.49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学生减少，人员变动</w:t>
      </w:r>
      <w:r>
        <w:rPr>
          <w:rFonts w:hint="eastAsia" w:ascii="仿宋" w:hAnsi="仿宋" w:eastAsia="仿宋"/>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jc w:val="cente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275.03</w:t>
      </w:r>
      <w:r>
        <w:rPr>
          <w:rFonts w:hint="eastAsia" w:ascii="仿宋" w:hAnsi="仿宋" w:eastAsia="仿宋"/>
          <w:sz w:val="32"/>
          <w:szCs w:val="32"/>
        </w:rPr>
        <w:t>万元，占本年支出合计的</w:t>
      </w:r>
      <w:r>
        <w:rPr>
          <w:rFonts w:hint="eastAsia" w:ascii="仿宋" w:hAnsi="仿宋" w:eastAsia="仿宋"/>
          <w:sz w:val="32"/>
          <w:szCs w:val="32"/>
          <w:lang w:val="en-US" w:eastAsia="zh-CN"/>
        </w:rPr>
        <w:t>99.64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55.33</w:t>
      </w:r>
      <w:r>
        <w:rPr>
          <w:rFonts w:hint="eastAsia" w:ascii="仿宋" w:hAnsi="仿宋" w:eastAsia="仿宋"/>
          <w:sz w:val="32"/>
          <w:szCs w:val="32"/>
        </w:rPr>
        <w:t>万元，下降</w:t>
      </w:r>
      <w:r>
        <w:rPr>
          <w:rFonts w:hint="eastAsia" w:ascii="仿宋" w:hAnsi="仿宋" w:eastAsia="仿宋"/>
          <w:sz w:val="32"/>
          <w:szCs w:val="32"/>
          <w:lang w:val="en-US" w:eastAsia="zh-CN"/>
        </w:rPr>
        <w:t>16.74</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是</w:t>
      </w:r>
      <w:r>
        <w:rPr>
          <w:rFonts w:hint="eastAsia" w:ascii="仿宋" w:hAnsi="仿宋" w:eastAsia="仿宋"/>
          <w:sz w:val="32"/>
          <w:szCs w:val="32"/>
          <w:lang w:val="en-US" w:eastAsia="zh-CN"/>
        </w:rPr>
        <w:t>学生减少，人员变动</w:t>
      </w:r>
      <w:r>
        <w:rPr>
          <w:rFonts w:hint="eastAsia" w:ascii="仿宋" w:hAnsi="仿宋" w:eastAsia="仿宋"/>
          <w:sz w:val="32"/>
          <w:szCs w:val="32"/>
        </w:rPr>
        <w:t>。</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pStyle w:val="2"/>
        <w:jc w:val="center"/>
      </w:pPr>
      <w:r>
        <w:drawing>
          <wp:inline distT="0" distB="0" distL="114300" distR="114300">
            <wp:extent cx="4248785" cy="2087245"/>
            <wp:effectExtent l="5080" t="5080" r="13335" b="2222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ascii="仿宋" w:hAnsi="仿宋" w:eastAsia="仿宋"/>
          <w:b/>
          <w:sz w:val="32"/>
          <w:szCs w:val="32"/>
        </w:rPr>
      </w:pPr>
      <w:r>
        <w:rPr>
          <w:rFonts w:ascii="仿宋" w:hAnsi="仿宋" w:eastAsia="仿宋"/>
          <w:color w:val="auto"/>
          <w:sz w:val="32"/>
          <w:szCs w:val="32"/>
        </w:rPr>
        <w:t>20</w:t>
      </w:r>
      <w:r>
        <w:rPr>
          <w:rFonts w:hint="eastAsia" w:ascii="仿宋" w:hAnsi="仿宋" w:eastAsia="仿宋"/>
          <w:color w:val="auto"/>
          <w:sz w:val="32"/>
          <w:szCs w:val="32"/>
        </w:rPr>
        <w:t>22年一般公共预算财政拨款支出</w:t>
      </w:r>
      <w:r>
        <w:rPr>
          <w:rFonts w:hint="eastAsia" w:ascii="仿宋" w:hAnsi="仿宋" w:eastAsia="仿宋"/>
          <w:color w:val="auto"/>
          <w:sz w:val="32"/>
          <w:szCs w:val="32"/>
          <w:lang w:val="en-US" w:eastAsia="zh-CN"/>
        </w:rPr>
        <w:t>275.03</w:t>
      </w:r>
      <w:r>
        <w:rPr>
          <w:rFonts w:hint="eastAsia" w:ascii="仿宋" w:hAnsi="仿宋" w:eastAsia="仿宋"/>
          <w:color w:val="auto"/>
          <w:sz w:val="32"/>
          <w:szCs w:val="32"/>
        </w:rPr>
        <w:t>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教育支出</w:t>
      </w: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类</w:t>
      </w:r>
      <w:r>
        <w:rPr>
          <w:rFonts w:hint="eastAsia" w:ascii="仿宋" w:hAnsi="仿宋" w:eastAsia="仿宋"/>
          <w:b/>
          <w:color w:val="auto"/>
          <w:sz w:val="32"/>
          <w:szCs w:val="32"/>
          <w:lang w:eastAsia="zh-CN"/>
        </w:rPr>
        <w:t>）</w:t>
      </w:r>
      <w:r>
        <w:rPr>
          <w:rFonts w:hint="eastAsia" w:ascii="仿宋" w:hAnsi="仿宋" w:eastAsia="仿宋"/>
          <w:b/>
          <w:color w:val="auto"/>
          <w:sz w:val="32"/>
          <w:szCs w:val="32"/>
          <w:lang w:val="en-US" w:eastAsia="zh-CN"/>
        </w:rPr>
        <w:t>普通教育（款）：</w:t>
      </w:r>
      <w:r>
        <w:rPr>
          <w:rFonts w:hint="eastAsia" w:ascii="仿宋" w:hAnsi="仿宋" w:eastAsia="仿宋"/>
          <w:b w:val="0"/>
          <w:bCs/>
          <w:color w:val="auto"/>
          <w:sz w:val="32"/>
          <w:szCs w:val="32"/>
          <w:lang w:val="en-US" w:eastAsia="zh-CN"/>
        </w:rPr>
        <w:t>支出</w:t>
      </w:r>
      <w:r>
        <w:rPr>
          <w:rFonts w:hint="eastAsia" w:ascii="仿宋" w:hAnsi="仿宋" w:eastAsia="仿宋"/>
          <w:color w:val="auto"/>
          <w:sz w:val="32"/>
          <w:szCs w:val="32"/>
          <w:lang w:val="en-US" w:eastAsia="zh-CN"/>
        </w:rPr>
        <w:t>232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84.35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社会保障和就业（类）</w:t>
      </w:r>
      <w:r>
        <w:rPr>
          <w:rFonts w:hint="eastAsia" w:ascii="仿宋" w:hAnsi="仿宋" w:eastAsia="仿宋"/>
          <w:b/>
          <w:bCs/>
          <w:color w:val="auto"/>
          <w:sz w:val="32"/>
          <w:szCs w:val="32"/>
          <w:lang w:eastAsia="zh-CN"/>
        </w:rPr>
        <w:t>：</w:t>
      </w:r>
      <w:r>
        <w:rPr>
          <w:rFonts w:hint="eastAsia" w:ascii="仿宋" w:hAnsi="仿宋" w:eastAsia="仿宋"/>
          <w:b w:val="0"/>
          <w:bCs w:val="0"/>
          <w:color w:val="auto"/>
          <w:sz w:val="32"/>
          <w:szCs w:val="32"/>
        </w:rPr>
        <w:t>支出</w:t>
      </w:r>
      <w:r>
        <w:rPr>
          <w:rFonts w:hint="eastAsia" w:ascii="仿宋" w:hAnsi="仿宋" w:eastAsia="仿宋"/>
          <w:color w:val="auto"/>
          <w:sz w:val="32"/>
          <w:szCs w:val="32"/>
          <w:lang w:val="en-US" w:eastAsia="zh-CN"/>
        </w:rPr>
        <w:t>19.12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6.95</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卫生健康支出（类）</w:t>
      </w:r>
      <w:r>
        <w:rPr>
          <w:rFonts w:hint="eastAsia" w:ascii="仿宋" w:hAnsi="仿宋" w:eastAsia="仿宋"/>
          <w:b/>
          <w:bCs/>
          <w:color w:val="auto"/>
          <w:sz w:val="32"/>
          <w:szCs w:val="32"/>
          <w:lang w:eastAsia="zh-CN"/>
        </w:rPr>
        <w:t>：</w:t>
      </w:r>
      <w:r>
        <w:rPr>
          <w:rFonts w:hint="eastAsia" w:ascii="仿宋" w:hAnsi="仿宋" w:eastAsia="仿宋"/>
          <w:b w:val="0"/>
          <w:bCs w:val="0"/>
          <w:color w:val="auto"/>
          <w:sz w:val="32"/>
          <w:szCs w:val="32"/>
        </w:rPr>
        <w:t>支出</w:t>
      </w:r>
      <w:r>
        <w:rPr>
          <w:rFonts w:hint="eastAsia" w:ascii="仿宋" w:hAnsi="仿宋" w:eastAsia="仿宋"/>
          <w:color w:val="auto"/>
          <w:sz w:val="32"/>
          <w:szCs w:val="32"/>
          <w:lang w:val="en-US" w:eastAsia="zh-CN"/>
        </w:rPr>
        <w:t>9.56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3.48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住房保障支出（类）</w:t>
      </w:r>
      <w:r>
        <w:rPr>
          <w:rFonts w:hint="eastAsia" w:ascii="仿宋" w:hAnsi="仿宋" w:eastAsia="仿宋"/>
          <w:b/>
          <w:bCs/>
          <w:color w:val="auto"/>
          <w:sz w:val="32"/>
          <w:szCs w:val="32"/>
          <w:lang w:eastAsia="zh-CN"/>
        </w:rPr>
        <w:t>：</w:t>
      </w:r>
      <w:r>
        <w:rPr>
          <w:rFonts w:hint="eastAsia" w:ascii="仿宋" w:hAnsi="仿宋" w:eastAsia="仿宋"/>
          <w:b w:val="0"/>
          <w:bCs w:val="0"/>
          <w:color w:val="auto"/>
          <w:sz w:val="32"/>
          <w:szCs w:val="32"/>
        </w:rPr>
        <w:t>支出</w:t>
      </w:r>
      <w:r>
        <w:rPr>
          <w:rFonts w:hint="eastAsia" w:ascii="仿宋" w:hAnsi="仿宋" w:eastAsia="仿宋"/>
          <w:color w:val="auto"/>
          <w:sz w:val="32"/>
          <w:szCs w:val="32"/>
          <w:lang w:val="en-US" w:eastAsia="zh-CN"/>
        </w:rPr>
        <w:t>14.34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5.22</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jc w:val="center"/>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2"/>
        <w:jc w:val="center"/>
        <w:rPr>
          <w:rFonts w:hint="eastAsia"/>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pP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444"/>
      <w:bookmarkStart w:id="36" w:name="_Toc15377213"/>
      <w:bookmarkStart w:id="37"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275.03</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1</w:t>
      </w:r>
      <w:r>
        <w:rPr>
          <w:rStyle w:val="14"/>
          <w:rFonts w:ascii="仿宋" w:hAnsi="仿宋" w:eastAsia="仿宋"/>
          <w:bCs/>
          <w:sz w:val="32"/>
          <w:szCs w:val="32"/>
        </w:rPr>
        <w:t>.</w:t>
      </w:r>
      <w:r>
        <w:rPr>
          <w:rStyle w:val="14"/>
          <w:rFonts w:hint="eastAsia" w:ascii="仿宋" w:hAnsi="仿宋" w:eastAsia="仿宋"/>
          <w:bCs/>
          <w:sz w:val="32"/>
          <w:szCs w:val="32"/>
        </w:rPr>
        <w:t>教育支出（类）普通教育（款）学前教育（项）：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14.59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2</w:t>
      </w:r>
      <w:r>
        <w:rPr>
          <w:rStyle w:val="14"/>
          <w:rFonts w:ascii="仿宋" w:hAnsi="仿宋" w:eastAsia="仿宋"/>
          <w:bCs/>
          <w:sz w:val="32"/>
          <w:szCs w:val="32"/>
        </w:rPr>
        <w:t>.</w:t>
      </w:r>
      <w:r>
        <w:rPr>
          <w:rStyle w:val="14"/>
          <w:rFonts w:hint="eastAsia" w:ascii="仿宋" w:hAnsi="仿宋" w:eastAsia="仿宋"/>
          <w:bCs/>
          <w:sz w:val="32"/>
          <w:szCs w:val="32"/>
        </w:rPr>
        <w:t>教育支出（类）普通教育（款）小学教育（项）：</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217.42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3</w:t>
      </w:r>
      <w:r>
        <w:rPr>
          <w:rStyle w:val="14"/>
          <w:rFonts w:ascii="仿宋" w:hAnsi="仿宋" w:eastAsia="仿宋"/>
          <w:bCs/>
          <w:sz w:val="32"/>
          <w:szCs w:val="32"/>
        </w:rPr>
        <w:t>.</w:t>
      </w:r>
      <w:r>
        <w:rPr>
          <w:rStyle w:val="14"/>
          <w:rFonts w:hint="eastAsia" w:ascii="仿宋" w:hAnsi="仿宋" w:eastAsia="仿宋"/>
          <w:bCs/>
          <w:sz w:val="32"/>
          <w:szCs w:val="32"/>
        </w:rPr>
        <w:t>社会保障和就业</w:t>
      </w:r>
      <w:r>
        <w:rPr>
          <w:rStyle w:val="14"/>
          <w:rFonts w:hint="eastAsia" w:ascii="仿宋" w:hAnsi="仿宋" w:eastAsia="仿宋"/>
          <w:bCs/>
          <w:sz w:val="32"/>
          <w:szCs w:val="32"/>
          <w:lang w:val="en-US" w:eastAsia="zh-CN"/>
        </w:rPr>
        <w:t>支出</w:t>
      </w:r>
      <w:r>
        <w:rPr>
          <w:rStyle w:val="14"/>
          <w:rFonts w:hint="eastAsia" w:ascii="仿宋" w:hAnsi="仿宋" w:eastAsia="仿宋"/>
          <w:bCs/>
          <w:sz w:val="32"/>
          <w:szCs w:val="32"/>
        </w:rPr>
        <w:t>（类）行政事业单位养老保险支出（款）机关事业单位基本养老保险缴费支出（项）</w:t>
      </w:r>
      <w:r>
        <w:rPr>
          <w:rStyle w:val="14"/>
          <w:rFonts w:hint="eastAsia" w:ascii="仿宋" w:hAnsi="仿宋" w:eastAsia="仿宋"/>
          <w:bCs/>
          <w:sz w:val="32"/>
          <w:szCs w:val="32"/>
          <w:lang w:eastAsia="zh-CN"/>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19.12</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4</w:t>
      </w:r>
      <w:r>
        <w:rPr>
          <w:rStyle w:val="14"/>
          <w:rFonts w:ascii="仿宋" w:hAnsi="仿宋" w:eastAsia="仿宋"/>
          <w:bCs/>
          <w:sz w:val="32"/>
          <w:szCs w:val="32"/>
        </w:rPr>
        <w:t>.</w:t>
      </w:r>
      <w:r>
        <w:rPr>
          <w:rStyle w:val="14"/>
          <w:rFonts w:hint="eastAsia" w:ascii="仿宋" w:hAnsi="仿宋" w:eastAsia="仿宋"/>
          <w:bCs/>
          <w:sz w:val="32"/>
          <w:szCs w:val="32"/>
        </w:rPr>
        <w:t>卫生健康支出（类）行政事业单位医疗（款）事业单位医疗（项）</w:t>
      </w:r>
      <w:r>
        <w:rPr>
          <w:rStyle w:val="14"/>
          <w:rFonts w:hint="eastAsia" w:ascii="仿宋" w:hAnsi="仿宋" w:eastAsia="仿宋"/>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9.56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6.</w:t>
      </w:r>
      <w:r>
        <w:rPr>
          <w:rFonts w:hint="eastAsia" w:ascii="仿宋" w:hAnsi="仿宋" w:eastAsia="仿宋"/>
          <w:b/>
          <w:bCs/>
          <w:sz w:val="32"/>
          <w:szCs w:val="32"/>
        </w:rPr>
        <w:t>.住房保障支出（类）住房改革支出（款）住房公积金（项）</w:t>
      </w:r>
      <w:r>
        <w:rPr>
          <w:rFonts w:hint="eastAsia" w:ascii="仿宋" w:hAnsi="仿宋" w:eastAsia="仿宋"/>
          <w:b/>
          <w:bCs/>
          <w:sz w:val="32"/>
          <w:szCs w:val="32"/>
          <w:lang w:eastAsia="zh-CN"/>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14.34</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600" w:lineRule="exact"/>
        <w:ind w:firstLine="640"/>
        <w:outlineLvl w:val="1"/>
        <w:rPr>
          <w:rStyle w:val="25"/>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275.02</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254.59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20.43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0" w:name="_Toc15396609"/>
      <w:bookmarkStart w:id="41" w:name="_Toc15377215"/>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color w:val="auto"/>
          <w:sz w:val="32"/>
          <w:szCs w:val="32"/>
        </w:rPr>
      </w:pPr>
      <w:bookmarkStart w:id="42" w:name="_Toc15377216"/>
      <w:r>
        <w:rPr>
          <w:rFonts w:hint="eastAsia" w:ascii="仿宋" w:hAnsi="仿宋" w:eastAsia="仿宋"/>
          <w:b/>
          <w:color w:val="auto"/>
          <w:sz w:val="32"/>
          <w:szCs w:val="32"/>
        </w:rPr>
        <w:t>（一）“三公”经费财政拨款支出决算总体情况说明</w:t>
      </w:r>
      <w:bookmarkEnd w:id="42"/>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22年“三公”经费财政拨款支出决算为</w:t>
      </w:r>
      <w:r>
        <w:rPr>
          <w:rFonts w:hint="eastAsia" w:ascii="仿宋" w:hAnsi="仿宋" w:eastAsia="仿宋"/>
          <w:color w:val="auto"/>
          <w:sz w:val="32"/>
          <w:szCs w:val="32"/>
          <w:lang w:val="en-US" w:eastAsia="zh-CN"/>
        </w:rPr>
        <w:t>0.38</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jc w:val="center"/>
      </w:pPr>
      <w:r>
        <w:drawing>
          <wp:inline distT="0" distB="0" distL="114300" distR="114300">
            <wp:extent cx="4847590" cy="2134870"/>
            <wp:effectExtent l="4445" t="5080" r="5715" b="1270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仿宋_GB2312" w:eastAsia="仿宋_GB2312"/>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 xml:space="preserve">万元，主要用于开展业务活动开支的用餐费)。国内公务接待 </w:t>
      </w:r>
      <w:r>
        <w:rPr>
          <w:rFonts w:hint="eastAsia" w:ascii="仿宋_GB2312" w:eastAsia="仿宋_GB2312"/>
          <w:sz w:val="32"/>
          <w:szCs w:val="32"/>
          <w:lang w:val="en-US" w:eastAsia="zh-CN"/>
        </w:rPr>
        <w:t>4</w:t>
      </w:r>
      <w:r>
        <w:rPr>
          <w:rFonts w:hint="eastAsia" w:ascii="仿宋_GB2312" w:eastAsia="仿宋_GB2312"/>
          <w:sz w:val="32"/>
          <w:szCs w:val="32"/>
        </w:rPr>
        <w:t xml:space="preserve"> 批次，</w:t>
      </w:r>
      <w:r>
        <w:rPr>
          <w:rFonts w:hint="eastAsia" w:ascii="仿宋_GB2312" w:eastAsia="仿宋_GB2312"/>
          <w:sz w:val="32"/>
          <w:szCs w:val="32"/>
          <w:lang w:val="en-US" w:eastAsia="zh-CN"/>
        </w:rPr>
        <w:t>32</w:t>
      </w:r>
      <w:r>
        <w:rPr>
          <w:rFonts w:hint="eastAsia" w:ascii="仿宋_GB2312" w:eastAsia="仿宋_GB2312"/>
          <w:sz w:val="32"/>
          <w:szCs w:val="32"/>
        </w:rPr>
        <w:t xml:space="preserve"> 人次（不包括陪同人员），共计支出 0.</w:t>
      </w:r>
      <w:r>
        <w:rPr>
          <w:rFonts w:hint="eastAsia" w:ascii="仿宋_GB2312" w:eastAsia="仿宋_GB2312"/>
          <w:sz w:val="32"/>
          <w:szCs w:val="32"/>
          <w:lang w:val="en-US" w:eastAsia="zh-CN"/>
        </w:rPr>
        <w:t>35</w:t>
      </w:r>
      <w:r>
        <w:rPr>
          <w:rFonts w:hint="eastAsia" w:ascii="仿宋_GB2312" w:eastAsia="仿宋_GB2312"/>
          <w:sz w:val="32"/>
          <w:szCs w:val="32"/>
        </w:rPr>
        <w:t xml:space="preserve"> 万元，具体内容包括：接待退休教师 0.</w:t>
      </w:r>
      <w:r>
        <w:rPr>
          <w:rFonts w:hint="eastAsia" w:ascii="仿宋_GB2312" w:eastAsia="仿宋_GB2312"/>
          <w:sz w:val="32"/>
          <w:szCs w:val="32"/>
          <w:lang w:val="en-US" w:eastAsia="zh-CN"/>
        </w:rPr>
        <w:t>38</w:t>
      </w:r>
      <w:r>
        <w:rPr>
          <w:rFonts w:hint="eastAsia" w:ascii="仿宋_GB2312" w:eastAsia="仿宋_GB2312"/>
          <w:sz w:val="32"/>
          <w:szCs w:val="32"/>
        </w:rPr>
        <w:t xml:space="preserve"> 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25"/>
          <w:rFonts w:ascii="黑体" w:hAnsi="黑体" w:eastAsia="黑体"/>
        </w:rPr>
      </w:pPr>
      <w:bookmarkStart w:id="44" w:name="_Toc15396610"/>
      <w:bookmarkStart w:id="45" w:name="_Toc15377218"/>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8" w:name="_Toc15377221"/>
      <w:bookmarkStart w:id="49" w:name="_Toc15396612"/>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剑阁县柏垭小学校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剑阁县柏垭小学校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剑阁县柏垭小学校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hint="eastAsia" w:ascii="仿宋" w:hAnsi="仿宋" w:eastAsia="仿宋" w:cs="仿宋"/>
          <w:b/>
          <w:sz w:val="32"/>
          <w:szCs w:val="32"/>
        </w:rPr>
      </w:pPr>
      <w:r>
        <w:rPr>
          <w:rFonts w:hint="eastAsia" w:ascii="仿宋" w:hAnsi="仿宋" w:eastAsia="仿宋" w:cs="仿宋"/>
          <w:sz w:val="32"/>
          <w:szCs w:val="32"/>
        </w:rPr>
        <w:t>根据预算绩效管理要求，本单位在2022年度预算编制阶段，组织对人员类项目和运转类项目等3个项目开展了预算事前绩效评估，对3个项目编制了绩效目标，预算执行过程中，选取3个项目开展绩效监控，组织对3个项目开展绩效自评，绩效自评表详见第四部分附件。</w:t>
      </w:r>
      <w:r>
        <w:rPr>
          <w:rFonts w:hint="eastAsia" w:ascii="仿宋" w:hAnsi="仿宋" w:eastAsia="仿宋" w:cs="仿宋"/>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left="638" w:leftChars="304" w:firstLine="0" w:firstLineChars="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9.教育（类）普通教育（款）学前教育（项）：指学前教育人员工资、办公、差旅等公用经费。</w:t>
      </w:r>
    </w:p>
    <w:p>
      <w:pPr>
        <w:ind w:firstLine="640" w:firstLineChars="200"/>
        <w:rPr>
          <w:rFonts w:hint="eastAsia" w:ascii="仿宋_GB2312" w:eastAsia="仿宋_GB2312"/>
          <w:sz w:val="32"/>
          <w:szCs w:val="32"/>
        </w:rPr>
      </w:pPr>
      <w:r>
        <w:rPr>
          <w:rFonts w:hint="eastAsia" w:ascii="仿宋_GB2312" w:eastAsia="仿宋_GB2312"/>
          <w:sz w:val="32"/>
          <w:szCs w:val="32"/>
        </w:rPr>
        <w:t>10.教育（类）普通教育（款）初中教育（项）：指义务教育人员工资、办公、差旅等公用经费。</w:t>
      </w:r>
    </w:p>
    <w:p>
      <w:pPr>
        <w:ind w:firstLine="640" w:firstLineChars="200"/>
        <w:rPr>
          <w:rFonts w:hint="eastAsia" w:ascii="仿宋_GB2312" w:eastAsia="仿宋_GB2312"/>
          <w:sz w:val="32"/>
          <w:szCs w:val="32"/>
        </w:rPr>
      </w:pPr>
      <w:r>
        <w:rPr>
          <w:rFonts w:hint="eastAsia" w:ascii="仿宋_GB2312" w:eastAsia="仿宋_GB2312"/>
          <w:sz w:val="32"/>
          <w:szCs w:val="32"/>
        </w:rPr>
        <w:t>11.社会保障和就业（类）行政事业单位养老支出（款）机关事业单位基本养老保险缴费支出（项）：指缴纳本单位在职职工养老保险。</w:t>
      </w:r>
    </w:p>
    <w:p>
      <w:pPr>
        <w:ind w:firstLine="640" w:firstLineChars="200"/>
        <w:rPr>
          <w:rFonts w:hint="eastAsia" w:ascii="仿宋_GB2312" w:eastAsia="仿宋_GB2312"/>
          <w:sz w:val="32"/>
          <w:szCs w:val="32"/>
        </w:rPr>
      </w:pPr>
      <w:r>
        <w:rPr>
          <w:rFonts w:hint="eastAsia" w:ascii="仿宋_GB2312" w:eastAsia="仿宋_GB2312"/>
          <w:sz w:val="32"/>
          <w:szCs w:val="32"/>
        </w:rPr>
        <w:t>12.医疗卫生与计划生育（类）行政事业单位医疗（款）事业单位医疗（项）：指缴纳本单位在职职工基本医疗保险费。</w:t>
      </w:r>
    </w:p>
    <w:p>
      <w:pPr>
        <w:ind w:firstLine="640" w:firstLineChars="200"/>
        <w:rPr>
          <w:rFonts w:hint="eastAsia" w:ascii="仿宋_GB2312" w:eastAsia="仿宋_GB2312"/>
          <w:sz w:val="32"/>
          <w:szCs w:val="32"/>
        </w:rPr>
      </w:pPr>
      <w:r>
        <w:rPr>
          <w:rFonts w:hint="eastAsia" w:ascii="仿宋_GB2312" w:eastAsia="仿宋_GB2312"/>
          <w:sz w:val="32"/>
          <w:szCs w:val="32"/>
        </w:rPr>
        <w:t>13.住房保障（类）住房改革支出（款）住房公积金（项）：指缴纳本单位在职职工住房公积金。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ascii="黑体" w:hAnsi="黑体" w:eastAsia="黑体"/>
          <w:b w:val="0"/>
          <w:color w:val="4BACC6" w:themeColor="accent5"/>
          <w14:textFill>
            <w14:solidFill>
              <w14:schemeClr w14:val="accent5"/>
            </w14:solidFill>
          </w14:textFill>
        </w:rPr>
      </w:pPr>
      <w:bookmarkStart w:id="55" w:name="_Toc15377226"/>
      <w:r>
        <w:rPr>
          <w:rFonts w:ascii="宋体"/>
          <w:b/>
          <w:sz w:val="44"/>
          <w:szCs w:val="44"/>
        </w:rPr>
        <w:br w:type="page"/>
      </w:r>
      <w:bookmarkStart w:id="56" w:name="_Toc15396614"/>
      <w:r>
        <w:rPr>
          <w:rFonts w:hint="eastAsia" w:ascii="黑体" w:hAnsi="黑体" w:eastAsia="黑体"/>
          <w:color w:val="auto"/>
          <w:sz w:val="44"/>
          <w:szCs w:val="44"/>
        </w:rPr>
        <w:t>第</w:t>
      </w:r>
      <w:r>
        <w:rPr>
          <w:rStyle w:val="24"/>
          <w:rFonts w:hint="eastAsia" w:ascii="黑体" w:hAnsi="黑体" w:eastAsia="黑体"/>
          <w:b w:val="0"/>
          <w:color w:val="auto"/>
        </w:rPr>
        <w:t>四部分 附件</w:t>
      </w:r>
      <w:bookmarkEnd w:id="56"/>
    </w:p>
    <w:p>
      <w:pPr>
        <w:spacing w:line="572" w:lineRule="exact"/>
        <w:jc w:val="left"/>
        <w:outlineLvl w:val="0"/>
        <w:rPr>
          <w:rFonts w:ascii="仿宋_GB2312" w:hAnsi="仿宋_GB2312" w:eastAsia="仿宋_GB2312" w:cs="仿宋_GB2312"/>
          <w:color w:val="4BACC6" w:themeColor="accent5"/>
          <w:sz w:val="32"/>
          <w:szCs w:val="32"/>
          <w14:textFill>
            <w14:solidFill>
              <w14:schemeClr w14:val="accent5"/>
            </w14:solidFill>
          </w14:textFill>
        </w:rPr>
      </w:pPr>
    </w:p>
    <w:tbl>
      <w:tblPr>
        <w:tblStyle w:val="1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8"/>
        <w:gridCol w:w="892"/>
        <w:gridCol w:w="1206"/>
        <w:gridCol w:w="396"/>
        <w:gridCol w:w="814"/>
        <w:gridCol w:w="396"/>
        <w:gridCol w:w="846"/>
        <w:gridCol w:w="576"/>
        <w:gridCol w:w="39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7"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其他人员支出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40.81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优秀公务员和事业人员嘉奖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51082321Y000000029651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51082321Y000000056693-生</w:t>
            </w:r>
            <w:bookmarkStart w:id="71" w:name="_GoBack"/>
            <w:bookmarkEnd w:id="71"/>
            <w:r>
              <w:rPr>
                <w:rFonts w:ascii="宋体" w:hAnsi="宋体" w:eastAsia="宋体" w:cs="宋体"/>
                <w:i w:val="0"/>
                <w:iCs w:val="0"/>
                <w:color w:val="000000"/>
                <w:kern w:val="0"/>
                <w:sz w:val="18"/>
                <w:szCs w:val="18"/>
                <w:u w:val="none"/>
                <w:lang w:val="en-US" w:eastAsia="zh-CN" w:bidi="ar"/>
              </w:rPr>
              <w:t>均公用经费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18.68</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18.96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18.07</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95.32%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51082321Y000000087508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保教费支出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学校办学规模及远景规划，为学前幼儿提供教育服务费用。</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85.80%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85.80%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学前教育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保育教育效果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财政预算</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51082321Y000000094349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校园安全保障经费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51082321Y000000096540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食堂人员补助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62.23%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51082322R000000309796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175.36</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51082322R000000400563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其他补助支出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4.21</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73.89%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51082322T000005304589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学生营养改善计划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21.54</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78.21%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6.17</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21.54</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78.21%</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51082322T000005306045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0.49</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49.33%</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51082322T000005306788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51082322T000005306905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贫困非寄宿生生活补助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51082322T000005310767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幼儿资助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51082322T000005311002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银铃讲学计划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51082322T000005313569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已建项目运转补助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剑阁县柏垭小学校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2.35</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57.39%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37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5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000"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5"/>
          <w:rFonts w:hint="eastAsia" w:ascii="仿宋" w:hAnsi="仿宋" w:eastAsia="仿宋"/>
          <w:b w:val="0"/>
          <w:bCs w:val="0"/>
        </w:rPr>
        <w:t>入决算表</w:t>
      </w:r>
      <w:bookmarkEnd w:id="59"/>
    </w:p>
    <w:p>
      <w:pPr>
        <w:pStyle w:val="4"/>
        <w:rPr>
          <w:rFonts w:ascii="仿宋" w:hAnsi="仿宋" w:eastAsia="仿宋"/>
        </w:rPr>
      </w:pPr>
      <w:bookmarkStart w:id="60"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1"/>
    </w:p>
    <w:p>
      <w:pPr>
        <w:pStyle w:val="4"/>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5"/>
          <w:rFonts w:hint="eastAsia" w:ascii="仿宋" w:hAnsi="仿宋" w:eastAsia="仿宋"/>
          <w:b w:val="0"/>
          <w:bCs w:val="0"/>
        </w:rPr>
        <w:t>十、</w:t>
      </w:r>
      <w:bookmarkEnd w:id="67"/>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5"/>
          <w:rFonts w:hint="eastAsia" w:ascii="仿宋" w:hAnsi="仿宋" w:eastAsia="仿宋"/>
          <w:b w:val="0"/>
          <w:bCs w:val="0"/>
        </w:rPr>
        <w:t>十一、</w:t>
      </w:r>
      <w:bookmarkEnd w:id="68"/>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5"/>
          <w:rFonts w:hint="eastAsia" w:ascii="仿宋" w:hAnsi="仿宋" w:eastAsia="仿宋"/>
          <w:b w:val="0"/>
          <w:bCs w:val="0"/>
        </w:rPr>
        <w:t>十二、</w:t>
      </w:r>
      <w:bookmarkEnd w:id="69"/>
      <w:r>
        <w:rPr>
          <w:rStyle w:val="25"/>
          <w:rFonts w:hint="eastAsia" w:ascii="仿宋" w:hAnsi="仿宋" w:eastAsia="仿宋"/>
          <w:b w:val="0"/>
          <w:bCs w:val="0"/>
        </w:rPr>
        <w:t>国有资本经营预算财政拨款支出决算表</w:t>
      </w:r>
    </w:p>
    <w:p>
      <w:pPr>
        <w:pStyle w:val="4"/>
        <w:rPr>
          <w:rFonts w:eastAsia="仿宋"/>
        </w:rPr>
      </w:pPr>
      <w:bookmarkStart w:id="70" w:name="_Toc15396631"/>
      <w:r>
        <w:rPr>
          <w:rStyle w:val="25"/>
          <w:rFonts w:hint="eastAsia" w:ascii="仿宋" w:hAnsi="仿宋" w:eastAsia="仿宋"/>
          <w:b w:val="0"/>
          <w:bCs w:val="0"/>
        </w:rPr>
        <w:t>十三、</w:t>
      </w:r>
      <w:bookmarkEnd w:id="70"/>
      <w:r>
        <w:rPr>
          <w:rStyle w:val="25"/>
          <w:rFonts w:hint="eastAsia" w:ascii="仿宋" w:hAnsi="仿宋" w:eastAsia="仿宋"/>
          <w:b w:val="0"/>
          <w:bCs w:val="0"/>
        </w:rPr>
        <w:t>财政拨款“三公”经费支出决算表</w:t>
      </w:r>
    </w:p>
    <w:sectPr>
      <w:footerReference r:id="rId9" w:type="firs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ECB73B-E908-46F2-9337-7D7E671ABB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5C11CE7-8553-4C35-B94D-825615446A75}"/>
  </w:font>
  <w:font w:name="Cambria">
    <w:panose1 w:val="02040503050406030204"/>
    <w:charset w:val="00"/>
    <w:family w:val="roman"/>
    <w:pitch w:val="default"/>
    <w:sig w:usb0="E00006FF" w:usb1="420024FF" w:usb2="02000000" w:usb3="00000000" w:csb0="2000019F" w:csb1="00000000"/>
    <w:embedRegular r:id="rId3" w:fontKey="{55AA174F-DDD1-48E1-8A30-1F3BC5EBAEBD}"/>
  </w:font>
  <w:font w:name="仿宋_GB2312">
    <w:altName w:val="仿宋"/>
    <w:panose1 w:val="00000000000000000000"/>
    <w:charset w:val="86"/>
    <w:family w:val="modern"/>
    <w:pitch w:val="default"/>
    <w:sig w:usb0="00000000" w:usb1="00000000" w:usb2="00000000" w:usb3="00000000" w:csb0="00040000" w:csb1="00000000"/>
    <w:embedRegular r:id="rId4" w:fontKey="{B16B1652-A438-4611-9415-98F0AA1CCBBF}"/>
  </w:font>
  <w:font w:name="仿宋">
    <w:panose1 w:val="02010609060101010101"/>
    <w:charset w:val="86"/>
    <w:family w:val="modern"/>
    <w:pitch w:val="default"/>
    <w:sig w:usb0="800002BF" w:usb1="38CF7CFA" w:usb2="00000016" w:usb3="00000000" w:csb0="00040001" w:csb1="00000000"/>
    <w:embedRegular r:id="rId5" w:fontKey="{6C834A76-D91B-4E6F-9613-6A1656F5DE6A}"/>
  </w:font>
  <w:font w:name="方正小标宋简体">
    <w:panose1 w:val="02000000000000000000"/>
    <w:charset w:val="86"/>
    <w:family w:val="script"/>
    <w:pitch w:val="default"/>
    <w:sig w:usb0="00000001" w:usb1="08000000" w:usb2="00000000" w:usb3="00000000" w:csb0="00040000" w:csb1="00000000"/>
    <w:embedRegular r:id="rId6" w:fontKey="{8134E4A4-06B2-4273-90FA-FA9167DFFC9F}"/>
  </w:font>
  <w:font w:name="微软雅黑">
    <w:panose1 w:val="020B0503020204020204"/>
    <w:charset w:val="86"/>
    <w:family w:val="auto"/>
    <w:pitch w:val="default"/>
    <w:sig w:usb0="80000287" w:usb1="2ACF3C50" w:usb2="00000016" w:usb3="00000000" w:csb0="0004001F" w:csb1="00000000"/>
    <w:embedRegular r:id="rId7" w:fontKey="{C19191E7-94B8-44AD-B769-453C374D3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C23"/>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81F"/>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09E2"/>
    <w:rsid w:val="00FF1E02"/>
    <w:rsid w:val="00FF30B4"/>
    <w:rsid w:val="053A62B5"/>
    <w:rsid w:val="068B7FAC"/>
    <w:rsid w:val="077E04ED"/>
    <w:rsid w:val="0A2032A3"/>
    <w:rsid w:val="0A314FFA"/>
    <w:rsid w:val="0B0A397A"/>
    <w:rsid w:val="0B25755C"/>
    <w:rsid w:val="0B5A0EA1"/>
    <w:rsid w:val="0B5F17A9"/>
    <w:rsid w:val="0B8A37D8"/>
    <w:rsid w:val="0BB6635E"/>
    <w:rsid w:val="0D8368AF"/>
    <w:rsid w:val="10C055FF"/>
    <w:rsid w:val="118107EC"/>
    <w:rsid w:val="11DD6519"/>
    <w:rsid w:val="13DE6A46"/>
    <w:rsid w:val="14AF04FB"/>
    <w:rsid w:val="16BB723D"/>
    <w:rsid w:val="18015F3F"/>
    <w:rsid w:val="19257BC7"/>
    <w:rsid w:val="1A961214"/>
    <w:rsid w:val="1AB20D2C"/>
    <w:rsid w:val="1B834860"/>
    <w:rsid w:val="1BE8440E"/>
    <w:rsid w:val="1D155CEE"/>
    <w:rsid w:val="1D872FCE"/>
    <w:rsid w:val="1F7F5EEC"/>
    <w:rsid w:val="20B30371"/>
    <w:rsid w:val="20F57F95"/>
    <w:rsid w:val="21524CD4"/>
    <w:rsid w:val="22012E4F"/>
    <w:rsid w:val="22280ABD"/>
    <w:rsid w:val="22703DC4"/>
    <w:rsid w:val="228026A7"/>
    <w:rsid w:val="23DC390D"/>
    <w:rsid w:val="240371BF"/>
    <w:rsid w:val="25711CC6"/>
    <w:rsid w:val="25C741E6"/>
    <w:rsid w:val="27842671"/>
    <w:rsid w:val="279A1481"/>
    <w:rsid w:val="29FD04D3"/>
    <w:rsid w:val="2ABE7A3E"/>
    <w:rsid w:val="2AC86999"/>
    <w:rsid w:val="2B7F799F"/>
    <w:rsid w:val="2BAC781D"/>
    <w:rsid w:val="2C0C01DE"/>
    <w:rsid w:val="2CA234A8"/>
    <w:rsid w:val="2EFA178C"/>
    <w:rsid w:val="30473F84"/>
    <w:rsid w:val="30B46D73"/>
    <w:rsid w:val="319F7F4E"/>
    <w:rsid w:val="383D272C"/>
    <w:rsid w:val="39AE70AB"/>
    <w:rsid w:val="3A7D3C03"/>
    <w:rsid w:val="3C0C0783"/>
    <w:rsid w:val="3F9F3A96"/>
    <w:rsid w:val="3FEE6A4A"/>
    <w:rsid w:val="41CE268F"/>
    <w:rsid w:val="42F426E8"/>
    <w:rsid w:val="43D122DD"/>
    <w:rsid w:val="45992FB4"/>
    <w:rsid w:val="459F0DF9"/>
    <w:rsid w:val="46BB7A02"/>
    <w:rsid w:val="48BF60AB"/>
    <w:rsid w:val="493C27E9"/>
    <w:rsid w:val="496F39ED"/>
    <w:rsid w:val="49FF41D3"/>
    <w:rsid w:val="4BE068DB"/>
    <w:rsid w:val="4BF6002B"/>
    <w:rsid w:val="4C3457E4"/>
    <w:rsid w:val="4ECE2238"/>
    <w:rsid w:val="50265091"/>
    <w:rsid w:val="51DB4B86"/>
    <w:rsid w:val="55333C3E"/>
    <w:rsid w:val="577B3909"/>
    <w:rsid w:val="57B141AA"/>
    <w:rsid w:val="5A2515ED"/>
    <w:rsid w:val="5D7F596C"/>
    <w:rsid w:val="5DD617DB"/>
    <w:rsid w:val="5E420382"/>
    <w:rsid w:val="5F2004AD"/>
    <w:rsid w:val="63741E5B"/>
    <w:rsid w:val="64CA39A1"/>
    <w:rsid w:val="68CA17F2"/>
    <w:rsid w:val="69630ADE"/>
    <w:rsid w:val="6A636EC3"/>
    <w:rsid w:val="6C4A05C8"/>
    <w:rsid w:val="6D3B1A89"/>
    <w:rsid w:val="6DCE1E97"/>
    <w:rsid w:val="71BF4EC2"/>
    <w:rsid w:val="72734D90"/>
    <w:rsid w:val="73DF1561"/>
    <w:rsid w:val="7412278C"/>
    <w:rsid w:val="78E84B6F"/>
    <w:rsid w:val="79482467"/>
    <w:rsid w:val="79E7B28D"/>
    <w:rsid w:val="7AE446F6"/>
    <w:rsid w:val="7BD40158"/>
    <w:rsid w:val="7F0834F6"/>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2022&#24180;&#20915;&#31639;&#20844;&#24320;\&#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334.56</c:v>
                </c:pt>
                <c:pt idx="1">
                  <c:v>276.03</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strCache>
            </c:strRef>
          </c:cat>
          <c:val>
            <c:numRef>
              <c:f>[决算公开插图制作示例.xlsx]图二!$C$1:$C$6</c:f>
              <c:numCache>
                <c:formatCode>0.00%</c:formatCode>
                <c:ptCount val="6"/>
                <c:pt idx="0">
                  <c:v>0.9964</c:v>
                </c:pt>
                <c:pt idx="1">
                  <c:v>0.0036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0.9964</c:v>
                </c:pt>
                <c:pt idx="1">
                  <c:v>0.0036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334.56</c:v>
                </c:pt>
                <c:pt idx="1">
                  <c:v>276.03</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330.36</c:v>
                </c:pt>
                <c:pt idx="1">
                  <c:v>275.03</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教育支出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232</c:v>
                </c:pt>
                <c:pt idx="1">
                  <c:v>19.12</c:v>
                </c:pt>
                <c:pt idx="2">
                  <c:v>9.56</c:v>
                </c:pt>
                <c:pt idx="3">
                  <c:v>14.34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0.38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1</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2023-10-26T09:26:00Z</cp:lastPrinted>
  <dcterms:modified xsi:type="dcterms:W3CDTF">2023-11-29T02:44:18Z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4B41019C9AF94C169F39941E5D3BBB2D_12</vt:lpwstr>
  </property>
</Properties>
</file>