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1" w:name="_Toc15378441"/>
      <w:bookmarkStart w:id="2" w:name="_Toc15396475"/>
      <w:bookmarkStart w:id="3" w:name="_Toc15377193"/>
      <w:bookmarkStart w:id="4" w:name="_Toc15396597"/>
      <w:bookmarkStart w:id="5" w:name="_Toc15377425"/>
      <w:r>
        <w:rPr>
          <w:rFonts w:hint="eastAsia" w:ascii="方正小标宋简体" w:hAnsi="方正小标宋简体" w:eastAsia="方正小标宋简体" w:cs="方正小标宋简体"/>
          <w:sz w:val="56"/>
          <w:szCs w:val="56"/>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eastAsia="zh-CN"/>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木马小学校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56"/>
          <w:szCs w:val="56"/>
          <w:lang w:eastAsia="zh-CN"/>
        </w:rPr>
        <w:t>公开</w:t>
      </w:r>
    </w:p>
    <w:p>
      <w:pPr>
        <w:widowControl/>
        <w:jc w:val="center"/>
        <w:rPr>
          <w:rFonts w:hint="eastAsia" w:ascii="黑体" w:hAnsi="黑体"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pStyle w:val="10"/>
        <w:jc w:val="center"/>
        <w:rPr>
          <w:rFonts w:hint="eastAsia"/>
        </w:rPr>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Pr>
        <w:pStyle w:val="10"/>
        <w:jc w:val="both"/>
        <w:rPr>
          <w:rFonts w:hint="eastAsia" w:ascii="仿宋" w:hAnsi="仿宋" w:eastAsia="仿宋" w:cs="仿宋"/>
          <w:sz w:val="32"/>
          <w:szCs w:val="32"/>
          <w:lang w:val="en-US" w:eastAsia="zh-CN"/>
        </w:rPr>
      </w:pPr>
      <w:r>
        <w:rPr>
          <w:rFonts w:hint="eastAsia" w:ascii="仿宋" w:hAnsi="仿宋" w:eastAsia="仿宋" w:cs="仿宋"/>
          <w:sz w:val="32"/>
          <w:szCs w:val="32"/>
        </w:rPr>
        <w:t>第一部分 单位概况</w:t>
      </w:r>
      <w:r>
        <w:rPr>
          <w:rFonts w:hint="eastAsia" w:ascii="微软雅黑" w:hAnsi="微软雅黑" w:eastAsia="微软雅黑" w:cs="微软雅黑"/>
          <w:sz w:val="32"/>
          <w:szCs w:val="32"/>
        </w:rPr>
        <w:t>······································································</w:t>
      </w:r>
      <w:r>
        <w:rPr>
          <w:rFonts w:hint="eastAsia" w:cs="仿宋"/>
          <w:sz w:val="32"/>
          <w:szCs w:val="32"/>
          <w:lang w:val="en-US" w:eastAsia="zh-CN"/>
        </w:rPr>
        <w:t>4</w:t>
      </w:r>
    </w:p>
    <w:p>
      <w:pPr>
        <w:pStyle w:val="11"/>
        <w:adjustRightInd w:val="0"/>
        <w:snapToGrid w:val="0"/>
        <w:spacing w:line="44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一、主要职责及重点工作</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4</w:t>
      </w:r>
    </w:p>
    <w:p>
      <w:pPr>
        <w:pStyle w:val="11"/>
        <w:adjustRightInd w:val="0"/>
        <w:snapToGrid w:val="0"/>
        <w:spacing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（一）单位职责</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4</w:t>
      </w:r>
    </w:p>
    <w:p>
      <w:pPr>
        <w:pStyle w:val="11"/>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4</w:t>
      </w:r>
    </w:p>
    <w:p>
      <w:pPr>
        <w:pStyle w:val="11"/>
        <w:adjustRightInd w:val="0"/>
        <w:snapToGrid w:val="0"/>
        <w:spacing w:line="44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5</w:t>
      </w:r>
    </w:p>
    <w:p>
      <w:pPr>
        <w:pStyle w:val="11"/>
        <w:adjustRightInd w:val="0"/>
        <w:snapToGrid w:val="0"/>
        <w:spacing w:line="440" w:lineRule="exact"/>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rPr>
        <w:t>第二部分 2022年度单位决算情况说明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6</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6</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6</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7</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8</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8</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六、一般公共预算财政拨款基本支出决算情况说明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11</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七、财政拨款“三公”经费支出决算情况说明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11</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八、政府性基金预算支出决算情况说明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13</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九、国有资本经营预算支出决算情况说明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13</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十、其他重要事项的情况说明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13</w:t>
      </w:r>
    </w:p>
    <w:p>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rPr>
        <w:t>第三部分 名词解释</w:t>
      </w:r>
      <w:r>
        <w:rPr>
          <w:rFonts w:hint="eastAsia" w:ascii="微软雅黑" w:hAnsi="微软雅黑" w:eastAsia="微软雅黑" w:cs="微软雅黑"/>
          <w:sz w:val="32"/>
          <w:szCs w:val="32"/>
        </w:rPr>
        <w:t>·····································································</w:t>
      </w:r>
      <w:r>
        <w:rPr>
          <w:rFonts w:hint="eastAsia" w:cs="仿宋"/>
          <w:sz w:val="32"/>
          <w:szCs w:val="32"/>
          <w:lang w:val="en-US" w:eastAsia="zh-CN"/>
        </w:rPr>
        <w:t>15</w:t>
      </w:r>
    </w:p>
    <w:p>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rPr>
        <w:t>第四部分 附件</w:t>
      </w:r>
      <w:r>
        <w:rPr>
          <w:rFonts w:hint="eastAsia" w:ascii="微软雅黑" w:hAnsi="微软雅黑" w:eastAsia="微软雅黑" w:cs="微软雅黑"/>
          <w:sz w:val="32"/>
          <w:szCs w:val="32"/>
        </w:rPr>
        <w:t>·············································································</w:t>
      </w:r>
      <w:r>
        <w:rPr>
          <w:rFonts w:hint="eastAsia" w:cs="仿宋"/>
          <w:sz w:val="32"/>
          <w:szCs w:val="32"/>
          <w:lang w:val="en-US" w:eastAsia="zh-CN"/>
        </w:rPr>
        <w:t>17</w:t>
      </w:r>
    </w:p>
    <w:p>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rPr>
        <w:t>第五部分 附表</w:t>
      </w:r>
      <w:r>
        <w:rPr>
          <w:rFonts w:hint="eastAsia" w:ascii="微软雅黑" w:hAnsi="微软雅黑" w:eastAsia="微软雅黑" w:cs="微软雅黑"/>
          <w:sz w:val="32"/>
          <w:szCs w:val="32"/>
        </w:rPr>
        <w:t>·············································································</w:t>
      </w:r>
      <w:r>
        <w:rPr>
          <w:rFonts w:hint="eastAsia" w:cs="仿宋"/>
          <w:sz w:val="32"/>
          <w:szCs w:val="32"/>
          <w:lang w:val="en-US" w:eastAsia="zh-CN"/>
        </w:rPr>
        <w:t>37</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sectPr>
          <w:footerReference r:id="rId7" w:type="first"/>
          <w:footerReference r:id="rId6" w:type="default"/>
          <w:pgSz w:w="11906" w:h="16838"/>
          <w:pgMar w:top="1440" w:right="1800" w:bottom="1440" w:left="1800" w:header="851" w:footer="992" w:gutter="0"/>
          <w:pgNumType w:fmt="decimal" w:start="3"/>
          <w:cols w:space="425" w:num="1"/>
          <w:titlePg/>
          <w:docGrid w:type="lines" w:linePitch="312" w:charSpace="0"/>
        </w:sectPr>
      </w:pPr>
      <w:r>
        <w:rPr>
          <w:rFonts w:hint="eastAsia" w:ascii="仿宋" w:hAnsi="仿宋" w:eastAsia="仿宋" w:cs="仿宋"/>
          <w:sz w:val="32"/>
          <w:szCs w:val="32"/>
        </w:rPr>
        <w:t>十三、财政拨款“三公”经费支出决算表</w:t>
      </w:r>
      <w:bookmarkStart w:id="12" w:name="_Toc15396599"/>
      <w:bookmarkStart w:id="13" w:name="_Toc15377196"/>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剑阁县</w:t>
      </w:r>
      <w:r>
        <w:rPr>
          <w:rFonts w:hint="eastAsia" w:ascii="仿宋" w:hAnsi="仿宋" w:eastAsia="仿宋"/>
          <w:bCs/>
          <w:color w:val="000000"/>
          <w:sz w:val="32"/>
          <w:szCs w:val="32"/>
          <w:lang w:eastAsia="zh-CN"/>
        </w:rPr>
        <w:t>木马</w:t>
      </w:r>
      <w:r>
        <w:rPr>
          <w:rFonts w:hint="eastAsia" w:ascii="仿宋" w:hAnsi="仿宋" w:eastAsia="仿宋"/>
          <w:bCs/>
          <w:color w:val="000000"/>
          <w:sz w:val="32"/>
          <w:szCs w:val="32"/>
        </w:rPr>
        <w:t>小学校属财政预算一级单位，执行事业单位会计制度，本单位现有</w:t>
      </w:r>
      <w:r>
        <w:rPr>
          <w:rFonts w:hint="eastAsia" w:ascii="仿宋" w:hAnsi="仿宋" w:eastAsia="仿宋"/>
          <w:bCs/>
          <w:color w:val="000000"/>
          <w:sz w:val="32"/>
          <w:szCs w:val="32"/>
          <w:lang w:val="en-US" w:eastAsia="zh-CN"/>
        </w:rPr>
        <w:t>17</w:t>
      </w:r>
      <w:r>
        <w:rPr>
          <w:rFonts w:hint="eastAsia" w:ascii="仿宋" w:hAnsi="仿宋" w:eastAsia="仿宋"/>
          <w:bCs/>
          <w:color w:val="000000"/>
          <w:sz w:val="32"/>
          <w:szCs w:val="32"/>
        </w:rPr>
        <w:t>个教学班，</w:t>
      </w:r>
      <w:r>
        <w:rPr>
          <w:rFonts w:hint="eastAsia" w:ascii="仿宋" w:hAnsi="仿宋" w:eastAsia="仿宋"/>
          <w:bCs/>
          <w:color w:val="000000"/>
          <w:sz w:val="32"/>
          <w:szCs w:val="32"/>
          <w:lang w:val="en-US" w:eastAsia="zh-CN"/>
        </w:rPr>
        <w:t>39</w:t>
      </w:r>
      <w:r>
        <w:rPr>
          <w:rFonts w:hint="eastAsia" w:ascii="仿宋" w:hAnsi="仿宋" w:eastAsia="仿宋"/>
          <w:bCs/>
          <w:color w:val="000000"/>
          <w:sz w:val="32"/>
          <w:szCs w:val="32"/>
        </w:rPr>
        <w:t>位教职工.其基本职能及主要工作是实施</w:t>
      </w:r>
      <w:r>
        <w:rPr>
          <w:rFonts w:hint="eastAsia" w:ascii="仿宋" w:hAnsi="仿宋" w:eastAsia="仿宋"/>
          <w:bCs/>
          <w:color w:val="000000"/>
          <w:sz w:val="32"/>
          <w:szCs w:val="32"/>
          <w:lang w:val="en-US" w:eastAsia="zh-CN"/>
        </w:rPr>
        <w:t>小学</w:t>
      </w:r>
      <w:r>
        <w:rPr>
          <w:rFonts w:hint="eastAsia" w:ascii="仿宋" w:hAnsi="仿宋" w:eastAsia="仿宋"/>
          <w:bCs/>
          <w:color w:val="000000"/>
          <w:sz w:val="32"/>
          <w:szCs w:val="32"/>
        </w:rPr>
        <w:t>义务教育，促进基础教育发展。</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22</w:t>
      </w:r>
      <w:r>
        <w:rPr>
          <w:rFonts w:hint="eastAsia" w:ascii="仿宋" w:hAnsi="仿宋" w:eastAsia="仿宋"/>
          <w:bCs/>
          <w:color w:val="000000"/>
          <w:sz w:val="32"/>
          <w:szCs w:val="32"/>
        </w:rPr>
        <w:t>年重点工作完成情况。</w:t>
      </w:r>
      <w:bookmarkEnd w:id="18"/>
      <w:bookmarkEnd w:id="19"/>
    </w:p>
    <w:p>
      <w:pPr>
        <w:autoSpaceDE w:val="0"/>
        <w:autoSpaceDN w:val="0"/>
        <w:spacing w:line="680" w:lineRule="exact"/>
        <w:ind w:left="720"/>
        <w:jc w:val="both"/>
      </w:pPr>
      <w:r>
        <w:rPr>
          <w:rFonts w:hint="eastAsia" w:ascii="仿宋" w:hAnsi="仿宋" w:eastAsia="仿宋" w:cs="仿宋"/>
          <w:sz w:val="31"/>
        </w:rPr>
        <w:t>1、坚持教书育人，服务育人，环境育人方针，加强对</w:t>
      </w:r>
    </w:p>
    <w:p>
      <w:pPr>
        <w:autoSpaceDE w:val="0"/>
        <w:autoSpaceDN w:val="0"/>
        <w:spacing w:line="600" w:lineRule="exact"/>
        <w:ind w:left="60"/>
        <w:jc w:val="both"/>
      </w:pPr>
      <w:r>
        <w:rPr>
          <w:rFonts w:hint="eastAsia" w:ascii="仿宋" w:hAnsi="仿宋" w:eastAsia="仿宋" w:cs="仿宋"/>
          <w:sz w:val="31"/>
        </w:rPr>
        <w:t>学生的思想品德教育，使学生的德智体美全面发展。</w:t>
      </w:r>
    </w:p>
    <w:p>
      <w:pPr>
        <w:autoSpaceDE w:val="0"/>
        <w:autoSpaceDN w:val="0"/>
        <w:spacing w:line="700" w:lineRule="exact"/>
        <w:ind w:left="720"/>
        <w:jc w:val="both"/>
      </w:pPr>
      <w:r>
        <w:rPr>
          <w:rFonts w:hint="eastAsia" w:ascii="仿宋" w:hAnsi="仿宋" w:eastAsia="仿宋" w:cs="仿宋"/>
          <w:color w:val="333333"/>
          <w:sz w:val="31"/>
        </w:rPr>
        <w:t>2、完善制度建立，规范后勤管理工作，大幅提升教学</w:t>
      </w:r>
    </w:p>
    <w:p>
      <w:pPr>
        <w:autoSpaceDE w:val="0"/>
        <w:autoSpaceDN w:val="0"/>
        <w:spacing w:line="600" w:lineRule="exact"/>
        <w:ind w:left="60" w:right="0"/>
        <w:jc w:val="both"/>
      </w:pPr>
      <w:r>
        <w:rPr>
          <w:rFonts w:hint="eastAsia" w:ascii="仿宋" w:hAnsi="仿宋" w:eastAsia="仿宋" w:cs="仿宋"/>
          <w:color w:val="333333"/>
          <w:sz w:val="31"/>
        </w:rPr>
        <w:t>质量</w:t>
      </w:r>
      <w:r>
        <w:rPr>
          <w:rFonts w:hint="eastAsia" w:ascii="仿宋" w:hAnsi="仿宋" w:eastAsia="仿宋" w:cs="仿宋"/>
          <w:color w:val="333333"/>
          <w:sz w:val="31"/>
          <w:lang w:eastAsia="zh-CN"/>
        </w:rPr>
        <w:t>，</w:t>
      </w:r>
      <w:r>
        <w:rPr>
          <w:rFonts w:hint="eastAsia" w:ascii="仿宋" w:hAnsi="仿宋" w:eastAsia="仿宋" w:cs="仿宋"/>
          <w:color w:val="333333"/>
          <w:sz w:val="31"/>
        </w:rPr>
        <w:t xml:space="preserve"> 顺利完成了202</w:t>
      </w:r>
      <w:r>
        <w:rPr>
          <w:rFonts w:hint="eastAsia" w:ascii="仿宋" w:hAnsi="仿宋" w:eastAsia="仿宋" w:cs="仿宋"/>
          <w:color w:val="333333"/>
          <w:sz w:val="31"/>
          <w:lang w:val="en-US" w:eastAsia="zh-CN"/>
        </w:rPr>
        <w:t>2</w:t>
      </w:r>
      <w:r>
        <w:rPr>
          <w:rFonts w:hint="eastAsia" w:ascii="仿宋" w:hAnsi="仿宋" w:eastAsia="仿宋" w:cs="仿宋"/>
          <w:color w:val="333333"/>
          <w:sz w:val="31"/>
        </w:rPr>
        <w:t>年学校各项教学目标任务，同时配合政府完成了本年度乡村振兴工作任务。</w:t>
      </w:r>
    </w:p>
    <w:p>
      <w:pPr>
        <w:autoSpaceDE w:val="0"/>
        <w:autoSpaceDN w:val="0"/>
        <w:spacing w:line="600" w:lineRule="exact"/>
        <w:ind w:left="60" w:right="0" w:firstLine="620" w:firstLineChars="200"/>
        <w:jc w:val="both"/>
        <w:rPr>
          <w:rFonts w:hint="eastAsia" w:ascii="仿宋" w:hAnsi="仿宋" w:eastAsia="仿宋" w:cs="仿宋"/>
          <w:color w:val="333333"/>
          <w:sz w:val="31"/>
        </w:rPr>
      </w:pPr>
      <w:r>
        <w:rPr>
          <w:rFonts w:hint="eastAsia" w:ascii="仿宋" w:hAnsi="仿宋" w:eastAsia="仿宋" w:cs="仿宋"/>
          <w:color w:val="333333"/>
          <w:sz w:val="31"/>
        </w:rPr>
        <w:t>3、加强了学校的安全工作，认真学习上级各项法规</w:t>
      </w:r>
      <w:r>
        <w:rPr>
          <w:rFonts w:hint="eastAsia" w:ascii="仿宋" w:hAnsi="仿宋" w:eastAsia="仿宋" w:cs="仿宋"/>
          <w:color w:val="333333"/>
          <w:sz w:val="31"/>
          <w:lang w:eastAsia="zh-CN"/>
        </w:rPr>
        <w:t>政策</w:t>
      </w:r>
    </w:p>
    <w:p>
      <w:pPr>
        <w:autoSpaceDE w:val="0"/>
        <w:autoSpaceDN w:val="0"/>
        <w:spacing w:line="600" w:lineRule="exact"/>
        <w:ind w:left="60" w:right="0"/>
        <w:jc w:val="both"/>
        <w:rPr>
          <w:rFonts w:hint="eastAsia" w:ascii="仿宋" w:hAnsi="仿宋" w:eastAsia="仿宋" w:cs="仿宋"/>
          <w:sz w:val="31"/>
        </w:rPr>
      </w:pPr>
      <w:r>
        <w:rPr>
          <w:rFonts w:hint="eastAsia" w:ascii="仿宋" w:hAnsi="仿宋" w:eastAsia="仿宋" w:cs="仿宋"/>
          <w:color w:val="333333"/>
          <w:sz w:val="31"/>
        </w:rPr>
        <w:t>策，落实各级安全工作会议精神，学校未出现任何重、特大事故。建立健全学校安全工作机制和工作网络，层层落实学校安全责任，确保责任到岗，明确到人，落实到位。我校加强对学生的安全教育和监管力度，认真宣传安全方面的法律法规，采取各种形式对学生进行安全</w:t>
      </w:r>
      <w:r>
        <w:rPr>
          <w:rFonts w:hint="eastAsia" w:ascii="仿宋" w:hAnsi="仿宋" w:eastAsia="仿宋" w:cs="仿宋"/>
          <w:sz w:val="31"/>
        </w:rPr>
        <w:t>教育，发挥课堂主阵地的作用，开设安全教育课、一周一主题的生本德育课。加大对学校安全隐患的排查和整改力度，消除安全隐患，确保师生安全。</w:t>
      </w:r>
    </w:p>
    <w:p>
      <w:pPr>
        <w:autoSpaceDE w:val="0"/>
        <w:autoSpaceDN w:val="0"/>
        <w:spacing w:line="600" w:lineRule="exact"/>
        <w:ind w:left="60" w:right="0" w:firstLine="620" w:firstLineChars="200"/>
        <w:jc w:val="both"/>
        <w:rPr>
          <w:rFonts w:hint="eastAsia" w:ascii="仿宋" w:hAnsi="仿宋" w:eastAsia="仿宋" w:cs="仿宋"/>
          <w:color w:val="333333"/>
          <w:sz w:val="31"/>
        </w:rPr>
      </w:pPr>
      <w:r>
        <w:rPr>
          <w:rFonts w:hint="eastAsia" w:ascii="仿宋" w:hAnsi="仿宋" w:eastAsia="仿宋" w:cs="仿宋"/>
          <w:color w:val="333333"/>
          <w:sz w:val="31"/>
        </w:rPr>
        <w:t>4、财务收支情况 本年度学校经费全部由财政拨款，也</w:t>
      </w:r>
    </w:p>
    <w:p>
      <w:pPr>
        <w:autoSpaceDE w:val="0"/>
        <w:autoSpaceDN w:val="0"/>
        <w:spacing w:line="600" w:lineRule="exact"/>
        <w:ind w:left="60" w:right="0"/>
        <w:jc w:val="both"/>
        <w:rPr>
          <w:rFonts w:hint="eastAsia" w:ascii="仿宋" w:hAnsi="仿宋" w:eastAsia="仿宋" w:cs="仿宋"/>
          <w:color w:val="333333"/>
          <w:sz w:val="31"/>
        </w:rPr>
      </w:pPr>
      <w:r>
        <w:rPr>
          <w:rFonts w:hint="eastAsia" w:ascii="仿宋" w:hAnsi="仿宋" w:eastAsia="仿宋" w:cs="仿宋"/>
          <w:color w:val="333333"/>
          <w:sz w:val="31"/>
        </w:rPr>
        <w:t>各执行上级收支两条线财务制度，按年初预算进行开支 。加强财会管理，做好财务工作。财会人员严格执行国家的财政法规，认真履行《会计人员职责》，本着对领导负责、对自己负责的精神，做到了</w:t>
      </w:r>
      <w:r>
        <w:rPr>
          <w:rFonts w:hint="eastAsia" w:ascii="仿宋" w:hAnsi="仿宋" w:eastAsia="仿宋" w:cs="仿宋"/>
          <w:color w:val="333333"/>
          <w:sz w:val="31"/>
          <w:lang w:eastAsia="zh-CN"/>
        </w:rPr>
        <w:t>账目</w:t>
      </w:r>
      <w:r>
        <w:rPr>
          <w:rFonts w:hint="eastAsia" w:ascii="仿宋" w:hAnsi="仿宋" w:eastAsia="仿宋" w:cs="仿宋"/>
          <w:color w:val="333333"/>
          <w:sz w:val="31"/>
        </w:rPr>
        <w:t>清楚相符，日清月结。做到了花钱有批示，</w:t>
      </w:r>
      <w:r>
        <w:rPr>
          <w:rFonts w:hint="eastAsia" w:ascii="仿宋" w:hAnsi="仿宋" w:eastAsia="仿宋" w:cs="仿宋"/>
          <w:color w:val="333333"/>
          <w:sz w:val="31"/>
          <w:lang w:eastAsia="zh-CN"/>
        </w:rPr>
        <w:t>记账</w:t>
      </w:r>
      <w:r>
        <w:rPr>
          <w:rFonts w:hint="eastAsia" w:ascii="仿宋" w:hAnsi="仿宋" w:eastAsia="仿宋" w:cs="仿宋"/>
          <w:color w:val="333333"/>
          <w:sz w:val="31"/>
        </w:rPr>
        <w:t>有凭证。在收费方面严格执行上级规定的收费标准，杜绝乱收费现象。</w:t>
      </w:r>
    </w:p>
    <w:p>
      <w:pPr>
        <w:autoSpaceDE w:val="0"/>
        <w:autoSpaceDN w:val="0"/>
        <w:spacing w:line="680" w:lineRule="exact"/>
        <w:ind w:left="720"/>
        <w:jc w:val="both"/>
        <w:rPr>
          <w:rFonts w:hint="eastAsia" w:ascii="仿宋" w:hAnsi="仿宋" w:eastAsia="仿宋" w:cs="仿宋"/>
          <w:sz w:val="31"/>
        </w:rPr>
      </w:pPr>
    </w:p>
    <w:p>
      <w:pPr>
        <w:pStyle w:val="2"/>
        <w:adjustRightInd w:val="0"/>
        <w:snapToGrid w:val="0"/>
        <w:spacing w:before="93" w:line="600" w:lineRule="exact"/>
        <w:outlineLvl w:val="2"/>
        <w:rPr>
          <w:rFonts w:hint="eastAsia" w:ascii="黑体" w:hAnsi="黑体" w:eastAsia="黑体"/>
          <w:b w:val="0"/>
        </w:rPr>
      </w:pPr>
      <w:r>
        <w:rPr>
          <w:rFonts w:hint="eastAsia" w:ascii="黑体" w:hAnsi="黑体" w:eastAsia="黑体"/>
          <w:b w:val="0"/>
        </w:rPr>
        <w:t>二、机构设置</w:t>
      </w:r>
    </w:p>
    <w:p>
      <w:pPr>
        <w:pStyle w:val="2"/>
        <w:adjustRightInd w:val="0"/>
        <w:snapToGrid w:val="0"/>
        <w:spacing w:before="93" w:line="600" w:lineRule="exact"/>
        <w:ind w:firstLine="640" w:firstLineChars="200"/>
        <w:outlineLvl w:val="2"/>
        <w:rPr>
          <w:rFonts w:hint="eastAsia" w:ascii="黑体" w:hAnsi="黑体" w:eastAsia="黑体"/>
          <w:b w:val="0"/>
        </w:rPr>
      </w:pPr>
      <w:r>
        <w:rPr>
          <w:rFonts w:hint="eastAsia" w:ascii="仿宋" w:hAnsi="仿宋" w:eastAsia="仿宋"/>
          <w:sz w:val="32"/>
          <w:szCs w:val="32"/>
          <w:lang w:val="en-US" w:eastAsia="zh-CN"/>
        </w:rPr>
        <w:t>本单位下属二级决算单位0个，其中行政单位0个，参照公务员法管理的事业单位0个，其他事业单位0个。</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20" w:name="_Toc15396602"/>
      <w:bookmarkStart w:id="21"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619.93</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140.49</w:t>
      </w:r>
      <w:r>
        <w:rPr>
          <w:rFonts w:hint="eastAsia" w:ascii="仿宋" w:hAnsi="仿宋" w:eastAsia="仿宋"/>
          <w:sz w:val="32"/>
          <w:szCs w:val="32"/>
        </w:rPr>
        <w:t>万元，下降</w:t>
      </w:r>
      <w:r>
        <w:rPr>
          <w:rFonts w:hint="eastAsia" w:ascii="仿宋" w:hAnsi="仿宋" w:eastAsia="仿宋"/>
          <w:sz w:val="32"/>
          <w:szCs w:val="32"/>
          <w:lang w:val="en-US" w:eastAsia="zh-CN"/>
        </w:rPr>
        <w:t>22.66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学生减少，人员变动</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619.93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618.93</w:t>
      </w:r>
      <w:r>
        <w:rPr>
          <w:rFonts w:hint="eastAsia" w:ascii="仿宋" w:hAnsi="仿宋" w:eastAsia="仿宋"/>
          <w:sz w:val="32"/>
          <w:szCs w:val="32"/>
        </w:rPr>
        <w:t>万元，占</w:t>
      </w:r>
      <w:r>
        <w:rPr>
          <w:rFonts w:hint="eastAsia" w:ascii="仿宋" w:hAnsi="仿宋" w:eastAsia="仿宋"/>
          <w:sz w:val="32"/>
          <w:szCs w:val="32"/>
          <w:lang w:val="en-US" w:eastAsia="zh-CN"/>
        </w:rPr>
        <w:t>99.86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color w:val="auto"/>
        </w:rPr>
      </w:pPr>
      <w:bookmarkStart w:id="26" w:name="_Toc15377207"/>
      <w:bookmarkStart w:id="27" w:name="_Toc15396605"/>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26"/>
      <w:bookmarkEnd w:id="27"/>
    </w:p>
    <w:p>
      <w:pPr>
        <w:spacing w:line="600" w:lineRule="exact"/>
        <w:ind w:firstLine="640" w:firstLineChars="200"/>
        <w:outlineLvl w:val="1"/>
        <w:rPr>
          <w:rFonts w:ascii="仿宋" w:hAnsi="仿宋" w:eastAsia="仿宋"/>
          <w:b/>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22年本年支出合计</w:t>
      </w:r>
      <w:r>
        <w:rPr>
          <w:rFonts w:hint="eastAsia" w:ascii="仿宋" w:hAnsi="仿宋" w:eastAsia="仿宋"/>
          <w:color w:val="auto"/>
          <w:sz w:val="32"/>
          <w:szCs w:val="32"/>
          <w:lang w:val="en-US" w:eastAsia="zh-CN"/>
        </w:rPr>
        <w:t>619.93</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616.93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99.52</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0.48</w:t>
      </w:r>
      <w:r>
        <w:rPr>
          <w:rFonts w:ascii="仿宋" w:hAnsi="仿宋" w:eastAsia="仿宋"/>
          <w:color w:val="auto"/>
          <w:sz w:val="32"/>
          <w:szCs w:val="32"/>
        </w:rPr>
        <w:t>%</w:t>
      </w:r>
      <w:r>
        <w:rPr>
          <w:rFonts w:hint="eastAsia" w:ascii="仿宋" w:hAnsi="仿宋" w:eastAsia="仿宋"/>
          <w:color w:val="auto"/>
          <w:sz w:val="32"/>
          <w:szCs w:val="32"/>
        </w:rPr>
        <w:t>；上缴上级支出 0 万元，占 0%；经营支出0 万元，占0%；对附属单位补助支出 0 万元，占0%。</w:t>
      </w:r>
    </w:p>
    <w:p>
      <w:pPr>
        <w:spacing w:line="600" w:lineRule="exact"/>
        <w:jc w:val="center"/>
        <w:rPr>
          <w:rFonts w:hint="eastAsia" w:ascii="仿宋" w:hAnsi="仿宋" w:eastAsia="仿宋"/>
          <w:color w:val="0000FF"/>
          <w:sz w:val="32"/>
          <w:szCs w:val="32"/>
        </w:rPr>
      </w:pPr>
      <w:r>
        <w:rPr>
          <w:rFonts w:hint="eastAsia" w:ascii="仿宋" w:hAnsi="仿宋" w:eastAsia="仿宋"/>
          <w:color w:val="auto"/>
          <w:sz w:val="32"/>
          <w:szCs w:val="32"/>
        </w:rPr>
        <w:t>（图3：支出决算结构图）（饼状图）</w:t>
      </w:r>
    </w:p>
    <w:p>
      <w:pPr>
        <w:pStyle w:val="2"/>
        <w:jc w:val="cente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619.93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140.49</w:t>
      </w:r>
      <w:r>
        <w:rPr>
          <w:rFonts w:hint="eastAsia" w:ascii="仿宋" w:hAnsi="仿宋" w:eastAsia="仿宋"/>
          <w:sz w:val="32"/>
          <w:szCs w:val="32"/>
        </w:rPr>
        <w:t>万元，下降</w:t>
      </w:r>
      <w:r>
        <w:rPr>
          <w:rFonts w:hint="eastAsia" w:ascii="仿宋" w:hAnsi="仿宋" w:eastAsia="仿宋"/>
          <w:sz w:val="32"/>
          <w:szCs w:val="32"/>
          <w:lang w:val="en-US" w:eastAsia="zh-CN"/>
        </w:rPr>
        <w:t>22.66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学生减少，人员变动</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jc w:val="cente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618.93</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137.19</w:t>
      </w:r>
      <w:r>
        <w:rPr>
          <w:rFonts w:hint="eastAsia" w:ascii="仿宋" w:hAnsi="仿宋" w:eastAsia="仿宋"/>
          <w:sz w:val="32"/>
          <w:szCs w:val="32"/>
        </w:rPr>
        <w:t>万元，下降</w:t>
      </w:r>
      <w:r>
        <w:rPr>
          <w:rFonts w:hint="eastAsia" w:ascii="仿宋" w:hAnsi="仿宋" w:eastAsia="仿宋"/>
          <w:sz w:val="32"/>
          <w:szCs w:val="32"/>
          <w:lang w:val="en-US" w:eastAsia="zh-CN"/>
        </w:rPr>
        <w:t>22.16</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lang w:val="en-US" w:eastAsia="zh-CN"/>
        </w:rPr>
        <w:t>学生减少，人员变动</w:t>
      </w:r>
      <w:r>
        <w:rPr>
          <w:rFonts w:hint="eastAsia" w:ascii="仿宋" w:hAnsi="仿宋" w:eastAsia="仿宋"/>
          <w:sz w:val="32"/>
          <w:szCs w:val="32"/>
        </w:rPr>
        <w:t>。</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2"/>
        <w:jc w:val="center"/>
      </w:pPr>
      <w:r>
        <w:drawing>
          <wp:inline distT="0" distB="0" distL="114300" distR="114300">
            <wp:extent cx="4248785" cy="2087245"/>
            <wp:effectExtent l="5080" t="5080" r="13335" b="2222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618.93</w:t>
      </w:r>
      <w:r>
        <w:rPr>
          <w:rFonts w:hint="eastAsia" w:ascii="仿宋" w:hAnsi="仿宋" w:eastAsia="仿宋"/>
          <w:color w:val="auto"/>
          <w:sz w:val="32"/>
          <w:szCs w:val="32"/>
        </w:rPr>
        <w:t>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教育支出</w:t>
      </w: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类</w:t>
      </w: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普通教育（款）：</w:t>
      </w:r>
      <w:r>
        <w:rPr>
          <w:rFonts w:hint="eastAsia" w:ascii="仿宋" w:hAnsi="仿宋" w:eastAsia="仿宋"/>
          <w:b w:val="0"/>
          <w:bCs/>
          <w:color w:val="auto"/>
          <w:sz w:val="32"/>
          <w:szCs w:val="32"/>
          <w:lang w:val="en-US" w:eastAsia="zh-CN"/>
        </w:rPr>
        <w:t>支出</w:t>
      </w:r>
      <w:r>
        <w:rPr>
          <w:rFonts w:hint="eastAsia" w:ascii="仿宋" w:hAnsi="仿宋" w:eastAsia="仿宋"/>
          <w:color w:val="auto"/>
          <w:sz w:val="32"/>
          <w:szCs w:val="32"/>
          <w:lang w:val="en-US" w:eastAsia="zh-CN"/>
        </w:rPr>
        <w:t>520.37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84.08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社会保障和就业（类）</w:t>
      </w:r>
      <w:r>
        <w:rPr>
          <w:rFonts w:hint="eastAsia" w:ascii="仿宋" w:hAnsi="仿宋" w:eastAsia="仿宋"/>
          <w:b/>
          <w:bCs/>
          <w:color w:val="auto"/>
          <w:sz w:val="32"/>
          <w:szCs w:val="32"/>
          <w:lang w:eastAsia="zh-CN"/>
        </w:rPr>
        <w:t>：</w:t>
      </w:r>
      <w:r>
        <w:rPr>
          <w:rFonts w:hint="eastAsia" w:ascii="仿宋" w:hAnsi="仿宋" w:eastAsia="仿宋"/>
          <w:b w:val="0"/>
          <w:bCs w:val="0"/>
          <w:color w:val="auto"/>
          <w:sz w:val="32"/>
          <w:szCs w:val="32"/>
        </w:rPr>
        <w:t>支出</w:t>
      </w:r>
      <w:r>
        <w:rPr>
          <w:rFonts w:hint="eastAsia" w:ascii="仿宋" w:hAnsi="仿宋" w:eastAsia="仿宋"/>
          <w:color w:val="auto"/>
          <w:sz w:val="32"/>
          <w:szCs w:val="32"/>
          <w:lang w:val="en-US" w:eastAsia="zh-CN"/>
        </w:rPr>
        <w:t>43.08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6.96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卫生健康支出（类）</w:t>
      </w:r>
      <w:r>
        <w:rPr>
          <w:rFonts w:hint="eastAsia" w:ascii="仿宋" w:hAnsi="仿宋" w:eastAsia="仿宋"/>
          <w:b/>
          <w:bCs/>
          <w:color w:val="auto"/>
          <w:sz w:val="32"/>
          <w:szCs w:val="32"/>
          <w:lang w:eastAsia="zh-CN"/>
        </w:rPr>
        <w:t>：</w:t>
      </w:r>
      <w:r>
        <w:rPr>
          <w:rFonts w:hint="eastAsia" w:ascii="仿宋" w:hAnsi="仿宋" w:eastAsia="仿宋"/>
          <w:b w:val="0"/>
          <w:bCs w:val="0"/>
          <w:color w:val="auto"/>
          <w:sz w:val="32"/>
          <w:szCs w:val="32"/>
        </w:rPr>
        <w:t>支出</w:t>
      </w:r>
      <w:r>
        <w:rPr>
          <w:rFonts w:hint="eastAsia" w:ascii="仿宋" w:hAnsi="仿宋" w:eastAsia="仿宋"/>
          <w:color w:val="auto"/>
          <w:sz w:val="32"/>
          <w:szCs w:val="32"/>
          <w:lang w:val="en-US" w:eastAsia="zh-CN"/>
        </w:rPr>
        <w:t>21.93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3.54</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住房保障支出（类）</w:t>
      </w:r>
      <w:r>
        <w:rPr>
          <w:rFonts w:hint="eastAsia" w:ascii="仿宋" w:hAnsi="仿宋" w:eastAsia="仿宋"/>
          <w:b/>
          <w:bCs/>
          <w:color w:val="auto"/>
          <w:sz w:val="32"/>
          <w:szCs w:val="32"/>
          <w:lang w:eastAsia="zh-CN"/>
        </w:rPr>
        <w:t>：</w:t>
      </w:r>
      <w:r>
        <w:rPr>
          <w:rFonts w:hint="eastAsia" w:ascii="仿宋" w:hAnsi="仿宋" w:eastAsia="仿宋"/>
          <w:b w:val="0"/>
          <w:bCs w:val="0"/>
          <w:color w:val="auto"/>
          <w:sz w:val="32"/>
          <w:szCs w:val="32"/>
        </w:rPr>
        <w:t>支出</w:t>
      </w:r>
      <w:r>
        <w:rPr>
          <w:rFonts w:hint="eastAsia" w:ascii="仿宋" w:hAnsi="仿宋" w:eastAsia="仿宋"/>
          <w:color w:val="auto"/>
          <w:sz w:val="32"/>
          <w:szCs w:val="32"/>
          <w:lang w:val="en-US" w:eastAsia="zh-CN"/>
        </w:rPr>
        <w:t>32.85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5.42</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jc w:val="center"/>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2"/>
        <w:jc w:val="center"/>
        <w:rPr>
          <w:rFonts w:hint="eastAsia"/>
        </w:rPr>
      </w:pPr>
      <w:r>
        <w:drawing>
          <wp:inline distT="0" distB="0" distL="114300" distR="114300">
            <wp:extent cx="4410710" cy="2448560"/>
            <wp:effectExtent l="4445" t="4445" r="23495" b="234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pP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444"/>
      <w:bookmarkStart w:id="36" w:name="_Toc15378460"/>
      <w:bookmarkStart w:id="37"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618.93</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教育支出（类）普通教育（款）学前教育（项）：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教育支出（类）普通教育（款）小学教育（项）：</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520.37</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Style w:val="14"/>
          <w:rFonts w:hint="eastAsia" w:ascii="仿宋" w:hAnsi="仿宋" w:eastAsia="仿宋"/>
          <w:bCs/>
          <w:sz w:val="32"/>
          <w:szCs w:val="32"/>
          <w:lang w:val="en-US" w:eastAsia="zh-CN"/>
        </w:rPr>
        <w:t>支出</w:t>
      </w:r>
      <w:r>
        <w:rPr>
          <w:rStyle w:val="14"/>
          <w:rFonts w:hint="eastAsia" w:ascii="仿宋" w:hAnsi="仿宋" w:eastAsia="仿宋"/>
          <w:bCs/>
          <w:sz w:val="32"/>
          <w:szCs w:val="32"/>
        </w:rPr>
        <w:t>（类）行政事业单位养老保险支出（款）机关事业单位基本养老保险缴费支出（项）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43.8</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卫生健康支出（类）行政事业单位医疗（款）事业单位医疗（项）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21.9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6.</w:t>
      </w:r>
      <w:r>
        <w:rPr>
          <w:rFonts w:hint="eastAsia" w:ascii="仿宋" w:hAnsi="仿宋" w:eastAsia="仿宋"/>
          <w:b/>
          <w:bCs/>
          <w:sz w:val="32"/>
          <w:szCs w:val="32"/>
        </w:rPr>
        <w:t>.住房保障支出（类）住房改革支出（款）住房公积金（项）</w:t>
      </w:r>
      <w:r>
        <w:rPr>
          <w:rFonts w:hint="eastAsia" w:ascii="仿宋" w:hAnsi="仿宋" w:eastAsia="仿宋"/>
          <w:b/>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32.85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618.93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572.74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46.19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color w:val="auto"/>
          <w:sz w:val="32"/>
          <w:szCs w:val="32"/>
        </w:rPr>
      </w:pPr>
      <w:bookmarkStart w:id="42" w:name="_Toc15377216"/>
      <w:r>
        <w:rPr>
          <w:rFonts w:hint="eastAsia" w:ascii="仿宋" w:hAnsi="仿宋" w:eastAsia="仿宋"/>
          <w:b/>
          <w:color w:val="auto"/>
          <w:sz w:val="32"/>
          <w:szCs w:val="32"/>
        </w:rPr>
        <w:t>（一）“三公”经费财政拨款支出决算总体情况说明</w:t>
      </w:r>
      <w:bookmarkEnd w:id="42"/>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22年“三公”经费财政拨款支出决算为</w:t>
      </w:r>
      <w:r>
        <w:rPr>
          <w:rFonts w:hint="eastAsia" w:ascii="仿宋" w:hAnsi="仿宋" w:eastAsia="仿宋"/>
          <w:color w:val="auto"/>
          <w:sz w:val="32"/>
          <w:szCs w:val="32"/>
          <w:lang w:val="en-US" w:eastAsia="zh-CN"/>
        </w:rPr>
        <w:t>0.38</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jc w:val="center"/>
      </w:pPr>
      <w:r>
        <w:drawing>
          <wp:inline distT="0" distB="0" distL="114300" distR="114300">
            <wp:extent cx="4847590" cy="2134870"/>
            <wp:effectExtent l="4445" t="5080" r="5715" b="1270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 xml:space="preserve">万元，主要用于开展业务活动开支的用餐费)。国内公务接待 </w:t>
      </w:r>
      <w:r>
        <w:rPr>
          <w:rFonts w:hint="eastAsia" w:ascii="仿宋_GB2312" w:eastAsia="仿宋_GB2312"/>
          <w:sz w:val="32"/>
          <w:szCs w:val="32"/>
          <w:lang w:val="en-US" w:eastAsia="zh-CN"/>
        </w:rPr>
        <w:t>4</w:t>
      </w:r>
      <w:r>
        <w:rPr>
          <w:rFonts w:hint="eastAsia" w:ascii="仿宋_GB2312" w:eastAsia="仿宋_GB2312"/>
          <w:sz w:val="32"/>
          <w:szCs w:val="32"/>
        </w:rPr>
        <w:t xml:space="preserve"> 批次，</w:t>
      </w:r>
      <w:r>
        <w:rPr>
          <w:rFonts w:hint="eastAsia" w:ascii="仿宋_GB2312" w:eastAsia="仿宋_GB2312"/>
          <w:sz w:val="32"/>
          <w:szCs w:val="32"/>
          <w:lang w:val="en-US" w:eastAsia="zh-CN"/>
        </w:rPr>
        <w:t>32</w:t>
      </w:r>
      <w:r>
        <w:rPr>
          <w:rFonts w:hint="eastAsia" w:ascii="仿宋_GB2312" w:eastAsia="仿宋_GB2312"/>
          <w:sz w:val="32"/>
          <w:szCs w:val="32"/>
        </w:rPr>
        <w:t xml:space="preserve"> 人次（不包括陪同人员），共计支出 0.</w:t>
      </w:r>
      <w:r>
        <w:rPr>
          <w:rFonts w:hint="eastAsia" w:ascii="仿宋_GB2312" w:eastAsia="仿宋_GB2312"/>
          <w:sz w:val="32"/>
          <w:szCs w:val="32"/>
          <w:lang w:val="en-US" w:eastAsia="zh-CN"/>
        </w:rPr>
        <w:t>35</w:t>
      </w:r>
      <w:r>
        <w:rPr>
          <w:rFonts w:hint="eastAsia" w:ascii="仿宋_GB2312" w:eastAsia="仿宋_GB2312"/>
          <w:sz w:val="32"/>
          <w:szCs w:val="32"/>
        </w:rPr>
        <w:t xml:space="preserve"> 万元，具体内容包括：接待退休教师 0.</w:t>
      </w:r>
      <w:r>
        <w:rPr>
          <w:rFonts w:hint="eastAsia" w:ascii="仿宋_GB2312" w:eastAsia="仿宋_GB2312"/>
          <w:sz w:val="32"/>
          <w:szCs w:val="32"/>
          <w:lang w:val="en-US" w:eastAsia="zh-CN"/>
        </w:rPr>
        <w:t>38</w:t>
      </w:r>
      <w:r>
        <w:rPr>
          <w:rFonts w:hint="eastAsia" w:ascii="仿宋_GB2312" w:eastAsia="仿宋_GB2312"/>
          <w:sz w:val="32"/>
          <w:szCs w:val="32"/>
        </w:rPr>
        <w:t xml:space="preserve"> 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25"/>
          <w:rFonts w:ascii="黑体" w:hAnsi="黑体" w:eastAsia="黑体"/>
        </w:rPr>
      </w:pPr>
      <w:bookmarkStart w:id="44" w:name="_Toc15396610"/>
      <w:bookmarkStart w:id="45" w:name="_Toc15377218"/>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8" w:name="_Toc15377221"/>
      <w:bookmarkStart w:id="49" w:name="_Toc15396612"/>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剑阁县木马小学校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剑阁县木马小学校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剑阁县木马小学校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 w:hAnsi="仿宋" w:eastAsia="仿宋" w:cs="仿宋"/>
          <w:b/>
          <w:sz w:val="32"/>
          <w:szCs w:val="32"/>
        </w:rPr>
      </w:pPr>
      <w:r>
        <w:rPr>
          <w:rFonts w:hint="eastAsia" w:ascii="仿宋" w:hAnsi="仿宋" w:eastAsia="仿宋" w:cs="仿宋"/>
          <w:sz w:val="32"/>
          <w:szCs w:val="32"/>
        </w:rPr>
        <w:t>根据预算绩效管理要求，本单位在2022年度预算编制阶段，组织对人员类项目和运转类项目等3个项目开展了预算事前绩效评估，对3个项目编制了绩效目标，预算执行过程中，选取3个项目开展绩效监控，组织对3个项目开展绩效自评，绩效自评表详见第四部分附件。</w:t>
      </w:r>
      <w:r>
        <w:rPr>
          <w:rFonts w:hint="eastAsia" w:ascii="仿宋" w:hAnsi="仿宋" w:eastAsia="仿宋" w:cs="仿宋"/>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left="638" w:leftChars="304" w:firstLine="0" w:firstLineChars="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9.教育（类）普通教育（款）学前教育（项）：指学前教育人员工资、办公、差旅等公用经费。</w:t>
      </w:r>
    </w:p>
    <w:p>
      <w:pPr>
        <w:ind w:firstLine="640" w:firstLineChars="200"/>
        <w:rPr>
          <w:rFonts w:hint="eastAsia" w:ascii="仿宋_GB2312" w:eastAsia="仿宋_GB2312"/>
          <w:sz w:val="32"/>
          <w:szCs w:val="32"/>
        </w:rPr>
      </w:pPr>
      <w:r>
        <w:rPr>
          <w:rFonts w:hint="eastAsia" w:ascii="仿宋_GB2312" w:eastAsia="仿宋_GB2312"/>
          <w:sz w:val="32"/>
          <w:szCs w:val="32"/>
        </w:rPr>
        <w:t>10.教育（类）普通教育（款）初中教育（项）：指义务教育人员工资、办公、差旅等公用经费。</w:t>
      </w:r>
    </w:p>
    <w:p>
      <w:pPr>
        <w:ind w:firstLine="640" w:firstLineChars="200"/>
        <w:rPr>
          <w:rFonts w:hint="eastAsia" w:ascii="仿宋_GB2312" w:eastAsia="仿宋_GB2312"/>
          <w:sz w:val="32"/>
          <w:szCs w:val="32"/>
        </w:rPr>
      </w:pPr>
      <w:r>
        <w:rPr>
          <w:rFonts w:hint="eastAsia" w:ascii="仿宋_GB2312" w:eastAsia="仿宋_GB2312"/>
          <w:sz w:val="32"/>
          <w:szCs w:val="32"/>
        </w:rPr>
        <w:t>11.社会保障和就业（类）行政事业单位养老支出（款）机关事业单位基本养老保险缴费支出（项）：指缴纳本单位在职职工养老保险。</w:t>
      </w:r>
    </w:p>
    <w:p>
      <w:pPr>
        <w:ind w:firstLine="640" w:firstLineChars="200"/>
        <w:rPr>
          <w:rFonts w:hint="eastAsia" w:ascii="仿宋_GB2312" w:eastAsia="仿宋_GB2312"/>
          <w:sz w:val="32"/>
          <w:szCs w:val="32"/>
        </w:rPr>
      </w:pPr>
      <w:r>
        <w:rPr>
          <w:rFonts w:hint="eastAsia" w:ascii="仿宋_GB2312" w:eastAsia="仿宋_GB2312"/>
          <w:sz w:val="32"/>
          <w:szCs w:val="32"/>
        </w:rPr>
        <w:t>12.医疗卫生与计划生育（类）行政事业单位医疗（款）事业单位医疗（项）：指缴纳本单位在职职工基本医疗保险费。</w:t>
      </w:r>
    </w:p>
    <w:p>
      <w:pPr>
        <w:ind w:firstLine="640" w:firstLineChars="200"/>
        <w:rPr>
          <w:rFonts w:hint="eastAsia" w:ascii="仿宋_GB2312" w:eastAsia="仿宋_GB2312"/>
          <w:sz w:val="32"/>
          <w:szCs w:val="32"/>
        </w:rPr>
      </w:pPr>
      <w:r>
        <w:rPr>
          <w:rFonts w:hint="eastAsia" w:ascii="仿宋_GB2312" w:eastAsia="仿宋_GB2312"/>
          <w:sz w:val="32"/>
          <w:szCs w:val="32"/>
        </w:rPr>
        <w:t>13.住房保障（类）住房改革支出（款）住房公积金（项）：指缴纳本单位在职职工住房公积金。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4BACC6" w:themeColor="accent5"/>
          <w14:textFill>
            <w14:solidFill>
              <w14:schemeClr w14:val="accent5"/>
            </w14:solidFill>
          </w14:textFill>
        </w:rPr>
      </w:pPr>
      <w:bookmarkStart w:id="55" w:name="_Toc15377226"/>
      <w:r>
        <w:rPr>
          <w:rFonts w:ascii="宋体"/>
          <w:b/>
          <w:sz w:val="44"/>
          <w:szCs w:val="44"/>
        </w:rPr>
        <w:br w:type="page"/>
      </w:r>
      <w:bookmarkStart w:id="56" w:name="_Toc15396614"/>
      <w:r>
        <w:rPr>
          <w:rFonts w:hint="eastAsia" w:ascii="黑体" w:hAnsi="黑体" w:eastAsia="黑体"/>
          <w:color w:val="auto"/>
          <w:sz w:val="44"/>
          <w:szCs w:val="44"/>
        </w:rPr>
        <w:t>第</w:t>
      </w:r>
      <w:r>
        <w:rPr>
          <w:rStyle w:val="24"/>
          <w:rFonts w:hint="eastAsia" w:ascii="黑体" w:hAnsi="黑体" w:eastAsia="黑体"/>
          <w:b w:val="0"/>
          <w:color w:val="auto"/>
        </w:rPr>
        <w:t>四部分 附件</w:t>
      </w:r>
      <w:bookmarkEnd w:id="56"/>
    </w:p>
    <w:p>
      <w:pPr>
        <w:spacing w:line="572" w:lineRule="exact"/>
        <w:jc w:val="left"/>
        <w:outlineLvl w:val="0"/>
        <w:rPr>
          <w:rFonts w:ascii="仿宋_GB2312" w:hAnsi="仿宋_GB2312" w:eastAsia="仿宋_GB2312" w:cs="仿宋_GB2312"/>
          <w:color w:val="4BACC6" w:themeColor="accent5"/>
          <w:sz w:val="32"/>
          <w:szCs w:val="32"/>
          <w14:textFill>
            <w14:solidFill>
              <w14:schemeClr w14:val="accent5"/>
            </w14:solidFill>
          </w14:textFill>
        </w:rPr>
      </w:pPr>
    </w:p>
    <w:tbl>
      <w:tblPr>
        <w:tblStyle w:val="12"/>
        <w:tblpPr w:leftFromText="180" w:rightFromText="180" w:vertAnchor="text" w:horzAnchor="page" w:tblpX="505" w:tblpY="1326"/>
        <w:tblOverlap w:val="never"/>
        <w:tblW w:w="10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05"/>
        <w:gridCol w:w="1251"/>
        <w:gridCol w:w="1629"/>
        <w:gridCol w:w="396"/>
        <w:gridCol w:w="1187"/>
        <w:gridCol w:w="396"/>
        <w:gridCol w:w="846"/>
        <w:gridCol w:w="576"/>
        <w:gridCol w:w="396"/>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4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57" w:name="_Toc15396618"/>
            <w:r>
              <w:rPr>
                <w:rFonts w:ascii="宋体" w:hAnsi="宋体" w:eastAsia="宋体" w:cs="宋体"/>
                <w:i w:val="0"/>
                <w:iCs w:val="0"/>
                <w:color w:val="C0C0C0"/>
                <w:kern w:val="0"/>
                <w:sz w:val="20"/>
                <w:szCs w:val="20"/>
                <w:u w:val="none"/>
                <w:lang w:val="en-US" w:eastAsia="zh-CN" w:bidi="ar"/>
              </w:rPr>
              <w:t>报表编号：510000_0013zp</w:t>
            </w:r>
          </w:p>
        </w:tc>
        <w:tc>
          <w:tcPr>
            <w:tcW w:w="3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遗属生活补助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w:t>
            </w:r>
            <w:bookmarkStart w:id="71" w:name="_GoBack"/>
            <w:bookmarkEnd w:id="71"/>
            <w:r>
              <w:rPr>
                <w:rFonts w:ascii="宋体" w:hAnsi="宋体" w:eastAsia="宋体" w:cs="宋体"/>
                <w:i w:val="0"/>
                <w:iCs w:val="0"/>
                <w:color w:val="000000"/>
                <w:kern w:val="0"/>
                <w:sz w:val="18"/>
                <w:szCs w:val="18"/>
                <w:u w:val="none"/>
                <w:lang w:val="en-US" w:eastAsia="zh-CN" w:bidi="ar"/>
              </w:rPr>
              <w:t>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58.82</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46.98%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58.82</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46.98%</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为学龄前儿童提供保育和保教服务</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56.14</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56.14</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幼儿教育</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保育教育效果</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468300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家长参与度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405.67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429.86</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413.83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96.27%</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405.67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429.86</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413.83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96.27%</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78.82%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78.82%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51082322T000007030142-“校对校”结对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剑阁县木马小学校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借助帮扶学校优质办学资源，充分发挥其人才优势、管理优势，通过实地考察，送教下乡、师资培训、联合教研，资源共享等方式，为学校教育注入生机和活力，提高学校教育教学整体水平和管理服务能力。</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培训教师人次</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提升教师教育教学水平</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促使地区教育发展</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5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5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5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5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5"/>
          <w:rFonts w:hint="eastAsia" w:ascii="仿宋" w:hAnsi="仿宋" w:eastAsia="仿宋"/>
          <w:b w:val="0"/>
          <w:bCs w:val="0"/>
        </w:rPr>
        <w:t>入决算表</w:t>
      </w:r>
      <w:bookmarkEnd w:id="59"/>
    </w:p>
    <w:p>
      <w:pPr>
        <w:pStyle w:val="4"/>
        <w:rPr>
          <w:rFonts w:ascii="仿宋" w:hAnsi="仿宋" w:eastAsia="仿宋"/>
        </w:rPr>
      </w:pPr>
      <w:bookmarkStart w:id="60"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1"/>
    </w:p>
    <w:p>
      <w:pPr>
        <w:pStyle w:val="4"/>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5"/>
          <w:rFonts w:hint="eastAsia" w:ascii="仿宋" w:hAnsi="仿宋" w:eastAsia="仿宋"/>
          <w:b w:val="0"/>
          <w:bCs w:val="0"/>
        </w:rPr>
        <w:t>十、</w:t>
      </w:r>
      <w:bookmarkEnd w:id="67"/>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5"/>
          <w:rFonts w:hint="eastAsia" w:ascii="仿宋" w:hAnsi="仿宋" w:eastAsia="仿宋"/>
          <w:b w:val="0"/>
          <w:bCs w:val="0"/>
        </w:rPr>
        <w:t>十一、</w:t>
      </w:r>
      <w:bookmarkEnd w:id="68"/>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5"/>
          <w:rFonts w:hint="eastAsia" w:ascii="仿宋" w:hAnsi="仿宋" w:eastAsia="仿宋"/>
          <w:b w:val="0"/>
          <w:bCs w:val="0"/>
        </w:rPr>
        <w:t>十二、</w:t>
      </w:r>
      <w:bookmarkEnd w:id="69"/>
      <w:r>
        <w:rPr>
          <w:rStyle w:val="25"/>
          <w:rFonts w:hint="eastAsia" w:ascii="仿宋" w:hAnsi="仿宋" w:eastAsia="仿宋"/>
          <w:b w:val="0"/>
          <w:bCs w:val="0"/>
        </w:rPr>
        <w:t>国有资本经营预算财政拨款支出决算表</w:t>
      </w:r>
    </w:p>
    <w:p>
      <w:pPr>
        <w:pStyle w:val="4"/>
        <w:rPr>
          <w:rFonts w:eastAsia="仿宋"/>
        </w:rPr>
      </w:pPr>
      <w:bookmarkStart w:id="70" w:name="_Toc15396631"/>
      <w:r>
        <w:rPr>
          <w:rStyle w:val="25"/>
          <w:rFonts w:hint="eastAsia" w:ascii="仿宋" w:hAnsi="仿宋" w:eastAsia="仿宋"/>
          <w:b w:val="0"/>
          <w:bCs w:val="0"/>
        </w:rPr>
        <w:t>十三、</w:t>
      </w:r>
      <w:bookmarkEnd w:id="70"/>
      <w:r>
        <w:rPr>
          <w:rStyle w:val="25"/>
          <w:rFonts w:hint="eastAsia" w:ascii="仿宋" w:hAnsi="仿宋" w:eastAsia="仿宋"/>
          <w:b w:val="0"/>
          <w:bCs w:val="0"/>
        </w:rPr>
        <w:t>财政拨款“三公”经费支出决算表</w:t>
      </w:r>
    </w:p>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7A4504-A591-4841-A54F-4BE65FF757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972042-B7EC-4B4E-B8B6-5306C7500277}"/>
  </w:font>
  <w:font w:name="Cambria">
    <w:panose1 w:val="02040503050406030204"/>
    <w:charset w:val="00"/>
    <w:family w:val="roman"/>
    <w:pitch w:val="default"/>
    <w:sig w:usb0="E00006FF" w:usb1="420024FF" w:usb2="02000000" w:usb3="00000000" w:csb0="2000019F" w:csb1="00000000"/>
    <w:embedRegular r:id="rId3" w:fontKey="{567A25F3-6B94-4798-AF0C-49F090327015}"/>
  </w:font>
  <w:font w:name="仿宋_GB2312">
    <w:altName w:val="仿宋"/>
    <w:panose1 w:val="00000000000000000000"/>
    <w:charset w:val="86"/>
    <w:family w:val="modern"/>
    <w:pitch w:val="default"/>
    <w:sig w:usb0="00000000" w:usb1="00000000" w:usb2="00000000" w:usb3="00000000" w:csb0="00040000" w:csb1="00000000"/>
    <w:embedRegular r:id="rId4" w:fontKey="{BD8A5AAE-C676-4E0F-B59F-53FA2830559C}"/>
  </w:font>
  <w:font w:name="仿宋">
    <w:panose1 w:val="02010609060101010101"/>
    <w:charset w:val="86"/>
    <w:family w:val="modern"/>
    <w:pitch w:val="default"/>
    <w:sig w:usb0="800002BF" w:usb1="38CF7CFA" w:usb2="00000016" w:usb3="00000000" w:csb0="00040001" w:csb1="00000000"/>
    <w:embedRegular r:id="rId5" w:fontKey="{0B658FD3-07BC-4AFA-8808-8603393FCD72}"/>
  </w:font>
  <w:font w:name="方正小标宋简体">
    <w:panose1 w:val="02000000000000000000"/>
    <w:charset w:val="86"/>
    <w:family w:val="script"/>
    <w:pitch w:val="default"/>
    <w:sig w:usb0="00000001" w:usb1="08000000" w:usb2="00000000" w:usb3="00000000" w:csb0="00040000" w:csb1="00000000"/>
    <w:embedRegular r:id="rId6" w:fontKey="{22A68382-1885-480E-9514-72722675F6EF}"/>
  </w:font>
  <w:font w:name="微软雅黑">
    <w:panose1 w:val="020B0503020204020204"/>
    <w:charset w:val="86"/>
    <w:family w:val="auto"/>
    <w:pitch w:val="default"/>
    <w:sig w:usb0="80000287" w:usb1="2ACF3C50" w:usb2="00000016" w:usb3="00000000" w:csb0="0004001F" w:csb1="00000000"/>
    <w:embedRegular r:id="rId7" w:fontKey="{A9F31263-0E48-4C4D-9E05-C281849329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C23"/>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81F"/>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09E2"/>
    <w:rsid w:val="00FF1E02"/>
    <w:rsid w:val="00FF30B4"/>
    <w:rsid w:val="053A62B5"/>
    <w:rsid w:val="068B7FAC"/>
    <w:rsid w:val="077E04ED"/>
    <w:rsid w:val="0A2032A3"/>
    <w:rsid w:val="0A314FFA"/>
    <w:rsid w:val="0B0A397A"/>
    <w:rsid w:val="0B25755C"/>
    <w:rsid w:val="0B5A0EA1"/>
    <w:rsid w:val="0B5F17A9"/>
    <w:rsid w:val="0B8A37D8"/>
    <w:rsid w:val="0BB6635E"/>
    <w:rsid w:val="0D8368AF"/>
    <w:rsid w:val="10C055FF"/>
    <w:rsid w:val="118107EC"/>
    <w:rsid w:val="11DD6519"/>
    <w:rsid w:val="13DE6A46"/>
    <w:rsid w:val="14AF04FB"/>
    <w:rsid w:val="16BB723D"/>
    <w:rsid w:val="18015F3F"/>
    <w:rsid w:val="19257BC7"/>
    <w:rsid w:val="1A961214"/>
    <w:rsid w:val="1AB20D2C"/>
    <w:rsid w:val="1B834860"/>
    <w:rsid w:val="1BE8440E"/>
    <w:rsid w:val="1D155CEE"/>
    <w:rsid w:val="1D872FCE"/>
    <w:rsid w:val="1F7F5EEC"/>
    <w:rsid w:val="20B30371"/>
    <w:rsid w:val="20F57F95"/>
    <w:rsid w:val="21524CD4"/>
    <w:rsid w:val="22012E4F"/>
    <w:rsid w:val="22280ABD"/>
    <w:rsid w:val="22703DC4"/>
    <w:rsid w:val="228026A7"/>
    <w:rsid w:val="23DC390D"/>
    <w:rsid w:val="240371BF"/>
    <w:rsid w:val="25711CC6"/>
    <w:rsid w:val="25C741E6"/>
    <w:rsid w:val="25FD35BA"/>
    <w:rsid w:val="27842671"/>
    <w:rsid w:val="279A1481"/>
    <w:rsid w:val="29FD04D3"/>
    <w:rsid w:val="2ABE7A3E"/>
    <w:rsid w:val="2AC86999"/>
    <w:rsid w:val="2B7F799F"/>
    <w:rsid w:val="2BAC781D"/>
    <w:rsid w:val="2C0C01DE"/>
    <w:rsid w:val="2CA234A8"/>
    <w:rsid w:val="2E262010"/>
    <w:rsid w:val="2EFA178C"/>
    <w:rsid w:val="30473F84"/>
    <w:rsid w:val="30B46D73"/>
    <w:rsid w:val="319F7F4E"/>
    <w:rsid w:val="32653528"/>
    <w:rsid w:val="383D272C"/>
    <w:rsid w:val="39AE70AB"/>
    <w:rsid w:val="3C0C0783"/>
    <w:rsid w:val="3F9F3A96"/>
    <w:rsid w:val="3FEE6A4A"/>
    <w:rsid w:val="41CE268F"/>
    <w:rsid w:val="42F426E8"/>
    <w:rsid w:val="43D122DD"/>
    <w:rsid w:val="45992FB4"/>
    <w:rsid w:val="459F0DF9"/>
    <w:rsid w:val="45EA4C75"/>
    <w:rsid w:val="46BB7A02"/>
    <w:rsid w:val="48BF60AB"/>
    <w:rsid w:val="493C27E9"/>
    <w:rsid w:val="496F39ED"/>
    <w:rsid w:val="49FF41D3"/>
    <w:rsid w:val="4BE068DB"/>
    <w:rsid w:val="4BF6002B"/>
    <w:rsid w:val="4C3457E4"/>
    <w:rsid w:val="4ECE2238"/>
    <w:rsid w:val="50265091"/>
    <w:rsid w:val="51DB4B86"/>
    <w:rsid w:val="55333C3E"/>
    <w:rsid w:val="577B3909"/>
    <w:rsid w:val="57B141AA"/>
    <w:rsid w:val="5A2515ED"/>
    <w:rsid w:val="5D7F596C"/>
    <w:rsid w:val="5DD617DB"/>
    <w:rsid w:val="5E420382"/>
    <w:rsid w:val="5F2004AD"/>
    <w:rsid w:val="63741E5B"/>
    <w:rsid w:val="64CA39A1"/>
    <w:rsid w:val="68CA17F2"/>
    <w:rsid w:val="69630ADE"/>
    <w:rsid w:val="6A636EC3"/>
    <w:rsid w:val="6C4A05C8"/>
    <w:rsid w:val="6D3B1A89"/>
    <w:rsid w:val="6DCE1E97"/>
    <w:rsid w:val="71BF4EC2"/>
    <w:rsid w:val="72734D90"/>
    <w:rsid w:val="73DF1561"/>
    <w:rsid w:val="7412278C"/>
    <w:rsid w:val="78E84B6F"/>
    <w:rsid w:val="79482467"/>
    <w:rsid w:val="79E7B28D"/>
    <w:rsid w:val="7AE446F6"/>
    <w:rsid w:val="7BD40158"/>
    <w:rsid w:val="7F0834F6"/>
    <w:rsid w:val="7F9F20EE"/>
    <w:rsid w:val="7FC250A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760.42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619.93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334.56</c:v>
                </c:pt>
                <c:pt idx="1">
                  <c:v>276.03</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219513888888889"/>
          <c:y val="0.0972222222222222"/>
        </c:manualLayout>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99.</a:t>
                    </a:r>
                    <a:r>
                      <a:rPr lang="en-US" altLang="zh-CN"/>
                      <a:t>86</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321654287916653"/>
                  <c:y val="-0.14979027458553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14</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strCache>
            </c:strRef>
          </c:cat>
          <c:val>
            <c:numRef>
              <c:f>[决算公开插图制作示例.xlsx]图二!$C$1:$C$6</c:f>
              <c:numCache>
                <c:formatCode>0.00%</c:formatCode>
                <c:ptCount val="6"/>
                <c:pt idx="0">
                  <c:v>0.9964</c:v>
                </c:pt>
                <c:pt idx="1">
                  <c:v>0.0036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99.</a:t>
                    </a:r>
                    <a:r>
                      <a:rPr lang="en-US" altLang="zh-CN"/>
                      <a:t>52</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0.</a:t>
                    </a:r>
                    <a:r>
                      <a:rPr lang="en-US" altLang="zh-CN"/>
                      <a:t>48</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0.9964</c:v>
                </c:pt>
                <c:pt idx="1">
                  <c:v>0.0036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760.42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619.93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334.56</c:v>
                </c:pt>
                <c:pt idx="1">
                  <c:v>276.03</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756.12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618.93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330.36</c:v>
                </c:pt>
                <c:pt idx="1">
                  <c:v>275.03</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8888888888889"/>
          <c:y val="0.101342592592593"/>
          <c:w val="0.474222222222222"/>
          <c:h val="0.79037037037037"/>
        </c:manualLayout>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520.37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43.08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3.54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32.85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232</c:v>
                </c:pt>
                <c:pt idx="1">
                  <c:v>19.12</c:v>
                </c:pt>
                <c:pt idx="2">
                  <c:v>9.56</c:v>
                </c:pt>
                <c:pt idx="3">
                  <c:v>14.34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2</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2023-10-26T09:26:00Z</cp:lastPrinted>
  <dcterms:modified xsi:type="dcterms:W3CDTF">2023-11-29T02:45:45Z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557EC78AAEFE4145BCEBCA0F7E562672_13</vt:lpwstr>
  </property>
</Properties>
</file>