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96597"/>
      <w:bookmarkStart w:id="3" w:name="_Toc15377193"/>
      <w:bookmarkStart w:id="4" w:name="_Toc15377425"/>
      <w:bookmarkStart w:id="5" w:name="_Toc15378441"/>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2</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96598"/>
      <w:bookmarkStart w:id="7" w:name="_Toc15306268"/>
      <w:bookmarkStart w:id="8" w:name="_Toc15378442"/>
      <w:bookmarkStart w:id="9" w:name="_Toc15396476"/>
      <w:bookmarkStart w:id="10" w:name="_Toc15377194"/>
      <w:bookmarkStart w:id="11" w:name="_Toc15377426"/>
      <w:r>
        <w:rPr>
          <w:rFonts w:hint="eastAsia" w:ascii="方正小标宋简体" w:hAnsi="方正小标宋简体" w:eastAsia="方正小标宋简体" w:cs="方正小标宋简体"/>
          <w:sz w:val="72"/>
          <w:szCs w:val="72"/>
          <w:lang w:val="en-US" w:eastAsia="zh-CN"/>
        </w:rPr>
        <w:t>剑阁县杨村小学校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 xml:space="preserve">10 </w:t>
      </w:r>
      <w:r>
        <w:rPr>
          <w:rFonts w:hint="eastAsia"/>
        </w:rPr>
        <w:t>月</w:t>
      </w:r>
      <w:r>
        <w:rPr>
          <w:rFonts w:hint="eastAsia"/>
          <w:lang w:val="en-US" w:eastAsia="zh-CN"/>
        </w:rPr>
        <w:t xml:space="preserve"> 26 </w:t>
      </w:r>
      <w:r>
        <w:rPr>
          <w:rFonts w:hint="eastAsia"/>
        </w:rPr>
        <w:t>日</w:t>
      </w:r>
    </w:p>
    <w:p/>
    <w:p>
      <w:pPr>
        <w:pStyle w:val="12"/>
        <w:adjustRightInd w:val="0"/>
        <w:snapToGrid w:val="0"/>
        <w:spacing w:before="0" w:line="440" w:lineRule="exact"/>
        <w:jc w:val="left"/>
        <w:rPr>
          <w:rFonts w:cstheme="minorBidi"/>
          <w:b/>
          <w:bCs/>
          <w:sz w:val="28"/>
          <w:szCs w:val="28"/>
        </w:rPr>
      </w:pPr>
      <w:r>
        <w:rPr>
          <w:rFonts w:hint="eastAsia"/>
          <w:b/>
          <w:bCs/>
          <w:sz w:val="28"/>
          <w:szCs w:val="28"/>
        </w:rPr>
        <w:t>第一部分</w:t>
      </w:r>
      <w:r>
        <w:rPr>
          <w:b/>
          <w:bCs/>
          <w:sz w:val="28"/>
          <w:szCs w:val="28"/>
        </w:rPr>
        <w:t xml:space="preserve"> </w:t>
      </w:r>
      <w:r>
        <w:rPr>
          <w:rFonts w:hint="eastAsia"/>
          <w:b/>
          <w:bCs/>
          <w:sz w:val="28"/>
          <w:szCs w:val="28"/>
        </w:rPr>
        <w:t>单位概况</w:t>
      </w:r>
    </w:p>
    <w:p>
      <w:pPr>
        <w:pStyle w:val="13"/>
        <w:adjustRightInd w:val="0"/>
        <w:snapToGrid w:val="0"/>
        <w:spacing w:line="440" w:lineRule="exact"/>
        <w:jc w:val="left"/>
        <w:rPr>
          <w:sz w:val="24"/>
        </w:rPr>
      </w:pPr>
      <w:r>
        <w:rPr>
          <w:rFonts w:hint="eastAsia"/>
          <w:sz w:val="24"/>
        </w:rPr>
        <w:t>一、主要职责及重点</w:t>
      </w:r>
      <w:r>
        <w:rPr>
          <w:sz w:val="24"/>
        </w:rPr>
        <w:t>工作</w:t>
      </w:r>
    </w:p>
    <w:p>
      <w:pPr>
        <w:pStyle w:val="13"/>
        <w:adjustRightInd w:val="0"/>
        <w:snapToGrid w:val="0"/>
        <w:spacing w:line="440" w:lineRule="exact"/>
        <w:jc w:val="left"/>
        <w:rPr>
          <w:rFonts w:hint="eastAsia"/>
          <w:sz w:val="24"/>
        </w:rPr>
      </w:pPr>
      <w:r>
        <w:rPr>
          <w:rFonts w:hint="eastAsia"/>
          <w:sz w:val="24"/>
        </w:rPr>
        <w:t>（一）单位</w:t>
      </w:r>
      <w:r>
        <w:rPr>
          <w:sz w:val="24"/>
        </w:rPr>
        <w:t>职责</w:t>
      </w:r>
    </w:p>
    <w:p>
      <w:pPr>
        <w:pStyle w:val="13"/>
        <w:adjustRightInd w:val="0"/>
        <w:snapToGrid w:val="0"/>
        <w:spacing w:line="440" w:lineRule="exact"/>
        <w:jc w:val="left"/>
        <w:rPr>
          <w:rFonts w:hint="eastAsia"/>
          <w:b/>
          <w:bCs/>
          <w:sz w:val="24"/>
        </w:rPr>
      </w:pPr>
      <w:r>
        <w:rPr>
          <w:rFonts w:hint="eastAsia"/>
          <w:sz w:val="24"/>
        </w:rPr>
        <w:t>（二）2022年重点工作完成情况</w:t>
      </w:r>
    </w:p>
    <w:p>
      <w:pPr>
        <w:pStyle w:val="13"/>
        <w:adjustRightInd w:val="0"/>
        <w:snapToGrid w:val="0"/>
        <w:spacing w:line="440" w:lineRule="exact"/>
        <w:jc w:val="left"/>
        <w:rPr>
          <w:rFonts w:hint="eastAsia"/>
          <w:sz w:val="24"/>
        </w:rPr>
      </w:pPr>
      <w:r>
        <w:rPr>
          <w:rFonts w:hint="eastAsia"/>
          <w:sz w:val="24"/>
        </w:rPr>
        <w:t>二、机构设置</w:t>
      </w:r>
    </w:p>
    <w:p>
      <w:pPr>
        <w:pStyle w:val="12"/>
        <w:adjustRightInd w:val="0"/>
        <w:snapToGrid w:val="0"/>
        <w:spacing w:before="0" w:line="440" w:lineRule="exact"/>
        <w:jc w:val="left"/>
        <w:rPr>
          <w:rFonts w:hint="eastAsia"/>
          <w:b/>
          <w:bCs/>
          <w:sz w:val="28"/>
          <w:szCs w:val="28"/>
        </w:rPr>
      </w:pPr>
      <w:r>
        <w:rPr>
          <w:rFonts w:hint="eastAsia"/>
          <w:b/>
          <w:bCs/>
          <w:sz w:val="28"/>
          <w:szCs w:val="28"/>
        </w:rPr>
        <w:t>第二部分 2022年度单位决算情况说明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jc w:val="left"/>
        <w:rPr>
          <w:sz w:val="24"/>
        </w:rPr>
      </w:pPr>
      <w:r>
        <w:rPr>
          <w:rFonts w:hint="eastAsia"/>
          <w:sz w:val="24"/>
        </w:rPr>
        <w:t>九、国有资本经营预算支出决算情况说明</w:t>
      </w:r>
    </w:p>
    <w:p>
      <w:pPr>
        <w:pStyle w:val="13"/>
        <w:adjustRightInd w:val="0"/>
        <w:snapToGrid w:val="0"/>
        <w:spacing w:line="440" w:lineRule="exact"/>
        <w:jc w:val="left"/>
        <w:rPr>
          <w:sz w:val="24"/>
        </w:rPr>
      </w:pPr>
      <w:r>
        <w:rPr>
          <w:rFonts w:hint="eastAsia"/>
          <w:sz w:val="24"/>
        </w:rPr>
        <w:t>十、其他重要事项的情况说明</w:t>
      </w:r>
    </w:p>
    <w:p>
      <w:pPr>
        <w:pStyle w:val="12"/>
        <w:adjustRightInd w:val="0"/>
        <w:snapToGrid w:val="0"/>
        <w:spacing w:before="0" w:line="440" w:lineRule="exact"/>
        <w:jc w:val="left"/>
        <w:rPr>
          <w:rFonts w:hint="eastAsia"/>
          <w:b/>
          <w:bCs/>
          <w:sz w:val="28"/>
          <w:szCs w:val="28"/>
        </w:rPr>
      </w:pPr>
      <w:r>
        <w:rPr>
          <w:rFonts w:hint="eastAsia"/>
          <w:b/>
          <w:bCs/>
          <w:sz w:val="28"/>
          <w:szCs w:val="28"/>
        </w:rPr>
        <w:t>第三部分 名词解释</w:t>
      </w:r>
    </w:p>
    <w:p>
      <w:pPr>
        <w:pStyle w:val="12"/>
        <w:adjustRightInd w:val="0"/>
        <w:snapToGrid w:val="0"/>
        <w:spacing w:before="0" w:line="440" w:lineRule="exact"/>
        <w:jc w:val="left"/>
        <w:rPr>
          <w:rFonts w:hint="eastAsia"/>
          <w:b/>
          <w:bCs/>
          <w:sz w:val="28"/>
          <w:szCs w:val="28"/>
        </w:rPr>
      </w:pPr>
      <w:r>
        <w:rPr>
          <w:rFonts w:hint="eastAsia"/>
          <w:b/>
          <w:bCs/>
          <w:sz w:val="28"/>
          <w:szCs w:val="28"/>
        </w:rPr>
        <w:t>第四部分 附件</w:t>
      </w:r>
    </w:p>
    <w:p>
      <w:pPr>
        <w:pStyle w:val="12"/>
        <w:adjustRightInd w:val="0"/>
        <w:snapToGrid w:val="0"/>
        <w:spacing w:before="0" w:line="440" w:lineRule="exact"/>
        <w:jc w:val="left"/>
        <w:rPr>
          <w:rFonts w:hint="eastAsia"/>
          <w:b/>
          <w:bCs/>
          <w:sz w:val="28"/>
          <w:szCs w:val="28"/>
        </w:rPr>
      </w:pPr>
      <w:r>
        <w:rPr>
          <w:rFonts w:hint="eastAsia"/>
          <w:b/>
          <w:bCs/>
          <w:sz w:val="28"/>
          <w:szCs w:val="28"/>
        </w:rPr>
        <w:t>第五部分 附表</w:t>
      </w:r>
    </w:p>
    <w:p>
      <w:pPr>
        <w:pStyle w:val="13"/>
        <w:adjustRightInd w:val="0"/>
        <w:snapToGrid w:val="0"/>
        <w:spacing w:line="440" w:lineRule="exact"/>
        <w:jc w:val="left"/>
        <w:rPr>
          <w:rFonts w:hint="eastAsia"/>
          <w:sz w:val="24"/>
          <w:lang w:eastAsia="zh-CN"/>
        </w:rPr>
      </w:pPr>
      <w:bookmarkStart w:id="12" w:name="_Toc15396599"/>
      <w:bookmarkStart w:id="13" w:name="_Toc15377196"/>
      <w:r>
        <w:rPr>
          <w:rFonts w:hint="eastAsia"/>
          <w:sz w:val="24"/>
        </w:rPr>
        <w:t>一、收入支出决算</w:t>
      </w:r>
      <w:r>
        <w:rPr>
          <w:rFonts w:hint="eastAsia"/>
          <w:sz w:val="24"/>
          <w:lang w:val="en-US" w:eastAsia="zh-CN"/>
        </w:rPr>
        <w:t>批复表</w:t>
      </w:r>
    </w:p>
    <w:p>
      <w:pPr>
        <w:pStyle w:val="13"/>
        <w:adjustRightInd w:val="0"/>
        <w:snapToGrid w:val="0"/>
        <w:spacing w:line="440" w:lineRule="exact"/>
        <w:jc w:val="left"/>
        <w:rPr>
          <w:rFonts w:hint="eastAsia"/>
          <w:sz w:val="24"/>
        </w:rPr>
      </w:pPr>
      <w:r>
        <w:rPr>
          <w:rFonts w:hint="eastAsia"/>
          <w:sz w:val="24"/>
        </w:rPr>
        <w:t>二、收入决算</w:t>
      </w:r>
      <w:r>
        <w:rPr>
          <w:rFonts w:hint="eastAsia"/>
          <w:sz w:val="24"/>
          <w:lang w:val="en-US" w:eastAsia="zh-CN"/>
        </w:rPr>
        <w:t>批复</w:t>
      </w:r>
      <w:r>
        <w:rPr>
          <w:rFonts w:hint="eastAsia"/>
          <w:sz w:val="24"/>
        </w:rPr>
        <w:t>表</w:t>
      </w:r>
    </w:p>
    <w:p>
      <w:pPr>
        <w:pStyle w:val="13"/>
        <w:adjustRightInd w:val="0"/>
        <w:snapToGrid w:val="0"/>
        <w:spacing w:line="440" w:lineRule="exact"/>
        <w:jc w:val="left"/>
        <w:rPr>
          <w:rFonts w:hint="eastAsia"/>
          <w:sz w:val="24"/>
        </w:rPr>
      </w:pPr>
      <w:r>
        <w:rPr>
          <w:rFonts w:hint="eastAsia"/>
          <w:sz w:val="24"/>
        </w:rPr>
        <w:t>三、支出决算</w:t>
      </w:r>
      <w:r>
        <w:rPr>
          <w:rFonts w:hint="eastAsia"/>
          <w:sz w:val="24"/>
          <w:lang w:val="en-US" w:eastAsia="zh-CN"/>
        </w:rPr>
        <w:t>批复</w:t>
      </w:r>
      <w:r>
        <w:rPr>
          <w:rFonts w:hint="eastAsia"/>
          <w:sz w:val="24"/>
        </w:rPr>
        <w:t>表</w:t>
      </w:r>
    </w:p>
    <w:p>
      <w:pPr>
        <w:pStyle w:val="13"/>
        <w:adjustRightInd w:val="0"/>
        <w:snapToGrid w:val="0"/>
        <w:spacing w:line="440" w:lineRule="exact"/>
        <w:jc w:val="left"/>
        <w:rPr>
          <w:rFonts w:hint="eastAsia"/>
          <w:sz w:val="24"/>
        </w:rPr>
      </w:pPr>
      <w:r>
        <w:rPr>
          <w:rFonts w:hint="eastAsia"/>
          <w:sz w:val="24"/>
        </w:rPr>
        <w:t>四、财政拨款收入支出决算</w:t>
      </w:r>
      <w:r>
        <w:rPr>
          <w:rFonts w:hint="eastAsia"/>
          <w:sz w:val="24"/>
          <w:lang w:val="en-US" w:eastAsia="zh-CN"/>
        </w:rPr>
        <w:t>批复</w:t>
      </w:r>
      <w:r>
        <w:rPr>
          <w:rFonts w:hint="eastAsia"/>
          <w:sz w:val="24"/>
        </w:rPr>
        <w:t>表</w:t>
      </w:r>
    </w:p>
    <w:p>
      <w:pPr>
        <w:pStyle w:val="13"/>
        <w:adjustRightInd w:val="0"/>
        <w:snapToGrid w:val="0"/>
        <w:spacing w:line="440" w:lineRule="exact"/>
        <w:jc w:val="left"/>
        <w:rPr>
          <w:rFonts w:hint="default"/>
          <w:sz w:val="24"/>
          <w:lang w:val="en-US" w:eastAsia="zh-CN"/>
        </w:rPr>
      </w:pPr>
      <w:r>
        <w:rPr>
          <w:rFonts w:hint="eastAsia"/>
          <w:sz w:val="24"/>
        </w:rPr>
        <w:t>五、一般公共预算财政拨款</w:t>
      </w:r>
      <w:r>
        <w:rPr>
          <w:rFonts w:hint="eastAsia"/>
          <w:sz w:val="24"/>
          <w:lang w:val="en-US" w:eastAsia="zh-CN"/>
        </w:rPr>
        <w:t>收入支出决算批复表</w:t>
      </w:r>
    </w:p>
    <w:p>
      <w:pPr>
        <w:pStyle w:val="13"/>
        <w:adjustRightInd w:val="0"/>
        <w:snapToGrid w:val="0"/>
        <w:spacing w:line="440" w:lineRule="exact"/>
        <w:jc w:val="left"/>
        <w:rPr>
          <w:rFonts w:hint="default"/>
          <w:sz w:val="24"/>
          <w:lang w:val="en-US" w:eastAsia="zh-CN"/>
        </w:rPr>
      </w:pPr>
      <w:r>
        <w:rPr>
          <w:rFonts w:hint="eastAsia"/>
          <w:sz w:val="24"/>
        </w:rPr>
        <w:t>六、一般公共预算财政拨款</w:t>
      </w:r>
      <w:r>
        <w:rPr>
          <w:rFonts w:hint="eastAsia"/>
          <w:sz w:val="24"/>
          <w:lang w:val="en-US" w:eastAsia="zh-CN"/>
        </w:rPr>
        <w:t>基本支出决算明细批复表</w:t>
      </w:r>
    </w:p>
    <w:p>
      <w:pPr>
        <w:pStyle w:val="13"/>
        <w:adjustRightInd w:val="0"/>
        <w:snapToGrid w:val="0"/>
        <w:spacing w:line="440" w:lineRule="exact"/>
        <w:jc w:val="left"/>
        <w:rPr>
          <w:rFonts w:hint="eastAsia"/>
          <w:sz w:val="24"/>
          <w:lang w:val="en-US" w:eastAsia="zh-CN"/>
        </w:rPr>
      </w:pPr>
      <w:r>
        <w:rPr>
          <w:rFonts w:hint="eastAsia"/>
          <w:sz w:val="24"/>
        </w:rPr>
        <w:t>七、</w:t>
      </w:r>
      <w:r>
        <w:rPr>
          <w:rFonts w:hint="eastAsia"/>
          <w:sz w:val="24"/>
          <w:lang w:val="en-US" w:eastAsia="zh-CN"/>
        </w:rPr>
        <w:t>政府性基金预算财政拨款收入支出决算批复表</w:t>
      </w:r>
    </w:p>
    <w:p>
      <w:pPr>
        <w:pStyle w:val="13"/>
        <w:adjustRightInd w:val="0"/>
        <w:snapToGrid w:val="0"/>
        <w:spacing w:line="440" w:lineRule="exact"/>
        <w:jc w:val="left"/>
        <w:rPr>
          <w:rFonts w:hint="eastAsia"/>
          <w:sz w:val="24"/>
        </w:rPr>
      </w:pPr>
      <w:r>
        <w:rPr>
          <w:rFonts w:hint="eastAsia"/>
          <w:sz w:val="24"/>
        </w:rPr>
        <w:t>八、</w:t>
      </w:r>
      <w:r>
        <w:rPr>
          <w:rFonts w:hint="eastAsia"/>
          <w:sz w:val="24"/>
          <w:lang w:val="en-US" w:eastAsia="zh-CN"/>
        </w:rPr>
        <w:t>国有资本经营预算财政拨款收入支出决算批复表</w:t>
      </w:r>
    </w:p>
    <w:p>
      <w:pPr>
        <w:pStyle w:val="13"/>
        <w:adjustRightInd w:val="0"/>
        <w:snapToGrid w:val="0"/>
        <w:spacing w:line="440" w:lineRule="exact"/>
        <w:jc w:val="left"/>
        <w:rPr>
          <w:rFonts w:hint="eastAsia" w:ascii="黑体" w:hAnsi="黑体" w:eastAsia="黑体"/>
          <w:b w:val="0"/>
        </w:rPr>
      </w:pPr>
      <w:r>
        <w:rPr>
          <w:rFonts w:hint="eastAsia"/>
          <w:sz w:val="24"/>
        </w:rPr>
        <w:t>九、</w:t>
      </w:r>
      <w:r>
        <w:rPr>
          <w:rFonts w:hint="eastAsia"/>
          <w:sz w:val="24"/>
          <w:lang w:val="en-US" w:eastAsia="zh-CN"/>
        </w:rPr>
        <w:t>部门决算量化评价表</w:t>
      </w: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both"/>
        <w:rPr>
          <w:rFonts w:hint="eastAsia" w:ascii="黑体" w:hAnsi="黑体" w:eastAsia="黑体"/>
          <w:b w:val="0"/>
        </w:rPr>
      </w:pPr>
    </w:p>
    <w:p>
      <w:pPr>
        <w:rPr>
          <w:rFonts w:hint="eastAsia" w:ascii="黑体" w:hAnsi="黑体" w:eastAsia="黑体"/>
          <w:b w:val="0"/>
        </w:rPr>
      </w:pPr>
    </w:p>
    <w:p>
      <w:pPr>
        <w:pStyle w:val="2"/>
        <w:rPr>
          <w:rFonts w:hint="eastAsia"/>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both"/>
        <w:rPr>
          <w:rFonts w:hint="eastAsia" w:ascii="黑体" w:hAnsi="黑体" w:eastAsia="黑体"/>
          <w:b w:val="0"/>
        </w:rPr>
      </w:pPr>
    </w:p>
    <w:p>
      <w:pPr>
        <w:pStyle w:val="4"/>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widowControl/>
        <w:jc w:val="left"/>
        <w:rPr>
          <w:rFonts w:ascii="黑体" w:eastAsia="黑体"/>
          <w:sz w:val="32"/>
          <w:szCs w:val="32"/>
        </w:rPr>
      </w:pPr>
    </w:p>
    <w:p>
      <w:pPr>
        <w:pStyle w:val="5"/>
        <w:numPr>
          <w:ilvl w:val="0"/>
          <w:numId w:val="1"/>
        </w:numPr>
        <w:rPr>
          <w:rStyle w:val="27"/>
          <w:rFonts w:ascii="黑体" w:hAnsi="黑体" w:eastAsia="黑体"/>
          <w:b w:val="0"/>
          <w:bCs w:val="0"/>
        </w:rPr>
      </w:pPr>
      <w:bookmarkStart w:id="14" w:name="_Toc15377197"/>
      <w:bookmarkStart w:id="15" w:name="_Toc15396600"/>
      <w:r>
        <w:rPr>
          <w:rStyle w:val="27"/>
          <w:rFonts w:hint="eastAsia" w:ascii="黑体" w:hAnsi="黑体" w:eastAsia="黑体"/>
          <w:b w:val="0"/>
          <w:bCs w:val="0"/>
        </w:rPr>
        <w:t>主要职责</w:t>
      </w:r>
    </w:p>
    <w:p>
      <w:pPr>
        <w:pStyle w:val="7"/>
        <w:adjustRightInd w:val="0"/>
        <w:snapToGrid w:val="0"/>
        <w:spacing w:before="93" w:line="600" w:lineRule="exact"/>
        <w:ind w:firstLine="675" w:firstLineChars="210"/>
        <w:outlineLvl w:val="2"/>
        <w:rPr>
          <w:rFonts w:ascii="仿宋" w:hAnsi="仿宋" w:eastAsia="仿宋"/>
          <w:b/>
          <w:bCs/>
          <w:sz w:val="32"/>
          <w:szCs w:val="32"/>
        </w:rPr>
      </w:pPr>
      <w:bookmarkStart w:id="16" w:name="_Toc15377198"/>
      <w:bookmarkStart w:id="17" w:name="_Toc15378445"/>
      <w:r>
        <w:rPr>
          <w:rFonts w:hint="eastAsia" w:ascii="仿宋" w:hAnsi="仿宋" w:eastAsia="仿宋"/>
          <w:b/>
          <w:bCs/>
          <w:sz w:val="32"/>
          <w:szCs w:val="32"/>
        </w:rPr>
        <w:t>（一）主要职能。</w:t>
      </w:r>
      <w:bookmarkEnd w:id="16"/>
      <w:bookmarkEnd w:id="17"/>
    </w:p>
    <w:p>
      <w:pPr>
        <w:spacing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实施</w:t>
      </w:r>
      <w:r>
        <w:rPr>
          <w:rFonts w:hint="eastAsia" w:ascii="仿宋" w:hAnsi="仿宋" w:eastAsia="仿宋"/>
          <w:color w:val="000000"/>
          <w:sz w:val="32"/>
          <w:szCs w:val="32"/>
          <w:lang w:val="en-US" w:eastAsia="zh-CN"/>
        </w:rPr>
        <w:t>小学</w:t>
      </w:r>
      <w:r>
        <w:rPr>
          <w:rFonts w:hint="eastAsia" w:ascii="仿宋" w:hAnsi="仿宋" w:eastAsia="仿宋"/>
          <w:color w:val="000000"/>
          <w:sz w:val="32"/>
          <w:szCs w:val="32"/>
        </w:rPr>
        <w:t>义务教育，促进义务</w:t>
      </w:r>
      <w:r>
        <w:rPr>
          <w:rFonts w:hint="eastAsia" w:ascii="仿宋" w:hAnsi="仿宋" w:eastAsia="仿宋"/>
          <w:color w:val="000000"/>
          <w:sz w:val="32"/>
          <w:szCs w:val="32"/>
          <w:lang w:eastAsia="zh-CN"/>
        </w:rPr>
        <w:t>教育</w:t>
      </w:r>
      <w:r>
        <w:rPr>
          <w:rFonts w:hint="eastAsia" w:ascii="仿宋" w:hAnsi="仿宋" w:eastAsia="仿宋"/>
          <w:color w:val="000000"/>
          <w:sz w:val="32"/>
          <w:szCs w:val="32"/>
        </w:rPr>
        <w:t xml:space="preserve">发展全面均衡发展，正确贯彻执行党和国家的教育方针、政策、法规。 </w:t>
      </w:r>
    </w:p>
    <w:p>
      <w:pPr>
        <w:spacing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积极稳妥地推进教育改革，按教育规律办事，不断提高教育质量。坚持教书育人，服务育人，环境育人方针，加强对学生的思想品德教育，使学生的德智体全面发展。</w:t>
      </w:r>
    </w:p>
    <w:p>
      <w:pPr>
        <w:pStyle w:val="7"/>
        <w:adjustRightInd w:val="0"/>
        <w:snapToGrid w:val="0"/>
        <w:spacing w:before="93" w:line="600" w:lineRule="exact"/>
        <w:ind w:firstLine="675" w:firstLineChars="210"/>
        <w:outlineLvl w:val="2"/>
        <w:rPr>
          <w:rFonts w:ascii="仿宋" w:hAnsi="仿宋" w:eastAsia="仿宋"/>
          <w:b/>
          <w:bCs/>
          <w:sz w:val="32"/>
          <w:szCs w:val="32"/>
        </w:rPr>
      </w:pPr>
      <w:bookmarkStart w:id="18" w:name="_Toc15378446"/>
      <w:bookmarkStart w:id="19" w:name="_Toc15377199"/>
      <w:r>
        <w:rPr>
          <w:rFonts w:hint="eastAsia" w:ascii="仿宋" w:hAnsi="仿宋" w:eastAsia="仿宋"/>
          <w:b/>
          <w:bCs/>
          <w:sz w:val="32"/>
          <w:szCs w:val="32"/>
        </w:rPr>
        <w:t>（二）</w:t>
      </w:r>
      <w:r>
        <w:rPr>
          <w:rFonts w:ascii="仿宋" w:hAnsi="仿宋" w:eastAsia="仿宋"/>
          <w:b/>
          <w:bCs/>
          <w:sz w:val="32"/>
          <w:szCs w:val="32"/>
        </w:rPr>
        <w:t>20</w:t>
      </w:r>
      <w:r>
        <w:rPr>
          <w:rFonts w:hint="eastAsia" w:ascii="仿宋" w:hAnsi="仿宋" w:eastAsia="仿宋"/>
          <w:b/>
          <w:bCs/>
          <w:sz w:val="32"/>
          <w:szCs w:val="32"/>
        </w:rPr>
        <w:t>2</w:t>
      </w:r>
      <w:r>
        <w:rPr>
          <w:rFonts w:hint="eastAsia" w:ascii="仿宋" w:hAnsi="仿宋" w:eastAsia="仿宋"/>
          <w:b/>
          <w:bCs/>
          <w:sz w:val="32"/>
          <w:szCs w:val="32"/>
          <w:lang w:val="en-US" w:eastAsia="zh-CN"/>
        </w:rPr>
        <w:t>2</w:t>
      </w:r>
      <w:r>
        <w:rPr>
          <w:rFonts w:hint="eastAsia" w:ascii="仿宋" w:hAnsi="仿宋" w:eastAsia="仿宋"/>
          <w:b/>
          <w:bCs/>
          <w:sz w:val="32"/>
          <w:szCs w:val="32"/>
        </w:rPr>
        <w:t>年重点工作完成情况。</w:t>
      </w:r>
      <w:bookmarkEnd w:id="18"/>
      <w:bookmarkEnd w:id="19"/>
    </w:p>
    <w:p>
      <w:pPr>
        <w:spacing w:line="52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1</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坚持五育并举，进一步提高教学质量，优化办学环境，打造人民群众家门口的优质教育，助力乡村振兴。</w:t>
      </w:r>
    </w:p>
    <w:p>
      <w:pPr>
        <w:spacing w:line="52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扎实推进学校硬件建设，打造群众家门口的优质教育。同心同德谋求学校大发展。</w:t>
      </w:r>
      <w:r>
        <w:rPr>
          <w:rFonts w:hint="eastAsia" w:ascii="仿宋" w:hAnsi="仿宋" w:eastAsia="仿宋"/>
          <w:color w:val="000000"/>
          <w:sz w:val="32"/>
          <w:szCs w:val="32"/>
          <w:lang w:val="en-US" w:eastAsia="zh-CN"/>
        </w:rPr>
        <w:t>完成了运动场改建工程项目附属工程，极大地改善了学校的办学条件。</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.抓校园文化建设，大兴校园学习之风，研修之风，打造书香校园。</w:t>
      </w:r>
    </w:p>
    <w:p>
      <w:pPr>
        <w:pStyle w:val="7"/>
        <w:spacing w:before="93"/>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.继续加强党建工作，助力乡村振兴，强化行风建设，提升办学正能量。</w:t>
      </w:r>
    </w:p>
    <w:p>
      <w:pPr>
        <w:pStyle w:val="7"/>
        <w:spacing w:before="93"/>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5.继续创建和谐校园，平安校园，增强关注生命健康意识，继续让安全工作和教学质量工作成为压倒一切的头等大事。进一步强化学校安全稳定工作，打造确保校园平安、稳定、和谐。</w:t>
      </w:r>
    </w:p>
    <w:p>
      <w:pPr>
        <w:pStyle w:val="7"/>
        <w:spacing w:before="93"/>
        <w:ind w:firstLine="600" w:firstLineChars="200"/>
        <w:rPr>
          <w:rFonts w:hint="eastAsia" w:ascii="黑体" w:hAnsi="黑体" w:eastAsia="黑体"/>
          <w:b w:val="0"/>
        </w:rPr>
      </w:pPr>
      <w:r>
        <w:rPr>
          <w:rFonts w:hint="eastAsia" w:ascii="黑体" w:hAnsi="黑体" w:eastAsia="黑体"/>
          <w:b w:val="0"/>
        </w:rPr>
        <w:t>二、机构设置</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剑阁县杨村小学校</w:t>
      </w:r>
      <w:r>
        <w:rPr>
          <w:rFonts w:hint="eastAsia" w:ascii="仿宋" w:hAnsi="仿宋" w:eastAsia="仿宋"/>
          <w:color w:val="000000"/>
          <w:sz w:val="32"/>
          <w:szCs w:val="32"/>
        </w:rPr>
        <w:t>下属二级单位0个，其中行政单位0个，参照公务员法管理的事业单位0个，其他事业单位0个。</w:t>
      </w:r>
    </w:p>
    <w:p>
      <w:pPr>
        <w:pStyle w:val="7"/>
        <w:spacing w:before="93"/>
        <w:ind w:firstLine="600" w:firstLineChars="200"/>
        <w:rPr>
          <w:rFonts w:hint="eastAsia" w:ascii="黑体" w:hAnsi="黑体" w:eastAsia="黑体"/>
          <w:b w:val="0"/>
        </w:rPr>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6"/>
          <w:rFonts w:ascii="黑体" w:hAnsi="黑体" w:eastAsia="黑体"/>
          <w:b w:val="0"/>
          <w:bCs/>
        </w:rPr>
      </w:pPr>
      <w:bookmarkStart w:id="20" w:name="_Toc15377204"/>
      <w:bookmarkStart w:id="21" w:name="_Toc15396602"/>
      <w:r>
        <w:rPr>
          <w:rFonts w:hint="eastAsia" w:ascii="黑体" w:hAnsi="黑体" w:eastAsia="黑体"/>
          <w:b w:val="0"/>
        </w:rPr>
        <w:t>第二部分 2022年度</w:t>
      </w:r>
      <w:r>
        <w:rPr>
          <w:rStyle w:val="26"/>
          <w:rFonts w:hint="eastAsia" w:ascii="黑体" w:hAnsi="黑体" w:eastAsia="黑体"/>
          <w:b w:val="0"/>
          <w:bCs/>
        </w:rPr>
        <w:t>单位决算情况说明</w:t>
      </w:r>
      <w:bookmarkEnd w:id="20"/>
      <w:bookmarkEnd w:id="21"/>
    </w:p>
    <w:p/>
    <w:p>
      <w:pPr>
        <w:pStyle w:val="25"/>
        <w:numPr>
          <w:ilvl w:val="0"/>
          <w:numId w:val="0"/>
        </w:numPr>
        <w:spacing w:line="600" w:lineRule="exact"/>
        <w:ind w:left="1360" w:leftChars="0" w:hanging="720" w:firstLineChars="0"/>
        <w:outlineLvl w:val="1"/>
        <w:rPr>
          <w:rStyle w:val="27"/>
          <w:rFonts w:ascii="黑体" w:hAnsi="黑体" w:eastAsia="黑体"/>
          <w:b w:val="0"/>
        </w:rPr>
      </w:pPr>
      <w:bookmarkStart w:id="22" w:name="_Toc15377205"/>
      <w:bookmarkStart w:id="23" w:name="_Toc15396603"/>
      <w:r>
        <w:rPr>
          <w:rFonts w:hint="default" w:ascii="黑体" w:hAnsi="黑体" w:eastAsia="黑体" w:cstheme="majorBidi"/>
          <w:b w:val="0"/>
          <w:bCs/>
          <w:kern w:val="2"/>
          <w:sz w:val="32"/>
          <w:szCs w:val="32"/>
          <w:lang w:val="en-US" w:eastAsia="zh-CN" w:bidi="ar-SA"/>
        </w:rPr>
        <w:t>一、</w:t>
      </w:r>
      <w:r>
        <w:rPr>
          <w:rFonts w:hint="eastAsia" w:ascii="黑体" w:hAnsi="黑体" w:eastAsia="黑体"/>
          <w:sz w:val="32"/>
          <w:szCs w:val="32"/>
        </w:rPr>
        <w:t>收</w:t>
      </w:r>
      <w:r>
        <w:rPr>
          <w:rStyle w:val="27"/>
          <w:rFonts w:hint="eastAsia" w:ascii="黑体" w:hAnsi="黑体" w:eastAsia="黑体"/>
          <w:b w:val="0"/>
        </w:rPr>
        <w:t>入支出决算总体情况说明</w:t>
      </w:r>
      <w:bookmarkEnd w:id="22"/>
      <w:bookmarkEnd w:id="23"/>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年度收入总计</w:t>
      </w:r>
      <w:r>
        <w:rPr>
          <w:rFonts w:hint="eastAsia" w:ascii="仿宋" w:hAnsi="仿宋" w:eastAsia="仿宋"/>
          <w:color w:val="000000"/>
          <w:sz w:val="32"/>
          <w:szCs w:val="32"/>
          <w:lang w:val="en-US" w:eastAsia="zh-CN"/>
        </w:rPr>
        <w:t>837.98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其中：当年公共财政预算拨款831.80万元，政府性基金预算财政拨款收入1.10万元，年初结转结余5.08万元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支出总计</w:t>
      </w:r>
      <w:r>
        <w:rPr>
          <w:rFonts w:hint="eastAsia" w:ascii="仿宋" w:hAnsi="仿宋" w:eastAsia="仿宋"/>
          <w:color w:val="000000"/>
          <w:sz w:val="32"/>
          <w:szCs w:val="32"/>
          <w:lang w:val="en-US" w:eastAsia="zh-CN"/>
        </w:rPr>
        <w:t>837.98</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年相比，收入总计减少</w:t>
      </w:r>
      <w:r>
        <w:rPr>
          <w:rFonts w:hint="eastAsia" w:ascii="仿宋" w:hAnsi="仿宋" w:eastAsia="仿宋"/>
          <w:color w:val="000000"/>
          <w:sz w:val="32"/>
          <w:szCs w:val="32"/>
          <w:lang w:val="en-US" w:eastAsia="zh-CN"/>
        </w:rPr>
        <w:t>164.33</w:t>
      </w:r>
      <w:r>
        <w:rPr>
          <w:rFonts w:hint="eastAsia" w:ascii="仿宋" w:hAnsi="仿宋" w:eastAsia="仿宋"/>
          <w:color w:val="000000"/>
          <w:sz w:val="32"/>
          <w:szCs w:val="32"/>
        </w:rPr>
        <w:t>万元</w:t>
      </w:r>
      <w:r>
        <w:rPr>
          <w:rFonts w:hint="eastAsia" w:ascii="仿宋" w:hAnsi="仿宋" w:eastAsia="仿宋"/>
          <w:color w:val="auto"/>
          <w:sz w:val="32"/>
          <w:szCs w:val="32"/>
        </w:rPr>
        <w:t>、减少</w:t>
      </w:r>
      <w:r>
        <w:rPr>
          <w:rFonts w:hint="eastAsia" w:ascii="仿宋" w:hAnsi="仿宋" w:eastAsia="仿宋"/>
          <w:color w:val="auto"/>
          <w:sz w:val="32"/>
          <w:szCs w:val="32"/>
          <w:lang w:val="en-US" w:eastAsia="zh-CN"/>
        </w:rPr>
        <w:t>16.39</w:t>
      </w:r>
      <w:r>
        <w:rPr>
          <w:rFonts w:ascii="仿宋" w:hAnsi="仿宋" w:eastAsia="仿宋"/>
          <w:color w:val="auto"/>
          <w:sz w:val="32"/>
          <w:szCs w:val="32"/>
        </w:rPr>
        <w:t>%</w:t>
      </w:r>
      <w:r>
        <w:rPr>
          <w:rFonts w:hint="eastAsia" w:ascii="仿宋" w:hAnsi="仿宋" w:eastAsia="仿宋"/>
          <w:color w:val="auto"/>
          <w:sz w:val="32"/>
          <w:szCs w:val="32"/>
        </w:rPr>
        <w:t>；支出总计</w:t>
      </w:r>
      <w:r>
        <w:rPr>
          <w:rFonts w:hint="eastAsia" w:ascii="仿宋" w:hAnsi="仿宋" w:eastAsia="仿宋"/>
          <w:color w:val="auto"/>
          <w:sz w:val="32"/>
          <w:szCs w:val="32"/>
          <w:lang w:val="en-US" w:eastAsia="zh-CN"/>
        </w:rPr>
        <w:t>减少164.33</w:t>
      </w:r>
      <w:r>
        <w:rPr>
          <w:rFonts w:hint="eastAsia" w:ascii="仿宋" w:hAnsi="仿宋" w:eastAsia="仿宋"/>
          <w:color w:val="auto"/>
          <w:sz w:val="32"/>
          <w:szCs w:val="32"/>
        </w:rPr>
        <w:t>万元，增加</w:t>
      </w:r>
      <w:r>
        <w:rPr>
          <w:rFonts w:hint="eastAsia" w:ascii="仿宋" w:hAnsi="仿宋" w:eastAsia="仿宋"/>
          <w:color w:val="auto"/>
          <w:sz w:val="32"/>
          <w:szCs w:val="32"/>
          <w:lang w:val="en-US" w:eastAsia="zh-CN"/>
        </w:rPr>
        <w:t>16.39</w:t>
      </w:r>
      <w:r>
        <w:rPr>
          <w:rFonts w:ascii="仿宋" w:hAnsi="仿宋" w:eastAsia="仿宋"/>
          <w:color w:val="auto"/>
          <w:sz w:val="32"/>
          <w:szCs w:val="32"/>
        </w:rPr>
        <w:t>%</w:t>
      </w:r>
      <w:r>
        <w:rPr>
          <w:rFonts w:hint="eastAsia" w:ascii="仿宋" w:hAnsi="仿宋" w:eastAsia="仿宋"/>
          <w:color w:val="auto"/>
          <w:sz w:val="32"/>
          <w:szCs w:val="32"/>
        </w:rPr>
        <w:t>。主要变</w:t>
      </w:r>
      <w:r>
        <w:rPr>
          <w:rFonts w:hint="eastAsia" w:ascii="仿宋" w:hAnsi="仿宋" w:eastAsia="仿宋"/>
          <w:color w:val="000000"/>
          <w:sz w:val="32"/>
          <w:szCs w:val="32"/>
        </w:rPr>
        <w:t>动原因202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年我单位无重大项目建设，项目资金收入减少、</w:t>
      </w:r>
      <w:r>
        <w:rPr>
          <w:rFonts w:hint="eastAsia" w:ascii="仿宋" w:hAnsi="仿宋" w:eastAsia="仿宋"/>
          <w:color w:val="000000"/>
          <w:sz w:val="32"/>
          <w:szCs w:val="32"/>
          <w:lang w:val="en-US" w:eastAsia="zh-CN"/>
        </w:rPr>
        <w:t>上年度结转结余资金支付减少</w:t>
      </w:r>
      <w:r>
        <w:rPr>
          <w:rFonts w:hint="eastAsia" w:ascii="仿宋" w:hAnsi="仿宋" w:eastAsia="仿宋"/>
          <w:color w:val="000000"/>
          <w:sz w:val="32"/>
          <w:szCs w:val="32"/>
        </w:rPr>
        <w:t>。</w:t>
      </w:r>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240030</wp:posOffset>
            </wp:positionH>
            <wp:positionV relativeFrom="paragraph">
              <wp:posOffset>3175</wp:posOffset>
            </wp:positionV>
            <wp:extent cx="4580890" cy="2284095"/>
            <wp:effectExtent l="4445" t="4445" r="5715" b="1651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5"/>
        <w:widowControl w:val="0"/>
        <w:numPr>
          <w:ilvl w:val="0"/>
          <w:numId w:val="0"/>
        </w:numPr>
        <w:spacing w:line="600" w:lineRule="exact"/>
        <w:jc w:val="both"/>
        <w:outlineLvl w:val="1"/>
        <w:rPr>
          <w:rFonts w:hint="eastAsia" w:ascii="仿宋" w:hAnsi="仿宋" w:eastAsia="仿宋"/>
          <w:color w:val="000000"/>
          <w:sz w:val="32"/>
          <w:szCs w:val="32"/>
        </w:rPr>
      </w:pPr>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rPr>
      </w:pPr>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rPr>
      </w:pPr>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lang w:eastAsia="zh-CN"/>
        </w:rPr>
      </w:pPr>
    </w:p>
    <w:p>
      <w:pPr>
        <w:pStyle w:val="25"/>
        <w:widowControl w:val="0"/>
        <w:numPr>
          <w:ilvl w:val="0"/>
          <w:numId w:val="0"/>
        </w:numPr>
        <w:spacing w:line="600" w:lineRule="exact"/>
        <w:jc w:val="both"/>
        <w:outlineLvl w:val="1"/>
        <w:rPr>
          <w:rFonts w:hint="eastAsia" w:ascii="仿宋" w:hAnsi="仿宋" w:eastAsia="仿宋"/>
          <w:color w:val="000000"/>
          <w:sz w:val="32"/>
          <w:szCs w:val="32"/>
        </w:rPr>
      </w:pPr>
    </w:p>
    <w:p>
      <w:pPr>
        <w:spacing w:line="600" w:lineRule="exact"/>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5"/>
        <w:numPr>
          <w:ilvl w:val="0"/>
          <w:numId w:val="0"/>
        </w:numPr>
        <w:spacing w:line="600" w:lineRule="exact"/>
        <w:ind w:left="1360" w:leftChars="0" w:hanging="720" w:firstLineChars="0"/>
        <w:outlineLvl w:val="1"/>
        <w:rPr>
          <w:rStyle w:val="27"/>
          <w:rFonts w:ascii="黑体" w:hAnsi="黑体" w:eastAsia="黑体"/>
          <w:b w:val="0"/>
        </w:rPr>
      </w:pPr>
      <w:bookmarkStart w:id="24" w:name="_Toc15396604"/>
      <w:bookmarkStart w:id="25" w:name="_Toc15377206"/>
      <w:r>
        <w:rPr>
          <w:rFonts w:hint="eastAsia" w:ascii="黑体" w:hAnsi="黑体" w:eastAsia="黑体" w:cstheme="majorBidi"/>
          <w:b w:val="0"/>
          <w:bCs/>
          <w:kern w:val="2"/>
          <w:sz w:val="32"/>
          <w:szCs w:val="32"/>
          <w:lang w:val="en-US" w:eastAsia="zh-CN" w:bidi="ar-SA"/>
        </w:rPr>
        <w:t>二</w:t>
      </w:r>
      <w:r>
        <w:rPr>
          <w:rFonts w:hint="default" w:ascii="黑体" w:hAnsi="黑体" w:eastAsia="黑体" w:cstheme="majorBidi"/>
          <w:b w:val="0"/>
          <w:bCs/>
          <w:kern w:val="2"/>
          <w:sz w:val="32"/>
          <w:szCs w:val="32"/>
          <w:lang w:val="en-US" w:eastAsia="zh-CN" w:bidi="ar-SA"/>
        </w:rPr>
        <w:t>、</w:t>
      </w:r>
      <w:r>
        <w:rPr>
          <w:rFonts w:hint="eastAsia" w:ascii="黑体" w:hAnsi="黑体" w:eastAsia="黑体"/>
          <w:sz w:val="32"/>
          <w:szCs w:val="32"/>
        </w:rPr>
        <w:t>收</w:t>
      </w:r>
      <w:r>
        <w:rPr>
          <w:rStyle w:val="27"/>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color w:val="000000"/>
          <w:sz w:val="32"/>
          <w:szCs w:val="32"/>
          <w:lang w:val="en-US" w:eastAsia="zh-CN"/>
        </w:rPr>
        <w:t>832.90</w:t>
      </w:r>
      <w:r>
        <w:rPr>
          <w:rFonts w:hint="eastAsia" w:ascii="仿宋" w:hAnsi="仿宋" w:eastAsia="仿宋"/>
          <w:sz w:val="32"/>
          <w:szCs w:val="32"/>
        </w:rPr>
        <w:t>万元，其中：一般公共预算财政拨款收入</w:t>
      </w:r>
      <w:r>
        <w:rPr>
          <w:rFonts w:hint="eastAsia" w:ascii="仿宋" w:hAnsi="仿宋" w:eastAsia="仿宋"/>
          <w:color w:val="000000"/>
          <w:sz w:val="32"/>
          <w:szCs w:val="32"/>
        </w:rPr>
        <w:t>831.8</w:t>
      </w:r>
      <w:r>
        <w:rPr>
          <w:rFonts w:hint="eastAsia" w:ascii="仿宋" w:hAnsi="仿宋" w:eastAsia="仿宋"/>
          <w:color w:val="000000"/>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99.87</w:t>
      </w:r>
      <w:r>
        <w:rPr>
          <w:rFonts w:ascii="仿宋" w:hAnsi="仿宋" w:eastAsia="仿宋"/>
          <w:color w:val="auto"/>
          <w:sz w:val="32"/>
          <w:szCs w:val="32"/>
        </w:rPr>
        <w:t>%</w:t>
      </w:r>
      <w:r>
        <w:rPr>
          <w:rFonts w:hint="eastAsia" w:ascii="仿宋" w:hAnsi="仿宋" w:eastAsia="仿宋"/>
          <w:color w:val="auto"/>
          <w:sz w:val="32"/>
          <w:szCs w:val="32"/>
        </w:rPr>
        <w:t>；政府性基金预算财政拨款收入</w:t>
      </w:r>
      <w:r>
        <w:rPr>
          <w:rFonts w:hint="eastAsia" w:ascii="仿宋" w:hAnsi="仿宋" w:eastAsia="仿宋"/>
          <w:color w:val="auto"/>
          <w:sz w:val="32"/>
          <w:szCs w:val="32"/>
          <w:lang w:val="en-US" w:eastAsia="zh-CN"/>
        </w:rPr>
        <w:t>1.10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0.13</w:t>
      </w:r>
      <w:r>
        <w:rPr>
          <w:rFonts w:ascii="仿宋" w:hAnsi="仿宋" w:eastAsia="仿宋"/>
          <w:color w:val="auto"/>
          <w:sz w:val="32"/>
          <w:szCs w:val="32"/>
        </w:rPr>
        <w:t>%</w:t>
      </w:r>
      <w:r>
        <w:rPr>
          <w:rFonts w:hint="eastAsia" w:ascii="仿宋" w:hAnsi="仿宋" w:eastAsia="仿宋"/>
          <w:color w:val="auto"/>
          <w:sz w:val="32"/>
          <w:szCs w:val="32"/>
        </w:rPr>
        <w:t>；国有资本经营预算</w:t>
      </w:r>
      <w:r>
        <w:rPr>
          <w:rFonts w:hint="eastAsia" w:ascii="仿宋" w:hAnsi="仿宋" w:eastAsia="仿宋"/>
          <w:sz w:val="32"/>
          <w:szCs w:val="32"/>
        </w:rPr>
        <w:t>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0288" behindDoc="1" locked="0" layoutInCell="1" allowOverlap="1">
            <wp:simplePos x="0" y="0"/>
            <wp:positionH relativeFrom="column">
              <wp:posOffset>201295</wp:posOffset>
            </wp:positionH>
            <wp:positionV relativeFrom="paragraph">
              <wp:posOffset>166370</wp:posOffset>
            </wp:positionV>
            <wp:extent cx="4505960" cy="2454910"/>
            <wp:effectExtent l="4445" t="4445" r="23495" b="1714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outlineLvl w:val="1"/>
        <w:rPr>
          <w:rFonts w:hint="eastAsia" w:ascii="仿宋" w:hAnsi="仿宋" w:eastAsia="仿宋"/>
          <w:sz w:val="32"/>
          <w:szCs w:val="32"/>
          <w:lang w:eastAsia="zh-CN"/>
        </w:rPr>
      </w:pPr>
    </w:p>
    <w:p>
      <w:pPr>
        <w:spacing w:line="600" w:lineRule="exact"/>
        <w:ind w:firstLine="1600" w:firstLineChars="500"/>
        <w:rPr>
          <w:rFonts w:ascii="仿宋_GB2312" w:eastAsia="仿宋_GB2312"/>
          <w:sz w:val="32"/>
          <w:szCs w:val="32"/>
        </w:rPr>
      </w:pPr>
      <w:r>
        <w:rPr>
          <w:rFonts w:hint="eastAsia" w:ascii="仿宋" w:hAnsi="仿宋" w:eastAsia="仿宋"/>
          <w:sz w:val="32"/>
          <w:szCs w:val="32"/>
        </w:rPr>
        <w:t>（图2：收入决算结构图）（饼状图）</w:t>
      </w:r>
    </w:p>
    <w:p>
      <w:pPr>
        <w:pStyle w:val="25"/>
        <w:numPr>
          <w:ilvl w:val="0"/>
          <w:numId w:val="0"/>
        </w:numPr>
        <w:spacing w:line="600" w:lineRule="exact"/>
        <w:ind w:left="1360" w:leftChars="0" w:hanging="720" w:firstLineChars="0"/>
        <w:outlineLvl w:val="1"/>
        <w:rPr>
          <w:rStyle w:val="27"/>
          <w:rFonts w:ascii="黑体" w:hAnsi="黑体" w:eastAsia="黑体"/>
          <w:b w:val="0"/>
        </w:rPr>
      </w:pPr>
      <w:bookmarkStart w:id="26" w:name="_Toc15396605"/>
      <w:bookmarkStart w:id="27" w:name="_Toc15377207"/>
      <w:r>
        <w:rPr>
          <w:rFonts w:hint="default" w:ascii="黑体" w:hAnsi="黑体" w:eastAsia="黑体" w:cstheme="majorBidi"/>
          <w:b w:val="0"/>
          <w:bCs/>
          <w:kern w:val="2"/>
          <w:sz w:val="32"/>
          <w:szCs w:val="32"/>
          <w:lang w:val="en-US" w:eastAsia="zh-CN" w:bidi="ar-SA"/>
        </w:rPr>
        <w:t>四、</w:t>
      </w:r>
      <w:r>
        <w:rPr>
          <w:rFonts w:hint="eastAsia" w:ascii="黑体" w:hAnsi="黑体" w:eastAsia="黑体"/>
          <w:sz w:val="32"/>
          <w:szCs w:val="32"/>
        </w:rPr>
        <w:t>支</w:t>
      </w:r>
      <w:r>
        <w:rPr>
          <w:rStyle w:val="27"/>
          <w:rFonts w:hint="eastAsia" w:ascii="黑体" w:hAnsi="黑体" w:eastAsia="黑体"/>
          <w:b w:val="0"/>
        </w:rPr>
        <w:t>出决算情况说明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color w:val="000000"/>
          <w:sz w:val="32"/>
          <w:szCs w:val="32"/>
        </w:rPr>
        <w:t>837.98</w:t>
      </w:r>
      <w:r>
        <w:rPr>
          <w:rFonts w:hint="eastAsia" w:ascii="仿宋" w:hAnsi="仿宋" w:eastAsia="仿宋"/>
          <w:sz w:val="32"/>
          <w:szCs w:val="32"/>
        </w:rPr>
        <w:t>万元，其中：基本支出833.58万元，</w:t>
      </w:r>
      <w:r>
        <w:rPr>
          <w:rFonts w:hint="eastAsia" w:ascii="仿宋" w:hAnsi="仿宋" w:eastAsia="仿宋"/>
          <w:color w:val="auto"/>
          <w:sz w:val="32"/>
          <w:szCs w:val="32"/>
        </w:rPr>
        <w:t>占</w:t>
      </w:r>
      <w:r>
        <w:rPr>
          <w:rFonts w:hint="eastAsia" w:ascii="仿宋" w:hAnsi="仿宋" w:eastAsia="仿宋"/>
          <w:color w:val="auto"/>
          <w:sz w:val="32"/>
          <w:szCs w:val="32"/>
          <w:lang w:val="en-US" w:eastAsia="zh-CN"/>
        </w:rPr>
        <w:t>99.47</w:t>
      </w:r>
      <w:r>
        <w:rPr>
          <w:rFonts w:ascii="仿宋" w:hAnsi="仿宋" w:eastAsia="仿宋"/>
          <w:color w:val="auto"/>
          <w:sz w:val="32"/>
          <w:szCs w:val="32"/>
        </w:rPr>
        <w:t>%</w:t>
      </w:r>
      <w:r>
        <w:rPr>
          <w:rFonts w:hint="eastAsia" w:ascii="仿宋" w:hAnsi="仿宋" w:eastAsia="仿宋"/>
          <w:color w:val="auto"/>
          <w:sz w:val="32"/>
          <w:szCs w:val="32"/>
        </w:rPr>
        <w:t>；项目支出4.4</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0.53</w:t>
      </w:r>
      <w:r>
        <w:rPr>
          <w:rFonts w:ascii="仿宋" w:hAnsi="仿宋" w:eastAsia="仿宋"/>
          <w:color w:val="auto"/>
          <w:sz w:val="32"/>
          <w:szCs w:val="32"/>
        </w:rPr>
        <w:t>%</w:t>
      </w:r>
      <w:r>
        <w:rPr>
          <w:rFonts w:hint="eastAsia" w:ascii="仿宋" w:hAnsi="仿宋" w:eastAsia="仿宋"/>
          <w:color w:val="auto"/>
          <w:sz w:val="32"/>
          <w:szCs w:val="32"/>
        </w:rPr>
        <w:t>；上缴上级支出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；对</w:t>
      </w:r>
      <w:r>
        <w:rPr>
          <w:rFonts w:hint="eastAsia" w:ascii="仿宋" w:hAnsi="仿宋" w:eastAsia="仿宋"/>
          <w:sz w:val="32"/>
          <w:szCs w:val="32"/>
        </w:rPr>
        <w:t>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7"/>
        <w:rPr>
          <w:rFonts w:hint="eastAsia" w:ascii="仿宋" w:hAnsi="仿宋" w:eastAsia="仿宋"/>
          <w:b/>
          <w:sz w:val="32"/>
          <w:szCs w:val="32"/>
        </w:rPr>
      </w:pPr>
      <w:r>
        <w:rPr>
          <w:rFonts w:hint="eastAsia" w:ascii="仿宋" w:hAnsi="仿宋" w:eastAsia="仿宋"/>
          <w:sz w:val="32"/>
          <w:szCs w:val="32"/>
          <w:lang w:eastAsia="zh-CN"/>
        </w:rPr>
        <w:drawing>
          <wp:inline distT="0" distB="0" distL="114300" distR="114300">
            <wp:extent cx="4657090" cy="2446020"/>
            <wp:effectExtent l="4445" t="4445" r="5715" b="69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outlineLvl w:val="1"/>
        <w:rPr>
          <w:rFonts w:ascii="仿宋" w:hAnsi="仿宋" w:eastAsia="仿宋"/>
          <w:sz w:val="32"/>
          <w:szCs w:val="32"/>
          <w:shd w:val="pct10" w:color="auto" w:fill="FFFFFF"/>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numPr>
          <w:ilvl w:val="0"/>
          <w:numId w:val="2"/>
        </w:numPr>
        <w:spacing w:line="600" w:lineRule="exact"/>
        <w:ind w:firstLine="640" w:firstLineChars="200"/>
        <w:outlineLvl w:val="1"/>
        <w:rPr>
          <w:rStyle w:val="27"/>
          <w:rFonts w:hint="eastAsia" w:ascii="黑体" w:hAnsi="黑体" w:eastAsia="黑体"/>
          <w:b w:val="0"/>
        </w:rPr>
      </w:pPr>
      <w:bookmarkStart w:id="28" w:name="_Toc15396606"/>
      <w:bookmarkStart w:id="29" w:name="_Toc15377208"/>
      <w:r>
        <w:rPr>
          <w:rFonts w:hint="eastAsia" w:ascii="黑体" w:hAnsi="黑体" w:eastAsia="黑体"/>
          <w:sz w:val="32"/>
          <w:szCs w:val="32"/>
        </w:rPr>
        <w:t>财</w:t>
      </w:r>
      <w:r>
        <w:rPr>
          <w:rStyle w:val="27"/>
          <w:rFonts w:hint="eastAsia" w:ascii="黑体" w:hAnsi="黑体" w:eastAsia="黑体"/>
          <w:b w:val="0"/>
        </w:rPr>
        <w:t>政拨款收入支出决算总体情况说明</w:t>
      </w:r>
      <w:bookmarkEnd w:id="28"/>
      <w:bookmarkEnd w:id="29"/>
    </w:p>
    <w:p>
      <w:pPr>
        <w:pStyle w:val="25"/>
        <w:widowControl w:val="0"/>
        <w:numPr>
          <w:ilvl w:val="0"/>
          <w:numId w:val="0"/>
        </w:numPr>
        <w:spacing w:line="600" w:lineRule="exact"/>
        <w:ind w:firstLine="640" w:firstLineChars="200"/>
        <w:jc w:val="both"/>
        <w:outlineLvl w:val="1"/>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w:t>
      </w:r>
      <w:r>
        <w:rPr>
          <w:rFonts w:hint="eastAsia" w:ascii="仿宋" w:hAnsi="仿宋" w:eastAsia="仿宋"/>
          <w:color w:val="000000"/>
          <w:sz w:val="32"/>
          <w:szCs w:val="32"/>
          <w:lang w:val="en-US" w:eastAsia="zh-CN"/>
        </w:rPr>
        <w:t>财政拨款</w:t>
      </w:r>
      <w:r>
        <w:rPr>
          <w:rFonts w:hint="eastAsia" w:ascii="仿宋" w:hAnsi="仿宋" w:eastAsia="仿宋"/>
          <w:color w:val="000000"/>
          <w:sz w:val="32"/>
          <w:szCs w:val="32"/>
        </w:rPr>
        <w:t>收入总计837.98万元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其中：当年公共财政预算拨款831.8万元，政府性基金预算财政拨款收入1.10万元，年初结转结余5.08万元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支出总计</w:t>
      </w:r>
      <w:r>
        <w:rPr>
          <w:rFonts w:hint="eastAsia" w:ascii="仿宋" w:hAnsi="仿宋" w:eastAsia="仿宋"/>
          <w:color w:val="000000"/>
          <w:sz w:val="32"/>
          <w:szCs w:val="32"/>
          <w:lang w:val="en-US" w:eastAsia="zh-CN"/>
        </w:rPr>
        <w:t>837.98</w:t>
      </w:r>
      <w:r>
        <w:rPr>
          <w:rFonts w:hint="eastAsia" w:ascii="仿宋" w:hAnsi="仿宋" w:eastAsia="仿宋"/>
          <w:color w:val="000000"/>
          <w:sz w:val="32"/>
          <w:szCs w:val="32"/>
        </w:rPr>
        <w:t>万元。与</w:t>
      </w:r>
      <w:bookmarkStart w:id="67" w:name="_GoBack"/>
      <w:bookmarkEnd w:id="67"/>
      <w:r>
        <w:rPr>
          <w:rFonts w:ascii="仿宋" w:hAnsi="仿宋" w:eastAsia="仿宋"/>
          <w:color w:val="000000"/>
          <w:sz w:val="32"/>
          <w:szCs w:val="32"/>
        </w:rPr>
        <w:t>2021</w:t>
      </w:r>
      <w:r>
        <w:rPr>
          <w:rFonts w:hint="eastAsia" w:ascii="仿宋" w:hAnsi="仿宋" w:eastAsia="仿宋"/>
          <w:color w:val="000000"/>
          <w:sz w:val="32"/>
          <w:szCs w:val="32"/>
        </w:rPr>
        <w:t>年相比，</w:t>
      </w:r>
      <w:r>
        <w:rPr>
          <w:rFonts w:hint="eastAsia" w:ascii="仿宋" w:hAnsi="仿宋" w:eastAsia="仿宋"/>
          <w:color w:val="000000"/>
          <w:sz w:val="32"/>
          <w:szCs w:val="32"/>
          <w:lang w:val="en-US" w:eastAsia="zh-CN"/>
        </w:rPr>
        <w:t>财政拨款</w:t>
      </w:r>
      <w:r>
        <w:rPr>
          <w:rFonts w:hint="eastAsia" w:ascii="仿宋" w:hAnsi="仿宋" w:eastAsia="仿宋"/>
          <w:color w:val="000000"/>
          <w:sz w:val="32"/>
          <w:szCs w:val="32"/>
        </w:rPr>
        <w:t>收入总计减少</w:t>
      </w:r>
      <w:r>
        <w:rPr>
          <w:rFonts w:hint="eastAsia" w:ascii="仿宋" w:hAnsi="仿宋" w:eastAsia="仿宋"/>
          <w:color w:val="000000"/>
          <w:sz w:val="32"/>
          <w:szCs w:val="32"/>
          <w:lang w:val="en-US" w:eastAsia="zh-CN"/>
        </w:rPr>
        <w:t>164.33</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16.39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财政拨款</w:t>
      </w:r>
      <w:r>
        <w:rPr>
          <w:rFonts w:hint="eastAsia" w:ascii="仿宋" w:hAnsi="仿宋" w:eastAsia="仿宋"/>
          <w:color w:val="000000"/>
          <w:sz w:val="32"/>
          <w:szCs w:val="32"/>
        </w:rPr>
        <w:t>支出总计</w:t>
      </w:r>
      <w:r>
        <w:rPr>
          <w:rFonts w:hint="eastAsia" w:ascii="仿宋" w:hAnsi="仿宋" w:eastAsia="仿宋"/>
          <w:color w:val="000000"/>
          <w:sz w:val="32"/>
          <w:szCs w:val="32"/>
          <w:lang w:val="en-US" w:eastAsia="zh-CN"/>
        </w:rPr>
        <w:t>减少164.33</w:t>
      </w:r>
      <w:r>
        <w:rPr>
          <w:rFonts w:hint="eastAsia" w:ascii="仿宋" w:hAnsi="仿宋" w:eastAsia="仿宋"/>
          <w:color w:val="000000"/>
          <w:sz w:val="32"/>
          <w:szCs w:val="32"/>
        </w:rPr>
        <w:t>万元</w:t>
      </w:r>
      <w:r>
        <w:rPr>
          <w:rFonts w:hint="eastAsia" w:ascii="仿宋" w:hAnsi="仿宋" w:eastAsia="仿宋"/>
          <w:color w:val="auto"/>
          <w:sz w:val="32"/>
          <w:szCs w:val="32"/>
        </w:rPr>
        <w:t>，增加</w:t>
      </w:r>
      <w:r>
        <w:rPr>
          <w:rFonts w:hint="eastAsia" w:ascii="仿宋" w:hAnsi="仿宋" w:eastAsia="仿宋"/>
          <w:color w:val="auto"/>
          <w:sz w:val="32"/>
          <w:szCs w:val="32"/>
          <w:lang w:val="en-US" w:eastAsia="zh-CN"/>
        </w:rPr>
        <w:t>16.39</w:t>
      </w:r>
      <w:r>
        <w:rPr>
          <w:rFonts w:ascii="仿宋" w:hAnsi="仿宋" w:eastAsia="仿宋"/>
          <w:color w:val="auto"/>
          <w:sz w:val="32"/>
          <w:szCs w:val="32"/>
        </w:rPr>
        <w:t>%</w:t>
      </w:r>
      <w:r>
        <w:rPr>
          <w:rFonts w:hint="eastAsia" w:ascii="仿宋" w:hAnsi="仿宋" w:eastAsia="仿宋"/>
          <w:color w:val="auto"/>
          <w:sz w:val="32"/>
          <w:szCs w:val="32"/>
        </w:rPr>
        <w:t>。主要变</w:t>
      </w:r>
      <w:r>
        <w:rPr>
          <w:rFonts w:hint="eastAsia" w:ascii="仿宋" w:hAnsi="仿宋" w:eastAsia="仿宋"/>
          <w:color w:val="000000"/>
          <w:sz w:val="32"/>
          <w:szCs w:val="32"/>
        </w:rPr>
        <w:t>动原因202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年我单位无重大项目建设，项目资金收入减少</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上年度结转结余资金支付减少</w:t>
      </w:r>
      <w:r>
        <w:rPr>
          <w:rFonts w:hint="eastAsia" w:ascii="仿宋" w:hAnsi="仿宋" w:eastAsia="仿宋"/>
          <w:color w:val="000000"/>
          <w:sz w:val="32"/>
          <w:szCs w:val="32"/>
        </w:rPr>
        <w:t>。</w:t>
      </w:r>
    </w:p>
    <w:p>
      <w:pPr>
        <w:spacing w:line="600" w:lineRule="exact"/>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0288" behindDoc="1" locked="0" layoutInCell="1" allowOverlap="1">
            <wp:simplePos x="0" y="0"/>
            <wp:positionH relativeFrom="column">
              <wp:posOffset>-23495</wp:posOffset>
            </wp:positionH>
            <wp:positionV relativeFrom="paragraph">
              <wp:posOffset>194945</wp:posOffset>
            </wp:positionV>
            <wp:extent cx="4933315" cy="2522855"/>
            <wp:effectExtent l="4445" t="4445" r="15240" b="635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320" w:firstLineChars="1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7"/>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835.58</w:t>
      </w:r>
      <w:r>
        <w:rPr>
          <w:rFonts w:hint="eastAsia" w:ascii="仿宋" w:hAnsi="仿宋" w:eastAsia="仿宋"/>
          <w:sz w:val="32"/>
          <w:szCs w:val="32"/>
        </w:rPr>
        <w:t>万元，占本年支出合计</w:t>
      </w:r>
      <w:r>
        <w:rPr>
          <w:rFonts w:hint="eastAsia" w:ascii="仿宋" w:hAnsi="仿宋" w:eastAsia="仿宋"/>
          <w:color w:val="auto"/>
          <w:sz w:val="32"/>
          <w:szCs w:val="32"/>
        </w:rPr>
        <w:t>的</w:t>
      </w:r>
      <w:r>
        <w:rPr>
          <w:rFonts w:hint="eastAsia" w:ascii="仿宋" w:hAnsi="仿宋" w:eastAsia="仿宋"/>
          <w:color w:val="auto"/>
          <w:sz w:val="32"/>
          <w:szCs w:val="32"/>
          <w:lang w:val="en-US" w:eastAsia="zh-CN"/>
        </w:rPr>
        <w:t>99.71</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w:t>
      </w:r>
      <w:r>
        <w:rPr>
          <w:rFonts w:hint="eastAsia" w:ascii="仿宋" w:hAnsi="仿宋" w:eastAsia="仿宋"/>
          <w:color w:val="auto"/>
          <w:sz w:val="32"/>
          <w:szCs w:val="32"/>
        </w:rPr>
        <w:t>21年相比，一般公共预算财政拨款支出减少</w:t>
      </w:r>
      <w:r>
        <w:rPr>
          <w:rFonts w:hint="eastAsia" w:ascii="仿宋" w:hAnsi="仿宋" w:eastAsia="仿宋"/>
          <w:color w:val="auto"/>
          <w:sz w:val="32"/>
          <w:szCs w:val="32"/>
          <w:lang w:val="en-US" w:eastAsia="zh-CN"/>
        </w:rPr>
        <w:t>158.15</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15.91</w:t>
      </w:r>
      <w:r>
        <w:rPr>
          <w:rFonts w:ascii="仿宋" w:hAnsi="仿宋" w:eastAsia="仿宋"/>
          <w:color w:val="auto"/>
          <w:sz w:val="32"/>
          <w:szCs w:val="32"/>
        </w:rPr>
        <w:t>%</w:t>
      </w:r>
      <w:r>
        <w:rPr>
          <w:rFonts w:hint="eastAsia" w:ascii="仿宋" w:hAnsi="仿宋" w:eastAsia="仿宋"/>
          <w:color w:val="auto"/>
          <w:sz w:val="32"/>
          <w:szCs w:val="32"/>
        </w:rPr>
        <w:t>。主</w:t>
      </w:r>
      <w:r>
        <w:rPr>
          <w:rFonts w:hint="eastAsia" w:ascii="仿宋" w:hAnsi="仿宋" w:eastAsia="仿宋"/>
          <w:color w:val="000000"/>
          <w:sz w:val="32"/>
          <w:szCs w:val="32"/>
        </w:rPr>
        <w:t>要变动原因202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年我单位无重大项目建设，项目资金收入减少</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上年度结转结余资金支付减少</w:t>
      </w:r>
      <w:r>
        <w:rPr>
          <w:rFonts w:hint="eastAsia" w:ascii="仿宋" w:hAnsi="仿宋" w:eastAsia="仿宋"/>
          <w:color w:val="000000"/>
          <w:sz w:val="32"/>
          <w:szCs w:val="32"/>
        </w:rPr>
        <w:t>。</w:t>
      </w:r>
    </w:p>
    <w:p>
      <w:pPr>
        <w:pStyle w:val="25"/>
        <w:widowControl w:val="0"/>
        <w:numPr>
          <w:ilvl w:val="0"/>
          <w:numId w:val="0"/>
        </w:numPr>
        <w:spacing w:line="600" w:lineRule="exact"/>
        <w:jc w:val="both"/>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0288" behindDoc="1" locked="0" layoutInCell="1" allowOverlap="1">
            <wp:simplePos x="0" y="0"/>
            <wp:positionH relativeFrom="column">
              <wp:posOffset>68580</wp:posOffset>
            </wp:positionH>
            <wp:positionV relativeFrom="paragraph">
              <wp:posOffset>185420</wp:posOffset>
            </wp:positionV>
            <wp:extent cx="4818380" cy="2350770"/>
            <wp:effectExtent l="4445" t="4445" r="15875" b="698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835.58</w:t>
      </w:r>
      <w:r>
        <w:rPr>
          <w:rFonts w:hint="eastAsia" w:ascii="仿宋" w:hAnsi="仿宋" w:eastAsia="仿宋"/>
          <w:sz w:val="32"/>
          <w:szCs w:val="32"/>
        </w:rPr>
        <w:t>万元，主要用于以下方面</w:t>
      </w:r>
      <w:r>
        <w:rPr>
          <w:rFonts w:hint="eastAsia" w:ascii="仿宋" w:hAnsi="仿宋" w:eastAsia="仿宋"/>
          <w:sz w:val="32"/>
          <w:szCs w:val="32"/>
          <w:lang w:eastAsia="zh-CN"/>
        </w:rPr>
        <w:t>：</w:t>
      </w:r>
    </w:p>
    <w:p>
      <w:pPr>
        <w:spacing w:line="600" w:lineRule="exact"/>
        <w:ind w:firstLine="640"/>
        <w:rPr>
          <w:rFonts w:hint="eastAsia" w:ascii="仿宋" w:hAnsi="仿宋" w:eastAsia="仿宋"/>
          <w:sz w:val="32"/>
          <w:szCs w:val="32"/>
        </w:rPr>
      </w:pPr>
      <w:r>
        <w:rPr>
          <w:rFonts w:hint="eastAsia" w:ascii="仿宋" w:hAnsi="仿宋" w:eastAsia="仿宋"/>
          <w:b/>
          <w:color w:val="auto"/>
          <w:sz w:val="32"/>
          <w:szCs w:val="32"/>
        </w:rPr>
        <w:t>教育支出</w:t>
      </w:r>
      <w:r>
        <w:rPr>
          <w:rFonts w:hint="eastAsia" w:ascii="仿宋" w:hAnsi="仿宋" w:eastAsia="仿宋"/>
          <w:color w:val="auto"/>
          <w:sz w:val="32"/>
          <w:szCs w:val="32"/>
          <w:lang w:val="en-US" w:eastAsia="zh-CN"/>
        </w:rPr>
        <w:t>685.28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82.01</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w:t>
      </w:r>
      <w:r>
        <w:rPr>
          <w:rFonts w:hint="eastAsia" w:ascii="仿宋" w:hAnsi="仿宋" w:eastAsia="仿宋"/>
          <w:b/>
          <w:bCs/>
          <w:color w:val="auto"/>
          <w:sz w:val="32"/>
          <w:szCs w:val="32"/>
        </w:rPr>
        <w:t>支出</w:t>
      </w:r>
      <w:r>
        <w:rPr>
          <w:rFonts w:hint="eastAsia" w:ascii="仿宋" w:hAnsi="仿宋" w:eastAsia="仿宋"/>
          <w:color w:val="auto"/>
          <w:sz w:val="32"/>
          <w:szCs w:val="32"/>
          <w:lang w:val="en-US" w:eastAsia="zh-CN"/>
        </w:rPr>
        <w:t>65.91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7.89</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color w:val="auto"/>
          <w:sz w:val="32"/>
          <w:szCs w:val="32"/>
          <w:lang w:val="en-US" w:eastAsia="zh-CN"/>
        </w:rPr>
        <w:t>32.96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3.94</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农林水支出2.00万元，</w:t>
      </w:r>
      <w:r>
        <w:rPr>
          <w:rFonts w:hint="eastAsia" w:ascii="仿宋" w:hAnsi="仿宋" w:eastAsia="仿宋"/>
          <w:color w:val="auto"/>
          <w:sz w:val="32"/>
          <w:szCs w:val="32"/>
        </w:rPr>
        <w:t>占</w:t>
      </w:r>
      <w:r>
        <w:rPr>
          <w:rFonts w:hint="eastAsia" w:ascii="仿宋" w:hAnsi="仿宋" w:eastAsia="仿宋"/>
          <w:color w:val="auto"/>
          <w:sz w:val="32"/>
          <w:szCs w:val="32"/>
          <w:lang w:val="en-US" w:eastAsia="zh-CN"/>
        </w:rPr>
        <w:t>0.24</w:t>
      </w:r>
      <w:r>
        <w:rPr>
          <w:rFonts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b/>
          <w:bCs/>
          <w:color w:val="auto"/>
          <w:sz w:val="32"/>
          <w:szCs w:val="32"/>
        </w:rPr>
        <w:t>住房保障支出</w:t>
      </w:r>
      <w:r>
        <w:rPr>
          <w:rFonts w:hint="eastAsia" w:ascii="仿宋" w:hAnsi="仿宋" w:eastAsia="仿宋"/>
          <w:color w:val="auto"/>
          <w:sz w:val="32"/>
          <w:szCs w:val="32"/>
          <w:lang w:val="en-US" w:eastAsia="zh-CN"/>
        </w:rPr>
        <w:t>49.43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5.92</w:t>
      </w:r>
      <w:r>
        <w:rPr>
          <w:rFonts w:ascii="仿宋" w:hAnsi="仿宋" w:eastAsia="仿宋"/>
          <w:color w:val="auto"/>
          <w:sz w:val="32"/>
          <w:szCs w:val="32"/>
        </w:rPr>
        <w:t>%</w:t>
      </w:r>
      <w:r>
        <w:rPr>
          <w:rFonts w:hint="eastAsia" w:ascii="仿宋" w:hAnsi="仿宋" w:eastAsia="仿宋"/>
          <w:color w:val="auto"/>
          <w:sz w:val="32"/>
          <w:szCs w:val="32"/>
        </w:rPr>
        <w:t>。</w:t>
      </w:r>
    </w:p>
    <w:p>
      <w:pPr>
        <w:pStyle w:val="7"/>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66640" cy="2673985"/>
            <wp:effectExtent l="4445" t="4445" r="5715" b="76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sz w:val="32"/>
          <w:szCs w:val="32"/>
        </w:rPr>
      </w:pPr>
      <w:bookmarkStart w:id="35" w:name="_Toc15377444"/>
      <w:bookmarkStart w:id="36" w:name="_Toc15378460"/>
      <w:bookmarkStart w:id="37"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833.58万元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5"/>
      <w:bookmarkEnd w:id="36"/>
      <w:bookmarkEnd w:id="37"/>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1</w:t>
      </w:r>
      <w:r>
        <w:rPr>
          <w:rStyle w:val="16"/>
          <w:rFonts w:ascii="仿宋" w:hAnsi="仿宋" w:eastAsia="仿宋"/>
          <w:bCs/>
          <w:sz w:val="32"/>
          <w:szCs w:val="32"/>
        </w:rPr>
        <w:t>.</w:t>
      </w:r>
      <w:r>
        <w:rPr>
          <w:rStyle w:val="16"/>
          <w:rFonts w:hint="eastAsia" w:ascii="仿宋" w:hAnsi="仿宋" w:eastAsia="仿宋"/>
          <w:bCs/>
          <w:sz w:val="32"/>
          <w:szCs w:val="32"/>
        </w:rPr>
        <w:t>教育（类）普通教育（款）</w:t>
      </w:r>
      <w:r>
        <w:rPr>
          <w:rStyle w:val="16"/>
          <w:rFonts w:hint="eastAsia" w:ascii="仿宋" w:hAnsi="仿宋" w:eastAsia="仿宋"/>
          <w:bCs/>
          <w:sz w:val="32"/>
          <w:szCs w:val="32"/>
          <w:lang w:val="en-US" w:eastAsia="zh-CN"/>
        </w:rPr>
        <w:t>学前</w:t>
      </w:r>
      <w:r>
        <w:rPr>
          <w:rStyle w:val="16"/>
          <w:rFonts w:hint="eastAsia" w:ascii="仿宋" w:hAnsi="仿宋" w:eastAsia="仿宋"/>
          <w:bCs/>
          <w:sz w:val="32"/>
          <w:szCs w:val="32"/>
        </w:rPr>
        <w:t>教育（项）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Fonts w:hint="eastAsia" w:ascii="仿宋" w:hAnsi="仿宋" w:eastAsia="仿宋"/>
          <w:sz w:val="32"/>
          <w:szCs w:val="32"/>
          <w:lang w:val="en-US" w:eastAsia="zh-CN"/>
        </w:rPr>
        <w:t>17.04</w:t>
      </w:r>
      <w:r>
        <w:rPr>
          <w:rStyle w:val="16"/>
          <w:rFonts w:hint="eastAsia" w:ascii="仿宋" w:hAnsi="仿宋" w:eastAsia="仿宋"/>
          <w:b w:val="0"/>
          <w:bCs/>
          <w:sz w:val="32"/>
          <w:szCs w:val="32"/>
        </w:rPr>
        <w:t>万元，</w:t>
      </w:r>
      <w:r>
        <w:rPr>
          <w:rStyle w:val="16"/>
          <w:rFonts w:hint="eastAsia" w:ascii="仿宋" w:hAnsi="仿宋" w:eastAsia="仿宋" w:cstheme="minorBidi"/>
          <w:bCs/>
          <w:sz w:val="32"/>
          <w:szCs w:val="32"/>
          <w:lang w:val="en-US" w:eastAsia="zh-CN"/>
        </w:rPr>
        <w:t>小学</w:t>
      </w:r>
      <w:r>
        <w:rPr>
          <w:rStyle w:val="16"/>
          <w:rFonts w:hint="eastAsia" w:ascii="仿宋" w:hAnsi="仿宋" w:eastAsia="仿宋"/>
          <w:bCs/>
          <w:sz w:val="32"/>
          <w:szCs w:val="32"/>
        </w:rPr>
        <w:t>教育（项）</w:t>
      </w:r>
      <w:r>
        <w:rPr>
          <w:rStyle w:val="16"/>
          <w:rFonts w:hint="eastAsia" w:ascii="仿宋" w:hAnsi="仿宋" w:eastAsia="仿宋"/>
          <w:b w:val="0"/>
          <w:bCs/>
          <w:sz w:val="32"/>
          <w:szCs w:val="32"/>
        </w:rPr>
        <w:t>支出决算为</w:t>
      </w:r>
      <w:r>
        <w:rPr>
          <w:rFonts w:hint="eastAsia" w:ascii="仿宋" w:hAnsi="仿宋" w:eastAsia="仿宋"/>
          <w:sz w:val="32"/>
          <w:szCs w:val="32"/>
          <w:lang w:val="en-US" w:eastAsia="zh-CN"/>
        </w:rPr>
        <w:t>664.46</w:t>
      </w:r>
      <w:r>
        <w:rPr>
          <w:rStyle w:val="16"/>
          <w:rFonts w:hint="eastAsia" w:ascii="仿宋" w:hAnsi="仿宋" w:eastAsia="仿宋"/>
          <w:b w:val="0"/>
          <w:bCs/>
          <w:sz w:val="32"/>
          <w:szCs w:val="32"/>
        </w:rPr>
        <w:t>万元</w:t>
      </w:r>
      <w:r>
        <w:rPr>
          <w:rStyle w:val="16"/>
          <w:rFonts w:hint="eastAsia" w:ascii="仿宋" w:hAnsi="仿宋" w:eastAsia="仿宋"/>
          <w:b w:val="0"/>
          <w:bCs/>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val="en-US" w:eastAsia="zh-CN"/>
        </w:rPr>
        <w:t>与</w:t>
      </w:r>
      <w:r>
        <w:rPr>
          <w:rStyle w:val="16"/>
          <w:rFonts w:hint="eastAsia" w:ascii="仿宋" w:hAnsi="仿宋" w:eastAsia="仿宋"/>
          <w:b w:val="0"/>
          <w:bCs/>
          <w:sz w:val="32"/>
          <w:szCs w:val="32"/>
        </w:rPr>
        <w:t>预算数</w:t>
      </w:r>
      <w:r>
        <w:rPr>
          <w:rStyle w:val="16"/>
          <w:rFonts w:hint="eastAsia" w:ascii="仿宋" w:hAnsi="仿宋" w:eastAsia="仿宋"/>
          <w:b w:val="0"/>
          <w:bCs/>
          <w:sz w:val="32"/>
          <w:szCs w:val="32"/>
          <w:lang w:val="en-US" w:eastAsia="zh-CN"/>
        </w:rPr>
        <w:t>持平</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社会保障和就业（类）行政事业单位养老支出（款）机关事业单位基本养老保险缴费支出（项）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Fonts w:hint="eastAsia" w:ascii="仿宋" w:hAnsi="仿宋" w:eastAsia="仿宋"/>
          <w:sz w:val="32"/>
          <w:szCs w:val="32"/>
          <w:lang w:val="en-US" w:eastAsia="zh-CN"/>
        </w:rPr>
        <w:t>65.91</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val="en-US" w:eastAsia="zh-CN"/>
        </w:rPr>
        <w:t>与</w:t>
      </w:r>
      <w:r>
        <w:rPr>
          <w:rStyle w:val="16"/>
          <w:rFonts w:hint="eastAsia" w:ascii="仿宋" w:hAnsi="仿宋" w:eastAsia="仿宋"/>
          <w:b w:val="0"/>
          <w:bCs/>
          <w:sz w:val="32"/>
          <w:szCs w:val="32"/>
        </w:rPr>
        <w:t>预算数</w:t>
      </w:r>
      <w:r>
        <w:rPr>
          <w:rStyle w:val="16"/>
          <w:rFonts w:hint="eastAsia" w:ascii="仿宋" w:hAnsi="仿宋" w:eastAsia="仿宋"/>
          <w:b w:val="0"/>
          <w:bCs/>
          <w:sz w:val="32"/>
          <w:szCs w:val="32"/>
          <w:lang w:val="en-US" w:eastAsia="zh-CN"/>
        </w:rPr>
        <w:t>持平</w:t>
      </w:r>
      <w:r>
        <w:rPr>
          <w:rStyle w:val="16"/>
          <w:rFonts w:hint="eastAsia" w:ascii="仿宋" w:hAnsi="仿宋" w:eastAsia="仿宋"/>
          <w:b w:val="0"/>
          <w:bCs/>
          <w:sz w:val="32"/>
          <w:szCs w:val="32"/>
        </w:rPr>
        <w:t>。</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Fonts w:hint="eastAsia" w:ascii="仿宋" w:hAnsi="仿宋" w:eastAsia="仿宋"/>
          <w:sz w:val="32"/>
          <w:szCs w:val="32"/>
          <w:lang w:val="en-US" w:eastAsia="zh-CN"/>
        </w:rPr>
        <w:t>32.96</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val="en-US" w:eastAsia="zh-CN"/>
        </w:rPr>
        <w:t>与</w:t>
      </w:r>
      <w:r>
        <w:rPr>
          <w:rStyle w:val="16"/>
          <w:rFonts w:hint="eastAsia" w:ascii="仿宋" w:hAnsi="仿宋" w:eastAsia="仿宋"/>
          <w:b w:val="0"/>
          <w:bCs/>
          <w:sz w:val="32"/>
          <w:szCs w:val="32"/>
        </w:rPr>
        <w:t>预算数</w:t>
      </w:r>
      <w:r>
        <w:rPr>
          <w:rStyle w:val="16"/>
          <w:rFonts w:hint="eastAsia" w:ascii="仿宋" w:hAnsi="仿宋" w:eastAsia="仿宋"/>
          <w:b w:val="0"/>
          <w:bCs/>
          <w:sz w:val="32"/>
          <w:szCs w:val="32"/>
          <w:lang w:val="en-US" w:eastAsia="zh-CN"/>
        </w:rPr>
        <w:t>持平</w:t>
      </w:r>
      <w:r>
        <w:rPr>
          <w:rStyle w:val="16"/>
          <w:rFonts w:hint="eastAsia" w:ascii="仿宋" w:hAnsi="仿宋" w:eastAsia="仿宋"/>
          <w:b w:val="0"/>
          <w:bCs/>
          <w:sz w:val="32"/>
          <w:szCs w:val="32"/>
        </w:rPr>
        <w:t>。</w:t>
      </w:r>
    </w:p>
    <w:p>
      <w:pPr>
        <w:spacing w:line="600" w:lineRule="exact"/>
        <w:ind w:firstLine="643" w:firstLineChars="200"/>
        <w:rPr>
          <w:rStyle w:val="16"/>
          <w:rFonts w:hint="eastAsia" w:ascii="仿宋" w:hAnsi="仿宋" w:eastAsia="仿宋"/>
          <w:b w:val="0"/>
          <w:bCs/>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农林水支出</w:t>
      </w:r>
      <w:r>
        <w:rPr>
          <w:rStyle w:val="16"/>
          <w:rFonts w:hint="eastAsia" w:ascii="仿宋" w:hAnsi="仿宋" w:eastAsia="仿宋"/>
          <w:bCs/>
          <w:sz w:val="32"/>
          <w:szCs w:val="32"/>
        </w:rPr>
        <w:t>（类）巩固脱贫衔接乡村振兴（款）社会发展（项）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Fonts w:hint="eastAsia" w:ascii="仿宋" w:hAnsi="仿宋" w:eastAsia="仿宋"/>
          <w:sz w:val="32"/>
          <w:szCs w:val="32"/>
          <w:lang w:val="en-US" w:eastAsia="zh-CN"/>
        </w:rPr>
        <w:t>2.00</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val="en-US" w:eastAsia="zh-CN"/>
        </w:rPr>
        <w:t>与</w:t>
      </w:r>
      <w:r>
        <w:rPr>
          <w:rStyle w:val="16"/>
          <w:rFonts w:hint="eastAsia" w:ascii="仿宋" w:hAnsi="仿宋" w:eastAsia="仿宋"/>
          <w:b w:val="0"/>
          <w:bCs/>
          <w:sz w:val="32"/>
          <w:szCs w:val="32"/>
        </w:rPr>
        <w:t>预算数</w:t>
      </w:r>
      <w:r>
        <w:rPr>
          <w:rStyle w:val="16"/>
          <w:rFonts w:hint="eastAsia" w:ascii="仿宋" w:hAnsi="仿宋" w:eastAsia="仿宋"/>
          <w:b w:val="0"/>
          <w:bCs/>
          <w:sz w:val="32"/>
          <w:szCs w:val="32"/>
          <w:lang w:val="en-US" w:eastAsia="zh-CN"/>
        </w:rPr>
        <w:t>持平</w:t>
      </w:r>
      <w:r>
        <w:rPr>
          <w:rStyle w:val="16"/>
          <w:rFonts w:hint="eastAsia" w:ascii="仿宋" w:hAnsi="仿宋" w:eastAsia="仿宋"/>
          <w:b w:val="0"/>
          <w:bCs/>
          <w:sz w:val="32"/>
          <w:szCs w:val="32"/>
        </w:rPr>
        <w:t>。</w:t>
      </w:r>
    </w:p>
    <w:p>
      <w:pPr>
        <w:pStyle w:val="2"/>
        <w:ind w:left="0" w:leftChars="0" w:firstLine="420" w:firstLineChars="200"/>
        <w:rPr>
          <w:rFonts w:hint="eastAsia"/>
        </w:rPr>
      </w:pP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hint="eastAsia" w:ascii="仿宋" w:hAnsi="仿宋" w:eastAsia="仿宋"/>
          <w:b/>
          <w:bCs/>
          <w:color w:val="000000"/>
          <w:sz w:val="32"/>
          <w:szCs w:val="32"/>
        </w:rPr>
        <w:t>住房保障支出（类）住房改革支出（款）住房公积金（项）</w:t>
      </w:r>
      <w:r>
        <w:rPr>
          <w:rFonts w:hint="eastAsia" w:ascii="仿宋" w:hAnsi="仿宋" w:eastAsia="仿宋"/>
          <w:b/>
          <w:bCs/>
          <w:color w:val="000000"/>
          <w:sz w:val="32"/>
          <w:szCs w:val="32"/>
          <w:lang w:eastAsia="zh-CN"/>
        </w:rPr>
        <w:t>：</w:t>
      </w:r>
      <w:r>
        <w:rPr>
          <w:rStyle w:val="16"/>
          <w:rFonts w:hint="eastAsia" w:ascii="仿宋" w:hAnsi="仿宋" w:eastAsia="仿宋"/>
          <w:b w:val="0"/>
          <w:bCs/>
          <w:sz w:val="32"/>
          <w:szCs w:val="32"/>
        </w:rPr>
        <w:t>支出决算为</w:t>
      </w:r>
      <w:r>
        <w:rPr>
          <w:rFonts w:hint="eastAsia" w:ascii="仿宋" w:hAnsi="仿宋" w:eastAsia="仿宋"/>
          <w:sz w:val="32"/>
          <w:szCs w:val="32"/>
          <w:lang w:val="en-US" w:eastAsia="zh-CN"/>
        </w:rPr>
        <w:t>49.43</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val="en-US" w:eastAsia="zh-CN"/>
        </w:rPr>
        <w:t>与</w:t>
      </w:r>
      <w:r>
        <w:rPr>
          <w:rStyle w:val="16"/>
          <w:rFonts w:hint="eastAsia" w:ascii="仿宋" w:hAnsi="仿宋" w:eastAsia="仿宋"/>
          <w:b w:val="0"/>
          <w:bCs/>
          <w:sz w:val="32"/>
          <w:szCs w:val="32"/>
        </w:rPr>
        <w:t>预算数</w:t>
      </w:r>
      <w:r>
        <w:rPr>
          <w:rStyle w:val="16"/>
          <w:rFonts w:hint="eastAsia" w:ascii="仿宋" w:hAnsi="仿宋" w:eastAsia="仿宋"/>
          <w:b w:val="0"/>
          <w:bCs/>
          <w:sz w:val="32"/>
          <w:szCs w:val="32"/>
          <w:lang w:val="en-US" w:eastAsia="zh-CN"/>
        </w:rPr>
        <w:t>持平</w:t>
      </w:r>
      <w:r>
        <w:rPr>
          <w:rStyle w:val="16"/>
          <w:rFonts w:hint="eastAsia" w:ascii="仿宋" w:hAnsi="仿宋" w:eastAsia="仿宋"/>
          <w:b w:val="0"/>
          <w:bCs/>
          <w:sz w:val="32"/>
          <w:szCs w:val="32"/>
        </w:rPr>
        <w:t>。</w:t>
      </w:r>
    </w:p>
    <w:p>
      <w:pPr>
        <w:tabs>
          <w:tab w:val="right" w:pos="8306"/>
        </w:tabs>
        <w:spacing w:line="600" w:lineRule="exact"/>
        <w:ind w:firstLine="640"/>
        <w:outlineLvl w:val="1"/>
        <w:rPr>
          <w:rStyle w:val="27"/>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8"/>
      <w:bookmarkEnd w:id="39"/>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833.58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762.89</w:t>
      </w:r>
      <w:r>
        <w:rPr>
          <w:rFonts w:hint="eastAsia" w:ascii="仿宋" w:hAnsi="仿宋" w:eastAsia="仿宋"/>
          <w:sz w:val="32"/>
          <w:szCs w:val="32"/>
        </w:rPr>
        <w:t>万元，主要包括：基本工资、津贴补贴、奖金、绩效工资、机关事业单位基本养老保险缴费、职业年金缴费、其他社会保障缴费、其他工资福利支出、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70.69</w:t>
      </w:r>
      <w:r>
        <w:rPr>
          <w:rFonts w:hint="eastAsia" w:ascii="仿宋" w:hAnsi="仿宋" w:eastAsia="仿宋"/>
          <w:sz w:val="32"/>
          <w:szCs w:val="32"/>
        </w:rPr>
        <w:t>万元，主要包括：办公费、印刷费、咨询费、手续费、水费、电费、邮电费、物业管理费、差旅费、维修（护）费、租赁费、培训费、公务接待费、劳务费、工会经费、福利费、其他交通费、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40" w:name="_Toc15396609"/>
      <w:bookmarkStart w:id="41"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0.10</w:t>
      </w:r>
      <w:r>
        <w:rPr>
          <w:rFonts w:hint="eastAsia" w:ascii="仿宋" w:hAnsi="仿宋" w:eastAsia="仿宋"/>
          <w:sz w:val="32"/>
          <w:szCs w:val="32"/>
        </w:rPr>
        <w:t>万元，</w:t>
      </w:r>
      <w:r>
        <w:rPr>
          <w:rFonts w:hint="eastAsia" w:ascii="仿宋" w:hAnsi="仿宋" w:eastAsia="仿宋"/>
          <w:color w:val="auto"/>
          <w:sz w:val="32"/>
          <w:szCs w:val="32"/>
        </w:rPr>
        <w:t>下降</w:t>
      </w:r>
      <w:r>
        <w:rPr>
          <w:rFonts w:hint="eastAsia" w:ascii="仿宋" w:hAnsi="仿宋" w:eastAsia="仿宋"/>
          <w:color w:val="auto"/>
          <w:sz w:val="32"/>
          <w:szCs w:val="32"/>
          <w:lang w:val="en-US" w:eastAsia="zh-CN"/>
        </w:rPr>
        <w:t>20.8</w:t>
      </w:r>
      <w:r>
        <w:rPr>
          <w:rFonts w:hint="eastAsia" w:ascii="仿宋" w:hAnsi="仿宋" w:eastAsia="仿宋"/>
          <w:color w:val="auto"/>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7"/>
        <w:rPr>
          <w:rFonts w:hint="eastAsia" w:ascii="仿宋" w:hAnsi="仿宋" w:eastAsia="仿宋"/>
          <w:sz w:val="32"/>
          <w:szCs w:val="32"/>
        </w:rPr>
      </w:pPr>
      <w:r>
        <w:rPr>
          <w:rFonts w:hint="eastAsia" w:ascii="仿宋" w:hAnsi="仿宋" w:eastAsia="仿宋"/>
          <w:sz w:val="32"/>
          <w:szCs w:val="32"/>
          <w:lang w:eastAsia="zh-CN"/>
        </w:rPr>
        <w:drawing>
          <wp:inline distT="0" distB="0" distL="114300" distR="114300">
            <wp:extent cx="4676140" cy="2227580"/>
            <wp:effectExtent l="4445" t="4445" r="5715" b="1587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0.10</w:t>
      </w:r>
      <w:r>
        <w:rPr>
          <w:rFonts w:hint="eastAsia" w:ascii="仿宋_GB2312" w:eastAsia="仿宋_GB2312"/>
          <w:sz w:val="32"/>
          <w:szCs w:val="32"/>
        </w:rPr>
        <w:t>万元，下降</w:t>
      </w:r>
      <w:r>
        <w:rPr>
          <w:rFonts w:hint="eastAsia" w:ascii="仿宋_GB2312" w:eastAsia="仿宋_GB2312"/>
          <w:sz w:val="32"/>
          <w:szCs w:val="32"/>
          <w:lang w:val="en-US" w:eastAsia="zh-CN"/>
        </w:rPr>
        <w:t>20.8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本单位严格控制公务接待支出</w:t>
      </w:r>
      <w:r>
        <w:rPr>
          <w:rFonts w:hint="eastAsia" w:ascii="仿宋_GB2312" w:eastAsia="仿宋_GB2312"/>
          <w:sz w:val="32"/>
          <w:szCs w:val="32"/>
        </w:rPr>
        <w:t>。其中：</w:t>
      </w:r>
    </w:p>
    <w:p>
      <w:pPr>
        <w:spacing w:line="520" w:lineRule="exact"/>
        <w:ind w:firstLine="643" w:firstLineChars="200"/>
        <w:rPr>
          <w:rFonts w:ascii="仿宋_GB2312" w:eastAsia="仿宋_GB2312"/>
          <w:color w:val="auto"/>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lang w:val="en-US" w:eastAsia="zh-CN"/>
        </w:rPr>
        <w:t>0.38</w:t>
      </w:r>
      <w:r>
        <w:rPr>
          <w:rFonts w:hint="eastAsia" w:ascii="仿宋_GB2312" w:eastAsia="仿宋_GB2312"/>
          <w:color w:val="auto"/>
          <w:sz w:val="32"/>
          <w:szCs w:val="32"/>
        </w:rPr>
        <w:t>万元，主要用于接待受邀专家到我单位开展讲座、培训活动、外单位到我校开展体育活动、校际教研活动住宿费、生活费等。国内公务接待</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70</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0.38</w:t>
      </w:r>
      <w:r>
        <w:rPr>
          <w:rFonts w:hint="eastAsia" w:ascii="仿宋_GB2312" w:eastAsia="仿宋_GB2312"/>
          <w:color w:val="auto"/>
          <w:sz w:val="32"/>
          <w:szCs w:val="32"/>
        </w:rPr>
        <w:t>万元，具体内容包括：邀请专家至我校开展培训讲座活动</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批次，金额</w:t>
      </w:r>
      <w:r>
        <w:rPr>
          <w:rFonts w:ascii="仿宋_GB2312" w:eastAsia="仿宋_GB2312"/>
          <w:color w:val="auto"/>
          <w:sz w:val="32"/>
          <w:szCs w:val="32"/>
        </w:rPr>
        <w:t>0.0</w:t>
      </w:r>
      <w:r>
        <w:rPr>
          <w:rFonts w:hint="eastAsia" w:ascii="仿宋_GB2312" w:eastAsia="仿宋_GB2312"/>
          <w:color w:val="auto"/>
          <w:sz w:val="32"/>
          <w:szCs w:val="32"/>
          <w:lang w:val="en-US" w:eastAsia="zh-CN"/>
        </w:rPr>
        <w:t>78</w:t>
      </w:r>
      <w:r>
        <w:rPr>
          <w:rFonts w:hint="eastAsia" w:ascii="仿宋_GB2312" w:eastAsia="仿宋_GB2312"/>
          <w:color w:val="auto"/>
          <w:sz w:val="32"/>
          <w:szCs w:val="32"/>
        </w:rPr>
        <w:t>万元；校际教研活动</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批次，生活费金额</w:t>
      </w:r>
      <w:r>
        <w:rPr>
          <w:rFonts w:ascii="仿宋_GB2312" w:eastAsia="仿宋_GB2312"/>
          <w:color w:val="auto"/>
          <w:sz w:val="32"/>
          <w:szCs w:val="32"/>
        </w:rPr>
        <w:t>0.</w:t>
      </w:r>
      <w:r>
        <w:rPr>
          <w:rFonts w:hint="eastAsia" w:ascii="仿宋_GB2312" w:eastAsia="仿宋_GB2312"/>
          <w:color w:val="auto"/>
          <w:sz w:val="32"/>
          <w:szCs w:val="32"/>
          <w:lang w:val="en-US" w:eastAsia="zh-CN"/>
        </w:rPr>
        <w:t>167</w:t>
      </w:r>
      <w:r>
        <w:rPr>
          <w:rFonts w:hint="eastAsia" w:ascii="仿宋_GB2312" w:eastAsia="仿宋_GB2312"/>
          <w:color w:val="auto"/>
          <w:sz w:val="32"/>
          <w:szCs w:val="32"/>
        </w:rPr>
        <w:t>万元；校际体育活动</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批次，生活费金额0.0</w:t>
      </w:r>
      <w:r>
        <w:rPr>
          <w:rFonts w:ascii="仿宋_GB2312" w:eastAsia="仿宋_GB2312"/>
          <w:color w:val="auto"/>
          <w:sz w:val="32"/>
          <w:szCs w:val="32"/>
        </w:rPr>
        <w:t>9</w:t>
      </w:r>
      <w:r>
        <w:rPr>
          <w:rFonts w:hint="eastAsia" w:ascii="仿宋_GB2312" w:eastAsia="仿宋_GB2312"/>
          <w:color w:val="auto"/>
          <w:sz w:val="32"/>
          <w:szCs w:val="32"/>
        </w:rPr>
        <w:t>万元；心理咨询专家开展学生心理咨询活动</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批次，接待费用0</w:t>
      </w:r>
      <w:r>
        <w:rPr>
          <w:rFonts w:ascii="仿宋_GB2312" w:eastAsia="仿宋_GB2312"/>
          <w:color w:val="auto"/>
          <w:sz w:val="32"/>
          <w:szCs w:val="32"/>
        </w:rPr>
        <w:t>.</w:t>
      </w:r>
      <w:r>
        <w:rPr>
          <w:rFonts w:hint="eastAsia" w:ascii="仿宋_GB2312" w:eastAsia="仿宋_GB2312"/>
          <w:color w:val="auto"/>
          <w:sz w:val="32"/>
          <w:szCs w:val="32"/>
          <w:lang w:val="en-US" w:eastAsia="zh-CN"/>
        </w:rPr>
        <w:t>045</w:t>
      </w:r>
      <w:r>
        <w:rPr>
          <w:rFonts w:hint="eastAsia" w:ascii="仿宋_GB2312" w:eastAsia="仿宋_GB2312"/>
          <w:color w:val="auto"/>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4" w:name="_Toc15377218"/>
      <w:bookmarkStart w:id="45" w:name="_Toc15396610"/>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4"/>
      <w:bookmarkEnd w:id="45"/>
    </w:p>
    <w:p>
      <w:pPr>
        <w:spacing w:line="600" w:lineRule="exact"/>
        <w:ind w:firstLine="640"/>
        <w:rPr>
          <w:rFonts w:hint="eastAsia" w:ascii="仿宋_GB2312" w:eastAsia="仿宋_GB2312"/>
          <w:color w:val="auto"/>
          <w:sz w:val="32"/>
          <w:szCs w:val="32"/>
          <w:lang w:val="en-US" w:eastAsia="zh-CN"/>
        </w:rPr>
      </w:pPr>
      <w:r>
        <w:rPr>
          <w:rFonts w:ascii="仿宋_GB2312" w:eastAsia="仿宋_GB2312"/>
          <w:color w:val="auto"/>
          <w:sz w:val="32"/>
          <w:szCs w:val="32"/>
        </w:rPr>
        <w:t>20</w:t>
      </w:r>
      <w:r>
        <w:rPr>
          <w:rFonts w:hint="eastAsia" w:ascii="仿宋_GB2312" w:eastAsia="仿宋_GB2312"/>
          <w:color w:val="auto"/>
          <w:sz w:val="32"/>
          <w:szCs w:val="32"/>
        </w:rPr>
        <w:t>22年政府性基金预算财政拨款支出</w:t>
      </w:r>
      <w:r>
        <w:rPr>
          <w:rFonts w:hint="eastAsia" w:ascii="仿宋_GB2312" w:eastAsia="仿宋_GB2312"/>
          <w:color w:val="auto"/>
          <w:sz w:val="32"/>
          <w:szCs w:val="32"/>
          <w:lang w:val="en-US" w:eastAsia="zh-CN"/>
        </w:rPr>
        <w:t>2.40</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其中：</w:t>
      </w:r>
    </w:p>
    <w:p>
      <w:pPr>
        <w:spacing w:line="600" w:lineRule="exact"/>
        <w:ind w:firstLine="640"/>
        <w:rPr>
          <w:rFonts w:ascii="仿宋_GB2312" w:eastAsia="仿宋_GB2312"/>
          <w:sz w:val="32"/>
          <w:szCs w:val="32"/>
        </w:rPr>
      </w:pPr>
      <w:r>
        <w:rPr>
          <w:rFonts w:hint="eastAsia" w:ascii="仿宋" w:hAnsi="仿宋" w:eastAsia="仿宋"/>
          <w:b/>
          <w:bCs/>
          <w:sz w:val="32"/>
          <w:szCs w:val="32"/>
        </w:rPr>
        <w:t>其他支出</w:t>
      </w:r>
      <w:r>
        <w:rPr>
          <w:rStyle w:val="16"/>
          <w:rFonts w:hint="eastAsia" w:ascii="仿宋" w:hAnsi="仿宋" w:eastAsia="仿宋"/>
          <w:bCs/>
          <w:sz w:val="32"/>
          <w:szCs w:val="32"/>
        </w:rPr>
        <w:t>（类）彩票公益金安排的支出（款）用于教育事业的彩票公益金支出（项）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Fonts w:hint="eastAsia" w:ascii="仿宋" w:hAnsi="仿宋" w:eastAsia="仿宋"/>
          <w:sz w:val="32"/>
          <w:szCs w:val="32"/>
          <w:lang w:val="en-US" w:eastAsia="zh-CN"/>
        </w:rPr>
        <w:t>2.40</w:t>
      </w:r>
      <w:r>
        <w:rPr>
          <w:rStyle w:val="16"/>
          <w:rFonts w:hint="eastAsia" w:ascii="仿宋" w:hAnsi="仿宋" w:eastAsia="仿宋"/>
          <w:b w:val="0"/>
          <w:bCs/>
          <w:sz w:val="32"/>
          <w:szCs w:val="32"/>
        </w:rPr>
        <w:t>万元</w:t>
      </w:r>
      <w:r>
        <w:rPr>
          <w:rStyle w:val="16"/>
          <w:rFonts w:hint="eastAsia" w:ascii="仿宋" w:hAnsi="仿宋" w:eastAsia="仿宋"/>
          <w:b w:val="0"/>
          <w:bCs/>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val="en-US" w:eastAsia="zh-CN"/>
        </w:rPr>
        <w:t>与</w:t>
      </w:r>
      <w:r>
        <w:rPr>
          <w:rStyle w:val="16"/>
          <w:rFonts w:hint="eastAsia" w:ascii="仿宋" w:hAnsi="仿宋" w:eastAsia="仿宋"/>
          <w:b w:val="0"/>
          <w:bCs/>
          <w:sz w:val="32"/>
          <w:szCs w:val="32"/>
        </w:rPr>
        <w:t>预算数</w:t>
      </w:r>
      <w:r>
        <w:rPr>
          <w:rStyle w:val="16"/>
          <w:rFonts w:hint="eastAsia" w:ascii="仿宋" w:hAnsi="仿宋" w:eastAsia="仿宋"/>
          <w:b w:val="0"/>
          <w:bCs/>
          <w:sz w:val="32"/>
          <w:szCs w:val="32"/>
          <w:lang w:val="en-US" w:eastAsia="zh-CN"/>
        </w:rPr>
        <w:t>持平</w:t>
      </w:r>
      <w:r>
        <w:rPr>
          <w:rStyle w:val="16"/>
          <w:rFonts w:hint="eastAsia" w:ascii="仿宋" w:hAnsi="仿宋" w:eastAsia="仿宋"/>
          <w:b w:val="0"/>
          <w:bCs/>
          <w:sz w:val="32"/>
          <w:szCs w:val="32"/>
        </w:rPr>
        <w:t>。</w:t>
      </w:r>
    </w:p>
    <w:p>
      <w:pPr>
        <w:numPr>
          <w:ilvl w:val="0"/>
          <w:numId w:val="3"/>
        </w:numPr>
        <w:spacing w:line="600" w:lineRule="exact"/>
        <w:ind w:firstLine="640"/>
        <w:outlineLvl w:val="1"/>
        <w:rPr>
          <w:rStyle w:val="27"/>
          <w:rFonts w:ascii="黑体" w:hAnsi="黑体" w:eastAsia="黑体"/>
          <w:b w:val="0"/>
        </w:rPr>
      </w:pPr>
      <w:bookmarkStart w:id="46" w:name="_Toc15377219"/>
      <w:bookmarkStart w:id="47" w:name="_Toc15396611"/>
      <w:r>
        <w:rPr>
          <w:rStyle w:val="27"/>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7"/>
          <w:rFonts w:ascii="黑体" w:hAnsi="黑体" w:eastAsia="黑体"/>
          <w:b w:val="0"/>
        </w:rPr>
      </w:pPr>
      <w:bookmarkStart w:id="48" w:name="_Toc15377221"/>
      <w:bookmarkStart w:id="49" w:name="_Toc15396612"/>
      <w:r>
        <w:rPr>
          <w:rStyle w:val="27"/>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FF0000"/>
          <w:sz w:val="32"/>
          <w:szCs w:val="32"/>
        </w:rPr>
      </w:pPr>
      <w:bookmarkStart w:id="50" w:name="_Toc15377222"/>
      <w:r>
        <w:rPr>
          <w:rFonts w:hint="eastAsia" w:ascii="仿宋" w:hAnsi="仿宋" w:eastAsia="仿宋"/>
          <w:b/>
          <w:color w:val="auto"/>
          <w:sz w:val="32"/>
          <w:szCs w:val="32"/>
        </w:rPr>
        <w:t>（一）机关运行经费支出情况</w:t>
      </w:r>
      <w:bookmarkEnd w:id="50"/>
    </w:p>
    <w:p>
      <w:pPr>
        <w:spacing w:line="600" w:lineRule="exact"/>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我单位</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val="en-US"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我单位</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我单位</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根据预算绩效管理要求，本部单位在年预算编制阶段，组织对</w:t>
      </w:r>
      <w:r>
        <w:rPr>
          <w:rFonts w:hint="eastAsia" w:ascii="仿宋_GB2312" w:hAnsi="仿宋_GB2312" w:eastAsia="仿宋_GB2312" w:cs="仿宋_GB2312"/>
          <w:sz w:val="32"/>
          <w:szCs w:val="32"/>
          <w:lang w:val="en-US" w:eastAsia="zh-CN"/>
        </w:rPr>
        <w:t>剑阁县杨村小学校学生营养膳食改善计划资金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义务教育学生免作业本费、</w:t>
      </w:r>
      <w:r>
        <w:rPr>
          <w:rFonts w:hint="eastAsia" w:ascii="仿宋_GB2312" w:hAnsi="仿宋_GB2312" w:eastAsia="仿宋_GB2312" w:cs="仿宋_GB2312"/>
          <w:sz w:val="32"/>
          <w:szCs w:val="32"/>
        </w:rPr>
        <w:t>义务教育家庭经济困难学生生活补助资金、</w:t>
      </w:r>
      <w:r>
        <w:rPr>
          <w:rFonts w:hint="default" w:ascii="仿宋_GB2312" w:hAnsi="仿宋_GB2312" w:eastAsia="仿宋_GB2312" w:cs="仿宋_GB2312"/>
          <w:bCs/>
          <w:kern w:val="2"/>
          <w:sz w:val="32"/>
          <w:szCs w:val="32"/>
          <w:lang w:val="en-US" w:eastAsia="zh-CN" w:bidi="ar-SA"/>
        </w:rPr>
        <w:t>校园安全保障经费</w:t>
      </w:r>
      <w:r>
        <w:rPr>
          <w:rFonts w:hint="eastAsia" w:ascii="仿宋_GB2312" w:hAnsi="仿宋_GB2312" w:eastAsia="仿宋_GB2312" w:cs="仿宋_GB2312"/>
          <w:bCs/>
          <w:kern w:val="2"/>
          <w:sz w:val="32"/>
          <w:szCs w:val="32"/>
          <w:lang w:val="en-US" w:eastAsia="zh-CN" w:bidi="ar-SA"/>
        </w:rPr>
        <w:t>、</w:t>
      </w:r>
      <w:r>
        <w:rPr>
          <w:rFonts w:hint="default" w:ascii="仿宋_GB2312" w:hAnsi="仿宋_GB2312" w:eastAsia="仿宋_GB2312" w:cs="仿宋_GB2312"/>
          <w:bCs/>
          <w:kern w:val="2"/>
          <w:sz w:val="32"/>
          <w:szCs w:val="32"/>
          <w:lang w:val="en-US" w:eastAsia="zh-CN" w:bidi="ar-SA"/>
        </w:rPr>
        <w:t>食堂人员补助</w:t>
      </w:r>
      <w:r>
        <w:rPr>
          <w:rFonts w:hint="eastAsia" w:ascii="仿宋_GB2312" w:hAnsi="仿宋_GB2312" w:eastAsia="仿宋_GB2312" w:cs="仿宋_GB2312"/>
          <w:bCs/>
          <w:kern w:val="2"/>
          <w:sz w:val="32"/>
          <w:szCs w:val="32"/>
          <w:lang w:val="en-US" w:eastAsia="zh-CN" w:bidi="ar-SA"/>
        </w:rPr>
        <w:t>经费、</w:t>
      </w:r>
      <w:r>
        <w:rPr>
          <w:rFonts w:hint="eastAsia" w:ascii="仿宋_GB2312" w:hAnsi="仿宋_GB2312" w:eastAsia="仿宋_GB2312" w:cs="仿宋_GB2312"/>
          <w:sz w:val="32"/>
          <w:szCs w:val="32"/>
        </w:rPr>
        <w:t>义务教育公用经费等项目编制了绩效目标，预算执行过程中，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选取15</w:t>
      </w:r>
      <w:r>
        <w:rPr>
          <w:rFonts w:hint="eastAsia" w:ascii="仿宋_GB2312" w:hAnsi="仿宋_GB2312" w:eastAsia="仿宋_GB2312" w:cs="仿宋_GB2312"/>
          <w:color w:val="000000" w:themeColor="text1"/>
          <w:sz w:val="32"/>
          <w:szCs w:val="32"/>
          <w14:textFill>
            <w14:solidFill>
              <w14:schemeClr w14:val="tx1"/>
            </w14:solidFill>
          </w14:textFill>
        </w:rPr>
        <w:t>项目实施开展绩效监控，年终执行完毕后，对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sz w:val="32"/>
          <w:szCs w:val="32"/>
        </w:rPr>
        <w:t>开展了绩效目标完成情况自评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绩效自评表详见第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部分附件</w:t>
      </w:r>
      <w:r>
        <w:rPr>
          <w:rFonts w:hint="eastAsia" w:ascii="仿宋_GB2312" w:hAnsi="仿宋_GB2312" w:eastAsia="仿宋_GB2312" w:cs="仿宋_GB2312"/>
          <w:sz w:val="32"/>
          <w:szCs w:val="32"/>
          <w:lang w:eastAsia="zh-CN"/>
        </w:rPr>
        <w:t>。</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53" w:name="_Toc15396613"/>
      <w:bookmarkStart w:id="54" w:name="_Toc15377225"/>
      <w:r>
        <w:rPr>
          <w:rFonts w:hint="eastAsia" w:ascii="黑体" w:hAnsi="黑体" w:eastAsia="黑体"/>
          <w:sz w:val="44"/>
          <w:szCs w:val="44"/>
        </w:rPr>
        <w:t>名</w:t>
      </w:r>
      <w:r>
        <w:rPr>
          <w:rStyle w:val="26"/>
          <w:rFonts w:hint="eastAsia" w:ascii="黑体" w:hAnsi="黑体" w:eastAsia="黑体"/>
          <w:b w:val="0"/>
        </w:rPr>
        <w:t>词解释</w:t>
      </w:r>
      <w:bookmarkEnd w:id="53"/>
      <w:bookmarkEnd w:id="54"/>
    </w:p>
    <w:p>
      <w:pPr>
        <w:pStyle w:val="2"/>
        <w:rPr>
          <w:rStyle w:val="26"/>
          <w:rFonts w:hint="eastAsia" w:ascii="黑体" w:hAnsi="黑体" w:eastAsia="黑体"/>
          <w:b w:val="0"/>
        </w:rPr>
      </w:pPr>
    </w:p>
    <w:p>
      <w:pPr>
        <w:pStyle w:val="2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财政拨款收入：指单位从同级财政部门取得的财政预算资金。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年末结转和结余：指单位按有关规定结转到下年或以后年度继续使用的资金。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6.</w:t>
      </w:r>
      <w:r>
        <w:rPr>
          <w:rFonts w:hint="eastAsia" w:ascii="仿宋_GB2312" w:hAnsi="Times New Roman" w:eastAsia="仿宋_GB2312" w:cs="仿宋_GB2312"/>
          <w:kern w:val="2"/>
          <w:sz w:val="32"/>
          <w:szCs w:val="32"/>
        </w:rPr>
        <w:t>一般公共预算拨款收入：指县级财政当年拨付的资金。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7.</w:t>
      </w:r>
      <w:r>
        <w:rPr>
          <w:rFonts w:hint="eastAsia" w:ascii="仿宋_GB2312" w:hAnsi="Times New Roman" w:eastAsia="仿宋_GB2312" w:cs="仿宋_GB2312"/>
          <w:kern w:val="2"/>
          <w:sz w:val="32"/>
          <w:szCs w:val="32"/>
        </w:rPr>
        <w:t>教育（类）普通教育（款）初中教育（项）：指学校正常运转的基本支出，包括基本工资、津贴补贴等人员经费，工会</w:t>
      </w:r>
      <w:r>
        <w:rPr>
          <w:rFonts w:ascii="仿宋_GB2312" w:hAnsi="Times New Roman" w:eastAsia="仿宋_GB2312" w:cs="仿宋_GB2312"/>
          <w:kern w:val="2"/>
          <w:sz w:val="32"/>
          <w:szCs w:val="32"/>
        </w:rPr>
        <w:t>经费、福利费、</w:t>
      </w:r>
      <w:r>
        <w:rPr>
          <w:rFonts w:hint="eastAsia" w:ascii="仿宋_GB2312" w:hAnsi="Times New Roman" w:eastAsia="仿宋_GB2312" w:cs="仿宋_GB2312"/>
          <w:kern w:val="2"/>
          <w:sz w:val="32"/>
          <w:szCs w:val="32"/>
        </w:rPr>
        <w:t>办公费、印刷费、水电费等日常公用经费，其他</w:t>
      </w:r>
      <w:r>
        <w:rPr>
          <w:rFonts w:ascii="仿宋_GB2312" w:hAnsi="Times New Roman" w:eastAsia="仿宋_GB2312" w:cs="仿宋_GB2312"/>
          <w:kern w:val="2"/>
          <w:sz w:val="32"/>
          <w:szCs w:val="32"/>
        </w:rPr>
        <w:t>社会保障</w:t>
      </w:r>
      <w:r>
        <w:rPr>
          <w:rFonts w:hint="eastAsia" w:ascii="仿宋_GB2312" w:hAnsi="Times New Roman" w:eastAsia="仿宋_GB2312" w:cs="仿宋_GB2312"/>
          <w:kern w:val="2"/>
          <w:sz w:val="32"/>
          <w:szCs w:val="32"/>
        </w:rPr>
        <w:t>缴费</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失业保险</w:t>
      </w:r>
      <w:r>
        <w:rPr>
          <w:rFonts w:ascii="仿宋_GB2312" w:hAnsi="Times New Roman" w:eastAsia="仿宋_GB2312" w:cs="仿宋_GB2312"/>
          <w:kern w:val="2"/>
          <w:sz w:val="32"/>
          <w:szCs w:val="32"/>
        </w:rPr>
        <w:t>和</w:t>
      </w:r>
      <w:r>
        <w:rPr>
          <w:rFonts w:hint="eastAsia" w:ascii="仿宋_GB2312" w:hAnsi="Times New Roman" w:eastAsia="仿宋_GB2312" w:cs="仿宋_GB2312"/>
          <w:kern w:val="2"/>
          <w:sz w:val="32"/>
          <w:szCs w:val="32"/>
        </w:rPr>
        <w:t>工伤</w:t>
      </w:r>
      <w:r>
        <w:rPr>
          <w:rFonts w:ascii="仿宋_GB2312" w:hAnsi="Times New Roman" w:eastAsia="仿宋_GB2312" w:cs="仿宋_GB2312"/>
          <w:kern w:val="2"/>
          <w:sz w:val="32"/>
          <w:szCs w:val="32"/>
        </w:rPr>
        <w:t>保险）</w:t>
      </w:r>
      <w:r>
        <w:rPr>
          <w:rFonts w:hint="eastAsia" w:ascii="仿宋_GB2312" w:hAnsi="Times New Roman" w:eastAsia="仿宋_GB2312" w:cs="仿宋_GB2312"/>
          <w:kern w:val="2"/>
          <w:sz w:val="32"/>
          <w:szCs w:val="32"/>
        </w:rPr>
        <w:t>及</w:t>
      </w:r>
      <w:r>
        <w:rPr>
          <w:rFonts w:ascii="仿宋_GB2312" w:hAnsi="Times New Roman" w:eastAsia="仿宋_GB2312" w:cs="仿宋_GB2312"/>
          <w:kern w:val="2"/>
          <w:sz w:val="32"/>
          <w:szCs w:val="32"/>
        </w:rPr>
        <w:t>遗属生活补助</w:t>
      </w:r>
      <w:r>
        <w:rPr>
          <w:rFonts w:hint="eastAsia" w:ascii="仿宋_GB2312" w:hAnsi="Times New Roman" w:eastAsia="仿宋_GB2312" w:cs="仿宋_GB2312"/>
          <w:kern w:val="2"/>
          <w:sz w:val="32"/>
          <w:szCs w:val="32"/>
        </w:rPr>
        <w:t>、贫困住校生</w:t>
      </w:r>
      <w:r>
        <w:rPr>
          <w:rFonts w:ascii="仿宋_GB2312" w:hAnsi="Times New Roman" w:eastAsia="仿宋_GB2312" w:cs="仿宋_GB2312"/>
          <w:kern w:val="2"/>
          <w:sz w:val="32"/>
          <w:szCs w:val="32"/>
        </w:rPr>
        <w:t>生活补助等</w:t>
      </w:r>
      <w:r>
        <w:rPr>
          <w:rFonts w:hint="eastAsia" w:ascii="仿宋_GB2312" w:hAnsi="Times New Roman" w:eastAsia="仿宋_GB2312" w:cs="仿宋_GB2312"/>
          <w:kern w:val="2"/>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8.</w:t>
      </w:r>
      <w:r>
        <w:rPr>
          <w:rFonts w:hint="eastAsia" w:ascii="仿宋_GB2312" w:eastAsia="仿宋_GB2312" w:cs="仿宋_GB2312"/>
          <w:color w:val="000000"/>
          <w:sz w:val="32"/>
          <w:szCs w:val="32"/>
        </w:rPr>
        <w:t>社会保障和就业（类）行政事业单位养老支出（款）机关事业单位基本养老保险缴费支出（项）：指部门实施养老保险制度由单位缴纳的养老保险费的支出。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其他社会保障和就业支出（类）其他社会保障和就业支出（款）：指财政拨付给单位，再由单位支付给退休人员的一次性退休补贴</w:t>
      </w:r>
      <w:r>
        <w:rPr>
          <w:rFonts w:hint="eastAsia" w:asci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10.</w:t>
      </w:r>
      <w:r>
        <w:rPr>
          <w:rFonts w:hint="eastAsia" w:ascii="仿宋_GB2312" w:eastAsia="仿宋_GB2312" w:cs="仿宋_GB2312"/>
          <w:color w:val="000000"/>
          <w:sz w:val="32"/>
          <w:szCs w:val="32"/>
        </w:rPr>
        <w:t>卫生健康支出（类）行政事业单位医疗（款）事业单位医疗（项）：指事业单位用于缴纳单位在职及退休人员基本医疗保险支出。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11.</w:t>
      </w:r>
      <w:r>
        <w:rPr>
          <w:rFonts w:hint="eastAsia" w:ascii="仿宋_GB2312" w:eastAsia="仿宋_GB2312" w:cs="仿宋_GB2312"/>
          <w:color w:val="000000"/>
          <w:sz w:val="32"/>
          <w:szCs w:val="32"/>
        </w:rPr>
        <w:t>住房保障（类）住房改革支出（款）住房公积金（项）：指按照《住房公积金管理条例》的规定，由单位及其在职职工缴存的长期住房储金。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
      <w:pPr>
        <w:spacing w:line="600" w:lineRule="exact"/>
        <w:jc w:val="center"/>
        <w:outlineLvl w:val="0"/>
        <w:rPr>
          <w:rFonts w:hint="eastAsia" w:ascii="黑体" w:hAnsi="黑体" w:eastAsia="黑体"/>
          <w:sz w:val="44"/>
          <w:szCs w:val="44"/>
        </w:rPr>
      </w:pPr>
      <w:bookmarkStart w:id="55" w:name="_Toc15396614"/>
      <w:bookmarkStart w:id="56"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26"/>
          <w:rFonts w:ascii="黑体" w:hAnsi="黑体" w:eastAsia="黑体"/>
          <w:b w:val="0"/>
        </w:rPr>
      </w:pPr>
      <w:r>
        <w:rPr>
          <w:rFonts w:hint="eastAsia" w:ascii="黑体" w:hAnsi="黑体" w:eastAsia="黑体"/>
          <w:sz w:val="44"/>
          <w:szCs w:val="44"/>
        </w:rPr>
        <w:t>第</w:t>
      </w:r>
      <w:r>
        <w:rPr>
          <w:rStyle w:val="26"/>
          <w:rFonts w:hint="eastAsia" w:ascii="黑体" w:hAnsi="黑体" w:eastAsia="黑体"/>
          <w:b w:val="0"/>
        </w:rPr>
        <w:t>四部分 附件</w:t>
      </w:r>
      <w:bookmarkEnd w:id="55"/>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7" w:name="_Toc15396618"/>
      <w:r>
        <w:rPr>
          <w:rFonts w:hint="eastAsia" w:ascii="宋体" w:hAnsi="宋体" w:cs="宋体"/>
          <w:kern w:val="0"/>
          <w:sz w:val="32"/>
          <w:szCs w:val="32"/>
        </w:rPr>
        <w:t>部门预算项目支出绩效自评表（2022年度）</w:t>
      </w:r>
    </w:p>
    <w:p>
      <w:pPr>
        <w:spacing w:line="600" w:lineRule="exact"/>
        <w:jc w:val="left"/>
        <w:outlineLvl w:val="0"/>
        <w:rPr>
          <w:rFonts w:ascii="仿宋_GB2312" w:hAnsi="Calibri" w:eastAsia="仿宋_GB2312" w:cs="仿宋"/>
          <w:kern w:val="0"/>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6"/>
      <w:bookmarkEnd w:id="57"/>
      <w:bookmarkStart w:id="58" w:name="_Toc15396619"/>
    </w:p>
    <w:p>
      <w:pPr>
        <w:pStyle w:val="5"/>
        <w:rPr>
          <w:rFonts w:hint="eastAsia" w:ascii="仿宋" w:hAnsi="仿宋" w:eastAsia="仿宋"/>
          <w:lang w:eastAsia="zh-CN"/>
        </w:rPr>
      </w:pPr>
      <w:r>
        <w:rPr>
          <w:rFonts w:hint="eastAsia" w:ascii="仿宋" w:hAnsi="仿宋" w:eastAsia="仿宋"/>
          <w:b w:val="0"/>
        </w:rPr>
        <w:t>一、收</w:t>
      </w:r>
      <w:r>
        <w:rPr>
          <w:rStyle w:val="27"/>
          <w:rFonts w:hint="eastAsia" w:ascii="仿宋" w:hAnsi="仿宋" w:eastAsia="仿宋"/>
          <w:b w:val="0"/>
          <w:bCs w:val="0"/>
        </w:rPr>
        <w:t>入支出决算</w:t>
      </w:r>
      <w:bookmarkEnd w:id="58"/>
      <w:r>
        <w:rPr>
          <w:rStyle w:val="27"/>
          <w:rFonts w:hint="eastAsia" w:ascii="仿宋" w:hAnsi="仿宋" w:eastAsia="仿宋"/>
          <w:b w:val="0"/>
          <w:bCs w:val="0"/>
          <w:lang w:val="en-US" w:eastAsia="zh-CN"/>
        </w:rPr>
        <w:t>批复表</w:t>
      </w:r>
    </w:p>
    <w:p>
      <w:pPr>
        <w:pStyle w:val="5"/>
        <w:rPr>
          <w:rFonts w:ascii="仿宋" w:hAnsi="仿宋" w:eastAsia="仿宋"/>
        </w:rPr>
      </w:pPr>
      <w:bookmarkStart w:id="59" w:name="_Toc15396620"/>
      <w:r>
        <w:rPr>
          <w:rFonts w:hint="eastAsia" w:ascii="仿宋" w:hAnsi="仿宋" w:eastAsia="仿宋"/>
          <w:b w:val="0"/>
        </w:rPr>
        <w:t>二、收</w:t>
      </w:r>
      <w:r>
        <w:rPr>
          <w:rStyle w:val="27"/>
          <w:rFonts w:hint="eastAsia" w:ascii="仿宋" w:hAnsi="仿宋" w:eastAsia="仿宋"/>
          <w:b w:val="0"/>
          <w:bCs w:val="0"/>
        </w:rPr>
        <w:t>入决算</w:t>
      </w:r>
      <w:r>
        <w:rPr>
          <w:rStyle w:val="27"/>
          <w:rFonts w:hint="eastAsia" w:ascii="仿宋" w:hAnsi="仿宋" w:eastAsia="仿宋"/>
          <w:b w:val="0"/>
          <w:bCs w:val="0"/>
          <w:lang w:val="en-US" w:eastAsia="zh-CN"/>
        </w:rPr>
        <w:t>批复</w:t>
      </w:r>
      <w:r>
        <w:rPr>
          <w:rStyle w:val="27"/>
          <w:rFonts w:hint="eastAsia" w:ascii="仿宋" w:hAnsi="仿宋" w:eastAsia="仿宋"/>
          <w:b w:val="0"/>
          <w:bCs w:val="0"/>
        </w:rPr>
        <w:t>表</w:t>
      </w:r>
      <w:bookmarkEnd w:id="59"/>
    </w:p>
    <w:p>
      <w:pPr>
        <w:pStyle w:val="5"/>
        <w:rPr>
          <w:rFonts w:ascii="仿宋" w:hAnsi="仿宋" w:eastAsia="仿宋"/>
        </w:rPr>
      </w:pPr>
      <w:bookmarkStart w:id="60"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w:t>
      </w:r>
      <w:r>
        <w:rPr>
          <w:rStyle w:val="27"/>
          <w:rFonts w:hint="eastAsia" w:ascii="仿宋" w:hAnsi="仿宋" w:eastAsia="仿宋"/>
          <w:b w:val="0"/>
          <w:bCs w:val="0"/>
          <w:lang w:val="en-US" w:eastAsia="zh-CN"/>
        </w:rPr>
        <w:t>批复</w:t>
      </w:r>
      <w:r>
        <w:rPr>
          <w:rStyle w:val="27"/>
          <w:rFonts w:hint="eastAsia" w:ascii="仿宋" w:hAnsi="仿宋" w:eastAsia="仿宋"/>
          <w:b w:val="0"/>
          <w:bCs w:val="0"/>
        </w:rPr>
        <w:t>表</w:t>
      </w:r>
      <w:bookmarkEnd w:id="60"/>
    </w:p>
    <w:p>
      <w:pPr>
        <w:pStyle w:val="5"/>
        <w:rPr>
          <w:rFonts w:ascii="仿宋" w:hAnsi="仿宋" w:eastAsia="仿宋"/>
          <w:b w:val="0"/>
        </w:rPr>
      </w:pPr>
      <w:bookmarkStart w:id="61"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w:t>
      </w:r>
      <w:r>
        <w:rPr>
          <w:rStyle w:val="27"/>
          <w:rFonts w:hint="eastAsia" w:ascii="仿宋" w:hAnsi="仿宋" w:eastAsia="仿宋"/>
          <w:b w:val="0"/>
          <w:bCs w:val="0"/>
          <w:lang w:val="en-US" w:eastAsia="zh-CN"/>
        </w:rPr>
        <w:t>批复</w:t>
      </w:r>
      <w:r>
        <w:rPr>
          <w:rStyle w:val="27"/>
          <w:rFonts w:hint="eastAsia" w:ascii="仿宋" w:hAnsi="仿宋" w:eastAsia="仿宋"/>
          <w:b w:val="0"/>
          <w:bCs w:val="0"/>
        </w:rPr>
        <w:t>表</w:t>
      </w:r>
      <w:bookmarkEnd w:id="61"/>
    </w:p>
    <w:p>
      <w:pPr>
        <w:pStyle w:val="5"/>
        <w:rPr>
          <w:rStyle w:val="27"/>
          <w:rFonts w:hint="default" w:ascii="仿宋" w:hAnsi="仿宋" w:eastAsia="仿宋"/>
          <w:b w:val="0"/>
          <w:bCs w:val="0"/>
          <w:lang w:val="en-US" w:eastAsia="zh-CN"/>
        </w:rPr>
      </w:pPr>
      <w:bookmarkStart w:id="62" w:name="_Toc15396623"/>
      <w:r>
        <w:rPr>
          <w:rStyle w:val="27"/>
          <w:rFonts w:hint="eastAsia" w:ascii="仿宋" w:hAnsi="仿宋" w:eastAsia="仿宋"/>
          <w:b w:val="0"/>
          <w:bCs w:val="0"/>
        </w:rPr>
        <w:t>五、</w:t>
      </w:r>
      <w:bookmarkEnd w:id="62"/>
      <w:bookmarkStart w:id="63" w:name="_Toc15396624"/>
      <w:r>
        <w:rPr>
          <w:rFonts w:hint="eastAsia" w:ascii="仿宋" w:hAnsi="仿宋" w:eastAsia="仿宋"/>
          <w:b w:val="0"/>
        </w:rPr>
        <w:t>一</w:t>
      </w:r>
      <w:r>
        <w:rPr>
          <w:rStyle w:val="27"/>
          <w:rFonts w:hint="eastAsia" w:ascii="仿宋" w:hAnsi="仿宋" w:eastAsia="仿宋"/>
          <w:b w:val="0"/>
          <w:bCs w:val="0"/>
        </w:rPr>
        <w:t>般公共预算财政拨款</w:t>
      </w:r>
      <w:r>
        <w:rPr>
          <w:rStyle w:val="27"/>
          <w:rFonts w:hint="eastAsia" w:ascii="仿宋" w:hAnsi="仿宋" w:eastAsia="仿宋"/>
          <w:b w:val="0"/>
          <w:bCs w:val="0"/>
          <w:lang w:val="en-US" w:eastAsia="zh-CN"/>
        </w:rPr>
        <w:t>收入支出决算批复表</w:t>
      </w:r>
    </w:p>
    <w:p>
      <w:pPr>
        <w:pStyle w:val="5"/>
        <w:rPr>
          <w:rFonts w:hint="default" w:ascii="仿宋" w:hAnsi="仿宋" w:eastAsia="仿宋"/>
          <w:lang w:val="en-US" w:eastAsia="zh-CN"/>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w:t>
      </w:r>
      <w:bookmarkEnd w:id="63"/>
      <w:r>
        <w:rPr>
          <w:rStyle w:val="27"/>
          <w:rFonts w:hint="eastAsia" w:ascii="仿宋" w:hAnsi="仿宋" w:eastAsia="仿宋"/>
          <w:b w:val="0"/>
          <w:bCs w:val="0"/>
          <w:lang w:val="en-US" w:eastAsia="zh-CN"/>
        </w:rPr>
        <w:t>基本支出决算明细批复表</w:t>
      </w:r>
    </w:p>
    <w:p>
      <w:pPr>
        <w:pStyle w:val="5"/>
        <w:rPr>
          <w:rFonts w:hint="eastAsia" w:ascii="仿宋" w:hAnsi="仿宋" w:eastAsia="仿宋"/>
          <w:b w:val="0"/>
          <w:lang w:val="en-US" w:eastAsia="zh-CN"/>
        </w:rPr>
      </w:pPr>
      <w:bookmarkStart w:id="64" w:name="_Toc15396625"/>
      <w:r>
        <w:rPr>
          <w:rStyle w:val="27"/>
          <w:rFonts w:hint="eastAsia" w:ascii="仿宋" w:hAnsi="仿宋" w:eastAsia="仿宋"/>
          <w:b w:val="0"/>
          <w:bCs w:val="0"/>
        </w:rPr>
        <w:t>七、</w:t>
      </w:r>
      <w:bookmarkEnd w:id="64"/>
      <w:bookmarkStart w:id="65" w:name="_Toc15396626"/>
      <w:r>
        <w:rPr>
          <w:rFonts w:hint="eastAsia" w:ascii="仿宋" w:hAnsi="仿宋" w:eastAsia="仿宋"/>
          <w:b w:val="0"/>
          <w:lang w:val="en-US" w:eastAsia="zh-CN"/>
        </w:rPr>
        <w:t>政府性基金预算财政拨款收入支出决算批复表</w:t>
      </w:r>
    </w:p>
    <w:p>
      <w:pPr>
        <w:pStyle w:val="5"/>
        <w:rPr>
          <w:rFonts w:ascii="仿宋" w:hAnsi="仿宋" w:eastAsia="仿宋"/>
        </w:rPr>
      </w:pPr>
      <w:r>
        <w:rPr>
          <w:rStyle w:val="27"/>
          <w:rFonts w:hint="eastAsia" w:ascii="仿宋" w:hAnsi="仿宋" w:eastAsia="仿宋"/>
          <w:b w:val="0"/>
          <w:bCs w:val="0"/>
        </w:rPr>
        <w:t>八、</w:t>
      </w:r>
      <w:r>
        <w:rPr>
          <w:rFonts w:hint="eastAsia" w:ascii="仿宋" w:hAnsi="仿宋" w:eastAsia="仿宋"/>
          <w:b w:val="0"/>
          <w:lang w:val="en-US" w:eastAsia="zh-CN"/>
        </w:rPr>
        <w:t>国有资本经营预算财政拨款收入支出决算批复表</w:t>
      </w:r>
      <w:bookmarkEnd w:id="65"/>
    </w:p>
    <w:p>
      <w:pPr>
        <w:pStyle w:val="5"/>
        <w:rPr>
          <w:rFonts w:hint="eastAsia" w:ascii="仿宋" w:hAnsi="仿宋" w:eastAsia="仿宋"/>
          <w:b w:val="0"/>
          <w:lang w:val="en-US" w:eastAsia="zh-CN"/>
        </w:rPr>
      </w:pPr>
      <w:bookmarkStart w:id="66" w:name="_Toc15396627"/>
      <w:r>
        <w:rPr>
          <w:rStyle w:val="27"/>
          <w:rFonts w:hint="eastAsia" w:ascii="仿宋" w:hAnsi="仿宋" w:eastAsia="仿宋"/>
          <w:b w:val="0"/>
          <w:bCs w:val="0"/>
        </w:rPr>
        <w:t>九、</w:t>
      </w:r>
      <w:bookmarkEnd w:id="66"/>
      <w:r>
        <w:rPr>
          <w:rFonts w:hint="eastAsia" w:ascii="仿宋" w:hAnsi="仿宋" w:eastAsia="仿宋"/>
          <w:b w:val="0"/>
          <w:lang w:val="en-US" w:eastAsia="zh-CN"/>
        </w:rPr>
        <w:t>部门决算量化评价表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88AED7-275D-4260-90B3-FA760A1E34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B745B1-AED1-4288-958B-18DD6239192C}"/>
  </w:font>
  <w:font w:name="Cambria">
    <w:panose1 w:val="02040503050406030204"/>
    <w:charset w:val="00"/>
    <w:family w:val="roman"/>
    <w:pitch w:val="default"/>
    <w:sig w:usb0="E00006FF" w:usb1="420024FF" w:usb2="02000000" w:usb3="00000000" w:csb0="2000019F" w:csb1="00000000"/>
    <w:embedRegular r:id="rId3" w:fontKey="{25669200-2806-4A08-A224-3149D4283289}"/>
  </w:font>
  <w:font w:name="仿宋_GB2312">
    <w:altName w:val="仿宋"/>
    <w:panose1 w:val="00000000000000000000"/>
    <w:charset w:val="86"/>
    <w:family w:val="modern"/>
    <w:pitch w:val="default"/>
    <w:sig w:usb0="00000000" w:usb1="00000000" w:usb2="00000000" w:usb3="00000000" w:csb0="00040000" w:csb1="00000000"/>
    <w:embedRegular r:id="rId4" w:fontKey="{E3310B4B-0D30-4B3D-AE4F-FF2DA6CFF671}"/>
  </w:font>
  <w:font w:name="仿宋">
    <w:panose1 w:val="02010609060101010101"/>
    <w:charset w:val="86"/>
    <w:family w:val="modern"/>
    <w:pitch w:val="default"/>
    <w:sig w:usb0="800002BF" w:usb1="38CF7CFA" w:usb2="00000016" w:usb3="00000000" w:csb0="00040001" w:csb1="00000000"/>
    <w:embedRegular r:id="rId5" w:fontKey="{3B5E095E-E275-409C-B431-035508B96FD6}"/>
  </w:font>
  <w:font w:name="方正小标宋简体">
    <w:panose1 w:val="02000000000000000000"/>
    <w:charset w:val="86"/>
    <w:family w:val="script"/>
    <w:pitch w:val="default"/>
    <w:sig w:usb0="00000001" w:usb1="08000000" w:usb2="00000000" w:usb3="00000000" w:csb0="00040000" w:csb1="00000000"/>
    <w:embedRegular r:id="rId6" w:fontKey="{A07C4E43-E29C-4B40-A0AD-D293FC1710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abstractNum w:abstractNumId="3">
    <w:nsid w:val="40AB4EA1"/>
    <w:multiLevelType w:val="singleLevel"/>
    <w:tmpl w:val="40AB4EA1"/>
    <w:lvl w:ilvl="0" w:tentative="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5DEA"/>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6193506"/>
    <w:rsid w:val="08744BDF"/>
    <w:rsid w:val="087E15BA"/>
    <w:rsid w:val="0935239F"/>
    <w:rsid w:val="0A2032A3"/>
    <w:rsid w:val="0B8A37D8"/>
    <w:rsid w:val="10C055FF"/>
    <w:rsid w:val="10DC2325"/>
    <w:rsid w:val="118107EC"/>
    <w:rsid w:val="11DD6519"/>
    <w:rsid w:val="139C533A"/>
    <w:rsid w:val="154929C8"/>
    <w:rsid w:val="16BB723D"/>
    <w:rsid w:val="18015F3F"/>
    <w:rsid w:val="1890540E"/>
    <w:rsid w:val="198D5B01"/>
    <w:rsid w:val="19F94F44"/>
    <w:rsid w:val="1B6D0F11"/>
    <w:rsid w:val="1BE8440E"/>
    <w:rsid w:val="1D155CEE"/>
    <w:rsid w:val="1F1A235F"/>
    <w:rsid w:val="20F57F95"/>
    <w:rsid w:val="210B392E"/>
    <w:rsid w:val="21477DC4"/>
    <w:rsid w:val="223570AE"/>
    <w:rsid w:val="235C07A2"/>
    <w:rsid w:val="240371BF"/>
    <w:rsid w:val="24661428"/>
    <w:rsid w:val="25711CC6"/>
    <w:rsid w:val="25C741E6"/>
    <w:rsid w:val="260663CC"/>
    <w:rsid w:val="27486F08"/>
    <w:rsid w:val="27842671"/>
    <w:rsid w:val="28631B9C"/>
    <w:rsid w:val="29FD04D3"/>
    <w:rsid w:val="2A8E30D4"/>
    <w:rsid w:val="2ABE7A3E"/>
    <w:rsid w:val="2B805AB1"/>
    <w:rsid w:val="2BCF0790"/>
    <w:rsid w:val="2CA00DAF"/>
    <w:rsid w:val="2CA234A8"/>
    <w:rsid w:val="2EFA178C"/>
    <w:rsid w:val="30853026"/>
    <w:rsid w:val="30B46D73"/>
    <w:rsid w:val="319F7F4E"/>
    <w:rsid w:val="330C4B3D"/>
    <w:rsid w:val="333315EA"/>
    <w:rsid w:val="36430E7A"/>
    <w:rsid w:val="383D272C"/>
    <w:rsid w:val="39AE70AB"/>
    <w:rsid w:val="3ADD30C2"/>
    <w:rsid w:val="3B2664AF"/>
    <w:rsid w:val="3BA348FB"/>
    <w:rsid w:val="3C0C0783"/>
    <w:rsid w:val="3DB241CE"/>
    <w:rsid w:val="3EBC2172"/>
    <w:rsid w:val="3F9F3A96"/>
    <w:rsid w:val="408829FA"/>
    <w:rsid w:val="416964BA"/>
    <w:rsid w:val="47BF2EB8"/>
    <w:rsid w:val="48BF60AB"/>
    <w:rsid w:val="493C27E9"/>
    <w:rsid w:val="496F39ED"/>
    <w:rsid w:val="49FF41D3"/>
    <w:rsid w:val="4A7F68A7"/>
    <w:rsid w:val="4A9626E4"/>
    <w:rsid w:val="4B0D03E4"/>
    <w:rsid w:val="4BE068DB"/>
    <w:rsid w:val="4BF6002B"/>
    <w:rsid w:val="4C726758"/>
    <w:rsid w:val="4ECE2238"/>
    <w:rsid w:val="4EFF5FB9"/>
    <w:rsid w:val="51DB4B86"/>
    <w:rsid w:val="52A86F2C"/>
    <w:rsid w:val="53C430CB"/>
    <w:rsid w:val="53D76820"/>
    <w:rsid w:val="544669FD"/>
    <w:rsid w:val="55333C3E"/>
    <w:rsid w:val="556A671B"/>
    <w:rsid w:val="55E81727"/>
    <w:rsid w:val="55FA5DFE"/>
    <w:rsid w:val="5617550B"/>
    <w:rsid w:val="57811AFA"/>
    <w:rsid w:val="6166423A"/>
    <w:rsid w:val="626148C5"/>
    <w:rsid w:val="63DA4A6C"/>
    <w:rsid w:val="63F1388A"/>
    <w:rsid w:val="64CA39A1"/>
    <w:rsid w:val="66714186"/>
    <w:rsid w:val="67E10ABE"/>
    <w:rsid w:val="69630ADE"/>
    <w:rsid w:val="6B2D7B77"/>
    <w:rsid w:val="6C292B66"/>
    <w:rsid w:val="6C4A05C8"/>
    <w:rsid w:val="6D3B1A89"/>
    <w:rsid w:val="6D686DDF"/>
    <w:rsid w:val="6DED726F"/>
    <w:rsid w:val="6EA14120"/>
    <w:rsid w:val="708A46FF"/>
    <w:rsid w:val="71A70621"/>
    <w:rsid w:val="71BF4EC2"/>
    <w:rsid w:val="72734D90"/>
    <w:rsid w:val="73BD1D21"/>
    <w:rsid w:val="73CF3CCB"/>
    <w:rsid w:val="7412278C"/>
    <w:rsid w:val="76EB4ECC"/>
    <w:rsid w:val="775F730A"/>
    <w:rsid w:val="79E7B28D"/>
    <w:rsid w:val="7CDF7005"/>
    <w:rsid w:val="7E846E0E"/>
    <w:rsid w:val="7E941F8F"/>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left="420" w:leftChars="200"/>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4"/>
    <w:qFormat/>
    <w:uiPriority w:val="9"/>
    <w:rPr>
      <w:rFonts w:ascii="Times New Roman" w:hAnsi="Times New Roman"/>
      <w:b/>
      <w:bCs/>
      <w:kern w:val="44"/>
      <w:sz w:val="44"/>
      <w:szCs w:val="44"/>
    </w:rPr>
  </w:style>
  <w:style w:type="character" w:customStyle="1" w:styleId="27">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altLang="en-US"/>
              <a:t>收入、支出决算总计变动情况表</a:t>
            </a:r>
            <a:endParaRPr lang="en-US" altLang="zh-CN"/>
          </a:p>
        </c:rich>
      </c:tx>
      <c:layout>
        <c:manualLayout>
          <c:xMode val="edge"/>
          <c:yMode val="edge"/>
          <c:x val="0.301884513167432"/>
          <c:y val="0.0159371015724607"/>
        </c:manualLayout>
      </c:layout>
      <c:overlay val="0"/>
      <c:spPr>
        <a:noFill/>
        <a:ln>
          <a:noFill/>
        </a:ln>
        <a:effectLst/>
      </c:spPr>
    </c:title>
    <c:autoTitleDeleted val="0"/>
    <c:plotArea>
      <c:layout>
        <c:manualLayout>
          <c:layoutTarget val="inner"/>
          <c:xMode val="edge"/>
          <c:yMode val="edge"/>
          <c:x val="0.0322058468229041"/>
          <c:y val="0.298980025499363"/>
          <c:w val="0.930345494080696"/>
          <c:h val="0.638631534211645"/>
        </c:manualLayout>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Sheet1!$A$2:$A$5</c:f>
              <c:strCache>
                <c:ptCount val="4"/>
                <c:pt idx="0">
                  <c:v>收入</c:v>
                </c:pt>
                <c:pt idx="1">
                  <c:v>支出</c:v>
                </c:pt>
              </c:strCache>
            </c:strRef>
          </c:cat>
          <c:val>
            <c:numRef>
              <c:f>Sheet1!$B$2:$B$5</c:f>
              <c:numCache>
                <c:formatCode>General</c:formatCode>
                <c:ptCount val="4"/>
                <c:pt idx="0">
                  <c:v>1002.31</c:v>
                </c:pt>
                <c:pt idx="1">
                  <c:v>1002.31</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Sheet1!$A$2:$A$5</c:f>
              <c:strCache>
                <c:ptCount val="4"/>
                <c:pt idx="0">
                  <c:v>收入</c:v>
                </c:pt>
                <c:pt idx="1">
                  <c:v>支出</c:v>
                </c:pt>
              </c:strCache>
            </c:strRef>
          </c:cat>
          <c:val>
            <c:numRef>
              <c:f>Sheet1!$C$2:$C$5</c:f>
              <c:numCache>
                <c:formatCode>General</c:formatCode>
                <c:ptCount val="4"/>
                <c:pt idx="0">
                  <c:v>837.98</c:v>
                </c:pt>
                <c:pt idx="1">
                  <c:v>837.98</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收入</c:v>
                </c:pt>
                <c:pt idx="1">
                  <c:v>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993456086"/>
        <c:axId val="123757180"/>
      </c:barChart>
      <c:catAx>
        <c:axId val="9934560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757180"/>
        <c:crosses val="autoZero"/>
        <c:auto val="1"/>
        <c:lblAlgn val="ctr"/>
        <c:lblOffset val="100"/>
        <c:noMultiLvlLbl val="0"/>
      </c:catAx>
      <c:valAx>
        <c:axId val="123757180"/>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34560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1569747002703"/>
          <c:y val="0.310747503393522"/>
          <c:w val="0.329166666666667"/>
          <c:h val="0.656392388099705"/>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elete val="1"/>
          </c:dLbls>
          <c:cat>
            <c:strRef>
              <c:f>Sheet1!$A$2:$A$7</c:f>
              <c:strCache>
                <c:ptCount val="6"/>
                <c:pt idx="0">
                  <c:v>一般公共财政预算拨款收入</c:v>
                </c:pt>
                <c:pt idx="1">
                  <c:v>政府性基金预算财政拨款收入</c:v>
                </c:pt>
                <c:pt idx="2">
                  <c:v>国有资本经营预算财政拨款收入</c:v>
                </c:pt>
                <c:pt idx="3">
                  <c:v>事业收入</c:v>
                </c:pt>
                <c:pt idx="4">
                  <c:v>其他收入</c:v>
                </c:pt>
                <c:pt idx="5">
                  <c:v>附属单位上缴收入</c:v>
                </c:pt>
              </c:strCache>
            </c:strRef>
          </c:cat>
          <c:val>
            <c:numRef>
              <c:f>Sheet1!$B$2:$B$7</c:f>
              <c:numCache>
                <c:formatCode>General</c:formatCode>
                <c:ptCount val="6"/>
                <c:pt idx="0">
                  <c:v>831.8</c:v>
                </c:pt>
                <c:pt idx="1">
                  <c:v>1.1</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0102681807199807"/>
          <c:y val="0.134296642583935"/>
          <c:w val="0.964000966417009"/>
          <c:h val="0.1294092647683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833.58</c:v>
                </c:pt>
                <c:pt idx="1">
                  <c:v>4.4</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财政拨款收入支出决算总计变动情况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财政拨款收入</c:v>
                </c:pt>
                <c:pt idx="1">
                  <c:v>财政拨款支出</c:v>
                </c:pt>
              </c:strCache>
            </c:strRef>
          </c:cat>
          <c:val>
            <c:numRef>
              <c:f>Sheet1!$B$2:$B$5</c:f>
              <c:numCache>
                <c:formatCode>#,##0.00</c:formatCode>
                <c:ptCount val="4"/>
                <c:pt idx="0">
                  <c:v>1002.31</c:v>
                </c:pt>
                <c:pt idx="1">
                  <c:v>1002.31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财政拨款收入</c:v>
                </c:pt>
                <c:pt idx="1">
                  <c:v>财政拨款支出</c:v>
                </c:pt>
              </c:strCache>
            </c:strRef>
          </c:cat>
          <c:val>
            <c:numRef>
              <c:f>Sheet1!$C$2:$C$5</c:f>
              <c:numCache>
                <c:formatCode>General</c:formatCode>
                <c:ptCount val="4"/>
                <c:pt idx="0">
                  <c:v>837.98</c:v>
                </c:pt>
                <c:pt idx="1">
                  <c:v>837.98</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财政拨款收入</c:v>
                </c:pt>
                <c:pt idx="1">
                  <c:v>财政拨款支出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782791778"/>
        <c:axId val="235176456"/>
      </c:barChart>
      <c:catAx>
        <c:axId val="7827917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176456"/>
        <c:crosses val="autoZero"/>
        <c:auto val="1"/>
        <c:lblAlgn val="ctr"/>
        <c:lblOffset val="100"/>
        <c:noMultiLvlLbl val="0"/>
      </c:catAx>
      <c:valAx>
        <c:axId val="235176456"/>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27917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一般公共预算财政拨款支出</c:v>
                </c:pt>
              </c:strCache>
            </c:strRef>
          </c:cat>
          <c:val>
            <c:numRef>
              <c:f>Sheet1!$B$2:$B$5</c:f>
              <c:numCache>
                <c:formatCode>#,##0.00</c:formatCode>
                <c:ptCount val="4"/>
                <c:pt idx="0">
                  <c:v>993.73</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一般公共预算财政拨款支出</c:v>
                </c:pt>
              </c:strCache>
            </c:strRef>
          </c:cat>
          <c:val>
            <c:numRef>
              <c:f>Sheet1!$C$2:$C$5</c:f>
              <c:numCache>
                <c:formatCode>General</c:formatCode>
                <c:ptCount val="4"/>
                <c:pt idx="0">
                  <c:v>835.58</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一般公共预算财政拨款支出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533285292"/>
        <c:axId val="64822099"/>
      </c:barChart>
      <c:catAx>
        <c:axId val="5332852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822099"/>
        <c:crosses val="autoZero"/>
        <c:auto val="1"/>
        <c:lblAlgn val="ctr"/>
        <c:lblOffset val="100"/>
        <c:noMultiLvlLbl val="0"/>
      </c:catAx>
      <c:valAx>
        <c:axId val="64822099"/>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32852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Sheet1!$B$2:$B$6</c:f>
              <c:numCache>
                <c:formatCode>General</c:formatCode>
                <c:ptCount val="5"/>
                <c:pt idx="0">
                  <c:v>685.28</c:v>
                </c:pt>
                <c:pt idx="1">
                  <c:v>65.91</c:v>
                </c:pt>
                <c:pt idx="2">
                  <c:v>32.96</c:v>
                </c:pt>
                <c:pt idx="3">
                  <c:v>2</c:v>
                </c:pt>
                <c:pt idx="4">
                  <c:v>49.43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因公出国（境）费支出</c:v>
                </c:pt>
                <c:pt idx="1">
                  <c:v>公务用车购置及运行维护费支出</c:v>
                </c:pt>
                <c:pt idx="2">
                  <c:v>公务接待费支出决算</c:v>
                </c:pt>
              </c:strCache>
            </c:strRef>
          </c:cat>
          <c:val>
            <c:numRef>
              <c:f>Sheet1!$B$2:$B$5</c:f>
              <c:numCache>
                <c:formatCode>General</c:formatCode>
                <c:ptCount val="4"/>
                <c:pt idx="0">
                  <c:v>0</c:v>
                </c:pt>
                <c:pt idx="1">
                  <c:v>0</c:v>
                </c:pt>
                <c:pt idx="2">
                  <c:v>0.38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116</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2023-12-11T07:56:28Z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63D207DF1976478FBCBEF2985A6A085C_13</vt:lpwstr>
  </property>
</Properties>
</file>