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78441"/>
      <w:bookmarkStart w:id="3" w:name="_Toc15396597"/>
      <w:bookmarkStart w:id="4" w:name="_Toc15396475"/>
      <w:bookmarkStart w:id="5" w:name="_Toc1537742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bookmarkEnd w:id="0"/>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78442"/>
      <w:bookmarkStart w:id="7" w:name="_Toc15377194"/>
      <w:bookmarkStart w:id="8" w:name="_Toc15396476"/>
      <w:bookmarkStart w:id="9" w:name="_Toc15396598"/>
      <w:bookmarkStart w:id="10" w:name="_Toc15306268"/>
      <w:bookmarkStart w:id="11" w:name="_Toc15377426"/>
      <w:r>
        <w:rPr>
          <w:rFonts w:hint="eastAsia" w:ascii="方正小标宋简体" w:hAnsi="方正小标宋简体" w:eastAsia="方正小标宋简体" w:cs="方正小标宋简体"/>
          <w:sz w:val="72"/>
          <w:szCs w:val="72"/>
          <w:lang w:val="en-US" w:eastAsia="zh-CN"/>
        </w:rPr>
        <w:t>四川省剑阁县鹤龄中学</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公开时间：2023年</w:t>
      </w:r>
      <w:r>
        <w:rPr>
          <w:rFonts w:hint="eastAsia"/>
          <w:lang w:val="en-US" w:eastAsia="zh-CN"/>
        </w:rPr>
        <w:t>11</w:t>
      </w:r>
      <w:r>
        <w:rPr>
          <w:rFonts w:hint="eastAsia"/>
        </w:rPr>
        <w:t>月</w:t>
      </w:r>
      <w:r>
        <w:rPr>
          <w:rFonts w:hint="eastAsia"/>
          <w:lang w:val="en-US" w:eastAsia="zh-CN"/>
        </w:rPr>
        <w:t>28</w:t>
      </w:r>
      <w:r>
        <w:rPr>
          <w:rFonts w:hint="eastAsia"/>
        </w:rPr>
        <w:t>日</w:t>
      </w:r>
    </w:p>
    <w:p/>
    <w:p>
      <w:pPr>
        <w:pStyle w:val="12"/>
        <w:adjustRightInd w:val="0"/>
        <w:snapToGrid w:val="0"/>
        <w:spacing w:before="0" w:line="440" w:lineRule="exact"/>
        <w:jc w:val="left"/>
        <w:rPr>
          <w:rFonts w:cstheme="minorBidi"/>
          <w:b/>
          <w:bCs/>
          <w:sz w:val="28"/>
          <w:szCs w:val="28"/>
        </w:rPr>
      </w:pPr>
      <w:r>
        <w:rPr>
          <w:rFonts w:hint="eastAsia"/>
          <w:b/>
          <w:bCs/>
          <w:sz w:val="28"/>
          <w:szCs w:val="28"/>
        </w:rPr>
        <w:t>第一部分</w:t>
      </w:r>
      <w:r>
        <w:rPr>
          <w:b/>
          <w:bCs/>
          <w:sz w:val="28"/>
          <w:szCs w:val="28"/>
        </w:rPr>
        <w:t xml:space="preserve"> </w:t>
      </w:r>
      <w:r>
        <w:rPr>
          <w:rFonts w:hint="eastAsia"/>
          <w:b/>
          <w:bCs/>
          <w:sz w:val="28"/>
          <w:szCs w:val="28"/>
        </w:rPr>
        <w:t>单位概况</w:t>
      </w:r>
    </w:p>
    <w:p>
      <w:pPr>
        <w:pStyle w:val="13"/>
        <w:adjustRightInd w:val="0"/>
        <w:snapToGrid w:val="0"/>
        <w:spacing w:line="440" w:lineRule="exact"/>
        <w:jc w:val="left"/>
        <w:rPr>
          <w:sz w:val="24"/>
        </w:rPr>
      </w:pPr>
      <w:r>
        <w:rPr>
          <w:rFonts w:hint="eastAsia"/>
          <w:sz w:val="24"/>
        </w:rPr>
        <w:t>一、主要职责及重点</w:t>
      </w:r>
      <w:r>
        <w:rPr>
          <w:sz w:val="24"/>
        </w:rPr>
        <w:t>工作</w:t>
      </w:r>
    </w:p>
    <w:p>
      <w:pPr>
        <w:pStyle w:val="13"/>
        <w:adjustRightInd w:val="0"/>
        <w:snapToGrid w:val="0"/>
        <w:spacing w:line="440" w:lineRule="exact"/>
        <w:jc w:val="left"/>
        <w:rPr>
          <w:rFonts w:hint="eastAsia"/>
          <w:sz w:val="24"/>
        </w:rPr>
      </w:pPr>
      <w:r>
        <w:rPr>
          <w:rFonts w:hint="eastAsia"/>
          <w:sz w:val="24"/>
        </w:rPr>
        <w:t>（一）单位</w:t>
      </w:r>
      <w:r>
        <w:rPr>
          <w:sz w:val="24"/>
        </w:rPr>
        <w:t>职责</w:t>
      </w:r>
    </w:p>
    <w:p>
      <w:pPr>
        <w:pStyle w:val="13"/>
        <w:adjustRightInd w:val="0"/>
        <w:snapToGrid w:val="0"/>
        <w:spacing w:line="440" w:lineRule="exact"/>
        <w:jc w:val="left"/>
        <w:rPr>
          <w:rFonts w:hint="eastAsia"/>
          <w:b/>
          <w:bCs/>
          <w:sz w:val="24"/>
        </w:rPr>
      </w:pPr>
      <w:r>
        <w:rPr>
          <w:rFonts w:hint="eastAsia"/>
          <w:sz w:val="24"/>
        </w:rPr>
        <w:t>（二）2022年重点工作完成情况</w:t>
      </w:r>
    </w:p>
    <w:p>
      <w:pPr>
        <w:pStyle w:val="13"/>
        <w:adjustRightInd w:val="0"/>
        <w:snapToGrid w:val="0"/>
        <w:spacing w:line="440" w:lineRule="exact"/>
        <w:jc w:val="left"/>
        <w:rPr>
          <w:rFonts w:hint="eastAsia"/>
          <w:sz w:val="24"/>
        </w:rPr>
      </w:pPr>
      <w:r>
        <w:rPr>
          <w:rFonts w:hint="eastAsia"/>
          <w:sz w:val="24"/>
        </w:rPr>
        <w:t>二、机构设置</w:t>
      </w:r>
    </w:p>
    <w:p>
      <w:pPr>
        <w:pStyle w:val="12"/>
        <w:adjustRightInd w:val="0"/>
        <w:snapToGrid w:val="0"/>
        <w:spacing w:before="0" w:line="440" w:lineRule="exact"/>
        <w:jc w:val="left"/>
        <w:rPr>
          <w:rFonts w:hint="eastAsia"/>
          <w:b/>
          <w:bCs/>
          <w:sz w:val="28"/>
          <w:szCs w:val="28"/>
        </w:rPr>
      </w:pPr>
      <w:r>
        <w:rPr>
          <w:rFonts w:hint="eastAsia"/>
          <w:b/>
          <w:bCs/>
          <w:sz w:val="28"/>
          <w:szCs w:val="28"/>
        </w:rPr>
        <w:t>第二部分 2022年度单位决算情况说明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3"/>
        <w:adjustRightInd w:val="0"/>
        <w:snapToGrid w:val="0"/>
        <w:spacing w:line="440" w:lineRule="exact"/>
        <w:jc w:val="left"/>
        <w:rPr>
          <w:sz w:val="24"/>
        </w:rPr>
      </w:pPr>
      <w:r>
        <w:rPr>
          <w:rFonts w:hint="eastAsia"/>
          <w:sz w:val="24"/>
        </w:rPr>
        <w:t>九、国有资本经营预算支出决算情况说明</w:t>
      </w:r>
    </w:p>
    <w:p>
      <w:pPr>
        <w:pStyle w:val="13"/>
        <w:adjustRightInd w:val="0"/>
        <w:snapToGrid w:val="0"/>
        <w:spacing w:line="440" w:lineRule="exact"/>
        <w:jc w:val="left"/>
        <w:rPr>
          <w:sz w:val="24"/>
        </w:rPr>
      </w:pPr>
      <w:r>
        <w:rPr>
          <w:rFonts w:hint="eastAsia"/>
          <w:sz w:val="24"/>
        </w:rPr>
        <w:t>十、其他重要事项的情况说明</w:t>
      </w:r>
    </w:p>
    <w:p>
      <w:pPr>
        <w:pStyle w:val="12"/>
        <w:adjustRightInd w:val="0"/>
        <w:snapToGrid w:val="0"/>
        <w:spacing w:before="0" w:line="440" w:lineRule="exact"/>
        <w:jc w:val="left"/>
        <w:rPr>
          <w:rFonts w:hint="eastAsia"/>
          <w:b/>
          <w:bCs/>
          <w:sz w:val="28"/>
          <w:szCs w:val="28"/>
        </w:rPr>
      </w:pPr>
      <w:r>
        <w:rPr>
          <w:rFonts w:hint="eastAsia"/>
          <w:b/>
          <w:bCs/>
          <w:sz w:val="28"/>
          <w:szCs w:val="28"/>
        </w:rPr>
        <w:t>第三部分 名词解释</w:t>
      </w:r>
    </w:p>
    <w:p>
      <w:pPr>
        <w:pStyle w:val="12"/>
        <w:adjustRightInd w:val="0"/>
        <w:snapToGrid w:val="0"/>
        <w:spacing w:before="0" w:line="440" w:lineRule="exact"/>
        <w:jc w:val="left"/>
        <w:rPr>
          <w:rFonts w:hint="eastAsia"/>
          <w:b/>
          <w:bCs/>
          <w:sz w:val="28"/>
          <w:szCs w:val="28"/>
        </w:rPr>
      </w:pPr>
      <w:r>
        <w:rPr>
          <w:rFonts w:hint="eastAsia"/>
          <w:b/>
          <w:bCs/>
          <w:sz w:val="28"/>
          <w:szCs w:val="28"/>
        </w:rPr>
        <w:t>第四部分 附件</w:t>
      </w:r>
    </w:p>
    <w:p>
      <w:pPr>
        <w:pStyle w:val="12"/>
        <w:adjustRightInd w:val="0"/>
        <w:snapToGrid w:val="0"/>
        <w:spacing w:before="0" w:line="440" w:lineRule="exact"/>
        <w:jc w:val="left"/>
        <w:rPr>
          <w:rFonts w:hint="eastAsia"/>
          <w:b/>
          <w:bCs/>
          <w:sz w:val="28"/>
          <w:szCs w:val="28"/>
        </w:rPr>
      </w:pPr>
      <w:r>
        <w:rPr>
          <w:rFonts w:hint="eastAsia"/>
          <w:b/>
          <w:bCs/>
          <w:sz w:val="28"/>
          <w:szCs w:val="28"/>
        </w:rPr>
        <w:t>第五部分 附表</w:t>
      </w:r>
    </w:p>
    <w:p>
      <w:pPr>
        <w:pStyle w:val="13"/>
        <w:adjustRightInd w:val="0"/>
        <w:snapToGrid w:val="0"/>
        <w:spacing w:line="440" w:lineRule="exact"/>
        <w:jc w:val="left"/>
        <w:rPr>
          <w:sz w:val="24"/>
        </w:rPr>
      </w:pPr>
      <w:r>
        <w:rPr>
          <w:rFonts w:hint="eastAsia"/>
          <w:sz w:val="24"/>
        </w:rPr>
        <w:t>一、收入支出决算总表</w:t>
      </w:r>
    </w:p>
    <w:p>
      <w:pPr>
        <w:pStyle w:val="13"/>
        <w:adjustRightInd w:val="0"/>
        <w:snapToGrid w:val="0"/>
        <w:spacing w:line="440" w:lineRule="exact"/>
        <w:jc w:val="left"/>
        <w:rPr>
          <w:sz w:val="24"/>
        </w:rPr>
      </w:pPr>
      <w:r>
        <w:rPr>
          <w:rFonts w:hint="eastAsia"/>
          <w:sz w:val="24"/>
        </w:rPr>
        <w:t>二、收入决算表</w:t>
      </w:r>
    </w:p>
    <w:p>
      <w:pPr>
        <w:pStyle w:val="13"/>
        <w:adjustRightInd w:val="0"/>
        <w:snapToGrid w:val="0"/>
        <w:spacing w:line="440" w:lineRule="exact"/>
        <w:jc w:val="left"/>
        <w:rPr>
          <w:sz w:val="24"/>
        </w:rPr>
      </w:pPr>
      <w:r>
        <w:rPr>
          <w:rFonts w:hint="eastAsia"/>
          <w:sz w:val="24"/>
        </w:rPr>
        <w:t>三、支出决算表</w:t>
      </w:r>
    </w:p>
    <w:p>
      <w:pPr>
        <w:pStyle w:val="13"/>
        <w:adjustRightInd w:val="0"/>
        <w:snapToGrid w:val="0"/>
        <w:spacing w:line="440" w:lineRule="exact"/>
        <w:jc w:val="left"/>
        <w:rPr>
          <w:sz w:val="24"/>
        </w:rPr>
      </w:pPr>
      <w:r>
        <w:rPr>
          <w:rFonts w:hint="eastAsia"/>
          <w:sz w:val="24"/>
        </w:rPr>
        <w:t>四、财政拨款收入支出决算总表</w:t>
      </w:r>
    </w:p>
    <w:p>
      <w:pPr>
        <w:pStyle w:val="13"/>
        <w:adjustRightInd w:val="0"/>
        <w:snapToGrid w:val="0"/>
        <w:spacing w:line="440" w:lineRule="exact"/>
        <w:jc w:val="left"/>
        <w:rPr>
          <w:sz w:val="24"/>
        </w:rPr>
      </w:pPr>
      <w:r>
        <w:rPr>
          <w:rFonts w:hint="eastAsia"/>
          <w:sz w:val="24"/>
        </w:rPr>
        <w:t>五、财政拨款支出决算明细表</w:t>
      </w:r>
    </w:p>
    <w:p>
      <w:pPr>
        <w:pStyle w:val="13"/>
        <w:adjustRightInd w:val="0"/>
        <w:snapToGrid w:val="0"/>
        <w:spacing w:line="440" w:lineRule="exact"/>
        <w:jc w:val="left"/>
        <w:rPr>
          <w:sz w:val="24"/>
        </w:rPr>
      </w:pPr>
      <w:r>
        <w:rPr>
          <w:rFonts w:hint="eastAsia"/>
          <w:sz w:val="24"/>
        </w:rPr>
        <w:t>六、一般公共预算财政拨款支出决算表</w:t>
      </w:r>
    </w:p>
    <w:p>
      <w:pPr>
        <w:pStyle w:val="13"/>
        <w:adjustRightInd w:val="0"/>
        <w:snapToGrid w:val="0"/>
        <w:spacing w:line="440" w:lineRule="exact"/>
        <w:jc w:val="left"/>
        <w:rPr>
          <w:sz w:val="24"/>
        </w:rPr>
      </w:pPr>
      <w:r>
        <w:rPr>
          <w:rFonts w:hint="eastAsia"/>
          <w:sz w:val="24"/>
        </w:rPr>
        <w:t>七、一般公共预算财政拨款支出决算明细表</w:t>
      </w:r>
    </w:p>
    <w:p>
      <w:pPr>
        <w:pStyle w:val="13"/>
        <w:adjustRightInd w:val="0"/>
        <w:snapToGrid w:val="0"/>
        <w:spacing w:line="440" w:lineRule="exact"/>
        <w:jc w:val="left"/>
        <w:rPr>
          <w:sz w:val="24"/>
        </w:rPr>
      </w:pPr>
      <w:r>
        <w:rPr>
          <w:rFonts w:hint="eastAsia"/>
          <w:sz w:val="24"/>
        </w:rPr>
        <w:t>八、一般公共预算财政拨款基本支出决算明细表</w:t>
      </w:r>
    </w:p>
    <w:p>
      <w:pPr>
        <w:pStyle w:val="13"/>
        <w:adjustRightInd w:val="0"/>
        <w:snapToGrid w:val="0"/>
        <w:spacing w:line="440" w:lineRule="exact"/>
        <w:jc w:val="left"/>
        <w:rPr>
          <w:sz w:val="24"/>
        </w:rPr>
      </w:pPr>
      <w:r>
        <w:rPr>
          <w:rFonts w:hint="eastAsia"/>
          <w:sz w:val="24"/>
        </w:rPr>
        <w:t>九、一般公共预算财政拨款项目支出决算表</w:t>
      </w:r>
    </w:p>
    <w:p>
      <w:pPr>
        <w:pStyle w:val="13"/>
        <w:adjustRightInd w:val="0"/>
        <w:snapToGrid w:val="0"/>
        <w:spacing w:line="440" w:lineRule="exact"/>
        <w:jc w:val="left"/>
        <w:rPr>
          <w:sz w:val="24"/>
        </w:rPr>
      </w:pPr>
      <w:r>
        <w:rPr>
          <w:rFonts w:hint="eastAsia"/>
          <w:sz w:val="24"/>
        </w:rPr>
        <w:t>十、政府性基金预算财政拨款收入支出决算表</w:t>
      </w:r>
    </w:p>
    <w:p>
      <w:pPr>
        <w:pStyle w:val="13"/>
        <w:adjustRightInd w:val="0"/>
        <w:snapToGrid w:val="0"/>
        <w:spacing w:line="440" w:lineRule="exact"/>
        <w:jc w:val="left"/>
        <w:rPr>
          <w:sz w:val="24"/>
        </w:rPr>
      </w:pPr>
      <w:r>
        <w:rPr>
          <w:rFonts w:hint="eastAsia"/>
          <w:sz w:val="24"/>
        </w:rPr>
        <w:t>十一、国有资本经营预算财政拨款收入支出决算表</w:t>
      </w:r>
    </w:p>
    <w:p>
      <w:pPr>
        <w:pStyle w:val="13"/>
        <w:adjustRightInd w:val="0"/>
        <w:snapToGrid w:val="0"/>
        <w:spacing w:line="440" w:lineRule="exact"/>
        <w:jc w:val="left"/>
        <w:rPr>
          <w:sz w:val="24"/>
        </w:rPr>
      </w:pPr>
      <w:r>
        <w:rPr>
          <w:rFonts w:hint="eastAsia"/>
          <w:sz w:val="24"/>
        </w:rPr>
        <w:t>十二、国有资本经营预算财政拨款支出决算表</w:t>
      </w:r>
    </w:p>
    <w:p>
      <w:pPr>
        <w:pStyle w:val="13"/>
        <w:adjustRightInd w:val="0"/>
        <w:snapToGrid w:val="0"/>
        <w:spacing w:line="440" w:lineRule="exact"/>
        <w:jc w:val="left"/>
        <w:rPr>
          <w:sz w:val="24"/>
        </w:rPr>
      </w:pPr>
      <w:r>
        <w:rPr>
          <w:rFonts w:hint="eastAsia"/>
          <w:sz w:val="24"/>
        </w:rPr>
        <w:t>十三、财政拨款“三公”经费支出决算表</w:t>
      </w:r>
    </w:p>
    <w:p>
      <w:pPr>
        <w:pStyle w:val="4"/>
        <w:jc w:val="center"/>
        <w:rPr>
          <w:rFonts w:hint="eastAsia" w:ascii="黑体" w:hAnsi="黑体" w:eastAsia="黑体"/>
          <w:b w:val="0"/>
        </w:rPr>
      </w:pPr>
      <w:bookmarkStart w:id="12" w:name="_Toc15396599"/>
      <w:bookmarkStart w:id="13" w:name="_Toc15377196"/>
    </w:p>
    <w:p>
      <w:pPr>
        <w:rPr>
          <w:rFonts w:hint="eastAsia" w:ascii="黑体" w:hAnsi="黑体" w:eastAsia="黑体"/>
          <w:b w:val="0"/>
        </w:rPr>
      </w:pPr>
    </w:p>
    <w:p>
      <w:pPr>
        <w:pStyle w:val="2"/>
        <w:rPr>
          <w:rFonts w:hint="eastAsia" w:ascii="黑体" w:hAnsi="黑体" w:eastAsia="黑体"/>
          <w:b w:val="0"/>
        </w:rPr>
      </w:pPr>
    </w:p>
    <w:p>
      <w:pPr>
        <w:rPr>
          <w:rFonts w:hint="eastAsia" w:ascii="黑体" w:hAnsi="黑体" w:eastAsia="黑体"/>
          <w:b w:val="0"/>
        </w:rPr>
      </w:pPr>
    </w:p>
    <w:p>
      <w:pPr>
        <w:pStyle w:val="2"/>
        <w:rPr>
          <w:rFonts w:hint="eastAsia" w:ascii="黑体" w:hAnsi="黑体" w:eastAsia="黑体"/>
          <w:b w:val="0"/>
        </w:rPr>
      </w:pPr>
    </w:p>
    <w:p>
      <w:pPr>
        <w:rPr>
          <w:rFonts w:hint="eastAsia" w:ascii="黑体" w:hAnsi="黑体" w:eastAsia="黑体"/>
          <w:b w:val="0"/>
        </w:rPr>
      </w:pPr>
    </w:p>
    <w:p>
      <w:pPr>
        <w:pStyle w:val="2"/>
        <w:rPr>
          <w:rFonts w:hint="eastAsia" w:ascii="黑体" w:hAnsi="黑体" w:eastAsia="黑体"/>
          <w:b w:val="0"/>
        </w:rPr>
      </w:pPr>
    </w:p>
    <w:p>
      <w:pPr>
        <w:rPr>
          <w:rFonts w:hint="eastAsia" w:ascii="黑体" w:hAnsi="黑体" w:eastAsia="黑体"/>
          <w:b w:val="0"/>
        </w:rPr>
      </w:pPr>
    </w:p>
    <w:p>
      <w:pPr>
        <w:pStyle w:val="2"/>
        <w:rPr>
          <w:rFonts w:hint="eastAsia" w:ascii="黑体" w:hAnsi="黑体" w:eastAsia="黑体"/>
          <w:b w:val="0"/>
        </w:rPr>
      </w:pPr>
    </w:p>
    <w:p>
      <w:pPr>
        <w:rPr>
          <w:rFonts w:hint="eastAsia" w:ascii="黑体" w:hAnsi="黑体" w:eastAsia="黑体"/>
          <w:b w:val="0"/>
        </w:rPr>
      </w:pPr>
    </w:p>
    <w:p>
      <w:pPr>
        <w:pStyle w:val="2"/>
        <w:rPr>
          <w:rFonts w:hint="eastAsia" w:ascii="黑体" w:hAnsi="黑体" w:eastAsia="黑体"/>
          <w:b w:val="0"/>
        </w:rPr>
      </w:pPr>
    </w:p>
    <w:p>
      <w:pPr>
        <w:rPr>
          <w:rFonts w:hint="eastAsia" w:ascii="黑体" w:hAnsi="黑体" w:eastAsia="黑体"/>
          <w:b w:val="0"/>
        </w:rPr>
      </w:pPr>
    </w:p>
    <w:p>
      <w:pPr>
        <w:pStyle w:val="2"/>
        <w:rPr>
          <w:rFonts w:hint="eastAsia" w:ascii="黑体" w:hAnsi="黑体" w:eastAsia="黑体"/>
          <w:b w:val="0"/>
        </w:rPr>
      </w:pPr>
    </w:p>
    <w:p>
      <w:pPr>
        <w:rPr>
          <w:rFonts w:hint="eastAsia" w:ascii="黑体" w:hAnsi="黑体" w:eastAsia="黑体"/>
          <w:b w:val="0"/>
        </w:rPr>
      </w:pPr>
    </w:p>
    <w:p>
      <w:pPr>
        <w:pStyle w:val="2"/>
        <w:rPr>
          <w:rFonts w:hint="eastAsia" w:ascii="黑体" w:hAnsi="黑体" w:eastAsia="黑体"/>
          <w:b w:val="0"/>
        </w:rPr>
      </w:pPr>
    </w:p>
    <w:p>
      <w:pPr>
        <w:rPr>
          <w:rFonts w:hint="eastAsia" w:ascii="黑体" w:hAnsi="黑体" w:eastAsia="黑体"/>
          <w:b w:val="0"/>
        </w:rPr>
      </w:pPr>
    </w:p>
    <w:p>
      <w:pPr>
        <w:pStyle w:val="2"/>
        <w:rPr>
          <w:rFonts w:hint="eastAsia" w:ascii="黑体" w:hAnsi="黑体" w:eastAsia="黑体"/>
          <w:b w:val="0"/>
        </w:rPr>
      </w:pPr>
    </w:p>
    <w:p>
      <w:pPr>
        <w:rPr>
          <w:rFonts w:hint="eastAsia" w:ascii="黑体" w:hAnsi="黑体" w:eastAsia="黑体"/>
          <w:b w:val="0"/>
        </w:rPr>
      </w:pPr>
    </w:p>
    <w:p>
      <w:pPr>
        <w:pStyle w:val="2"/>
        <w:rPr>
          <w:rFonts w:hint="eastAsia" w:ascii="黑体" w:hAnsi="黑体" w:eastAsia="黑体"/>
          <w:b w:val="0"/>
        </w:rPr>
      </w:pPr>
    </w:p>
    <w:p>
      <w:pPr>
        <w:rPr>
          <w:rFonts w:hint="eastAsia" w:ascii="黑体" w:hAnsi="黑体" w:eastAsia="黑体"/>
          <w:b w:val="0"/>
        </w:rPr>
      </w:pPr>
    </w:p>
    <w:p>
      <w:pPr>
        <w:pStyle w:val="2"/>
        <w:rPr>
          <w:rFonts w:hint="eastAsia"/>
        </w:rPr>
      </w:pPr>
    </w:p>
    <w:p>
      <w:pPr>
        <w:pStyle w:val="4"/>
        <w:jc w:val="center"/>
        <w:rPr>
          <w:rFonts w:hint="eastAsia" w:ascii="黑体" w:hAnsi="黑体" w:eastAsia="黑体"/>
          <w:b w:val="0"/>
        </w:rPr>
      </w:pPr>
    </w:p>
    <w:p>
      <w:pPr>
        <w:pStyle w:val="4"/>
        <w:jc w:val="center"/>
        <w:rPr>
          <w:rFonts w:ascii="黑体" w:eastAsia="黑体"/>
          <w:sz w:val="32"/>
          <w:szCs w:val="32"/>
        </w:rPr>
      </w:pPr>
      <w:r>
        <w:rPr>
          <w:rFonts w:hint="eastAsia" w:ascii="黑体" w:hAnsi="黑体" w:eastAsia="黑体"/>
          <w:b w:val="0"/>
        </w:rPr>
        <w:t>第一部分 单位</w:t>
      </w:r>
      <w:r>
        <w:rPr>
          <w:rStyle w:val="26"/>
          <w:rFonts w:hint="eastAsia" w:ascii="黑体" w:hAnsi="黑体" w:eastAsia="黑体"/>
          <w:b w:val="0"/>
          <w:bCs w:val="0"/>
        </w:rPr>
        <w:t>概况</w:t>
      </w:r>
      <w:bookmarkEnd w:id="12"/>
      <w:bookmarkEnd w:id="13"/>
    </w:p>
    <w:p>
      <w:pPr>
        <w:pStyle w:val="5"/>
        <w:numPr>
          <w:ilvl w:val="0"/>
          <w:numId w:val="1"/>
        </w:numPr>
        <w:rPr>
          <w:rStyle w:val="27"/>
          <w:rFonts w:ascii="黑体" w:hAnsi="黑体" w:eastAsia="黑体"/>
          <w:b w:val="0"/>
          <w:bCs w:val="0"/>
        </w:rPr>
      </w:pPr>
      <w:bookmarkStart w:id="14" w:name="_Toc15396600"/>
      <w:bookmarkStart w:id="15" w:name="_Toc15377197"/>
      <w:r>
        <w:rPr>
          <w:rStyle w:val="27"/>
          <w:rFonts w:hint="eastAsia" w:ascii="黑体" w:hAnsi="黑体" w:eastAsia="黑体"/>
          <w:b w:val="0"/>
          <w:bCs w:val="0"/>
        </w:rPr>
        <w:t>主要职责</w:t>
      </w:r>
    </w:p>
    <w:p>
      <w:pPr>
        <w:pStyle w:val="7"/>
        <w:adjustRightInd w:val="0"/>
        <w:snapToGrid w:val="0"/>
        <w:spacing w:before="93" w:line="600" w:lineRule="exact"/>
        <w:ind w:firstLine="675" w:firstLineChars="210"/>
        <w:outlineLvl w:val="2"/>
        <w:rPr>
          <w:rFonts w:ascii="仿宋" w:hAnsi="仿宋" w:eastAsia="仿宋"/>
          <w:b/>
          <w:bCs/>
          <w:sz w:val="32"/>
          <w:szCs w:val="32"/>
        </w:rPr>
      </w:pPr>
      <w:bookmarkStart w:id="16" w:name="_Toc15378445"/>
      <w:bookmarkStart w:id="17" w:name="_Toc15377198"/>
      <w:r>
        <w:rPr>
          <w:rFonts w:hint="eastAsia" w:ascii="仿宋" w:hAnsi="仿宋" w:eastAsia="仿宋"/>
          <w:b/>
          <w:bCs/>
          <w:sz w:val="32"/>
          <w:szCs w:val="32"/>
        </w:rPr>
        <w:t>（一）主要职能。</w:t>
      </w:r>
      <w:bookmarkEnd w:id="16"/>
      <w:bookmarkEnd w:id="17"/>
    </w:p>
    <w:p>
      <w:pPr>
        <w:spacing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实施初中义务教育，促进义务</w:t>
      </w:r>
      <w:r>
        <w:rPr>
          <w:rFonts w:hint="eastAsia" w:ascii="仿宋" w:hAnsi="仿宋" w:eastAsia="仿宋"/>
          <w:color w:val="000000"/>
          <w:sz w:val="32"/>
          <w:szCs w:val="32"/>
          <w:lang w:eastAsia="zh-CN"/>
        </w:rPr>
        <w:t>教育</w:t>
      </w:r>
      <w:r>
        <w:rPr>
          <w:rFonts w:hint="eastAsia" w:ascii="仿宋" w:hAnsi="仿宋" w:eastAsia="仿宋"/>
          <w:color w:val="000000"/>
          <w:sz w:val="32"/>
          <w:szCs w:val="32"/>
        </w:rPr>
        <w:t xml:space="preserve">发展全面均衡发展，正确贯彻执行党和国家的教育方针、政策、法规。 </w:t>
      </w:r>
    </w:p>
    <w:p>
      <w:pPr>
        <w:spacing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积极稳妥地推进教育改革，按教育规律办事，不断提高教育质量。坚持教书育人，服务育人，环境育人方针，加强对学生的思想品德教育，使学生的德智体全面发展。</w:t>
      </w:r>
    </w:p>
    <w:p>
      <w:pPr>
        <w:pStyle w:val="7"/>
        <w:adjustRightInd w:val="0"/>
        <w:snapToGrid w:val="0"/>
        <w:spacing w:before="93" w:line="600" w:lineRule="exact"/>
        <w:ind w:firstLine="675" w:firstLineChars="210"/>
        <w:outlineLvl w:val="2"/>
        <w:rPr>
          <w:rFonts w:ascii="仿宋" w:hAnsi="仿宋" w:eastAsia="仿宋"/>
          <w:b/>
          <w:bCs/>
          <w:sz w:val="32"/>
          <w:szCs w:val="32"/>
        </w:rPr>
      </w:pPr>
      <w:bookmarkStart w:id="18" w:name="_Toc15378446"/>
      <w:bookmarkStart w:id="19" w:name="_Toc15377199"/>
      <w:r>
        <w:rPr>
          <w:rFonts w:hint="eastAsia" w:ascii="仿宋" w:hAnsi="仿宋" w:eastAsia="仿宋"/>
          <w:b/>
          <w:bCs/>
          <w:sz w:val="32"/>
          <w:szCs w:val="32"/>
        </w:rPr>
        <w:t>（二）</w:t>
      </w:r>
      <w:r>
        <w:rPr>
          <w:rFonts w:ascii="仿宋" w:hAnsi="仿宋" w:eastAsia="仿宋"/>
          <w:b/>
          <w:bCs/>
          <w:sz w:val="32"/>
          <w:szCs w:val="32"/>
        </w:rPr>
        <w:t>20</w:t>
      </w:r>
      <w:r>
        <w:rPr>
          <w:rFonts w:hint="eastAsia" w:ascii="仿宋" w:hAnsi="仿宋" w:eastAsia="仿宋"/>
          <w:b/>
          <w:bCs/>
          <w:sz w:val="32"/>
          <w:szCs w:val="32"/>
        </w:rPr>
        <w:t>2</w:t>
      </w:r>
      <w:r>
        <w:rPr>
          <w:rFonts w:hint="eastAsia" w:ascii="仿宋" w:hAnsi="仿宋" w:eastAsia="仿宋"/>
          <w:b/>
          <w:bCs/>
          <w:sz w:val="32"/>
          <w:szCs w:val="32"/>
          <w:lang w:val="en-US" w:eastAsia="zh-CN"/>
        </w:rPr>
        <w:t>2</w:t>
      </w:r>
      <w:r>
        <w:rPr>
          <w:rFonts w:hint="eastAsia" w:ascii="仿宋" w:hAnsi="仿宋" w:eastAsia="仿宋"/>
          <w:b/>
          <w:bCs/>
          <w:sz w:val="32"/>
          <w:szCs w:val="32"/>
        </w:rPr>
        <w:t>年重点工作完成情况。</w:t>
      </w:r>
      <w:bookmarkEnd w:id="18"/>
      <w:bookmarkEnd w:id="19"/>
    </w:p>
    <w:p>
      <w:pPr>
        <w:spacing w:line="520" w:lineRule="exact"/>
        <w:ind w:firstLine="640" w:firstLineChars="200"/>
        <w:rPr>
          <w:rFonts w:hint="default" w:ascii="仿宋" w:hAnsi="仿宋" w:eastAsia="仿宋"/>
          <w:color w:val="000000"/>
          <w:sz w:val="32"/>
          <w:szCs w:val="32"/>
          <w:lang w:val="en-US" w:eastAsia="zh-CN"/>
        </w:rPr>
      </w:pPr>
      <w:r>
        <w:rPr>
          <w:rFonts w:ascii="仿宋" w:hAnsi="仿宋" w:eastAsia="仿宋"/>
          <w:color w:val="000000"/>
          <w:sz w:val="32"/>
          <w:szCs w:val="32"/>
        </w:rPr>
        <w:t>1</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坚持五育并举，进一步提高教学质量，优化办学环境，打造人民群众家门口的优质教育，助力乡村振兴。</w:t>
      </w:r>
    </w:p>
    <w:p>
      <w:pPr>
        <w:spacing w:line="520"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扎实推进学校硬件建设，打造群众家门口的优质教育。同心同德 谋求学校大发展。</w:t>
      </w:r>
      <w:r>
        <w:rPr>
          <w:rFonts w:hint="eastAsia" w:ascii="仿宋" w:hAnsi="仿宋" w:eastAsia="仿宋"/>
          <w:color w:val="000000"/>
          <w:sz w:val="32"/>
          <w:szCs w:val="32"/>
          <w:lang w:val="en-US" w:eastAsia="zh-CN"/>
        </w:rPr>
        <w:t>完成了运动场改建工程项目附属工程，极大地改善了学校的办学条件。</w:t>
      </w:r>
    </w:p>
    <w:p>
      <w:pPr>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.抓校园文化建设，大兴校园学习之风，研修之风，打造书香校园。</w:t>
      </w:r>
    </w:p>
    <w:p>
      <w:pPr>
        <w:pStyle w:val="7"/>
        <w:spacing w:before="93"/>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.继续加强党建工作，助力乡村振兴，强化行风建设，提升办学正能量。</w:t>
      </w:r>
    </w:p>
    <w:p>
      <w:pPr>
        <w:pStyle w:val="7"/>
        <w:spacing w:before="93"/>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5.继续创建和谐校园，平安校园，增强关注生命健康意识，继续让安全工作和教学质量工作成为压倒一切的头等大事。进一步强化学校安全稳定工作，打造确保校园平安、稳定、和谐。</w:t>
      </w:r>
    </w:p>
    <w:p>
      <w:pPr>
        <w:pStyle w:val="7"/>
        <w:spacing w:before="93"/>
        <w:ind w:firstLine="600" w:firstLineChars="200"/>
        <w:rPr>
          <w:rFonts w:hint="eastAsia" w:ascii="黑体" w:hAnsi="黑体" w:eastAsia="黑体"/>
          <w:b w:val="0"/>
        </w:rPr>
      </w:pPr>
      <w:r>
        <w:rPr>
          <w:rFonts w:hint="eastAsia" w:ascii="黑体" w:hAnsi="黑体" w:eastAsia="黑体"/>
          <w:b w:val="0"/>
        </w:rPr>
        <w:t>二、机构设置</w:t>
      </w:r>
    </w:p>
    <w:p>
      <w:pPr>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四川省剑阁县鹤龄中学下属二级单位0个，其中行政单位0个，参照公务员法管理的事业单位0个，其他事业单位0个。</w:t>
      </w:r>
    </w:p>
    <w:p>
      <w:pPr>
        <w:pStyle w:val="7"/>
        <w:spacing w:before="93"/>
        <w:ind w:firstLine="600" w:firstLineChars="200"/>
        <w:rPr>
          <w:rFonts w:hint="eastAsia" w:ascii="黑体" w:hAnsi="黑体" w:eastAsia="黑体"/>
          <w:b w:val="0"/>
        </w:rPr>
      </w:pP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4"/>
        <w:ind w:right="440"/>
        <w:jc w:val="center"/>
        <w:rPr>
          <w:rStyle w:val="26"/>
          <w:rFonts w:ascii="黑体" w:hAnsi="黑体" w:eastAsia="黑体"/>
          <w:b w:val="0"/>
          <w:bCs/>
        </w:rPr>
      </w:pPr>
      <w:bookmarkStart w:id="20" w:name="_Toc15377204"/>
      <w:bookmarkStart w:id="21" w:name="_Toc15396602"/>
      <w:r>
        <w:rPr>
          <w:rFonts w:hint="eastAsia" w:ascii="黑体" w:hAnsi="黑体" w:eastAsia="黑体"/>
          <w:b w:val="0"/>
        </w:rPr>
        <w:t>第二部分 2022年度</w:t>
      </w:r>
      <w:r>
        <w:rPr>
          <w:rStyle w:val="26"/>
          <w:rFonts w:hint="eastAsia" w:ascii="黑体" w:hAnsi="黑体" w:eastAsia="黑体"/>
          <w:b w:val="0"/>
          <w:bCs/>
        </w:rPr>
        <w:t>单位决算情况说明</w:t>
      </w:r>
      <w:bookmarkEnd w:id="20"/>
      <w:bookmarkEnd w:id="21"/>
    </w:p>
    <w:p/>
    <w:p>
      <w:pPr>
        <w:pStyle w:val="25"/>
        <w:numPr>
          <w:ilvl w:val="0"/>
          <w:numId w:val="0"/>
        </w:numPr>
        <w:spacing w:line="600" w:lineRule="exact"/>
        <w:ind w:left="1360" w:leftChars="0" w:hanging="720" w:firstLineChars="0"/>
        <w:outlineLvl w:val="1"/>
        <w:rPr>
          <w:rStyle w:val="27"/>
          <w:rFonts w:ascii="黑体" w:hAnsi="黑体" w:eastAsia="黑体"/>
          <w:b w:val="0"/>
        </w:rPr>
      </w:pPr>
      <w:bookmarkStart w:id="22" w:name="_Toc15377205"/>
      <w:bookmarkStart w:id="23" w:name="_Toc15396603"/>
      <w:r>
        <w:rPr>
          <w:rFonts w:hint="default" w:ascii="黑体" w:hAnsi="黑体" w:eastAsia="黑体" w:cstheme="majorBidi"/>
          <w:b w:val="0"/>
          <w:bCs/>
          <w:kern w:val="2"/>
          <w:sz w:val="32"/>
          <w:szCs w:val="32"/>
          <w:lang w:val="en-US" w:eastAsia="zh-CN" w:bidi="ar-SA"/>
        </w:rPr>
        <w:t>一、</w:t>
      </w:r>
      <w:r>
        <w:rPr>
          <w:rFonts w:hint="eastAsia" w:ascii="黑体" w:hAnsi="黑体" w:eastAsia="黑体"/>
          <w:sz w:val="32"/>
          <w:szCs w:val="32"/>
        </w:rPr>
        <w:t>收</w:t>
      </w:r>
      <w:r>
        <w:rPr>
          <w:rStyle w:val="27"/>
          <w:rFonts w:hint="eastAsia" w:ascii="黑体" w:hAnsi="黑体" w:eastAsia="黑体"/>
          <w:b w:val="0"/>
        </w:rPr>
        <w:t>入支出决算总体情况说明</w:t>
      </w:r>
      <w:bookmarkEnd w:id="22"/>
      <w:bookmarkEnd w:id="23"/>
    </w:p>
    <w:p>
      <w:pPr>
        <w:pStyle w:val="25"/>
        <w:widowControl w:val="0"/>
        <w:numPr>
          <w:ilvl w:val="0"/>
          <w:numId w:val="0"/>
        </w:numPr>
        <w:spacing w:line="600" w:lineRule="exact"/>
        <w:ind w:firstLine="640" w:firstLineChars="200"/>
        <w:jc w:val="both"/>
        <w:outlineLvl w:val="1"/>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年度收入总计1427.86万元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其中：当年公共财政预算拨款1341.19万元，年初结转结余86.68万元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支出总计1427.86万元。与</w:t>
      </w:r>
      <w:r>
        <w:rPr>
          <w:rFonts w:ascii="仿宋" w:hAnsi="仿宋" w:eastAsia="仿宋"/>
          <w:color w:val="000000"/>
          <w:sz w:val="32"/>
          <w:szCs w:val="32"/>
        </w:rPr>
        <w:t>2021</w:t>
      </w:r>
      <w:r>
        <w:rPr>
          <w:rFonts w:hint="eastAsia" w:ascii="仿宋" w:hAnsi="仿宋" w:eastAsia="仿宋"/>
          <w:color w:val="000000"/>
          <w:sz w:val="32"/>
          <w:szCs w:val="32"/>
        </w:rPr>
        <w:t>年相比，收入总计减少</w:t>
      </w:r>
      <w:r>
        <w:rPr>
          <w:rFonts w:hint="eastAsia" w:ascii="仿宋" w:hAnsi="仿宋" w:eastAsia="仿宋"/>
          <w:color w:val="000000"/>
          <w:sz w:val="32"/>
          <w:szCs w:val="32"/>
          <w:lang w:val="en-US" w:eastAsia="zh-CN"/>
        </w:rPr>
        <w:t>311.73</w:t>
      </w:r>
      <w:r>
        <w:rPr>
          <w:rFonts w:hint="eastAsia" w:ascii="仿宋" w:hAnsi="仿宋" w:eastAsia="仿宋"/>
          <w:color w:val="000000"/>
          <w:sz w:val="32"/>
          <w:szCs w:val="32"/>
        </w:rPr>
        <w:t>万元、减少</w:t>
      </w:r>
      <w:r>
        <w:rPr>
          <w:rFonts w:hint="eastAsia" w:ascii="仿宋" w:hAnsi="仿宋" w:eastAsia="仿宋"/>
          <w:color w:val="000000"/>
          <w:sz w:val="32"/>
          <w:szCs w:val="32"/>
          <w:lang w:val="en-US" w:eastAsia="zh-CN"/>
        </w:rPr>
        <w:t>17.92</w:t>
      </w:r>
      <w:r>
        <w:rPr>
          <w:rFonts w:ascii="仿宋" w:hAnsi="仿宋" w:eastAsia="仿宋"/>
          <w:color w:val="000000"/>
          <w:sz w:val="32"/>
          <w:szCs w:val="32"/>
        </w:rPr>
        <w:t>%</w:t>
      </w:r>
      <w:r>
        <w:rPr>
          <w:rFonts w:hint="eastAsia" w:ascii="仿宋" w:hAnsi="仿宋" w:eastAsia="仿宋"/>
          <w:color w:val="000000"/>
          <w:sz w:val="32"/>
          <w:szCs w:val="32"/>
        </w:rPr>
        <w:t>；支出总计</w:t>
      </w:r>
      <w:r>
        <w:rPr>
          <w:rFonts w:hint="eastAsia" w:ascii="仿宋" w:hAnsi="仿宋" w:eastAsia="仿宋"/>
          <w:color w:val="000000"/>
          <w:sz w:val="32"/>
          <w:szCs w:val="32"/>
          <w:lang w:val="en-US" w:eastAsia="zh-CN"/>
        </w:rPr>
        <w:t>减少115.46</w:t>
      </w:r>
      <w:r>
        <w:rPr>
          <w:rFonts w:hint="eastAsia" w:ascii="仿宋" w:hAnsi="仿宋" w:eastAsia="仿宋"/>
          <w:color w:val="000000"/>
          <w:sz w:val="32"/>
          <w:szCs w:val="32"/>
        </w:rPr>
        <w:t>万元，增加</w:t>
      </w:r>
      <w:r>
        <w:rPr>
          <w:rFonts w:hint="eastAsia" w:ascii="仿宋" w:hAnsi="仿宋" w:eastAsia="仿宋"/>
          <w:color w:val="000000"/>
          <w:sz w:val="32"/>
          <w:szCs w:val="32"/>
          <w:lang w:val="en-US" w:eastAsia="zh-CN"/>
        </w:rPr>
        <w:t>7.48</w:t>
      </w:r>
      <w:r>
        <w:rPr>
          <w:rFonts w:ascii="仿宋" w:hAnsi="仿宋" w:eastAsia="仿宋"/>
          <w:color w:val="000000"/>
          <w:sz w:val="32"/>
          <w:szCs w:val="32"/>
        </w:rPr>
        <w:t>%</w:t>
      </w:r>
      <w:r>
        <w:rPr>
          <w:rFonts w:hint="eastAsia" w:ascii="仿宋" w:hAnsi="仿宋" w:eastAsia="仿宋"/>
          <w:color w:val="000000"/>
          <w:sz w:val="32"/>
          <w:szCs w:val="32"/>
        </w:rPr>
        <w:t>。主要变动原因202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年我单位无重大项目建设，项目资金收入减少、</w:t>
      </w:r>
      <w:r>
        <w:rPr>
          <w:rFonts w:hint="eastAsia" w:ascii="仿宋" w:hAnsi="仿宋" w:eastAsia="仿宋"/>
          <w:color w:val="000000"/>
          <w:sz w:val="32"/>
          <w:szCs w:val="32"/>
          <w:lang w:val="en-US" w:eastAsia="zh-CN"/>
        </w:rPr>
        <w:t>上年度结转结余资金支付减少</w:t>
      </w:r>
      <w:r>
        <w:rPr>
          <w:rFonts w:hint="eastAsia" w:ascii="仿宋" w:hAnsi="仿宋" w:eastAsia="仿宋"/>
          <w:color w:val="000000"/>
          <w:sz w:val="32"/>
          <w:szCs w:val="32"/>
        </w:rPr>
        <w:t>。</w:t>
      </w:r>
    </w:p>
    <w:p>
      <w:pPr>
        <w:pStyle w:val="25"/>
        <w:widowControl w:val="0"/>
        <w:numPr>
          <w:ilvl w:val="0"/>
          <w:numId w:val="0"/>
        </w:numPr>
        <w:spacing w:line="600" w:lineRule="exact"/>
        <w:ind w:firstLine="640" w:firstLineChars="200"/>
        <w:jc w:val="both"/>
        <w:outlineLvl w:val="1"/>
        <w:rPr>
          <w:rFonts w:hint="eastAsia"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240030</wp:posOffset>
            </wp:positionH>
            <wp:positionV relativeFrom="paragraph">
              <wp:posOffset>3175</wp:posOffset>
            </wp:positionV>
            <wp:extent cx="4580890" cy="2284095"/>
            <wp:effectExtent l="4445" t="4445" r="5715" b="1651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5"/>
        <w:widowControl w:val="0"/>
        <w:numPr>
          <w:ilvl w:val="0"/>
          <w:numId w:val="0"/>
        </w:numPr>
        <w:spacing w:line="600" w:lineRule="exact"/>
        <w:jc w:val="both"/>
        <w:outlineLvl w:val="1"/>
        <w:rPr>
          <w:rFonts w:hint="eastAsia" w:ascii="仿宋" w:hAnsi="仿宋" w:eastAsia="仿宋"/>
          <w:color w:val="000000"/>
          <w:sz w:val="32"/>
          <w:szCs w:val="32"/>
        </w:rPr>
      </w:pPr>
    </w:p>
    <w:p>
      <w:pPr>
        <w:pStyle w:val="25"/>
        <w:widowControl w:val="0"/>
        <w:numPr>
          <w:ilvl w:val="0"/>
          <w:numId w:val="0"/>
        </w:numPr>
        <w:spacing w:line="600" w:lineRule="exact"/>
        <w:ind w:firstLine="640" w:firstLineChars="200"/>
        <w:jc w:val="both"/>
        <w:outlineLvl w:val="1"/>
        <w:rPr>
          <w:rFonts w:hint="eastAsia" w:ascii="仿宋" w:hAnsi="仿宋" w:eastAsia="仿宋"/>
          <w:color w:val="000000"/>
          <w:sz w:val="32"/>
          <w:szCs w:val="32"/>
        </w:rPr>
      </w:pPr>
    </w:p>
    <w:p>
      <w:pPr>
        <w:pStyle w:val="25"/>
        <w:widowControl w:val="0"/>
        <w:numPr>
          <w:ilvl w:val="0"/>
          <w:numId w:val="0"/>
        </w:numPr>
        <w:spacing w:line="600" w:lineRule="exact"/>
        <w:ind w:firstLine="640" w:firstLineChars="200"/>
        <w:jc w:val="both"/>
        <w:outlineLvl w:val="1"/>
        <w:rPr>
          <w:rFonts w:hint="eastAsia" w:ascii="仿宋" w:hAnsi="仿宋" w:eastAsia="仿宋"/>
          <w:color w:val="000000"/>
          <w:sz w:val="32"/>
          <w:szCs w:val="32"/>
        </w:rPr>
      </w:pPr>
    </w:p>
    <w:p>
      <w:pPr>
        <w:pStyle w:val="25"/>
        <w:widowControl w:val="0"/>
        <w:numPr>
          <w:ilvl w:val="0"/>
          <w:numId w:val="0"/>
        </w:numPr>
        <w:spacing w:line="600" w:lineRule="exact"/>
        <w:ind w:firstLine="640" w:firstLineChars="200"/>
        <w:jc w:val="both"/>
        <w:outlineLvl w:val="1"/>
        <w:rPr>
          <w:rFonts w:hint="eastAsia" w:ascii="仿宋" w:hAnsi="仿宋" w:eastAsia="仿宋"/>
          <w:color w:val="000000"/>
          <w:sz w:val="32"/>
          <w:szCs w:val="32"/>
          <w:lang w:eastAsia="zh-CN"/>
        </w:rPr>
      </w:pPr>
    </w:p>
    <w:p>
      <w:pPr>
        <w:pStyle w:val="25"/>
        <w:widowControl w:val="0"/>
        <w:numPr>
          <w:ilvl w:val="0"/>
          <w:numId w:val="0"/>
        </w:numPr>
        <w:spacing w:line="600" w:lineRule="exact"/>
        <w:jc w:val="both"/>
        <w:outlineLvl w:val="1"/>
        <w:rPr>
          <w:rFonts w:hint="eastAsia" w:ascii="仿宋" w:hAnsi="仿宋" w:eastAsia="仿宋"/>
          <w:color w:val="000000"/>
          <w:sz w:val="32"/>
          <w:szCs w:val="32"/>
        </w:rPr>
      </w:pPr>
    </w:p>
    <w:p>
      <w:pPr>
        <w:spacing w:line="600" w:lineRule="exact"/>
        <w:ind w:firstLine="1280" w:firstLineChars="4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5"/>
        <w:numPr>
          <w:ilvl w:val="0"/>
          <w:numId w:val="0"/>
        </w:numPr>
        <w:spacing w:line="600" w:lineRule="exact"/>
        <w:ind w:left="1360" w:leftChars="0" w:hanging="720" w:firstLineChars="0"/>
        <w:outlineLvl w:val="1"/>
        <w:rPr>
          <w:rStyle w:val="27"/>
          <w:rFonts w:ascii="黑体" w:hAnsi="黑体" w:eastAsia="黑体"/>
          <w:b w:val="0"/>
        </w:rPr>
      </w:pPr>
      <w:bookmarkStart w:id="24" w:name="_Toc15377206"/>
      <w:bookmarkStart w:id="25" w:name="_Toc15396604"/>
      <w:r>
        <w:rPr>
          <w:rFonts w:hint="eastAsia" w:ascii="黑体" w:hAnsi="黑体" w:eastAsia="黑体" w:cstheme="majorBidi"/>
          <w:b w:val="0"/>
          <w:bCs/>
          <w:kern w:val="2"/>
          <w:sz w:val="32"/>
          <w:szCs w:val="32"/>
          <w:lang w:val="en-US" w:eastAsia="zh-CN" w:bidi="ar-SA"/>
        </w:rPr>
        <w:t>二</w:t>
      </w:r>
      <w:r>
        <w:rPr>
          <w:rFonts w:hint="default" w:ascii="黑体" w:hAnsi="黑体" w:eastAsia="黑体" w:cstheme="majorBidi"/>
          <w:b w:val="0"/>
          <w:bCs/>
          <w:kern w:val="2"/>
          <w:sz w:val="32"/>
          <w:szCs w:val="32"/>
          <w:lang w:val="en-US" w:eastAsia="zh-CN" w:bidi="ar-SA"/>
        </w:rPr>
        <w:t>、</w:t>
      </w:r>
      <w:r>
        <w:rPr>
          <w:rFonts w:hint="eastAsia" w:ascii="黑体" w:hAnsi="黑体" w:eastAsia="黑体"/>
          <w:sz w:val="32"/>
          <w:szCs w:val="32"/>
        </w:rPr>
        <w:t>收</w:t>
      </w:r>
      <w:r>
        <w:rPr>
          <w:rStyle w:val="27"/>
          <w:rFonts w:hint="eastAsia" w:ascii="黑体" w:hAnsi="黑体" w:eastAsia="黑体"/>
          <w:b w:val="0"/>
        </w:rPr>
        <w:t>入决算情况说明</w:t>
      </w:r>
      <w:bookmarkEnd w:id="24"/>
      <w:bookmarkEnd w:id="25"/>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color w:val="000000"/>
          <w:sz w:val="32"/>
          <w:szCs w:val="32"/>
        </w:rPr>
        <w:t>1341.19</w:t>
      </w:r>
      <w:r>
        <w:rPr>
          <w:rFonts w:hint="eastAsia" w:ascii="仿宋" w:hAnsi="仿宋" w:eastAsia="仿宋"/>
          <w:sz w:val="32"/>
          <w:szCs w:val="32"/>
        </w:rPr>
        <w:t>万元，其中：一般公共预算财政拨款收入</w:t>
      </w:r>
      <w:r>
        <w:rPr>
          <w:rFonts w:hint="eastAsia" w:ascii="仿宋" w:hAnsi="仿宋" w:eastAsia="仿宋"/>
          <w:color w:val="000000"/>
          <w:sz w:val="32"/>
          <w:szCs w:val="32"/>
        </w:rPr>
        <w:t>1341.19</w:t>
      </w:r>
      <w:r>
        <w:rPr>
          <w:rFonts w:hint="eastAsia" w:ascii="仿宋" w:hAnsi="仿宋" w:eastAsia="仿宋"/>
          <w:sz w:val="32"/>
          <w:szCs w:val="32"/>
        </w:rPr>
        <w:t>万元，占</w:t>
      </w:r>
      <w:r>
        <w:rPr>
          <w:rFonts w:hint="eastAsia" w:ascii="仿宋" w:hAnsi="仿宋" w:eastAsia="仿宋"/>
          <w:sz w:val="32"/>
          <w:szCs w:val="32"/>
          <w:lang w:val="en-US" w:eastAsia="zh-CN"/>
        </w:rPr>
        <w:t>100.00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1"/>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0288" behindDoc="1" locked="0" layoutInCell="1" allowOverlap="1">
            <wp:simplePos x="0" y="0"/>
            <wp:positionH relativeFrom="column">
              <wp:posOffset>201295</wp:posOffset>
            </wp:positionH>
            <wp:positionV relativeFrom="paragraph">
              <wp:posOffset>166370</wp:posOffset>
            </wp:positionV>
            <wp:extent cx="4505960" cy="2454910"/>
            <wp:effectExtent l="4445" t="4445" r="23495" b="1714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outlineLvl w:val="1"/>
        <w:rPr>
          <w:rFonts w:hint="eastAsia" w:ascii="仿宋" w:hAnsi="仿宋" w:eastAsia="仿宋"/>
          <w:sz w:val="32"/>
          <w:szCs w:val="32"/>
          <w:lang w:eastAsia="zh-CN"/>
        </w:rPr>
      </w:pPr>
    </w:p>
    <w:p>
      <w:pPr>
        <w:spacing w:line="600" w:lineRule="exact"/>
        <w:ind w:firstLine="640" w:firstLineChars="200"/>
        <w:outlineLvl w:val="1"/>
        <w:rPr>
          <w:rFonts w:hint="eastAsia" w:ascii="仿宋" w:hAnsi="仿宋" w:eastAsia="仿宋"/>
          <w:sz w:val="32"/>
          <w:szCs w:val="32"/>
          <w:lang w:eastAsia="zh-CN"/>
        </w:rPr>
      </w:pPr>
    </w:p>
    <w:p>
      <w:pPr>
        <w:spacing w:line="600" w:lineRule="exact"/>
        <w:ind w:firstLine="640" w:firstLineChars="200"/>
        <w:outlineLvl w:val="1"/>
        <w:rPr>
          <w:rFonts w:hint="eastAsia" w:ascii="仿宋" w:hAnsi="仿宋" w:eastAsia="仿宋"/>
          <w:sz w:val="32"/>
          <w:szCs w:val="32"/>
          <w:lang w:eastAsia="zh-CN"/>
        </w:rPr>
      </w:pPr>
    </w:p>
    <w:p>
      <w:pPr>
        <w:spacing w:line="600" w:lineRule="exact"/>
        <w:ind w:firstLine="640" w:firstLineChars="200"/>
        <w:outlineLvl w:val="1"/>
        <w:rPr>
          <w:rFonts w:hint="eastAsia" w:ascii="仿宋" w:hAnsi="仿宋" w:eastAsia="仿宋"/>
          <w:sz w:val="32"/>
          <w:szCs w:val="32"/>
          <w:lang w:eastAsia="zh-CN"/>
        </w:rPr>
      </w:pPr>
    </w:p>
    <w:p>
      <w:pPr>
        <w:spacing w:line="600" w:lineRule="exact"/>
        <w:ind w:firstLine="640" w:firstLineChars="200"/>
        <w:outlineLvl w:val="1"/>
        <w:rPr>
          <w:rFonts w:hint="eastAsia" w:ascii="仿宋" w:hAnsi="仿宋" w:eastAsia="仿宋"/>
          <w:sz w:val="32"/>
          <w:szCs w:val="32"/>
          <w:lang w:eastAsia="zh-CN"/>
        </w:rPr>
      </w:pPr>
    </w:p>
    <w:p>
      <w:pPr>
        <w:spacing w:line="600" w:lineRule="exact"/>
        <w:outlineLvl w:val="1"/>
        <w:rPr>
          <w:rFonts w:hint="eastAsia" w:ascii="仿宋" w:hAnsi="仿宋" w:eastAsia="仿宋"/>
          <w:sz w:val="32"/>
          <w:szCs w:val="32"/>
          <w:lang w:eastAsia="zh-CN"/>
        </w:rPr>
      </w:pPr>
    </w:p>
    <w:p>
      <w:pPr>
        <w:spacing w:line="600" w:lineRule="exact"/>
        <w:ind w:firstLine="1920" w:firstLineChars="600"/>
        <w:rPr>
          <w:rFonts w:ascii="仿宋_GB2312" w:eastAsia="仿宋_GB2312"/>
          <w:sz w:val="32"/>
          <w:szCs w:val="32"/>
        </w:rPr>
      </w:pPr>
      <w:r>
        <w:rPr>
          <w:rFonts w:hint="eastAsia" w:ascii="仿宋" w:hAnsi="仿宋" w:eastAsia="仿宋"/>
          <w:sz w:val="32"/>
          <w:szCs w:val="32"/>
        </w:rPr>
        <w:t>（图2：收入决算结构图）</w:t>
      </w:r>
    </w:p>
    <w:p>
      <w:pPr>
        <w:pStyle w:val="25"/>
        <w:numPr>
          <w:ilvl w:val="0"/>
          <w:numId w:val="0"/>
        </w:numPr>
        <w:spacing w:line="600" w:lineRule="exact"/>
        <w:ind w:left="1360" w:leftChars="0" w:hanging="720" w:firstLineChars="0"/>
        <w:outlineLvl w:val="1"/>
        <w:rPr>
          <w:rStyle w:val="27"/>
          <w:rFonts w:ascii="黑体" w:hAnsi="黑体" w:eastAsia="黑体"/>
          <w:b w:val="0"/>
        </w:rPr>
      </w:pPr>
      <w:bookmarkStart w:id="26" w:name="_Toc15396605"/>
      <w:bookmarkStart w:id="27" w:name="_Toc15377207"/>
      <w:r>
        <w:rPr>
          <w:rFonts w:hint="default" w:ascii="黑体" w:hAnsi="黑体" w:eastAsia="黑体" w:cstheme="majorBidi"/>
          <w:b w:val="0"/>
          <w:bCs/>
          <w:kern w:val="2"/>
          <w:sz w:val="32"/>
          <w:szCs w:val="32"/>
          <w:lang w:val="en-US" w:eastAsia="zh-CN" w:bidi="ar-SA"/>
        </w:rPr>
        <w:t>四、</w:t>
      </w:r>
      <w:r>
        <w:rPr>
          <w:rFonts w:hint="eastAsia" w:ascii="黑体" w:hAnsi="黑体" w:eastAsia="黑体"/>
          <w:sz w:val="32"/>
          <w:szCs w:val="32"/>
        </w:rPr>
        <w:t>支</w:t>
      </w:r>
      <w:r>
        <w:rPr>
          <w:rStyle w:val="27"/>
          <w:rFonts w:hint="eastAsia" w:ascii="黑体" w:hAnsi="黑体" w:eastAsia="黑体"/>
          <w:b w:val="0"/>
        </w:rPr>
        <w:t>出决算情况说明</w:t>
      </w:r>
      <w:bookmarkEnd w:id="26"/>
      <w:bookmarkEnd w:id="27"/>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color w:val="000000"/>
          <w:sz w:val="32"/>
          <w:szCs w:val="32"/>
        </w:rPr>
        <w:t>1427.86</w:t>
      </w:r>
      <w:r>
        <w:rPr>
          <w:rFonts w:hint="eastAsia" w:ascii="仿宋" w:hAnsi="仿宋" w:eastAsia="仿宋"/>
          <w:sz w:val="32"/>
          <w:szCs w:val="32"/>
        </w:rPr>
        <w:t>万元，其中：基本支出1341.19万元，占</w:t>
      </w:r>
      <w:r>
        <w:rPr>
          <w:rFonts w:hint="eastAsia" w:ascii="仿宋" w:hAnsi="仿宋" w:eastAsia="仿宋"/>
          <w:sz w:val="32"/>
          <w:szCs w:val="32"/>
          <w:lang w:val="en-US" w:eastAsia="zh-CN"/>
        </w:rPr>
        <w:t>93.93</w:t>
      </w:r>
      <w:r>
        <w:rPr>
          <w:rFonts w:ascii="仿宋" w:hAnsi="仿宋" w:eastAsia="仿宋"/>
          <w:sz w:val="32"/>
          <w:szCs w:val="32"/>
        </w:rPr>
        <w:t>%</w:t>
      </w:r>
      <w:r>
        <w:rPr>
          <w:rFonts w:hint="eastAsia" w:ascii="仿宋" w:hAnsi="仿宋" w:eastAsia="仿宋"/>
          <w:sz w:val="32"/>
          <w:szCs w:val="32"/>
        </w:rPr>
        <w:t>；项目支出86.68万元，占</w:t>
      </w:r>
      <w:r>
        <w:rPr>
          <w:rFonts w:hint="eastAsia" w:ascii="仿宋" w:hAnsi="仿宋" w:eastAsia="仿宋"/>
          <w:sz w:val="32"/>
          <w:szCs w:val="32"/>
          <w:lang w:val="en-US" w:eastAsia="zh-CN"/>
        </w:rPr>
        <w:t>6.07</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7"/>
        <w:rPr>
          <w:rFonts w:hint="eastAsia" w:ascii="仿宋" w:hAnsi="仿宋" w:eastAsia="仿宋"/>
          <w:b/>
          <w:sz w:val="32"/>
          <w:szCs w:val="32"/>
        </w:rPr>
      </w:pPr>
      <w:r>
        <w:rPr>
          <w:rFonts w:hint="eastAsia" w:ascii="仿宋" w:hAnsi="仿宋" w:eastAsia="仿宋"/>
          <w:sz w:val="32"/>
          <w:szCs w:val="32"/>
          <w:lang w:eastAsia="zh-CN"/>
        </w:rPr>
        <w:drawing>
          <wp:inline distT="0" distB="0" distL="114300" distR="114300">
            <wp:extent cx="4657090" cy="2732405"/>
            <wp:effectExtent l="4445" t="4445" r="5715" b="63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1920" w:firstLineChars="600"/>
        <w:rPr>
          <w:rFonts w:ascii="仿宋_GB2312" w:eastAsia="仿宋_GB2312"/>
          <w:sz w:val="32"/>
          <w:szCs w:val="32"/>
        </w:rPr>
      </w:pPr>
      <w:r>
        <w:rPr>
          <w:rFonts w:hint="eastAsia" w:ascii="仿宋" w:hAnsi="仿宋" w:eastAsia="仿宋"/>
          <w:sz w:val="32"/>
          <w:szCs w:val="32"/>
        </w:rPr>
        <w:t>（图3：支出决算结构图）</w:t>
      </w:r>
    </w:p>
    <w:p>
      <w:pPr>
        <w:numPr>
          <w:ilvl w:val="0"/>
          <w:numId w:val="2"/>
        </w:numPr>
        <w:spacing w:line="600" w:lineRule="exact"/>
        <w:ind w:firstLine="640" w:firstLineChars="200"/>
        <w:outlineLvl w:val="1"/>
        <w:rPr>
          <w:rStyle w:val="27"/>
          <w:rFonts w:hint="eastAsia" w:ascii="黑体" w:hAnsi="黑体" w:eastAsia="黑体"/>
          <w:b w:val="0"/>
        </w:rPr>
      </w:pPr>
      <w:bookmarkStart w:id="28" w:name="_Toc15396606"/>
      <w:bookmarkStart w:id="29" w:name="_Toc15377208"/>
      <w:r>
        <w:rPr>
          <w:rFonts w:hint="eastAsia" w:ascii="黑体" w:hAnsi="黑体" w:eastAsia="黑体"/>
          <w:sz w:val="32"/>
          <w:szCs w:val="32"/>
        </w:rPr>
        <w:t>财</w:t>
      </w:r>
      <w:r>
        <w:rPr>
          <w:rStyle w:val="27"/>
          <w:rFonts w:hint="eastAsia" w:ascii="黑体" w:hAnsi="黑体" w:eastAsia="黑体"/>
          <w:b w:val="0"/>
        </w:rPr>
        <w:t>政拨款收入支出决算总体情况说明</w:t>
      </w:r>
      <w:bookmarkEnd w:id="28"/>
      <w:bookmarkEnd w:id="29"/>
    </w:p>
    <w:p>
      <w:pPr>
        <w:pStyle w:val="25"/>
        <w:widowControl w:val="0"/>
        <w:numPr>
          <w:ilvl w:val="0"/>
          <w:numId w:val="0"/>
        </w:numPr>
        <w:spacing w:line="600" w:lineRule="exact"/>
        <w:ind w:firstLine="640" w:firstLineChars="200"/>
        <w:jc w:val="both"/>
        <w:outlineLvl w:val="1"/>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年度</w:t>
      </w:r>
      <w:r>
        <w:rPr>
          <w:rFonts w:hint="eastAsia" w:ascii="仿宋" w:hAnsi="仿宋" w:eastAsia="仿宋"/>
          <w:color w:val="000000"/>
          <w:sz w:val="32"/>
          <w:szCs w:val="32"/>
          <w:lang w:val="en-US" w:eastAsia="zh-CN"/>
        </w:rPr>
        <w:t>财政拨款</w:t>
      </w:r>
      <w:r>
        <w:rPr>
          <w:rFonts w:hint="eastAsia" w:ascii="仿宋" w:hAnsi="仿宋" w:eastAsia="仿宋"/>
          <w:color w:val="000000"/>
          <w:sz w:val="32"/>
          <w:szCs w:val="32"/>
        </w:rPr>
        <w:t>收入总计1427.86万元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其中：当年公共财政预算拨款1341.19万元，年初结转结余86.68万元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支出总计1427.86万元。与</w:t>
      </w:r>
      <w:bookmarkStart w:id="71" w:name="_GoBack"/>
      <w:bookmarkEnd w:id="71"/>
      <w:r>
        <w:rPr>
          <w:rFonts w:ascii="仿宋" w:hAnsi="仿宋" w:eastAsia="仿宋"/>
          <w:color w:val="000000"/>
          <w:sz w:val="32"/>
          <w:szCs w:val="32"/>
        </w:rPr>
        <w:t>2021</w:t>
      </w:r>
      <w:r>
        <w:rPr>
          <w:rFonts w:hint="eastAsia" w:ascii="仿宋" w:hAnsi="仿宋" w:eastAsia="仿宋"/>
          <w:color w:val="000000"/>
          <w:sz w:val="32"/>
          <w:szCs w:val="32"/>
        </w:rPr>
        <w:t>年相比，</w:t>
      </w:r>
      <w:r>
        <w:rPr>
          <w:rFonts w:hint="eastAsia" w:ascii="仿宋" w:hAnsi="仿宋" w:eastAsia="仿宋"/>
          <w:color w:val="000000"/>
          <w:sz w:val="32"/>
          <w:szCs w:val="32"/>
          <w:lang w:val="en-US" w:eastAsia="zh-CN"/>
        </w:rPr>
        <w:t>财政拨款</w:t>
      </w:r>
      <w:r>
        <w:rPr>
          <w:rFonts w:hint="eastAsia" w:ascii="仿宋" w:hAnsi="仿宋" w:eastAsia="仿宋"/>
          <w:color w:val="000000"/>
          <w:sz w:val="32"/>
          <w:szCs w:val="32"/>
        </w:rPr>
        <w:t>收入总计减少</w:t>
      </w:r>
      <w:r>
        <w:rPr>
          <w:rFonts w:hint="eastAsia" w:ascii="仿宋" w:hAnsi="仿宋" w:eastAsia="仿宋"/>
          <w:color w:val="000000"/>
          <w:sz w:val="32"/>
          <w:szCs w:val="32"/>
          <w:lang w:val="en-US" w:eastAsia="zh-CN"/>
        </w:rPr>
        <w:t>311.73</w:t>
      </w:r>
      <w:r>
        <w:rPr>
          <w:rFonts w:hint="eastAsia" w:ascii="仿宋" w:hAnsi="仿宋" w:eastAsia="仿宋"/>
          <w:color w:val="000000"/>
          <w:sz w:val="32"/>
          <w:szCs w:val="32"/>
        </w:rPr>
        <w:t>万元、减少</w:t>
      </w:r>
      <w:r>
        <w:rPr>
          <w:rFonts w:hint="eastAsia" w:ascii="仿宋" w:hAnsi="仿宋" w:eastAsia="仿宋"/>
          <w:color w:val="000000"/>
          <w:sz w:val="32"/>
          <w:szCs w:val="32"/>
          <w:lang w:val="en-US" w:eastAsia="zh-CN"/>
        </w:rPr>
        <w:t>17.92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财政拨款</w:t>
      </w:r>
      <w:r>
        <w:rPr>
          <w:rFonts w:hint="eastAsia" w:ascii="仿宋" w:hAnsi="仿宋" w:eastAsia="仿宋"/>
          <w:color w:val="000000"/>
          <w:sz w:val="32"/>
          <w:szCs w:val="32"/>
        </w:rPr>
        <w:t>支出总计</w:t>
      </w:r>
      <w:r>
        <w:rPr>
          <w:rFonts w:hint="eastAsia" w:ascii="仿宋" w:hAnsi="仿宋" w:eastAsia="仿宋"/>
          <w:color w:val="000000"/>
          <w:sz w:val="32"/>
          <w:szCs w:val="32"/>
          <w:lang w:val="en-US" w:eastAsia="zh-CN"/>
        </w:rPr>
        <w:t>减少115.46</w:t>
      </w:r>
      <w:r>
        <w:rPr>
          <w:rFonts w:hint="eastAsia" w:ascii="仿宋" w:hAnsi="仿宋" w:eastAsia="仿宋"/>
          <w:color w:val="000000"/>
          <w:sz w:val="32"/>
          <w:szCs w:val="32"/>
        </w:rPr>
        <w:t>万元，增加</w:t>
      </w:r>
      <w:r>
        <w:rPr>
          <w:rFonts w:hint="eastAsia" w:ascii="仿宋" w:hAnsi="仿宋" w:eastAsia="仿宋"/>
          <w:color w:val="000000"/>
          <w:sz w:val="32"/>
          <w:szCs w:val="32"/>
          <w:lang w:val="en-US" w:eastAsia="zh-CN"/>
        </w:rPr>
        <w:t>7.48</w:t>
      </w:r>
      <w:r>
        <w:rPr>
          <w:rFonts w:ascii="仿宋" w:hAnsi="仿宋" w:eastAsia="仿宋"/>
          <w:color w:val="000000"/>
          <w:sz w:val="32"/>
          <w:szCs w:val="32"/>
        </w:rPr>
        <w:t>%</w:t>
      </w:r>
      <w:r>
        <w:rPr>
          <w:rFonts w:hint="eastAsia" w:ascii="仿宋" w:hAnsi="仿宋" w:eastAsia="仿宋"/>
          <w:color w:val="000000"/>
          <w:sz w:val="32"/>
          <w:szCs w:val="32"/>
        </w:rPr>
        <w:t>。主要变动原因202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年我单位无重大项目建设，项目资金收入减少</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上年度结转结余资金支付减少</w:t>
      </w:r>
      <w:r>
        <w:rPr>
          <w:rFonts w:hint="eastAsia" w:ascii="仿宋" w:hAnsi="仿宋" w:eastAsia="仿宋"/>
          <w:color w:val="000000"/>
          <w:sz w:val="32"/>
          <w:szCs w:val="32"/>
        </w:rPr>
        <w:t>。</w:t>
      </w:r>
    </w:p>
    <w:p>
      <w:pPr>
        <w:spacing w:line="600" w:lineRule="exact"/>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0288" behindDoc="1" locked="0" layoutInCell="1" allowOverlap="1">
            <wp:simplePos x="0" y="0"/>
            <wp:positionH relativeFrom="column">
              <wp:posOffset>338455</wp:posOffset>
            </wp:positionH>
            <wp:positionV relativeFrom="paragraph">
              <wp:posOffset>69850</wp:posOffset>
            </wp:positionV>
            <wp:extent cx="4543425" cy="2581275"/>
            <wp:effectExtent l="4445" t="4445" r="5080" b="508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27"/>
          <w:rFonts w:ascii="黑体" w:hAnsi="黑体" w:eastAsia="黑体"/>
          <w:b w:val="0"/>
        </w:rPr>
      </w:pPr>
      <w:bookmarkStart w:id="30" w:name="_Toc15396607"/>
      <w:bookmarkStart w:id="31" w:name="_Toc15377209"/>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pPr>
        <w:pStyle w:val="25"/>
        <w:widowControl w:val="0"/>
        <w:numPr>
          <w:ilvl w:val="0"/>
          <w:numId w:val="0"/>
        </w:numPr>
        <w:spacing w:line="600" w:lineRule="exact"/>
        <w:ind w:firstLine="640" w:firstLineChars="200"/>
        <w:jc w:val="both"/>
        <w:outlineLvl w:val="1"/>
        <w:rPr>
          <w:rFonts w:hint="eastAsia" w:ascii="仿宋" w:hAnsi="仿宋" w:eastAsia="仿宋"/>
          <w:color w:val="000000"/>
          <w:sz w:val="32"/>
          <w:szCs w:val="32"/>
        </w:rPr>
      </w:pPr>
      <w:r>
        <w:rPr>
          <w:rFonts w:ascii="仿宋" w:hAnsi="仿宋" w:eastAsia="仿宋"/>
          <w:sz w:val="32"/>
          <w:szCs w:val="32"/>
        </w:rPr>
        <w:t>20</w:t>
      </w:r>
      <w:r>
        <w:rPr>
          <w:rFonts w:hint="eastAsia" w:ascii="仿宋" w:hAnsi="仿宋" w:eastAsia="仿宋"/>
          <w:sz w:val="32"/>
          <w:szCs w:val="32"/>
        </w:rPr>
        <w:t>22年一般公共预算财政拨款支出1427.86万元，占本年支出合计的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115.46</w:t>
      </w:r>
      <w:r>
        <w:rPr>
          <w:rFonts w:hint="eastAsia" w:ascii="仿宋" w:hAnsi="仿宋" w:eastAsia="仿宋"/>
          <w:sz w:val="32"/>
          <w:szCs w:val="32"/>
        </w:rPr>
        <w:t>万元，下降</w:t>
      </w:r>
      <w:r>
        <w:rPr>
          <w:rFonts w:hint="eastAsia" w:ascii="仿宋" w:hAnsi="仿宋" w:eastAsia="仿宋"/>
          <w:sz w:val="32"/>
          <w:szCs w:val="32"/>
          <w:lang w:val="en-US" w:eastAsia="zh-CN"/>
        </w:rPr>
        <w:t>7.48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sz w:val="32"/>
          <w:szCs w:val="32"/>
        </w:rPr>
        <w:t>主要变动原因202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年我单位无重大项目建设，项目资金收入减少</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上年度结转结余资金支付减少</w:t>
      </w:r>
      <w:r>
        <w:rPr>
          <w:rFonts w:hint="eastAsia" w:ascii="仿宋" w:hAnsi="仿宋" w:eastAsia="仿宋"/>
          <w:color w:val="000000"/>
          <w:sz w:val="32"/>
          <w:szCs w:val="32"/>
        </w:rPr>
        <w:t>。</w:t>
      </w:r>
    </w:p>
    <w:p>
      <w:pPr>
        <w:pStyle w:val="25"/>
        <w:widowControl w:val="0"/>
        <w:numPr>
          <w:ilvl w:val="0"/>
          <w:numId w:val="0"/>
        </w:numPr>
        <w:spacing w:line="600" w:lineRule="exact"/>
        <w:jc w:val="both"/>
        <w:outlineLvl w:val="1"/>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60288" behindDoc="1" locked="0" layoutInCell="1" allowOverlap="1">
            <wp:simplePos x="0" y="0"/>
            <wp:positionH relativeFrom="column">
              <wp:posOffset>68580</wp:posOffset>
            </wp:positionH>
            <wp:positionV relativeFrom="paragraph">
              <wp:posOffset>71120</wp:posOffset>
            </wp:positionV>
            <wp:extent cx="4761865" cy="2256155"/>
            <wp:effectExtent l="4445" t="5080" r="15240" b="571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33" w:name="_Toc15377211"/>
      <w:r>
        <w:rPr>
          <w:rFonts w:hint="eastAsia" w:ascii="仿宋" w:hAnsi="仿宋" w:eastAsia="仿宋"/>
          <w:b/>
          <w:sz w:val="32"/>
          <w:szCs w:val="32"/>
        </w:rPr>
        <w:t>（二）一般公共预算财政拨款支出决算结构情况</w:t>
      </w:r>
      <w:bookmarkEnd w:id="3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22年一般公共预算财政拨款支出1427.86万元，主要用于以下方面</w:t>
      </w:r>
      <w:r>
        <w:rPr>
          <w:rFonts w:hint="eastAsia" w:ascii="仿宋" w:hAnsi="仿宋" w:eastAsia="仿宋"/>
          <w:sz w:val="32"/>
          <w:szCs w:val="32"/>
          <w:lang w:eastAsia="zh-CN"/>
        </w:rPr>
        <w:t>：</w:t>
      </w:r>
    </w:p>
    <w:p>
      <w:pPr>
        <w:spacing w:line="600" w:lineRule="exact"/>
        <w:ind w:firstLine="640"/>
        <w:rPr>
          <w:rFonts w:hint="eastAsia" w:ascii="仿宋" w:hAnsi="仿宋" w:eastAsia="仿宋"/>
          <w:sz w:val="32"/>
          <w:szCs w:val="32"/>
        </w:rPr>
      </w:pPr>
      <w:r>
        <w:rPr>
          <w:rFonts w:hint="eastAsia" w:ascii="仿宋" w:hAnsi="仿宋" w:eastAsia="仿宋"/>
          <w:b/>
          <w:sz w:val="32"/>
          <w:szCs w:val="32"/>
        </w:rPr>
        <w:t>教育支出</w:t>
      </w:r>
      <w:r>
        <w:rPr>
          <w:rFonts w:hint="eastAsia" w:ascii="仿宋" w:hAnsi="仿宋" w:eastAsia="仿宋"/>
          <w:sz w:val="32"/>
          <w:szCs w:val="32"/>
        </w:rPr>
        <w:t>1196.65万元，占</w:t>
      </w:r>
      <w:r>
        <w:rPr>
          <w:rFonts w:hint="eastAsia" w:ascii="仿宋" w:hAnsi="仿宋" w:eastAsia="仿宋"/>
          <w:sz w:val="32"/>
          <w:szCs w:val="32"/>
          <w:lang w:val="en-US" w:eastAsia="zh-CN"/>
        </w:rPr>
        <w:t>83.81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102.69万元，占</w:t>
      </w:r>
      <w:r>
        <w:rPr>
          <w:rFonts w:hint="eastAsia" w:ascii="仿宋" w:hAnsi="仿宋" w:eastAsia="仿宋"/>
          <w:sz w:val="32"/>
          <w:szCs w:val="32"/>
          <w:lang w:val="en-US" w:eastAsia="zh-CN"/>
        </w:rPr>
        <w:t>7.19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51.35万元，占</w:t>
      </w:r>
      <w:r>
        <w:rPr>
          <w:rFonts w:hint="eastAsia" w:ascii="仿宋" w:hAnsi="仿宋" w:eastAsia="仿宋"/>
          <w:sz w:val="32"/>
          <w:szCs w:val="32"/>
          <w:lang w:val="en-US" w:eastAsia="zh-CN"/>
        </w:rPr>
        <w:t>3.60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77.17万元，占</w:t>
      </w:r>
      <w:r>
        <w:rPr>
          <w:rFonts w:hint="eastAsia" w:ascii="仿宋" w:hAnsi="仿宋" w:eastAsia="仿宋"/>
          <w:sz w:val="32"/>
          <w:szCs w:val="32"/>
          <w:lang w:val="en-US" w:eastAsia="zh-CN"/>
        </w:rPr>
        <w:t>5.40</w:t>
      </w:r>
      <w:r>
        <w:rPr>
          <w:rFonts w:ascii="仿宋" w:hAnsi="仿宋" w:eastAsia="仿宋"/>
          <w:sz w:val="32"/>
          <w:szCs w:val="32"/>
        </w:rPr>
        <w:t>%</w:t>
      </w:r>
      <w:r>
        <w:rPr>
          <w:rFonts w:hint="eastAsia" w:ascii="仿宋" w:hAnsi="仿宋" w:eastAsia="仿宋"/>
          <w:sz w:val="32"/>
          <w:szCs w:val="32"/>
        </w:rPr>
        <w:t>。</w:t>
      </w:r>
    </w:p>
    <w:p>
      <w:pPr>
        <w:pStyle w:val="7"/>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656455" cy="2360295"/>
            <wp:effectExtent l="4445" t="4445" r="6350" b="1651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3" w:firstLineChars="200"/>
        <w:outlineLvl w:val="2"/>
        <w:rPr>
          <w:rFonts w:ascii="仿宋" w:hAnsi="仿宋" w:eastAsia="仿宋"/>
          <w:b/>
          <w:sz w:val="32"/>
          <w:szCs w:val="32"/>
        </w:rPr>
      </w:pPr>
      <w:bookmarkStart w:id="34" w:name="_Toc15377212"/>
      <w:r>
        <w:rPr>
          <w:rFonts w:hint="eastAsia" w:ascii="仿宋" w:hAnsi="仿宋" w:eastAsia="仿宋"/>
          <w:b/>
          <w:sz w:val="32"/>
          <w:szCs w:val="32"/>
        </w:rPr>
        <w:t>（三）一般公共预算财政拨款支出决算具体情况</w:t>
      </w:r>
      <w:bookmarkEnd w:id="34"/>
    </w:p>
    <w:p>
      <w:pPr>
        <w:spacing w:line="600" w:lineRule="exact"/>
        <w:ind w:firstLine="643" w:firstLineChars="200"/>
        <w:outlineLvl w:val="2"/>
        <w:rPr>
          <w:rFonts w:ascii="仿宋" w:hAnsi="仿宋" w:eastAsia="仿宋"/>
          <w:sz w:val="32"/>
          <w:szCs w:val="32"/>
        </w:rPr>
      </w:pPr>
      <w:bookmarkStart w:id="35" w:name="_Toc15378460"/>
      <w:bookmarkStart w:id="36" w:name="_Toc15377444"/>
      <w:bookmarkStart w:id="37" w:name="_Toc15377213"/>
      <w:r>
        <w:rPr>
          <w:rFonts w:hint="eastAsia" w:ascii="仿宋" w:hAnsi="仿宋" w:eastAsia="仿宋"/>
          <w:b/>
          <w:sz w:val="32"/>
          <w:szCs w:val="32"/>
        </w:rPr>
        <w:t>2022年一般公共预算支出决算数为1427.86</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5"/>
      <w:bookmarkEnd w:id="36"/>
      <w:bookmarkEnd w:id="37"/>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1</w:t>
      </w:r>
      <w:r>
        <w:rPr>
          <w:rStyle w:val="16"/>
          <w:rFonts w:ascii="仿宋" w:hAnsi="仿宋" w:eastAsia="仿宋"/>
          <w:bCs/>
          <w:sz w:val="32"/>
          <w:szCs w:val="32"/>
        </w:rPr>
        <w:t>.</w:t>
      </w:r>
      <w:r>
        <w:rPr>
          <w:rStyle w:val="16"/>
          <w:rFonts w:hint="eastAsia" w:ascii="仿宋" w:hAnsi="仿宋" w:eastAsia="仿宋"/>
          <w:bCs/>
          <w:sz w:val="32"/>
          <w:szCs w:val="32"/>
        </w:rPr>
        <w:t>教育（类）普通教育（款）初中教育（项）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Fonts w:hint="eastAsia" w:ascii="仿宋" w:hAnsi="仿宋" w:eastAsia="仿宋"/>
          <w:sz w:val="32"/>
          <w:szCs w:val="32"/>
        </w:rPr>
        <w:t>1196.65</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w:t>
      </w:r>
      <w:r>
        <w:rPr>
          <w:rStyle w:val="16"/>
          <w:rFonts w:hint="eastAsia" w:ascii="仿宋" w:hAnsi="仿宋" w:eastAsia="仿宋"/>
          <w:b w:val="0"/>
          <w:bCs/>
          <w:sz w:val="32"/>
          <w:szCs w:val="32"/>
          <w:lang w:val="en-US" w:eastAsia="zh-CN"/>
        </w:rPr>
        <w:t>与</w:t>
      </w:r>
      <w:r>
        <w:rPr>
          <w:rStyle w:val="16"/>
          <w:rFonts w:hint="eastAsia" w:ascii="仿宋" w:hAnsi="仿宋" w:eastAsia="仿宋"/>
          <w:b w:val="0"/>
          <w:bCs/>
          <w:sz w:val="32"/>
          <w:szCs w:val="32"/>
        </w:rPr>
        <w:t>预算数</w:t>
      </w:r>
      <w:r>
        <w:rPr>
          <w:rStyle w:val="16"/>
          <w:rFonts w:hint="eastAsia" w:ascii="仿宋" w:hAnsi="仿宋" w:eastAsia="仿宋"/>
          <w:b w:val="0"/>
          <w:bCs/>
          <w:sz w:val="32"/>
          <w:szCs w:val="32"/>
          <w:lang w:val="en-US" w:eastAsia="zh-CN"/>
        </w:rPr>
        <w:t>持平</w:t>
      </w:r>
      <w:r>
        <w:rPr>
          <w:rStyle w:val="16"/>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2</w:t>
      </w:r>
      <w:r>
        <w:rPr>
          <w:rStyle w:val="16"/>
          <w:rFonts w:ascii="仿宋" w:hAnsi="仿宋" w:eastAsia="仿宋"/>
          <w:bCs/>
          <w:sz w:val="32"/>
          <w:szCs w:val="32"/>
        </w:rPr>
        <w:t>.</w:t>
      </w:r>
      <w:r>
        <w:rPr>
          <w:rStyle w:val="16"/>
          <w:rFonts w:hint="eastAsia" w:ascii="仿宋" w:hAnsi="仿宋" w:eastAsia="仿宋"/>
          <w:bCs/>
          <w:sz w:val="32"/>
          <w:szCs w:val="32"/>
        </w:rPr>
        <w:t>社会保障和就业（类）行政事业单位养老支出（款）机关事业单位基本养老保险缴费支出（项）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Fonts w:hint="eastAsia" w:ascii="仿宋" w:hAnsi="仿宋" w:eastAsia="仿宋"/>
          <w:sz w:val="32"/>
          <w:szCs w:val="32"/>
        </w:rPr>
        <w:t>102.69</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w:t>
      </w:r>
      <w:r>
        <w:rPr>
          <w:rStyle w:val="16"/>
          <w:rFonts w:hint="eastAsia" w:ascii="仿宋" w:hAnsi="仿宋" w:eastAsia="仿宋"/>
          <w:b w:val="0"/>
          <w:bCs/>
          <w:sz w:val="32"/>
          <w:szCs w:val="32"/>
          <w:lang w:val="en-US" w:eastAsia="zh-CN"/>
        </w:rPr>
        <w:t>与</w:t>
      </w:r>
      <w:r>
        <w:rPr>
          <w:rStyle w:val="16"/>
          <w:rFonts w:hint="eastAsia" w:ascii="仿宋" w:hAnsi="仿宋" w:eastAsia="仿宋"/>
          <w:b w:val="0"/>
          <w:bCs/>
          <w:sz w:val="32"/>
          <w:szCs w:val="32"/>
        </w:rPr>
        <w:t>预算数</w:t>
      </w:r>
      <w:r>
        <w:rPr>
          <w:rStyle w:val="16"/>
          <w:rFonts w:hint="eastAsia" w:ascii="仿宋" w:hAnsi="仿宋" w:eastAsia="仿宋"/>
          <w:b w:val="0"/>
          <w:bCs/>
          <w:sz w:val="32"/>
          <w:szCs w:val="32"/>
          <w:lang w:val="en-US" w:eastAsia="zh-CN"/>
        </w:rPr>
        <w:t>持平</w:t>
      </w:r>
      <w:r>
        <w:rPr>
          <w:rStyle w:val="16"/>
          <w:rFonts w:hint="eastAsia" w:ascii="仿宋" w:hAnsi="仿宋" w:eastAsia="仿宋"/>
          <w:b w:val="0"/>
          <w:bCs/>
          <w:sz w:val="32"/>
          <w:szCs w:val="32"/>
        </w:rPr>
        <w:t>。</w:t>
      </w:r>
    </w:p>
    <w:p>
      <w:p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3</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（类）行政事业单位医疗（款）事业单位医疗（项）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w:t>
      </w:r>
      <w:r>
        <w:rPr>
          <w:rFonts w:hint="eastAsia" w:ascii="仿宋" w:hAnsi="仿宋" w:eastAsia="仿宋"/>
          <w:sz w:val="32"/>
          <w:szCs w:val="32"/>
        </w:rPr>
        <w:t>51.35</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w:t>
      </w:r>
      <w:r>
        <w:rPr>
          <w:rStyle w:val="16"/>
          <w:rFonts w:hint="eastAsia" w:ascii="仿宋" w:hAnsi="仿宋" w:eastAsia="仿宋"/>
          <w:b w:val="0"/>
          <w:bCs/>
          <w:sz w:val="32"/>
          <w:szCs w:val="32"/>
          <w:lang w:val="en-US" w:eastAsia="zh-CN"/>
        </w:rPr>
        <w:t>与</w:t>
      </w:r>
      <w:r>
        <w:rPr>
          <w:rStyle w:val="16"/>
          <w:rFonts w:hint="eastAsia" w:ascii="仿宋" w:hAnsi="仿宋" w:eastAsia="仿宋"/>
          <w:b w:val="0"/>
          <w:bCs/>
          <w:sz w:val="32"/>
          <w:szCs w:val="32"/>
        </w:rPr>
        <w:t>预算数</w:t>
      </w:r>
      <w:r>
        <w:rPr>
          <w:rStyle w:val="16"/>
          <w:rFonts w:hint="eastAsia" w:ascii="仿宋" w:hAnsi="仿宋" w:eastAsia="仿宋"/>
          <w:b w:val="0"/>
          <w:bCs/>
          <w:sz w:val="32"/>
          <w:szCs w:val="32"/>
          <w:lang w:val="en-US" w:eastAsia="zh-CN"/>
        </w:rPr>
        <w:t>持平</w:t>
      </w:r>
      <w:r>
        <w:rPr>
          <w:rStyle w:val="16"/>
          <w:rFonts w:hint="eastAsia" w:ascii="仿宋" w:hAnsi="仿宋" w:eastAsia="仿宋"/>
          <w:b w:val="0"/>
          <w:bCs/>
          <w:sz w:val="32"/>
          <w:szCs w:val="32"/>
        </w:rPr>
        <w:t>。</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w:t>
      </w:r>
      <w:r>
        <w:rPr>
          <w:rFonts w:hint="eastAsia" w:ascii="仿宋" w:hAnsi="仿宋" w:eastAsia="仿宋"/>
          <w:b/>
          <w:bCs/>
          <w:color w:val="000000"/>
          <w:sz w:val="32"/>
          <w:szCs w:val="32"/>
        </w:rPr>
        <w:t>住房保障支出（类）</w:t>
      </w:r>
      <w:r>
        <w:rPr>
          <w:rFonts w:hint="eastAsia" w:ascii="仿宋" w:hAnsi="仿宋" w:eastAsia="仿宋"/>
          <w:b/>
          <w:bCs/>
          <w:color w:val="000000"/>
          <w:sz w:val="32"/>
          <w:szCs w:val="32"/>
          <w:lang w:eastAsia="zh-CN"/>
        </w:rPr>
        <w:t>－</w:t>
      </w:r>
      <w:r>
        <w:rPr>
          <w:rFonts w:hint="eastAsia" w:ascii="仿宋" w:hAnsi="仿宋" w:eastAsia="仿宋"/>
          <w:b/>
          <w:bCs/>
          <w:color w:val="000000"/>
          <w:sz w:val="32"/>
          <w:szCs w:val="32"/>
        </w:rPr>
        <w:t>住房改革支出（款）</w:t>
      </w:r>
      <w:r>
        <w:rPr>
          <w:rFonts w:hint="eastAsia" w:ascii="仿宋" w:hAnsi="仿宋" w:eastAsia="仿宋"/>
          <w:b/>
          <w:bCs/>
          <w:color w:val="000000"/>
          <w:sz w:val="32"/>
          <w:szCs w:val="32"/>
          <w:lang w:eastAsia="zh-CN"/>
        </w:rPr>
        <w:t>－</w:t>
      </w:r>
      <w:r>
        <w:rPr>
          <w:rFonts w:hint="eastAsia" w:ascii="仿宋" w:hAnsi="仿宋" w:eastAsia="仿宋"/>
          <w:b/>
          <w:bCs/>
          <w:color w:val="000000"/>
          <w:sz w:val="32"/>
          <w:szCs w:val="32"/>
        </w:rPr>
        <w:t>住房公积金（项）</w:t>
      </w:r>
      <w:r>
        <w:rPr>
          <w:rFonts w:hint="eastAsia" w:ascii="仿宋" w:hAnsi="仿宋" w:eastAsia="仿宋"/>
          <w:b/>
          <w:bCs/>
          <w:color w:val="000000"/>
          <w:sz w:val="32"/>
          <w:szCs w:val="32"/>
          <w:lang w:eastAsia="zh-CN"/>
        </w:rPr>
        <w:t>：</w:t>
      </w:r>
      <w:r>
        <w:rPr>
          <w:rStyle w:val="16"/>
          <w:rFonts w:hint="eastAsia" w:ascii="仿宋" w:hAnsi="仿宋" w:eastAsia="仿宋"/>
          <w:b w:val="0"/>
          <w:bCs/>
          <w:sz w:val="32"/>
          <w:szCs w:val="32"/>
        </w:rPr>
        <w:t>支出决算为</w:t>
      </w:r>
      <w:r>
        <w:rPr>
          <w:rFonts w:hint="eastAsia" w:ascii="仿宋" w:hAnsi="仿宋" w:eastAsia="仿宋"/>
          <w:sz w:val="32"/>
          <w:szCs w:val="32"/>
        </w:rPr>
        <w:t>77.17</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w:t>
      </w:r>
      <w:r>
        <w:rPr>
          <w:rStyle w:val="16"/>
          <w:rFonts w:hint="eastAsia" w:ascii="仿宋" w:hAnsi="仿宋" w:eastAsia="仿宋"/>
          <w:b w:val="0"/>
          <w:bCs/>
          <w:sz w:val="32"/>
          <w:szCs w:val="32"/>
          <w:lang w:val="en-US" w:eastAsia="zh-CN"/>
        </w:rPr>
        <w:t>与</w:t>
      </w:r>
      <w:r>
        <w:rPr>
          <w:rStyle w:val="16"/>
          <w:rFonts w:hint="eastAsia" w:ascii="仿宋" w:hAnsi="仿宋" w:eastAsia="仿宋"/>
          <w:b w:val="0"/>
          <w:bCs/>
          <w:sz w:val="32"/>
          <w:szCs w:val="32"/>
        </w:rPr>
        <w:t>预算数</w:t>
      </w:r>
      <w:r>
        <w:rPr>
          <w:rStyle w:val="16"/>
          <w:rFonts w:hint="eastAsia" w:ascii="仿宋" w:hAnsi="仿宋" w:eastAsia="仿宋"/>
          <w:b w:val="0"/>
          <w:bCs/>
          <w:sz w:val="32"/>
          <w:szCs w:val="32"/>
          <w:lang w:val="en-US" w:eastAsia="zh-CN"/>
        </w:rPr>
        <w:t>持平</w:t>
      </w:r>
      <w:r>
        <w:rPr>
          <w:rStyle w:val="16"/>
          <w:rFonts w:hint="eastAsia" w:ascii="仿宋" w:hAnsi="仿宋" w:eastAsia="仿宋"/>
          <w:b w:val="0"/>
          <w:bCs/>
          <w:sz w:val="32"/>
          <w:szCs w:val="32"/>
        </w:rPr>
        <w:t>。</w:t>
      </w:r>
    </w:p>
    <w:p>
      <w:pPr>
        <w:tabs>
          <w:tab w:val="right" w:pos="8306"/>
        </w:tabs>
        <w:spacing w:line="600" w:lineRule="exact"/>
        <w:ind w:firstLine="640"/>
        <w:outlineLvl w:val="1"/>
        <w:rPr>
          <w:rStyle w:val="27"/>
        </w:rPr>
      </w:pPr>
      <w:bookmarkStart w:id="38" w:name="_Toc15377214"/>
      <w:bookmarkStart w:id="39"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38"/>
      <w:bookmarkEnd w:id="39"/>
      <w:r>
        <w:rPr>
          <w:rStyle w:val="2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22年一般公共预算财政拨款基本支出1341.19万元，其中：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985.34万元，主要包括：基本工资、津贴补贴、奖金、绩效工资、机关事业单位基本养老保险缴费、职业年金缴费、其他社会保障缴费、其他工资福利支出、抚恤金、生活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355.85万元，主要包括：办公费、印刷费、咨询费、手续费、水费、电费、邮电费、物业管理费、差旅费、维修（护）费、租赁费、培训费、公务接待费、劳务费、工会经费、福利费、其他交通费、其他商品和服务支出、办公设备购置、专用设备购置、信息网络及软件购置更新、其他资本性支出等。</w:t>
      </w:r>
    </w:p>
    <w:p>
      <w:pPr>
        <w:spacing w:line="600" w:lineRule="exact"/>
        <w:ind w:firstLine="640"/>
        <w:outlineLvl w:val="1"/>
        <w:rPr>
          <w:rStyle w:val="27"/>
          <w:rFonts w:ascii="黑体" w:hAnsi="黑体" w:eastAsia="黑体"/>
          <w:b w:val="0"/>
        </w:rPr>
      </w:pPr>
      <w:bookmarkStart w:id="40" w:name="_Toc15396609"/>
      <w:bookmarkStart w:id="41" w:name="_Toc15377215"/>
      <w:r>
        <w:rPr>
          <w:rFonts w:hint="eastAsia" w:ascii="黑体" w:eastAsia="黑体"/>
          <w:sz w:val="32"/>
          <w:szCs w:val="32"/>
        </w:rPr>
        <w:t>七、</w:t>
      </w:r>
      <w:r>
        <w:rPr>
          <w:rStyle w:val="27"/>
          <w:rFonts w:hint="eastAsia" w:ascii="黑体" w:hAnsi="黑体" w:eastAsia="黑体"/>
          <w:b w:val="0"/>
        </w:rPr>
        <w:t>财政拨款</w:t>
      </w:r>
      <w:r>
        <w:rPr>
          <w:rStyle w:val="27"/>
          <w:rFonts w:hint="eastAsia" w:ascii="黑体" w:hAnsi="黑体" w:eastAsia="黑体"/>
        </w:rPr>
        <w:t>“</w:t>
      </w:r>
      <w:r>
        <w:rPr>
          <w:rStyle w:val="27"/>
          <w:rFonts w:hint="eastAsia" w:ascii="黑体" w:hAnsi="黑体" w:eastAsia="黑体"/>
          <w:b w:val="0"/>
        </w:rPr>
        <w:t>三公”经费支出决算情况说明</w:t>
      </w:r>
      <w:bookmarkEnd w:id="40"/>
      <w:bookmarkEnd w:id="41"/>
    </w:p>
    <w:p>
      <w:pPr>
        <w:spacing w:line="600" w:lineRule="exact"/>
        <w:ind w:firstLine="640"/>
        <w:outlineLvl w:val="2"/>
        <w:rPr>
          <w:rFonts w:ascii="仿宋" w:hAnsi="仿宋" w:eastAsia="仿宋"/>
          <w:b/>
          <w:sz w:val="32"/>
          <w:szCs w:val="32"/>
        </w:rPr>
      </w:pPr>
      <w:bookmarkStart w:id="42" w:name="_Toc15377216"/>
      <w:r>
        <w:rPr>
          <w:rFonts w:hint="eastAsia" w:ascii="仿宋" w:hAnsi="仿宋" w:eastAsia="仿宋"/>
          <w:b/>
          <w:sz w:val="32"/>
          <w:szCs w:val="32"/>
        </w:rPr>
        <w:t>（一）“三公”经费财政拨款支出决算总体情况说明</w:t>
      </w:r>
      <w:bookmarkEnd w:id="4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0.10</w:t>
      </w:r>
      <w:r>
        <w:rPr>
          <w:rFonts w:hint="eastAsia" w:ascii="仿宋" w:hAnsi="仿宋" w:eastAsia="仿宋"/>
          <w:sz w:val="32"/>
          <w:szCs w:val="32"/>
        </w:rPr>
        <w:t>万元，下降</w:t>
      </w:r>
      <w:r>
        <w:rPr>
          <w:rFonts w:hint="eastAsia" w:ascii="仿宋" w:hAnsi="仿宋" w:eastAsia="仿宋"/>
          <w:sz w:val="32"/>
          <w:szCs w:val="32"/>
          <w:lang w:val="en-US" w:eastAsia="zh-CN"/>
        </w:rPr>
        <w:t>2.08</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43" w:name="_Toc15377217"/>
      <w:r>
        <w:rPr>
          <w:rFonts w:hint="eastAsia" w:ascii="仿宋" w:hAnsi="仿宋" w:eastAsia="仿宋"/>
          <w:b/>
          <w:sz w:val="32"/>
          <w:szCs w:val="32"/>
        </w:rPr>
        <w:t>（二）“三公”经费财政拨款支出决算具体情况说明</w:t>
      </w:r>
      <w:bookmarkEnd w:id="43"/>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7"/>
        <w:rPr>
          <w:rFonts w:hint="eastAsia" w:ascii="仿宋" w:hAnsi="仿宋" w:eastAsia="仿宋"/>
          <w:sz w:val="32"/>
          <w:szCs w:val="32"/>
        </w:rPr>
      </w:pPr>
      <w:r>
        <w:rPr>
          <w:rFonts w:hint="eastAsia" w:ascii="仿宋" w:hAnsi="仿宋" w:eastAsia="仿宋"/>
          <w:sz w:val="32"/>
          <w:szCs w:val="32"/>
          <w:lang w:eastAsia="zh-CN"/>
        </w:rPr>
        <w:drawing>
          <wp:inline distT="0" distB="0" distL="114300" distR="114300">
            <wp:extent cx="4676140" cy="2227580"/>
            <wp:effectExtent l="4445" t="4445" r="5715" b="1587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0.10</w:t>
      </w:r>
      <w:r>
        <w:rPr>
          <w:rFonts w:hint="eastAsia" w:ascii="仿宋_GB2312" w:eastAsia="仿宋_GB2312"/>
          <w:sz w:val="32"/>
          <w:szCs w:val="32"/>
        </w:rPr>
        <w:t>万元，下降</w:t>
      </w:r>
      <w:r>
        <w:rPr>
          <w:rFonts w:hint="eastAsia" w:ascii="仿宋_GB2312" w:eastAsia="仿宋_GB2312"/>
          <w:sz w:val="32"/>
          <w:szCs w:val="32"/>
          <w:lang w:val="en-US" w:eastAsia="zh-CN"/>
        </w:rPr>
        <w:t>2.08</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本单位严格控制公务接待支出</w:t>
      </w:r>
      <w:r>
        <w:rPr>
          <w:rFonts w:hint="eastAsia" w:ascii="仿宋_GB2312" w:eastAsia="仿宋_GB2312"/>
          <w:sz w:val="32"/>
          <w:szCs w:val="32"/>
        </w:rPr>
        <w:t>。其中：</w:t>
      </w:r>
    </w:p>
    <w:p>
      <w:pPr>
        <w:spacing w:line="520" w:lineRule="exact"/>
        <w:ind w:firstLine="643" w:firstLineChars="200"/>
        <w:rPr>
          <w:rFonts w:ascii="仿宋_GB2312" w:eastAsia="仿宋_GB2312"/>
          <w:color w:val="000000"/>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_GB2312" w:eastAsia="仿宋_GB2312"/>
          <w:sz w:val="32"/>
          <w:szCs w:val="32"/>
        </w:rPr>
        <w:t>万元，主要用于</w:t>
      </w:r>
      <w:r>
        <w:rPr>
          <w:rFonts w:hint="eastAsia" w:ascii="仿宋_GB2312" w:eastAsia="仿宋_GB2312"/>
          <w:color w:val="000000"/>
          <w:sz w:val="32"/>
          <w:szCs w:val="32"/>
        </w:rPr>
        <w:t>接待受邀专家到我单位开展讲座、培训活动、外单位到我校开展体育活动、校际教研活动住宿费、生活费等。</w:t>
      </w:r>
      <w:r>
        <w:rPr>
          <w:rFonts w:hint="eastAsia" w:ascii="仿宋_GB2312" w:eastAsia="仿宋_GB2312"/>
          <w:sz w:val="32"/>
          <w:szCs w:val="32"/>
        </w:rPr>
        <w:t>国内公务接待</w:t>
      </w:r>
      <w:r>
        <w:rPr>
          <w:rFonts w:hint="eastAsia" w:ascii="仿宋_GB2312" w:eastAsia="仿宋_GB2312"/>
          <w:sz w:val="32"/>
          <w:szCs w:val="32"/>
          <w:lang w:val="en-US" w:eastAsia="zh-CN"/>
        </w:rPr>
        <w:t>12</w:t>
      </w:r>
      <w:r>
        <w:rPr>
          <w:rFonts w:hint="eastAsia" w:ascii="仿宋_GB2312" w:eastAsia="仿宋_GB2312"/>
          <w:sz w:val="32"/>
          <w:szCs w:val="32"/>
        </w:rPr>
        <w:t>批次，</w:t>
      </w:r>
      <w:r>
        <w:rPr>
          <w:rFonts w:hint="eastAsia" w:ascii="仿宋_GB2312" w:eastAsia="仿宋_GB2312"/>
          <w:sz w:val="32"/>
          <w:szCs w:val="32"/>
          <w:lang w:val="en-US" w:eastAsia="zh-CN"/>
        </w:rPr>
        <w:t>70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0.38</w:t>
      </w:r>
      <w:r>
        <w:rPr>
          <w:rFonts w:hint="eastAsia" w:ascii="仿宋_GB2312" w:eastAsia="仿宋_GB2312"/>
          <w:sz w:val="32"/>
          <w:szCs w:val="32"/>
        </w:rPr>
        <w:t>万元，具体内容包括：</w:t>
      </w:r>
      <w:r>
        <w:rPr>
          <w:rFonts w:hint="eastAsia" w:ascii="仿宋_GB2312" w:eastAsia="仿宋_GB2312"/>
          <w:color w:val="000000"/>
          <w:sz w:val="32"/>
          <w:szCs w:val="32"/>
        </w:rPr>
        <w:t>邀请专家至我校开展培训讲座活动</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批次，金额</w:t>
      </w:r>
      <w:r>
        <w:rPr>
          <w:rFonts w:ascii="仿宋_GB2312" w:eastAsia="仿宋_GB2312"/>
          <w:color w:val="000000"/>
          <w:sz w:val="32"/>
          <w:szCs w:val="32"/>
        </w:rPr>
        <w:t>0.0</w:t>
      </w:r>
      <w:r>
        <w:rPr>
          <w:rFonts w:hint="eastAsia" w:ascii="仿宋_GB2312" w:eastAsia="仿宋_GB2312"/>
          <w:color w:val="000000"/>
          <w:sz w:val="32"/>
          <w:szCs w:val="32"/>
          <w:lang w:val="en-US" w:eastAsia="zh-CN"/>
        </w:rPr>
        <w:t>78</w:t>
      </w:r>
      <w:r>
        <w:rPr>
          <w:rFonts w:hint="eastAsia" w:ascii="仿宋_GB2312" w:eastAsia="仿宋_GB2312"/>
          <w:color w:val="000000"/>
          <w:sz w:val="32"/>
          <w:szCs w:val="32"/>
        </w:rPr>
        <w:t>万元；校际教研活动</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批次，生活费金额</w:t>
      </w:r>
      <w:r>
        <w:rPr>
          <w:rFonts w:ascii="仿宋_GB2312" w:eastAsia="仿宋_GB2312"/>
          <w:color w:val="000000"/>
          <w:sz w:val="32"/>
          <w:szCs w:val="32"/>
        </w:rPr>
        <w:t>0.</w:t>
      </w:r>
      <w:r>
        <w:rPr>
          <w:rFonts w:hint="eastAsia" w:ascii="仿宋_GB2312" w:eastAsia="仿宋_GB2312"/>
          <w:color w:val="000000"/>
          <w:sz w:val="32"/>
          <w:szCs w:val="32"/>
          <w:lang w:val="en-US" w:eastAsia="zh-CN"/>
        </w:rPr>
        <w:t>167</w:t>
      </w:r>
      <w:r>
        <w:rPr>
          <w:rFonts w:hint="eastAsia" w:ascii="仿宋_GB2312" w:eastAsia="仿宋_GB2312"/>
          <w:color w:val="000000"/>
          <w:sz w:val="32"/>
          <w:szCs w:val="32"/>
        </w:rPr>
        <w:t>万元；校际体育活动</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批次，生活费金额0.0</w:t>
      </w:r>
      <w:r>
        <w:rPr>
          <w:rFonts w:ascii="仿宋_GB2312" w:eastAsia="仿宋_GB2312"/>
          <w:color w:val="000000"/>
          <w:sz w:val="32"/>
          <w:szCs w:val="32"/>
        </w:rPr>
        <w:t>9</w:t>
      </w:r>
      <w:r>
        <w:rPr>
          <w:rFonts w:hint="eastAsia" w:ascii="仿宋_GB2312" w:eastAsia="仿宋_GB2312"/>
          <w:color w:val="000000"/>
          <w:sz w:val="32"/>
          <w:szCs w:val="32"/>
        </w:rPr>
        <w:t>万元；心理咨询专家开展学生心理咨询活动</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批次，接待费用0</w:t>
      </w:r>
      <w:r>
        <w:rPr>
          <w:rFonts w:ascii="仿宋_GB2312" w:eastAsia="仿宋_GB2312"/>
          <w:color w:val="000000"/>
          <w:sz w:val="32"/>
          <w:szCs w:val="32"/>
        </w:rPr>
        <w:t>.</w:t>
      </w:r>
      <w:r>
        <w:rPr>
          <w:rFonts w:hint="eastAsia" w:ascii="仿宋_GB2312" w:eastAsia="仿宋_GB2312"/>
          <w:color w:val="000000"/>
          <w:sz w:val="32"/>
          <w:szCs w:val="32"/>
          <w:lang w:val="en-US" w:eastAsia="zh-CN"/>
        </w:rPr>
        <w:t>045</w:t>
      </w:r>
      <w:r>
        <w:rPr>
          <w:rFonts w:hint="eastAsia" w:ascii="仿宋_GB2312" w:eastAsia="仿宋_GB2312"/>
          <w:color w:val="000000"/>
          <w:sz w:val="32"/>
          <w:szCs w:val="32"/>
        </w:rPr>
        <w:t>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4" w:name="_Toc15396610"/>
      <w:bookmarkStart w:id="45" w:name="_Toc15377218"/>
    </w:p>
    <w:p>
      <w:pPr>
        <w:spacing w:line="600" w:lineRule="exact"/>
        <w:ind w:firstLine="640"/>
        <w:outlineLvl w:val="1"/>
        <w:rPr>
          <w:rStyle w:val="27"/>
          <w:rFonts w:ascii="黑体" w:hAnsi="黑体" w:eastAsia="黑体"/>
        </w:rPr>
      </w:pPr>
      <w:r>
        <w:rPr>
          <w:rFonts w:hint="eastAsia" w:ascii="黑体" w:eastAsia="黑体"/>
          <w:sz w:val="32"/>
          <w:szCs w:val="32"/>
        </w:rPr>
        <w:t>八、</w:t>
      </w:r>
      <w:r>
        <w:rPr>
          <w:rStyle w:val="27"/>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7"/>
          <w:rFonts w:ascii="黑体" w:hAnsi="黑体" w:eastAsia="黑体"/>
          <w:b w:val="0"/>
        </w:rPr>
      </w:pPr>
      <w:bookmarkStart w:id="46" w:name="_Toc15396611"/>
      <w:bookmarkStart w:id="47" w:name="_Toc15377219"/>
      <w:r>
        <w:rPr>
          <w:rStyle w:val="27"/>
          <w:rFonts w:hint="eastAsia" w:ascii="黑体" w:hAnsi="黑体" w:eastAsia="黑体"/>
          <w:b w:val="0"/>
        </w:rPr>
        <w:t>国有资本经营预算支出决算情况说明</w:t>
      </w:r>
      <w:bookmarkEnd w:id="46"/>
      <w:bookmarkEnd w:id="47"/>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7"/>
          <w:rFonts w:ascii="黑体" w:hAnsi="黑体" w:eastAsia="黑体"/>
          <w:b w:val="0"/>
        </w:rPr>
      </w:pPr>
      <w:bookmarkStart w:id="48" w:name="_Toc15396612"/>
      <w:bookmarkStart w:id="49" w:name="_Toc15377221"/>
      <w:r>
        <w:rPr>
          <w:rStyle w:val="27"/>
          <w:rFonts w:hint="eastAsia" w:ascii="黑体" w:hAnsi="黑体" w:eastAsia="黑体"/>
          <w:b w:val="0"/>
        </w:rPr>
        <w:t>其他重要事项的情况说明</w:t>
      </w:r>
      <w:bookmarkEnd w:id="48"/>
      <w:bookmarkEnd w:id="49"/>
    </w:p>
    <w:p>
      <w:pPr>
        <w:spacing w:line="600" w:lineRule="exact"/>
        <w:ind w:firstLine="643" w:firstLineChars="200"/>
        <w:outlineLvl w:val="2"/>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pPr>
        <w:spacing w:line="600" w:lineRule="exact"/>
        <w:ind w:firstLine="640" w:firstLineChars="200"/>
        <w:rPr>
          <w:rFonts w:hint="eastAsia"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我单位</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lang w:val="en-US" w:eastAsia="zh-CN"/>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我单位</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4"/>
      <w:r>
        <w:rPr>
          <w:rFonts w:hint="eastAsia" w:ascii="仿宋" w:hAnsi="仿宋" w:eastAsia="仿宋"/>
          <w:b/>
          <w:sz w:val="32"/>
          <w:szCs w:val="32"/>
        </w:rPr>
        <w:t>（三）国有资产占有使用情况</w:t>
      </w:r>
      <w:bookmarkEnd w:id="52"/>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我单位</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根据预算绩效管理要求，本部单位在年预算编制阶段，组织对四川省剑阁县鹤龄中学</w:t>
      </w:r>
      <w:r>
        <w:rPr>
          <w:rFonts w:hint="eastAsia" w:ascii="仿宋_GB2312" w:hAnsi="仿宋_GB2312" w:eastAsia="仿宋_GB2312" w:cs="仿宋_GB2312"/>
          <w:sz w:val="32"/>
          <w:szCs w:val="32"/>
          <w:lang w:val="en-US" w:eastAsia="zh-CN"/>
        </w:rPr>
        <w:t>学生营养膳食改善计划资金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义务教育学生免作业本费、</w:t>
      </w:r>
      <w:r>
        <w:rPr>
          <w:rFonts w:hint="eastAsia" w:ascii="仿宋_GB2312" w:hAnsi="仿宋_GB2312" w:eastAsia="仿宋_GB2312" w:cs="仿宋_GB2312"/>
          <w:sz w:val="32"/>
          <w:szCs w:val="32"/>
        </w:rPr>
        <w:t>义务教育家庭经济困难学生生活补助资金、</w:t>
      </w:r>
      <w:r>
        <w:rPr>
          <w:rFonts w:hint="default" w:ascii="仿宋_GB2312" w:hAnsi="仿宋_GB2312" w:eastAsia="仿宋_GB2312" w:cs="仿宋_GB2312"/>
          <w:bCs/>
          <w:kern w:val="2"/>
          <w:sz w:val="32"/>
          <w:szCs w:val="32"/>
          <w:lang w:val="en-US" w:eastAsia="zh-CN" w:bidi="ar-SA"/>
        </w:rPr>
        <w:t>校园安全保障经费</w:t>
      </w:r>
      <w:r>
        <w:rPr>
          <w:rFonts w:hint="eastAsia" w:ascii="仿宋_GB2312" w:hAnsi="仿宋_GB2312" w:eastAsia="仿宋_GB2312" w:cs="仿宋_GB2312"/>
          <w:bCs/>
          <w:kern w:val="2"/>
          <w:sz w:val="32"/>
          <w:szCs w:val="32"/>
          <w:lang w:val="en-US" w:eastAsia="zh-CN" w:bidi="ar-SA"/>
        </w:rPr>
        <w:t>、</w:t>
      </w:r>
      <w:r>
        <w:rPr>
          <w:rFonts w:hint="default" w:ascii="仿宋_GB2312" w:hAnsi="仿宋_GB2312" w:eastAsia="仿宋_GB2312" w:cs="仿宋_GB2312"/>
          <w:bCs/>
          <w:kern w:val="2"/>
          <w:sz w:val="32"/>
          <w:szCs w:val="32"/>
          <w:lang w:val="en-US" w:eastAsia="zh-CN" w:bidi="ar-SA"/>
        </w:rPr>
        <w:t>食堂人员补助</w:t>
      </w:r>
      <w:r>
        <w:rPr>
          <w:rFonts w:hint="eastAsia" w:ascii="仿宋_GB2312" w:hAnsi="仿宋_GB2312" w:eastAsia="仿宋_GB2312" w:cs="仿宋_GB2312"/>
          <w:bCs/>
          <w:kern w:val="2"/>
          <w:sz w:val="32"/>
          <w:szCs w:val="32"/>
          <w:lang w:val="en-US" w:eastAsia="zh-CN" w:bidi="ar-SA"/>
        </w:rPr>
        <w:t>经费、</w:t>
      </w:r>
      <w:r>
        <w:rPr>
          <w:rFonts w:hint="eastAsia" w:ascii="仿宋_GB2312" w:hAnsi="仿宋_GB2312" w:eastAsia="仿宋_GB2312" w:cs="仿宋_GB2312"/>
          <w:sz w:val="32"/>
          <w:szCs w:val="32"/>
        </w:rPr>
        <w:t>义务教育公用经费等项目编制了绩效目标，预算执行过程中，</w:t>
      </w:r>
      <w:r>
        <w:rPr>
          <w:rFonts w:hint="eastAsia" w:ascii="仿宋_GB2312" w:hAnsi="仿宋_GB2312" w:eastAsia="仿宋_GB2312" w:cs="仿宋_GB2312"/>
          <w:sz w:val="32"/>
          <w:szCs w:val="32"/>
          <w:lang w:val="en-US" w:eastAsia="zh-CN"/>
        </w:rPr>
        <w:t>选取17</w:t>
      </w:r>
      <w:r>
        <w:rPr>
          <w:rFonts w:hint="eastAsia" w:ascii="仿宋_GB2312" w:hAnsi="仿宋_GB2312" w:eastAsia="仿宋_GB2312" w:cs="仿宋_GB2312"/>
          <w:sz w:val="32"/>
          <w:szCs w:val="32"/>
        </w:rPr>
        <w:t>项目实施开展绩效监控，年终执行完毕后，对</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项目开展了绩效目标完成情况自评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绩效自评表详见第四部分附件</w:t>
      </w:r>
      <w:r>
        <w:rPr>
          <w:rFonts w:hint="eastAsia" w:ascii="仿宋_GB2312" w:hAnsi="仿宋_GB2312" w:eastAsia="仿宋_GB2312" w:cs="仿宋_GB2312"/>
          <w:sz w:val="32"/>
          <w:szCs w:val="32"/>
          <w:lang w:eastAsia="zh-CN"/>
        </w:rPr>
        <w:t>。</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6"/>
          <w:rFonts w:ascii="黑体" w:hAnsi="黑体" w:eastAsia="黑体"/>
          <w:b w:val="0"/>
        </w:rPr>
      </w:pPr>
      <w:bookmarkStart w:id="53" w:name="_Toc15377225"/>
      <w:bookmarkStart w:id="54" w:name="_Toc15396613"/>
      <w:r>
        <w:rPr>
          <w:rFonts w:hint="eastAsia" w:ascii="黑体" w:hAnsi="黑体" w:eastAsia="黑体"/>
          <w:sz w:val="44"/>
          <w:szCs w:val="44"/>
        </w:rPr>
        <w:t>名</w:t>
      </w:r>
      <w:r>
        <w:rPr>
          <w:rStyle w:val="26"/>
          <w:rFonts w:hint="eastAsia" w:ascii="黑体" w:hAnsi="黑体" w:eastAsia="黑体"/>
          <w:b w:val="0"/>
        </w:rPr>
        <w:t>词解释</w:t>
      </w:r>
      <w:bookmarkEnd w:id="53"/>
      <w:bookmarkEnd w:id="54"/>
    </w:p>
    <w:p>
      <w:pPr>
        <w:pStyle w:val="2"/>
        <w:rPr>
          <w:rStyle w:val="26"/>
          <w:rFonts w:hint="eastAsia" w:ascii="黑体" w:hAnsi="黑体" w:eastAsia="黑体"/>
          <w:b w:val="0"/>
        </w:rPr>
      </w:pPr>
    </w:p>
    <w:p>
      <w:pPr>
        <w:pStyle w:val="24"/>
        <w:numPr>
          <w:ilvl w:val="0"/>
          <w:numId w:val="5"/>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财政拨款收入：指单位从同级财政部门取得的财政预算资金。</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4"/>
        <w:spacing w:line="560" w:lineRule="exact"/>
        <w:ind w:firstLine="640" w:firstLineChars="200"/>
        <w:rPr>
          <w:rFonts w:hint="eastAsia" w:ascii="仿宋_GB2312" w:eastAsia="仿宋_GB2312"/>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2.年末结转和结余：指单位按有关规定结转到下年或以后年度继续使用的资金。</w:t>
      </w:r>
    </w:p>
    <w:p>
      <w:pPr>
        <w:pStyle w:val="24"/>
        <w:spacing w:line="560" w:lineRule="exact"/>
        <w:ind w:firstLine="640" w:firstLineChars="200"/>
        <w:rPr>
          <w:rFonts w:ascii="仿宋_GB2312" w:hAnsi="Times New Roman" w:eastAsia="仿宋_GB2312" w:cs="仿宋_GB2312"/>
          <w:kern w:val="2"/>
          <w:sz w:val="32"/>
          <w:szCs w:val="32"/>
        </w:rPr>
      </w:pPr>
      <w:r>
        <w:rPr>
          <w:rFonts w:hint="eastAsia" w:ascii="仿宋_GB2312" w:hAnsi="Times New Roman" w:eastAsia="仿宋_GB2312" w:cs="仿宋_GB2312"/>
          <w:kern w:val="2"/>
          <w:sz w:val="32"/>
          <w:szCs w:val="32"/>
        </w:rPr>
        <w:t>3．一般公共预算拨款收入：指县级财政当年拨付的资金。</w:t>
      </w:r>
    </w:p>
    <w:p>
      <w:pPr>
        <w:pStyle w:val="24"/>
        <w:spacing w:line="560" w:lineRule="exact"/>
        <w:ind w:firstLine="640" w:firstLineChars="200"/>
        <w:rPr>
          <w:rFonts w:ascii="仿宋_GB2312" w:hAnsi="Times New Roman" w:eastAsia="仿宋_GB2312" w:cs="仿宋_GB2312"/>
          <w:kern w:val="2"/>
          <w:sz w:val="32"/>
          <w:szCs w:val="32"/>
        </w:rPr>
      </w:pPr>
      <w:r>
        <w:rPr>
          <w:rFonts w:hint="eastAsia" w:ascii="仿宋_GB2312" w:hAnsi="Times New Roman" w:eastAsia="仿宋_GB2312" w:cs="仿宋_GB2312"/>
          <w:kern w:val="2"/>
          <w:sz w:val="32"/>
          <w:szCs w:val="32"/>
        </w:rPr>
        <w:t>4</w:t>
      </w:r>
      <w:r>
        <w:rPr>
          <w:rFonts w:ascii="仿宋_GB2312" w:hAnsi="Times New Roman" w:eastAsia="仿宋_GB2312" w:cs="仿宋_GB2312"/>
          <w:kern w:val="2"/>
          <w:sz w:val="32"/>
          <w:szCs w:val="32"/>
        </w:rPr>
        <w:t>.</w:t>
      </w:r>
      <w:r>
        <w:rPr>
          <w:rFonts w:hint="eastAsia" w:ascii="仿宋_GB2312" w:hAnsi="Times New Roman" w:eastAsia="仿宋_GB2312" w:cs="仿宋_GB2312"/>
          <w:kern w:val="2"/>
          <w:sz w:val="32"/>
          <w:szCs w:val="32"/>
        </w:rPr>
        <w:t>教育（类）普通教育（款）初中教育（项）：指学校正常运转的基本支出，包括基本工资、津贴补贴等人员经费，工会</w:t>
      </w:r>
      <w:r>
        <w:rPr>
          <w:rFonts w:ascii="仿宋_GB2312" w:hAnsi="Times New Roman" w:eastAsia="仿宋_GB2312" w:cs="仿宋_GB2312"/>
          <w:kern w:val="2"/>
          <w:sz w:val="32"/>
          <w:szCs w:val="32"/>
        </w:rPr>
        <w:t>经费、福利费、</w:t>
      </w:r>
      <w:r>
        <w:rPr>
          <w:rFonts w:hint="eastAsia" w:ascii="仿宋_GB2312" w:hAnsi="Times New Roman" w:eastAsia="仿宋_GB2312" w:cs="仿宋_GB2312"/>
          <w:kern w:val="2"/>
          <w:sz w:val="32"/>
          <w:szCs w:val="32"/>
        </w:rPr>
        <w:t>办公费、印刷费、水电费等日常公用经费，其他</w:t>
      </w:r>
      <w:r>
        <w:rPr>
          <w:rFonts w:ascii="仿宋_GB2312" w:hAnsi="Times New Roman" w:eastAsia="仿宋_GB2312" w:cs="仿宋_GB2312"/>
          <w:kern w:val="2"/>
          <w:sz w:val="32"/>
          <w:szCs w:val="32"/>
        </w:rPr>
        <w:t>社会保障</w:t>
      </w:r>
      <w:r>
        <w:rPr>
          <w:rFonts w:hint="eastAsia" w:ascii="仿宋_GB2312" w:hAnsi="Times New Roman" w:eastAsia="仿宋_GB2312" w:cs="仿宋_GB2312"/>
          <w:kern w:val="2"/>
          <w:sz w:val="32"/>
          <w:szCs w:val="32"/>
        </w:rPr>
        <w:t>缴费</w:t>
      </w:r>
      <w:r>
        <w:rPr>
          <w:rFonts w:ascii="仿宋_GB2312" w:hAnsi="Times New Roman" w:eastAsia="仿宋_GB2312" w:cs="仿宋_GB2312"/>
          <w:kern w:val="2"/>
          <w:sz w:val="32"/>
          <w:szCs w:val="32"/>
        </w:rPr>
        <w:t>（</w:t>
      </w:r>
      <w:r>
        <w:rPr>
          <w:rFonts w:hint="eastAsia" w:ascii="仿宋_GB2312" w:hAnsi="Times New Roman" w:eastAsia="仿宋_GB2312" w:cs="仿宋_GB2312"/>
          <w:kern w:val="2"/>
          <w:sz w:val="32"/>
          <w:szCs w:val="32"/>
        </w:rPr>
        <w:t>失业保险</w:t>
      </w:r>
      <w:r>
        <w:rPr>
          <w:rFonts w:ascii="仿宋_GB2312" w:hAnsi="Times New Roman" w:eastAsia="仿宋_GB2312" w:cs="仿宋_GB2312"/>
          <w:kern w:val="2"/>
          <w:sz w:val="32"/>
          <w:szCs w:val="32"/>
        </w:rPr>
        <w:t>和</w:t>
      </w:r>
      <w:r>
        <w:rPr>
          <w:rFonts w:hint="eastAsia" w:ascii="仿宋_GB2312" w:hAnsi="Times New Roman" w:eastAsia="仿宋_GB2312" w:cs="仿宋_GB2312"/>
          <w:kern w:val="2"/>
          <w:sz w:val="32"/>
          <w:szCs w:val="32"/>
        </w:rPr>
        <w:t>工伤</w:t>
      </w:r>
      <w:r>
        <w:rPr>
          <w:rFonts w:ascii="仿宋_GB2312" w:hAnsi="Times New Roman" w:eastAsia="仿宋_GB2312" w:cs="仿宋_GB2312"/>
          <w:kern w:val="2"/>
          <w:sz w:val="32"/>
          <w:szCs w:val="32"/>
        </w:rPr>
        <w:t>保险）</w:t>
      </w:r>
      <w:r>
        <w:rPr>
          <w:rFonts w:hint="eastAsia" w:ascii="仿宋_GB2312" w:hAnsi="Times New Roman" w:eastAsia="仿宋_GB2312" w:cs="仿宋_GB2312"/>
          <w:kern w:val="2"/>
          <w:sz w:val="32"/>
          <w:szCs w:val="32"/>
        </w:rPr>
        <w:t>及</w:t>
      </w:r>
      <w:r>
        <w:rPr>
          <w:rFonts w:ascii="仿宋_GB2312" w:hAnsi="Times New Roman" w:eastAsia="仿宋_GB2312" w:cs="仿宋_GB2312"/>
          <w:kern w:val="2"/>
          <w:sz w:val="32"/>
          <w:szCs w:val="32"/>
        </w:rPr>
        <w:t>遗属生活补助</w:t>
      </w:r>
      <w:r>
        <w:rPr>
          <w:rFonts w:hint="eastAsia" w:ascii="仿宋_GB2312" w:hAnsi="Times New Roman" w:eastAsia="仿宋_GB2312" w:cs="仿宋_GB2312"/>
          <w:kern w:val="2"/>
          <w:sz w:val="32"/>
          <w:szCs w:val="32"/>
        </w:rPr>
        <w:t>、贫困住校生</w:t>
      </w:r>
      <w:r>
        <w:rPr>
          <w:rFonts w:ascii="仿宋_GB2312" w:hAnsi="Times New Roman" w:eastAsia="仿宋_GB2312" w:cs="仿宋_GB2312"/>
          <w:kern w:val="2"/>
          <w:sz w:val="32"/>
          <w:szCs w:val="32"/>
        </w:rPr>
        <w:t>生活补助等</w:t>
      </w:r>
      <w:r>
        <w:rPr>
          <w:rFonts w:hint="eastAsia" w:ascii="仿宋_GB2312" w:hAnsi="Times New Roman" w:eastAsia="仿宋_GB2312" w:cs="仿宋_GB2312"/>
          <w:kern w:val="2"/>
          <w:sz w:val="32"/>
          <w:szCs w:val="32"/>
        </w:rPr>
        <w:t>。</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5</w:t>
      </w:r>
      <w:r>
        <w:rPr>
          <w:rFonts w:ascii="仿宋_GB2312" w:eastAsia="仿宋_GB2312" w:cs="仿宋_GB2312"/>
          <w:color w:val="000000"/>
          <w:sz w:val="32"/>
          <w:szCs w:val="32"/>
        </w:rPr>
        <w:t>.</w:t>
      </w:r>
      <w:r>
        <w:rPr>
          <w:rFonts w:hint="eastAsia" w:ascii="仿宋_GB2312" w:eastAsia="仿宋_GB2312" w:cs="仿宋_GB2312"/>
          <w:color w:val="000000"/>
          <w:sz w:val="32"/>
          <w:szCs w:val="32"/>
        </w:rPr>
        <w:t xml:space="preserve"> 社会保障和就业（类）行政事业单位养老支出（款）机关事业单位基本养老保险缴费支出（项）：指部门实施养老保险制度由单位缴纳的养老保险费的支出。</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6.其他社会保障和就业支出（类）其他社会保障和就业支出（款）：指财政拨付给单位，再由单位支付给退休人员的一次性退休补贴</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7</w:t>
      </w:r>
      <w:r>
        <w:rPr>
          <w:rFonts w:ascii="仿宋_GB2312" w:eastAsia="仿宋_GB2312" w:cs="仿宋_GB2312"/>
          <w:color w:val="000000"/>
          <w:sz w:val="32"/>
          <w:szCs w:val="32"/>
        </w:rPr>
        <w:t>.</w:t>
      </w:r>
      <w:r>
        <w:rPr>
          <w:rFonts w:hint="eastAsia" w:ascii="仿宋_GB2312" w:eastAsia="仿宋_GB2312" w:cs="仿宋_GB2312"/>
          <w:color w:val="000000"/>
          <w:sz w:val="32"/>
          <w:szCs w:val="32"/>
        </w:rPr>
        <w:t>卫生健康支出（类）行政事业单位医疗（款）事业单位医疗（项）：指事业单位用于缴纳单位在职及退休人员基本医疗保险支出。</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8</w:t>
      </w:r>
      <w:r>
        <w:rPr>
          <w:rFonts w:ascii="仿宋_GB2312" w:eastAsia="仿宋_GB2312" w:cs="仿宋_GB2312"/>
          <w:color w:val="000000"/>
          <w:sz w:val="32"/>
          <w:szCs w:val="32"/>
        </w:rPr>
        <w:t>.</w:t>
      </w:r>
      <w:r>
        <w:rPr>
          <w:rFonts w:hint="eastAsia" w:ascii="仿宋_GB2312" w:eastAsia="仿宋_GB2312" w:cs="仿宋_GB2312"/>
          <w:color w:val="000000"/>
          <w:sz w:val="32"/>
          <w:szCs w:val="32"/>
        </w:rPr>
        <w:t>住房保障（类）住房改革支出（款）住房公积金（项）：指按照《住房公积金管理条例》的规定，由单位及其在职职工缴存的长期住房储金。</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
      <w:pPr>
        <w:spacing w:line="600" w:lineRule="exact"/>
        <w:jc w:val="center"/>
        <w:outlineLvl w:val="0"/>
        <w:rPr>
          <w:rFonts w:hint="eastAsia" w:ascii="黑体" w:hAnsi="黑体" w:eastAsia="黑体"/>
          <w:sz w:val="44"/>
          <w:szCs w:val="44"/>
        </w:rPr>
      </w:pPr>
      <w:bookmarkStart w:id="55" w:name="_Toc15396614"/>
      <w:bookmarkStart w:id="56" w:name="_Toc15377226"/>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numPr>
          <w:ilvl w:val="0"/>
          <w:numId w:val="4"/>
        </w:numPr>
        <w:spacing w:line="600" w:lineRule="exact"/>
        <w:ind w:left="0" w:leftChars="0" w:firstLine="660" w:firstLineChars="150"/>
        <w:jc w:val="center"/>
        <w:outlineLvl w:val="0"/>
        <w:rPr>
          <w:rStyle w:val="26"/>
          <w:rFonts w:hint="eastAsia" w:ascii="黑体" w:hAnsi="黑体" w:eastAsia="黑体"/>
          <w:b w:val="0"/>
        </w:rPr>
      </w:pPr>
      <w:r>
        <w:rPr>
          <w:rStyle w:val="26"/>
          <w:rFonts w:hint="eastAsia" w:ascii="黑体" w:hAnsi="黑体" w:eastAsia="黑体"/>
          <w:b w:val="0"/>
        </w:rPr>
        <w:t>附件</w:t>
      </w:r>
      <w:bookmarkEnd w:id="55"/>
    </w:p>
    <w:p>
      <w:pPr>
        <w:pStyle w:val="2"/>
        <w:widowControl w:val="0"/>
        <w:numPr>
          <w:ilvl w:val="0"/>
          <w:numId w:val="0"/>
        </w:numPr>
        <w:jc w:val="both"/>
      </w:pPr>
    </w:p>
    <w:p/>
    <w:p>
      <w:pPr>
        <w:spacing w:line="600" w:lineRule="exact"/>
        <w:jc w:val="center"/>
        <w:outlineLvl w:val="0"/>
        <w:rPr>
          <w:rFonts w:ascii="宋体" w:hAnsi="宋体" w:cs="宋体"/>
          <w:kern w:val="0"/>
          <w:sz w:val="32"/>
          <w:szCs w:val="32"/>
        </w:rPr>
      </w:pPr>
      <w:r>
        <w:rPr>
          <w:rFonts w:hint="eastAsia" w:ascii="宋体" w:hAnsi="宋体" w:cs="宋体"/>
          <w:kern w:val="0"/>
          <w:sz w:val="32"/>
          <w:szCs w:val="32"/>
        </w:rPr>
        <w:t>部门预算项目支出绩效自评表（2022年度）</w:t>
      </w:r>
    </w:p>
    <w:p>
      <w:pPr>
        <w:pStyle w:val="2"/>
      </w:pPr>
    </w:p>
    <w:tbl>
      <w:tblPr>
        <w:tblStyle w:val="14"/>
        <w:tblpPr w:leftFromText="180" w:rightFromText="180" w:vertAnchor="text" w:horzAnchor="page" w:tblpX="971" w:tblpY="497"/>
        <w:tblOverlap w:val="never"/>
        <w:tblW w:w="104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1204"/>
        <w:gridCol w:w="1340"/>
        <w:gridCol w:w="2159"/>
        <w:gridCol w:w="646"/>
        <w:gridCol w:w="796"/>
        <w:gridCol w:w="1087"/>
        <w:gridCol w:w="576"/>
        <w:gridCol w:w="455"/>
        <w:gridCol w:w="1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5384"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C0C0C0"/>
                <w:sz w:val="20"/>
                <w:szCs w:val="20"/>
                <w:u w:val="none"/>
              </w:rPr>
            </w:pPr>
            <w:bookmarkStart w:id="57" w:name="_Toc15396618"/>
            <w:r>
              <w:rPr>
                <w:rFonts w:ascii="宋体" w:hAnsi="宋体" w:eastAsia="宋体" w:cs="宋体"/>
                <w:i w:val="0"/>
                <w:iCs w:val="0"/>
                <w:color w:val="C0C0C0"/>
                <w:kern w:val="0"/>
                <w:sz w:val="20"/>
                <w:szCs w:val="20"/>
                <w:u w:val="none"/>
                <w:lang w:val="en-US" w:eastAsia="zh-CN" w:bidi="ar"/>
              </w:rPr>
              <w:t>报表编号：510000_0013zp</w:t>
            </w:r>
          </w:p>
        </w:tc>
        <w:tc>
          <w:tcPr>
            <w:tcW w:w="6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883"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5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其他人员支出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四川省剑阁县鹤龄中学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严格执行相关政策，工资及时做到了足额发放，社保做到了及时足额缴纳，预算编制科学合理，无资金结余。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23.24</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23.24</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项目完成情况良好，产出指标、效益指标均完成年初设定的指标值，项目自评得分为98分，项目实施成效良好，服务对象满意度较高。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项目负责人：苟国江</w:t>
            </w:r>
          </w:p>
        </w:tc>
        <w:tc>
          <w:tcPr>
            <w:tcW w:w="4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财务负责人：苟国江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4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51082321R000000025238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目标绩效考核奖励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四川省剑阁县鹤龄中学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严格执行相关政策，做到了足额发放，预算编制科学合理，无资金结余。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196.16</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196.16</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196.16</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196.16</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项目完成情况良好，产出指标、效益指标均完成年初设定的指标值，项目自评得分为98分，项目实施成效良好，服务对象满意度较高。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0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项目负责人：苟国江</w:t>
            </w:r>
          </w:p>
        </w:tc>
        <w:tc>
          <w:tcPr>
            <w:tcW w:w="4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财务负责人：苟国江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4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51082321R000000025241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优秀公务员和事业人员嘉奖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四川省剑阁县鹤龄中学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严格执行相关政策，保障工资及时、足额发放，预算编制科学合理，减少结余资金。</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严格执行相关政策，做到了足额发放，预算编制科学合理，无资金结余。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项目完成情况良好，产出指标、效益指标均完成年初设定的指标值，项目自评得分为98分，项目实施成效良好，服务对象满意度较高。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0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项目负责人：苟国江</w:t>
            </w:r>
          </w:p>
        </w:tc>
        <w:tc>
          <w:tcPr>
            <w:tcW w:w="4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财务负责人：苟国江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4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51082321Y000000029651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工会经费与福利费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四川省剑阁县鹤龄中学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预算编制质量较高，严格执行预算，保障了单位日常正常运转。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12.39</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12.39</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12.39</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12.39</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12.39</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12.39</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项目完成情况良好，产出指标、效益指标均完成年初设定的指标值，项目自评得分为98分，项目实施成效良好，服务对象满意度较高。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项目负责人：苟国江</w:t>
            </w:r>
          </w:p>
        </w:tc>
        <w:tc>
          <w:tcPr>
            <w:tcW w:w="4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财务负责人：苟国江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4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51082321Y000000056693-生均公用经费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四川省剑阁县鹤龄中学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预算编制质量较高，严格执行预算，保障了单位日常正常运转。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165.60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165.60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165.60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165.60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项目完成情况良好，产出指标、效益指标均完成年初设定的指标值，项目自评得分为98分，项目实施成效良好，服务对象满意度较高。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项目负责人：苟国江</w:t>
            </w:r>
          </w:p>
        </w:tc>
        <w:tc>
          <w:tcPr>
            <w:tcW w:w="4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财务负责人：苟国江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4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51082321Y000000094349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校园安全保障经费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四川省剑阁县鹤龄中学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严格执行相关政策，足额及时完成，预算编制科学合理，减少结余资金。</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严格执行相关政策，足额及时完成，预算编制科学合理，无资金结余。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项目完成情况良好，产出指标、效益指标均完成年初设定的指标值，项目自评得分为98分，项目实施成效良好，服务对象满意度较高。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项目负责人：苟国江</w:t>
            </w:r>
          </w:p>
        </w:tc>
        <w:tc>
          <w:tcPr>
            <w:tcW w:w="4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财务负责人：苟国江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4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51082321Y000000096540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食堂人员补助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四川省剑阁县鹤龄中学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严格执行相关政策，足额及时完成，预算编制科学合理，减少结余资金。</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严格执行相关政策，足额及时完成，预算编制科学合理，无资金结余。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项目完成情况良好，产出指标、效益指标均完成年初设定的指标值，项目自评得分为98分，项目实施成效良好，服务对象满意度较高。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0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项目负责人：苟国江</w:t>
            </w:r>
          </w:p>
        </w:tc>
        <w:tc>
          <w:tcPr>
            <w:tcW w:w="4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财务负责人：苟国江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4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51082322R000000309796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在职工资福利支出（事业）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四川省剑阁县鹤龄中学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严格执行相关政策，保障了工资及时足额发放，社保及时足额缴纳，预算编制科学合理，无少结余资金。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908.17</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960.25</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960.25</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908.17</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960.25</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960.25</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项目完成情况良好，产出指标、效益指标均完成年初设定的指标值，项目自评得分为98分，项目实施成效良好，服务对象满意度较高。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0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项目负责人：苟国江</w:t>
            </w:r>
          </w:p>
        </w:tc>
        <w:tc>
          <w:tcPr>
            <w:tcW w:w="4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财务负责人：苟国江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4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51082322R000000400563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四川省剑阁县鹤龄中学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严格执行相关政策，保障了工资及时足额发放，社保及时足额缴纳，预算编制科学合理，无少结余资金。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15.93</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15.93</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项目完成情况良好，产出指标、效益指标均完成年初设定的指标值，项目自评得分为98分，项目实施成效良好，服务对象满意度较高。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项目负责人：苟国江</w:t>
            </w:r>
          </w:p>
        </w:tc>
        <w:tc>
          <w:tcPr>
            <w:tcW w:w="4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财务负责人：苟国江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4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51082322T000005304589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学生营养改善计划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四川省剑阁县鹤龄中学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严格执行相关政策，及时、足额支付资金，保障学生营养膳食均衡，增强学生体质。预算编制科学合理，减少结余资金。</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严格执行相关政策，资金支付及时、足额，保障了学生营养膳食均衡，增强了学生体质。预算编制科学合理，无减少结余资金。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42.82</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157.51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157.51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42.82</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157.51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157.51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项目完成情况良好，产出指标、效益指标均完成年初设定的指标值，项目自评得分为98分，项目实施成效良好，服务对象满意度较高。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0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项目负责人：苟国江</w:t>
            </w:r>
          </w:p>
        </w:tc>
        <w:tc>
          <w:tcPr>
            <w:tcW w:w="4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财务负责人：苟国江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4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51082322T000005305313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薄弱环节改善与能力提升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四川省剑阁县鹤龄中学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严格执行相关政策，改善办学条件。预算编制科学合理，减少结余资金。</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严格执行相关政策，办学条件得到了改善。预算编制科学合理，无结余资金。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20.74</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20.74</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项目完成情况良好，产出指标、效益指标均完成年初设定的指标值，项目自评得分为98分，项目实施成效良好，服务对象满意度较高。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项目负责人：苟国江</w:t>
            </w:r>
          </w:p>
        </w:tc>
        <w:tc>
          <w:tcPr>
            <w:tcW w:w="4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财务负责人：苟国江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4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51082322T000005305443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农村校舍安全保障长效机制补助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四川省剑阁县鹤龄中学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严格执行相关政策，改善办学条件。预算编制科学合理，减少结余资金。</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严格执行相关政策，办学条件得到了改善。预算编制科学合理，无结余资金。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23.78</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23.43</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23.43</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23.78</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23.43</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23.43</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项目完成情况良好，产出指标、效益指标均完成年初设定的指标值，项目自评得分为98分，项目实施成效良好，服务对象满意度较高。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0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项目负责人：苟国江</w:t>
            </w:r>
          </w:p>
        </w:tc>
        <w:tc>
          <w:tcPr>
            <w:tcW w:w="4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财务负责人：苟国江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4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51082322T000005305572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农村义务教育综合奖补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四川省剑阁县鹤龄中学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严格执行相关政策，改善办学条件。预算编制科学合理，减少结余资金。</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严格执行相关政策，办学条件得到了改善。预算编制科学合理，无结余资金。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20.74</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20.74</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20.74</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20.74</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项目完成情况良好，产出指标、效益指标均完成年初设定的指标值，项目自评得分为98分，项目实施成效良好，服务对象满意度较高。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项目负责人：苟国江</w:t>
            </w:r>
          </w:p>
        </w:tc>
        <w:tc>
          <w:tcPr>
            <w:tcW w:w="4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财务负责人：苟国江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4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51082322T000005306045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四川省剑阁县鹤龄中学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严格执行相关政策，保障学生作业本足额、及时发放，减轻群众负担。预算编制科学合理，减少结余资金。</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严格执行相关政策，保障了学生作业本足额、及时发放，减轻了群众负担。预算编制科学合理，无结余资金。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7.39</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7.39</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7.39</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7.39</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项目完成情况良好，产出指标、效益指标均完成年初设定的指标值，项目自评得分为98分，项目实施成效良好，服务对象满意度较高。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项目负责人：苟国江</w:t>
            </w:r>
          </w:p>
        </w:tc>
        <w:tc>
          <w:tcPr>
            <w:tcW w:w="4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财务负责人：苟国江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4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51082322T000005306788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四川省剑阁县鹤龄中学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严格执行相关政策，保障家庭经济困难学生生活，助力乡村振兴，预算编制科学合理，减少结余资金。</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严格执行相关政策，保障家庭经济困难学生生活，助力乡村振兴，预算编制科学合理，无结余资金。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64.88</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64.88</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64.88</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64.88</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项目完成情况良好，产出指标、效益指标均完成年初设定的指标值，项目自评得分为98分，项目实施成效良好，服务对象满意度较高。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0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项目负责人：苟国江</w:t>
            </w:r>
          </w:p>
        </w:tc>
        <w:tc>
          <w:tcPr>
            <w:tcW w:w="4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财务负责人：苟国江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4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51082322T000005306905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贫困非寄宿生生活补助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四川省剑阁县鹤龄中学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严格执行相关政策，保障家庭经济困难学生生活，助力乡村振兴，预算编制科学合理，减少结余资金。</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严格执行相关政策，保障家庭经济困难学生生活，助力乡村振兴，预算编制科学合理，无结余资金。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0.75</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0.75</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0.75</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0.75</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项目完成情况良好，产出指标、效益指标均完成年初设定的指标值，项目自评得分为98分，项目实施成效良好，服务对象满意度较高。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0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项目负责人：苟国江</w:t>
            </w:r>
          </w:p>
        </w:tc>
        <w:tc>
          <w:tcPr>
            <w:tcW w:w="4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财务负责人：苟国江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4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51082322T000005595973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学生浴室及运动场改建工程项目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四川省剑阁县鹤龄中学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严格执行相关政策，改善办学条件，提高办学质量，足额、及时支付项目资金。预算编制科学合理，减少结余资金。</w:t>
            </w:r>
          </w:p>
        </w:tc>
        <w:tc>
          <w:tcPr>
            <w:tcW w:w="3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严格执行相关政策，改善办学条件，提高了办学质量，项目资金支付及时。预算编制科学合理，无结余资金。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172.49</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172.49</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172.49</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172.49</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172.49</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172.49</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项目完成情况良好，产出指标、效益指标均完成年初设定的指标值，项目自评得分为98分，项目实施成效良好，服务对象满意度较高。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项目负责人：苟国江</w:t>
            </w:r>
          </w:p>
        </w:tc>
        <w:tc>
          <w:tcPr>
            <w:tcW w:w="4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财务负责人：苟国江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470"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470"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470"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470"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pPr>
        <w:spacing w:line="600" w:lineRule="exact"/>
        <w:jc w:val="center"/>
        <w:outlineLvl w:val="0"/>
        <w:rPr>
          <w:rFonts w:ascii="仿宋" w:hAnsi="仿宋" w:eastAsia="仿宋"/>
        </w:rPr>
      </w:pPr>
      <w:r>
        <w:rPr>
          <w:rFonts w:hint="eastAsia" w:ascii="黑体" w:hAnsi="黑体" w:eastAsia="黑体"/>
          <w:sz w:val="44"/>
          <w:szCs w:val="44"/>
        </w:rPr>
        <w:t>第</w:t>
      </w:r>
      <w:r>
        <w:rPr>
          <w:rStyle w:val="26"/>
          <w:rFonts w:hint="eastAsia" w:ascii="黑体" w:hAnsi="黑体" w:eastAsia="黑体"/>
          <w:b w:val="0"/>
        </w:rPr>
        <w:t>五部分 附表</w:t>
      </w:r>
      <w:bookmarkEnd w:id="56"/>
      <w:bookmarkEnd w:id="57"/>
      <w:bookmarkStart w:id="58" w:name="_Toc15396619"/>
    </w:p>
    <w:p>
      <w:pPr>
        <w:pStyle w:val="5"/>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bookmarkEnd w:id="58"/>
    </w:p>
    <w:p>
      <w:pPr>
        <w:pStyle w:val="5"/>
        <w:rPr>
          <w:rFonts w:ascii="仿宋" w:hAnsi="仿宋" w:eastAsia="仿宋"/>
        </w:rPr>
      </w:pPr>
      <w:bookmarkStart w:id="59" w:name="_Toc15396620"/>
      <w:r>
        <w:rPr>
          <w:rFonts w:hint="eastAsia" w:ascii="仿宋" w:hAnsi="仿宋" w:eastAsia="仿宋"/>
          <w:b w:val="0"/>
        </w:rPr>
        <w:t>二、收</w:t>
      </w:r>
      <w:r>
        <w:rPr>
          <w:rStyle w:val="27"/>
          <w:rFonts w:hint="eastAsia" w:ascii="仿宋" w:hAnsi="仿宋" w:eastAsia="仿宋"/>
          <w:b w:val="0"/>
          <w:bCs w:val="0"/>
        </w:rPr>
        <w:t>入决算表</w:t>
      </w:r>
      <w:bookmarkEnd w:id="59"/>
    </w:p>
    <w:p>
      <w:pPr>
        <w:pStyle w:val="5"/>
        <w:rPr>
          <w:rFonts w:ascii="仿宋" w:hAnsi="仿宋" w:eastAsia="仿宋"/>
        </w:rPr>
      </w:pPr>
      <w:bookmarkStart w:id="60"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60"/>
    </w:p>
    <w:p>
      <w:pPr>
        <w:pStyle w:val="5"/>
        <w:rPr>
          <w:rFonts w:ascii="仿宋" w:hAnsi="仿宋" w:eastAsia="仿宋"/>
          <w:b w:val="0"/>
        </w:rPr>
      </w:pPr>
      <w:bookmarkStart w:id="61"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61"/>
    </w:p>
    <w:p>
      <w:pPr>
        <w:pStyle w:val="5"/>
        <w:rPr>
          <w:rStyle w:val="27"/>
          <w:rFonts w:ascii="仿宋" w:hAnsi="仿宋" w:eastAsia="仿宋"/>
          <w:b w:val="0"/>
          <w:bCs w:val="0"/>
        </w:rPr>
      </w:pPr>
      <w:bookmarkStart w:id="62"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62"/>
      <w:bookmarkStart w:id="63" w:name="_Toc15396624"/>
    </w:p>
    <w:p>
      <w:pPr>
        <w:pStyle w:val="5"/>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63"/>
    </w:p>
    <w:p>
      <w:pPr>
        <w:pStyle w:val="5"/>
        <w:rPr>
          <w:rFonts w:ascii="仿宋" w:hAnsi="仿宋" w:eastAsia="仿宋"/>
        </w:rPr>
      </w:pPr>
      <w:bookmarkStart w:id="64"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64"/>
    </w:p>
    <w:p>
      <w:pPr>
        <w:pStyle w:val="5"/>
        <w:rPr>
          <w:rFonts w:ascii="仿宋" w:hAnsi="仿宋" w:eastAsia="仿宋"/>
        </w:rPr>
      </w:pPr>
      <w:bookmarkStart w:id="65"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65"/>
    </w:p>
    <w:p>
      <w:pPr>
        <w:pStyle w:val="5"/>
        <w:rPr>
          <w:rFonts w:ascii="仿宋" w:hAnsi="仿宋" w:eastAsia="仿宋"/>
        </w:rPr>
      </w:pPr>
      <w:bookmarkStart w:id="66"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66"/>
    </w:p>
    <w:p>
      <w:pPr>
        <w:pStyle w:val="5"/>
        <w:rPr>
          <w:rFonts w:ascii="仿宋" w:hAnsi="仿宋" w:eastAsia="仿宋"/>
        </w:rPr>
      </w:pPr>
      <w:bookmarkStart w:id="67" w:name="_Toc15396628"/>
      <w:r>
        <w:rPr>
          <w:rStyle w:val="27"/>
          <w:rFonts w:hint="eastAsia" w:ascii="仿宋" w:hAnsi="仿宋" w:eastAsia="仿宋"/>
          <w:b w:val="0"/>
          <w:bCs w:val="0"/>
        </w:rPr>
        <w:t>十、</w:t>
      </w:r>
      <w:bookmarkEnd w:id="67"/>
      <w:r>
        <w:rPr>
          <w:rFonts w:hint="eastAsia" w:ascii="仿宋" w:hAnsi="仿宋" w:eastAsia="仿宋"/>
          <w:b w:val="0"/>
        </w:rPr>
        <w:t>政</w:t>
      </w:r>
      <w:r>
        <w:rPr>
          <w:rStyle w:val="27"/>
          <w:rFonts w:hint="eastAsia" w:ascii="仿宋" w:hAnsi="仿宋" w:eastAsia="仿宋"/>
          <w:b w:val="0"/>
          <w:bCs w:val="0"/>
        </w:rPr>
        <w:t>府性基金预算财政拨款收入支出决算表</w:t>
      </w:r>
    </w:p>
    <w:p>
      <w:pPr>
        <w:pStyle w:val="5"/>
        <w:rPr>
          <w:rFonts w:ascii="仿宋" w:hAnsi="仿宋" w:eastAsia="仿宋"/>
        </w:rPr>
      </w:pPr>
      <w:bookmarkStart w:id="68" w:name="_Toc15396629"/>
      <w:r>
        <w:rPr>
          <w:rStyle w:val="27"/>
          <w:rFonts w:hint="eastAsia" w:ascii="仿宋" w:hAnsi="仿宋" w:eastAsia="仿宋"/>
          <w:b w:val="0"/>
          <w:bCs w:val="0"/>
        </w:rPr>
        <w:t>十一、</w:t>
      </w:r>
      <w:bookmarkEnd w:id="68"/>
      <w:r>
        <w:rPr>
          <w:rFonts w:hint="eastAsia" w:ascii="仿宋" w:hAnsi="仿宋" w:eastAsia="仿宋"/>
          <w:b w:val="0"/>
        </w:rPr>
        <w:t>国</w:t>
      </w:r>
      <w:r>
        <w:rPr>
          <w:rStyle w:val="27"/>
          <w:rFonts w:hint="eastAsia" w:ascii="仿宋" w:hAnsi="仿宋" w:eastAsia="仿宋"/>
          <w:b w:val="0"/>
          <w:bCs w:val="0"/>
        </w:rPr>
        <w:t>有资本经营预算财政拨款收入支出决算表</w:t>
      </w:r>
    </w:p>
    <w:p>
      <w:pPr>
        <w:pStyle w:val="5"/>
        <w:rPr>
          <w:rFonts w:ascii="仿宋" w:hAnsi="仿宋" w:eastAsia="仿宋"/>
        </w:rPr>
      </w:pPr>
      <w:bookmarkStart w:id="69" w:name="_Toc15396630"/>
      <w:r>
        <w:rPr>
          <w:rStyle w:val="27"/>
          <w:rFonts w:hint="eastAsia" w:ascii="仿宋" w:hAnsi="仿宋" w:eastAsia="仿宋"/>
          <w:b w:val="0"/>
          <w:bCs w:val="0"/>
        </w:rPr>
        <w:t>十二、</w:t>
      </w:r>
      <w:bookmarkEnd w:id="69"/>
      <w:r>
        <w:rPr>
          <w:rStyle w:val="27"/>
          <w:rFonts w:hint="eastAsia" w:ascii="仿宋" w:hAnsi="仿宋" w:eastAsia="仿宋"/>
          <w:b w:val="0"/>
          <w:bCs w:val="0"/>
        </w:rPr>
        <w:t>国有资本经营预算财政拨款支出决算表</w:t>
      </w:r>
    </w:p>
    <w:p>
      <w:pPr>
        <w:pStyle w:val="5"/>
        <w:rPr>
          <w:rFonts w:eastAsia="仿宋"/>
        </w:rPr>
      </w:pPr>
      <w:bookmarkStart w:id="70" w:name="_Toc15396631"/>
      <w:r>
        <w:rPr>
          <w:rStyle w:val="27"/>
          <w:rFonts w:hint="eastAsia" w:ascii="仿宋" w:hAnsi="仿宋" w:eastAsia="仿宋"/>
          <w:b w:val="0"/>
          <w:bCs w:val="0"/>
        </w:rPr>
        <w:t>十三、</w:t>
      </w:r>
      <w:bookmarkEnd w:id="70"/>
      <w:r>
        <w:rPr>
          <w:rStyle w:val="27"/>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E70660-DBFD-4A6C-B9ED-48A51D694E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C4492A97-4420-4F3F-886A-A3A489E5D2C2}"/>
  </w:font>
  <w:font w:name="仿宋_GB2312">
    <w:altName w:val="仿宋"/>
    <w:panose1 w:val="00000000000000000000"/>
    <w:charset w:val="86"/>
    <w:family w:val="modern"/>
    <w:pitch w:val="default"/>
    <w:sig w:usb0="00000000" w:usb1="00000000" w:usb2="00000000" w:usb3="00000000" w:csb0="00040000" w:csb1="00000000"/>
    <w:embedRegular r:id="rId3" w:fontKey="{D87ED6B7-2315-4D8B-A8DA-FCDE320A1073}"/>
  </w:font>
  <w:font w:name="仿宋">
    <w:panose1 w:val="02010609060101010101"/>
    <w:charset w:val="86"/>
    <w:family w:val="modern"/>
    <w:pitch w:val="default"/>
    <w:sig w:usb0="800002BF" w:usb1="38CF7CFA" w:usb2="00000016" w:usb3="00000000" w:csb0="00040001" w:csb1="00000000"/>
    <w:embedRegular r:id="rId4" w:fontKey="{A663109B-46C1-4317-B7B5-F89AF46D68AC}"/>
  </w:font>
  <w:font w:name="方正小标宋简体">
    <w:panose1 w:val="02000000000000000000"/>
    <w:charset w:val="86"/>
    <w:family w:val="script"/>
    <w:pitch w:val="default"/>
    <w:sig w:usb0="00000001" w:usb1="08000000" w:usb2="00000000" w:usb3="00000000" w:csb0="00040000" w:csb1="00000000"/>
    <w:embedRegular r:id="rId5" w:fontKey="{61C449E1-BE45-429B-A9D9-081AA3C42F60}"/>
  </w:font>
  <w:font w:name="微软雅黑">
    <w:panose1 w:val="020B0503020204020204"/>
    <w:charset w:val="86"/>
    <w:family w:val="auto"/>
    <w:pitch w:val="default"/>
    <w:sig w:usb0="80000287" w:usb1="2ACF3C50" w:usb2="00000016" w:usb3="00000000" w:csb0="0004001F" w:csb1="00000000"/>
    <w:embedRegular r:id="rId6" w:fontKey="{9DE67A4E-96D8-4AFA-BD03-89ACFA3BAE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25C23"/>
    <w:multiLevelType w:val="singleLevel"/>
    <w:tmpl w:val="92C25C23"/>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abstractNum w:abstractNumId="4">
    <w:nsid w:val="40AB4EA1"/>
    <w:multiLevelType w:val="singleLevel"/>
    <w:tmpl w:val="40AB4EA1"/>
    <w:lvl w:ilvl="0" w:tentative="0">
      <w:start w:val="4"/>
      <w:numFmt w:val="chineseCounting"/>
      <w:suff w:val="nothing"/>
      <w:lvlText w:val="%1、"/>
      <w:lvlJc w:val="left"/>
      <w:rPr>
        <w:rFonts w:hint="eastAsi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5DEA"/>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92D6E7C"/>
    <w:rsid w:val="0A2032A3"/>
    <w:rsid w:val="0B8A37D8"/>
    <w:rsid w:val="0D68534F"/>
    <w:rsid w:val="10C055FF"/>
    <w:rsid w:val="118107EC"/>
    <w:rsid w:val="11DD6519"/>
    <w:rsid w:val="12EC2E72"/>
    <w:rsid w:val="139C533A"/>
    <w:rsid w:val="154929C8"/>
    <w:rsid w:val="16BB723D"/>
    <w:rsid w:val="17613960"/>
    <w:rsid w:val="176C53FF"/>
    <w:rsid w:val="18015F3F"/>
    <w:rsid w:val="1890540E"/>
    <w:rsid w:val="198D5B01"/>
    <w:rsid w:val="19F94F44"/>
    <w:rsid w:val="1A136908"/>
    <w:rsid w:val="1BE8440E"/>
    <w:rsid w:val="1D155CEE"/>
    <w:rsid w:val="1DD73253"/>
    <w:rsid w:val="20F57F95"/>
    <w:rsid w:val="210B392E"/>
    <w:rsid w:val="240371BF"/>
    <w:rsid w:val="25711CC6"/>
    <w:rsid w:val="25C741E6"/>
    <w:rsid w:val="260663CC"/>
    <w:rsid w:val="27842671"/>
    <w:rsid w:val="29FD04D3"/>
    <w:rsid w:val="2A8E30D4"/>
    <w:rsid w:val="2ABE7A3E"/>
    <w:rsid w:val="2BCF0790"/>
    <w:rsid w:val="2CA00DAF"/>
    <w:rsid w:val="2CA234A8"/>
    <w:rsid w:val="2EFA178C"/>
    <w:rsid w:val="30B46D73"/>
    <w:rsid w:val="319F7F4E"/>
    <w:rsid w:val="330C4B3D"/>
    <w:rsid w:val="333315EA"/>
    <w:rsid w:val="383D272C"/>
    <w:rsid w:val="39AE70AB"/>
    <w:rsid w:val="3ADD30C2"/>
    <w:rsid w:val="3BA348FB"/>
    <w:rsid w:val="3C0C0783"/>
    <w:rsid w:val="3DB241CE"/>
    <w:rsid w:val="3EBC2172"/>
    <w:rsid w:val="3F9F3A96"/>
    <w:rsid w:val="416964BA"/>
    <w:rsid w:val="47BF2EB8"/>
    <w:rsid w:val="48BF60AB"/>
    <w:rsid w:val="493C27E9"/>
    <w:rsid w:val="496F39ED"/>
    <w:rsid w:val="49FF41D3"/>
    <w:rsid w:val="4A9626E4"/>
    <w:rsid w:val="4B0D03E4"/>
    <w:rsid w:val="4BE068DB"/>
    <w:rsid w:val="4BF6002B"/>
    <w:rsid w:val="4C726758"/>
    <w:rsid w:val="4ECE2238"/>
    <w:rsid w:val="4EFF5FB9"/>
    <w:rsid w:val="4F427CAF"/>
    <w:rsid w:val="51DB4B86"/>
    <w:rsid w:val="520B2A73"/>
    <w:rsid w:val="55333C3E"/>
    <w:rsid w:val="5617550B"/>
    <w:rsid w:val="626148C5"/>
    <w:rsid w:val="639F3A33"/>
    <w:rsid w:val="63F1388A"/>
    <w:rsid w:val="64CA39A1"/>
    <w:rsid w:val="66714186"/>
    <w:rsid w:val="68107A6A"/>
    <w:rsid w:val="687436E1"/>
    <w:rsid w:val="69630ADE"/>
    <w:rsid w:val="6C292B66"/>
    <w:rsid w:val="6C4A05C8"/>
    <w:rsid w:val="6D010C65"/>
    <w:rsid w:val="6D3B1A89"/>
    <w:rsid w:val="6DED726F"/>
    <w:rsid w:val="6EA14120"/>
    <w:rsid w:val="71A70621"/>
    <w:rsid w:val="71BF4EC2"/>
    <w:rsid w:val="72734D90"/>
    <w:rsid w:val="73BD1D21"/>
    <w:rsid w:val="7412278C"/>
    <w:rsid w:val="76EB4ECC"/>
    <w:rsid w:val="775F730A"/>
    <w:rsid w:val="77620B27"/>
    <w:rsid w:val="79E7B28D"/>
    <w:rsid w:val="7BAF7EBD"/>
    <w:rsid w:val="7BF77944"/>
    <w:rsid w:val="7E941F8F"/>
    <w:rsid w:val="7F2E732A"/>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ind w:left="420" w:leftChars="200"/>
    </w:p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4"/>
    <w:qFormat/>
    <w:uiPriority w:val="9"/>
    <w:rPr>
      <w:rFonts w:ascii="Times New Roman" w:hAnsi="Times New Roman"/>
      <w:b/>
      <w:bCs/>
      <w:kern w:val="44"/>
      <w:sz w:val="44"/>
      <w:szCs w:val="44"/>
    </w:rPr>
  </w:style>
  <w:style w:type="character" w:customStyle="1" w:styleId="27">
    <w:name w:val="标题 2 字符"/>
    <w:basedOn w:val="15"/>
    <w:link w:val="5"/>
    <w:qFormat/>
    <w:uiPriority w:val="9"/>
    <w:rPr>
      <w:rFonts w:asciiTheme="majorHAnsi" w:hAnsiTheme="majorHAnsi" w:eastAsiaTheme="majorEastAsia" w:cstheme="majorBidi"/>
      <w:b/>
      <w:bCs/>
      <w:kern w:val="2"/>
      <w:sz w:val="32"/>
      <w:szCs w:val="32"/>
    </w:rPr>
  </w:style>
  <w:style w:type="paragraph" w:customStyle="1" w:styleId="2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9"/>
    <w:semiHidden/>
    <w:qFormat/>
    <w:uiPriority w:val="99"/>
    <w:rPr>
      <w:rFonts w:ascii="Times New Roman" w:hAnsi="Times New Roman"/>
      <w:kern w:val="2"/>
      <w:sz w:val="18"/>
      <w:szCs w:val="18"/>
    </w:rPr>
  </w:style>
  <w:style w:type="character" w:customStyle="1" w:styleId="30">
    <w:name w:val="标题 3 字符"/>
    <w:basedOn w:val="15"/>
    <w:link w:val="6"/>
    <w:qFormat/>
    <w:uiPriority w:val="9"/>
    <w:rPr>
      <w:rFonts w:ascii="Times New Roman" w:hAnsi="Times New Roman"/>
      <w:b/>
      <w:bCs/>
      <w:kern w:val="2"/>
      <w:sz w:val="32"/>
      <w:szCs w:val="32"/>
    </w:rPr>
  </w:style>
  <w:style w:type="paragraph" w:customStyle="1" w:styleId="31">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altLang="en-US"/>
              <a:t>收入、支出决算总计变动情况表</a:t>
            </a:r>
            <a:endParaRPr lang="en-US" altLang="zh-CN"/>
          </a:p>
        </c:rich>
      </c:tx>
      <c:layout>
        <c:manualLayout>
          <c:xMode val="edge"/>
          <c:yMode val="edge"/>
          <c:x val="0.301884513167432"/>
          <c:y val="0.0159371015724607"/>
        </c:manualLayout>
      </c:layout>
      <c:overlay val="0"/>
      <c:spPr>
        <a:noFill/>
        <a:ln>
          <a:noFill/>
        </a:ln>
        <a:effectLst/>
      </c:spPr>
    </c:title>
    <c:autoTitleDeleted val="0"/>
    <c:plotArea>
      <c:layout>
        <c:manualLayout>
          <c:layoutTarget val="inner"/>
          <c:xMode val="edge"/>
          <c:yMode val="edge"/>
          <c:x val="0.0322058468229041"/>
          <c:y val="0.298980025499363"/>
          <c:w val="0.930345494080696"/>
          <c:h val="0.638631534211645"/>
        </c:manualLayout>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dLbls>
            <c:delete val="1"/>
          </c:dLbls>
          <c:cat>
            <c:strRef>
              <c:f>Sheet1!$A$2:$A$5</c:f>
              <c:strCache>
                <c:ptCount val="4"/>
                <c:pt idx="0">
                  <c:v>收入</c:v>
                </c:pt>
                <c:pt idx="1">
                  <c:v>支出</c:v>
                </c:pt>
              </c:strCache>
            </c:strRef>
          </c:cat>
          <c:val>
            <c:numRef>
              <c:f>Sheet1!$B$2:$B$5</c:f>
              <c:numCache>
                <c:formatCode>General</c:formatCode>
                <c:ptCount val="4"/>
                <c:pt idx="0">
                  <c:v>1739.59</c:v>
                </c:pt>
                <c:pt idx="1">
                  <c:v>1543.32</c:v>
                </c:pt>
              </c:numCache>
            </c:numRef>
          </c:val>
        </c:ser>
        <c:ser>
          <c:idx val="1"/>
          <c:order val="1"/>
          <c:tx>
            <c:strRef>
              <c:f>Sheet1!$C$1</c:f>
              <c:strCache>
                <c:ptCount val="1"/>
                <c:pt idx="0">
                  <c:v>2022</c:v>
                </c:pt>
              </c:strCache>
            </c:strRef>
          </c:tx>
          <c:spPr>
            <a:solidFill>
              <a:schemeClr val="accent2"/>
            </a:solidFill>
            <a:ln>
              <a:noFill/>
            </a:ln>
            <a:effectLst/>
          </c:spPr>
          <c:invertIfNegative val="0"/>
          <c:dLbls>
            <c:delete val="1"/>
          </c:dLbls>
          <c:cat>
            <c:strRef>
              <c:f>Sheet1!$A$2:$A$5</c:f>
              <c:strCache>
                <c:ptCount val="4"/>
                <c:pt idx="0">
                  <c:v>收入</c:v>
                </c:pt>
                <c:pt idx="1">
                  <c:v>支出</c:v>
                </c:pt>
              </c:strCache>
            </c:strRef>
          </c:cat>
          <c:val>
            <c:numRef>
              <c:f>Sheet1!$C$2:$C$5</c:f>
              <c:numCache>
                <c:formatCode>General</c:formatCode>
                <c:ptCount val="4"/>
                <c:pt idx="0">
                  <c:v>1427.86</c:v>
                </c:pt>
                <c:pt idx="1">
                  <c:v>1427.86</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收入</c:v>
                </c:pt>
                <c:pt idx="1">
                  <c:v>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246"/>
        <c:overlap val="-28"/>
        <c:axId val="993456086"/>
        <c:axId val="123757180"/>
      </c:barChart>
      <c:catAx>
        <c:axId val="99345608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757180"/>
        <c:crosses val="autoZero"/>
        <c:auto val="1"/>
        <c:lblAlgn val="ctr"/>
        <c:lblOffset val="100"/>
        <c:noMultiLvlLbl val="0"/>
      </c:catAx>
      <c:valAx>
        <c:axId val="123757180"/>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345608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4247311827957"/>
          <c:y val="0.284642187081211"/>
          <c:w val="0.329166666666667"/>
          <c:h val="0.656392388099705"/>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elete val="1"/>
          </c:dLbls>
          <c:cat>
            <c:strRef>
              <c:f>Sheet1!$A$2:$A$7</c:f>
              <c:strCache>
                <c:ptCount val="6"/>
                <c:pt idx="0">
                  <c:v>一般公共财政预算拨款收入</c:v>
                </c:pt>
                <c:pt idx="1">
                  <c:v>政府性基金预算拨款收入</c:v>
                </c:pt>
                <c:pt idx="2">
                  <c:v>国有资本经营预算财政拨款收入</c:v>
                </c:pt>
                <c:pt idx="3">
                  <c:v>事业收入</c:v>
                </c:pt>
                <c:pt idx="4">
                  <c:v>其他收入</c:v>
                </c:pt>
                <c:pt idx="5">
                  <c:v>附属单位上缴收入</c:v>
                </c:pt>
              </c:strCache>
            </c:strRef>
          </c:cat>
          <c:val>
            <c:numRef>
              <c:f>Sheet1!$B$2:$B$7</c:f>
              <c:numCache>
                <c:formatCode>General</c:formatCode>
                <c:ptCount val="6"/>
                <c:pt idx="0">
                  <c:v>1341.19</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0102681807199807"/>
          <c:y val="0.134296642583935"/>
          <c:w val="0.964000966417009"/>
          <c:h val="0.12940926476838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elete val="1"/>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1341.19</c:v>
                </c:pt>
                <c:pt idx="1">
                  <c:v>86.68</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财政拨款收入支出决算总计变动情况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财政拨款收入</c:v>
                </c:pt>
                <c:pt idx="1">
                  <c:v>财政拨款支出</c:v>
                </c:pt>
              </c:strCache>
            </c:strRef>
          </c:cat>
          <c:val>
            <c:numRef>
              <c:f>Sheet1!$B$2:$B$5</c:f>
              <c:numCache>
                <c:formatCode>#,##0.00</c:formatCode>
                <c:ptCount val="4"/>
                <c:pt idx="0">
                  <c:v>1739.59</c:v>
                </c:pt>
                <c:pt idx="1">
                  <c:v>1543.32</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财政拨款收入</c:v>
                </c:pt>
                <c:pt idx="1">
                  <c:v>财政拨款支出</c:v>
                </c:pt>
              </c:strCache>
            </c:strRef>
          </c:cat>
          <c:val>
            <c:numRef>
              <c:f>Sheet1!$C$2:$C$5</c:f>
              <c:numCache>
                <c:formatCode>General</c:formatCode>
                <c:ptCount val="4"/>
                <c:pt idx="0">
                  <c:v>1427.86</c:v>
                </c:pt>
                <c:pt idx="1">
                  <c:v>1427.86</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财政拨款收入</c:v>
                </c:pt>
                <c:pt idx="1">
                  <c:v>财政拨款支出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246"/>
        <c:overlap val="-28"/>
        <c:axId val="782791778"/>
        <c:axId val="235176456"/>
      </c:barChart>
      <c:catAx>
        <c:axId val="78279177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5176456"/>
        <c:crosses val="autoZero"/>
        <c:auto val="1"/>
        <c:lblAlgn val="ctr"/>
        <c:lblOffset val="100"/>
        <c:noMultiLvlLbl val="0"/>
      </c:catAx>
      <c:valAx>
        <c:axId val="235176456"/>
        <c:scaling>
          <c:orientation val="minMax"/>
        </c:scaling>
        <c:delete val="0"/>
        <c:axPos val="l"/>
        <c:majorGridlines>
          <c:spPr>
            <a:ln w="9525" cap="flat" cmpd="sng" algn="ctr">
              <a:solidFill>
                <a:schemeClr val="bg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279177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一般公共预算财政拨款支出</c:v>
                </c:pt>
              </c:strCache>
            </c:strRef>
          </c:cat>
          <c:val>
            <c:numRef>
              <c:f>Sheet1!$B$2:$B$5</c:f>
              <c:numCache>
                <c:formatCode>#,##0.00</c:formatCode>
                <c:ptCount val="4"/>
                <c:pt idx="0">
                  <c:v>1543.32</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一般公共预算财政拨款支出</c:v>
                </c:pt>
              </c:strCache>
            </c:strRef>
          </c:cat>
          <c:val>
            <c:numRef>
              <c:f>Sheet1!$C$2:$C$5</c:f>
              <c:numCache>
                <c:formatCode>General</c:formatCode>
                <c:ptCount val="4"/>
                <c:pt idx="0">
                  <c:v>1427.86</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一般公共预算财政拨款支出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246"/>
        <c:overlap val="-28"/>
        <c:axId val="533285292"/>
        <c:axId val="64822099"/>
      </c:barChart>
      <c:catAx>
        <c:axId val="5332852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822099"/>
        <c:crosses val="autoZero"/>
        <c:auto val="1"/>
        <c:lblAlgn val="ctr"/>
        <c:lblOffset val="100"/>
        <c:noMultiLvlLbl val="0"/>
      </c:catAx>
      <c:valAx>
        <c:axId val="64822099"/>
        <c:scaling>
          <c:orientation val="minMax"/>
        </c:scaling>
        <c:delete val="0"/>
        <c:axPos val="l"/>
        <c:majorGridlines>
          <c:spPr>
            <a:ln w="9525" cap="flat" cmpd="sng" algn="ctr">
              <a:solidFill>
                <a:schemeClr val="bg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32852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2022年一般公共预算财政拨款支出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1196.65</c:v>
                </c:pt>
                <c:pt idx="1">
                  <c:v>102.69</c:v>
                </c:pt>
                <c:pt idx="2">
                  <c:v>51.35</c:v>
                </c:pt>
                <c:pt idx="3">
                  <c:v>77.17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2022年“三公”经费财政拨款支出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因公出国（境）费支出</c:v>
                </c:pt>
                <c:pt idx="1">
                  <c:v>公务用车购置及运行维护费支出</c:v>
                </c:pt>
                <c:pt idx="2">
                  <c:v>公务接待费支出决算</c:v>
                </c:pt>
              </c:strCache>
            </c:strRef>
          </c:cat>
          <c:val>
            <c:numRef>
              <c:f>Sheet1!$B$2:$B$5</c:f>
              <c:numCache>
                <c:formatCode>General</c:formatCode>
                <c:ptCount val="4"/>
                <c:pt idx="0">
                  <c:v>0</c:v>
                </c:pt>
                <c:pt idx="1">
                  <c:v>0</c:v>
                </c:pt>
                <c:pt idx="2">
                  <c:v>0.38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5</TotalTime>
  <ScaleCrop>false</ScaleCrop>
  <LinksUpToDate>false</LinksUpToDate>
  <CharactersWithSpaces>5889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2023-12-11T07:55:50Z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61FD99A569EE4B8FB46F5B780684F57B_12</vt:lpwstr>
  </property>
</Properties>
</file>