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7425"/>
      <w:bookmarkStart w:id="4" w:name="_Toc15396475"/>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78442"/>
      <w:bookmarkStart w:id="8" w:name="_Toc15377194"/>
      <w:bookmarkStart w:id="9" w:name="_Toc15377426"/>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公兴小学校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pStyle w:val="2"/>
        <w:adjustRightInd w:val="0"/>
        <w:snapToGrid w:val="0"/>
        <w:spacing w:before="93" w:line="600" w:lineRule="exact"/>
        <w:ind w:left="0" w:leftChars="0" w:firstLine="0" w:firstLineChars="0"/>
        <w:outlineLvl w:val="2"/>
        <w:rPr>
          <w:rStyle w:val="31"/>
          <w:rFonts w:hint="eastAsia" w:ascii="黑体" w:hAnsi="黑体" w:eastAsia="黑体"/>
          <w:b w:val="0"/>
          <w:bCs w:val="0"/>
        </w:rPr>
      </w:pPr>
      <w:bookmarkStart w:id="14" w:name="_Toc15396600"/>
      <w:bookmarkStart w:id="15" w:name="_Toc15377197"/>
      <w:bookmarkStart w:id="16" w:name="_Toc15377198"/>
      <w:bookmarkStart w:id="17" w:name="_Toc15378445"/>
      <w:r>
        <w:rPr>
          <w:rStyle w:val="31"/>
          <w:rFonts w:hint="eastAsia" w:ascii="黑体" w:hAnsi="黑体" w:eastAsia="黑体"/>
          <w:b w:val="0"/>
          <w:bCs w:val="0"/>
        </w:rPr>
        <w:t>一、基本职能及主要工作</w:t>
      </w:r>
      <w:bookmarkEnd w:id="14"/>
      <w:bookmarkEnd w:id="15"/>
    </w:p>
    <w:p>
      <w:pPr>
        <w:pStyle w:val="2"/>
        <w:adjustRightInd w:val="0"/>
        <w:snapToGrid w:val="0"/>
        <w:spacing w:before="93" w:line="600" w:lineRule="exact"/>
        <w:ind w:left="0" w:leftChars="0" w:firstLine="0" w:firstLineChars="0"/>
        <w:outlineLvl w:val="2"/>
        <w:rPr>
          <w:rFonts w:hint="eastAsia" w:ascii="仿宋" w:hAnsi="仿宋" w:eastAsia="仿宋"/>
          <w:bCs/>
          <w:color w:val="000000"/>
          <w:sz w:val="32"/>
          <w:szCs w:val="32"/>
        </w:rPr>
      </w:pPr>
      <w:r>
        <w:rPr>
          <w:rFonts w:hint="eastAsia" w:ascii="楷体" w:hAnsi="楷体" w:eastAsia="楷体" w:cs="楷体"/>
          <w:b/>
          <w:bCs w:val="0"/>
          <w:color w:val="000000"/>
          <w:sz w:val="32"/>
          <w:szCs w:val="32"/>
        </w:rPr>
        <w:t>（一）主要职能</w:t>
      </w:r>
      <w:r>
        <w:rPr>
          <w:rFonts w:hint="eastAsia" w:ascii="仿宋" w:hAnsi="仿宋" w:eastAsia="仿宋"/>
          <w:bCs/>
          <w:color w:val="000000"/>
          <w:sz w:val="32"/>
          <w:szCs w:val="32"/>
        </w:rPr>
        <w:t>。</w:t>
      </w:r>
    </w:p>
    <w:bookmarkEnd w:id="16"/>
    <w:bookmarkEnd w:id="17"/>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bookmarkStart w:id="18" w:name="_Toc15377199"/>
      <w:bookmarkStart w:id="19" w:name="_Toc15378446"/>
      <w:r>
        <w:rPr>
          <w:rFonts w:hint="eastAsia" w:ascii="仿宋" w:hAnsi="仿宋" w:eastAsia="仿宋"/>
          <w:bCs/>
          <w:color w:val="000000"/>
          <w:sz w:val="28"/>
          <w:szCs w:val="28"/>
        </w:rPr>
        <w:t>实施小学义务教育，促进基础教育发展</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1、正确贯彻执行党和国家的教育方针、政策、法规。</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2、维护学校的教学秩序，为学生创造良好的学习环境；</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3、积极稳妥地推进教育改革，按教育规律办事，不断提高教育质量；</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4、根据学校规模，设置学校管理机构，建立健全各项规章制度和岗位责任制。</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5、坚持教书育人，服务育人，环境育人方针，加强对学生的思想品德教育，使学生的德智体美全面发展。</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6、抓好教师队伍建设，使每个教师都热心于教育事业；</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420" w:firstLineChars="15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7、做好安全防范，保证学生的</w:t>
      </w:r>
      <w:r>
        <w:rPr>
          <w:rFonts w:hint="eastAsia" w:ascii="仿宋" w:hAnsi="仿宋" w:eastAsia="仿宋"/>
          <w:bCs/>
          <w:color w:val="000000"/>
          <w:sz w:val="28"/>
          <w:szCs w:val="28"/>
          <w:lang w:eastAsia="zh-CN"/>
        </w:rPr>
        <w:t>人身安全</w:t>
      </w:r>
      <w:r>
        <w:rPr>
          <w:rFonts w:hint="eastAsia" w:ascii="仿宋" w:hAnsi="仿宋" w:eastAsia="仿宋"/>
          <w:bCs/>
          <w:color w:val="000000"/>
          <w:sz w:val="28"/>
          <w:szCs w:val="28"/>
        </w:rPr>
        <w:t>。</w:t>
      </w:r>
    </w:p>
    <w:p>
      <w:pPr>
        <w:pStyle w:val="2"/>
        <w:keepNext w:val="0"/>
        <w:keepLines w:val="0"/>
        <w:pageBreakBefore w:val="0"/>
        <w:widowControl w:val="0"/>
        <w:kinsoku/>
        <w:wordWrap/>
        <w:overflowPunct/>
        <w:topLinePunct w:val="0"/>
        <w:autoSpaceDE/>
        <w:autoSpaceDN/>
        <w:bidi w:val="0"/>
        <w:adjustRightInd w:val="0"/>
        <w:snapToGrid w:val="0"/>
        <w:spacing w:beforeLines="0" w:line="500" w:lineRule="exact"/>
        <w:ind w:left="0" w:leftChars="0" w:firstLine="0" w:firstLineChars="0"/>
        <w:textAlignment w:val="auto"/>
        <w:outlineLvl w:val="2"/>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w:t>
      </w:r>
      <w:r>
        <w:rPr>
          <w:rFonts w:hint="eastAsia" w:ascii="楷体" w:hAnsi="楷体" w:eastAsia="楷体" w:cs="楷体"/>
          <w:b/>
          <w:bCs w:val="0"/>
          <w:color w:val="000000"/>
          <w:sz w:val="32"/>
          <w:szCs w:val="32"/>
          <w:lang w:eastAsia="zh-CN"/>
        </w:rPr>
        <w:t>2022</w:t>
      </w:r>
      <w:r>
        <w:rPr>
          <w:rFonts w:hint="eastAsia" w:ascii="楷体" w:hAnsi="楷体" w:eastAsia="楷体" w:cs="楷体"/>
          <w:b/>
          <w:bCs w:val="0"/>
          <w:color w:val="000000"/>
          <w:sz w:val="32"/>
          <w:szCs w:val="32"/>
        </w:rPr>
        <w:t>年重点工作完成情况。</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28"/>
          <w:szCs w:val="28"/>
          <w:lang w:eastAsia="zh-CN"/>
        </w:rPr>
      </w:pPr>
      <w:r>
        <w:rPr>
          <w:rFonts w:hint="eastAsia" w:ascii="仿宋" w:hAnsi="仿宋" w:eastAsia="仿宋"/>
          <w:bCs/>
          <w:color w:val="000000"/>
          <w:sz w:val="32"/>
          <w:szCs w:val="32"/>
        </w:rPr>
        <w:t>主要工作完成情况</w:t>
      </w:r>
      <w:r>
        <w:rPr>
          <w:rFonts w:hint="eastAsia" w:ascii="仿宋" w:hAnsi="仿宋" w:eastAsia="仿宋"/>
          <w:bCs/>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一是</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全球严重新冠肺炎疫情下，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确保疫情不入校园，保障师生健康学习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二是继续“诚信校园、平安校园”创建活动，提高师生诚信待人，诚信办事。</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三是</w:t>
      </w:r>
      <w:r>
        <w:rPr>
          <w:rFonts w:hint="eastAsia" w:ascii="仿宋" w:hAnsi="仿宋" w:eastAsia="仿宋"/>
          <w:bCs/>
          <w:color w:val="000000"/>
          <w:sz w:val="28"/>
          <w:szCs w:val="28"/>
          <w:lang w:eastAsia="zh-CN"/>
        </w:rPr>
        <w:t>增强</w:t>
      </w:r>
      <w:r>
        <w:rPr>
          <w:rFonts w:hint="eastAsia" w:ascii="仿宋" w:hAnsi="仿宋" w:eastAsia="仿宋"/>
          <w:bCs/>
          <w:color w:val="000000"/>
          <w:sz w:val="28"/>
          <w:szCs w:val="28"/>
        </w:rPr>
        <w:t>师生安全意识。切实抓好学校的安全工作，积极开展“平安校园”创建活动，以“意识为前提，落实是关键，防范是基础，自救不可少”为安全教育工作思路，建立安全工作的长效机制。建立健全学校安全月排查制度，落实安全责任制，认真实施教育实践活动预案制，加强对教室、食堂、实验室等重点部位及体育课、活动课、课间、午间、校外实践等室外活动的安全防范管理。重点落实“课间文明活动方案”，倡导文明、安全、健康、有益的课间活动。经常性开展安全警示教育，加强安全自救的演练，重点开展防盗、防火、防溺水、防交通事故、防食物中毒的安全教育培训，</w:t>
      </w:r>
      <w:r>
        <w:rPr>
          <w:rFonts w:hint="eastAsia" w:ascii="仿宋" w:hAnsi="仿宋" w:eastAsia="仿宋"/>
          <w:bCs/>
          <w:color w:val="000000"/>
          <w:sz w:val="28"/>
          <w:szCs w:val="28"/>
          <w:lang w:eastAsia="zh-CN"/>
        </w:rPr>
        <w:t>增强</w:t>
      </w:r>
      <w:r>
        <w:rPr>
          <w:rFonts w:hint="eastAsia" w:ascii="仿宋" w:hAnsi="仿宋" w:eastAsia="仿宋"/>
          <w:bCs/>
          <w:color w:val="000000"/>
          <w:sz w:val="28"/>
          <w:szCs w:val="28"/>
        </w:rPr>
        <w:t>师生安全意识和自救自护能力。</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四是改善办学条件，打造特色校园。根据实际情况，因地制宜改善办学条件。</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五是深入挖掘学校文化内涵、</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年我校打造以“诚”为中心的校园文化特色，学校充分利用各种途径让学生诚信做人，狠抓队伍建设，着力提升教师队伍整体素质，促进专业化成长。</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六是加大师生培训力度，</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年我校参加国网培训达90多人次，全员参加县教育局，县人社局组织的教育职业提升培训，成绩合格率100%。继续教育合格率100%。抓师德，强作风</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以公民道德规范和教师职业道德规范为准则，引导教师充满爱心、忠诚事业、以身作则、行为示范，树立正确的教育观，努力形成爱岗敬业、拼搏奉献的良好风气。抓活动、增才干</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年我校多次</w:t>
      </w:r>
      <w:r>
        <w:rPr>
          <w:rFonts w:hint="eastAsia" w:ascii="仿宋" w:hAnsi="仿宋" w:eastAsia="仿宋"/>
          <w:bCs/>
          <w:color w:val="000000"/>
          <w:sz w:val="28"/>
          <w:szCs w:val="28"/>
          <w:lang w:eastAsia="zh-CN"/>
        </w:rPr>
        <w:t>组织</w:t>
      </w:r>
      <w:r>
        <w:rPr>
          <w:rFonts w:hint="eastAsia" w:ascii="仿宋" w:hAnsi="仿宋" w:eastAsia="仿宋"/>
          <w:bCs/>
          <w:color w:val="000000"/>
          <w:sz w:val="28"/>
          <w:szCs w:val="28"/>
        </w:rPr>
        <w:t>校本培训，教师竞课，听课，让教师参与其中，在活动中增长才干。培养学生诚实待人，以真诚的言行对待他人、关心他人，对他人富有同情心，乐于助人。严格要求自己，言行一致，不说谎话。培养学生守时、守信、有责任心，承诺的事情一定要做到，言必信、行必果。遇到失误，勇于承担应有的责任，知错就改。还要加强遵守法律法规、校规校纪和社会公德的教育，培养学生的法规意识，具备良好的道德品质。全面培养学生诚信、守纪、公正、文明等良好习惯。</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七是全面提高教学质量，促进教育优质发展。以提高教育质量为导向的管理机制，夯实教育质量提升基础。全面推进素质教育，广泛开展体育和艺术活动。</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年组织举办春、秋季小学运动会，6.1儿童节文艺表演、游园活动，深入开展阳光体育活动，保证学生每天一小时的体育活动时间。</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年我校少年宫活动，每周二、三、四举行，开展书画、文艺演出、音乐、电子科技、舞蹈、手工作品展等活动，为学生的全面、健康发展打下了基础。取得了骄人的成绩</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我校</w:t>
      </w:r>
      <w:r>
        <w:rPr>
          <w:rFonts w:hint="eastAsia" w:ascii="仿宋" w:hAnsi="仿宋" w:eastAsia="仿宋"/>
          <w:bCs/>
          <w:color w:val="000000"/>
          <w:sz w:val="28"/>
          <w:szCs w:val="28"/>
          <w:lang w:eastAsia="zh-CN"/>
        </w:rPr>
        <w:t>2022</w:t>
      </w:r>
      <w:r>
        <w:rPr>
          <w:rFonts w:hint="eastAsia" w:ascii="仿宋" w:hAnsi="仿宋" w:eastAsia="仿宋"/>
          <w:bCs/>
          <w:color w:val="000000"/>
          <w:sz w:val="28"/>
          <w:szCs w:val="28"/>
        </w:rPr>
        <w:t>年教育教学成绩在全区第一名。</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588"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28"/>
          <w:szCs w:val="28"/>
        </w:rPr>
        <w:t>成绩只能说明过去，我们在肯定成绩的同时，更看到了存在的差异和不足。教师的自身素质和综合能力参差不齐，教师资源的不足，在今后的工作中，我们还必须努力，发扬优点，正视不足，克服困难，迎难而上，努力把教学工作做得更好更扎实。相信有上级领导的关心和支持，有全体老师的协力配合，我们的目标一定实现，202</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年，我们将一如既往勤勉，务实地工作，为教育事业谱写出新的篇章</w:t>
      </w:r>
      <w:r>
        <w:rPr>
          <w:rFonts w:hint="eastAsia" w:ascii="仿宋" w:hAnsi="仿宋" w:eastAsia="仿宋"/>
          <w:bCs/>
          <w:color w:val="000000"/>
          <w:sz w:val="28"/>
          <w:szCs w:val="28"/>
          <w:lang w:eastAsia="zh-CN"/>
        </w:rPr>
        <w:t>！</w:t>
      </w:r>
    </w:p>
    <w:bookmarkEnd w:id="18"/>
    <w:bookmarkEnd w:id="19"/>
    <w:p>
      <w:pPr>
        <w:pStyle w:val="4"/>
        <w:jc w:val="left"/>
        <w:rPr>
          <w:rStyle w:val="31"/>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31"/>
          <w:rFonts w:hint="eastAsia" w:ascii="黑体" w:hAnsi="黑体" w:eastAsia="黑体"/>
          <w:b w:val="0"/>
          <w:bCs w:val="0"/>
        </w:rPr>
        <w:t>构设置</w:t>
      </w:r>
      <w:bookmarkEnd w:id="20"/>
      <w:bookmarkEnd w:id="21"/>
    </w:p>
    <w:p>
      <w:pPr>
        <w:keepNext w:val="0"/>
        <w:keepLines w:val="0"/>
        <w:pageBreakBefore w:val="0"/>
        <w:widowControl/>
        <w:kinsoku/>
        <w:wordWrap/>
        <w:overflowPunct/>
        <w:topLinePunct w:val="0"/>
        <w:autoSpaceDE/>
        <w:autoSpaceDN/>
        <w:bidi w:val="0"/>
        <w:adjustRightInd/>
        <w:snapToGrid/>
        <w:spacing w:line="600" w:lineRule="exact"/>
        <w:ind w:firstLine="641"/>
        <w:jc w:val="left"/>
        <w:textAlignment w:val="auto"/>
        <w:rPr>
          <w:rFonts w:hint="eastAsia" w:ascii="仿宋" w:hAnsi="仿宋" w:eastAsia="仿宋"/>
          <w:sz w:val="28"/>
          <w:szCs w:val="28"/>
        </w:rPr>
      </w:pPr>
      <w:r>
        <w:rPr>
          <w:rFonts w:hint="eastAsia" w:ascii="仿宋" w:hAnsi="仿宋" w:eastAsia="仿宋"/>
          <w:sz w:val="28"/>
          <w:szCs w:val="28"/>
        </w:rPr>
        <w:t>剑阁县公兴小学校是全额拨款事业单位，属一级预算单位，无下属二级预算单位。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22" w:name="_Toc15377204"/>
      <w:bookmarkStart w:id="23"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2022年度收、支总计1234.73万元。与</w:t>
      </w:r>
      <w:r>
        <w:rPr>
          <w:rFonts w:hint="eastAsia" w:ascii="仿宋" w:hAnsi="仿宋" w:eastAsia="仿宋"/>
          <w:sz w:val="32"/>
          <w:szCs w:val="32"/>
          <w:lang w:eastAsia="zh-CN"/>
        </w:rPr>
        <w:t>2022</w:t>
      </w:r>
      <w:r>
        <w:rPr>
          <w:rFonts w:hint="eastAsia" w:ascii="仿宋" w:hAnsi="仿宋" w:eastAsia="仿宋"/>
          <w:sz w:val="32"/>
          <w:szCs w:val="32"/>
        </w:rPr>
        <w:t>年相比，收、支总计各减少</w:t>
      </w:r>
      <w:r>
        <w:rPr>
          <w:rFonts w:hint="eastAsia" w:ascii="仿宋" w:hAnsi="仿宋" w:eastAsia="仿宋"/>
          <w:sz w:val="32"/>
          <w:szCs w:val="32"/>
          <w:lang w:val="en-US" w:eastAsia="zh-CN"/>
        </w:rPr>
        <w:t>341.39</w:t>
      </w:r>
      <w:r>
        <w:rPr>
          <w:rFonts w:hint="eastAsia" w:ascii="仿宋" w:hAnsi="仿宋" w:eastAsia="仿宋"/>
          <w:sz w:val="32"/>
          <w:szCs w:val="32"/>
        </w:rPr>
        <w:t>万元，下降</w:t>
      </w:r>
      <w:r>
        <w:rPr>
          <w:rFonts w:hint="eastAsia" w:ascii="仿宋" w:hAnsi="仿宋" w:eastAsia="仿宋"/>
          <w:sz w:val="32"/>
          <w:szCs w:val="32"/>
          <w:lang w:val="en-US" w:eastAsia="zh-CN"/>
        </w:rPr>
        <w:t>21.66</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val="en-US" w:eastAsia="zh-CN"/>
        </w:rPr>
        <w:t>本年</w:t>
      </w:r>
      <w:r>
        <w:rPr>
          <w:rFonts w:hint="eastAsia" w:ascii="仿宋" w:hAnsi="仿宋" w:eastAsia="仿宋"/>
          <w:sz w:val="32"/>
          <w:szCs w:val="32"/>
        </w:rPr>
        <w:t>是</w:t>
      </w:r>
      <w:r>
        <w:rPr>
          <w:rFonts w:hint="eastAsia" w:ascii="仿宋" w:hAnsi="仿宋" w:eastAsia="仿宋"/>
          <w:sz w:val="32"/>
          <w:szCs w:val="32"/>
          <w:lang w:val="en-US" w:eastAsia="zh-CN"/>
        </w:rPr>
        <w:t>项目资金支出减少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22年本年收入合计1202.49万元，其中：一般公共预算财政拨款收入</w:t>
      </w:r>
      <w:r>
        <w:rPr>
          <w:rFonts w:hint="eastAsia" w:ascii="仿宋" w:hAnsi="仿宋" w:eastAsia="仿宋"/>
          <w:sz w:val="32"/>
          <w:szCs w:val="32"/>
          <w:lang w:val="en-US" w:eastAsia="zh-CN"/>
        </w:rPr>
        <w:t>1201.19</w:t>
      </w:r>
      <w:r>
        <w:rPr>
          <w:rFonts w:hint="eastAsia" w:ascii="仿宋" w:hAnsi="仿宋" w:eastAsia="仿宋"/>
          <w:sz w:val="32"/>
          <w:szCs w:val="32"/>
        </w:rPr>
        <w:t>万元，占</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1.3</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22年本年支出合计1234.73万元，其中：基本支出1187.5万元，占</w:t>
      </w:r>
      <w:r>
        <w:rPr>
          <w:rFonts w:hint="eastAsia" w:ascii="仿宋" w:hAnsi="仿宋" w:eastAsia="仿宋"/>
          <w:sz w:val="32"/>
          <w:szCs w:val="32"/>
          <w:lang w:val="en-US" w:eastAsia="zh-CN"/>
        </w:rPr>
        <w:t>96.17</w:t>
      </w:r>
      <w:r>
        <w:rPr>
          <w:rFonts w:ascii="仿宋" w:hAnsi="仿宋" w:eastAsia="仿宋"/>
          <w:sz w:val="32"/>
          <w:szCs w:val="32"/>
        </w:rPr>
        <w:t>%</w:t>
      </w:r>
      <w:r>
        <w:rPr>
          <w:rFonts w:hint="eastAsia" w:ascii="仿宋" w:hAnsi="仿宋" w:eastAsia="仿宋"/>
          <w:sz w:val="32"/>
          <w:szCs w:val="32"/>
        </w:rPr>
        <w:t>；项目支出47.24万元，占</w:t>
      </w:r>
      <w:r>
        <w:rPr>
          <w:rFonts w:hint="eastAsia" w:ascii="仿宋" w:hAnsi="仿宋" w:eastAsia="仿宋"/>
          <w:sz w:val="32"/>
          <w:szCs w:val="32"/>
          <w:lang w:val="en-US" w:eastAsia="zh-CN"/>
        </w:rPr>
        <w:t>3.83</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pPr>
        <w:pStyle w:val="2"/>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22年财政拨款收、支总计1234.73万元。与</w:t>
      </w:r>
      <w:r>
        <w:rPr>
          <w:rFonts w:hint="eastAsia" w:ascii="仿宋" w:hAnsi="仿宋" w:eastAsia="仿宋"/>
          <w:sz w:val="32"/>
          <w:szCs w:val="32"/>
          <w:lang w:eastAsia="zh-CN"/>
        </w:rPr>
        <w:t>202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341.39</w:t>
      </w:r>
      <w:r>
        <w:rPr>
          <w:rFonts w:hint="eastAsia" w:ascii="仿宋" w:hAnsi="仿宋" w:eastAsia="仿宋"/>
          <w:sz w:val="32"/>
          <w:szCs w:val="32"/>
        </w:rPr>
        <w:t>万元，下降</w:t>
      </w:r>
      <w:r>
        <w:rPr>
          <w:rFonts w:hint="eastAsia" w:ascii="仿宋" w:hAnsi="仿宋" w:eastAsia="仿宋"/>
          <w:sz w:val="32"/>
          <w:szCs w:val="32"/>
          <w:lang w:val="en-US" w:eastAsia="zh-CN"/>
        </w:rPr>
        <w:t>21.66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本年项目支出减少。</w:t>
      </w:r>
    </w:p>
    <w:p>
      <w:pPr>
        <w:spacing w:line="600" w:lineRule="exact"/>
        <w:ind w:left="0" w:leftChars="0" w:firstLine="0" w:firstLineChars="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rPr>
          <w:rFonts w:hint="eastAsia"/>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pP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22年一般公共预算财政拨款支出1233.43万元，占本年支出合计的</w:t>
      </w:r>
      <w:r>
        <w:rPr>
          <w:rFonts w:hint="eastAsia" w:ascii="仿宋" w:hAnsi="仿宋" w:eastAsia="仿宋"/>
          <w:sz w:val="32"/>
          <w:szCs w:val="32"/>
          <w:lang w:val="en-US" w:eastAsia="zh-CN"/>
        </w:rPr>
        <w:t>99.89</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年相比，一般公共预算财政拨款支出减少</w:t>
      </w:r>
      <w:r>
        <w:rPr>
          <w:rFonts w:hint="eastAsia" w:ascii="仿宋" w:hAnsi="仿宋" w:eastAsia="仿宋"/>
          <w:sz w:val="32"/>
          <w:szCs w:val="32"/>
          <w:lang w:val="en-US" w:eastAsia="zh-CN"/>
        </w:rPr>
        <w:t>304.13</w:t>
      </w:r>
      <w:r>
        <w:rPr>
          <w:rFonts w:hint="eastAsia" w:ascii="仿宋" w:hAnsi="仿宋" w:eastAsia="仿宋"/>
          <w:sz w:val="32"/>
          <w:szCs w:val="32"/>
        </w:rPr>
        <w:t>万元，下降</w:t>
      </w:r>
      <w:r>
        <w:rPr>
          <w:rFonts w:hint="eastAsia" w:ascii="仿宋" w:hAnsi="仿宋" w:eastAsia="仿宋"/>
          <w:sz w:val="32"/>
          <w:szCs w:val="32"/>
          <w:lang w:val="en-US" w:eastAsia="zh-CN"/>
        </w:rPr>
        <w:t>19.78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本年项目支出减少。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2"/>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22年一般公共预算财政拨款支出1233.43万元，主要用于以下方面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1042.11万元，占</w:t>
      </w:r>
      <w:r>
        <w:rPr>
          <w:rFonts w:hint="eastAsia" w:ascii="仿宋" w:hAnsi="仿宋" w:eastAsia="仿宋"/>
          <w:sz w:val="32"/>
          <w:szCs w:val="32"/>
          <w:lang w:val="en-US" w:eastAsia="zh-CN"/>
        </w:rPr>
        <w:t>84.49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87.78万元，占</w:t>
      </w:r>
      <w:r>
        <w:rPr>
          <w:rFonts w:hint="eastAsia" w:ascii="仿宋" w:hAnsi="仿宋" w:eastAsia="仿宋"/>
          <w:sz w:val="32"/>
          <w:szCs w:val="32"/>
          <w:lang w:val="en-US" w:eastAsia="zh-CN"/>
        </w:rPr>
        <w:t>7.12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41.42万元，占</w:t>
      </w:r>
      <w:r>
        <w:rPr>
          <w:rFonts w:hint="eastAsia" w:ascii="仿宋" w:hAnsi="仿宋" w:eastAsia="仿宋"/>
          <w:sz w:val="32"/>
          <w:szCs w:val="32"/>
          <w:lang w:val="en-US" w:eastAsia="zh-CN"/>
        </w:rPr>
        <w:t>3.36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62.13万元，占</w:t>
      </w:r>
      <w:r>
        <w:rPr>
          <w:rFonts w:hint="eastAsia" w:ascii="仿宋" w:hAnsi="仿宋" w:eastAsia="仿宋"/>
          <w:sz w:val="32"/>
          <w:szCs w:val="32"/>
          <w:lang w:val="en-US" w:eastAsia="zh-CN"/>
        </w:rPr>
        <w:t>5.03</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2"/>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rPr>
          <w:rFonts w:hint="eastAsia" w:ascii="仿宋" w:hAnsi="仿宋" w:eastAsia="仿宋"/>
          <w:b/>
          <w:sz w:val="32"/>
          <w:szCs w:val="32"/>
        </w:rPr>
      </w:pPr>
      <w:bookmarkStart w:id="37" w:name="_Toc15377444"/>
      <w:bookmarkStart w:id="38" w:name="_Toc15378460"/>
      <w:bookmarkStart w:id="39" w:name="_Toc15377213"/>
      <w:r>
        <w:rPr>
          <w:rFonts w:hint="eastAsia" w:ascii="仿宋" w:hAnsi="仿宋" w:eastAsia="仿宋"/>
          <w:b/>
          <w:sz w:val="32"/>
          <w:szCs w:val="32"/>
        </w:rPr>
        <w:t>2022年</w:t>
      </w:r>
      <w:bookmarkEnd w:id="37"/>
      <w:bookmarkEnd w:id="38"/>
      <w:bookmarkEnd w:id="39"/>
      <w:r>
        <w:rPr>
          <w:rFonts w:hint="eastAsia" w:ascii="仿宋" w:hAnsi="仿宋" w:eastAsia="仿宋"/>
          <w:b/>
          <w:sz w:val="32"/>
          <w:szCs w:val="32"/>
        </w:rPr>
        <w:t>一般公共预算支出决算数为</w:t>
      </w:r>
      <w:r>
        <w:rPr>
          <w:rFonts w:hint="eastAsia" w:ascii="仿宋" w:hAnsi="仿宋" w:eastAsia="仿宋"/>
          <w:sz w:val="32"/>
          <w:szCs w:val="32"/>
        </w:rPr>
        <w:t>1233.43</w:t>
      </w:r>
      <w:r>
        <w:rPr>
          <w:rFonts w:hint="eastAsia" w:ascii="仿宋" w:hAnsi="仿宋" w:eastAsia="仿宋"/>
          <w:b/>
          <w:sz w:val="32"/>
          <w:szCs w:val="32"/>
        </w:rPr>
        <w:t>，完成预算100%。其中：</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1.教育（类）普通教育（款）小学教育（项）</w:t>
      </w:r>
      <w:r>
        <w:rPr>
          <w:rFonts w:hint="eastAsia" w:ascii="仿宋" w:hAnsi="仿宋" w:eastAsia="仿宋"/>
          <w:b/>
          <w:sz w:val="32"/>
          <w:szCs w:val="32"/>
          <w:lang w:eastAsia="zh-CN"/>
        </w:rPr>
        <w:t>：</w:t>
      </w:r>
      <w:r>
        <w:rPr>
          <w:rFonts w:hint="eastAsia" w:ascii="仿宋" w:hAnsi="仿宋" w:eastAsia="仿宋"/>
          <w:b/>
          <w:sz w:val="32"/>
          <w:szCs w:val="32"/>
        </w:rPr>
        <w:t>支出决算为</w:t>
      </w:r>
      <w:r>
        <w:rPr>
          <w:rFonts w:hint="eastAsia" w:ascii="仿宋" w:hAnsi="仿宋" w:eastAsia="仿宋"/>
          <w:sz w:val="32"/>
          <w:szCs w:val="32"/>
        </w:rPr>
        <w:t>1042.11</w:t>
      </w:r>
      <w:r>
        <w:rPr>
          <w:rFonts w:hint="eastAsia" w:ascii="仿宋" w:hAnsi="仿宋" w:eastAsia="仿宋"/>
          <w:b/>
          <w:sz w:val="32"/>
          <w:szCs w:val="32"/>
        </w:rPr>
        <w:t>万元，完成预算100%。</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2.社会保障和就业（类）行政事业单位养老支出（款）机关事业单位基本养老保险缴费支出（项）</w:t>
      </w:r>
      <w:r>
        <w:rPr>
          <w:rFonts w:hint="eastAsia" w:ascii="仿宋" w:hAnsi="仿宋" w:eastAsia="仿宋"/>
          <w:b/>
          <w:sz w:val="32"/>
          <w:szCs w:val="32"/>
          <w:lang w:eastAsia="zh-CN"/>
        </w:rPr>
        <w:t>：</w:t>
      </w:r>
      <w:r>
        <w:rPr>
          <w:rFonts w:hint="eastAsia" w:ascii="仿宋" w:hAnsi="仿宋" w:eastAsia="仿宋"/>
          <w:b/>
          <w:sz w:val="32"/>
          <w:szCs w:val="32"/>
        </w:rPr>
        <w:t>支出决算为87.78万元，完成预算100%。</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3.卫生健康（类）行政事业单位医疗（款）事业单位医疗（项）</w:t>
      </w:r>
      <w:r>
        <w:rPr>
          <w:rFonts w:hint="eastAsia" w:ascii="仿宋" w:hAnsi="仿宋" w:eastAsia="仿宋"/>
          <w:b/>
          <w:sz w:val="32"/>
          <w:szCs w:val="32"/>
          <w:lang w:eastAsia="zh-CN"/>
        </w:rPr>
        <w:t>：</w:t>
      </w:r>
      <w:r>
        <w:rPr>
          <w:rFonts w:hint="eastAsia" w:ascii="仿宋" w:hAnsi="仿宋" w:eastAsia="仿宋"/>
          <w:b/>
          <w:sz w:val="32"/>
          <w:szCs w:val="32"/>
        </w:rPr>
        <w:t>支出决算为41.42万元，完成预算100%。</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4.住房保障（类）住房改革支出（款）住房公积金（项）</w:t>
      </w:r>
      <w:r>
        <w:rPr>
          <w:rFonts w:hint="eastAsia" w:ascii="仿宋" w:hAnsi="仿宋" w:eastAsia="仿宋"/>
          <w:b/>
          <w:sz w:val="32"/>
          <w:szCs w:val="32"/>
          <w:lang w:eastAsia="zh-CN"/>
        </w:rPr>
        <w:t>：</w:t>
      </w:r>
      <w:r>
        <w:rPr>
          <w:rFonts w:hint="eastAsia" w:ascii="仿宋" w:hAnsi="仿宋" w:eastAsia="仿宋"/>
          <w:b/>
          <w:sz w:val="32"/>
          <w:szCs w:val="32"/>
        </w:rPr>
        <w:t>支出决算为62.13万元，完成预算100%。</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22年一般公共预算财政拨款基本支出1233.43万元，其中：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932.49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105.61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0.095</w:t>
      </w:r>
      <w:r>
        <w:rPr>
          <w:rFonts w:hint="eastAsia" w:ascii="仿宋" w:hAnsi="仿宋" w:eastAsia="仿宋"/>
          <w:sz w:val="32"/>
          <w:szCs w:val="32"/>
        </w:rPr>
        <w:t>万元，下降</w:t>
      </w:r>
      <w:r>
        <w:rPr>
          <w:rFonts w:hint="eastAsia" w:ascii="仿宋" w:hAnsi="仿宋" w:eastAsia="仿宋"/>
          <w:sz w:val="32"/>
          <w:szCs w:val="32"/>
          <w:lang w:val="en-US" w:eastAsia="zh-CN"/>
        </w:rPr>
        <w:t>20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pPr>
      <w:r>
        <w:drawing>
          <wp:inline distT="0" distB="0" distL="114300" distR="114300">
            <wp:extent cx="4847590" cy="2695575"/>
            <wp:effectExtent l="4445" t="5080" r="5715" b="444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2"/>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numPr>
          <w:ilvl w:val="0"/>
          <w:numId w:val="0"/>
        </w:numPr>
        <w:spacing w:line="600" w:lineRule="exact"/>
        <w:ind w:left="0" w:leftChars="0"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年减少</w:t>
      </w:r>
      <w:r>
        <w:rPr>
          <w:rFonts w:hint="eastAsia" w:ascii="仿宋_GB2312" w:eastAsia="仿宋_GB2312"/>
          <w:sz w:val="32"/>
          <w:szCs w:val="32"/>
          <w:lang w:val="en-US" w:eastAsia="zh-CN"/>
        </w:rPr>
        <w:t>0.095</w:t>
      </w:r>
      <w:r>
        <w:rPr>
          <w:rFonts w:hint="eastAsia" w:ascii="仿宋_GB2312" w:eastAsia="仿宋_GB2312"/>
          <w:sz w:val="32"/>
          <w:szCs w:val="32"/>
        </w:rPr>
        <w:t>万元，下降</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节约开支，减少公务接待费用</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万元，主要用于开展业务活动用餐费。国内公务接待</w:t>
      </w:r>
      <w:r>
        <w:rPr>
          <w:rFonts w:hint="eastAsia" w:ascii="仿宋_GB2312" w:eastAsia="仿宋_GB2312"/>
          <w:sz w:val="32"/>
          <w:szCs w:val="32"/>
          <w:lang w:val="en-US" w:eastAsia="zh-CN"/>
        </w:rPr>
        <w:t>18</w:t>
      </w:r>
      <w:r>
        <w:rPr>
          <w:rFonts w:hint="eastAsia" w:ascii="仿宋_GB2312" w:eastAsia="仿宋_GB2312"/>
          <w:sz w:val="32"/>
          <w:szCs w:val="32"/>
        </w:rPr>
        <w:t>批次，</w:t>
      </w:r>
      <w:r>
        <w:rPr>
          <w:rFonts w:hint="eastAsia" w:ascii="仿宋_GB2312" w:eastAsia="仿宋_GB2312"/>
          <w:sz w:val="32"/>
          <w:szCs w:val="32"/>
          <w:lang w:val="en-US" w:eastAsia="zh-CN"/>
        </w:rPr>
        <w:t>98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学校间相互交流学习餐费支出</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1.3</w:t>
      </w:r>
      <w:r>
        <w:rPr>
          <w:rFonts w:hint="eastAsia" w:ascii="仿宋_GB2312" w:eastAsia="仿宋_GB2312"/>
          <w:sz w:val="32"/>
          <w:szCs w:val="32"/>
        </w:rPr>
        <w:t>万元。</w:t>
      </w:r>
      <w:r>
        <w:rPr>
          <w:rFonts w:hint="eastAsia" w:ascii="仿宋_GB2312" w:eastAsia="仿宋_GB2312"/>
          <w:sz w:val="32"/>
          <w:szCs w:val="32"/>
          <w:lang w:val="en-US" w:eastAsia="zh-CN"/>
        </w:rPr>
        <w:t>主要用于乡村少年宫运维支出。</w:t>
      </w:r>
    </w:p>
    <w:p>
      <w:pPr>
        <w:numPr>
          <w:ilvl w:val="0"/>
          <w:numId w:val="3"/>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6"/>
          <w:rFonts w:ascii="黑体" w:hAnsi="黑体" w:eastAsia="黑体"/>
          <w:b w:val="0"/>
        </w:rPr>
      </w:pPr>
      <w:bookmarkStart w:id="50" w:name="_Toc15377221"/>
      <w:bookmarkStart w:id="51" w:name="_Toc15396612"/>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根据预算绩效管理要求，本部门在年初预算编制阶段，对202</w:t>
      </w:r>
      <w:r>
        <w:rPr>
          <w:rFonts w:hint="eastAsia" w:hAnsi="仿宋_GB2312" w:cs="仿宋_GB2312"/>
          <w:sz w:val="32"/>
          <w:szCs w:val="32"/>
          <w:lang w:val="en-US" w:eastAsia="zh-CN"/>
        </w:rPr>
        <w:t>2</w:t>
      </w:r>
      <w:r>
        <w:rPr>
          <w:rFonts w:hint="eastAsia" w:hAnsi="仿宋_GB2312" w:cs="仿宋_GB2312"/>
          <w:sz w:val="32"/>
          <w:szCs w:val="32"/>
        </w:rPr>
        <w:t>年部门整体支出开展绩效自评，从评价情况来看按整体完成绩效较好。见附件1，对202</w:t>
      </w:r>
      <w:r>
        <w:rPr>
          <w:rFonts w:hint="eastAsia" w:hAnsi="仿宋_GB2312" w:cs="仿宋_GB2312"/>
          <w:sz w:val="32"/>
          <w:szCs w:val="32"/>
          <w:lang w:val="en-US" w:eastAsia="zh-CN"/>
        </w:rPr>
        <w:t>2</w:t>
      </w:r>
      <w:r>
        <w:rPr>
          <w:rFonts w:hint="eastAsia" w:hAnsi="仿宋_GB2312" w:cs="仿宋_GB2312"/>
          <w:sz w:val="32"/>
          <w:szCs w:val="32"/>
        </w:rPr>
        <w:t>项目支出开展绩效自评，从评价情况来看按整体完成绩效较好。见附件2</w:t>
      </w:r>
      <w:r>
        <w:rPr>
          <w:rFonts w:hint="eastAsia" w:hAnsi="仿宋_GB2312" w:cs="仿宋_GB2312"/>
          <w:sz w:val="32"/>
          <w:szCs w:val="32"/>
          <w:lang w:eastAsia="zh-CN"/>
        </w:rPr>
        <w:t>。</w:t>
      </w:r>
      <w:r>
        <w:rPr>
          <w:rFonts w:hint="eastAsia" w:hAnsi="仿宋_GB2312" w:cs="仿宋_GB2312"/>
          <w:sz w:val="32"/>
          <w:szCs w:val="32"/>
        </w:rPr>
        <w:t>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sz w:val="44"/>
          <w:szCs w:val="44"/>
        </w:rPr>
      </w:pPr>
    </w:p>
    <w:p>
      <w:pPr>
        <w:spacing w:line="600" w:lineRule="exact"/>
        <w:ind w:firstLine="640"/>
        <w:rPr>
          <w:rFonts w:hint="eastAsia" w:ascii="仿宋_GB2312" w:eastAsia="仿宋_GB2312"/>
          <w:color w:val="000000"/>
          <w:sz w:val="28"/>
          <w:szCs w:val="28"/>
          <w:lang w:eastAsia="zh-CN"/>
        </w:rPr>
      </w:pPr>
      <w:bookmarkStart w:id="57" w:name="_Toc15377226"/>
      <w:r>
        <w:rPr>
          <w:rFonts w:hint="eastAsia" w:ascii="仿宋_GB2312" w:eastAsia="仿宋_GB2312"/>
          <w:color w:val="000000"/>
          <w:sz w:val="28"/>
          <w:szCs w:val="28"/>
          <w:lang w:eastAsia="zh-CN"/>
        </w:rPr>
        <w:t>1</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财政拨款收入：指单位从同级财政部门取得的财政预算资金。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2</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年初结转和结余：指以前年度尚未完成、结转到本年按有关规定继续使用的资金。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3</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年末结转和结余：指单位按有关规定结转到下年或以后年度继续使用的资金。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4.教育（类）普通教育（款）</w:t>
      </w:r>
      <w:r>
        <w:rPr>
          <w:rFonts w:hint="eastAsia" w:ascii="仿宋_GB2312" w:eastAsia="仿宋_GB2312"/>
          <w:color w:val="000000"/>
          <w:sz w:val="28"/>
          <w:szCs w:val="28"/>
          <w:lang w:val="en-US" w:eastAsia="zh-CN"/>
        </w:rPr>
        <w:t>小学</w:t>
      </w:r>
      <w:r>
        <w:rPr>
          <w:rFonts w:hint="eastAsia" w:ascii="仿宋_GB2312" w:eastAsia="仿宋_GB2312"/>
          <w:color w:val="000000"/>
          <w:sz w:val="28"/>
          <w:szCs w:val="28"/>
          <w:lang w:eastAsia="zh-CN"/>
        </w:rPr>
        <w:t>教育（项）：指</w:t>
      </w:r>
      <w:r>
        <w:rPr>
          <w:rFonts w:hint="eastAsia" w:ascii="仿宋_GB2312" w:eastAsia="仿宋_GB2312"/>
          <w:color w:val="000000"/>
          <w:sz w:val="28"/>
          <w:szCs w:val="28"/>
          <w:lang w:val="en-US" w:eastAsia="zh-CN"/>
        </w:rPr>
        <w:t>小学</w:t>
      </w:r>
      <w:r>
        <w:rPr>
          <w:rFonts w:hint="eastAsia" w:ascii="仿宋_GB2312" w:eastAsia="仿宋_GB2312"/>
          <w:color w:val="000000"/>
          <w:sz w:val="28"/>
          <w:szCs w:val="28"/>
          <w:lang w:eastAsia="zh-CN"/>
        </w:rPr>
        <w:t>教育人员工资、办公、差旅等公用经费。</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5.社会保障和就业（类）行政事业单位养老支出（款）机关事业单位基本养老保险缴费支出（项）：指缴纳本单位在职职工养老保险。</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6.医疗卫生与计划生育（类）行政事业单位医疗（款）事业单位医疗（项）：指缴纳本单位在职职工基本医疗保险费。</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7.住房保障（类）住房改革支出（款）住房公积金（项）：指缴纳本单位在职职工住房公积金。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8.基本支出：指为保障机构正常运转、完成日常工作任务而发生的人员支出和公用支出。</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xml:space="preserve">9.项目支出：指在基本支出之外为完成特定行政任务和事业发展目标所发生的支出。 </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sz w:val="44"/>
          <w:szCs w:val="44"/>
        </w:rPr>
        <w:br w:type="page"/>
      </w:r>
      <w:bookmarkStart w:id="58" w:name="_Toc15396614"/>
      <w:r>
        <w:rPr>
          <w:rFonts w:hint="eastAsia" w:ascii="黑体" w:hAnsi="黑体" w:eastAsia="黑体"/>
          <w:sz w:val="44"/>
          <w:szCs w:val="44"/>
        </w:rPr>
        <w:t>第</w:t>
      </w:r>
      <w:r>
        <w:rPr>
          <w:rStyle w:val="25"/>
          <w:rFonts w:hint="eastAsia" w:ascii="黑体" w:hAnsi="黑体" w:eastAsia="黑体"/>
          <w:b w:val="0"/>
        </w:rPr>
        <w:t>四部分 附件</w:t>
      </w:r>
      <w:bookmarkEnd w:id="58"/>
    </w:p>
    <w:p>
      <w:pPr>
        <w:spacing w:line="572" w:lineRule="exact"/>
        <w:jc w:val="left"/>
        <w:outlineLvl w:val="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outlineLvl w:val="0"/>
        <w:rPr>
          <w:rFonts w:hint="eastAsia" w:ascii="仿宋" w:hAnsi="仿宋" w:eastAsia="仿宋" w:cs="仿宋"/>
          <w:sz w:val="32"/>
          <w:szCs w:val="32"/>
        </w:rPr>
      </w:pPr>
      <w:bookmarkStart w:id="59" w:name="_Toc15396618"/>
      <w:r>
        <w:rPr>
          <w:rFonts w:hint="eastAsia" w:ascii="仿宋" w:hAnsi="仿宋" w:eastAsia="仿宋" w:cs="仿宋"/>
          <w:sz w:val="32"/>
          <w:szCs w:val="32"/>
        </w:rPr>
        <w:t>附件1</w:t>
      </w:r>
    </w:p>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sz w:val="48"/>
          <w:szCs w:val="48"/>
          <w:lang w:val="en-US" w:eastAsia="zh-CN"/>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年度部门</w:t>
      </w:r>
      <w:r>
        <w:rPr>
          <w:rFonts w:hint="eastAsia" w:ascii="仿宋" w:hAnsi="仿宋" w:eastAsia="仿宋" w:cs="仿宋"/>
          <w:color w:val="000000"/>
          <w:sz w:val="32"/>
          <w:szCs w:val="32"/>
          <w:lang w:val="en-US" w:eastAsia="zh-CN"/>
        </w:rPr>
        <w:t>整体绩效报告</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rPr>
        <w:t>一、</w:t>
      </w:r>
      <w:r>
        <w:rPr>
          <w:rFonts w:hint="eastAsia" w:ascii="仿宋" w:hAnsi="仿宋" w:eastAsia="仿宋" w:cs="仿宋"/>
          <w:i w:val="0"/>
          <w:caps w:val="0"/>
          <w:color w:val="333333"/>
          <w:spacing w:val="0"/>
          <w:sz w:val="28"/>
          <w:szCs w:val="28"/>
          <w:lang w:val="en-US" w:eastAsia="zh-CN"/>
        </w:rPr>
        <w:t>部门概况</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420" w:firstLineChars="150"/>
        <w:jc w:val="both"/>
        <w:textAlignment w:val="auto"/>
        <w:rPr>
          <w:rFonts w:hint="eastAsia" w:ascii="仿宋" w:hAnsi="仿宋" w:eastAsia="仿宋" w:cs="仿宋"/>
          <w:i w:val="0"/>
          <w:caps w:val="0"/>
          <w:color w:val="333333"/>
          <w:spacing w:val="0"/>
          <w:sz w:val="28"/>
          <w:szCs w:val="28"/>
          <w:lang w:val="en-US" w:eastAsia="zh-CN"/>
        </w:rPr>
      </w:pPr>
      <w:r>
        <w:rPr>
          <w:rFonts w:hint="eastAsia" w:ascii="仿宋" w:hAnsi="仿宋" w:eastAsia="仿宋" w:cs="仿宋"/>
          <w:i w:val="0"/>
          <w:caps w:val="0"/>
          <w:color w:val="333333"/>
          <w:spacing w:val="0"/>
          <w:sz w:val="28"/>
          <w:szCs w:val="28"/>
          <w:lang w:val="en-US" w:eastAsia="zh-CN"/>
        </w:rPr>
        <w:t>我单位是一所完全小学，附设一所幼儿园。人员事业编制74人，实有在编人数68人，遗属人员6人，退休人员61人，学生数1132人。教职工117人。其基本职能及主要工作是实施义务教育、学前教育教学，促进教育全面均衡发展。</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firstLine="0" w:firstLineChars="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rPr>
        <w:t>绩效目标完成情况分析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419" w:firstLineChars="131"/>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我单位</w:t>
      </w:r>
      <w:r>
        <w:rPr>
          <w:rFonts w:hint="eastAsia" w:ascii="仿宋" w:hAnsi="仿宋" w:eastAsia="仿宋" w:cs="仿宋"/>
          <w:i w:val="0"/>
          <w:caps w:val="0"/>
          <w:color w:val="333333"/>
          <w:spacing w:val="0"/>
          <w:sz w:val="28"/>
          <w:szCs w:val="28"/>
          <w:lang w:val="en-US" w:eastAsia="zh-CN"/>
        </w:rPr>
        <w:t>2022</w:t>
      </w:r>
      <w:r>
        <w:rPr>
          <w:rFonts w:hint="eastAsia" w:ascii="仿宋" w:hAnsi="仿宋" w:eastAsia="仿宋" w:cs="仿宋"/>
          <w:i w:val="0"/>
          <w:caps w:val="0"/>
          <w:color w:val="333333"/>
          <w:spacing w:val="0"/>
          <w:sz w:val="28"/>
          <w:szCs w:val="28"/>
        </w:rPr>
        <w:t>年我单位</w:t>
      </w:r>
      <w:r>
        <w:rPr>
          <w:rFonts w:hint="eastAsia" w:ascii="仿宋" w:hAnsi="仿宋" w:eastAsia="仿宋" w:cs="仿宋"/>
          <w:i w:val="0"/>
          <w:caps w:val="0"/>
          <w:color w:val="333333"/>
          <w:spacing w:val="0"/>
          <w:sz w:val="28"/>
          <w:szCs w:val="28"/>
          <w:lang w:val="en-US" w:eastAsia="zh-CN"/>
        </w:rPr>
        <w:t>一般公共预算收入</w:t>
      </w:r>
      <w:r>
        <w:rPr>
          <w:rFonts w:hint="eastAsia" w:ascii="仿宋" w:hAnsi="仿宋" w:eastAsia="仿宋" w:cs="仿宋"/>
          <w:color w:val="000000"/>
          <w:sz w:val="32"/>
          <w:szCs w:val="32"/>
        </w:rPr>
        <w:t>1201.19</w:t>
      </w:r>
      <w:r>
        <w:rPr>
          <w:rFonts w:hint="eastAsia" w:ascii="仿宋" w:hAnsi="仿宋" w:eastAsia="仿宋" w:cs="仿宋"/>
          <w:i w:val="0"/>
          <w:caps w:val="0"/>
          <w:color w:val="333333"/>
          <w:spacing w:val="0"/>
          <w:sz w:val="28"/>
          <w:szCs w:val="28"/>
          <w:lang w:val="en-US" w:eastAsia="zh-CN"/>
        </w:rPr>
        <w:t>万元，政府性基金预算收入1.3万元，整体绩效目标完成较好</w:t>
      </w:r>
      <w:r>
        <w:rPr>
          <w:rFonts w:hint="eastAsia" w:ascii="仿宋" w:hAnsi="仿宋" w:eastAsia="仿宋" w:cs="仿宋"/>
          <w:color w:val="000000"/>
          <w:sz w:val="32"/>
          <w:szCs w:val="32"/>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0" w:firstLineChars="0"/>
        <w:jc w:val="both"/>
        <w:textAlignment w:val="auto"/>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lang w:eastAsia="zh-CN"/>
        </w:rPr>
        <w:t>（一）</w:t>
      </w:r>
      <w:r>
        <w:rPr>
          <w:rFonts w:hint="eastAsia" w:ascii="仿宋" w:hAnsi="仿宋" w:eastAsia="仿宋" w:cs="仿宋"/>
          <w:b/>
          <w:bCs/>
          <w:i w:val="0"/>
          <w:caps w:val="0"/>
          <w:color w:val="333333"/>
          <w:spacing w:val="0"/>
          <w:sz w:val="28"/>
          <w:szCs w:val="28"/>
        </w:rPr>
        <w:t>产出指标完成情况分析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leftChars="0" w:right="0" w:rightChars="0" w:firstLine="420" w:firstLineChars="15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财政拨款支出主要用于保障我单位机构正常运转、完成日常工作任务以及承担社会保险事业发展相关工作。</w:t>
      </w:r>
      <w:r>
        <w:rPr>
          <w:rFonts w:hint="eastAsia" w:ascii="仿宋" w:hAnsi="仿宋" w:eastAsia="仿宋" w:cs="仿宋"/>
          <w:i w:val="0"/>
          <w:caps w:val="0"/>
          <w:color w:val="000000"/>
          <w:spacing w:val="0"/>
          <w:sz w:val="28"/>
          <w:szCs w:val="28"/>
          <w:lang w:val="en-US" w:eastAsia="zh-CN"/>
        </w:rPr>
        <w:t>完成绩效目标小学教育支出</w:t>
      </w:r>
      <w:r>
        <w:rPr>
          <w:rFonts w:hint="eastAsia" w:ascii="仿宋" w:hAnsi="仿宋" w:eastAsia="仿宋" w:cs="仿宋"/>
          <w:color w:val="000000"/>
          <w:sz w:val="32"/>
          <w:szCs w:val="32"/>
        </w:rPr>
        <w:t>1042.11</w:t>
      </w:r>
      <w:r>
        <w:rPr>
          <w:rFonts w:hint="eastAsia" w:ascii="仿宋" w:hAnsi="仿宋" w:eastAsia="仿宋" w:cs="仿宋"/>
          <w:i w:val="0"/>
          <w:caps w:val="0"/>
          <w:color w:val="000000"/>
          <w:spacing w:val="0"/>
          <w:sz w:val="28"/>
          <w:szCs w:val="28"/>
          <w:lang w:val="en-US" w:eastAsia="zh-CN"/>
        </w:rPr>
        <w:t>万元，社会保障和就业支出</w:t>
      </w:r>
      <w:r>
        <w:rPr>
          <w:rFonts w:hint="eastAsia" w:ascii="仿宋" w:hAnsi="仿宋" w:eastAsia="仿宋" w:cs="仿宋"/>
          <w:color w:val="000000"/>
          <w:sz w:val="32"/>
          <w:szCs w:val="32"/>
        </w:rPr>
        <w:t>87.78</w:t>
      </w:r>
      <w:r>
        <w:rPr>
          <w:rFonts w:hint="eastAsia" w:ascii="仿宋" w:hAnsi="仿宋" w:eastAsia="仿宋" w:cs="仿宋"/>
          <w:i w:val="0"/>
          <w:caps w:val="0"/>
          <w:color w:val="000000"/>
          <w:spacing w:val="0"/>
          <w:sz w:val="28"/>
          <w:szCs w:val="28"/>
          <w:lang w:val="en-US" w:eastAsia="zh-CN"/>
        </w:rPr>
        <w:t>万元，事业单位医疗支出</w:t>
      </w:r>
      <w:r>
        <w:rPr>
          <w:rFonts w:hint="eastAsia" w:ascii="仿宋" w:hAnsi="仿宋" w:eastAsia="仿宋" w:cs="仿宋"/>
          <w:color w:val="000000"/>
          <w:sz w:val="32"/>
          <w:szCs w:val="32"/>
        </w:rPr>
        <w:t>41.42</w:t>
      </w:r>
      <w:r>
        <w:rPr>
          <w:rFonts w:hint="eastAsia" w:ascii="仿宋" w:hAnsi="仿宋" w:eastAsia="仿宋" w:cs="仿宋"/>
          <w:i w:val="0"/>
          <w:caps w:val="0"/>
          <w:color w:val="000000"/>
          <w:spacing w:val="0"/>
          <w:sz w:val="28"/>
          <w:szCs w:val="28"/>
          <w:lang w:val="en-US" w:eastAsia="zh-CN"/>
        </w:rPr>
        <w:t>万元，住房公积金支出</w:t>
      </w:r>
      <w:r>
        <w:rPr>
          <w:rFonts w:hint="eastAsia" w:ascii="仿宋" w:hAnsi="仿宋" w:eastAsia="仿宋" w:cs="仿宋"/>
          <w:color w:val="000000"/>
          <w:sz w:val="32"/>
          <w:szCs w:val="32"/>
        </w:rPr>
        <w:t>62.13</w:t>
      </w:r>
      <w:r>
        <w:rPr>
          <w:rFonts w:hint="eastAsia" w:ascii="仿宋" w:hAnsi="仿宋" w:eastAsia="仿宋" w:cs="仿宋"/>
          <w:i w:val="0"/>
          <w:caps w:val="0"/>
          <w:color w:val="000000"/>
          <w:spacing w:val="0"/>
          <w:sz w:val="28"/>
          <w:szCs w:val="28"/>
          <w:lang w:val="en-US" w:eastAsia="zh-CN"/>
        </w:rPr>
        <w:t>万元。乡村少年宫支出1.3万元。</w:t>
      </w:r>
      <w:r>
        <w:rPr>
          <w:rFonts w:hint="eastAsia" w:ascii="仿宋" w:hAnsi="仿宋" w:eastAsia="仿宋" w:cs="仿宋"/>
          <w:i w:val="0"/>
          <w:caps w:val="0"/>
          <w:color w:val="000000"/>
          <w:spacing w:val="0"/>
          <w:sz w:val="28"/>
          <w:szCs w:val="28"/>
        </w:rPr>
        <w:t>基本支出，是用于保障机构正常运转的日常支出，包括基本工资、津贴补贴、养老保险、医保等人员经费以及办公费、印刷费、水电费、差旅等日常公用经费</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2022年产出指标完较好。</w:t>
      </w:r>
    </w:p>
    <w:tbl>
      <w:tblPr>
        <w:tblStyle w:val="13"/>
        <w:tblW w:w="8418" w:type="dxa"/>
        <w:tblInd w:w="0" w:type="dxa"/>
        <w:shd w:val="clear" w:color="auto" w:fill="auto"/>
        <w:tblLayout w:type="autofit"/>
        <w:tblCellMar>
          <w:top w:w="0" w:type="dxa"/>
          <w:left w:w="0" w:type="dxa"/>
          <w:bottom w:w="0" w:type="dxa"/>
          <w:right w:w="0" w:type="dxa"/>
        </w:tblCellMar>
      </w:tblPr>
      <w:tblGrid>
        <w:gridCol w:w="1007"/>
        <w:gridCol w:w="4680"/>
        <w:gridCol w:w="2731"/>
      </w:tblGrid>
      <w:tr>
        <w:tblPrEx>
          <w:shd w:val="clear" w:color="auto" w:fill="auto"/>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二级指标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三级指标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指标值（包含数字及文字描述）</w:t>
            </w:r>
          </w:p>
        </w:tc>
      </w:tr>
      <w:tr>
        <w:tblPrEx>
          <w:shd w:val="clear" w:color="auto" w:fill="auto"/>
          <w:tblCellMar>
            <w:top w:w="0" w:type="dxa"/>
            <w:left w:w="0" w:type="dxa"/>
            <w:bottom w:w="0" w:type="dxa"/>
            <w:right w:w="0" w:type="dxa"/>
          </w:tblCellMar>
        </w:tblPrEx>
        <w:trPr>
          <w:trHeight w:val="323"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数量指标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贫困地区乡村教师、校（园）长培训人次</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≥500人次</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城乡义务教育公用经费惠及人数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≥2000人</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学生资助政策惠及学生人数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≥1000人次</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农村特岗教师人数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≥5人</w:t>
            </w:r>
          </w:p>
        </w:tc>
      </w:tr>
      <w:tr>
        <w:tblPrEx>
          <w:shd w:val="clear" w:color="auto" w:fill="auto"/>
          <w:tblCellMar>
            <w:top w:w="0" w:type="dxa"/>
            <w:left w:w="0" w:type="dxa"/>
            <w:bottom w:w="0" w:type="dxa"/>
            <w:right w:w="0" w:type="dxa"/>
          </w:tblCellMar>
        </w:tblPrEx>
        <w:trPr>
          <w:trHeight w:val="323"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质量指标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国家通用语言文字培训覆盖率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农村义务教育学生营养改善计划供餐质量达标率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学生资助标准达标率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教师培训合格率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时效指标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目标在时限内完成</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2022年12月已完成</w:t>
            </w:r>
          </w:p>
        </w:tc>
      </w:tr>
      <w:tr>
        <w:tblPrEx>
          <w:tblCellMar>
            <w:top w:w="0" w:type="dxa"/>
            <w:left w:w="0" w:type="dxa"/>
            <w:bottom w:w="0" w:type="dxa"/>
            <w:right w:w="0" w:type="dxa"/>
          </w:tblCellMar>
        </w:tblPrEx>
        <w:trPr>
          <w:trHeight w:val="33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成本指标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保障单位各项工作正常运转</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按财政预算足额保障</w:t>
            </w:r>
          </w:p>
        </w:tc>
      </w:tr>
    </w:tbl>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0" w:firstLineChars="0"/>
        <w:jc w:val="both"/>
        <w:textAlignment w:val="auto"/>
        <w:rPr>
          <w:rFonts w:hint="eastAsia" w:ascii="仿宋" w:hAnsi="仿宋" w:eastAsia="仿宋" w:cs="仿宋"/>
          <w:b/>
          <w:bCs/>
          <w:i w:val="0"/>
          <w:caps w:val="0"/>
          <w:color w:val="333333"/>
          <w:spacing w:val="0"/>
          <w:sz w:val="28"/>
          <w:szCs w:val="28"/>
          <w:lang w:val="en-US" w:eastAsia="zh-CN"/>
        </w:rPr>
      </w:pPr>
      <w:r>
        <w:rPr>
          <w:rFonts w:hint="eastAsia" w:ascii="仿宋" w:hAnsi="仿宋" w:eastAsia="仿宋" w:cs="仿宋"/>
          <w:b/>
          <w:bCs/>
          <w:i w:val="0"/>
          <w:caps w:val="0"/>
          <w:color w:val="333333"/>
          <w:spacing w:val="0"/>
          <w:sz w:val="28"/>
          <w:szCs w:val="28"/>
          <w:lang w:val="en-US" w:eastAsia="zh-CN"/>
        </w:rPr>
        <w:t>（二）效益指标完成情况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leftChars="0" w:right="0" w:firstLine="420" w:firstLineChars="15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效益指标完成情况分析。所有开支均按照财务管理制度执行，资金的使用严格把关，学校的日常工作运行得到保障。</w:t>
      </w:r>
    </w:p>
    <w:tbl>
      <w:tblPr>
        <w:tblStyle w:val="13"/>
        <w:tblW w:w="8418" w:type="dxa"/>
        <w:tblInd w:w="0" w:type="dxa"/>
        <w:shd w:val="clear" w:color="auto" w:fill="auto"/>
        <w:tblLayout w:type="autofit"/>
        <w:tblCellMar>
          <w:top w:w="0" w:type="dxa"/>
          <w:left w:w="0" w:type="dxa"/>
          <w:bottom w:w="0" w:type="dxa"/>
          <w:right w:w="0" w:type="dxa"/>
        </w:tblCellMar>
      </w:tblPr>
      <w:tblGrid>
        <w:gridCol w:w="950"/>
        <w:gridCol w:w="893"/>
        <w:gridCol w:w="4152"/>
        <w:gridCol w:w="2423"/>
      </w:tblGrid>
      <w:tr>
        <w:tblPrEx>
          <w:shd w:val="clear" w:color="auto" w:fill="auto"/>
          <w:tblCellMar>
            <w:top w:w="0" w:type="dxa"/>
            <w:left w:w="0" w:type="dxa"/>
            <w:bottom w:w="0" w:type="dxa"/>
            <w:right w:w="0" w:type="dxa"/>
          </w:tblCellMar>
        </w:tblPrEx>
        <w:trPr>
          <w:trHeight w:val="598"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效益指标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经济效益指标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r>
      <w:tr>
        <w:tblPrEx>
          <w:shd w:val="clear" w:color="auto" w:fill="auto"/>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社会效益指标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建档立卡贫困户子女全程全部接受资助的比例</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适龄儿童、青少年接受九年义务教育的比率</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参训乡村教师教育教学能力提高</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明显提高</w:t>
            </w:r>
          </w:p>
        </w:tc>
      </w:tr>
      <w:tr>
        <w:tblPrEx>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大班额消除率</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598"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生态效益指标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可持续影响指标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贯彻落实义务教育保障机制</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完成预期目标</w:t>
            </w:r>
          </w:p>
        </w:tc>
      </w:tr>
      <w:tr>
        <w:tblPrEx>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支持城乡义务教育健康发展</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完成预期目标</w:t>
            </w:r>
          </w:p>
        </w:tc>
      </w:tr>
      <w:tr>
        <w:tblPrEx>
          <w:tblCellMar>
            <w:top w:w="0" w:type="dxa"/>
            <w:left w:w="0" w:type="dxa"/>
            <w:bottom w:w="0" w:type="dxa"/>
            <w:right w:w="0" w:type="dxa"/>
          </w:tblCellMar>
        </w:tblPrEx>
        <w:trPr>
          <w:trHeight w:val="34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提升教育教学质量与水平</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完成预期目标</w:t>
            </w:r>
          </w:p>
        </w:tc>
      </w:tr>
    </w:tbl>
    <w:p>
      <w:pPr>
        <w:pStyle w:val="1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b/>
          <w:bCs/>
          <w:i w:val="0"/>
          <w:caps w:val="0"/>
          <w:color w:val="333333"/>
          <w:spacing w:val="0"/>
          <w:sz w:val="28"/>
          <w:szCs w:val="28"/>
          <w:lang w:val="en-US" w:eastAsia="zh-CN"/>
        </w:rPr>
      </w:pPr>
      <w:r>
        <w:rPr>
          <w:rFonts w:hint="eastAsia" w:ascii="仿宋" w:hAnsi="仿宋" w:eastAsia="仿宋" w:cs="仿宋"/>
          <w:b/>
          <w:bCs/>
          <w:i w:val="0"/>
          <w:caps w:val="0"/>
          <w:color w:val="333333"/>
          <w:spacing w:val="0"/>
          <w:sz w:val="28"/>
          <w:szCs w:val="28"/>
          <w:lang w:val="en-US" w:eastAsia="zh-CN"/>
        </w:rPr>
        <w:t>（三）满意度指标完成情况分析。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420" w:firstLineChars="15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2022年我单位较好地完成了绩效目标任务，日常管理工作均按照我单位相关管理制度执行，建立了工作有计划、实施有方案、日常有监督的管理机制，工作取得了较好的成效，效能得到了提高、获得了社会公众的好评。</w:t>
      </w:r>
    </w:p>
    <w:tbl>
      <w:tblPr>
        <w:tblStyle w:val="13"/>
        <w:tblW w:w="8258" w:type="dxa"/>
        <w:tblInd w:w="0" w:type="dxa"/>
        <w:shd w:val="clear" w:color="auto" w:fill="auto"/>
        <w:tblLayout w:type="autofit"/>
        <w:tblCellMar>
          <w:top w:w="0" w:type="dxa"/>
          <w:left w:w="0" w:type="dxa"/>
          <w:bottom w:w="0" w:type="dxa"/>
          <w:right w:w="0" w:type="dxa"/>
        </w:tblCellMar>
      </w:tblPr>
      <w:tblGrid>
        <w:gridCol w:w="932"/>
        <w:gridCol w:w="876"/>
        <w:gridCol w:w="1410"/>
        <w:gridCol w:w="5040"/>
      </w:tblGrid>
      <w:tr>
        <w:tblPrEx>
          <w:shd w:val="clear" w:color="auto" w:fill="auto"/>
          <w:tblCellMar>
            <w:top w:w="0" w:type="dxa"/>
            <w:left w:w="0" w:type="dxa"/>
            <w:bottom w:w="0" w:type="dxa"/>
            <w:right w:w="0" w:type="dxa"/>
          </w:tblCellMar>
        </w:tblPrEx>
        <w:trPr>
          <w:trHeight w:val="342"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家长满意度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98%</w:t>
            </w:r>
          </w:p>
        </w:tc>
      </w:tr>
      <w:tr>
        <w:tblPrEx>
          <w:tblCellMar>
            <w:top w:w="0" w:type="dxa"/>
            <w:left w:w="0" w:type="dxa"/>
            <w:bottom w:w="0" w:type="dxa"/>
            <w:right w:w="0" w:type="dxa"/>
          </w:tblCellMar>
        </w:tblPrEx>
        <w:trPr>
          <w:trHeight w:val="34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社会满意度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r>
      <w:tr>
        <w:tblPrEx>
          <w:tblCellMar>
            <w:top w:w="0" w:type="dxa"/>
            <w:left w:w="0" w:type="dxa"/>
            <w:bottom w:w="0" w:type="dxa"/>
            <w:right w:w="0" w:type="dxa"/>
          </w:tblCellMar>
        </w:tblPrEx>
        <w:trPr>
          <w:trHeight w:val="35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bl>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i w:val="0"/>
          <w:caps w:val="0"/>
          <w:color w:val="333333"/>
          <w:spacing w:val="0"/>
          <w:sz w:val="28"/>
          <w:szCs w:val="28"/>
          <w:lang w:val="en-US" w:eastAsia="zh-CN"/>
        </w:rPr>
      </w:pPr>
      <w:r>
        <w:rPr>
          <w:rFonts w:hint="eastAsia" w:ascii="仿宋" w:hAnsi="仿宋" w:eastAsia="仿宋" w:cs="仿宋"/>
          <w:i w:val="0"/>
          <w:caps w:val="0"/>
          <w:color w:val="333333"/>
          <w:spacing w:val="0"/>
          <w:sz w:val="28"/>
          <w:szCs w:val="28"/>
          <w:lang w:val="en-US" w:eastAsia="zh-CN"/>
        </w:rPr>
        <w:t>三、自评结论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560"/>
        <w:jc w:val="both"/>
        <w:textAlignment w:val="auto"/>
        <w:rPr>
          <w:rFonts w:hint="eastAsia" w:ascii="仿宋" w:hAnsi="仿宋" w:eastAsia="仿宋" w:cs="仿宋"/>
          <w:i w:val="0"/>
          <w:caps w:val="0"/>
          <w:color w:val="333333"/>
          <w:spacing w:val="0"/>
          <w:sz w:val="27"/>
          <w:szCs w:val="27"/>
        </w:rPr>
      </w:pPr>
      <w:r>
        <w:rPr>
          <w:rFonts w:hint="eastAsia" w:ascii="仿宋" w:hAnsi="仿宋" w:eastAsia="仿宋" w:cs="仿宋"/>
          <w:i w:val="0"/>
          <w:caps w:val="0"/>
          <w:color w:val="000000"/>
          <w:spacing w:val="0"/>
          <w:sz w:val="28"/>
          <w:szCs w:val="28"/>
          <w:lang w:val="en-US" w:eastAsia="zh-CN"/>
        </w:rPr>
        <w:t>从整体情况来看，我单位各项资金从预算、执行、验收、资金支付等流程层层把关，严格按照部门预算进行部门整体支出，涉及“三重一大”事项必须经过严格审批手续，“三公经费”逐年下降。所有项目资金严格按照项目申报的实施方案组织实施，依据相应的资金管理办法切实做到项目资金专款专用，无截留、无挪用等现象。</w:t>
      </w:r>
    </w:p>
    <w:p>
      <w:pPr>
        <w:spacing w:line="600" w:lineRule="exact"/>
        <w:jc w:val="center"/>
        <w:rPr>
          <w:rStyle w:val="32"/>
          <w:rFonts w:ascii="黑体" w:hAnsi="黑体" w:eastAsia="黑体"/>
          <w:b w:val="0"/>
        </w:rPr>
      </w:pPr>
      <w:r>
        <w:rPr>
          <w:rStyle w:val="32"/>
          <w:rFonts w:hint="eastAsia" w:ascii="仿宋" w:hAnsi="仿宋" w:eastAsia="仿宋" w:cs="仿宋"/>
          <w:b w:val="0"/>
        </w:rPr>
        <w:br w:type="page"/>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caps w:val="0"/>
          <w:color w:val="000000"/>
          <w:spacing w:val="0"/>
          <w:sz w:val="28"/>
          <w:szCs w:val="28"/>
          <w:lang w:val="en-US" w:eastAsia="zh-CN"/>
        </w:rPr>
      </w:pPr>
      <w:r>
        <w:rPr>
          <w:rStyle w:val="32"/>
          <w:rFonts w:hint="eastAsia" w:ascii="黑体" w:hAnsi="黑体" w:eastAsia="黑体"/>
          <w:b w:val="0"/>
          <w:sz w:val="32"/>
          <w:szCs w:val="32"/>
          <w:lang w:val="en-US" w:eastAsia="zh-CN"/>
        </w:rPr>
        <w:t>附件2</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本部门在2022年度部门决算中反映项目支出“2022农村校舍保障长效机制”“乡村少年宫”项目绩效目标实际完成情况公开。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一、2022农村校舍保障长效机制项目绩效报告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为了保障义务教育学校提升办学水平、改善办学条件。我单位2022年改造提升项目投入总金额45.94万元，主要用于农村校舍保障维修维护。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1．项目主要内容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贯彻党的教育方针，保障学校正常运转，提升教师业务素养，促进基础教育均衡发展。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2．项目应实现的具体绩效目标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产出指标：房屋维修维护1500平方米。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效益指标：保障学校教学用房安全，提升办学条件，师生有更安全舒适的教学环境。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满意度指标：社会满意度达95%以上。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3．本项目一次性项目，其实施后能保障学校工作正常运转，解决教学用房年久损坏问题，且具有可持续性，社会效益凸显。申报目标是合理可行。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（三）项目自评步骤及方法。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建立各类会计及相关人员的岗位责任制，明确各岗位的职责和权限合理设置岗位，项目结束及时公布账务，积极接受上级财务主管各项督查，及时申报各类财务数据。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1、所有支出凭证都有经手人、验收人或证明人、领导签字审批。从而杜绝了支出无序操作，确保了资金合理使用。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2、在经费支出过程中，所有原始凭证合理、合规，做到了内容真实、完整，凭证合法，手续齐全。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二、项目资金申报及使用情况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（一）项目资金申报及批复情况。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在规定时间内部门及时申报项目资金，及时接收财政局批复情况。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黑体" w:hAnsi="黑体" w:eastAsia="黑体" w:cs="黑体"/>
          <w:color w:val="000000"/>
          <w:kern w:val="2"/>
          <w:sz w:val="32"/>
          <w:szCs w:val="32"/>
          <w:lang w:val="en-US" w:eastAsia="zh-CN" w:bidi="ar-SA"/>
        </w:rPr>
      </w:pPr>
      <w:r>
        <w:rPr>
          <w:rFonts w:hint="eastAsia" w:ascii="仿宋_gb2312" w:hAnsi="仿宋_gb2312" w:eastAsia="仿宋_gb2312" w:cs="仿宋_gb2312"/>
          <w:i w:val="0"/>
          <w:caps w:val="0"/>
          <w:color w:val="000000"/>
          <w:spacing w:val="0"/>
          <w:sz w:val="28"/>
          <w:szCs w:val="28"/>
          <w:lang w:val="en-US" w:eastAsia="zh-CN"/>
        </w:rPr>
        <w:t>（二）资金计划、到位及使用情况。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2022农村校舍保障长效机制完成情况综述。项目全年预算数执行数为45.94万元，完成预算的100%。通过项目实施，农村校舍维修改善1500平方米。办学条件得到提升，师生满意度大于95%。</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三、项目绩效情况说明</w:t>
      </w:r>
      <w:r>
        <w:rPr>
          <w:rFonts w:hint="eastAsia" w:ascii="仿宋_gb2312" w:hAnsi="仿宋_gb2312" w:eastAsia="仿宋_gb2312" w:cs="仿宋_gb2312"/>
          <w:i w:val="0"/>
          <w:caps w:val="0"/>
          <w:color w:val="000000"/>
          <w:spacing w:val="0"/>
          <w:sz w:val="28"/>
          <w:szCs w:val="28"/>
          <w:lang w:val="en-US" w:eastAsia="zh-CN"/>
        </w:rPr>
        <w:tab/>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（一）项目完成情况。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在县政府和县财政局、教育局的领导下，于2022年年初就制定了绩效目标，经过一年的管理，我单位项目支出绩效目标管理比较理想，达到了年初设定的目标。在编制预算时，充分考虑到学校的资金需求情况，结合上级要求，我们在支出按计划按实际需求使用预算资金。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（二）效益情况。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项目实施组织严密，管理规范有序，资金使用管理到位，社会经济效益凸显。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社会效益：通过项目的实施，规范了办学环境，营造了良好教育教学秩序，从而促进学校良性发展，赢得社会广泛赞誉。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可持续发展影响：家长认可，学生健康成长，在学生自然减员下，学生流动较少。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家长满意度：学生监护人对学校办学质量高度认可，满意度达到95%以上。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（三）评价结论及建议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我校2022年严格执行年初部门预算，项目支出资金使用管理规范，制度落实到位，绩效考核目标任务圆满完成。通过学校绩效评价工作的开展，校内工作氛围融洽，办学效益得到提升，群众满意度得到了提高。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根据公兴小学对支出项目绩效评价指标表评价，本次评价等次为：优。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（四）存在的问题。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随着资金管理改革的进一步推进，学校内控制度需要进一步地完善并强化财务约束监督体制。要继续加强财务管理水平。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（五）相关建议。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进一步提高预算编制到位率，做准做全基本支出预算，做全项目支出预算，加强预算支出的审核、跟踪及预算执行情况分析，提高预算编制严谨性和可控性。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严格实行项目管理程序化，实现项目申报、实施、拨付、评价全流程监督与控制，规范专项资金管理，提高专项资金的使用效益，更好地履行义务教育均衡发展的职能。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四、项目绩效目标表</w:t>
      </w:r>
    </w:p>
    <w:tbl>
      <w:tblPr>
        <w:tblStyle w:val="13"/>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1"/>
        <w:gridCol w:w="1282"/>
        <w:gridCol w:w="1416"/>
        <w:gridCol w:w="2389"/>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46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2022农村校舍保障长效机制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剑阁县公兴小学校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                                        （万元）</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年度资金总额：45.94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财政拨款：45.94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其他资金：0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总体目标</w:t>
            </w:r>
          </w:p>
        </w:tc>
        <w:tc>
          <w:tcPr>
            <w:tcW w:w="7535" w:type="dxa"/>
            <w:gridSpan w:val="4"/>
            <w:tcBorders>
              <w:top w:val="single" w:color="000000" w:sz="4" w:space="0"/>
              <w:left w:val="single" w:color="000000" w:sz="4" w:space="0"/>
              <w:bottom w:val="nil"/>
              <w:right w:val="single" w:color="000000" w:sz="4" w:space="0"/>
            </w:tcBorders>
            <w:shd w:val="clear" w:color="auto" w:fill="auto"/>
            <w:vAlign w:val="center"/>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改善办学条件，提升教学质量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改造校舍</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惠及师生</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工程质量</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完成时间</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资金投入</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w:t>
            </w: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资金支出</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办学条件改善</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办让人民满意的教育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师生满意度</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3"/>
                <w:rFonts w:hint="eastAsia" w:ascii="仿宋" w:hAnsi="仿宋" w:eastAsia="仿宋" w:cs="仿宋"/>
                <w:sz w:val="24"/>
                <w:szCs w:val="24"/>
                <w:lang w:val="en-US" w:eastAsia="zh-CN" w:bidi="ar"/>
              </w:rPr>
              <w:t>≧</w:t>
            </w:r>
            <w:r>
              <w:rPr>
                <w:rStyle w:val="34"/>
                <w:rFonts w:hint="eastAsia" w:ascii="仿宋" w:hAnsi="仿宋" w:eastAsia="仿宋" w:cs="仿宋"/>
                <w:sz w:val="24"/>
                <w:szCs w:val="24"/>
                <w:lang w:val="en-US" w:eastAsia="zh-CN" w:bidi="ar"/>
              </w:rPr>
              <w:t>95%</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二、乡村少年宫项目绩效报告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为了保障义务教育学校提升办学水平、提高学生整体素质，我单位2022年乡村少年宫投入总金额1.3万元，主要用于乡村少年宫运维工作。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1．项目主要内容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贯彻党的教育方针，提升素质教育质量，提升学习兴趣、提高学生幸福指数，提高办学水平，促进基础教育均衡发展。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2．项目应实现的具体绩效目标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产出指标：办好乡村少年宫教学活动。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效益指标：丰富学生课外活动，保提学习幸福指数、提升学生整体素质，提升办学水平，办好人民满意的教育</w:t>
      </w:r>
      <w:r>
        <w:rPr>
          <w:rFonts w:hint="eastAsia" w:ascii="仿宋" w:hAnsi="仿宋" w:eastAsia="仿宋" w:cs="仿宋"/>
          <w:i w:val="0"/>
          <w:iCs w:val="0"/>
          <w:color w:val="000000"/>
          <w:kern w:val="0"/>
          <w:sz w:val="24"/>
          <w:szCs w:val="24"/>
          <w:u w:val="none"/>
          <w:lang w:val="en-US" w:eastAsia="zh-CN" w:bidi="ar"/>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满意度指标：社会满意度达95%以上。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3．本项目持续性项目，其实施后能提升学生整体素质，提升学生学习兴趣爱好，提升学习幸福指数，具有可持续性，社会效益凸显，申报目标是合理可行。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（三）项目自评步骤及方法。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建立各类会计及相关人员的岗位责任制，明确各岗位的职责和权限合理设置岗位，项目结束及时公布账务，积极接受上级财务主管各项督查，及时申报各类财务数据。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1、所有支出凭证都有经手人、验收人或证明人、领导签字审批。从而杜绝了支出无序操作，确保了资金合理使用。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2、在经费支出过程中，所有原始凭证合理、合规，做到了内容真实、完整，凭证合法，手续齐全。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二、项目资金申报及使用情况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（一）项目资金申报及批复情况。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在规定时间内部门及时申报项目资金，及时接收财政局批复情况。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（二）资金计划、到位及使用情况。</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2022年周转房项目全年预算数1.3万元，执行数为1.3万元，完成预算的100%。通过项目实施，提升学生兴趣爱好，培养了学生综合整体素质。学生满意度大于95%</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三、项目绩效情况说明</w:t>
      </w:r>
      <w:r>
        <w:rPr>
          <w:rFonts w:hint="eastAsia" w:ascii="仿宋_gb2312" w:hAnsi="仿宋_gb2312" w:eastAsia="仿宋_gb2312" w:cs="仿宋_gb2312"/>
          <w:i w:val="0"/>
          <w:caps w:val="0"/>
          <w:color w:val="000000"/>
          <w:spacing w:val="0"/>
          <w:sz w:val="28"/>
          <w:szCs w:val="28"/>
          <w:lang w:val="en-US" w:eastAsia="zh-CN"/>
        </w:rPr>
        <w:tab/>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（一）项目完成情况。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在县政府和县财政局、教育局的领导下，于2022年年初就制定了绩效目标，经过一年的管理，我单位项目支出绩效目标管理比较理想，达到了年初设定的目标。在编制预算时，充分考虑的学校的资金需求情况，结合上级要求，我们在支出按计划按实际需求使用预算资金。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（二）项目效益情况。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项目实施组织严密，管理规范有序，资金使用管理到位，社会经济效益凸显。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社会效益：通过项目的实施，规范了办学环境，营造了良好教育教学秩序，从而促进学校良性发展，赢得社会广泛赞誉。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可持续发展影响：家长认可，学生健康成长，在职工流动性较大的情况下，能留得住职工自然，教师调离人数明显减少。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家长满意度：学生监护人对学校办学质量高度认可，满意度达到95%以上。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（三）评价结论及建议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我校2022年严格执行年初部门预算，项目支出资金使用管理规范，制度落实到位，绩效考核目标任务圆满完成：通过学校绩效评价工作的开展，校内工作氛围融洽，办学效益得到提升，群众满意度得到了提高。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根据公兴小学对支出项目绩效评价指标表评价，本次评价等次为：优。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（四）存在的问题。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随着资金管理改革的进一步推进，学校内控制度需要进一步地完善并强化财务约束监督体制。要继续加强财务管理水平。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（五</w:t>
      </w:r>
      <w:bookmarkStart w:id="73" w:name="_GoBack"/>
      <w:bookmarkEnd w:id="73"/>
      <w:r>
        <w:rPr>
          <w:rFonts w:hint="eastAsia" w:ascii="仿宋_gb2312" w:hAnsi="仿宋_gb2312" w:eastAsia="仿宋_gb2312" w:cs="仿宋_gb2312"/>
          <w:i w:val="0"/>
          <w:caps w:val="0"/>
          <w:color w:val="000000"/>
          <w:spacing w:val="0"/>
          <w:sz w:val="28"/>
          <w:szCs w:val="28"/>
          <w:lang w:val="en-US" w:eastAsia="zh-CN"/>
        </w:rPr>
        <w:t>）相关建议。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进一步提高预算编制到位率，做准做全基本支出预算，做全项目支出预算，加强预算支出的审核、跟踪及预算执行情况分析，提高预算编制严谨性和可控性。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严格实行项目管理程序化，实现项目申报、实施、拨付、评价全流程监督与控制，规范专项资金管理，提高专项资金的使用效益，更好地履行义务教育均衡发展的职能。</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四、项目绩效目标表</w:t>
      </w:r>
    </w:p>
    <w:tbl>
      <w:tblPr>
        <w:tblStyle w:val="13"/>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1"/>
        <w:gridCol w:w="1282"/>
        <w:gridCol w:w="1416"/>
        <w:gridCol w:w="2389"/>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46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caps w:val="0"/>
                <w:color w:val="000000"/>
                <w:spacing w:val="0"/>
                <w:sz w:val="24"/>
                <w:szCs w:val="24"/>
                <w:lang w:val="en-US" w:eastAsia="zh-CN"/>
              </w:rPr>
              <w:t>乡村少年宫项目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剑阁县公兴小学校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                                        （万元）</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年度资金总额：1.3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财政拨款：1.3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其他资金：0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总体目标</w:t>
            </w:r>
          </w:p>
        </w:tc>
        <w:tc>
          <w:tcPr>
            <w:tcW w:w="7535" w:type="dxa"/>
            <w:gridSpan w:val="4"/>
            <w:tcBorders>
              <w:top w:val="single" w:color="000000" w:sz="4" w:space="0"/>
              <w:left w:val="single" w:color="000000" w:sz="4" w:space="0"/>
              <w:bottom w:val="nil"/>
              <w:right w:val="single" w:color="000000" w:sz="4" w:space="0"/>
            </w:tcBorders>
            <w:shd w:val="clear" w:color="auto" w:fill="auto"/>
            <w:vAlign w:val="center"/>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改善办学条件，提升教学质量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全年开课天数</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惠及学生</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≧1131人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提升学生整体素质</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完成时间</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资金投入</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w:t>
            </w: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资金支出</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办学条件改善</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办让人民满意的教育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学生满意度</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3"/>
                <w:rFonts w:hint="eastAsia" w:ascii="仿宋" w:hAnsi="仿宋" w:eastAsia="仿宋" w:cs="仿宋"/>
                <w:sz w:val="24"/>
                <w:szCs w:val="24"/>
                <w:lang w:val="en-US" w:eastAsia="zh-CN" w:bidi="ar"/>
              </w:rPr>
              <w:t>≧</w:t>
            </w:r>
            <w:r>
              <w:rPr>
                <w:rStyle w:val="34"/>
                <w:rFonts w:hint="eastAsia" w:ascii="仿宋" w:hAnsi="仿宋" w:eastAsia="仿宋" w:cs="仿宋"/>
                <w:sz w:val="24"/>
                <w:szCs w:val="24"/>
                <w:lang w:val="en-US" w:eastAsia="zh-CN" w:bidi="ar"/>
              </w:rPr>
              <w:t>95%</w:t>
            </w:r>
          </w:p>
        </w:tc>
      </w:tr>
    </w:tbl>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26"/>
          <w:rFonts w:hint="eastAsia" w:ascii="仿宋" w:hAnsi="仿宋" w:eastAsia="仿宋"/>
          <w:b w:val="0"/>
          <w:bCs w:val="0"/>
        </w:rPr>
        <w:t>入决算表</w:t>
      </w:r>
      <w:bookmarkEnd w:id="61"/>
    </w:p>
    <w:p>
      <w:pPr>
        <w:pStyle w:val="4"/>
        <w:rPr>
          <w:rFonts w:ascii="仿宋" w:hAnsi="仿宋" w:eastAsia="仿宋"/>
        </w:rPr>
      </w:pPr>
      <w:bookmarkStart w:id="62"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3"/>
    </w:p>
    <w:p>
      <w:pPr>
        <w:pStyle w:val="4"/>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26"/>
          <w:rFonts w:hint="eastAsia" w:ascii="仿宋" w:hAnsi="仿宋" w:eastAsia="仿宋"/>
          <w:b w:val="0"/>
          <w:bCs w:val="0"/>
        </w:rPr>
        <w:t>十、</w:t>
      </w:r>
      <w:bookmarkEnd w:id="69"/>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26"/>
          <w:rFonts w:hint="eastAsia" w:ascii="仿宋" w:hAnsi="仿宋" w:eastAsia="仿宋"/>
          <w:b w:val="0"/>
          <w:bCs w:val="0"/>
        </w:rPr>
        <w:t>十一、</w:t>
      </w:r>
      <w:bookmarkEnd w:id="70"/>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26"/>
          <w:rFonts w:hint="eastAsia" w:ascii="仿宋" w:hAnsi="仿宋" w:eastAsia="仿宋"/>
          <w:b w:val="0"/>
          <w:bCs w:val="0"/>
        </w:rPr>
        <w:t>十二、</w:t>
      </w:r>
      <w:bookmarkEnd w:id="71"/>
      <w:r>
        <w:rPr>
          <w:rStyle w:val="26"/>
          <w:rFonts w:hint="eastAsia" w:ascii="仿宋" w:hAnsi="仿宋" w:eastAsia="仿宋"/>
          <w:b w:val="0"/>
          <w:bCs w:val="0"/>
        </w:rPr>
        <w:t>国有资本经营预算财政拨款支出决算表</w:t>
      </w:r>
    </w:p>
    <w:p>
      <w:pPr>
        <w:pStyle w:val="4"/>
        <w:rPr>
          <w:rFonts w:eastAsia="仿宋"/>
        </w:rPr>
      </w:pPr>
      <w:bookmarkStart w:id="72" w:name="_Toc15396631"/>
      <w:r>
        <w:rPr>
          <w:rStyle w:val="26"/>
          <w:rFonts w:hint="eastAsia" w:ascii="仿宋" w:hAnsi="仿宋" w:eastAsia="仿宋"/>
          <w:b w:val="0"/>
          <w:bCs w:val="0"/>
        </w:rPr>
        <w:t>十三、</w:t>
      </w:r>
      <w:bookmarkEnd w:id="72"/>
      <w:r>
        <w:rPr>
          <w:rStyle w:val="26"/>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BB989B"/>
    <w:multiLevelType w:val="singleLevel"/>
    <w:tmpl w:val="D7BB989B"/>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759AB81"/>
    <w:multiLevelType w:val="singleLevel"/>
    <w:tmpl w:val="0759AB81"/>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14969"/>
    <w:rsid w:val="053A62B5"/>
    <w:rsid w:val="08A20DD1"/>
    <w:rsid w:val="0A2032A3"/>
    <w:rsid w:val="0B8A37D8"/>
    <w:rsid w:val="10C055FF"/>
    <w:rsid w:val="118107EC"/>
    <w:rsid w:val="11DD6519"/>
    <w:rsid w:val="12F36972"/>
    <w:rsid w:val="16BB723D"/>
    <w:rsid w:val="170C7C32"/>
    <w:rsid w:val="18015F3F"/>
    <w:rsid w:val="189866C8"/>
    <w:rsid w:val="1BE8440E"/>
    <w:rsid w:val="1D155CEE"/>
    <w:rsid w:val="1EB2130F"/>
    <w:rsid w:val="20F57F95"/>
    <w:rsid w:val="240371BF"/>
    <w:rsid w:val="25711CC6"/>
    <w:rsid w:val="25C741E6"/>
    <w:rsid w:val="27842671"/>
    <w:rsid w:val="29FD04D3"/>
    <w:rsid w:val="2ABE7A3E"/>
    <w:rsid w:val="2CA234A8"/>
    <w:rsid w:val="2CC958E9"/>
    <w:rsid w:val="2EFA178C"/>
    <w:rsid w:val="2F406DDF"/>
    <w:rsid w:val="30B46D73"/>
    <w:rsid w:val="319F7F4E"/>
    <w:rsid w:val="31D02F2B"/>
    <w:rsid w:val="35583CC3"/>
    <w:rsid w:val="35D51555"/>
    <w:rsid w:val="36733AD0"/>
    <w:rsid w:val="383D272C"/>
    <w:rsid w:val="39AE70AB"/>
    <w:rsid w:val="3C0C0783"/>
    <w:rsid w:val="3C327C29"/>
    <w:rsid w:val="3F9F3A96"/>
    <w:rsid w:val="45576212"/>
    <w:rsid w:val="48BF60AB"/>
    <w:rsid w:val="493C27E9"/>
    <w:rsid w:val="496F39ED"/>
    <w:rsid w:val="49FF41D3"/>
    <w:rsid w:val="4BE068DB"/>
    <w:rsid w:val="4BF6002B"/>
    <w:rsid w:val="4ECE2238"/>
    <w:rsid w:val="51143D52"/>
    <w:rsid w:val="51DB4B86"/>
    <w:rsid w:val="55333C3E"/>
    <w:rsid w:val="62C94D3C"/>
    <w:rsid w:val="62F34B65"/>
    <w:rsid w:val="64CA39A1"/>
    <w:rsid w:val="69630ADE"/>
    <w:rsid w:val="6A2A1BC0"/>
    <w:rsid w:val="6C4A05C8"/>
    <w:rsid w:val="6D3B1A89"/>
    <w:rsid w:val="71BF4EC2"/>
    <w:rsid w:val="72734D90"/>
    <w:rsid w:val="73037996"/>
    <w:rsid w:val="7412278C"/>
    <w:rsid w:val="79E7B28D"/>
    <w:rsid w:val="7CE6724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2 Char"/>
    <w:link w:val="4"/>
    <w:qFormat/>
    <w:locked/>
    <w:uiPriority w:val="9"/>
    <w:rPr>
      <w:rFonts w:ascii="Cambria" w:hAnsi="Cambria" w:eastAsia="宋体" w:cs="Times New Roman"/>
      <w:b/>
      <w:bCs/>
      <w:kern w:val="2"/>
      <w:sz w:val="32"/>
      <w:szCs w:val="32"/>
    </w:rPr>
  </w:style>
  <w:style w:type="character" w:customStyle="1" w:styleId="32">
    <w:name w:val="标题 1 Char"/>
    <w:basedOn w:val="14"/>
    <w:link w:val="3"/>
    <w:qFormat/>
    <w:locked/>
    <w:uiPriority w:val="9"/>
    <w:rPr>
      <w:rFonts w:ascii="Times New Roman" w:hAnsi="Times New Roman" w:cs="Times New Roman"/>
      <w:b/>
      <w:bCs/>
      <w:kern w:val="44"/>
      <w:sz w:val="44"/>
      <w:szCs w:val="44"/>
    </w:rPr>
  </w:style>
  <w:style w:type="character" w:customStyle="1" w:styleId="33">
    <w:name w:val="font11"/>
    <w:basedOn w:val="14"/>
    <w:qFormat/>
    <w:uiPriority w:val="0"/>
    <w:rPr>
      <w:rFonts w:ascii="宋体" w:hAnsi="宋体" w:eastAsia="宋体" w:cs="宋体"/>
      <w:color w:val="000000"/>
      <w:sz w:val="24"/>
      <w:szCs w:val="24"/>
      <w:u w:val="none"/>
    </w:rPr>
  </w:style>
  <w:style w:type="character" w:customStyle="1" w:styleId="34">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XP\Desktop\2022&#24180;&#20915;&#31639;&#20844;&#24320;\2022&#24180;&#20915;&#31639;&#20844;&#24320;%20(2)\&#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1576.12</c:v>
                </c:pt>
                <c:pt idx="1">
                  <c:v>1234.73</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[决算公开插图制作示例.xlsx]图二!$B$1:$B$2</c:f>
              <c:numCache>
                <c:formatCode>General</c:formatCode>
                <c:ptCount val="2"/>
                <c:pt idx="0">
                  <c:v>1201.19</c:v>
                </c:pt>
                <c:pt idx="1">
                  <c:v>1.3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[决算公开插图制作示例.xlsx]图二!$A$1:$A$2</c:f>
              <c:strCache>
                <c:ptCount val="2"/>
                <c:pt idx="0">
                  <c:v>一、一般公共预算财政拨款收入</c:v>
                </c:pt>
                <c:pt idx="1">
                  <c:v>二、政府性基金预算财政拨款收入</c:v>
                </c:pt>
              </c:strCache>
            </c:strRef>
          </c:cat>
          <c:val>
            <c:numRef>
              <c:f>[决算公开插图制作示例.xlsx]图二!$C$1:$C$2</c:f>
              <c:numCache>
                <c:formatCode>0.00%</c:formatCode>
                <c:ptCount val="2"/>
                <c:pt idx="0">
                  <c:v>1</c:v>
                </c:pt>
                <c:pt idx="1">
                  <c:v>0.00108226009207536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0.9617</c:v>
                </c:pt>
                <c:pt idx="1">
                  <c:v>0.0383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1576.12</c:v>
                </c:pt>
                <c:pt idx="1">
                  <c:v>1234.73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1537.53</c:v>
                </c:pt>
                <c:pt idx="1">
                  <c:v>1233.4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1042.11</c:v>
                </c:pt>
                <c:pt idx="1">
                  <c:v>87.78</c:v>
                </c:pt>
                <c:pt idx="2">
                  <c:v>41.42</c:v>
                </c:pt>
                <c:pt idx="3">
                  <c:v>62.13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9</TotalTime>
  <ScaleCrop>false</ScaleCrop>
  <LinksUpToDate>false</LinksUpToDate>
  <CharactersWithSpaces>5889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2023-12-11T08:33:08Z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FEC09ACE915B4A2F915637846F31CF73_12</vt:lpwstr>
  </property>
</Properties>
</file>