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15"/>
          <w:szCs w:val="15"/>
        </w:rPr>
      </w:pPr>
      <w:bookmarkStart w:id="0" w:name="_Toc15306267"/>
    </w:p>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adjustRightInd w:val="0"/>
        <w:snapToGrid w:val="0"/>
        <w:spacing w:line="360" w:lineRule="auto"/>
        <w:jc w:val="center"/>
        <w:outlineLvl w:val="0"/>
        <w:rPr>
          <w:rFonts w:ascii="方正小标宋简体" w:hAnsi="方正小标宋简体" w:eastAsia="方正小标宋简体" w:cs="方正小标宋简体"/>
          <w:color w:val="auto"/>
          <w:sz w:val="56"/>
          <w:szCs w:val="56"/>
        </w:rPr>
      </w:pPr>
      <w:bookmarkStart w:id="1" w:name="_Toc15377193"/>
      <w:bookmarkStart w:id="2" w:name="_Toc15396597"/>
      <w:bookmarkStart w:id="3" w:name="_Toc15396475"/>
      <w:bookmarkStart w:id="4" w:name="_Toc15378441"/>
      <w:bookmarkStart w:id="5" w:name="_Toc15377425"/>
      <w:r>
        <w:rPr>
          <w:rFonts w:hint="eastAsia" w:ascii="方正小标宋简体" w:hAnsi="方正小标宋简体" w:eastAsia="方正小标宋简体" w:cs="方正小标宋简体"/>
          <w:color w:val="auto"/>
          <w:sz w:val="56"/>
          <w:szCs w:val="56"/>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color w:val="auto"/>
          <w:sz w:val="56"/>
          <w:szCs w:val="56"/>
        </w:rPr>
      </w:pPr>
      <w:bookmarkStart w:id="6" w:name="_Toc15396598"/>
      <w:bookmarkStart w:id="7" w:name="_Toc15396476"/>
      <w:bookmarkStart w:id="8" w:name="_Toc15377194"/>
      <w:bookmarkStart w:id="9" w:name="_Toc15377426"/>
      <w:bookmarkStart w:id="10" w:name="_Toc15378442"/>
      <w:r>
        <w:rPr>
          <w:rFonts w:hint="eastAsia" w:ascii="方正小标宋简体" w:hAnsi="方正小标宋简体" w:eastAsia="方正小标宋简体" w:cs="方正小标宋简体"/>
          <w:color w:val="auto"/>
          <w:sz w:val="56"/>
          <w:szCs w:val="56"/>
          <w:lang w:val="en-US" w:eastAsia="zh-CN"/>
        </w:rPr>
        <w:t>四川省</w:t>
      </w:r>
      <w:r>
        <w:rPr>
          <w:rFonts w:hint="eastAsia" w:ascii="方正小标宋简体" w:hAnsi="方正小标宋简体" w:eastAsia="方正小标宋简体" w:cs="方正小标宋简体"/>
          <w:color w:val="auto"/>
          <w:sz w:val="56"/>
          <w:szCs w:val="56"/>
        </w:rPr>
        <w:t>剑阁县</w:t>
      </w:r>
      <w:bookmarkEnd w:id="0"/>
      <w:bookmarkStart w:id="11" w:name="_Toc15306268"/>
      <w:r>
        <w:rPr>
          <w:rFonts w:hint="eastAsia" w:ascii="方正小标宋简体" w:hAnsi="方正小标宋简体" w:eastAsia="方正小标宋简体" w:cs="方正小标宋简体"/>
          <w:color w:val="auto"/>
          <w:sz w:val="56"/>
          <w:szCs w:val="56"/>
          <w:lang w:val="en-US" w:eastAsia="zh-CN"/>
        </w:rPr>
        <w:t>木马初级</w:t>
      </w:r>
      <w:r>
        <w:rPr>
          <w:rFonts w:hint="eastAsia" w:ascii="方正小标宋简体" w:hAnsi="方正小标宋简体" w:eastAsia="方正小标宋简体" w:cs="方正小标宋简体"/>
          <w:color w:val="auto"/>
          <w:sz w:val="56"/>
          <w:szCs w:val="56"/>
        </w:rPr>
        <w:t>中学校</w:t>
      </w:r>
    </w:p>
    <w:p>
      <w:pPr>
        <w:adjustRightInd w:val="0"/>
        <w:snapToGrid w:val="0"/>
        <w:spacing w:line="360" w:lineRule="auto"/>
        <w:jc w:val="center"/>
        <w:outlineLvl w:val="0"/>
        <w:rPr>
          <w:rFonts w:ascii="方正小标宋简体" w:hAnsi="方正小标宋简体" w:eastAsia="方正小标宋简体" w:cs="方正小标宋简体"/>
          <w:color w:val="auto"/>
          <w:sz w:val="56"/>
          <w:szCs w:val="56"/>
        </w:rPr>
      </w:pPr>
      <w:r>
        <w:rPr>
          <w:rFonts w:hint="eastAsia" w:ascii="方正小标宋简体" w:hAnsi="方正小标宋简体" w:eastAsia="方正小标宋简体" w:cs="方正小标宋简体"/>
          <w:color w:val="auto"/>
          <w:sz w:val="56"/>
          <w:szCs w:val="56"/>
        </w:rPr>
        <w:t>单位决算</w:t>
      </w:r>
      <w:bookmarkEnd w:id="6"/>
      <w:bookmarkEnd w:id="7"/>
      <w:bookmarkEnd w:id="8"/>
      <w:bookmarkEnd w:id="9"/>
      <w:bookmarkEnd w:id="10"/>
      <w:bookmarkEnd w:id="11"/>
      <w:r>
        <w:rPr>
          <w:rFonts w:hint="eastAsia" w:ascii="方正小标宋简体" w:hAnsi="方正小标宋简体" w:eastAsia="方正小标宋简体" w:cs="方正小标宋简体"/>
          <w:color w:val="auto"/>
          <w:sz w:val="56"/>
          <w:szCs w:val="56"/>
        </w:rPr>
        <w:t>公开</w:t>
      </w:r>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jc w:val="center"/>
        <w:rPr>
          <w:rFonts w:ascii="黑体" w:hAnsi="黑体" w:eastAsia="黑体" w:cstheme="minorBidi"/>
          <w:color w:val="auto"/>
          <w:sz w:val="28"/>
          <w:szCs w:val="28"/>
        </w:rPr>
      </w:pPr>
    </w:p>
    <w:p>
      <w:pPr>
        <w:pStyle w:val="10"/>
        <w:rPr>
          <w:color w:val="auto"/>
        </w:rPr>
      </w:pPr>
      <w:r>
        <w:rPr>
          <w:rFonts w:hint="eastAsia"/>
          <w:color w:val="auto"/>
        </w:rPr>
        <w:t>公开时间：2023年</w:t>
      </w:r>
      <w:r>
        <w:rPr>
          <w:rFonts w:hint="eastAsia"/>
          <w:color w:val="auto"/>
          <w:lang w:val="en-US" w:eastAsia="zh-CN"/>
        </w:rPr>
        <w:t>11</w:t>
      </w:r>
      <w:r>
        <w:rPr>
          <w:rFonts w:hint="eastAsia"/>
          <w:color w:val="auto"/>
        </w:rPr>
        <w:t>月</w:t>
      </w:r>
      <w:r>
        <w:rPr>
          <w:rFonts w:hint="eastAsia"/>
          <w:color w:val="auto"/>
          <w:lang w:val="en-US" w:eastAsia="zh-CN"/>
        </w:rPr>
        <w:t>29</w:t>
      </w:r>
      <w:r>
        <w:rPr>
          <w:rFonts w:hint="eastAsia"/>
          <w:color w:val="auto"/>
        </w:rPr>
        <w:t>日</w:t>
      </w:r>
    </w:p>
    <w:p>
      <w:pPr>
        <w:rPr>
          <w:color w:val="auto"/>
        </w:rPr>
      </w:pPr>
    </w:p>
    <w:p>
      <w:pPr>
        <w:pStyle w:val="10"/>
        <w:adjustRightInd w:val="0"/>
        <w:snapToGrid w:val="0"/>
        <w:spacing w:before="0" w:line="440" w:lineRule="exact"/>
        <w:jc w:val="left"/>
        <w:rPr>
          <w:rFonts w:cstheme="minorBidi"/>
          <w:color w:val="auto"/>
          <w:sz w:val="24"/>
          <w:szCs w:val="24"/>
        </w:rPr>
      </w:pPr>
      <w:r>
        <w:rPr>
          <w:rFonts w:hint="eastAsia"/>
          <w:color w:val="auto"/>
          <w:sz w:val="24"/>
        </w:rPr>
        <w:t>第一部分单位概况</w:t>
      </w:r>
    </w:p>
    <w:p>
      <w:pPr>
        <w:pStyle w:val="11"/>
        <w:adjustRightInd w:val="0"/>
        <w:snapToGrid w:val="0"/>
        <w:spacing w:line="440" w:lineRule="exact"/>
        <w:jc w:val="left"/>
        <w:rPr>
          <w:color w:val="auto"/>
          <w:sz w:val="24"/>
        </w:rPr>
      </w:pPr>
      <w:r>
        <w:rPr>
          <w:rFonts w:hint="eastAsia"/>
          <w:color w:val="auto"/>
          <w:sz w:val="24"/>
        </w:rPr>
        <w:t>一、主要职责及重点</w:t>
      </w:r>
      <w:r>
        <w:rPr>
          <w:color w:val="auto"/>
          <w:sz w:val="24"/>
        </w:rPr>
        <w:t>工作</w:t>
      </w:r>
    </w:p>
    <w:p>
      <w:pPr>
        <w:pStyle w:val="11"/>
        <w:adjustRightInd w:val="0"/>
        <w:snapToGrid w:val="0"/>
        <w:spacing w:line="440" w:lineRule="exact"/>
        <w:jc w:val="left"/>
        <w:rPr>
          <w:color w:val="auto"/>
          <w:sz w:val="24"/>
        </w:rPr>
      </w:pPr>
      <w:r>
        <w:rPr>
          <w:rFonts w:hint="eastAsia"/>
          <w:color w:val="auto"/>
          <w:sz w:val="24"/>
        </w:rPr>
        <w:t>（一）单位</w:t>
      </w:r>
      <w:r>
        <w:rPr>
          <w:color w:val="auto"/>
          <w:sz w:val="24"/>
        </w:rPr>
        <w:t>职责</w:t>
      </w:r>
    </w:p>
    <w:p>
      <w:pPr>
        <w:pStyle w:val="11"/>
        <w:adjustRightInd w:val="0"/>
        <w:snapToGrid w:val="0"/>
        <w:spacing w:line="440" w:lineRule="exact"/>
        <w:jc w:val="left"/>
        <w:rPr>
          <w:b/>
          <w:bCs/>
          <w:color w:val="auto"/>
          <w:sz w:val="24"/>
        </w:rPr>
      </w:pPr>
      <w:r>
        <w:rPr>
          <w:rFonts w:hint="eastAsia"/>
          <w:color w:val="auto"/>
          <w:sz w:val="24"/>
        </w:rPr>
        <w:t>（二）2022年重点工作完成情况</w:t>
      </w:r>
    </w:p>
    <w:p>
      <w:pPr>
        <w:pStyle w:val="11"/>
        <w:adjustRightInd w:val="0"/>
        <w:snapToGrid w:val="0"/>
        <w:spacing w:line="440" w:lineRule="exact"/>
        <w:jc w:val="left"/>
        <w:rPr>
          <w:color w:val="auto"/>
          <w:sz w:val="24"/>
        </w:rPr>
      </w:pPr>
      <w:r>
        <w:rPr>
          <w:rFonts w:hint="eastAsia"/>
          <w:color w:val="auto"/>
          <w:sz w:val="24"/>
        </w:rPr>
        <w:t>二、机构设置</w:t>
      </w:r>
    </w:p>
    <w:p>
      <w:pPr>
        <w:pStyle w:val="10"/>
        <w:adjustRightInd w:val="0"/>
        <w:snapToGrid w:val="0"/>
        <w:spacing w:before="0" w:line="440" w:lineRule="exact"/>
        <w:jc w:val="left"/>
        <w:rPr>
          <w:color w:val="auto"/>
          <w:sz w:val="24"/>
          <w:szCs w:val="24"/>
        </w:rPr>
      </w:pPr>
      <w:r>
        <w:rPr>
          <w:rFonts w:hint="eastAsia"/>
          <w:color w:val="auto"/>
          <w:sz w:val="24"/>
        </w:rPr>
        <w:t>第二部分 2022年度单位决算情况说明</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一、收入支出决算总体情况说明</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二、收入决算情况说明</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三、支出决算情况说明</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四、财政拨款收入支出决算总体情况说明</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七、财政拨款“三公”经费支出决算情况说明</w:t>
      </w:r>
    </w:p>
    <w:p>
      <w:pPr>
        <w:pStyle w:val="11"/>
        <w:adjustRightInd w:val="0"/>
        <w:snapToGrid w:val="0"/>
        <w:spacing w:line="440" w:lineRule="exact"/>
        <w:jc w:val="left"/>
        <w:rPr>
          <w:rFonts w:ascii="仿宋" w:hAnsi="仿宋" w:eastAsia="仿宋" w:cstheme="minorBidi"/>
          <w:color w:val="auto"/>
          <w:sz w:val="24"/>
        </w:rPr>
      </w:pPr>
      <w:r>
        <w:rPr>
          <w:rFonts w:hint="eastAsia"/>
          <w:color w:val="auto"/>
          <w:sz w:val="24"/>
        </w:rPr>
        <w:t>八、政府性基金预算支出决算情况说明</w:t>
      </w:r>
    </w:p>
    <w:p>
      <w:pPr>
        <w:pStyle w:val="11"/>
        <w:adjustRightInd w:val="0"/>
        <w:snapToGrid w:val="0"/>
        <w:spacing w:line="440" w:lineRule="exact"/>
        <w:jc w:val="left"/>
        <w:rPr>
          <w:color w:val="auto"/>
          <w:sz w:val="24"/>
        </w:rPr>
      </w:pPr>
      <w:r>
        <w:rPr>
          <w:rFonts w:hint="eastAsia"/>
          <w:color w:val="auto"/>
          <w:sz w:val="24"/>
        </w:rPr>
        <w:t>九、国有资本经营预算支出决算情况说明</w:t>
      </w:r>
    </w:p>
    <w:p>
      <w:pPr>
        <w:pStyle w:val="11"/>
        <w:adjustRightInd w:val="0"/>
        <w:snapToGrid w:val="0"/>
        <w:spacing w:line="440" w:lineRule="exact"/>
        <w:jc w:val="left"/>
        <w:rPr>
          <w:color w:val="auto"/>
          <w:sz w:val="24"/>
        </w:rPr>
      </w:pPr>
      <w:r>
        <w:rPr>
          <w:rFonts w:hint="eastAsia"/>
          <w:color w:val="auto"/>
          <w:sz w:val="24"/>
        </w:rPr>
        <w:t>十、其他重要事项的情况说明</w:t>
      </w:r>
    </w:p>
    <w:p>
      <w:pPr>
        <w:pStyle w:val="10"/>
        <w:adjustRightInd w:val="0"/>
        <w:snapToGrid w:val="0"/>
        <w:spacing w:before="0" w:line="440" w:lineRule="exact"/>
        <w:jc w:val="left"/>
        <w:rPr>
          <w:rFonts w:cstheme="minorBidi"/>
          <w:color w:val="auto"/>
          <w:sz w:val="24"/>
          <w:szCs w:val="24"/>
        </w:rPr>
      </w:pPr>
      <w:r>
        <w:rPr>
          <w:rFonts w:hint="eastAsia"/>
          <w:color w:val="auto"/>
          <w:sz w:val="24"/>
        </w:rPr>
        <w:t>第三部分名词解释</w:t>
      </w:r>
    </w:p>
    <w:p>
      <w:pPr>
        <w:pStyle w:val="10"/>
        <w:adjustRightInd w:val="0"/>
        <w:snapToGrid w:val="0"/>
        <w:spacing w:before="0" w:line="440" w:lineRule="exact"/>
        <w:jc w:val="left"/>
        <w:rPr>
          <w:rFonts w:cstheme="minorBidi"/>
          <w:color w:val="auto"/>
          <w:sz w:val="24"/>
          <w:szCs w:val="24"/>
        </w:rPr>
      </w:pPr>
      <w:r>
        <w:rPr>
          <w:rFonts w:hint="eastAsia"/>
          <w:color w:val="auto"/>
          <w:sz w:val="24"/>
        </w:rPr>
        <w:t>第四部分附件</w:t>
      </w:r>
    </w:p>
    <w:p>
      <w:pPr>
        <w:pStyle w:val="10"/>
        <w:adjustRightInd w:val="0"/>
        <w:snapToGrid w:val="0"/>
        <w:spacing w:before="0" w:line="440" w:lineRule="exact"/>
        <w:jc w:val="left"/>
        <w:rPr>
          <w:rFonts w:cstheme="minorBidi"/>
          <w:color w:val="auto"/>
          <w:sz w:val="24"/>
          <w:szCs w:val="24"/>
        </w:rPr>
      </w:pPr>
      <w:r>
        <w:rPr>
          <w:rFonts w:hint="eastAsia"/>
          <w:color w:val="auto"/>
          <w:sz w:val="24"/>
        </w:rPr>
        <w:t>第五部分附表</w:t>
      </w:r>
    </w:p>
    <w:p>
      <w:pPr>
        <w:pStyle w:val="11"/>
        <w:adjustRightInd w:val="0"/>
        <w:snapToGrid w:val="0"/>
        <w:spacing w:line="440" w:lineRule="exact"/>
        <w:jc w:val="left"/>
        <w:rPr>
          <w:color w:val="auto"/>
          <w:sz w:val="24"/>
        </w:rPr>
      </w:pPr>
      <w:r>
        <w:rPr>
          <w:rFonts w:hint="eastAsia"/>
          <w:color w:val="auto"/>
          <w:sz w:val="24"/>
        </w:rPr>
        <w:t>一、收入支出决算总表</w:t>
      </w:r>
    </w:p>
    <w:p>
      <w:pPr>
        <w:pStyle w:val="11"/>
        <w:adjustRightInd w:val="0"/>
        <w:snapToGrid w:val="0"/>
        <w:spacing w:line="440" w:lineRule="exact"/>
        <w:jc w:val="left"/>
        <w:rPr>
          <w:color w:val="auto"/>
          <w:sz w:val="24"/>
        </w:rPr>
      </w:pPr>
      <w:r>
        <w:rPr>
          <w:rFonts w:hint="eastAsia"/>
          <w:color w:val="auto"/>
          <w:sz w:val="24"/>
        </w:rPr>
        <w:t>二、收入决算表</w:t>
      </w:r>
    </w:p>
    <w:p>
      <w:pPr>
        <w:pStyle w:val="11"/>
        <w:adjustRightInd w:val="0"/>
        <w:snapToGrid w:val="0"/>
        <w:spacing w:line="440" w:lineRule="exact"/>
        <w:jc w:val="left"/>
        <w:rPr>
          <w:color w:val="auto"/>
          <w:sz w:val="24"/>
        </w:rPr>
      </w:pPr>
      <w:r>
        <w:rPr>
          <w:rFonts w:hint="eastAsia"/>
          <w:color w:val="auto"/>
          <w:sz w:val="24"/>
        </w:rPr>
        <w:t>三、支出决算表</w:t>
      </w:r>
    </w:p>
    <w:p>
      <w:pPr>
        <w:pStyle w:val="11"/>
        <w:adjustRightInd w:val="0"/>
        <w:snapToGrid w:val="0"/>
        <w:spacing w:line="440" w:lineRule="exact"/>
        <w:jc w:val="left"/>
        <w:rPr>
          <w:color w:val="auto"/>
          <w:sz w:val="24"/>
        </w:rPr>
      </w:pPr>
      <w:r>
        <w:rPr>
          <w:rFonts w:hint="eastAsia"/>
          <w:color w:val="auto"/>
          <w:sz w:val="24"/>
        </w:rPr>
        <w:t>四、财政拨款收入支出决算总表</w:t>
      </w:r>
    </w:p>
    <w:p>
      <w:pPr>
        <w:pStyle w:val="11"/>
        <w:adjustRightInd w:val="0"/>
        <w:snapToGrid w:val="0"/>
        <w:spacing w:line="440" w:lineRule="exact"/>
        <w:jc w:val="left"/>
        <w:rPr>
          <w:color w:val="auto"/>
          <w:sz w:val="24"/>
        </w:rPr>
      </w:pPr>
      <w:r>
        <w:rPr>
          <w:rFonts w:hint="eastAsia"/>
          <w:color w:val="auto"/>
          <w:sz w:val="24"/>
        </w:rPr>
        <w:t>五、财政拨款支出决算明细表</w:t>
      </w:r>
    </w:p>
    <w:p>
      <w:pPr>
        <w:pStyle w:val="11"/>
        <w:adjustRightInd w:val="0"/>
        <w:snapToGrid w:val="0"/>
        <w:spacing w:line="440" w:lineRule="exact"/>
        <w:jc w:val="left"/>
        <w:rPr>
          <w:color w:val="auto"/>
          <w:sz w:val="24"/>
        </w:rPr>
      </w:pPr>
      <w:r>
        <w:rPr>
          <w:rFonts w:hint="eastAsia"/>
          <w:color w:val="auto"/>
          <w:sz w:val="24"/>
        </w:rPr>
        <w:t>六、一般公共预算财政拨款支出决算表</w:t>
      </w:r>
    </w:p>
    <w:p>
      <w:pPr>
        <w:pStyle w:val="11"/>
        <w:adjustRightInd w:val="0"/>
        <w:snapToGrid w:val="0"/>
        <w:spacing w:line="440" w:lineRule="exact"/>
        <w:jc w:val="left"/>
        <w:rPr>
          <w:color w:val="auto"/>
          <w:sz w:val="24"/>
        </w:rPr>
      </w:pPr>
      <w:r>
        <w:rPr>
          <w:rFonts w:hint="eastAsia"/>
          <w:color w:val="auto"/>
          <w:sz w:val="24"/>
        </w:rPr>
        <w:t>七、一般公共预算财政拨款支出决算明细表</w:t>
      </w:r>
    </w:p>
    <w:p>
      <w:pPr>
        <w:pStyle w:val="11"/>
        <w:adjustRightInd w:val="0"/>
        <w:snapToGrid w:val="0"/>
        <w:spacing w:line="440" w:lineRule="exact"/>
        <w:jc w:val="left"/>
        <w:rPr>
          <w:color w:val="auto"/>
          <w:sz w:val="24"/>
        </w:rPr>
      </w:pPr>
      <w:r>
        <w:rPr>
          <w:rFonts w:hint="eastAsia"/>
          <w:color w:val="auto"/>
          <w:sz w:val="24"/>
        </w:rPr>
        <w:t>八、一般公共预算财政拨款基本支出决算明细表</w:t>
      </w:r>
    </w:p>
    <w:p>
      <w:pPr>
        <w:pStyle w:val="11"/>
        <w:adjustRightInd w:val="0"/>
        <w:snapToGrid w:val="0"/>
        <w:spacing w:line="440" w:lineRule="exact"/>
        <w:jc w:val="left"/>
        <w:rPr>
          <w:color w:val="auto"/>
          <w:sz w:val="24"/>
        </w:rPr>
      </w:pPr>
      <w:r>
        <w:rPr>
          <w:rFonts w:hint="eastAsia"/>
          <w:color w:val="auto"/>
          <w:sz w:val="24"/>
        </w:rPr>
        <w:t>九、一般公共预算财政拨款项目支出决算表</w:t>
      </w:r>
    </w:p>
    <w:p>
      <w:pPr>
        <w:pStyle w:val="11"/>
        <w:adjustRightInd w:val="0"/>
        <w:snapToGrid w:val="0"/>
        <w:spacing w:line="440" w:lineRule="exact"/>
        <w:jc w:val="left"/>
        <w:rPr>
          <w:color w:val="auto"/>
          <w:sz w:val="24"/>
        </w:rPr>
      </w:pPr>
      <w:r>
        <w:rPr>
          <w:rFonts w:hint="eastAsia"/>
          <w:color w:val="auto"/>
          <w:sz w:val="24"/>
        </w:rPr>
        <w:t>十、政府性基金预算财政拨款收入支出决算表</w:t>
      </w:r>
    </w:p>
    <w:p>
      <w:pPr>
        <w:pStyle w:val="11"/>
        <w:adjustRightInd w:val="0"/>
        <w:snapToGrid w:val="0"/>
        <w:spacing w:line="440" w:lineRule="exact"/>
        <w:jc w:val="left"/>
        <w:rPr>
          <w:color w:val="auto"/>
          <w:sz w:val="24"/>
        </w:rPr>
      </w:pPr>
      <w:r>
        <w:rPr>
          <w:rFonts w:hint="eastAsia"/>
          <w:color w:val="auto"/>
          <w:sz w:val="24"/>
        </w:rPr>
        <w:t>十一、国有资本经营预算财政拨款收入支出决算表</w:t>
      </w:r>
    </w:p>
    <w:p>
      <w:pPr>
        <w:pStyle w:val="11"/>
        <w:adjustRightInd w:val="0"/>
        <w:snapToGrid w:val="0"/>
        <w:spacing w:line="440" w:lineRule="exact"/>
        <w:jc w:val="left"/>
        <w:rPr>
          <w:color w:val="auto"/>
          <w:sz w:val="24"/>
        </w:rPr>
      </w:pPr>
      <w:r>
        <w:rPr>
          <w:rFonts w:hint="eastAsia"/>
          <w:color w:val="auto"/>
          <w:sz w:val="24"/>
        </w:rPr>
        <w:t>十二、国有资本经营预算财政拨款支出决算表</w:t>
      </w:r>
    </w:p>
    <w:p>
      <w:pPr>
        <w:pStyle w:val="11"/>
        <w:adjustRightInd w:val="0"/>
        <w:snapToGrid w:val="0"/>
        <w:spacing w:line="440" w:lineRule="exact"/>
        <w:jc w:val="left"/>
        <w:rPr>
          <w:color w:val="auto"/>
          <w:sz w:val="24"/>
        </w:rPr>
      </w:pPr>
      <w:r>
        <w:rPr>
          <w:rFonts w:hint="eastAsia"/>
          <w:color w:val="auto"/>
          <w:sz w:val="24"/>
        </w:rPr>
        <w:t>十三、财政拨款“三公”经费支出决算表</w:t>
      </w:r>
    </w:p>
    <w:p>
      <w:pPr>
        <w:widowControl/>
        <w:adjustRightInd w:val="0"/>
        <w:snapToGrid w:val="0"/>
        <w:spacing w:line="440" w:lineRule="exact"/>
        <w:ind w:firstLine="1320" w:firstLineChars="550"/>
        <w:jc w:val="left"/>
        <w:rPr>
          <w:rFonts w:ascii="仿宋" w:hAnsi="仿宋" w:eastAsia="仿宋"/>
          <w:color w:val="auto"/>
          <w:sz w:val="24"/>
        </w:rPr>
      </w:pPr>
      <w:r>
        <w:rPr>
          <w:rFonts w:ascii="仿宋" w:hAnsi="仿宋" w:eastAsia="仿宋"/>
          <w:color w:val="auto"/>
          <w:sz w:val="24"/>
        </w:rPr>
        <w:t>(注：</w:t>
      </w:r>
      <w:r>
        <w:rPr>
          <w:rFonts w:hint="eastAsia" w:ascii="仿宋" w:hAnsi="仿宋" w:eastAsia="仿宋"/>
          <w:color w:val="auto"/>
          <w:sz w:val="24"/>
        </w:rPr>
        <w:t>请单位根据实际注明页码</w:t>
      </w:r>
      <w:r>
        <w:rPr>
          <w:rFonts w:ascii="仿宋" w:hAnsi="仿宋" w:eastAsia="仿宋"/>
          <w:color w:val="auto"/>
          <w:sz w:val="24"/>
        </w:rPr>
        <w:t>)</w:t>
      </w:r>
    </w:p>
    <w:p>
      <w:pPr>
        <w:widowControl/>
        <w:spacing w:line="440" w:lineRule="exact"/>
        <w:jc w:val="left"/>
        <w:rPr>
          <w:rFonts w:ascii="仿宋" w:hAnsi="仿宋" w:eastAsia="仿宋"/>
          <w:bCs/>
          <w:color w:val="auto"/>
          <w:kern w:val="44"/>
          <w:sz w:val="24"/>
        </w:rPr>
      </w:pPr>
      <w:bookmarkStart w:id="12" w:name="_Toc15377196"/>
      <w:bookmarkStart w:id="13" w:name="_Toc15396599"/>
      <w:r>
        <w:rPr>
          <w:rFonts w:ascii="仿宋" w:hAnsi="仿宋" w:eastAsia="仿宋"/>
          <w:b/>
          <w:color w:val="auto"/>
          <w:sz w:val="24"/>
        </w:rPr>
        <w:br w:type="page"/>
      </w:r>
    </w:p>
    <w:p>
      <w:pPr>
        <w:pStyle w:val="3"/>
        <w:jc w:val="center"/>
        <w:rPr>
          <w:rStyle w:val="25"/>
          <w:rFonts w:ascii="黑体" w:hAnsi="黑体" w:eastAsia="黑体"/>
          <w:b/>
          <w:bCs w:val="0"/>
          <w:color w:val="auto"/>
        </w:rPr>
      </w:pPr>
      <w:r>
        <w:rPr>
          <w:rFonts w:hint="eastAsia" w:ascii="黑体" w:hAnsi="黑体" w:eastAsia="黑体"/>
          <w:b w:val="0"/>
          <w:color w:val="auto"/>
        </w:rPr>
        <w:t>第一部分 单位</w:t>
      </w:r>
      <w:r>
        <w:rPr>
          <w:rStyle w:val="25"/>
          <w:rFonts w:hint="eastAsia" w:ascii="黑体" w:hAnsi="黑体" w:eastAsia="黑体"/>
          <w:b w:val="0"/>
          <w:bCs w:val="0"/>
          <w:color w:val="auto"/>
        </w:rPr>
        <w:t>概况</w:t>
      </w:r>
      <w:bookmarkEnd w:id="12"/>
      <w:bookmarkEnd w:id="13"/>
    </w:p>
    <w:p>
      <w:pPr>
        <w:widowControl/>
        <w:jc w:val="left"/>
        <w:rPr>
          <w:rFonts w:ascii="黑体" w:eastAsia="黑体"/>
          <w:color w:val="auto"/>
          <w:sz w:val="32"/>
          <w:szCs w:val="32"/>
        </w:rPr>
      </w:pPr>
    </w:p>
    <w:p>
      <w:pPr>
        <w:pStyle w:val="4"/>
        <w:numPr>
          <w:ilvl w:val="0"/>
          <w:numId w:val="1"/>
        </w:numPr>
        <w:rPr>
          <w:rStyle w:val="26"/>
          <w:rFonts w:ascii="黑体" w:hAnsi="黑体" w:eastAsia="黑体"/>
          <w:b w:val="0"/>
          <w:bCs w:val="0"/>
          <w:color w:val="auto"/>
        </w:rPr>
      </w:pPr>
      <w:bookmarkStart w:id="14" w:name="_Toc15377197"/>
      <w:bookmarkStart w:id="15" w:name="_Toc15396600"/>
      <w:r>
        <w:rPr>
          <w:rStyle w:val="26"/>
          <w:rFonts w:hint="eastAsia" w:ascii="黑体" w:hAnsi="黑体" w:eastAsia="黑体"/>
          <w:b w:val="0"/>
          <w:bCs w:val="0"/>
          <w:color w:val="auto"/>
        </w:rPr>
        <w:t>主要职责</w:t>
      </w:r>
    </w:p>
    <w:p>
      <w:pPr>
        <w:pStyle w:val="2"/>
        <w:adjustRightInd w:val="0"/>
        <w:snapToGrid w:val="0"/>
        <w:spacing w:before="93" w:line="600" w:lineRule="exact"/>
        <w:ind w:firstLine="672" w:firstLineChars="210"/>
        <w:outlineLvl w:val="2"/>
        <w:rPr>
          <w:rFonts w:ascii="仿宋" w:hAnsi="仿宋" w:eastAsia="仿宋" w:cs="仿宋"/>
          <w:color w:val="auto"/>
          <w:sz w:val="32"/>
          <w:szCs w:val="32"/>
        </w:rPr>
      </w:pPr>
      <w:bookmarkStart w:id="16" w:name="_Toc15377198"/>
      <w:bookmarkStart w:id="17" w:name="_Toc15378445"/>
      <w:r>
        <w:rPr>
          <w:rFonts w:hint="eastAsia" w:ascii="仿宋" w:hAnsi="仿宋" w:eastAsia="仿宋" w:cs="仿宋"/>
          <w:color w:val="auto"/>
          <w:sz w:val="32"/>
          <w:szCs w:val="32"/>
        </w:rPr>
        <w:t>（一）主要职能。</w:t>
      </w:r>
    </w:p>
    <w:p>
      <w:pPr>
        <w:pStyle w:val="2"/>
        <w:adjustRightInd w:val="0"/>
        <w:snapToGrid w:val="0"/>
        <w:spacing w:before="93" w:line="600" w:lineRule="exact"/>
        <w:ind w:firstLine="630"/>
        <w:outlineLvl w:val="2"/>
        <w:rPr>
          <w:rFonts w:ascii="仿宋" w:hAnsi="仿宋" w:eastAsia="仿宋" w:cs="仿宋"/>
          <w:color w:val="auto"/>
          <w:sz w:val="32"/>
          <w:szCs w:val="32"/>
        </w:rPr>
      </w:pPr>
      <w:r>
        <w:rPr>
          <w:rFonts w:hint="eastAsia" w:ascii="仿宋" w:hAnsi="仿宋" w:eastAsia="仿宋" w:cs="Times New Roman"/>
          <w:color w:val="auto"/>
          <w:kern w:val="2"/>
          <w:sz w:val="32"/>
          <w:szCs w:val="32"/>
          <w:lang w:val="en-US" w:eastAsia="zh-CN" w:bidi="ar-SA"/>
        </w:rPr>
        <w:t>四川省剑阁县木马初级中学校属财政预算一级单位，有教学班9个，学生419人。教职工39人。其基本职能及主要工作是实施初中义务教育教学，促进教育全面均衡发展。</w:t>
      </w:r>
      <w:r>
        <w:rPr>
          <w:rFonts w:hint="eastAsia" w:ascii="仿宋" w:hAnsi="仿宋" w:eastAsia="仿宋" w:cs="仿宋"/>
          <w:color w:val="auto"/>
          <w:sz w:val="32"/>
          <w:szCs w:val="32"/>
        </w:rPr>
        <w:t>（二）</w:t>
      </w:r>
      <w:r>
        <w:rPr>
          <w:rFonts w:ascii="仿宋" w:hAnsi="仿宋" w:eastAsia="仿宋" w:cs="仿宋"/>
          <w:color w:val="auto"/>
          <w:sz w:val="32"/>
          <w:szCs w:val="32"/>
        </w:rPr>
        <w:t>20</w:t>
      </w:r>
      <w:r>
        <w:rPr>
          <w:rFonts w:hint="eastAsia" w:ascii="仿宋" w:hAnsi="仿宋" w:eastAsia="仿宋" w:cs="仿宋"/>
          <w:color w:val="auto"/>
          <w:sz w:val="32"/>
          <w:szCs w:val="32"/>
        </w:rPr>
        <w:t>22年重点工作完成情况。</w:t>
      </w:r>
    </w:p>
    <w:p>
      <w:pPr>
        <w:pStyle w:val="2"/>
        <w:adjustRightInd w:val="0"/>
        <w:snapToGrid w:val="0"/>
        <w:spacing w:before="93" w:line="600" w:lineRule="exact"/>
        <w:ind w:firstLine="630"/>
        <w:outlineLvl w:val="2"/>
        <w:rPr>
          <w:rFonts w:hint="eastAsia" w:ascii="仿宋" w:hAnsi="仿宋" w:eastAsia="仿宋"/>
          <w:bCs/>
          <w:color w:val="auto"/>
          <w:sz w:val="32"/>
          <w:szCs w:val="32"/>
        </w:rPr>
      </w:pPr>
      <w:r>
        <w:rPr>
          <w:rFonts w:hint="eastAsia" w:ascii="仿宋" w:hAnsi="仿宋" w:eastAsia="仿宋"/>
          <w:bCs/>
          <w:color w:val="auto"/>
          <w:sz w:val="32"/>
          <w:szCs w:val="32"/>
          <w:lang w:eastAsia="zh-CN"/>
        </w:rPr>
        <w:t>（一）</w:t>
      </w:r>
      <w:r>
        <w:rPr>
          <w:rFonts w:hint="eastAsia" w:ascii="仿宋" w:hAnsi="仿宋" w:eastAsia="仿宋"/>
          <w:bCs/>
          <w:color w:val="auto"/>
          <w:sz w:val="32"/>
          <w:szCs w:val="32"/>
        </w:rPr>
        <w:t>加强教学常规工作，强化教学过程管理</w:t>
      </w:r>
    </w:p>
    <w:p>
      <w:pPr>
        <w:pStyle w:val="2"/>
        <w:adjustRightInd w:val="0"/>
        <w:snapToGrid w:val="0"/>
        <w:spacing w:before="93" w:line="600" w:lineRule="exact"/>
        <w:ind w:firstLine="630"/>
        <w:outlineLvl w:val="2"/>
        <w:rPr>
          <w:rFonts w:hint="eastAsia" w:ascii="仿宋" w:hAnsi="仿宋" w:eastAsia="仿宋"/>
          <w:bCs/>
          <w:color w:val="auto"/>
          <w:sz w:val="32"/>
          <w:szCs w:val="32"/>
        </w:rPr>
      </w:pPr>
      <w:r>
        <w:rPr>
          <w:rFonts w:hint="eastAsia" w:ascii="仿宋" w:hAnsi="仿宋" w:eastAsia="仿宋"/>
          <w:bCs/>
          <w:color w:val="auto"/>
          <w:sz w:val="32"/>
          <w:szCs w:val="32"/>
        </w:rPr>
        <w:t>1、</w:t>
      </w:r>
      <w:r>
        <w:rPr>
          <w:rFonts w:hint="eastAsia" w:ascii="仿宋" w:hAnsi="仿宋" w:eastAsia="仿宋"/>
          <w:bCs/>
          <w:color w:val="auto"/>
          <w:sz w:val="32"/>
          <w:szCs w:val="32"/>
          <w:lang w:eastAsia="zh-CN"/>
        </w:rPr>
        <w:t>制定详实的</w:t>
      </w:r>
      <w:r>
        <w:rPr>
          <w:rFonts w:hint="eastAsia" w:ascii="仿宋" w:hAnsi="仿宋" w:eastAsia="仿宋"/>
          <w:bCs/>
          <w:color w:val="auto"/>
          <w:sz w:val="32"/>
          <w:szCs w:val="32"/>
        </w:rPr>
        <w:t xml:space="preserve">教学工作计划，严格按计划进行工作，提升教学计划的针对性和可操作性，确保学校各种教学、教科研活动的有序进行。 </w:t>
      </w:r>
    </w:p>
    <w:p>
      <w:pPr>
        <w:pStyle w:val="2"/>
        <w:adjustRightInd w:val="0"/>
        <w:snapToGrid w:val="0"/>
        <w:spacing w:before="93" w:line="600" w:lineRule="exact"/>
        <w:ind w:firstLine="630"/>
        <w:outlineLvl w:val="2"/>
        <w:rPr>
          <w:rFonts w:hint="eastAsia" w:ascii="仿宋" w:hAnsi="仿宋" w:eastAsia="仿宋"/>
          <w:bCs/>
          <w:color w:val="auto"/>
          <w:sz w:val="32"/>
          <w:szCs w:val="32"/>
        </w:rPr>
      </w:pPr>
      <w:r>
        <w:rPr>
          <w:rFonts w:hint="eastAsia" w:ascii="仿宋" w:hAnsi="仿宋" w:eastAsia="仿宋"/>
          <w:bCs/>
          <w:color w:val="auto"/>
          <w:sz w:val="32"/>
          <w:szCs w:val="32"/>
        </w:rPr>
        <w:t>2、坚持集体坐班备课，教师</w:t>
      </w:r>
      <w:r>
        <w:rPr>
          <w:rFonts w:hint="eastAsia" w:ascii="仿宋" w:hAnsi="仿宋" w:eastAsia="仿宋"/>
          <w:bCs/>
          <w:color w:val="auto"/>
          <w:sz w:val="32"/>
          <w:szCs w:val="32"/>
          <w:lang w:eastAsia="zh-CN"/>
        </w:rPr>
        <w:t>积极积极参与</w:t>
      </w:r>
      <w:r>
        <w:rPr>
          <w:rFonts w:hint="eastAsia" w:ascii="仿宋" w:hAnsi="仿宋" w:eastAsia="仿宋"/>
          <w:bCs/>
          <w:color w:val="auto"/>
          <w:sz w:val="32"/>
          <w:szCs w:val="32"/>
        </w:rPr>
        <w:t>，重视教学观念的转化，适应社会新形式。</w:t>
      </w:r>
    </w:p>
    <w:p>
      <w:pPr>
        <w:pStyle w:val="2"/>
        <w:adjustRightInd w:val="0"/>
        <w:snapToGrid w:val="0"/>
        <w:spacing w:before="93" w:line="600" w:lineRule="exact"/>
        <w:ind w:firstLine="630"/>
        <w:outlineLvl w:val="2"/>
        <w:rPr>
          <w:rFonts w:hint="eastAsia" w:ascii="仿宋" w:hAnsi="仿宋" w:eastAsia="仿宋"/>
          <w:bCs/>
          <w:color w:val="auto"/>
          <w:sz w:val="32"/>
          <w:szCs w:val="32"/>
        </w:rPr>
      </w:pPr>
      <w:r>
        <w:rPr>
          <w:rFonts w:hint="eastAsia" w:ascii="仿宋" w:hAnsi="仿宋" w:eastAsia="仿宋"/>
          <w:bCs/>
          <w:color w:val="auto"/>
          <w:sz w:val="32"/>
          <w:szCs w:val="32"/>
        </w:rPr>
        <w:t>3、坚持生本有效课堂的教学理念，不断地改进、创新教学思路，加强学生教学活动的主动</w:t>
      </w:r>
      <w:r>
        <w:rPr>
          <w:rFonts w:hint="eastAsia" w:ascii="仿宋" w:hAnsi="仿宋" w:eastAsia="仿宋"/>
          <w:bCs/>
          <w:color w:val="auto"/>
          <w:sz w:val="32"/>
          <w:szCs w:val="32"/>
          <w:lang w:eastAsia="zh-CN"/>
        </w:rPr>
        <w:t>参与</w:t>
      </w:r>
      <w:r>
        <w:rPr>
          <w:rFonts w:hint="eastAsia" w:ascii="仿宋" w:hAnsi="仿宋" w:eastAsia="仿宋"/>
          <w:bCs/>
          <w:color w:val="auto"/>
          <w:sz w:val="32"/>
          <w:szCs w:val="32"/>
        </w:rPr>
        <w:t xml:space="preserve">，让其成为学习的主体，提升课堂的有效性。  </w:t>
      </w:r>
    </w:p>
    <w:p>
      <w:pPr>
        <w:pStyle w:val="2"/>
        <w:adjustRightInd w:val="0"/>
        <w:snapToGrid w:val="0"/>
        <w:spacing w:before="93" w:line="600" w:lineRule="exact"/>
        <w:ind w:firstLine="630"/>
        <w:outlineLvl w:val="2"/>
        <w:rPr>
          <w:rFonts w:hint="eastAsia" w:ascii="仿宋" w:hAnsi="仿宋" w:eastAsia="仿宋"/>
          <w:bCs/>
          <w:color w:val="auto"/>
          <w:sz w:val="32"/>
          <w:szCs w:val="32"/>
        </w:rPr>
      </w:pPr>
      <w:r>
        <w:rPr>
          <w:rFonts w:hint="eastAsia" w:ascii="仿宋" w:hAnsi="仿宋" w:eastAsia="仿宋"/>
          <w:bCs/>
          <w:color w:val="auto"/>
          <w:sz w:val="32"/>
          <w:szCs w:val="32"/>
          <w:lang w:eastAsia="zh-CN"/>
        </w:rPr>
        <w:t>（二）</w:t>
      </w:r>
      <w:r>
        <w:rPr>
          <w:rFonts w:hint="eastAsia" w:ascii="仿宋" w:hAnsi="仿宋" w:eastAsia="仿宋"/>
          <w:bCs/>
          <w:color w:val="auto"/>
          <w:sz w:val="32"/>
          <w:szCs w:val="32"/>
        </w:rPr>
        <w:t>开展持久的校本培训活动，开展校本课程开发与实验活动，开展课改专题总结活动 ，持久开展教育科研活动。</w:t>
      </w:r>
    </w:p>
    <w:p>
      <w:pPr>
        <w:pStyle w:val="2"/>
        <w:adjustRightInd w:val="0"/>
        <w:snapToGrid w:val="0"/>
        <w:spacing w:before="93" w:line="600" w:lineRule="exact"/>
        <w:ind w:firstLine="630"/>
        <w:outlineLvl w:val="2"/>
        <w:rPr>
          <w:rFonts w:hint="eastAsia" w:ascii="仿宋" w:hAnsi="仿宋" w:eastAsia="仿宋"/>
          <w:bCs/>
          <w:color w:val="auto"/>
          <w:sz w:val="32"/>
          <w:szCs w:val="32"/>
        </w:rPr>
      </w:pPr>
      <w:r>
        <w:rPr>
          <w:rFonts w:hint="eastAsia" w:ascii="仿宋" w:hAnsi="仿宋" w:eastAsia="仿宋"/>
          <w:bCs/>
          <w:color w:val="auto"/>
          <w:sz w:val="32"/>
          <w:szCs w:val="32"/>
          <w:lang w:eastAsia="zh-CN"/>
        </w:rPr>
        <w:t>（三）</w:t>
      </w:r>
      <w:r>
        <w:rPr>
          <w:rFonts w:hint="eastAsia" w:ascii="仿宋" w:hAnsi="仿宋" w:eastAsia="仿宋"/>
          <w:bCs/>
          <w:color w:val="auto"/>
          <w:sz w:val="32"/>
          <w:szCs w:val="32"/>
        </w:rPr>
        <w:t>开展学生德育活动，强化学生自主管理，通过多种途径加强学生爱国主义教育和公民道德教育，加强学生的法制、安全和心理教育，收到了很好的</w:t>
      </w:r>
      <w:r>
        <w:rPr>
          <w:rFonts w:hint="eastAsia" w:ascii="仿宋" w:hAnsi="仿宋" w:eastAsia="仿宋"/>
          <w:bCs/>
          <w:color w:val="auto"/>
          <w:sz w:val="32"/>
          <w:szCs w:val="32"/>
          <w:lang w:eastAsia="zh-CN"/>
        </w:rPr>
        <w:t>效果</w:t>
      </w:r>
      <w:r>
        <w:rPr>
          <w:rFonts w:hint="eastAsia" w:ascii="仿宋" w:hAnsi="仿宋" w:eastAsia="仿宋"/>
          <w:bCs/>
          <w:color w:val="auto"/>
          <w:sz w:val="32"/>
          <w:szCs w:val="32"/>
        </w:rPr>
        <w:t>。</w:t>
      </w:r>
    </w:p>
    <w:p>
      <w:pPr>
        <w:pStyle w:val="2"/>
        <w:adjustRightInd w:val="0"/>
        <w:snapToGrid w:val="0"/>
        <w:spacing w:before="93" w:line="600" w:lineRule="exact"/>
        <w:ind w:firstLine="630"/>
        <w:outlineLvl w:val="2"/>
        <w:rPr>
          <w:rFonts w:hint="eastAsia" w:ascii="仿宋" w:hAnsi="仿宋" w:eastAsia="仿宋"/>
          <w:bCs/>
          <w:color w:val="auto"/>
          <w:sz w:val="32"/>
          <w:szCs w:val="32"/>
        </w:rPr>
      </w:pPr>
      <w:r>
        <w:rPr>
          <w:rFonts w:hint="eastAsia" w:ascii="仿宋" w:hAnsi="仿宋" w:eastAsia="仿宋"/>
          <w:bCs/>
          <w:color w:val="auto"/>
          <w:sz w:val="32"/>
          <w:szCs w:val="32"/>
          <w:lang w:eastAsia="zh-CN"/>
        </w:rPr>
        <w:t>（四）</w:t>
      </w:r>
      <w:r>
        <w:rPr>
          <w:rFonts w:hint="eastAsia" w:ascii="仿宋" w:hAnsi="仿宋" w:eastAsia="仿宋"/>
          <w:bCs/>
          <w:color w:val="auto"/>
          <w:sz w:val="32"/>
          <w:szCs w:val="32"/>
        </w:rPr>
        <w:t>强化学校的后勤管理工作，树立良好的服务意识。落实好学校的财产管理工作，做到账账相符、账实物相符。进一步改进了食堂管理，加强对食堂食品采购、验收、储存、制作和加工等环节的管理工作，确保饮食卫生安全。改善办学条件，不断提高教师待遇。</w:t>
      </w:r>
    </w:p>
    <w:p>
      <w:pPr>
        <w:pStyle w:val="2"/>
        <w:adjustRightInd w:val="0"/>
        <w:snapToGrid w:val="0"/>
        <w:spacing w:before="93" w:line="600" w:lineRule="exact"/>
        <w:ind w:firstLine="630"/>
        <w:outlineLvl w:val="2"/>
        <w:rPr>
          <w:rFonts w:hint="eastAsia" w:ascii="仿宋" w:hAnsi="仿宋" w:eastAsia="仿宋"/>
          <w:bCs/>
          <w:color w:val="auto"/>
          <w:sz w:val="32"/>
          <w:szCs w:val="32"/>
        </w:rPr>
      </w:pPr>
      <w:r>
        <w:rPr>
          <w:rFonts w:hint="eastAsia" w:ascii="仿宋" w:hAnsi="仿宋" w:eastAsia="仿宋"/>
          <w:bCs/>
          <w:color w:val="auto"/>
          <w:sz w:val="32"/>
          <w:szCs w:val="32"/>
          <w:lang w:eastAsia="zh-CN"/>
        </w:rPr>
        <w:t>（五）</w:t>
      </w:r>
      <w:r>
        <w:rPr>
          <w:rFonts w:hint="eastAsia" w:ascii="仿宋" w:hAnsi="仿宋" w:eastAsia="仿宋"/>
          <w:bCs/>
          <w:color w:val="auto"/>
          <w:sz w:val="32"/>
          <w:szCs w:val="32"/>
        </w:rPr>
        <w:t>进一步强化了学校的财务工作。本年度学校经费全部由财政拨款，</w:t>
      </w:r>
      <w:r>
        <w:rPr>
          <w:rFonts w:hint="eastAsia" w:ascii="仿宋" w:hAnsi="仿宋" w:eastAsia="仿宋"/>
          <w:bCs/>
          <w:color w:val="auto"/>
          <w:sz w:val="32"/>
          <w:szCs w:val="32"/>
          <w:lang w:eastAsia="zh-CN"/>
        </w:rPr>
        <w:t>也严格</w:t>
      </w:r>
      <w:r>
        <w:rPr>
          <w:rFonts w:hint="eastAsia" w:ascii="仿宋" w:hAnsi="仿宋" w:eastAsia="仿宋"/>
          <w:bCs/>
          <w:color w:val="auto"/>
          <w:sz w:val="32"/>
          <w:szCs w:val="32"/>
        </w:rPr>
        <w:t>执行上级收支两条线财务制度，按年初预算进行开支，无违规违纪现象。重大开支由学校班子、廉勤委、教代会研究决定，一切开支均有经手人、会计、校长签字方能入账。学校成立</w:t>
      </w:r>
      <w:r>
        <w:rPr>
          <w:rFonts w:hint="eastAsia" w:ascii="仿宋" w:hAnsi="仿宋" w:eastAsia="仿宋"/>
          <w:bCs/>
          <w:color w:val="auto"/>
          <w:sz w:val="32"/>
          <w:szCs w:val="32"/>
          <w:lang w:eastAsia="zh-CN"/>
        </w:rPr>
        <w:t>有</w:t>
      </w:r>
      <w:r>
        <w:rPr>
          <w:rFonts w:hint="eastAsia" w:ascii="仿宋" w:hAnsi="仿宋" w:eastAsia="仿宋"/>
          <w:bCs/>
          <w:color w:val="auto"/>
          <w:sz w:val="32"/>
          <w:szCs w:val="32"/>
        </w:rPr>
        <w:t>廉勤委，每月对学校账目进行审核，并进行校务、财务公开。做到公开、透明，让每个教师心中有</w:t>
      </w:r>
    </w:p>
    <w:p>
      <w:pPr>
        <w:pStyle w:val="2"/>
        <w:adjustRightInd w:val="0"/>
        <w:snapToGrid w:val="0"/>
        <w:spacing w:before="93" w:line="600" w:lineRule="exact"/>
        <w:ind w:firstLine="630"/>
        <w:outlineLvl w:val="2"/>
        <w:rPr>
          <w:rFonts w:hint="eastAsia" w:ascii="仿宋" w:hAnsi="仿宋" w:eastAsia="仿宋"/>
          <w:bCs/>
          <w:color w:val="auto"/>
          <w:sz w:val="32"/>
          <w:szCs w:val="32"/>
        </w:rPr>
      </w:pPr>
      <w:r>
        <w:rPr>
          <w:rFonts w:hint="eastAsia" w:ascii="仿宋" w:hAnsi="仿宋" w:eastAsia="仿宋"/>
          <w:bCs/>
          <w:color w:val="auto"/>
          <w:sz w:val="32"/>
          <w:szCs w:val="32"/>
          <w:lang w:eastAsia="zh-CN"/>
        </w:rPr>
        <w:t>（六）</w:t>
      </w:r>
      <w:r>
        <w:rPr>
          <w:rFonts w:hint="eastAsia" w:ascii="仿宋" w:hAnsi="仿宋" w:eastAsia="仿宋"/>
          <w:bCs/>
          <w:color w:val="auto"/>
          <w:sz w:val="32"/>
          <w:szCs w:val="32"/>
        </w:rPr>
        <w:t>加强了学校的安全工作，认真学习上级各项法规政策，落实各级安全工作会议精神，学校未出现任何重、特大事故。建立健全学校安全工作机制和工作网络，层层落实学校安全责任，确保责任到岗，明确到人，落实到位。我校加强对学生的安全教育和监管力度，认真宣传安全方面的法律法规，采取各种形式对学生进行安全教育，发挥课堂主阵地的作用，开设安全教育课、一周一主题的生本德育课。加大对学校安全隐患的排查和整改力度，消除安全隐患，确保师生安全。</w:t>
      </w:r>
    </w:p>
    <w:p>
      <w:pPr>
        <w:pStyle w:val="2"/>
        <w:adjustRightInd w:val="0"/>
        <w:snapToGrid w:val="0"/>
        <w:spacing w:before="93" w:line="600" w:lineRule="exact"/>
        <w:ind w:firstLine="630"/>
        <w:outlineLvl w:val="2"/>
        <w:rPr>
          <w:rStyle w:val="26"/>
          <w:rFonts w:ascii="仿宋" w:hAnsi="仿宋" w:eastAsia="仿宋" w:cs="仿宋"/>
          <w:b w:val="0"/>
          <w:bCs w:val="0"/>
          <w:color w:val="auto"/>
          <w:kern w:val="0"/>
        </w:rPr>
      </w:pPr>
      <w:r>
        <w:rPr>
          <w:rFonts w:hint="eastAsia" w:ascii="仿宋" w:hAnsi="仿宋" w:eastAsia="仿宋"/>
          <w:bCs/>
          <w:color w:val="auto"/>
          <w:sz w:val="32"/>
          <w:szCs w:val="32"/>
          <w:lang w:eastAsia="zh-CN"/>
        </w:rPr>
        <w:t>（七）</w:t>
      </w:r>
      <w:r>
        <w:rPr>
          <w:rFonts w:hint="eastAsia" w:ascii="仿宋" w:hAnsi="仿宋" w:eastAsia="仿宋"/>
          <w:bCs/>
          <w:color w:val="auto"/>
          <w:sz w:val="32"/>
          <w:szCs w:val="32"/>
        </w:rPr>
        <w:t>加强学校的疫情防控工作，落实好学校学生及教职工的一日三检工作，做到教职工非必要不外出，外出必须按规定程序报备，同时严格</w:t>
      </w:r>
      <w:r>
        <w:rPr>
          <w:rFonts w:hint="eastAsia" w:ascii="仿宋" w:hAnsi="仿宋" w:eastAsia="仿宋"/>
          <w:bCs/>
          <w:color w:val="auto"/>
          <w:sz w:val="32"/>
          <w:szCs w:val="32"/>
          <w:lang w:eastAsia="zh-CN"/>
        </w:rPr>
        <w:t>按照</w:t>
      </w:r>
      <w:r>
        <w:rPr>
          <w:rFonts w:hint="eastAsia" w:ascii="仿宋" w:hAnsi="仿宋" w:eastAsia="仿宋"/>
          <w:bCs/>
          <w:color w:val="auto"/>
          <w:sz w:val="32"/>
          <w:szCs w:val="32"/>
        </w:rPr>
        <w:t>相关文件要求执行相关外出人员的核酸检测等工作，确保了学校教职工员及学生的健康。</w:t>
      </w:r>
      <w:r>
        <w:rPr>
          <w:rFonts w:hint="eastAsia" w:ascii="黑体" w:eastAsia="黑体" w:cs="黑体"/>
          <w:color w:val="auto"/>
        </w:rPr>
        <w:t>二、</w:t>
      </w:r>
      <w:r>
        <w:rPr>
          <w:rFonts w:hint="eastAsia" w:ascii="黑体" w:hAnsi="黑体" w:eastAsia="黑体" w:cs="黑体"/>
          <w:color w:val="auto"/>
        </w:rPr>
        <w:t>机</w:t>
      </w:r>
      <w:r>
        <w:rPr>
          <w:rStyle w:val="26"/>
          <w:rFonts w:hint="eastAsia" w:ascii="黑体" w:hAnsi="黑体" w:eastAsia="黑体" w:cs="黑体"/>
          <w:color w:val="auto"/>
        </w:rPr>
        <w:t>构设置</w:t>
      </w:r>
    </w:p>
    <w:p>
      <w:pPr>
        <w:spacing w:line="576" w:lineRule="exact"/>
        <w:ind w:left="475" w:leftChars="150" w:hanging="160" w:hangingChars="50"/>
        <w:rPr>
          <w:rFonts w:ascii="仿宋" w:hAnsi="仿宋" w:eastAsia="仿宋" w:cs="宋体"/>
          <w:color w:val="auto"/>
          <w:kern w:val="0"/>
          <w:sz w:val="32"/>
          <w:szCs w:val="32"/>
        </w:rPr>
      </w:pPr>
      <w:r>
        <w:rPr>
          <w:rFonts w:hint="eastAsia" w:ascii="仿宋" w:hAnsi="仿宋" w:eastAsia="仿宋" w:cs="宋体"/>
          <w:color w:val="auto"/>
          <w:kern w:val="0"/>
          <w:sz w:val="32"/>
          <w:szCs w:val="32"/>
        </w:rPr>
        <w:t>本单位无下属二级决算单位.</w:t>
      </w:r>
    </w:p>
    <w:bookmarkEnd w:id="16"/>
    <w:bookmarkEnd w:id="17"/>
    <w:p>
      <w:pPr>
        <w:rPr>
          <w:color w:val="auto"/>
        </w:rPr>
      </w:pPr>
    </w:p>
    <w:bookmarkEnd w:id="14"/>
    <w:bookmarkEnd w:id="15"/>
    <w:p>
      <w:pPr>
        <w:widowControl/>
        <w:jc w:val="left"/>
        <w:rPr>
          <w:rFonts w:ascii="仿宋" w:hAnsi="仿宋" w:eastAsia="仿宋"/>
          <w:color w:val="auto"/>
          <w:kern w:val="0"/>
          <w:sz w:val="32"/>
          <w:szCs w:val="32"/>
        </w:rPr>
      </w:pPr>
      <w:r>
        <w:rPr>
          <w:rFonts w:ascii="仿宋" w:hAnsi="仿宋" w:eastAsia="仿宋"/>
          <w:color w:val="auto"/>
          <w:sz w:val="32"/>
          <w:szCs w:val="32"/>
        </w:rPr>
        <w:br w:type="page"/>
      </w:r>
    </w:p>
    <w:p>
      <w:pPr>
        <w:pStyle w:val="3"/>
        <w:ind w:right="440"/>
        <w:jc w:val="center"/>
        <w:rPr>
          <w:rStyle w:val="25"/>
          <w:rFonts w:ascii="黑体" w:hAnsi="黑体" w:eastAsia="黑体"/>
          <w:b w:val="0"/>
          <w:bCs/>
          <w:color w:val="auto"/>
        </w:rPr>
      </w:pPr>
      <w:bookmarkStart w:id="18" w:name="_Toc15377204"/>
      <w:bookmarkStart w:id="19" w:name="_Toc15396602"/>
      <w:r>
        <w:rPr>
          <w:rFonts w:hint="eastAsia" w:ascii="黑体" w:hAnsi="黑体" w:eastAsia="黑体"/>
          <w:b w:val="0"/>
          <w:color w:val="auto"/>
        </w:rPr>
        <w:t>第二部分 2022年度</w:t>
      </w:r>
      <w:r>
        <w:rPr>
          <w:rStyle w:val="25"/>
          <w:rFonts w:hint="eastAsia" w:ascii="黑体" w:hAnsi="黑体" w:eastAsia="黑体"/>
          <w:b w:val="0"/>
          <w:bCs/>
          <w:color w:val="auto"/>
        </w:rPr>
        <w:t>单位决算情况说明</w:t>
      </w:r>
      <w:bookmarkEnd w:id="18"/>
      <w:bookmarkEnd w:id="19"/>
    </w:p>
    <w:p>
      <w:pPr>
        <w:rPr>
          <w:color w:val="auto"/>
        </w:rPr>
      </w:pPr>
    </w:p>
    <w:p>
      <w:pPr>
        <w:pStyle w:val="24"/>
        <w:numPr>
          <w:ilvl w:val="0"/>
          <w:numId w:val="2"/>
        </w:numPr>
        <w:spacing w:line="600" w:lineRule="exact"/>
        <w:ind w:firstLineChars="0"/>
        <w:outlineLvl w:val="1"/>
        <w:rPr>
          <w:rStyle w:val="26"/>
          <w:rFonts w:ascii="黑体" w:hAnsi="黑体" w:eastAsia="黑体"/>
          <w:b w:val="0"/>
          <w:color w:val="auto"/>
        </w:rPr>
      </w:pPr>
      <w:bookmarkStart w:id="20" w:name="_Toc15396603"/>
      <w:bookmarkStart w:id="21" w:name="_Toc15377205"/>
      <w:r>
        <w:rPr>
          <w:rFonts w:hint="eastAsia" w:ascii="黑体" w:hAnsi="黑体" w:eastAsia="黑体"/>
          <w:color w:val="auto"/>
          <w:sz w:val="32"/>
          <w:szCs w:val="32"/>
        </w:rPr>
        <w:t>收</w:t>
      </w:r>
      <w:r>
        <w:rPr>
          <w:rStyle w:val="26"/>
          <w:rFonts w:hint="eastAsia" w:ascii="黑体" w:hAnsi="黑体" w:eastAsia="黑体"/>
          <w:b w:val="0"/>
          <w:color w:val="auto"/>
        </w:rPr>
        <w:t>入支出决算总体情况说明</w:t>
      </w:r>
      <w:bookmarkEnd w:id="20"/>
      <w:bookmarkEnd w:id="21"/>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2022年度收、支总计</w:t>
      </w:r>
      <w:r>
        <w:rPr>
          <w:rFonts w:hint="eastAsia" w:ascii="仿宋" w:hAnsi="仿宋" w:eastAsia="仿宋"/>
          <w:color w:val="auto"/>
          <w:sz w:val="32"/>
          <w:szCs w:val="32"/>
          <w:lang w:val="en-US" w:eastAsia="zh-CN"/>
        </w:rPr>
        <w:t>587.97</w:t>
      </w:r>
      <w:r>
        <w:rPr>
          <w:rFonts w:hint="eastAsia" w:ascii="仿宋" w:hAnsi="仿宋" w:eastAsia="仿宋"/>
          <w:color w:val="auto"/>
          <w:sz w:val="32"/>
          <w:szCs w:val="32"/>
        </w:rPr>
        <w:t>万元。与</w:t>
      </w:r>
      <w:bookmarkStart w:id="69" w:name="_GoBack"/>
      <w:bookmarkEnd w:id="69"/>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年相比，收、支总计各增加</w:t>
      </w:r>
      <w:r>
        <w:rPr>
          <w:rFonts w:hint="eastAsia" w:ascii="仿宋" w:hAnsi="仿宋" w:eastAsia="仿宋"/>
          <w:color w:val="auto"/>
          <w:sz w:val="32"/>
          <w:szCs w:val="32"/>
          <w:lang w:val="en-US" w:eastAsia="zh-CN"/>
        </w:rPr>
        <w:t>78.95</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15.51</w:t>
      </w:r>
      <w:r>
        <w:rPr>
          <w:rFonts w:ascii="仿宋" w:hAnsi="仿宋" w:eastAsia="仿宋"/>
          <w:color w:val="auto"/>
          <w:sz w:val="32"/>
          <w:szCs w:val="32"/>
        </w:rPr>
        <w:t>%</w:t>
      </w:r>
      <w:r>
        <w:rPr>
          <w:rFonts w:hint="eastAsia" w:ascii="仿宋" w:hAnsi="仿宋" w:eastAsia="仿宋"/>
          <w:color w:val="auto"/>
          <w:sz w:val="32"/>
          <w:szCs w:val="32"/>
        </w:rPr>
        <w:t>。主要变动原因是学生人数增加。</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：收、支决算总计变动情况图）（柱状图）</w:t>
      </w:r>
    </w:p>
    <w:p>
      <w:pPr>
        <w:spacing w:line="600" w:lineRule="exact"/>
        <w:ind w:firstLine="640" w:firstLineChars="200"/>
        <w:jc w:val="left"/>
        <w:rPr>
          <w:rFonts w:ascii="仿宋_GB2312" w:eastAsia="仿宋_GB2312"/>
          <w:color w:val="auto"/>
          <w:sz w:val="32"/>
          <w:szCs w:val="32"/>
        </w:rPr>
      </w:pPr>
    </w:p>
    <w:p>
      <w:pPr>
        <w:pStyle w:val="2"/>
        <w:spacing w:before="93"/>
        <w:rPr>
          <w:color w:val="auto"/>
        </w:rPr>
      </w:pPr>
      <w:r>
        <w:rPr>
          <w:rFonts w:hint="eastAsia"/>
          <w:color w:val="auto"/>
        </w:rPr>
        <w:drawing>
          <wp:inline distT="0" distB="0" distL="0" distR="0">
            <wp:extent cx="5274310" cy="3076575"/>
            <wp:effectExtent l="5080" t="4445" r="16510"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2"/>
        </w:numPr>
        <w:spacing w:line="600" w:lineRule="exact"/>
        <w:ind w:firstLineChars="0"/>
        <w:outlineLvl w:val="1"/>
        <w:rPr>
          <w:rStyle w:val="26"/>
          <w:rFonts w:ascii="黑体" w:hAnsi="黑体" w:eastAsia="黑体"/>
          <w:b w:val="0"/>
          <w:color w:val="auto"/>
        </w:rPr>
      </w:pPr>
      <w:bookmarkStart w:id="22" w:name="_Toc15396604"/>
      <w:bookmarkStart w:id="23" w:name="_Toc15377206"/>
      <w:r>
        <w:rPr>
          <w:rFonts w:hint="eastAsia" w:ascii="黑体" w:hAnsi="黑体" w:eastAsia="黑体"/>
          <w:color w:val="auto"/>
          <w:sz w:val="32"/>
          <w:szCs w:val="32"/>
        </w:rPr>
        <w:t>收</w:t>
      </w:r>
      <w:r>
        <w:rPr>
          <w:rStyle w:val="26"/>
          <w:rFonts w:hint="eastAsia" w:ascii="黑体" w:hAnsi="黑体" w:eastAsia="黑体"/>
          <w:b w:val="0"/>
          <w:color w:val="auto"/>
        </w:rPr>
        <w:t>入决算情况说明</w:t>
      </w:r>
      <w:bookmarkEnd w:id="22"/>
      <w:bookmarkEnd w:id="23"/>
    </w:p>
    <w:p>
      <w:pPr>
        <w:spacing w:line="600" w:lineRule="exact"/>
        <w:ind w:firstLine="640" w:firstLineChars="200"/>
        <w:outlineLvl w:val="1"/>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22年本年收入合计</w:t>
      </w:r>
      <w:r>
        <w:rPr>
          <w:rFonts w:hint="eastAsia" w:ascii="仿宋" w:hAnsi="仿宋" w:eastAsia="仿宋"/>
          <w:color w:val="auto"/>
          <w:sz w:val="32"/>
          <w:szCs w:val="32"/>
          <w:lang w:val="en-US" w:eastAsia="zh-CN"/>
        </w:rPr>
        <w:t>587.97</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587.97</w:t>
      </w:r>
      <w:r>
        <w:rPr>
          <w:rFonts w:hint="eastAsia" w:ascii="仿宋" w:hAnsi="仿宋" w:eastAsia="仿宋"/>
          <w:color w:val="auto"/>
          <w:sz w:val="32"/>
          <w:szCs w:val="32"/>
        </w:rPr>
        <w:t>万元，占100</w:t>
      </w:r>
      <w:r>
        <w:rPr>
          <w:rFonts w:ascii="仿宋" w:hAnsi="仿宋" w:eastAsia="仿宋"/>
          <w:color w:val="auto"/>
          <w:sz w:val="32"/>
          <w:szCs w:val="32"/>
        </w:rPr>
        <w:t>%</w:t>
      </w:r>
      <w:r>
        <w:rPr>
          <w:rFonts w:hint="eastAsia" w:ascii="仿宋" w:hAnsi="仿宋" w:eastAsia="仿宋"/>
          <w:color w:val="auto"/>
          <w:sz w:val="32"/>
          <w:szCs w:val="32"/>
        </w:rPr>
        <w:t>；政府性基金预算财政拨款收入0万元，占0</w:t>
      </w:r>
      <w:r>
        <w:rPr>
          <w:rFonts w:ascii="仿宋" w:hAnsi="仿宋" w:eastAsia="仿宋"/>
          <w:color w:val="auto"/>
          <w:sz w:val="32"/>
          <w:szCs w:val="32"/>
        </w:rPr>
        <w:t>%</w:t>
      </w:r>
      <w:r>
        <w:rPr>
          <w:rFonts w:hint="eastAsia" w:ascii="仿宋" w:hAnsi="仿宋" w:eastAsia="仿宋"/>
          <w:color w:val="auto"/>
          <w:sz w:val="32"/>
          <w:szCs w:val="32"/>
        </w:rPr>
        <w:t>；国有资本经营预算财政拨款收入0万元，占0</w:t>
      </w:r>
      <w:r>
        <w:rPr>
          <w:rFonts w:ascii="仿宋" w:hAnsi="仿宋" w:eastAsia="仿宋"/>
          <w:color w:val="auto"/>
          <w:sz w:val="32"/>
          <w:szCs w:val="32"/>
        </w:rPr>
        <w:t>%</w:t>
      </w:r>
      <w:r>
        <w:rPr>
          <w:rFonts w:hint="eastAsia" w:ascii="仿宋" w:hAnsi="仿宋" w:eastAsia="仿宋"/>
          <w:color w:val="auto"/>
          <w:sz w:val="32"/>
          <w:szCs w:val="32"/>
        </w:rPr>
        <w:t>；上级补助收入0万元，占0</w:t>
      </w:r>
      <w:r>
        <w:rPr>
          <w:rFonts w:ascii="仿宋" w:hAnsi="仿宋" w:eastAsia="仿宋"/>
          <w:color w:val="auto"/>
          <w:sz w:val="32"/>
          <w:szCs w:val="32"/>
        </w:rPr>
        <w:t>%</w:t>
      </w:r>
      <w:r>
        <w:rPr>
          <w:rFonts w:hint="eastAsia" w:ascii="仿宋" w:hAnsi="仿宋" w:eastAsia="仿宋"/>
          <w:color w:val="auto"/>
          <w:sz w:val="32"/>
          <w:szCs w:val="32"/>
        </w:rPr>
        <w:t>；事业收入0万元，占0</w:t>
      </w:r>
      <w:r>
        <w:rPr>
          <w:rFonts w:ascii="仿宋" w:hAnsi="仿宋" w:eastAsia="仿宋"/>
          <w:color w:val="auto"/>
          <w:sz w:val="32"/>
          <w:szCs w:val="32"/>
        </w:rPr>
        <w:t>%</w:t>
      </w:r>
      <w:r>
        <w:rPr>
          <w:rFonts w:hint="eastAsia" w:ascii="仿宋" w:hAnsi="仿宋" w:eastAsia="仿宋"/>
          <w:color w:val="auto"/>
          <w:sz w:val="32"/>
          <w:szCs w:val="32"/>
        </w:rPr>
        <w:t>；经营收入0万元，占0</w:t>
      </w:r>
      <w:r>
        <w:rPr>
          <w:rFonts w:ascii="仿宋" w:hAnsi="仿宋" w:eastAsia="仿宋"/>
          <w:color w:val="auto"/>
          <w:sz w:val="32"/>
          <w:szCs w:val="32"/>
        </w:rPr>
        <w:t>%</w:t>
      </w:r>
      <w:r>
        <w:rPr>
          <w:rFonts w:hint="eastAsia" w:ascii="仿宋" w:hAnsi="仿宋" w:eastAsia="仿宋"/>
          <w:color w:val="auto"/>
          <w:sz w:val="32"/>
          <w:szCs w:val="32"/>
        </w:rPr>
        <w:t>；附属单位上缴收入0</w:t>
      </w:r>
    </w:p>
    <w:p>
      <w:pPr>
        <w:spacing w:line="600" w:lineRule="exact"/>
        <w:ind w:firstLine="640" w:firstLineChars="200"/>
        <w:outlineLvl w:val="1"/>
        <w:rPr>
          <w:rFonts w:ascii="仿宋" w:hAnsi="仿宋" w:eastAsia="仿宋"/>
          <w:color w:val="auto"/>
          <w:sz w:val="32"/>
          <w:szCs w:val="32"/>
        </w:rPr>
      </w:pPr>
      <w:r>
        <w:rPr>
          <w:rFonts w:hint="eastAsia" w:ascii="仿宋" w:hAnsi="仿宋" w:eastAsia="仿宋"/>
          <w:color w:val="auto"/>
          <w:sz w:val="32"/>
          <w:szCs w:val="32"/>
        </w:rPr>
        <w:t>万元，占0</w:t>
      </w:r>
      <w:r>
        <w:rPr>
          <w:rFonts w:ascii="仿宋" w:hAnsi="仿宋" w:eastAsia="仿宋"/>
          <w:color w:val="auto"/>
          <w:sz w:val="32"/>
          <w:szCs w:val="32"/>
        </w:rPr>
        <w:t>%</w:t>
      </w:r>
      <w:r>
        <w:rPr>
          <w:rFonts w:hint="eastAsia" w:ascii="仿宋" w:hAnsi="仿宋" w:eastAsia="仿宋"/>
          <w:color w:val="auto"/>
          <w:sz w:val="32"/>
          <w:szCs w:val="32"/>
        </w:rPr>
        <w:t>；其他收入0万元，占0</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0" w:firstLineChars="200"/>
        <w:rPr>
          <w:color w:val="auto"/>
        </w:rPr>
      </w:pPr>
      <w:r>
        <w:rPr>
          <w:rFonts w:hint="eastAsia" w:ascii="仿宋" w:hAnsi="仿宋" w:eastAsia="仿宋"/>
          <w:color w:val="auto"/>
          <w:sz w:val="32"/>
          <w:szCs w:val="32"/>
        </w:rPr>
        <w:t>（图2：收入决算结构图）（饼状图）</w:t>
      </w:r>
      <w:r>
        <w:rPr>
          <w:rFonts w:hint="eastAsia"/>
          <w:color w:val="auto"/>
        </w:rPr>
        <w:drawing>
          <wp:anchor distT="0" distB="0" distL="114300" distR="114300" simplePos="0" relativeHeight="251659264" behindDoc="0" locked="0" layoutInCell="1" allowOverlap="1">
            <wp:simplePos x="0" y="0"/>
            <wp:positionH relativeFrom="column">
              <wp:posOffset>126365</wp:posOffset>
            </wp:positionH>
            <wp:positionV relativeFrom="paragraph">
              <wp:posOffset>-2704465</wp:posOffset>
            </wp:positionV>
            <wp:extent cx="4956810" cy="2849880"/>
            <wp:effectExtent l="4445" t="4445" r="14605" b="5715"/>
            <wp:wrapSquare wrapText="bothSides"/>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2"/>
        </w:numPr>
        <w:spacing w:line="600" w:lineRule="exact"/>
        <w:ind w:firstLineChars="0"/>
        <w:outlineLvl w:val="1"/>
        <w:rPr>
          <w:rStyle w:val="26"/>
          <w:rFonts w:ascii="黑体" w:hAnsi="黑体" w:eastAsia="黑体"/>
          <w:b w:val="0"/>
          <w:color w:val="auto"/>
        </w:rPr>
      </w:pPr>
      <w:bookmarkStart w:id="24" w:name="_Toc15377207"/>
      <w:bookmarkStart w:id="25" w:name="_Toc15396605"/>
      <w:r>
        <w:rPr>
          <w:rFonts w:hint="eastAsia" w:ascii="黑体" w:hAnsi="黑体" w:eastAsia="黑体"/>
          <w:color w:val="auto"/>
          <w:sz w:val="32"/>
          <w:szCs w:val="32"/>
        </w:rPr>
        <w:t>支</w:t>
      </w:r>
      <w:r>
        <w:rPr>
          <w:rStyle w:val="26"/>
          <w:rFonts w:hint="eastAsia" w:ascii="黑体" w:hAnsi="黑体" w:eastAsia="黑体"/>
          <w:b w:val="0"/>
          <w:color w:val="auto"/>
        </w:rPr>
        <w:t>出决算情况说明</w:t>
      </w:r>
      <w:bookmarkEnd w:id="24"/>
      <w:bookmarkEnd w:id="25"/>
    </w:p>
    <w:p>
      <w:pPr>
        <w:spacing w:line="600" w:lineRule="exact"/>
        <w:ind w:firstLine="640" w:firstLineChars="200"/>
        <w:outlineLvl w:val="1"/>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22年本年支出合计</w:t>
      </w:r>
      <w:r>
        <w:rPr>
          <w:rFonts w:hint="eastAsia" w:ascii="仿宋" w:hAnsi="仿宋" w:eastAsia="仿宋"/>
          <w:color w:val="auto"/>
          <w:sz w:val="32"/>
          <w:szCs w:val="32"/>
          <w:lang w:val="en-US" w:eastAsia="zh-CN"/>
        </w:rPr>
        <w:t>587.97</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585.97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99.66</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0.34</w:t>
      </w:r>
      <w:r>
        <w:rPr>
          <w:rFonts w:ascii="仿宋" w:hAnsi="仿宋" w:eastAsia="仿宋"/>
          <w:color w:val="auto"/>
          <w:sz w:val="32"/>
          <w:szCs w:val="32"/>
        </w:rPr>
        <w:t>%</w:t>
      </w:r>
      <w:r>
        <w:rPr>
          <w:rFonts w:hint="eastAsia" w:ascii="仿宋" w:hAnsi="仿宋" w:eastAsia="仿宋"/>
          <w:color w:val="auto"/>
          <w:sz w:val="32"/>
          <w:szCs w:val="32"/>
        </w:rPr>
        <w:t>；上缴上级支出0万元，占0</w:t>
      </w:r>
      <w:r>
        <w:rPr>
          <w:rFonts w:ascii="仿宋" w:hAnsi="仿宋" w:eastAsia="仿宋"/>
          <w:color w:val="auto"/>
          <w:sz w:val="32"/>
          <w:szCs w:val="32"/>
        </w:rPr>
        <w:t>%</w:t>
      </w:r>
      <w:r>
        <w:rPr>
          <w:rFonts w:hint="eastAsia" w:ascii="仿宋" w:hAnsi="仿宋" w:eastAsia="仿宋"/>
          <w:color w:val="auto"/>
          <w:sz w:val="32"/>
          <w:szCs w:val="32"/>
        </w:rPr>
        <w:t>；经营支出0万元，占0</w:t>
      </w:r>
      <w:r>
        <w:rPr>
          <w:rFonts w:ascii="仿宋" w:hAnsi="仿宋" w:eastAsia="仿宋"/>
          <w:color w:val="auto"/>
          <w:sz w:val="32"/>
          <w:szCs w:val="32"/>
        </w:rPr>
        <w:t>%</w:t>
      </w:r>
      <w:r>
        <w:rPr>
          <w:rFonts w:hint="eastAsia" w:ascii="仿宋" w:hAnsi="仿宋" w:eastAsia="仿宋"/>
          <w:color w:val="auto"/>
          <w:sz w:val="32"/>
          <w:szCs w:val="32"/>
        </w:rPr>
        <w:t>；对附属单位补助支出0万元，占0</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（图3：支出决算结构图）（饼状图）</w:t>
      </w:r>
    </w:p>
    <w:p>
      <w:pPr>
        <w:pStyle w:val="2"/>
        <w:spacing w:before="93"/>
        <w:rPr>
          <w:color w:val="auto"/>
        </w:rPr>
      </w:pPr>
      <w:r>
        <w:rPr>
          <w:rFonts w:hint="eastAsia"/>
          <w:color w:val="auto"/>
        </w:rPr>
        <w:drawing>
          <wp:inline distT="0" distB="0" distL="0" distR="0">
            <wp:extent cx="5274310" cy="3076575"/>
            <wp:effectExtent l="19050" t="0" r="2159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color w:val="auto"/>
        </w:rPr>
      </w:pPr>
      <w:bookmarkStart w:id="26" w:name="_Toc15396606"/>
      <w:bookmarkStart w:id="27" w:name="_Toc15377208"/>
      <w:r>
        <w:rPr>
          <w:rFonts w:hint="eastAsia" w:ascii="黑体" w:hAnsi="黑体" w:eastAsia="黑体"/>
          <w:color w:val="auto"/>
          <w:sz w:val="32"/>
          <w:szCs w:val="32"/>
        </w:rPr>
        <w:t>四、财</w:t>
      </w:r>
      <w:r>
        <w:rPr>
          <w:rStyle w:val="26"/>
          <w:rFonts w:hint="eastAsia" w:ascii="黑体" w:hAnsi="黑体" w:eastAsia="黑体"/>
          <w:b w:val="0"/>
          <w:color w:val="auto"/>
        </w:rPr>
        <w:t>政拨款收入支出决算总体情况说明</w:t>
      </w:r>
      <w:bookmarkEnd w:id="26"/>
      <w:bookmarkEnd w:id="27"/>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22年财政拨款收、支总计</w:t>
      </w:r>
      <w:r>
        <w:rPr>
          <w:rFonts w:hint="eastAsia" w:ascii="仿宋" w:hAnsi="仿宋" w:eastAsia="仿宋"/>
          <w:color w:val="auto"/>
          <w:sz w:val="32"/>
          <w:szCs w:val="32"/>
          <w:lang w:val="en-US" w:eastAsia="zh-CN"/>
        </w:rPr>
        <w:t>587.97</w:t>
      </w:r>
      <w:r>
        <w:rPr>
          <w:rFonts w:hint="eastAsia" w:ascii="仿宋" w:hAnsi="仿宋" w:eastAsia="仿宋"/>
          <w:color w:val="auto"/>
          <w:sz w:val="32"/>
          <w:szCs w:val="32"/>
        </w:rPr>
        <w:t>万元。与</w:t>
      </w:r>
      <w:r>
        <w:rPr>
          <w:rFonts w:ascii="仿宋" w:hAnsi="仿宋" w:eastAsia="仿宋"/>
          <w:color w:val="auto"/>
          <w:sz w:val="32"/>
          <w:szCs w:val="32"/>
        </w:rPr>
        <w:t>20</w:t>
      </w:r>
      <w:r>
        <w:rPr>
          <w:rFonts w:hint="eastAsia" w:ascii="仿宋" w:hAnsi="仿宋" w:eastAsia="仿宋"/>
          <w:color w:val="auto"/>
          <w:sz w:val="32"/>
          <w:szCs w:val="32"/>
        </w:rPr>
        <w:t>21年相比，与2021年相比，收、支总计各增加</w:t>
      </w:r>
      <w:r>
        <w:rPr>
          <w:rFonts w:hint="eastAsia" w:ascii="仿宋" w:hAnsi="仿宋" w:eastAsia="仿宋"/>
          <w:color w:val="auto"/>
          <w:sz w:val="32"/>
          <w:szCs w:val="32"/>
          <w:lang w:val="en-US" w:eastAsia="zh-CN"/>
        </w:rPr>
        <w:t>78.95</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15.51</w:t>
      </w:r>
      <w:r>
        <w:rPr>
          <w:rFonts w:ascii="仿宋" w:hAnsi="仿宋" w:eastAsia="仿宋"/>
          <w:color w:val="auto"/>
          <w:sz w:val="32"/>
          <w:szCs w:val="32"/>
        </w:rPr>
        <w:t>%</w:t>
      </w:r>
      <w:r>
        <w:rPr>
          <w:rFonts w:hint="eastAsia" w:ascii="仿宋" w:hAnsi="仿宋" w:eastAsia="仿宋"/>
          <w:color w:val="auto"/>
          <w:sz w:val="32"/>
          <w:szCs w:val="32"/>
        </w:rPr>
        <w:t>。主要变动原因是学生人数增加。</w:t>
      </w:r>
    </w:p>
    <w:p>
      <w:pPr>
        <w:spacing w:line="600" w:lineRule="exact"/>
        <w:ind w:firstLine="640" w:firstLineChars="200"/>
        <w:rPr>
          <w:rFonts w:ascii="仿宋" w:hAnsi="仿宋" w:eastAsia="仿宋"/>
          <w:b/>
          <w:color w:val="auto"/>
          <w:sz w:val="32"/>
          <w:szCs w:val="32"/>
        </w:rPr>
      </w:pPr>
      <w:r>
        <w:rPr>
          <w:rFonts w:hint="eastAsia" w:ascii="仿宋" w:hAnsi="仿宋" w:eastAsia="仿宋"/>
          <w:color w:val="auto"/>
          <w:sz w:val="32"/>
          <w:szCs w:val="32"/>
        </w:rPr>
        <w:t>（图4：财政拨款收、支决算总计变动情况）（柱状图）</w:t>
      </w:r>
    </w:p>
    <w:p>
      <w:pPr>
        <w:pStyle w:val="2"/>
        <w:spacing w:before="93"/>
        <w:rPr>
          <w:color w:val="auto"/>
        </w:rPr>
      </w:pPr>
    </w:p>
    <w:p>
      <w:pPr>
        <w:pStyle w:val="2"/>
        <w:spacing w:before="93"/>
        <w:rPr>
          <w:color w:val="auto"/>
        </w:rPr>
      </w:pPr>
      <w:r>
        <w:rPr>
          <w:rFonts w:hint="eastAsia"/>
          <w:color w:val="auto"/>
        </w:rPr>
        <w:drawing>
          <wp:inline distT="0" distB="0" distL="0" distR="0">
            <wp:extent cx="5274310" cy="3076575"/>
            <wp:effectExtent l="19050" t="0" r="2159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6"/>
          <w:rFonts w:ascii="黑体" w:hAnsi="黑体" w:eastAsia="黑体"/>
          <w:b w:val="0"/>
          <w:color w:val="auto"/>
        </w:rPr>
      </w:pPr>
      <w:bookmarkStart w:id="28" w:name="_Toc15396607"/>
      <w:bookmarkStart w:id="29" w:name="_Toc15377209"/>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般公共预算财政拨款支出决算情况说明</w:t>
      </w:r>
      <w:bookmarkEnd w:id="28"/>
      <w:bookmarkEnd w:id="29"/>
    </w:p>
    <w:p>
      <w:pPr>
        <w:spacing w:line="600" w:lineRule="exact"/>
        <w:ind w:firstLine="643" w:firstLineChars="200"/>
        <w:outlineLvl w:val="2"/>
        <w:rPr>
          <w:rFonts w:ascii="仿宋" w:hAnsi="仿宋" w:eastAsia="仿宋"/>
          <w:b/>
          <w:color w:val="auto"/>
          <w:sz w:val="32"/>
          <w:szCs w:val="32"/>
        </w:rPr>
      </w:pPr>
      <w:bookmarkStart w:id="30" w:name="_Toc15377210"/>
      <w:r>
        <w:rPr>
          <w:rFonts w:hint="eastAsia" w:ascii="仿宋" w:hAnsi="仿宋" w:eastAsia="仿宋"/>
          <w:b/>
          <w:color w:val="auto"/>
          <w:sz w:val="32"/>
          <w:szCs w:val="32"/>
        </w:rPr>
        <w:t>（一）一般公共预算财政拨款支出决算总体情况</w:t>
      </w:r>
      <w:bookmarkEnd w:id="30"/>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22年一般公共预算财政拨款支出</w:t>
      </w:r>
      <w:r>
        <w:rPr>
          <w:rFonts w:hint="eastAsia" w:ascii="仿宋" w:hAnsi="仿宋" w:eastAsia="仿宋"/>
          <w:color w:val="auto"/>
          <w:sz w:val="32"/>
          <w:szCs w:val="32"/>
          <w:lang w:val="en-US" w:eastAsia="zh-CN"/>
        </w:rPr>
        <w:t>587.97</w:t>
      </w:r>
      <w:r>
        <w:rPr>
          <w:rFonts w:hint="eastAsia" w:ascii="仿宋" w:hAnsi="仿宋" w:eastAsia="仿宋"/>
          <w:color w:val="auto"/>
          <w:sz w:val="32"/>
          <w:szCs w:val="32"/>
        </w:rPr>
        <w:t>万元，占本年支出合计的100</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w:t>
      </w:r>
      <w:r>
        <w:rPr>
          <w:rFonts w:hint="eastAsia" w:ascii="仿宋" w:hAnsi="仿宋" w:eastAsia="仿宋"/>
          <w:color w:val="auto"/>
          <w:sz w:val="32"/>
          <w:szCs w:val="32"/>
        </w:rPr>
        <w:t>21年相比，与2021年相比，收、支总计各增加</w:t>
      </w:r>
      <w:r>
        <w:rPr>
          <w:rFonts w:hint="eastAsia" w:ascii="仿宋" w:hAnsi="仿宋" w:eastAsia="仿宋"/>
          <w:color w:val="auto"/>
          <w:sz w:val="32"/>
          <w:szCs w:val="32"/>
          <w:lang w:val="en-US" w:eastAsia="zh-CN"/>
        </w:rPr>
        <w:t>78.95</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15.51</w:t>
      </w:r>
      <w:r>
        <w:rPr>
          <w:rFonts w:ascii="仿宋" w:hAnsi="仿宋" w:eastAsia="仿宋"/>
          <w:color w:val="auto"/>
          <w:sz w:val="32"/>
          <w:szCs w:val="32"/>
        </w:rPr>
        <w:t>%</w:t>
      </w:r>
      <w:r>
        <w:rPr>
          <w:rFonts w:hint="eastAsia" w:ascii="仿宋" w:hAnsi="仿宋" w:eastAsia="仿宋"/>
          <w:color w:val="auto"/>
          <w:sz w:val="32"/>
          <w:szCs w:val="32"/>
        </w:rPr>
        <w:t>。主要变动原因是学生人数增加。</w:t>
      </w:r>
    </w:p>
    <w:p>
      <w:pPr>
        <w:pStyle w:val="2"/>
        <w:spacing w:before="93"/>
        <w:rPr>
          <w:color w:val="auto"/>
        </w:rPr>
      </w:pPr>
      <w:r>
        <w:rPr>
          <w:rFonts w:hint="eastAsia"/>
          <w:color w:val="auto"/>
        </w:rPr>
        <w:drawing>
          <wp:inline distT="0" distB="0" distL="0" distR="0">
            <wp:extent cx="5274310" cy="3076575"/>
            <wp:effectExtent l="19050" t="0" r="2159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spacing w:before="93"/>
        <w:rPr>
          <w:color w:val="auto"/>
        </w:rPr>
      </w:pPr>
    </w:p>
    <w:p>
      <w:pPr>
        <w:spacing w:line="600" w:lineRule="exact"/>
        <w:ind w:firstLine="643" w:firstLineChars="200"/>
        <w:outlineLvl w:val="2"/>
        <w:rPr>
          <w:rFonts w:ascii="仿宋" w:hAnsi="仿宋" w:eastAsia="仿宋"/>
          <w:b/>
          <w:color w:val="auto"/>
          <w:sz w:val="32"/>
          <w:szCs w:val="32"/>
        </w:rPr>
      </w:pPr>
      <w:bookmarkStart w:id="31" w:name="_Toc15377211"/>
      <w:r>
        <w:rPr>
          <w:rFonts w:hint="eastAsia" w:ascii="仿宋" w:hAnsi="仿宋" w:eastAsia="仿宋"/>
          <w:b/>
          <w:color w:val="auto"/>
          <w:sz w:val="32"/>
          <w:szCs w:val="32"/>
        </w:rPr>
        <w:t>（二）一般公共预算财政拨款支出决算结构情况</w:t>
      </w:r>
      <w:bookmarkEnd w:id="31"/>
    </w:p>
    <w:p>
      <w:pPr>
        <w:spacing w:line="600" w:lineRule="exact"/>
        <w:ind w:firstLine="640"/>
        <w:rPr>
          <w:rFonts w:ascii="仿宋" w:hAnsi="仿宋" w:eastAsia="仿宋"/>
          <w:b/>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22年一般公共预算财政拨款支出</w:t>
      </w:r>
      <w:r>
        <w:rPr>
          <w:rFonts w:hint="eastAsia" w:ascii="仿宋" w:hAnsi="仿宋" w:eastAsia="仿宋"/>
          <w:color w:val="auto"/>
          <w:sz w:val="32"/>
          <w:szCs w:val="32"/>
          <w:lang w:val="en-US" w:eastAsia="zh-CN"/>
        </w:rPr>
        <w:t>587.97</w:t>
      </w:r>
      <w:r>
        <w:rPr>
          <w:rFonts w:hint="eastAsia" w:ascii="仿宋" w:hAnsi="仿宋" w:eastAsia="仿宋"/>
          <w:color w:val="auto"/>
          <w:sz w:val="32"/>
          <w:szCs w:val="32"/>
        </w:rPr>
        <w:t>万元，主要用于以下方面</w:t>
      </w:r>
      <w:r>
        <w:rPr>
          <w:rFonts w:hint="eastAsia" w:ascii="仿宋" w:hAnsi="仿宋" w:eastAsia="仿宋"/>
          <w:color w:val="auto"/>
          <w:sz w:val="32"/>
          <w:szCs w:val="32"/>
          <w:lang w:eastAsia="zh-CN"/>
        </w:rPr>
        <w:t>：</w:t>
      </w:r>
      <w:r>
        <w:rPr>
          <w:rFonts w:hint="eastAsia" w:ascii="仿宋" w:hAnsi="仿宋" w:eastAsia="仿宋"/>
          <w:b/>
          <w:color w:val="auto"/>
          <w:sz w:val="32"/>
          <w:szCs w:val="32"/>
        </w:rPr>
        <w:t>一般公共服务</w:t>
      </w:r>
      <w:r>
        <w:rPr>
          <w:rFonts w:hint="eastAsia" w:ascii="仿宋" w:hAnsi="仿宋" w:eastAsia="仿宋"/>
          <w:b/>
          <w:bCs/>
          <w:color w:val="auto"/>
          <w:sz w:val="32"/>
          <w:szCs w:val="32"/>
        </w:rPr>
        <w:t>支出</w:t>
      </w:r>
      <w:r>
        <w:rPr>
          <w:rFonts w:hint="eastAsia" w:ascii="仿宋" w:hAnsi="仿宋" w:eastAsia="仿宋"/>
          <w:color w:val="auto"/>
          <w:sz w:val="32"/>
          <w:szCs w:val="32"/>
        </w:rPr>
        <w:t>0万元，占0</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教育支出</w:t>
      </w:r>
      <w:r>
        <w:rPr>
          <w:rFonts w:hint="eastAsia" w:ascii="仿宋" w:hAnsi="仿宋" w:eastAsia="仿宋"/>
          <w:color w:val="auto"/>
          <w:sz w:val="32"/>
          <w:szCs w:val="32"/>
          <w:lang w:val="en-US" w:eastAsia="zh-CN"/>
        </w:rPr>
        <w:t>494.52</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84.11</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科学技术</w:t>
      </w:r>
      <w:r>
        <w:rPr>
          <w:rFonts w:hint="eastAsia" w:ascii="仿宋" w:hAnsi="仿宋" w:eastAsia="仿宋"/>
          <w:b/>
          <w:bCs/>
          <w:color w:val="auto"/>
          <w:sz w:val="32"/>
          <w:szCs w:val="32"/>
        </w:rPr>
        <w:t>支出</w:t>
      </w:r>
      <w:r>
        <w:rPr>
          <w:rFonts w:hint="eastAsia" w:ascii="仿宋" w:hAnsi="仿宋" w:eastAsia="仿宋"/>
          <w:color w:val="auto"/>
          <w:sz w:val="32"/>
          <w:szCs w:val="32"/>
        </w:rPr>
        <w:t>0万元，占0</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文化旅游体育与传媒支出0万元，占0</w:t>
      </w:r>
      <w:r>
        <w:rPr>
          <w:rFonts w:ascii="仿宋" w:hAnsi="仿宋" w:eastAsia="仿宋"/>
          <w:b/>
          <w:bCs/>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w:t>
      </w:r>
      <w:r>
        <w:rPr>
          <w:rFonts w:hint="eastAsia" w:ascii="仿宋" w:hAnsi="仿宋" w:eastAsia="仿宋"/>
          <w:b/>
          <w:bCs/>
          <w:color w:val="auto"/>
          <w:sz w:val="32"/>
          <w:szCs w:val="32"/>
        </w:rPr>
        <w:t>支出</w:t>
      </w:r>
      <w:r>
        <w:rPr>
          <w:rFonts w:hint="eastAsia" w:ascii="仿宋" w:hAnsi="仿宋" w:eastAsia="仿宋"/>
          <w:color w:val="auto"/>
          <w:sz w:val="32"/>
          <w:szCs w:val="32"/>
          <w:lang w:val="en-US" w:eastAsia="zh-CN"/>
        </w:rPr>
        <w:t>40.65</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6.91</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20.32</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3.46</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住房保障支出</w:t>
      </w:r>
      <w:r>
        <w:rPr>
          <w:rFonts w:hint="eastAsia" w:ascii="仿宋" w:hAnsi="仿宋" w:eastAsia="仿宋"/>
          <w:color w:val="auto"/>
          <w:sz w:val="32"/>
          <w:szCs w:val="32"/>
          <w:lang w:val="en-US" w:eastAsia="zh-CN"/>
        </w:rPr>
        <w:t>30.48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5.18</w:t>
      </w:r>
      <w:r>
        <w:rPr>
          <w:rFonts w:ascii="仿宋" w:hAnsi="仿宋" w:eastAsia="仿宋"/>
          <w:color w:val="auto"/>
          <w:sz w:val="32"/>
          <w:szCs w:val="32"/>
        </w:rPr>
        <w:t>%</w:t>
      </w:r>
      <w:r>
        <w:rPr>
          <w:rFonts w:hint="eastAsia" w:ascii="仿宋" w:hAnsi="仿宋" w:eastAsia="仿宋"/>
          <w:color w:val="auto"/>
          <w:sz w:val="32"/>
          <w:szCs w:val="32"/>
          <w:lang w:val="en-US" w:eastAsia="zh-CN"/>
        </w:rPr>
        <w:t>；</w:t>
      </w:r>
      <w:r>
        <w:rPr>
          <w:rFonts w:hint="eastAsia" w:ascii="仿宋" w:hAnsi="仿宋" w:eastAsia="仿宋"/>
          <w:b/>
          <w:color w:val="auto"/>
          <w:sz w:val="32"/>
          <w:szCs w:val="32"/>
        </w:rPr>
        <w:t>农林水支出</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0.34</w:t>
      </w:r>
      <w:r>
        <w:rPr>
          <w:rFonts w:ascii="仿宋" w:hAnsi="仿宋" w:eastAsia="仿宋"/>
          <w:color w:val="auto"/>
          <w:sz w:val="32"/>
          <w:szCs w:val="32"/>
        </w:rPr>
        <w:t>%</w:t>
      </w:r>
      <w:r>
        <w:rPr>
          <w:rFonts w:hint="eastAsia" w:ascii="仿宋" w:hAnsi="仿宋" w:eastAsia="仿宋"/>
          <w:color w:val="auto"/>
          <w:sz w:val="32"/>
          <w:szCs w:val="32"/>
          <w:lang w:eastAsia="zh-CN"/>
        </w:rPr>
        <w:t>；</w:t>
      </w:r>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（图6：一般公共预算财政拨款支出决算结构）（饼状图）</w:t>
      </w:r>
    </w:p>
    <w:p>
      <w:pPr>
        <w:spacing w:line="600" w:lineRule="exact"/>
        <w:ind w:firstLine="640" w:firstLineChars="200"/>
        <w:rPr>
          <w:rFonts w:hint="eastAsia" w:ascii="仿宋" w:hAnsi="仿宋" w:eastAsia="仿宋"/>
          <w:color w:val="auto"/>
          <w:sz w:val="32"/>
          <w:szCs w:val="32"/>
        </w:rPr>
      </w:pPr>
    </w:p>
    <w:p>
      <w:pPr>
        <w:pStyle w:val="2"/>
        <w:spacing w:before="93"/>
        <w:rPr>
          <w:rFonts w:hint="eastAsia"/>
          <w:color w:val="auto"/>
        </w:rPr>
      </w:pPr>
      <w:r>
        <w:rPr>
          <w:rFonts w:hint="eastAsia"/>
          <w:color w:val="auto"/>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rPr>
          <w:color w:val="auto"/>
        </w:rPr>
      </w:pPr>
    </w:p>
    <w:p>
      <w:pPr>
        <w:spacing w:line="600" w:lineRule="exact"/>
        <w:ind w:firstLine="643" w:firstLineChars="200"/>
        <w:outlineLvl w:val="2"/>
        <w:rPr>
          <w:rFonts w:ascii="仿宋" w:hAnsi="仿宋" w:eastAsia="仿宋"/>
          <w:b/>
          <w:color w:val="auto"/>
          <w:sz w:val="32"/>
          <w:szCs w:val="32"/>
        </w:rPr>
      </w:pPr>
      <w:bookmarkStart w:id="32" w:name="_Toc15377212"/>
      <w:r>
        <w:rPr>
          <w:rFonts w:hint="eastAsia" w:ascii="仿宋" w:hAnsi="仿宋" w:eastAsia="仿宋"/>
          <w:b/>
          <w:color w:val="auto"/>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auto"/>
          <w:sz w:val="32"/>
          <w:szCs w:val="32"/>
        </w:rPr>
      </w:pPr>
      <w:bookmarkStart w:id="33" w:name="_Toc15377444"/>
      <w:bookmarkStart w:id="34" w:name="_Toc15378460"/>
      <w:bookmarkStart w:id="35" w:name="_Toc15377213"/>
      <w:r>
        <w:rPr>
          <w:rFonts w:hint="eastAsia" w:ascii="仿宋" w:hAnsi="仿宋" w:eastAsia="仿宋"/>
          <w:b/>
          <w:color w:val="auto"/>
          <w:sz w:val="32"/>
          <w:szCs w:val="32"/>
        </w:rPr>
        <w:t>2022年一般公共预算支出决算数为</w:t>
      </w:r>
      <w:r>
        <w:rPr>
          <w:rFonts w:hint="eastAsia" w:ascii="仿宋" w:hAnsi="仿宋" w:eastAsia="仿宋"/>
          <w:b/>
          <w:color w:val="auto"/>
          <w:sz w:val="32"/>
          <w:szCs w:val="32"/>
          <w:lang w:val="en-US" w:eastAsia="zh-CN"/>
        </w:rPr>
        <w:t>587.97</w:t>
      </w:r>
      <w:r>
        <w:rPr>
          <w:rFonts w:hint="eastAsia" w:ascii="仿宋" w:hAnsi="仿宋" w:eastAsia="仿宋"/>
          <w:b/>
          <w:color w:val="auto"/>
          <w:sz w:val="32"/>
          <w:szCs w:val="32"/>
        </w:rPr>
        <w:t>万元</w:t>
      </w:r>
      <w:r>
        <w:rPr>
          <w:rFonts w:hint="eastAsia" w:ascii="仿宋" w:hAnsi="仿宋" w:eastAsia="仿宋"/>
          <w:color w:val="auto"/>
          <w:sz w:val="32"/>
          <w:szCs w:val="32"/>
        </w:rPr>
        <w:t>，</w:t>
      </w:r>
      <w:r>
        <w:rPr>
          <w:rStyle w:val="14"/>
          <w:rFonts w:hint="eastAsia" w:ascii="仿宋" w:hAnsi="仿宋" w:eastAsia="仿宋"/>
          <w:bCs/>
          <w:color w:val="auto"/>
          <w:sz w:val="32"/>
          <w:szCs w:val="32"/>
        </w:rPr>
        <w:t>完成预算100</w:t>
      </w:r>
      <w:r>
        <w:rPr>
          <w:rStyle w:val="14"/>
          <w:rFonts w:ascii="仿宋" w:hAnsi="仿宋" w:eastAsia="仿宋"/>
          <w:bCs/>
          <w:color w:val="auto"/>
          <w:sz w:val="32"/>
          <w:szCs w:val="32"/>
        </w:rPr>
        <w:t>%</w:t>
      </w:r>
      <w:r>
        <w:rPr>
          <w:rStyle w:val="14"/>
          <w:rFonts w:hint="eastAsia" w:ascii="仿宋" w:hAnsi="仿宋" w:eastAsia="仿宋"/>
          <w:bCs/>
          <w:color w:val="auto"/>
          <w:sz w:val="32"/>
          <w:szCs w:val="32"/>
        </w:rPr>
        <w:t>。其中：</w:t>
      </w:r>
      <w:bookmarkEnd w:id="33"/>
      <w:bookmarkEnd w:id="34"/>
      <w:bookmarkEnd w:id="35"/>
    </w:p>
    <w:p>
      <w:pPr>
        <w:spacing w:line="600" w:lineRule="exact"/>
        <w:ind w:firstLine="643" w:firstLineChars="200"/>
        <w:rPr>
          <w:rFonts w:ascii="仿宋" w:hAnsi="仿宋" w:eastAsia="仿宋"/>
          <w:b/>
          <w:color w:val="auto"/>
          <w:sz w:val="32"/>
          <w:szCs w:val="32"/>
        </w:rPr>
      </w:pPr>
      <w:r>
        <w:rPr>
          <w:rStyle w:val="14"/>
          <w:rFonts w:hint="eastAsia" w:ascii="仿宋" w:hAnsi="仿宋" w:eastAsia="仿宋"/>
          <w:bCs/>
          <w:color w:val="auto"/>
          <w:sz w:val="32"/>
          <w:szCs w:val="32"/>
          <w:lang w:val="en-US" w:eastAsia="zh-CN"/>
        </w:rPr>
        <w:t>1</w:t>
      </w:r>
      <w:r>
        <w:rPr>
          <w:rStyle w:val="14"/>
          <w:rFonts w:ascii="仿宋" w:hAnsi="仿宋" w:eastAsia="仿宋"/>
          <w:bCs/>
          <w:color w:val="auto"/>
          <w:sz w:val="32"/>
          <w:szCs w:val="32"/>
        </w:rPr>
        <w:t>.</w:t>
      </w:r>
      <w:r>
        <w:rPr>
          <w:rStyle w:val="14"/>
          <w:rFonts w:hint="eastAsia" w:ascii="仿宋" w:hAnsi="仿宋" w:eastAsia="仿宋"/>
          <w:bCs/>
          <w:color w:val="auto"/>
          <w:sz w:val="32"/>
          <w:szCs w:val="32"/>
        </w:rPr>
        <w:t>教育支出（类）普通</w:t>
      </w:r>
      <w:r>
        <w:rPr>
          <w:rStyle w:val="14"/>
          <w:rFonts w:ascii="仿宋" w:hAnsi="仿宋" w:eastAsia="仿宋"/>
          <w:bCs/>
          <w:color w:val="auto"/>
          <w:sz w:val="32"/>
          <w:szCs w:val="32"/>
        </w:rPr>
        <w:t>教育</w:t>
      </w:r>
      <w:r>
        <w:rPr>
          <w:rStyle w:val="14"/>
          <w:rFonts w:hint="eastAsia" w:ascii="仿宋" w:hAnsi="仿宋" w:eastAsia="仿宋"/>
          <w:bCs/>
          <w:color w:val="auto"/>
          <w:sz w:val="32"/>
          <w:szCs w:val="32"/>
        </w:rPr>
        <w:t>（款）初中</w:t>
      </w:r>
      <w:r>
        <w:rPr>
          <w:rStyle w:val="14"/>
          <w:rFonts w:ascii="仿宋" w:hAnsi="仿宋" w:eastAsia="仿宋"/>
          <w:bCs/>
          <w:color w:val="auto"/>
          <w:sz w:val="32"/>
          <w:szCs w:val="32"/>
        </w:rPr>
        <w:t>教育</w:t>
      </w:r>
      <w:r>
        <w:rPr>
          <w:rStyle w:val="14"/>
          <w:rFonts w:hint="eastAsia" w:ascii="仿宋" w:hAnsi="仿宋" w:eastAsia="仿宋"/>
          <w:bCs/>
          <w:color w:val="auto"/>
          <w:sz w:val="32"/>
          <w:szCs w:val="32"/>
        </w:rPr>
        <w:t>（项）</w:t>
      </w:r>
      <w:r>
        <w:rPr>
          <w:rStyle w:val="14"/>
          <w:rFonts w:hint="eastAsia" w:ascii="仿宋" w:hAnsi="仿宋" w:eastAsia="仿宋"/>
          <w:bCs/>
          <w:color w:val="auto"/>
          <w:sz w:val="32"/>
          <w:szCs w:val="32"/>
          <w:lang w:eastAsia="zh-CN"/>
        </w:rPr>
        <w:t>：</w:t>
      </w:r>
      <w:r>
        <w:rPr>
          <w:rStyle w:val="14"/>
          <w:rFonts w:hint="eastAsia" w:ascii="仿宋" w:hAnsi="仿宋" w:eastAsia="仿宋"/>
          <w:b w:val="0"/>
          <w:bCs/>
          <w:color w:val="auto"/>
          <w:sz w:val="32"/>
          <w:szCs w:val="32"/>
        </w:rPr>
        <w:t>支出决算为</w:t>
      </w:r>
      <w:r>
        <w:rPr>
          <w:rFonts w:hint="eastAsia" w:ascii="仿宋" w:hAnsi="仿宋" w:eastAsia="仿宋"/>
          <w:color w:val="auto"/>
          <w:sz w:val="32"/>
          <w:szCs w:val="32"/>
          <w:lang w:val="en-US" w:eastAsia="zh-CN"/>
        </w:rPr>
        <w:t>494.52</w:t>
      </w:r>
      <w:r>
        <w:rPr>
          <w:rStyle w:val="14"/>
          <w:rFonts w:hint="eastAsia" w:ascii="仿宋" w:hAnsi="仿宋" w:eastAsia="仿宋"/>
          <w:b w:val="0"/>
          <w:bCs/>
          <w:color w:val="auto"/>
          <w:sz w:val="32"/>
          <w:szCs w:val="32"/>
        </w:rPr>
        <w:t>万元，完成预算</w:t>
      </w:r>
      <w:r>
        <w:rPr>
          <w:rFonts w:hint="eastAsia" w:ascii="仿宋" w:hAnsi="仿宋" w:eastAsia="仿宋"/>
          <w:color w:val="auto"/>
          <w:sz w:val="32"/>
          <w:szCs w:val="32"/>
          <w:lang w:val="en-US" w:eastAsia="zh-CN"/>
        </w:rPr>
        <w:t>84.11</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rPr>
      </w:pPr>
      <w:r>
        <w:rPr>
          <w:rStyle w:val="14"/>
          <w:rFonts w:hint="eastAsia" w:ascii="仿宋" w:hAnsi="仿宋" w:eastAsia="仿宋"/>
          <w:bCs/>
          <w:color w:val="auto"/>
          <w:sz w:val="32"/>
          <w:szCs w:val="32"/>
          <w:lang w:val="en-US" w:eastAsia="zh-CN"/>
        </w:rPr>
        <w:t>2</w:t>
      </w:r>
      <w:r>
        <w:rPr>
          <w:rStyle w:val="14"/>
          <w:rFonts w:ascii="仿宋" w:hAnsi="仿宋" w:eastAsia="仿宋"/>
          <w:bCs/>
          <w:color w:val="auto"/>
          <w:sz w:val="32"/>
          <w:szCs w:val="32"/>
        </w:rPr>
        <w:t>.</w:t>
      </w:r>
      <w:r>
        <w:rPr>
          <w:rFonts w:hint="eastAsia" w:ascii="仿宋" w:hAnsi="仿宋" w:eastAsia="仿宋" w:cs="仿宋"/>
          <w:b/>
          <w:bCs/>
          <w:color w:val="auto"/>
          <w:sz w:val="32"/>
          <w:szCs w:val="32"/>
        </w:rPr>
        <w:t xml:space="preserve"> 社会保障和就业（</w:t>
      </w:r>
      <w:r>
        <w:rPr>
          <w:rStyle w:val="14"/>
          <w:rFonts w:hint="eastAsia" w:ascii="仿宋" w:hAnsi="仿宋" w:eastAsia="仿宋"/>
          <w:bCs/>
          <w:color w:val="auto"/>
          <w:sz w:val="32"/>
          <w:szCs w:val="32"/>
        </w:rPr>
        <w:t>类）行政事业单位养老保险支出（款）机关事业单位基本养老保险缴费支出（项）</w:t>
      </w:r>
      <w:r>
        <w:rPr>
          <w:rStyle w:val="14"/>
          <w:rFonts w:hint="eastAsia" w:ascii="仿宋" w:hAnsi="仿宋" w:eastAsia="仿宋"/>
          <w:bCs/>
          <w:color w:val="auto"/>
          <w:sz w:val="32"/>
          <w:szCs w:val="32"/>
          <w:lang w:eastAsia="zh-CN"/>
        </w:rPr>
        <w:t>：</w:t>
      </w:r>
      <w:r>
        <w:rPr>
          <w:rStyle w:val="14"/>
          <w:rFonts w:hint="eastAsia" w:ascii="仿宋" w:hAnsi="仿宋" w:eastAsia="仿宋"/>
          <w:b w:val="0"/>
          <w:bCs/>
          <w:color w:val="auto"/>
          <w:sz w:val="32"/>
          <w:szCs w:val="32"/>
        </w:rPr>
        <w:t>支出决算为</w:t>
      </w:r>
      <w:r>
        <w:rPr>
          <w:rFonts w:hint="eastAsia" w:ascii="仿宋" w:hAnsi="仿宋" w:eastAsia="仿宋"/>
          <w:color w:val="auto"/>
          <w:sz w:val="32"/>
          <w:szCs w:val="32"/>
          <w:lang w:val="en-US" w:eastAsia="zh-CN"/>
        </w:rPr>
        <w:t>40.65</w:t>
      </w:r>
      <w:r>
        <w:rPr>
          <w:rStyle w:val="14"/>
          <w:rFonts w:hint="eastAsia" w:ascii="仿宋" w:hAnsi="仿宋" w:eastAsia="仿宋"/>
          <w:b w:val="0"/>
          <w:bCs/>
          <w:color w:val="auto"/>
          <w:sz w:val="32"/>
          <w:szCs w:val="32"/>
        </w:rPr>
        <w:t>万元，完成预算</w:t>
      </w:r>
      <w:r>
        <w:rPr>
          <w:rFonts w:hint="eastAsia" w:ascii="仿宋" w:hAnsi="仿宋" w:eastAsia="仿宋"/>
          <w:color w:val="auto"/>
          <w:sz w:val="32"/>
          <w:szCs w:val="32"/>
          <w:lang w:val="en-US" w:eastAsia="zh-CN"/>
        </w:rPr>
        <w:t>6.91</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p>
    <w:p>
      <w:pPr>
        <w:spacing w:line="600" w:lineRule="exact"/>
        <w:ind w:firstLine="643" w:firstLineChars="200"/>
        <w:rPr>
          <w:rStyle w:val="14"/>
          <w:rFonts w:ascii="仿宋" w:hAnsi="仿宋" w:eastAsia="仿宋" w:cs="仿宋"/>
          <w:b w:val="0"/>
          <w:color w:val="auto"/>
          <w:sz w:val="32"/>
          <w:szCs w:val="32"/>
        </w:rPr>
      </w:pPr>
      <w:r>
        <w:rPr>
          <w:rStyle w:val="14"/>
          <w:rFonts w:hint="eastAsia" w:ascii="仿宋" w:hAnsi="仿宋" w:eastAsia="仿宋"/>
          <w:bCs/>
          <w:color w:val="auto"/>
          <w:sz w:val="32"/>
          <w:szCs w:val="32"/>
          <w:lang w:val="en-US" w:eastAsia="zh-CN"/>
        </w:rPr>
        <w:t>3</w:t>
      </w:r>
      <w:r>
        <w:rPr>
          <w:rStyle w:val="14"/>
          <w:rFonts w:ascii="仿宋" w:hAnsi="仿宋" w:eastAsia="仿宋"/>
          <w:bCs/>
          <w:color w:val="auto"/>
          <w:sz w:val="32"/>
          <w:szCs w:val="32"/>
        </w:rPr>
        <w:t>.</w:t>
      </w:r>
      <w:r>
        <w:rPr>
          <w:rFonts w:hint="eastAsia" w:ascii="仿宋" w:hAnsi="仿宋" w:eastAsia="仿宋" w:cs="仿宋"/>
          <w:b/>
          <w:bCs/>
          <w:color w:val="auto"/>
          <w:sz w:val="32"/>
          <w:szCs w:val="32"/>
        </w:rPr>
        <w:t>卫生健康支出（</w:t>
      </w:r>
      <w:r>
        <w:rPr>
          <w:rStyle w:val="14"/>
          <w:rFonts w:hint="eastAsia" w:ascii="仿宋" w:hAnsi="仿宋" w:eastAsia="仿宋"/>
          <w:bCs/>
          <w:color w:val="auto"/>
          <w:sz w:val="32"/>
          <w:szCs w:val="32"/>
        </w:rPr>
        <w:t>类）行政事业单位医疗（款）事业单位医疗（项）</w:t>
      </w:r>
      <w:r>
        <w:rPr>
          <w:rStyle w:val="14"/>
          <w:rFonts w:hint="eastAsia" w:ascii="仿宋" w:hAnsi="仿宋" w:eastAsia="仿宋" w:cs="仿宋"/>
          <w:color w:val="auto"/>
          <w:sz w:val="32"/>
          <w:szCs w:val="32"/>
        </w:rPr>
        <w:t>：</w:t>
      </w:r>
      <w:r>
        <w:rPr>
          <w:rStyle w:val="14"/>
          <w:rFonts w:hint="eastAsia" w:ascii="仿宋" w:hAnsi="仿宋" w:eastAsia="仿宋" w:cs="仿宋"/>
          <w:b w:val="0"/>
          <w:color w:val="auto"/>
          <w:sz w:val="32"/>
          <w:szCs w:val="32"/>
        </w:rPr>
        <w:t>支出决算为</w:t>
      </w:r>
      <w:r>
        <w:rPr>
          <w:rFonts w:hint="eastAsia" w:ascii="仿宋" w:hAnsi="仿宋" w:eastAsia="仿宋"/>
          <w:color w:val="auto"/>
          <w:sz w:val="32"/>
          <w:szCs w:val="32"/>
          <w:lang w:val="en-US" w:eastAsia="zh-CN"/>
        </w:rPr>
        <w:t>20.32</w:t>
      </w:r>
      <w:r>
        <w:rPr>
          <w:rStyle w:val="14"/>
          <w:rFonts w:hint="eastAsia" w:ascii="仿宋" w:hAnsi="仿宋" w:eastAsia="仿宋" w:cs="仿宋"/>
          <w:b w:val="0"/>
          <w:color w:val="auto"/>
          <w:sz w:val="32"/>
          <w:szCs w:val="32"/>
        </w:rPr>
        <w:t>万元，完成预算</w:t>
      </w:r>
      <w:r>
        <w:rPr>
          <w:rFonts w:hint="eastAsia" w:ascii="仿宋" w:hAnsi="仿宋" w:eastAsia="仿宋"/>
          <w:color w:val="auto"/>
          <w:sz w:val="32"/>
          <w:szCs w:val="32"/>
          <w:lang w:val="en-US" w:eastAsia="zh-CN"/>
        </w:rPr>
        <w:t>3.46</w:t>
      </w:r>
      <w:r>
        <w:rPr>
          <w:rStyle w:val="14"/>
          <w:rFonts w:ascii="仿宋" w:hAnsi="仿宋" w:eastAsia="仿宋" w:cs="仿宋"/>
          <w:b w:val="0"/>
          <w:color w:val="auto"/>
          <w:sz w:val="32"/>
          <w:szCs w:val="32"/>
        </w:rPr>
        <w:t>%</w:t>
      </w:r>
      <w:r>
        <w:rPr>
          <w:rStyle w:val="14"/>
          <w:rFonts w:hint="eastAsia" w:ascii="仿宋" w:hAnsi="仿宋" w:eastAsia="仿宋" w:cs="仿宋"/>
          <w:b w:val="0"/>
          <w:color w:val="auto"/>
          <w:sz w:val="32"/>
          <w:szCs w:val="32"/>
        </w:rPr>
        <w:t>。</w:t>
      </w:r>
    </w:p>
    <w:p>
      <w:pPr>
        <w:spacing w:line="600" w:lineRule="exact"/>
        <w:ind w:firstLine="640" w:firstLineChars="200"/>
        <w:rPr>
          <w:rStyle w:val="14"/>
          <w:rFonts w:hint="eastAsia" w:ascii="仿宋" w:hAnsi="仿宋" w:eastAsia="仿宋" w:cs="仿宋"/>
          <w:b w:val="0"/>
          <w:color w:val="auto"/>
          <w:sz w:val="32"/>
          <w:szCs w:val="32"/>
        </w:rPr>
      </w:pPr>
      <w:r>
        <w:rPr>
          <w:rStyle w:val="14"/>
          <w:rFonts w:hint="eastAsia" w:ascii="仿宋" w:hAnsi="仿宋" w:eastAsia="仿宋" w:cs="仿宋"/>
          <w:b w:val="0"/>
          <w:color w:val="auto"/>
          <w:sz w:val="32"/>
          <w:szCs w:val="32"/>
          <w:lang w:val="en-US" w:eastAsia="zh-CN"/>
        </w:rPr>
        <w:t>4</w:t>
      </w:r>
      <w:r>
        <w:rPr>
          <w:rStyle w:val="14"/>
          <w:rFonts w:hint="eastAsia" w:ascii="仿宋" w:hAnsi="仿宋" w:eastAsia="仿宋" w:cs="仿宋"/>
          <w:b w:val="0"/>
          <w:color w:val="auto"/>
          <w:sz w:val="32"/>
          <w:szCs w:val="32"/>
        </w:rPr>
        <w:t>、</w:t>
      </w:r>
      <w:r>
        <w:rPr>
          <w:rFonts w:hint="eastAsia" w:ascii="仿宋" w:hAnsi="仿宋" w:eastAsia="仿宋" w:cs="仿宋"/>
          <w:b/>
          <w:bCs/>
          <w:color w:val="auto"/>
          <w:sz w:val="32"/>
          <w:szCs w:val="32"/>
        </w:rPr>
        <w:t>住房保障支出（</w:t>
      </w:r>
      <w:r>
        <w:rPr>
          <w:rStyle w:val="14"/>
          <w:rFonts w:hint="eastAsia" w:ascii="仿宋" w:hAnsi="仿宋" w:eastAsia="仿宋"/>
          <w:bCs/>
          <w:color w:val="auto"/>
          <w:sz w:val="32"/>
          <w:szCs w:val="32"/>
        </w:rPr>
        <w:t>类）住房改革支出（款）住房公积金（项）</w:t>
      </w:r>
      <w:r>
        <w:rPr>
          <w:rStyle w:val="14"/>
          <w:rFonts w:hint="eastAsia" w:ascii="仿宋" w:hAnsi="仿宋" w:eastAsia="仿宋"/>
          <w:bCs/>
          <w:color w:val="auto"/>
          <w:sz w:val="32"/>
          <w:szCs w:val="32"/>
          <w:lang w:eastAsia="zh-CN"/>
        </w:rPr>
        <w:t>：</w:t>
      </w:r>
      <w:r>
        <w:rPr>
          <w:rStyle w:val="14"/>
          <w:rFonts w:hint="eastAsia" w:ascii="仿宋" w:hAnsi="仿宋" w:eastAsia="仿宋" w:cs="仿宋"/>
          <w:b w:val="0"/>
          <w:color w:val="auto"/>
          <w:sz w:val="32"/>
          <w:szCs w:val="32"/>
        </w:rPr>
        <w:t>支出决算数为</w:t>
      </w:r>
      <w:r>
        <w:rPr>
          <w:rFonts w:hint="eastAsia" w:ascii="仿宋" w:hAnsi="仿宋" w:eastAsia="仿宋"/>
          <w:color w:val="auto"/>
          <w:sz w:val="32"/>
          <w:szCs w:val="32"/>
          <w:lang w:val="en-US" w:eastAsia="zh-CN"/>
        </w:rPr>
        <w:t>30.48</w:t>
      </w:r>
      <w:r>
        <w:rPr>
          <w:rStyle w:val="14"/>
          <w:rFonts w:hint="eastAsia" w:ascii="仿宋" w:hAnsi="仿宋" w:eastAsia="仿宋" w:cs="仿宋"/>
          <w:b w:val="0"/>
          <w:color w:val="auto"/>
          <w:sz w:val="32"/>
          <w:szCs w:val="32"/>
        </w:rPr>
        <w:t>万元，完成预算</w:t>
      </w:r>
      <w:r>
        <w:rPr>
          <w:rFonts w:hint="eastAsia" w:ascii="仿宋" w:hAnsi="仿宋" w:eastAsia="仿宋"/>
          <w:color w:val="auto"/>
          <w:sz w:val="32"/>
          <w:szCs w:val="32"/>
          <w:lang w:val="en-US" w:eastAsia="zh-CN"/>
        </w:rPr>
        <w:t>5.18</w:t>
      </w:r>
      <w:r>
        <w:rPr>
          <w:rStyle w:val="14"/>
          <w:rFonts w:hint="eastAsia" w:ascii="仿宋" w:hAnsi="仿宋" w:eastAsia="仿宋" w:cs="仿宋"/>
          <w:b w:val="0"/>
          <w:color w:val="auto"/>
          <w:sz w:val="32"/>
          <w:szCs w:val="32"/>
        </w:rPr>
        <w:t>%。</w:t>
      </w:r>
    </w:p>
    <w:p>
      <w:pPr>
        <w:spacing w:line="600" w:lineRule="exact"/>
        <w:ind w:firstLine="643" w:firstLineChars="200"/>
        <w:rPr>
          <w:rFonts w:ascii="仿宋" w:hAnsi="仿宋" w:eastAsia="仿宋"/>
          <w:b/>
          <w:color w:val="auto"/>
          <w:sz w:val="32"/>
          <w:szCs w:val="32"/>
        </w:rPr>
      </w:pPr>
      <w:r>
        <w:rPr>
          <w:rStyle w:val="14"/>
          <w:rFonts w:hint="eastAsia" w:ascii="仿宋" w:hAnsi="仿宋" w:eastAsia="仿宋"/>
          <w:bCs/>
          <w:color w:val="auto"/>
          <w:sz w:val="32"/>
          <w:szCs w:val="32"/>
          <w:lang w:val="en-US" w:eastAsia="zh-CN"/>
        </w:rPr>
        <w:t>5</w:t>
      </w:r>
      <w:r>
        <w:rPr>
          <w:rStyle w:val="14"/>
          <w:rFonts w:ascii="仿宋" w:hAnsi="仿宋" w:eastAsia="仿宋"/>
          <w:bCs/>
          <w:color w:val="auto"/>
          <w:sz w:val="32"/>
          <w:szCs w:val="32"/>
        </w:rPr>
        <w:t>.</w:t>
      </w:r>
      <w:r>
        <w:rPr>
          <w:rFonts w:hint="eastAsia" w:ascii="仿宋" w:hAnsi="仿宋" w:eastAsia="仿宋" w:cs="仿宋"/>
          <w:b/>
          <w:bCs/>
          <w:color w:val="auto"/>
          <w:sz w:val="32"/>
          <w:szCs w:val="32"/>
          <w:lang w:val="en-US" w:eastAsia="zh-CN"/>
        </w:rPr>
        <w:t>农林水</w:t>
      </w:r>
      <w:r>
        <w:rPr>
          <w:rFonts w:hint="eastAsia" w:ascii="仿宋" w:hAnsi="仿宋" w:eastAsia="仿宋" w:cs="仿宋"/>
          <w:b/>
          <w:bCs/>
          <w:color w:val="auto"/>
          <w:sz w:val="32"/>
          <w:szCs w:val="32"/>
        </w:rPr>
        <w:t>支出（</w:t>
      </w:r>
      <w:r>
        <w:rPr>
          <w:rStyle w:val="14"/>
          <w:rFonts w:hint="eastAsia" w:ascii="仿宋" w:hAnsi="仿宋" w:eastAsia="仿宋"/>
          <w:bCs/>
          <w:color w:val="auto"/>
          <w:sz w:val="32"/>
          <w:szCs w:val="32"/>
        </w:rPr>
        <w:t>类）巩固脱贫衔接乡村振兴（款）社会发展（项）</w:t>
      </w:r>
      <w:r>
        <w:rPr>
          <w:rStyle w:val="14"/>
          <w:rFonts w:hint="eastAsia" w:ascii="仿宋" w:hAnsi="仿宋" w:eastAsia="仿宋" w:cs="仿宋"/>
          <w:color w:val="auto"/>
          <w:sz w:val="32"/>
          <w:szCs w:val="32"/>
        </w:rPr>
        <w:t>：</w:t>
      </w:r>
      <w:r>
        <w:rPr>
          <w:rStyle w:val="14"/>
          <w:rFonts w:hint="eastAsia" w:ascii="仿宋" w:hAnsi="仿宋" w:eastAsia="仿宋" w:cs="仿宋"/>
          <w:b w:val="0"/>
          <w:color w:val="auto"/>
          <w:sz w:val="32"/>
          <w:szCs w:val="32"/>
        </w:rPr>
        <w:t>支出决算为</w:t>
      </w:r>
      <w:r>
        <w:rPr>
          <w:rFonts w:hint="eastAsia" w:ascii="仿宋" w:hAnsi="仿宋" w:eastAsia="仿宋"/>
          <w:color w:val="auto"/>
          <w:sz w:val="32"/>
          <w:szCs w:val="32"/>
          <w:lang w:val="en-US" w:eastAsia="zh-CN"/>
        </w:rPr>
        <w:t>2</w:t>
      </w:r>
      <w:r>
        <w:rPr>
          <w:rStyle w:val="14"/>
          <w:rFonts w:hint="eastAsia" w:ascii="仿宋" w:hAnsi="仿宋" w:eastAsia="仿宋" w:cs="仿宋"/>
          <w:b w:val="0"/>
          <w:color w:val="auto"/>
          <w:sz w:val="32"/>
          <w:szCs w:val="32"/>
        </w:rPr>
        <w:t>万元，完成预算</w:t>
      </w:r>
      <w:r>
        <w:rPr>
          <w:rFonts w:hint="eastAsia" w:ascii="仿宋" w:hAnsi="仿宋" w:eastAsia="仿宋"/>
          <w:color w:val="auto"/>
          <w:sz w:val="32"/>
          <w:szCs w:val="32"/>
          <w:lang w:val="en-US" w:eastAsia="zh-CN"/>
        </w:rPr>
        <w:t>0.34</w:t>
      </w:r>
      <w:r>
        <w:rPr>
          <w:rStyle w:val="14"/>
          <w:rFonts w:ascii="仿宋" w:hAnsi="仿宋" w:eastAsia="仿宋" w:cs="仿宋"/>
          <w:b w:val="0"/>
          <w:color w:val="auto"/>
          <w:sz w:val="32"/>
          <w:szCs w:val="32"/>
        </w:rPr>
        <w:t>%</w:t>
      </w:r>
      <w:r>
        <w:rPr>
          <w:rStyle w:val="14"/>
          <w:rFonts w:hint="eastAsia" w:ascii="仿宋" w:hAnsi="仿宋" w:eastAsia="仿宋" w:cs="仿宋"/>
          <w:b w:val="0"/>
          <w:color w:val="auto"/>
          <w:sz w:val="32"/>
          <w:szCs w:val="32"/>
        </w:rPr>
        <w:t>。</w:t>
      </w:r>
    </w:p>
    <w:p>
      <w:pPr>
        <w:tabs>
          <w:tab w:val="right" w:pos="8306"/>
        </w:tabs>
        <w:spacing w:line="600" w:lineRule="exact"/>
        <w:ind w:firstLine="640"/>
        <w:outlineLvl w:val="1"/>
        <w:rPr>
          <w:rStyle w:val="26"/>
          <w:color w:val="auto"/>
        </w:rPr>
      </w:pPr>
      <w:bookmarkStart w:id="36" w:name="_Toc15377214"/>
      <w:bookmarkStart w:id="37" w:name="_Toc15396608"/>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般公共预算财政拨款基本支出决算情况说明</w:t>
      </w:r>
      <w:bookmarkEnd w:id="36"/>
      <w:bookmarkEnd w:id="37"/>
      <w:r>
        <w:rPr>
          <w:rStyle w:val="26"/>
          <w:rFonts w:ascii="黑体" w:hAnsi="黑体" w:eastAsia="黑体"/>
          <w:b w:val="0"/>
          <w:color w:val="auto"/>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22年一般公共预算财政拨款基本支出</w:t>
      </w:r>
      <w:r>
        <w:rPr>
          <w:rFonts w:hint="eastAsia" w:ascii="仿宋" w:hAnsi="仿宋" w:eastAsia="仿宋"/>
          <w:color w:val="auto"/>
          <w:sz w:val="32"/>
          <w:szCs w:val="32"/>
          <w:lang w:val="en-US" w:eastAsia="zh-CN"/>
        </w:rPr>
        <w:t>585.97</w:t>
      </w:r>
      <w:r>
        <w:rPr>
          <w:rFonts w:hint="eastAsia" w:ascii="仿宋" w:hAnsi="仿宋" w:eastAsia="仿宋"/>
          <w:color w:val="auto"/>
          <w:sz w:val="32"/>
          <w:szCs w:val="32"/>
        </w:rPr>
        <w:t>万元，其中：</w:t>
      </w:r>
    </w:p>
    <w:p>
      <w:pPr>
        <w:spacing w:line="600" w:lineRule="exact"/>
        <w:ind w:firstLine="645"/>
        <w:rPr>
          <w:rFonts w:ascii="仿宋" w:hAnsi="仿宋" w:eastAsia="仿宋"/>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536.37</w:t>
      </w:r>
      <w:r>
        <w:rPr>
          <w:rFonts w:hint="eastAsia" w:ascii="仿宋" w:hAnsi="仿宋" w:eastAsia="仿宋"/>
          <w:color w:val="auto"/>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rPr>
        <w:br w:type="textWrapping"/>
      </w:r>
      <w:r>
        <w:rPr>
          <w:rFonts w:hint="eastAsia" w:ascii="仿宋" w:hAnsi="仿宋" w:eastAsia="仿宋"/>
          <w:color w:val="auto"/>
          <w:sz w:val="32"/>
          <w:szCs w:val="32"/>
        </w:rPr>
        <w:t>　　公用经费</w:t>
      </w:r>
      <w:r>
        <w:rPr>
          <w:rFonts w:hint="eastAsia" w:ascii="仿宋" w:hAnsi="仿宋" w:eastAsia="仿宋"/>
          <w:color w:val="auto"/>
          <w:sz w:val="32"/>
          <w:szCs w:val="32"/>
          <w:lang w:val="en-US" w:eastAsia="zh-CN"/>
        </w:rPr>
        <w:t>49.6</w:t>
      </w:r>
      <w:r>
        <w:rPr>
          <w:rFonts w:hint="eastAsia" w:ascii="仿宋" w:hAnsi="仿宋" w:eastAsia="仿宋"/>
          <w:color w:val="auto"/>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color w:val="auto"/>
        </w:rPr>
      </w:pPr>
      <w:bookmarkStart w:id="38" w:name="_Toc15396609"/>
      <w:bookmarkStart w:id="39" w:name="_Toc15377215"/>
      <w:r>
        <w:rPr>
          <w:rFonts w:hint="eastAsia" w:ascii="黑体" w:eastAsia="黑体"/>
          <w:color w:val="auto"/>
          <w:sz w:val="32"/>
          <w:szCs w:val="32"/>
        </w:rPr>
        <w:t>七、</w:t>
      </w:r>
      <w:r>
        <w:rPr>
          <w:rStyle w:val="26"/>
          <w:rFonts w:hint="eastAsia" w:ascii="黑体" w:hAnsi="黑体" w:eastAsia="黑体"/>
          <w:b w:val="0"/>
          <w:color w:val="auto"/>
        </w:rPr>
        <w:t>财政拨款</w:t>
      </w:r>
      <w:r>
        <w:rPr>
          <w:rStyle w:val="26"/>
          <w:rFonts w:hint="eastAsia" w:ascii="黑体" w:hAnsi="黑体" w:eastAsia="黑体"/>
          <w:color w:val="auto"/>
        </w:rPr>
        <w:t>“</w:t>
      </w:r>
      <w:r>
        <w:rPr>
          <w:rStyle w:val="26"/>
          <w:rFonts w:hint="eastAsia" w:ascii="黑体" w:hAnsi="黑体" w:eastAsia="黑体"/>
          <w:b w:val="0"/>
          <w:color w:val="auto"/>
        </w:rPr>
        <w:t>三公”经费支出决算情况说明</w:t>
      </w:r>
      <w:bookmarkEnd w:id="38"/>
      <w:bookmarkEnd w:id="39"/>
    </w:p>
    <w:p>
      <w:pPr>
        <w:spacing w:line="600" w:lineRule="exact"/>
        <w:ind w:firstLine="640"/>
        <w:outlineLvl w:val="2"/>
        <w:rPr>
          <w:rFonts w:ascii="仿宋" w:hAnsi="仿宋" w:eastAsia="仿宋"/>
          <w:b/>
          <w:color w:val="auto"/>
          <w:sz w:val="32"/>
          <w:szCs w:val="32"/>
        </w:rPr>
      </w:pPr>
      <w:bookmarkStart w:id="40" w:name="_Toc15377216"/>
      <w:r>
        <w:rPr>
          <w:rFonts w:hint="eastAsia" w:ascii="仿宋" w:hAnsi="仿宋" w:eastAsia="仿宋"/>
          <w:b/>
          <w:color w:val="auto"/>
          <w:sz w:val="32"/>
          <w:szCs w:val="32"/>
        </w:rPr>
        <w:t>（一）“三公”经费财政拨款支出决算总体情况说明</w:t>
      </w:r>
      <w:bookmarkEnd w:id="40"/>
    </w:p>
    <w:p>
      <w:pPr>
        <w:spacing w:line="600" w:lineRule="exact"/>
        <w:ind w:firstLine="640"/>
        <w:rPr>
          <w:rFonts w:hint="eastAsia"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22年“三公”经费财政拨款支出决算为0.38万元，完成预算100</w:t>
      </w:r>
      <w:r>
        <w:rPr>
          <w:rFonts w:ascii="仿宋" w:hAnsi="仿宋" w:eastAsia="仿宋"/>
          <w:color w:val="auto"/>
          <w:sz w:val="32"/>
          <w:szCs w:val="32"/>
        </w:rPr>
        <w:t>%</w:t>
      </w:r>
      <w:r>
        <w:rPr>
          <w:rFonts w:hint="eastAsia" w:ascii="仿宋" w:hAnsi="仿宋" w:eastAsia="仿宋"/>
          <w:color w:val="auto"/>
          <w:sz w:val="32"/>
          <w:szCs w:val="32"/>
        </w:rPr>
        <w:t>，较上年</w:t>
      </w:r>
      <w:r>
        <w:rPr>
          <w:rFonts w:hint="eastAsia" w:ascii="仿宋" w:hAnsi="仿宋" w:eastAsia="仿宋"/>
          <w:color w:val="auto"/>
          <w:sz w:val="32"/>
          <w:szCs w:val="32"/>
          <w:lang w:val="en-US" w:eastAsia="zh-CN"/>
        </w:rPr>
        <w:t>增加0.27万元</w:t>
      </w:r>
      <w:r>
        <w:rPr>
          <w:rFonts w:hint="eastAsia" w:ascii="仿宋" w:hAnsi="仿宋" w:eastAsia="仿宋"/>
          <w:color w:val="auto"/>
          <w:sz w:val="32"/>
          <w:szCs w:val="32"/>
        </w:rPr>
        <w:t>。</w:t>
      </w:r>
    </w:p>
    <w:p>
      <w:pPr>
        <w:spacing w:line="600" w:lineRule="exact"/>
        <w:ind w:firstLine="640"/>
        <w:outlineLvl w:val="2"/>
        <w:rPr>
          <w:rFonts w:ascii="仿宋" w:hAnsi="仿宋" w:eastAsia="仿宋"/>
          <w:b/>
          <w:color w:val="auto"/>
          <w:sz w:val="32"/>
          <w:szCs w:val="32"/>
        </w:rPr>
      </w:pPr>
      <w:bookmarkStart w:id="41" w:name="_Toc15377217"/>
      <w:r>
        <w:rPr>
          <w:rFonts w:hint="eastAsia" w:ascii="仿宋" w:hAnsi="仿宋" w:eastAsia="仿宋"/>
          <w:b/>
          <w:color w:val="auto"/>
          <w:sz w:val="32"/>
          <w:szCs w:val="32"/>
        </w:rPr>
        <w:t>（二）“三公”经费财政拨款支出决算具体情况说明</w:t>
      </w:r>
      <w:bookmarkEnd w:id="41"/>
    </w:p>
    <w:p>
      <w:pPr>
        <w:spacing w:line="600" w:lineRule="exact"/>
        <w:ind w:firstLine="64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22年“三公”经费财政拨款支出决算中，因公出国（境）费支出决算0万元，占0</w:t>
      </w:r>
      <w:r>
        <w:rPr>
          <w:rFonts w:ascii="仿宋" w:hAnsi="仿宋" w:eastAsia="仿宋"/>
          <w:color w:val="auto"/>
          <w:sz w:val="32"/>
          <w:szCs w:val="32"/>
        </w:rPr>
        <w:t>%</w:t>
      </w:r>
      <w:r>
        <w:rPr>
          <w:rFonts w:hint="eastAsia" w:ascii="仿宋" w:hAnsi="仿宋" w:eastAsia="仿宋"/>
          <w:color w:val="auto"/>
          <w:sz w:val="32"/>
          <w:szCs w:val="32"/>
        </w:rPr>
        <w:t>；公务用车购置及运行维护费支出决算0万元，占0</w:t>
      </w:r>
      <w:r>
        <w:rPr>
          <w:rFonts w:ascii="仿宋" w:hAnsi="仿宋" w:eastAsia="仿宋"/>
          <w:color w:val="auto"/>
          <w:sz w:val="32"/>
          <w:szCs w:val="32"/>
        </w:rPr>
        <w:t>%</w:t>
      </w:r>
      <w:r>
        <w:rPr>
          <w:rFonts w:hint="eastAsia" w:ascii="仿宋" w:hAnsi="仿宋" w:eastAsia="仿宋"/>
          <w:color w:val="auto"/>
          <w:sz w:val="32"/>
          <w:szCs w:val="32"/>
        </w:rPr>
        <w:t>；公务接待费支出决算0.38万元，占</w:t>
      </w:r>
      <w:r>
        <w:rPr>
          <w:rFonts w:hint="eastAsia" w:ascii="仿宋" w:hAnsi="仿宋" w:eastAsia="仿宋"/>
          <w:color w:val="auto"/>
          <w:sz w:val="32"/>
          <w:szCs w:val="32"/>
          <w:lang w:val="en-US" w:eastAsia="zh-CN"/>
        </w:rPr>
        <w:t>0.06</w:t>
      </w:r>
      <w:r>
        <w:rPr>
          <w:rFonts w:ascii="仿宋" w:hAnsi="仿宋" w:eastAsia="仿宋"/>
          <w:color w:val="auto"/>
          <w:sz w:val="32"/>
          <w:szCs w:val="32"/>
        </w:rPr>
        <w:t>%</w:t>
      </w:r>
      <w:r>
        <w:rPr>
          <w:rFonts w:hint="eastAsia" w:ascii="仿宋" w:hAnsi="仿宋" w:eastAsia="仿宋"/>
          <w:color w:val="auto"/>
          <w:sz w:val="32"/>
          <w:szCs w:val="32"/>
        </w:rPr>
        <w:t>。具体情况如下：</w:t>
      </w:r>
    </w:p>
    <w:p>
      <w:pPr>
        <w:spacing w:line="600" w:lineRule="exact"/>
        <w:ind w:firstLine="640"/>
        <w:rPr>
          <w:rFonts w:hint="eastAsia" w:ascii="仿宋" w:hAnsi="仿宋" w:eastAsia="仿宋"/>
          <w:color w:val="auto"/>
          <w:sz w:val="32"/>
          <w:szCs w:val="32"/>
        </w:rPr>
      </w:pPr>
      <w:r>
        <w:rPr>
          <w:rFonts w:hint="eastAsia" w:ascii="仿宋" w:hAnsi="仿宋" w:eastAsia="仿宋"/>
          <w:color w:val="auto"/>
          <w:sz w:val="32"/>
          <w:szCs w:val="32"/>
        </w:rPr>
        <w:t>（图7：“三公”经费财政拨款支出结构）（饼状图）</w:t>
      </w:r>
    </w:p>
    <w:p>
      <w:pPr>
        <w:pStyle w:val="2"/>
        <w:spacing w:before="93"/>
        <w:rPr>
          <w:rFonts w:hint="eastAsia"/>
          <w:color w:val="auto"/>
        </w:rPr>
      </w:pPr>
      <w:r>
        <w:rPr>
          <w:rFonts w:hint="eastAsia"/>
          <w:color w:val="auto"/>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color w:val="auto"/>
          <w:sz w:val="32"/>
          <w:szCs w:val="32"/>
        </w:rPr>
      </w:pPr>
      <w:r>
        <w:rPr>
          <w:rFonts w:ascii="仿宋_GB2312" w:eastAsia="仿宋_GB2312"/>
          <w:b/>
          <w:color w:val="auto"/>
          <w:sz w:val="32"/>
          <w:szCs w:val="32"/>
        </w:rPr>
        <w:t>1.</w:t>
      </w:r>
      <w:r>
        <w:rPr>
          <w:rFonts w:hint="eastAsia" w:ascii="仿宋_GB2312" w:eastAsia="仿宋_GB2312"/>
          <w:b/>
          <w:color w:val="auto"/>
          <w:sz w:val="32"/>
          <w:szCs w:val="32"/>
        </w:rPr>
        <w:t>因公出国（境）经费支出</w:t>
      </w:r>
      <w:r>
        <w:rPr>
          <w:rFonts w:hint="eastAsia" w:ascii="仿宋_GB2312" w:eastAsia="仿宋_GB2312"/>
          <w:color w:val="auto"/>
          <w:sz w:val="32"/>
          <w:szCs w:val="32"/>
        </w:rPr>
        <w:t>0万元，</w:t>
      </w:r>
      <w:r>
        <w:rPr>
          <w:rStyle w:val="14"/>
          <w:rFonts w:hint="eastAsia" w:ascii="仿宋" w:hAnsi="仿宋" w:eastAsia="仿宋"/>
          <w:b w:val="0"/>
          <w:bCs/>
          <w:color w:val="auto"/>
          <w:sz w:val="32"/>
          <w:szCs w:val="32"/>
        </w:rPr>
        <w:t>完成预算0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全年安排因公出国（境）团组0次，出国（境）0人。因公出国（境）支出决算比</w:t>
      </w:r>
      <w:r>
        <w:rPr>
          <w:rFonts w:ascii="仿宋_GB2312" w:eastAsia="仿宋_GB2312"/>
          <w:color w:val="auto"/>
          <w:sz w:val="32"/>
          <w:szCs w:val="32"/>
        </w:rPr>
        <w:t>20</w:t>
      </w:r>
      <w:r>
        <w:rPr>
          <w:rFonts w:hint="eastAsia" w:ascii="仿宋_GB2312" w:eastAsia="仿宋_GB2312"/>
          <w:color w:val="auto"/>
          <w:sz w:val="32"/>
          <w:szCs w:val="32"/>
        </w:rPr>
        <w:t>21年增加0万元，增长0</w:t>
      </w:r>
      <w:r>
        <w:rPr>
          <w:rFonts w:ascii="仿宋_GB2312" w:eastAsia="仿宋_GB2312"/>
          <w:color w:val="auto"/>
          <w:sz w:val="32"/>
          <w:szCs w:val="32"/>
        </w:rPr>
        <w:t>%</w:t>
      </w:r>
      <w:r>
        <w:rPr>
          <w:rFonts w:hint="eastAsia" w:ascii="仿宋_GB2312" w:eastAsia="仿宋_GB2312"/>
          <w:color w:val="auto"/>
          <w:sz w:val="32"/>
          <w:szCs w:val="32"/>
        </w:rPr>
        <w:t>。</w:t>
      </w:r>
    </w:p>
    <w:p>
      <w:pPr>
        <w:spacing w:line="600" w:lineRule="exact"/>
        <w:ind w:firstLine="640"/>
        <w:rPr>
          <w:rFonts w:ascii="仿宋_GB2312" w:eastAsia="仿宋_GB2312"/>
          <w:b/>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rPr>
        <w:t>公务用车购置及运行维护费支出</w:t>
      </w:r>
      <w:r>
        <w:rPr>
          <w:rFonts w:hint="eastAsia" w:ascii="仿宋_GB2312" w:eastAsia="仿宋_GB2312"/>
          <w:color w:val="auto"/>
          <w:sz w:val="32"/>
          <w:szCs w:val="32"/>
        </w:rPr>
        <w:t>0万元</w:t>
      </w:r>
      <w:r>
        <w:rPr>
          <w:rFonts w:hint="eastAsia" w:ascii="仿宋_GB2312" w:eastAsia="仿宋_GB2312"/>
          <w:color w:val="auto"/>
          <w:sz w:val="32"/>
          <w:szCs w:val="32"/>
          <w:lang w:eastAsia="zh-CN"/>
        </w:rPr>
        <w:t>，</w:t>
      </w:r>
      <w:r>
        <w:rPr>
          <w:rStyle w:val="14"/>
          <w:rFonts w:hint="eastAsia" w:ascii="仿宋" w:hAnsi="仿宋" w:eastAsia="仿宋"/>
          <w:b w:val="0"/>
          <w:bCs/>
          <w:color w:val="auto"/>
          <w:sz w:val="32"/>
          <w:szCs w:val="32"/>
        </w:rPr>
        <w:t>完成预算0</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公务用车购置及运行维护费支出决算比</w:t>
      </w:r>
      <w:r>
        <w:rPr>
          <w:rFonts w:ascii="仿宋_GB2312" w:eastAsia="仿宋_GB2312"/>
          <w:color w:val="auto"/>
          <w:sz w:val="32"/>
          <w:szCs w:val="32"/>
        </w:rPr>
        <w:t>20</w:t>
      </w:r>
      <w:r>
        <w:rPr>
          <w:rFonts w:hint="eastAsia" w:ascii="仿宋_GB2312" w:eastAsia="仿宋_GB2312"/>
          <w:color w:val="auto"/>
          <w:sz w:val="32"/>
          <w:szCs w:val="32"/>
        </w:rPr>
        <w:t>21年增加0万元，增长0</w:t>
      </w:r>
      <w:r>
        <w:rPr>
          <w:rFonts w:ascii="仿宋_GB2312" w:eastAsia="仿宋_GB2312"/>
          <w:color w:val="auto"/>
          <w:sz w:val="32"/>
          <w:szCs w:val="32"/>
        </w:rPr>
        <w:t>%</w:t>
      </w:r>
      <w:r>
        <w:rPr>
          <w:rFonts w:hint="eastAsia" w:ascii="仿宋_GB2312" w:eastAsia="仿宋_GB2312"/>
          <w:color w:val="auto"/>
          <w:sz w:val="32"/>
          <w:szCs w:val="32"/>
        </w:rPr>
        <w:t>。</w:t>
      </w:r>
    </w:p>
    <w:p>
      <w:pPr>
        <w:spacing w:line="60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其中：</w:t>
      </w:r>
      <w:r>
        <w:rPr>
          <w:rFonts w:hint="eastAsia" w:ascii="仿宋_GB2312" w:eastAsia="仿宋_GB2312"/>
          <w:b/>
          <w:color w:val="auto"/>
          <w:sz w:val="32"/>
          <w:szCs w:val="32"/>
        </w:rPr>
        <w:t>公务用车购置支出</w:t>
      </w:r>
      <w:r>
        <w:rPr>
          <w:rFonts w:hint="eastAsia" w:ascii="仿宋_GB2312" w:eastAsia="仿宋_GB2312"/>
          <w:color w:val="auto"/>
          <w:sz w:val="32"/>
          <w:szCs w:val="32"/>
        </w:rPr>
        <w:t>0万元。全年按规定更新购置公务用车0辆，其中：轿车0辆、金额0万元，越野车0辆、金额0万元，载客汽车0辆、金额0万元。截至</w:t>
      </w:r>
      <w:r>
        <w:rPr>
          <w:rFonts w:ascii="仿宋_GB2312" w:eastAsia="仿宋_GB2312"/>
          <w:color w:val="auto"/>
          <w:sz w:val="32"/>
          <w:szCs w:val="32"/>
        </w:rPr>
        <w:t>20</w:t>
      </w:r>
      <w:r>
        <w:rPr>
          <w:rFonts w:hint="eastAsia" w:ascii="仿宋_GB2312" w:eastAsia="仿宋_GB2312"/>
          <w:color w:val="auto"/>
          <w:sz w:val="32"/>
          <w:szCs w:val="32"/>
        </w:rPr>
        <w:t>22年</w:t>
      </w:r>
      <w:r>
        <w:rPr>
          <w:rFonts w:ascii="仿宋_GB2312" w:eastAsia="仿宋_GB2312"/>
          <w:color w:val="auto"/>
          <w:sz w:val="32"/>
          <w:szCs w:val="32"/>
        </w:rPr>
        <w:t>12</w:t>
      </w:r>
      <w:r>
        <w:rPr>
          <w:rFonts w:hint="eastAsia" w:ascii="仿宋_GB2312" w:eastAsia="仿宋_GB2312"/>
          <w:color w:val="auto"/>
          <w:sz w:val="32"/>
          <w:szCs w:val="32"/>
        </w:rPr>
        <w:t>月底，单位共有公务用车0辆，其中：轿车0辆、越野车0辆、载客汽车0辆。</w:t>
      </w:r>
    </w:p>
    <w:p>
      <w:pPr>
        <w:spacing w:line="600" w:lineRule="exact"/>
        <w:ind w:firstLine="640"/>
        <w:rPr>
          <w:rFonts w:hint="eastAsia" w:ascii="仿宋_GB2312" w:eastAsia="仿宋_GB2312"/>
          <w:color w:val="auto"/>
          <w:sz w:val="32"/>
          <w:szCs w:val="32"/>
        </w:rPr>
      </w:pPr>
      <w:r>
        <w:rPr>
          <w:rFonts w:hint="eastAsia" w:ascii="仿宋_GB2312" w:eastAsia="仿宋_GB2312"/>
          <w:b/>
          <w:color w:val="auto"/>
          <w:sz w:val="32"/>
          <w:szCs w:val="32"/>
        </w:rPr>
        <w:t>公务用车运行维护费支出</w:t>
      </w:r>
      <w:r>
        <w:rPr>
          <w:rFonts w:hint="eastAsia" w:ascii="仿宋_GB2312" w:eastAsia="仿宋_GB2312"/>
          <w:color w:val="auto"/>
          <w:sz w:val="32"/>
          <w:szCs w:val="32"/>
        </w:rPr>
        <w:t>0万元。</w:t>
      </w:r>
    </w:p>
    <w:p>
      <w:pPr>
        <w:spacing w:line="600" w:lineRule="exact"/>
        <w:ind w:firstLine="640"/>
        <w:rPr>
          <w:rFonts w:ascii="仿宋_GB2312" w:eastAsia="仿宋_GB2312"/>
          <w:color w:val="auto"/>
          <w:sz w:val="32"/>
          <w:szCs w:val="32"/>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color w:val="auto"/>
          <w:sz w:val="32"/>
          <w:szCs w:val="32"/>
        </w:rPr>
        <w:t>0.38万元，</w:t>
      </w:r>
      <w:r>
        <w:rPr>
          <w:rStyle w:val="14"/>
          <w:rFonts w:hint="eastAsia" w:ascii="仿宋" w:hAnsi="仿宋" w:eastAsia="仿宋"/>
          <w:b w:val="0"/>
          <w:bCs/>
          <w:color w:val="auto"/>
          <w:sz w:val="32"/>
          <w:szCs w:val="32"/>
        </w:rPr>
        <w:t>完成预算0.0</w:t>
      </w:r>
      <w:r>
        <w:rPr>
          <w:rStyle w:val="14"/>
          <w:rFonts w:hint="eastAsia" w:ascii="仿宋" w:hAnsi="仿宋" w:eastAsia="仿宋"/>
          <w:b w:val="0"/>
          <w:bCs/>
          <w:color w:val="auto"/>
          <w:sz w:val="32"/>
          <w:szCs w:val="32"/>
          <w:lang w:val="en-US" w:eastAsia="zh-CN"/>
        </w:rPr>
        <w:t>6</w:t>
      </w:r>
      <w:r>
        <w:rPr>
          <w:rStyle w:val="14"/>
          <w:rFonts w:ascii="仿宋" w:hAnsi="仿宋" w:eastAsia="仿宋"/>
          <w:b w:val="0"/>
          <w:bCs/>
          <w:color w:val="auto"/>
          <w:sz w:val="32"/>
          <w:szCs w:val="32"/>
        </w:rPr>
        <w:t>%</w:t>
      </w:r>
      <w:r>
        <w:rPr>
          <w:rStyle w:val="14"/>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w:t>
      </w:r>
      <w:r>
        <w:rPr>
          <w:rFonts w:hint="eastAsia" w:ascii="仿宋_GB2312" w:eastAsia="仿宋_GB2312"/>
          <w:color w:val="auto"/>
          <w:sz w:val="32"/>
          <w:szCs w:val="32"/>
        </w:rPr>
        <w:t>21年增加0.</w:t>
      </w:r>
      <w:r>
        <w:rPr>
          <w:rFonts w:hint="eastAsia" w:ascii="仿宋_GB2312" w:eastAsia="仿宋_GB2312"/>
          <w:color w:val="auto"/>
          <w:sz w:val="32"/>
          <w:szCs w:val="32"/>
          <w:lang w:val="en-US" w:eastAsia="zh-CN"/>
        </w:rPr>
        <w:t>27</w:t>
      </w:r>
      <w:r>
        <w:rPr>
          <w:rFonts w:hint="eastAsia" w:ascii="仿宋_GB2312" w:eastAsia="仿宋_GB2312"/>
          <w:color w:val="auto"/>
          <w:sz w:val="32"/>
          <w:szCs w:val="32"/>
        </w:rPr>
        <w:t>万元，增长</w:t>
      </w:r>
      <w:r>
        <w:rPr>
          <w:rFonts w:hint="eastAsia" w:ascii="仿宋_GB2312" w:eastAsia="仿宋_GB2312"/>
          <w:color w:val="auto"/>
          <w:sz w:val="32"/>
          <w:szCs w:val="32"/>
          <w:lang w:val="en-US" w:eastAsia="zh-CN"/>
        </w:rPr>
        <w:t>245</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val="en-US" w:eastAsia="zh-CN"/>
        </w:rPr>
        <w:t>接待人次的增加</w:t>
      </w:r>
      <w:r>
        <w:rPr>
          <w:rFonts w:hint="eastAsia" w:ascii="仿宋_GB2312" w:eastAsia="仿宋_GB2312"/>
          <w:color w:val="auto"/>
          <w:sz w:val="32"/>
          <w:szCs w:val="32"/>
        </w:rPr>
        <w:t>。其中：</w:t>
      </w:r>
    </w:p>
    <w:p>
      <w:pPr>
        <w:spacing w:line="600" w:lineRule="exact"/>
        <w:ind w:firstLine="640"/>
        <w:rPr>
          <w:rFonts w:ascii="仿宋_GB2312" w:eastAsia="仿宋_GB2312"/>
          <w:color w:val="auto"/>
          <w:sz w:val="32"/>
          <w:szCs w:val="32"/>
        </w:rPr>
      </w:pPr>
      <w:r>
        <w:rPr>
          <w:rFonts w:hint="eastAsia" w:ascii="仿宋" w:hAnsi="仿宋" w:eastAsia="仿宋"/>
          <w:b/>
          <w:color w:val="auto"/>
          <w:sz w:val="32"/>
          <w:szCs w:val="32"/>
        </w:rPr>
        <w:t>国内公务接待支出</w:t>
      </w:r>
      <w:r>
        <w:rPr>
          <w:rFonts w:hint="eastAsia" w:ascii="仿宋" w:hAnsi="仿宋" w:eastAsia="仿宋"/>
          <w:color w:val="auto"/>
          <w:sz w:val="32"/>
          <w:szCs w:val="32"/>
        </w:rPr>
        <w:t>0.38</w:t>
      </w:r>
      <w:r>
        <w:rPr>
          <w:rFonts w:hint="eastAsia" w:ascii="仿宋_GB2312" w:eastAsia="仿宋_GB2312"/>
          <w:color w:val="auto"/>
          <w:sz w:val="32"/>
          <w:szCs w:val="32"/>
        </w:rPr>
        <w:t>万元，主要用于执行公务、开展业务活动开支的住宿费、用餐费等。国内公务接待</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96</w:t>
      </w:r>
      <w:r>
        <w:rPr>
          <w:rFonts w:hint="eastAsia" w:ascii="仿宋_GB2312" w:eastAsia="仿宋_GB2312"/>
          <w:color w:val="auto"/>
          <w:sz w:val="32"/>
          <w:szCs w:val="32"/>
        </w:rPr>
        <w:t>人次（不包括陪同人员），共计支出0.38万元。</w:t>
      </w:r>
    </w:p>
    <w:p>
      <w:pPr>
        <w:spacing w:line="600" w:lineRule="exact"/>
        <w:ind w:firstLine="643" w:firstLineChars="200"/>
        <w:rPr>
          <w:rFonts w:ascii="仿宋_GB2312" w:eastAsia="仿宋_GB2312"/>
          <w:color w:val="auto"/>
          <w:sz w:val="32"/>
          <w:szCs w:val="32"/>
        </w:rPr>
      </w:pPr>
      <w:r>
        <w:rPr>
          <w:rFonts w:hint="eastAsia" w:ascii="仿宋" w:hAnsi="仿宋" w:eastAsia="仿宋"/>
          <w:b/>
          <w:color w:val="auto"/>
          <w:sz w:val="32"/>
          <w:szCs w:val="32"/>
        </w:rPr>
        <w:t>外事接待支出</w:t>
      </w:r>
      <w:r>
        <w:rPr>
          <w:rFonts w:hint="eastAsia" w:ascii="仿宋" w:hAnsi="仿宋" w:eastAsia="仿宋"/>
          <w:color w:val="auto"/>
          <w:sz w:val="32"/>
          <w:szCs w:val="32"/>
        </w:rPr>
        <w:t>0</w:t>
      </w:r>
      <w:r>
        <w:rPr>
          <w:rFonts w:hint="eastAsia" w:ascii="仿宋_GB2312" w:eastAsia="仿宋_GB2312"/>
          <w:color w:val="auto"/>
          <w:sz w:val="32"/>
          <w:szCs w:val="32"/>
        </w:rPr>
        <w:t>万元。外事接待0批次，0人次（不包括陪同人员），共计支出0万元。</w:t>
      </w:r>
      <w:bookmarkStart w:id="42" w:name="_Toc15396610"/>
      <w:bookmarkStart w:id="43" w:name="_Toc15377218"/>
    </w:p>
    <w:p>
      <w:pPr>
        <w:spacing w:line="600" w:lineRule="exact"/>
        <w:ind w:firstLine="640"/>
        <w:outlineLvl w:val="1"/>
        <w:rPr>
          <w:rStyle w:val="26"/>
          <w:rFonts w:ascii="黑体" w:hAnsi="黑体" w:eastAsia="黑体"/>
          <w:color w:val="auto"/>
        </w:rPr>
      </w:pPr>
      <w:r>
        <w:rPr>
          <w:rFonts w:hint="eastAsia" w:ascii="黑体" w:eastAsia="黑体"/>
          <w:color w:val="auto"/>
          <w:sz w:val="32"/>
          <w:szCs w:val="32"/>
        </w:rPr>
        <w:t>八、</w:t>
      </w:r>
      <w:r>
        <w:rPr>
          <w:rStyle w:val="26"/>
          <w:rFonts w:hint="eastAsia" w:ascii="黑体" w:hAnsi="黑体" w:eastAsia="黑体"/>
          <w:b w:val="0"/>
          <w:color w:val="auto"/>
        </w:rPr>
        <w:t>政府性基金预算支出决算情况说明</w:t>
      </w:r>
      <w:bookmarkEnd w:id="42"/>
      <w:bookmarkEnd w:id="43"/>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22年政府性基金预算财政拨款支出0万元。</w:t>
      </w:r>
    </w:p>
    <w:p>
      <w:pPr>
        <w:numPr>
          <w:ilvl w:val="0"/>
          <w:numId w:val="3"/>
        </w:numPr>
        <w:spacing w:line="600" w:lineRule="exact"/>
        <w:ind w:firstLine="640"/>
        <w:outlineLvl w:val="1"/>
        <w:rPr>
          <w:rStyle w:val="26"/>
          <w:rFonts w:ascii="黑体" w:hAnsi="黑体" w:eastAsia="黑体"/>
          <w:b w:val="0"/>
          <w:color w:val="auto"/>
        </w:rPr>
      </w:pPr>
      <w:bookmarkStart w:id="44" w:name="_Toc15377219"/>
      <w:bookmarkStart w:id="45" w:name="_Toc15396611"/>
      <w:r>
        <w:rPr>
          <w:rStyle w:val="26"/>
          <w:rFonts w:hint="eastAsia" w:ascii="黑体" w:hAnsi="黑体" w:eastAsia="黑体"/>
          <w:b w:val="0"/>
          <w:color w:val="auto"/>
        </w:rPr>
        <w:t>国有资本经营预算支出决算情况说明</w:t>
      </w:r>
      <w:bookmarkEnd w:id="44"/>
      <w:bookmarkEnd w:id="45"/>
    </w:p>
    <w:p>
      <w:pPr>
        <w:spacing w:line="600" w:lineRule="exact"/>
        <w:ind w:firstLine="640"/>
        <w:rPr>
          <w:rFonts w:ascii="方正小标宋简体" w:hAnsi="方正小标宋简体" w:eastAsia="方正小标宋简体" w:cs="方正小标宋简体"/>
          <w:color w:val="auto"/>
          <w:sz w:val="44"/>
          <w:szCs w:val="44"/>
        </w:rPr>
      </w:pPr>
      <w:r>
        <w:rPr>
          <w:rFonts w:ascii="仿宋_GB2312" w:eastAsia="仿宋_GB2312"/>
          <w:color w:val="auto"/>
          <w:sz w:val="32"/>
          <w:szCs w:val="32"/>
        </w:rPr>
        <w:t>20</w:t>
      </w:r>
      <w:r>
        <w:rPr>
          <w:rFonts w:hint="eastAsia" w:ascii="仿宋_GB2312" w:eastAsia="仿宋_GB2312"/>
          <w:color w:val="auto"/>
          <w:sz w:val="32"/>
          <w:szCs w:val="32"/>
        </w:rPr>
        <w:t>22年国有资本经营预算财政拨款支出0万元。</w:t>
      </w:r>
    </w:p>
    <w:p>
      <w:pPr>
        <w:numPr>
          <w:ilvl w:val="0"/>
          <w:numId w:val="3"/>
        </w:numPr>
        <w:spacing w:line="600" w:lineRule="exact"/>
        <w:ind w:firstLine="640"/>
        <w:outlineLvl w:val="1"/>
        <w:rPr>
          <w:rStyle w:val="26"/>
          <w:rFonts w:ascii="黑体" w:hAnsi="黑体" w:eastAsia="黑体"/>
          <w:b w:val="0"/>
          <w:color w:val="auto"/>
        </w:rPr>
      </w:pPr>
      <w:bookmarkStart w:id="46" w:name="_Toc15396612"/>
      <w:bookmarkStart w:id="47" w:name="_Toc15377221"/>
      <w:r>
        <w:rPr>
          <w:rStyle w:val="26"/>
          <w:rFonts w:hint="eastAsia" w:ascii="黑体" w:hAnsi="黑体" w:eastAsia="黑体"/>
          <w:b w:val="0"/>
          <w:color w:val="auto"/>
        </w:rPr>
        <w:t>其他重要事项的情况说明</w:t>
      </w:r>
      <w:bookmarkEnd w:id="46"/>
      <w:bookmarkEnd w:id="47"/>
    </w:p>
    <w:p>
      <w:pPr>
        <w:spacing w:line="600" w:lineRule="exact"/>
        <w:ind w:firstLine="643" w:firstLineChars="200"/>
        <w:outlineLvl w:val="2"/>
        <w:rPr>
          <w:rFonts w:ascii="仿宋" w:hAnsi="仿宋" w:eastAsia="仿宋"/>
          <w:color w:val="auto"/>
          <w:sz w:val="32"/>
          <w:szCs w:val="32"/>
        </w:rPr>
      </w:pPr>
      <w:bookmarkStart w:id="48" w:name="_Toc15377222"/>
      <w:r>
        <w:rPr>
          <w:rFonts w:hint="eastAsia" w:ascii="仿宋" w:hAnsi="仿宋" w:eastAsia="仿宋"/>
          <w:b/>
          <w:color w:val="auto"/>
          <w:sz w:val="32"/>
          <w:szCs w:val="32"/>
        </w:rPr>
        <w:t>（一）机关运行经费支出情况</w:t>
      </w:r>
      <w:bookmarkEnd w:id="48"/>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22年，</w:t>
      </w:r>
      <w:r>
        <w:rPr>
          <w:rFonts w:hint="eastAsia" w:ascii="仿宋_GB2312" w:eastAsia="仿宋_GB2312"/>
          <w:color w:val="auto"/>
          <w:sz w:val="32"/>
          <w:szCs w:val="32"/>
          <w:lang w:val="en-US" w:eastAsia="zh-CN"/>
        </w:rPr>
        <w:t>四川省</w:t>
      </w:r>
      <w:r>
        <w:rPr>
          <w:rFonts w:hint="eastAsia" w:ascii="仿宋_GB2312" w:eastAsia="仿宋_GB2312"/>
          <w:color w:val="auto"/>
          <w:sz w:val="32"/>
          <w:szCs w:val="32"/>
        </w:rPr>
        <w:t>剑阁县</w:t>
      </w:r>
      <w:r>
        <w:rPr>
          <w:rFonts w:hint="eastAsia" w:ascii="仿宋_GB2312" w:eastAsia="仿宋_GB2312"/>
          <w:color w:val="auto"/>
          <w:sz w:val="32"/>
          <w:szCs w:val="32"/>
          <w:lang w:val="en-US" w:eastAsia="zh-CN"/>
        </w:rPr>
        <w:t>木马初级</w:t>
      </w:r>
      <w:r>
        <w:rPr>
          <w:rFonts w:ascii="仿宋_GB2312" w:eastAsia="仿宋_GB2312"/>
          <w:color w:val="auto"/>
          <w:sz w:val="32"/>
          <w:szCs w:val="32"/>
        </w:rPr>
        <w:t>中学校</w:t>
      </w:r>
      <w:r>
        <w:rPr>
          <w:rFonts w:hint="eastAsia" w:ascii="仿宋_GB2312" w:eastAsia="仿宋_GB2312"/>
          <w:color w:val="auto"/>
          <w:sz w:val="32"/>
          <w:szCs w:val="32"/>
        </w:rPr>
        <w:t>机关运行经费支出0万元，比</w:t>
      </w:r>
      <w:r>
        <w:rPr>
          <w:rFonts w:ascii="仿宋_GB2312" w:eastAsia="仿宋_GB2312"/>
          <w:color w:val="auto"/>
          <w:sz w:val="32"/>
          <w:szCs w:val="32"/>
        </w:rPr>
        <w:t>20</w:t>
      </w:r>
      <w:r>
        <w:rPr>
          <w:rFonts w:hint="eastAsia" w:ascii="仿宋_GB2312" w:eastAsia="仿宋_GB2312"/>
          <w:color w:val="auto"/>
          <w:sz w:val="32"/>
          <w:szCs w:val="32"/>
        </w:rPr>
        <w:t>21年增加0万元，增长0</w:t>
      </w:r>
      <w:r>
        <w:rPr>
          <w:rFonts w:ascii="仿宋_GB2312" w:eastAsia="仿宋_GB2312"/>
          <w:color w:val="auto"/>
          <w:sz w:val="32"/>
          <w:szCs w:val="32"/>
        </w:rPr>
        <w:t>%</w:t>
      </w:r>
      <w:r>
        <w:rPr>
          <w:rFonts w:hint="eastAsia" w:ascii="仿宋_GB2312" w:eastAsia="仿宋_GB2312"/>
          <w:color w:val="auto"/>
          <w:sz w:val="32"/>
          <w:szCs w:val="32"/>
        </w:rPr>
        <w:t>（与</w:t>
      </w:r>
      <w:r>
        <w:rPr>
          <w:rFonts w:ascii="仿宋_GB2312" w:eastAsia="仿宋_GB2312"/>
          <w:color w:val="auto"/>
          <w:sz w:val="32"/>
          <w:szCs w:val="32"/>
        </w:rPr>
        <w:t>20</w:t>
      </w:r>
      <w:r>
        <w:rPr>
          <w:rFonts w:hint="eastAsia" w:ascii="仿宋_GB2312" w:eastAsia="仿宋_GB2312"/>
          <w:color w:val="auto"/>
          <w:sz w:val="32"/>
          <w:szCs w:val="32"/>
        </w:rPr>
        <w:t>21年决算数持平）。</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9" w:name="_Toc15377223"/>
      <w:r>
        <w:rPr>
          <w:rFonts w:hint="eastAsia" w:ascii="仿宋" w:hAnsi="仿宋" w:eastAsia="仿宋"/>
          <w:b/>
          <w:color w:val="auto"/>
          <w:sz w:val="32"/>
          <w:szCs w:val="32"/>
        </w:rPr>
        <w:t>（二）政府采购支出情况</w:t>
      </w:r>
      <w:bookmarkEnd w:id="49"/>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22年，</w:t>
      </w:r>
      <w:r>
        <w:rPr>
          <w:rFonts w:hint="eastAsia" w:ascii="仿宋_GB2312" w:eastAsia="仿宋_GB2312"/>
          <w:color w:val="auto"/>
          <w:sz w:val="32"/>
          <w:szCs w:val="32"/>
          <w:lang w:val="en-US" w:eastAsia="zh-CN"/>
        </w:rPr>
        <w:t>四川省</w:t>
      </w:r>
      <w:r>
        <w:rPr>
          <w:rFonts w:hint="eastAsia" w:ascii="仿宋_GB2312" w:eastAsia="仿宋_GB2312"/>
          <w:color w:val="auto"/>
          <w:sz w:val="32"/>
          <w:szCs w:val="32"/>
        </w:rPr>
        <w:t>剑阁县</w:t>
      </w:r>
      <w:r>
        <w:rPr>
          <w:rFonts w:hint="eastAsia" w:ascii="仿宋_GB2312" w:eastAsia="仿宋_GB2312"/>
          <w:color w:val="auto"/>
          <w:sz w:val="32"/>
          <w:szCs w:val="32"/>
          <w:lang w:val="en-US" w:eastAsia="zh-CN"/>
        </w:rPr>
        <w:t>木马初级</w:t>
      </w:r>
      <w:r>
        <w:rPr>
          <w:rFonts w:ascii="仿宋_GB2312" w:eastAsia="仿宋_GB2312"/>
          <w:color w:val="auto"/>
          <w:sz w:val="32"/>
          <w:szCs w:val="32"/>
        </w:rPr>
        <w:t>中学校</w:t>
      </w:r>
      <w:r>
        <w:rPr>
          <w:rFonts w:hint="eastAsia" w:ascii="仿宋_GB2312" w:eastAsia="仿宋_GB2312"/>
          <w:color w:val="auto"/>
          <w:sz w:val="32"/>
          <w:szCs w:val="32"/>
        </w:rPr>
        <w:t>政府采购支出总额0万元，其中：政府采购货物支出0万元、政府采购工程支出0万元、政府采购服务支出0万元。授予中小企业合同金额0万元，占政府采购支出总额的0</w:t>
      </w:r>
      <w:r>
        <w:rPr>
          <w:rFonts w:ascii="仿宋_GB2312" w:eastAsia="仿宋_GB2312"/>
          <w:color w:val="auto"/>
          <w:sz w:val="32"/>
          <w:szCs w:val="32"/>
        </w:rPr>
        <w:t>%</w:t>
      </w:r>
      <w:r>
        <w:rPr>
          <w:rFonts w:hint="eastAsia" w:ascii="仿宋_GB2312" w:eastAsia="仿宋_GB2312"/>
          <w:color w:val="auto"/>
          <w:sz w:val="32"/>
          <w:szCs w:val="32"/>
        </w:rPr>
        <w:t>，其中：授予小微企业合同金额0万元，占政府采购支出总额的0</w:t>
      </w:r>
      <w:r>
        <w:rPr>
          <w:rFonts w:ascii="仿宋_GB2312" w:eastAsia="仿宋_GB2312"/>
          <w:color w:val="auto"/>
          <w:sz w:val="32"/>
          <w:szCs w:val="32"/>
        </w:rPr>
        <w:t>%</w:t>
      </w:r>
      <w:r>
        <w:rPr>
          <w:rFonts w:hint="eastAsia" w:ascii="仿宋_GB2312" w:eastAsia="仿宋_GB2312"/>
          <w:color w:val="auto"/>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50" w:name="_Toc15377224"/>
      <w:r>
        <w:rPr>
          <w:rFonts w:hint="eastAsia" w:ascii="仿宋" w:hAnsi="仿宋" w:eastAsia="仿宋"/>
          <w:b/>
          <w:color w:val="auto"/>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rPr>
        <w:t>22年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四川省</w:t>
      </w:r>
      <w:r>
        <w:rPr>
          <w:rFonts w:hint="eastAsia" w:ascii="仿宋_GB2312" w:eastAsia="仿宋_GB2312"/>
          <w:color w:val="auto"/>
          <w:sz w:val="32"/>
          <w:szCs w:val="32"/>
        </w:rPr>
        <w:t>剑阁县</w:t>
      </w:r>
      <w:r>
        <w:rPr>
          <w:rFonts w:hint="eastAsia" w:ascii="仿宋_GB2312" w:eastAsia="仿宋_GB2312"/>
          <w:color w:val="auto"/>
          <w:sz w:val="32"/>
          <w:szCs w:val="32"/>
          <w:lang w:val="en-US" w:eastAsia="zh-CN"/>
        </w:rPr>
        <w:t>木马初级</w:t>
      </w:r>
      <w:r>
        <w:rPr>
          <w:rFonts w:ascii="仿宋_GB2312" w:eastAsia="仿宋_GB2312"/>
          <w:color w:val="auto"/>
          <w:sz w:val="32"/>
          <w:szCs w:val="32"/>
        </w:rPr>
        <w:t>中学校</w:t>
      </w:r>
      <w:r>
        <w:rPr>
          <w:rFonts w:hint="eastAsia" w:ascii="仿宋_GB2312" w:eastAsia="仿宋_GB2312"/>
          <w:color w:val="auto"/>
          <w:sz w:val="32"/>
          <w:szCs w:val="32"/>
        </w:rPr>
        <w:t>共有车辆0辆，其中：主要领导干部用车0辆、机要通信用车0辆、应急保障用车0辆、其他用车0辆。单价</w:t>
      </w:r>
      <w:r>
        <w:rPr>
          <w:rFonts w:ascii="仿宋_GB2312" w:eastAsia="仿宋_GB2312"/>
          <w:color w:val="auto"/>
          <w:sz w:val="32"/>
          <w:szCs w:val="32"/>
        </w:rPr>
        <w:t>100</w:t>
      </w:r>
      <w:r>
        <w:rPr>
          <w:rFonts w:hint="eastAsia" w:ascii="仿宋_GB2312" w:eastAsia="仿宋_GB2312"/>
          <w:color w:val="auto"/>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r>
        <w:rPr>
          <w:rFonts w:hint="eastAsia" w:ascii="仿宋" w:hAnsi="仿宋" w:eastAsia="仿宋"/>
          <w:b/>
          <w:color w:val="auto"/>
          <w:sz w:val="32"/>
          <w:szCs w:val="32"/>
        </w:rPr>
        <w:t>（四）预算绩效管理情况</w:t>
      </w:r>
    </w:p>
    <w:p>
      <w:pPr>
        <w:pStyle w:val="2"/>
        <w:spacing w:before="93"/>
        <w:ind w:firstLine="640" w:firstLineChars="200"/>
        <w:rPr>
          <w:color w:val="auto"/>
          <w:highlight w:val="yellow"/>
        </w:rPr>
      </w:pPr>
      <w:r>
        <w:rPr>
          <w:rFonts w:hint="eastAsia" w:hAnsi="仿宋_GB2312" w:cs="仿宋_GB2312"/>
          <w:color w:val="auto"/>
          <w:sz w:val="32"/>
          <w:szCs w:val="32"/>
        </w:rPr>
        <w:t>根据预算绩效管理要求，本单位在2022年度预算编制阶段，组织对</w:t>
      </w:r>
      <w:r>
        <w:rPr>
          <w:rFonts w:hint="eastAsia" w:ascii="仿宋_GB2312" w:eastAsia="仿宋_GB2312"/>
          <w:color w:val="auto"/>
          <w:sz w:val="32"/>
          <w:szCs w:val="32"/>
          <w:lang w:val="en-US" w:eastAsia="zh-CN"/>
        </w:rPr>
        <w:t>四川省</w:t>
      </w:r>
      <w:r>
        <w:rPr>
          <w:rFonts w:hint="eastAsia" w:ascii="仿宋_GB2312" w:eastAsia="仿宋_GB2312"/>
          <w:color w:val="auto"/>
          <w:sz w:val="32"/>
          <w:szCs w:val="32"/>
        </w:rPr>
        <w:t>剑阁县</w:t>
      </w:r>
      <w:r>
        <w:rPr>
          <w:rFonts w:hint="eastAsia" w:ascii="仿宋_GB2312" w:eastAsia="仿宋_GB2312"/>
          <w:color w:val="auto"/>
          <w:sz w:val="32"/>
          <w:szCs w:val="32"/>
          <w:lang w:val="en-US" w:eastAsia="zh-CN"/>
        </w:rPr>
        <w:t>木马初级</w:t>
      </w:r>
      <w:r>
        <w:rPr>
          <w:rFonts w:ascii="仿宋_GB2312" w:eastAsia="仿宋_GB2312"/>
          <w:color w:val="auto"/>
          <w:sz w:val="32"/>
          <w:szCs w:val="32"/>
        </w:rPr>
        <w:t>中学校</w:t>
      </w:r>
      <w:r>
        <w:rPr>
          <w:rFonts w:hint="eastAsia" w:hAnsi="仿宋_GB2312" w:cs="仿宋_GB2312"/>
          <w:color w:val="auto"/>
          <w:sz w:val="32"/>
          <w:szCs w:val="32"/>
        </w:rPr>
        <w:t>项目其他人员支出、住房公积金、目标绩效考核奖励、优秀公务员和事业人员嘉奖、工资性支出数、工会经费与福利费、生均公用经费、校园安全保障经费、食堂人员补助、在职工资福利支出（事业）、其他补助支出、</w:t>
      </w:r>
      <w:r>
        <w:rPr>
          <w:rFonts w:hint="eastAsia" w:hAnsi="仿宋_GB2312" w:cs="仿宋_GB2312"/>
          <w:color w:val="auto"/>
          <w:sz w:val="32"/>
          <w:szCs w:val="32"/>
          <w:lang w:eastAsia="zh-CN"/>
        </w:rPr>
        <w:t>贫困学生</w:t>
      </w:r>
      <w:r>
        <w:rPr>
          <w:rFonts w:hint="eastAsia" w:hAnsi="仿宋_GB2312" w:cs="仿宋_GB2312"/>
          <w:color w:val="auto"/>
          <w:sz w:val="32"/>
          <w:szCs w:val="32"/>
        </w:rPr>
        <w:t>营养改善计划</w:t>
      </w:r>
      <w:r>
        <w:rPr>
          <w:rFonts w:hint="eastAsia" w:hAnsi="仿宋_GB2312" w:cs="仿宋_GB2312"/>
          <w:color w:val="auto"/>
          <w:sz w:val="32"/>
          <w:szCs w:val="32"/>
          <w:lang w:eastAsia="zh-CN"/>
        </w:rPr>
        <w:t>、农村义务教育综合奖补、免作业本费、贫困寄宿生生活补助、“校对校”结对</w:t>
      </w:r>
      <w:r>
        <w:rPr>
          <w:rFonts w:hint="eastAsia" w:hAnsi="仿宋_GB2312" w:cs="仿宋_GB2312"/>
          <w:color w:val="auto"/>
          <w:sz w:val="32"/>
          <w:szCs w:val="32"/>
        </w:rPr>
        <w:t>等</w:t>
      </w:r>
      <w:r>
        <w:rPr>
          <w:rFonts w:hint="eastAsia" w:hAnsi="仿宋_GB2312" w:cs="仿宋_GB2312"/>
          <w:color w:val="auto"/>
          <w:sz w:val="32"/>
          <w:szCs w:val="32"/>
          <w:lang w:val="en-US" w:eastAsia="zh-CN"/>
        </w:rPr>
        <w:t>16</w:t>
      </w:r>
      <w:r>
        <w:rPr>
          <w:rFonts w:hint="eastAsia" w:hAnsi="仿宋_GB2312" w:cs="仿宋_GB2312"/>
          <w:color w:val="auto"/>
          <w:sz w:val="32"/>
          <w:szCs w:val="32"/>
        </w:rPr>
        <w:t>个项目开展了预算事前绩效评估，对</w:t>
      </w:r>
      <w:r>
        <w:rPr>
          <w:rFonts w:hint="eastAsia" w:hAnsi="仿宋_GB2312" w:cs="仿宋_GB2312"/>
          <w:color w:val="auto"/>
          <w:sz w:val="32"/>
          <w:szCs w:val="32"/>
          <w:lang w:val="en-US" w:eastAsia="zh-CN"/>
        </w:rPr>
        <w:t>16</w:t>
      </w:r>
      <w:r>
        <w:rPr>
          <w:rFonts w:hint="eastAsia" w:hAnsi="仿宋_GB2312" w:cs="仿宋_GB2312"/>
          <w:color w:val="auto"/>
          <w:sz w:val="32"/>
          <w:szCs w:val="32"/>
        </w:rPr>
        <w:t>个项目编制了绩效目标，预算执行过程中，选取</w:t>
      </w:r>
      <w:r>
        <w:rPr>
          <w:rFonts w:hint="eastAsia" w:hAnsi="仿宋_GB2312" w:cs="仿宋_GB2312"/>
          <w:color w:val="auto"/>
          <w:sz w:val="32"/>
          <w:szCs w:val="32"/>
          <w:lang w:val="en-US" w:eastAsia="zh-CN"/>
        </w:rPr>
        <w:t>16</w:t>
      </w:r>
      <w:r>
        <w:rPr>
          <w:rFonts w:hint="eastAsia" w:hAnsi="仿宋_GB2312" w:cs="仿宋_GB2312"/>
          <w:color w:val="auto"/>
          <w:sz w:val="32"/>
          <w:szCs w:val="32"/>
        </w:rPr>
        <w:t>个项目开展绩效监控，组织对</w:t>
      </w:r>
      <w:r>
        <w:rPr>
          <w:rFonts w:hint="eastAsia" w:hAnsi="仿宋_GB2312" w:cs="仿宋_GB2312"/>
          <w:color w:val="auto"/>
          <w:sz w:val="32"/>
          <w:szCs w:val="32"/>
          <w:lang w:val="en-US" w:eastAsia="zh-CN"/>
        </w:rPr>
        <w:t>16</w:t>
      </w:r>
      <w:r>
        <w:rPr>
          <w:rFonts w:hint="eastAsia" w:hAnsi="仿宋_GB2312" w:cs="仿宋_GB2312"/>
          <w:color w:val="auto"/>
          <w:sz w:val="32"/>
          <w:szCs w:val="32"/>
        </w:rPr>
        <w:t>个项目开展绩效自评，绩效自评表详见第四部分附件。</w:t>
      </w: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color w:val="auto"/>
        </w:rPr>
      </w:pPr>
      <w:bookmarkStart w:id="51" w:name="_Toc15377225"/>
      <w:bookmarkStart w:id="52" w:name="_Toc15396613"/>
      <w:r>
        <w:rPr>
          <w:rFonts w:hint="eastAsia" w:ascii="黑体" w:hAnsi="黑体" w:eastAsia="黑体"/>
          <w:color w:val="auto"/>
          <w:sz w:val="44"/>
          <w:szCs w:val="44"/>
        </w:rPr>
        <w:t>名</w:t>
      </w:r>
      <w:r>
        <w:rPr>
          <w:rStyle w:val="25"/>
          <w:rFonts w:hint="eastAsia" w:ascii="黑体" w:hAnsi="黑体" w:eastAsia="黑体"/>
          <w:b w:val="0"/>
          <w:color w:val="auto"/>
        </w:rPr>
        <w:t>词解释</w:t>
      </w:r>
      <w:bookmarkEnd w:id="51"/>
      <w:bookmarkEnd w:id="52"/>
    </w:p>
    <w:p>
      <w:pPr>
        <w:spacing w:line="600" w:lineRule="exact"/>
        <w:jc w:val="left"/>
        <w:rPr>
          <w:rFonts w:ascii="宋体"/>
          <w:b/>
          <w:color w:val="auto"/>
          <w:sz w:val="44"/>
          <w:szCs w:val="44"/>
        </w:rPr>
      </w:pPr>
    </w:p>
    <w:p>
      <w:pPr>
        <w:pStyle w:val="23"/>
        <w:spacing w:line="560" w:lineRule="exact"/>
        <w:ind w:firstLine="640" w:firstLineChars="200"/>
        <w:rPr>
          <w:rFonts w:ascii="仿宋_GB2312" w:eastAsia="仿宋_GB2312"/>
          <w:color w:val="auto"/>
          <w:sz w:val="32"/>
          <w:szCs w:val="32"/>
        </w:rPr>
      </w:pPr>
      <w:bookmarkStart w:id="53" w:name="_Toc15396614"/>
      <w:bookmarkStart w:id="54" w:name="_Toc15377226"/>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9</w:t>
      </w:r>
      <w:r>
        <w:rPr>
          <w:rFonts w:ascii="仿宋_GB2312" w:eastAsia="仿宋_GB2312"/>
          <w:color w:val="auto"/>
          <w:sz w:val="32"/>
          <w:szCs w:val="32"/>
        </w:rPr>
        <w:t>.</w:t>
      </w:r>
      <w:r>
        <w:rPr>
          <w:rFonts w:hint="eastAsia" w:ascii="仿宋_GB2312" w:eastAsia="仿宋_GB2312"/>
          <w:color w:val="auto"/>
          <w:sz w:val="32"/>
          <w:szCs w:val="32"/>
        </w:rPr>
        <w:t>教育（类）普通教育（款）学前教育（项）：指学前教育人员工资、办公、差旅等公用经费。</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10.教育（类）普通教育（款）</w:t>
      </w:r>
      <w:r>
        <w:rPr>
          <w:rFonts w:hint="eastAsia" w:ascii="仿宋_GB2312" w:eastAsia="仿宋_GB2312"/>
          <w:color w:val="auto"/>
          <w:sz w:val="32"/>
          <w:szCs w:val="32"/>
          <w:lang w:val="en-US" w:eastAsia="zh-CN"/>
        </w:rPr>
        <w:t>初中</w:t>
      </w:r>
      <w:r>
        <w:rPr>
          <w:rFonts w:hint="eastAsia" w:ascii="仿宋_GB2312" w:eastAsia="仿宋_GB2312"/>
          <w:color w:val="auto"/>
          <w:sz w:val="32"/>
          <w:szCs w:val="32"/>
        </w:rPr>
        <w:t>教育（项）：指义务教育人员工资、办公、差旅等公用经费。</w:t>
      </w:r>
    </w:p>
    <w:p>
      <w:pPr>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1</w:t>
      </w:r>
      <w:r>
        <w:rPr>
          <w:rFonts w:ascii="仿宋_GB2312" w:eastAsia="仿宋_GB2312"/>
          <w:color w:val="auto"/>
          <w:sz w:val="32"/>
          <w:szCs w:val="32"/>
        </w:rPr>
        <w:t>.</w:t>
      </w:r>
      <w:r>
        <w:rPr>
          <w:rFonts w:hint="eastAsia" w:ascii="仿宋_GB2312" w:eastAsia="仿宋_GB2312"/>
          <w:color w:val="auto"/>
          <w:sz w:val="32"/>
          <w:szCs w:val="32"/>
        </w:rPr>
        <w:t>社会保障和就业（类）行政事业单位养老支出（款）机关事业单位基本养老保险缴费支出（项）：指缴纳本单位在职职工养老保险。</w:t>
      </w:r>
    </w:p>
    <w:p>
      <w:pPr>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医疗卫生与计划生育（类）行政事业单位医疗（款）事业单位医疗（项）：指缴纳本单位在职职工基本医疗保险费。</w:t>
      </w:r>
    </w:p>
    <w:p>
      <w:pPr>
        <w:ind w:firstLine="640" w:firstLineChars="200"/>
        <w:rPr>
          <w:rFonts w:ascii="仿宋" w:hAnsi="仿宋" w:eastAsia="仿宋"/>
          <w:b/>
          <w:color w:val="auto"/>
          <w:sz w:val="32"/>
          <w:szCs w:val="32"/>
        </w:rPr>
      </w:pPr>
      <w:r>
        <w:rPr>
          <w:rFonts w:hint="eastAsia" w:ascii="仿宋_GB2312" w:eastAsia="仿宋_GB2312"/>
          <w:color w:val="auto"/>
          <w:sz w:val="32"/>
          <w:szCs w:val="32"/>
        </w:rPr>
        <w:t>13</w:t>
      </w:r>
      <w:r>
        <w:rPr>
          <w:rFonts w:ascii="仿宋_GB2312" w:eastAsia="仿宋_GB2312"/>
          <w:color w:val="auto"/>
          <w:sz w:val="32"/>
          <w:szCs w:val="32"/>
        </w:rPr>
        <w:t>.</w:t>
      </w:r>
      <w:r>
        <w:rPr>
          <w:rFonts w:hint="eastAsia" w:ascii="仿宋_GB2312" w:eastAsia="仿宋_GB2312"/>
          <w:color w:val="auto"/>
          <w:sz w:val="32"/>
          <w:szCs w:val="32"/>
        </w:rPr>
        <w:t>住房保障（类）住房改革支出（款）住房公积金（项）：指缴纳本单位在职职工住房公积金。</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14</w:t>
      </w:r>
      <w:r>
        <w:rPr>
          <w:rFonts w:ascii="仿宋_GB2312" w:eastAsia="仿宋_GB2312"/>
          <w:color w:val="auto"/>
          <w:sz w:val="32"/>
          <w:szCs w:val="32"/>
        </w:rPr>
        <w:t>.</w:t>
      </w:r>
      <w:r>
        <w:rPr>
          <w:rFonts w:hint="eastAsia" w:ascii="仿宋_GB2312" w:eastAsia="仿宋_GB2312"/>
          <w:color w:val="auto"/>
          <w:sz w:val="32"/>
          <w:szCs w:val="32"/>
        </w:rPr>
        <w:t>基本支出：指为保障机构正常运转、完成日常工作任务而发生的人员支出和公用支出。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16</w:t>
      </w:r>
      <w:r>
        <w:rPr>
          <w:rFonts w:ascii="仿宋_GB2312" w:eastAsia="仿宋_GB2312"/>
          <w:color w:val="auto"/>
          <w:sz w:val="32"/>
          <w:szCs w:val="32"/>
        </w:rPr>
        <w:t>.</w:t>
      </w:r>
      <w:r>
        <w:rPr>
          <w:rFonts w:hint="eastAsia" w:ascii="仿宋_GB2312" w:eastAsia="仿宋_GB2312"/>
          <w:color w:val="auto"/>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Fonts w:hint="eastAsia" w:ascii="黑体" w:hAnsi="黑体" w:eastAsia="黑体"/>
          <w:color w:val="auto"/>
          <w:sz w:val="44"/>
          <w:szCs w:val="44"/>
        </w:rPr>
      </w:pPr>
    </w:p>
    <w:p>
      <w:pPr>
        <w:spacing w:line="600" w:lineRule="exact"/>
        <w:jc w:val="center"/>
        <w:outlineLvl w:val="0"/>
        <w:rPr>
          <w:rStyle w:val="25"/>
          <w:rFonts w:ascii="黑体" w:hAnsi="黑体" w:eastAsia="黑体"/>
          <w:b w:val="0"/>
          <w:color w:val="auto"/>
        </w:rPr>
      </w:pPr>
      <w:r>
        <w:rPr>
          <w:rFonts w:hint="eastAsia" w:ascii="黑体" w:hAnsi="黑体" w:eastAsia="黑体"/>
          <w:color w:val="auto"/>
          <w:sz w:val="44"/>
          <w:szCs w:val="44"/>
        </w:rPr>
        <w:t>第</w:t>
      </w:r>
      <w:r>
        <w:rPr>
          <w:rStyle w:val="25"/>
          <w:rFonts w:hint="eastAsia" w:ascii="黑体" w:hAnsi="黑体" w:eastAsia="黑体"/>
          <w:b w:val="0"/>
          <w:color w:val="auto"/>
        </w:rPr>
        <w:t>四部分 附件</w:t>
      </w:r>
      <w:bookmarkEnd w:id="53"/>
    </w:p>
    <w:p>
      <w:pPr>
        <w:spacing w:line="572" w:lineRule="exact"/>
        <w:jc w:val="left"/>
        <w:outlineLvl w:val="0"/>
        <w:rPr>
          <w:rFonts w:ascii="仿宋_GB2312" w:hAnsi="仿宋_GB2312" w:eastAsia="仿宋_GB2312" w:cs="仿宋_GB2312"/>
          <w:color w:val="auto"/>
          <w:sz w:val="32"/>
          <w:szCs w:val="32"/>
        </w:rPr>
      </w:pPr>
    </w:p>
    <w:p>
      <w:pPr>
        <w:spacing w:line="600" w:lineRule="exact"/>
        <w:jc w:val="center"/>
        <w:outlineLvl w:val="0"/>
        <w:rPr>
          <w:rFonts w:ascii="宋体" w:hAnsi="宋体" w:cs="宋体"/>
          <w:color w:val="auto"/>
          <w:kern w:val="0"/>
          <w:sz w:val="32"/>
          <w:szCs w:val="32"/>
        </w:rPr>
      </w:pPr>
      <w:bookmarkStart w:id="55" w:name="_Toc15396618"/>
      <w:r>
        <w:rPr>
          <w:rFonts w:hint="eastAsia" w:ascii="宋体" w:hAnsi="宋体" w:cs="宋体"/>
          <w:color w:val="auto"/>
          <w:kern w:val="0"/>
          <w:sz w:val="32"/>
          <w:szCs w:val="32"/>
        </w:rPr>
        <w:t>部门预算项目支出绩效自评表（2022年度）</w:t>
      </w:r>
    </w:p>
    <w:tbl>
      <w:tblPr>
        <w:tblStyle w:val="12"/>
        <w:tblW w:w="9800" w:type="dxa"/>
        <w:tblInd w:w="95" w:type="dxa"/>
        <w:tblLayout w:type="autofit"/>
        <w:tblCellMar>
          <w:top w:w="0" w:type="dxa"/>
          <w:left w:w="108" w:type="dxa"/>
          <w:bottom w:w="0" w:type="dxa"/>
          <w:right w:w="108" w:type="dxa"/>
        </w:tblCellMar>
      </w:tblPr>
      <w:tblGrid>
        <w:gridCol w:w="576"/>
        <w:gridCol w:w="1045"/>
        <w:gridCol w:w="974"/>
        <w:gridCol w:w="1605"/>
        <w:gridCol w:w="611"/>
        <w:gridCol w:w="983"/>
        <w:gridCol w:w="396"/>
        <w:gridCol w:w="846"/>
        <w:gridCol w:w="679"/>
        <w:gridCol w:w="525"/>
        <w:gridCol w:w="1560"/>
      </w:tblGrid>
      <w:tr>
        <w:tblPrEx>
          <w:tblCellMar>
            <w:top w:w="0" w:type="dxa"/>
            <w:left w:w="108" w:type="dxa"/>
            <w:bottom w:w="0" w:type="dxa"/>
            <w:right w:w="108" w:type="dxa"/>
          </w:tblCellMar>
        </w:tblPrEx>
        <w:trPr>
          <w:trHeight w:val="409" w:hRule="atLeast"/>
        </w:trPr>
        <w:tc>
          <w:tcPr>
            <w:tcW w:w="4439"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20"/>
                <w:szCs w:val="20"/>
              </w:rPr>
            </w:pPr>
            <w:r>
              <w:rPr>
                <w:rFonts w:ascii="宋体" w:hAnsi="宋体" w:eastAsia="宋体" w:cs="宋体"/>
                <w:i w:val="0"/>
                <w:iCs w:val="0"/>
                <w:color w:val="auto"/>
                <w:kern w:val="0"/>
                <w:sz w:val="20"/>
                <w:szCs w:val="20"/>
                <w:u w:val="none"/>
                <w:lang w:val="en-US" w:eastAsia="zh-CN" w:bidi="ar"/>
              </w:rPr>
              <w:t>报表编号：510000_0013zp</w:t>
            </w:r>
          </w:p>
        </w:tc>
        <w:tc>
          <w:tcPr>
            <w:tcW w:w="520" w:type="dxa"/>
            <w:tcBorders>
              <w:top w:val="nil"/>
              <w:left w:val="nil"/>
              <w:bottom w:val="nil"/>
              <w:right w:val="nil"/>
            </w:tcBorders>
            <w:shd w:val="clear" w:color="auto" w:fill="auto"/>
            <w:noWrap/>
            <w:vAlign w:val="center"/>
          </w:tcPr>
          <w:p>
            <w:pPr>
              <w:rPr>
                <w:rFonts w:ascii="宋体" w:hAnsi="宋体" w:cs="宋体"/>
                <w:color w:val="auto"/>
                <w:kern w:val="0"/>
                <w:sz w:val="22"/>
                <w:szCs w:val="22"/>
              </w:rPr>
            </w:pPr>
          </w:p>
        </w:tc>
        <w:tc>
          <w:tcPr>
            <w:tcW w:w="2245" w:type="dxa"/>
            <w:gridSpan w:val="3"/>
            <w:tcBorders>
              <w:top w:val="nil"/>
              <w:left w:val="nil"/>
              <w:bottom w:val="nil"/>
              <w:right w:val="nil"/>
            </w:tcBorders>
            <w:shd w:val="clear" w:color="auto" w:fill="auto"/>
            <w:vAlign w:val="center"/>
          </w:tcPr>
          <w:p>
            <w:pPr>
              <w:rPr>
                <w:rFonts w:ascii="宋体" w:hAnsi="宋体" w:cs="宋体"/>
                <w:color w:val="auto"/>
                <w:kern w:val="0"/>
                <w:sz w:val="20"/>
                <w:szCs w:val="20"/>
              </w:rPr>
            </w:pPr>
          </w:p>
        </w:tc>
        <w:tc>
          <w:tcPr>
            <w:tcW w:w="576" w:type="dxa"/>
            <w:tcBorders>
              <w:top w:val="nil"/>
              <w:left w:val="nil"/>
              <w:bottom w:val="nil"/>
              <w:right w:val="nil"/>
            </w:tcBorders>
            <w:shd w:val="clear" w:color="auto" w:fill="auto"/>
            <w:noWrap/>
            <w:vAlign w:val="center"/>
          </w:tcPr>
          <w:p>
            <w:pPr>
              <w:rPr>
                <w:rFonts w:ascii="宋体" w:hAnsi="宋体" w:cs="宋体"/>
                <w:color w:val="auto"/>
                <w:kern w:val="0"/>
                <w:sz w:val="22"/>
                <w:szCs w:val="22"/>
              </w:rPr>
            </w:pPr>
          </w:p>
        </w:tc>
        <w:tc>
          <w:tcPr>
            <w:tcW w:w="460" w:type="dxa"/>
            <w:tcBorders>
              <w:top w:val="nil"/>
              <w:left w:val="nil"/>
              <w:bottom w:val="nil"/>
              <w:right w:val="nil"/>
            </w:tcBorders>
            <w:shd w:val="clear" w:color="auto" w:fill="auto"/>
            <w:noWrap/>
            <w:vAlign w:val="center"/>
          </w:tcPr>
          <w:p>
            <w:pPr>
              <w:rPr>
                <w:rFonts w:ascii="宋体" w:hAnsi="宋体" w:cs="宋体"/>
                <w:color w:val="auto"/>
                <w:kern w:val="0"/>
                <w:sz w:val="22"/>
                <w:szCs w:val="22"/>
              </w:rPr>
            </w:pPr>
          </w:p>
        </w:tc>
        <w:tc>
          <w:tcPr>
            <w:tcW w:w="1560" w:type="dxa"/>
            <w:tcBorders>
              <w:top w:val="nil"/>
              <w:left w:val="nil"/>
              <w:bottom w:val="nil"/>
              <w:right w:val="nil"/>
            </w:tcBorders>
            <w:shd w:val="clear" w:color="auto" w:fill="auto"/>
            <w:noWrap/>
            <w:vAlign w:val="center"/>
          </w:tcPr>
          <w:p>
            <w:pPr>
              <w:rPr>
                <w:rFonts w:ascii="宋体" w:hAnsi="宋体" w:cs="宋体"/>
                <w:color w:val="auto"/>
                <w:kern w:val="0"/>
                <w:sz w:val="22"/>
                <w:szCs w:val="22"/>
              </w:rPr>
            </w:pPr>
          </w:p>
        </w:tc>
      </w:tr>
      <w:tr>
        <w:tblPrEx>
          <w:tblCellMar>
            <w:top w:w="0" w:type="dxa"/>
            <w:left w:w="108" w:type="dxa"/>
            <w:bottom w:w="0" w:type="dxa"/>
            <w:right w:w="108" w:type="dxa"/>
          </w:tblCellMar>
        </w:tblPrEx>
        <w:trPr>
          <w:trHeight w:val="90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auto"/>
                <w:kern w:val="0"/>
                <w:sz w:val="30"/>
                <w:szCs w:val="30"/>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285"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51000021R000000019952</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其他人员支出</w:t>
            </w:r>
          </w:p>
        </w:tc>
      </w:tr>
      <w:tr>
        <w:tblPrEx>
          <w:tblCellMar>
            <w:top w:w="0" w:type="dxa"/>
            <w:left w:w="108" w:type="dxa"/>
            <w:bottom w:w="0" w:type="dxa"/>
            <w:right w:w="108" w:type="dxa"/>
          </w:tblCellMar>
        </w:tblPrEx>
        <w:trPr>
          <w:trHeight w:val="514"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黑体" w:hAnsi="黑体" w:eastAsia="黑体" w:cs="黑体"/>
                <w:i w:val="0"/>
                <w:iCs w:val="0"/>
                <w:color w:val="auto"/>
                <w:kern w:val="0"/>
                <w:sz w:val="18"/>
                <w:szCs w:val="18"/>
                <w:u w:val="none"/>
                <w:lang w:val="en-US" w:eastAsia="zh-CN" w:bidi="ar"/>
              </w:rPr>
              <w:t>实施单位 （盖章）</w:t>
            </w:r>
          </w:p>
        </w:tc>
        <w:tc>
          <w:tcPr>
            <w:tcW w:w="2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lang w:val="en-US" w:eastAsia="zh-CN"/>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285"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709"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严格执行相关政策，保障工资及时发放、足额发放，预算编制科学合理，减少结余资金</w:t>
            </w:r>
          </w:p>
        </w:tc>
        <w:tc>
          <w:tcPr>
            <w:tcW w:w="358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60"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387"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23.24</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23.24</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22.20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95.56%</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23.24</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23.24</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22.20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95.56%</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0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660"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349"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761"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54"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指标值</w:t>
            </w:r>
          </w:p>
        </w:tc>
        <w:tc>
          <w:tcPr>
            <w:tcW w:w="3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产出指标</w:t>
            </w:r>
          </w:p>
        </w:tc>
        <w:tc>
          <w:tcPr>
            <w:tcW w:w="105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数量指标</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科目调整次数</w:t>
            </w:r>
          </w:p>
        </w:tc>
        <w:tc>
          <w:tcPr>
            <w:tcW w:w="6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1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3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次</w:t>
            </w:r>
          </w:p>
        </w:tc>
        <w:tc>
          <w:tcPr>
            <w:tcW w:w="761" w:type="dxa"/>
            <w:tcBorders>
              <w:top w:val="nil"/>
              <w:left w:val="nil"/>
              <w:bottom w:val="single" w:color="000000" w:sz="4" w:space="0"/>
              <w:right w:val="single" w:color="000000" w:sz="4" w:space="0"/>
            </w:tcBorders>
            <w:shd w:val="clear" w:color="auto" w:fill="auto"/>
            <w:vAlign w:val="center"/>
          </w:tcPr>
          <w:p>
            <w:pPr>
              <w:jc w:val="center"/>
              <w:rPr>
                <w:color w:val="auto"/>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22.5</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足额保障率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22.5</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60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时效指标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按时发放率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22.5</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57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效益指标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经济效益指标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结余率（计算方法为：结余数/预算数）</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5</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22.5</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634" w:hRule="atLeast"/>
        </w:trPr>
        <w:tc>
          <w:tcPr>
            <w:tcW w:w="6973"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285" w:hRule="atLeast"/>
        </w:trPr>
        <w:tc>
          <w:tcPr>
            <w:tcW w:w="4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90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auto"/>
                <w:kern w:val="0"/>
                <w:sz w:val="30"/>
                <w:szCs w:val="30"/>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6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51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61" w:type="dxa"/>
            <w:tcBorders>
              <w:top w:val="nil"/>
              <w:left w:val="nil"/>
              <w:bottom w:val="nil"/>
              <w:right w:val="nil"/>
            </w:tcBorders>
            <w:shd w:val="clear" w:color="auto" w:fill="auto"/>
            <w:vAlign w:val="center"/>
          </w:tcPr>
          <w:p>
            <w:pPr>
              <w:rPr>
                <w:rFonts w:ascii="Courier New" w:hAnsi="Courier New" w:cs="Courier New"/>
                <w:color w:val="auto"/>
                <w:kern w:val="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9800" w:type="dxa"/>
            <w:gridSpan w:val="11"/>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709"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51082321R000000024249</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住房公积金</w:t>
            </w:r>
          </w:p>
        </w:tc>
      </w:tr>
      <w:tr>
        <w:tblPrEx>
          <w:tblCellMar>
            <w:top w:w="0" w:type="dxa"/>
            <w:left w:w="108" w:type="dxa"/>
            <w:bottom w:w="0" w:type="dxa"/>
            <w:right w:w="108" w:type="dxa"/>
          </w:tblCellMar>
        </w:tblPrEx>
        <w:trPr>
          <w:trHeight w:val="694"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360"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387"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47"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40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0.35</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0.35</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0.35</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549"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0.35</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0.35</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0.35</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100.00%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2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604"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指标值</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权重</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得分</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57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634" w:hRule="atLeast"/>
        </w:trPr>
        <w:tc>
          <w:tcPr>
            <w:tcW w:w="6973"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285" w:hRule="atLeast"/>
        </w:trPr>
        <w:tc>
          <w:tcPr>
            <w:tcW w:w="4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90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auto"/>
                <w:kern w:val="0"/>
                <w:sz w:val="30"/>
                <w:szCs w:val="30"/>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6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51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61" w:type="dxa"/>
            <w:tcBorders>
              <w:top w:val="nil"/>
              <w:left w:val="nil"/>
              <w:bottom w:val="nil"/>
              <w:right w:val="nil"/>
            </w:tcBorders>
            <w:shd w:val="clear" w:color="auto" w:fill="auto"/>
            <w:vAlign w:val="center"/>
          </w:tcPr>
          <w:p>
            <w:pPr>
              <w:rPr>
                <w:rFonts w:ascii="Courier New" w:hAnsi="Courier New" w:cs="Courier New"/>
                <w:color w:val="auto"/>
                <w:kern w:val="0"/>
                <w:sz w:val="18"/>
                <w:szCs w:val="18"/>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9800" w:type="dxa"/>
            <w:gridSpan w:val="11"/>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709"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51082321R000000025238</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目标绩效考核奖励</w:t>
            </w:r>
          </w:p>
        </w:tc>
      </w:tr>
      <w:tr>
        <w:tblPrEx>
          <w:tblCellMar>
            <w:top w:w="0" w:type="dxa"/>
            <w:left w:w="108" w:type="dxa"/>
            <w:bottom w:w="0" w:type="dxa"/>
            <w:right w:w="108" w:type="dxa"/>
          </w:tblCellMar>
        </w:tblPrEx>
        <w:trPr>
          <w:trHeight w:val="694"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360"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387"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严格执行相关政策，保障工资及时、足额发放或社保及时、足额缴纳，预算编制科学合理，减少结余资金。</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47"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40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83.55</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83.55</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549"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83.55</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83.55</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100.00%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6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349"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2178" w:type="dxa"/>
            <w:gridSpan w:val="3"/>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761"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338"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指标值</w:t>
            </w:r>
          </w:p>
        </w:tc>
        <w:tc>
          <w:tcPr>
            <w:tcW w:w="36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904"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产出指标</w:t>
            </w:r>
          </w:p>
        </w:tc>
        <w:tc>
          <w:tcPr>
            <w:tcW w:w="1056"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数量指标</w:t>
            </w:r>
          </w:p>
        </w:tc>
        <w:tc>
          <w:tcPr>
            <w:tcW w:w="134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发放（缴纳）覆盖率</w:t>
            </w:r>
          </w:p>
        </w:tc>
        <w:tc>
          <w:tcPr>
            <w:tcW w:w="64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nil"/>
              <w:left w:val="single" w:color="000000" w:sz="4" w:space="0"/>
              <w:bottom w:val="single" w:color="000000" w:sz="4" w:space="0"/>
              <w:right w:val="single" w:color="000000" w:sz="4" w:space="0"/>
            </w:tcBorders>
            <w:vAlign w:val="center"/>
          </w:tcPr>
          <w:p>
            <w:pPr>
              <w:jc w:val="center"/>
              <w:rPr>
                <w:color w:val="auto"/>
              </w:rPr>
            </w:pPr>
          </w:p>
        </w:tc>
        <w:tc>
          <w:tcPr>
            <w:tcW w:w="71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60</w:t>
            </w:r>
          </w:p>
        </w:tc>
        <w:tc>
          <w:tcPr>
            <w:tcW w:w="549" w:type="dxa"/>
            <w:tcBorders>
              <w:top w:val="nil"/>
              <w:left w:val="single" w:color="000000" w:sz="4" w:space="0"/>
              <w:bottom w:val="single" w:color="000000" w:sz="4" w:space="0"/>
              <w:right w:val="single" w:color="000000" w:sz="4" w:space="0"/>
            </w:tcBorders>
            <w:vAlign w:val="center"/>
          </w:tcPr>
          <w:p>
            <w:pPr>
              <w:jc w:val="center"/>
              <w:rPr>
                <w:color w:val="auto"/>
              </w:rPr>
            </w:pPr>
          </w:p>
        </w:tc>
        <w:tc>
          <w:tcPr>
            <w:tcW w:w="1560" w:type="dxa"/>
            <w:tcBorders>
              <w:top w:val="nil"/>
              <w:left w:val="single" w:color="000000" w:sz="4" w:space="0"/>
              <w:bottom w:val="single" w:color="000000" w:sz="4" w:space="0"/>
              <w:right w:val="single" w:color="000000" w:sz="4" w:space="0"/>
            </w:tcBorders>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效益指标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社会效益指标</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足额保障率（参保率）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7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30</w:t>
            </w:r>
          </w:p>
        </w:tc>
        <w:tc>
          <w:tcPr>
            <w:tcW w:w="549" w:type="dxa"/>
            <w:tcBorders>
              <w:top w:val="nil"/>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nil"/>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604" w:hRule="atLeast"/>
        </w:trPr>
        <w:tc>
          <w:tcPr>
            <w:tcW w:w="6973"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574"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634"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679"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90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宋体"/>
                <w:b/>
                <w:bCs/>
                <w:color w:val="auto"/>
                <w:kern w:val="0"/>
                <w:sz w:val="30"/>
                <w:szCs w:val="30"/>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514"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51082321R000000025241</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优秀公务员和事业人员嘉奖</w:t>
            </w:r>
          </w:p>
        </w:tc>
      </w:tr>
      <w:tr>
        <w:tblPrEx>
          <w:tblCellMar>
            <w:top w:w="0" w:type="dxa"/>
            <w:left w:w="108" w:type="dxa"/>
            <w:bottom w:w="0" w:type="dxa"/>
            <w:right w:w="108" w:type="dxa"/>
          </w:tblCellMar>
        </w:tblPrEx>
        <w:trPr>
          <w:trHeight w:val="285" w:hRule="atLeast"/>
        </w:trPr>
        <w:tc>
          <w:tcPr>
            <w:tcW w:w="162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709"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694"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358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360"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87"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0.75</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1.50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1.50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0.75</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1.50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1.50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0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349"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2178" w:type="dxa"/>
            <w:gridSpan w:val="3"/>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761"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三级指标</w:t>
            </w:r>
          </w:p>
        </w:tc>
        <w:tc>
          <w:tcPr>
            <w:tcW w:w="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指标值</w:t>
            </w:r>
          </w:p>
        </w:tc>
        <w:tc>
          <w:tcPr>
            <w:tcW w:w="3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6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微软雅黑" w:hAnsi="微软雅黑" w:eastAsia="微软雅黑" w:cs="宋体"/>
                <w:i/>
                <w:iCs/>
                <w:color w:val="auto"/>
                <w:kern w:val="0"/>
                <w:sz w:val="16"/>
                <w:szCs w:val="16"/>
              </w:rPr>
            </w:pPr>
          </w:p>
        </w:tc>
        <w:tc>
          <w:tcPr>
            <w:tcW w:w="1222" w:type="dxa"/>
            <w:tcBorders>
              <w:top w:val="nil"/>
              <w:left w:val="single" w:color="000000" w:sz="4" w:space="0"/>
              <w:bottom w:val="single" w:color="000000" w:sz="4" w:space="0"/>
              <w:right w:val="single" w:color="000000" w:sz="4" w:space="0"/>
            </w:tcBorders>
            <w:vAlign w:val="center"/>
          </w:tcPr>
          <w:p>
            <w:pPr>
              <w:jc w:val="center"/>
              <w:rPr>
                <w:color w:val="auto"/>
              </w:rPr>
            </w:pPr>
          </w:p>
        </w:tc>
        <w:tc>
          <w:tcPr>
            <w:tcW w:w="1056" w:type="dxa"/>
            <w:tcBorders>
              <w:top w:val="nil"/>
              <w:left w:val="single" w:color="000000" w:sz="4" w:space="0"/>
              <w:bottom w:val="single" w:color="000000" w:sz="4" w:space="0"/>
              <w:right w:val="single" w:color="000000" w:sz="4" w:space="0"/>
            </w:tcBorders>
            <w:vAlign w:val="center"/>
          </w:tcPr>
          <w:p>
            <w:pPr>
              <w:jc w:val="center"/>
              <w:rPr>
                <w:color w:val="auto"/>
              </w:rPr>
            </w:pPr>
          </w:p>
        </w:tc>
        <w:tc>
          <w:tcPr>
            <w:tcW w:w="1349" w:type="dxa"/>
            <w:tcBorders>
              <w:top w:val="nil"/>
              <w:left w:val="single" w:color="000000" w:sz="4" w:space="0"/>
              <w:bottom w:val="single" w:color="000000" w:sz="4" w:space="0"/>
              <w:right w:val="single" w:color="000000" w:sz="4" w:space="0"/>
            </w:tcBorders>
            <w:vAlign w:val="center"/>
          </w:tcPr>
          <w:p>
            <w:pPr>
              <w:jc w:val="center"/>
              <w:rPr>
                <w:color w:val="auto"/>
              </w:rPr>
            </w:pPr>
          </w:p>
        </w:tc>
        <w:tc>
          <w:tcPr>
            <w:tcW w:w="645" w:type="dxa"/>
            <w:tcBorders>
              <w:top w:val="nil"/>
              <w:left w:val="single" w:color="000000" w:sz="4" w:space="0"/>
              <w:bottom w:val="single" w:color="000000" w:sz="4" w:space="0"/>
              <w:right w:val="single" w:color="000000" w:sz="4" w:space="0"/>
            </w:tcBorders>
            <w:vAlign w:val="center"/>
          </w:tcPr>
          <w:p>
            <w:pPr>
              <w:jc w:val="center"/>
              <w:rPr>
                <w:color w:val="auto"/>
              </w:rPr>
            </w:pPr>
          </w:p>
        </w:tc>
        <w:tc>
          <w:tcPr>
            <w:tcW w:w="1169" w:type="dxa"/>
            <w:tcBorders>
              <w:top w:val="nil"/>
              <w:left w:val="single" w:color="000000" w:sz="4" w:space="0"/>
              <w:bottom w:val="single" w:color="000000" w:sz="4" w:space="0"/>
              <w:right w:val="single" w:color="000000" w:sz="4" w:space="0"/>
            </w:tcBorders>
            <w:vAlign w:val="center"/>
          </w:tcPr>
          <w:p>
            <w:pPr>
              <w:jc w:val="center"/>
              <w:rPr>
                <w:color w:val="auto"/>
              </w:rPr>
            </w:pPr>
          </w:p>
        </w:tc>
        <w:tc>
          <w:tcPr>
            <w:tcW w:w="364" w:type="dxa"/>
            <w:tcBorders>
              <w:top w:val="nil"/>
              <w:left w:val="single" w:color="000000" w:sz="4" w:space="0"/>
              <w:bottom w:val="single" w:color="000000" w:sz="4" w:space="0"/>
              <w:right w:val="single" w:color="000000" w:sz="4" w:space="0"/>
            </w:tcBorders>
            <w:vAlign w:val="center"/>
          </w:tcPr>
          <w:p>
            <w:pPr>
              <w:jc w:val="center"/>
              <w:rPr>
                <w:color w:val="auto"/>
              </w:rPr>
            </w:pPr>
          </w:p>
        </w:tc>
        <w:tc>
          <w:tcPr>
            <w:tcW w:w="761" w:type="dxa"/>
            <w:tcBorders>
              <w:top w:val="nil"/>
              <w:left w:val="single" w:color="000000" w:sz="4" w:space="0"/>
              <w:bottom w:val="single" w:color="000000" w:sz="4" w:space="0"/>
              <w:right w:val="single" w:color="000000" w:sz="4" w:space="0"/>
            </w:tcBorders>
            <w:vAlign w:val="center"/>
          </w:tcPr>
          <w:p>
            <w:pPr>
              <w:jc w:val="center"/>
              <w:rPr>
                <w:color w:val="auto"/>
              </w:rPr>
            </w:pPr>
          </w:p>
        </w:tc>
        <w:tc>
          <w:tcPr>
            <w:tcW w:w="57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338" w:hRule="atLeast"/>
        </w:trPr>
        <w:tc>
          <w:tcPr>
            <w:tcW w:w="6973" w:type="dxa"/>
            <w:gridSpan w:val="8"/>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合计</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100</w:t>
            </w:r>
          </w:p>
        </w:tc>
        <w:tc>
          <w:tcPr>
            <w:tcW w:w="460" w:type="dxa"/>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904" w:hRule="atLeast"/>
        </w:trPr>
        <w:tc>
          <w:tcPr>
            <w:tcW w:w="407"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604"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574" w:hRule="atLeast"/>
        </w:trPr>
        <w:tc>
          <w:tcPr>
            <w:tcW w:w="4679"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634"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285" w:hRule="atLeast"/>
        </w:trPr>
        <w:tc>
          <w:tcPr>
            <w:tcW w:w="162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51082321R000000044136-工资性支出数</w:t>
            </w:r>
          </w:p>
        </w:tc>
      </w:tr>
      <w:tr>
        <w:tblPrEx>
          <w:tblCellMar>
            <w:top w:w="0" w:type="dxa"/>
            <w:left w:w="108" w:type="dxa"/>
            <w:bottom w:w="0" w:type="dxa"/>
            <w:right w:w="108" w:type="dxa"/>
          </w:tblCellMar>
        </w:tblPrEx>
        <w:trPr>
          <w:trHeight w:val="904"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黑体" w:hAnsi="黑体" w:eastAsia="黑体" w:cs="宋体"/>
                <w:b/>
                <w:bCs/>
                <w:color w:val="auto"/>
                <w:kern w:val="0"/>
                <w:sz w:val="30"/>
                <w:szCs w:val="30"/>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285" w:hRule="atLeast"/>
        </w:trPr>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514"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3588"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285"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rPr>
                <w:rFonts w:ascii="Courier New" w:hAnsi="Courier New" w:cs="Courier New"/>
                <w:color w:val="auto"/>
                <w:kern w:val="0"/>
                <w:sz w:val="18"/>
                <w:szCs w:val="18"/>
              </w:rPr>
            </w:pPr>
          </w:p>
        </w:tc>
      </w:tr>
      <w:tr>
        <w:tblPrEx>
          <w:tblCellMar>
            <w:top w:w="0" w:type="dxa"/>
            <w:left w:w="108" w:type="dxa"/>
            <w:bottom w:w="0" w:type="dxa"/>
            <w:right w:w="108" w:type="dxa"/>
          </w:tblCellMar>
        </w:tblPrEx>
        <w:trPr>
          <w:trHeight w:val="709"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权重</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得分</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694"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1.01</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1.01</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1.01</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100.00%</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360"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1.01</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1.01</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1.01</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87"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349"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761"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02"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指标值</w:t>
            </w:r>
          </w:p>
        </w:tc>
        <w:tc>
          <w:tcPr>
            <w:tcW w:w="3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056"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349"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169"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364" w:type="dxa"/>
            <w:tcBorders>
              <w:top w:val="nil"/>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nil"/>
              <w:left w:val="nil"/>
              <w:bottom w:val="single" w:color="000000" w:sz="4" w:space="0"/>
              <w:right w:val="single" w:color="000000" w:sz="4" w:space="0"/>
            </w:tcBorders>
            <w:shd w:val="clear" w:color="auto" w:fill="auto"/>
            <w:vAlign w:val="center"/>
          </w:tcPr>
          <w:p>
            <w:pPr>
              <w:jc w:val="center"/>
              <w:rPr>
                <w:color w:val="auto"/>
              </w:rPr>
            </w:pPr>
          </w:p>
        </w:tc>
        <w:tc>
          <w:tcPr>
            <w:tcW w:w="57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tcBorders>
              <w:top w:val="nil"/>
              <w:left w:val="single" w:color="000000" w:sz="4" w:space="0"/>
              <w:bottom w:val="single" w:color="000000" w:sz="4" w:space="0"/>
              <w:right w:val="single" w:color="000000" w:sz="4" w:space="0"/>
            </w:tcBorders>
            <w:vAlign w:val="center"/>
          </w:tcPr>
          <w:p>
            <w:pPr>
              <w:jc w:val="cente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54" w:hRule="atLeast"/>
        </w:trPr>
        <w:tc>
          <w:tcPr>
            <w:tcW w:w="6973"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100</w:t>
            </w:r>
          </w:p>
        </w:tc>
        <w:tc>
          <w:tcPr>
            <w:tcW w:w="460" w:type="dxa"/>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604"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574" w:hRule="atLeast"/>
        </w:trPr>
        <w:tc>
          <w:tcPr>
            <w:tcW w:w="4679" w:type="dxa"/>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634"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285" w:hRule="atLeast"/>
        </w:trPr>
        <w:tc>
          <w:tcPr>
            <w:tcW w:w="162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51082321Y000000029651</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工会经费与福利费</w:t>
            </w:r>
          </w:p>
        </w:tc>
      </w:tr>
      <w:tr>
        <w:tblPrEx>
          <w:tblCellMar>
            <w:top w:w="0" w:type="dxa"/>
            <w:left w:w="108" w:type="dxa"/>
            <w:bottom w:w="0" w:type="dxa"/>
            <w:right w:w="108" w:type="dxa"/>
          </w:tblCellMar>
        </w:tblPrEx>
        <w:trPr>
          <w:trHeight w:val="904"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黑体" w:hAnsi="黑体" w:eastAsia="黑体" w:cs="宋体"/>
                <w:b/>
                <w:bCs/>
                <w:color w:val="auto"/>
                <w:kern w:val="0"/>
                <w:sz w:val="30"/>
                <w:szCs w:val="30"/>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285" w:hRule="atLeast"/>
        </w:trPr>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514"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提高预算编制质量，严格执行预算，保障单位日常运转。</w:t>
            </w:r>
          </w:p>
        </w:tc>
        <w:tc>
          <w:tcPr>
            <w:tcW w:w="3588"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285"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rPr>
                <w:rFonts w:ascii="Courier New" w:hAnsi="Courier New" w:cs="Courier New"/>
                <w:color w:val="auto"/>
                <w:kern w:val="0"/>
                <w:sz w:val="18"/>
                <w:szCs w:val="18"/>
              </w:rPr>
            </w:pPr>
          </w:p>
        </w:tc>
      </w:tr>
      <w:tr>
        <w:tblPrEx>
          <w:tblCellMar>
            <w:top w:w="0" w:type="dxa"/>
            <w:left w:w="108" w:type="dxa"/>
            <w:bottom w:w="0" w:type="dxa"/>
            <w:right w:w="108" w:type="dxa"/>
          </w:tblCellMar>
        </w:tblPrEx>
        <w:trPr>
          <w:trHeight w:val="709"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权重</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得分</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694"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4.60</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2.35</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2.35</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99.85%</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360"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4.60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2.35</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2.35</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99.85%</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87"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349"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761"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02"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指标值</w:t>
            </w:r>
          </w:p>
        </w:tc>
        <w:tc>
          <w:tcPr>
            <w:tcW w:w="3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产出指标</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数量指标</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科目调整次数</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w:t>
            </w:r>
          </w:p>
        </w:tc>
        <w:tc>
          <w:tcPr>
            <w:tcW w:w="11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5</w:t>
            </w:r>
          </w:p>
        </w:tc>
        <w:tc>
          <w:tcPr>
            <w:tcW w:w="3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次</w:t>
            </w:r>
          </w:p>
        </w:tc>
        <w:tc>
          <w:tcPr>
            <w:tcW w:w="761" w:type="dxa"/>
            <w:tcBorders>
              <w:top w:val="nil"/>
              <w:left w:val="nil"/>
              <w:bottom w:val="single" w:color="000000" w:sz="4" w:space="0"/>
              <w:right w:val="single" w:color="000000" w:sz="4" w:space="0"/>
            </w:tcBorders>
            <w:shd w:val="clear" w:color="auto" w:fill="auto"/>
            <w:vAlign w:val="center"/>
          </w:tcPr>
          <w:p>
            <w:pPr>
              <w:jc w:val="center"/>
              <w:rPr>
                <w:color w:val="auto"/>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tcBorders>
              <w:top w:val="nil"/>
              <w:left w:val="single" w:color="000000" w:sz="4" w:space="0"/>
              <w:bottom w:val="single" w:color="000000" w:sz="4" w:space="0"/>
              <w:right w:val="single" w:color="000000" w:sz="4" w:space="0"/>
            </w:tcBorders>
            <w:vAlign w:val="center"/>
          </w:tcPr>
          <w:p>
            <w:pPr>
              <w:jc w:val="cente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质量指标</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预算编制准确率（计算方法为：∣（执行数</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预算数）/预算数∣）</w:t>
            </w:r>
          </w:p>
        </w:tc>
        <w:tc>
          <w:tcPr>
            <w:tcW w:w="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1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w:t>
            </w:r>
          </w:p>
        </w:tc>
        <w:tc>
          <w:tcPr>
            <w:tcW w:w="3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761" w:type="dxa"/>
            <w:tcBorders>
              <w:top w:val="nil"/>
              <w:left w:val="nil"/>
              <w:bottom w:val="single" w:color="000000" w:sz="4" w:space="0"/>
              <w:right w:val="single" w:color="000000" w:sz="4" w:space="0"/>
            </w:tcBorders>
            <w:shd w:val="clear" w:color="auto" w:fill="auto"/>
            <w:vAlign w:val="center"/>
          </w:tcPr>
          <w:p>
            <w:pPr>
              <w:jc w:val="center"/>
              <w:rPr>
                <w:color w:val="auto"/>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效益指标</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经济效益指标</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“三公经费”控制率[计算方法为：（三公经费实际支出数/预算安排数]×100%）</w:t>
            </w:r>
          </w:p>
        </w:tc>
        <w:tc>
          <w:tcPr>
            <w:tcW w:w="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1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100</w:t>
            </w:r>
          </w:p>
        </w:tc>
        <w:tc>
          <w:tcPr>
            <w:tcW w:w="3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w:t>
            </w:r>
          </w:p>
        </w:tc>
        <w:tc>
          <w:tcPr>
            <w:tcW w:w="761" w:type="dxa"/>
            <w:tcBorders>
              <w:top w:val="nil"/>
              <w:left w:val="nil"/>
              <w:bottom w:val="single" w:color="000000" w:sz="4" w:space="0"/>
              <w:right w:val="single" w:color="000000" w:sz="4" w:space="0"/>
            </w:tcBorders>
            <w:shd w:val="clear" w:color="auto" w:fill="auto"/>
            <w:vAlign w:val="center"/>
          </w:tcPr>
          <w:p>
            <w:pPr>
              <w:jc w:val="center"/>
              <w:rPr>
                <w:color w:val="auto"/>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社会效益指标</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运转保障率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604" w:hRule="atLeast"/>
        </w:trPr>
        <w:tc>
          <w:tcPr>
            <w:tcW w:w="6973"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574"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634"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679"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90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黑体" w:hAnsi="黑体" w:eastAsia="黑体" w:cs="宋体"/>
                <w:b/>
                <w:bCs/>
                <w:color w:val="auto"/>
                <w:kern w:val="0"/>
                <w:sz w:val="30"/>
                <w:szCs w:val="30"/>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514" w:hRule="atLeast"/>
        </w:trPr>
        <w:tc>
          <w:tcPr>
            <w:tcW w:w="1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51082321Y000000056693-生均公用经费</w:t>
            </w:r>
          </w:p>
        </w:tc>
      </w:tr>
      <w:tr>
        <w:tblPrEx>
          <w:tblCellMar>
            <w:top w:w="0" w:type="dxa"/>
            <w:left w:w="108" w:type="dxa"/>
            <w:bottom w:w="0" w:type="dxa"/>
            <w:right w:w="108" w:type="dxa"/>
          </w:tblCellMar>
        </w:tblPrEx>
        <w:trPr>
          <w:trHeight w:val="285" w:hRule="atLeast"/>
        </w:trPr>
        <w:tc>
          <w:tcPr>
            <w:tcW w:w="162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709"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694"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保障单位日常运转，提高预算编制质量，严格执行预算</w:t>
            </w:r>
          </w:p>
        </w:tc>
        <w:tc>
          <w:tcPr>
            <w:tcW w:w="358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360"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87"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45.15</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47.79</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33.08</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69.22%</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45.15</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47.79</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33.08</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69.22%</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0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349"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2178" w:type="dxa"/>
            <w:gridSpan w:val="3"/>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761"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三级指标</w:t>
            </w:r>
          </w:p>
        </w:tc>
        <w:tc>
          <w:tcPr>
            <w:tcW w:w="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指标值</w:t>
            </w:r>
          </w:p>
        </w:tc>
        <w:tc>
          <w:tcPr>
            <w:tcW w:w="3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产出指标</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数量指标</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科目调整次数</w:t>
            </w:r>
          </w:p>
        </w:tc>
        <w:tc>
          <w:tcPr>
            <w:tcW w:w="5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1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36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次</w:t>
            </w:r>
          </w:p>
        </w:tc>
        <w:tc>
          <w:tcPr>
            <w:tcW w:w="761" w:type="dxa"/>
            <w:tcBorders>
              <w:top w:val="nil"/>
              <w:left w:val="nil"/>
              <w:bottom w:val="single" w:color="000000" w:sz="4" w:space="0"/>
              <w:right w:val="single" w:color="000000" w:sz="4" w:space="0"/>
            </w:tcBorders>
            <w:shd w:val="clear" w:color="auto" w:fill="auto"/>
            <w:vAlign w:val="center"/>
          </w:tcPr>
          <w:p>
            <w:pPr>
              <w:jc w:val="center"/>
              <w:rPr>
                <w:color w:val="auto"/>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22.5</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质量指标</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预算编制准确率（计算方法为：∣（执行数</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预算数）/预算数∣）</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5</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22.5</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60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效益指标</w:t>
            </w:r>
          </w:p>
        </w:tc>
        <w:tc>
          <w:tcPr>
            <w:tcW w:w="105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经济效益指标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运转保障率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22.5</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57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05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“三公经费”控制率[计算方法为：（三公经费实际支出数/预算安排数]×100%）</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22.5</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634" w:hRule="atLeast"/>
        </w:trPr>
        <w:tc>
          <w:tcPr>
            <w:tcW w:w="6973"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285" w:hRule="atLeast"/>
        </w:trPr>
        <w:tc>
          <w:tcPr>
            <w:tcW w:w="4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90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auto"/>
                <w:kern w:val="0"/>
                <w:sz w:val="30"/>
                <w:szCs w:val="30"/>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6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51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nil"/>
              <w:left w:val="nil"/>
              <w:bottom w:val="nil"/>
              <w:right w:val="nil"/>
            </w:tcBorders>
            <w:shd w:val="clear" w:color="auto" w:fill="auto"/>
            <w:vAlign w:val="center"/>
          </w:tcPr>
          <w:p>
            <w:pPr>
              <w:rPr>
                <w:rFonts w:ascii="Courier New" w:hAnsi="Courier New" w:cs="Courier New"/>
                <w:color w:val="auto"/>
                <w:kern w:val="0"/>
                <w:sz w:val="18"/>
                <w:szCs w:val="18"/>
              </w:rPr>
            </w:pPr>
          </w:p>
        </w:tc>
        <w:tc>
          <w:tcPr>
            <w:tcW w:w="364" w:type="dxa"/>
            <w:tcBorders>
              <w:top w:val="nil"/>
              <w:left w:val="nil"/>
              <w:bottom w:val="nil"/>
              <w:right w:val="nil"/>
            </w:tcBorders>
            <w:shd w:val="clear" w:color="auto" w:fill="auto"/>
            <w:vAlign w:val="center"/>
          </w:tcPr>
          <w:p>
            <w:pPr>
              <w:rPr>
                <w:color w:val="auto"/>
              </w:rPr>
            </w:pPr>
          </w:p>
        </w:tc>
        <w:tc>
          <w:tcPr>
            <w:tcW w:w="761" w:type="dxa"/>
            <w:tcBorders>
              <w:top w:val="nil"/>
              <w:left w:val="nil"/>
              <w:bottom w:val="nil"/>
              <w:right w:val="nil"/>
            </w:tcBorders>
            <w:shd w:val="clear" w:color="auto" w:fill="auto"/>
            <w:vAlign w:val="center"/>
          </w:tcPr>
          <w:p>
            <w:pPr>
              <w:rPr>
                <w:color w:val="auto"/>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9800" w:type="dxa"/>
            <w:gridSpan w:val="11"/>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709"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51082321Y000000094349</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校园安全保障经费</w:t>
            </w:r>
          </w:p>
        </w:tc>
      </w:tr>
      <w:tr>
        <w:tblPrEx>
          <w:tblCellMar>
            <w:top w:w="0" w:type="dxa"/>
            <w:left w:w="108" w:type="dxa"/>
            <w:bottom w:w="0" w:type="dxa"/>
            <w:right w:w="108" w:type="dxa"/>
          </w:tblCellMar>
        </w:tblPrEx>
        <w:trPr>
          <w:trHeight w:val="694"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360"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387"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47"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40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2.70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5.40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2.70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2.70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5.40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2.70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50.00%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349"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2178" w:type="dxa"/>
            <w:gridSpan w:val="3"/>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761"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指标值</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60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574" w:hRule="atLeast"/>
        </w:trPr>
        <w:tc>
          <w:tcPr>
            <w:tcW w:w="6973"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634"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285" w:hRule="atLeast"/>
        </w:trPr>
        <w:tc>
          <w:tcPr>
            <w:tcW w:w="4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904" w:hRule="atLeast"/>
        </w:trPr>
        <w:tc>
          <w:tcPr>
            <w:tcW w:w="46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黑体" w:hAnsi="黑体" w:eastAsia="黑体" w:cs="宋体"/>
                <w:b/>
                <w:bCs/>
                <w:color w:val="auto"/>
                <w:kern w:val="0"/>
                <w:sz w:val="30"/>
                <w:szCs w:val="30"/>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51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285" w:hRule="atLeast"/>
        </w:trPr>
        <w:tc>
          <w:tcPr>
            <w:tcW w:w="162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51082321Y000000096540</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食堂人员补助</w:t>
            </w:r>
          </w:p>
        </w:tc>
      </w:tr>
      <w:tr>
        <w:tblPrEx>
          <w:tblCellMar>
            <w:top w:w="0" w:type="dxa"/>
            <w:left w:w="108" w:type="dxa"/>
            <w:bottom w:w="0" w:type="dxa"/>
            <w:right w:w="108" w:type="dxa"/>
          </w:tblCellMar>
        </w:tblPrEx>
        <w:trPr>
          <w:trHeight w:val="709"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694"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360"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387"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32"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4.00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0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4.00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349"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2178" w:type="dxa"/>
            <w:gridSpan w:val="3"/>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761"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指标值</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60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574" w:hRule="atLeast"/>
        </w:trPr>
        <w:tc>
          <w:tcPr>
            <w:tcW w:w="6973"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634"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285" w:hRule="atLeast"/>
        </w:trPr>
        <w:tc>
          <w:tcPr>
            <w:tcW w:w="4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904" w:hRule="atLeast"/>
        </w:trPr>
        <w:tc>
          <w:tcPr>
            <w:tcW w:w="46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黑体" w:hAnsi="黑体" w:eastAsia="黑体" w:cs="宋体"/>
                <w:b/>
                <w:bCs/>
                <w:color w:val="auto"/>
                <w:kern w:val="0"/>
                <w:sz w:val="30"/>
                <w:szCs w:val="30"/>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514" w:hRule="atLeast"/>
        </w:trPr>
        <w:tc>
          <w:tcPr>
            <w:tcW w:w="980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285" w:hRule="atLeast"/>
        </w:trPr>
        <w:tc>
          <w:tcPr>
            <w:tcW w:w="162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51082322R000000309796</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在职工资福利支出（事业）</w:t>
            </w:r>
          </w:p>
        </w:tc>
      </w:tr>
      <w:tr>
        <w:tblPrEx>
          <w:tblCellMar>
            <w:top w:w="0" w:type="dxa"/>
            <w:left w:w="108" w:type="dxa"/>
            <w:bottom w:w="0" w:type="dxa"/>
            <w:right w:w="108" w:type="dxa"/>
          </w:tblCellMar>
        </w:tblPrEx>
        <w:trPr>
          <w:trHeight w:val="709"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694"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360"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严格执行相关政策，保障工资及时、足额发放或社保及时、足额缴纳，预算编制科学合理，减少结余资金。</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387"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32"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339.68</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365.25</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362.43</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99.23%</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0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339.68</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365.25</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362.43</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99.23%</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349"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2178" w:type="dxa"/>
            <w:gridSpan w:val="3"/>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761" w:type="dxa"/>
            <w:tcBorders>
              <w:top w:val="nil"/>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指标值</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60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产出指标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数量指标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发放（缴纳）覆盖率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60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57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效益指标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社会效益指标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足额保障率（参保率）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30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634" w:hRule="atLeast"/>
        </w:trPr>
        <w:tc>
          <w:tcPr>
            <w:tcW w:w="6973"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285" w:hRule="atLeast"/>
        </w:trPr>
        <w:tc>
          <w:tcPr>
            <w:tcW w:w="4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90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auto"/>
                <w:kern w:val="0"/>
                <w:sz w:val="30"/>
                <w:szCs w:val="30"/>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6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51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nil"/>
              <w:left w:val="nil"/>
              <w:bottom w:val="nil"/>
              <w:right w:val="nil"/>
            </w:tcBorders>
            <w:shd w:val="clear" w:color="auto" w:fill="auto"/>
            <w:vAlign w:val="center"/>
          </w:tcPr>
          <w:p>
            <w:pPr>
              <w:rPr>
                <w:rFonts w:ascii="Courier New" w:hAnsi="Courier New" w:cs="Courier New"/>
                <w:color w:val="auto"/>
                <w:kern w:val="0"/>
                <w:sz w:val="18"/>
                <w:szCs w:val="18"/>
              </w:rPr>
            </w:pPr>
          </w:p>
        </w:tc>
        <w:tc>
          <w:tcPr>
            <w:tcW w:w="364" w:type="dxa"/>
            <w:tcBorders>
              <w:top w:val="nil"/>
              <w:left w:val="nil"/>
              <w:bottom w:val="nil"/>
              <w:right w:val="nil"/>
            </w:tcBorders>
            <w:shd w:val="clear" w:color="auto" w:fill="auto"/>
            <w:vAlign w:val="center"/>
          </w:tcPr>
          <w:p>
            <w:pPr>
              <w:rPr>
                <w:color w:val="auto"/>
              </w:rPr>
            </w:pPr>
          </w:p>
        </w:tc>
        <w:tc>
          <w:tcPr>
            <w:tcW w:w="761" w:type="dxa"/>
            <w:tcBorders>
              <w:top w:val="nil"/>
              <w:left w:val="nil"/>
              <w:bottom w:val="nil"/>
              <w:right w:val="nil"/>
            </w:tcBorders>
            <w:shd w:val="clear" w:color="auto" w:fill="auto"/>
            <w:vAlign w:val="center"/>
          </w:tcPr>
          <w:p>
            <w:pPr>
              <w:rPr>
                <w:color w:val="auto"/>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9800" w:type="dxa"/>
            <w:gridSpan w:val="11"/>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709"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51082322R000000400563</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其他补助支出</w:t>
            </w:r>
          </w:p>
        </w:tc>
      </w:tr>
      <w:tr>
        <w:tblPrEx>
          <w:tblCellMar>
            <w:top w:w="0" w:type="dxa"/>
            <w:left w:w="108" w:type="dxa"/>
            <w:bottom w:w="0" w:type="dxa"/>
            <w:right w:w="108" w:type="dxa"/>
          </w:tblCellMar>
        </w:tblPrEx>
        <w:trPr>
          <w:trHeight w:val="694"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360"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387"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严格执行相关政策，保障工资及时、足额发放或社保及时、足额缴纳，预算编制科学合理，减少结余资金。</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47"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402"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5.57</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7.27</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5.36</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73.71%</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5.57</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7.27</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5.36</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73.71%</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single" w:color="000000" w:sz="4" w:space="0"/>
              <w:bottom w:val="single" w:color="000000" w:sz="4" w:space="0"/>
              <w:right w:val="single" w:color="000000" w:sz="4" w:space="0"/>
            </w:tcBorders>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2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604"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指标值</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权重</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得分</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57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产出指标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数量指标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发放（缴纳）覆盖率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60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63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效益指标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社会效益指标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足额保障率（参保率）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30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69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4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90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auto"/>
                <w:kern w:val="0"/>
                <w:sz w:val="30"/>
                <w:szCs w:val="30"/>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514" w:hRule="atLeast"/>
        </w:trPr>
        <w:tc>
          <w:tcPr>
            <w:tcW w:w="46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285"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rPr>
                <w:rFonts w:ascii="Courier New" w:hAnsi="Courier New" w:cs="Courier New"/>
                <w:color w:val="auto"/>
                <w:kern w:val="0"/>
                <w:sz w:val="18"/>
                <w:szCs w:val="18"/>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709" w:hRule="atLeast"/>
        </w:trPr>
        <w:tc>
          <w:tcPr>
            <w:tcW w:w="9800" w:type="dxa"/>
            <w:gridSpan w:val="11"/>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694"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51082322T000005304589</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学生营养改善计划</w:t>
            </w:r>
          </w:p>
        </w:tc>
      </w:tr>
      <w:tr>
        <w:tblPrEx>
          <w:tblCellMar>
            <w:top w:w="0" w:type="dxa"/>
            <w:left w:w="108" w:type="dxa"/>
            <w:bottom w:w="0" w:type="dxa"/>
            <w:right w:w="108" w:type="dxa"/>
          </w:tblCellMar>
        </w:tblPrEx>
        <w:trPr>
          <w:trHeight w:val="360" w:hRule="atLeast"/>
        </w:trPr>
        <w:tc>
          <w:tcPr>
            <w:tcW w:w="162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387"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02"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12.92</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47.81</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39.25</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82.09%</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12.92</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47.81</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39.25</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82.09%</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60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574"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指标值</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权重</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得分</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63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69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4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90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auto"/>
                <w:kern w:val="0"/>
                <w:sz w:val="30"/>
                <w:szCs w:val="30"/>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514" w:hRule="atLeast"/>
        </w:trPr>
        <w:tc>
          <w:tcPr>
            <w:tcW w:w="46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285"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rPr>
                <w:rFonts w:ascii="Courier New" w:hAnsi="Courier New" w:cs="Courier New"/>
                <w:color w:val="auto"/>
                <w:kern w:val="0"/>
                <w:sz w:val="18"/>
                <w:szCs w:val="18"/>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709" w:hRule="atLeast"/>
        </w:trPr>
        <w:tc>
          <w:tcPr>
            <w:tcW w:w="9800" w:type="dxa"/>
            <w:gridSpan w:val="11"/>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694"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51082322T000005305572</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农村义务教育综合奖补</w:t>
            </w:r>
          </w:p>
        </w:tc>
      </w:tr>
      <w:tr>
        <w:tblPrEx>
          <w:tblCellMar>
            <w:top w:w="0" w:type="dxa"/>
            <w:left w:w="108" w:type="dxa"/>
            <w:bottom w:w="0" w:type="dxa"/>
            <w:right w:w="108" w:type="dxa"/>
          </w:tblCellMar>
        </w:tblPrEx>
        <w:trPr>
          <w:trHeight w:val="360" w:hRule="atLeast"/>
        </w:trPr>
        <w:tc>
          <w:tcPr>
            <w:tcW w:w="162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387"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02"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4.00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4.00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60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574"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指标值</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权重</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得分</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63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69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4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90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auto"/>
                <w:kern w:val="0"/>
                <w:sz w:val="30"/>
                <w:szCs w:val="30"/>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514" w:hRule="atLeast"/>
        </w:trPr>
        <w:tc>
          <w:tcPr>
            <w:tcW w:w="46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285"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rPr>
                <w:rFonts w:ascii="Courier New" w:hAnsi="Courier New" w:cs="Courier New"/>
                <w:color w:val="auto"/>
                <w:kern w:val="0"/>
                <w:sz w:val="18"/>
                <w:szCs w:val="18"/>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709" w:hRule="atLeast"/>
        </w:trPr>
        <w:tc>
          <w:tcPr>
            <w:tcW w:w="9800" w:type="dxa"/>
            <w:gridSpan w:val="11"/>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694"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51082322T000005306045</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免作业本费</w:t>
            </w:r>
          </w:p>
        </w:tc>
      </w:tr>
      <w:tr>
        <w:tblPrEx>
          <w:tblCellMar>
            <w:top w:w="0" w:type="dxa"/>
            <w:left w:w="108" w:type="dxa"/>
            <w:bottom w:w="0" w:type="dxa"/>
            <w:right w:w="108" w:type="dxa"/>
          </w:tblCellMar>
        </w:tblPrEx>
        <w:trPr>
          <w:trHeight w:val="360" w:hRule="atLeast"/>
        </w:trPr>
        <w:tc>
          <w:tcPr>
            <w:tcW w:w="162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387"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02"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1.49</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0.74</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49.32%</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1.49</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0.74</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49.32%</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60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574"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指标值</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权重</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得分</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63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69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4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90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auto"/>
                <w:kern w:val="0"/>
                <w:sz w:val="30"/>
                <w:szCs w:val="30"/>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514" w:hRule="atLeast"/>
        </w:trPr>
        <w:tc>
          <w:tcPr>
            <w:tcW w:w="46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285"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rPr>
                <w:rFonts w:ascii="Courier New" w:hAnsi="Courier New" w:cs="Courier New"/>
                <w:color w:val="auto"/>
                <w:kern w:val="0"/>
                <w:sz w:val="18"/>
                <w:szCs w:val="18"/>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709" w:hRule="atLeast"/>
        </w:trPr>
        <w:tc>
          <w:tcPr>
            <w:tcW w:w="9800" w:type="dxa"/>
            <w:gridSpan w:val="11"/>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694"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51082322T000005306788</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贫困寄宿生生活补助</w:t>
            </w:r>
          </w:p>
        </w:tc>
      </w:tr>
      <w:tr>
        <w:tblPrEx>
          <w:tblCellMar>
            <w:top w:w="0" w:type="dxa"/>
            <w:left w:w="108" w:type="dxa"/>
            <w:bottom w:w="0" w:type="dxa"/>
            <w:right w:w="108" w:type="dxa"/>
          </w:tblCellMar>
        </w:tblPrEx>
        <w:trPr>
          <w:trHeight w:val="360" w:hRule="atLeast"/>
        </w:trPr>
        <w:tc>
          <w:tcPr>
            <w:tcW w:w="162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387"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02"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19.94</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19.94</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100.00%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19.94</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19.94</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60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574"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指标值</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权重</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得分</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63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微软雅黑" w:hAnsi="微软雅黑" w:eastAsia="微软雅黑" w:cs="宋体"/>
                <w:i/>
                <w:iCs/>
                <w:color w:val="auto"/>
                <w:kern w:val="0"/>
                <w:sz w:val="16"/>
                <w:szCs w:val="16"/>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69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4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90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黑体" w:eastAsia="黑体" w:cs="宋体"/>
                <w:b/>
                <w:bCs/>
                <w:color w:val="auto"/>
                <w:kern w:val="0"/>
                <w:sz w:val="30"/>
                <w:szCs w:val="30"/>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color w:val="auto"/>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285"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514" w:hRule="atLeast"/>
        </w:trPr>
        <w:tc>
          <w:tcPr>
            <w:tcW w:w="46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285"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056"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169" w:type="dxa"/>
            <w:tcBorders>
              <w:top w:val="single" w:color="000000" w:sz="4" w:space="0"/>
              <w:left w:val="nil"/>
              <w:bottom w:val="single" w:color="000000" w:sz="4" w:space="0"/>
              <w:right w:val="single" w:color="000000" w:sz="4" w:space="0"/>
            </w:tcBorders>
            <w:shd w:val="clear" w:color="auto" w:fill="auto"/>
            <w:vAlign w:val="center"/>
          </w:tcPr>
          <w:p>
            <w:pPr>
              <w:rPr>
                <w:rFonts w:ascii="Courier New" w:hAnsi="Courier New" w:cs="Courier New"/>
                <w:color w:val="auto"/>
                <w:kern w:val="0"/>
                <w:sz w:val="18"/>
                <w:szCs w:val="18"/>
              </w:rPr>
            </w:pPr>
          </w:p>
        </w:tc>
        <w:tc>
          <w:tcPr>
            <w:tcW w:w="364"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709" w:hRule="atLeast"/>
        </w:trPr>
        <w:tc>
          <w:tcPr>
            <w:tcW w:w="9800" w:type="dxa"/>
            <w:gridSpan w:val="11"/>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694"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51082322T000007030142-“校对校”结对</w:t>
            </w:r>
          </w:p>
        </w:tc>
      </w:tr>
      <w:tr>
        <w:tblPrEx>
          <w:tblCellMar>
            <w:top w:w="0" w:type="dxa"/>
            <w:left w:w="108" w:type="dxa"/>
            <w:bottom w:w="0" w:type="dxa"/>
            <w:right w:w="108" w:type="dxa"/>
          </w:tblCellMar>
        </w:tblPrEx>
        <w:trPr>
          <w:trHeight w:val="360" w:hRule="atLeast"/>
        </w:trPr>
        <w:tc>
          <w:tcPr>
            <w:tcW w:w="162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387"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432"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借助帮扶学校优质办学资源，充分发挥其人才优势、管理优势，通过实地考察、送教下乡、师资培训、联合教研、资源共享等方式，为学校教育注入生机和活力，提高学校教育教学整体水平和管理服务能力。</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447"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Courier New" w:hAnsi="Courier New" w:cs="Courier New"/>
                <w:i/>
                <w:iCs/>
                <w:color w:val="auto"/>
                <w:kern w:val="0"/>
                <w:sz w:val="18"/>
                <w:szCs w:val="18"/>
              </w:rPr>
            </w:pPr>
          </w:p>
        </w:tc>
      </w:tr>
      <w:tr>
        <w:tblPrEx>
          <w:tblCellMar>
            <w:top w:w="0" w:type="dxa"/>
            <w:left w:w="108" w:type="dxa"/>
            <w:bottom w:w="0" w:type="dxa"/>
            <w:right w:w="108" w:type="dxa"/>
          </w:tblCellMar>
        </w:tblPrEx>
        <w:trPr>
          <w:trHeight w:val="402"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总额</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2.00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0.00</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微软雅黑" w:hAnsi="微软雅黑" w:eastAsia="微软雅黑" w:cs="宋体"/>
                <w:i/>
                <w:iCs/>
                <w:color w:val="auto"/>
                <w:kern w:val="0"/>
                <w:sz w:val="16"/>
                <w:szCs w:val="16"/>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60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574" w:hRule="atLeast"/>
        </w:trPr>
        <w:tc>
          <w:tcPr>
            <w:tcW w:w="40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三级指标</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指标值</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权重</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得分</w:t>
            </w:r>
          </w:p>
        </w:tc>
        <w:tc>
          <w:tcPr>
            <w:tcW w:w="15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63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产出指标</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数量指标</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培训教师人次</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70</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人次</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30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ourier New" w:hAnsi="Courier New" w:cs="Courier New"/>
                <w:color w:val="auto"/>
                <w:kern w:val="0"/>
                <w:sz w:val="18"/>
                <w:szCs w:val="18"/>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质量指标</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提升教师教育教学水平</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定性</w:t>
            </w:r>
          </w:p>
        </w:tc>
        <w:tc>
          <w:tcPr>
            <w:tcW w:w="11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color w:val="auto"/>
                <w:kern w:val="0"/>
                <w:sz w:val="18"/>
                <w:szCs w:val="18"/>
              </w:rPr>
            </w:pPr>
            <w:r>
              <w:rPr>
                <w:rFonts w:ascii="宋体" w:hAnsi="宋体" w:eastAsia="宋体" w:cs="宋体"/>
                <w:i w:val="0"/>
                <w:iCs w:val="0"/>
                <w:color w:val="auto"/>
                <w:kern w:val="0"/>
                <w:sz w:val="18"/>
                <w:szCs w:val="18"/>
                <w:u w:val="none"/>
                <w:lang w:val="en-US" w:eastAsia="zh-CN" w:bidi="ar"/>
              </w:rPr>
              <w:t>优良中低差</w:t>
            </w:r>
          </w:p>
        </w:tc>
        <w:tc>
          <w:tcPr>
            <w:tcW w:w="364"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407" w:type="dxa"/>
            <w:vMerge w:val="continue"/>
            <w:tcBorders>
              <w:top w:val="nil"/>
              <w:left w:val="nil"/>
              <w:bottom w:val="nil"/>
              <w:right w:val="nil"/>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效益指标</w:t>
            </w:r>
          </w:p>
        </w:tc>
        <w:tc>
          <w:tcPr>
            <w:tcW w:w="105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社会效益指标</w:t>
            </w:r>
          </w:p>
        </w:tc>
        <w:tc>
          <w:tcPr>
            <w:tcW w:w="134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促进地区教育发展</w:t>
            </w:r>
          </w:p>
        </w:tc>
        <w:tc>
          <w:tcPr>
            <w:tcW w:w="52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定性</w:t>
            </w:r>
          </w:p>
        </w:tc>
        <w:tc>
          <w:tcPr>
            <w:tcW w:w="116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优良中低差</w:t>
            </w:r>
          </w:p>
        </w:tc>
        <w:tc>
          <w:tcPr>
            <w:tcW w:w="364" w:type="dxa"/>
            <w:tcBorders>
              <w:top w:val="nil"/>
              <w:left w:val="nil"/>
              <w:bottom w:val="nil"/>
              <w:right w:val="nil"/>
            </w:tcBorders>
            <w:shd w:val="clear" w:color="auto" w:fill="auto"/>
            <w:vAlign w:val="center"/>
          </w:tcPr>
          <w:p>
            <w:pPr>
              <w:jc w:val="center"/>
              <w:rPr>
                <w:rFonts w:ascii="宋体" w:hAnsi="宋体" w:cs="宋体"/>
                <w:color w:val="auto"/>
                <w:kern w:val="0"/>
                <w:sz w:val="18"/>
                <w:szCs w:val="18"/>
              </w:rPr>
            </w:pPr>
          </w:p>
        </w:tc>
        <w:tc>
          <w:tcPr>
            <w:tcW w:w="761" w:type="dxa"/>
            <w:tcBorders>
              <w:top w:val="nil"/>
              <w:left w:val="nil"/>
              <w:bottom w:val="nil"/>
              <w:right w:val="nil"/>
            </w:tcBorders>
            <w:shd w:val="clear" w:color="auto" w:fill="auto"/>
            <w:vAlign w:val="center"/>
          </w:tcPr>
          <w:p>
            <w:pPr>
              <w:jc w:val="center"/>
              <w:rPr>
                <w:color w:val="auto"/>
              </w:rPr>
            </w:pPr>
          </w:p>
        </w:tc>
        <w:tc>
          <w:tcPr>
            <w:tcW w:w="57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30</w:t>
            </w:r>
          </w:p>
        </w:tc>
        <w:tc>
          <w:tcPr>
            <w:tcW w:w="460" w:type="dxa"/>
            <w:tcBorders>
              <w:top w:val="nil"/>
              <w:left w:val="nil"/>
              <w:bottom w:val="nil"/>
              <w:right w:val="nil"/>
            </w:tcBorders>
            <w:shd w:val="clear" w:color="auto" w:fill="auto"/>
            <w:vAlign w:val="center"/>
          </w:tcPr>
          <w:p>
            <w:pPr>
              <w:jc w:val="center"/>
              <w:rPr>
                <w:rFonts w:ascii="宋体" w:hAnsi="宋体" w:cs="宋体"/>
                <w:color w:val="auto"/>
                <w:kern w:val="0"/>
                <w:sz w:val="18"/>
                <w:szCs w:val="18"/>
              </w:rPr>
            </w:pPr>
          </w:p>
        </w:tc>
        <w:tc>
          <w:tcPr>
            <w:tcW w:w="1560" w:type="dxa"/>
            <w:tcBorders>
              <w:top w:val="nil"/>
              <w:left w:val="nil"/>
              <w:bottom w:val="nil"/>
              <w:right w:val="nil"/>
            </w:tcBorders>
            <w:shd w:val="clear" w:color="auto" w:fill="auto"/>
            <w:vAlign w:val="center"/>
          </w:tcPr>
          <w:p>
            <w:pPr>
              <w:jc w:val="center"/>
              <w:rPr>
                <w:rFonts w:ascii="宋体" w:hAnsi="宋体" w:cs="宋体"/>
                <w:color w:val="auto"/>
                <w:kern w:val="0"/>
                <w:sz w:val="18"/>
                <w:szCs w:val="18"/>
              </w:rPr>
            </w:pPr>
          </w:p>
        </w:tc>
      </w:tr>
      <w:tr>
        <w:tblPrEx>
          <w:tblCellMar>
            <w:top w:w="0" w:type="dxa"/>
            <w:left w:w="108" w:type="dxa"/>
            <w:bottom w:w="0" w:type="dxa"/>
            <w:right w:w="108" w:type="dxa"/>
          </w:tblCellMar>
        </w:tblPrEx>
        <w:trPr>
          <w:trHeight w:val="904"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黑体" w:eastAsia="黑体" w:cs="宋体"/>
                <w:b/>
                <w:bCs/>
                <w:color w:val="auto"/>
                <w:kern w:val="0"/>
                <w:sz w:val="30"/>
                <w:szCs w:val="30"/>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满意度指标</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满意度指标</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家长满意度</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95</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w:t>
            </w:r>
          </w:p>
        </w:tc>
        <w:tc>
          <w:tcPr>
            <w:tcW w:w="5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69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合计</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100</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c>
          <w:tcPr>
            <w:tcW w:w="1560" w:type="dxa"/>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514" w:hRule="atLeast"/>
        </w:trPr>
        <w:tc>
          <w:tcPr>
            <w:tcW w:w="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评价结论</w:t>
            </w:r>
          </w:p>
        </w:tc>
        <w:tc>
          <w:tcPr>
            <w:tcW w:w="93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结合自评情况，说明项目自评总分，说明项目实施取得的成效或成果。（200字以内）</w:t>
            </w:r>
          </w:p>
        </w:tc>
      </w:tr>
      <w:tr>
        <w:tblPrEx>
          <w:tblCellMar>
            <w:top w:w="0" w:type="dxa"/>
            <w:left w:w="108" w:type="dxa"/>
            <w:bottom w:w="0" w:type="dxa"/>
            <w:right w:w="108" w:type="dxa"/>
          </w:tblCellMar>
        </w:tblPrEx>
        <w:trPr>
          <w:trHeight w:val="285" w:hRule="atLeast"/>
        </w:trPr>
        <w:tc>
          <w:tcPr>
            <w:tcW w:w="40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存在问题</w:t>
            </w:r>
          </w:p>
        </w:tc>
        <w:tc>
          <w:tcPr>
            <w:tcW w:w="9393" w:type="dxa"/>
            <w:gridSpan w:val="10"/>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结合自评情况，分析存在的问题及原因。（200字以内）</w:t>
            </w:r>
          </w:p>
        </w:tc>
      </w:tr>
      <w:tr>
        <w:tblPrEx>
          <w:tblCellMar>
            <w:top w:w="0" w:type="dxa"/>
            <w:left w:w="108" w:type="dxa"/>
            <w:bottom w:w="0" w:type="dxa"/>
            <w:right w:w="108" w:type="dxa"/>
          </w:tblCellMar>
        </w:tblPrEx>
        <w:trPr>
          <w:trHeight w:val="709" w:hRule="atLeast"/>
        </w:trPr>
        <w:tc>
          <w:tcPr>
            <w:tcW w:w="407"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改进措施</w:t>
            </w:r>
          </w:p>
        </w:tc>
        <w:tc>
          <w:tcPr>
            <w:tcW w:w="9393" w:type="dxa"/>
            <w:gridSpan w:val="10"/>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ourier New" w:hAnsi="Courier New" w:cs="Courier New"/>
                <w:color w:val="auto"/>
                <w:kern w:val="0"/>
                <w:sz w:val="18"/>
                <w:szCs w:val="18"/>
              </w:rPr>
            </w:pPr>
            <w:r>
              <w:rPr>
                <w:rFonts w:hint="eastAsia" w:ascii="微软雅黑" w:hAnsi="微软雅黑" w:eastAsia="微软雅黑" w:cs="微软雅黑"/>
                <w:i/>
                <w:iCs/>
                <w:color w:val="auto"/>
                <w:kern w:val="0"/>
                <w:sz w:val="16"/>
                <w:szCs w:val="16"/>
                <w:u w:val="none"/>
                <w:lang w:val="en-US" w:eastAsia="zh-CN" w:bidi="ar"/>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694" w:hRule="atLeast"/>
        </w:trPr>
        <w:tc>
          <w:tcPr>
            <w:tcW w:w="4679" w:type="dxa"/>
            <w:gridSpan w:val="5"/>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项目负责人：</w:t>
            </w:r>
          </w:p>
        </w:tc>
        <w:tc>
          <w:tcPr>
            <w:tcW w:w="5121"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财务负责人：</w:t>
            </w:r>
          </w:p>
        </w:tc>
      </w:tr>
      <w:tr>
        <w:tblPrEx>
          <w:tblCellMar>
            <w:top w:w="0" w:type="dxa"/>
            <w:left w:w="108" w:type="dxa"/>
            <w:bottom w:w="0" w:type="dxa"/>
            <w:right w:w="108" w:type="dxa"/>
          </w:tblCellMar>
        </w:tblPrEx>
        <w:trPr>
          <w:trHeight w:val="360" w:hRule="atLeast"/>
        </w:trPr>
        <w:tc>
          <w:tcPr>
            <w:tcW w:w="4034"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20"/>
                <w:szCs w:val="20"/>
                <w:u w:val="none"/>
                <w:lang w:val="en-US" w:eastAsia="zh-CN" w:bidi="ar"/>
              </w:rPr>
              <w:t>报表编号：510000_0013zp</w:t>
            </w:r>
          </w:p>
        </w:tc>
        <w:tc>
          <w:tcPr>
            <w:tcW w:w="645" w:type="dxa"/>
            <w:tcBorders>
              <w:top w:val="single" w:color="000000" w:sz="4" w:space="0"/>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2294" w:type="dxa"/>
            <w:gridSpan w:val="3"/>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576" w:type="dxa"/>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60" w:type="dxa"/>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560" w:type="dxa"/>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87" w:hRule="atLeast"/>
        </w:trPr>
        <w:tc>
          <w:tcPr>
            <w:tcW w:w="9800" w:type="dxa"/>
            <w:gridSpan w:val="11"/>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hint="eastAsia" w:ascii="黑体" w:hAnsi="宋体" w:eastAsia="黑体" w:cs="黑体"/>
                <w:b/>
                <w:bCs/>
                <w:i w:val="0"/>
                <w:iCs w:val="0"/>
                <w:color w:val="auto"/>
                <w:kern w:val="0"/>
                <w:sz w:val="30"/>
                <w:szCs w:val="30"/>
                <w:u w:val="none"/>
                <w:lang w:val="en-US" w:eastAsia="zh-CN" w:bidi="ar"/>
              </w:rPr>
              <w:t>部门预算项目支出绩效自评表（2022年度）</w:t>
            </w:r>
          </w:p>
        </w:tc>
      </w:tr>
      <w:tr>
        <w:tblPrEx>
          <w:tblCellMar>
            <w:top w:w="0" w:type="dxa"/>
            <w:left w:w="108" w:type="dxa"/>
            <w:bottom w:w="0" w:type="dxa"/>
            <w:right w:w="108" w:type="dxa"/>
          </w:tblCellMar>
        </w:tblPrEx>
        <w:trPr>
          <w:trHeight w:val="432"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项目名称</w:t>
            </w:r>
          </w:p>
        </w:tc>
        <w:tc>
          <w:tcPr>
            <w:tcW w:w="8171" w:type="dxa"/>
            <w:gridSpan w:val="9"/>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51000021R000000019952</w:t>
            </w:r>
            <w:r>
              <w:rPr>
                <w:rFonts w:hint="eastAsia" w:ascii="宋体" w:hAnsi="宋体" w:cs="宋体"/>
                <w:i w:val="0"/>
                <w:iCs w:val="0"/>
                <w:color w:val="auto"/>
                <w:kern w:val="0"/>
                <w:sz w:val="18"/>
                <w:szCs w:val="18"/>
                <w:u w:val="none"/>
                <w:lang w:val="en-US" w:eastAsia="zh-CN" w:bidi="ar"/>
              </w:rPr>
              <w:t>－</w:t>
            </w:r>
            <w:r>
              <w:rPr>
                <w:rFonts w:ascii="宋体" w:hAnsi="宋体" w:eastAsia="宋体" w:cs="宋体"/>
                <w:i w:val="0"/>
                <w:iCs w:val="0"/>
                <w:color w:val="auto"/>
                <w:kern w:val="0"/>
                <w:sz w:val="18"/>
                <w:szCs w:val="18"/>
                <w:u w:val="none"/>
                <w:lang w:val="en-US" w:eastAsia="zh-CN" w:bidi="ar"/>
              </w:rPr>
              <w:t>其他人员支出</w:t>
            </w:r>
          </w:p>
        </w:tc>
      </w:tr>
      <w:tr>
        <w:tblPrEx>
          <w:tblCellMar>
            <w:top w:w="0" w:type="dxa"/>
            <w:left w:w="108" w:type="dxa"/>
            <w:bottom w:w="0" w:type="dxa"/>
            <w:right w:w="108" w:type="dxa"/>
          </w:tblCellMar>
        </w:tblPrEx>
        <w:trPr>
          <w:trHeight w:val="447" w:hRule="atLeast"/>
        </w:trPr>
        <w:tc>
          <w:tcPr>
            <w:tcW w:w="1629"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主管部门</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剑阁县教育局部门</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val="0"/>
                <w:iCs w:val="0"/>
                <w:color w:val="auto"/>
                <w:kern w:val="0"/>
                <w:sz w:val="18"/>
                <w:szCs w:val="18"/>
                <w:u w:val="none"/>
                <w:lang w:val="en-US" w:eastAsia="zh-CN" w:bidi="ar"/>
              </w:rPr>
              <w:t>实施单位 （盖章）</w:t>
            </w:r>
          </w:p>
        </w:tc>
        <w:tc>
          <w:tcPr>
            <w:tcW w:w="282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ascii="宋体" w:hAnsi="宋体" w:eastAsia="宋体" w:cs="宋体"/>
                <w:i w:val="0"/>
                <w:iCs w:val="0"/>
                <w:color w:val="auto"/>
                <w:kern w:val="0"/>
                <w:sz w:val="18"/>
                <w:szCs w:val="18"/>
                <w:u w:val="none"/>
                <w:lang w:val="en-US" w:eastAsia="zh-CN" w:bidi="ar"/>
              </w:rPr>
              <w:t>四川省剑阁县木马初级中学校</w:t>
            </w:r>
          </w:p>
        </w:tc>
      </w:tr>
      <w:tr>
        <w:tblPrEx>
          <w:tblCellMar>
            <w:top w:w="0" w:type="dxa"/>
            <w:left w:w="108" w:type="dxa"/>
            <w:bottom w:w="0" w:type="dxa"/>
            <w:right w:w="108" w:type="dxa"/>
          </w:tblCellMar>
        </w:tblPrEx>
        <w:trPr>
          <w:trHeight w:val="402"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项目基本情况</w:t>
            </w:r>
          </w:p>
        </w:tc>
        <w:tc>
          <w:tcPr>
            <w:tcW w:w="122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1.项目年度目标完成情况</w:t>
            </w: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项目年度目标</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年度目标完成情况</w:t>
            </w:r>
          </w:p>
        </w:tc>
      </w:tr>
      <w:tr>
        <w:tblPrEx>
          <w:tblCellMar>
            <w:top w:w="0" w:type="dxa"/>
            <w:left w:w="108" w:type="dxa"/>
            <w:bottom w:w="0" w:type="dxa"/>
            <w:right w:w="108" w:type="dxa"/>
          </w:tblCellMar>
        </w:tblPrEx>
        <w:trPr>
          <w:trHeight w:val="379" w:hRule="atLeast"/>
        </w:trPr>
        <w:tc>
          <w:tcPr>
            <w:tcW w:w="407" w:type="dxa"/>
            <w:vMerge w:val="continue"/>
            <w:tcBorders>
              <w:top w:val="nil"/>
              <w:left w:val="single" w:color="000000" w:sz="4" w:space="0"/>
              <w:bottom w:val="single" w:color="000000" w:sz="4" w:space="0"/>
              <w:right w:val="single" w:color="000000" w:sz="4" w:space="0"/>
            </w:tcBorders>
            <w:vAlign w:val="center"/>
          </w:tcPr>
          <w:p>
            <w:pPr>
              <w:rPr>
                <w:rFonts w:ascii="宋体" w:hAnsi="宋体" w:cs="宋体"/>
                <w:color w:val="auto"/>
                <w:kern w:val="0"/>
                <w:sz w:val="18"/>
                <w:szCs w:val="18"/>
              </w:rPr>
            </w:pPr>
          </w:p>
        </w:tc>
        <w:tc>
          <w:tcPr>
            <w:tcW w:w="1222" w:type="dxa"/>
            <w:vMerge w:val="continue"/>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4583"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严格执行相关政策，保障工资及时发放、足额发放，预算编制科学合理，减少结余资金</w:t>
            </w:r>
          </w:p>
        </w:tc>
        <w:tc>
          <w:tcPr>
            <w:tcW w:w="3588"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Courier New" w:hAnsi="Courier New" w:cs="Courier New"/>
                <w:i/>
                <w:iCs/>
                <w:color w:val="auto"/>
                <w:kern w:val="0"/>
                <w:sz w:val="18"/>
                <w:szCs w:val="18"/>
              </w:rPr>
            </w:pPr>
            <w:r>
              <w:rPr>
                <w:rFonts w:hint="eastAsia" w:ascii="黑体" w:hAnsi="黑体" w:eastAsia="黑体" w:cs="黑体"/>
                <w:i w:val="0"/>
                <w:iCs w:val="0"/>
                <w:color w:val="auto"/>
                <w:kern w:val="0"/>
                <w:sz w:val="18"/>
                <w:szCs w:val="18"/>
                <w:u w:val="none"/>
                <w:lang w:val="en-US" w:eastAsia="zh-CN" w:bidi="ar"/>
              </w:rPr>
              <w:t>对照年度目标，说明相关任务目标的完成情况（100字以内）</w:t>
            </w:r>
          </w:p>
        </w:tc>
      </w:tr>
      <w:tr>
        <w:tblPrEx>
          <w:tblCellMar>
            <w:top w:w="0" w:type="dxa"/>
            <w:left w:w="108" w:type="dxa"/>
            <w:bottom w:w="0" w:type="dxa"/>
            <w:right w:w="108" w:type="dxa"/>
          </w:tblCellMar>
        </w:tblPrEx>
        <w:trPr>
          <w:trHeight w:val="45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2.项目实施内容及过程概述</w:t>
            </w:r>
          </w:p>
        </w:tc>
        <w:tc>
          <w:tcPr>
            <w:tcW w:w="8171" w:type="dxa"/>
            <w:gridSpan w:val="9"/>
            <w:tcBorders>
              <w:top w:val="nil"/>
              <w:left w:val="nil"/>
              <w:bottom w:val="single" w:color="000000" w:sz="4" w:space="0"/>
              <w:right w:val="single" w:color="000000" w:sz="4" w:space="0"/>
            </w:tcBorders>
            <w:shd w:val="clear" w:color="auto" w:fill="auto"/>
            <w:vAlign w:val="center"/>
          </w:tcPr>
          <w:p>
            <w:pPr>
              <w:rPr>
                <w:rFonts w:ascii="宋体" w:hAnsi="宋体" w:cs="宋体"/>
                <w:color w:val="auto"/>
                <w:kern w:val="0"/>
                <w:sz w:val="18"/>
                <w:szCs w:val="18"/>
              </w:rPr>
            </w:pPr>
          </w:p>
        </w:tc>
      </w:tr>
      <w:tr>
        <w:tblPrEx>
          <w:tblCellMar>
            <w:top w:w="0" w:type="dxa"/>
            <w:left w:w="108" w:type="dxa"/>
            <w:bottom w:w="0" w:type="dxa"/>
            <w:right w:w="108" w:type="dxa"/>
          </w:tblCellMar>
        </w:tblPrEx>
        <w:trPr>
          <w:trHeight w:val="338" w:hRule="atLeast"/>
        </w:trPr>
        <w:tc>
          <w:tcPr>
            <w:tcW w:w="407"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预算执行情况（10分）</w:t>
            </w:r>
          </w:p>
        </w:tc>
        <w:tc>
          <w:tcPr>
            <w:tcW w:w="12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年度预算数（万元）</w:t>
            </w:r>
          </w:p>
        </w:tc>
        <w:tc>
          <w:tcPr>
            <w:tcW w:w="105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年初预算</w:t>
            </w:r>
          </w:p>
        </w:tc>
        <w:tc>
          <w:tcPr>
            <w:tcW w:w="13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调整后预算数</w:t>
            </w:r>
          </w:p>
        </w:tc>
        <w:tc>
          <w:tcPr>
            <w:tcW w:w="217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预算执行数</w:t>
            </w:r>
          </w:p>
        </w:tc>
        <w:tc>
          <w:tcPr>
            <w:tcW w:w="7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预算执行率</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原因</w:t>
            </w: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总额</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23.24</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23.24</w:t>
            </w:r>
          </w:p>
        </w:tc>
        <w:tc>
          <w:tcPr>
            <w:tcW w:w="2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22.20</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95.56%</w:t>
            </w:r>
          </w:p>
        </w:tc>
        <w:tc>
          <w:tcPr>
            <w:tcW w:w="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10</w:t>
            </w:r>
          </w:p>
        </w:tc>
        <w:tc>
          <w:tcPr>
            <w:tcW w:w="460" w:type="dxa"/>
            <w:tcBorders>
              <w:top w:val="nil"/>
              <w:left w:val="nil"/>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56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auto"/>
                <w:kern w:val="0"/>
                <w:sz w:val="18"/>
                <w:szCs w:val="18"/>
              </w:rPr>
            </w:pPr>
            <w:r>
              <w:rPr>
                <w:rFonts w:hint="eastAsia" w:ascii="黑体" w:hAnsi="黑体" w:eastAsia="黑体" w:cs="黑体"/>
                <w:i/>
                <w:iCs/>
                <w:color w:val="auto"/>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60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其中：财政资金</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23.24</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23.24</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22.20</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95.56%</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57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财政专户管理资金</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634" w:hRule="atLeast"/>
        </w:trPr>
        <w:tc>
          <w:tcPr>
            <w:tcW w:w="40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kern w:val="0"/>
                <w:sz w:val="18"/>
                <w:szCs w:val="18"/>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宋体"/>
                <w:i/>
                <w:iCs/>
                <w:color w:val="auto"/>
                <w:kern w:val="0"/>
                <w:sz w:val="16"/>
                <w:szCs w:val="16"/>
              </w:rPr>
            </w:pPr>
            <w:r>
              <w:rPr>
                <w:rFonts w:ascii="宋体" w:hAnsi="宋体" w:eastAsia="宋体" w:cs="宋体"/>
                <w:i w:val="0"/>
                <w:iCs w:val="0"/>
                <w:color w:val="auto"/>
                <w:kern w:val="0"/>
                <w:sz w:val="18"/>
                <w:szCs w:val="18"/>
                <w:u w:val="none"/>
                <w:lang w:val="en-US" w:eastAsia="zh-CN" w:bidi="ar"/>
              </w:rPr>
              <w:t>单位资金</w:t>
            </w:r>
          </w:p>
        </w:tc>
        <w:tc>
          <w:tcPr>
            <w:tcW w:w="10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13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217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7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0.00%</w:t>
            </w: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Courier New" w:hAnsi="Courier New" w:cs="Courier New"/>
                <w:color w:val="auto"/>
                <w:kern w:val="0"/>
                <w:sz w:val="18"/>
                <w:szCs w:val="18"/>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其他资金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21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rPr>
            </w:pPr>
          </w:p>
        </w:tc>
        <w:tc>
          <w:tcPr>
            <w:tcW w:w="761"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cs="Courier New"/>
                <w:color w:val="auto"/>
                <w:kern w:val="0"/>
                <w:sz w:val="18"/>
                <w:szCs w:val="18"/>
              </w:rPr>
            </w:pPr>
          </w:p>
        </w:tc>
        <w:tc>
          <w:tcPr>
            <w:tcW w:w="7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54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560" w:type="dxa"/>
            <w:vMerge w:val="continue"/>
            <w:tcBorders>
              <w:top w:val="single" w:color="000000" w:sz="4" w:space="0"/>
              <w:left w:val="nil"/>
              <w:bottom w:val="single" w:color="000000" w:sz="4" w:space="0"/>
              <w:right w:val="single" w:color="000000" w:sz="4" w:space="0"/>
            </w:tcBorders>
            <w:shd w:val="clear" w:color="auto" w:fill="auto"/>
            <w:vAlign w:val="center"/>
          </w:tcPr>
          <w:p>
            <w:pPr>
              <w:rPr>
                <w:color w:val="auto"/>
              </w:rPr>
            </w:pPr>
          </w:p>
        </w:tc>
      </w:tr>
      <w:tr>
        <w:tblPrEx>
          <w:tblCellMar>
            <w:top w:w="0" w:type="dxa"/>
            <w:left w:w="108" w:type="dxa"/>
            <w:bottom w:w="0" w:type="dxa"/>
            <w:right w:w="108" w:type="dxa"/>
          </w:tblCellMar>
        </w:tblPrEx>
        <w:trPr>
          <w:trHeight w:val="285" w:hRule="atLeast"/>
        </w:trPr>
        <w:tc>
          <w:tcPr>
            <w:tcW w:w="407" w:type="dxa"/>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绩效指标（90分）</w:t>
            </w:r>
          </w:p>
        </w:tc>
        <w:tc>
          <w:tcPr>
            <w:tcW w:w="12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一级指标</w:t>
            </w:r>
          </w:p>
        </w:tc>
        <w:tc>
          <w:tcPr>
            <w:tcW w:w="105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二级指标</w:t>
            </w:r>
          </w:p>
        </w:tc>
        <w:tc>
          <w:tcPr>
            <w:tcW w:w="134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三级指标</w:t>
            </w:r>
          </w:p>
        </w:tc>
        <w:tc>
          <w:tcPr>
            <w:tcW w:w="52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指标性质</w:t>
            </w:r>
          </w:p>
        </w:tc>
        <w:tc>
          <w:tcPr>
            <w:tcW w:w="116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指标值</w:t>
            </w:r>
          </w:p>
        </w:tc>
        <w:tc>
          <w:tcPr>
            <w:tcW w:w="36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度量单位</w:t>
            </w:r>
          </w:p>
        </w:tc>
        <w:tc>
          <w:tcPr>
            <w:tcW w:w="76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完成值</w:t>
            </w:r>
          </w:p>
        </w:tc>
        <w:tc>
          <w:tcPr>
            <w:tcW w:w="57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权重</w:t>
            </w:r>
          </w:p>
        </w:tc>
        <w:tc>
          <w:tcPr>
            <w:tcW w:w="46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得分</w:t>
            </w:r>
          </w:p>
        </w:tc>
        <w:tc>
          <w:tcPr>
            <w:tcW w:w="156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color w:val="auto"/>
                <w:kern w:val="0"/>
                <w:sz w:val="18"/>
                <w:szCs w:val="18"/>
              </w:rPr>
            </w:pPr>
            <w:r>
              <w:rPr>
                <w:rFonts w:ascii="宋体" w:hAnsi="宋体" w:eastAsia="宋体" w:cs="宋体"/>
                <w:i w:val="0"/>
                <w:iCs w:val="0"/>
                <w:color w:val="auto"/>
                <w:kern w:val="0"/>
                <w:sz w:val="18"/>
                <w:szCs w:val="18"/>
                <w:u w:val="none"/>
                <w:lang w:val="en-US" w:eastAsia="zh-CN" w:bidi="ar"/>
              </w:rPr>
              <w:t>未完成原因分析</w:t>
            </w:r>
          </w:p>
        </w:tc>
      </w:tr>
      <w:tr>
        <w:tblPrEx>
          <w:tblCellMar>
            <w:top w:w="0" w:type="dxa"/>
            <w:left w:w="108" w:type="dxa"/>
            <w:bottom w:w="0" w:type="dxa"/>
            <w:right w:w="108" w:type="dxa"/>
          </w:tblCellMar>
        </w:tblPrEx>
        <w:trPr>
          <w:trHeight w:val="285" w:hRule="atLeast"/>
        </w:trPr>
        <w:tc>
          <w:tcPr>
            <w:tcW w:w="407" w:type="dxa"/>
            <w:vMerge w:val="continue"/>
            <w:tcBorders>
              <w:top w:val="nil"/>
              <w:left w:val="nil"/>
              <w:bottom w:val="nil"/>
              <w:right w:val="nil"/>
            </w:tcBorders>
            <w:shd w:val="clear" w:color="auto" w:fill="auto"/>
            <w:vAlign w:val="center"/>
          </w:tcPr>
          <w:p>
            <w:pPr>
              <w:jc w:val="center"/>
              <w:rPr>
                <w:rFonts w:ascii="宋体" w:hAnsi="宋体" w:cs="宋体"/>
                <w:color w:val="auto"/>
                <w:kern w:val="0"/>
                <w:sz w:val="18"/>
                <w:szCs w:val="18"/>
              </w:rPr>
            </w:pPr>
          </w:p>
        </w:tc>
        <w:tc>
          <w:tcPr>
            <w:tcW w:w="1222" w:type="dxa"/>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产出指标</w:t>
            </w:r>
          </w:p>
        </w:tc>
        <w:tc>
          <w:tcPr>
            <w:tcW w:w="1056" w:type="dxa"/>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数量指标</w:t>
            </w:r>
          </w:p>
        </w:tc>
        <w:tc>
          <w:tcPr>
            <w:tcW w:w="134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科目调整次数</w:t>
            </w:r>
          </w:p>
        </w:tc>
        <w:tc>
          <w:tcPr>
            <w:tcW w:w="64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w:t>
            </w:r>
          </w:p>
        </w:tc>
        <w:tc>
          <w:tcPr>
            <w:tcW w:w="36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次</w:t>
            </w:r>
          </w:p>
        </w:tc>
        <w:tc>
          <w:tcPr>
            <w:tcW w:w="761" w:type="dxa"/>
            <w:tcBorders>
              <w:top w:val="nil"/>
              <w:left w:val="nil"/>
              <w:bottom w:val="nil"/>
              <w:right w:val="nil"/>
            </w:tcBorders>
            <w:shd w:val="clear" w:color="auto" w:fill="auto"/>
            <w:vAlign w:val="center"/>
          </w:tcPr>
          <w:p>
            <w:pPr>
              <w:jc w:val="center"/>
              <w:rPr>
                <w:color w:val="auto"/>
              </w:rPr>
            </w:pPr>
          </w:p>
        </w:tc>
        <w:tc>
          <w:tcPr>
            <w:tcW w:w="71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22.5</w:t>
            </w:r>
          </w:p>
        </w:tc>
        <w:tc>
          <w:tcPr>
            <w:tcW w:w="549" w:type="dxa"/>
            <w:tcBorders>
              <w:top w:val="nil"/>
              <w:left w:val="nil"/>
              <w:bottom w:val="nil"/>
              <w:right w:val="nil"/>
            </w:tcBorders>
            <w:shd w:val="clear" w:color="auto" w:fill="auto"/>
            <w:vAlign w:val="center"/>
          </w:tcPr>
          <w:p>
            <w:pPr>
              <w:jc w:val="center"/>
              <w:rPr>
                <w:color w:val="auto"/>
              </w:rPr>
            </w:pPr>
          </w:p>
        </w:tc>
        <w:tc>
          <w:tcPr>
            <w:tcW w:w="1560" w:type="dxa"/>
            <w:tcBorders>
              <w:top w:val="nil"/>
              <w:left w:val="nil"/>
              <w:bottom w:val="nil"/>
              <w:right w:val="nil"/>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407" w:type="dxa"/>
            <w:vMerge w:val="continue"/>
            <w:tcBorders>
              <w:top w:val="nil"/>
              <w:left w:val="nil"/>
              <w:bottom w:val="nil"/>
              <w:right w:val="nil"/>
            </w:tcBorders>
            <w:shd w:val="clear" w:color="auto" w:fill="auto"/>
            <w:vAlign w:val="center"/>
          </w:tcPr>
          <w:p>
            <w:pPr>
              <w:jc w:val="center"/>
              <w:rPr>
                <w:rFonts w:ascii="宋体" w:hAnsi="宋体" w:cs="宋体"/>
                <w:color w:val="auto"/>
                <w:kern w:val="0"/>
                <w:sz w:val="18"/>
                <w:szCs w:val="18"/>
              </w:rPr>
            </w:pPr>
          </w:p>
        </w:tc>
        <w:tc>
          <w:tcPr>
            <w:tcW w:w="1222" w:type="dxa"/>
            <w:vMerge w:val="continue"/>
            <w:tcBorders>
              <w:top w:val="nil"/>
              <w:left w:val="nil"/>
              <w:bottom w:val="nil"/>
              <w:right w:val="nil"/>
            </w:tcBorders>
            <w:shd w:val="clear" w:color="auto" w:fill="auto"/>
            <w:vAlign w:val="center"/>
          </w:tcPr>
          <w:p>
            <w:pPr>
              <w:jc w:val="center"/>
              <w:rPr>
                <w:color w:val="auto"/>
              </w:rPr>
            </w:pPr>
          </w:p>
        </w:tc>
        <w:tc>
          <w:tcPr>
            <w:tcW w:w="1056" w:type="dxa"/>
            <w:vMerge w:val="continue"/>
            <w:tcBorders>
              <w:top w:val="nil"/>
              <w:left w:val="nil"/>
              <w:bottom w:val="nil"/>
              <w:right w:val="nil"/>
            </w:tcBorders>
            <w:shd w:val="clear" w:color="auto" w:fill="auto"/>
            <w:vAlign w:val="center"/>
          </w:tcPr>
          <w:p>
            <w:pPr>
              <w:jc w:val="center"/>
              <w:rPr>
                <w:color w:val="auto"/>
              </w:rPr>
            </w:pPr>
          </w:p>
        </w:tc>
        <w:tc>
          <w:tcPr>
            <w:tcW w:w="134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足额保障率</w:t>
            </w:r>
          </w:p>
        </w:tc>
        <w:tc>
          <w:tcPr>
            <w:tcW w:w="64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nil"/>
              <w:left w:val="nil"/>
              <w:bottom w:val="nil"/>
              <w:right w:val="nil"/>
            </w:tcBorders>
            <w:shd w:val="clear" w:color="auto" w:fill="auto"/>
            <w:vAlign w:val="center"/>
          </w:tcPr>
          <w:p>
            <w:pPr>
              <w:jc w:val="center"/>
              <w:rPr>
                <w:color w:val="auto"/>
              </w:rPr>
            </w:pPr>
          </w:p>
        </w:tc>
        <w:tc>
          <w:tcPr>
            <w:tcW w:w="71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22.5</w:t>
            </w:r>
          </w:p>
        </w:tc>
        <w:tc>
          <w:tcPr>
            <w:tcW w:w="549" w:type="dxa"/>
            <w:tcBorders>
              <w:top w:val="nil"/>
              <w:left w:val="nil"/>
              <w:bottom w:val="nil"/>
              <w:right w:val="nil"/>
            </w:tcBorders>
            <w:shd w:val="clear" w:color="auto" w:fill="auto"/>
            <w:vAlign w:val="center"/>
          </w:tcPr>
          <w:p>
            <w:pPr>
              <w:jc w:val="center"/>
              <w:rPr>
                <w:color w:val="auto"/>
              </w:rPr>
            </w:pPr>
          </w:p>
        </w:tc>
        <w:tc>
          <w:tcPr>
            <w:tcW w:w="1560" w:type="dxa"/>
            <w:tcBorders>
              <w:top w:val="nil"/>
              <w:left w:val="nil"/>
              <w:bottom w:val="nil"/>
              <w:right w:val="nil"/>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407" w:type="dxa"/>
            <w:vMerge w:val="continue"/>
            <w:tcBorders>
              <w:top w:val="nil"/>
              <w:left w:val="nil"/>
              <w:bottom w:val="nil"/>
              <w:right w:val="nil"/>
            </w:tcBorders>
            <w:shd w:val="clear" w:color="auto" w:fill="auto"/>
            <w:vAlign w:val="center"/>
          </w:tcPr>
          <w:p>
            <w:pPr>
              <w:jc w:val="center"/>
              <w:rPr>
                <w:rFonts w:ascii="宋体" w:hAnsi="宋体" w:cs="宋体"/>
                <w:color w:val="auto"/>
                <w:kern w:val="0"/>
                <w:sz w:val="18"/>
                <w:szCs w:val="18"/>
              </w:rPr>
            </w:pPr>
          </w:p>
        </w:tc>
        <w:tc>
          <w:tcPr>
            <w:tcW w:w="1222" w:type="dxa"/>
            <w:vMerge w:val="continue"/>
            <w:tcBorders>
              <w:top w:val="nil"/>
              <w:left w:val="nil"/>
              <w:bottom w:val="nil"/>
              <w:right w:val="nil"/>
            </w:tcBorders>
            <w:shd w:val="clear" w:color="auto" w:fill="auto"/>
            <w:vAlign w:val="center"/>
          </w:tcPr>
          <w:p>
            <w:pPr>
              <w:jc w:val="center"/>
              <w:rPr>
                <w:color w:val="auto"/>
              </w:rPr>
            </w:pPr>
          </w:p>
        </w:tc>
        <w:tc>
          <w:tcPr>
            <w:tcW w:w="105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时效指标</w:t>
            </w:r>
          </w:p>
        </w:tc>
        <w:tc>
          <w:tcPr>
            <w:tcW w:w="134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按时发放率</w:t>
            </w:r>
          </w:p>
        </w:tc>
        <w:tc>
          <w:tcPr>
            <w:tcW w:w="64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100</w:t>
            </w:r>
          </w:p>
        </w:tc>
        <w:tc>
          <w:tcPr>
            <w:tcW w:w="36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nil"/>
              <w:left w:val="nil"/>
              <w:bottom w:val="nil"/>
              <w:right w:val="nil"/>
            </w:tcBorders>
            <w:shd w:val="clear" w:color="auto" w:fill="auto"/>
            <w:vAlign w:val="center"/>
          </w:tcPr>
          <w:p>
            <w:pPr>
              <w:jc w:val="center"/>
              <w:rPr>
                <w:color w:val="auto"/>
              </w:rPr>
            </w:pPr>
          </w:p>
        </w:tc>
        <w:tc>
          <w:tcPr>
            <w:tcW w:w="71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22.5</w:t>
            </w:r>
          </w:p>
        </w:tc>
        <w:tc>
          <w:tcPr>
            <w:tcW w:w="549" w:type="dxa"/>
            <w:tcBorders>
              <w:top w:val="nil"/>
              <w:left w:val="nil"/>
              <w:bottom w:val="nil"/>
              <w:right w:val="nil"/>
            </w:tcBorders>
            <w:shd w:val="clear" w:color="auto" w:fill="auto"/>
            <w:vAlign w:val="center"/>
          </w:tcPr>
          <w:p>
            <w:pPr>
              <w:jc w:val="center"/>
              <w:rPr>
                <w:color w:val="auto"/>
              </w:rPr>
            </w:pPr>
          </w:p>
        </w:tc>
        <w:tc>
          <w:tcPr>
            <w:tcW w:w="1560" w:type="dxa"/>
            <w:tcBorders>
              <w:top w:val="nil"/>
              <w:left w:val="nil"/>
              <w:bottom w:val="nil"/>
              <w:right w:val="nil"/>
            </w:tcBorders>
            <w:shd w:val="clear" w:color="auto" w:fill="auto"/>
            <w:vAlign w:val="center"/>
          </w:tcPr>
          <w:p>
            <w:pPr>
              <w:jc w:val="center"/>
              <w:rPr>
                <w:color w:val="auto"/>
              </w:rPr>
            </w:pPr>
          </w:p>
        </w:tc>
      </w:tr>
      <w:tr>
        <w:tblPrEx>
          <w:tblCellMar>
            <w:top w:w="0" w:type="dxa"/>
            <w:left w:w="108" w:type="dxa"/>
            <w:bottom w:w="0" w:type="dxa"/>
            <w:right w:w="108" w:type="dxa"/>
          </w:tblCellMar>
        </w:tblPrEx>
        <w:trPr>
          <w:trHeight w:val="285" w:hRule="atLeast"/>
        </w:trPr>
        <w:tc>
          <w:tcPr>
            <w:tcW w:w="407" w:type="dxa"/>
            <w:vMerge w:val="continue"/>
            <w:tcBorders>
              <w:top w:val="nil"/>
              <w:left w:val="nil"/>
              <w:bottom w:val="nil"/>
              <w:right w:val="nil"/>
            </w:tcBorders>
            <w:shd w:val="clear" w:color="auto" w:fill="auto"/>
            <w:vAlign w:val="center"/>
          </w:tcPr>
          <w:p>
            <w:pPr>
              <w:jc w:val="center"/>
              <w:rPr>
                <w:rFonts w:ascii="宋体" w:hAnsi="宋体" w:cs="宋体"/>
                <w:color w:val="auto"/>
                <w:kern w:val="0"/>
                <w:sz w:val="18"/>
                <w:szCs w:val="18"/>
              </w:rPr>
            </w:pPr>
          </w:p>
        </w:tc>
        <w:tc>
          <w:tcPr>
            <w:tcW w:w="122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效益指标</w:t>
            </w:r>
          </w:p>
        </w:tc>
        <w:tc>
          <w:tcPr>
            <w:tcW w:w="105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经济效益指标</w:t>
            </w:r>
          </w:p>
        </w:tc>
        <w:tc>
          <w:tcPr>
            <w:tcW w:w="134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结余率（计算方法为：结余数/预算数）</w:t>
            </w:r>
          </w:p>
        </w:tc>
        <w:tc>
          <w:tcPr>
            <w:tcW w:w="64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116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5</w:t>
            </w:r>
          </w:p>
        </w:tc>
        <w:tc>
          <w:tcPr>
            <w:tcW w:w="36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w:t>
            </w:r>
          </w:p>
        </w:tc>
        <w:tc>
          <w:tcPr>
            <w:tcW w:w="761" w:type="dxa"/>
            <w:tcBorders>
              <w:top w:val="nil"/>
              <w:left w:val="nil"/>
              <w:bottom w:val="nil"/>
              <w:right w:val="nil"/>
            </w:tcBorders>
            <w:shd w:val="clear" w:color="auto" w:fill="auto"/>
            <w:vAlign w:val="center"/>
          </w:tcPr>
          <w:p>
            <w:pPr>
              <w:jc w:val="center"/>
              <w:rPr>
                <w:color w:val="auto"/>
              </w:rPr>
            </w:pPr>
          </w:p>
        </w:tc>
        <w:tc>
          <w:tcPr>
            <w:tcW w:w="71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color w:val="auto"/>
              </w:rPr>
            </w:pPr>
            <w:r>
              <w:rPr>
                <w:rFonts w:ascii="宋体" w:hAnsi="宋体" w:eastAsia="宋体" w:cs="宋体"/>
                <w:i w:val="0"/>
                <w:iCs w:val="0"/>
                <w:color w:val="auto"/>
                <w:kern w:val="0"/>
                <w:sz w:val="18"/>
                <w:szCs w:val="18"/>
                <w:u w:val="none"/>
                <w:lang w:val="en-US" w:eastAsia="zh-CN" w:bidi="ar"/>
              </w:rPr>
              <w:t>22.5</w:t>
            </w:r>
          </w:p>
        </w:tc>
        <w:tc>
          <w:tcPr>
            <w:tcW w:w="549" w:type="dxa"/>
            <w:tcBorders>
              <w:top w:val="nil"/>
              <w:left w:val="nil"/>
              <w:bottom w:val="nil"/>
              <w:right w:val="nil"/>
            </w:tcBorders>
            <w:shd w:val="clear" w:color="auto" w:fill="auto"/>
            <w:vAlign w:val="center"/>
          </w:tcPr>
          <w:p>
            <w:pPr>
              <w:jc w:val="center"/>
              <w:rPr>
                <w:color w:val="auto"/>
              </w:rPr>
            </w:pPr>
          </w:p>
        </w:tc>
        <w:tc>
          <w:tcPr>
            <w:tcW w:w="1560" w:type="dxa"/>
            <w:tcBorders>
              <w:top w:val="nil"/>
              <w:left w:val="nil"/>
              <w:bottom w:val="nil"/>
              <w:right w:val="nil"/>
            </w:tcBorders>
            <w:shd w:val="clear" w:color="auto" w:fill="auto"/>
            <w:vAlign w:val="center"/>
          </w:tcPr>
          <w:p>
            <w:pPr>
              <w:jc w:val="center"/>
              <w:rPr>
                <w:color w:val="auto"/>
              </w:rPr>
            </w:pPr>
          </w:p>
        </w:tc>
      </w:tr>
    </w:tbl>
    <w:p>
      <w:pPr>
        <w:pStyle w:val="2"/>
        <w:spacing w:before="93"/>
        <w:rPr>
          <w:rFonts w:hAnsi="Calibri" w:cs="仿宋"/>
          <w:color w:val="auto"/>
          <w:sz w:val="32"/>
          <w:szCs w:val="32"/>
        </w:rPr>
      </w:pPr>
    </w:p>
    <w:p>
      <w:pPr>
        <w:pStyle w:val="2"/>
        <w:spacing w:before="93"/>
        <w:rPr>
          <w:rFonts w:hAnsi="Calibri" w:cs="仿宋"/>
          <w:color w:val="auto"/>
          <w:sz w:val="32"/>
          <w:szCs w:val="32"/>
        </w:rPr>
      </w:pPr>
    </w:p>
    <w:p>
      <w:pPr>
        <w:pStyle w:val="2"/>
        <w:spacing w:before="93"/>
        <w:rPr>
          <w:rFonts w:hAnsi="Calibri" w:cs="仿宋"/>
          <w:color w:val="auto"/>
          <w:sz w:val="32"/>
          <w:szCs w:val="32"/>
        </w:rPr>
      </w:pPr>
    </w:p>
    <w:p>
      <w:pPr>
        <w:pStyle w:val="2"/>
        <w:spacing w:before="93"/>
        <w:rPr>
          <w:rFonts w:hAnsi="Calibri" w:cs="仿宋"/>
          <w:color w:val="auto"/>
          <w:sz w:val="32"/>
          <w:szCs w:val="32"/>
        </w:rPr>
      </w:pPr>
    </w:p>
    <w:p>
      <w:pPr>
        <w:pStyle w:val="2"/>
        <w:spacing w:before="93"/>
        <w:rPr>
          <w:rFonts w:hAnsi="Calibri" w:cs="仿宋"/>
          <w:color w:val="auto"/>
          <w:sz w:val="32"/>
          <w:szCs w:val="32"/>
        </w:rPr>
      </w:pPr>
    </w:p>
    <w:p>
      <w:pPr>
        <w:pStyle w:val="2"/>
        <w:spacing w:before="93"/>
        <w:rPr>
          <w:rFonts w:hAnsi="Calibri" w:cs="仿宋"/>
          <w:color w:val="auto"/>
          <w:sz w:val="32"/>
          <w:szCs w:val="32"/>
        </w:rPr>
      </w:pPr>
    </w:p>
    <w:p>
      <w:pPr>
        <w:pStyle w:val="2"/>
        <w:spacing w:before="93"/>
        <w:rPr>
          <w:rFonts w:hAnsi="Calibri" w:cs="仿宋"/>
          <w:color w:val="auto"/>
          <w:sz w:val="32"/>
          <w:szCs w:val="32"/>
        </w:rPr>
      </w:pPr>
    </w:p>
    <w:p>
      <w:pPr>
        <w:pStyle w:val="2"/>
        <w:spacing w:before="93"/>
        <w:rPr>
          <w:rFonts w:hAnsi="Calibri" w:cs="仿宋"/>
          <w:color w:val="auto"/>
          <w:sz w:val="32"/>
          <w:szCs w:val="32"/>
        </w:rPr>
      </w:pPr>
    </w:p>
    <w:p>
      <w:pPr>
        <w:pStyle w:val="2"/>
        <w:spacing w:before="93"/>
        <w:rPr>
          <w:rFonts w:hAnsi="Calibri" w:cs="仿宋"/>
          <w:color w:val="auto"/>
          <w:sz w:val="32"/>
          <w:szCs w:val="32"/>
        </w:rPr>
      </w:pPr>
    </w:p>
    <w:p>
      <w:pPr>
        <w:pStyle w:val="2"/>
        <w:spacing w:before="93"/>
        <w:rPr>
          <w:rFonts w:hAnsi="Calibri" w:cs="仿宋"/>
          <w:color w:val="auto"/>
          <w:sz w:val="32"/>
          <w:szCs w:val="32"/>
        </w:rPr>
      </w:pPr>
    </w:p>
    <w:p>
      <w:pPr>
        <w:pStyle w:val="2"/>
        <w:spacing w:before="93"/>
        <w:rPr>
          <w:rFonts w:hAnsi="Calibri" w:cs="仿宋"/>
          <w:color w:val="auto"/>
          <w:sz w:val="32"/>
          <w:szCs w:val="32"/>
        </w:rPr>
      </w:pPr>
    </w:p>
    <w:p>
      <w:pPr>
        <w:pStyle w:val="2"/>
        <w:spacing w:before="93"/>
        <w:rPr>
          <w:rFonts w:hAnsi="Calibri" w:cs="仿宋"/>
          <w:color w:val="auto"/>
          <w:sz w:val="32"/>
          <w:szCs w:val="32"/>
        </w:rPr>
      </w:pPr>
    </w:p>
    <w:p>
      <w:pPr>
        <w:spacing w:line="600" w:lineRule="exact"/>
        <w:jc w:val="center"/>
        <w:outlineLvl w:val="0"/>
        <w:rPr>
          <w:rFonts w:ascii="仿宋" w:hAnsi="仿宋" w:eastAsia="仿宋"/>
          <w:color w:val="auto"/>
        </w:rPr>
      </w:pPr>
      <w:r>
        <w:rPr>
          <w:rFonts w:hint="eastAsia" w:ascii="黑体" w:hAnsi="黑体" w:eastAsia="黑体"/>
          <w:color w:val="auto"/>
          <w:sz w:val="44"/>
          <w:szCs w:val="44"/>
        </w:rPr>
        <w:t>第</w:t>
      </w:r>
      <w:r>
        <w:rPr>
          <w:rStyle w:val="25"/>
          <w:rFonts w:hint="eastAsia" w:ascii="黑体" w:hAnsi="黑体" w:eastAsia="黑体"/>
          <w:b w:val="0"/>
          <w:color w:val="auto"/>
        </w:rPr>
        <w:t>五部分 附表</w:t>
      </w:r>
      <w:bookmarkEnd w:id="54"/>
      <w:bookmarkEnd w:id="55"/>
      <w:bookmarkStart w:id="56" w:name="_Toc15396619"/>
    </w:p>
    <w:p>
      <w:pPr>
        <w:pStyle w:val="4"/>
        <w:rPr>
          <w:rFonts w:ascii="仿宋" w:hAnsi="仿宋" w:eastAsia="仿宋"/>
          <w:color w:val="auto"/>
        </w:rPr>
      </w:pPr>
      <w:r>
        <w:rPr>
          <w:rFonts w:hint="eastAsia" w:ascii="仿宋" w:hAnsi="仿宋" w:eastAsia="仿宋"/>
          <w:b w:val="0"/>
          <w:color w:val="auto"/>
        </w:rPr>
        <w:t>一、收</w:t>
      </w:r>
      <w:r>
        <w:rPr>
          <w:rStyle w:val="26"/>
          <w:rFonts w:hint="eastAsia" w:ascii="仿宋" w:hAnsi="仿宋" w:eastAsia="仿宋"/>
          <w:b w:val="0"/>
          <w:bCs w:val="0"/>
          <w:color w:val="auto"/>
        </w:rPr>
        <w:t>入支出决算总表</w:t>
      </w:r>
      <w:bookmarkEnd w:id="56"/>
    </w:p>
    <w:p>
      <w:pPr>
        <w:pStyle w:val="4"/>
        <w:rPr>
          <w:rFonts w:ascii="仿宋" w:hAnsi="仿宋" w:eastAsia="仿宋"/>
          <w:color w:val="auto"/>
        </w:rPr>
      </w:pPr>
      <w:bookmarkStart w:id="57" w:name="_Toc15396620"/>
      <w:r>
        <w:rPr>
          <w:rFonts w:hint="eastAsia" w:ascii="仿宋" w:hAnsi="仿宋" w:eastAsia="仿宋"/>
          <w:b w:val="0"/>
          <w:color w:val="auto"/>
        </w:rPr>
        <w:t>二、收</w:t>
      </w:r>
      <w:r>
        <w:rPr>
          <w:rStyle w:val="26"/>
          <w:rFonts w:hint="eastAsia" w:ascii="仿宋" w:hAnsi="仿宋" w:eastAsia="仿宋"/>
          <w:b w:val="0"/>
          <w:bCs w:val="0"/>
          <w:color w:val="auto"/>
        </w:rPr>
        <w:t>入决算表</w:t>
      </w:r>
      <w:bookmarkEnd w:id="57"/>
    </w:p>
    <w:p>
      <w:pPr>
        <w:pStyle w:val="4"/>
        <w:rPr>
          <w:rFonts w:ascii="仿宋" w:hAnsi="仿宋" w:eastAsia="仿宋"/>
          <w:color w:val="auto"/>
        </w:rPr>
      </w:pPr>
      <w:bookmarkStart w:id="58" w:name="_Toc15396621"/>
      <w:r>
        <w:rPr>
          <w:rStyle w:val="26"/>
          <w:rFonts w:hint="eastAsia" w:ascii="仿宋" w:hAnsi="仿宋" w:eastAsia="仿宋"/>
          <w:b w:val="0"/>
          <w:bCs w:val="0"/>
          <w:color w:val="auto"/>
        </w:rPr>
        <w:t>三、</w:t>
      </w:r>
      <w:r>
        <w:rPr>
          <w:rFonts w:hint="eastAsia" w:ascii="仿宋" w:hAnsi="仿宋" w:eastAsia="仿宋"/>
          <w:b w:val="0"/>
          <w:color w:val="auto"/>
        </w:rPr>
        <w:t>支</w:t>
      </w:r>
      <w:r>
        <w:rPr>
          <w:rStyle w:val="26"/>
          <w:rFonts w:hint="eastAsia" w:ascii="仿宋" w:hAnsi="仿宋" w:eastAsia="仿宋"/>
          <w:b w:val="0"/>
          <w:bCs w:val="0"/>
          <w:color w:val="auto"/>
        </w:rPr>
        <w:t>出决算表</w:t>
      </w:r>
      <w:bookmarkEnd w:id="58"/>
    </w:p>
    <w:p>
      <w:pPr>
        <w:pStyle w:val="4"/>
        <w:rPr>
          <w:rFonts w:ascii="仿宋" w:hAnsi="仿宋" w:eastAsia="仿宋"/>
          <w:b w:val="0"/>
          <w:color w:val="auto"/>
        </w:rPr>
      </w:pPr>
      <w:bookmarkStart w:id="59" w:name="_Toc15396622"/>
      <w:r>
        <w:rPr>
          <w:rStyle w:val="26"/>
          <w:rFonts w:hint="eastAsia" w:ascii="仿宋" w:hAnsi="仿宋" w:eastAsia="仿宋"/>
          <w:b w:val="0"/>
          <w:bCs w:val="0"/>
          <w:color w:val="auto"/>
        </w:rPr>
        <w:t>四、</w:t>
      </w:r>
      <w:r>
        <w:rPr>
          <w:rFonts w:hint="eastAsia" w:ascii="仿宋" w:hAnsi="仿宋" w:eastAsia="仿宋"/>
          <w:b w:val="0"/>
          <w:color w:val="auto"/>
        </w:rPr>
        <w:t>财</w:t>
      </w:r>
      <w:r>
        <w:rPr>
          <w:rStyle w:val="26"/>
          <w:rFonts w:hint="eastAsia" w:ascii="仿宋" w:hAnsi="仿宋" w:eastAsia="仿宋"/>
          <w:b w:val="0"/>
          <w:bCs w:val="0"/>
          <w:color w:val="auto"/>
        </w:rPr>
        <w:t>政拨款收入支出决算总表</w:t>
      </w:r>
      <w:bookmarkEnd w:id="59"/>
    </w:p>
    <w:p>
      <w:pPr>
        <w:pStyle w:val="4"/>
        <w:rPr>
          <w:rStyle w:val="26"/>
          <w:rFonts w:ascii="仿宋" w:hAnsi="仿宋" w:eastAsia="仿宋"/>
          <w:b w:val="0"/>
          <w:bCs w:val="0"/>
          <w:color w:val="auto"/>
        </w:rPr>
      </w:pPr>
      <w:bookmarkStart w:id="60" w:name="_Toc15396623"/>
      <w:r>
        <w:rPr>
          <w:rStyle w:val="26"/>
          <w:rFonts w:hint="eastAsia" w:ascii="仿宋" w:hAnsi="仿宋" w:eastAsia="仿宋"/>
          <w:b w:val="0"/>
          <w:bCs w:val="0"/>
          <w:color w:val="auto"/>
        </w:rPr>
        <w:t>五、</w:t>
      </w:r>
      <w:r>
        <w:rPr>
          <w:rFonts w:hint="eastAsia" w:ascii="仿宋" w:hAnsi="仿宋" w:eastAsia="仿宋"/>
          <w:b w:val="0"/>
          <w:color w:val="auto"/>
        </w:rPr>
        <w:t>财</w:t>
      </w:r>
      <w:r>
        <w:rPr>
          <w:rStyle w:val="26"/>
          <w:rFonts w:hint="eastAsia" w:ascii="仿宋" w:hAnsi="仿宋" w:eastAsia="仿宋"/>
          <w:b w:val="0"/>
          <w:bCs w:val="0"/>
          <w:color w:val="auto"/>
        </w:rPr>
        <w:t>政拨款支出决算明细表</w:t>
      </w:r>
      <w:bookmarkEnd w:id="60"/>
      <w:bookmarkStart w:id="61" w:name="_Toc15396624"/>
    </w:p>
    <w:p>
      <w:pPr>
        <w:pStyle w:val="4"/>
        <w:rPr>
          <w:rFonts w:ascii="仿宋" w:hAnsi="仿宋" w:eastAsia="仿宋"/>
          <w:color w:val="auto"/>
        </w:rPr>
      </w:pPr>
      <w:r>
        <w:rPr>
          <w:rStyle w:val="26"/>
          <w:rFonts w:hint="eastAsia" w:ascii="仿宋" w:hAnsi="仿宋" w:eastAsia="仿宋"/>
          <w:b w:val="0"/>
          <w:bCs w:val="0"/>
          <w:color w:val="auto"/>
        </w:rPr>
        <w:t>六、</w:t>
      </w:r>
      <w:r>
        <w:rPr>
          <w:rFonts w:hint="eastAsia" w:ascii="仿宋" w:hAnsi="仿宋" w:eastAsia="仿宋"/>
          <w:b w:val="0"/>
          <w:color w:val="auto"/>
        </w:rPr>
        <w:t>一</w:t>
      </w:r>
      <w:r>
        <w:rPr>
          <w:rStyle w:val="26"/>
          <w:rFonts w:hint="eastAsia" w:ascii="仿宋" w:hAnsi="仿宋" w:eastAsia="仿宋"/>
          <w:b w:val="0"/>
          <w:bCs w:val="0"/>
          <w:color w:val="auto"/>
        </w:rPr>
        <w:t>般公共预算财政拨款支出决算表</w:t>
      </w:r>
      <w:bookmarkEnd w:id="61"/>
    </w:p>
    <w:p>
      <w:pPr>
        <w:pStyle w:val="4"/>
        <w:rPr>
          <w:rFonts w:ascii="仿宋" w:hAnsi="仿宋" w:eastAsia="仿宋"/>
          <w:color w:val="auto"/>
        </w:rPr>
      </w:pPr>
      <w:bookmarkStart w:id="62" w:name="_Toc15396625"/>
      <w:r>
        <w:rPr>
          <w:rStyle w:val="26"/>
          <w:rFonts w:hint="eastAsia" w:ascii="仿宋" w:hAnsi="仿宋" w:eastAsia="仿宋"/>
          <w:b w:val="0"/>
          <w:bCs w:val="0"/>
          <w:color w:val="auto"/>
        </w:rPr>
        <w:t>七、</w:t>
      </w:r>
      <w:r>
        <w:rPr>
          <w:rFonts w:hint="eastAsia" w:ascii="仿宋" w:hAnsi="仿宋" w:eastAsia="仿宋"/>
          <w:b w:val="0"/>
          <w:color w:val="auto"/>
        </w:rPr>
        <w:t>一</w:t>
      </w:r>
      <w:r>
        <w:rPr>
          <w:rStyle w:val="26"/>
          <w:rFonts w:hint="eastAsia" w:ascii="仿宋" w:hAnsi="仿宋" w:eastAsia="仿宋"/>
          <w:b w:val="0"/>
          <w:bCs w:val="0"/>
          <w:color w:val="auto"/>
        </w:rPr>
        <w:t>般公共预算财政拨款支出决算明细表</w:t>
      </w:r>
      <w:bookmarkEnd w:id="62"/>
    </w:p>
    <w:p>
      <w:pPr>
        <w:pStyle w:val="4"/>
        <w:rPr>
          <w:rFonts w:ascii="仿宋" w:hAnsi="仿宋" w:eastAsia="仿宋"/>
          <w:color w:val="auto"/>
        </w:rPr>
      </w:pPr>
      <w:bookmarkStart w:id="63" w:name="_Toc15396626"/>
      <w:r>
        <w:rPr>
          <w:rStyle w:val="26"/>
          <w:rFonts w:hint="eastAsia" w:ascii="仿宋" w:hAnsi="仿宋" w:eastAsia="仿宋"/>
          <w:b w:val="0"/>
          <w:bCs w:val="0"/>
          <w:color w:val="auto"/>
        </w:rPr>
        <w:t>八、</w:t>
      </w:r>
      <w:r>
        <w:rPr>
          <w:rFonts w:hint="eastAsia" w:ascii="仿宋" w:hAnsi="仿宋" w:eastAsia="仿宋"/>
          <w:b w:val="0"/>
          <w:color w:val="auto"/>
        </w:rPr>
        <w:t>一</w:t>
      </w:r>
      <w:r>
        <w:rPr>
          <w:rStyle w:val="26"/>
          <w:rFonts w:hint="eastAsia" w:ascii="仿宋" w:hAnsi="仿宋" w:eastAsia="仿宋"/>
          <w:b w:val="0"/>
          <w:bCs w:val="0"/>
          <w:color w:val="auto"/>
        </w:rPr>
        <w:t>般公共预算财政拨款基本支出决算表</w:t>
      </w:r>
      <w:bookmarkEnd w:id="63"/>
    </w:p>
    <w:p>
      <w:pPr>
        <w:pStyle w:val="4"/>
        <w:rPr>
          <w:rFonts w:ascii="仿宋" w:hAnsi="仿宋" w:eastAsia="仿宋"/>
          <w:color w:val="auto"/>
        </w:rPr>
      </w:pPr>
      <w:bookmarkStart w:id="64" w:name="_Toc15396627"/>
      <w:r>
        <w:rPr>
          <w:rStyle w:val="26"/>
          <w:rFonts w:hint="eastAsia" w:ascii="仿宋" w:hAnsi="仿宋" w:eastAsia="仿宋"/>
          <w:b w:val="0"/>
          <w:bCs w:val="0"/>
          <w:color w:val="auto"/>
        </w:rPr>
        <w:t>九、</w:t>
      </w:r>
      <w:r>
        <w:rPr>
          <w:rFonts w:hint="eastAsia" w:ascii="仿宋" w:hAnsi="仿宋" w:eastAsia="仿宋"/>
          <w:b w:val="0"/>
          <w:color w:val="auto"/>
        </w:rPr>
        <w:t>一</w:t>
      </w:r>
      <w:r>
        <w:rPr>
          <w:rStyle w:val="26"/>
          <w:rFonts w:hint="eastAsia" w:ascii="仿宋" w:hAnsi="仿宋" w:eastAsia="仿宋"/>
          <w:b w:val="0"/>
          <w:bCs w:val="0"/>
          <w:color w:val="auto"/>
        </w:rPr>
        <w:t>般公共预算财政拨款项目支出决算表</w:t>
      </w:r>
      <w:bookmarkEnd w:id="64"/>
    </w:p>
    <w:p>
      <w:pPr>
        <w:pStyle w:val="4"/>
        <w:rPr>
          <w:rFonts w:ascii="仿宋" w:hAnsi="仿宋" w:eastAsia="仿宋"/>
          <w:color w:val="auto"/>
        </w:rPr>
      </w:pPr>
      <w:bookmarkStart w:id="65" w:name="_Toc15396628"/>
      <w:r>
        <w:rPr>
          <w:rStyle w:val="26"/>
          <w:rFonts w:hint="eastAsia" w:ascii="仿宋" w:hAnsi="仿宋" w:eastAsia="仿宋"/>
          <w:b w:val="0"/>
          <w:bCs w:val="0"/>
          <w:color w:val="auto"/>
        </w:rPr>
        <w:t>十、</w:t>
      </w:r>
      <w:bookmarkEnd w:id="65"/>
      <w:r>
        <w:rPr>
          <w:rFonts w:hint="eastAsia" w:ascii="仿宋" w:hAnsi="仿宋" w:eastAsia="仿宋"/>
          <w:b w:val="0"/>
          <w:color w:val="auto"/>
        </w:rPr>
        <w:t>政</w:t>
      </w:r>
      <w:r>
        <w:rPr>
          <w:rStyle w:val="26"/>
          <w:rFonts w:hint="eastAsia" w:ascii="仿宋" w:hAnsi="仿宋" w:eastAsia="仿宋"/>
          <w:b w:val="0"/>
          <w:bCs w:val="0"/>
          <w:color w:val="auto"/>
        </w:rPr>
        <w:t>府性基金预算财政拨款收入支出决算表</w:t>
      </w:r>
    </w:p>
    <w:p>
      <w:pPr>
        <w:pStyle w:val="4"/>
        <w:rPr>
          <w:rFonts w:ascii="仿宋" w:hAnsi="仿宋" w:eastAsia="仿宋"/>
          <w:color w:val="auto"/>
        </w:rPr>
      </w:pPr>
      <w:bookmarkStart w:id="66" w:name="_Toc15396629"/>
      <w:r>
        <w:rPr>
          <w:rStyle w:val="26"/>
          <w:rFonts w:hint="eastAsia" w:ascii="仿宋" w:hAnsi="仿宋" w:eastAsia="仿宋"/>
          <w:b w:val="0"/>
          <w:bCs w:val="0"/>
          <w:color w:val="auto"/>
        </w:rPr>
        <w:t>十一、</w:t>
      </w:r>
      <w:bookmarkEnd w:id="66"/>
      <w:r>
        <w:rPr>
          <w:rFonts w:hint="eastAsia" w:ascii="仿宋" w:hAnsi="仿宋" w:eastAsia="仿宋"/>
          <w:b w:val="0"/>
          <w:color w:val="auto"/>
        </w:rPr>
        <w:t>国</w:t>
      </w:r>
      <w:r>
        <w:rPr>
          <w:rStyle w:val="26"/>
          <w:rFonts w:hint="eastAsia" w:ascii="仿宋" w:hAnsi="仿宋" w:eastAsia="仿宋"/>
          <w:b w:val="0"/>
          <w:bCs w:val="0"/>
          <w:color w:val="auto"/>
        </w:rPr>
        <w:t>有资本经营预算财政拨款收入支出决算表</w:t>
      </w:r>
    </w:p>
    <w:p>
      <w:pPr>
        <w:pStyle w:val="4"/>
        <w:rPr>
          <w:rFonts w:ascii="仿宋" w:hAnsi="仿宋" w:eastAsia="仿宋"/>
          <w:color w:val="auto"/>
        </w:rPr>
      </w:pPr>
      <w:bookmarkStart w:id="67" w:name="_Toc15396630"/>
      <w:r>
        <w:rPr>
          <w:rStyle w:val="26"/>
          <w:rFonts w:hint="eastAsia" w:ascii="仿宋" w:hAnsi="仿宋" w:eastAsia="仿宋"/>
          <w:b w:val="0"/>
          <w:bCs w:val="0"/>
          <w:color w:val="auto"/>
        </w:rPr>
        <w:t>十二、</w:t>
      </w:r>
      <w:bookmarkEnd w:id="67"/>
      <w:r>
        <w:rPr>
          <w:rStyle w:val="26"/>
          <w:rFonts w:hint="eastAsia" w:ascii="仿宋" w:hAnsi="仿宋" w:eastAsia="仿宋"/>
          <w:b w:val="0"/>
          <w:bCs w:val="0"/>
          <w:color w:val="auto"/>
        </w:rPr>
        <w:t>国有资本经营预算财政拨款支出决算表</w:t>
      </w:r>
    </w:p>
    <w:p>
      <w:pPr>
        <w:pStyle w:val="4"/>
        <w:rPr>
          <w:rFonts w:eastAsia="仿宋"/>
          <w:color w:val="auto"/>
        </w:rPr>
      </w:pPr>
      <w:bookmarkStart w:id="68" w:name="_Toc15396631"/>
      <w:r>
        <w:rPr>
          <w:rStyle w:val="26"/>
          <w:rFonts w:hint="eastAsia" w:ascii="仿宋" w:hAnsi="仿宋" w:eastAsia="仿宋"/>
          <w:b w:val="0"/>
          <w:bCs w:val="0"/>
          <w:color w:val="auto"/>
        </w:rPr>
        <w:t>十三、</w:t>
      </w:r>
      <w:bookmarkEnd w:id="68"/>
      <w:r>
        <w:rPr>
          <w:rStyle w:val="26"/>
          <w:rFonts w:hint="eastAsia" w:ascii="仿宋" w:hAnsi="仿宋" w:eastAsia="仿宋"/>
          <w:b w:val="0"/>
          <w:bCs w:val="0"/>
          <w:color w:val="auto"/>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D58B017-6EFA-4583-A2FB-AEBD0BA0C8DF}"/>
  </w:font>
  <w:font w:name="Courier New">
    <w:panose1 w:val="02070309020205020404"/>
    <w:charset w:val="01"/>
    <w:family w:val="modern"/>
    <w:pitch w:val="default"/>
    <w:sig w:usb0="E0002EFF" w:usb1="C0007843" w:usb2="00000009" w:usb3="00000000" w:csb0="400001FF" w:csb1="FFFF0000"/>
    <w:embedRegular r:id="rId2" w:fontKey="{0B8F33B2-7BFE-4439-BDDC-5E50C1DF8518}"/>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BF837C40-AEBE-4E9C-BE8C-C1E3FAD9E120}"/>
  </w:font>
  <w:font w:name="Cambria">
    <w:panose1 w:val="02040503050406030204"/>
    <w:charset w:val="00"/>
    <w:family w:val="roman"/>
    <w:pitch w:val="default"/>
    <w:sig w:usb0="E00006FF" w:usb1="420024FF" w:usb2="02000000" w:usb3="00000000" w:csb0="2000019F" w:csb1="00000000"/>
    <w:embedRegular r:id="rId4" w:fontKey="{C1685188-8021-4E57-A1C3-E3971A667774}"/>
  </w:font>
  <w:font w:name="仿宋_GB2312">
    <w:altName w:val="仿宋"/>
    <w:panose1 w:val="00000000000000000000"/>
    <w:charset w:val="86"/>
    <w:family w:val="modern"/>
    <w:pitch w:val="default"/>
    <w:sig w:usb0="00000000" w:usb1="00000000" w:usb2="00000000" w:usb3="00000000" w:csb0="00040000" w:csb1="00000000"/>
    <w:embedRegular r:id="rId5" w:fontKey="{08254663-A4BE-4413-A4AB-038996B34551}"/>
  </w:font>
  <w:font w:name="仿宋">
    <w:panose1 w:val="02010609060101010101"/>
    <w:charset w:val="86"/>
    <w:family w:val="modern"/>
    <w:pitch w:val="default"/>
    <w:sig w:usb0="800002BF" w:usb1="38CF7CFA" w:usb2="00000016" w:usb3="00000000" w:csb0="00040001" w:csb1="00000000"/>
    <w:embedRegular r:id="rId6" w:fontKey="{70D6A795-B398-48E7-99D2-E11C0E241F82}"/>
  </w:font>
  <w:font w:name="微软雅黑">
    <w:panose1 w:val="020B0503020204020204"/>
    <w:charset w:val="86"/>
    <w:family w:val="swiss"/>
    <w:pitch w:val="default"/>
    <w:sig w:usb0="80000287" w:usb1="2ACF3C50" w:usb2="00000016" w:usb3="00000000" w:csb0="0004001F" w:csb1="00000000"/>
    <w:embedRegular r:id="rId7" w:fontKey="{8458B41A-49C0-4333-92A7-5E463042D450}"/>
  </w:font>
  <w:font w:name="方正小标宋简体">
    <w:panose1 w:val="02000000000000000000"/>
    <w:charset w:val="86"/>
    <w:family w:val="script"/>
    <w:pitch w:val="default"/>
    <w:sig w:usb0="00000001" w:usb1="08000000" w:usb2="00000000" w:usb3="00000000" w:csb0="00040000" w:csb1="00000000"/>
    <w:embedRegular r:id="rId8" w:fontKey="{BE771099-96DE-4602-800A-197498FD1D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1672F"/>
    <w:rsid w:val="000222C6"/>
    <w:rsid w:val="0002549F"/>
    <w:rsid w:val="00036995"/>
    <w:rsid w:val="000409D9"/>
    <w:rsid w:val="00045391"/>
    <w:rsid w:val="000468DB"/>
    <w:rsid w:val="000511A0"/>
    <w:rsid w:val="0006487A"/>
    <w:rsid w:val="00065F8F"/>
    <w:rsid w:val="00070A43"/>
    <w:rsid w:val="000768F2"/>
    <w:rsid w:val="0009184B"/>
    <w:rsid w:val="00094236"/>
    <w:rsid w:val="0009593C"/>
    <w:rsid w:val="00097322"/>
    <w:rsid w:val="000A3C70"/>
    <w:rsid w:val="000A3FF4"/>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B2FD8"/>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95D86"/>
    <w:rsid w:val="002A31DE"/>
    <w:rsid w:val="002B2613"/>
    <w:rsid w:val="002B42D8"/>
    <w:rsid w:val="002C7CD4"/>
    <w:rsid w:val="002D6D05"/>
    <w:rsid w:val="002F1818"/>
    <w:rsid w:val="002F567B"/>
    <w:rsid w:val="003216A9"/>
    <w:rsid w:val="00335A74"/>
    <w:rsid w:val="003520EB"/>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423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4249"/>
    <w:rsid w:val="004E575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5F20F4"/>
    <w:rsid w:val="005F4196"/>
    <w:rsid w:val="00605688"/>
    <w:rsid w:val="006070AF"/>
    <w:rsid w:val="00607E6C"/>
    <w:rsid w:val="006101B1"/>
    <w:rsid w:val="00611B53"/>
    <w:rsid w:val="00614E44"/>
    <w:rsid w:val="0062270A"/>
    <w:rsid w:val="00622830"/>
    <w:rsid w:val="00623DA0"/>
    <w:rsid w:val="00630AEF"/>
    <w:rsid w:val="00630E31"/>
    <w:rsid w:val="006325F8"/>
    <w:rsid w:val="00633463"/>
    <w:rsid w:val="00634C9A"/>
    <w:rsid w:val="006440E4"/>
    <w:rsid w:val="0066343B"/>
    <w:rsid w:val="00664777"/>
    <w:rsid w:val="006748A4"/>
    <w:rsid w:val="00676163"/>
    <w:rsid w:val="00681A31"/>
    <w:rsid w:val="00683E73"/>
    <w:rsid w:val="006946FC"/>
    <w:rsid w:val="006A3141"/>
    <w:rsid w:val="006A45DB"/>
    <w:rsid w:val="006A5E34"/>
    <w:rsid w:val="006B2422"/>
    <w:rsid w:val="006B2B9A"/>
    <w:rsid w:val="006C1937"/>
    <w:rsid w:val="006F020C"/>
    <w:rsid w:val="0071099B"/>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5C23"/>
    <w:rsid w:val="00850625"/>
    <w:rsid w:val="00853718"/>
    <w:rsid w:val="00855221"/>
    <w:rsid w:val="00860645"/>
    <w:rsid w:val="00871F71"/>
    <w:rsid w:val="00872A13"/>
    <w:rsid w:val="00872FD8"/>
    <w:rsid w:val="00885AF4"/>
    <w:rsid w:val="008939CD"/>
    <w:rsid w:val="008B768C"/>
    <w:rsid w:val="008C2609"/>
    <w:rsid w:val="008C4DB1"/>
    <w:rsid w:val="008C4EAF"/>
    <w:rsid w:val="008C5176"/>
    <w:rsid w:val="008C7FD0"/>
    <w:rsid w:val="008E1DE7"/>
    <w:rsid w:val="008E707C"/>
    <w:rsid w:val="00900B08"/>
    <w:rsid w:val="00902155"/>
    <w:rsid w:val="00902FA3"/>
    <w:rsid w:val="00907375"/>
    <w:rsid w:val="00923564"/>
    <w:rsid w:val="0092392E"/>
    <w:rsid w:val="009315F9"/>
    <w:rsid w:val="00933499"/>
    <w:rsid w:val="00935C98"/>
    <w:rsid w:val="00946945"/>
    <w:rsid w:val="00951248"/>
    <w:rsid w:val="0095152F"/>
    <w:rsid w:val="0095294E"/>
    <w:rsid w:val="00954C49"/>
    <w:rsid w:val="00955E37"/>
    <w:rsid w:val="009575B9"/>
    <w:rsid w:val="0096294D"/>
    <w:rsid w:val="0097099F"/>
    <w:rsid w:val="00971997"/>
    <w:rsid w:val="00971FFC"/>
    <w:rsid w:val="0098660A"/>
    <w:rsid w:val="009931C3"/>
    <w:rsid w:val="009A5375"/>
    <w:rsid w:val="009B2C43"/>
    <w:rsid w:val="009B4EAE"/>
    <w:rsid w:val="009B7573"/>
    <w:rsid w:val="009C22F4"/>
    <w:rsid w:val="009C2A4B"/>
    <w:rsid w:val="009C2E98"/>
    <w:rsid w:val="009D3447"/>
    <w:rsid w:val="009D4711"/>
    <w:rsid w:val="009D5FC2"/>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51DB"/>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306"/>
    <w:rsid w:val="00B57DAF"/>
    <w:rsid w:val="00B77EA6"/>
    <w:rsid w:val="00B81598"/>
    <w:rsid w:val="00B841F1"/>
    <w:rsid w:val="00B873A9"/>
    <w:rsid w:val="00B944D6"/>
    <w:rsid w:val="00BB4DF0"/>
    <w:rsid w:val="00BC289F"/>
    <w:rsid w:val="00BC2D50"/>
    <w:rsid w:val="00BC5361"/>
    <w:rsid w:val="00BC5460"/>
    <w:rsid w:val="00BC6B50"/>
    <w:rsid w:val="00BD0E25"/>
    <w:rsid w:val="00BE2449"/>
    <w:rsid w:val="00BF5BD6"/>
    <w:rsid w:val="00C03E31"/>
    <w:rsid w:val="00C1671B"/>
    <w:rsid w:val="00C209F3"/>
    <w:rsid w:val="00C33E72"/>
    <w:rsid w:val="00C354B2"/>
    <w:rsid w:val="00C35554"/>
    <w:rsid w:val="00C42709"/>
    <w:rsid w:val="00C533CC"/>
    <w:rsid w:val="00C56F3A"/>
    <w:rsid w:val="00C5751C"/>
    <w:rsid w:val="00C61BFC"/>
    <w:rsid w:val="00C62B85"/>
    <w:rsid w:val="00C65438"/>
    <w:rsid w:val="00C6637F"/>
    <w:rsid w:val="00C87FD8"/>
    <w:rsid w:val="00C91381"/>
    <w:rsid w:val="00C91CBB"/>
    <w:rsid w:val="00CA2AF6"/>
    <w:rsid w:val="00CB4E70"/>
    <w:rsid w:val="00CC09B6"/>
    <w:rsid w:val="00CC666F"/>
    <w:rsid w:val="00CD1E3F"/>
    <w:rsid w:val="00CE44F6"/>
    <w:rsid w:val="00CE49DA"/>
    <w:rsid w:val="00CE7B61"/>
    <w:rsid w:val="00D00095"/>
    <w:rsid w:val="00D114F0"/>
    <w:rsid w:val="00D20620"/>
    <w:rsid w:val="00D254F7"/>
    <w:rsid w:val="00D26091"/>
    <w:rsid w:val="00D2685C"/>
    <w:rsid w:val="00D273A1"/>
    <w:rsid w:val="00D34E7C"/>
    <w:rsid w:val="00D35489"/>
    <w:rsid w:val="00D36AFE"/>
    <w:rsid w:val="00D51276"/>
    <w:rsid w:val="00D7035F"/>
    <w:rsid w:val="00D86348"/>
    <w:rsid w:val="00DA634F"/>
    <w:rsid w:val="00DA65AC"/>
    <w:rsid w:val="00DA6A7D"/>
    <w:rsid w:val="00DB1913"/>
    <w:rsid w:val="00DC410D"/>
    <w:rsid w:val="00DC5A81"/>
    <w:rsid w:val="00DC68CA"/>
    <w:rsid w:val="00DC7CBA"/>
    <w:rsid w:val="00DD33DB"/>
    <w:rsid w:val="00DD73B7"/>
    <w:rsid w:val="00DF28BC"/>
    <w:rsid w:val="00DF34B9"/>
    <w:rsid w:val="00E01053"/>
    <w:rsid w:val="00E0276C"/>
    <w:rsid w:val="00E07ACF"/>
    <w:rsid w:val="00E15E2E"/>
    <w:rsid w:val="00E331A1"/>
    <w:rsid w:val="00E33202"/>
    <w:rsid w:val="00E336A9"/>
    <w:rsid w:val="00E41FB6"/>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27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D63AE"/>
    <w:rsid w:val="00FF1E02"/>
    <w:rsid w:val="00FF30B4"/>
    <w:rsid w:val="053A62B5"/>
    <w:rsid w:val="0A2032A3"/>
    <w:rsid w:val="0B8A37D8"/>
    <w:rsid w:val="0D5B3023"/>
    <w:rsid w:val="10C055FF"/>
    <w:rsid w:val="118107EC"/>
    <w:rsid w:val="11DD6519"/>
    <w:rsid w:val="11DE30CA"/>
    <w:rsid w:val="16BB723D"/>
    <w:rsid w:val="175D3819"/>
    <w:rsid w:val="18015F3F"/>
    <w:rsid w:val="182322CE"/>
    <w:rsid w:val="1BD155FC"/>
    <w:rsid w:val="1BE8440E"/>
    <w:rsid w:val="1D155CEE"/>
    <w:rsid w:val="20F57F95"/>
    <w:rsid w:val="2335670F"/>
    <w:rsid w:val="23740183"/>
    <w:rsid w:val="240371BF"/>
    <w:rsid w:val="25711CC6"/>
    <w:rsid w:val="25C741E6"/>
    <w:rsid w:val="27842671"/>
    <w:rsid w:val="29FD04D3"/>
    <w:rsid w:val="2ABE7A3E"/>
    <w:rsid w:val="2B0D1C35"/>
    <w:rsid w:val="2CA234A8"/>
    <w:rsid w:val="2EFA178C"/>
    <w:rsid w:val="30B46D73"/>
    <w:rsid w:val="319F7F4E"/>
    <w:rsid w:val="381F5330"/>
    <w:rsid w:val="383D272C"/>
    <w:rsid w:val="39AE70AB"/>
    <w:rsid w:val="39BA4E33"/>
    <w:rsid w:val="3C0C0783"/>
    <w:rsid w:val="3F9F3A96"/>
    <w:rsid w:val="413720DA"/>
    <w:rsid w:val="48BF60AB"/>
    <w:rsid w:val="493C27E9"/>
    <w:rsid w:val="496F39ED"/>
    <w:rsid w:val="49FF41D3"/>
    <w:rsid w:val="4BE068DB"/>
    <w:rsid w:val="4BF6002B"/>
    <w:rsid w:val="4ECE2238"/>
    <w:rsid w:val="51DB4B86"/>
    <w:rsid w:val="55333C3E"/>
    <w:rsid w:val="59C97EB4"/>
    <w:rsid w:val="62FC1D8E"/>
    <w:rsid w:val="64CA39A1"/>
    <w:rsid w:val="66582E5A"/>
    <w:rsid w:val="687D3119"/>
    <w:rsid w:val="69630ADE"/>
    <w:rsid w:val="6BC72F87"/>
    <w:rsid w:val="6C4A05C8"/>
    <w:rsid w:val="6D3B1A89"/>
    <w:rsid w:val="71BF4EC2"/>
    <w:rsid w:val="72734D90"/>
    <w:rsid w:val="7412278C"/>
    <w:rsid w:val="75FC0D5D"/>
    <w:rsid w:val="79E7B28D"/>
    <w:rsid w:val="7C60211A"/>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FollowedHyperlink"/>
    <w:basedOn w:val="13"/>
    <w:semiHidden/>
    <w:unhideWhenUsed/>
    <w:qFormat/>
    <w:uiPriority w:val="99"/>
    <w:rPr>
      <w:color w:val="800080"/>
      <w:u w:val="single"/>
    </w:rPr>
  </w:style>
  <w:style w:type="character" w:styleId="16">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标题 2 Char1"/>
    <w:basedOn w:val="13"/>
    <w:qFormat/>
    <w:locked/>
    <w:uiPriority w:val="99"/>
    <w:rPr>
      <w:rFonts w:ascii="Cambria" w:hAnsi="Cambria" w:eastAsia="宋体" w:cs="Cambria"/>
      <w:b/>
      <w:bCs/>
      <w:kern w:val="2"/>
      <w:sz w:val="32"/>
      <w:szCs w:val="32"/>
    </w:rPr>
  </w:style>
  <w:style w:type="paragraph" w:customStyle="1" w:styleId="32">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33">
    <w:name w:val="xl66"/>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34">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5">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6">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7">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38">
    <w:name w:val="xl7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40">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paragraph" w:customStyle="1" w:styleId="41">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42">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43">
    <w:name w:val="xl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4">
    <w:name w:val="xl77"/>
    <w:basedOn w:val="1"/>
    <w:qFormat/>
    <w:uiPriority w:val="0"/>
    <w:pPr>
      <w:widowControl/>
      <w:spacing w:before="100" w:beforeAutospacing="1" w:after="100" w:afterAutospacing="1"/>
      <w:jc w:val="left"/>
    </w:pPr>
    <w:rPr>
      <w:rFonts w:ascii="宋体" w:hAnsi="宋体" w:cs="宋体"/>
      <w:color w:val="C0C0C0"/>
      <w:kern w:val="0"/>
      <w:sz w:val="20"/>
      <w:szCs w:val="20"/>
    </w:rPr>
  </w:style>
  <w:style w:type="paragraph" w:customStyle="1" w:styleId="45">
    <w:name w:val="xl78"/>
    <w:basedOn w:val="1"/>
    <w:qFormat/>
    <w:uiPriority w:val="0"/>
    <w:pPr>
      <w:widowControl/>
      <w:spacing w:before="100" w:beforeAutospacing="1" w:after="100" w:afterAutospacing="1"/>
      <w:jc w:val="left"/>
    </w:pPr>
    <w:rPr>
      <w:rFonts w:ascii="宋体" w:hAnsi="宋体" w:cs="宋体"/>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收、支决算总计变动情况图</a:t>
            </a:r>
            <a:endParaRPr lang="zh-CN" altLang="en-US"/>
          </a:p>
        </c:rich>
      </c:tx>
      <c:layout/>
      <c:overlay val="0"/>
    </c:title>
    <c:autoTitleDeleted val="0"/>
    <c:plotArea>
      <c:layout/>
      <c:barChart>
        <c:barDir val="col"/>
        <c:grouping val="clustered"/>
        <c:varyColors val="0"/>
        <c:ser>
          <c:idx val="0"/>
          <c:order val="0"/>
          <c:invertIfNegative val="0"/>
          <c:dLbls>
            <c:delete val="1"/>
          </c:dLbls>
          <c:val>
            <c:numRef>
              <c:f>Sheet1!$B$2</c:f>
              <c:numCache>
                <c:formatCode>General</c:formatCode>
                <c:ptCount val="1"/>
                <c:pt idx="0">
                  <c:v>509.02</c:v>
                </c:pt>
              </c:numCache>
            </c:numRef>
          </c:val>
        </c:ser>
        <c:ser>
          <c:idx val="1"/>
          <c:order val="1"/>
          <c:invertIfNegative val="0"/>
          <c:dLbls>
            <c:delete val="1"/>
          </c:dLbls>
          <c:val>
            <c:numRef>
              <c:f>Sheet1!$B$3</c:f>
              <c:numCache>
                <c:formatCode>General</c:formatCode>
                <c:ptCount val="1"/>
                <c:pt idx="0">
                  <c:v>587.97</c:v>
                </c:pt>
              </c:numCache>
            </c:numRef>
          </c:val>
        </c:ser>
        <c:dLbls>
          <c:showLegendKey val="0"/>
          <c:showVal val="0"/>
          <c:showCatName val="0"/>
          <c:showSerName val="0"/>
          <c:showPercent val="0"/>
          <c:showBubbleSize val="0"/>
        </c:dLbls>
        <c:gapWidth val="150"/>
        <c:axId val="217295104"/>
        <c:axId val="217436544"/>
      </c:barChart>
      <c:catAx>
        <c:axId val="21729510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7436544"/>
        <c:crosses val="autoZero"/>
        <c:auto val="1"/>
        <c:lblAlgn val="ctr"/>
        <c:lblOffset val="100"/>
        <c:noMultiLvlLbl val="0"/>
      </c:catAx>
      <c:valAx>
        <c:axId val="2174365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172951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view3D>
      <c:rotX val="30"/>
      <c:rotY val="0"/>
      <c:depthPercent val="100"/>
      <c:rAngAx val="0"/>
      <c:perspective val="3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收入决算结构图</c:v>
                </c:pt>
              </c:strCache>
            </c:strRef>
          </c:tx>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dLbl>
              <c:idx val="0"/>
              <c:layout>
                <c:manualLayout>
                  <c:x val="0"/>
                  <c:y val="-0.0037878787878787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587.97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一般公共预算财政拨款收入</c:v>
                </c:pt>
                <c:pt idx="1">
                  <c:v>政府性基金预算收入</c:v>
                </c:pt>
              </c:strCache>
            </c:strRef>
          </c:cat>
          <c:val>
            <c:numRef>
              <c:f>Sheet1!$B$2:$B$3</c:f>
              <c:numCache>
                <c:formatCode>General</c:formatCode>
                <c:ptCount val="2"/>
                <c:pt idx="0">
                  <c:v>1663.53</c:v>
                </c:pt>
                <c:pt idx="1">
                  <c:v>0</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支出决算结构图</a:t>
            </a:r>
            <a:endParaRPr lang="zh-CN" altLang="en-US"/>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explosion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585.97</c:v>
                </c:pt>
                <c:pt idx="1">
                  <c:v>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财政拨款收入决算总计变动情况</c:v>
                </c:pt>
              </c:strCache>
            </c:strRef>
          </c:tx>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509.02</c:v>
                </c:pt>
                <c:pt idx="1">
                  <c:v>587.97</c:v>
                </c:pt>
              </c:numCache>
            </c:numRef>
          </c:val>
        </c:ser>
        <c:dLbls>
          <c:showLegendKey val="0"/>
          <c:showVal val="0"/>
          <c:showCatName val="0"/>
          <c:showSerName val="0"/>
          <c:showPercent val="0"/>
          <c:showBubbleSize val="0"/>
        </c:dLbls>
        <c:gapWidth val="150"/>
        <c:axId val="222984448"/>
        <c:axId val="233550976"/>
      </c:barChart>
      <c:catAx>
        <c:axId val="22298444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3550976"/>
        <c:crosses val="autoZero"/>
        <c:auto val="1"/>
        <c:lblAlgn val="ctr"/>
        <c:lblOffset val="100"/>
        <c:noMultiLvlLbl val="0"/>
      </c:catAx>
      <c:valAx>
        <c:axId val="2335509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29844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一般公共预算财政拨款支出决算变动情况</c:v>
                </c:pt>
              </c:strCache>
            </c:strRef>
          </c:tx>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509.02</c:v>
                </c:pt>
                <c:pt idx="1">
                  <c:v>587.97</c:v>
                </c:pt>
              </c:numCache>
            </c:numRef>
          </c:val>
        </c:ser>
        <c:dLbls>
          <c:showLegendKey val="0"/>
          <c:showVal val="0"/>
          <c:showCatName val="0"/>
          <c:showSerName val="0"/>
          <c:showPercent val="0"/>
          <c:showBubbleSize val="0"/>
        </c:dLbls>
        <c:gapWidth val="150"/>
        <c:axId val="234775680"/>
        <c:axId val="234777216"/>
      </c:barChart>
      <c:catAx>
        <c:axId val="23477568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777216"/>
        <c:crosses val="autoZero"/>
        <c:auto val="1"/>
        <c:lblAlgn val="ctr"/>
        <c:lblOffset val="100"/>
        <c:noMultiLvlLbl val="0"/>
      </c:catAx>
      <c:valAx>
        <c:axId val="2347772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7756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教育支出</c:v>
                </c:pt>
                <c:pt idx="1">
                  <c:v>社会保障和就业支出</c:v>
                </c:pt>
                <c:pt idx="2">
                  <c:v>卫生健康支出</c:v>
                </c:pt>
                <c:pt idx="3">
                  <c:v>住房保障支出</c:v>
                </c:pt>
                <c:pt idx="4">
                  <c:v>农林水支出</c:v>
                </c:pt>
              </c:strCache>
            </c:strRef>
          </c:cat>
          <c:val>
            <c:numRef>
              <c:f>Sheet1!$B$2:$B$6</c:f>
              <c:numCache>
                <c:formatCode>General</c:formatCode>
                <c:ptCount val="5"/>
                <c:pt idx="0">
                  <c:v>494.52</c:v>
                </c:pt>
                <c:pt idx="1">
                  <c:v>40.65</c:v>
                </c:pt>
                <c:pt idx="2">
                  <c:v>20.32</c:v>
                </c:pt>
                <c:pt idx="3">
                  <c:v>30.48</c:v>
                </c:pt>
                <c:pt idx="4">
                  <c:v>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explosion val="0"/>
          <c:dPt>
            <c:idx val="0"/>
            <c:bubble3D val="0"/>
          </c:dPt>
          <c:dPt>
            <c:idx val="1"/>
            <c:bubble3D val="0"/>
          </c:dPt>
          <c:dPt>
            <c:idx val="2"/>
            <c:bubble3D val="0"/>
          </c:dPt>
          <c:dLbls>
            <c:delete val="1"/>
          </c:dLbls>
          <c:cat>
            <c:strRef>
              <c:f>Sheet1!$A$2:$A$4</c:f>
              <c:strCache>
                <c:ptCount val="3"/>
                <c:pt idx="0">
                  <c:v>因公出国（境）费</c:v>
                </c:pt>
                <c:pt idx="1">
                  <c:v>公务用车购置及运行维护费支出</c:v>
                </c:pt>
                <c:pt idx="2">
                  <c:v>公务接待费</c:v>
                </c:pt>
              </c:strCache>
            </c:strRef>
          </c:cat>
          <c:val>
            <c:numRef>
              <c:f>Sheet1!$B$2:$B$4</c:f>
              <c:numCache>
                <c:formatCode>General</c:formatCode>
                <c:ptCount val="3"/>
                <c:pt idx="0">
                  <c:v>0</c:v>
                </c:pt>
                <c:pt idx="1">
                  <c:v>0</c:v>
                </c:pt>
                <c:pt idx="2">
                  <c:v>0.38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D478-B450-4F92-A4CA-FE61BDB7BF2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39</Pages>
  <Words>2990</Words>
  <Characters>17049</Characters>
  <Lines>142</Lines>
  <Paragraphs>39</Paragraphs>
  <TotalTime>2</TotalTime>
  <ScaleCrop>false</ScaleCrop>
  <LinksUpToDate>false</LinksUpToDate>
  <CharactersWithSpaces>20000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2023-12-11T08:08:54Z</dcterms:modified>
  <dc:title>四川省***</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563747D508604793A9D232B5C565C630_13</vt:lpwstr>
  </property>
</Properties>
</file>