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77194"/>
      <w:bookmarkStart w:id="7" w:name="_Toc15396598"/>
      <w:bookmarkStart w:id="8" w:name="_Toc15396476"/>
      <w:bookmarkStart w:id="9" w:name="_Toc15377426"/>
      <w:bookmarkStart w:id="10" w:name="_Toc15378442"/>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县杨村镇人民政府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77196"/>
      <w:bookmarkStart w:id="13" w:name="_Toc15396599"/>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rPr>
          <w:rStyle w:val="32"/>
          <w:rFonts w:ascii="仿宋" w:hAnsi="仿宋" w:eastAsia="黑体"/>
          <w:b w:val="0"/>
          <w:bCs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p>
    <w:p>
      <w:pPr>
        <w:pStyle w:val="6"/>
        <w:adjustRightInd w:val="0"/>
        <w:snapToGrid w:val="0"/>
        <w:spacing w:before="93" w:line="600" w:lineRule="exact"/>
        <w:ind w:firstLine="672" w:firstLineChars="210"/>
        <w:outlineLvl w:val="2"/>
        <w:rPr>
          <w:rFonts w:hint="eastAsia" w:ascii="仿宋" w:hAnsi="仿宋" w:eastAsia="仿宋"/>
          <w:bCs/>
          <w:sz w:val="32"/>
          <w:szCs w:val="32"/>
        </w:rPr>
      </w:pPr>
      <w:bookmarkStart w:id="16" w:name="_Toc15377198"/>
      <w:bookmarkStart w:id="17" w:name="_Toc15378445"/>
      <w:bookmarkStart w:id="18" w:name="_Toc15396601"/>
      <w:bookmarkStart w:id="19" w:name="_Toc15377200"/>
      <w:r>
        <w:rPr>
          <w:rFonts w:hint="eastAsia" w:ascii="仿宋" w:hAnsi="仿宋" w:eastAsia="仿宋"/>
          <w:bCs/>
          <w:sz w:val="32"/>
          <w:szCs w:val="32"/>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2、制定并组织实施村镇建设规划，部署重点工程建设，地方道路建设及公共设施，水利设施的管理，负责土地、林木、水等自然资源和生态环境的保护，做好护林防火工作。</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bookmarkStart w:id="20" w:name="_Toc15377199"/>
      <w:bookmarkStart w:id="21" w:name="_Toc15378446"/>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r>
        <w:rPr>
          <w:rFonts w:hint="eastAsia" w:ascii="仿宋" w:hAnsi="仿宋" w:eastAsia="仿宋"/>
          <w:bCs/>
          <w:sz w:val="32"/>
          <w:szCs w:val="32"/>
        </w:rPr>
        <w:t>。</w:t>
      </w:r>
      <w:bookmarkEnd w:id="20"/>
      <w:bookmarkEnd w:id="21"/>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宋体" w:hAnsi="宋体" w:eastAsia="黑体" w:cs="黑体"/>
          <w:sz w:val="32"/>
          <w:szCs w:val="32"/>
          <w:lang w:eastAsia="zh-CN"/>
        </w:rPr>
      </w:pPr>
      <w:r>
        <w:rPr>
          <w:rFonts w:hint="eastAsia" w:ascii="楷体_GB2312" w:hAnsi="楷体_GB2312" w:eastAsia="楷体_GB2312" w:cs="楷体_GB2312"/>
          <w:b/>
          <w:bCs/>
          <w:color w:val="auto"/>
          <w:sz w:val="32"/>
          <w:szCs w:val="32"/>
          <w:lang w:val="en-US" w:eastAsia="zh-CN"/>
        </w:rPr>
        <w:t>（一）</w:t>
      </w:r>
      <w:r>
        <w:rPr>
          <w:rFonts w:hint="eastAsia" w:ascii="宋体" w:hAnsi="宋体" w:eastAsia="黑体" w:cs="黑体"/>
          <w:sz w:val="32"/>
          <w:szCs w:val="32"/>
          <w:lang w:eastAsia="zh-CN"/>
        </w:rPr>
        <w:t>坚持党的全面领导，政府自身建设</w:t>
      </w:r>
      <w:r>
        <w:rPr>
          <w:rFonts w:hint="eastAsia" w:ascii="宋体" w:hAnsi="宋体" w:eastAsia="黑体" w:cs="黑体"/>
          <w:sz w:val="32"/>
          <w:szCs w:val="32"/>
          <w:lang w:val="en-US" w:eastAsia="zh-CN"/>
        </w:rPr>
        <w:t>全面</w:t>
      </w:r>
      <w:r>
        <w:rPr>
          <w:rFonts w:hint="eastAsia" w:ascii="宋体" w:hAnsi="宋体" w:eastAsia="黑体" w:cs="黑体"/>
          <w:sz w:val="32"/>
          <w:szCs w:val="32"/>
          <w:lang w:eastAsia="zh-CN"/>
        </w:rPr>
        <w:t>加强。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b/>
          <w:bCs/>
          <w:sz w:val="32"/>
          <w:szCs w:val="32"/>
          <w:lang w:val="en-US" w:eastAsia="zh-CN"/>
        </w:rPr>
        <w:t>一是把稳政治方向，政治能力不断增强。</w:t>
      </w:r>
      <w:r>
        <w:rPr>
          <w:rFonts w:hint="eastAsia" w:ascii="宋体" w:hAnsi="宋体" w:eastAsia="仿宋_GB2312" w:cs="仿宋_GB2312"/>
          <w:sz w:val="32"/>
          <w:szCs w:val="32"/>
          <w:lang w:val="en-US" w:eastAsia="zh-CN"/>
        </w:rPr>
        <w:t>坚决扛牢全面从严治党政治责任，深入学习贯彻习近平总书记系列重要论述，始终以习近平新时代中国特色社会主义思想指引，深刻领会“两个确立”的决定性意义，不断增强“四个意识”、坚定“四个自信”、始终做到“两个维护”，坚决打造政治过硬、团结过硬、本领过硬、作风过硬、勇争一流的政府班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b/>
          <w:bCs/>
          <w:sz w:val="32"/>
          <w:szCs w:val="32"/>
          <w:lang w:val="en-US" w:eastAsia="zh-CN"/>
        </w:rPr>
        <w:t>二是加强廉政建设，廉洁意识不断强化。</w:t>
      </w:r>
      <w:r>
        <w:rPr>
          <w:rFonts w:hint="eastAsia" w:ascii="宋体" w:hAnsi="宋体" w:eastAsia="仿宋_GB2312" w:cs="仿宋_GB2312"/>
          <w:sz w:val="32"/>
          <w:szCs w:val="32"/>
          <w:lang w:val="en-US" w:eastAsia="zh-CN"/>
        </w:rPr>
        <w:t>全面加强廉政文化建设，班子成员带头落实中央八项规定精神和省委省政府十项规定、市委“六个带头”及其实施细则以及各项廉政规定，坚决落实全面从严治党管党“一岗双责”，集中整治形式主义、官僚主义，盯紧小微权力，严惩基层腐败问题和不正之风，全体镇干部签订党风廉政建设目标责任书60份，集中开展党员精准扶贫项目清理、村财务清理等专项检查2次。倡导干部厉行勤俭节约、反对铺张浪费，创建节约型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宋体" w:hAnsi="宋体" w:eastAsia="仿宋_GB2312" w:cs="仿宋_GB2312"/>
          <w:b/>
          <w:bCs/>
          <w:sz w:val="32"/>
          <w:szCs w:val="32"/>
          <w:lang w:val="en-US" w:eastAsia="zh-CN"/>
        </w:rPr>
        <w:t>三是坚持以人为本，服务水平不断提升。</w:t>
      </w:r>
      <w:r>
        <w:rPr>
          <w:rFonts w:hint="eastAsia" w:ascii="宋体" w:hAnsi="宋体" w:eastAsia="仿宋_GB2312" w:cs="仿宋_GB2312"/>
          <w:sz w:val="32"/>
          <w:szCs w:val="32"/>
          <w:lang w:val="en-US" w:eastAsia="zh-CN"/>
        </w:rPr>
        <w:t>做好便民一站化服务建设，深化“最多跑一次”改革，业务部门集中入驻便民大厅，大力推进“扫码办理服务”，让老百姓只跑一次路。落实行政村生活垃圾收转运处置体系，通过垃圾车进行转运垃圾覆盖率达100%。自觉接受镇人大监督，</w:t>
      </w:r>
      <w:r>
        <w:rPr>
          <w:rFonts w:hint="eastAsia" w:ascii="宋体" w:hAnsi="宋体" w:eastAsia="仿宋_GB2312" w:cs="仿宋_GB2312"/>
          <w:sz w:val="32"/>
          <w:szCs w:val="32"/>
        </w:rPr>
        <w:t>充分听取和落实人大的意见和建议，认真办理建议和议案。</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（二）抓实脱贫成效巩固，乡村振兴有序推进</w:t>
      </w:r>
      <w:r>
        <w:rPr>
          <w:rFonts w:hint="eastAsia" w:ascii="仿宋" w:hAnsi="仿宋" w:eastAsia="仿宋" w:cs="仿宋"/>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仿宋_GB2312" w:eastAsia="仿宋_GB2312"/>
          <w:sz w:val="32"/>
          <w:szCs w:val="32"/>
          <w:lang w:val="en-US" w:eastAsia="zh-CN"/>
        </w:rPr>
      </w:pPr>
      <w:r>
        <w:rPr>
          <w:rFonts w:hint="eastAsia" w:ascii="宋体" w:hAnsi="宋体" w:eastAsia="楷体_GB2312" w:cs="楷体_GB2312"/>
          <w:b/>
          <w:bCs/>
          <w:sz w:val="32"/>
          <w:szCs w:val="32"/>
          <w:lang w:eastAsia="zh-CN"/>
        </w:rPr>
        <w:t>一是</w:t>
      </w:r>
      <w:r>
        <w:rPr>
          <w:rFonts w:hint="eastAsia" w:ascii="宋体" w:hAnsi="宋体" w:eastAsia="楷体_GB2312" w:cs="楷体_GB2312"/>
          <w:b/>
          <w:bCs/>
          <w:sz w:val="32"/>
          <w:szCs w:val="32"/>
          <w:lang w:val="en-US" w:eastAsia="zh-CN"/>
        </w:rPr>
        <w:t>稳步发展传统产业。</w:t>
      </w:r>
      <w:r>
        <w:rPr>
          <w:rFonts w:hint="eastAsia" w:ascii="宋体" w:hAnsi="宋体" w:eastAsia="仿宋_GB2312" w:cs="仿宋_GB2312"/>
          <w:b w:val="0"/>
          <w:bCs w:val="0"/>
          <w:sz w:val="32"/>
          <w:szCs w:val="32"/>
          <w:lang w:val="en-US" w:eastAsia="zh-CN"/>
        </w:rPr>
        <w:t>全镇粮油总产量实现了稳中有增，</w:t>
      </w:r>
      <w:r>
        <w:rPr>
          <w:rFonts w:hint="eastAsia" w:ascii="仿宋_GB2312" w:eastAsia="仿宋_GB2312"/>
          <w:sz w:val="32"/>
          <w:szCs w:val="32"/>
          <w:lang w:val="en-US" w:eastAsia="zh-CN"/>
        </w:rPr>
        <w:t>全镇2022年度种植水稻8484亩，玉米11087亩，豆类10235亩，花生8082亩，小麦10990亩，油菜13670亩，蔬菜3000亩。完成1400亩烤烟生产任务，实现产量3750担。</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宋体" w:hAnsi="宋体" w:eastAsia="仿宋_GB2312" w:cs="仿宋_GB2312"/>
          <w:sz w:val="32"/>
          <w:szCs w:val="32"/>
          <w:lang w:eastAsia="zh-CN"/>
        </w:rPr>
      </w:pPr>
      <w:r>
        <w:rPr>
          <w:rFonts w:hint="eastAsia" w:ascii="宋体" w:hAnsi="宋体" w:eastAsia="楷体_GB2312" w:cs="楷体_GB2312"/>
          <w:b/>
          <w:bCs/>
          <w:sz w:val="32"/>
          <w:szCs w:val="32"/>
          <w:lang w:eastAsia="zh-CN"/>
        </w:rPr>
        <w:t>二是突破发展粮油产业。</w:t>
      </w:r>
      <w:r>
        <w:rPr>
          <w:rFonts w:hint="eastAsia" w:ascii="宋体" w:hAnsi="宋体" w:eastAsia="仿宋_GB2312" w:cs="仿宋_GB2312"/>
          <w:sz w:val="32"/>
          <w:szCs w:val="32"/>
          <w:lang w:eastAsia="zh-CN"/>
        </w:rPr>
        <w:t>落实剑南粮油园区官店村点位项目实施，配套建设粮油园区初加工设施综合体。配套建设户办产业小庭院78户，庭院经济栽植砂糖橘4000株，菜园30亩，真正实现了前庭后院的户办产业新格局。发展稻鱼养殖910亩，实现了亩均增收1400余元，集体经济收入增加5万元，多次接受并顺利通过省级检查、验收、评估，顺利完成官店园区升五星工作。</w:t>
      </w:r>
    </w:p>
    <w:p>
      <w:pPr>
        <w:keepNext w:val="0"/>
        <w:keepLines w:val="0"/>
        <w:pageBreakBefore w:val="0"/>
        <w:widowControl w:val="0"/>
        <w:kinsoku/>
        <w:wordWrap/>
        <w:overflowPunct/>
        <w:topLinePunct w:val="0"/>
        <w:autoSpaceDE/>
        <w:autoSpaceDN/>
        <w:bidi w:val="0"/>
        <w:adjustRightInd w:val="0"/>
        <w:spacing w:line="560" w:lineRule="exact"/>
        <w:ind w:firstLine="643"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楷体_GB2312" w:cs="楷体_GB2312"/>
          <w:b/>
          <w:bCs/>
          <w:sz w:val="32"/>
          <w:szCs w:val="32"/>
          <w:lang w:eastAsia="zh-CN"/>
        </w:rPr>
        <w:t>三是持续巩固特色产业。</w:t>
      </w:r>
      <w:r>
        <w:rPr>
          <w:rFonts w:hint="eastAsia" w:ascii="宋体" w:hAnsi="宋体" w:eastAsia="仿宋_GB2312" w:cs="仿宋_GB2312"/>
          <w:b w:val="0"/>
          <w:bCs w:val="0"/>
          <w:sz w:val="32"/>
          <w:szCs w:val="32"/>
          <w:lang w:val="en-US" w:eastAsia="zh-CN"/>
        </w:rPr>
        <w:t>柏梓村金宝李产业示范园、青墟社区和佛山村冬桃产业园、官店村软籽石榴示范园及鱼鳖生态综合养殖示范园等产业园区运行机制合理，管护及时到位，效益进一步凸显。官店</w:t>
      </w:r>
      <w:r>
        <w:rPr>
          <w:rFonts w:hint="eastAsia" w:ascii="宋体" w:hAnsi="宋体" w:eastAsia="仿宋_GB2312" w:cs="仿宋_GB2312"/>
          <w:b w:val="0"/>
          <w:bCs w:val="0"/>
          <w:sz w:val="32"/>
          <w:szCs w:val="32"/>
          <w:lang w:eastAsia="zh-CN"/>
        </w:rPr>
        <w:t>村鱼鳖混养水产基地，完成水产品产量</w:t>
      </w:r>
      <w:r>
        <w:rPr>
          <w:rFonts w:hint="eastAsia" w:ascii="宋体" w:hAnsi="宋体" w:eastAsia="仿宋_GB2312" w:cs="仿宋_GB2312"/>
          <w:b w:val="0"/>
          <w:bCs w:val="0"/>
          <w:sz w:val="32"/>
          <w:szCs w:val="32"/>
          <w:lang w:val="en-US" w:eastAsia="zh-CN"/>
        </w:rPr>
        <w:t>90余</w:t>
      </w:r>
      <w:r>
        <w:rPr>
          <w:rFonts w:hint="eastAsia" w:ascii="宋体" w:hAnsi="宋体" w:eastAsia="仿宋_GB2312" w:cs="仿宋_GB2312"/>
          <w:b w:val="0"/>
          <w:bCs w:val="0"/>
          <w:sz w:val="32"/>
          <w:szCs w:val="32"/>
          <w:lang w:eastAsia="zh-CN"/>
        </w:rPr>
        <w:t>吨，新扩建的佛山村和白水村生猪规模养殖2500余平方米，</w:t>
      </w:r>
      <w:r>
        <w:rPr>
          <w:rFonts w:hint="eastAsia" w:ascii="宋体" w:hAnsi="宋体" w:eastAsia="仿宋_GB2312" w:cs="仿宋_GB2312"/>
          <w:b w:val="0"/>
          <w:bCs w:val="0"/>
          <w:sz w:val="32"/>
          <w:szCs w:val="32"/>
          <w:lang w:val="en-US" w:eastAsia="zh-CN"/>
        </w:rPr>
        <w:t>柏梓村生猪代养场2000余平方米</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佛山村</w:t>
      </w:r>
      <w:r>
        <w:rPr>
          <w:rFonts w:hint="eastAsia" w:ascii="宋体" w:hAnsi="宋体" w:eastAsia="仿宋_GB2312" w:cs="仿宋_GB2312"/>
          <w:b w:val="0"/>
          <w:bCs w:val="0"/>
          <w:sz w:val="32"/>
          <w:szCs w:val="32"/>
          <w:lang w:eastAsia="zh-CN"/>
        </w:rPr>
        <w:t>肉羊规模养殖场建成面积</w:t>
      </w:r>
      <w:r>
        <w:rPr>
          <w:rFonts w:hint="eastAsia" w:ascii="宋体" w:hAnsi="宋体" w:eastAsia="仿宋_GB2312" w:cs="仿宋_GB2312"/>
          <w:b w:val="0"/>
          <w:bCs w:val="0"/>
          <w:sz w:val="32"/>
          <w:szCs w:val="32"/>
          <w:lang w:val="en-US" w:eastAsia="zh-CN"/>
        </w:rPr>
        <w:t>8</w:t>
      </w:r>
      <w:r>
        <w:rPr>
          <w:rFonts w:hint="eastAsia" w:ascii="宋体" w:hAnsi="宋体" w:eastAsia="仿宋_GB2312" w:cs="仿宋_GB2312"/>
          <w:b w:val="0"/>
          <w:bCs w:val="0"/>
          <w:sz w:val="32"/>
          <w:szCs w:val="32"/>
          <w:lang w:eastAsia="zh-CN"/>
        </w:rPr>
        <w:t>00余平方米，龙鞍社区土鸡养殖场和剑门关土鸡移动鸡舍年出栏土鸡2万只。</w:t>
      </w:r>
    </w:p>
    <w:p>
      <w:pPr>
        <w:keepNext w:val="0"/>
        <w:keepLines w:val="0"/>
        <w:pageBreakBefore w:val="0"/>
        <w:kinsoku/>
        <w:wordWrap/>
        <w:overflowPunct/>
        <w:topLinePunct w:val="0"/>
        <w:bidi w:val="0"/>
        <w:spacing w:line="576" w:lineRule="exact"/>
        <w:ind w:firstLine="643" w:firstLineChars="200"/>
        <w:textAlignment w:val="auto"/>
        <w:rPr>
          <w:rFonts w:hint="eastAsia" w:ascii="宋体" w:hAnsi="宋体" w:eastAsia="黑体" w:cs="黑体"/>
          <w:sz w:val="32"/>
          <w:szCs w:val="32"/>
        </w:rPr>
      </w:pPr>
      <w:r>
        <w:rPr>
          <w:rFonts w:hint="eastAsia" w:ascii="楷体_GB2312" w:hAnsi="楷体_GB2312" w:eastAsia="楷体_GB2312" w:cs="楷体_GB2312"/>
          <w:b/>
          <w:bCs/>
          <w:color w:val="auto"/>
          <w:kern w:val="2"/>
          <w:sz w:val="32"/>
          <w:szCs w:val="32"/>
          <w:lang w:val="en-US" w:eastAsia="zh-CN" w:bidi="ar-SA"/>
        </w:rPr>
        <w:t>（三）</w:t>
      </w:r>
      <w:r>
        <w:rPr>
          <w:rFonts w:hint="eastAsia" w:ascii="宋体" w:hAnsi="宋体" w:eastAsia="黑体" w:cs="黑体"/>
          <w:sz w:val="32"/>
          <w:szCs w:val="32"/>
          <w:lang w:eastAsia="zh-CN"/>
        </w:rPr>
        <w:t>创新综合治理</w:t>
      </w:r>
      <w:r>
        <w:rPr>
          <w:rFonts w:hint="eastAsia" w:ascii="宋体" w:hAnsi="宋体" w:eastAsia="黑体" w:cs="黑体"/>
          <w:sz w:val="32"/>
          <w:szCs w:val="32"/>
        </w:rPr>
        <w:t>，</w:t>
      </w:r>
      <w:r>
        <w:rPr>
          <w:rFonts w:hint="eastAsia" w:ascii="宋体" w:hAnsi="宋体" w:eastAsia="黑体" w:cs="黑体"/>
          <w:sz w:val="32"/>
          <w:szCs w:val="32"/>
          <w:lang w:eastAsia="zh-CN"/>
        </w:rPr>
        <w:t>社会稳定人民安居乐业</w:t>
      </w:r>
      <w:r>
        <w:rPr>
          <w:rFonts w:hint="eastAsia" w:ascii="宋体" w:hAnsi="宋体" w:eastAsia="黑体" w:cs="黑体"/>
          <w:sz w:val="32"/>
          <w:szCs w:val="32"/>
        </w:rPr>
        <w:t>。</w:t>
      </w: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val="en-US" w:eastAsia="zh-CN"/>
        </w:rPr>
        <w:t>一</w:t>
      </w:r>
      <w:r>
        <w:rPr>
          <w:rFonts w:hint="eastAsia" w:ascii="宋体" w:hAnsi="宋体" w:eastAsia="仿宋_GB2312" w:cs="仿宋_GB2312"/>
          <w:b/>
          <w:bCs/>
          <w:sz w:val="32"/>
          <w:szCs w:val="32"/>
        </w:rPr>
        <w:t>是深入开展综合治理</w:t>
      </w:r>
      <w:r>
        <w:rPr>
          <w:rFonts w:hint="eastAsia" w:ascii="宋体" w:hAnsi="宋体" w:eastAsia="仿宋_GB2312" w:cs="仿宋_GB2312"/>
          <w:b/>
          <w:bCs/>
          <w:sz w:val="32"/>
          <w:szCs w:val="32"/>
          <w:lang w:eastAsia="zh-CN"/>
        </w:rPr>
        <w:t>。</w:t>
      </w:r>
      <w:r>
        <w:rPr>
          <w:rFonts w:hint="eastAsia" w:ascii="宋体" w:hAnsi="宋体" w:eastAsia="仿宋_GB2312" w:cs="仿宋_GB2312"/>
          <w:b w:val="0"/>
          <w:bCs w:val="0"/>
          <w:sz w:val="32"/>
          <w:szCs w:val="32"/>
        </w:rPr>
        <w:t>扎实开展普法</w:t>
      </w:r>
      <w:r>
        <w:rPr>
          <w:rFonts w:hint="eastAsia" w:ascii="宋体" w:hAnsi="宋体" w:eastAsia="仿宋_GB2312" w:cs="仿宋_GB2312"/>
          <w:b w:val="0"/>
          <w:bCs w:val="0"/>
          <w:sz w:val="32"/>
          <w:szCs w:val="32"/>
          <w:lang w:eastAsia="zh-CN"/>
        </w:rPr>
        <w:t>工作和</w:t>
      </w:r>
      <w:r>
        <w:rPr>
          <w:rFonts w:hint="eastAsia" w:ascii="宋体" w:hAnsi="宋体" w:eastAsia="仿宋_GB2312" w:cs="仿宋_GB2312"/>
          <w:b w:val="0"/>
          <w:bCs w:val="0"/>
          <w:sz w:val="32"/>
          <w:szCs w:val="32"/>
        </w:rPr>
        <w:t>禁毒工作</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积极开展平安杨村建设。充分发挥大协调办作用，落实领导包案责任制，分级分类依法终结</w:t>
      </w:r>
      <w:r>
        <w:rPr>
          <w:rFonts w:hint="eastAsia" w:ascii="宋体" w:hAnsi="宋体" w:eastAsia="仿宋_GB2312" w:cs="仿宋_GB2312"/>
          <w:b w:val="0"/>
          <w:bCs w:val="0"/>
          <w:sz w:val="32"/>
          <w:szCs w:val="32"/>
          <w:lang w:eastAsia="zh-CN"/>
        </w:rPr>
        <w:t>历史积案</w:t>
      </w:r>
      <w:r>
        <w:rPr>
          <w:rFonts w:hint="eastAsia" w:ascii="宋体" w:hAnsi="宋体" w:eastAsia="仿宋_GB2312" w:cs="仿宋_GB2312"/>
          <w:b w:val="0"/>
          <w:bCs w:val="0"/>
          <w:sz w:val="32"/>
          <w:szCs w:val="32"/>
        </w:rPr>
        <w:t>。坚持阳光施政，积极推行政务公开、村务公开，</w:t>
      </w:r>
      <w:r>
        <w:rPr>
          <w:rFonts w:hint="eastAsia" w:ascii="宋体" w:hAnsi="宋体" w:eastAsia="仿宋_GB2312" w:cs="仿宋_GB2312"/>
          <w:b w:val="0"/>
          <w:bCs w:val="0"/>
          <w:sz w:val="32"/>
          <w:szCs w:val="32"/>
          <w:lang w:eastAsia="zh-CN"/>
        </w:rPr>
        <w:t>规范完善</w:t>
      </w:r>
      <w:r>
        <w:rPr>
          <w:rFonts w:hint="eastAsia" w:ascii="宋体" w:hAnsi="宋体" w:eastAsia="仿宋_GB2312" w:cs="仿宋_GB2312"/>
          <w:b w:val="0"/>
          <w:bCs w:val="0"/>
          <w:sz w:val="32"/>
          <w:szCs w:val="32"/>
        </w:rPr>
        <w:t>村规民约，深入开展村民自治和社区自治活动，切实保障人民群众依法行使民主权利。着力解决涉法涉诉信访问题，有效化解社会矛盾，各类矛盾纠纷</w:t>
      </w:r>
      <w:r>
        <w:rPr>
          <w:rFonts w:hint="eastAsia" w:ascii="宋体" w:hAnsi="宋体" w:eastAsia="仿宋_GB2312" w:cs="仿宋_GB2312"/>
          <w:b w:val="0"/>
          <w:bCs w:val="0"/>
          <w:sz w:val="32"/>
          <w:szCs w:val="32"/>
          <w:lang w:val="en-US" w:eastAsia="zh-CN"/>
        </w:rPr>
        <w:t>、</w:t>
      </w:r>
      <w:r>
        <w:rPr>
          <w:rFonts w:hint="eastAsia" w:ascii="宋体" w:hAnsi="宋体" w:eastAsia="仿宋_GB2312" w:cs="仿宋_GB2312"/>
          <w:b w:val="0"/>
          <w:bCs w:val="0"/>
          <w:sz w:val="32"/>
          <w:szCs w:val="32"/>
        </w:rPr>
        <w:t>来信来访办结率为</w:t>
      </w:r>
      <w:r>
        <w:rPr>
          <w:rFonts w:hint="eastAsia" w:ascii="宋体" w:hAnsi="宋体" w:eastAsia="仿宋_GB2312" w:cs="仿宋_GB2312"/>
          <w:b w:val="0"/>
          <w:bCs w:val="0"/>
          <w:sz w:val="32"/>
          <w:szCs w:val="32"/>
          <w:lang w:val="en-US" w:eastAsia="zh-CN"/>
        </w:rPr>
        <w:t>10</w:t>
      </w:r>
      <w:r>
        <w:rPr>
          <w:rFonts w:hint="eastAsia" w:ascii="宋体" w:hAnsi="宋体" w:eastAsia="仿宋_GB2312" w:cs="仿宋_GB2312"/>
          <w:b w:val="0"/>
          <w:bCs w:val="0"/>
          <w:sz w:val="32"/>
          <w:szCs w:val="32"/>
        </w:rPr>
        <w:t>0%，满意率为</w:t>
      </w:r>
      <w:r>
        <w:rPr>
          <w:rFonts w:hint="eastAsia" w:ascii="宋体" w:hAnsi="宋体" w:eastAsia="仿宋_GB2312" w:cs="仿宋_GB2312"/>
          <w:b w:val="0"/>
          <w:bCs w:val="0"/>
          <w:sz w:val="32"/>
          <w:szCs w:val="32"/>
          <w:lang w:val="en-US" w:eastAsia="zh-CN"/>
        </w:rPr>
        <w:t>96</w:t>
      </w:r>
      <w:r>
        <w:rPr>
          <w:rFonts w:hint="eastAsia" w:ascii="宋体" w:hAnsi="宋体" w:eastAsia="仿宋_GB2312" w:cs="仿宋_GB2312"/>
          <w:b w:val="0"/>
          <w:bCs w:val="0"/>
          <w:sz w:val="32"/>
          <w:szCs w:val="32"/>
        </w:rPr>
        <w:t>%。</w:t>
      </w:r>
      <w:r>
        <w:rPr>
          <w:rFonts w:hint="eastAsia" w:ascii="宋体" w:hAnsi="宋体" w:eastAsia="仿宋_GB2312" w:cs="仿宋_GB2312"/>
          <w:b w:val="0"/>
          <w:bCs w:val="0"/>
          <w:sz w:val="32"/>
          <w:szCs w:val="32"/>
          <w:lang w:val="en-US" w:eastAsia="zh-CN"/>
        </w:rPr>
        <w:t>完善信访工作机制，引导群众理性依法表达诉求。深入开展“扫黑除恶”专项行动，严厉打击违法犯罪行为，进一步巩固社会治理水平。</w:t>
      </w: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val="en-US" w:eastAsia="zh-CN"/>
        </w:rPr>
        <w:t>二是深化法治政府建设。</w:t>
      </w:r>
      <w:r>
        <w:rPr>
          <w:rFonts w:hint="eastAsia" w:ascii="宋体" w:hAnsi="宋体" w:eastAsia="仿宋_GB2312" w:cs="仿宋_GB2312"/>
          <w:b w:val="0"/>
          <w:bCs w:val="0"/>
          <w:sz w:val="32"/>
          <w:szCs w:val="32"/>
          <w:lang w:val="en-US" w:eastAsia="zh-CN"/>
        </w:rPr>
        <w:t>利用“6.26”禁毒宣传活动、“12.4”宪法宣传周活动、在辖区营造党员干部群众学法浓烈氛围，通过广播方法、入户讲法、发放宣传资料等形式，广大干部群众法律意识得到大提升。持续做好集中安置点后续治理工作，龙鞍社区杨村坪易地搬迁集中安置点相继得到各级部门通报表扬，乡风文明的新农村初具雏形。</w:t>
      </w:r>
    </w:p>
    <w:p>
      <w:pPr>
        <w:keepNext w:val="0"/>
        <w:keepLines w:val="0"/>
        <w:pageBreakBefore w:val="0"/>
        <w:widowControl w:val="0"/>
        <w:kinsoku/>
        <w:wordWrap/>
        <w:overflowPunct/>
        <w:topLinePunct w:val="0"/>
        <w:bidi w:val="0"/>
        <w:spacing w:line="576" w:lineRule="exact"/>
        <w:ind w:firstLine="643"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eastAsia="zh-CN"/>
        </w:rPr>
        <w:t>三是筑牢安全生产底线。</w:t>
      </w:r>
      <w:r>
        <w:rPr>
          <w:rFonts w:hint="eastAsia" w:ascii="宋体" w:hAnsi="宋体" w:eastAsia="仿宋_GB2312" w:cs="仿宋_GB2312"/>
          <w:b w:val="0"/>
          <w:bCs w:val="0"/>
          <w:sz w:val="32"/>
          <w:szCs w:val="32"/>
        </w:rPr>
        <w:t>坚持不懈抓安全生产，认真落实“一岗双责”加强安全监管，建立健全了责任追究机制</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积极做好了</w:t>
      </w:r>
      <w:r>
        <w:rPr>
          <w:rFonts w:hint="eastAsia" w:ascii="宋体" w:hAnsi="宋体" w:eastAsia="仿宋_GB2312" w:cs="仿宋_GB2312"/>
          <w:b w:val="0"/>
          <w:bCs w:val="0"/>
          <w:sz w:val="32"/>
          <w:szCs w:val="32"/>
          <w:lang w:eastAsia="zh-CN"/>
        </w:rPr>
        <w:t>森林</w:t>
      </w:r>
      <w:r>
        <w:rPr>
          <w:rFonts w:hint="eastAsia" w:ascii="宋体" w:hAnsi="宋体" w:eastAsia="仿宋_GB2312" w:cs="仿宋_GB2312"/>
          <w:b w:val="0"/>
          <w:bCs w:val="0"/>
          <w:sz w:val="32"/>
          <w:szCs w:val="32"/>
        </w:rPr>
        <w:t>防</w:t>
      </w:r>
      <w:r>
        <w:rPr>
          <w:rFonts w:hint="eastAsia" w:ascii="宋体" w:hAnsi="宋体" w:eastAsia="仿宋_GB2312" w:cs="仿宋_GB2312"/>
          <w:b w:val="0"/>
          <w:bCs w:val="0"/>
          <w:sz w:val="32"/>
          <w:szCs w:val="32"/>
          <w:lang w:eastAsia="zh-CN"/>
        </w:rPr>
        <w:t>灭</w:t>
      </w:r>
      <w:r>
        <w:rPr>
          <w:rFonts w:hint="eastAsia" w:ascii="宋体" w:hAnsi="宋体" w:eastAsia="仿宋_GB2312" w:cs="仿宋_GB2312"/>
          <w:b w:val="0"/>
          <w:bCs w:val="0"/>
          <w:sz w:val="32"/>
          <w:szCs w:val="32"/>
        </w:rPr>
        <w:t>火、防汛</w:t>
      </w:r>
      <w:r>
        <w:rPr>
          <w:rFonts w:hint="eastAsia" w:ascii="宋体" w:hAnsi="宋体" w:eastAsia="仿宋_GB2312" w:cs="仿宋_GB2312"/>
          <w:b w:val="0"/>
          <w:bCs w:val="0"/>
          <w:sz w:val="32"/>
          <w:szCs w:val="32"/>
          <w:lang w:eastAsia="zh-CN"/>
        </w:rPr>
        <w:t>抗旱</w:t>
      </w:r>
      <w:r>
        <w:rPr>
          <w:rFonts w:hint="eastAsia" w:ascii="宋体" w:hAnsi="宋体" w:eastAsia="仿宋_GB2312" w:cs="仿宋_GB2312"/>
          <w:b w:val="0"/>
          <w:bCs w:val="0"/>
          <w:sz w:val="32"/>
          <w:szCs w:val="32"/>
        </w:rPr>
        <w:t>、</w:t>
      </w:r>
      <w:r>
        <w:rPr>
          <w:rFonts w:hint="eastAsia" w:ascii="宋体" w:hAnsi="宋体" w:eastAsia="仿宋_GB2312" w:cs="仿宋_GB2312"/>
          <w:b w:val="0"/>
          <w:bCs w:val="0"/>
          <w:sz w:val="32"/>
          <w:szCs w:val="32"/>
          <w:lang w:eastAsia="zh-CN"/>
        </w:rPr>
        <w:t>疫情防控</w:t>
      </w:r>
      <w:r>
        <w:rPr>
          <w:rFonts w:hint="eastAsia" w:ascii="宋体" w:hAnsi="宋体" w:eastAsia="仿宋_GB2312" w:cs="仿宋_GB2312"/>
          <w:b w:val="0"/>
          <w:bCs w:val="0"/>
          <w:sz w:val="32"/>
          <w:szCs w:val="32"/>
        </w:rPr>
        <w:t>、食品安全及农产品检测等工作</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加强安全生产专项治理，加强对重点领域、重点行业的监督管理，坚决防范和杜绝各类重大安全事故发生</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2022年全</w:t>
      </w:r>
      <w:r>
        <w:rPr>
          <w:rFonts w:hint="eastAsia" w:ascii="宋体" w:hAnsi="宋体" w:eastAsia="仿宋_GB2312" w:cs="仿宋_GB2312"/>
          <w:b w:val="0"/>
          <w:bCs w:val="0"/>
          <w:sz w:val="32"/>
          <w:szCs w:val="32"/>
          <w:lang w:eastAsia="zh-CN"/>
        </w:rPr>
        <w:t>镇无安全事故发生。</w:t>
      </w:r>
    </w:p>
    <w:p>
      <w:pPr>
        <w:pStyle w:val="14"/>
        <w:keepNext w:val="0"/>
        <w:keepLines w:val="0"/>
        <w:pageBreakBefore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楷体_GB2312" w:hAnsi="楷体_GB2312" w:eastAsia="仿宋_GB2312" w:cs="楷体_GB2312"/>
          <w:b/>
          <w:bCs/>
          <w:color w:val="auto"/>
          <w:kern w:val="2"/>
          <w:sz w:val="32"/>
          <w:szCs w:val="32"/>
          <w:lang w:val="en-US" w:eastAsia="zh-CN" w:bidi="ar-SA"/>
        </w:rPr>
      </w:pPr>
    </w:p>
    <w:p>
      <w:pPr>
        <w:keepNext w:val="0"/>
        <w:keepLines w:val="0"/>
        <w:pageBreakBefore w:val="0"/>
        <w:widowControl w:val="0"/>
        <w:numPr>
          <w:ilvl w:val="0"/>
          <w:numId w:val="1"/>
        </w:numPr>
        <w:kinsoku/>
        <w:wordWrap/>
        <w:overflowPunct/>
        <w:topLinePunct w:val="0"/>
        <w:bidi w:val="0"/>
        <w:adjustRightInd w:val="0"/>
        <w:spacing w:line="576"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紧扣经济活力指标，发展动能更加强劲。</w:t>
      </w:r>
    </w:p>
    <w:p>
      <w:pPr>
        <w:keepNext w:val="0"/>
        <w:keepLines w:val="0"/>
        <w:pageBreakBefore w:val="0"/>
        <w:widowControl w:val="0"/>
        <w:numPr>
          <w:ilvl w:val="0"/>
          <w:numId w:val="0"/>
        </w:numPr>
        <w:kinsoku/>
        <w:wordWrap/>
        <w:overflowPunct/>
        <w:topLinePunct w:val="0"/>
        <w:bidi w:val="0"/>
        <w:adjustRightInd w:val="0"/>
        <w:spacing w:line="576" w:lineRule="exact"/>
        <w:ind w:firstLine="643" w:firstLineChars="200"/>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楷体_GB2312" w:cs="楷体_GB2312"/>
          <w:b/>
          <w:bCs/>
          <w:color w:val="auto"/>
          <w:kern w:val="2"/>
          <w:sz w:val="32"/>
          <w:szCs w:val="32"/>
          <w:lang w:val="en-US" w:eastAsia="zh-CN" w:bidi="ar-SA"/>
        </w:rPr>
        <w:t>一是全力抓好招商引资工作。</w:t>
      </w:r>
      <w:r>
        <w:rPr>
          <w:rFonts w:hint="eastAsia" w:ascii="宋体" w:hAnsi="宋体" w:eastAsia="仿宋_GB2312" w:cs="仿宋_GB2312"/>
          <w:b w:val="0"/>
          <w:bCs w:val="0"/>
          <w:color w:val="auto"/>
          <w:kern w:val="2"/>
          <w:sz w:val="32"/>
          <w:szCs w:val="32"/>
          <w:lang w:val="en-US" w:eastAsia="zh-CN" w:bidi="ar-SA"/>
        </w:rPr>
        <w:t>始终把招商引资和项目建设牢牢抓在手上，对标县委“1233”执政兴县战略，落实推动高质量发展和拼经济搞建设，截至目前完成2022年既定任务101%，项目储备500万以上4个。</w:t>
      </w:r>
    </w:p>
    <w:p>
      <w:pPr>
        <w:keepNext w:val="0"/>
        <w:keepLines w:val="0"/>
        <w:pageBreakBefore w:val="0"/>
        <w:widowControl w:val="0"/>
        <w:numPr>
          <w:ilvl w:val="0"/>
          <w:numId w:val="0"/>
        </w:numPr>
        <w:kinsoku/>
        <w:wordWrap/>
        <w:overflowPunct/>
        <w:topLinePunct w:val="0"/>
        <w:bidi w:val="0"/>
        <w:adjustRightInd w:val="0"/>
        <w:spacing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宋体" w:hAnsi="宋体" w:eastAsia="楷体_GB2312" w:cs="楷体_GB2312"/>
          <w:b/>
          <w:bCs/>
          <w:color w:val="auto"/>
          <w:kern w:val="2"/>
          <w:sz w:val="32"/>
          <w:szCs w:val="32"/>
          <w:lang w:val="en-US" w:eastAsia="zh-CN" w:bidi="ar-SA"/>
        </w:rPr>
        <w:t>二是全力提升在建项目进度。</w:t>
      </w:r>
      <w:r>
        <w:rPr>
          <w:rFonts w:hint="eastAsia" w:ascii="宋体" w:hAnsi="宋体" w:eastAsia="仿宋_GB2312" w:cs="仿宋_GB2312"/>
          <w:b w:val="0"/>
          <w:bCs w:val="0"/>
          <w:color w:val="auto"/>
          <w:sz w:val="32"/>
          <w:szCs w:val="32"/>
          <w:lang w:val="en-US" w:eastAsia="zh-CN"/>
        </w:rPr>
        <w:t>绵苍巴高速公路项目建设有序推进，官店村标准农田建设项目、白水村道路加宽、青墟场镇污水处理项目、龙鞍社区污水处理、杨村坪集中安置区巩固提升等重点项目相继落地建成，杨村镇经济社会发展基础得到全面夯实</w:t>
      </w:r>
      <w:r>
        <w:rPr>
          <w:rFonts w:hint="eastAsia" w:ascii="宋体" w:hAnsi="宋体" w:eastAsia="仿宋_GB2312" w:cs="仿宋_GB2312"/>
          <w:b w:val="0"/>
          <w:bCs w:val="0"/>
          <w:color w:val="auto"/>
          <w:kern w:val="2"/>
          <w:sz w:val="32"/>
          <w:szCs w:val="32"/>
          <w:lang w:val="en-US" w:eastAsia="zh-CN" w:bidi="ar-SA"/>
        </w:rPr>
        <w:t>。</w:t>
      </w:r>
    </w:p>
    <w:p>
      <w:pPr>
        <w:pStyle w:val="4"/>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剑阁县杨村镇人民政府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剑阁县杨村镇人民政府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6"/>
        <w:adjustRightInd w:val="0"/>
        <w:snapToGrid w:val="0"/>
        <w:spacing w:before="93" w:line="600" w:lineRule="exact"/>
        <w:ind w:firstLine="672" w:firstLineChars="210"/>
        <w:rPr>
          <w:rFonts w:hint="eastAsia" w:ascii="仿宋" w:hAnsi="仿宋" w:eastAsia="仿宋"/>
          <w:sz w:val="32"/>
          <w:szCs w:val="32"/>
          <w:lang w:eastAsia="zh-CN"/>
        </w:rPr>
      </w:pPr>
    </w:p>
    <w:p>
      <w:pPr>
        <w:pStyle w:val="3"/>
        <w:ind w:right="440"/>
        <w:jc w:val="center"/>
      </w:pPr>
      <w:bookmarkStart w:id="22" w:name="_Toc15377204"/>
      <w:bookmarkStart w:id="23" w:name="_Toc15396602"/>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2"/>
        </w:numPr>
        <w:spacing w:line="600" w:lineRule="exact"/>
        <w:ind w:firstLineChars="0"/>
        <w:outlineLvl w:val="1"/>
        <w:rPr>
          <w:rStyle w:val="32"/>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1265.29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1265.29</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1346.09</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-80.8</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1346.09</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-80.8</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w:t>
      </w:r>
      <w:r>
        <w:rPr>
          <w:rFonts w:hint="eastAsia" w:ascii="仿宋" w:hAnsi="仿宋" w:eastAsia="仿宋"/>
          <w:sz w:val="32"/>
          <w:szCs w:val="32"/>
          <w:lang w:eastAsia="zh-CN"/>
        </w:rPr>
        <w:t>项目</w:t>
      </w:r>
      <w:r>
        <w:rPr>
          <w:rFonts w:hint="eastAsia" w:ascii="仿宋" w:hAnsi="仿宋" w:eastAsia="仿宋"/>
          <w:sz w:val="32"/>
          <w:szCs w:val="32"/>
          <w:lang w:val="en-US" w:eastAsia="zh-CN"/>
        </w:rPr>
        <w:t>减少</w:t>
      </w:r>
      <w:r>
        <w:rPr>
          <w:rFonts w:hint="eastAsia" w:ascii="仿宋" w:hAnsi="仿宋" w:eastAsia="仿宋"/>
          <w:sz w:val="32"/>
          <w:szCs w:val="32"/>
        </w:rPr>
        <w:t>。</w:t>
      </w:r>
      <w:r>
        <w:rPr>
          <w:rFonts w:hint="eastAsia" w:ascii="仿宋" w:hAnsi="仿宋" w:eastAsia="仿宋"/>
          <w:sz w:val="32"/>
          <w:szCs w:val="32"/>
          <w:lang w:val="en-US" w:eastAsia="zh-CN"/>
        </w:rPr>
        <w:t xml:space="preserve">                                                          </w:t>
      </w:r>
    </w:p>
    <w:p>
      <w:pPr>
        <w:pStyle w:val="17"/>
        <w:ind w:left="0" w:leftChars="0" w:firstLine="0" w:firstLineChars="0"/>
        <w:jc w:val="both"/>
        <w:rPr>
          <w:rFonts w:hint="eastAsia" w:ascii="仿宋" w:hAnsi="仿宋" w:eastAsia="仿宋"/>
          <w:sz w:val="32"/>
          <w:szCs w:val="32"/>
        </w:rPr>
      </w:pPr>
      <w:r>
        <w:rPr>
          <w:rFonts w:hint="eastAsia"/>
          <w:lang w:val="en-US" w:eastAsia="zh-CN"/>
        </w:rPr>
        <w:t xml:space="preserve">             </w:t>
      </w:r>
      <w:r>
        <w:drawing>
          <wp:inline distT="0" distB="0" distL="114300" distR="114300">
            <wp:extent cx="4117340" cy="2352675"/>
            <wp:effectExtent l="4445" t="4445" r="1206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1920" w:firstLineChars="600"/>
        <w:jc w:val="both"/>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rPr>
          <w:rFonts w:hint="eastAsia"/>
        </w:rPr>
      </w:pPr>
    </w:p>
    <w:p>
      <w:pPr>
        <w:spacing w:line="600" w:lineRule="exact"/>
        <w:ind w:firstLine="640" w:firstLineChars="200"/>
        <w:jc w:val="left"/>
        <w:rPr>
          <w:rFonts w:ascii="仿宋_GB2312" w:eastAsia="仿宋_GB2312"/>
          <w:sz w:val="32"/>
          <w:szCs w:val="32"/>
        </w:rPr>
      </w:pPr>
    </w:p>
    <w:p>
      <w:pPr>
        <w:pStyle w:val="30"/>
        <w:numPr>
          <w:ilvl w:val="0"/>
          <w:numId w:val="2"/>
        </w:numPr>
        <w:spacing w:line="600" w:lineRule="exact"/>
        <w:ind w:firstLineChars="0"/>
        <w:outlineLvl w:val="1"/>
        <w:rPr>
          <w:rStyle w:val="32"/>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1265.29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1265.29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center"/>
      </w:pPr>
      <w:r>
        <w:drawing>
          <wp:inline distT="0" distB="0" distL="114300" distR="114300">
            <wp:extent cx="4040505" cy="2448560"/>
            <wp:effectExtent l="4445" t="5080" r="12700" b="2286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pStyle w:val="2"/>
        <w:rPr>
          <w:rFonts w:hint="eastAsia"/>
        </w:rPr>
      </w:pPr>
    </w:p>
    <w:p>
      <w:pPr>
        <w:pStyle w:val="30"/>
        <w:numPr>
          <w:ilvl w:val="0"/>
          <w:numId w:val="0"/>
        </w:numPr>
        <w:spacing w:line="600" w:lineRule="exact"/>
        <w:ind w:firstLine="640" w:firstLineChars="200"/>
        <w:outlineLvl w:val="1"/>
        <w:rPr>
          <w:rStyle w:val="32"/>
          <w:rFonts w:ascii="黑体" w:hAnsi="黑体" w:eastAsia="黑体"/>
          <w:b w:val="0"/>
        </w:rPr>
      </w:pPr>
      <w:bookmarkStart w:id="28" w:name="_Toc15377207"/>
      <w:bookmarkStart w:id="29" w:name="_Toc15396605"/>
      <w:r>
        <w:rPr>
          <w:rFonts w:hint="eastAsia" w:ascii="黑体" w:hAnsi="黑体" w:eastAsia="黑体"/>
          <w:sz w:val="32"/>
          <w:szCs w:val="32"/>
          <w:lang w:val="en-US" w:eastAsia="zh-CN"/>
        </w:rPr>
        <w:t>三、</w:t>
      </w:r>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1265.29</w:t>
      </w:r>
      <w:r>
        <w:rPr>
          <w:rFonts w:hint="eastAsia" w:ascii="仿宋" w:hAnsi="仿宋" w:eastAsia="仿宋"/>
          <w:sz w:val="32"/>
          <w:szCs w:val="32"/>
        </w:rPr>
        <w:t>万元，其中：基本支出</w:t>
      </w:r>
      <w:r>
        <w:rPr>
          <w:rFonts w:hint="eastAsia" w:ascii="仿宋" w:hAnsi="仿宋" w:eastAsia="仿宋"/>
          <w:sz w:val="32"/>
          <w:szCs w:val="32"/>
          <w:lang w:val="en-US" w:eastAsia="zh-CN"/>
        </w:rPr>
        <w:t>881.13</w:t>
      </w:r>
      <w:r>
        <w:rPr>
          <w:rFonts w:hint="eastAsia" w:ascii="仿宋" w:hAnsi="仿宋" w:eastAsia="仿宋"/>
          <w:sz w:val="32"/>
          <w:szCs w:val="32"/>
        </w:rPr>
        <w:t>万元，占</w:t>
      </w:r>
      <w:r>
        <w:rPr>
          <w:rFonts w:hint="eastAsia" w:ascii="仿宋" w:hAnsi="仿宋" w:eastAsia="仿宋"/>
          <w:sz w:val="32"/>
          <w:szCs w:val="32"/>
          <w:lang w:val="en-US" w:eastAsia="zh-CN"/>
        </w:rPr>
        <w:t>69.64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384.16</w:t>
      </w:r>
      <w:r>
        <w:rPr>
          <w:rFonts w:hint="eastAsia" w:ascii="仿宋" w:hAnsi="仿宋" w:eastAsia="仿宋"/>
          <w:sz w:val="32"/>
          <w:szCs w:val="32"/>
        </w:rPr>
        <w:t>万元，占</w:t>
      </w:r>
      <w:r>
        <w:rPr>
          <w:rFonts w:hint="eastAsia" w:ascii="仿宋" w:hAnsi="仿宋" w:eastAsia="仿宋"/>
          <w:sz w:val="32"/>
          <w:szCs w:val="32"/>
          <w:lang w:val="en-US" w:eastAsia="zh-CN"/>
        </w:rPr>
        <w:t>30.36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both"/>
      </w:pPr>
    </w:p>
    <w:p>
      <w:pPr>
        <w:pStyle w:val="17"/>
        <w:jc w:val="both"/>
      </w:pPr>
    </w:p>
    <w:p>
      <w:pPr>
        <w:pStyle w:val="17"/>
        <w:jc w:val="both"/>
      </w:pPr>
    </w:p>
    <w:p>
      <w:pPr>
        <w:pStyle w:val="17"/>
        <w:jc w:val="both"/>
        <w:rPr>
          <w:rFonts w:hint="eastAsia" w:ascii="仿宋" w:hAnsi="仿宋" w:eastAsia="仿宋"/>
          <w:sz w:val="32"/>
          <w:szCs w:val="32"/>
        </w:rPr>
      </w:pPr>
      <w:r>
        <w:drawing>
          <wp:inline distT="0" distB="0" distL="114300" distR="114300">
            <wp:extent cx="4826000" cy="291465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pStyle w:val="2"/>
      </w:pP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1265.29</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1265.29</w:t>
      </w:r>
      <w:r>
        <w:rPr>
          <w:rFonts w:hint="eastAsia" w:ascii="仿宋" w:hAnsi="仿宋" w:eastAsia="仿宋"/>
          <w:sz w:val="32"/>
          <w:szCs w:val="32"/>
        </w:rPr>
        <w:t>万元。与</w:t>
      </w:r>
      <w:bookmarkStart w:id="73" w:name="_GoBack"/>
      <w:bookmarkEnd w:id="73"/>
      <w:r>
        <w:rPr>
          <w:rFonts w:hint="eastAsia" w:ascii="仿宋" w:hAnsi="仿宋" w:eastAsia="仿宋"/>
          <w:sz w:val="32"/>
          <w:szCs w:val="32"/>
        </w:rPr>
        <w:t>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1346.09</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-80.8</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1346.09</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-80.8</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人员减少、项目减少</w:t>
      </w:r>
      <w:r>
        <w:rPr>
          <w:rFonts w:hint="eastAsia" w:ascii="仿宋" w:hAnsi="仿宋" w:eastAsia="仿宋"/>
          <w:sz w:val="32"/>
          <w:szCs w:val="32"/>
        </w:rPr>
        <w:t>。</w:t>
      </w:r>
    </w:p>
    <w:p>
      <w:pPr>
        <w:pStyle w:val="17"/>
        <w:rPr>
          <w:rFonts w:ascii="仿宋" w:hAnsi="仿宋" w:eastAsia="仿宋"/>
          <w:sz w:val="32"/>
          <w:szCs w:val="32"/>
        </w:rPr>
      </w:pPr>
      <w:r>
        <w:drawing>
          <wp:inline distT="0" distB="0" distL="114300" distR="114300">
            <wp:extent cx="4826000" cy="2828925"/>
            <wp:effectExtent l="4445" t="4445" r="8255"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7"/>
      </w:pPr>
    </w:p>
    <w:p>
      <w:pPr>
        <w:spacing w:line="600" w:lineRule="exact"/>
        <w:ind w:firstLine="640" w:firstLineChars="200"/>
        <w:outlineLvl w:val="1"/>
        <w:rPr>
          <w:rStyle w:val="32"/>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1265.29</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-80.8</w:t>
      </w:r>
      <w:r>
        <w:rPr>
          <w:rFonts w:hint="eastAsia" w:ascii="仿宋" w:hAnsi="仿宋" w:eastAsia="仿宋"/>
          <w:sz w:val="32"/>
          <w:szCs w:val="32"/>
        </w:rPr>
        <w:t>万元，增长</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职工</w:t>
      </w:r>
      <w:r>
        <w:rPr>
          <w:rFonts w:hint="eastAsia" w:ascii="仿宋" w:hAnsi="仿宋" w:eastAsia="仿宋"/>
          <w:sz w:val="32"/>
          <w:szCs w:val="32"/>
          <w:lang w:val="en-US" w:eastAsia="zh-CN"/>
        </w:rPr>
        <w:t>人员减少、项目减少</w:t>
      </w:r>
      <w:r>
        <w:rPr>
          <w:rFonts w:hint="eastAsia" w:ascii="仿宋" w:hAnsi="仿宋" w:eastAsia="仿宋"/>
          <w:sz w:val="32"/>
          <w:szCs w:val="32"/>
        </w:rPr>
        <w:t>。</w:t>
      </w:r>
    </w:p>
    <w:p>
      <w:pPr>
        <w:jc w:val="center"/>
        <w:rPr>
          <w:rFonts w:hint="eastAsia" w:ascii="仿宋" w:hAnsi="仿宋" w:eastAsia="仿宋"/>
          <w:sz w:val="32"/>
          <w:szCs w:val="32"/>
        </w:rPr>
      </w:pPr>
      <w:r>
        <w:drawing>
          <wp:inline distT="0" distB="0" distL="114300" distR="114300">
            <wp:extent cx="4826000" cy="291465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17"/>
        <w:rPr>
          <w:rFonts w:hint="eastAsia" w:ascii="仿宋" w:hAnsi="仿宋" w:eastAsia="仿宋"/>
          <w:sz w:val="32"/>
          <w:szCs w:val="32"/>
        </w:rPr>
      </w:pP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1265.29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384.96</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30.42</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0.5万元，占0.04%；</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106.49</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8.42</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146.04</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11.54</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30.91</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2.44</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5.47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0.43</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490.1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38.73</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交通运输支出</w:t>
      </w:r>
      <w:r>
        <w:rPr>
          <w:rFonts w:hint="eastAsia" w:ascii="仿宋" w:hAnsi="仿宋" w:eastAsia="仿宋" w:cs="Times New Roman"/>
          <w:b w:val="0"/>
          <w:bCs/>
          <w:sz w:val="32"/>
          <w:szCs w:val="32"/>
          <w:lang w:val="en-US" w:eastAsia="zh-CN"/>
        </w:rPr>
        <w:t>55万元，占4.35%；</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45.62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3.61</w:t>
      </w:r>
      <w:r>
        <w:rPr>
          <w:rFonts w:hint="eastAsia" w:ascii="仿宋" w:hAnsi="仿宋" w:eastAsia="仿宋" w:cs="Times New Roman"/>
          <w:sz w:val="32"/>
          <w:szCs w:val="32"/>
        </w:rPr>
        <w:t>％；</w:t>
      </w:r>
      <w:r>
        <w:rPr>
          <w:rFonts w:hint="eastAsia" w:ascii="仿宋" w:hAnsi="仿宋" w:eastAsia="仿宋" w:cs="Times New Roman"/>
          <w:b/>
          <w:sz w:val="32"/>
          <w:szCs w:val="32"/>
        </w:rPr>
        <w:t>灾害防治及应急管理支出</w:t>
      </w:r>
      <w:r>
        <w:rPr>
          <w:rFonts w:hint="eastAsia" w:ascii="仿宋" w:hAnsi="仿宋" w:eastAsia="仿宋" w:cs="Times New Roman"/>
          <w:sz w:val="32"/>
          <w:szCs w:val="32"/>
          <w:lang w:val="en-US" w:eastAsia="zh-CN"/>
        </w:rPr>
        <w:t>0.2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0.02</w:t>
      </w:r>
      <w:r>
        <w:rPr>
          <w:rFonts w:hint="eastAsia" w:ascii="仿宋" w:hAnsi="仿宋" w:eastAsia="仿宋" w:cs="Times New Roman"/>
          <w:sz w:val="32"/>
          <w:szCs w:val="32"/>
        </w:rPr>
        <w:t>％。</w:t>
      </w:r>
    </w:p>
    <w:p>
      <w:pPr>
        <w:rPr>
          <w:rFonts w:hint="eastAsia" w:ascii="仿宋" w:hAnsi="仿宋" w:eastAsia="仿宋" w:cs="Times New Roman"/>
          <w:sz w:val="32"/>
          <w:szCs w:val="32"/>
        </w:rPr>
      </w:pPr>
      <w:r>
        <w:rPr>
          <w:rFonts w:hint="eastAsia"/>
          <w:lang w:val="en-US" w:eastAsia="zh-CN"/>
        </w:rPr>
        <w:t xml:space="preserve">     </w:t>
      </w: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rPr>
          <w:rFonts w:hint="eastAsia"/>
        </w:rPr>
      </w:pP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1265.29万元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一般公共服务（类）人大事务（款）代表工作（项）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1.74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一般公共服务（类）政府办公厅（室）及相关机构事务（款）行政运行（项）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359.54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12.29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6.</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7.</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9.</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10.</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11.</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12.</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13.</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30.60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75.89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15</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85.21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16</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60.82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12.07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（类）行政事业单位医疗（款）事业单位医疗（项）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18.34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19</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eastAsia="zh-CN"/>
        </w:rPr>
        <w:t>卫生健康支出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其他卫生健康支出</w:t>
      </w:r>
      <w:r>
        <w:rPr>
          <w:rStyle w:val="20"/>
          <w:rFonts w:hint="eastAsia" w:ascii="仿宋" w:hAnsi="仿宋" w:eastAsia="仿宋"/>
          <w:b w:val="0"/>
          <w:bCs/>
          <w:color w:val="000000"/>
          <w:sz w:val="32"/>
          <w:szCs w:val="32"/>
        </w:rPr>
        <w:t>（款）其他卫生健康</w:t>
      </w:r>
      <w:r>
        <w:rPr>
          <w:rStyle w:val="20"/>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5.47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22</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19.9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pStyle w:val="6"/>
        <w:ind w:firstLine="64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农村道路建设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pStyle w:val="6"/>
        <w:ind w:firstLine="640"/>
        <w:rPr>
          <w:rStyle w:val="20"/>
          <w:rFonts w:hint="default" w:ascii="仿宋" w:hAnsi="仿宋" w:eastAsia="仿宋"/>
          <w:b w:val="0"/>
          <w:bCs/>
          <w:sz w:val="32"/>
          <w:szCs w:val="32"/>
          <w:lang w:val="en-US" w:eastAsia="zh-CN"/>
        </w:rPr>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防汛</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抗旱</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26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w:t>
      </w:r>
      <w:r>
        <w:rPr>
          <w:rStyle w:val="20"/>
          <w:rFonts w:hint="eastAsia" w:ascii="仿宋" w:hAnsi="仿宋" w:eastAsia="仿宋"/>
          <w:b w:val="0"/>
          <w:bCs/>
          <w:color w:val="000000"/>
          <w:sz w:val="32"/>
          <w:szCs w:val="32"/>
          <w:lang w:val="en-US" w:eastAsia="zh-CN"/>
        </w:rPr>
        <w:t>生产发展</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9.19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（类）巩固脱贫衔接乡村振兴（款）其他巩固脱贫衔接乡村振兴支出（项）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18.09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169.88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lang w:eastAsia="zh-CN"/>
        </w:rPr>
      </w:pPr>
      <w:r>
        <w:rPr>
          <w:rStyle w:val="20"/>
          <w:rFonts w:hint="eastAsia" w:ascii="仿宋" w:hAnsi="仿宋" w:eastAsia="仿宋"/>
          <w:b w:val="0"/>
          <w:bCs/>
          <w:color w:val="000000"/>
          <w:sz w:val="32"/>
          <w:szCs w:val="32"/>
          <w:lang w:val="en-US" w:eastAsia="zh-CN"/>
        </w:rPr>
        <w:t>29</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交通运输</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公路水路运输</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公路建设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55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30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45.62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pPr>
      <w:r>
        <w:rPr>
          <w:rStyle w:val="20"/>
          <w:rFonts w:hint="eastAsia" w:ascii="仿宋" w:hAnsi="仿宋" w:eastAsia="仿宋"/>
          <w:b w:val="0"/>
          <w:bCs/>
          <w:color w:val="000000"/>
          <w:sz w:val="32"/>
          <w:szCs w:val="32"/>
          <w:lang w:val="en-US" w:eastAsia="zh-CN"/>
        </w:rPr>
        <w:t>31</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灾害防治及应急管理支出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应急管理事务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应急管理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2"/>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881.13</w:t>
      </w:r>
      <w:r>
        <w:rPr>
          <w:rFonts w:hint="eastAsia" w:ascii="仿宋" w:hAnsi="仿宋" w:eastAsia="仿宋"/>
          <w:sz w:val="32"/>
          <w:szCs w:val="32"/>
        </w:rPr>
        <w:t>万元，其中：</w:t>
      </w:r>
    </w:p>
    <w:p>
      <w:pPr>
        <w:spacing w:line="600" w:lineRule="exact"/>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789.83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91.30</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42" w:name="_Toc15396609"/>
      <w:bookmarkStart w:id="43"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3.5</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减少4.1</w:t>
      </w:r>
      <w:r>
        <w:rPr>
          <w:rFonts w:hint="eastAsia" w:ascii="仿宋" w:hAnsi="仿宋" w:eastAsia="仿宋"/>
          <w:sz w:val="32"/>
          <w:szCs w:val="32"/>
        </w:rPr>
        <w:t>万元，</w:t>
      </w:r>
      <w:r>
        <w:rPr>
          <w:rFonts w:hint="eastAsia" w:ascii="仿宋" w:hAnsi="仿宋" w:eastAsia="仿宋"/>
          <w:sz w:val="32"/>
          <w:szCs w:val="32"/>
          <w:lang w:val="en-US" w:eastAsia="zh-CN"/>
        </w:rPr>
        <w:t>减少54.95</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7"/>
        <w:rPr>
          <w:rFonts w:hint="eastAsia" w:ascii="仿宋" w:hAnsi="仿宋" w:eastAsia="仿宋"/>
          <w:sz w:val="32"/>
          <w:szCs w:val="32"/>
        </w:rPr>
      </w:pPr>
      <w:r>
        <w:drawing>
          <wp:inline distT="0" distB="0" distL="114300" distR="114300">
            <wp:extent cx="4826000" cy="2743200"/>
            <wp:effectExtent l="4445" t="4445" r="8255" b="1460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3" w:firstLineChars="20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3.5</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sz w:val="32"/>
          <w:szCs w:val="32"/>
          <w:lang w:val="en-US" w:eastAsia="zh-CN"/>
        </w:rPr>
        <w:t>减少4.1</w:t>
      </w:r>
      <w:r>
        <w:rPr>
          <w:rFonts w:hint="eastAsia" w:ascii="仿宋" w:hAnsi="仿宋" w:eastAsia="仿宋"/>
          <w:sz w:val="32"/>
          <w:szCs w:val="32"/>
        </w:rPr>
        <w:t>万元，</w:t>
      </w:r>
      <w:r>
        <w:rPr>
          <w:rFonts w:hint="eastAsia" w:ascii="仿宋" w:hAnsi="仿宋" w:eastAsia="仿宋"/>
          <w:sz w:val="32"/>
          <w:szCs w:val="32"/>
          <w:lang w:val="en-US" w:eastAsia="zh-CN"/>
        </w:rPr>
        <w:t>减少54.95</w:t>
      </w:r>
      <w:r>
        <w:rPr>
          <w:rFonts w:hint="eastAsia" w:ascii="仿宋" w:hAnsi="仿宋" w:eastAsia="仿宋"/>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lang w:val="en-US" w:eastAsia="zh-CN"/>
        </w:rPr>
        <w:t>3.5</w:t>
      </w:r>
      <w:r>
        <w:rPr>
          <w:rFonts w:hint="eastAsia" w:ascii="仿宋_GB2312" w:eastAsia="仿宋_GB2312"/>
          <w:sz w:val="32"/>
          <w:szCs w:val="32"/>
        </w:rPr>
        <w:t>万元，主要用于执行公务、开展业务活动开支住宿费、用餐费等。国内公务接待</w:t>
      </w:r>
      <w:r>
        <w:rPr>
          <w:rFonts w:hint="eastAsia" w:ascii="仿宋_GB2312" w:eastAsia="仿宋_GB2312"/>
          <w:sz w:val="32"/>
          <w:szCs w:val="32"/>
          <w:lang w:val="en-US" w:eastAsia="zh-CN"/>
        </w:rPr>
        <w:t>109</w:t>
      </w:r>
      <w:r>
        <w:rPr>
          <w:rFonts w:hint="eastAsia" w:ascii="仿宋_GB2312" w:eastAsia="仿宋_GB2312"/>
          <w:sz w:val="32"/>
          <w:szCs w:val="32"/>
        </w:rPr>
        <w:t>批次，</w:t>
      </w:r>
      <w:r>
        <w:rPr>
          <w:rFonts w:hint="eastAsia" w:ascii="仿宋_GB2312" w:eastAsia="仿宋_GB2312"/>
          <w:sz w:val="32"/>
          <w:szCs w:val="32"/>
          <w:lang w:val="en-US" w:eastAsia="zh-CN"/>
        </w:rPr>
        <w:t>998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3.5</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3.5万元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2"/>
          <w:rFonts w:ascii="黑体" w:hAnsi="黑体" w:eastAsia="黑体"/>
          <w:b w:val="0"/>
        </w:rPr>
      </w:pPr>
      <w:bookmarkStart w:id="48" w:name="_Toc15377219"/>
      <w:bookmarkStart w:id="49" w:name="_Toc15396611"/>
      <w:r>
        <w:rPr>
          <w:rStyle w:val="32"/>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2"/>
          <w:rFonts w:ascii="黑体" w:hAnsi="黑体" w:eastAsia="黑体"/>
          <w:b w:val="0"/>
        </w:rPr>
      </w:pPr>
      <w:bookmarkStart w:id="50" w:name="_Toc15396612"/>
      <w:bookmarkStart w:id="51" w:name="_Toc15377221"/>
      <w:r>
        <w:rPr>
          <w:rStyle w:val="32"/>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剑阁县杨村镇人民政府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91.3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218.77</w:t>
      </w:r>
      <w:r>
        <w:rPr>
          <w:rFonts w:hint="eastAsia" w:ascii="仿宋_GB2312" w:eastAsia="仿宋_GB2312"/>
          <w:sz w:val="32"/>
          <w:szCs w:val="32"/>
        </w:rPr>
        <w:t>万元，下降</w:t>
      </w:r>
      <w:r>
        <w:rPr>
          <w:rFonts w:hint="eastAsia" w:ascii="仿宋_GB2312" w:eastAsia="仿宋_GB2312"/>
          <w:sz w:val="32"/>
          <w:szCs w:val="32"/>
          <w:lang w:val="en-US" w:eastAsia="zh-CN"/>
        </w:rPr>
        <w:t>70.55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剑阁县杨村镇人民政府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剑阁县杨村镇人民政府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组织对2022年度一般公共预算、政府性基金预算、国有资本经营预算、社会保险基金预算以及资本资产、债券资金等全面开展绩效自评，形成剑阁县杨村镇人民政府部门整体（含部门预算项目）绩效自评报告、</w:t>
      </w:r>
      <w:r>
        <w:rPr>
          <w:rFonts w:hint="eastAsia" w:ascii="仿宋_GB2312" w:hAnsi="仿宋_GB2312" w:eastAsia="仿宋_GB2312" w:cs="仿宋_GB2312"/>
          <w:sz w:val="32"/>
          <w:szCs w:val="32"/>
          <w:lang w:val="zh-CN" w:eastAsia="zh-CN"/>
        </w:rPr>
        <w:t>垃圾场设计变更项目（化解隐性债务）项目</w:t>
      </w:r>
      <w:r>
        <w:rPr>
          <w:rFonts w:hint="eastAsia" w:ascii="仿宋_GB2312" w:hAnsi="仿宋_GB2312" w:eastAsia="仿宋_GB2312" w:cs="仿宋_GB2312"/>
          <w:sz w:val="32"/>
          <w:szCs w:val="32"/>
          <w:lang w:val="en-US" w:eastAsia="zh-CN"/>
        </w:rPr>
        <w:t>等专项预算项目绩效自评报告，其中，剑阁县杨村镇人民政部门整体（含部门预算项目）绩效自评得分为98分，绩效自评综述：我镇预算安排的基本支出保障了正常的工作运转，在预算执行上是严格遵守各项财经纪律的；在资金的管理和使用上，严守法律底线、纪律底线、道德底线。杨垭安置点征地</w:t>
      </w:r>
      <w:r>
        <w:rPr>
          <w:rFonts w:hint="eastAsia" w:ascii="仿宋_GB2312" w:hAnsi="仿宋_GB2312" w:eastAsia="仿宋_GB2312" w:cs="仿宋_GB2312"/>
          <w:sz w:val="32"/>
          <w:szCs w:val="32"/>
          <w:lang w:val="zh-CN" w:eastAsia="zh-CN"/>
        </w:rPr>
        <w:t>项目（化解隐性债务）项目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1"/>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人大会议</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反映各级人大召开人民代表大会等专门会议的支出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指反映事业单位的基本支出，不包括行政单位（包括实行公务员管理的事业单位）后勤服务中心、医务室等附属事业单位。</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（款）其他统计信息事务支出（项）：</w:t>
      </w:r>
      <w:r>
        <w:rPr>
          <w:rFonts w:hint="eastAsia" w:ascii="仿宋_GB2312" w:hAnsi="仿宋_GB2312" w:cs="仿宋_GB2312"/>
          <w:b w:val="0"/>
          <w:bCs/>
          <w:sz w:val="32"/>
          <w:szCs w:val="32"/>
          <w:lang w:val="en-US" w:eastAsia="zh-CN"/>
        </w:rPr>
        <w:t>反映除上述项目以外的其他统计信息事务支出。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公共安全</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）强制隔离戒毒</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其他强制隔离戒毒</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指反映强制隔离戒毒管理部门及强制隔离戒毒所发生的强制隔离戒毒人员调遣费、突发事件处置费、安全保卫费、警察服装费、宣传及奖励费、技术辅导人员及关键要害岗位人员补助费等支出。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十九</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一</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（类）行政事业单位医疗（款）事业单位医疗（项）：指事业单位用于缴纳单位基本医疗保险支出。</w:t>
      </w:r>
    </w:p>
    <w:p>
      <w:pPr>
        <w:pStyle w:val="9"/>
        <w:numPr>
          <w:ilvl w:val="0"/>
          <w:numId w:val="0"/>
        </w:numPr>
        <w:ind w:firstLine="640" w:firstLineChars="200"/>
        <w:rPr>
          <w:rFonts w:hint="default" w:ascii="仿宋_GB2312" w:hAnsi="仿宋_GB2312" w:cs="仿宋_GB2312"/>
          <w:b w:val="0"/>
          <w:bCs/>
          <w:color w:val="auto"/>
          <w:sz w:val="32"/>
          <w:szCs w:val="32"/>
          <w:lang w:val="en-US" w:eastAsia="zh-CN"/>
        </w:rPr>
      </w:pP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二</w:t>
      </w:r>
      <w:r>
        <w:rPr>
          <w:rFonts w:hint="default" w:ascii="仿宋_GB2312" w:hAnsi="仿宋_GB2312" w:cs="仿宋_GB2312"/>
          <w:b w:val="0"/>
          <w:bCs/>
          <w:color w:val="auto"/>
          <w:sz w:val="32"/>
          <w:szCs w:val="32"/>
          <w:lang w:val="en-US" w:eastAsia="zh-CN"/>
        </w:rPr>
        <w:t>十</w:t>
      </w:r>
      <w:r>
        <w:rPr>
          <w:rFonts w:hint="eastAsia" w:ascii="仿宋_GB2312" w:hAnsi="仿宋_GB2312" w:cs="仿宋_GB2312"/>
          <w:b w:val="0"/>
          <w:bCs/>
          <w:color w:val="auto"/>
          <w:sz w:val="32"/>
          <w:szCs w:val="32"/>
          <w:lang w:val="en-US" w:eastAsia="zh-CN"/>
        </w:rPr>
        <w:t>三</w:t>
      </w: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卫生健康支出</w:t>
      </w:r>
      <w:r>
        <w:rPr>
          <w:rFonts w:hint="default" w:ascii="仿宋_GB2312" w:hAnsi="仿宋_GB2312" w:cs="仿宋_GB2312"/>
          <w:b w:val="0"/>
          <w:bCs/>
          <w:color w:val="auto"/>
          <w:sz w:val="32"/>
          <w:szCs w:val="32"/>
          <w:lang w:val="en-US" w:eastAsia="zh-CN"/>
        </w:rPr>
        <w:t>（类）</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（款）</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（项）：</w:t>
      </w:r>
      <w:r>
        <w:rPr>
          <w:rFonts w:hint="eastAsia" w:ascii="仿宋_GB2312" w:hAnsi="仿宋_GB2312" w:cs="仿宋_GB2312"/>
          <w:b w:val="0"/>
          <w:bCs/>
          <w:color w:val="auto"/>
          <w:sz w:val="32"/>
          <w:szCs w:val="32"/>
          <w:lang w:val="en-US" w:eastAsia="zh-CN"/>
        </w:rPr>
        <w:t>反映除上述项目以外其他用于卫生健康方面的支出。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巩固脱贫衔接与乡村振兴</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其他巩固脱贫衔接乡村振兴支出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反映除上述项目以外其他用于巩固拓展脱贫攻坚成果同乡村振兴有效衔接方面的支出。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（款）其他农村综合改革支出（项）：</w:t>
      </w:r>
      <w:r>
        <w:rPr>
          <w:rFonts w:hint="eastAsia" w:ascii="仿宋_GB2312" w:hAnsi="仿宋_GB2312" w:cs="仿宋_GB2312"/>
          <w:b w:val="0"/>
          <w:bCs/>
          <w:sz w:val="32"/>
          <w:szCs w:val="32"/>
          <w:lang w:val="en-US" w:eastAsia="zh-CN"/>
        </w:rPr>
        <w:t>反映除上述项目以外其他用于农村综合改革方面的支出。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（三十一</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（三十二</w:t>
      </w:r>
      <w:r>
        <w:rPr>
          <w:rFonts w:hint="default" w:ascii="仿宋_GB2312" w:hAnsi="仿宋_GB2312" w:cs="仿宋_GB2312"/>
          <w:b w:val="0"/>
          <w:bCs/>
          <w:sz w:val="32"/>
          <w:szCs w:val="32"/>
          <w:lang w:val="en-US" w:eastAsia="zh-CN"/>
        </w:rPr>
        <w:t>）灾害防治及应急管理支出（类）应急管理事务（款）</w:t>
      </w:r>
      <w:r>
        <w:rPr>
          <w:rFonts w:hint="eastAsia" w:ascii="仿宋_GB2312" w:hAnsi="仿宋_GB2312" w:cs="仿宋_GB2312"/>
          <w:b w:val="0"/>
          <w:bCs/>
          <w:sz w:val="32"/>
          <w:szCs w:val="32"/>
          <w:lang w:val="en-US" w:eastAsia="zh-CN"/>
        </w:rPr>
        <w:t>应急管理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反映用于应急管理的法律法规修订制定，应急预案演练、协调保障等方面的支出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三十三</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三十四</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9"/>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三十五</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 w:hAnsi="仿宋" w:eastAsia="仿宋"/>
          <w:b/>
          <w:sz w:val="32"/>
          <w:szCs w:val="32"/>
        </w:rPr>
      </w:pPr>
    </w:p>
    <w:p>
      <w:pPr>
        <w:spacing w:line="600" w:lineRule="exact"/>
        <w:jc w:val="center"/>
        <w:outlineLvl w:val="0"/>
        <w:rPr>
          <w:rStyle w:val="31"/>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31"/>
          <w:rFonts w:hint="eastAsia" w:ascii="黑体" w:hAnsi="黑体" w:eastAsia="黑体"/>
          <w:b w:val="0"/>
        </w:rPr>
        <w:t>四部分 附件</w:t>
      </w:r>
      <w:bookmarkEnd w:id="58"/>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eastAsia="zh-CN"/>
        </w:rPr>
        <w:t>杨村</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杨村镇内设机构（五办四中心）：党政综合与乡村振兴办公室、党建工作办公室、综合行政执法办公室、社会事务办公室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5、完成上级政府交办的其他事项。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en-US" w:eastAsia="zh-CN" w:bidi="ar-SA"/>
        </w:rPr>
        <w:t>2022年我镇总编制59名，其中行政编制24名，机关工勤编制2名，事业编制33名。年末在职人员总数58人，其中行政人员20人，事业人员37人，机关工勤人员1人。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2022年杨村镇人民政府收入总额为1265.29万元，其中：一般公共预算财政拨款收入1265.29万元。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snapToGrid w:val="0"/>
        <w:spacing w:line="520" w:lineRule="exact"/>
        <w:ind w:firstLine="640" w:firstLineChars="200"/>
        <w:rPr>
          <w:rFonts w:hint="eastAsia" w:ascii="仿宋_GB2312" w:hAnsi="仿宋"/>
          <w:sz w:val="32"/>
          <w:szCs w:val="32"/>
          <w:highlight w:val="none"/>
          <w:lang w:eastAsia="zh-CN"/>
        </w:rPr>
      </w:pPr>
      <w:r>
        <w:rPr>
          <w:rFonts w:hint="eastAsia" w:ascii="仿宋_GB2312" w:hAnsi="仿宋"/>
          <w:sz w:val="32"/>
          <w:szCs w:val="32"/>
          <w:highlight w:val="none"/>
          <w:lang w:eastAsia="zh-CN"/>
        </w:rPr>
        <w:t>2022年度杨村镇人民政府支出总额为</w:t>
      </w:r>
      <w:r>
        <w:rPr>
          <w:rFonts w:hint="eastAsia" w:ascii="仿宋_GB2312" w:hAnsi="仿宋"/>
          <w:sz w:val="32"/>
          <w:szCs w:val="32"/>
          <w:highlight w:val="none"/>
          <w:lang w:val="en-US" w:eastAsia="zh-CN"/>
        </w:rPr>
        <w:t>1265.29</w:t>
      </w:r>
      <w:r>
        <w:rPr>
          <w:rFonts w:hint="eastAsia" w:ascii="仿宋_GB2312" w:hAnsi="仿宋"/>
          <w:sz w:val="32"/>
          <w:szCs w:val="32"/>
          <w:highlight w:val="none"/>
          <w:lang w:eastAsia="zh-CN"/>
        </w:rPr>
        <w:t>万元，一般公共服务支出</w:t>
      </w:r>
      <w:r>
        <w:rPr>
          <w:rFonts w:hint="eastAsia" w:ascii="仿宋_GB2312" w:hAnsi="仿宋"/>
          <w:sz w:val="32"/>
          <w:szCs w:val="32"/>
          <w:highlight w:val="none"/>
          <w:lang w:val="en-US" w:eastAsia="zh-CN"/>
        </w:rPr>
        <w:t>384.96</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30.42</w:t>
      </w:r>
      <w:r>
        <w:rPr>
          <w:rFonts w:hint="eastAsia" w:ascii="仿宋_GB2312" w:hAnsi="仿宋"/>
          <w:sz w:val="32"/>
          <w:szCs w:val="32"/>
          <w:highlight w:val="none"/>
          <w:lang w:eastAsia="zh-CN"/>
        </w:rPr>
        <w:t>%；</w:t>
      </w:r>
      <w:r>
        <w:rPr>
          <w:rFonts w:hint="eastAsia" w:ascii="仿宋_GB2312" w:hAnsi="仿宋"/>
          <w:sz w:val="32"/>
          <w:szCs w:val="32"/>
          <w:highlight w:val="none"/>
          <w:lang w:val="en-US" w:eastAsia="zh-CN"/>
        </w:rPr>
        <w:t>国防支出0.5万元，占0.04%；</w:t>
      </w:r>
      <w:r>
        <w:rPr>
          <w:rFonts w:hint="eastAsia" w:ascii="仿宋_GB2312" w:hAnsi="仿宋"/>
          <w:sz w:val="32"/>
          <w:szCs w:val="32"/>
          <w:highlight w:val="none"/>
          <w:lang w:eastAsia="zh-CN"/>
        </w:rPr>
        <w:t>文化旅游体育与传媒支出</w:t>
      </w:r>
      <w:r>
        <w:rPr>
          <w:rFonts w:hint="eastAsia" w:ascii="仿宋_GB2312" w:hAnsi="仿宋"/>
          <w:sz w:val="32"/>
          <w:szCs w:val="32"/>
          <w:highlight w:val="none"/>
          <w:lang w:val="en-US" w:eastAsia="zh-CN"/>
        </w:rPr>
        <w:t>106.49</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8.42</w:t>
      </w:r>
      <w:r>
        <w:rPr>
          <w:rFonts w:hint="eastAsia" w:ascii="仿宋_GB2312" w:hAnsi="仿宋"/>
          <w:sz w:val="32"/>
          <w:szCs w:val="32"/>
          <w:highlight w:val="none"/>
          <w:lang w:eastAsia="zh-CN"/>
        </w:rPr>
        <w:t>％；社会保障和就业支出</w:t>
      </w:r>
      <w:r>
        <w:rPr>
          <w:rFonts w:hint="eastAsia" w:ascii="仿宋_GB2312" w:hAnsi="仿宋"/>
          <w:sz w:val="32"/>
          <w:szCs w:val="32"/>
          <w:highlight w:val="none"/>
          <w:lang w:val="en-US" w:eastAsia="zh-CN"/>
        </w:rPr>
        <w:t>146.04</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11.54</w:t>
      </w:r>
      <w:r>
        <w:rPr>
          <w:rFonts w:hint="eastAsia" w:ascii="仿宋_GB2312" w:hAnsi="仿宋"/>
          <w:sz w:val="32"/>
          <w:szCs w:val="32"/>
          <w:highlight w:val="none"/>
          <w:lang w:eastAsia="zh-CN"/>
        </w:rPr>
        <w:t>％；卫生健康支出</w:t>
      </w:r>
      <w:r>
        <w:rPr>
          <w:rFonts w:hint="eastAsia" w:ascii="仿宋_GB2312" w:hAnsi="仿宋"/>
          <w:sz w:val="32"/>
          <w:szCs w:val="32"/>
          <w:highlight w:val="none"/>
          <w:lang w:val="en-US" w:eastAsia="zh-CN"/>
        </w:rPr>
        <w:t>30.91</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2.44</w:t>
      </w:r>
      <w:r>
        <w:rPr>
          <w:rFonts w:hint="eastAsia" w:ascii="仿宋_GB2312" w:hAnsi="仿宋"/>
          <w:sz w:val="32"/>
          <w:szCs w:val="32"/>
          <w:highlight w:val="none"/>
          <w:lang w:eastAsia="zh-CN"/>
        </w:rPr>
        <w:t>％；城乡社区支出</w:t>
      </w:r>
      <w:r>
        <w:rPr>
          <w:rFonts w:hint="eastAsia" w:ascii="仿宋_GB2312" w:hAnsi="仿宋"/>
          <w:sz w:val="32"/>
          <w:szCs w:val="32"/>
          <w:highlight w:val="none"/>
          <w:lang w:val="en-US" w:eastAsia="zh-CN"/>
        </w:rPr>
        <w:t>5.47</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0.43</w:t>
      </w:r>
      <w:r>
        <w:rPr>
          <w:rFonts w:hint="eastAsia" w:ascii="仿宋_GB2312" w:hAnsi="仿宋"/>
          <w:sz w:val="32"/>
          <w:szCs w:val="32"/>
          <w:highlight w:val="none"/>
          <w:lang w:eastAsia="zh-CN"/>
        </w:rPr>
        <w:t>％；农林水支出</w:t>
      </w:r>
      <w:r>
        <w:rPr>
          <w:rFonts w:hint="eastAsia" w:ascii="仿宋_GB2312" w:hAnsi="仿宋"/>
          <w:sz w:val="32"/>
          <w:szCs w:val="32"/>
          <w:highlight w:val="none"/>
          <w:lang w:val="en-US" w:eastAsia="zh-CN"/>
        </w:rPr>
        <w:t>490.1</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38.73</w:t>
      </w:r>
      <w:r>
        <w:rPr>
          <w:rFonts w:hint="eastAsia" w:ascii="仿宋_GB2312" w:hAnsi="仿宋"/>
          <w:sz w:val="32"/>
          <w:szCs w:val="32"/>
          <w:highlight w:val="none"/>
          <w:lang w:eastAsia="zh-CN"/>
        </w:rPr>
        <w:t>％；</w:t>
      </w:r>
      <w:r>
        <w:rPr>
          <w:rFonts w:hint="eastAsia" w:ascii="仿宋_GB2312" w:hAnsi="仿宋"/>
          <w:sz w:val="32"/>
          <w:szCs w:val="32"/>
          <w:highlight w:val="none"/>
          <w:lang w:val="en-US" w:eastAsia="zh-CN"/>
        </w:rPr>
        <w:t>交通运输支出55万元，占4.35%；</w:t>
      </w:r>
      <w:r>
        <w:rPr>
          <w:rFonts w:hint="eastAsia" w:ascii="仿宋_GB2312" w:hAnsi="仿宋"/>
          <w:sz w:val="32"/>
          <w:szCs w:val="32"/>
          <w:highlight w:val="none"/>
          <w:lang w:eastAsia="zh-CN"/>
        </w:rPr>
        <w:t>住房保障支出</w:t>
      </w:r>
      <w:r>
        <w:rPr>
          <w:rFonts w:hint="eastAsia" w:ascii="仿宋_GB2312" w:hAnsi="仿宋"/>
          <w:sz w:val="32"/>
          <w:szCs w:val="32"/>
          <w:highlight w:val="none"/>
          <w:lang w:val="en-US" w:eastAsia="zh-CN"/>
        </w:rPr>
        <w:t>45.62</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3.61</w:t>
      </w:r>
      <w:r>
        <w:rPr>
          <w:rFonts w:hint="eastAsia" w:ascii="仿宋_GB2312" w:hAnsi="仿宋"/>
          <w:sz w:val="32"/>
          <w:szCs w:val="32"/>
          <w:highlight w:val="none"/>
          <w:lang w:eastAsia="zh-CN"/>
        </w:rPr>
        <w:t>％；灾害防治及应急管理支出</w:t>
      </w:r>
      <w:r>
        <w:rPr>
          <w:rFonts w:hint="eastAsia" w:ascii="仿宋_GB2312" w:hAnsi="仿宋"/>
          <w:sz w:val="32"/>
          <w:szCs w:val="32"/>
          <w:highlight w:val="none"/>
          <w:lang w:val="en-US" w:eastAsia="zh-CN"/>
        </w:rPr>
        <w:t>0.2</w:t>
      </w:r>
      <w:r>
        <w:rPr>
          <w:rFonts w:hint="eastAsia" w:ascii="仿宋_GB2312" w:hAnsi="仿宋"/>
          <w:sz w:val="32"/>
          <w:szCs w:val="32"/>
          <w:highlight w:val="none"/>
          <w:lang w:eastAsia="zh-CN"/>
        </w:rPr>
        <w:t>万元，占</w:t>
      </w:r>
      <w:r>
        <w:rPr>
          <w:rFonts w:hint="eastAsia" w:ascii="仿宋_GB2312" w:hAnsi="仿宋"/>
          <w:sz w:val="32"/>
          <w:szCs w:val="32"/>
          <w:highlight w:val="none"/>
          <w:lang w:val="en-US" w:eastAsia="zh-CN"/>
        </w:rPr>
        <w:t>0.02</w:t>
      </w:r>
      <w:r>
        <w:rPr>
          <w:rFonts w:hint="eastAsia" w:ascii="仿宋_GB2312" w:hAnsi="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789.83万元，实际支付789.83万元，资金执行率100%，执行情况较好，未使用部分资金系国库未及时审核支付部分保险，将结转至下年使用。存在问题：资金到位不及时，影响职工五险一金按时缴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2022年运转类项目预算91.3万元，实际支付91.3万元，资金执行率100%，机关日常事务运转得到充分保障，预算执行情况较好。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384.16万元，实际支付384.16万元，资金执行率100%，执行情况较好，未使用部分资金系国库未及时审核支付村组干部报酬、村运行费、维护费等，将结转至下年使用。存在问题：资金到位不及时，导致部分项目推进缓慢，无法最大限度实现预期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100</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7"/>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62"/>
        <w:gridCol w:w="477"/>
        <w:gridCol w:w="812"/>
        <w:gridCol w:w="989"/>
        <w:gridCol w:w="283"/>
        <w:gridCol w:w="991"/>
        <w:gridCol w:w="252"/>
        <w:gridCol w:w="1032"/>
        <w:gridCol w:w="284"/>
        <w:gridCol w:w="1098"/>
        <w:gridCol w:w="69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杨村</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1265.29</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1265.29</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1265.29</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1265.29</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剑阁县杨村镇人民政府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关于垃圾场设计变更项目（化解隐性债务）</w:t>
      </w:r>
      <w:r>
        <w:rPr>
          <w:rFonts w:hint="eastAsia" w:ascii="华文中宋" w:hAnsi="华文中宋" w:eastAsia="华文中宋" w:cs="华文中宋"/>
          <w:b/>
          <w:bCs/>
          <w:sz w:val="36"/>
          <w:szCs w:val="36"/>
          <w:lang w:val="zh-CN"/>
        </w:rPr>
        <w:t>项目</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ascii="宋体" w:hAnsi="宋体"/>
          <w:color w:val="auto"/>
          <w:kern w:val="2"/>
          <w:sz w:val="32"/>
          <w:szCs w:val="32"/>
          <w:highlight w:val="none"/>
        </w:rPr>
      </w:pPr>
      <w:r>
        <w:rPr>
          <w:rFonts w:hint="eastAsia" w:ascii="华文中宋" w:hAnsi="华文中宋" w:eastAsia="华文中宋" w:cs="华文中宋"/>
          <w:b/>
          <w:bCs/>
          <w:sz w:val="36"/>
          <w:szCs w:val="36"/>
          <w:lang w:val="zh-CN"/>
        </w:rPr>
        <w:t>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2022年县财政局下达专项化解隐性债务资金，涉及我镇杨垭安置点征地</w:t>
      </w:r>
      <w:r>
        <w:rPr>
          <w:rFonts w:hint="eastAsia" w:ascii="仿宋_GB2312" w:hAnsi="仿宋" w:eastAsia="仿宋_GB2312" w:cs="仿宋"/>
          <w:color w:val="000000"/>
          <w:sz w:val="32"/>
          <w:szCs w:val="32"/>
          <w:lang w:val="zh-CN" w:eastAsia="zh-CN"/>
        </w:rPr>
        <w:t>项目（化解隐性债务）项目</w:t>
      </w:r>
      <w:r>
        <w:rPr>
          <w:rFonts w:hint="eastAsia" w:ascii="仿宋_GB2312" w:hAnsi="仿宋" w:eastAsia="仿宋_GB2312" w:cs="仿宋"/>
          <w:color w:val="000000"/>
          <w:sz w:val="32"/>
          <w:szCs w:val="32"/>
          <w:lang w:val="en-US" w:eastAsia="zh-CN"/>
        </w:rPr>
        <w:t>37.2万元，我镇对该项资金的使用符合资金管理办法等相关规定。</w:t>
      </w:r>
    </w:p>
    <w:p>
      <w:pPr>
        <w:ind w:firstLine="560" w:firstLineChars="200"/>
        <w:rPr>
          <w:rFonts w:hint="eastAsia" w:ascii="仿宋_GB2312" w:hAnsi="仿宋" w:eastAsia="仿宋_GB2312" w:cs="仿宋"/>
          <w:color w:val="000000"/>
          <w:sz w:val="32"/>
          <w:szCs w:val="32"/>
          <w:lang w:val="en-US" w:eastAsia="zh-CN"/>
        </w:rPr>
      </w:pPr>
      <w:r>
        <w:rPr>
          <w:rFonts w:hint="eastAsia"/>
          <w:sz w:val="28"/>
          <w:szCs w:val="28"/>
        </w:rPr>
        <w:t>（二）</w:t>
      </w:r>
      <w:r>
        <w:rPr>
          <w:rFonts w:hint="eastAsia"/>
          <w:b/>
          <w:bCs/>
          <w:sz w:val="28"/>
          <w:szCs w:val="28"/>
        </w:rPr>
        <w:t>项目绩效目标。</w:t>
      </w:r>
      <w:r>
        <w:rPr>
          <w:rFonts w:hint="eastAsia" w:ascii="仿宋_GB2312" w:hAnsi="仿宋" w:eastAsia="仿宋_GB2312" w:cs="仿宋"/>
          <w:color w:val="000000"/>
          <w:sz w:val="32"/>
          <w:szCs w:val="32"/>
          <w:lang w:val="en-US" w:eastAsia="zh-CN"/>
        </w:rPr>
        <w:t>完成隐性债务化解37.2万元，提高政府社会诚信度。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仿宋_GB2312" w:hAnsi="仿宋" w:eastAsia="仿宋_GB2312" w:cs="仿宋"/>
          <w:color w:val="000000"/>
          <w:sz w:val="32"/>
          <w:szCs w:val="32"/>
          <w:lang w:val="en-US" w:eastAsia="zh-CN"/>
        </w:rPr>
      </w:pPr>
      <w:r>
        <w:rPr>
          <w:rFonts w:hint="eastAsia"/>
          <w:sz w:val="28"/>
          <w:szCs w:val="28"/>
        </w:rPr>
        <w:t>（三）</w:t>
      </w:r>
      <w:r>
        <w:rPr>
          <w:rFonts w:hint="eastAsia"/>
          <w:b/>
          <w:bCs/>
          <w:sz w:val="28"/>
          <w:szCs w:val="28"/>
        </w:rPr>
        <w:t>项目资金申报相符性。</w:t>
      </w:r>
      <w:r>
        <w:rPr>
          <w:rFonts w:hint="eastAsia" w:ascii="仿宋_GB2312" w:hAnsi="仿宋" w:eastAsia="仿宋_GB2312" w:cs="仿宋"/>
          <w:color w:val="000000"/>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keepNext w:val="0"/>
        <w:keepLines w:val="0"/>
        <w:pageBreakBefore w:val="0"/>
        <w:widowControl w:val="0"/>
        <w:kinsoku/>
        <w:wordWrap/>
        <w:overflowPunct/>
        <w:topLinePunct w:val="0"/>
        <w:autoSpaceDE/>
        <w:autoSpaceDN/>
        <w:bidi w:val="0"/>
        <w:spacing w:line="576" w:lineRule="exact"/>
        <w:ind w:firstLine="560" w:firstLineChars="200"/>
        <w:textAlignment w:val="auto"/>
        <w:rPr>
          <w:rFonts w:hint="eastAsia"/>
          <w:sz w:val="28"/>
          <w:szCs w:val="28"/>
        </w:rPr>
      </w:pPr>
      <w:r>
        <w:rPr>
          <w:rFonts w:hint="eastAsia"/>
          <w:sz w:val="28"/>
          <w:szCs w:val="28"/>
        </w:rPr>
        <w:t>1．</w:t>
      </w:r>
      <w:r>
        <w:rPr>
          <w:rFonts w:hint="eastAsia" w:ascii="仿宋_GB2312" w:hAnsi="仿宋" w:eastAsia="仿宋_GB2312" w:cs="仿宋"/>
          <w:color w:val="000000"/>
          <w:sz w:val="32"/>
          <w:szCs w:val="32"/>
          <w:lang w:val="zh-CN" w:eastAsia="zh-CN"/>
        </w:rPr>
        <w:t>资金计划及到位</w:t>
      </w:r>
      <w:r>
        <w:rPr>
          <w:rFonts w:hint="eastAsia" w:ascii="仿宋_GB2312" w:hAnsi="仿宋" w:eastAsia="仿宋_GB2312" w:cs="仿宋"/>
          <w:color w:val="000000"/>
          <w:sz w:val="32"/>
          <w:szCs w:val="32"/>
          <w:lang w:val="en-US" w:eastAsia="zh-CN"/>
        </w:rPr>
        <w:t>。该项目计划资金37.2万元，资金到位率100%，到位及时</w:t>
      </w:r>
      <w:r>
        <w:rPr>
          <w:rFonts w:hint="eastAsia" w:ascii="仿宋_GB2312" w:hAnsi="仿宋" w:eastAsia="仿宋_GB2312" w:cs="仿宋"/>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sz w:val="28"/>
          <w:szCs w:val="28"/>
        </w:rPr>
      </w:pPr>
      <w:r>
        <w:rPr>
          <w:rFonts w:hint="eastAsia"/>
          <w:sz w:val="28"/>
          <w:szCs w:val="28"/>
        </w:rPr>
        <w:t>2．</w:t>
      </w:r>
      <w:r>
        <w:rPr>
          <w:rFonts w:hint="eastAsia" w:ascii="仿宋_GB2312" w:hAnsi="仿宋" w:eastAsia="仿宋_GB2312" w:cs="仿宋"/>
          <w:color w:val="000000"/>
          <w:sz w:val="32"/>
          <w:szCs w:val="32"/>
          <w:lang w:val="zh-CN" w:eastAsia="zh-CN"/>
        </w:rPr>
        <w:t>资金使用。截至评价时点</w:t>
      </w:r>
      <w:r>
        <w:rPr>
          <w:rFonts w:hint="eastAsia" w:ascii="仿宋_GB2312" w:hAnsi="仿宋" w:eastAsia="仿宋_GB2312" w:cs="仿宋"/>
          <w:color w:val="000000"/>
          <w:sz w:val="32"/>
          <w:szCs w:val="32"/>
          <w:lang w:val="en-US" w:eastAsia="zh-CN"/>
        </w:rPr>
        <w:t>杨垭安置点征地</w:t>
      </w:r>
      <w:r>
        <w:rPr>
          <w:rFonts w:hint="eastAsia" w:ascii="仿宋_GB2312" w:hAnsi="仿宋" w:eastAsia="仿宋_GB2312" w:cs="仿宋"/>
          <w:color w:val="000000"/>
          <w:sz w:val="32"/>
          <w:szCs w:val="32"/>
          <w:lang w:val="zh-CN" w:eastAsia="zh-CN"/>
        </w:rPr>
        <w:t>项目（化解隐性债务）项目资金的实际支出</w:t>
      </w:r>
      <w:r>
        <w:rPr>
          <w:rFonts w:hint="eastAsia" w:ascii="仿宋_GB2312" w:hAnsi="仿宋" w:eastAsia="仿宋_GB2312" w:cs="仿宋"/>
          <w:color w:val="000000"/>
          <w:sz w:val="32"/>
          <w:szCs w:val="32"/>
          <w:lang w:val="en-US" w:eastAsia="zh-CN"/>
        </w:rPr>
        <w:t>37.2万元</w:t>
      </w:r>
      <w:r>
        <w:rPr>
          <w:rFonts w:hint="eastAsia" w:ascii="仿宋_GB2312" w:hAnsi="仿宋" w:eastAsia="仿宋_GB2312" w:cs="仿宋"/>
          <w:color w:val="000000"/>
          <w:sz w:val="32"/>
          <w:szCs w:val="32"/>
          <w:lang w:val="zh-CN" w:eastAsia="zh-CN"/>
        </w:rPr>
        <w:t>，</w:t>
      </w:r>
      <w:r>
        <w:rPr>
          <w:rFonts w:hint="eastAsia" w:ascii="仿宋_GB2312" w:hAnsi="仿宋" w:eastAsia="仿宋_GB2312" w:cs="仿宋"/>
          <w:color w:val="000000"/>
          <w:sz w:val="32"/>
          <w:szCs w:val="32"/>
          <w:lang w:val="en-US" w:eastAsia="zh-CN"/>
        </w:rPr>
        <w:t>我镇已根据实际情况支付完毕， 支付依据合规合法，资金支付与预算相符。</w:t>
      </w:r>
    </w:p>
    <w:p>
      <w:pPr>
        <w:ind w:firstLine="562" w:firstLineChars="200"/>
        <w:rPr>
          <w:rFonts w:hint="eastAsia"/>
          <w:b/>
          <w:bCs/>
          <w:sz w:val="28"/>
          <w:szCs w:val="28"/>
        </w:rPr>
      </w:pPr>
      <w:r>
        <w:rPr>
          <w:rFonts w:hint="eastAsia"/>
          <w:b/>
          <w:bCs/>
          <w:sz w:val="28"/>
          <w:szCs w:val="28"/>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17"/>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（一）项目完成情况。</w:t>
      </w:r>
      <w:r>
        <w:rPr>
          <w:rFonts w:hint="eastAsia" w:ascii="仿宋_GB2312" w:hAnsi="仿宋" w:eastAsia="仿宋_GB2312" w:cs="仿宋"/>
          <w:color w:val="000000"/>
          <w:sz w:val="32"/>
          <w:szCs w:val="32"/>
          <w:lang w:val="zh-CN" w:eastAsia="zh-CN"/>
        </w:rPr>
        <w:t>偿还债权人</w:t>
      </w:r>
      <w:r>
        <w:rPr>
          <w:rFonts w:hint="eastAsia" w:ascii="仿宋_GB2312" w:hAnsi="仿宋" w:eastAsia="仿宋_GB2312" w:cs="仿宋"/>
          <w:color w:val="000000"/>
          <w:sz w:val="32"/>
          <w:szCs w:val="32"/>
          <w:lang w:val="en-US" w:eastAsia="zh-CN"/>
        </w:rPr>
        <w:t>杨垭安置点征地</w:t>
      </w:r>
      <w:r>
        <w:rPr>
          <w:rFonts w:hint="eastAsia" w:ascii="仿宋_GB2312" w:hAnsi="仿宋" w:eastAsia="仿宋_GB2312" w:cs="仿宋"/>
          <w:color w:val="000000"/>
          <w:sz w:val="32"/>
          <w:szCs w:val="32"/>
          <w:lang w:val="zh-CN" w:eastAsia="zh-CN"/>
        </w:rPr>
        <w:t>项目债务</w:t>
      </w:r>
      <w:r>
        <w:rPr>
          <w:rFonts w:hint="eastAsia" w:ascii="仿宋_GB2312" w:hAnsi="仿宋" w:eastAsia="仿宋_GB2312" w:cs="仿宋"/>
          <w:color w:val="000000"/>
          <w:sz w:val="32"/>
          <w:szCs w:val="32"/>
          <w:lang w:val="en-US" w:eastAsia="zh-CN"/>
        </w:rPr>
        <w:t>37.2万元</w:t>
      </w:r>
      <w:r>
        <w:rPr>
          <w:rFonts w:hint="eastAsia" w:ascii="仿宋_GB2312" w:hAnsi="仿宋" w:eastAsia="仿宋_GB2312" w:cs="仿宋"/>
          <w:color w:val="000000"/>
          <w:sz w:val="32"/>
          <w:szCs w:val="32"/>
          <w:lang w:val="zh-CN" w:eastAsia="zh-CN"/>
        </w:rPr>
        <w:t>。</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（二）项目效益情况。</w:t>
      </w:r>
      <w:r>
        <w:rPr>
          <w:rFonts w:hint="eastAsia" w:ascii="仿宋_GB2312" w:hAnsi="仿宋" w:eastAsia="仿宋_GB2312" w:cs="仿宋"/>
          <w:color w:val="000000"/>
          <w:sz w:val="32"/>
          <w:szCs w:val="32"/>
          <w:lang w:val="zh-CN" w:eastAsia="zh-CN"/>
        </w:rPr>
        <w:t>通过该项目的实施，提高了政府社会诚信度，农民工对工程结算满意度。</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sz w:val="28"/>
          <w:szCs w:val="28"/>
          <w:lang w:eastAsia="zh-CN"/>
        </w:rPr>
      </w:pPr>
      <w:r>
        <w:rPr>
          <w:rFonts w:hint="eastAsia"/>
          <w:b/>
          <w:bCs/>
          <w:sz w:val="28"/>
          <w:szCs w:val="28"/>
        </w:rPr>
        <w:t>（一）存在的问题。</w:t>
      </w:r>
      <w:r>
        <w:rPr>
          <w:rFonts w:hint="eastAsia" w:ascii="仿宋_GB2312" w:hAnsi="仿宋" w:eastAsia="仿宋_GB2312" w:cs="仿宋"/>
          <w:color w:val="000000"/>
          <w:sz w:val="32"/>
          <w:szCs w:val="32"/>
          <w:lang w:val="zh-CN" w:eastAsia="zh-CN"/>
        </w:rPr>
        <w:t>隐性债务系历年历史遗留问题，除上级财政支持外，我单位无力偿还其他相关债务</w:t>
      </w:r>
      <w:r>
        <w:rPr>
          <w:rFonts w:hint="eastAsia"/>
          <w:sz w:val="28"/>
          <w:szCs w:val="28"/>
          <w:lang w:eastAsia="zh-CN"/>
        </w:rPr>
        <w:t>。</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（二）相关建议。</w:t>
      </w:r>
      <w:r>
        <w:rPr>
          <w:rFonts w:hint="eastAsia" w:ascii="仿宋_GB2312" w:hAnsi="仿宋" w:eastAsia="仿宋_GB2312" w:cs="仿宋"/>
          <w:color w:val="000000"/>
          <w:sz w:val="32"/>
          <w:szCs w:val="32"/>
          <w:lang w:val="zh-CN" w:eastAsia="zh-CN"/>
        </w:rPr>
        <w:t>希望县财政安排资金，早日偿还清债务，维护社会稳定。</w:t>
      </w:r>
    </w:p>
    <w:p>
      <w:pPr>
        <w:pStyle w:val="17"/>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i w:val="0"/>
          <w:caps w:val="0"/>
          <w:color w:val="666666"/>
          <w:spacing w:val="0"/>
          <w:sz w:val="32"/>
          <w:szCs w:val="32"/>
          <w:shd w:val="clear" w:fill="FFFFFF"/>
          <w:lang w:val="en-US" w:eastAsia="zh-CN"/>
        </w:rPr>
      </w:pPr>
    </w:p>
    <w:tbl>
      <w:tblPr>
        <w:tblStyle w:val="18"/>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534"/>
        <w:gridCol w:w="477"/>
        <w:gridCol w:w="281"/>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附件四</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杨垭安置点征地</w:t>
            </w:r>
            <w:r>
              <w:rPr>
                <w:rFonts w:hint="eastAsia" w:ascii="宋体" w:hAnsi="宋体" w:eastAsia="宋体" w:cs="宋体"/>
                <w:i w:val="0"/>
                <w:iCs w:val="0"/>
                <w:color w:val="000000"/>
                <w:kern w:val="0"/>
                <w:sz w:val="20"/>
                <w:szCs w:val="20"/>
                <w:u w:val="none"/>
                <w:lang w:val="en-US" w:eastAsia="zh-CN" w:bidi="ar"/>
              </w:rPr>
              <w:t>项目（化解隐性债务）</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范学明13981293605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杨村</w:t>
            </w:r>
            <w:r>
              <w:rPr>
                <w:rFonts w:hint="eastAsia" w:ascii="宋体" w:hAnsi="宋体" w:eastAsia="宋体" w:cs="宋体"/>
                <w:i w:val="0"/>
                <w:iCs w:val="0"/>
                <w:color w:val="000000"/>
                <w:kern w:val="0"/>
                <w:sz w:val="20"/>
                <w:szCs w:val="20"/>
                <w:u w:val="none"/>
                <w:lang w:val="en-US" w:eastAsia="zh-CN" w:bidi="ar"/>
              </w:rPr>
              <w:t>镇人民政府</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杨村</w:t>
            </w:r>
            <w:r>
              <w:rPr>
                <w:rFonts w:hint="eastAsia" w:ascii="宋体" w:hAnsi="宋体" w:eastAsia="宋体" w:cs="宋体"/>
                <w:i w:val="0"/>
                <w:iCs w:val="0"/>
                <w:color w:val="000000"/>
                <w:kern w:val="0"/>
                <w:sz w:val="20"/>
                <w:szCs w:val="20"/>
                <w:u w:val="none"/>
                <w:lang w:val="en-US" w:eastAsia="zh-CN" w:bidi="ar"/>
              </w:rPr>
              <w:t>镇人民政府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37.2</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37.2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37.2</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37.2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w:t>
            </w:r>
            <w:r>
              <w:rPr>
                <w:rFonts w:hint="eastAsia" w:ascii="宋体" w:hAnsi="宋体" w:cs="宋体"/>
                <w:i w:val="0"/>
                <w:iCs w:val="0"/>
                <w:color w:val="000000"/>
                <w:kern w:val="0"/>
                <w:sz w:val="20"/>
                <w:szCs w:val="20"/>
                <w:u w:val="none"/>
                <w:lang w:val="en-US" w:eastAsia="zh-CN" w:bidi="ar"/>
              </w:rPr>
              <w:t>杨垭安置点征地</w:t>
            </w:r>
            <w:r>
              <w:rPr>
                <w:rFonts w:hint="eastAsia" w:ascii="宋体" w:hAnsi="宋体" w:eastAsia="宋体" w:cs="宋体"/>
                <w:i w:val="0"/>
                <w:iCs w:val="0"/>
                <w:color w:val="000000"/>
                <w:kern w:val="0"/>
                <w:sz w:val="20"/>
                <w:szCs w:val="20"/>
                <w:u w:val="none"/>
                <w:lang w:val="en-US" w:eastAsia="zh-CN" w:bidi="ar"/>
              </w:rPr>
              <w:t>产生的债务</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37.2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37.2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2022年底完成隐性债务化解</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政府社会诚信度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农民工对工程结算满意度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center"/>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4" w:type="first"/>
          <w:footerReference r:id="rId3"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4"/>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4"/>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4"/>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B74EFA-4BA6-4054-AA7E-F0834AD43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33DA39B-B147-4382-A6A0-D8F17CF801F0}"/>
  </w:font>
  <w:font w:name="仿宋">
    <w:panose1 w:val="02010609060101010101"/>
    <w:charset w:val="86"/>
    <w:family w:val="modern"/>
    <w:pitch w:val="default"/>
    <w:sig w:usb0="800002BF" w:usb1="38CF7CFA" w:usb2="00000016" w:usb3="00000000" w:csb0="00040001" w:csb1="00000000"/>
    <w:embedRegular r:id="rId3" w:fontKey="{E1BE59C1-94BE-48EC-AFAC-19790DEDDAF3}"/>
  </w:font>
  <w:font w:name="仿宋_GB2312">
    <w:altName w:val="仿宋"/>
    <w:panose1 w:val="00000000000000000000"/>
    <w:charset w:val="86"/>
    <w:family w:val="modern"/>
    <w:pitch w:val="default"/>
    <w:sig w:usb0="00000000" w:usb1="00000000" w:usb2="00000000" w:usb3="00000000" w:csb0="00040000" w:csb1="00000000"/>
    <w:embedRegular r:id="rId4" w:fontKey="{2279C87B-4F02-4C8E-8CEC-D70E0197FE8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D245E4BB-4105-4DE6-80BA-B8CDCE2E0D0E}"/>
  </w:font>
  <w:font w:name="楷体_GB2312">
    <w:altName w:val="楷体"/>
    <w:panose1 w:val="00000000000000000000"/>
    <w:charset w:val="86"/>
    <w:family w:val="auto"/>
    <w:pitch w:val="default"/>
    <w:sig w:usb0="00000000" w:usb1="00000000" w:usb2="00000000" w:usb3="00000000" w:csb0="00040000" w:csb1="00000000"/>
    <w:embedRegular r:id="rId6" w:fontKey="{76555351-9217-4964-B6E9-F9D18CC16C8C}"/>
  </w:font>
  <w:font w:name="华文中宋">
    <w:panose1 w:val="02010600040101010101"/>
    <w:charset w:val="86"/>
    <w:family w:val="auto"/>
    <w:pitch w:val="default"/>
    <w:sig w:usb0="00000287" w:usb1="080F0000" w:usb2="00000000" w:usb3="00000000" w:csb0="0004009F" w:csb1="DFD70000"/>
    <w:embedRegular r:id="rId7" w:fontKey="{8052E24A-2405-4D2A-8455-99187BA2CE8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rFonts w:hint="eastAsia"/>
        <w:lang w:val="en-US" w:eastAsia="zh-CN"/>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BD93"/>
    <w:multiLevelType w:val="singleLevel"/>
    <w:tmpl w:val="A39EBD93"/>
    <w:lvl w:ilvl="0" w:tentative="0">
      <w:start w:val="4"/>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AA2C112"/>
    <w:multiLevelType w:val="singleLevel"/>
    <w:tmpl w:val="7AA2C112"/>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26C6D7F"/>
    <w:rsid w:val="050462CD"/>
    <w:rsid w:val="050F6516"/>
    <w:rsid w:val="066E0107"/>
    <w:rsid w:val="07996F6E"/>
    <w:rsid w:val="087A5757"/>
    <w:rsid w:val="0A2032A3"/>
    <w:rsid w:val="0F98263C"/>
    <w:rsid w:val="101860EC"/>
    <w:rsid w:val="10C055FF"/>
    <w:rsid w:val="118107EC"/>
    <w:rsid w:val="13D50BC4"/>
    <w:rsid w:val="14126C52"/>
    <w:rsid w:val="153D5218"/>
    <w:rsid w:val="16BB723D"/>
    <w:rsid w:val="19C81C35"/>
    <w:rsid w:val="1BE8440E"/>
    <w:rsid w:val="1D155CEE"/>
    <w:rsid w:val="1D3C7281"/>
    <w:rsid w:val="1DDD4049"/>
    <w:rsid w:val="1FF35744"/>
    <w:rsid w:val="23860B96"/>
    <w:rsid w:val="240371BF"/>
    <w:rsid w:val="25B2697E"/>
    <w:rsid w:val="279415F1"/>
    <w:rsid w:val="29FD04D3"/>
    <w:rsid w:val="2B9C3DCE"/>
    <w:rsid w:val="2C8A61B5"/>
    <w:rsid w:val="2D9047DE"/>
    <w:rsid w:val="2DF04E50"/>
    <w:rsid w:val="2F040D46"/>
    <w:rsid w:val="319F7F4E"/>
    <w:rsid w:val="3304709D"/>
    <w:rsid w:val="36AA5135"/>
    <w:rsid w:val="376D39B2"/>
    <w:rsid w:val="37E16F03"/>
    <w:rsid w:val="38D469F0"/>
    <w:rsid w:val="3902751A"/>
    <w:rsid w:val="3C561A2F"/>
    <w:rsid w:val="3C8641D0"/>
    <w:rsid w:val="3D98207C"/>
    <w:rsid w:val="3E78745D"/>
    <w:rsid w:val="44E268DA"/>
    <w:rsid w:val="4A627F82"/>
    <w:rsid w:val="4B0E749A"/>
    <w:rsid w:val="4B4F25DA"/>
    <w:rsid w:val="4BE068DB"/>
    <w:rsid w:val="4C8B2AFF"/>
    <w:rsid w:val="4D577224"/>
    <w:rsid w:val="4DC3171D"/>
    <w:rsid w:val="4DE1199C"/>
    <w:rsid w:val="4EAB630A"/>
    <w:rsid w:val="4ECE2238"/>
    <w:rsid w:val="4FFE21D3"/>
    <w:rsid w:val="537E6D0A"/>
    <w:rsid w:val="5AF92295"/>
    <w:rsid w:val="5BB4454C"/>
    <w:rsid w:val="5CD71FC4"/>
    <w:rsid w:val="62053A53"/>
    <w:rsid w:val="65462624"/>
    <w:rsid w:val="6B4B3950"/>
    <w:rsid w:val="6C4A05C8"/>
    <w:rsid w:val="6E7E3605"/>
    <w:rsid w:val="6FF5CC65"/>
    <w:rsid w:val="715C0E4B"/>
    <w:rsid w:val="72734D90"/>
    <w:rsid w:val="73022394"/>
    <w:rsid w:val="73AD73D5"/>
    <w:rsid w:val="73B6EB34"/>
    <w:rsid w:val="744731E5"/>
    <w:rsid w:val="76E3355F"/>
    <w:rsid w:val="76EC401C"/>
    <w:rsid w:val="778769C8"/>
    <w:rsid w:val="79EE5BA4"/>
    <w:rsid w:val="7A227C1D"/>
    <w:rsid w:val="7A894339"/>
    <w:rsid w:val="7B6B320F"/>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2"/>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WeChat%20Files\wxid_xyoip1iiuegm42\FileStorage\File\2023-10\&#24037;&#20316;&#31807;1(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WeChat%20Files\wxid_xyoip1iiuegm42\FileStorage\File\2023-10\&#24037;&#20316;&#31807;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WeChat%20Files\wxid_xyoip1iiuegm42\FileStorage\File\2023-10\&#24037;&#20316;&#31807;1(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ocuments\WeChat%20Files\wxid_xyoip1iiuegm42\FileStorage\File\2023-10\&#24037;&#20316;&#31807;1(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WeChat%20Files\wxid_xyoip1iiuegm42\FileStorage\File\2023-10\&#24037;&#20316;&#31807;1(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manualLayout>
          <c:xMode val="edge"/>
          <c:yMode val="edge"/>
          <c:x val="0.321710526315789"/>
          <c:y val="0.0486111111111111"/>
        </c:manualLayout>
      </c:layout>
      <c:overlay val="0"/>
      <c:spPr>
        <a:noFill/>
        <a:ln>
          <a:noFill/>
        </a:ln>
        <a:effectLst/>
      </c:spPr>
    </c:title>
    <c:autoTitleDeleted val="0"/>
    <c:plotArea>
      <c:layout/>
      <c:barChart>
        <c:barDir val="col"/>
        <c:grouping val="clustered"/>
        <c:varyColors val="0"/>
        <c:ser>
          <c:idx val="0"/>
          <c:order val="0"/>
          <c:tx>
            <c:strRef>
              <c:f>'[工作簿1(1).xlsx]Sheet1'!$B$7</c:f>
              <c:strCache>
                <c:ptCount val="1"/>
                <c:pt idx="0">
                  <c:v>2021</c:v>
                </c:pt>
              </c:strCache>
            </c:strRef>
          </c:tx>
          <c:spPr>
            <a:solidFill>
              <a:schemeClr val="accent1"/>
            </a:solidFill>
            <a:ln>
              <a:noFill/>
            </a:ln>
            <a:effectLst/>
          </c:spPr>
          <c:invertIfNegative val="0"/>
          <c:dLbls>
            <c:delete val="1"/>
          </c:dLbls>
          <c:cat>
            <c:strRef>
              <c:f>'[工作簿1(1).xlsx]Sheet1'!$C$6:$D$6</c:f>
              <c:strCache>
                <c:ptCount val="2"/>
                <c:pt idx="0">
                  <c:v>收入</c:v>
                </c:pt>
                <c:pt idx="1">
                  <c:v>支出</c:v>
                </c:pt>
              </c:strCache>
            </c:strRef>
          </c:cat>
          <c:val>
            <c:numRef>
              <c:f>'[工作簿1(1).xlsx]Sheet1'!$C$7:$D$7</c:f>
              <c:numCache>
                <c:formatCode>General</c:formatCode>
                <c:ptCount val="2"/>
                <c:pt idx="0">
                  <c:v>1346.09</c:v>
                </c:pt>
                <c:pt idx="1">
                  <c:v>1346.09</c:v>
                </c:pt>
              </c:numCache>
            </c:numRef>
          </c:val>
        </c:ser>
        <c:ser>
          <c:idx val="1"/>
          <c:order val="1"/>
          <c:tx>
            <c:strRef>
              <c:f>'[工作簿1(1).xlsx]Sheet1'!$B$8</c:f>
              <c:strCache>
                <c:ptCount val="1"/>
                <c:pt idx="0">
                  <c:v>2022</c:v>
                </c:pt>
              </c:strCache>
            </c:strRef>
          </c:tx>
          <c:spPr>
            <a:solidFill>
              <a:schemeClr val="accent2"/>
            </a:solidFill>
            <a:ln>
              <a:noFill/>
            </a:ln>
            <a:effectLst/>
          </c:spPr>
          <c:invertIfNegative val="0"/>
          <c:dLbls>
            <c:delete val="1"/>
          </c:dLbls>
          <c:cat>
            <c:strRef>
              <c:f>'[工作簿1(1).xlsx]Sheet1'!$C$6:$D$6</c:f>
              <c:strCache>
                <c:ptCount val="2"/>
                <c:pt idx="0">
                  <c:v>收入</c:v>
                </c:pt>
                <c:pt idx="1">
                  <c:v>支出</c:v>
                </c:pt>
              </c:strCache>
            </c:strRef>
          </c:cat>
          <c:val>
            <c:numRef>
              <c:f>'[工作簿1(1).xlsx]Sheet1'!$C$8:$D$8</c:f>
              <c:numCache>
                <c:formatCode>General</c:formatCode>
                <c:ptCount val="2"/>
                <c:pt idx="0">
                  <c:v>1265.29</c:v>
                </c:pt>
                <c:pt idx="1">
                  <c:v>1265.29</c:v>
                </c:pt>
              </c:numCache>
            </c:numRef>
          </c:val>
        </c:ser>
        <c:dLbls>
          <c:showLegendKey val="0"/>
          <c:showVal val="0"/>
          <c:showCatName val="0"/>
          <c:showSerName val="0"/>
          <c:showPercent val="0"/>
          <c:showBubbleSize val="0"/>
        </c:dLbls>
        <c:gapWidth val="246"/>
        <c:overlap val="-28"/>
        <c:axId val="812520462"/>
        <c:axId val="438825616"/>
      </c:barChart>
      <c:catAx>
        <c:axId val="8125204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5616"/>
        <c:crosses val="autoZero"/>
        <c:auto val="1"/>
        <c:lblAlgn val="ctr"/>
        <c:lblOffset val="100"/>
        <c:noMultiLvlLbl val="0"/>
      </c:catAx>
      <c:valAx>
        <c:axId val="43882561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5204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[工作簿4]Sheet1!$A$29:$A$30</c:f>
              <c:strCache>
                <c:ptCount val="2"/>
                <c:pt idx="0">
                  <c:v>收入决算结构图</c:v>
                </c:pt>
                <c:pt idx="1">
                  <c:v>一般公共预算财政拨款收入</c:v>
                </c:pt>
              </c:strCache>
            </c:strRef>
          </c:cat>
          <c:val>
            <c:numRef>
              <c:f>[工作簿4]Sheet1!$B$29:$B$30</c:f>
              <c:numCache>
                <c:formatCode>General</c:formatCode>
                <c:ptCount val="2"/>
                <c:pt idx="1">
                  <c:v>1121.27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'[工作簿1(1).xlsx]Sheet1'!$B$26:$B$28</c:f>
              <c:strCache>
                <c:ptCount val="3"/>
                <c:pt idx="0">
                  <c:v>支出决算结构图</c:v>
                </c:pt>
                <c:pt idx="1">
                  <c:v>基本支出</c:v>
                </c:pt>
                <c:pt idx="2">
                  <c:v>项目支出</c:v>
                </c:pt>
              </c:strCache>
            </c:strRef>
          </c:cat>
          <c:val>
            <c:numRef>
              <c:f>'[工作簿1(1).xlsx]Sheet1'!$C$26:$C$28</c:f>
              <c:numCache>
                <c:formatCode>General</c:formatCode>
                <c:ptCount val="3"/>
                <c:pt idx="1">
                  <c:v>881.13</c:v>
                </c:pt>
                <c:pt idx="2">
                  <c:v>384.16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'[工作簿1(1).xlsx]Sheet1'!$B$47</c:f>
              <c:strCache>
                <c:ptCount val="1"/>
                <c:pt idx="0">
                  <c:v>2021年</c:v>
                </c:pt>
              </c:strCache>
            </c:strRef>
          </c:tx>
          <c:spPr>
            <a:solidFill>
              <a:schemeClr val="accent1"/>
            </a:solidFill>
            <a:ln>
              <a:noFill/>
            </a:ln>
            <a:effectLst/>
          </c:spPr>
          <c:invertIfNegative val="0"/>
          <c:dLbls>
            <c:delete val="1"/>
          </c:dLbls>
          <c:cat>
            <c:strRef>
              <c:f>'[工作簿1(1).xlsx]Sheet1'!$C$46:$D$46</c:f>
              <c:strCache>
                <c:ptCount val="2"/>
                <c:pt idx="0">
                  <c:v>收入</c:v>
                </c:pt>
                <c:pt idx="1">
                  <c:v>支出</c:v>
                </c:pt>
              </c:strCache>
            </c:strRef>
          </c:cat>
          <c:val>
            <c:numRef>
              <c:f>'[工作簿1(1).xlsx]Sheet1'!$C$47:$D$47</c:f>
              <c:numCache>
                <c:formatCode>General</c:formatCode>
                <c:ptCount val="2"/>
                <c:pt idx="0">
                  <c:v>1346.09</c:v>
                </c:pt>
                <c:pt idx="1">
                  <c:v>1346.09</c:v>
                </c:pt>
              </c:numCache>
            </c:numRef>
          </c:val>
        </c:ser>
        <c:ser>
          <c:idx val="1"/>
          <c:order val="1"/>
          <c:tx>
            <c:strRef>
              <c:f>'[工作簿1(1).xlsx]Sheet1'!$B$48</c:f>
              <c:strCache>
                <c:ptCount val="1"/>
                <c:pt idx="0">
                  <c:v>2022年</c:v>
                </c:pt>
              </c:strCache>
            </c:strRef>
          </c:tx>
          <c:spPr>
            <a:solidFill>
              <a:schemeClr val="accent2"/>
            </a:solidFill>
            <a:ln>
              <a:noFill/>
            </a:ln>
            <a:effectLst/>
          </c:spPr>
          <c:invertIfNegative val="0"/>
          <c:dLbls>
            <c:delete val="1"/>
          </c:dLbls>
          <c:cat>
            <c:strRef>
              <c:f>'[工作簿1(1).xlsx]Sheet1'!$C$46:$D$46</c:f>
              <c:strCache>
                <c:ptCount val="2"/>
                <c:pt idx="0">
                  <c:v>收入</c:v>
                </c:pt>
                <c:pt idx="1">
                  <c:v>支出</c:v>
                </c:pt>
              </c:strCache>
            </c:strRef>
          </c:cat>
          <c:val>
            <c:numRef>
              <c:f>'[工作簿1(1).xlsx]Sheet1'!$C$48:$D$48</c:f>
              <c:numCache>
                <c:formatCode>General</c:formatCode>
                <c:ptCount val="2"/>
                <c:pt idx="0">
                  <c:v>1265.29</c:v>
                </c:pt>
                <c:pt idx="1">
                  <c:v>1265.29</c:v>
                </c:pt>
              </c:numCache>
            </c:numRef>
          </c:val>
        </c:ser>
        <c:dLbls>
          <c:showLegendKey val="0"/>
          <c:showVal val="0"/>
          <c:showCatName val="0"/>
          <c:showSerName val="0"/>
          <c:showPercent val="0"/>
          <c:showBubbleSize val="0"/>
        </c:dLbls>
        <c:gapWidth val="246"/>
        <c:overlap val="-28"/>
        <c:axId val="523712569"/>
        <c:axId val="904512239"/>
      </c:barChart>
      <c:catAx>
        <c:axId val="523712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512239"/>
        <c:crosses val="autoZero"/>
        <c:auto val="1"/>
        <c:lblAlgn val="ctr"/>
        <c:lblOffset val="100"/>
        <c:noMultiLvlLbl val="0"/>
      </c:catAx>
      <c:valAx>
        <c:axId val="90451223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7125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a:t>
            </a:r>
          </a:p>
        </c:rich>
      </c:tx>
      <c:layout/>
      <c:overlay val="0"/>
      <c:spPr>
        <a:noFill/>
        <a:ln>
          <a:noFill/>
        </a:ln>
        <a:effectLst/>
      </c:spPr>
    </c:title>
    <c:autoTitleDeleted val="0"/>
    <c:plotArea>
      <c:layout>
        <c:manualLayout>
          <c:layoutTarget val="inner"/>
          <c:xMode val="edge"/>
          <c:yMode val="edge"/>
          <c:x val="0.0848157894736842"/>
          <c:y val="0.176388888888889"/>
          <c:w val="0.888210526315789"/>
          <c:h val="0.606342592592593"/>
        </c:manualLayout>
      </c:layout>
      <c:barChart>
        <c:barDir val="col"/>
        <c:grouping val="clustered"/>
        <c:varyColors val="0"/>
        <c:ser>
          <c:idx val="0"/>
          <c:order val="0"/>
          <c:tx>
            <c:strRef>
              <c:f>"一般公共预算财政拨款支出决算"</c:f>
              <c:strCache>
                <c:ptCount val="1"/>
                <c:pt idx="0">
                  <c:v>一般公共预算财政拨款支出决算</c:v>
                </c:pt>
              </c:strCache>
            </c:strRef>
          </c:tx>
          <c:spPr>
            <a:solidFill>
              <a:schemeClr val="accent1"/>
            </a:solidFill>
            <a:ln>
              <a:noFill/>
            </a:ln>
            <a:effectLst/>
          </c:spPr>
          <c:invertIfNegative val="0"/>
          <c:dLbls>
            <c:delete val="1"/>
          </c:dLbls>
          <c:cat>
            <c:strRef>
              <c:f>'[工作簿1(1).xlsx]Sheet1'!$B$65:$B$66</c:f>
              <c:strCache>
                <c:ptCount val="2"/>
                <c:pt idx="0">
                  <c:v>2021年</c:v>
                </c:pt>
                <c:pt idx="1">
                  <c:v>2022年</c:v>
                </c:pt>
              </c:strCache>
            </c:strRef>
          </c:cat>
          <c:val>
            <c:numRef>
              <c:f>'[工作簿1(1).xlsx]Sheet1'!$C$65:$C$66</c:f>
              <c:numCache>
                <c:formatCode>General</c:formatCode>
                <c:ptCount val="2"/>
                <c:pt idx="0">
                  <c:v>1346.09</c:v>
                </c:pt>
                <c:pt idx="1">
                  <c:v>1265.29</c:v>
                </c:pt>
              </c:numCache>
            </c:numRef>
          </c:val>
        </c:ser>
        <c:dLbls>
          <c:showLegendKey val="0"/>
          <c:showVal val="0"/>
          <c:showCatName val="0"/>
          <c:showSerName val="0"/>
          <c:showPercent val="0"/>
          <c:showBubbleSize val="0"/>
        </c:dLbls>
        <c:gapWidth val="246"/>
        <c:overlap val="-28"/>
        <c:axId val="761639039"/>
        <c:axId val="769265313"/>
      </c:barChart>
      <c:catAx>
        <c:axId val="761639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265313"/>
        <c:crosses val="autoZero"/>
        <c:auto val="1"/>
        <c:lblAlgn val="ctr"/>
        <c:lblOffset val="100"/>
        <c:noMultiLvlLbl val="0"/>
      </c:catAx>
      <c:valAx>
        <c:axId val="76926531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6390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387631578947368"/>
          <c:y val="0.0555555555555556"/>
        </c:manualLayout>
      </c:layout>
      <c:overlay val="0"/>
      <c:spPr>
        <a:noFill/>
        <a:ln>
          <a:noFill/>
        </a:ln>
        <a:effectLst/>
      </c:spPr>
    </c:title>
    <c:autoTitleDeleted val="0"/>
    <c:plotArea>
      <c:layout/>
      <c:pieChart>
        <c:varyColors val="1"/>
        <c:ser>
          <c:idx val="0"/>
          <c:order val="0"/>
          <c:tx>
            <c:strRef>
              <c:f>'[工作簿1(1).xlsx]Sheet1'!$C$83:$C$84</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'[工作簿1(1).xlsx]Sheet1'!$B$85:$B$93</c:f>
              <c:strCache>
                <c:ptCount val="9"/>
                <c:pt idx="0">
                  <c:v>社会保障和就业支出</c:v>
                </c:pt>
                <c:pt idx="1">
                  <c:v>卫生健康支出</c:v>
                </c:pt>
                <c:pt idx="2">
                  <c:v>交通运输支出</c:v>
                </c:pt>
                <c:pt idx="3">
                  <c:v>住房保障支出</c:v>
                </c:pt>
                <c:pt idx="4">
                  <c:v>一般公共服务支出</c:v>
                </c:pt>
                <c:pt idx="5">
                  <c:v>文化旅游体育与传媒支出</c:v>
                </c:pt>
                <c:pt idx="6">
                  <c:v>城乡社区支出</c:v>
                </c:pt>
                <c:pt idx="7">
                  <c:v>农林水支出</c:v>
                </c:pt>
                <c:pt idx="8">
                  <c:v>灾害防治及应急管理支出</c:v>
                </c:pt>
              </c:strCache>
            </c:strRef>
          </c:cat>
          <c:val>
            <c:numRef>
              <c:f>'[工作簿1(1).xlsx]Sheet1'!$C$85:$C$93</c:f>
              <c:numCache>
                <c:formatCode>General</c:formatCode>
                <c:ptCount val="9"/>
                <c:pt idx="0">
                  <c:v>146.04</c:v>
                </c:pt>
                <c:pt idx="1">
                  <c:v>30.91</c:v>
                </c:pt>
                <c:pt idx="2">
                  <c:v>55</c:v>
                </c:pt>
                <c:pt idx="3">
                  <c:v>45.62</c:v>
                </c:pt>
                <c:pt idx="4">
                  <c:v>384.96</c:v>
                </c:pt>
                <c:pt idx="5">
                  <c:v>106.49</c:v>
                </c:pt>
                <c:pt idx="6">
                  <c:v>5.47</c:v>
                </c:pt>
                <c:pt idx="7">
                  <c:v>490.1</c:v>
                </c:pt>
                <c:pt idx="8">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14605263157895"/>
          <c:y val="0.146296296296296"/>
          <c:w val="0.790657894736842"/>
          <c:h val="0.24722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13087</Words>
  <Characters>14231</Characters>
  <Lines>58</Lines>
  <Paragraphs>16</Paragraphs>
  <TotalTime>5</TotalTime>
  <ScaleCrop>false</ScaleCrop>
  <LinksUpToDate>false</LinksUpToDate>
  <CharactersWithSpaces>14338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2023-12-08T02:38:22Z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EC8B395ECCF84082AE3A020EBB08E8C3_13</vt:lpwstr>
  </property>
</Properties>
</file>