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8441"/>
      <w:bookmarkStart w:id="2" w:name="_Toc15377193"/>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96476"/>
      <w:bookmarkStart w:id="8" w:name="_Toc15377426"/>
      <w:bookmarkStart w:id="9" w:name="_Toc15396598"/>
      <w:bookmarkStart w:id="10" w:name="_Toc15378442"/>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w:t>
      </w:r>
      <w:r>
        <w:rPr>
          <w:rFonts w:hint="eastAsia" w:ascii="方正小标宋简体" w:hAnsi="方正小标宋简体" w:eastAsia="方正小标宋简体" w:cs="方正小标宋简体"/>
          <w:sz w:val="72"/>
          <w:szCs w:val="72"/>
          <w:lang w:val="en-US" w:eastAsia="zh-CN"/>
        </w:rPr>
        <w:t>樵店乡</w:t>
      </w:r>
      <w:r>
        <w:rPr>
          <w:rFonts w:hint="eastAsia" w:ascii="方正小标宋简体" w:hAnsi="方正小标宋简体" w:eastAsia="方正小标宋简体" w:cs="方正小标宋简体"/>
          <w:sz w:val="72"/>
          <w:szCs w:val="72"/>
          <w:lang w:eastAsia="zh-CN"/>
        </w:rPr>
        <w:t>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77196"/>
      <w:bookmarkStart w:id="13" w:name="_Toc15396599"/>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w:t>
      </w:r>
      <w:r>
        <w:rPr>
          <w:rFonts w:hint="eastAsia" w:ascii="黑体" w:hAnsi="黑体" w:eastAsia="黑体"/>
          <w:lang w:val="en-US" w:eastAsia="zh-CN"/>
        </w:rPr>
        <w:t>部门职责及2022年重点工作完成情况</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5"/>
        <w:pageBreakBefore w:val="0"/>
        <w:kinsoku/>
        <w:wordWrap/>
        <w:overflowPunct/>
        <w:topLinePunct w:val="0"/>
        <w:autoSpaceDE/>
        <w:autoSpaceDN/>
        <w:bidi w:val="0"/>
        <w:adjustRightInd w:val="0"/>
        <w:snapToGrid w:val="0"/>
        <w:spacing w:before="0" w:after="0" w:line="576" w:lineRule="exact"/>
        <w:ind w:firstLine="640" w:firstLineChars="200"/>
        <w:textAlignment w:val="auto"/>
        <w:rPr>
          <w:rStyle w:val="32"/>
          <w:rFonts w:ascii="仿宋" w:hAnsi="仿宋" w:eastAsia="黑体"/>
          <w:b w:val="0"/>
          <w:bCs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pStyle w:val="8"/>
        <w:keepNext w:val="0"/>
        <w:keepLines w:val="0"/>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仿宋" w:hAnsi="仿宋" w:eastAsia="仿宋"/>
          <w:bCs/>
          <w:sz w:val="32"/>
          <w:szCs w:val="32"/>
        </w:rPr>
      </w:pPr>
      <w:bookmarkStart w:id="16" w:name="_Toc15378445"/>
      <w:bookmarkStart w:id="17" w:name="_Toc15377198"/>
      <w:bookmarkStart w:id="18" w:name="_Toc15396601"/>
      <w:bookmarkStart w:id="19" w:name="_Toc15377200"/>
      <w:r>
        <w:rPr>
          <w:rFonts w:hint="eastAsia" w:ascii="仿宋" w:hAnsi="仿宋" w:eastAsia="仿宋"/>
          <w:bCs/>
          <w:sz w:val="32"/>
          <w:szCs w:val="32"/>
        </w:rPr>
        <w:t>（一）主要职能。</w:t>
      </w:r>
      <w:bookmarkEnd w:id="16"/>
      <w:bookmarkEnd w:id="17"/>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2、制定并组织实施乡村建设规划，部署重点工程建设，地方道路建设及公共设施，水利设施的管理，负责土地、林木、水等自然资源和生态环境的保护，做好护林防火工作。</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 w:hAnsi="仿宋" w:eastAsia="仿宋"/>
          <w:bCs/>
          <w:sz w:val="32"/>
          <w:szCs w:val="32"/>
        </w:rPr>
      </w:pPr>
      <w:bookmarkStart w:id="20" w:name="_Toc15378446"/>
      <w:bookmarkStart w:id="21" w:name="_Toc15377199"/>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1.经济实力逆势增长。</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 w:hAnsi="仿宋" w:eastAsia="仿宋"/>
          <w:bCs/>
          <w:sz w:val="32"/>
          <w:szCs w:val="32"/>
          <w:lang w:val="en-US" w:eastAsia="zh-CN"/>
        </w:rPr>
      </w:pPr>
      <w:r>
        <w:rPr>
          <w:rFonts w:hint="eastAsia" w:ascii="仿宋" w:hAnsi="仿宋" w:eastAsia="仿宋"/>
          <w:b/>
          <w:bCs w:val="0"/>
          <w:sz w:val="32"/>
          <w:szCs w:val="32"/>
          <w:lang w:val="en-US" w:eastAsia="zh-CN"/>
        </w:rPr>
        <w:t>一是</w:t>
      </w:r>
      <w:r>
        <w:rPr>
          <w:rFonts w:hint="eastAsia" w:ascii="仿宋" w:hAnsi="仿宋" w:eastAsia="仿宋"/>
          <w:bCs/>
          <w:sz w:val="32"/>
          <w:szCs w:val="32"/>
          <w:lang w:val="en-US" w:eastAsia="zh-CN"/>
        </w:rPr>
        <w:t>经济指标全县领跑。全乡地区生产总值1.65亿元，同比增长2.9%；全社会固定资产投资入库8975万元，投资完成6300万元，分别居三类乡镇第2、第1；工业投资3254万元，技改投资1365万元；非税收入2.6万元，超任务完成30%；农村居民人均可支配收入16539元，同比增长5.6%。</w:t>
      </w:r>
      <w:r>
        <w:rPr>
          <w:rFonts w:hint="eastAsia" w:ascii="仿宋" w:hAnsi="仿宋" w:eastAsia="仿宋"/>
          <w:b/>
          <w:bCs w:val="0"/>
          <w:sz w:val="32"/>
          <w:szCs w:val="32"/>
          <w:lang w:val="en-US" w:eastAsia="zh-CN"/>
        </w:rPr>
        <w:t>二是</w:t>
      </w:r>
      <w:r>
        <w:rPr>
          <w:rFonts w:hint="eastAsia" w:ascii="仿宋" w:hAnsi="仿宋" w:eastAsia="仿宋"/>
          <w:bCs/>
          <w:sz w:val="32"/>
          <w:szCs w:val="32"/>
          <w:lang w:val="en-US" w:eastAsia="zh-CN"/>
        </w:rPr>
        <w:t>重点项目稳步推进。由市生态渔业公司投资1200余万修建的龙潭沟水产育苗基地一期现已全面完工，年产量预计达700万尾以上，已成为川北地区生态渔业发展核心苗种繁育基地。由杭州市上城区投资400余万援建的樵店乡卫生院，建筑面积达1500平方米，有效提升我乡医疗服务水平，完善集镇功能和辖区及周边乡镇2万余人的医疗需求。</w:t>
      </w:r>
      <w:r>
        <w:rPr>
          <w:rFonts w:hint="eastAsia" w:ascii="仿宋" w:hAnsi="仿宋" w:eastAsia="仿宋"/>
          <w:b/>
          <w:bCs w:val="0"/>
          <w:sz w:val="32"/>
          <w:szCs w:val="32"/>
          <w:lang w:val="en-US" w:eastAsia="zh-CN"/>
        </w:rPr>
        <w:t>三是</w:t>
      </w:r>
      <w:r>
        <w:rPr>
          <w:rFonts w:hint="eastAsia" w:ascii="仿宋" w:hAnsi="仿宋" w:eastAsia="仿宋"/>
          <w:bCs/>
          <w:sz w:val="32"/>
          <w:szCs w:val="32"/>
          <w:lang w:val="en-US" w:eastAsia="zh-CN"/>
        </w:rPr>
        <w:t>招商引资成果丰硕。党政主要领导赴成都、绵阳、广安招商13次，陪同6批次企业来樵考察，签约资金6500万元、到位资金2501万元。成功招引苏州立宇科技有限公司，在经开区园区投资1000余万元创办剑阁第一家智慧物流科技公司，核心元件电路板实现剑阁本土制造。</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2.疫情防控精准高效。</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仿宋" w:hAnsi="仿宋" w:eastAsia="仿宋"/>
          <w:bCs/>
          <w:sz w:val="32"/>
          <w:szCs w:val="32"/>
          <w:lang w:val="en-US" w:eastAsia="zh-CN"/>
        </w:rPr>
      </w:pPr>
      <w:r>
        <w:rPr>
          <w:rFonts w:hint="default" w:ascii="仿宋" w:hAnsi="仿宋" w:eastAsia="仿宋"/>
          <w:b/>
          <w:bCs w:val="0"/>
          <w:sz w:val="32"/>
          <w:szCs w:val="32"/>
          <w:lang w:val="en-US" w:eastAsia="zh-CN"/>
        </w:rPr>
        <w:t>一是</w:t>
      </w:r>
      <w:r>
        <w:rPr>
          <w:rFonts w:hint="default" w:ascii="仿宋" w:hAnsi="仿宋" w:eastAsia="仿宋"/>
          <w:bCs/>
          <w:sz w:val="32"/>
          <w:szCs w:val="32"/>
          <w:lang w:val="en-US" w:eastAsia="zh-CN"/>
        </w:rPr>
        <w:t>常态防控有条不紊。全年累计排查县外返乡人员2700余人次，落实集中隔离87人、居家隔离337人。缓办宴席7起，简办宴席28起。充分动员，全年接种新冠疫苗3120剂次。严格做好校感和院感防控工作，医院、学校在防控政策优化调整前无感染事件发生。</w:t>
      </w:r>
      <w:r>
        <w:rPr>
          <w:rFonts w:hint="default" w:ascii="仿宋" w:hAnsi="仿宋" w:eastAsia="仿宋"/>
          <w:b/>
          <w:bCs w:val="0"/>
          <w:sz w:val="32"/>
          <w:szCs w:val="32"/>
          <w:lang w:val="en-US" w:eastAsia="zh-CN"/>
        </w:rPr>
        <w:t>二是</w:t>
      </w:r>
      <w:r>
        <w:rPr>
          <w:rFonts w:hint="default" w:ascii="仿宋" w:hAnsi="仿宋" w:eastAsia="仿宋"/>
          <w:bCs/>
          <w:sz w:val="32"/>
          <w:szCs w:val="32"/>
          <w:lang w:val="en-US" w:eastAsia="zh-CN"/>
        </w:rPr>
        <w:t>抗击疫情争分夺秒。“10·11”疫情发生后，我乡迅速反应、紧密筹划，高效开展23轮全员核酸检测，累计检测66240余人次，未发现有阳性感染病例。全年处理阳性应急事件13起，无一例外溢扩散，交出了防疫高分答卷，得到了人民群众高度赞许和各级领导充分肯定。</w:t>
      </w:r>
      <w:r>
        <w:rPr>
          <w:rFonts w:hint="default" w:ascii="仿宋" w:hAnsi="仿宋" w:eastAsia="仿宋"/>
          <w:b/>
          <w:bCs w:val="0"/>
          <w:sz w:val="32"/>
          <w:szCs w:val="32"/>
          <w:lang w:val="en-US" w:eastAsia="zh-CN"/>
        </w:rPr>
        <w:t>三是</w:t>
      </w:r>
      <w:r>
        <w:rPr>
          <w:rFonts w:hint="default" w:ascii="仿宋" w:hAnsi="仿宋" w:eastAsia="仿宋"/>
          <w:bCs/>
          <w:sz w:val="32"/>
          <w:szCs w:val="32"/>
          <w:lang w:val="en-US" w:eastAsia="zh-CN"/>
        </w:rPr>
        <w:t>物质保障充分到位。积极投入7万余元用于防控物资采购，向县指挥部累计申领门磁、防护服等物资，价值达13.1万元。在全县创新研发返乡报备小程序并投入使用，率先实现技术防控，极大地方便了务工群众返乡报备登记，在社会面获得良好反响，也为后期市县平台的开发使用提供了宝贵的探索经验。</w:t>
      </w:r>
      <w:r>
        <w:rPr>
          <w:rFonts w:hint="default" w:ascii="仿宋" w:hAnsi="仿宋" w:eastAsia="仿宋"/>
          <w:b/>
          <w:bCs w:val="0"/>
          <w:sz w:val="32"/>
          <w:szCs w:val="32"/>
          <w:lang w:val="en-US" w:eastAsia="zh-CN"/>
        </w:rPr>
        <w:t>四是</w:t>
      </w:r>
      <w:r>
        <w:rPr>
          <w:rFonts w:hint="default" w:ascii="仿宋" w:hAnsi="仿宋" w:eastAsia="仿宋"/>
          <w:bCs/>
          <w:sz w:val="32"/>
          <w:szCs w:val="32"/>
          <w:lang w:val="en-US" w:eastAsia="zh-CN"/>
        </w:rPr>
        <w:t>政策优化关怀备至。疫情防控政策优化调整后，乡卫生院向70岁以上老年人发放防疫爱心健康包750份，村组干部入户张贴健康服务明白卡共1213张，实现疫情防治常识全民掌握。副乡长母洋明先后被县委评为“疫情防控工作先进个人”和“10·11疫情防控先进个人”。</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3.产业韧性不断加强。</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仿宋" w:hAnsi="仿宋" w:eastAsia="仿宋"/>
          <w:bCs/>
          <w:sz w:val="32"/>
          <w:szCs w:val="32"/>
          <w:lang w:val="en-US" w:eastAsia="zh-CN"/>
        </w:rPr>
      </w:pPr>
      <w:r>
        <w:rPr>
          <w:rFonts w:hint="default" w:ascii="仿宋" w:hAnsi="仿宋" w:eastAsia="仿宋"/>
          <w:b/>
          <w:bCs w:val="0"/>
          <w:sz w:val="32"/>
          <w:szCs w:val="32"/>
          <w:lang w:val="en-US" w:eastAsia="zh-CN"/>
        </w:rPr>
        <w:t>一是</w:t>
      </w:r>
      <w:r>
        <w:rPr>
          <w:rFonts w:hint="default" w:ascii="仿宋" w:hAnsi="仿宋" w:eastAsia="仿宋"/>
          <w:bCs/>
          <w:sz w:val="32"/>
          <w:szCs w:val="32"/>
          <w:lang w:val="en-US" w:eastAsia="zh-CN"/>
        </w:rPr>
        <w:t>农业产业提质增效。2022年围绕县委“3+3+3”产业发展体系，结合实际，按照“优水稻、稳玉米、增大豆、扩经作”总体思路，蒲李村成功融入剑南现代粮油示范片辐射带，示范推广川优6203优质稻1000余亩；蒲李、新房、七一村率先发展“稻鱼综合种养”650余亩，发放鱼苗1.1万斤；全乡示范推广大豆玉米带状复合种植2020亩；完成烤烟种植面积805亩，交售烟叶1889担，实现产值263万元；积极争取产业管护资金64万余元，巩固提升脆红李260亩、核桃150亩、猕猴桃250亩、雷竹130亩、柑橘1700亩，木林村脆红李产业园实现投产销售，在全县产业大比武中位居鹤龄片区第一。立足“稳生猪、土鸡，突破性发展肉牛羊产业”思路，积极培育生猪代养规模养殖户4户，年出栏均在1000头以上，肉牛、肉羊自繁自养各2家，土鸡常年出栏3.1万羽。</w:t>
      </w:r>
      <w:r>
        <w:rPr>
          <w:rFonts w:hint="default" w:ascii="仿宋" w:hAnsi="仿宋" w:eastAsia="仿宋"/>
          <w:b/>
          <w:bCs w:val="0"/>
          <w:sz w:val="32"/>
          <w:szCs w:val="32"/>
          <w:lang w:val="en-US" w:eastAsia="zh-CN"/>
        </w:rPr>
        <w:t>二是</w:t>
      </w:r>
      <w:r>
        <w:rPr>
          <w:rFonts w:hint="default" w:ascii="仿宋" w:hAnsi="仿宋" w:eastAsia="仿宋"/>
          <w:bCs/>
          <w:sz w:val="32"/>
          <w:szCs w:val="32"/>
          <w:lang w:val="en-US" w:eastAsia="zh-CN"/>
        </w:rPr>
        <w:t>文旅现代服务业稳中有进。立足我乡翰林故居和水资源优势，围绕“鱼文化”特色做文章，打造具有地方渔业特色的休闲目的地，引导群众参与，促进农旅、农文深度融合。全年共接待休闲垂钓、餐饮娱乐游客4万余人次，实现产值1000余万元，万和超市农家乐建设主体已完工，“嘉陵印象”民宿酒店意向签约，接待能力及接待档次将进一步提升。</w:t>
      </w:r>
      <w:r>
        <w:rPr>
          <w:rFonts w:hint="default" w:ascii="仿宋" w:hAnsi="仿宋" w:eastAsia="仿宋"/>
          <w:b/>
          <w:bCs w:val="0"/>
          <w:sz w:val="32"/>
          <w:szCs w:val="32"/>
          <w:lang w:val="en-US" w:eastAsia="zh-CN"/>
        </w:rPr>
        <w:t>三是</w:t>
      </w:r>
      <w:r>
        <w:rPr>
          <w:rFonts w:hint="default" w:ascii="仿宋" w:hAnsi="仿宋" w:eastAsia="仿宋"/>
          <w:bCs/>
          <w:sz w:val="32"/>
          <w:szCs w:val="32"/>
          <w:lang w:val="en-US" w:eastAsia="zh-CN"/>
        </w:rPr>
        <w:t>工业经济实现零突破。中石油西南油气田分公司川西北气矿投资1.5亿元在井田村一组修建勘测井－鹤探1井，计划耗时2年钻探8000余米，探明储量后将作为西气东输的重要来源，该项目是樵店建乡以来，唯一破亿项目、唯一重工业项目。</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4.乡村振兴纵深发展。</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 w:hAnsi="仿宋" w:eastAsia="仿宋"/>
          <w:bCs/>
          <w:sz w:val="32"/>
          <w:szCs w:val="32"/>
          <w:lang w:val="en-US" w:eastAsia="zh-CN"/>
        </w:rPr>
      </w:pPr>
      <w:r>
        <w:rPr>
          <w:rFonts w:hint="eastAsia" w:ascii="仿宋" w:hAnsi="仿宋" w:eastAsia="仿宋"/>
          <w:b/>
          <w:bCs w:val="0"/>
          <w:sz w:val="32"/>
          <w:szCs w:val="32"/>
          <w:lang w:val="en-US" w:eastAsia="zh-CN"/>
        </w:rPr>
        <w:t>一是</w:t>
      </w:r>
      <w:r>
        <w:rPr>
          <w:rFonts w:hint="eastAsia" w:ascii="仿宋" w:hAnsi="仿宋" w:eastAsia="仿宋"/>
          <w:bCs/>
          <w:sz w:val="32"/>
          <w:szCs w:val="32"/>
          <w:lang w:val="en-US" w:eastAsia="zh-CN"/>
        </w:rPr>
        <w:t>持续做好巩固脱贫攻坚成果与乡村振兴有效衔接。先后召开14次党委会、6次专题会贯彻学习上级有关重要指示精神，研究部署乡村振兴有效衔接工作，严格落实过渡期内政策稳定，医疗、教育保障全覆盖；常态化开展防返贫动态监测帮扶12次，集中开展排查3次，新增监测对象2户3人，建立低收入人口“信息采集、动态监测、预警核实、救助帮扶、数据归集”常态化帮扶体系，分类帮扶救助。积极争取衔接项目资金190万元，实施基础设施建设项目7个，逐步解决出行、饮水等方面问题；强化扶贫资产管理，登记扶贫项目资产138个，持续盘活发挥效能，带动贫困户474户1519人增收；2022年脱贫人口人均纯收入14534元，较去年增幅14.4%。</w:t>
      </w:r>
      <w:r>
        <w:rPr>
          <w:rFonts w:hint="eastAsia" w:ascii="仿宋" w:hAnsi="仿宋" w:eastAsia="仿宋"/>
          <w:b/>
          <w:bCs w:val="0"/>
          <w:sz w:val="32"/>
          <w:szCs w:val="32"/>
          <w:lang w:val="en-US" w:eastAsia="zh-CN"/>
        </w:rPr>
        <w:t>二是</w:t>
      </w:r>
      <w:r>
        <w:rPr>
          <w:rFonts w:hint="eastAsia" w:ascii="仿宋" w:hAnsi="仿宋" w:eastAsia="仿宋"/>
          <w:bCs/>
          <w:sz w:val="32"/>
          <w:szCs w:val="32"/>
          <w:lang w:val="en-US" w:eastAsia="zh-CN"/>
        </w:rPr>
        <w:t>示范建设稳步推进。通过政策争取，顺利将我乡纳入剑南粮油现代农业园区辐射范围，顺利完成1000亩优质稻示范推广种植任务；七一村成功创建市级乡村振兴重点帮扶优秀村；木林村多措并举，创新利用产业园行间土地进行流转，脆红李产业园实现投产销售，村集体经济收入实现逐年递增，木林村集体经济示范村创建指日可待；全年创建市级、县级示范家庭农场各1家，争取家庭农场培育资金20万元；对口帮扶工作扎实开展，年内我乡与广安区悦来镇结对互访2次，经验交流成效明显。</w:t>
      </w:r>
      <w:r>
        <w:rPr>
          <w:rFonts w:hint="eastAsia" w:ascii="仿宋" w:hAnsi="仿宋" w:eastAsia="仿宋"/>
          <w:b/>
          <w:bCs w:val="0"/>
          <w:sz w:val="32"/>
          <w:szCs w:val="32"/>
          <w:lang w:val="en-US" w:eastAsia="zh-CN"/>
        </w:rPr>
        <w:t>三是</w:t>
      </w:r>
      <w:r>
        <w:rPr>
          <w:rFonts w:hint="eastAsia" w:ascii="仿宋" w:hAnsi="仿宋" w:eastAsia="仿宋"/>
          <w:bCs/>
          <w:sz w:val="32"/>
          <w:szCs w:val="32"/>
          <w:lang w:val="en-US" w:eastAsia="zh-CN"/>
        </w:rPr>
        <w:t>聚力聚焦人才振兴。全年共开办各类技术培训500余人次，党员干部覆盖率达90%以上，各村开展自主集中学习20余次，参与人数达280余人。组织开展就业招聘、生猪养殖、林木种植等培训班6期，共培训技能人员130余人。</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5.乡村面貌焕发新颜。</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 w:hAnsi="仿宋" w:eastAsia="仿宋"/>
          <w:bCs/>
          <w:sz w:val="32"/>
          <w:szCs w:val="32"/>
          <w:lang w:val="en-US" w:eastAsia="zh-CN"/>
        </w:rPr>
      </w:pPr>
      <w:r>
        <w:rPr>
          <w:rFonts w:hint="eastAsia" w:ascii="仿宋" w:hAnsi="仿宋" w:eastAsia="仿宋"/>
          <w:b/>
          <w:bCs w:val="0"/>
          <w:sz w:val="32"/>
          <w:szCs w:val="32"/>
          <w:lang w:val="en-US" w:eastAsia="zh-CN"/>
        </w:rPr>
        <w:t>一是</w:t>
      </w:r>
      <w:r>
        <w:rPr>
          <w:rFonts w:hint="eastAsia" w:ascii="仿宋" w:hAnsi="仿宋" w:eastAsia="仿宋"/>
          <w:bCs/>
          <w:sz w:val="32"/>
          <w:szCs w:val="32"/>
          <w:lang w:val="en-US" w:eastAsia="zh-CN"/>
        </w:rPr>
        <w:t>乡村基础逐步夯实。全年共争取资金690万元，实施新建通村组道路3.7公里，维修0.7公里，修复水毁道路10处，农村山坪塘整治项目9个，地质灾害整治4处，实施危房改造14户。</w:t>
      </w:r>
      <w:r>
        <w:rPr>
          <w:rFonts w:hint="eastAsia" w:ascii="仿宋" w:hAnsi="仿宋" w:eastAsia="仿宋"/>
          <w:b/>
          <w:bCs w:val="0"/>
          <w:sz w:val="32"/>
          <w:szCs w:val="32"/>
          <w:lang w:val="en-US" w:eastAsia="zh-CN"/>
        </w:rPr>
        <w:t>二是</w:t>
      </w:r>
      <w:r>
        <w:rPr>
          <w:rFonts w:hint="eastAsia" w:ascii="仿宋" w:hAnsi="仿宋" w:eastAsia="仿宋"/>
          <w:bCs/>
          <w:sz w:val="32"/>
          <w:szCs w:val="32"/>
          <w:lang w:val="en-US" w:eastAsia="zh-CN"/>
        </w:rPr>
        <w:t>场镇功能日趋完善。坚持“做强新场镇、七一场北区南区共同发展、不忘老场镇”思路，投资30余万改建七一场LED市政路灯80盏、新建新老场镇路灯60盏，争取资金15万元完善职工之家建设，争取80万资金打造滨河路绿化园林景观带，争取140万元整治七一场镇木林角、正兴聚居点地灾隐患，积极营造国庆、春节氛围，七一大桥成为抖音打卡网红地。</w:t>
      </w:r>
      <w:r>
        <w:rPr>
          <w:rFonts w:hint="eastAsia" w:ascii="仿宋" w:hAnsi="仿宋" w:eastAsia="仿宋"/>
          <w:b/>
          <w:bCs w:val="0"/>
          <w:sz w:val="32"/>
          <w:szCs w:val="32"/>
          <w:lang w:val="en-US" w:eastAsia="zh-CN"/>
        </w:rPr>
        <w:t>三是</w:t>
      </w:r>
      <w:r>
        <w:rPr>
          <w:rFonts w:hint="eastAsia" w:ascii="仿宋" w:hAnsi="仿宋" w:eastAsia="仿宋"/>
          <w:bCs/>
          <w:sz w:val="32"/>
          <w:szCs w:val="32"/>
          <w:lang w:val="en-US" w:eastAsia="zh-CN"/>
        </w:rPr>
        <w:t>城乡环境持续提升。争取50万资金新建垃圾压缩站1处、垃圾分类集中收集点7个，成功创建广元市垃圾分类示范乡镇。污水处理厂实现管办分离，顺利移交水发集团管理。以场镇和嘉陵江延伸区域为重点，组织实施农村污水分类处理、白色垃圾清漂行动为主的农村污水处理提升工程，完成6个行政村的污水整治和处理。我乡共清运垃圾420余吨，完成资源回收利用280余吨，节约运转费用1.5万余元。</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6.</w:t>
      </w:r>
      <w:r>
        <w:rPr>
          <w:rFonts w:hint="default" w:ascii="仿宋" w:hAnsi="仿宋" w:eastAsia="仿宋"/>
          <w:bCs/>
          <w:sz w:val="32"/>
          <w:szCs w:val="32"/>
          <w:lang w:val="en-US" w:eastAsia="zh-CN"/>
        </w:rPr>
        <w:t>民生福祉坚实有力。</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仿宋" w:hAnsi="仿宋" w:eastAsia="仿宋"/>
          <w:bCs/>
          <w:sz w:val="32"/>
          <w:szCs w:val="32"/>
          <w:lang w:val="en-US" w:eastAsia="zh-CN"/>
        </w:rPr>
      </w:pPr>
      <w:r>
        <w:rPr>
          <w:rFonts w:hint="default" w:ascii="仿宋" w:hAnsi="仿宋" w:eastAsia="仿宋"/>
          <w:b/>
          <w:bCs w:val="0"/>
          <w:sz w:val="32"/>
          <w:szCs w:val="32"/>
          <w:lang w:val="en-US" w:eastAsia="zh-CN"/>
        </w:rPr>
        <w:t>一是</w:t>
      </w:r>
      <w:r>
        <w:rPr>
          <w:rFonts w:hint="default" w:ascii="仿宋" w:hAnsi="仿宋" w:eastAsia="仿宋"/>
          <w:bCs/>
          <w:sz w:val="32"/>
          <w:szCs w:val="32"/>
          <w:lang w:val="en-US" w:eastAsia="zh-CN"/>
        </w:rPr>
        <w:t>深入推进就业服务。完成用工主体收集31个，组织开展技能培训3批次150人，组织80人参加剑阁县就业招聘春风行动，实现就业签约13人。为因疫情提前返乡的务工人员搭建再就业平台，提供岗位信息97条，7人成功实现返乡后县内再就业。发放务工人员返乡交通补助5000余元，发放返乡创业补贴10万元，申请创业贴息贷款5人，100万元，开发乡级公益性岗位6个、村级公益性岗位40个。全年成功调解欠薪纠纷案件7起，追回欠款6万余元。</w:t>
      </w:r>
      <w:r>
        <w:rPr>
          <w:rFonts w:hint="default" w:ascii="仿宋" w:hAnsi="仿宋" w:eastAsia="仿宋"/>
          <w:b/>
          <w:bCs w:val="0"/>
          <w:sz w:val="32"/>
          <w:szCs w:val="32"/>
          <w:lang w:val="en-US" w:eastAsia="zh-CN"/>
        </w:rPr>
        <w:t>二是</w:t>
      </w:r>
      <w:r>
        <w:rPr>
          <w:rFonts w:hint="default" w:ascii="仿宋" w:hAnsi="仿宋" w:eastAsia="仿宋"/>
          <w:bCs/>
          <w:sz w:val="32"/>
          <w:szCs w:val="32"/>
          <w:lang w:val="en-US" w:eastAsia="zh-CN"/>
        </w:rPr>
        <w:t>扎实做好社会保障。全年新参、续保城乡居民基本养老保险2300余人，参加城乡居民基本医疗保险7886人，重点人群参保率达100%，一般人群参保率达98.5%。发放城乡低保422户144.32万元、特困供养52人36.32万元、残疾人补助194人22.24万元、高龄补贴205人10.42万元、各类临时救助19人1.44万元，为3名事实无人抚养儿童发放生活补助4.32万元，困难老人集中供养5人。</w:t>
      </w:r>
      <w:r>
        <w:rPr>
          <w:rFonts w:hint="default" w:ascii="仿宋" w:hAnsi="仿宋" w:eastAsia="仿宋"/>
          <w:b/>
          <w:bCs w:val="0"/>
          <w:sz w:val="32"/>
          <w:szCs w:val="32"/>
          <w:lang w:val="en-US" w:eastAsia="zh-CN"/>
        </w:rPr>
        <w:t>三是</w:t>
      </w:r>
      <w:r>
        <w:rPr>
          <w:rFonts w:hint="default" w:ascii="仿宋" w:hAnsi="仿宋" w:eastAsia="仿宋"/>
          <w:bCs/>
          <w:sz w:val="32"/>
          <w:szCs w:val="32"/>
          <w:lang w:val="en-US" w:eastAsia="zh-CN"/>
        </w:rPr>
        <w:t>切实做好退役军人残疾人关爱服务。扎实做好复员军人、伤残军人、带病回乡退伍军人、参战、参核等86名优抚对象服务保障工作，发放优抚对象各种定补和抚恤金，解决三难问题。全年向12名残疾人发放轮椅等辅助器具，向40名灵活就业或自主创业残疾人发放补贴2万元，陆续下乡为40人开展评残服务，为20人办理残疾证。成功完成乡残协选举工作任务，各村成立了首届残协组织。</w:t>
      </w:r>
      <w:r>
        <w:rPr>
          <w:rFonts w:hint="default" w:ascii="仿宋" w:hAnsi="仿宋" w:eastAsia="仿宋"/>
          <w:b/>
          <w:bCs w:val="0"/>
          <w:sz w:val="32"/>
          <w:szCs w:val="32"/>
          <w:lang w:val="en-US" w:eastAsia="zh-CN"/>
        </w:rPr>
        <w:t>四是</w:t>
      </w:r>
      <w:r>
        <w:rPr>
          <w:rFonts w:hint="default" w:ascii="仿宋" w:hAnsi="仿宋" w:eastAsia="仿宋"/>
          <w:bCs/>
          <w:sz w:val="32"/>
          <w:szCs w:val="32"/>
          <w:lang w:val="en-US" w:eastAsia="zh-CN"/>
        </w:rPr>
        <w:t>着力抓好抗旱保供工作。去年高温天气持续，干旱频发。党委政府充分认识到做好抗旱保供工作的极端重要性，当即开展用水困难群体走访慰问工作。乡村干部利用上门、电话、微信等多种方式坚持每日巡访，认真摸清用水困难户底数，干部分片到实地核查用水困难详情，为有送水需求的农户及时提供送水上门服务。乡政府投入10万元保障经费用于抗旱保供，并成立农业工作指导小组全力抓好夏秋农作物灌溉管护。通过广泛调用人力和机具，充分发动干部群众齐心协力开展找水、引水、储水工作，经长期不懈的艰苦努力，人畜饮水、农业生产用水需求得到基本保障。</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仿宋" w:hAnsi="仿宋" w:eastAsia="仿宋"/>
          <w:bCs/>
          <w:sz w:val="32"/>
          <w:szCs w:val="32"/>
          <w:lang w:val="en-US" w:eastAsia="zh-CN"/>
        </w:rPr>
      </w:pPr>
      <w:r>
        <w:rPr>
          <w:rFonts w:hint="eastAsia" w:ascii="仿宋" w:hAnsi="仿宋" w:eastAsia="仿宋"/>
          <w:bCs/>
          <w:sz w:val="32"/>
          <w:szCs w:val="32"/>
          <w:lang w:val="en-US" w:eastAsia="zh-CN"/>
        </w:rPr>
        <w:t>7.</w:t>
      </w:r>
      <w:r>
        <w:rPr>
          <w:rFonts w:hint="default" w:ascii="仿宋" w:hAnsi="仿宋" w:eastAsia="仿宋"/>
          <w:bCs/>
          <w:sz w:val="32"/>
          <w:szCs w:val="32"/>
          <w:lang w:val="en-US" w:eastAsia="zh-CN"/>
        </w:rPr>
        <w:t>社会事业蓬勃发展。</w:t>
      </w:r>
    </w:p>
    <w:p>
      <w:pPr>
        <w:pStyle w:val="1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黑体" w:eastAsia="黑体"/>
          <w:b w:val="0"/>
        </w:rPr>
      </w:pPr>
      <w:r>
        <w:rPr>
          <w:rFonts w:hint="default" w:ascii="仿宋" w:hAnsi="仿宋" w:eastAsia="仿宋"/>
          <w:b/>
          <w:bCs w:val="0"/>
          <w:sz w:val="32"/>
          <w:szCs w:val="32"/>
          <w:lang w:val="en-US" w:eastAsia="zh-CN"/>
        </w:rPr>
        <w:t>一是</w:t>
      </w:r>
      <w:r>
        <w:rPr>
          <w:rFonts w:hint="default" w:ascii="仿宋" w:hAnsi="仿宋" w:eastAsia="仿宋"/>
          <w:bCs/>
          <w:sz w:val="32"/>
          <w:szCs w:val="32"/>
          <w:lang w:val="en-US" w:eastAsia="zh-CN"/>
        </w:rPr>
        <w:t>教育事业稳步提升。全乡学前教育入园率98.5％，义务教育适龄儿童少年入学率100％，控辍保学成效显著；各级各类学生资助“一个不漏，一分不少”，应助尽助，惠民政策落实到位。坚持“以生为本，全面发展”教育理念，立德树人，活动育人，精细管理，内涵发展，教育教学质量稳中有升，2022年办学质量居全县同类学校第三名。坚持环境育人、养成教育，着力建设“三化”校园；争取资金15万元，加强校园文化建设及校舍维修改造提升，2500平米的第二操场已投入使用。</w:t>
      </w:r>
      <w:r>
        <w:rPr>
          <w:rFonts w:hint="default" w:ascii="仿宋" w:hAnsi="仿宋" w:eastAsia="仿宋"/>
          <w:b/>
          <w:bCs w:val="0"/>
          <w:sz w:val="32"/>
          <w:szCs w:val="32"/>
          <w:lang w:val="en-US" w:eastAsia="zh-CN"/>
        </w:rPr>
        <w:t>二是</w:t>
      </w:r>
      <w:r>
        <w:rPr>
          <w:rFonts w:hint="default" w:ascii="仿宋" w:hAnsi="仿宋" w:eastAsia="仿宋"/>
          <w:bCs/>
          <w:sz w:val="32"/>
          <w:szCs w:val="32"/>
          <w:lang w:val="en-US" w:eastAsia="zh-CN"/>
        </w:rPr>
        <w:t>医疗服务稳步健全。常住人口签约家庭医生4900余人，建立健康档案4939人，慢性病健康管理650人，管理率100%。卫生院搬迁后，住院人次从</w:t>
      </w:r>
      <w:bookmarkStart w:id="73" w:name="_GoBack"/>
      <w:bookmarkEnd w:id="73"/>
      <w:r>
        <w:rPr>
          <w:rFonts w:hint="default" w:ascii="仿宋" w:hAnsi="仿宋" w:eastAsia="仿宋"/>
          <w:bCs/>
          <w:sz w:val="32"/>
          <w:szCs w:val="32"/>
          <w:lang w:val="en-US" w:eastAsia="zh-CN"/>
        </w:rPr>
        <w:t>2021年的142人增加到249人，增幅达到75%，切实解决了老百姓的就医难。</w:t>
      </w:r>
      <w:r>
        <w:rPr>
          <w:rFonts w:hint="default" w:ascii="仿宋" w:hAnsi="仿宋" w:eastAsia="仿宋"/>
          <w:b/>
          <w:bCs w:val="0"/>
          <w:sz w:val="32"/>
          <w:szCs w:val="32"/>
          <w:lang w:val="en-US" w:eastAsia="zh-CN"/>
        </w:rPr>
        <w:t>三是</w:t>
      </w:r>
      <w:r>
        <w:rPr>
          <w:rFonts w:hint="default" w:ascii="仿宋" w:hAnsi="仿宋" w:eastAsia="仿宋"/>
          <w:bCs/>
          <w:sz w:val="32"/>
          <w:szCs w:val="32"/>
          <w:lang w:val="en-US" w:eastAsia="zh-CN"/>
        </w:rPr>
        <w:t>文体事业稳步发展。全年维修广播6次，写码收扩机120只、维修喇叭120只，确保我乡广播能天天通、时时通。全年开展送文化演出下乡3次，观众达500余人，放映公益电影144场，覆盖6个村27个组，农家书屋补充书籍400余套，群众的文化生活得到提升。积极争取县总工会资金15万元建设职工之家活动室，向县文旅体局争取20万元健康设施补短工程，新建标准篮球场、羽毛球场、乒乓球台各1处，将在今年内全面完成投入使用。</w:t>
      </w:r>
    </w:p>
    <w:p>
      <w:pPr>
        <w:pStyle w:val="5"/>
        <w:keepNext/>
        <w:keepLines/>
        <w:pageBreakBefore w:val="0"/>
        <w:widowControl w:val="0"/>
        <w:kinsoku/>
        <w:wordWrap/>
        <w:overflowPunct/>
        <w:topLinePunct w:val="0"/>
        <w:autoSpaceDE/>
        <w:autoSpaceDN/>
        <w:bidi w:val="0"/>
        <w:adjustRightInd w:val="0"/>
        <w:snapToGrid w:val="0"/>
        <w:spacing w:before="0" w:after="0" w:line="576" w:lineRule="exact"/>
        <w:ind w:firstLine="640" w:firstLineChars="200"/>
        <w:textAlignment w:val="auto"/>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pageBreakBefore w:val="0"/>
        <w:kinsoku/>
        <w:wordWrap/>
        <w:overflowPunct/>
        <w:topLinePunct w:val="0"/>
        <w:autoSpaceDE/>
        <w:autoSpaceDN/>
        <w:bidi w:val="0"/>
        <w:adjustRightInd w:val="0"/>
        <w:snapToGrid w:val="0"/>
        <w:spacing w:line="576" w:lineRule="exact"/>
        <w:ind w:firstLine="800" w:firstLineChars="250"/>
        <w:textAlignment w:val="auto"/>
        <w:rPr>
          <w:rFonts w:ascii="仿宋" w:hAnsi="仿宋" w:eastAsia="仿宋"/>
          <w:sz w:val="32"/>
          <w:szCs w:val="32"/>
        </w:rPr>
      </w:pPr>
      <w:r>
        <w:rPr>
          <w:rFonts w:hint="eastAsia" w:ascii="仿宋" w:hAnsi="仿宋" w:eastAsia="仿宋"/>
          <w:sz w:val="32"/>
          <w:szCs w:val="32"/>
          <w:lang w:eastAsia="zh-CN"/>
        </w:rPr>
        <w:t>剑阁县</w:t>
      </w:r>
      <w:r>
        <w:rPr>
          <w:rFonts w:hint="eastAsia" w:ascii="仿宋" w:hAnsi="仿宋" w:eastAsia="仿宋"/>
          <w:sz w:val="32"/>
          <w:szCs w:val="32"/>
          <w:lang w:val="en-US" w:eastAsia="zh-CN"/>
        </w:rPr>
        <w:t>樵店乡</w:t>
      </w:r>
      <w:r>
        <w:rPr>
          <w:rFonts w:hint="eastAsia" w:ascii="仿宋" w:hAnsi="仿宋" w:eastAsia="仿宋"/>
          <w:sz w:val="32"/>
          <w:szCs w:val="32"/>
          <w:lang w:eastAsia="zh-CN"/>
        </w:rPr>
        <w:t>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8"/>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w:t>
      </w:r>
      <w:r>
        <w:rPr>
          <w:rFonts w:hint="eastAsia" w:ascii="仿宋" w:hAnsi="仿宋" w:eastAsia="仿宋"/>
          <w:sz w:val="32"/>
          <w:szCs w:val="32"/>
          <w:lang w:val="en-US" w:eastAsia="zh-CN"/>
        </w:rPr>
        <w:t>樵店乡</w:t>
      </w:r>
      <w:r>
        <w:rPr>
          <w:rFonts w:hint="eastAsia" w:ascii="仿宋" w:hAnsi="仿宋" w:eastAsia="仿宋"/>
          <w:sz w:val="32"/>
          <w:szCs w:val="32"/>
          <w:lang w:eastAsia="zh-CN"/>
        </w:rPr>
        <w:t>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4"/>
        <w:ind w:right="440"/>
        <w:jc w:val="both"/>
        <w:rPr>
          <w:rFonts w:hint="eastAsia" w:ascii="黑体" w:hAnsi="黑体" w:eastAsia="黑体"/>
          <w:b w:val="0"/>
        </w:rPr>
      </w:pPr>
      <w:bookmarkStart w:id="22" w:name="_Toc15396602"/>
      <w:bookmarkStart w:id="23" w:name="_Toc15377204"/>
    </w:p>
    <w:p>
      <w:pPr>
        <w:rPr>
          <w:rFonts w:hint="eastAsia"/>
        </w:rPr>
      </w:pPr>
    </w:p>
    <w:p>
      <w:pPr>
        <w:rPr>
          <w:rFonts w:hint="eastAsia"/>
        </w:rPr>
      </w:pPr>
    </w:p>
    <w:p>
      <w:pPr>
        <w:pStyle w:val="4"/>
        <w:ind w:right="440"/>
        <w:jc w:val="center"/>
      </w:pPr>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1"/>
        </w:numPr>
        <w:spacing w:line="600" w:lineRule="exact"/>
        <w:ind w:firstLineChars="0"/>
        <w:outlineLvl w:val="1"/>
        <w:rPr>
          <w:rStyle w:val="32"/>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726.99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726.99</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859.61</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减少132.62万元</w:t>
      </w:r>
      <w:r>
        <w:rPr>
          <w:rFonts w:hint="eastAsia" w:ascii="仿宋" w:hAnsi="仿宋" w:eastAsia="仿宋"/>
          <w:sz w:val="32"/>
          <w:szCs w:val="32"/>
        </w:rPr>
        <w:t>，</w:t>
      </w:r>
      <w:r>
        <w:rPr>
          <w:rFonts w:hint="eastAsia" w:ascii="仿宋" w:hAnsi="仿宋" w:eastAsia="仿宋"/>
          <w:sz w:val="32"/>
          <w:szCs w:val="32"/>
          <w:lang w:val="en-US" w:eastAsia="zh-CN"/>
        </w:rPr>
        <w:t>减少15.43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859.61</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减少132.62万元</w:t>
      </w:r>
      <w:r>
        <w:rPr>
          <w:rFonts w:hint="eastAsia" w:ascii="仿宋" w:hAnsi="仿宋" w:eastAsia="仿宋"/>
          <w:sz w:val="32"/>
          <w:szCs w:val="32"/>
        </w:rPr>
        <w:t>，</w:t>
      </w:r>
      <w:r>
        <w:rPr>
          <w:rFonts w:hint="eastAsia" w:ascii="仿宋" w:hAnsi="仿宋" w:eastAsia="仿宋"/>
          <w:sz w:val="32"/>
          <w:szCs w:val="32"/>
          <w:lang w:val="en-US" w:eastAsia="zh-CN"/>
        </w:rPr>
        <w:t>减少15.43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人员退休，预算项目减少</w:t>
      </w:r>
      <w:r>
        <w:rPr>
          <w:rFonts w:hint="eastAsia" w:ascii="仿宋" w:hAnsi="仿宋" w:eastAsia="仿宋"/>
          <w:sz w:val="32"/>
          <w:szCs w:val="32"/>
        </w:rPr>
        <w:t>。</w:t>
      </w:r>
    </w:p>
    <w:p>
      <w:pPr>
        <w:pStyle w:val="2"/>
        <w:jc w:val="center"/>
        <w:rPr>
          <w:rFonts w:hint="eastAsia" w:ascii="仿宋" w:hAnsi="仿宋" w:eastAsia="仿宋"/>
          <w:sz w:val="32"/>
          <w:szCs w:val="32"/>
        </w:rPr>
      </w:pPr>
      <w:r>
        <w:drawing>
          <wp:inline distT="0" distB="0" distL="114300" distR="114300">
            <wp:extent cx="4345940" cy="2905125"/>
            <wp:effectExtent l="4445" t="4445" r="8255" b="1651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0"/>
        <w:numPr>
          <w:ilvl w:val="0"/>
          <w:numId w:val="1"/>
        </w:numPr>
        <w:spacing w:line="600" w:lineRule="exact"/>
        <w:ind w:firstLineChars="0"/>
        <w:outlineLvl w:val="1"/>
        <w:rPr>
          <w:rStyle w:val="32"/>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726.99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725.99</w:t>
      </w:r>
      <w:r>
        <w:rPr>
          <w:rFonts w:hint="eastAsia" w:ascii="仿宋" w:hAnsi="仿宋" w:eastAsia="仿宋"/>
          <w:sz w:val="32"/>
          <w:szCs w:val="32"/>
        </w:rPr>
        <w:t>万元，占</w:t>
      </w:r>
      <w:r>
        <w:rPr>
          <w:rFonts w:hint="eastAsia" w:ascii="仿宋" w:hAnsi="仿宋" w:eastAsia="仿宋"/>
          <w:sz w:val="32"/>
          <w:szCs w:val="32"/>
          <w:lang w:val="en-US" w:eastAsia="zh-CN"/>
        </w:rPr>
        <w:t>99.86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0.14</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jc w:val="center"/>
        <w:rPr>
          <w:rFonts w:ascii="仿宋" w:hAnsi="仿宋" w:eastAsia="仿宋"/>
          <w:sz w:val="32"/>
          <w:szCs w:val="32"/>
        </w:rPr>
      </w:pPr>
      <w:r>
        <w:drawing>
          <wp:inline distT="0" distB="0" distL="114300" distR="114300">
            <wp:extent cx="4323080" cy="2926080"/>
            <wp:effectExtent l="4445" t="4445" r="15875" b="10795"/>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30"/>
        <w:numPr>
          <w:ilvl w:val="0"/>
          <w:numId w:val="1"/>
        </w:numPr>
        <w:spacing w:line="600" w:lineRule="exact"/>
        <w:ind w:firstLineChars="0"/>
        <w:outlineLvl w:val="1"/>
        <w:rPr>
          <w:rStyle w:val="32"/>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726.99</w:t>
      </w:r>
      <w:r>
        <w:rPr>
          <w:rFonts w:hint="eastAsia" w:ascii="仿宋" w:hAnsi="仿宋" w:eastAsia="仿宋"/>
          <w:sz w:val="32"/>
          <w:szCs w:val="32"/>
        </w:rPr>
        <w:t>万元，其中：基本支出</w:t>
      </w:r>
      <w:r>
        <w:rPr>
          <w:rFonts w:hint="eastAsia" w:ascii="仿宋" w:hAnsi="仿宋" w:eastAsia="仿宋"/>
          <w:sz w:val="32"/>
          <w:szCs w:val="32"/>
          <w:lang w:val="en-US" w:eastAsia="zh-CN"/>
        </w:rPr>
        <w:t>490.73</w:t>
      </w:r>
      <w:r>
        <w:rPr>
          <w:rFonts w:hint="eastAsia" w:ascii="仿宋" w:hAnsi="仿宋" w:eastAsia="仿宋"/>
          <w:sz w:val="32"/>
          <w:szCs w:val="32"/>
        </w:rPr>
        <w:t>万元，占</w:t>
      </w:r>
      <w:r>
        <w:rPr>
          <w:rFonts w:hint="eastAsia" w:ascii="仿宋" w:hAnsi="仿宋" w:eastAsia="仿宋"/>
          <w:sz w:val="32"/>
          <w:szCs w:val="32"/>
          <w:lang w:val="en-US" w:eastAsia="zh-CN"/>
        </w:rPr>
        <w:t>67.50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236.27</w:t>
      </w:r>
      <w:r>
        <w:rPr>
          <w:rFonts w:hint="eastAsia" w:ascii="仿宋" w:hAnsi="仿宋" w:eastAsia="仿宋"/>
          <w:sz w:val="32"/>
          <w:szCs w:val="32"/>
        </w:rPr>
        <w:t>万元，占</w:t>
      </w:r>
      <w:r>
        <w:rPr>
          <w:rFonts w:hint="eastAsia" w:ascii="仿宋" w:hAnsi="仿宋" w:eastAsia="仿宋"/>
          <w:sz w:val="32"/>
          <w:szCs w:val="32"/>
          <w:lang w:val="en-US" w:eastAsia="zh-CN"/>
        </w:rPr>
        <w:t>32.50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jc w:val="both"/>
      </w:pPr>
      <w:r>
        <w:drawing>
          <wp:inline distT="0" distB="0" distL="114300" distR="114300">
            <wp:extent cx="4150360" cy="2703830"/>
            <wp:effectExtent l="4445" t="4445" r="5715" b="19685"/>
            <wp:docPr id="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1280" w:firstLineChars="400"/>
        <w:jc w:val="both"/>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726.99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726.99</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lang w:val="en-US" w:eastAsia="zh-CN"/>
        </w:rPr>
        <w:t>859.61</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减少132.62万元</w:t>
      </w:r>
      <w:r>
        <w:rPr>
          <w:rFonts w:hint="eastAsia" w:ascii="仿宋" w:hAnsi="仿宋" w:eastAsia="仿宋"/>
          <w:sz w:val="32"/>
          <w:szCs w:val="32"/>
        </w:rPr>
        <w:t>，</w:t>
      </w:r>
      <w:r>
        <w:rPr>
          <w:rFonts w:hint="eastAsia" w:ascii="仿宋" w:hAnsi="仿宋" w:eastAsia="仿宋"/>
          <w:sz w:val="32"/>
          <w:szCs w:val="32"/>
          <w:lang w:val="en-US" w:eastAsia="zh-CN"/>
        </w:rPr>
        <w:t>减少15.43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859.61</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减少132.62万元</w:t>
      </w:r>
      <w:r>
        <w:rPr>
          <w:rFonts w:hint="eastAsia" w:ascii="仿宋" w:hAnsi="仿宋" w:eastAsia="仿宋"/>
          <w:sz w:val="32"/>
          <w:szCs w:val="32"/>
        </w:rPr>
        <w:t>，</w:t>
      </w:r>
      <w:r>
        <w:rPr>
          <w:rFonts w:hint="eastAsia" w:ascii="仿宋" w:hAnsi="仿宋" w:eastAsia="仿宋"/>
          <w:sz w:val="32"/>
          <w:szCs w:val="32"/>
          <w:lang w:val="en-US" w:eastAsia="zh-CN"/>
        </w:rPr>
        <w:t>减少15.43</w:t>
      </w:r>
      <w:r>
        <w:rPr>
          <w:rFonts w:ascii="仿宋" w:hAnsi="仿宋" w:eastAsia="仿宋"/>
          <w:sz w:val="32"/>
          <w:szCs w:val="32"/>
        </w:rPr>
        <w:t>%</w:t>
      </w:r>
      <w:r>
        <w:rPr>
          <w:rFonts w:hint="eastAsia" w:ascii="仿宋" w:hAnsi="仿宋" w:eastAsia="仿宋"/>
          <w:sz w:val="32"/>
          <w:szCs w:val="32"/>
          <w:lang w:eastAsia="zh-CN"/>
        </w:rPr>
        <w:t>。主要变动原因是</w:t>
      </w:r>
      <w:r>
        <w:rPr>
          <w:rFonts w:hint="eastAsia" w:ascii="仿宋" w:hAnsi="仿宋" w:eastAsia="仿宋"/>
          <w:sz w:val="32"/>
          <w:szCs w:val="32"/>
          <w:lang w:val="en-US" w:eastAsia="zh-CN"/>
        </w:rPr>
        <w:t>人员退休，预算项目减少</w:t>
      </w:r>
      <w:r>
        <w:rPr>
          <w:rFonts w:hint="eastAsia" w:ascii="仿宋" w:hAnsi="仿宋" w:eastAsia="仿宋"/>
          <w:sz w:val="32"/>
          <w:szCs w:val="32"/>
        </w:rPr>
        <w:t>。</w:t>
      </w:r>
    </w:p>
    <w:p>
      <w:pPr>
        <w:pStyle w:val="2"/>
      </w:pPr>
      <w:r>
        <w:drawing>
          <wp:inline distT="0" distB="0" distL="114300" distR="114300">
            <wp:extent cx="4150360" cy="2809240"/>
            <wp:effectExtent l="4445" t="4445" r="5715"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ind w:left="0" w:leftChars="0" w:firstLine="640" w:firstLineChars="200"/>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2"/>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725.99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99.86%</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减少133.62</w:t>
      </w:r>
      <w:r>
        <w:rPr>
          <w:rFonts w:hint="eastAsia" w:ascii="仿宋" w:hAnsi="仿宋" w:eastAsia="仿宋"/>
          <w:sz w:val="32"/>
          <w:szCs w:val="32"/>
        </w:rPr>
        <w:t>万元，</w:t>
      </w:r>
      <w:r>
        <w:rPr>
          <w:rFonts w:hint="eastAsia" w:ascii="仿宋" w:hAnsi="仿宋" w:eastAsia="仿宋"/>
          <w:sz w:val="32"/>
          <w:szCs w:val="32"/>
          <w:lang w:val="en-US" w:eastAsia="zh-CN"/>
        </w:rPr>
        <w:t>减少15.54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主要变动原因是</w:t>
      </w:r>
      <w:r>
        <w:rPr>
          <w:rFonts w:hint="eastAsia" w:ascii="仿宋" w:hAnsi="仿宋" w:eastAsia="仿宋"/>
          <w:sz w:val="32"/>
          <w:szCs w:val="32"/>
          <w:lang w:val="en-US" w:eastAsia="zh-CN"/>
        </w:rPr>
        <w:t>人员退休，预算项目减少</w:t>
      </w:r>
      <w:r>
        <w:rPr>
          <w:rFonts w:hint="eastAsia" w:ascii="仿宋" w:hAnsi="仿宋" w:eastAsia="仿宋"/>
          <w:sz w:val="32"/>
          <w:szCs w:val="32"/>
        </w:rPr>
        <w:t>。</w:t>
      </w:r>
    </w:p>
    <w:p>
      <w:pPr>
        <w:jc w:val="center"/>
        <w:rPr>
          <w:rFonts w:hint="eastAsia" w:ascii="仿宋" w:hAnsi="仿宋" w:eastAsia="仿宋"/>
          <w:sz w:val="32"/>
          <w:szCs w:val="32"/>
        </w:rPr>
      </w:pPr>
      <w:r>
        <w:drawing>
          <wp:inline distT="0" distB="0" distL="114300" distR="114300">
            <wp:extent cx="4323080" cy="2916555"/>
            <wp:effectExtent l="4445" t="4445" r="1587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jc w:val="cente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725.99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264.19</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36.39</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0.5万元，占0.07%；</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32.13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4.43</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75.32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10.37</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17.52</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2.41</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9.79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1.35</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300.83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41.44</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25.52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3.52</w:t>
      </w:r>
      <w:r>
        <w:rPr>
          <w:rFonts w:hint="eastAsia" w:ascii="仿宋" w:hAnsi="仿宋" w:eastAsia="仿宋" w:cs="Times New Roman"/>
          <w:sz w:val="32"/>
          <w:szCs w:val="32"/>
        </w:rPr>
        <w:t>％；</w:t>
      </w:r>
      <w:r>
        <w:rPr>
          <w:rFonts w:hint="eastAsia" w:ascii="仿宋" w:hAnsi="仿宋" w:eastAsia="仿宋" w:cs="Times New Roman"/>
          <w:b/>
          <w:sz w:val="32"/>
          <w:szCs w:val="32"/>
        </w:rPr>
        <w:t>灾害防治及应急管理支出</w:t>
      </w:r>
      <w:r>
        <w:rPr>
          <w:rFonts w:hint="eastAsia" w:ascii="仿宋" w:hAnsi="仿宋" w:eastAsia="仿宋" w:cs="Times New Roman"/>
          <w:sz w:val="32"/>
          <w:szCs w:val="32"/>
          <w:lang w:val="en-US" w:eastAsia="zh-CN"/>
        </w:rPr>
        <w:t>0.2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0.02</w:t>
      </w:r>
      <w:r>
        <w:rPr>
          <w:rFonts w:hint="eastAsia" w:ascii="仿宋" w:hAnsi="仿宋" w:eastAsia="仿宋" w:cs="Times New Roman"/>
          <w:sz w:val="32"/>
          <w:szCs w:val="32"/>
        </w:rPr>
        <w:t>％。</w:t>
      </w:r>
    </w:p>
    <w:p>
      <w:pPr>
        <w:pStyle w:val="2"/>
        <w:rPr>
          <w:rFonts w:hint="eastAsia" w:ascii="仿宋" w:hAnsi="仿宋" w:eastAsia="仿宋" w:cs="Times New Roman"/>
          <w:sz w:val="32"/>
          <w:szCs w:val="32"/>
        </w:rPr>
      </w:pPr>
    </w:p>
    <w:p>
      <w:pPr>
        <w:rPr>
          <w:rFonts w:hint="eastAsia" w:ascii="仿宋" w:hAnsi="仿宋" w:eastAsia="仿宋" w:cs="Times New Roman"/>
          <w:sz w:val="32"/>
          <w:szCs w:val="32"/>
        </w:rPr>
      </w:pPr>
      <w:r>
        <w:drawing>
          <wp:inline distT="0" distB="0" distL="114300" distR="114300">
            <wp:extent cx="5526405" cy="3258820"/>
            <wp:effectExtent l="4445" t="4445" r="16510" b="13335"/>
            <wp:docPr id="1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725.99万元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一般公共服务（类）人大事务（款）代表工作（项）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一般公共服务（类）人大事务（款）</w:t>
      </w:r>
      <w:r>
        <w:rPr>
          <w:rStyle w:val="20"/>
          <w:rFonts w:hint="eastAsia" w:ascii="仿宋" w:hAnsi="仿宋" w:eastAsia="仿宋"/>
          <w:b w:val="0"/>
          <w:bCs/>
          <w:color w:val="000000"/>
          <w:sz w:val="32"/>
          <w:szCs w:val="32"/>
          <w:lang w:val="en-US" w:eastAsia="zh-CN"/>
        </w:rPr>
        <w:t>其他人大事务支出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一般公共服务（类）政府办公厅（室）及相关机构事务（款）行政运行（项）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239.07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11.08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5.</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信访</w:t>
      </w:r>
      <w:r>
        <w:rPr>
          <w:rStyle w:val="20"/>
          <w:rFonts w:hint="eastAsia" w:ascii="仿宋" w:hAnsi="仿宋" w:eastAsia="仿宋"/>
          <w:b w:val="0"/>
          <w:bCs/>
          <w:color w:val="000000"/>
          <w:sz w:val="32"/>
          <w:szCs w:val="32"/>
        </w:rPr>
        <w:t>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6.</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7.</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eastAsia="zh-CN"/>
        </w:rPr>
        <w:t>统计信息事务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其他统计信息事务支出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0.30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9.</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10.</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11.</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党委办公厅（室）及相关机构事务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12.</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宣传</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其他宣传事务支出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13.</w:t>
      </w:r>
      <w:r>
        <w:rPr>
          <w:rStyle w:val="20"/>
          <w:rFonts w:hint="eastAsia" w:ascii="仿宋" w:hAnsi="仿宋" w:eastAsia="仿宋"/>
          <w:b w:val="0"/>
          <w:bCs/>
          <w:color w:val="000000"/>
          <w:sz w:val="32"/>
          <w:szCs w:val="32"/>
          <w:lang w:val="en-US" w:eastAsia="zh-CN"/>
        </w:rPr>
        <w:t>国防支出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国防动员</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兵役征集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14.</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群众文化</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0.36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15.</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31.77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16</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41.29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17</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34.03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8.38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19</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（类）行政事业单位医疗（款）事业单位医疗（项）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8.64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20</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eastAsia="zh-CN"/>
        </w:rPr>
        <w:t>卫生健康支出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eastAsia="zh-CN"/>
        </w:rPr>
        <w:t>其他卫生健康支出</w:t>
      </w:r>
      <w:r>
        <w:rPr>
          <w:rStyle w:val="20"/>
          <w:rFonts w:hint="eastAsia" w:ascii="仿宋" w:hAnsi="仿宋" w:eastAsia="仿宋"/>
          <w:b w:val="0"/>
          <w:bCs/>
          <w:color w:val="000000"/>
          <w:sz w:val="32"/>
          <w:szCs w:val="32"/>
        </w:rPr>
        <w:t>（款）其他卫生健康</w:t>
      </w:r>
      <w:r>
        <w:rPr>
          <w:rStyle w:val="20"/>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9.79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22</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98.43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15.00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（类）林业和草原（款）林业草原防灾减灾（项）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cs="Times New Roman"/>
          <w:b w:val="0"/>
          <w:bCs/>
          <w:color w:val="000000"/>
          <w:sz w:val="32"/>
          <w:szCs w:val="32"/>
          <w:lang w:val="en-US" w:eastAsia="zh-CN"/>
        </w:rPr>
      </w:pPr>
      <w:r>
        <w:rPr>
          <w:rStyle w:val="20"/>
          <w:rFonts w:hint="eastAsia" w:ascii="仿宋" w:hAnsi="仿宋" w:eastAsia="仿宋" w:cs="Times New Roman"/>
          <w:b w:val="0"/>
          <w:bCs/>
          <w:color w:val="000000"/>
          <w:sz w:val="32"/>
          <w:szCs w:val="32"/>
          <w:lang w:val="en-US" w:eastAsia="zh-CN"/>
        </w:rPr>
        <w:t>25. 农林水支出（类）水利（款）农村水利（项）：支出决算数为40.00万元，完成预算100%。</w:t>
      </w:r>
    </w:p>
    <w:p>
      <w:pPr>
        <w:spacing w:line="600" w:lineRule="exact"/>
        <w:ind w:firstLine="640" w:firstLineChars="200"/>
        <w:rPr>
          <w:rStyle w:val="20"/>
          <w:rFonts w:hint="eastAsia" w:ascii="仿宋" w:hAnsi="仿宋" w:eastAsia="仿宋" w:cs="Times New Roman"/>
          <w:b w:val="0"/>
          <w:bCs/>
          <w:color w:val="000000"/>
          <w:sz w:val="32"/>
          <w:szCs w:val="32"/>
          <w:lang w:val="en-US" w:eastAsia="zh-CN"/>
        </w:rPr>
      </w:pPr>
      <w:r>
        <w:rPr>
          <w:rStyle w:val="20"/>
          <w:rFonts w:hint="eastAsia" w:ascii="仿宋" w:hAnsi="仿宋" w:eastAsia="仿宋" w:cs="Times New Roman"/>
          <w:b w:val="0"/>
          <w:bCs/>
          <w:color w:val="000000"/>
          <w:sz w:val="32"/>
          <w:szCs w:val="32"/>
          <w:lang w:val="en-US" w:eastAsia="zh-CN"/>
        </w:rPr>
        <w:t>26.农林水支出（类）巩固脱贫衔接乡村振兴（款）生产发展（项）：支出决算数为5.00万元，完成预算100%。</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27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（类）巩固脱贫衔接乡村振兴（款）其他巩固脱贫衔接乡村振兴支出（项）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8.75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91.65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29</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w:t>
      </w:r>
      <w:r>
        <w:rPr>
          <w:rStyle w:val="20"/>
          <w:rFonts w:hint="eastAsia" w:ascii="仿宋" w:hAnsi="仿宋" w:eastAsia="仿宋"/>
          <w:b w:val="0"/>
          <w:bCs/>
          <w:color w:val="000000"/>
          <w:sz w:val="32"/>
          <w:szCs w:val="32"/>
          <w:lang w:eastAsia="zh-CN"/>
        </w:rPr>
        <w:t>其他农村综合改革支出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40.00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30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25.52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sz w:val="32"/>
          <w:szCs w:val="32"/>
        </w:rPr>
      </w:pPr>
      <w:r>
        <w:rPr>
          <w:rStyle w:val="20"/>
          <w:rFonts w:hint="eastAsia" w:ascii="仿宋" w:hAnsi="仿宋" w:eastAsia="仿宋"/>
          <w:b w:val="0"/>
          <w:bCs/>
          <w:color w:val="000000"/>
          <w:sz w:val="32"/>
          <w:szCs w:val="32"/>
          <w:lang w:val="en-US" w:eastAsia="zh-CN"/>
        </w:rPr>
        <w:t>31</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val="en-US" w:eastAsia="zh-CN"/>
        </w:rPr>
        <w:t>灾害防治及应急管理支出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应急管理事务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eastAsia="zh-CN"/>
        </w:rPr>
        <w:t>应急管理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tabs>
          <w:tab w:val="right" w:pos="8306"/>
        </w:tabs>
        <w:spacing w:line="600" w:lineRule="exact"/>
        <w:ind w:firstLine="640"/>
        <w:outlineLvl w:val="1"/>
        <w:rPr>
          <w:rStyle w:val="32"/>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490.73</w:t>
      </w:r>
      <w:r>
        <w:rPr>
          <w:rFonts w:hint="eastAsia" w:ascii="仿宋" w:hAnsi="仿宋" w:eastAsia="仿宋"/>
          <w:sz w:val="32"/>
          <w:szCs w:val="32"/>
        </w:rPr>
        <w:t>万元，其中：</w:t>
      </w:r>
    </w:p>
    <w:p>
      <w:pPr>
        <w:spacing w:line="600" w:lineRule="exact"/>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433.61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57.12</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outlineLvl w:val="1"/>
        <w:rPr>
          <w:rStyle w:val="32"/>
          <w:rFonts w:ascii="黑体" w:hAnsi="黑体" w:eastAsia="黑体"/>
          <w:b w:val="0"/>
        </w:rPr>
      </w:pPr>
      <w:bookmarkStart w:id="42" w:name="_Toc15377215"/>
      <w:bookmarkStart w:id="43"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减少0.28</w:t>
      </w:r>
      <w:r>
        <w:rPr>
          <w:rFonts w:hint="eastAsia" w:ascii="仿宋" w:hAnsi="仿宋" w:eastAsia="仿宋"/>
          <w:sz w:val="32"/>
          <w:szCs w:val="32"/>
        </w:rPr>
        <w:t>万元，</w:t>
      </w:r>
      <w:r>
        <w:rPr>
          <w:rFonts w:hint="eastAsia" w:ascii="仿宋" w:hAnsi="仿宋" w:eastAsia="仿宋"/>
          <w:sz w:val="32"/>
          <w:szCs w:val="32"/>
          <w:lang w:val="en-US" w:eastAsia="zh-CN"/>
        </w:rPr>
        <w:t>减少8.54</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3</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减少0.28</w:t>
      </w:r>
      <w:r>
        <w:rPr>
          <w:rFonts w:hint="eastAsia" w:ascii="仿宋_GB2312" w:eastAsia="仿宋_GB2312"/>
          <w:sz w:val="32"/>
          <w:szCs w:val="32"/>
        </w:rPr>
        <w:t>万元，</w:t>
      </w:r>
      <w:r>
        <w:rPr>
          <w:rFonts w:hint="eastAsia" w:ascii="仿宋_GB2312" w:eastAsia="仿宋_GB2312"/>
          <w:sz w:val="32"/>
          <w:szCs w:val="32"/>
          <w:lang w:val="en-US" w:eastAsia="zh-CN"/>
        </w:rPr>
        <w:t>减少8.54</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3</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108</w:t>
      </w:r>
      <w:r>
        <w:rPr>
          <w:rFonts w:hint="eastAsia" w:ascii="仿宋_GB2312" w:eastAsia="仿宋_GB2312"/>
          <w:sz w:val="32"/>
          <w:szCs w:val="32"/>
        </w:rPr>
        <w:t>批次，</w:t>
      </w:r>
      <w:r>
        <w:rPr>
          <w:rFonts w:hint="eastAsia" w:ascii="仿宋_GB2312" w:eastAsia="仿宋_GB2312"/>
          <w:sz w:val="32"/>
          <w:szCs w:val="32"/>
          <w:lang w:val="en-US" w:eastAsia="zh-CN"/>
        </w:rPr>
        <w:t>685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3</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3万元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val="en-US" w:eastAsia="zh-CN"/>
        </w:rPr>
        <w:t>完成预算100%。政府性基金预算支出决算比2021年增加1万元，增加100%。主要原因是增加污水处理厂过渡期运行经费。</w:t>
      </w:r>
    </w:p>
    <w:p>
      <w:pPr>
        <w:numPr>
          <w:ilvl w:val="0"/>
          <w:numId w:val="2"/>
        </w:numPr>
        <w:spacing w:line="600" w:lineRule="exact"/>
        <w:ind w:firstLine="640"/>
        <w:outlineLvl w:val="1"/>
        <w:rPr>
          <w:rStyle w:val="32"/>
          <w:rFonts w:ascii="黑体" w:hAnsi="黑体" w:eastAsia="黑体"/>
          <w:b w:val="0"/>
        </w:rPr>
      </w:pPr>
      <w:bookmarkStart w:id="48" w:name="_Toc15396611"/>
      <w:bookmarkStart w:id="49" w:name="_Toc15377219"/>
      <w:r>
        <w:rPr>
          <w:rStyle w:val="32"/>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32"/>
          <w:rFonts w:ascii="黑体" w:hAnsi="黑体" w:eastAsia="黑体"/>
          <w:b w:val="0"/>
        </w:rPr>
      </w:pPr>
      <w:bookmarkStart w:id="50" w:name="_Toc15377221"/>
      <w:bookmarkStart w:id="51" w:name="_Toc15396612"/>
      <w:r>
        <w:rPr>
          <w:rStyle w:val="32"/>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w:t>
      </w:r>
      <w:r>
        <w:rPr>
          <w:rFonts w:hint="eastAsia" w:ascii="仿宋_GB2312" w:eastAsia="仿宋_GB2312"/>
          <w:sz w:val="32"/>
          <w:szCs w:val="32"/>
          <w:lang w:val="en-US" w:eastAsia="zh-CN"/>
        </w:rPr>
        <w:t>樵店乡</w:t>
      </w:r>
      <w:r>
        <w:rPr>
          <w:rFonts w:hint="eastAsia" w:ascii="仿宋_GB2312" w:eastAsia="仿宋_GB2312"/>
          <w:sz w:val="32"/>
          <w:szCs w:val="32"/>
          <w:lang w:eastAsia="zh-CN"/>
        </w:rPr>
        <w:t>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57.12</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64.17</w:t>
      </w:r>
      <w:r>
        <w:rPr>
          <w:rFonts w:hint="eastAsia" w:ascii="仿宋_GB2312" w:eastAsia="仿宋_GB2312"/>
          <w:sz w:val="32"/>
          <w:szCs w:val="32"/>
        </w:rPr>
        <w:t>万元，</w:t>
      </w:r>
      <w:r>
        <w:rPr>
          <w:rFonts w:hint="eastAsia" w:ascii="仿宋_GB2312" w:eastAsia="仿宋_GB2312"/>
          <w:sz w:val="32"/>
          <w:szCs w:val="32"/>
          <w:lang w:val="en-US" w:eastAsia="zh-CN"/>
        </w:rPr>
        <w:t>减少52.91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w:t>
      </w:r>
      <w:r>
        <w:rPr>
          <w:rFonts w:hint="eastAsia" w:ascii="仿宋_GB2312" w:eastAsia="仿宋_GB2312"/>
          <w:sz w:val="32"/>
          <w:szCs w:val="32"/>
          <w:lang w:val="en-US" w:eastAsia="zh-CN"/>
        </w:rPr>
        <w:t>樵店乡</w:t>
      </w:r>
      <w:r>
        <w:rPr>
          <w:rFonts w:hint="eastAsia" w:ascii="仿宋_GB2312" w:eastAsia="仿宋_GB2312"/>
          <w:sz w:val="32"/>
          <w:szCs w:val="32"/>
          <w:lang w:eastAsia="zh-CN"/>
        </w:rPr>
        <w:t>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w:t>
      </w:r>
      <w:r>
        <w:rPr>
          <w:rFonts w:hint="eastAsia" w:ascii="仿宋_GB2312" w:eastAsia="仿宋_GB2312"/>
          <w:sz w:val="32"/>
          <w:szCs w:val="32"/>
          <w:lang w:val="en-US" w:eastAsia="zh-CN"/>
        </w:rPr>
        <w:t>樵店乡</w:t>
      </w:r>
      <w:r>
        <w:rPr>
          <w:rFonts w:hint="eastAsia" w:ascii="仿宋_GB2312" w:eastAsia="仿宋_GB2312"/>
          <w:sz w:val="32"/>
          <w:szCs w:val="32"/>
          <w:lang w:eastAsia="zh-CN"/>
        </w:rPr>
        <w:t>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组织对2022年度一般公共预算、政府性基金预算、国有资本经营预算、社会保险基金预算以及资本资产、债券资金等全面开展绩效自评，形成剑阁县樵店乡人民政府部门整体（含部门预算项目）绩效自评报告、</w:t>
      </w:r>
      <w:r>
        <w:rPr>
          <w:rFonts w:hint="eastAsia" w:ascii="仿宋_GB2312" w:hAnsi="仿宋_GB2312" w:eastAsia="仿宋_GB2312" w:cs="仿宋_GB2312"/>
          <w:sz w:val="32"/>
          <w:szCs w:val="32"/>
          <w:lang w:val="zh-CN" w:eastAsia="zh-CN"/>
        </w:rPr>
        <w:t>2022农村公益事业奖补资金项目（</w:t>
      </w:r>
      <w:r>
        <w:rPr>
          <w:rFonts w:hint="eastAsia" w:ascii="仿宋_GB2312" w:hAnsi="仿宋_GB2312" w:eastAsia="仿宋_GB2312" w:cs="仿宋_GB2312"/>
          <w:sz w:val="32"/>
          <w:szCs w:val="32"/>
          <w:lang w:val="en-US" w:eastAsia="zh-CN"/>
        </w:rPr>
        <w:t>2022年农村综合改革资金</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等专项预算项目绩效自评报告，其中，剑阁县樵店乡人民政部门整体（含部门预算项目）绩效自评得分为97分，绩效自评综述：我乡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2022农村公益事业奖补资金项目（</w:t>
      </w:r>
      <w:r>
        <w:rPr>
          <w:rFonts w:hint="eastAsia" w:ascii="仿宋_GB2312" w:hAnsi="仿宋_GB2312" w:eastAsia="仿宋_GB2312" w:cs="仿宋_GB2312"/>
          <w:sz w:val="32"/>
          <w:szCs w:val="32"/>
          <w:lang w:val="en-US" w:eastAsia="zh-CN"/>
        </w:rPr>
        <w:t>2022年农村综合改革资金</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专项预算项目绩效自评得分为98.05分，绩效自评综述：通过预算执行全过程绩效监控，保障了农村公益性事业的高效发展。绩效自评报告详见附件。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spacing w:line="600" w:lineRule="exact"/>
        <w:jc w:val="left"/>
        <w:rPr>
          <w:rFonts w:ascii="宋体"/>
          <w:b/>
          <w:sz w:val="44"/>
          <w:szCs w:val="44"/>
        </w:rPr>
      </w:pP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）一般公共服务支出（类</w:t>
      </w:r>
      <w:r>
        <w:rPr>
          <w:rFonts w:hint="eastAsia" w:ascii="仿宋_GB2312" w:hAnsi="仿宋_GB2312" w:cs="仿宋_GB2312"/>
          <w:b w:val="0"/>
          <w:bCs/>
          <w:sz w:val="32"/>
          <w:szCs w:val="32"/>
          <w:lang w:val="en-US" w:eastAsia="zh-CN"/>
        </w:rPr>
        <w:t>）统计信息事务</w:t>
      </w:r>
      <w:r>
        <w:rPr>
          <w:rFonts w:hint="default" w:ascii="仿宋_GB2312" w:hAnsi="仿宋_GB2312" w:cs="仿宋_GB2312"/>
          <w:b w:val="0"/>
          <w:bCs/>
          <w:sz w:val="32"/>
          <w:szCs w:val="32"/>
          <w:lang w:val="en-US" w:eastAsia="zh-CN"/>
        </w:rPr>
        <w:t>（款）其他统计信息事务支出（项）：</w:t>
      </w:r>
      <w:r>
        <w:rPr>
          <w:rFonts w:hint="eastAsia" w:ascii="仿宋_GB2312" w:hAnsi="仿宋_GB2312" w:cs="仿宋_GB2312"/>
          <w:b w:val="0"/>
          <w:bCs/>
          <w:sz w:val="32"/>
          <w:szCs w:val="32"/>
          <w:lang w:val="en-US" w:eastAsia="zh-CN"/>
        </w:rPr>
        <w:t>反映除上述项目以外的其他统计信息事务支出。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（类）行政事业单位医疗（款）事业单位医疗（项）：指事业单位用于缴纳单位基本医疗保险支出。</w:t>
      </w:r>
    </w:p>
    <w:p>
      <w:pPr>
        <w:pStyle w:val="10"/>
        <w:numPr>
          <w:ilvl w:val="0"/>
          <w:numId w:val="0"/>
        </w:numPr>
        <w:ind w:firstLine="640" w:firstLineChars="200"/>
        <w:rPr>
          <w:rFonts w:hint="default" w:ascii="仿宋_GB2312" w:hAnsi="仿宋_GB2312" w:cs="仿宋_GB2312"/>
          <w:b w:val="0"/>
          <w:bCs/>
          <w:color w:val="auto"/>
          <w:sz w:val="32"/>
          <w:szCs w:val="32"/>
          <w:lang w:val="en-US" w:eastAsia="zh-CN"/>
        </w:rPr>
      </w:pP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二</w:t>
      </w:r>
      <w:r>
        <w:rPr>
          <w:rFonts w:hint="default" w:ascii="仿宋_GB2312" w:hAnsi="仿宋_GB2312" w:cs="仿宋_GB2312"/>
          <w:b w:val="0"/>
          <w:bCs/>
          <w:color w:val="auto"/>
          <w:sz w:val="32"/>
          <w:szCs w:val="32"/>
          <w:lang w:val="en-US" w:eastAsia="zh-CN"/>
        </w:rPr>
        <w:t>十</w:t>
      </w:r>
      <w:r>
        <w:rPr>
          <w:rFonts w:hint="eastAsia" w:ascii="仿宋_GB2312" w:hAnsi="仿宋_GB2312" w:cs="仿宋_GB2312"/>
          <w:b w:val="0"/>
          <w:bCs/>
          <w:color w:val="auto"/>
          <w:sz w:val="32"/>
          <w:szCs w:val="32"/>
          <w:lang w:val="en-US" w:eastAsia="zh-CN"/>
        </w:rPr>
        <w:t>一</w:t>
      </w: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卫生健康支出</w:t>
      </w:r>
      <w:r>
        <w:rPr>
          <w:rFonts w:hint="default" w:ascii="仿宋_GB2312" w:hAnsi="仿宋_GB2312" w:cs="仿宋_GB2312"/>
          <w:b w:val="0"/>
          <w:bCs/>
          <w:color w:val="auto"/>
          <w:sz w:val="32"/>
          <w:szCs w:val="32"/>
          <w:lang w:val="en-US" w:eastAsia="zh-CN"/>
        </w:rPr>
        <w:t>（类）</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（款）</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（项）：</w:t>
      </w:r>
      <w:r>
        <w:rPr>
          <w:rFonts w:hint="eastAsia" w:ascii="仿宋_GB2312" w:hAnsi="仿宋_GB2312" w:cs="仿宋_GB2312"/>
          <w:b w:val="0"/>
          <w:bCs/>
          <w:color w:val="auto"/>
          <w:sz w:val="32"/>
          <w:szCs w:val="32"/>
          <w:lang w:val="en-US" w:eastAsia="zh-CN"/>
        </w:rPr>
        <w:t>反映除上述项目以外其他用于卫生健康方面的支出。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林业草原防灾减灾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（二十六）农林水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水利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农村水利（项）：反映国家对中型灌区节水配套改造、牧区水利建设、小型水源建设、农村河塘整治以及排灌站、小水电站补助等。</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生产发展（项）：反映用于农村欠发达地区发展种植业、养殖业、畜牧业、农副产品加工、林果的建设等生产发展项目以及相关技术推广等方面的项目支出。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其他巩固脱贫衔接乡村振兴支出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（款）其他农村综合改革支出（项）：</w:t>
      </w:r>
      <w:r>
        <w:rPr>
          <w:rFonts w:hint="eastAsia" w:ascii="仿宋_GB2312" w:hAnsi="仿宋_GB2312" w:cs="仿宋_GB2312"/>
          <w:b w:val="0"/>
          <w:bCs/>
          <w:sz w:val="32"/>
          <w:szCs w:val="32"/>
          <w:lang w:val="en-US" w:eastAsia="zh-CN"/>
        </w:rPr>
        <w:t>反映除上述项目以外其他用于农村综合改革方面的支出。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（三十一</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（三十二</w:t>
      </w:r>
      <w:r>
        <w:rPr>
          <w:rFonts w:hint="default" w:ascii="仿宋_GB2312" w:hAnsi="仿宋_GB2312" w:cs="仿宋_GB2312"/>
          <w:b w:val="0"/>
          <w:bCs/>
          <w:sz w:val="32"/>
          <w:szCs w:val="32"/>
          <w:lang w:val="en-US" w:eastAsia="zh-CN"/>
        </w:rPr>
        <w:t>）灾害防治及应急管理支出（类）应急管理事务（款）</w:t>
      </w:r>
      <w:r>
        <w:rPr>
          <w:rFonts w:hint="eastAsia" w:ascii="仿宋_GB2312" w:hAnsi="仿宋_GB2312" w:cs="仿宋_GB2312"/>
          <w:b w:val="0"/>
          <w:bCs/>
          <w:sz w:val="32"/>
          <w:szCs w:val="32"/>
          <w:lang w:val="en-US" w:eastAsia="zh-CN"/>
        </w:rPr>
        <w:t>应急管理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反映用于应急管理的法律法规修订制定，应急预案演练、协调保障等方面的支出</w:t>
      </w:r>
      <w:r>
        <w:rPr>
          <w:rFonts w:hint="default" w:ascii="仿宋_GB2312" w:hAnsi="仿宋_GB2312" w:cs="仿宋_GB2312"/>
          <w:b w:val="0"/>
          <w:bCs/>
          <w:sz w:val="32"/>
          <w:szCs w:val="32"/>
          <w:lang w:val="en-US" w:eastAsia="zh-CN"/>
        </w:rPr>
        <w:t>。</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三十三</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三十四</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10"/>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三十五</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sz w:val="32"/>
          <w:szCs w:val="32"/>
        </w:rPr>
      </w:pPr>
    </w:p>
    <w:p>
      <w:pPr>
        <w:spacing w:line="600" w:lineRule="exact"/>
        <w:jc w:val="center"/>
        <w:outlineLvl w:val="0"/>
        <w:rPr>
          <w:rStyle w:val="31"/>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1"/>
          <w:rFonts w:hint="eastAsia" w:ascii="黑体" w:hAnsi="黑体" w:eastAsia="黑体"/>
          <w:b w:val="0"/>
        </w:rPr>
        <w:t>四部分 附件</w:t>
      </w:r>
      <w:bookmarkEnd w:id="58"/>
    </w:p>
    <w:p>
      <w:pPr>
        <w:spacing w:line="572" w:lineRule="exact"/>
        <w:jc w:val="left"/>
        <w:outlineLvl w:val="0"/>
        <w:rPr>
          <w:rFonts w:hint="eastAsia" w:ascii="黑体" w:hAnsi="黑体" w:eastAsia="黑体" w:cs="黑体"/>
          <w:sz w:val="32"/>
          <w:szCs w:val="32"/>
        </w:rPr>
      </w:pPr>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val="en-US" w:eastAsia="zh-CN"/>
        </w:rPr>
        <w:t>樵店乡</w:t>
      </w:r>
      <w:r>
        <w:rPr>
          <w:rFonts w:hint="eastAsia" w:ascii="宋体" w:hAnsi="宋体" w:eastAsia="宋体"/>
          <w:b/>
          <w:sz w:val="44"/>
          <w:szCs w:val="44"/>
          <w:highlight w:val="none"/>
          <w:shd w:val="clear" w:color="auto" w:fill="FFFFFF"/>
          <w:lang w:eastAsia="zh-CN"/>
        </w:rPr>
        <w:t>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黑体" w:hAnsi="黑体" w:eastAsia="黑体" w:cs="黑体"/>
          <w:b/>
          <w:bCs/>
          <w:color w:val="000000"/>
          <w:kern w:val="0"/>
          <w:sz w:val="32"/>
          <w:szCs w:val="32"/>
          <w:highlight w:val="none"/>
          <w:shd w:val="clear" w:color="auto" w:fill="FFFFFF"/>
          <w:lang w:val="zh-CN"/>
        </w:rPr>
      </w:pPr>
      <w:r>
        <w:rPr>
          <w:rFonts w:hint="eastAsia" w:ascii="黑体" w:hAnsi="黑体" w:eastAsia="黑体" w:cs="黑体"/>
          <w:b/>
          <w:bCs/>
          <w:color w:val="000000"/>
          <w:kern w:val="0"/>
          <w:sz w:val="32"/>
          <w:szCs w:val="32"/>
          <w:highlight w:val="none"/>
          <w:shd w:val="clear" w:color="auto" w:fill="FFFFFF"/>
          <w:lang w:val="en-US" w:eastAsia="zh-CN"/>
        </w:rPr>
        <w:t>一、</w:t>
      </w:r>
      <w:r>
        <w:rPr>
          <w:rFonts w:hint="eastAsia" w:ascii="黑体" w:hAnsi="黑体" w:eastAsia="黑体" w:cs="黑体"/>
          <w:b/>
          <w:bCs/>
          <w:color w:val="000000"/>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（一）机构组成。</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樵店乡内设机构“五办四中心”：党政综合与乡村振兴办公室（农业农村工作办公室、财政所）、党建工作办公室、综合行政执法办公室（社会治理和信访群众工作办公室、应急管理办公室）、社会事务办公室、经济发展办公室（生态环境保护办公室）、便民服务中心、农业综合服务中心（畜牧兽医站、林业工作站、水利服务站）、乡村建设和文化旅游服务中心、农民工服务中心（社会治安综合治理中心、人力资源和社会保障服务所）。</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（二）机构职能。</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1.负责党委、政府日常事务性工作，牵头负责乡村振兴战略的实施，负责农业农村工作，负责集体资产与村级财务管理指导、全乡行政事业单位和其他组织的各类财政资金管理工作。负责基层党组织建设等工作。</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统筹辖区内综合行政执法工作，负责社会治理、信访维稳、安全生产和应急管理等工作。负责教育、科技、文化、医疗卫生、劳动就业、民政等工作。统筹负责辖区经济发展、扶贫开发、生态环境保护等工作。</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3.负责乡镇民政、计生、教育、退役军人服务等工作。负责农业、畜牧、林业、水利、农经、农技、农机和农产品质量安全等涉农服务工作。负责文化旅游和广播电视服务、农村环境综合整治、村建等工作。</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4.负责农民工输出、培训、维权、回引及劳动就业、返乡创业服务等工作，负责人力资源和社会保障服务等工作。</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5.完成上级政府交办</w:t>
      </w:r>
      <w:r>
        <w:rPr>
          <w:rFonts w:hint="eastAsia" w:hAnsi="仿宋_GB2312" w:eastAsia="仿宋_GB2312" w:cs="仿宋_GB2312"/>
          <w:sz w:val="32"/>
          <w:szCs w:val="32"/>
          <w:lang w:val="en-US" w:eastAsia="zh-CN"/>
        </w:rPr>
        <w:t>的其他工作</w:t>
      </w:r>
      <w:r>
        <w:rPr>
          <w:rFonts w:hint="eastAsia" w:ascii="仿宋_GB2312" w:hAnsi="仿宋_GB2312" w:eastAsia="仿宋_GB2312" w:cs="仿宋_GB2312"/>
          <w:sz w:val="32"/>
          <w:szCs w:val="32"/>
          <w:lang w:val="en-US" w:eastAsia="zh-CN"/>
        </w:rPr>
        <w:t>事项。</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3" w:firstLineChars="200"/>
        <w:jc w:val="both"/>
        <w:textAlignment w:val="auto"/>
        <w:rPr>
          <w:rFonts w:hint="eastAsia" w:ascii="楷体_GB2312" w:hAnsi="楷体_GB2312" w:eastAsia="楷体_GB2312" w:cs="楷体_GB2312"/>
          <w:b/>
          <w:bCs/>
          <w:sz w:val="32"/>
          <w:szCs w:val="48"/>
          <w:lang w:val="en-US" w:eastAsia="zh-CN"/>
        </w:rPr>
      </w:pPr>
      <w:r>
        <w:rPr>
          <w:rFonts w:hint="eastAsia" w:ascii="楷体_GB2312" w:hAnsi="楷体_GB2312" w:eastAsia="楷体_GB2312" w:cs="楷体_GB2312"/>
          <w:b/>
          <w:bCs/>
          <w:sz w:val="32"/>
          <w:szCs w:val="48"/>
          <w:lang w:val="en-US" w:eastAsia="zh-CN"/>
        </w:rPr>
        <w:t>（二）人员概况。</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2022年我乡总编制34名，其中行政编制17名，事业编制17名。年末在职人员总数32人，其中行政人员15人，事业人员16人，三支一扶1人。</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黑体" w:hAnsi="黑体" w:eastAsia="黑体" w:cs="黑体"/>
          <w:b/>
          <w:bCs/>
          <w:color w:val="000000"/>
          <w:kern w:val="0"/>
          <w:sz w:val="32"/>
          <w:szCs w:val="48"/>
          <w:highlight w:val="none"/>
          <w:shd w:val="clear" w:color="auto" w:fill="FFFFFF"/>
          <w:lang w:val="en-US" w:eastAsia="zh-CN"/>
        </w:rPr>
      </w:pPr>
      <w:r>
        <w:rPr>
          <w:rFonts w:hint="eastAsia" w:ascii="黑体" w:hAnsi="黑体" w:eastAsia="黑体" w:cs="黑体"/>
          <w:b/>
          <w:bCs/>
          <w:color w:val="000000"/>
          <w:kern w:val="0"/>
          <w:sz w:val="32"/>
          <w:szCs w:val="48"/>
          <w:highlight w:val="none"/>
          <w:shd w:val="clear" w:color="auto" w:fill="FFFFFF"/>
          <w:lang w:val="en-US" w:eastAsia="zh-CN"/>
        </w:rPr>
        <w:t>二、部门资金收支情况</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3" w:firstLineChars="200"/>
        <w:jc w:val="both"/>
        <w:textAlignment w:val="auto"/>
        <w:rPr>
          <w:rFonts w:hint="eastAsia" w:ascii="楷体_GB2312" w:hAnsi="楷体_GB2312" w:eastAsia="楷体_GB2312" w:cs="楷体_GB2312"/>
          <w:b/>
          <w:bCs/>
          <w:sz w:val="32"/>
          <w:szCs w:val="48"/>
          <w:lang w:val="zh-CN" w:eastAsia="zh-CN"/>
        </w:rPr>
      </w:pPr>
      <w:r>
        <w:rPr>
          <w:rFonts w:hint="eastAsia" w:ascii="楷体_GB2312" w:hAnsi="楷体_GB2312" w:eastAsia="楷体_GB2312" w:cs="楷体_GB2312"/>
          <w:b/>
          <w:bCs/>
          <w:sz w:val="32"/>
          <w:szCs w:val="48"/>
          <w:lang w:val="zh-CN" w:eastAsia="zh-CN"/>
        </w:rPr>
        <w:t>（一）部门财政拨款</w:t>
      </w:r>
      <w:r>
        <w:rPr>
          <w:rFonts w:hint="eastAsia" w:ascii="楷体_GB2312" w:hAnsi="楷体_GB2312" w:eastAsia="楷体_GB2312" w:cs="楷体_GB2312"/>
          <w:b/>
          <w:bCs/>
          <w:sz w:val="32"/>
          <w:szCs w:val="48"/>
          <w:lang w:val="en-US" w:eastAsia="zh-CN"/>
        </w:rPr>
        <w:t>收入</w:t>
      </w:r>
      <w:r>
        <w:rPr>
          <w:rFonts w:hint="eastAsia" w:ascii="楷体_GB2312" w:hAnsi="楷体_GB2312" w:eastAsia="楷体_GB2312" w:cs="楷体_GB2312"/>
          <w:b/>
          <w:bCs/>
          <w:sz w:val="32"/>
          <w:szCs w:val="48"/>
          <w:lang w:val="zh-CN" w:eastAsia="zh-CN"/>
        </w:rPr>
        <w:t>情况。</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2022年樵店乡人民政府财政拨款收入总额为726.99万元，其中：一般公共预算财政拨款收入725.99万元、政府性基金预算财政拨款收入1万元。</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en-US" w:eastAsia="zh-CN"/>
        </w:rPr>
      </w:pPr>
      <w:r>
        <w:rPr>
          <w:rFonts w:hint="eastAsia" w:ascii="楷体_GB2312" w:hAnsi="楷体_GB2312" w:eastAsia="楷体_GB2312" w:cs="楷体_GB2312"/>
          <w:b/>
          <w:bCs/>
          <w:color w:val="000000"/>
          <w:kern w:val="0"/>
          <w:sz w:val="32"/>
          <w:szCs w:val="32"/>
          <w:highlight w:val="none"/>
          <w:shd w:val="clear" w:color="auto" w:fill="FFFFFF"/>
          <w:lang w:val="en-US" w:eastAsia="zh-CN"/>
        </w:rPr>
        <w:t>（二）部门财政拨款支出情况。</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樵店乡人民政府支出总额为726.99万元，一般公共服务支出264.18万元，占36.34％；国防支出0.5万元，占0.07%；文化旅游体育与传媒支出32.13万元，占4.42％；社会保障和就业支出75.32万元，占10.36％；卫生健康支出17.52万元，占2.41％；城乡社区支出10.79万元，占1.48％；农林水支出300.83万元，占41.38％；住房保障支出25.52万元，占3.51％；灾害防治及应急管理支出0.2万元，占0.03％。</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en-US" w:eastAsia="zh-CN"/>
        </w:rPr>
      </w:pPr>
      <w:r>
        <w:rPr>
          <w:rFonts w:hint="eastAsia" w:ascii="楷体_GB2312" w:hAnsi="楷体_GB2312" w:eastAsia="楷体_GB2312" w:cs="楷体_GB2312"/>
          <w:b/>
          <w:bCs/>
          <w:color w:val="000000"/>
          <w:kern w:val="0"/>
          <w:sz w:val="32"/>
          <w:szCs w:val="32"/>
          <w:highlight w:val="none"/>
          <w:shd w:val="clear" w:color="auto" w:fill="FFFFFF"/>
          <w:lang w:val="en-US" w:eastAsia="zh-CN"/>
        </w:rPr>
        <w:t>（三）部门财政拨款结转结余情况</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2022年度樵店乡人民政府无财政拨款结转结余。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黑体" w:hAnsi="黑体" w:eastAsia="黑体" w:cs="黑体"/>
          <w:b/>
          <w:bCs/>
          <w:color w:val="000000"/>
          <w:kern w:val="0"/>
          <w:sz w:val="32"/>
          <w:szCs w:val="48"/>
          <w:highlight w:val="none"/>
          <w:shd w:val="clear" w:color="auto" w:fill="FFFFFF"/>
          <w:lang w:val="en-US" w:eastAsia="zh-CN"/>
        </w:rPr>
      </w:pPr>
      <w:r>
        <w:rPr>
          <w:rFonts w:hint="eastAsia" w:ascii="黑体" w:hAnsi="黑体" w:eastAsia="黑体" w:cs="黑体"/>
          <w:b/>
          <w:bCs/>
          <w:color w:val="000000"/>
          <w:kern w:val="0"/>
          <w:sz w:val="32"/>
          <w:szCs w:val="48"/>
          <w:highlight w:val="none"/>
          <w:shd w:val="clear" w:color="auto" w:fill="FFFFFF"/>
          <w:lang w:val="en-US" w:eastAsia="zh-CN"/>
        </w:rPr>
        <w:t>三、部门整体绩效分析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（一）部门预算项目绩效分析。</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剑阁县樵店乡人民政府所有收入和支出均纳入部门预算管理。对5万元以上的预算项目，全部制定绩效目标，全年的绩效目标任务都能够按照年初制定的计划和指标全部完成，部门支出绩效和项目支出绩效都能按照年初</w:t>
      </w:r>
      <w:r>
        <w:rPr>
          <w:rFonts w:hint="eastAsia" w:hAnsi="仿宋_GB2312" w:eastAsia="仿宋_GB2312" w:cs="仿宋_GB2312"/>
          <w:sz w:val="32"/>
          <w:szCs w:val="32"/>
          <w:lang w:val="en-US" w:eastAsia="zh-CN"/>
        </w:rPr>
        <w:t>制定的目标</w:t>
      </w:r>
      <w:r>
        <w:rPr>
          <w:rFonts w:hint="eastAsia" w:ascii="仿宋_GB2312" w:hAnsi="仿宋_GB2312" w:eastAsia="仿宋_GB2312" w:cs="仿宋_GB2312"/>
          <w:sz w:val="32"/>
          <w:szCs w:val="32"/>
          <w:lang w:val="en-US" w:eastAsia="zh-CN"/>
        </w:rPr>
        <w:t>任务完成。</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1.人员类项目绩效分析。</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樵店乡人员类项目绩效目标制定，结合预算编制情况全面梳理、认真分析、科学规划、全面保障，资金测算依据合理，目标设置可行。在目标执行中，严格监管考核，对支出范围严把关，对审核程序强扎实，将财政监督执行到绩效管理的整个前中后各环节，确保了绩效评价的真实性和可靠性，充分保障人员的各项资金、措施的全面落实到位，进度慢和偏离度的问题能够及时纠正解决，稳固推进人员类项目的预算完成，资金使用无结余。</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2.运转类项目绩效分析。</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转类项目充分结合上年度预算绩效评价工作成果，在合理优化预算项目基础上，以充分保障部门和各机构正常运行和日常工作正常开展为基准点，锚定运转类重点工作执行，科学规划，对照年初预算分析，制定绩效目标；优先民生、运转的“双保”项目资金申报，执行中重点审查合理性、合规性、可行性，及时有效处置执行进度慢、偏离度过高问题，确保资金用在“刀刃上”，资金使用无结余情况。</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3.特定目标类项目绩效分析。</w:t>
      </w:r>
    </w:p>
    <w:p>
      <w:pPr>
        <w:pStyle w:val="2"/>
        <w:keepNext w:val="0"/>
        <w:keepLines w:val="0"/>
        <w:pageBreakBefore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定目标类项目按照既定范围科学规划，结合本乡实情梳理细化，反复验算，制定绩效目标；充分保证各项项目实施的可操作性，在预算执行可能涉及的各个风险点、难点、重点，由预算绩效工作专班专题研究绩效目标实现途径，制定相应处置措施，确保了预算执行的进度和准度，资金使用无结余。</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（二）结果应用情况。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sz w:val="32"/>
          <w:szCs w:val="32"/>
          <w:lang w:val="en-US" w:eastAsia="zh-CN"/>
        </w:rPr>
        <w:t>我乡建立了绩效评价工作机制及工作专班，明确专人，工作责任落实到人，制定了本部门预算绩效管理实施办法和资金管理流程，</w:t>
      </w:r>
      <w:r>
        <w:rPr>
          <w:rFonts w:hint="eastAsia" w:ascii="仿宋_GB2312" w:hAnsi="仿宋_GB2312" w:eastAsia="仿宋_GB2312" w:cs="仿宋_GB2312"/>
          <w:sz w:val="32"/>
          <w:szCs w:val="32"/>
          <w:lang w:eastAsia="zh-CN"/>
        </w:rPr>
        <w:t>通过对</w:t>
      </w: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年部门整体支出绩效自评，</w:t>
      </w:r>
      <w:r>
        <w:rPr>
          <w:rFonts w:hint="eastAsia" w:ascii="仿宋_GB2312" w:hAnsi="仿宋_GB2312" w:eastAsia="仿宋_GB2312" w:cs="仿宋_GB2312"/>
          <w:sz w:val="32"/>
          <w:szCs w:val="32"/>
          <w:lang w:eastAsia="zh-CN"/>
        </w:rPr>
        <w:t>能够严格执行预算管理，达到预期目的，通过对部门整体支出绩效的自评，</w:t>
      </w:r>
      <w:r>
        <w:rPr>
          <w:rFonts w:hint="eastAsia" w:ascii="仿宋_GB2312" w:hAnsi="仿宋_GB2312" w:eastAsia="仿宋_GB2312" w:cs="仿宋_GB2312"/>
          <w:sz w:val="32"/>
          <w:szCs w:val="32"/>
          <w:lang w:val="en-US" w:eastAsia="zh-CN"/>
        </w:rPr>
        <w:t>能够好地</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2023年部门整体支出实行管理，合理分配各项支出，保障</w:t>
      </w:r>
      <w:r>
        <w:rPr>
          <w:rFonts w:hint="eastAsia" w:ascii="仿宋_GB2312" w:hAnsi="仿宋_GB2312" w:eastAsia="仿宋_GB2312" w:cs="仿宋_GB2312"/>
          <w:sz w:val="32"/>
          <w:szCs w:val="32"/>
        </w:rPr>
        <w:t>了重点工作的开展。</w:t>
      </w:r>
      <w:r>
        <w:rPr>
          <w:rFonts w:hint="eastAsia" w:ascii="仿宋_GB2312" w:hAnsi="仿宋_GB2312" w:eastAsia="仿宋_GB2312" w:cs="仿宋_GB2312"/>
          <w:sz w:val="32"/>
          <w:szCs w:val="32"/>
          <w:lang w:val="en-US" w:eastAsia="zh-CN"/>
        </w:rPr>
        <w:t>通过对绩效自评结果的及时公开公布，进一步强化政府作为行政机关的责任感和可信度。</w:t>
      </w:r>
      <w:r>
        <w:rPr>
          <w:rFonts w:hint="eastAsia" w:ascii="仿宋_GB2312" w:hAnsi="仿宋_GB2312" w:eastAsia="仿宋_GB2312" w:cs="仿宋_GB2312"/>
          <w:color w:val="000000"/>
          <w:kern w:val="0"/>
          <w:sz w:val="32"/>
          <w:szCs w:val="32"/>
          <w:shd w:val="clear" w:color="auto" w:fill="FFFFFF"/>
          <w:lang w:val="zh-CN"/>
        </w:rPr>
        <w:t>从反馈的整改情况</w:t>
      </w:r>
      <w:r>
        <w:rPr>
          <w:rFonts w:hint="eastAsia" w:ascii="仿宋_GB2312" w:hAnsi="仿宋_GB2312" w:eastAsia="仿宋_GB2312" w:cs="仿宋_GB2312"/>
          <w:color w:val="000000"/>
          <w:kern w:val="0"/>
          <w:sz w:val="32"/>
          <w:szCs w:val="32"/>
          <w:shd w:val="clear" w:color="auto" w:fill="FFFFFF"/>
          <w:lang w:val="en-US" w:eastAsia="zh-CN"/>
        </w:rPr>
        <w:t>来看</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我乡</w:t>
      </w:r>
      <w:r>
        <w:rPr>
          <w:rFonts w:hint="eastAsia" w:ascii="仿宋_GB2312" w:hAnsi="仿宋_GB2312" w:eastAsia="仿宋_GB2312" w:cs="仿宋_GB2312"/>
          <w:color w:val="000000"/>
          <w:kern w:val="0"/>
          <w:sz w:val="32"/>
          <w:szCs w:val="32"/>
          <w:shd w:val="clear" w:color="auto" w:fill="FFFFFF"/>
          <w:lang w:val="zh-CN"/>
        </w:rPr>
        <w:t>迅速落实整改的意识较强，对报告所反映的问题</w:t>
      </w:r>
      <w:r>
        <w:rPr>
          <w:rFonts w:hint="eastAsia" w:ascii="仿宋_GB2312" w:hAnsi="仿宋_GB2312" w:eastAsia="仿宋_GB2312" w:cs="仿宋_GB2312"/>
          <w:color w:val="000000"/>
          <w:kern w:val="0"/>
          <w:sz w:val="32"/>
          <w:szCs w:val="32"/>
          <w:shd w:val="clear" w:color="auto" w:fill="FFFFFF"/>
          <w:lang w:val="en-US" w:eastAsia="zh-CN"/>
        </w:rPr>
        <w:t>能够清醒认识</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迅速行动，切实整改。为</w:t>
      </w:r>
      <w:r>
        <w:rPr>
          <w:rFonts w:hint="eastAsia" w:ascii="仿宋_GB2312" w:hAnsi="仿宋_GB2312" w:eastAsia="仿宋_GB2312" w:cs="仿宋_GB2312"/>
          <w:color w:val="000000"/>
          <w:kern w:val="0"/>
          <w:sz w:val="32"/>
          <w:szCs w:val="32"/>
          <w:shd w:val="clear" w:color="auto" w:fill="FFFFFF"/>
          <w:lang w:val="zh-CN"/>
        </w:rPr>
        <w:t>确保评价结果有效应用。一是将整改情况与</w:t>
      </w:r>
      <w:r>
        <w:rPr>
          <w:rFonts w:hint="eastAsia" w:ascii="仿宋_GB2312" w:hAnsi="仿宋_GB2312" w:eastAsia="仿宋_GB2312" w:cs="仿宋_GB2312"/>
          <w:color w:val="000000"/>
          <w:kern w:val="0"/>
          <w:sz w:val="32"/>
          <w:szCs w:val="32"/>
          <w:shd w:val="clear" w:color="auto" w:fill="FFFFFF"/>
          <w:lang w:val="en-US" w:eastAsia="zh-CN"/>
        </w:rPr>
        <w:t>2023</w:t>
      </w:r>
      <w:r>
        <w:rPr>
          <w:rFonts w:hint="eastAsia" w:ascii="仿宋_GB2312" w:hAnsi="仿宋_GB2312" w:eastAsia="仿宋_GB2312" w:cs="仿宋_GB2312"/>
          <w:color w:val="000000"/>
          <w:kern w:val="0"/>
          <w:sz w:val="32"/>
          <w:szCs w:val="32"/>
          <w:shd w:val="clear" w:color="auto" w:fill="FFFFFF"/>
          <w:lang w:val="zh-CN"/>
        </w:rPr>
        <w:t>年度预算安排相结合。二是督促</w:t>
      </w:r>
      <w:r>
        <w:rPr>
          <w:rFonts w:hint="eastAsia" w:ascii="仿宋_GB2312" w:hAnsi="仿宋_GB2312" w:eastAsia="仿宋_GB2312" w:cs="仿宋_GB2312"/>
          <w:color w:val="000000"/>
          <w:kern w:val="0"/>
          <w:sz w:val="32"/>
          <w:szCs w:val="32"/>
          <w:shd w:val="clear" w:color="auto" w:fill="FFFFFF"/>
          <w:lang w:val="en-US" w:eastAsia="zh-CN"/>
        </w:rPr>
        <w:t>提醒相关项目</w:t>
      </w:r>
      <w:r>
        <w:rPr>
          <w:rFonts w:hint="eastAsia" w:ascii="仿宋_GB2312" w:hAnsi="仿宋_GB2312" w:eastAsia="仿宋_GB2312" w:cs="仿宋_GB2312"/>
          <w:color w:val="000000"/>
          <w:kern w:val="0"/>
          <w:sz w:val="32"/>
          <w:szCs w:val="32"/>
          <w:shd w:val="clear" w:color="auto" w:fill="FFFFFF"/>
          <w:lang w:val="zh-CN"/>
        </w:rPr>
        <w:t>按要求将绩效评价结果及整改情况在一定范围内适时公开。</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黑体" w:hAnsi="黑体" w:eastAsia="黑体" w:cs="黑体"/>
          <w:b/>
          <w:bCs/>
          <w:color w:val="000000"/>
          <w:kern w:val="0"/>
          <w:sz w:val="32"/>
          <w:szCs w:val="48"/>
          <w:highlight w:val="none"/>
          <w:shd w:val="clear" w:color="auto" w:fill="FFFFFF"/>
          <w:lang w:val="en-US" w:eastAsia="zh-CN"/>
        </w:rPr>
      </w:pPr>
      <w:r>
        <w:rPr>
          <w:rFonts w:hint="eastAsia" w:ascii="黑体" w:hAnsi="黑体" w:eastAsia="黑体" w:cs="黑体"/>
          <w:b/>
          <w:bCs/>
          <w:color w:val="000000"/>
          <w:kern w:val="0"/>
          <w:sz w:val="32"/>
          <w:szCs w:val="48"/>
          <w:highlight w:val="none"/>
          <w:shd w:val="clear" w:color="auto" w:fill="FFFFFF"/>
          <w:lang w:val="en-US" w:eastAsia="zh-CN"/>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我乡2022年度部门整体支出绩效自评得分95分。</w:t>
      </w:r>
    </w:p>
    <w:p>
      <w:pPr>
        <w:keepNext w:val="0"/>
        <w:keepLines w:val="0"/>
        <w:pageBreakBefore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自查自评结果良好，全年基本</w:t>
      </w:r>
      <w:r>
        <w:rPr>
          <w:rFonts w:hint="eastAsia" w:ascii="仿宋_GB2312" w:hAnsi="仿宋_GB2312" w:eastAsia="仿宋_GB2312" w:cs="仿宋_GB2312"/>
          <w:sz w:val="32"/>
          <w:szCs w:val="32"/>
        </w:rPr>
        <w:t>支出保证了部门的正常运行和日常工作的正常开展，项目支出保障了重点工作的开展，</w:t>
      </w:r>
      <w:r>
        <w:rPr>
          <w:rFonts w:hint="eastAsia" w:ascii="仿宋_GB2312" w:hAnsi="仿宋_GB2312" w:eastAsia="仿宋_GB2312" w:cs="仿宋_GB2312"/>
          <w:sz w:val="32"/>
          <w:szCs w:val="32"/>
          <w:lang w:val="en-US" w:eastAsia="zh-CN"/>
        </w:rPr>
        <w:t>人员各项支出保障到位、运转各项支出高效可行，</w:t>
      </w:r>
      <w:r>
        <w:rPr>
          <w:rFonts w:hint="eastAsia" w:ascii="仿宋_GB2312" w:hAnsi="仿宋_GB2312" w:eastAsia="仿宋_GB2312" w:cs="仿宋_GB2312"/>
          <w:sz w:val="32"/>
          <w:szCs w:val="32"/>
        </w:rPr>
        <w:t>达到预期绩效目标。</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（二）存在问题。</w:t>
      </w:r>
    </w:p>
    <w:p>
      <w:pPr>
        <w:keepNext w:val="0"/>
        <w:keepLines w:val="0"/>
        <w:pageBreakBefore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通过绩效评价工作的逐步推进，我乡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w:t>
      </w:r>
      <w:r>
        <w:rPr>
          <w:rFonts w:hint="eastAsia" w:ascii="楷体_GB2312" w:hAnsi="楷体_GB2312" w:eastAsia="楷体_GB2312" w:cs="楷体_GB2312"/>
          <w:b/>
          <w:bCs/>
          <w:color w:val="000000"/>
          <w:kern w:val="0"/>
          <w:sz w:val="32"/>
          <w:szCs w:val="32"/>
          <w:highlight w:val="none"/>
          <w:shd w:val="clear" w:color="auto" w:fill="FFFFFF"/>
          <w:lang w:val="en-US" w:eastAsia="zh-CN"/>
        </w:rPr>
        <w:t>三</w:t>
      </w:r>
      <w:r>
        <w:rPr>
          <w:rFonts w:hint="eastAsia" w:ascii="楷体_GB2312" w:hAnsi="楷体_GB2312" w:eastAsia="楷体_GB2312" w:cs="楷体_GB2312"/>
          <w:b/>
          <w:bCs/>
          <w:color w:val="000000"/>
          <w:kern w:val="0"/>
          <w:sz w:val="32"/>
          <w:szCs w:val="32"/>
          <w:highlight w:val="none"/>
          <w:shd w:val="clear" w:color="auto" w:fill="FFFFFF"/>
          <w:lang w:val="zh-CN" w:eastAsia="zh-CN"/>
        </w:rPr>
        <w:t>）改进建议。</w:t>
      </w:r>
    </w:p>
    <w:p>
      <w:pPr>
        <w:keepNext w:val="0"/>
        <w:keepLines w:val="0"/>
        <w:pageBreakBefore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2.加强财务管理，严格财务审核。在费用报账支付时，按照预算规定的费用项目和用途进行资金使用审核、列报支付、财务核算，杜绝超支现象的发生。</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4.加强项目开展进度的跟踪，开展项目绩效评价，确保项目绩效目标的完成。</w:t>
      </w: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pStyle w:val="8"/>
        <w:rPr>
          <w:rFonts w:hint="eastAsia" w:ascii="宋体" w:hAnsi="宋体" w:eastAsia="宋体"/>
          <w:b/>
          <w:sz w:val="44"/>
          <w:szCs w:val="44"/>
          <w:highlight w:val="none"/>
          <w:shd w:val="clear" w:color="auto" w:fill="FFFFFF"/>
          <w:lang w:eastAsia="zh-CN"/>
        </w:rPr>
      </w:pP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ascii="黑体" w:hAnsi="宋体" w:eastAsia="黑体" w:cs="宋体"/>
          <w:color w:val="000000"/>
          <w:kern w:val="0"/>
          <w:sz w:val="24"/>
          <w:szCs w:val="32"/>
          <w:highlight w:val="none"/>
          <w:shd w:val="clear" w:color="auto" w:fill="FFFFFF"/>
        </w:rPr>
      </w:pP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730"/>
        <w:gridCol w:w="699"/>
        <w:gridCol w:w="222"/>
        <w:gridCol w:w="1277"/>
        <w:gridCol w:w="787"/>
        <w:gridCol w:w="288"/>
        <w:gridCol w:w="82"/>
        <w:gridCol w:w="288"/>
        <w:gridCol w:w="385"/>
        <w:gridCol w:w="317"/>
        <w:gridCol w:w="594"/>
        <w:gridCol w:w="250"/>
        <w:gridCol w:w="284"/>
        <w:gridCol w:w="553"/>
        <w:gridCol w:w="333"/>
        <w:gridCol w:w="424"/>
        <w:gridCol w:w="286"/>
        <w:gridCol w:w="241"/>
        <w:gridCol w:w="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1"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32"/>
                <w:szCs w:val="32"/>
                <w:u w:val="none"/>
                <w:lang w:val="en-US" w:eastAsia="zh-CN" w:bidi="ar"/>
              </w:rPr>
              <w:t>附件2</w:t>
            </w:r>
          </w:p>
        </w:tc>
        <w:tc>
          <w:tcPr>
            <w:tcW w:w="12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4"/>
                <w:szCs w:val="24"/>
                <w:u w:val="none"/>
              </w:rPr>
            </w:pPr>
          </w:p>
        </w:tc>
        <w:tc>
          <w:tcPr>
            <w:tcW w:w="7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601"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206"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392"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332"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98"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95"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97"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96"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405" w:hRule="atLeast"/>
        </w:trPr>
        <w:tc>
          <w:tcPr>
            <w:tcW w:w="4837" w:type="pct"/>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00" w:hRule="atLeast"/>
        </w:trPr>
        <w:tc>
          <w:tcPr>
            <w:tcW w:w="11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部门（单位）名称</w:t>
            </w:r>
          </w:p>
        </w:tc>
        <w:tc>
          <w:tcPr>
            <w:tcW w:w="369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剑阁县樵店乡人民政府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年度主要</w:t>
            </w:r>
          </w:p>
        </w:tc>
        <w:tc>
          <w:tcPr>
            <w:tcW w:w="2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年初任务目标</w:t>
            </w:r>
          </w:p>
        </w:tc>
        <w:tc>
          <w:tcPr>
            <w:tcW w:w="241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1068"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w:t>
            </w:r>
          </w:p>
        </w:tc>
        <w:tc>
          <w:tcPr>
            <w:tcW w:w="20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保障全乡干部职工基本工资福利，保障村组干部基本报酬及村级组织正常运转，保障乡、村各项工作稳步推进，保障人民群众生命财产安全，保障基础设施正常运转，全力推进乡村振兴各项工作</w:t>
            </w:r>
          </w:p>
        </w:tc>
        <w:tc>
          <w:tcPr>
            <w:tcW w:w="241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保障全乡干部职工基本工资福利，保障村组干部基本报酬及村级组织正常运转，保障乡、村各项工作稳步推进，保障人民群众生命财产安全，保障基础设施正常运转，全力推进乡村振兴各项工作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510"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预算执行情况（万元）</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02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2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8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725.99</w:t>
            </w:r>
          </w:p>
        </w:tc>
        <w:tc>
          <w:tcPr>
            <w:tcW w:w="102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725.99</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 w:type="pct"/>
          <w:trHeight w:val="32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148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725.99</w:t>
            </w:r>
          </w:p>
        </w:tc>
        <w:tc>
          <w:tcPr>
            <w:tcW w:w="102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725.99</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 w:type="pct"/>
          <w:trHeight w:val="30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00"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77"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418"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 w:type="pct"/>
          <w:trHeight w:val="16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18"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 w:type="pct"/>
          <w:trHeight w:val="30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1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750"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预期指标值（包含数字及文字描述）</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实际完成指标值（包含数字及文字描述）</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42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完成指标</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村级组织正常运转</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 w:type="pct"/>
          <w:trHeight w:val="39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村组干部基本报酬保障率</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53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全乡干部工资福利及基本保险保障率</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21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全乡各项工作推进保障率</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20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人居环境改善情况</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定性优良中低差</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29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项目执行完成率及质量</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214"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25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基本支出控制数</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≤490.73万元</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490.73万元</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24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项目支出控制数</w:t>
            </w: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≤236.27万元</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236.27万元</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4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2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群众生活水平质量提升</w:t>
            </w:r>
          </w:p>
        </w:tc>
        <w:tc>
          <w:tcPr>
            <w:tcW w:w="58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定性高中低</w:t>
            </w:r>
          </w:p>
        </w:tc>
        <w:tc>
          <w:tcPr>
            <w:tcW w:w="6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4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1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4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群众生活水平质量提升期</w:t>
            </w:r>
          </w:p>
        </w:tc>
        <w:tc>
          <w:tcPr>
            <w:tcW w:w="58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4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 w:type="pct"/>
          <w:trHeight w:val="31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4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58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8" w:type="pct"/>
            <w:gridSpan w:val="2"/>
            <w:vMerge w:val="restar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465"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2" w:type="pct"/>
          <w:trHeight w:val="34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32"/>
          <w:szCs w:val="32"/>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黑体" w:hAnsi="黑体" w:eastAsia="黑体" w:cs="黑体"/>
          <w:b/>
          <w:bCs/>
          <w:sz w:val="44"/>
          <w:szCs w:val="44"/>
          <w:lang w:val="zh-CN" w:eastAsia="zh-CN"/>
        </w:rPr>
      </w:pPr>
      <w:r>
        <w:rPr>
          <w:rFonts w:hint="eastAsia" w:ascii="黑体" w:hAnsi="黑体" w:eastAsia="黑体" w:cs="黑体"/>
          <w:b/>
          <w:bCs/>
          <w:sz w:val="44"/>
          <w:szCs w:val="44"/>
          <w:lang w:val="zh-CN" w:eastAsia="zh-CN"/>
        </w:rPr>
        <w:t>剑阁县</w:t>
      </w:r>
      <w:r>
        <w:rPr>
          <w:rFonts w:hint="eastAsia" w:ascii="黑体" w:hAnsi="黑体" w:eastAsia="黑体" w:cs="黑体"/>
          <w:b/>
          <w:bCs/>
          <w:sz w:val="44"/>
          <w:szCs w:val="44"/>
          <w:lang w:val="en-US" w:eastAsia="zh-CN"/>
        </w:rPr>
        <w:t>樵店乡</w:t>
      </w:r>
      <w:r>
        <w:rPr>
          <w:rFonts w:hint="eastAsia" w:ascii="黑体" w:hAnsi="黑体" w:eastAsia="黑体" w:cs="黑体"/>
          <w:b/>
          <w:bCs/>
          <w:sz w:val="44"/>
          <w:szCs w:val="44"/>
          <w:lang w:val="zh-CN" w:eastAsia="zh-CN"/>
        </w:rPr>
        <w:t>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黑体" w:hAnsi="黑体" w:eastAsia="黑体" w:cs="黑体"/>
          <w:b/>
          <w:bCs/>
          <w:sz w:val="44"/>
          <w:szCs w:val="44"/>
          <w:lang w:val="zh-CN" w:eastAsia="zh-CN"/>
        </w:rPr>
      </w:pPr>
      <w:r>
        <w:rPr>
          <w:rFonts w:hint="eastAsia" w:ascii="黑体" w:hAnsi="黑体" w:eastAsia="黑体" w:cs="黑体"/>
          <w:b/>
          <w:bCs/>
          <w:sz w:val="44"/>
          <w:szCs w:val="44"/>
          <w:lang w:val="en-US" w:eastAsia="zh-CN"/>
        </w:rPr>
        <w:t>关于2</w:t>
      </w:r>
      <w:r>
        <w:rPr>
          <w:rFonts w:hint="eastAsia" w:ascii="黑体" w:hAnsi="黑体" w:eastAsia="黑体" w:cs="黑体"/>
          <w:b/>
          <w:bCs/>
          <w:sz w:val="44"/>
          <w:szCs w:val="44"/>
          <w:lang w:val="zh-CN" w:eastAsia="zh-CN"/>
        </w:rPr>
        <w:t>022农村公益事业奖补资金</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黑体" w:hAnsi="黑体" w:eastAsia="黑体" w:cs="黑体"/>
          <w:color w:val="auto"/>
          <w:kern w:val="2"/>
          <w:sz w:val="44"/>
          <w:szCs w:val="44"/>
          <w:highlight w:val="none"/>
        </w:rPr>
      </w:pPr>
      <w:r>
        <w:rPr>
          <w:rFonts w:hint="eastAsia" w:ascii="黑体" w:hAnsi="黑体" w:eastAsia="黑体" w:cs="黑体"/>
          <w:b/>
          <w:bCs/>
          <w:sz w:val="44"/>
          <w:szCs w:val="44"/>
          <w:lang w:val="zh-CN" w:eastAsia="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jc w:val="both"/>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樵店乡</w:t>
      </w:r>
      <w:r>
        <w:rPr>
          <w:rFonts w:hint="eastAsia" w:ascii="仿宋" w:hAnsi="仿宋" w:eastAsia="仿宋" w:cs="仿宋"/>
          <w:sz w:val="32"/>
          <w:szCs w:val="32"/>
          <w:lang w:val="zh-CN"/>
        </w:rPr>
        <w:t>2022</w:t>
      </w:r>
      <w:r>
        <w:rPr>
          <w:rFonts w:hint="eastAsia" w:ascii="仿宋" w:hAnsi="仿宋" w:eastAsia="仿宋" w:cs="仿宋"/>
          <w:sz w:val="32"/>
          <w:szCs w:val="32"/>
          <w:lang w:val="en-US" w:eastAsia="zh-CN"/>
        </w:rPr>
        <w:t>第一批</w:t>
      </w:r>
      <w:r>
        <w:rPr>
          <w:rFonts w:hint="eastAsia" w:ascii="仿宋" w:hAnsi="仿宋" w:eastAsia="仿宋" w:cs="仿宋"/>
          <w:sz w:val="32"/>
          <w:szCs w:val="32"/>
          <w:lang w:val="zh-CN"/>
        </w:rPr>
        <w:t>农村公益事业奖补资金共</w:t>
      </w:r>
      <w:r>
        <w:rPr>
          <w:rFonts w:hint="eastAsia" w:ascii="仿宋" w:hAnsi="仿宋" w:eastAsia="仿宋" w:cs="仿宋"/>
          <w:sz w:val="32"/>
          <w:szCs w:val="32"/>
          <w:lang w:val="en-US" w:eastAsia="zh-CN"/>
        </w:rPr>
        <w:t>40万元，</w:t>
      </w:r>
      <w:r>
        <w:rPr>
          <w:rFonts w:hint="eastAsia" w:ascii="仿宋" w:hAnsi="仿宋" w:eastAsia="仿宋" w:cs="仿宋"/>
          <w:b w:val="0"/>
          <w:bCs w:val="0"/>
          <w:i w:val="0"/>
          <w:iCs w:val="0"/>
          <w:caps w:val="0"/>
          <w:color w:val="000000"/>
          <w:spacing w:val="0"/>
          <w:sz w:val="32"/>
          <w:szCs w:val="32"/>
          <w:lang w:val="en-US" w:eastAsia="zh-CN"/>
        </w:rPr>
        <w:t>乡</w:t>
      </w:r>
      <w:r>
        <w:rPr>
          <w:rFonts w:hint="eastAsia" w:ascii="仿宋" w:hAnsi="仿宋" w:eastAsia="仿宋" w:cs="仿宋"/>
          <w:b w:val="0"/>
          <w:bCs w:val="0"/>
          <w:i w:val="0"/>
          <w:iCs w:val="0"/>
          <w:caps w:val="0"/>
          <w:color w:val="000000"/>
          <w:spacing w:val="0"/>
          <w:sz w:val="32"/>
          <w:szCs w:val="32"/>
        </w:rPr>
        <w:t>政府经过请示，县政府批复，通过项目资金申报，县财政局下达后，采取直接支付的方式，全部用于</w:t>
      </w:r>
      <w:r>
        <w:rPr>
          <w:rFonts w:hint="eastAsia" w:ascii="仿宋" w:hAnsi="仿宋" w:eastAsia="仿宋" w:cs="仿宋"/>
          <w:b w:val="0"/>
          <w:bCs w:val="0"/>
          <w:i w:val="0"/>
          <w:iCs w:val="0"/>
          <w:caps w:val="0"/>
          <w:color w:val="000000"/>
          <w:spacing w:val="0"/>
          <w:sz w:val="32"/>
          <w:szCs w:val="32"/>
          <w:lang w:val="en-US" w:eastAsia="zh-CN"/>
        </w:rPr>
        <w:t>村小型农田水利设施、村庄路灯亮化、环境卫生整治、文化广场设施建设、病险塘库堰整治等</w:t>
      </w:r>
      <w:r>
        <w:rPr>
          <w:rFonts w:hint="eastAsia" w:ascii="仿宋" w:hAnsi="仿宋" w:eastAsia="仿宋" w:cs="仿宋"/>
          <w:b w:val="0"/>
          <w:bCs w:val="0"/>
          <w:i w:val="0"/>
          <w:iCs w:val="0"/>
          <w:caps w:val="0"/>
          <w:color w:val="000000"/>
          <w:spacing w:val="0"/>
          <w:sz w:val="32"/>
          <w:szCs w:val="32"/>
        </w:rPr>
        <w:t>。经费通过申报、批复、划拨、使用</w:t>
      </w:r>
      <w:r>
        <w:rPr>
          <w:rFonts w:hint="eastAsia" w:ascii="仿宋" w:hAnsi="仿宋" w:eastAsia="仿宋" w:cs="仿宋"/>
          <w:b w:val="0"/>
          <w:bCs w:val="0"/>
          <w:i w:val="0"/>
          <w:iCs w:val="0"/>
          <w:caps w:val="0"/>
          <w:color w:val="000000"/>
          <w:spacing w:val="0"/>
          <w:sz w:val="32"/>
          <w:szCs w:val="32"/>
          <w:lang w:eastAsia="zh-CN"/>
        </w:rPr>
        <w:t>后</w:t>
      </w:r>
      <w:r>
        <w:rPr>
          <w:rFonts w:hint="eastAsia" w:ascii="仿宋" w:hAnsi="仿宋" w:eastAsia="仿宋" w:cs="仿宋"/>
          <w:b w:val="0"/>
          <w:bCs w:val="0"/>
          <w:i w:val="0"/>
          <w:iCs w:val="0"/>
          <w:caps w:val="0"/>
          <w:color w:val="000000"/>
          <w:spacing w:val="0"/>
          <w:sz w:val="32"/>
          <w:szCs w:val="32"/>
        </w:rPr>
        <w:t>，</w:t>
      </w:r>
      <w:r>
        <w:rPr>
          <w:rFonts w:hint="eastAsia" w:ascii="仿宋" w:hAnsi="仿宋" w:eastAsia="仿宋" w:cs="仿宋"/>
          <w:b w:val="0"/>
          <w:bCs w:val="0"/>
          <w:i w:val="0"/>
          <w:iCs w:val="0"/>
          <w:caps w:val="0"/>
          <w:color w:val="000000"/>
          <w:spacing w:val="0"/>
          <w:sz w:val="32"/>
          <w:szCs w:val="32"/>
          <w:lang w:eastAsia="zh-CN"/>
        </w:rPr>
        <w:t>将</w:t>
      </w:r>
      <w:r>
        <w:rPr>
          <w:rFonts w:hint="eastAsia" w:ascii="仿宋" w:hAnsi="仿宋" w:eastAsia="仿宋" w:cs="仿宋"/>
          <w:b w:val="0"/>
          <w:bCs w:val="0"/>
          <w:i w:val="0"/>
          <w:iCs w:val="0"/>
          <w:caps w:val="0"/>
          <w:color w:val="000000"/>
          <w:spacing w:val="0"/>
          <w:sz w:val="32"/>
          <w:szCs w:val="32"/>
        </w:rPr>
        <w:t>及时、规范对收支进行账务处理和会计核算，符合资金管理办法等相关规定。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（二）项目绩效目标。</w:t>
      </w:r>
      <w:r>
        <w:rPr>
          <w:rFonts w:hint="eastAsia" w:ascii="仿宋" w:hAnsi="仿宋" w:eastAsia="仿宋" w:cs="仿宋"/>
          <w:b w:val="0"/>
          <w:bCs w:val="0"/>
          <w:i w:val="0"/>
          <w:iCs w:val="0"/>
          <w:caps w:val="0"/>
          <w:color w:val="000000"/>
          <w:spacing w:val="0"/>
          <w:sz w:val="32"/>
          <w:szCs w:val="32"/>
          <w:lang w:val="en-US" w:eastAsia="zh-CN"/>
        </w:rPr>
        <w:t>樵店乡</w:t>
      </w:r>
      <w:r>
        <w:rPr>
          <w:rFonts w:hint="eastAsia" w:ascii="仿宋" w:hAnsi="仿宋" w:eastAsia="仿宋" w:cs="仿宋"/>
          <w:sz w:val="32"/>
          <w:szCs w:val="32"/>
          <w:lang w:val="zh-CN"/>
        </w:rPr>
        <w:t>2022农村公益事业奖补资金</w:t>
      </w:r>
      <w:r>
        <w:rPr>
          <w:rFonts w:hint="eastAsia" w:ascii="仿宋" w:hAnsi="仿宋" w:eastAsia="仿宋" w:cs="仿宋"/>
          <w:sz w:val="32"/>
          <w:szCs w:val="32"/>
          <w:lang w:val="en-US" w:eastAsia="zh-CN"/>
        </w:rPr>
        <w:t>将用于七一村路灯亮化、场镇周边路灯亮化以及</w:t>
      </w:r>
      <w:r>
        <w:rPr>
          <w:rFonts w:hint="eastAsia" w:ascii="仿宋" w:hAnsi="仿宋" w:eastAsia="仿宋" w:cs="仿宋"/>
          <w:sz w:val="32"/>
          <w:szCs w:val="32"/>
          <w:u w:val="none"/>
          <w:lang w:val="en-US" w:eastAsia="zh-CN"/>
        </w:rPr>
        <w:t>文化广场设施建设</w:t>
      </w:r>
      <w:r>
        <w:rPr>
          <w:rFonts w:hint="eastAsia" w:ascii="仿宋" w:hAnsi="仿宋" w:eastAsia="仿宋" w:cs="仿宋"/>
          <w:sz w:val="32"/>
          <w:szCs w:val="32"/>
          <w:u w:val="none"/>
          <w:lang w:val="zh-CN"/>
        </w:rPr>
        <w:t>发展</w:t>
      </w:r>
      <w:r>
        <w:rPr>
          <w:rFonts w:hint="eastAsia" w:ascii="仿宋" w:hAnsi="仿宋" w:eastAsia="仿宋" w:cs="仿宋"/>
          <w:sz w:val="32"/>
          <w:szCs w:val="32"/>
          <w:lang w:val="zh-CN"/>
        </w:rPr>
        <w:t>。现已完成</w:t>
      </w:r>
      <w:r>
        <w:rPr>
          <w:rFonts w:hint="eastAsia" w:ascii="仿宋" w:hAnsi="仿宋" w:eastAsia="仿宋" w:cs="仿宋"/>
          <w:sz w:val="32"/>
          <w:szCs w:val="32"/>
          <w:lang w:val="en-US" w:eastAsia="zh-CN"/>
        </w:rPr>
        <w:t>路灯亮化建设，文化广场设施建设正在</w:t>
      </w:r>
      <w:r>
        <w:rPr>
          <w:rFonts w:hint="eastAsia" w:ascii="仿宋" w:hAnsi="仿宋" w:eastAsia="仿宋" w:cs="仿宋"/>
          <w:sz w:val="32"/>
          <w:szCs w:val="32"/>
          <w:lang w:val="zh-CN"/>
        </w:rPr>
        <w:t>推进中。</w:t>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（三）项目资金申报相符性。</w:t>
      </w:r>
      <w:r>
        <w:rPr>
          <w:rFonts w:hint="eastAsia" w:ascii="仿宋" w:hAnsi="仿宋" w:eastAsia="仿宋" w:cs="仿宋"/>
          <w:sz w:val="32"/>
          <w:szCs w:val="32"/>
          <w:lang w:val="zh-CN"/>
        </w:rPr>
        <w:t>2022农村公益事业奖补资金项目用于我乡</w:t>
      </w:r>
      <w:r>
        <w:rPr>
          <w:rFonts w:hint="eastAsia" w:ascii="仿宋" w:hAnsi="仿宋" w:eastAsia="仿宋" w:cs="仿宋"/>
          <w:sz w:val="32"/>
          <w:szCs w:val="32"/>
          <w:lang w:val="en-US" w:eastAsia="zh-CN"/>
        </w:rPr>
        <w:t>七一村路灯亮化、场镇周边路灯亮化</w:t>
      </w:r>
      <w:r>
        <w:rPr>
          <w:rFonts w:hint="eastAsia" w:ascii="仿宋" w:hAnsi="仿宋" w:eastAsia="仿宋" w:cs="仿宋"/>
          <w:sz w:val="32"/>
          <w:szCs w:val="32"/>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w:t>
      </w:r>
      <w:r>
        <w:rPr>
          <w:rFonts w:hint="eastAsia" w:ascii="仿宋" w:hAnsi="仿宋" w:eastAsia="仿宋" w:cs="仿宋"/>
          <w:sz w:val="32"/>
          <w:szCs w:val="32"/>
          <w:lang w:val="en-US" w:eastAsia="zh-CN"/>
        </w:rPr>
        <w:t>樵店乡</w:t>
      </w:r>
      <w:r>
        <w:rPr>
          <w:rFonts w:hint="eastAsia" w:ascii="仿宋" w:hAnsi="仿宋" w:eastAsia="仿宋" w:cs="仿宋"/>
          <w:sz w:val="32"/>
          <w:szCs w:val="32"/>
          <w:lang w:val="zh-CN"/>
        </w:rPr>
        <w:t>2022农村公益事业奖补资金共</w:t>
      </w:r>
      <w:r>
        <w:rPr>
          <w:rFonts w:hint="eastAsia" w:ascii="仿宋" w:hAnsi="仿宋" w:eastAsia="仿宋" w:cs="仿宋"/>
          <w:sz w:val="32"/>
          <w:szCs w:val="32"/>
          <w:lang w:val="en-US" w:eastAsia="zh-CN"/>
        </w:rPr>
        <w:t>40万元截至2022年底财政已下达178000元，预计2023年上半年资金全部下达到位</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w:t>
      </w:r>
      <w:r>
        <w:rPr>
          <w:rFonts w:hint="eastAsia" w:ascii="仿宋" w:hAnsi="仿宋" w:eastAsia="仿宋" w:cs="仿宋"/>
          <w:sz w:val="32"/>
          <w:szCs w:val="32"/>
          <w:lang w:val="en-US" w:eastAsia="zh-CN"/>
        </w:rPr>
        <w:t>截至2022年底已使用178000元，计划使用144000元</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sz w:val="32"/>
          <w:szCs w:val="32"/>
          <w:lang w:val="en-US" w:eastAsia="zh-CN"/>
        </w:rPr>
        <w:t>樵店乡</w:t>
      </w:r>
      <w:r>
        <w:rPr>
          <w:rFonts w:hint="eastAsia" w:ascii="仿宋" w:hAnsi="仿宋" w:eastAsia="仿宋" w:cs="仿宋"/>
          <w:sz w:val="32"/>
          <w:szCs w:val="32"/>
          <w:lang w:val="zh-CN"/>
        </w:rPr>
        <w:t>2022农村公益事业奖补资金</w:t>
      </w:r>
      <w:r>
        <w:rPr>
          <w:rFonts w:hint="eastAsia" w:ascii="仿宋" w:hAnsi="仿宋" w:eastAsia="仿宋" w:cs="仿宋"/>
          <w:b w:val="0"/>
          <w:bCs w:val="0"/>
          <w:i w:val="0"/>
          <w:iCs w:val="0"/>
          <w:caps w:val="0"/>
          <w:color w:val="000000"/>
          <w:spacing w:val="0"/>
          <w:sz w:val="32"/>
          <w:szCs w:val="32"/>
        </w:rPr>
        <w:t>采取直接支付形式，由财政所拟定用款计划，分期严格按照项目资金管理办法对资金进行计划申请、划拨、使用，及时、规范对收支进行账务处理和会计核算。</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pStyle w:val="2"/>
        <w:keepNext w:val="0"/>
        <w:keepLines w:val="0"/>
        <w:pageBreakBefore w:val="0"/>
        <w:numPr>
          <w:ilvl w:val="0"/>
          <w:numId w:val="0"/>
        </w:numPr>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樵店乡</w:t>
      </w:r>
      <w:r>
        <w:rPr>
          <w:rFonts w:hint="eastAsia" w:ascii="仿宋" w:hAnsi="仿宋" w:eastAsia="仿宋" w:cs="仿宋"/>
          <w:kern w:val="2"/>
          <w:sz w:val="32"/>
          <w:szCs w:val="32"/>
          <w:lang w:val="zh-CN" w:eastAsia="zh-CN" w:bidi="ar-SA"/>
        </w:rPr>
        <w:t>2022农村公益事业奖补资金</w:t>
      </w:r>
      <w:r>
        <w:rPr>
          <w:rFonts w:hint="eastAsia" w:ascii="仿宋" w:hAnsi="仿宋" w:eastAsia="仿宋" w:cs="仿宋"/>
          <w:kern w:val="2"/>
          <w:sz w:val="32"/>
          <w:szCs w:val="32"/>
          <w:lang w:val="en-US" w:eastAsia="zh-CN" w:bidi="ar-SA"/>
        </w:rPr>
        <w:t>由副乡长曾辉牵头负责，对项目实施的整个过程进行监督把控，从立项到实施，严格按照要求规范进行，同时保障项目的支出绩效及资金拨付率。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截至</w:t>
      </w:r>
      <w:r>
        <w:rPr>
          <w:rFonts w:hint="eastAsia" w:ascii="仿宋" w:hAnsi="仿宋" w:eastAsia="仿宋" w:cs="仿宋"/>
          <w:sz w:val="32"/>
          <w:szCs w:val="32"/>
          <w:lang w:val="en-US" w:eastAsia="zh-CN"/>
        </w:rPr>
        <w:t>2022年底，七一村路灯亮化、樵店乡场镇路灯亮化已完工，</w:t>
      </w:r>
      <w:r>
        <w:rPr>
          <w:rFonts w:hint="eastAsia" w:ascii="仿宋" w:hAnsi="仿宋" w:eastAsia="仿宋" w:cs="仿宋"/>
          <w:b w:val="0"/>
          <w:bCs w:val="0"/>
          <w:sz w:val="32"/>
          <w:szCs w:val="32"/>
          <w:u w:val="none"/>
          <w:lang w:val="en-US" w:eastAsia="zh-CN"/>
        </w:rPr>
        <w:t>文化设施建设项目</w:t>
      </w:r>
      <w:r>
        <w:rPr>
          <w:rFonts w:hint="eastAsia" w:ascii="仿宋" w:hAnsi="仿宋" w:eastAsia="仿宋" w:cs="仿宋"/>
          <w:sz w:val="32"/>
          <w:szCs w:val="32"/>
          <w:lang w:val="en-US" w:eastAsia="zh-CN"/>
        </w:rPr>
        <w:t>推进中</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i w:val="0"/>
          <w:iCs w:val="0"/>
          <w:caps w:val="0"/>
          <w:color w:val="000000"/>
          <w:spacing w:val="0"/>
          <w:sz w:val="32"/>
          <w:szCs w:val="32"/>
        </w:rPr>
      </w:pPr>
      <w:r>
        <w:rPr>
          <w:rFonts w:hint="eastAsia" w:ascii="华文楷体" w:hAnsi="华文楷体" w:eastAsia="华文楷体" w:cs="华文楷体"/>
          <w:b/>
          <w:bCs/>
          <w:sz w:val="32"/>
          <w:szCs w:val="32"/>
          <w:lang w:val="zh-CN"/>
        </w:rPr>
        <w:t>（二）项目效益情况。</w:t>
      </w:r>
      <w:r>
        <w:rPr>
          <w:rFonts w:hint="eastAsia" w:ascii="仿宋" w:hAnsi="仿宋" w:eastAsia="仿宋" w:cs="仿宋"/>
          <w:sz w:val="32"/>
          <w:szCs w:val="32"/>
          <w:lang w:val="en-US" w:eastAsia="zh-CN"/>
        </w:rPr>
        <w:t>樵店乡</w:t>
      </w:r>
      <w:r>
        <w:rPr>
          <w:rFonts w:hint="eastAsia" w:ascii="仿宋" w:hAnsi="仿宋" w:eastAsia="仿宋" w:cs="仿宋"/>
          <w:sz w:val="32"/>
          <w:szCs w:val="32"/>
          <w:lang w:val="zh-CN"/>
        </w:rPr>
        <w:t>2022农村公益事业奖补资金项目</w:t>
      </w:r>
      <w:r>
        <w:rPr>
          <w:rFonts w:hint="eastAsia" w:ascii="仿宋" w:hAnsi="仿宋" w:eastAsia="仿宋" w:cs="仿宋"/>
          <w:b w:val="0"/>
          <w:bCs w:val="0"/>
          <w:i w:val="0"/>
          <w:iCs w:val="0"/>
          <w:caps w:val="0"/>
          <w:color w:val="000000"/>
          <w:spacing w:val="0"/>
          <w:sz w:val="32"/>
          <w:szCs w:val="32"/>
          <w:lang w:val="en-US" w:eastAsia="zh-CN"/>
        </w:rPr>
        <w:t>有效改善了我乡七一村整体面貌，生产生活秩序改善，群众出行便利性提高，人口聚集场所安全问题得到有效改善，群众满意度大幅提升。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i w:val="0"/>
          <w:iCs w:val="0"/>
          <w:caps w:val="0"/>
          <w:color w:val="000000"/>
          <w:spacing w:val="0"/>
          <w:sz w:val="32"/>
          <w:szCs w:val="32"/>
          <w:lang w:val="zh-CN" w:eastAsia="zh-CN"/>
        </w:rPr>
      </w:pPr>
      <w:r>
        <w:rPr>
          <w:rFonts w:hint="eastAsia" w:ascii="华文楷体" w:hAnsi="华文楷体" w:eastAsia="华文楷体" w:cs="华文楷体"/>
          <w:b/>
          <w:bCs/>
          <w:sz w:val="32"/>
          <w:szCs w:val="32"/>
          <w:lang w:val="zh-CN"/>
        </w:rPr>
        <w:t>（一）存在的问题。</w:t>
      </w:r>
      <w:r>
        <w:rPr>
          <w:rFonts w:hint="eastAsia" w:ascii="仿宋" w:hAnsi="仿宋" w:eastAsia="仿宋" w:cs="仿宋"/>
          <w:b w:val="0"/>
          <w:bCs w:val="0"/>
          <w:i w:val="0"/>
          <w:iCs w:val="0"/>
          <w:caps w:val="0"/>
          <w:color w:val="000000"/>
          <w:spacing w:val="0"/>
          <w:sz w:val="32"/>
          <w:szCs w:val="32"/>
          <w:lang w:val="en-US" w:eastAsia="zh-CN"/>
        </w:rPr>
        <w:t>资金拨付和使用不够及时，导致项目实施进度受限</w:t>
      </w:r>
      <w:r>
        <w:rPr>
          <w:rFonts w:hint="eastAsia" w:ascii="仿宋" w:hAnsi="仿宋" w:eastAsia="仿宋" w:cs="仿宋"/>
          <w:b w:val="0"/>
          <w:bCs w:val="0"/>
          <w:i w:val="0"/>
          <w:iCs w:val="0"/>
          <w:caps w:val="0"/>
          <w:color w:val="000000"/>
          <w:spacing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textAlignment w:val="auto"/>
        <w:rPr>
          <w:rFonts w:hint="eastAsia" w:ascii="仿宋" w:hAnsi="仿宋" w:eastAsia="仿宋" w:cs="仿宋"/>
          <w:b w:val="0"/>
          <w:bCs w:val="0"/>
          <w:i w:val="0"/>
          <w:iCs w:val="0"/>
          <w:caps w:val="0"/>
          <w:color w:val="000000"/>
          <w:spacing w:val="0"/>
          <w:sz w:val="32"/>
          <w:szCs w:val="32"/>
          <w:lang w:val="en-US" w:eastAsia="zh-CN"/>
        </w:rPr>
      </w:pPr>
      <w:r>
        <w:rPr>
          <w:rFonts w:hint="eastAsia" w:ascii="华文楷体" w:hAnsi="华文楷体" w:eastAsia="华文楷体" w:cs="华文楷体"/>
          <w:b/>
          <w:bCs/>
          <w:sz w:val="32"/>
          <w:szCs w:val="32"/>
          <w:lang w:val="zh-CN"/>
        </w:rPr>
        <w:t>（二）相关建议。</w:t>
      </w:r>
      <w:r>
        <w:rPr>
          <w:rFonts w:hint="eastAsia" w:ascii="仿宋" w:hAnsi="仿宋" w:eastAsia="仿宋" w:cs="仿宋"/>
          <w:b w:val="0"/>
          <w:bCs w:val="0"/>
          <w:i w:val="0"/>
          <w:iCs w:val="0"/>
          <w:caps w:val="0"/>
          <w:color w:val="000000"/>
          <w:spacing w:val="0"/>
          <w:sz w:val="32"/>
          <w:szCs w:val="32"/>
        </w:rPr>
        <w:t>建议根据绩效评价结果适当增加</w:t>
      </w:r>
      <w:r>
        <w:rPr>
          <w:rFonts w:hint="eastAsia" w:ascii="仿宋" w:hAnsi="仿宋" w:eastAsia="仿宋" w:cs="仿宋"/>
          <w:b w:val="0"/>
          <w:bCs w:val="0"/>
          <w:i w:val="0"/>
          <w:iCs w:val="0"/>
          <w:caps w:val="0"/>
          <w:color w:val="000000"/>
          <w:spacing w:val="0"/>
          <w:sz w:val="32"/>
          <w:szCs w:val="32"/>
          <w:lang w:eastAsia="zh-CN"/>
        </w:rPr>
        <w:t>该项目</w:t>
      </w:r>
      <w:r>
        <w:rPr>
          <w:rFonts w:hint="eastAsia" w:ascii="仿宋" w:hAnsi="仿宋" w:eastAsia="仿宋" w:cs="仿宋"/>
          <w:b w:val="0"/>
          <w:bCs w:val="0"/>
          <w:i w:val="0"/>
          <w:iCs w:val="0"/>
          <w:caps w:val="0"/>
          <w:color w:val="000000"/>
          <w:spacing w:val="0"/>
          <w:sz w:val="32"/>
          <w:szCs w:val="32"/>
        </w:rPr>
        <w:t>相关经费的预算，</w:t>
      </w:r>
      <w:r>
        <w:rPr>
          <w:rFonts w:hint="eastAsia" w:ascii="仿宋" w:hAnsi="仿宋" w:eastAsia="仿宋" w:cs="仿宋"/>
          <w:b w:val="0"/>
          <w:bCs w:val="0"/>
          <w:i w:val="0"/>
          <w:iCs w:val="0"/>
          <w:caps w:val="0"/>
          <w:color w:val="000000"/>
          <w:spacing w:val="0"/>
          <w:sz w:val="32"/>
          <w:szCs w:val="32"/>
          <w:lang w:val="en-US" w:eastAsia="zh-CN"/>
        </w:rPr>
        <w:t>扩大项目涉及区域</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b w:val="0"/>
          <w:bCs w:val="0"/>
          <w:i w:val="0"/>
          <w:iCs w:val="0"/>
          <w:caps w:val="0"/>
          <w:color w:val="000000"/>
          <w:spacing w:val="0"/>
          <w:sz w:val="32"/>
          <w:szCs w:val="32"/>
          <w:lang w:val="en-US" w:eastAsia="zh-CN"/>
        </w:rPr>
        <w:t>从而更好</w:t>
      </w:r>
      <w:r>
        <w:rPr>
          <w:rFonts w:hint="eastAsia" w:ascii="仿宋" w:hAnsi="仿宋" w:eastAsia="仿宋" w:cs="仿宋"/>
          <w:b w:val="0"/>
          <w:bCs w:val="0"/>
          <w:i w:val="0"/>
          <w:iCs w:val="0"/>
          <w:caps w:val="0"/>
          <w:color w:val="000000"/>
          <w:spacing w:val="0"/>
          <w:sz w:val="32"/>
          <w:szCs w:val="32"/>
          <w:lang w:eastAsia="zh-CN"/>
        </w:rPr>
        <w:t>为乡村振兴打好基础。</w:t>
      </w:r>
    </w:p>
    <w:p>
      <w:pPr>
        <w:pStyle w:val="2"/>
        <w:keepNext w:val="0"/>
        <w:keepLines w:val="0"/>
        <w:pageBreakBefore w:val="0"/>
        <w:kinsoku/>
        <w:wordWrap/>
        <w:overflowPunct/>
        <w:topLinePunct w:val="0"/>
        <w:autoSpaceDE/>
        <w:autoSpaceDN/>
        <w:bidi w:val="0"/>
        <w:adjustRightInd w:val="0"/>
        <w:snapToGrid w:val="0"/>
        <w:spacing w:after="0" w:line="576" w:lineRule="exact"/>
        <w:textAlignment w:val="auto"/>
        <w:rPr>
          <w:sz w:val="32"/>
          <w:szCs w:val="32"/>
        </w:rPr>
      </w:pP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tbl>
      <w:tblPr>
        <w:tblStyle w:val="18"/>
        <w:tblpPr w:leftFromText="180" w:rightFromText="180" w:vertAnchor="text" w:horzAnchor="page" w:tblpX="1877" w:tblpY="211"/>
        <w:tblOverlap w:val="never"/>
        <w:tblW w:w="48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295"/>
        <w:gridCol w:w="523"/>
        <w:gridCol w:w="728"/>
        <w:gridCol w:w="1176"/>
        <w:gridCol w:w="388"/>
        <w:gridCol w:w="788"/>
        <w:gridCol w:w="804"/>
        <w:gridCol w:w="562"/>
        <w:gridCol w:w="673"/>
        <w:gridCol w:w="638"/>
        <w:gridCol w:w="760"/>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94" w:type="pct"/>
            <w:gridSpan w:val="4"/>
            <w:tcBorders>
              <w:top w:val="nil"/>
              <w:left w:val="nil"/>
              <w:bottom w:val="nil"/>
              <w:right w:val="nil"/>
            </w:tcBorders>
            <w:shd w:val="clear" w:color="auto" w:fill="auto"/>
            <w:noWrap/>
            <w:vAlign w:val="center"/>
          </w:tcPr>
          <w:p>
            <w:pP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32"/>
                <w:szCs w:val="32"/>
                <w:u w:val="none"/>
                <w:lang w:val="en-US" w:eastAsia="zh-CN" w:bidi="ar"/>
              </w:rPr>
              <w:t>附件4：</w:t>
            </w:r>
          </w:p>
        </w:tc>
        <w:tc>
          <w:tcPr>
            <w:tcW w:w="680" w:type="pct"/>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2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46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6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eastAsia="宋体" w:cs="宋体"/>
                <w:i w:val="0"/>
                <w:iCs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0" w:type="pct"/>
            <w:gridSpan w:val="2"/>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429" w:type="pct"/>
            <w:gridSpan w:val="11"/>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2022年农村综合改革项目资金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项目负责人及电话</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庄开元18113708990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剑阁县财政局农业股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剑阁县樵店乡人民政府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29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9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9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4"/>
                <w:sz w:val="18"/>
                <w:szCs w:val="18"/>
                <w:lang w:val="en-US" w:eastAsia="zh-CN" w:bidi="ar"/>
              </w:rPr>
              <w:t>其中：本年财政拨款</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9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4"/>
                <w:sz w:val="18"/>
                <w:szCs w:val="18"/>
                <w:lang w:val="en-US" w:eastAsia="zh-CN" w:bidi="ar"/>
              </w:rPr>
              <w:t xml:space="preserve">  其他资金</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2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年初设定目标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建设修复村组道路，完善小型农田水利设施，亮化村庄路灯，</w:t>
            </w:r>
            <w:r>
              <w:rPr>
                <w:rFonts w:hint="eastAsia" w:ascii="宋体" w:hAnsi="宋体" w:cs="宋体"/>
                <w:i w:val="0"/>
                <w:iCs w:val="0"/>
                <w:color w:val="000000"/>
                <w:kern w:val="0"/>
                <w:sz w:val="18"/>
                <w:szCs w:val="18"/>
                <w:u w:val="none"/>
                <w:lang w:val="en-US" w:eastAsia="zh-CN" w:bidi="ar"/>
              </w:rPr>
              <w:t>整治</w:t>
            </w:r>
            <w:r>
              <w:rPr>
                <w:rFonts w:hint="eastAsia" w:ascii="宋体" w:hAnsi="宋体" w:eastAsia="宋体" w:cs="宋体"/>
                <w:i w:val="0"/>
                <w:iCs w:val="0"/>
                <w:color w:val="000000"/>
                <w:kern w:val="0"/>
                <w:sz w:val="18"/>
                <w:szCs w:val="18"/>
                <w:u w:val="none"/>
                <w:lang w:val="en-US" w:eastAsia="zh-CN" w:bidi="ar"/>
              </w:rPr>
              <w:t>环境卫生状况，保障村民饮水安全，修复“病”塘、库、堰，完善文化广场设施，建设宜居美丽乡村。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总体达成预期指标，乡村治理有效，整体面貌提升，生活条件改善，受益群众获得感较强。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自评得分</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财政复评得分</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覆盖行政村个数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村基础设施条件改善率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项目成本控制</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≤40万元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32.2万元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资金使用年度</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改善农村整体面貌</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定性优良中低差</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群众生产生活条件改善情况</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定性高中低</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满意度指标</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群众获得感和幸福指数提升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定性优良中低差</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受服务群众满意度</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98.05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4" w:type="first"/>
          <w:footerReference r:id="rId3"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1"/>
          <w:rFonts w:hint="eastAsia" w:ascii="黑体" w:hAnsi="黑体" w:eastAsia="黑体"/>
          <w:b w:val="0"/>
        </w:rPr>
        <w:t>五部分 附表</w:t>
      </w:r>
      <w:bookmarkEnd w:id="57"/>
      <w:bookmarkEnd w:id="59"/>
      <w:bookmarkStart w:id="60" w:name="_Toc15396619"/>
    </w:p>
    <w:p>
      <w:pPr>
        <w:pStyle w:val="5"/>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5"/>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5"/>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5"/>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5"/>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5"/>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5"/>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5"/>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5"/>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5"/>
        <w:rPr>
          <w:rFonts w:ascii="仿宋" w:hAnsi="仿宋" w:eastAsia="仿宋"/>
        </w:rPr>
      </w:pPr>
      <w:bookmarkStart w:id="69" w:name="_Toc15396628"/>
      <w:r>
        <w:rPr>
          <w:rStyle w:val="32"/>
          <w:rFonts w:hint="eastAsia" w:ascii="仿宋" w:hAnsi="仿宋" w:eastAsia="仿宋"/>
          <w:b w:val="0"/>
          <w:bCs w:val="0"/>
        </w:rPr>
        <w:t>十、</w:t>
      </w:r>
      <w:bookmarkEnd w:id="6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5"/>
        <w:rPr>
          <w:rFonts w:ascii="仿宋" w:hAnsi="仿宋" w:eastAsia="仿宋"/>
        </w:rPr>
      </w:pPr>
      <w:bookmarkStart w:id="70" w:name="_Toc15396629"/>
      <w:r>
        <w:rPr>
          <w:rStyle w:val="32"/>
          <w:rFonts w:hint="eastAsia" w:ascii="仿宋" w:hAnsi="仿宋" w:eastAsia="仿宋"/>
          <w:b w:val="0"/>
          <w:bCs w:val="0"/>
        </w:rPr>
        <w:t>十一、</w:t>
      </w:r>
      <w:bookmarkEnd w:id="7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5"/>
        <w:rPr>
          <w:rFonts w:ascii="仿宋" w:hAnsi="仿宋" w:eastAsia="仿宋"/>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5"/>
        <w:rPr>
          <w:rFonts w:eastAsia="仿宋"/>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A46D60-1359-4B44-8614-754722E3F4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82AC3F5D-685F-4768-852E-BF3AFFA27222}"/>
  </w:font>
  <w:font w:name="仿宋_GB2312">
    <w:altName w:val="仿宋"/>
    <w:panose1 w:val="02010609030101010101"/>
    <w:charset w:val="86"/>
    <w:family w:val="modern"/>
    <w:pitch w:val="default"/>
    <w:sig w:usb0="00000000" w:usb1="00000000" w:usb2="00000000" w:usb3="00000000" w:csb0="00040000" w:csb1="00000000"/>
    <w:embedRegular r:id="rId3" w:fontKey="{588E82A0-E83A-4815-A740-8268C0A12012}"/>
  </w:font>
  <w:font w:name="仿宋">
    <w:panose1 w:val="02010609060101010101"/>
    <w:charset w:val="86"/>
    <w:family w:val="modern"/>
    <w:pitch w:val="default"/>
    <w:sig w:usb0="800002BF" w:usb1="38CF7CFA" w:usb2="00000016" w:usb3="00000000" w:csb0="00040001" w:csb1="00000000"/>
    <w:embedRegular r:id="rId4" w:fontKey="{BC3D68A6-8197-4CFE-B176-25C8561F3A9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83DE4880-7E0D-42B1-8782-D3DD4A19C1BE}"/>
  </w:font>
  <w:font w:name="楷体_GB2312">
    <w:altName w:val="楷体"/>
    <w:panose1 w:val="02010609030101010101"/>
    <w:charset w:val="86"/>
    <w:family w:val="auto"/>
    <w:pitch w:val="default"/>
    <w:sig w:usb0="00000000" w:usb1="00000000" w:usb2="00000000" w:usb3="00000000" w:csb0="00040000" w:csb1="00000000"/>
    <w:embedRegular r:id="rId6" w:fontKey="{5B8A371E-2079-478E-889E-5880E6C0AED1}"/>
  </w:font>
  <w:font w:name="华文楷体">
    <w:panose1 w:val="02010600040101010101"/>
    <w:charset w:val="86"/>
    <w:family w:val="auto"/>
    <w:pitch w:val="default"/>
    <w:sig w:usb0="00000287" w:usb1="080F0000" w:usb2="00000000" w:usb3="00000000" w:csb0="0004009F" w:csb1="DFD70000"/>
    <w:embedRegular r:id="rId7" w:fontKey="{F873DF82-A1A5-414B-B76C-306E47090B5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default" w:eastAsia="宋体"/>
        <w:lang w:val="en-US" w:eastAsia="zh-CN"/>
      </w:rPr>
    </w:pPr>
    <w:r>
      <w:rPr>
        <w:rFonts w:hint="eastAsia"/>
        <w:lang w:val="en-US" w:eastAsia="zh-CN"/>
      </w:rPr>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50462CD"/>
    <w:rsid w:val="050F6516"/>
    <w:rsid w:val="066E0107"/>
    <w:rsid w:val="07996F6E"/>
    <w:rsid w:val="087A5757"/>
    <w:rsid w:val="0A2032A3"/>
    <w:rsid w:val="0F98263C"/>
    <w:rsid w:val="101860EC"/>
    <w:rsid w:val="10C055FF"/>
    <w:rsid w:val="118107EC"/>
    <w:rsid w:val="13D50BC4"/>
    <w:rsid w:val="16BB723D"/>
    <w:rsid w:val="19C81C35"/>
    <w:rsid w:val="1BE8440E"/>
    <w:rsid w:val="1D155CEE"/>
    <w:rsid w:val="1D3C7281"/>
    <w:rsid w:val="1DDD4049"/>
    <w:rsid w:val="1FF35744"/>
    <w:rsid w:val="23860B96"/>
    <w:rsid w:val="240371BF"/>
    <w:rsid w:val="25B2697E"/>
    <w:rsid w:val="28826F16"/>
    <w:rsid w:val="29FD04D3"/>
    <w:rsid w:val="2B9C3DCE"/>
    <w:rsid w:val="2C8A61B5"/>
    <w:rsid w:val="2D9047DE"/>
    <w:rsid w:val="2DF04E50"/>
    <w:rsid w:val="2F040D46"/>
    <w:rsid w:val="319F7F4E"/>
    <w:rsid w:val="3304709D"/>
    <w:rsid w:val="34676312"/>
    <w:rsid w:val="36AA5135"/>
    <w:rsid w:val="376D39B2"/>
    <w:rsid w:val="37E16F03"/>
    <w:rsid w:val="38D469F0"/>
    <w:rsid w:val="3902751A"/>
    <w:rsid w:val="3C561A2F"/>
    <w:rsid w:val="3C8641D0"/>
    <w:rsid w:val="3D98207C"/>
    <w:rsid w:val="3E78745D"/>
    <w:rsid w:val="44E268DA"/>
    <w:rsid w:val="4A627F82"/>
    <w:rsid w:val="4B0E749A"/>
    <w:rsid w:val="4B4F25DA"/>
    <w:rsid w:val="4BE068DB"/>
    <w:rsid w:val="4C8B2AFF"/>
    <w:rsid w:val="4D577224"/>
    <w:rsid w:val="4DC3171D"/>
    <w:rsid w:val="4DE1199C"/>
    <w:rsid w:val="4EAB630A"/>
    <w:rsid w:val="4ECE2238"/>
    <w:rsid w:val="537E6D0A"/>
    <w:rsid w:val="539560FB"/>
    <w:rsid w:val="5AF92295"/>
    <w:rsid w:val="5CD71FC4"/>
    <w:rsid w:val="5D0019A2"/>
    <w:rsid w:val="607F76AC"/>
    <w:rsid w:val="6B4B3950"/>
    <w:rsid w:val="6C4A05C8"/>
    <w:rsid w:val="6CE16E6B"/>
    <w:rsid w:val="6E7E3605"/>
    <w:rsid w:val="6FF5CC65"/>
    <w:rsid w:val="715C0E4B"/>
    <w:rsid w:val="72734D90"/>
    <w:rsid w:val="73AD73D5"/>
    <w:rsid w:val="73B6EB34"/>
    <w:rsid w:val="744731E5"/>
    <w:rsid w:val="76E3355F"/>
    <w:rsid w:val="76EC401C"/>
    <w:rsid w:val="778769C8"/>
    <w:rsid w:val="79EE5BA4"/>
    <w:rsid w:val="7A227C1D"/>
    <w:rsid w:val="7A894339"/>
    <w:rsid w:val="7B6B320F"/>
    <w:rsid w:val="7C1F1C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pPr>
      <w:spacing w:line="620" w:lineRule="exact"/>
    </w:pPr>
    <w:rPr>
      <w:rFonts w:ascii="宋体" w:hAnsi="Courier New" w:cs="Courier New"/>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1"/>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character" w:customStyle="1" w:styleId="43">
    <w:name w:val="font91"/>
    <w:basedOn w:val="19"/>
    <w:uiPriority w:val="0"/>
    <w:rPr>
      <w:rFonts w:hint="eastAsia" w:ascii="宋体" w:hAnsi="宋体" w:eastAsia="宋体" w:cs="宋体"/>
      <w:b/>
      <w:bCs/>
      <w:color w:val="000000"/>
      <w:sz w:val="32"/>
      <w:szCs w:val="32"/>
      <w:u w:val="none"/>
    </w:rPr>
  </w:style>
  <w:style w:type="character" w:customStyle="1" w:styleId="44">
    <w:name w:val="font21"/>
    <w:basedOn w:val="1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cuments\WeChat%20Files\xuhongyu_cec\FileStorage\File\2023-10\&#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ocuments\WeChat%20Files\xuhongyu_cec\FileStorage\File\2023-10\&#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cuments\WeChat%20Files\xuhongyu_cec\FileStorage\File\2023-10\&#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cuments\WeChat%20Files\xuhongyu_cec\FileStorage\File\2023-10\&#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ocuments\WeChat%20Files\xuhongyu_cec\FileStorage\File\2023-10\&#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WeChat%20Files\xuhongyu_cec\FileStorage\File\2023-10\&#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manualLayout>
          <c:xMode val="edge"/>
          <c:yMode val="edge"/>
          <c:x val="0.321710526315789"/>
          <c:y val="0.0486111111111111"/>
        </c:manualLayout>
      </c:layout>
      <c:overlay val="0"/>
      <c:spPr>
        <a:noFill/>
        <a:ln>
          <a:noFill/>
        </a:ln>
        <a:effectLst/>
      </c:spPr>
    </c:title>
    <c:autoTitleDeleted val="0"/>
    <c:plotArea>
      <c:layout>
        <c:manualLayout>
          <c:layoutTarget val="inner"/>
          <c:xMode val="edge"/>
          <c:yMode val="edge"/>
          <c:x val="0.102791841458122"/>
          <c:y val="0.178097345132743"/>
          <c:w val="0.877101113843483"/>
          <c:h val="0.624203539823009"/>
        </c:manualLayout>
      </c:layout>
      <c:barChart>
        <c:barDir val="col"/>
        <c:grouping val="clustered"/>
        <c:varyColors val="0"/>
        <c:ser>
          <c:idx val="0"/>
          <c:order val="0"/>
          <c:tx>
            <c:strRef>
              <c:f>[工作簿1.xlsx]Sheet1!$B$7</c:f>
              <c:strCache>
                <c:ptCount val="1"/>
                <c:pt idx="0">
                  <c:v>2021</c:v>
                </c:pt>
              </c:strCache>
            </c:strRef>
          </c:tx>
          <c:spPr>
            <a:solidFill>
              <a:schemeClr val="accent1"/>
            </a:solidFill>
            <a:ln>
              <a:noFill/>
            </a:ln>
            <a:effectLst/>
          </c:spPr>
          <c:invertIfNegative val="0"/>
          <c:dLbls>
            <c:delete val="1"/>
          </c:dLbls>
          <c:cat>
            <c:strRef>
              <c:f>[工作簿1.xlsx]Sheet1!$C$6:$D$6</c:f>
              <c:strCache>
                <c:ptCount val="2"/>
                <c:pt idx="0">
                  <c:v>收入</c:v>
                </c:pt>
                <c:pt idx="1">
                  <c:v>支出</c:v>
                </c:pt>
              </c:strCache>
            </c:strRef>
          </c:cat>
          <c:val>
            <c:numRef>
              <c:f>[工作簿1.xlsx]Sheet1!$C$7:$D$7</c:f>
              <c:numCache>
                <c:formatCode>General</c:formatCode>
                <c:ptCount val="2"/>
                <c:pt idx="0">
                  <c:v>859.61</c:v>
                </c:pt>
                <c:pt idx="1">
                  <c:v>859.61</c:v>
                </c:pt>
              </c:numCache>
            </c:numRef>
          </c:val>
        </c:ser>
        <c:ser>
          <c:idx val="1"/>
          <c:order val="1"/>
          <c:tx>
            <c:strRef>
              <c:f>[工作簿1.xlsx]Sheet1!$B$8</c:f>
              <c:strCache>
                <c:ptCount val="1"/>
                <c:pt idx="0">
                  <c:v>2022</c:v>
                </c:pt>
              </c:strCache>
            </c:strRef>
          </c:tx>
          <c:spPr>
            <a:solidFill>
              <a:schemeClr val="accent2"/>
            </a:solidFill>
            <a:ln>
              <a:noFill/>
            </a:ln>
            <a:effectLst/>
          </c:spPr>
          <c:invertIfNegative val="0"/>
          <c:dLbls>
            <c:delete val="1"/>
          </c:dLbls>
          <c:cat>
            <c:strRef>
              <c:f>[工作簿1.xlsx]Sheet1!$C$6:$D$6</c:f>
              <c:strCache>
                <c:ptCount val="2"/>
                <c:pt idx="0">
                  <c:v>收入</c:v>
                </c:pt>
                <c:pt idx="1">
                  <c:v>支出</c:v>
                </c:pt>
              </c:strCache>
            </c:strRef>
          </c:cat>
          <c:val>
            <c:numRef>
              <c:f>[工作簿1.xlsx]Sheet1!$C$8:$D$8</c:f>
              <c:numCache>
                <c:formatCode>General</c:formatCode>
                <c:ptCount val="2"/>
                <c:pt idx="0">
                  <c:v>726.99</c:v>
                </c:pt>
                <c:pt idx="1">
                  <c:v>726.99</c:v>
                </c:pt>
              </c:numCache>
            </c:numRef>
          </c:val>
        </c:ser>
        <c:dLbls>
          <c:showLegendKey val="0"/>
          <c:showVal val="0"/>
          <c:showCatName val="0"/>
          <c:showSerName val="0"/>
          <c:showPercent val="0"/>
          <c:showBubbleSize val="0"/>
        </c:dLbls>
        <c:gapWidth val="246"/>
        <c:overlap val="-28"/>
        <c:axId val="812520462"/>
        <c:axId val="438825616"/>
      </c:barChart>
      <c:catAx>
        <c:axId val="8125204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825616"/>
        <c:crosses val="autoZero"/>
        <c:auto val="1"/>
        <c:lblAlgn val="ctr"/>
        <c:lblOffset val="100"/>
        <c:noMultiLvlLbl val="0"/>
      </c:catAx>
      <c:valAx>
        <c:axId val="43882561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5204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[工作簿1.xlsx]Sheet1!$B$26:$B$28</c:f>
              <c:strCache>
                <c:ptCount val="3"/>
                <c:pt idx="0">
                  <c:v>支出决算结构图</c:v>
                </c:pt>
                <c:pt idx="1">
                  <c:v>政府性基金预算</c:v>
                </c:pt>
                <c:pt idx="2">
                  <c:v>一般公共预算财政拨款收入</c:v>
                </c:pt>
              </c:strCache>
            </c:strRef>
          </c:cat>
          <c:val>
            <c:numRef>
              <c:f>[工作簿1.xlsx]Sheet1!$C$26:$C$28</c:f>
              <c:numCache>
                <c:formatCode>General</c:formatCode>
                <c:ptCount val="3"/>
                <c:pt idx="1">
                  <c:v>1</c:v>
                </c:pt>
                <c:pt idx="2">
                  <c:v>725.99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[工作簿1.xlsx]Sheet1!$B$26:$B$28</c:f>
              <c:strCache>
                <c:ptCount val="3"/>
                <c:pt idx="0">
                  <c:v>支出决算结构图</c:v>
                </c:pt>
                <c:pt idx="1">
                  <c:v>基本支出</c:v>
                </c:pt>
                <c:pt idx="2">
                  <c:v>项目支出</c:v>
                </c:pt>
              </c:strCache>
            </c:strRef>
          </c:cat>
          <c:val>
            <c:numRef>
              <c:f>[工作簿1.xlsx]Sheet1!$C$26:$C$28</c:f>
              <c:numCache>
                <c:formatCode>General</c:formatCode>
                <c:ptCount val="3"/>
                <c:pt idx="1">
                  <c:v>490.73</c:v>
                </c:pt>
                <c:pt idx="2">
                  <c:v>236.27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[工作簿1.xlsx]Sheet1!$B$47</c:f>
              <c:strCache>
                <c:ptCount val="1"/>
                <c:pt idx="0">
                  <c:v>2021年</c:v>
                </c:pt>
              </c:strCache>
            </c:strRef>
          </c:tx>
          <c:spPr>
            <a:solidFill>
              <a:schemeClr val="accent1"/>
            </a:solidFill>
            <a:ln>
              <a:noFill/>
            </a:ln>
            <a:effectLst/>
          </c:spPr>
          <c:invertIfNegative val="0"/>
          <c:dLbls>
            <c:delete val="1"/>
          </c:dLbls>
          <c:cat>
            <c:strRef>
              <c:f>[工作簿1.xlsx]Sheet1!$C$46:$D$46</c:f>
              <c:strCache>
                <c:ptCount val="2"/>
                <c:pt idx="0">
                  <c:v>收入</c:v>
                </c:pt>
                <c:pt idx="1">
                  <c:v>支出</c:v>
                </c:pt>
              </c:strCache>
            </c:strRef>
          </c:cat>
          <c:val>
            <c:numRef>
              <c:f>[工作簿1.xlsx]Sheet1!$C$47:$D$47</c:f>
              <c:numCache>
                <c:formatCode>General</c:formatCode>
                <c:ptCount val="2"/>
                <c:pt idx="0">
                  <c:v>859.61</c:v>
                </c:pt>
                <c:pt idx="1">
                  <c:v>859.61</c:v>
                </c:pt>
              </c:numCache>
            </c:numRef>
          </c:val>
        </c:ser>
        <c:ser>
          <c:idx val="1"/>
          <c:order val="1"/>
          <c:tx>
            <c:strRef>
              <c:f>[工作簿1.xlsx]Sheet1!$B$48</c:f>
              <c:strCache>
                <c:ptCount val="1"/>
                <c:pt idx="0">
                  <c:v>2022年</c:v>
                </c:pt>
              </c:strCache>
            </c:strRef>
          </c:tx>
          <c:spPr>
            <a:solidFill>
              <a:schemeClr val="accent2"/>
            </a:solidFill>
            <a:ln>
              <a:noFill/>
            </a:ln>
            <a:effectLst/>
          </c:spPr>
          <c:invertIfNegative val="0"/>
          <c:dLbls>
            <c:delete val="1"/>
          </c:dLbls>
          <c:cat>
            <c:strRef>
              <c:f>[工作簿1.xlsx]Sheet1!$C$46:$D$46</c:f>
              <c:strCache>
                <c:ptCount val="2"/>
                <c:pt idx="0">
                  <c:v>收入</c:v>
                </c:pt>
                <c:pt idx="1">
                  <c:v>支出</c:v>
                </c:pt>
              </c:strCache>
            </c:strRef>
          </c:cat>
          <c:val>
            <c:numRef>
              <c:f>[工作簿1.xlsx]Sheet1!$C$48:$D$48</c:f>
              <c:numCache>
                <c:formatCode>General</c:formatCode>
                <c:ptCount val="2"/>
                <c:pt idx="0">
                  <c:v>726.99</c:v>
                </c:pt>
                <c:pt idx="1">
                  <c:v>726.99</c:v>
                </c:pt>
              </c:numCache>
            </c:numRef>
          </c:val>
        </c:ser>
        <c:dLbls>
          <c:showLegendKey val="0"/>
          <c:showVal val="0"/>
          <c:showCatName val="0"/>
          <c:showSerName val="0"/>
          <c:showPercent val="0"/>
          <c:showBubbleSize val="0"/>
        </c:dLbls>
        <c:gapWidth val="246"/>
        <c:overlap val="-28"/>
        <c:axId val="523712569"/>
        <c:axId val="904512239"/>
      </c:barChart>
      <c:catAx>
        <c:axId val="523712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512239"/>
        <c:crosses val="autoZero"/>
        <c:auto val="1"/>
        <c:lblAlgn val="ctr"/>
        <c:lblOffset val="100"/>
        <c:noMultiLvlLbl val="0"/>
      </c:catAx>
      <c:valAx>
        <c:axId val="90451223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7125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a:t>
            </a:r>
          </a:p>
        </c:rich>
      </c:tx>
      <c:layout/>
      <c:overlay val="0"/>
      <c:spPr>
        <a:noFill/>
        <a:ln>
          <a:noFill/>
        </a:ln>
        <a:effectLst/>
      </c:spPr>
    </c:title>
    <c:autoTitleDeleted val="0"/>
    <c:plotArea>
      <c:layout>
        <c:manualLayout>
          <c:layoutTarget val="inner"/>
          <c:xMode val="edge"/>
          <c:yMode val="edge"/>
          <c:x val="0.0848157894736842"/>
          <c:y val="0.176388888888889"/>
          <c:w val="0.888210526315789"/>
          <c:h val="0.606342592592593"/>
        </c:manualLayout>
      </c:layout>
      <c:barChart>
        <c:barDir val="col"/>
        <c:grouping val="clustered"/>
        <c:varyColors val="0"/>
        <c:ser>
          <c:idx val="0"/>
          <c:order val="0"/>
          <c:tx>
            <c:strRef>
              <c:f>"一般公共预算财政拨款支出决算"</c:f>
              <c:strCache>
                <c:ptCount val="1"/>
                <c:pt idx="0">
                  <c:v>一般公共预算财政拨款支出决算</c:v>
                </c:pt>
              </c:strCache>
            </c:strRef>
          </c:tx>
          <c:spPr>
            <a:solidFill>
              <a:schemeClr val="accent1"/>
            </a:solidFill>
            <a:ln>
              <a:noFill/>
            </a:ln>
            <a:effectLst/>
          </c:spPr>
          <c:invertIfNegative val="0"/>
          <c:dLbls>
            <c:delete val="1"/>
          </c:dLbls>
          <c:cat>
            <c:strRef>
              <c:f>[工作簿1.xlsx]Sheet1!$B$65:$B$66</c:f>
              <c:strCache>
                <c:ptCount val="2"/>
                <c:pt idx="0">
                  <c:v>2021年</c:v>
                </c:pt>
                <c:pt idx="1">
                  <c:v>2022年</c:v>
                </c:pt>
              </c:strCache>
            </c:strRef>
          </c:cat>
          <c:val>
            <c:numRef>
              <c:f>[工作簿1.xlsx]Sheet1!$C$65:$C$66</c:f>
              <c:numCache>
                <c:formatCode>General</c:formatCode>
                <c:ptCount val="2"/>
                <c:pt idx="0">
                  <c:v>859.61</c:v>
                </c:pt>
                <c:pt idx="1">
                  <c:v>725.99</c:v>
                </c:pt>
              </c:numCache>
            </c:numRef>
          </c:val>
        </c:ser>
        <c:dLbls>
          <c:showLegendKey val="0"/>
          <c:showVal val="0"/>
          <c:showCatName val="0"/>
          <c:showSerName val="0"/>
          <c:showPercent val="0"/>
          <c:showBubbleSize val="0"/>
        </c:dLbls>
        <c:gapWidth val="246"/>
        <c:overlap val="-28"/>
        <c:axId val="761639039"/>
        <c:axId val="769265313"/>
      </c:barChart>
      <c:catAx>
        <c:axId val="761639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265313"/>
        <c:crosses val="autoZero"/>
        <c:auto val="1"/>
        <c:lblAlgn val="ctr"/>
        <c:lblOffset val="100"/>
        <c:noMultiLvlLbl val="0"/>
      </c:catAx>
      <c:valAx>
        <c:axId val="76926531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16390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[工作簿1.xlsx]Sheet1!$B$85:$B$93</c:f>
              <c:strCache>
                <c:ptCount val="9"/>
                <c:pt idx="0">
                  <c:v>一般公共服务支出</c:v>
                </c:pt>
                <c:pt idx="1">
                  <c:v>国防支出</c:v>
                </c:pt>
                <c:pt idx="2">
                  <c:v>文化旅游体育与传媒支出</c:v>
                </c:pt>
                <c:pt idx="3">
                  <c:v>社会保障和就业支出</c:v>
                </c:pt>
                <c:pt idx="4">
                  <c:v>卫生健康支出</c:v>
                </c:pt>
                <c:pt idx="5">
                  <c:v>城乡社区支出</c:v>
                </c:pt>
                <c:pt idx="6">
                  <c:v>农林水支出</c:v>
                </c:pt>
                <c:pt idx="7">
                  <c:v>住房保障支出</c:v>
                </c:pt>
                <c:pt idx="8">
                  <c:v>灾害防治及应急管理支出</c:v>
                </c:pt>
              </c:strCache>
            </c:strRef>
          </c:cat>
          <c:val>
            <c:numRef>
              <c:f>[工作簿1.xlsx]Sheet1!$C$85:$C$93</c:f>
              <c:numCache>
                <c:formatCode>General</c:formatCode>
                <c:ptCount val="9"/>
                <c:pt idx="0">
                  <c:v>264.19</c:v>
                </c:pt>
                <c:pt idx="1">
                  <c:v>0.5</c:v>
                </c:pt>
                <c:pt idx="2">
                  <c:v>32.13</c:v>
                </c:pt>
                <c:pt idx="3">
                  <c:v>75.32</c:v>
                </c:pt>
                <c:pt idx="4">
                  <c:v>17.52</c:v>
                </c:pt>
                <c:pt idx="5">
                  <c:v>9.79</c:v>
                </c:pt>
                <c:pt idx="6">
                  <c:v>300.83</c:v>
                </c:pt>
                <c:pt idx="7">
                  <c:v>25.52</c:v>
                </c:pt>
                <c:pt idx="8">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44</TotalTime>
  <ScaleCrop>false</ScaleCrop>
  <LinksUpToDate>false</LinksUpToDate>
  <CharactersWithSpaces>8226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2023-12-08T02:20:49Z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581F7F5FC2D3477A9FE4BBDC9AA09979_13</vt:lpwstr>
  </property>
</Properties>
</file>