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96475"/>
      <w:bookmarkStart w:id="1" w:name="_Toc15377193"/>
      <w:bookmarkStart w:id="2" w:name="_Toc15396597"/>
      <w:bookmarkStart w:id="3" w:name="_Toc15377425"/>
      <w:bookmarkStart w:id="4" w:name="_Toc15378441"/>
      <w:bookmarkStart w:id="5" w:name="_Toc15377196"/>
      <w:bookmarkStart w:id="6" w:name="_Toc15396599"/>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202</w:t>
      </w:r>
      <w:r>
        <w:rPr>
          <w:rFonts w:hint="eastAsia" w:ascii="黑体" w:hAnsi="黑体" w:eastAsia="黑体"/>
          <w:color w:val="000000"/>
          <w:sz w:val="72"/>
          <w:szCs w:val="72"/>
        </w:rPr>
        <w:t>2</w:t>
      </w:r>
      <w:r>
        <w:rPr>
          <w:rFonts w:hint="eastAsia" w:ascii="方正小标宋简体" w:hAnsi="宋体" w:eastAsia="方正小标宋简体"/>
          <w:color w:val="000000"/>
          <w:sz w:val="72"/>
          <w:szCs w:val="72"/>
        </w:rPr>
        <w:t>年度</w:t>
      </w:r>
    </w:p>
    <w:p>
      <w:pPr>
        <w:adjustRightInd w:val="0"/>
        <w:snapToGrid w:val="0"/>
        <w:spacing w:line="360" w:lineRule="auto"/>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7" w:name="_Toc15377426"/>
      <w:bookmarkStart w:id="8" w:name="_Toc15396476"/>
      <w:bookmarkStart w:id="9" w:name="_Toc15378442"/>
      <w:bookmarkStart w:id="10" w:name="_Toc15396598"/>
      <w:bookmarkStart w:id="11" w:name="_Toc15306268"/>
      <w:bookmarkStart w:id="12" w:name="_Toc15377194"/>
      <w:r>
        <w:rPr>
          <w:rFonts w:hint="eastAsia" w:ascii="方正小标宋简体" w:hAnsi="宋体" w:eastAsia="方正小标宋简体"/>
          <w:color w:val="000000"/>
          <w:sz w:val="72"/>
          <w:szCs w:val="72"/>
        </w:rPr>
        <w:t xml:space="preserve"> 剑阁县碑垭小学校</w:t>
      </w:r>
    </w:p>
    <w:p>
      <w:pPr>
        <w:adjustRightInd w:val="0"/>
        <w:snapToGrid w:val="0"/>
        <w:spacing w:line="360" w:lineRule="auto"/>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7"/>
      <w:bookmarkEnd w:id="8"/>
      <w:bookmarkEnd w:id="9"/>
      <w:bookmarkEnd w:id="10"/>
      <w:bookmarkEnd w:id="11"/>
      <w:bookmarkEnd w:id="12"/>
      <w:r>
        <w:rPr>
          <w:rFonts w:hint="eastAsia" w:ascii="方正小标宋简体" w:hAnsi="宋体" w:eastAsia="方正小标宋简体"/>
          <w:color w:val="000000"/>
          <w:sz w:val="72"/>
          <w:szCs w:val="72"/>
        </w:rPr>
        <w:t>公开</w:t>
      </w:r>
    </w:p>
    <w:p>
      <w:pPr>
        <w:widowControl/>
        <w:ind w:firstLine="2880" w:firstLineChars="800"/>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   录</w:t>
      </w:r>
    </w:p>
    <w:p>
      <w:pPr>
        <w:widowControl/>
        <w:jc w:val="center"/>
        <w:rPr>
          <w:rFonts w:ascii="黑体" w:hAnsi="黑体" w:eastAsia="黑体"/>
          <w:sz w:val="28"/>
          <w:szCs w:val="28"/>
        </w:rPr>
      </w:pPr>
    </w:p>
    <w:p/>
    <w:p>
      <w:pPr>
        <w:pStyle w:val="10"/>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sz w:val="24"/>
        </w:rPr>
      </w:pPr>
      <w:r>
        <w:rPr>
          <w:rFonts w:hint="eastAsia"/>
          <w:sz w:val="24"/>
        </w:rPr>
        <w:t>二、收入决算情况说明</w:t>
      </w:r>
    </w:p>
    <w:p>
      <w:pPr>
        <w:pStyle w:val="11"/>
        <w:adjustRightInd w:val="0"/>
        <w:snapToGrid w:val="0"/>
        <w:spacing w:line="440" w:lineRule="exact"/>
        <w:jc w:val="left"/>
        <w:rPr>
          <w:rFonts w:ascii="仿宋" w:hAnsi="仿宋" w:eastAsia="仿宋"/>
          <w:sz w:val="24"/>
        </w:rPr>
      </w:pPr>
      <w:r>
        <w:rPr>
          <w:rFonts w:hint="eastAsia"/>
          <w:sz w:val="24"/>
        </w:rPr>
        <w:t>三、支出决算情况说明</w:t>
      </w:r>
    </w:p>
    <w:p>
      <w:pPr>
        <w:pStyle w:val="11"/>
        <w:adjustRightInd w:val="0"/>
        <w:snapToGrid w:val="0"/>
        <w:spacing w:line="440" w:lineRule="exact"/>
        <w:jc w:val="left"/>
        <w:rPr>
          <w:rFonts w:ascii="仿宋" w:hAnsi="仿宋" w:eastAsia="仿宋"/>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w:t>
      </w:r>
      <w:r>
        <w:rPr>
          <w:rFonts w:hint="eastAsia"/>
          <w:sz w:val="24"/>
        </w:rPr>
        <w:t>国有资本经营预算支出决算情况说明</w:t>
      </w:r>
    </w:p>
    <w:p>
      <w:pPr>
        <w:adjustRightInd w:val="0"/>
        <w:snapToGrid w:val="0"/>
        <w:spacing w:line="440" w:lineRule="exact"/>
        <w:ind w:firstLine="480" w:firstLineChars="200"/>
        <w:jc w:val="left"/>
        <w:rPr>
          <w:rFonts w:ascii="仿宋" w:hAnsi="仿宋" w:eastAsia="仿宋"/>
          <w:sz w:val="24"/>
        </w:rPr>
      </w:pPr>
      <w:r>
        <w:rPr>
          <w:rStyle w:val="16"/>
          <w:rFonts w:hint="eastAsia" w:ascii="仿宋" w:hAnsi="仿宋" w:eastAsia="仿宋"/>
          <w:color w:val="000000"/>
          <w:sz w:val="24"/>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十三、国有资本经营预算财政拨款收入支出决算表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十四、国有资本经营预算财政拨款支出决算表</w:t>
      </w:r>
    </w:p>
    <w:bookmarkEnd w:id="0"/>
    <w:bookmarkEnd w:id="1"/>
    <w:bookmarkEnd w:id="2"/>
    <w:bookmarkEnd w:id="3"/>
    <w:bookmarkEnd w:id="4"/>
    <w:p>
      <w:pPr>
        <w:widowControl/>
        <w:rPr>
          <w:rStyle w:val="17"/>
          <w:rFonts w:ascii="仿宋" w:hAnsi="仿宋" w:eastAsia="仿宋" w:cs="黑体"/>
          <w:bCs w:val="0"/>
          <w:color w:val="000000"/>
          <w:kern w:val="2"/>
          <w:sz w:val="48"/>
          <w:szCs w:val="48"/>
        </w:rPr>
      </w:pPr>
    </w:p>
    <w:p>
      <w:pPr>
        <w:widowControl/>
        <w:jc w:val="center"/>
        <w:rPr>
          <w:rFonts w:ascii="黑体" w:hAnsi="黑体" w:eastAsia="黑体" w:cs="黑体"/>
          <w:bCs/>
          <w:kern w:val="44"/>
          <w:sz w:val="36"/>
          <w:szCs w:val="36"/>
        </w:rPr>
      </w:pPr>
      <w:r>
        <w:rPr>
          <w:rStyle w:val="17"/>
          <w:rFonts w:hint="eastAsia" w:ascii="黑体" w:hAnsi="黑体" w:eastAsia="黑体" w:cs="黑体"/>
          <w:b w:val="0"/>
          <w:sz w:val="36"/>
          <w:szCs w:val="36"/>
        </w:rPr>
        <w:t>第一部分 部门概况</w:t>
      </w:r>
      <w:bookmarkEnd w:id="5"/>
      <w:bookmarkEnd w:id="6"/>
      <w:bookmarkStart w:id="13" w:name="_Toc15377197"/>
      <w:bookmarkStart w:id="14" w:name="_Toc15396600"/>
    </w:p>
    <w:p>
      <w:pPr>
        <w:widowControl/>
        <w:rPr>
          <w:rStyle w:val="18"/>
          <w:rFonts w:ascii="黑体" w:hAnsi="黑体" w:eastAsia="黑体" w:cs="黑体"/>
          <w:sz w:val="28"/>
          <w:szCs w:val="28"/>
        </w:rPr>
      </w:pPr>
      <w:r>
        <w:rPr>
          <w:rFonts w:hint="eastAsia" w:ascii="黑体" w:hAnsi="黑体" w:eastAsia="黑体" w:cs="黑体"/>
          <w:color w:val="000000"/>
          <w:sz w:val="28"/>
          <w:szCs w:val="28"/>
        </w:rPr>
        <w:t>一、基</w:t>
      </w:r>
      <w:r>
        <w:rPr>
          <w:rStyle w:val="18"/>
          <w:rFonts w:hint="eastAsia" w:ascii="黑体" w:hAnsi="黑体" w:eastAsia="黑体" w:cs="黑体"/>
          <w:sz w:val="28"/>
          <w:szCs w:val="28"/>
        </w:rPr>
        <w:t>本职能及主要工作</w:t>
      </w:r>
      <w:bookmarkEnd w:id="13"/>
      <w:bookmarkEnd w:id="14"/>
      <w:bookmarkStart w:id="15" w:name="_Toc15377198"/>
      <w:bookmarkStart w:id="16" w:name="_Toc15378445"/>
    </w:p>
    <w:p>
      <w:pPr>
        <w:pStyle w:val="5"/>
        <w:adjustRightInd w:val="0"/>
        <w:snapToGrid w:val="0"/>
        <w:spacing w:before="93" w:line="600" w:lineRule="exact"/>
        <w:ind w:firstLine="141" w:firstLineChars="50"/>
        <w:outlineLvl w:val="2"/>
        <w:rPr>
          <w:rFonts w:ascii="仿宋" w:hAnsi="仿宋" w:eastAsia="仿宋" w:cs="仿宋"/>
          <w:b/>
          <w:color w:val="000000"/>
          <w:sz w:val="28"/>
          <w:szCs w:val="28"/>
        </w:rPr>
      </w:pPr>
      <w:r>
        <w:rPr>
          <w:rFonts w:hint="eastAsia" w:ascii="仿宋" w:hAnsi="仿宋" w:eastAsia="仿宋" w:cs="仿宋"/>
          <w:b/>
          <w:color w:val="000000"/>
          <w:sz w:val="28"/>
          <w:szCs w:val="28"/>
        </w:rPr>
        <w:t>（一）主要职能。</w:t>
      </w:r>
      <w:bookmarkEnd w:id="15"/>
      <w:bookmarkEnd w:id="16"/>
      <w:bookmarkStart w:id="17" w:name="_Toc15378446"/>
      <w:bookmarkStart w:id="18" w:name="_Toc15377199"/>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1.配合</w:t>
      </w:r>
      <w:r>
        <w:rPr>
          <w:rFonts w:hint="eastAsia" w:ascii="仿宋" w:hAnsi="仿宋" w:eastAsia="仿宋"/>
          <w:sz w:val="28"/>
          <w:szCs w:val="28"/>
        </w:rPr>
        <w:t>教育</w:t>
      </w:r>
      <w:r>
        <w:rPr>
          <w:rFonts w:ascii="仿宋" w:hAnsi="仿宋" w:eastAsia="仿宋"/>
          <w:sz w:val="28"/>
          <w:szCs w:val="28"/>
        </w:rPr>
        <w:t>局制定符合党的教育方针和国家教育法律法规的</w:t>
      </w:r>
      <w:r>
        <w:rPr>
          <w:rFonts w:hint="eastAsia" w:ascii="仿宋" w:hAnsi="仿宋" w:eastAsia="仿宋"/>
          <w:sz w:val="28"/>
          <w:szCs w:val="28"/>
        </w:rPr>
        <w:t>农村完全中学</w:t>
      </w:r>
      <w:r>
        <w:rPr>
          <w:rFonts w:ascii="仿宋" w:hAnsi="仿宋" w:eastAsia="仿宋"/>
          <w:sz w:val="28"/>
          <w:szCs w:val="28"/>
        </w:rPr>
        <w:t>教育发展规划并抓好组织实施和落实工作。</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2.贯彻、执行教育法律法规和政策规定，坚持依法治教、依法治学。</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3.指导、管理、检查、评价学校的教育教学工作，提高办学质量和办学效益。</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4.负责教育教学管理及教研教改工作，全力推进素质教育实施。</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5.协助上级教育主管部门做好学校教师考核工作，负责教师管理、继续教育、考核考评等工作。</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6.负责财务管理，筹措资金，改善办学条件等工作。</w:t>
      </w:r>
    </w:p>
    <w:p>
      <w:pPr>
        <w:pStyle w:val="5"/>
        <w:adjustRightInd w:val="0"/>
        <w:snapToGrid w:val="0"/>
        <w:spacing w:before="93" w:line="600" w:lineRule="exact"/>
        <w:ind w:firstLine="141" w:firstLineChars="50"/>
        <w:outlineLvl w:val="2"/>
        <w:rPr>
          <w:rFonts w:ascii="仿宋" w:hAnsi="仿宋" w:eastAsia="仿宋" w:cs="仿宋"/>
          <w:b/>
          <w:color w:val="000000"/>
          <w:sz w:val="28"/>
          <w:szCs w:val="28"/>
        </w:rPr>
      </w:pPr>
      <w:r>
        <w:rPr>
          <w:rFonts w:hint="eastAsia" w:ascii="仿宋" w:hAnsi="仿宋" w:eastAsia="仿宋" w:cs="仿宋"/>
          <w:b/>
          <w:color w:val="000000"/>
          <w:sz w:val="28"/>
          <w:szCs w:val="28"/>
        </w:rPr>
        <w:t>（二）</w:t>
      </w:r>
      <w:r>
        <w:rPr>
          <w:rFonts w:ascii="仿宋" w:hAnsi="仿宋" w:eastAsia="仿宋" w:cs="仿宋"/>
          <w:b/>
          <w:color w:val="000000"/>
          <w:sz w:val="28"/>
          <w:szCs w:val="28"/>
        </w:rPr>
        <w:t>20</w:t>
      </w:r>
      <w:r>
        <w:rPr>
          <w:rFonts w:hint="eastAsia" w:ascii="仿宋" w:hAnsi="仿宋" w:eastAsia="仿宋" w:cs="仿宋"/>
          <w:b/>
          <w:color w:val="000000"/>
          <w:sz w:val="28"/>
          <w:szCs w:val="28"/>
        </w:rPr>
        <w:t>22年重点工作完成情况。</w:t>
      </w:r>
      <w:bookmarkEnd w:id="17"/>
      <w:bookmarkEnd w:id="18"/>
    </w:p>
    <w:p>
      <w:pPr>
        <w:widowControl/>
        <w:shd w:val="clear" w:color="auto" w:fill="FFFFFF"/>
        <w:spacing w:line="500" w:lineRule="exact"/>
        <w:ind w:firstLine="560" w:firstLineChars="200"/>
        <w:jc w:val="left"/>
        <w:rPr>
          <w:rFonts w:ascii="仿宋" w:hAnsi="仿宋" w:eastAsia="仿宋"/>
          <w:sz w:val="28"/>
          <w:szCs w:val="28"/>
        </w:rPr>
      </w:pPr>
      <w:r>
        <w:rPr>
          <w:rFonts w:hint="eastAsia" w:ascii="仿宋" w:hAnsi="仿宋" w:eastAsia="仿宋"/>
          <w:sz w:val="28"/>
          <w:szCs w:val="28"/>
        </w:rPr>
        <w:t>1.加强教育扶贫。配合白龙镇完成本年乡村振兴工作。</w:t>
      </w:r>
    </w:p>
    <w:p>
      <w:pPr>
        <w:widowControl/>
        <w:shd w:val="clear" w:color="auto" w:fill="FFFFFF"/>
        <w:spacing w:line="500" w:lineRule="exact"/>
        <w:ind w:firstLine="560" w:firstLineChars="200"/>
        <w:jc w:val="left"/>
        <w:rPr>
          <w:rFonts w:ascii="仿宋" w:hAnsi="仿宋" w:eastAsia="仿宋" w:cstheme="minorEastAsia"/>
          <w:bCs/>
          <w:color w:val="333333"/>
          <w:sz w:val="28"/>
          <w:szCs w:val="28"/>
        </w:rPr>
      </w:pPr>
      <w:r>
        <w:rPr>
          <w:rFonts w:hint="eastAsia" w:ascii="仿宋" w:hAnsi="仿宋" w:eastAsia="仿宋" w:cstheme="minorEastAsia"/>
          <w:bCs/>
          <w:color w:val="333333"/>
          <w:sz w:val="28"/>
          <w:szCs w:val="28"/>
        </w:rPr>
        <w:t>2</w:t>
      </w:r>
      <w:r>
        <w:rPr>
          <w:rFonts w:ascii="仿宋" w:hAnsi="仿宋" w:eastAsia="仿宋" w:cstheme="minorEastAsia"/>
          <w:bCs/>
          <w:color w:val="333333"/>
          <w:sz w:val="28"/>
          <w:szCs w:val="28"/>
        </w:rPr>
        <w:t>强化队伍建设，不断提升教师专业素养及发展潜能。</w:t>
      </w:r>
    </w:p>
    <w:p>
      <w:pPr>
        <w:widowControl/>
        <w:shd w:val="clear" w:color="auto" w:fill="FFFFFF"/>
        <w:spacing w:line="500" w:lineRule="exact"/>
        <w:ind w:firstLine="560" w:firstLineChars="200"/>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.有效深化课堂教学改革，稳抓落实学校教研工作，进一步提升教学质量。</w:t>
      </w:r>
    </w:p>
    <w:p>
      <w:pPr>
        <w:widowControl/>
        <w:shd w:val="clear" w:color="auto" w:fill="FFFFFF"/>
        <w:spacing w:line="500" w:lineRule="exact"/>
        <w:ind w:firstLine="560" w:firstLineChars="200"/>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.德育有特色，校园文化氛围逐步形成，促进学生健康成长及全面发展。</w:t>
      </w:r>
    </w:p>
    <w:p>
      <w:pPr>
        <w:widowControl/>
        <w:shd w:val="clear" w:color="auto" w:fill="FFFFFF"/>
        <w:spacing w:line="500" w:lineRule="exact"/>
        <w:ind w:firstLine="560" w:firstLineChars="200"/>
        <w:jc w:val="lef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.搞好财务预决算公开，严格控制“三公”经费开支，管好用好每笔财政资金。</w:t>
      </w:r>
    </w:p>
    <w:p>
      <w:pPr>
        <w:widowControl/>
        <w:rPr>
          <w:rFonts w:ascii="黑体" w:hAnsi="黑体" w:eastAsia="黑体" w:cs="黑体"/>
          <w:color w:val="000000"/>
          <w:sz w:val="28"/>
          <w:szCs w:val="28"/>
        </w:rPr>
      </w:pPr>
      <w:bookmarkStart w:id="19" w:name="_Toc15396601"/>
      <w:bookmarkStart w:id="20" w:name="_Toc15377200"/>
      <w:r>
        <w:rPr>
          <w:rFonts w:hint="eastAsia" w:ascii="黑体" w:hAnsi="黑体" w:eastAsia="黑体" w:cs="黑体"/>
          <w:color w:val="000000"/>
          <w:sz w:val="28"/>
          <w:szCs w:val="28"/>
        </w:rPr>
        <w:t>二、机构设置</w:t>
      </w:r>
      <w:bookmarkEnd w:id="19"/>
      <w:bookmarkEnd w:id="20"/>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Fonts w:hint="eastAsia" w:ascii="仿宋" w:hAnsi="仿宋" w:eastAsia="仿宋" w:cs="仿宋"/>
          <w:color w:val="000000"/>
          <w:sz w:val="28"/>
          <w:szCs w:val="28"/>
        </w:rPr>
        <w:t>本单位下属二级单位0个，其中行政单位0个，参照公务员法管理的事业单位0个，其他事业单位0个。</w:t>
      </w:r>
      <w:bookmarkStart w:id="21" w:name="_Toc15396602"/>
      <w:bookmarkStart w:id="22" w:name="_Toc15377204"/>
    </w:p>
    <w:p>
      <w:pPr>
        <w:pStyle w:val="5"/>
        <w:adjustRightInd w:val="0"/>
        <w:snapToGrid w:val="0"/>
        <w:spacing w:before="93" w:line="600" w:lineRule="exact"/>
        <w:ind w:firstLine="140" w:firstLineChars="50"/>
        <w:outlineLvl w:val="2"/>
        <w:rPr>
          <w:rFonts w:ascii="仿宋" w:hAnsi="仿宋" w:eastAsia="仿宋" w:cs="仿宋"/>
          <w:color w:val="000000"/>
          <w:sz w:val="28"/>
          <w:szCs w:val="28"/>
        </w:rPr>
      </w:pPr>
    </w:p>
    <w:p>
      <w:pPr>
        <w:widowControl/>
        <w:jc w:val="center"/>
        <w:rPr>
          <w:rStyle w:val="17"/>
          <w:rFonts w:ascii="黑体" w:hAnsi="黑体" w:eastAsia="黑体" w:cs="黑体"/>
          <w:b w:val="0"/>
          <w:sz w:val="36"/>
          <w:szCs w:val="36"/>
        </w:rPr>
      </w:pPr>
      <w:r>
        <w:rPr>
          <w:rStyle w:val="17"/>
          <w:rFonts w:hint="eastAsia" w:ascii="黑体" w:hAnsi="黑体" w:eastAsia="黑体" w:cs="黑体"/>
          <w:b w:val="0"/>
          <w:sz w:val="36"/>
          <w:szCs w:val="36"/>
        </w:rPr>
        <w:t xml:space="preserve">第二部分 </w:t>
      </w:r>
      <w:r>
        <w:rPr>
          <w:rStyle w:val="17"/>
          <w:rFonts w:ascii="黑体" w:hAnsi="黑体" w:eastAsia="黑体" w:cs="黑体"/>
          <w:b w:val="0"/>
          <w:sz w:val="36"/>
          <w:szCs w:val="36"/>
        </w:rPr>
        <w:t>20</w:t>
      </w:r>
      <w:r>
        <w:rPr>
          <w:rStyle w:val="17"/>
          <w:rFonts w:hint="eastAsia" w:ascii="黑体" w:hAnsi="黑体" w:eastAsia="黑体" w:cs="黑体"/>
          <w:b w:val="0"/>
          <w:sz w:val="36"/>
          <w:szCs w:val="36"/>
        </w:rPr>
        <w:t>22年度部门决算情况说明</w:t>
      </w:r>
      <w:bookmarkEnd w:id="21"/>
      <w:bookmarkEnd w:id="22"/>
    </w:p>
    <w:p>
      <w:pPr>
        <w:pStyle w:val="28"/>
        <w:spacing w:line="600" w:lineRule="exact"/>
        <w:ind w:firstLine="0" w:firstLineChars="0"/>
        <w:outlineLvl w:val="1"/>
        <w:rPr>
          <w:rStyle w:val="18"/>
          <w:rFonts w:ascii="黑体" w:hAnsi="黑体" w:eastAsia="黑体" w:cs="Times New Roman"/>
          <w:b w:val="0"/>
          <w:bCs w:val="0"/>
          <w:sz w:val="28"/>
          <w:szCs w:val="28"/>
        </w:rPr>
      </w:pPr>
      <w:bookmarkStart w:id="23" w:name="_Toc15396603"/>
      <w:bookmarkStart w:id="24" w:name="_Toc15377205"/>
      <w:r>
        <w:rPr>
          <w:rFonts w:hint="eastAsia" w:ascii="黑体" w:hAnsi="黑体" w:eastAsia="黑体" w:cs="黑体"/>
          <w:color w:val="000000"/>
          <w:sz w:val="28"/>
          <w:szCs w:val="28"/>
        </w:rPr>
        <w:t>一、收</w:t>
      </w:r>
      <w:r>
        <w:rPr>
          <w:rStyle w:val="18"/>
          <w:rFonts w:hint="eastAsia" w:ascii="黑体" w:hAnsi="黑体" w:eastAsia="黑体" w:cs="黑体"/>
          <w:b w:val="0"/>
          <w:bCs w:val="0"/>
          <w:sz w:val="28"/>
          <w:szCs w:val="28"/>
        </w:rPr>
        <w:t>入支出决算总体情况说明</w:t>
      </w:r>
      <w:bookmarkEnd w:id="23"/>
      <w:bookmarkEnd w:id="24"/>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22年度收入278.37万元。与</w:t>
      </w:r>
      <w:bookmarkStart w:id="75" w:name="_GoBack"/>
      <w:bookmarkEnd w:id="75"/>
      <w:r>
        <w:rPr>
          <w:rFonts w:ascii="仿宋" w:hAnsi="仿宋" w:eastAsia="仿宋" w:cs="仿宋"/>
          <w:color w:val="000000"/>
          <w:sz w:val="28"/>
          <w:szCs w:val="28"/>
        </w:rPr>
        <w:t>20</w:t>
      </w:r>
      <w:r>
        <w:rPr>
          <w:rFonts w:hint="eastAsia" w:ascii="仿宋" w:hAnsi="仿宋" w:eastAsia="仿宋" w:cs="仿宋"/>
          <w:color w:val="000000"/>
          <w:sz w:val="28"/>
          <w:szCs w:val="28"/>
        </w:rPr>
        <w:t>21年相比，收入总计减少38万元，减少12.01</w:t>
      </w:r>
      <w:r>
        <w:rPr>
          <w:rFonts w:ascii="仿宋" w:hAnsi="仿宋" w:eastAsia="仿宋" w:cs="仿宋"/>
          <w:color w:val="000000"/>
          <w:sz w:val="28"/>
          <w:szCs w:val="28"/>
        </w:rPr>
        <w:t>%</w:t>
      </w:r>
      <w:r>
        <w:rPr>
          <w:rFonts w:hint="eastAsia" w:ascii="仿宋" w:hAnsi="仿宋" w:eastAsia="仿宋" w:cs="仿宋"/>
          <w:color w:val="000000"/>
          <w:sz w:val="28"/>
          <w:szCs w:val="28"/>
        </w:rPr>
        <w:t>。主要变动原因是人员退休调出，学生人数减少，人员经费减少。</w:t>
      </w:r>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Fonts w:hint="eastAsia" w:ascii="仿宋" w:hAnsi="仿宋" w:eastAsia="仿宋" w:cs="仿宋"/>
          <w:color w:val="000000"/>
          <w:sz w:val="28"/>
          <w:szCs w:val="28"/>
        </w:rPr>
        <w:t>2022年度支出总计278.37万元。与</w:t>
      </w:r>
      <w:r>
        <w:rPr>
          <w:rFonts w:ascii="仿宋" w:hAnsi="仿宋" w:eastAsia="仿宋" w:cs="仿宋"/>
          <w:color w:val="000000"/>
          <w:sz w:val="28"/>
          <w:szCs w:val="28"/>
        </w:rPr>
        <w:t>20</w:t>
      </w:r>
      <w:r>
        <w:rPr>
          <w:rFonts w:hint="eastAsia" w:ascii="仿宋" w:hAnsi="仿宋" w:eastAsia="仿宋" w:cs="仿宋"/>
          <w:color w:val="000000"/>
          <w:sz w:val="28"/>
          <w:szCs w:val="28"/>
        </w:rPr>
        <w:t>21年相比，支出总计减少38万元，减少12.01</w:t>
      </w:r>
      <w:r>
        <w:rPr>
          <w:rFonts w:ascii="仿宋" w:hAnsi="仿宋" w:eastAsia="仿宋" w:cs="仿宋"/>
          <w:color w:val="000000"/>
          <w:sz w:val="28"/>
          <w:szCs w:val="28"/>
        </w:rPr>
        <w:t>%</w:t>
      </w:r>
      <w:r>
        <w:rPr>
          <w:rFonts w:hint="eastAsia" w:ascii="仿宋" w:hAnsi="仿宋" w:eastAsia="仿宋" w:cs="仿宋"/>
          <w:color w:val="000000"/>
          <w:sz w:val="28"/>
          <w:szCs w:val="28"/>
        </w:rPr>
        <w:t>。主要变动原因是人员退休调出，学生人数减少，人员经费减少。</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图</w:t>
      </w:r>
      <w:r>
        <w:rPr>
          <w:rFonts w:ascii="仿宋" w:hAnsi="仿宋" w:eastAsia="仿宋"/>
          <w:color w:val="000000" w:themeColor="text1"/>
          <w:sz w:val="28"/>
          <w:szCs w:val="28"/>
        </w:rPr>
        <w:t>1</w:t>
      </w:r>
      <w:r>
        <w:rPr>
          <w:rFonts w:hint="eastAsia" w:ascii="仿宋" w:hAnsi="仿宋" w:eastAsia="仿宋"/>
          <w:color w:val="000000" w:themeColor="text1"/>
          <w:sz w:val="28"/>
          <w:szCs w:val="28"/>
        </w:rPr>
        <w:t>：收、支决算总计变动情况图(单位：万元)：</w:t>
      </w:r>
    </w:p>
    <w:p>
      <w:r>
        <w:rPr>
          <w:rStyle w:val="18"/>
          <w:rFonts w:ascii="黑体" w:hAnsi="黑体" w:eastAsia="黑体" w:cs="黑体"/>
          <w:b w:val="0"/>
          <w:bCs w:val="0"/>
          <w:sz w:val="28"/>
          <w:szCs w:val="28"/>
        </w:rPr>
        <w:pict>
          <v:shape id="_x0000_s2054" o:spid="_x0000_s2054" o:spt="202" type="#_x0000_t202" style="position:absolute;left:0pt;margin-left:435pt;margin-top:256.5pt;height:12.75pt;width:27pt;z-index:251659264;mso-width-relative:page;mso-height-relative:page;" stroked="t" coordsize="21600,21600">
            <v:path/>
            <v:fill focussize="0,0"/>
            <v:stroke color="#FFFFFF" joinstyle="miter"/>
            <v:imagedata o:title=""/>
            <o:lock v:ext="edit"/>
            <v:textbox>
              <w:txbxContent>
                <w:p>
                  <w:pPr>
                    <w:rPr>
                      <w:sz w:val="15"/>
                      <w:szCs w:val="15"/>
                    </w:rPr>
                  </w:pPr>
                </w:p>
              </w:txbxContent>
            </v:textbox>
          </v:shape>
        </w:pict>
      </w:r>
      <w:r>
        <w:drawing>
          <wp:inline distT="0" distB="0" distL="0" distR="0">
            <wp:extent cx="5295900" cy="3076575"/>
            <wp:effectExtent l="0" t="0" r="0" b="0"/>
            <wp:docPr id="9" name="对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
      <w:pPr>
        <w:rPr>
          <w:rStyle w:val="18"/>
          <w:rFonts w:ascii="黑体" w:hAnsi="黑体" w:eastAsia="黑体" w:cs="Times New Roman"/>
          <w:b w:val="0"/>
          <w:bCs w:val="0"/>
          <w:sz w:val="28"/>
          <w:szCs w:val="28"/>
        </w:rPr>
      </w:pPr>
      <w:bookmarkStart w:id="25" w:name="_Toc15377206"/>
      <w:bookmarkStart w:id="26" w:name="_Toc15396604"/>
      <w:r>
        <w:rPr>
          <w:rStyle w:val="18"/>
          <w:rFonts w:hint="eastAsia" w:ascii="黑体" w:hAnsi="黑体" w:eastAsia="黑体" w:cs="黑体"/>
          <w:b w:val="0"/>
          <w:bCs w:val="0"/>
          <w:sz w:val="28"/>
          <w:szCs w:val="28"/>
        </w:rPr>
        <w:t>二、收入决算情况说明</w:t>
      </w:r>
      <w:bookmarkEnd w:id="25"/>
      <w:bookmarkEnd w:id="26"/>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Style w:val="18"/>
          <w:rFonts w:ascii="黑体" w:hAnsi="黑体" w:eastAsia="黑体" w:cs="黑体"/>
          <w:b w:val="0"/>
          <w:bCs w:val="0"/>
          <w:sz w:val="28"/>
          <w:szCs w:val="28"/>
        </w:rPr>
        <w:pict>
          <v:shape id="_x0000_s2052" o:spid="_x0000_s2052" o:spt="202" type="#_x0000_t202" style="position:absolute;left:0pt;margin-left:45.75pt;margin-top:99.75pt;height:4.05pt;width:55.5pt;z-index:251660288;mso-width-relative:page;mso-height-relative:page;" stroked="f" coordsize="21600,21600">
            <v:path/>
            <v:fill opacity="0f" focussize="0,0"/>
            <v:stroke on="f" joinstyle="miter"/>
            <v:imagedata o:title=""/>
            <o:lock v:ext="edit"/>
            <v:textbox>
              <w:txbxContent>
                <w:p>
                  <w:pPr>
                    <w:rPr>
                      <w:sz w:val="15"/>
                      <w:szCs w:val="15"/>
                    </w:rPr>
                  </w:pPr>
                </w:p>
              </w:txbxContent>
            </v:textbox>
          </v:shape>
        </w:pict>
      </w:r>
      <w:r>
        <w:rPr>
          <w:rFonts w:ascii="仿宋" w:hAnsi="仿宋" w:eastAsia="仿宋" w:cs="仿宋"/>
          <w:color w:val="000000"/>
          <w:sz w:val="28"/>
          <w:szCs w:val="28"/>
        </w:rPr>
        <w:t>20</w:t>
      </w:r>
      <w:r>
        <w:rPr>
          <w:rFonts w:hint="eastAsia" w:ascii="仿宋" w:hAnsi="仿宋" w:eastAsia="仿宋" w:cs="仿宋"/>
          <w:color w:val="000000"/>
          <w:sz w:val="28"/>
          <w:szCs w:val="28"/>
        </w:rPr>
        <w:t>22年本年收入合计278.37万元，其中：一般公共预算财政拨款收入277.37万元，占99.64</w:t>
      </w:r>
      <w:r>
        <w:rPr>
          <w:rFonts w:ascii="仿宋" w:hAnsi="仿宋" w:eastAsia="仿宋" w:cs="仿宋"/>
          <w:color w:val="000000"/>
          <w:sz w:val="28"/>
          <w:szCs w:val="28"/>
        </w:rPr>
        <w:t>%</w:t>
      </w:r>
      <w:r>
        <w:rPr>
          <w:rFonts w:hint="eastAsia" w:ascii="仿宋" w:hAnsi="仿宋" w:eastAsia="仿宋" w:cs="仿宋"/>
          <w:color w:val="000000"/>
          <w:sz w:val="28"/>
          <w:szCs w:val="28"/>
        </w:rPr>
        <w:t>；政府性基金预算财政拨款收入1万元，占0.36</w:t>
      </w:r>
      <w:r>
        <w:rPr>
          <w:rFonts w:ascii="仿宋" w:hAnsi="仿宋" w:eastAsia="仿宋" w:cs="仿宋"/>
          <w:color w:val="000000"/>
          <w:sz w:val="28"/>
          <w:szCs w:val="28"/>
        </w:rPr>
        <w:t>%</w:t>
      </w:r>
      <w:r>
        <w:rPr>
          <w:rFonts w:hint="eastAsia" w:ascii="仿宋" w:hAnsi="仿宋" w:eastAsia="仿宋" w:cs="仿宋"/>
          <w:color w:val="000000"/>
          <w:sz w:val="28"/>
          <w:szCs w:val="28"/>
        </w:rPr>
        <w:t>；上级补助收入0万元，占0</w:t>
      </w:r>
      <w:r>
        <w:rPr>
          <w:rFonts w:ascii="仿宋" w:hAnsi="仿宋" w:eastAsia="仿宋" w:cs="仿宋"/>
          <w:color w:val="000000"/>
          <w:sz w:val="28"/>
          <w:szCs w:val="28"/>
        </w:rPr>
        <w:t>%</w:t>
      </w:r>
      <w:r>
        <w:rPr>
          <w:rFonts w:hint="eastAsia" w:ascii="仿宋" w:hAnsi="仿宋" w:eastAsia="仿宋" w:cs="仿宋"/>
          <w:color w:val="000000"/>
          <w:sz w:val="28"/>
          <w:szCs w:val="28"/>
        </w:rPr>
        <w:t>；事业收入0万元，占0</w:t>
      </w:r>
      <w:r>
        <w:rPr>
          <w:rFonts w:ascii="仿宋" w:hAnsi="仿宋" w:eastAsia="仿宋" w:cs="仿宋"/>
          <w:color w:val="000000"/>
          <w:sz w:val="28"/>
          <w:szCs w:val="28"/>
        </w:rPr>
        <w:t>%</w:t>
      </w:r>
      <w:r>
        <w:rPr>
          <w:rFonts w:hint="eastAsia" w:ascii="仿宋" w:hAnsi="仿宋" w:eastAsia="仿宋" w:cs="仿宋"/>
          <w:color w:val="000000"/>
          <w:sz w:val="28"/>
          <w:szCs w:val="28"/>
        </w:rPr>
        <w:t>；经营收入0万元，占0</w:t>
      </w:r>
      <w:r>
        <w:rPr>
          <w:rFonts w:ascii="仿宋" w:hAnsi="仿宋" w:eastAsia="仿宋" w:cs="仿宋"/>
          <w:color w:val="000000"/>
          <w:sz w:val="28"/>
          <w:szCs w:val="28"/>
        </w:rPr>
        <w:t>%</w:t>
      </w:r>
      <w:r>
        <w:rPr>
          <w:rFonts w:hint="eastAsia" w:ascii="仿宋" w:hAnsi="仿宋" w:eastAsia="仿宋" w:cs="仿宋"/>
          <w:color w:val="000000"/>
          <w:sz w:val="28"/>
          <w:szCs w:val="28"/>
        </w:rPr>
        <w:t>；附属单位上缴收入0万元，占0</w:t>
      </w:r>
      <w:r>
        <w:rPr>
          <w:rFonts w:ascii="仿宋" w:hAnsi="仿宋" w:eastAsia="仿宋" w:cs="仿宋"/>
          <w:color w:val="000000"/>
          <w:sz w:val="28"/>
          <w:szCs w:val="28"/>
        </w:rPr>
        <w:t>%</w:t>
      </w:r>
      <w:r>
        <w:rPr>
          <w:rFonts w:hint="eastAsia" w:ascii="仿宋" w:hAnsi="仿宋" w:eastAsia="仿宋" w:cs="仿宋"/>
          <w:color w:val="000000"/>
          <w:sz w:val="28"/>
          <w:szCs w:val="28"/>
        </w:rPr>
        <w:t>；上年结转0万元，占0</w:t>
      </w:r>
      <w:r>
        <w:rPr>
          <w:rFonts w:ascii="仿宋" w:hAnsi="仿宋" w:eastAsia="仿宋" w:cs="仿宋"/>
          <w:color w:val="000000"/>
          <w:sz w:val="28"/>
          <w:szCs w:val="28"/>
        </w:rPr>
        <w:t>%</w:t>
      </w:r>
      <w:r>
        <w:rPr>
          <w:rFonts w:hint="eastAsia" w:ascii="仿宋" w:hAnsi="仿宋" w:eastAsia="仿宋" w:cs="仿宋"/>
          <w:color w:val="000000"/>
          <w:sz w:val="28"/>
          <w:szCs w:val="28"/>
        </w:rPr>
        <w:t>。</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图2：收入决算结构图(单位：万元)：</w:t>
      </w:r>
    </w:p>
    <w:p>
      <w:r>
        <w:drawing>
          <wp:inline distT="0" distB="0" distL="0" distR="0">
            <wp:extent cx="4352925" cy="1466850"/>
            <wp:effectExtent l="19050" t="0" r="9525" b="0"/>
            <wp:docPr id="10" name="对象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8"/>
        <w:spacing w:line="600" w:lineRule="exact"/>
        <w:ind w:firstLine="0" w:firstLineChars="0"/>
        <w:outlineLvl w:val="1"/>
        <w:rPr>
          <w:rStyle w:val="18"/>
          <w:rFonts w:ascii="黑体" w:hAnsi="黑体" w:eastAsia="黑体" w:cs="黑体"/>
          <w:b w:val="0"/>
          <w:bCs w:val="0"/>
          <w:sz w:val="28"/>
          <w:szCs w:val="28"/>
        </w:rPr>
      </w:pPr>
      <w:bookmarkStart w:id="27" w:name="_Toc15377207"/>
      <w:bookmarkStart w:id="28" w:name="_Toc15396605"/>
      <w:r>
        <w:rPr>
          <w:rStyle w:val="18"/>
          <w:rFonts w:hint="eastAsia" w:ascii="黑体" w:hAnsi="黑体" w:eastAsia="黑体" w:cs="黑体"/>
          <w:sz w:val="28"/>
          <w:szCs w:val="28"/>
        </w:rPr>
        <w:t>三、支</w:t>
      </w:r>
      <w:r>
        <w:rPr>
          <w:rStyle w:val="18"/>
          <w:rFonts w:hint="eastAsia" w:ascii="黑体" w:hAnsi="黑体" w:eastAsia="黑体" w:cs="黑体"/>
          <w:b w:val="0"/>
          <w:bCs w:val="0"/>
          <w:sz w:val="28"/>
          <w:szCs w:val="28"/>
        </w:rPr>
        <w:t>出决算情况说明</w:t>
      </w:r>
      <w:bookmarkEnd w:id="27"/>
      <w:bookmarkEnd w:id="28"/>
    </w:p>
    <w:p>
      <w:pPr>
        <w:spacing w:line="600" w:lineRule="exact"/>
        <w:ind w:firstLine="560" w:firstLineChars="200"/>
        <w:outlineLvl w:val="1"/>
        <w:rPr>
          <w:rFonts w:ascii="仿宋" w:hAnsi="仿宋" w:eastAsia="仿宋" w:cs="仿宋"/>
          <w:color w:val="000000"/>
          <w:sz w:val="28"/>
          <w:szCs w:val="28"/>
        </w:rPr>
      </w:pPr>
      <w:r>
        <w:rPr>
          <w:rFonts w:hint="eastAsia" w:ascii="仿宋" w:hAnsi="仿宋" w:eastAsia="仿宋" w:cs="仿宋"/>
          <w:color w:val="000000"/>
          <w:sz w:val="28"/>
          <w:szCs w:val="28"/>
        </w:rPr>
        <w:t>2022年本年支出合计278.37万元，其中：基本支出271.37万元，占97.49</w:t>
      </w:r>
      <w:r>
        <w:rPr>
          <w:rFonts w:ascii="仿宋" w:hAnsi="仿宋" w:eastAsia="仿宋" w:cs="仿宋"/>
          <w:color w:val="000000"/>
          <w:sz w:val="28"/>
          <w:szCs w:val="28"/>
        </w:rPr>
        <w:t>%</w:t>
      </w:r>
      <w:r>
        <w:rPr>
          <w:rFonts w:hint="eastAsia" w:ascii="仿宋" w:hAnsi="仿宋" w:eastAsia="仿宋" w:cs="仿宋"/>
          <w:color w:val="000000"/>
          <w:sz w:val="28"/>
          <w:szCs w:val="28"/>
        </w:rPr>
        <w:t>；项目支出7万元，占2.51</w:t>
      </w:r>
      <w:r>
        <w:rPr>
          <w:rFonts w:ascii="仿宋" w:hAnsi="仿宋" w:eastAsia="仿宋" w:cs="仿宋"/>
          <w:color w:val="000000"/>
          <w:sz w:val="28"/>
          <w:szCs w:val="28"/>
        </w:rPr>
        <w:t>%</w:t>
      </w:r>
      <w:r>
        <w:rPr>
          <w:rFonts w:hint="eastAsia" w:ascii="仿宋" w:hAnsi="仿宋" w:eastAsia="仿宋" w:cs="仿宋"/>
          <w:color w:val="000000"/>
          <w:sz w:val="28"/>
          <w:szCs w:val="28"/>
        </w:rPr>
        <w:t>；上缴上级支出0万元，占0</w:t>
      </w:r>
      <w:r>
        <w:rPr>
          <w:rFonts w:ascii="仿宋" w:hAnsi="仿宋" w:eastAsia="仿宋" w:cs="仿宋"/>
          <w:color w:val="000000"/>
          <w:sz w:val="28"/>
          <w:szCs w:val="28"/>
        </w:rPr>
        <w:t>%</w:t>
      </w:r>
      <w:r>
        <w:rPr>
          <w:rFonts w:hint="eastAsia" w:ascii="仿宋" w:hAnsi="仿宋" w:eastAsia="仿宋" w:cs="仿宋"/>
          <w:color w:val="000000"/>
          <w:sz w:val="28"/>
          <w:szCs w:val="28"/>
        </w:rPr>
        <w:t>；经营支出0万元，占0</w:t>
      </w:r>
      <w:r>
        <w:rPr>
          <w:rFonts w:ascii="仿宋" w:hAnsi="仿宋" w:eastAsia="仿宋" w:cs="仿宋"/>
          <w:color w:val="000000"/>
          <w:sz w:val="28"/>
          <w:szCs w:val="28"/>
        </w:rPr>
        <w:t>%</w:t>
      </w:r>
      <w:r>
        <w:rPr>
          <w:rFonts w:hint="eastAsia" w:ascii="仿宋" w:hAnsi="仿宋" w:eastAsia="仿宋" w:cs="仿宋"/>
          <w:color w:val="000000"/>
          <w:sz w:val="28"/>
          <w:szCs w:val="28"/>
        </w:rPr>
        <w:t>；对附属单位补助支出0万元，占0</w:t>
      </w:r>
      <w:r>
        <w:rPr>
          <w:rFonts w:ascii="仿宋" w:hAnsi="仿宋" w:eastAsia="仿宋" w:cs="仿宋"/>
          <w:color w:val="000000"/>
          <w:sz w:val="28"/>
          <w:szCs w:val="28"/>
        </w:rPr>
        <w:t>%</w:t>
      </w:r>
      <w:r>
        <w:rPr>
          <w:rFonts w:hint="eastAsia" w:ascii="仿宋" w:hAnsi="仿宋" w:eastAsia="仿宋" w:cs="仿宋"/>
          <w:color w:val="000000"/>
          <w:sz w:val="28"/>
          <w:szCs w:val="28"/>
        </w:rPr>
        <w:t>。</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图3：支出决算结构图(单位：万元)：</w:t>
      </w:r>
    </w:p>
    <w:p>
      <w:bookmarkStart w:id="29" w:name="_Toc15377208"/>
      <w:bookmarkStart w:id="30" w:name="_Toc15396606"/>
      <w:r>
        <w:drawing>
          <wp:inline distT="0" distB="0" distL="0" distR="0">
            <wp:extent cx="5229225" cy="2333625"/>
            <wp:effectExtent l="19050" t="0" r="9525" b="0"/>
            <wp:docPr id="11" name="对象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outlineLvl w:val="1"/>
        <w:rPr>
          <w:rStyle w:val="18"/>
          <w:rFonts w:ascii="黑体" w:hAnsi="黑体" w:eastAsia="黑体" w:cs="黑体"/>
          <w:b w:val="0"/>
          <w:bCs w:val="0"/>
          <w:sz w:val="28"/>
          <w:szCs w:val="28"/>
        </w:rPr>
      </w:pPr>
      <w:r>
        <w:rPr>
          <w:rFonts w:hint="eastAsia" w:ascii="黑体" w:hAnsi="黑体" w:eastAsia="黑体" w:cs="黑体"/>
          <w:color w:val="000000"/>
          <w:sz w:val="28"/>
          <w:szCs w:val="28"/>
        </w:rPr>
        <w:t>四、财</w:t>
      </w:r>
      <w:r>
        <w:rPr>
          <w:rStyle w:val="18"/>
          <w:rFonts w:hint="eastAsia" w:ascii="黑体" w:hAnsi="黑体" w:eastAsia="黑体" w:cs="黑体"/>
          <w:b w:val="0"/>
          <w:bCs w:val="0"/>
          <w:sz w:val="28"/>
          <w:szCs w:val="28"/>
        </w:rPr>
        <w:t>政拨款收入支出决算总体情况说明</w:t>
      </w:r>
      <w:bookmarkEnd w:id="29"/>
      <w:bookmarkEnd w:id="30"/>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22年度财政拨款收入总计278.37万元。与</w:t>
      </w:r>
      <w:r>
        <w:rPr>
          <w:rFonts w:ascii="仿宋" w:hAnsi="仿宋" w:eastAsia="仿宋" w:cs="仿宋"/>
          <w:color w:val="000000"/>
          <w:sz w:val="28"/>
          <w:szCs w:val="28"/>
        </w:rPr>
        <w:t>20</w:t>
      </w:r>
      <w:r>
        <w:rPr>
          <w:rFonts w:hint="eastAsia" w:ascii="仿宋" w:hAnsi="仿宋" w:eastAsia="仿宋" w:cs="仿宋"/>
          <w:color w:val="000000"/>
          <w:sz w:val="28"/>
          <w:szCs w:val="28"/>
        </w:rPr>
        <w:t>21年相比，财政拨款收入总计减少38万元，减少12.01</w:t>
      </w:r>
      <w:r>
        <w:rPr>
          <w:rFonts w:ascii="仿宋" w:hAnsi="仿宋" w:eastAsia="仿宋" w:cs="仿宋"/>
          <w:color w:val="000000"/>
          <w:sz w:val="28"/>
          <w:szCs w:val="28"/>
        </w:rPr>
        <w:t>%</w:t>
      </w:r>
      <w:r>
        <w:rPr>
          <w:rFonts w:hint="eastAsia" w:ascii="仿宋" w:hAnsi="仿宋" w:eastAsia="仿宋" w:cs="仿宋"/>
          <w:color w:val="000000"/>
          <w:sz w:val="28"/>
          <w:szCs w:val="28"/>
        </w:rPr>
        <w:t>。主要变动原因是人员退休调出，学生人数减少，人员经费减少。</w:t>
      </w:r>
    </w:p>
    <w:p>
      <w:pPr>
        <w:pStyle w:val="5"/>
        <w:adjustRightInd w:val="0"/>
        <w:snapToGrid w:val="0"/>
        <w:spacing w:before="93" w:line="600" w:lineRule="exact"/>
        <w:ind w:firstLine="588" w:firstLineChars="210"/>
        <w:outlineLvl w:val="2"/>
        <w:rPr>
          <w:rStyle w:val="18"/>
          <w:rFonts w:ascii="仿宋" w:hAnsi="仿宋" w:eastAsia="仿宋" w:cs="仿宋"/>
          <w:b w:val="0"/>
          <w:bCs w:val="0"/>
          <w:color w:val="000000"/>
          <w:kern w:val="0"/>
          <w:sz w:val="28"/>
          <w:szCs w:val="28"/>
        </w:rPr>
      </w:pPr>
      <w:r>
        <w:rPr>
          <w:rFonts w:hint="eastAsia" w:ascii="仿宋" w:hAnsi="仿宋" w:eastAsia="仿宋" w:cs="仿宋"/>
          <w:color w:val="000000"/>
          <w:sz w:val="28"/>
          <w:szCs w:val="28"/>
        </w:rPr>
        <w:t>2022年度财政拨款支出总计278.37万元。与</w:t>
      </w:r>
      <w:r>
        <w:rPr>
          <w:rFonts w:ascii="仿宋" w:hAnsi="仿宋" w:eastAsia="仿宋" w:cs="仿宋"/>
          <w:color w:val="000000"/>
          <w:sz w:val="28"/>
          <w:szCs w:val="28"/>
        </w:rPr>
        <w:t>20</w:t>
      </w:r>
      <w:r>
        <w:rPr>
          <w:rFonts w:hint="eastAsia" w:ascii="仿宋" w:hAnsi="仿宋" w:eastAsia="仿宋" w:cs="仿宋"/>
          <w:color w:val="000000"/>
          <w:sz w:val="28"/>
          <w:szCs w:val="28"/>
        </w:rPr>
        <w:t>21年相比，财政拨款支出总计减少38万元，减少12.01</w:t>
      </w:r>
      <w:r>
        <w:rPr>
          <w:rFonts w:ascii="仿宋" w:hAnsi="仿宋" w:eastAsia="仿宋" w:cs="仿宋"/>
          <w:color w:val="000000"/>
          <w:sz w:val="28"/>
          <w:szCs w:val="28"/>
        </w:rPr>
        <w:t>%</w:t>
      </w:r>
      <w:r>
        <w:rPr>
          <w:rFonts w:hint="eastAsia" w:ascii="仿宋" w:hAnsi="仿宋" w:eastAsia="仿宋" w:cs="仿宋"/>
          <w:color w:val="000000"/>
          <w:sz w:val="28"/>
          <w:szCs w:val="28"/>
        </w:rPr>
        <w:t>。主要变动原因是人员退休调出，学生人数减少，人员经费减少。</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图4：财政拨款收、支决算总计变动情况(单位：万元)：</w:t>
      </w:r>
    </w:p>
    <w:p>
      <w:r>
        <w:drawing>
          <wp:inline distT="0" distB="0" distL="0" distR="0">
            <wp:extent cx="4791075" cy="2438400"/>
            <wp:effectExtent l="19050" t="0" r="9525" b="0"/>
            <wp:docPr id="4" name="对象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31" w:name="_Toc15396607"/>
      <w:bookmarkStart w:id="32" w:name="_Toc15377209"/>
    </w:p>
    <w:p>
      <w:pPr>
        <w:spacing w:line="600" w:lineRule="exact"/>
        <w:outlineLvl w:val="1"/>
        <w:rPr>
          <w:rStyle w:val="18"/>
          <w:rFonts w:ascii="黑体" w:hAnsi="黑体" w:eastAsia="黑体" w:cs="Times New Roman"/>
          <w:b w:val="0"/>
          <w:bCs w:val="0"/>
          <w:sz w:val="28"/>
          <w:szCs w:val="28"/>
        </w:rPr>
      </w:pPr>
      <w:r>
        <w:rPr>
          <w:rFonts w:hint="eastAsia" w:ascii="黑体" w:hAnsi="黑体" w:eastAsia="黑体" w:cs="黑体"/>
          <w:color w:val="000000"/>
          <w:sz w:val="28"/>
          <w:szCs w:val="28"/>
        </w:rPr>
        <w:t>五、</w:t>
      </w:r>
      <w:r>
        <w:rPr>
          <w:rFonts w:hint="eastAsia" w:ascii="黑体" w:hAnsi="黑体" w:eastAsia="黑体" w:cs="黑体"/>
          <w:b/>
          <w:bCs/>
          <w:color w:val="000000"/>
          <w:sz w:val="28"/>
          <w:szCs w:val="28"/>
        </w:rPr>
        <w:t>一</w:t>
      </w:r>
      <w:r>
        <w:rPr>
          <w:rStyle w:val="18"/>
          <w:rFonts w:hint="eastAsia" w:ascii="黑体" w:hAnsi="黑体" w:eastAsia="黑体" w:cs="黑体"/>
          <w:b w:val="0"/>
          <w:bCs w:val="0"/>
          <w:sz w:val="28"/>
          <w:szCs w:val="28"/>
        </w:rPr>
        <w:t>般公共预算财政拨款支出决算情况说明</w:t>
      </w:r>
      <w:bookmarkEnd w:id="31"/>
      <w:bookmarkEnd w:id="32"/>
    </w:p>
    <w:p>
      <w:pPr>
        <w:pStyle w:val="5"/>
        <w:adjustRightInd w:val="0"/>
        <w:snapToGrid w:val="0"/>
        <w:spacing w:before="93" w:line="600" w:lineRule="exact"/>
        <w:ind w:firstLine="141" w:firstLineChars="50"/>
        <w:outlineLvl w:val="2"/>
        <w:rPr>
          <w:rFonts w:ascii="仿宋" w:hAnsi="仿宋" w:eastAsia="仿宋" w:cs="仿宋"/>
          <w:b/>
          <w:color w:val="000000"/>
          <w:sz w:val="28"/>
          <w:szCs w:val="28"/>
        </w:rPr>
      </w:pPr>
      <w:bookmarkStart w:id="33" w:name="_Toc15377210"/>
      <w:r>
        <w:rPr>
          <w:rFonts w:hint="eastAsia" w:ascii="仿宋" w:hAnsi="仿宋" w:eastAsia="仿宋" w:cs="仿宋"/>
          <w:b/>
          <w:color w:val="000000"/>
          <w:sz w:val="28"/>
          <w:szCs w:val="28"/>
        </w:rPr>
        <w:t>（一）一般公共预算财政拨款支出决算总体情况</w:t>
      </w:r>
      <w:bookmarkEnd w:id="33"/>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22年一般公共预算财政拨款支出277.37万元，占本年支出合计的99.64</w:t>
      </w:r>
      <w:r>
        <w:rPr>
          <w:rFonts w:ascii="仿宋" w:hAnsi="仿宋" w:eastAsia="仿宋" w:cs="仿宋"/>
          <w:color w:val="000000"/>
          <w:sz w:val="28"/>
          <w:szCs w:val="28"/>
        </w:rPr>
        <w:t>%</w:t>
      </w:r>
      <w:r>
        <w:rPr>
          <w:rFonts w:hint="eastAsia" w:ascii="仿宋" w:hAnsi="仿宋" w:eastAsia="仿宋" w:cs="仿宋"/>
          <w:color w:val="000000"/>
          <w:sz w:val="28"/>
          <w:szCs w:val="28"/>
        </w:rPr>
        <w:t>。与</w:t>
      </w:r>
      <w:r>
        <w:rPr>
          <w:rFonts w:ascii="仿宋" w:hAnsi="仿宋" w:eastAsia="仿宋" w:cs="仿宋"/>
          <w:color w:val="000000"/>
          <w:sz w:val="28"/>
          <w:szCs w:val="28"/>
        </w:rPr>
        <w:t>20</w:t>
      </w:r>
      <w:r>
        <w:rPr>
          <w:rFonts w:hint="eastAsia" w:ascii="仿宋" w:hAnsi="仿宋" w:eastAsia="仿宋" w:cs="仿宋"/>
          <w:color w:val="000000"/>
          <w:sz w:val="28"/>
          <w:szCs w:val="28"/>
        </w:rPr>
        <w:t>21年相比，一般公共预算财政拨款支出减少35.52万元，减少11.35</w:t>
      </w:r>
      <w:r>
        <w:rPr>
          <w:rFonts w:ascii="仿宋" w:hAnsi="仿宋" w:eastAsia="仿宋" w:cs="仿宋"/>
          <w:color w:val="000000"/>
          <w:sz w:val="28"/>
          <w:szCs w:val="28"/>
        </w:rPr>
        <w:t>%</w:t>
      </w:r>
      <w:r>
        <w:rPr>
          <w:rFonts w:hint="eastAsia" w:ascii="仿宋" w:hAnsi="仿宋" w:eastAsia="仿宋" w:cs="仿宋"/>
          <w:color w:val="000000"/>
          <w:sz w:val="28"/>
          <w:szCs w:val="28"/>
        </w:rPr>
        <w:t>。主要变动原因是学生减少，教师退休及调出，人员经费减少。</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图5：一般公共预算财政拨款支出决算变动情况(单位：万元):</w:t>
      </w:r>
    </w:p>
    <w:p/>
    <w:p>
      <w:pPr>
        <w:jc w:val="center"/>
      </w:pPr>
      <w:bookmarkStart w:id="34" w:name="_Toc15377211"/>
      <w:r>
        <w:drawing>
          <wp:inline distT="0" distB="0" distL="0" distR="0">
            <wp:extent cx="4946015" cy="2228850"/>
            <wp:effectExtent l="19050" t="0" r="26035" b="0"/>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138" w:firstLineChars="49"/>
        <w:outlineLvl w:val="2"/>
        <w:rPr>
          <w:rFonts w:ascii="仿宋" w:hAnsi="仿宋" w:eastAsia="仿宋"/>
          <w:b/>
          <w:bCs/>
          <w:color w:val="000000"/>
          <w:sz w:val="28"/>
          <w:szCs w:val="28"/>
        </w:rPr>
      </w:pPr>
      <w:r>
        <w:rPr>
          <w:rFonts w:hint="eastAsia" w:ascii="仿宋" w:hAnsi="仿宋" w:eastAsia="仿宋" w:cs="仿宋"/>
          <w:b/>
          <w:bCs/>
          <w:color w:val="000000"/>
          <w:sz w:val="28"/>
          <w:szCs w:val="28"/>
        </w:rPr>
        <w:t>（二）一般公共预算财政拨款支出决算结构情况</w:t>
      </w:r>
      <w:bookmarkEnd w:id="34"/>
    </w:p>
    <w:p>
      <w:pPr>
        <w:spacing w:line="600" w:lineRule="exact"/>
        <w:ind w:firstLine="640"/>
        <w:rPr>
          <w:rFonts w:ascii="仿宋" w:hAnsi="仿宋" w:eastAsia="仿宋" w:cs="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22年一般公共预算财政拨款支出277.37万元，主要用于以下方面</w:t>
      </w:r>
      <w:r>
        <w:rPr>
          <w:rFonts w:hint="eastAsia" w:ascii="仿宋" w:hAnsi="仿宋" w:eastAsia="仿宋" w:cs="仿宋"/>
          <w:color w:val="000000"/>
          <w:sz w:val="28"/>
          <w:szCs w:val="28"/>
          <w:lang w:eastAsia="zh-CN"/>
        </w:rPr>
        <w:t>：</w:t>
      </w:r>
      <w:r>
        <w:rPr>
          <w:rFonts w:hint="eastAsia" w:ascii="仿宋" w:hAnsi="仿宋" w:eastAsia="仿宋" w:cs="仿宋"/>
          <w:b/>
          <w:bCs/>
          <w:color w:val="000000"/>
          <w:sz w:val="28"/>
          <w:szCs w:val="28"/>
        </w:rPr>
        <w:t>一般公共服务（类）</w:t>
      </w:r>
      <w:r>
        <w:rPr>
          <w:rFonts w:hint="eastAsia" w:ascii="仿宋" w:hAnsi="仿宋" w:eastAsia="仿宋" w:cs="仿宋"/>
          <w:color w:val="000000"/>
          <w:sz w:val="28"/>
          <w:szCs w:val="28"/>
        </w:rPr>
        <w:t>支出0万元，占0</w:t>
      </w:r>
      <w:r>
        <w:rPr>
          <w:rFonts w:ascii="仿宋" w:hAnsi="仿宋" w:eastAsia="仿宋" w:cs="仿宋"/>
          <w:color w:val="000000"/>
          <w:sz w:val="28"/>
          <w:szCs w:val="28"/>
        </w:rPr>
        <w:t>%</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教育支出（类）</w:t>
      </w:r>
      <w:r>
        <w:rPr>
          <w:rFonts w:hint="eastAsia" w:ascii="仿宋" w:hAnsi="仿宋" w:eastAsia="仿宋" w:cs="仿宋"/>
          <w:color w:val="000000"/>
          <w:sz w:val="28"/>
          <w:szCs w:val="28"/>
        </w:rPr>
        <w:t>236.42万元，占85.24</w:t>
      </w:r>
      <w:r>
        <w:rPr>
          <w:rFonts w:ascii="仿宋" w:hAnsi="仿宋" w:eastAsia="仿宋" w:cs="仿宋"/>
          <w:color w:val="000000"/>
          <w:sz w:val="28"/>
          <w:szCs w:val="28"/>
        </w:rPr>
        <w:t>%</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科学技术（类）</w:t>
      </w:r>
      <w:r>
        <w:rPr>
          <w:rFonts w:hint="eastAsia" w:ascii="仿宋" w:hAnsi="仿宋" w:eastAsia="仿宋" w:cs="仿宋"/>
          <w:color w:val="000000"/>
          <w:sz w:val="28"/>
          <w:szCs w:val="28"/>
        </w:rPr>
        <w:t>支出0万元，占0</w:t>
      </w:r>
      <w:r>
        <w:rPr>
          <w:rFonts w:ascii="仿宋" w:hAnsi="仿宋" w:eastAsia="仿宋" w:cs="仿宋"/>
          <w:color w:val="000000"/>
          <w:sz w:val="28"/>
          <w:szCs w:val="28"/>
        </w:rPr>
        <w:t>%</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文化旅游体育与传媒（类）支出0万元，占0</w:t>
      </w:r>
      <w:r>
        <w:rPr>
          <w:rFonts w:ascii="仿宋" w:hAnsi="仿宋" w:eastAsia="仿宋" w:cs="仿宋"/>
          <w:b/>
          <w:bCs/>
          <w:color w:val="000000"/>
          <w:sz w:val="28"/>
          <w:szCs w:val="28"/>
        </w:rPr>
        <w:t>%</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社会保障和就业（类）</w:t>
      </w:r>
      <w:r>
        <w:rPr>
          <w:rFonts w:hint="eastAsia" w:ascii="仿宋" w:hAnsi="仿宋" w:eastAsia="仿宋" w:cs="仿宋"/>
          <w:color w:val="000000"/>
          <w:sz w:val="28"/>
          <w:szCs w:val="28"/>
        </w:rPr>
        <w:t>支出18.2万元，占6.56</w:t>
      </w:r>
      <w:r>
        <w:rPr>
          <w:rFonts w:ascii="仿宋" w:hAnsi="仿宋" w:eastAsia="仿宋" w:cs="仿宋"/>
          <w:color w:val="000000"/>
          <w:sz w:val="28"/>
          <w:szCs w:val="28"/>
        </w:rPr>
        <w:t>%</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卫生健康支出</w:t>
      </w:r>
      <w:r>
        <w:rPr>
          <w:rFonts w:hint="eastAsia" w:ascii="仿宋" w:hAnsi="仿宋" w:eastAsia="仿宋" w:cs="仿宋"/>
          <w:color w:val="000000"/>
          <w:sz w:val="28"/>
          <w:szCs w:val="28"/>
        </w:rPr>
        <w:t>9.1万元，占3.28</w:t>
      </w:r>
      <w:r>
        <w:rPr>
          <w:rFonts w:ascii="仿宋" w:hAnsi="仿宋" w:eastAsia="仿宋" w:cs="仿宋"/>
          <w:color w:val="000000"/>
          <w:sz w:val="28"/>
          <w:szCs w:val="28"/>
        </w:rPr>
        <w:t>%</w:t>
      </w:r>
      <w:r>
        <w:rPr>
          <w:rFonts w:hint="eastAsia" w:ascii="仿宋" w:hAnsi="仿宋" w:eastAsia="仿宋" w:cs="仿宋"/>
          <w:color w:val="000000"/>
          <w:sz w:val="28"/>
          <w:szCs w:val="28"/>
        </w:rPr>
        <w:t>；住房保障支出13.65万元，占4.92</w:t>
      </w:r>
      <w:r>
        <w:rPr>
          <w:rFonts w:ascii="仿宋" w:hAnsi="仿宋" w:eastAsia="仿宋" w:cs="仿宋"/>
          <w:color w:val="000000"/>
          <w:sz w:val="28"/>
          <w:szCs w:val="28"/>
        </w:rPr>
        <w:t>%</w:t>
      </w:r>
      <w:r>
        <w:rPr>
          <w:rFonts w:hint="eastAsia" w:ascii="仿宋" w:hAnsi="仿宋" w:eastAsia="仿宋" w:cs="仿宋"/>
          <w:color w:val="000000"/>
          <w:sz w:val="28"/>
          <w:szCs w:val="28"/>
        </w:rPr>
        <w:t>。</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sz w:val="28"/>
          <w:szCs w:val="28"/>
        </w:rPr>
        <w:t>图6：一般公共预算财政拨款支出决算结构(</w:t>
      </w:r>
      <w:r>
        <w:rPr>
          <w:rFonts w:hint="eastAsia" w:ascii="仿宋" w:hAnsi="仿宋" w:eastAsia="仿宋"/>
          <w:color w:val="000000" w:themeColor="text1"/>
          <w:sz w:val="28"/>
          <w:szCs w:val="28"/>
        </w:rPr>
        <w:t>单位：万元</w:t>
      </w:r>
      <w:r>
        <w:rPr>
          <w:rFonts w:hint="eastAsia" w:ascii="仿宋" w:hAnsi="仿宋" w:eastAsia="仿宋"/>
          <w:color w:val="000000"/>
          <w:sz w:val="28"/>
          <w:szCs w:val="28"/>
        </w:rPr>
        <w:t>)：</w:t>
      </w:r>
    </w:p>
    <w:p>
      <w:pPr>
        <w:spacing w:line="600" w:lineRule="exact"/>
        <w:ind w:firstLine="640"/>
        <w:rPr>
          <w:rFonts w:ascii="仿宋" w:hAnsi="仿宋" w:eastAsia="仿宋"/>
          <w:color w:val="000000" w:themeColor="text1"/>
          <w:sz w:val="28"/>
          <w:szCs w:val="28"/>
        </w:rPr>
      </w:pPr>
    </w:p>
    <w:p>
      <w:pPr>
        <w:rPr>
          <w:sz w:val="28"/>
          <w:szCs w:val="28"/>
        </w:rPr>
      </w:pPr>
      <w:r>
        <w:rPr>
          <w:sz w:val="28"/>
          <w:szCs w:val="28"/>
        </w:rPr>
        <w:drawing>
          <wp:inline distT="0" distB="0" distL="0" distR="0">
            <wp:extent cx="4914900" cy="1895475"/>
            <wp:effectExtent l="19050" t="0" r="1905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138" w:firstLineChars="49"/>
        <w:outlineLvl w:val="2"/>
        <w:rPr>
          <w:rFonts w:ascii="仿宋" w:hAnsi="仿宋" w:eastAsia="仿宋" w:cs="仿宋"/>
          <w:b/>
          <w:color w:val="000000"/>
          <w:kern w:val="0"/>
          <w:sz w:val="28"/>
          <w:szCs w:val="28"/>
        </w:rPr>
      </w:pPr>
      <w:bookmarkStart w:id="35" w:name="_Toc15377212"/>
      <w:r>
        <w:rPr>
          <w:rFonts w:hint="eastAsia" w:ascii="仿宋" w:hAnsi="仿宋" w:eastAsia="仿宋" w:cs="仿宋"/>
          <w:b/>
          <w:color w:val="000000"/>
          <w:kern w:val="0"/>
          <w:sz w:val="28"/>
          <w:szCs w:val="28"/>
        </w:rPr>
        <w:t>（三）一般公共预算财政拨款支出决算具体情况</w:t>
      </w:r>
      <w:bookmarkEnd w:id="35"/>
    </w:p>
    <w:p>
      <w:pPr>
        <w:spacing w:line="600" w:lineRule="exact"/>
        <w:ind w:firstLine="562" w:firstLineChars="200"/>
        <w:outlineLvl w:val="2"/>
        <w:rPr>
          <w:rFonts w:ascii="仿宋" w:hAnsi="仿宋" w:eastAsia="仿宋"/>
          <w:color w:val="FF0000"/>
          <w:sz w:val="28"/>
          <w:szCs w:val="28"/>
        </w:rPr>
      </w:pPr>
      <w:bookmarkStart w:id="36" w:name="_Toc15378460"/>
      <w:bookmarkStart w:id="37" w:name="_Toc15377444"/>
      <w:bookmarkStart w:id="38" w:name="_Toc15377213"/>
      <w:r>
        <w:rPr>
          <w:rFonts w:ascii="仿宋" w:hAnsi="仿宋" w:eastAsia="仿宋" w:cs="仿宋"/>
          <w:b/>
          <w:bCs/>
          <w:color w:val="000000"/>
          <w:sz w:val="28"/>
          <w:szCs w:val="28"/>
        </w:rPr>
        <w:t>20</w:t>
      </w:r>
      <w:r>
        <w:rPr>
          <w:rFonts w:hint="eastAsia" w:ascii="仿宋" w:hAnsi="仿宋" w:eastAsia="仿宋" w:cs="仿宋"/>
          <w:b/>
          <w:bCs/>
          <w:color w:val="000000"/>
          <w:sz w:val="28"/>
          <w:szCs w:val="28"/>
        </w:rPr>
        <w:t>22年一般公共预算支出决算数为277.37</w:t>
      </w:r>
      <w:r>
        <w:rPr>
          <w:rFonts w:hint="eastAsia" w:ascii="仿宋" w:hAnsi="仿宋" w:eastAsia="仿宋" w:cs="仿宋"/>
          <w:color w:val="000000"/>
          <w:sz w:val="28"/>
          <w:szCs w:val="28"/>
        </w:rPr>
        <w:t>，</w:t>
      </w:r>
      <w:r>
        <w:rPr>
          <w:rStyle w:val="15"/>
          <w:rFonts w:hint="eastAsia" w:ascii="仿宋" w:hAnsi="仿宋" w:eastAsia="仿宋" w:cs="仿宋"/>
          <w:color w:val="000000"/>
          <w:sz w:val="28"/>
          <w:szCs w:val="28"/>
        </w:rPr>
        <w:t>完成预算100</w:t>
      </w:r>
      <w:r>
        <w:rPr>
          <w:rStyle w:val="15"/>
          <w:rFonts w:ascii="仿宋" w:hAnsi="仿宋" w:eastAsia="仿宋" w:cs="仿宋"/>
          <w:color w:val="000000"/>
          <w:sz w:val="28"/>
          <w:szCs w:val="28"/>
        </w:rPr>
        <w:t>%</w:t>
      </w:r>
      <w:r>
        <w:rPr>
          <w:rStyle w:val="15"/>
          <w:rFonts w:hint="eastAsia" w:ascii="仿宋" w:hAnsi="仿宋" w:eastAsia="仿宋" w:cs="仿宋"/>
          <w:color w:val="000000"/>
          <w:sz w:val="28"/>
          <w:szCs w:val="28"/>
        </w:rPr>
        <w:t>。其中：</w:t>
      </w:r>
      <w:bookmarkEnd w:id="36"/>
      <w:bookmarkEnd w:id="37"/>
      <w:bookmarkEnd w:id="38"/>
    </w:p>
    <w:p>
      <w:pPr>
        <w:spacing w:line="600" w:lineRule="exact"/>
        <w:ind w:firstLine="562" w:firstLineChars="200"/>
        <w:rPr>
          <w:rFonts w:ascii="仿宋" w:hAnsi="仿宋" w:eastAsia="仿宋"/>
          <w:b/>
          <w:bCs/>
          <w:color w:val="000000"/>
          <w:sz w:val="28"/>
          <w:szCs w:val="28"/>
        </w:rPr>
      </w:pPr>
      <w:r>
        <w:rPr>
          <w:rStyle w:val="15"/>
          <w:rFonts w:hint="eastAsia" w:ascii="仿宋" w:hAnsi="仿宋" w:eastAsia="仿宋" w:cs="仿宋"/>
          <w:color w:val="000000"/>
          <w:sz w:val="28"/>
          <w:szCs w:val="28"/>
        </w:rPr>
        <w:t>1</w:t>
      </w:r>
      <w:r>
        <w:rPr>
          <w:rStyle w:val="15"/>
          <w:rFonts w:ascii="仿宋" w:hAnsi="仿宋" w:eastAsia="仿宋" w:cs="仿宋"/>
          <w:color w:val="000000"/>
          <w:sz w:val="28"/>
          <w:szCs w:val="28"/>
        </w:rPr>
        <w:t>.</w:t>
      </w:r>
      <w:r>
        <w:rPr>
          <w:rFonts w:hint="eastAsia" w:asciiTheme="minorEastAsia" w:hAnsiTheme="minorEastAsia" w:cstheme="minorEastAsia"/>
          <w:bCs/>
          <w:color w:val="333333"/>
          <w:sz w:val="28"/>
          <w:szCs w:val="28"/>
        </w:rPr>
        <w:t xml:space="preserve"> 教育支出（类）普通教育（款）小学学前教育（项）</w:t>
      </w:r>
      <w:r>
        <w:rPr>
          <w:rFonts w:hint="eastAsia" w:asciiTheme="minorEastAsia" w:hAnsiTheme="minorEastAsia" w:cstheme="minorEastAsia"/>
          <w:bCs/>
          <w:color w:val="333333"/>
          <w:sz w:val="28"/>
          <w:szCs w:val="28"/>
          <w:lang w:eastAsia="zh-CN"/>
        </w:rPr>
        <w:t>：</w:t>
      </w:r>
      <w:r>
        <w:rPr>
          <w:rStyle w:val="15"/>
          <w:rFonts w:hint="eastAsia" w:ascii="仿宋" w:hAnsi="仿宋" w:eastAsia="仿宋" w:cs="仿宋"/>
          <w:b w:val="0"/>
          <w:bCs w:val="0"/>
          <w:color w:val="000000"/>
          <w:sz w:val="28"/>
          <w:szCs w:val="28"/>
        </w:rPr>
        <w:t>支出决算为236.42万元，完成预算100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，决算数等于预算数。</w:t>
      </w:r>
    </w:p>
    <w:p>
      <w:pPr>
        <w:spacing w:line="600" w:lineRule="exact"/>
        <w:ind w:firstLine="562" w:firstLineChars="200"/>
        <w:rPr>
          <w:rFonts w:ascii="仿宋" w:hAnsi="仿宋" w:eastAsia="仿宋"/>
          <w:b/>
          <w:bCs/>
          <w:color w:val="000000"/>
          <w:sz w:val="28"/>
          <w:szCs w:val="28"/>
        </w:rPr>
      </w:pPr>
      <w:r>
        <w:rPr>
          <w:rStyle w:val="15"/>
          <w:rFonts w:hint="eastAsia" w:ascii="仿宋" w:hAnsi="仿宋" w:eastAsia="仿宋" w:cs="仿宋"/>
          <w:color w:val="000000"/>
          <w:sz w:val="28"/>
          <w:szCs w:val="28"/>
        </w:rPr>
        <w:t>2</w:t>
      </w:r>
      <w:r>
        <w:rPr>
          <w:rStyle w:val="15"/>
          <w:rFonts w:ascii="仿宋" w:hAnsi="仿宋" w:eastAsia="仿宋" w:cs="仿宋"/>
          <w:color w:val="000000"/>
          <w:sz w:val="28"/>
          <w:szCs w:val="28"/>
        </w:rPr>
        <w:t>.</w:t>
      </w:r>
      <w:r>
        <w:rPr>
          <w:rFonts w:hint="eastAsia" w:asciiTheme="minorEastAsia" w:hAnsiTheme="minorEastAsia" w:cstheme="minorEastAsia"/>
          <w:bCs/>
          <w:color w:val="333333"/>
          <w:sz w:val="28"/>
          <w:szCs w:val="28"/>
        </w:rPr>
        <w:t xml:space="preserve"> 社会保障和就业（类）行政事业单位离退休（款）机关事业单位基本养老保险缴费支出（项）</w:t>
      </w:r>
      <w:r>
        <w:rPr>
          <w:rFonts w:hint="eastAsia" w:asciiTheme="minorEastAsia" w:hAnsiTheme="minorEastAsia" w:cstheme="minorEastAsia"/>
          <w:bCs/>
          <w:color w:val="333333"/>
          <w:sz w:val="28"/>
          <w:szCs w:val="28"/>
          <w:lang w:eastAsia="zh-CN"/>
        </w:rPr>
        <w:t>：</w:t>
      </w:r>
      <w:r>
        <w:rPr>
          <w:rStyle w:val="15"/>
          <w:rFonts w:hint="eastAsia" w:ascii="仿宋" w:hAnsi="仿宋" w:eastAsia="仿宋" w:cs="仿宋"/>
          <w:b w:val="0"/>
          <w:bCs w:val="0"/>
          <w:color w:val="000000"/>
          <w:sz w:val="28"/>
          <w:szCs w:val="28"/>
        </w:rPr>
        <w:t>支出决算为18.2万元，完成预算100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，决算数等于预算数。</w:t>
      </w:r>
    </w:p>
    <w:p>
      <w:pPr>
        <w:spacing w:line="600" w:lineRule="exact"/>
        <w:ind w:firstLine="562" w:firstLineChars="200"/>
        <w:rPr>
          <w:rStyle w:val="15"/>
          <w:rFonts w:ascii="仿宋" w:hAnsi="仿宋" w:eastAsia="仿宋" w:cs="仿宋"/>
          <w:b w:val="0"/>
          <w:bCs w:val="0"/>
          <w:color w:val="000000"/>
          <w:sz w:val="28"/>
          <w:szCs w:val="28"/>
        </w:rPr>
      </w:pPr>
      <w:r>
        <w:rPr>
          <w:rStyle w:val="15"/>
          <w:rFonts w:hint="eastAsia" w:ascii="仿宋" w:hAnsi="仿宋" w:eastAsia="仿宋" w:cs="仿宋"/>
          <w:color w:val="000000"/>
          <w:sz w:val="28"/>
          <w:szCs w:val="28"/>
        </w:rPr>
        <w:t>3</w:t>
      </w:r>
      <w:r>
        <w:rPr>
          <w:rStyle w:val="15"/>
          <w:rFonts w:ascii="仿宋" w:hAnsi="仿宋" w:eastAsia="仿宋" w:cs="仿宋"/>
          <w:color w:val="000000"/>
          <w:sz w:val="28"/>
          <w:szCs w:val="28"/>
        </w:rPr>
        <w:t>.</w:t>
      </w:r>
      <w:r>
        <w:rPr>
          <w:rFonts w:hint="eastAsia" w:asciiTheme="minorEastAsia" w:hAnsiTheme="minorEastAsia" w:cstheme="minorEastAsia"/>
          <w:bCs/>
          <w:color w:val="333333"/>
          <w:sz w:val="28"/>
          <w:szCs w:val="28"/>
        </w:rPr>
        <w:t xml:space="preserve"> 卫生健康（类）行政事业单位医疗（款）行政单位医疗（项）</w:t>
      </w:r>
      <w:r>
        <w:rPr>
          <w:rFonts w:hint="eastAsia" w:asciiTheme="minorEastAsia" w:hAnsiTheme="minorEastAsia" w:cstheme="minorEastAsia"/>
          <w:bCs/>
          <w:color w:val="333333"/>
          <w:sz w:val="28"/>
          <w:szCs w:val="28"/>
          <w:lang w:eastAsia="zh-CN"/>
        </w:rPr>
        <w:t>：</w:t>
      </w:r>
      <w:r>
        <w:rPr>
          <w:rStyle w:val="15"/>
          <w:rFonts w:hint="eastAsia" w:ascii="仿宋" w:hAnsi="仿宋" w:eastAsia="仿宋" w:cs="仿宋"/>
          <w:b w:val="0"/>
          <w:bCs w:val="0"/>
          <w:color w:val="000000"/>
          <w:sz w:val="28"/>
          <w:szCs w:val="28"/>
        </w:rPr>
        <w:t>支出决算为9.1万元，完成预算100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，决算数等于预算数。</w:t>
      </w:r>
    </w:p>
    <w:p>
      <w:pPr>
        <w:spacing w:line="600" w:lineRule="exact"/>
        <w:ind w:firstLine="560" w:firstLineChars="200"/>
        <w:rPr>
          <w:rFonts w:ascii="仿宋" w:hAnsi="仿宋" w:eastAsia="仿宋" w:cs="仿宋"/>
          <w:color w:val="000000"/>
          <w:sz w:val="28"/>
          <w:szCs w:val="28"/>
        </w:rPr>
      </w:pPr>
      <w:r>
        <w:rPr>
          <w:rStyle w:val="15"/>
          <w:rFonts w:hint="eastAsia" w:ascii="仿宋" w:hAnsi="仿宋" w:eastAsia="仿宋" w:cs="仿宋"/>
          <w:b w:val="0"/>
          <w:bCs w:val="0"/>
          <w:color w:val="000000"/>
          <w:sz w:val="28"/>
          <w:szCs w:val="28"/>
        </w:rPr>
        <w:t>4.</w:t>
      </w:r>
      <w:r>
        <w:rPr>
          <w:rFonts w:hint="eastAsia" w:asciiTheme="minorEastAsia" w:hAnsiTheme="minorEastAsia" w:cstheme="minorEastAsia"/>
          <w:bCs/>
          <w:color w:val="333333"/>
          <w:sz w:val="28"/>
          <w:szCs w:val="28"/>
        </w:rPr>
        <w:t xml:space="preserve"> 住房保障（类）住房改革支出（款）住房公积金（项）：</w:t>
      </w:r>
      <w:r>
        <w:rPr>
          <w:rStyle w:val="15"/>
          <w:rFonts w:hint="eastAsia" w:ascii="仿宋" w:hAnsi="仿宋" w:eastAsia="仿宋" w:cs="仿宋"/>
          <w:b w:val="0"/>
          <w:bCs w:val="0"/>
          <w:color w:val="000000"/>
          <w:sz w:val="28"/>
          <w:szCs w:val="28"/>
        </w:rPr>
        <w:t>支出决算为13.65万元，完成预算100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，决算数等于预算数。</w:t>
      </w:r>
      <w:bookmarkStart w:id="39" w:name="_Toc15396608"/>
      <w:bookmarkStart w:id="40" w:name="_Toc15377214"/>
    </w:p>
    <w:p>
      <w:pPr>
        <w:tabs>
          <w:tab w:val="right" w:pos="8306"/>
        </w:tabs>
        <w:spacing w:line="600" w:lineRule="exact"/>
        <w:outlineLvl w:val="1"/>
        <w:rPr>
          <w:rStyle w:val="18"/>
          <w:sz w:val="28"/>
          <w:szCs w:val="28"/>
        </w:rPr>
      </w:pPr>
      <w:r>
        <w:rPr>
          <w:rFonts w:hint="eastAsia" w:ascii="黑体" w:eastAsia="黑体" w:cs="黑体"/>
          <w:color w:val="000000"/>
          <w:sz w:val="28"/>
          <w:szCs w:val="28"/>
        </w:rPr>
        <w:t>六</w:t>
      </w:r>
      <w:r>
        <w:rPr>
          <w:rFonts w:hint="eastAsia" w:ascii="黑体" w:eastAsia="黑体" w:cs="黑体"/>
          <w:b/>
          <w:bCs/>
          <w:color w:val="000000"/>
          <w:sz w:val="28"/>
          <w:szCs w:val="28"/>
        </w:rPr>
        <w:t>、</w:t>
      </w:r>
      <w:r>
        <w:rPr>
          <w:rFonts w:hint="eastAsia" w:ascii="黑体" w:hAnsi="黑体" w:eastAsia="黑体" w:cs="黑体"/>
          <w:b/>
          <w:bCs/>
          <w:color w:val="000000"/>
          <w:sz w:val="28"/>
          <w:szCs w:val="28"/>
        </w:rPr>
        <w:t>一</w:t>
      </w:r>
      <w:r>
        <w:rPr>
          <w:rStyle w:val="18"/>
          <w:rFonts w:hint="eastAsia" w:ascii="黑体" w:hAnsi="黑体" w:eastAsia="黑体" w:cs="黑体"/>
          <w:b w:val="0"/>
          <w:bCs w:val="0"/>
          <w:sz w:val="28"/>
          <w:szCs w:val="28"/>
        </w:rPr>
        <w:t>般公共预算财政拨款基本支出决算情况说明</w:t>
      </w:r>
      <w:bookmarkEnd w:id="39"/>
      <w:bookmarkEnd w:id="40"/>
      <w:r>
        <w:rPr>
          <w:rStyle w:val="18"/>
          <w:rFonts w:ascii="黑体" w:hAnsi="黑体" w:eastAsia="黑体" w:cs="Times New Roman"/>
          <w:b w:val="0"/>
          <w:bCs w:val="0"/>
          <w:sz w:val="28"/>
          <w:szCs w:val="28"/>
        </w:rPr>
        <w:tab/>
      </w:r>
    </w:p>
    <w:p>
      <w:pPr>
        <w:spacing w:line="600" w:lineRule="exact"/>
        <w:ind w:firstLine="645"/>
        <w:rPr>
          <w:rFonts w:ascii="仿宋" w:hAnsi="仿宋" w:eastAsia="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22年一般公共预算财政拨款基本支出278.89万元，其中：</w:t>
      </w:r>
    </w:p>
    <w:p>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人员经费248.64万元，主要包括：基本工资88.34万元、津贴补贴8.46万元、绩效工资46.21万元、机关事业单位基本养老保险缴费18.2万元、其他社会保障缴费1.25万元、其他工资福利支出0万元、离休费、退休费、抚恤金、生活补助、职工基本医疗保险医疗费9.1万元、奖励金30.33万元、住房公积金13.65万元、生活补助27.54万元、其他对个人和家庭的补助支出0.4万元。</w:t>
      </w:r>
      <w:r>
        <w:rPr>
          <w:rFonts w:ascii="仿宋" w:hAnsi="仿宋" w:eastAsia="仿宋"/>
          <w:color w:val="000000"/>
          <w:sz w:val="28"/>
          <w:szCs w:val="28"/>
        </w:rPr>
        <w:br w:type="textWrapping"/>
      </w:r>
      <w:r>
        <w:rPr>
          <w:rFonts w:hint="eastAsia" w:ascii="仿宋" w:hAnsi="仿宋" w:eastAsia="仿宋" w:cs="仿宋"/>
          <w:color w:val="000000"/>
          <w:sz w:val="28"/>
          <w:szCs w:val="28"/>
        </w:rPr>
        <w:t>　　日常公用经费22.73万元，主要包括：办公费2.59万元、印刷费0.5万元、水费0.5万元、电费0.5万元、邮电费0万元、物业管理费0万元、差旅费5.4万元、维修（护）费3万元、培训费0.8万元、公务接待费0.38万元、劳务费6.79万元、工会经费0.68万元、福利费0.86万元，专用材料费0万元，其他商品和服务支出0万元。</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sz w:val="28"/>
          <w:szCs w:val="28"/>
        </w:rPr>
        <w:t>图7：</w:t>
      </w:r>
      <w:r>
        <w:rPr>
          <w:rFonts w:hint="eastAsia" w:ascii="仿宋" w:hAnsi="仿宋" w:eastAsia="仿宋"/>
          <w:b/>
          <w:color w:val="000000"/>
          <w:sz w:val="28"/>
          <w:szCs w:val="28"/>
        </w:rPr>
        <w:t>一</w:t>
      </w:r>
      <w:r>
        <w:rPr>
          <w:rStyle w:val="18"/>
          <w:rFonts w:hint="eastAsia" w:ascii="仿宋" w:hAnsi="仿宋" w:eastAsia="仿宋"/>
          <w:b w:val="0"/>
          <w:sz w:val="28"/>
          <w:szCs w:val="28"/>
        </w:rPr>
        <w:t>般公共预算财政拨款基本支出决算结构(</w:t>
      </w:r>
      <w:r>
        <w:rPr>
          <w:rFonts w:hint="eastAsia" w:ascii="仿宋" w:hAnsi="仿宋" w:eastAsia="仿宋"/>
          <w:b/>
          <w:color w:val="000000" w:themeColor="text1"/>
          <w:sz w:val="28"/>
          <w:szCs w:val="28"/>
        </w:rPr>
        <w:t>单位：万元</w:t>
      </w:r>
      <w:r>
        <w:rPr>
          <w:rStyle w:val="18"/>
          <w:rFonts w:hint="eastAsia" w:ascii="仿宋" w:hAnsi="仿宋" w:eastAsia="仿宋"/>
          <w:b w:val="0"/>
          <w:sz w:val="28"/>
          <w:szCs w:val="28"/>
        </w:rPr>
        <w:t>)</w:t>
      </w:r>
      <w:r>
        <w:rPr>
          <w:rFonts w:hint="eastAsia" w:ascii="仿宋" w:hAnsi="仿宋" w:eastAsia="仿宋"/>
          <w:b/>
          <w:color w:val="000000"/>
          <w:sz w:val="28"/>
          <w:szCs w:val="28"/>
        </w:rPr>
        <w:t>：</w:t>
      </w:r>
    </w:p>
    <w:p>
      <w:r>
        <w:drawing>
          <wp:inline distT="0" distB="0" distL="0" distR="0">
            <wp:extent cx="5019675" cy="2362200"/>
            <wp:effectExtent l="19050" t="0" r="9525"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outlineLvl w:val="1"/>
        <w:rPr>
          <w:rStyle w:val="18"/>
          <w:rFonts w:ascii="黑体" w:hAnsi="黑体" w:eastAsia="黑体" w:cs="Times New Roman"/>
          <w:b w:val="0"/>
          <w:bCs w:val="0"/>
          <w:sz w:val="28"/>
          <w:szCs w:val="28"/>
        </w:rPr>
      </w:pPr>
      <w:bookmarkStart w:id="41" w:name="_Toc15377215"/>
      <w:bookmarkStart w:id="42" w:name="_Toc15396609"/>
      <w:r>
        <w:rPr>
          <w:rFonts w:hint="eastAsia" w:ascii="黑体" w:eastAsia="黑体" w:cs="黑体"/>
          <w:color w:val="000000"/>
          <w:sz w:val="28"/>
          <w:szCs w:val="28"/>
        </w:rPr>
        <w:t>七、</w:t>
      </w:r>
      <w:r>
        <w:rPr>
          <w:rStyle w:val="18"/>
          <w:rFonts w:hint="eastAsia" w:ascii="黑体" w:hAnsi="黑体" w:eastAsia="黑体" w:cs="黑体"/>
          <w:sz w:val="28"/>
          <w:szCs w:val="28"/>
        </w:rPr>
        <w:t>“</w:t>
      </w:r>
      <w:r>
        <w:rPr>
          <w:rStyle w:val="18"/>
          <w:rFonts w:hint="eastAsia" w:ascii="黑体" w:hAnsi="黑体" w:eastAsia="黑体" w:cs="黑体"/>
          <w:b w:val="0"/>
          <w:bCs w:val="0"/>
          <w:sz w:val="28"/>
          <w:szCs w:val="28"/>
        </w:rPr>
        <w:t>三公”经费财政拨款支出决算情况说明</w:t>
      </w:r>
      <w:bookmarkEnd w:id="41"/>
      <w:bookmarkEnd w:id="42"/>
    </w:p>
    <w:p>
      <w:pPr>
        <w:spacing w:line="600" w:lineRule="exact"/>
        <w:ind w:firstLine="138" w:firstLineChars="49"/>
        <w:outlineLvl w:val="2"/>
        <w:rPr>
          <w:rFonts w:ascii="仿宋" w:hAnsi="仿宋" w:eastAsia="仿宋"/>
          <w:b/>
          <w:bCs/>
          <w:color w:val="000000"/>
          <w:sz w:val="28"/>
          <w:szCs w:val="28"/>
        </w:rPr>
      </w:pPr>
      <w:bookmarkStart w:id="43" w:name="_Toc15377216"/>
      <w:r>
        <w:rPr>
          <w:rFonts w:hint="eastAsia" w:ascii="仿宋" w:hAnsi="仿宋" w:eastAsia="仿宋" w:cs="仿宋"/>
          <w:b/>
          <w:bCs/>
          <w:color w:val="000000"/>
          <w:sz w:val="28"/>
          <w:szCs w:val="28"/>
        </w:rPr>
        <w:t>（一）“三公”经费财政拨款支出决算总体情况说明</w:t>
      </w:r>
      <w:bookmarkEnd w:id="43"/>
    </w:p>
    <w:p>
      <w:pPr>
        <w:spacing w:line="600" w:lineRule="exact"/>
        <w:ind w:firstLine="640"/>
        <w:rPr>
          <w:rFonts w:ascii="仿宋" w:hAnsi="仿宋" w:eastAsia="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22年“三公”经费财政拨款支出决算为0.38万元，完成预算100</w:t>
      </w:r>
      <w:r>
        <w:rPr>
          <w:rFonts w:ascii="仿宋" w:hAnsi="仿宋" w:eastAsia="仿宋" w:cs="仿宋"/>
          <w:color w:val="000000"/>
          <w:sz w:val="28"/>
          <w:szCs w:val="28"/>
        </w:rPr>
        <w:t>%</w:t>
      </w:r>
      <w:r>
        <w:rPr>
          <w:rFonts w:hint="eastAsia" w:ascii="仿宋" w:hAnsi="仿宋" w:eastAsia="仿宋" w:cs="仿宋"/>
          <w:color w:val="000000"/>
          <w:sz w:val="28"/>
          <w:szCs w:val="28"/>
        </w:rPr>
        <w:t>，决算数与预算数基本持平。</w:t>
      </w:r>
    </w:p>
    <w:p>
      <w:pPr>
        <w:spacing w:line="600" w:lineRule="exact"/>
        <w:ind w:firstLine="138" w:firstLineChars="49"/>
        <w:outlineLvl w:val="2"/>
        <w:rPr>
          <w:rFonts w:ascii="仿宋" w:hAnsi="仿宋" w:eastAsia="仿宋"/>
          <w:b/>
          <w:bCs/>
          <w:color w:val="000000"/>
          <w:sz w:val="28"/>
          <w:szCs w:val="28"/>
        </w:rPr>
      </w:pPr>
      <w:bookmarkStart w:id="44" w:name="_Toc15377217"/>
      <w:r>
        <w:rPr>
          <w:rFonts w:hint="eastAsia" w:ascii="仿宋" w:hAnsi="仿宋" w:eastAsia="仿宋" w:cs="仿宋"/>
          <w:b/>
          <w:bCs/>
          <w:color w:val="000000"/>
          <w:sz w:val="28"/>
          <w:szCs w:val="28"/>
        </w:rPr>
        <w:t>（二）“三公”经费财政拨款支出决算具体情况说明</w:t>
      </w:r>
      <w:bookmarkEnd w:id="44"/>
    </w:p>
    <w:p>
      <w:pPr>
        <w:spacing w:line="600" w:lineRule="exact"/>
        <w:ind w:firstLine="640"/>
        <w:rPr>
          <w:rFonts w:ascii="仿宋" w:hAnsi="仿宋" w:eastAsia="仿宋" w:cs="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22年“三公”经费财政拨款支出决算中，因公出国（境）费支出决算0万元，占0</w:t>
      </w:r>
      <w:r>
        <w:rPr>
          <w:rFonts w:ascii="仿宋" w:hAnsi="仿宋" w:eastAsia="仿宋" w:cs="仿宋"/>
          <w:color w:val="000000"/>
          <w:sz w:val="28"/>
          <w:szCs w:val="28"/>
        </w:rPr>
        <w:t>%</w:t>
      </w:r>
      <w:r>
        <w:rPr>
          <w:rFonts w:hint="eastAsia" w:ascii="仿宋" w:hAnsi="仿宋" w:eastAsia="仿宋" w:cs="仿宋"/>
          <w:color w:val="000000"/>
          <w:sz w:val="28"/>
          <w:szCs w:val="28"/>
        </w:rPr>
        <w:t>；公务用车购置及运行维护费支出决算0万元，占0</w:t>
      </w:r>
      <w:r>
        <w:rPr>
          <w:rFonts w:ascii="仿宋" w:hAnsi="仿宋" w:eastAsia="仿宋" w:cs="仿宋"/>
          <w:color w:val="000000"/>
          <w:sz w:val="28"/>
          <w:szCs w:val="28"/>
        </w:rPr>
        <w:t>%</w:t>
      </w:r>
      <w:r>
        <w:rPr>
          <w:rFonts w:hint="eastAsia" w:ascii="仿宋" w:hAnsi="仿宋" w:eastAsia="仿宋" w:cs="仿宋"/>
          <w:color w:val="000000"/>
          <w:sz w:val="28"/>
          <w:szCs w:val="28"/>
        </w:rPr>
        <w:t>；公务接待费支出决算0.38万元，占100</w:t>
      </w:r>
      <w:r>
        <w:rPr>
          <w:rFonts w:ascii="仿宋" w:hAnsi="仿宋" w:eastAsia="仿宋" w:cs="仿宋"/>
          <w:color w:val="000000"/>
          <w:sz w:val="28"/>
          <w:szCs w:val="28"/>
        </w:rPr>
        <w:t>%</w:t>
      </w:r>
      <w:r>
        <w:rPr>
          <w:rFonts w:hint="eastAsia" w:ascii="仿宋" w:hAnsi="仿宋" w:eastAsia="仿宋" w:cs="仿宋"/>
          <w:color w:val="000000"/>
          <w:sz w:val="28"/>
          <w:szCs w:val="28"/>
        </w:rPr>
        <w:t>。具体情况如下：</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图8：“三公”经费财政拨款支出结构(单位：万元)：</w:t>
      </w:r>
    </w:p>
    <w:p>
      <w:pPr>
        <w:ind w:firstLine="630" w:firstLineChars="300"/>
      </w:pPr>
      <w:r>
        <w:drawing>
          <wp:inline distT="0" distB="0" distL="0" distR="0">
            <wp:extent cx="4457700" cy="1981200"/>
            <wp:effectExtent l="0" t="0" r="0" b="0"/>
            <wp:docPr id="2" name="对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 w:hAnsi="仿宋" w:eastAsia="仿宋"/>
          <w:b/>
          <w:sz w:val="32"/>
          <w:szCs w:val="32"/>
        </w:rPr>
      </w:pPr>
      <w:r>
        <w:rPr>
          <w:rFonts w:ascii="仿宋_GB2312" w:eastAsia="仿宋_GB2312" w:cs="仿宋_GB2312"/>
          <w:b/>
          <w:bCs/>
          <w:color w:val="000000"/>
          <w:sz w:val="28"/>
          <w:szCs w:val="28"/>
        </w:rPr>
        <w:t>1.</w:t>
      </w:r>
      <w:r>
        <w:rPr>
          <w:rFonts w:hint="eastAsia" w:ascii="仿宋_GB2312" w:eastAsia="仿宋_GB2312" w:cs="仿宋_GB2312"/>
          <w:b/>
          <w:bCs/>
          <w:color w:val="000000"/>
          <w:sz w:val="28"/>
          <w:szCs w:val="28"/>
        </w:rPr>
        <w:t>因公出国（境）经费支出</w:t>
      </w:r>
      <w:r>
        <w:rPr>
          <w:rFonts w:hint="eastAsia" w:ascii="仿宋_GB2312" w:eastAsia="仿宋_GB2312" w:cs="仿宋_GB2312"/>
          <w:color w:val="000000"/>
          <w:sz w:val="28"/>
          <w:szCs w:val="28"/>
        </w:rPr>
        <w:t>0万元，</w:t>
      </w:r>
      <w:r>
        <w:rPr>
          <w:rStyle w:val="15"/>
          <w:rFonts w:hint="eastAsia" w:ascii="仿宋" w:hAnsi="仿宋" w:eastAsia="仿宋" w:cs="仿宋"/>
          <w:b w:val="0"/>
          <w:bCs w:val="0"/>
          <w:color w:val="000000"/>
          <w:sz w:val="28"/>
          <w:szCs w:val="28"/>
        </w:rPr>
        <w:t>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w:t>
      </w:r>
      <w:r>
        <w:rPr>
          <w:rFonts w:hint="eastAsia" w:ascii="仿宋" w:hAnsi="仿宋" w:eastAsia="仿宋"/>
          <w:sz w:val="32"/>
          <w:szCs w:val="32"/>
        </w:rPr>
        <w:t>全年安排因公出国（境）团组0次，出国（境）0人。因公出国（境）支出决算</w:t>
      </w:r>
      <w:r>
        <w:rPr>
          <w:rFonts w:hint="eastAsia" w:ascii="仿宋" w:hAnsi="仿宋" w:eastAsia="仿宋"/>
          <w:sz w:val="32"/>
          <w:szCs w:val="32"/>
          <w:lang w:eastAsia="zh-CN"/>
        </w:rPr>
        <w:t>与</w:t>
      </w:r>
      <w:r>
        <w:rPr>
          <w:rFonts w:ascii="仿宋" w:hAnsi="仿宋" w:eastAsia="仿宋"/>
          <w:sz w:val="32"/>
          <w:szCs w:val="32"/>
        </w:rPr>
        <w:t>20</w:t>
      </w:r>
      <w:r>
        <w:rPr>
          <w:rFonts w:hint="eastAsia" w:ascii="仿宋" w:hAnsi="仿宋" w:eastAsia="仿宋"/>
          <w:sz w:val="32"/>
          <w:szCs w:val="32"/>
        </w:rPr>
        <w:t>21年持平，主要原因是无因公出国（境）支出安排。</w:t>
      </w:r>
    </w:p>
    <w:p>
      <w:pPr>
        <w:spacing w:line="600" w:lineRule="exact"/>
        <w:ind w:firstLine="640"/>
        <w:rPr>
          <w:sz w:val="32"/>
          <w:szCs w:val="32"/>
        </w:rPr>
      </w:pPr>
      <w:r>
        <w:rPr>
          <w:rFonts w:ascii="仿宋_GB2312" w:eastAsia="仿宋_GB2312" w:cs="仿宋_GB2312"/>
          <w:b/>
          <w:bCs/>
          <w:color w:val="000000"/>
          <w:sz w:val="28"/>
          <w:szCs w:val="28"/>
        </w:rPr>
        <w:t>2.</w:t>
      </w:r>
      <w:r>
        <w:rPr>
          <w:rFonts w:hint="eastAsia" w:ascii="仿宋_GB2312" w:eastAsia="仿宋_GB2312" w:cs="仿宋_GB2312"/>
          <w:b/>
          <w:bCs/>
          <w:color w:val="000000"/>
          <w:sz w:val="28"/>
          <w:szCs w:val="28"/>
        </w:rPr>
        <w:t>公务用车购置及运行维护费支出</w:t>
      </w:r>
      <w:r>
        <w:rPr>
          <w:rFonts w:hint="eastAsia" w:ascii="仿宋_GB2312" w:eastAsia="仿宋_GB2312" w:cs="仿宋_GB2312"/>
          <w:color w:val="000000"/>
          <w:sz w:val="28"/>
          <w:szCs w:val="28"/>
        </w:rPr>
        <w:t>0万元</w:t>
      </w:r>
      <w:r>
        <w:rPr>
          <w:rFonts w:hint="eastAsia" w:ascii="仿宋_GB2312" w:eastAsia="仿宋_GB2312" w:cs="仿宋_GB2312"/>
          <w:color w:val="000000"/>
          <w:sz w:val="28"/>
          <w:szCs w:val="28"/>
          <w:lang w:eastAsia="zh-CN"/>
        </w:rPr>
        <w:t>，</w:t>
      </w:r>
      <w:r>
        <w:rPr>
          <w:rStyle w:val="15"/>
          <w:rFonts w:hint="eastAsia" w:ascii="仿宋" w:hAnsi="仿宋" w:eastAsia="仿宋" w:cs="仿宋"/>
          <w:b w:val="0"/>
          <w:bCs w:val="0"/>
          <w:color w:val="000000"/>
          <w:sz w:val="28"/>
          <w:szCs w:val="28"/>
        </w:rPr>
        <w:t>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w:t>
      </w:r>
      <w:r>
        <w:rPr>
          <w:rFonts w:hint="eastAsia" w:ascii="仿宋" w:hAnsi="仿宋" w:eastAsia="仿宋"/>
          <w:sz w:val="32"/>
          <w:szCs w:val="32"/>
        </w:rPr>
        <w:t>公务用车购置及运行维护费支出决算</w:t>
      </w:r>
      <w:r>
        <w:rPr>
          <w:rFonts w:hint="eastAsia" w:ascii="仿宋" w:hAnsi="仿宋" w:eastAsia="仿宋"/>
          <w:sz w:val="32"/>
          <w:szCs w:val="32"/>
          <w:lang w:eastAsia="zh-CN"/>
        </w:rPr>
        <w:t>与</w:t>
      </w:r>
      <w:r>
        <w:rPr>
          <w:rFonts w:ascii="仿宋" w:hAnsi="仿宋" w:eastAsia="仿宋"/>
          <w:sz w:val="32"/>
          <w:szCs w:val="32"/>
        </w:rPr>
        <w:t>20</w:t>
      </w:r>
      <w:r>
        <w:rPr>
          <w:rFonts w:hint="eastAsia" w:ascii="仿宋" w:hAnsi="仿宋" w:eastAsia="仿宋"/>
          <w:sz w:val="32"/>
          <w:szCs w:val="32"/>
        </w:rPr>
        <w:t>21年持平，主要原因是无公务用车购置及运行维护费支出安排。</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其中：</w:t>
      </w:r>
      <w:r>
        <w:rPr>
          <w:rFonts w:hint="eastAsia" w:ascii="仿宋" w:hAnsi="仿宋" w:eastAsia="仿宋"/>
          <w:b/>
          <w:sz w:val="32"/>
          <w:szCs w:val="32"/>
        </w:rPr>
        <w:t>公务用车购置支出</w:t>
      </w:r>
      <w:r>
        <w:rPr>
          <w:rFonts w:hint="eastAsia" w:ascii="仿宋" w:hAnsi="仿宋" w:eastAsia="仿宋"/>
          <w:sz w:val="32"/>
          <w:szCs w:val="32"/>
        </w:rPr>
        <w:t>0万元。全年</w:t>
      </w:r>
      <w:r>
        <w:rPr>
          <w:rFonts w:hint="eastAsia" w:ascii="仿宋" w:hAnsi="仿宋" w:eastAsia="仿宋"/>
          <w:sz w:val="32"/>
          <w:szCs w:val="32"/>
          <w:lang w:eastAsia="zh-CN"/>
        </w:rPr>
        <w:t>新</w:t>
      </w:r>
      <w:r>
        <w:rPr>
          <w:rFonts w:hint="eastAsia" w:ascii="仿宋" w:hAnsi="仿宋" w:eastAsia="仿宋"/>
          <w:sz w:val="32"/>
          <w:szCs w:val="32"/>
        </w:rPr>
        <w:t>购置公务用车0辆，其中：轿车0辆、金额0万元，越野车0辆、金额0万元，载客汽车0辆、金额0万元。截至</w:t>
      </w:r>
      <w:r>
        <w:rPr>
          <w:rFonts w:ascii="仿宋" w:hAnsi="仿宋" w:eastAsia="仿宋"/>
          <w:sz w:val="32"/>
          <w:szCs w:val="32"/>
        </w:rPr>
        <w:t>20</w:t>
      </w:r>
      <w:r>
        <w:rPr>
          <w:rFonts w:hint="eastAsia" w:ascii="仿宋" w:hAnsi="仿宋" w:eastAsia="仿宋"/>
          <w:sz w:val="32"/>
          <w:szCs w:val="32"/>
        </w:rPr>
        <w:t>21年</w:t>
      </w:r>
      <w:r>
        <w:rPr>
          <w:rFonts w:ascii="仿宋" w:hAnsi="仿宋" w:eastAsia="仿宋"/>
          <w:sz w:val="32"/>
          <w:szCs w:val="32"/>
        </w:rPr>
        <w:t>12</w:t>
      </w:r>
      <w:r>
        <w:rPr>
          <w:rFonts w:hint="eastAsia" w:ascii="仿宋" w:hAnsi="仿宋" w:eastAsia="仿宋"/>
          <w:sz w:val="32"/>
          <w:szCs w:val="32"/>
        </w:rPr>
        <w:t>月底，单位共有公务用车0辆，其中：轿车0辆、越野车0辆、载客汽车0辆。</w:t>
      </w:r>
    </w:p>
    <w:p>
      <w:pPr>
        <w:spacing w:line="600" w:lineRule="exact"/>
        <w:ind w:firstLine="640"/>
        <w:rPr>
          <w:rFonts w:ascii="仿宋" w:hAnsi="仿宋" w:eastAsia="仿宋"/>
          <w:sz w:val="32"/>
          <w:szCs w:val="32"/>
        </w:rPr>
      </w:pPr>
      <w:r>
        <w:rPr>
          <w:rFonts w:hint="eastAsia" w:ascii="仿宋" w:hAnsi="仿宋" w:eastAsia="仿宋"/>
          <w:b/>
          <w:sz w:val="32"/>
          <w:szCs w:val="32"/>
        </w:rPr>
        <w:t>公务用车运行维护费支出</w:t>
      </w:r>
      <w:r>
        <w:rPr>
          <w:rFonts w:hint="eastAsia" w:ascii="仿宋" w:hAnsi="仿宋" w:eastAsia="仿宋"/>
          <w:sz w:val="32"/>
          <w:szCs w:val="32"/>
        </w:rPr>
        <w:t>0万元。</w:t>
      </w:r>
    </w:p>
    <w:p>
      <w:pPr>
        <w:spacing w:line="600" w:lineRule="exact"/>
        <w:ind w:firstLine="640"/>
        <w:rPr>
          <w:rFonts w:ascii="仿宋_GB2312" w:eastAsia="仿宋_GB2312"/>
          <w:color w:val="000000"/>
          <w:sz w:val="28"/>
          <w:szCs w:val="28"/>
        </w:rPr>
      </w:pPr>
      <w:r>
        <w:rPr>
          <w:rFonts w:ascii="仿宋_GB2312" w:eastAsia="仿宋_GB2312" w:cs="仿宋_GB2312"/>
          <w:b/>
          <w:bCs/>
          <w:color w:val="000000"/>
          <w:sz w:val="28"/>
          <w:szCs w:val="28"/>
        </w:rPr>
        <w:t>3.</w:t>
      </w:r>
      <w:r>
        <w:rPr>
          <w:rFonts w:hint="eastAsia" w:ascii="仿宋_GB2312" w:eastAsia="仿宋_GB2312" w:cs="仿宋_GB2312"/>
          <w:b/>
          <w:bCs/>
          <w:color w:val="000000"/>
          <w:sz w:val="28"/>
          <w:szCs w:val="28"/>
        </w:rPr>
        <w:t>公务接待费支出</w:t>
      </w:r>
      <w:r>
        <w:rPr>
          <w:rFonts w:hint="eastAsia" w:ascii="仿宋_GB2312" w:eastAsia="仿宋_GB2312" w:cs="仿宋_GB2312"/>
          <w:color w:val="000000"/>
          <w:sz w:val="28"/>
          <w:szCs w:val="28"/>
        </w:rPr>
        <w:t>0.38万元，</w:t>
      </w:r>
      <w:r>
        <w:rPr>
          <w:rStyle w:val="15"/>
          <w:rFonts w:hint="eastAsia" w:ascii="仿宋" w:hAnsi="仿宋" w:eastAsia="仿宋" w:cs="仿宋"/>
          <w:b w:val="0"/>
          <w:bCs w:val="0"/>
          <w:color w:val="000000"/>
          <w:sz w:val="28"/>
          <w:szCs w:val="28"/>
        </w:rPr>
        <w:t>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w:t>
      </w:r>
      <w:r>
        <w:rPr>
          <w:rFonts w:hint="eastAsia" w:ascii="仿宋_GB2312" w:eastAsia="仿宋_GB2312" w:cs="仿宋_GB2312"/>
          <w:color w:val="000000"/>
          <w:sz w:val="28"/>
          <w:szCs w:val="28"/>
        </w:rPr>
        <w:t>公务接待费支出决算比2021年减少0.02万元。主要原因是严格执行中央八项规定，严格控制公务接待，接待减少。其中：</w:t>
      </w:r>
    </w:p>
    <w:p>
      <w:pPr>
        <w:widowControl/>
        <w:shd w:val="clear" w:color="auto" w:fill="FFFFFF"/>
        <w:spacing w:line="500" w:lineRule="exact"/>
        <w:ind w:firstLine="562" w:firstLineChars="200"/>
        <w:jc w:val="left"/>
        <w:rPr>
          <w:rFonts w:ascii="仿宋_GB2312" w:eastAsia="仿宋_GB2312" w:cs="仿宋_GB2312"/>
          <w:color w:val="000000"/>
          <w:sz w:val="28"/>
          <w:szCs w:val="28"/>
        </w:rPr>
      </w:pPr>
      <w:r>
        <w:rPr>
          <w:rFonts w:hint="eastAsia" w:ascii="仿宋" w:hAnsi="仿宋" w:eastAsia="仿宋" w:cs="仿宋"/>
          <w:b/>
          <w:bCs/>
          <w:color w:val="000000"/>
          <w:sz w:val="28"/>
          <w:szCs w:val="28"/>
        </w:rPr>
        <w:t>国内公务接待支出</w:t>
      </w:r>
      <w:r>
        <w:rPr>
          <w:rFonts w:hint="eastAsia" w:ascii="仿宋" w:hAnsi="仿宋" w:eastAsia="仿宋" w:cs="仿宋"/>
          <w:color w:val="000000"/>
          <w:sz w:val="28"/>
          <w:szCs w:val="28"/>
        </w:rPr>
        <w:t>0.38</w:t>
      </w:r>
      <w:r>
        <w:rPr>
          <w:rFonts w:hint="eastAsia" w:ascii="仿宋_GB2312" w:eastAsia="仿宋_GB2312" w:cs="仿宋_GB2312"/>
          <w:color w:val="000000"/>
          <w:sz w:val="28"/>
          <w:szCs w:val="28"/>
        </w:rPr>
        <w:t>万元，主要用于</w:t>
      </w:r>
      <w:r>
        <w:rPr>
          <w:rFonts w:hint="eastAsia" w:asciiTheme="minorEastAsia" w:hAnsiTheme="minorEastAsia" w:cstheme="minorEastAsia"/>
          <w:bCs/>
          <w:color w:val="333333"/>
          <w:sz w:val="28"/>
          <w:szCs w:val="28"/>
        </w:rPr>
        <w:t xml:space="preserve">执行公务、考察调研、检查指导等公务活动开支的交通费、住宿费、用餐费等。 </w:t>
      </w:r>
      <w:r>
        <w:rPr>
          <w:rFonts w:hint="eastAsia" w:ascii="仿宋_GB2312" w:eastAsia="仿宋_GB2312" w:cs="仿宋_GB2312"/>
          <w:color w:val="000000"/>
          <w:sz w:val="28"/>
          <w:szCs w:val="28"/>
        </w:rPr>
        <w:t>国内公务接待14批次，113人次（不包括陪同人员），共计支出0.38万元，具体内容包括：兄弟学校校本教研活动支出0.38万元。</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外事接待支出</w:t>
      </w:r>
      <w:r>
        <w:rPr>
          <w:rFonts w:hint="eastAsia" w:ascii="仿宋" w:hAnsi="仿宋" w:eastAsia="仿宋"/>
          <w:sz w:val="32"/>
          <w:szCs w:val="32"/>
        </w:rPr>
        <w:t>0万元，外事接待0批次，0人，共计支出0万元。</w:t>
      </w:r>
    </w:p>
    <w:p>
      <w:pPr>
        <w:spacing w:line="600" w:lineRule="exact"/>
        <w:outlineLvl w:val="1"/>
        <w:rPr>
          <w:rStyle w:val="18"/>
          <w:rFonts w:ascii="黑体" w:hAnsi="黑体" w:eastAsia="黑体" w:cs="Times New Roman"/>
          <w:sz w:val="28"/>
          <w:szCs w:val="28"/>
        </w:rPr>
      </w:pPr>
      <w:bookmarkStart w:id="45" w:name="_Toc15377218"/>
      <w:bookmarkStart w:id="46" w:name="_Toc15396610"/>
      <w:r>
        <w:rPr>
          <w:rFonts w:hint="eastAsia" w:ascii="黑体" w:eastAsia="黑体" w:cs="黑体"/>
          <w:color w:val="000000"/>
          <w:sz w:val="28"/>
          <w:szCs w:val="28"/>
        </w:rPr>
        <w:t>八、</w:t>
      </w:r>
      <w:r>
        <w:rPr>
          <w:rStyle w:val="18"/>
          <w:rFonts w:hint="eastAsia" w:ascii="黑体" w:hAnsi="黑体" w:eastAsia="黑体" w:cs="黑体"/>
          <w:b w:val="0"/>
          <w:bCs w:val="0"/>
          <w:sz w:val="28"/>
          <w:szCs w:val="28"/>
        </w:rPr>
        <w:t>政府性基金预算支出决算情况说明</w:t>
      </w:r>
      <w:bookmarkEnd w:id="45"/>
      <w:bookmarkEnd w:id="46"/>
    </w:p>
    <w:p>
      <w:pPr>
        <w:spacing w:line="600" w:lineRule="exact"/>
        <w:ind w:firstLine="640"/>
        <w:rPr>
          <w:rFonts w:ascii="仿宋_GB2312" w:eastAsia="仿宋_GB2312"/>
          <w:color w:val="000000"/>
          <w:sz w:val="28"/>
          <w:szCs w:val="28"/>
        </w:rPr>
      </w:pPr>
      <w:r>
        <w:rPr>
          <w:rFonts w:ascii="仿宋_GB2312" w:eastAsia="仿宋_GB2312" w:cs="仿宋_GB2312"/>
          <w:color w:val="000000"/>
          <w:sz w:val="28"/>
          <w:szCs w:val="28"/>
        </w:rPr>
        <w:t>20</w:t>
      </w:r>
      <w:r>
        <w:rPr>
          <w:rFonts w:hint="eastAsia" w:ascii="仿宋_GB2312" w:eastAsia="仿宋_GB2312" w:cs="仿宋_GB2312"/>
          <w:color w:val="000000"/>
          <w:sz w:val="28"/>
          <w:szCs w:val="28"/>
        </w:rPr>
        <w:t>22年政府性基金预算拨款支出3.48万元。</w:t>
      </w:r>
    </w:p>
    <w:p>
      <w:pPr>
        <w:spacing w:line="600" w:lineRule="exact"/>
        <w:outlineLvl w:val="1"/>
        <w:rPr>
          <w:rStyle w:val="18"/>
          <w:rFonts w:ascii="黑体" w:hAnsi="黑体" w:eastAsia="黑体" w:cs="Times New Roman"/>
          <w:b w:val="0"/>
          <w:bCs w:val="0"/>
          <w:sz w:val="28"/>
          <w:szCs w:val="28"/>
        </w:rPr>
      </w:pPr>
      <w:bookmarkStart w:id="47" w:name="_Toc15377219"/>
      <w:bookmarkStart w:id="48" w:name="_Toc15396611"/>
      <w:r>
        <w:rPr>
          <w:rStyle w:val="18"/>
          <w:rFonts w:hint="eastAsia" w:ascii="黑体" w:hAnsi="黑体" w:eastAsia="黑体" w:cs="黑体"/>
          <w:b w:val="0"/>
          <w:bCs w:val="0"/>
          <w:sz w:val="28"/>
          <w:szCs w:val="28"/>
        </w:rPr>
        <w:t>九、国有资本经营预算支出决算情况说明</w:t>
      </w:r>
      <w:bookmarkEnd w:id="47"/>
      <w:bookmarkEnd w:id="48"/>
    </w:p>
    <w:p>
      <w:pPr>
        <w:spacing w:line="600" w:lineRule="exact"/>
        <w:ind w:firstLine="640"/>
        <w:rPr>
          <w:rFonts w:ascii="仿宋_GB2312" w:eastAsia="仿宋_GB2312"/>
          <w:color w:val="000000"/>
          <w:sz w:val="28"/>
          <w:szCs w:val="28"/>
        </w:rPr>
      </w:pPr>
      <w:r>
        <w:rPr>
          <w:rFonts w:ascii="仿宋_GB2312" w:eastAsia="仿宋_GB2312" w:cs="仿宋_GB2312"/>
          <w:color w:val="000000"/>
          <w:sz w:val="28"/>
          <w:szCs w:val="28"/>
        </w:rPr>
        <w:t>20</w:t>
      </w:r>
      <w:r>
        <w:rPr>
          <w:rFonts w:hint="eastAsia" w:ascii="仿宋_GB2312" w:eastAsia="仿宋_GB2312" w:cs="仿宋_GB2312"/>
          <w:color w:val="000000"/>
          <w:sz w:val="28"/>
          <w:szCs w:val="28"/>
        </w:rPr>
        <w:t>22年国有资本经营预算拨款支出0万元。</w:t>
      </w:r>
    </w:p>
    <w:p>
      <w:pPr>
        <w:spacing w:line="600" w:lineRule="exact"/>
        <w:outlineLvl w:val="1"/>
        <w:rPr>
          <w:rStyle w:val="18"/>
          <w:rFonts w:ascii="黑体" w:hAnsi="黑体" w:eastAsia="黑体" w:cs="Times New Roman"/>
          <w:sz w:val="28"/>
          <w:szCs w:val="28"/>
        </w:rPr>
      </w:pPr>
      <w:bookmarkStart w:id="49" w:name="_Toc15377221"/>
      <w:bookmarkStart w:id="50" w:name="_Toc15396612"/>
      <w:r>
        <w:rPr>
          <w:rFonts w:hint="eastAsia" w:ascii="黑体" w:hAnsi="黑体" w:eastAsia="黑体" w:cs="黑体"/>
          <w:color w:val="000000"/>
          <w:sz w:val="28"/>
          <w:szCs w:val="28"/>
        </w:rPr>
        <w:t>十</w:t>
      </w:r>
      <w:r>
        <w:rPr>
          <w:rStyle w:val="18"/>
          <w:rFonts w:hint="eastAsia" w:ascii="黑体" w:hAnsi="黑体" w:eastAsia="黑体" w:cs="黑体"/>
          <w:sz w:val="28"/>
          <w:szCs w:val="28"/>
        </w:rPr>
        <w:t>、</w:t>
      </w:r>
      <w:r>
        <w:rPr>
          <w:rStyle w:val="18"/>
          <w:rFonts w:hint="eastAsia" w:ascii="黑体" w:hAnsi="黑体" w:eastAsia="黑体" w:cs="黑体"/>
          <w:b w:val="0"/>
          <w:bCs w:val="0"/>
          <w:sz w:val="28"/>
          <w:szCs w:val="28"/>
        </w:rPr>
        <w:t>其他重要事项的情况说明</w:t>
      </w:r>
      <w:bookmarkEnd w:id="49"/>
      <w:bookmarkEnd w:id="50"/>
    </w:p>
    <w:p>
      <w:pPr>
        <w:spacing w:line="600" w:lineRule="exact"/>
        <w:ind w:firstLine="138" w:firstLineChars="49"/>
        <w:outlineLvl w:val="2"/>
        <w:rPr>
          <w:rFonts w:ascii="仿宋" w:hAnsi="仿宋" w:eastAsia="仿宋"/>
          <w:color w:val="000000"/>
          <w:sz w:val="28"/>
          <w:szCs w:val="28"/>
        </w:rPr>
      </w:pPr>
      <w:bookmarkStart w:id="51" w:name="_Toc15377222"/>
      <w:r>
        <w:rPr>
          <w:rFonts w:hint="eastAsia" w:ascii="仿宋" w:hAnsi="仿宋" w:eastAsia="仿宋" w:cs="仿宋"/>
          <w:b/>
          <w:bCs/>
          <w:color w:val="000000"/>
          <w:sz w:val="28"/>
          <w:szCs w:val="28"/>
        </w:rPr>
        <w:t>（一）机关运行经费支出情况</w:t>
      </w:r>
      <w:bookmarkEnd w:id="51"/>
    </w:p>
    <w:p>
      <w:pPr>
        <w:spacing w:line="600" w:lineRule="exact"/>
        <w:ind w:firstLine="700" w:firstLineChars="250"/>
        <w:rPr>
          <w:rFonts w:ascii="仿宋" w:hAnsi="仿宋" w:eastAsia="仿宋"/>
          <w:b/>
          <w:bCs/>
          <w:color w:val="FF0000"/>
          <w:sz w:val="28"/>
          <w:szCs w:val="28"/>
        </w:rPr>
      </w:pPr>
      <w:r>
        <w:rPr>
          <w:rFonts w:ascii="仿宋_GB2312" w:eastAsia="仿宋_GB2312" w:cs="仿宋_GB2312"/>
          <w:color w:val="000000"/>
          <w:sz w:val="28"/>
          <w:szCs w:val="28"/>
        </w:rPr>
        <w:t>20</w:t>
      </w:r>
      <w:r>
        <w:rPr>
          <w:rFonts w:hint="eastAsia" w:ascii="仿宋_GB2312" w:eastAsia="仿宋_GB2312" w:cs="仿宋_GB2312"/>
          <w:color w:val="000000"/>
          <w:sz w:val="28"/>
          <w:szCs w:val="28"/>
        </w:rPr>
        <w:t>22年，碑垭小学机关运行经费支出0万元。</w:t>
      </w:r>
    </w:p>
    <w:p>
      <w:pPr>
        <w:autoSpaceDE w:val="0"/>
        <w:autoSpaceDN w:val="0"/>
        <w:adjustRightInd w:val="0"/>
        <w:spacing w:line="600" w:lineRule="exact"/>
        <w:ind w:firstLine="138" w:firstLineChars="49"/>
        <w:jc w:val="left"/>
        <w:outlineLvl w:val="2"/>
        <w:rPr>
          <w:rFonts w:ascii="仿宋" w:hAnsi="仿宋" w:eastAsia="仿宋"/>
          <w:b/>
          <w:bCs/>
          <w:color w:val="000000"/>
          <w:sz w:val="28"/>
          <w:szCs w:val="28"/>
        </w:rPr>
      </w:pPr>
      <w:bookmarkStart w:id="52" w:name="_Toc15377223"/>
      <w:r>
        <w:rPr>
          <w:rFonts w:hint="eastAsia" w:ascii="仿宋" w:hAnsi="仿宋" w:eastAsia="仿宋" w:cs="仿宋"/>
          <w:b/>
          <w:bCs/>
          <w:color w:val="000000"/>
          <w:sz w:val="28"/>
          <w:szCs w:val="28"/>
        </w:rPr>
        <w:t>（二）政府采购支出情况</w:t>
      </w:r>
      <w:bookmarkEnd w:id="52"/>
    </w:p>
    <w:p>
      <w:pPr>
        <w:spacing w:line="600" w:lineRule="exact"/>
        <w:ind w:firstLine="700" w:firstLineChars="250"/>
        <w:rPr>
          <w:rFonts w:ascii="仿宋" w:hAnsi="仿宋" w:eastAsia="仿宋"/>
          <w:b/>
          <w:bCs/>
          <w:color w:val="FF0000"/>
          <w:sz w:val="28"/>
          <w:szCs w:val="28"/>
        </w:rPr>
      </w:pPr>
      <w:r>
        <w:rPr>
          <w:rFonts w:ascii="仿宋_GB2312" w:eastAsia="仿宋_GB2312" w:cs="仿宋_GB2312"/>
          <w:color w:val="000000"/>
          <w:sz w:val="28"/>
          <w:szCs w:val="28"/>
        </w:rPr>
        <w:t>20</w:t>
      </w:r>
      <w:r>
        <w:rPr>
          <w:rFonts w:hint="eastAsia" w:ascii="仿宋_GB2312" w:eastAsia="仿宋_GB2312" w:cs="仿宋_GB2312"/>
          <w:color w:val="000000"/>
          <w:sz w:val="28"/>
          <w:szCs w:val="28"/>
        </w:rPr>
        <w:t>22年，碑垭小学政府采购支出总额0万元。</w:t>
      </w:r>
    </w:p>
    <w:p>
      <w:pPr>
        <w:autoSpaceDE w:val="0"/>
        <w:autoSpaceDN w:val="0"/>
        <w:adjustRightInd w:val="0"/>
        <w:spacing w:line="600" w:lineRule="exact"/>
        <w:ind w:firstLine="138" w:firstLineChars="49"/>
        <w:jc w:val="left"/>
        <w:outlineLvl w:val="2"/>
        <w:rPr>
          <w:rFonts w:ascii="仿宋" w:hAnsi="仿宋" w:eastAsia="仿宋"/>
          <w:b/>
          <w:bCs/>
          <w:color w:val="000000"/>
          <w:sz w:val="28"/>
          <w:szCs w:val="28"/>
        </w:rPr>
      </w:pPr>
      <w:bookmarkStart w:id="53" w:name="_Toc15377224"/>
      <w:r>
        <w:rPr>
          <w:rFonts w:hint="eastAsia" w:ascii="仿宋" w:hAnsi="仿宋" w:eastAsia="仿宋" w:cs="仿宋"/>
          <w:b/>
          <w:bCs/>
          <w:color w:val="000000"/>
          <w:sz w:val="28"/>
          <w:szCs w:val="28"/>
        </w:rPr>
        <w:t>（三）国有资产占有使用情况</w:t>
      </w:r>
      <w:bookmarkEnd w:id="53"/>
    </w:p>
    <w:p>
      <w:pPr>
        <w:autoSpaceDE w:val="0"/>
        <w:autoSpaceDN w:val="0"/>
        <w:adjustRightInd w:val="0"/>
        <w:spacing w:line="600" w:lineRule="exact"/>
        <w:ind w:firstLine="700" w:firstLineChars="250"/>
        <w:jc w:val="left"/>
        <w:rPr>
          <w:rFonts w:ascii="仿宋" w:hAnsi="仿宋" w:eastAsia="仿宋"/>
          <w:b/>
          <w:bCs/>
          <w:color w:val="FF0000"/>
          <w:sz w:val="28"/>
          <w:szCs w:val="28"/>
        </w:rPr>
      </w:pPr>
      <w:r>
        <w:rPr>
          <w:rFonts w:hint="eastAsia" w:ascii="仿宋_GB2312" w:eastAsia="仿宋_GB2312" w:cs="仿宋_GB2312"/>
          <w:color w:val="000000"/>
          <w:sz w:val="28"/>
          <w:szCs w:val="28"/>
        </w:rPr>
        <w:t>截至</w:t>
      </w:r>
      <w:r>
        <w:rPr>
          <w:rFonts w:ascii="仿宋_GB2312" w:eastAsia="仿宋_GB2312" w:cs="仿宋_GB2312"/>
          <w:color w:val="000000"/>
          <w:sz w:val="28"/>
          <w:szCs w:val="28"/>
        </w:rPr>
        <w:t>20</w:t>
      </w:r>
      <w:r>
        <w:rPr>
          <w:rFonts w:hint="eastAsia" w:ascii="仿宋_GB2312" w:eastAsia="仿宋_GB2312" w:cs="仿宋_GB2312"/>
          <w:color w:val="000000"/>
          <w:sz w:val="28"/>
          <w:szCs w:val="28"/>
        </w:rPr>
        <w:t>22年</w:t>
      </w:r>
      <w:r>
        <w:rPr>
          <w:rFonts w:ascii="仿宋_GB2312" w:eastAsia="仿宋_GB2312" w:cs="仿宋_GB2312"/>
          <w:color w:val="000000"/>
          <w:sz w:val="28"/>
          <w:szCs w:val="28"/>
        </w:rPr>
        <w:t>12</w:t>
      </w:r>
      <w:r>
        <w:rPr>
          <w:rFonts w:hint="eastAsia" w:ascii="仿宋_GB2312" w:eastAsia="仿宋_GB2312" w:cs="仿宋_GB2312"/>
          <w:color w:val="000000"/>
          <w:sz w:val="28"/>
          <w:szCs w:val="28"/>
        </w:rPr>
        <w:t>月</w:t>
      </w:r>
      <w:r>
        <w:rPr>
          <w:rFonts w:ascii="仿宋_GB2312" w:eastAsia="仿宋_GB2312" w:cs="仿宋_GB2312"/>
          <w:color w:val="000000"/>
          <w:sz w:val="28"/>
          <w:szCs w:val="28"/>
        </w:rPr>
        <w:t>31</w:t>
      </w:r>
      <w:r>
        <w:rPr>
          <w:rFonts w:hint="eastAsia" w:ascii="仿宋_GB2312" w:eastAsia="仿宋_GB2312" w:cs="仿宋_GB2312"/>
          <w:color w:val="000000"/>
          <w:sz w:val="28"/>
          <w:szCs w:val="28"/>
        </w:rPr>
        <w:t>日，碑垭小学无公务车辆。</w:t>
      </w:r>
    </w:p>
    <w:p>
      <w:pPr>
        <w:autoSpaceDE w:val="0"/>
        <w:autoSpaceDN w:val="0"/>
        <w:adjustRightInd w:val="0"/>
        <w:spacing w:line="600" w:lineRule="exact"/>
        <w:ind w:firstLine="138" w:firstLineChars="49"/>
        <w:jc w:val="left"/>
        <w:outlineLvl w:val="2"/>
        <w:rPr>
          <w:rFonts w:ascii="仿宋" w:hAnsi="仿宋" w:eastAsia="仿宋"/>
          <w:b/>
          <w:bCs/>
          <w:color w:val="000000"/>
          <w:sz w:val="28"/>
          <w:szCs w:val="28"/>
        </w:rPr>
      </w:pPr>
      <w:r>
        <w:rPr>
          <w:rFonts w:hint="eastAsia" w:ascii="仿宋" w:hAnsi="仿宋" w:eastAsia="仿宋" w:cs="仿宋"/>
          <w:b/>
          <w:bCs/>
          <w:color w:val="000000"/>
          <w:sz w:val="28"/>
          <w:szCs w:val="28"/>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碑垭小学在2022年度预算编制阶段，组织对碑垭小学学生营养餐等9个项目开展了预算绩效目标编制，预算执行过程中，对学生营养餐等9个项目开展绩效监控，开展了绩效自评。同时，碑垭小学对2022年部门整体支出开展绩效自评，《2022年碑垭小学单位整体支出绩效评价报告》及《2022年碑垭小学预算项目支出绩效自评表》见附件（第四部分）。</w:t>
      </w:r>
    </w:p>
    <w:p>
      <w:pPr>
        <w:widowControl/>
        <w:jc w:val="left"/>
        <w:rPr>
          <w:rFonts w:ascii="仿宋_GB2312" w:eastAsia="仿宋_GB2312"/>
          <w:b/>
          <w:bCs/>
          <w:color w:val="000000"/>
          <w:sz w:val="28"/>
          <w:szCs w:val="28"/>
        </w:rPr>
      </w:pPr>
    </w:p>
    <w:p>
      <w:pPr>
        <w:widowControl/>
        <w:jc w:val="center"/>
        <w:rPr>
          <w:rFonts w:ascii="黑体" w:hAnsi="黑体" w:eastAsia="黑体" w:cs="黑体"/>
          <w:bCs/>
          <w:kern w:val="44"/>
          <w:sz w:val="36"/>
          <w:szCs w:val="36"/>
        </w:rPr>
      </w:pPr>
      <w:bookmarkStart w:id="54" w:name="_Toc15377225"/>
      <w:bookmarkStart w:id="55" w:name="_Toc15396613"/>
      <w:r>
        <w:rPr>
          <w:rStyle w:val="17"/>
          <w:rFonts w:hint="eastAsia" w:ascii="黑体" w:hAnsi="黑体" w:eastAsia="黑体" w:cs="黑体"/>
          <w:b w:val="0"/>
          <w:sz w:val="36"/>
          <w:szCs w:val="36"/>
        </w:rPr>
        <w:t>第三部分</w:t>
      </w:r>
      <w:r>
        <w:rPr>
          <w:rStyle w:val="17"/>
          <w:rFonts w:hint="eastAsia" w:ascii="黑体" w:hAnsi="黑体" w:cs="黑体"/>
          <w:sz w:val="36"/>
          <w:szCs w:val="36"/>
        </w:rPr>
        <w:t xml:space="preserve"> 名</w:t>
      </w:r>
      <w:r>
        <w:rPr>
          <w:rStyle w:val="17"/>
          <w:rFonts w:hint="eastAsia" w:ascii="黑体" w:hAnsi="黑体" w:eastAsia="黑体" w:cs="黑体"/>
          <w:b w:val="0"/>
          <w:sz w:val="36"/>
          <w:szCs w:val="36"/>
        </w:rPr>
        <w:t>词解释</w:t>
      </w:r>
      <w:bookmarkEnd w:id="54"/>
      <w:bookmarkEnd w:id="55"/>
    </w:p>
    <w:p>
      <w:pPr>
        <w:pStyle w:val="27"/>
        <w:spacing w:line="560" w:lineRule="exact"/>
        <w:ind w:firstLine="560" w:firstLineChars="200"/>
        <w:rPr>
          <w:rFonts w:ascii="仿宋_GB2312" w:eastAsia="仿宋_GB2312"/>
          <w:sz w:val="28"/>
          <w:szCs w:val="28"/>
        </w:rPr>
      </w:pPr>
      <w:bookmarkStart w:id="56" w:name="_Toc15377226"/>
      <w:r>
        <w:rPr>
          <w:rFonts w:hint="eastAsia" w:ascii="仿宋_GB2312" w:eastAsia="仿宋_GB2312"/>
          <w:sz w:val="28"/>
          <w:szCs w:val="28"/>
        </w:rPr>
        <w:t>1.</w:t>
      </w:r>
      <w:r>
        <w:rPr>
          <w:rFonts w:hint="eastAsia" w:ascii="仿宋_GB2312" w:eastAsia="仿宋_GB2312"/>
          <w:b/>
          <w:sz w:val="28"/>
          <w:szCs w:val="28"/>
        </w:rPr>
        <w:t>财政拨款收入</w:t>
      </w:r>
      <w:r>
        <w:rPr>
          <w:rFonts w:hint="eastAsia" w:ascii="仿宋_GB2312" w:eastAsia="仿宋_GB2312"/>
          <w:sz w:val="28"/>
          <w:szCs w:val="28"/>
        </w:rPr>
        <w:t>：指单位从同级财政部门取得的财政预算</w:t>
      </w:r>
      <w:r>
        <w:rPr>
          <w:rFonts w:hint="eastAsia" w:ascii="仿宋_GB2312" w:eastAsia="仿宋_GB2312"/>
          <w:sz w:val="28"/>
          <w:szCs w:val="28"/>
          <w:lang w:eastAsia="zh-CN"/>
        </w:rPr>
        <w:t>资金。</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b/>
          <w:color w:val="000000"/>
          <w:sz w:val="28"/>
          <w:szCs w:val="28"/>
        </w:rPr>
        <w:t>基本支出：</w:t>
      </w:r>
      <w:r>
        <w:rPr>
          <w:rFonts w:hint="eastAsia" w:ascii="仿宋_GB2312" w:eastAsia="仿宋_GB2312"/>
          <w:color w:val="000000"/>
          <w:sz w:val="28"/>
          <w:szCs w:val="28"/>
        </w:rPr>
        <w:t>指为保障机构正常运转、完成日常工作任务而发生的人员支出和公用支出。</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3.</w:t>
      </w:r>
      <w:r>
        <w:rPr>
          <w:rFonts w:hint="eastAsia" w:ascii="仿宋_GB2312" w:eastAsia="仿宋_GB2312"/>
          <w:b/>
          <w:color w:val="000000"/>
          <w:sz w:val="28"/>
          <w:szCs w:val="28"/>
        </w:rPr>
        <w:t>项目支出：</w:t>
      </w:r>
      <w:r>
        <w:rPr>
          <w:rFonts w:hint="eastAsia" w:ascii="仿宋_GB2312" w:eastAsia="仿宋_GB2312"/>
          <w:color w:val="000000"/>
          <w:sz w:val="28"/>
          <w:szCs w:val="28"/>
        </w:rPr>
        <w:t xml:space="preserve">指在基本支出之外为完成特定行政任务和事业发展目标所发生的支出。 </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rPr>
        <w:t>4.</w:t>
      </w:r>
      <w:r>
        <w:rPr>
          <w:rFonts w:hint="eastAsia" w:asciiTheme="minorEastAsia" w:hAnsiTheme="minorEastAsia" w:cstheme="minorEastAsia"/>
          <w:bCs/>
          <w:color w:val="333333"/>
          <w:sz w:val="28"/>
          <w:szCs w:val="28"/>
        </w:rPr>
        <w:t xml:space="preserve"> </w:t>
      </w:r>
      <w:r>
        <w:rPr>
          <w:rFonts w:hint="eastAsia" w:asciiTheme="minorEastAsia" w:hAnsiTheme="minorEastAsia" w:cstheme="minorEastAsia"/>
          <w:b/>
          <w:bCs/>
          <w:color w:val="333333"/>
          <w:sz w:val="28"/>
          <w:szCs w:val="28"/>
        </w:rPr>
        <w:t>教育支出（类）普通教育（款）学前教育（项）</w:t>
      </w:r>
      <w:r>
        <w:rPr>
          <w:rFonts w:hint="eastAsia" w:ascii="仿宋_GB2312" w:eastAsia="仿宋_GB2312"/>
          <w:b/>
          <w:sz w:val="28"/>
          <w:szCs w:val="28"/>
        </w:rPr>
        <w:t>（2050201）</w:t>
      </w:r>
      <w:r>
        <w:rPr>
          <w:rFonts w:hint="eastAsia" w:ascii="仿宋_GB2312" w:eastAsia="仿宋_GB2312"/>
          <w:sz w:val="28"/>
          <w:szCs w:val="28"/>
        </w:rPr>
        <w:t>：反映本单位学前教育支出。</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rPr>
        <w:t>5.</w:t>
      </w:r>
      <w:r>
        <w:rPr>
          <w:rFonts w:hint="eastAsia" w:asciiTheme="minorEastAsia" w:hAnsiTheme="minorEastAsia" w:cstheme="minorEastAsia"/>
          <w:bCs/>
          <w:color w:val="333333"/>
          <w:sz w:val="28"/>
          <w:szCs w:val="28"/>
        </w:rPr>
        <w:t xml:space="preserve"> </w:t>
      </w:r>
      <w:r>
        <w:rPr>
          <w:rFonts w:hint="eastAsia" w:asciiTheme="minorEastAsia" w:hAnsiTheme="minorEastAsia" w:cstheme="minorEastAsia"/>
          <w:b/>
          <w:bCs/>
          <w:color w:val="333333"/>
          <w:sz w:val="28"/>
          <w:szCs w:val="28"/>
        </w:rPr>
        <w:t>教育支出（类）普通教育（款）小学教育（项）</w:t>
      </w:r>
      <w:r>
        <w:rPr>
          <w:rFonts w:hint="eastAsia" w:ascii="仿宋_GB2312" w:eastAsia="仿宋_GB2312"/>
          <w:b/>
          <w:sz w:val="28"/>
          <w:szCs w:val="28"/>
        </w:rPr>
        <w:t>（2050202）：</w:t>
      </w:r>
      <w:r>
        <w:rPr>
          <w:rFonts w:hint="eastAsia" w:ascii="仿宋_GB2312" w:eastAsia="仿宋_GB2312"/>
          <w:sz w:val="28"/>
          <w:szCs w:val="28"/>
        </w:rPr>
        <w:t>反映本单位小学教育支出。</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rPr>
        <w:t>6.</w:t>
      </w:r>
      <w:r>
        <w:rPr>
          <w:rFonts w:hint="eastAsia" w:asciiTheme="minorEastAsia" w:hAnsiTheme="minorEastAsia" w:cstheme="minorEastAsia"/>
          <w:b/>
          <w:bCs/>
          <w:color w:val="333333"/>
          <w:sz w:val="28"/>
          <w:szCs w:val="28"/>
        </w:rPr>
        <w:t xml:space="preserve"> 住房保障（类）住房改革支出（款）住房公积金（项）（</w:t>
      </w:r>
      <w:r>
        <w:rPr>
          <w:rFonts w:hint="eastAsia" w:ascii="仿宋_GB2312" w:eastAsia="仿宋_GB2312"/>
          <w:b/>
          <w:sz w:val="28"/>
          <w:szCs w:val="28"/>
        </w:rPr>
        <w:t>2210201</w:t>
      </w:r>
      <w:r>
        <w:rPr>
          <w:rFonts w:hint="eastAsia" w:asciiTheme="minorEastAsia" w:hAnsiTheme="minorEastAsia" w:cstheme="minorEastAsia"/>
          <w:b/>
          <w:bCs/>
          <w:color w:val="333333"/>
          <w:sz w:val="28"/>
          <w:szCs w:val="28"/>
        </w:rPr>
        <w:t>）</w:t>
      </w:r>
      <w:r>
        <w:rPr>
          <w:rFonts w:hint="eastAsia" w:ascii="仿宋_GB2312" w:eastAsia="仿宋_GB2312"/>
          <w:b/>
          <w:sz w:val="28"/>
          <w:szCs w:val="28"/>
        </w:rPr>
        <w:t>：</w:t>
      </w:r>
      <w:r>
        <w:rPr>
          <w:rFonts w:hint="eastAsia" w:ascii="仿宋_GB2312" w:eastAsia="仿宋_GB2312"/>
          <w:sz w:val="28"/>
          <w:szCs w:val="28"/>
        </w:rPr>
        <w:t>住房公积金反映本单位按人力资源和社会保障部、财政部规定的基本工资和津贴补贴以及规定比例为职工缴纳的住房公积金。</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rPr>
        <w:t>7.</w:t>
      </w:r>
      <w:r>
        <w:rPr>
          <w:rFonts w:hint="eastAsia" w:asciiTheme="minorEastAsia" w:hAnsiTheme="minorEastAsia" w:cstheme="minorEastAsia"/>
          <w:b/>
          <w:bCs/>
          <w:color w:val="333333"/>
          <w:sz w:val="28"/>
          <w:szCs w:val="28"/>
        </w:rPr>
        <w:t xml:space="preserve"> 社会保障和就业（类）行政事业单位离退休（款）机关事业单位基本养老保险缴费支出（项）（</w:t>
      </w:r>
      <w:r>
        <w:rPr>
          <w:rFonts w:hint="eastAsia" w:ascii="仿宋_GB2312" w:eastAsia="仿宋_GB2312"/>
          <w:b/>
          <w:sz w:val="28"/>
          <w:szCs w:val="28"/>
        </w:rPr>
        <w:t>2080505）：</w:t>
      </w:r>
      <w:r>
        <w:rPr>
          <w:rFonts w:hint="eastAsia" w:ascii="仿宋_GB2312" w:eastAsia="仿宋_GB2312"/>
          <w:sz w:val="28"/>
          <w:szCs w:val="28"/>
        </w:rPr>
        <w:t>机关事业单位基本养老保险缴费支出指机关事业单位实施养老保险制度由单位缴纳的基本养老保险费的支出。</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rPr>
        <w:t>8.</w:t>
      </w:r>
      <w:r>
        <w:rPr>
          <w:rFonts w:hint="eastAsia" w:asciiTheme="minorEastAsia" w:hAnsiTheme="minorEastAsia" w:cstheme="minorEastAsia"/>
          <w:bCs/>
          <w:color w:val="333333"/>
          <w:sz w:val="28"/>
          <w:szCs w:val="28"/>
        </w:rPr>
        <w:t xml:space="preserve"> </w:t>
      </w:r>
      <w:r>
        <w:rPr>
          <w:rFonts w:hint="eastAsia" w:asciiTheme="minorEastAsia" w:hAnsiTheme="minorEastAsia" w:cstheme="minorEastAsia"/>
          <w:b/>
          <w:bCs/>
          <w:color w:val="333333"/>
          <w:sz w:val="28"/>
          <w:szCs w:val="28"/>
        </w:rPr>
        <w:t>卫生健康（类）行政事业单位医疗（款）行政单位医疗（项）（</w:t>
      </w:r>
      <w:r>
        <w:rPr>
          <w:rFonts w:hint="eastAsia" w:ascii="仿宋_GB2312" w:eastAsia="仿宋_GB2312"/>
          <w:b/>
          <w:sz w:val="28"/>
          <w:szCs w:val="28"/>
        </w:rPr>
        <w:t>2101102）：</w:t>
      </w:r>
      <w:r>
        <w:rPr>
          <w:rFonts w:hint="eastAsia" w:ascii="仿宋_GB2312" w:eastAsia="仿宋_GB2312"/>
          <w:sz w:val="28"/>
          <w:szCs w:val="28"/>
        </w:rPr>
        <w:t>行政单位医疗指财政部门集中安排的行政单位基本医疗保险缴费经费，未参加医疗保险的行政单位的公费医疗经费，按国家规定享受离休人员、红军老战士待遇人员的医疗经费。</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rPr>
        <w:t>9</w:t>
      </w:r>
      <w:r>
        <w:rPr>
          <w:rFonts w:ascii="仿宋_GB2312" w:eastAsia="仿宋_GB2312"/>
          <w:sz w:val="28"/>
          <w:szCs w:val="28"/>
        </w:rPr>
        <w:t>.</w:t>
      </w:r>
      <w:r>
        <w:rPr>
          <w:rFonts w:hint="eastAsia" w:ascii="仿宋_GB2312" w:eastAsia="仿宋_GB2312"/>
          <w:b/>
          <w:sz w:val="28"/>
          <w:szCs w:val="28"/>
        </w:rPr>
        <w:t>“三公”经费：</w:t>
      </w:r>
      <w:r>
        <w:rPr>
          <w:rFonts w:hint="eastAsia" w:ascii="仿宋_GB2312" w:eastAsia="仿宋_GB2312"/>
          <w:sz w:val="28"/>
          <w:szCs w:val="28"/>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560" w:firstLineChars="200"/>
        <w:rPr>
          <w:rFonts w:ascii="仿宋_GB2312" w:eastAsia="仿宋_GB2312"/>
          <w:sz w:val="28"/>
          <w:szCs w:val="28"/>
        </w:rPr>
      </w:pPr>
    </w:p>
    <w:p>
      <w:pPr>
        <w:spacing w:line="600" w:lineRule="exact"/>
        <w:jc w:val="center"/>
        <w:outlineLvl w:val="0"/>
        <w:rPr>
          <w:rStyle w:val="17"/>
          <w:rFonts w:ascii="黑体" w:hAnsi="黑体" w:eastAsia="黑体"/>
          <w:b w:val="0"/>
        </w:rPr>
      </w:pPr>
      <w:bookmarkStart w:id="57" w:name="_Toc15396614"/>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57"/>
    </w:p>
    <w:p>
      <w:pPr>
        <w:spacing w:line="600" w:lineRule="exact"/>
        <w:outlineLvl w:val="0"/>
        <w:rPr>
          <w:rFonts w:ascii="仿宋_GB2312" w:hAnsi="Calibri" w:eastAsia="仿宋_GB2312" w:cs="仿宋"/>
          <w:bCs/>
          <w:color w:val="000000"/>
          <w:kern w:val="0"/>
          <w:sz w:val="28"/>
          <w:szCs w:val="28"/>
        </w:rPr>
      </w:pPr>
      <w:r>
        <w:rPr>
          <w:rFonts w:hint="eastAsia" w:ascii="仿宋_GB2312" w:hAnsi="Calibri" w:eastAsia="仿宋_GB2312" w:cs="仿宋"/>
          <w:bCs/>
          <w:color w:val="000000"/>
          <w:kern w:val="0"/>
          <w:sz w:val="28"/>
          <w:szCs w:val="28"/>
        </w:rPr>
        <w:t>附件1:</w:t>
      </w:r>
    </w:p>
    <w:p>
      <w:pPr>
        <w:widowControl/>
        <w:spacing w:line="560" w:lineRule="exact"/>
        <w:ind w:firstLine="1988" w:firstLineChars="450"/>
        <w:contextualSpacing/>
        <w:rPr>
          <w:rFonts w:ascii="宋体" w:hAnsi="宋体"/>
          <w:b/>
          <w:sz w:val="44"/>
          <w:szCs w:val="44"/>
          <w:shd w:val="clear" w:color="auto" w:fill="FFFFFF"/>
        </w:rPr>
      </w:pPr>
      <w:bookmarkStart w:id="58" w:name="bookmark4"/>
      <w:r>
        <w:rPr>
          <w:rFonts w:hint="eastAsia" w:ascii="宋体" w:hAnsi="宋体"/>
          <w:b/>
          <w:sz w:val="44"/>
          <w:szCs w:val="44"/>
          <w:shd w:val="clear" w:color="auto" w:fill="FFFFFF"/>
        </w:rPr>
        <w:t>剑阁县碑垭小学校</w:t>
      </w:r>
    </w:p>
    <w:p>
      <w:pPr>
        <w:widowControl/>
        <w:spacing w:line="560" w:lineRule="exact"/>
        <w:contextualSpacing/>
        <w:jc w:val="center"/>
        <w:rPr>
          <w:rFonts w:ascii="宋体" w:hAnsi="宋体"/>
          <w:b/>
          <w:sz w:val="44"/>
          <w:szCs w:val="44"/>
          <w:shd w:val="clear" w:color="auto" w:fill="FFFFFF"/>
        </w:rPr>
      </w:pPr>
      <w:r>
        <w:rPr>
          <w:rFonts w:hint="eastAsia" w:ascii="宋体" w:hAnsi="宋体"/>
          <w:b/>
          <w:sz w:val="44"/>
          <w:szCs w:val="44"/>
          <w:shd w:val="clear" w:color="auto" w:fill="FFFFFF"/>
        </w:rPr>
        <w:t>2022年部门整体支出绩效评价报告</w:t>
      </w:r>
    </w:p>
    <w:p>
      <w:pPr>
        <w:spacing w:line="360" w:lineRule="auto"/>
        <w:ind w:firstLine="640" w:firstLineChars="200"/>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为深入贯彻落实省委、省政府关于全面实施预算绩效管理的决策部署，根据《四川省省级财政预算管理办法》(省政府令第356号)、《中共四川省委办公厅四川省人民政府办公厅关于深入实施预算绩效管理的通知》(川委厅〔2022〕5号)相关工作要求。按照“谁支出、谁自评”的原则和绩效目标自评全覆盖的要求，县财政局组织各预算单位开展2022年度财政支出绩效自评工作，着力提升绩效自评质量，进一步提升绩效工作水平结合实际，碑垭小学成立了绩效评价工作小组，评价小组采取座谈等方式听取情况，检查基本支出，项目支出有关账目，收集整理支出相关资料，进行分析，总结。现将我单位整体支出绩效自评结果报告如下：</w:t>
      </w:r>
    </w:p>
    <w:p>
      <w:pPr>
        <w:spacing w:line="360" w:lineRule="auto"/>
        <w:ind w:firstLine="643" w:firstLineChars="200"/>
        <w:jc w:val="left"/>
        <w:rPr>
          <w:rFonts w:asciiTheme="minorEastAsia" w:hAnsiTheme="minorEastAsia"/>
          <w:b/>
          <w:color w:val="000000"/>
          <w:sz w:val="32"/>
          <w:szCs w:val="32"/>
          <w:lang w:val="zh-CN" w:bidi="zh-CN"/>
        </w:rPr>
      </w:pPr>
      <w:r>
        <w:rPr>
          <w:rFonts w:hint="eastAsia" w:asciiTheme="minorEastAsia" w:hAnsiTheme="minorEastAsia"/>
          <w:b/>
          <w:color w:val="000000"/>
          <w:sz w:val="32"/>
          <w:szCs w:val="32"/>
          <w:lang w:val="zh-CN" w:bidi="zh-CN"/>
        </w:rPr>
        <w:t>一、</w:t>
      </w:r>
      <w:r>
        <w:rPr>
          <w:rFonts w:asciiTheme="minorEastAsia" w:hAnsiTheme="minorEastAsia"/>
          <w:b/>
          <w:color w:val="000000"/>
          <w:sz w:val="32"/>
          <w:szCs w:val="32"/>
          <w:lang w:val="zh-CN" w:bidi="zh-CN"/>
        </w:rPr>
        <w:t>部门</w:t>
      </w:r>
      <w:r>
        <w:rPr>
          <w:rFonts w:hint="eastAsia" w:asciiTheme="minorEastAsia" w:hAnsiTheme="minorEastAsia"/>
          <w:b/>
          <w:color w:val="000000"/>
          <w:sz w:val="32"/>
          <w:szCs w:val="32"/>
          <w:lang w:val="zh-CN" w:bidi="zh-CN"/>
        </w:rPr>
        <w:t>基本情况</w:t>
      </w:r>
    </w:p>
    <w:p>
      <w:pPr>
        <w:spacing w:line="360" w:lineRule="auto"/>
        <w:ind w:firstLine="643" w:firstLineChars="200"/>
        <w:jc w:val="left"/>
        <w:rPr>
          <w:rFonts w:asciiTheme="minorEastAsia" w:hAnsiTheme="minorEastAsia"/>
          <w:b/>
          <w:color w:val="000000"/>
          <w:sz w:val="32"/>
          <w:szCs w:val="32"/>
          <w:lang w:val="zh-CN" w:bidi="zh-CN"/>
        </w:rPr>
      </w:pPr>
      <w:r>
        <w:rPr>
          <w:rFonts w:hint="eastAsia" w:asciiTheme="minorEastAsia" w:hAnsiTheme="minorEastAsia"/>
          <w:b/>
          <w:color w:val="000000"/>
          <w:sz w:val="32"/>
          <w:szCs w:val="32"/>
          <w:lang w:val="zh-CN" w:bidi="zh-CN"/>
        </w:rPr>
        <w:t>（一）</w:t>
      </w:r>
      <w:r>
        <w:rPr>
          <w:rFonts w:asciiTheme="minorEastAsia" w:hAnsiTheme="minorEastAsia"/>
          <w:b/>
          <w:color w:val="000000"/>
          <w:sz w:val="32"/>
          <w:szCs w:val="32"/>
          <w:lang w:val="zh-CN" w:bidi="zh-CN"/>
        </w:rPr>
        <w:t>机构组成。</w:t>
      </w:r>
    </w:p>
    <w:p>
      <w:pPr>
        <w:ind w:firstLine="640" w:firstLineChars="200"/>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碑垭小学</w:t>
      </w:r>
      <w:r>
        <w:rPr>
          <w:rFonts w:asciiTheme="minorEastAsia" w:hAnsiTheme="minorEastAsia"/>
          <w:color w:val="000000"/>
          <w:sz w:val="32"/>
          <w:szCs w:val="32"/>
          <w:lang w:val="zh-CN" w:bidi="zh-CN"/>
        </w:rPr>
        <w:t>纳入预算编报范围的机构个数1个</w:t>
      </w:r>
      <w:r>
        <w:rPr>
          <w:rFonts w:hint="eastAsia" w:asciiTheme="minorEastAsia" w:hAnsiTheme="minorEastAsia"/>
          <w:color w:val="000000"/>
          <w:sz w:val="32"/>
          <w:szCs w:val="32"/>
          <w:lang w:val="zh-CN" w:bidi="zh-CN"/>
        </w:rPr>
        <w:t>，下属二级预算单位0个，其中行政单位0个，参照公务员法管理的事业单位0个，全额事业单位0个，差额事业单位0个。</w:t>
      </w:r>
      <w:r>
        <w:rPr>
          <w:rFonts w:asciiTheme="minorEastAsia" w:hAnsiTheme="minorEastAsia"/>
          <w:color w:val="000000"/>
          <w:sz w:val="32"/>
          <w:szCs w:val="32"/>
          <w:lang w:val="zh-CN" w:bidi="zh-CN"/>
        </w:rPr>
        <w:t>单位内设机构</w:t>
      </w:r>
      <w:r>
        <w:rPr>
          <w:rFonts w:hint="eastAsia" w:asciiTheme="minorEastAsia" w:hAnsiTheme="minorEastAsia"/>
          <w:color w:val="000000"/>
          <w:sz w:val="32"/>
          <w:szCs w:val="32"/>
          <w:lang w:val="zh-CN" w:bidi="zh-CN"/>
        </w:rPr>
        <w:t>3</w:t>
      </w:r>
      <w:r>
        <w:rPr>
          <w:rFonts w:asciiTheme="minorEastAsia" w:hAnsiTheme="minorEastAsia"/>
          <w:color w:val="000000"/>
          <w:sz w:val="32"/>
          <w:szCs w:val="32"/>
          <w:lang w:val="zh-CN" w:bidi="zh-CN"/>
        </w:rPr>
        <w:t>个，分别为：教</w:t>
      </w:r>
      <w:r>
        <w:rPr>
          <w:rFonts w:hint="eastAsia" w:asciiTheme="minorEastAsia" w:hAnsiTheme="minorEastAsia"/>
          <w:color w:val="000000"/>
          <w:sz w:val="32"/>
          <w:szCs w:val="32"/>
          <w:lang w:val="zh-CN" w:bidi="zh-CN"/>
        </w:rPr>
        <w:t>务</w:t>
      </w:r>
      <w:r>
        <w:rPr>
          <w:rFonts w:asciiTheme="minorEastAsia" w:hAnsiTheme="minorEastAsia"/>
          <w:color w:val="000000"/>
          <w:sz w:val="32"/>
          <w:szCs w:val="32"/>
          <w:lang w:val="zh-CN" w:bidi="zh-CN"/>
        </w:rPr>
        <w:t>处、政教处、总务处。</w:t>
      </w:r>
    </w:p>
    <w:p>
      <w:pPr>
        <w:spacing w:line="360" w:lineRule="auto"/>
        <w:ind w:firstLine="643" w:firstLineChars="200"/>
        <w:jc w:val="left"/>
        <w:rPr>
          <w:rFonts w:asciiTheme="minorEastAsia" w:hAnsiTheme="minorEastAsia"/>
          <w:b/>
          <w:color w:val="000000"/>
          <w:sz w:val="32"/>
          <w:szCs w:val="32"/>
          <w:lang w:val="zh-CN" w:bidi="zh-CN"/>
        </w:rPr>
      </w:pPr>
      <w:r>
        <w:rPr>
          <w:rFonts w:hint="eastAsia" w:asciiTheme="minorEastAsia" w:hAnsiTheme="minorEastAsia"/>
          <w:b/>
          <w:color w:val="000000"/>
          <w:sz w:val="32"/>
          <w:szCs w:val="32"/>
          <w:lang w:val="zh-CN" w:bidi="zh-CN"/>
        </w:rPr>
        <w:t>（二）</w:t>
      </w:r>
      <w:r>
        <w:rPr>
          <w:rFonts w:asciiTheme="minorEastAsia" w:hAnsiTheme="minorEastAsia"/>
          <w:b/>
          <w:color w:val="000000"/>
          <w:sz w:val="32"/>
          <w:szCs w:val="32"/>
          <w:lang w:val="zh-CN" w:bidi="zh-CN"/>
        </w:rPr>
        <w:t>机构职能。</w:t>
      </w:r>
    </w:p>
    <w:p>
      <w:pPr>
        <w:spacing w:line="360" w:lineRule="auto"/>
        <w:ind w:firstLine="640" w:firstLineChars="200"/>
        <w:jc w:val="left"/>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1.</w:t>
      </w:r>
      <w:r>
        <w:rPr>
          <w:rFonts w:hint="eastAsia" w:asciiTheme="minorEastAsia" w:hAnsiTheme="minorEastAsia"/>
          <w:color w:val="000000"/>
          <w:sz w:val="32"/>
          <w:szCs w:val="32"/>
          <w:lang w:val="zh-CN" w:bidi="zh-CN"/>
        </w:rPr>
        <w:t>配合教育局制定符合党的教育方针和国家教育法律法规的农村完全中学教育发展规划并抓好组织实施和落实工作。</w:t>
      </w:r>
    </w:p>
    <w:p>
      <w:pPr>
        <w:spacing w:line="360" w:lineRule="auto"/>
        <w:ind w:firstLine="640" w:firstLineChars="200"/>
        <w:jc w:val="left"/>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2.</w:t>
      </w:r>
      <w:r>
        <w:rPr>
          <w:rFonts w:hint="eastAsia" w:asciiTheme="minorEastAsia" w:hAnsiTheme="minorEastAsia"/>
          <w:color w:val="000000"/>
          <w:sz w:val="32"/>
          <w:szCs w:val="32"/>
          <w:lang w:val="zh-CN" w:bidi="zh-CN"/>
        </w:rPr>
        <w:t>贯彻、执行教育法律法规和政策规定，坚持依法治教、依法治学。</w:t>
      </w:r>
    </w:p>
    <w:p>
      <w:pPr>
        <w:spacing w:line="360" w:lineRule="auto"/>
        <w:ind w:firstLine="640" w:firstLineChars="200"/>
        <w:jc w:val="left"/>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3.</w:t>
      </w:r>
      <w:r>
        <w:rPr>
          <w:rFonts w:hint="eastAsia" w:asciiTheme="minorEastAsia" w:hAnsiTheme="minorEastAsia"/>
          <w:color w:val="000000"/>
          <w:sz w:val="32"/>
          <w:szCs w:val="32"/>
          <w:lang w:val="zh-CN" w:bidi="zh-CN"/>
        </w:rPr>
        <w:t>指导、管理、检查、评价学校的教育教学工作，提高办学质量和办学效益。</w:t>
      </w:r>
    </w:p>
    <w:p>
      <w:pPr>
        <w:spacing w:line="360" w:lineRule="auto"/>
        <w:ind w:firstLine="640" w:firstLineChars="200"/>
        <w:jc w:val="left"/>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4.</w:t>
      </w:r>
      <w:r>
        <w:rPr>
          <w:rFonts w:hint="eastAsia" w:asciiTheme="minorEastAsia" w:hAnsiTheme="minorEastAsia"/>
          <w:color w:val="000000"/>
          <w:sz w:val="32"/>
          <w:szCs w:val="32"/>
          <w:lang w:val="zh-CN" w:bidi="zh-CN"/>
        </w:rPr>
        <w:t>负责教育教学管理及教研教改工作，全力推进素质教育实施。</w:t>
      </w:r>
    </w:p>
    <w:p>
      <w:pPr>
        <w:spacing w:line="360" w:lineRule="auto"/>
        <w:ind w:firstLine="640" w:firstLineChars="200"/>
        <w:jc w:val="left"/>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5.</w:t>
      </w:r>
      <w:r>
        <w:rPr>
          <w:rFonts w:hint="eastAsia" w:asciiTheme="minorEastAsia" w:hAnsiTheme="minorEastAsia"/>
          <w:color w:val="000000"/>
          <w:sz w:val="32"/>
          <w:szCs w:val="32"/>
          <w:lang w:val="zh-CN" w:bidi="zh-CN"/>
        </w:rPr>
        <w:t>协助上级教育主管部门做好学校教师考核工作，负责教师管理、继续教育、考核考评等工作。</w:t>
      </w:r>
    </w:p>
    <w:p>
      <w:pPr>
        <w:spacing w:line="360" w:lineRule="auto"/>
        <w:ind w:firstLine="640" w:firstLineChars="200"/>
        <w:jc w:val="left"/>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6.</w:t>
      </w:r>
      <w:r>
        <w:rPr>
          <w:rFonts w:hint="eastAsia" w:asciiTheme="minorEastAsia" w:hAnsiTheme="minorEastAsia"/>
          <w:color w:val="000000"/>
          <w:sz w:val="32"/>
          <w:szCs w:val="32"/>
          <w:lang w:val="zh-CN" w:bidi="zh-CN"/>
        </w:rPr>
        <w:t>负责财务管理，筹措资金，改善办学条件等工作。</w:t>
      </w:r>
    </w:p>
    <w:p>
      <w:pPr>
        <w:spacing w:line="360" w:lineRule="auto"/>
        <w:ind w:firstLine="643" w:firstLineChars="200"/>
        <w:jc w:val="left"/>
        <w:rPr>
          <w:rFonts w:asciiTheme="minorEastAsia" w:hAnsiTheme="minorEastAsia"/>
          <w:b/>
          <w:color w:val="000000"/>
          <w:sz w:val="32"/>
          <w:szCs w:val="32"/>
          <w:lang w:val="zh-CN" w:bidi="zh-CN"/>
        </w:rPr>
      </w:pPr>
      <w:r>
        <w:rPr>
          <w:rFonts w:hint="eastAsia" w:asciiTheme="minorEastAsia" w:hAnsiTheme="minorEastAsia"/>
          <w:b/>
          <w:color w:val="000000"/>
          <w:sz w:val="32"/>
          <w:szCs w:val="32"/>
          <w:lang w:val="zh-CN" w:bidi="zh-CN"/>
        </w:rPr>
        <w:t>（三）</w:t>
      </w:r>
      <w:r>
        <w:rPr>
          <w:rFonts w:asciiTheme="minorEastAsia" w:hAnsiTheme="minorEastAsia"/>
          <w:b/>
          <w:color w:val="000000"/>
          <w:sz w:val="32"/>
          <w:szCs w:val="32"/>
          <w:lang w:val="zh-CN" w:bidi="zh-CN"/>
        </w:rPr>
        <w:t>人员概况。</w:t>
      </w:r>
    </w:p>
    <w:p>
      <w:pPr>
        <w:spacing w:line="360" w:lineRule="auto"/>
        <w:ind w:firstLine="640" w:firstLineChars="200"/>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我校机构编制管理部门核定编制人数为16人，其中：管理岗位1人，专业技术编15人，工人编制人数为1人。</w:t>
      </w:r>
      <w:bookmarkStart w:id="59" w:name="bookmark14"/>
      <w:r>
        <w:rPr>
          <w:rFonts w:hint="eastAsia" w:asciiTheme="minorEastAsia" w:hAnsiTheme="minorEastAsia"/>
          <w:color w:val="000000"/>
          <w:sz w:val="32"/>
          <w:szCs w:val="32"/>
          <w:lang w:val="zh-CN" w:bidi="zh-CN"/>
        </w:rPr>
        <w:t>2022年在编教职工人员18人，与上年相比增加1人。有在校学生112人，比上年131减少19人，人员减少。</w:t>
      </w:r>
    </w:p>
    <w:p>
      <w:pPr>
        <w:spacing w:line="360" w:lineRule="auto"/>
        <w:ind w:firstLine="643" w:firstLineChars="200"/>
        <w:jc w:val="left"/>
        <w:rPr>
          <w:rFonts w:asciiTheme="minorEastAsia" w:hAnsiTheme="minorEastAsia"/>
          <w:b/>
          <w:color w:val="000000"/>
          <w:sz w:val="32"/>
          <w:szCs w:val="32"/>
          <w:lang w:val="zh-CN" w:bidi="zh-CN"/>
        </w:rPr>
      </w:pPr>
      <w:r>
        <w:rPr>
          <w:rFonts w:asciiTheme="minorEastAsia" w:hAnsiTheme="minorEastAsia"/>
          <w:b/>
          <w:color w:val="000000"/>
          <w:sz w:val="32"/>
          <w:szCs w:val="32"/>
          <w:lang w:val="zh-CN" w:bidi="zh-CN"/>
        </w:rPr>
        <w:t>二、部门资金收支情况</w:t>
      </w:r>
      <w:bookmarkEnd w:id="59"/>
    </w:p>
    <w:p>
      <w:pPr>
        <w:spacing w:line="360" w:lineRule="auto"/>
        <w:ind w:firstLine="640" w:firstLineChars="200"/>
        <w:jc w:val="left"/>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(一）部门财政资金收入情况。</w:t>
      </w:r>
    </w:p>
    <w:p>
      <w:pPr>
        <w:spacing w:line="360" w:lineRule="auto"/>
        <w:ind w:firstLine="640" w:firstLineChars="200"/>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20</w:t>
      </w:r>
      <w:r>
        <w:rPr>
          <w:rFonts w:hint="eastAsia" w:asciiTheme="minorEastAsia" w:hAnsiTheme="minorEastAsia"/>
          <w:color w:val="000000"/>
          <w:sz w:val="32"/>
          <w:szCs w:val="32"/>
          <w:lang w:val="zh-CN" w:bidi="zh-CN"/>
        </w:rPr>
        <w:t>22年碑垭小学本年收入合计278.37万元，其中：一般公共预算财政拨款收入277.37万元，占99.64</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；政府性基金预算财政拨款收入1万元。</w:t>
      </w:r>
    </w:p>
    <w:p>
      <w:pPr>
        <w:spacing w:line="360" w:lineRule="auto"/>
        <w:ind w:firstLine="320" w:firstLineChars="100"/>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 xml:space="preserve"> </w:t>
      </w:r>
      <w:r>
        <w:rPr>
          <w:rFonts w:asciiTheme="minorEastAsia" w:hAnsiTheme="minorEastAsia"/>
          <w:color w:val="000000"/>
          <w:sz w:val="32"/>
          <w:szCs w:val="32"/>
          <w:lang w:val="zh-CN" w:bidi="zh-CN"/>
        </w:rPr>
        <w:t>20</w:t>
      </w:r>
      <w:r>
        <w:rPr>
          <w:rFonts w:hint="eastAsia" w:asciiTheme="minorEastAsia" w:hAnsiTheme="minorEastAsia"/>
          <w:color w:val="000000"/>
          <w:sz w:val="32"/>
          <w:szCs w:val="32"/>
          <w:lang w:val="zh-CN" w:bidi="zh-CN"/>
        </w:rPr>
        <w:t>22年本年收入合计较</w:t>
      </w:r>
      <w:r>
        <w:rPr>
          <w:rFonts w:asciiTheme="minorEastAsia" w:hAnsiTheme="minorEastAsia"/>
          <w:color w:val="000000"/>
          <w:sz w:val="32"/>
          <w:szCs w:val="32"/>
          <w:lang w:val="zh-CN" w:bidi="zh-CN"/>
        </w:rPr>
        <w:t>20</w:t>
      </w:r>
      <w:r>
        <w:rPr>
          <w:rFonts w:hint="eastAsia" w:asciiTheme="minorEastAsia" w:hAnsiTheme="minorEastAsia"/>
          <w:color w:val="000000"/>
          <w:sz w:val="32"/>
          <w:szCs w:val="32"/>
          <w:lang w:val="zh-CN" w:bidi="zh-CN"/>
        </w:rPr>
        <w:t>21年减少38万元，减少13.65</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，变动的主要原因是学生减少，公用经费和人员经费减少。</w:t>
      </w:r>
    </w:p>
    <w:p>
      <w:pPr>
        <w:spacing w:line="360" w:lineRule="auto"/>
        <w:ind w:firstLine="640" w:firstLineChars="200"/>
        <w:jc w:val="left"/>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 xml:space="preserve"> (二）部门财政资金支出情况。</w:t>
      </w:r>
    </w:p>
    <w:p>
      <w:pPr>
        <w:spacing w:line="360" w:lineRule="auto"/>
        <w:ind w:firstLine="640" w:firstLineChars="200"/>
        <w:rPr>
          <w:rFonts w:asciiTheme="minorEastAsia" w:hAnsiTheme="minorEastAsia"/>
          <w:color w:val="000000"/>
          <w:sz w:val="32"/>
          <w:szCs w:val="32"/>
          <w:lang w:val="zh-CN" w:bidi="zh-CN"/>
        </w:rPr>
      </w:pPr>
      <w:bookmarkStart w:id="60" w:name="bookmark15"/>
      <w:r>
        <w:rPr>
          <w:rFonts w:asciiTheme="minorEastAsia" w:hAnsiTheme="minorEastAsia"/>
          <w:color w:val="000000"/>
          <w:sz w:val="32"/>
          <w:szCs w:val="32"/>
          <w:lang w:val="zh-CN" w:bidi="zh-CN"/>
        </w:rPr>
        <w:t>2</w:t>
      </w:r>
      <w:r>
        <w:rPr>
          <w:rFonts w:hint="eastAsia" w:asciiTheme="minorEastAsia" w:hAnsiTheme="minorEastAsia"/>
          <w:color w:val="000000"/>
          <w:sz w:val="32"/>
          <w:szCs w:val="32"/>
          <w:lang w:val="zh-CN" w:bidi="zh-CN"/>
        </w:rPr>
        <w:t>022年碑垭小学本年支出合计278.37万元，其中：基本支出271.37万元，占97.49</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；项目支出7万元；占2.51%。</w:t>
      </w:r>
    </w:p>
    <w:p>
      <w:pPr>
        <w:spacing w:line="360" w:lineRule="auto"/>
        <w:ind w:firstLine="640" w:firstLineChars="200"/>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20</w:t>
      </w:r>
      <w:r>
        <w:rPr>
          <w:rFonts w:hint="eastAsia" w:asciiTheme="minorEastAsia" w:hAnsiTheme="minorEastAsia"/>
          <w:color w:val="000000"/>
          <w:sz w:val="32"/>
          <w:szCs w:val="32"/>
          <w:lang w:val="zh-CN" w:bidi="zh-CN"/>
        </w:rPr>
        <w:t>22年本年支出合计较</w:t>
      </w:r>
      <w:r>
        <w:rPr>
          <w:rFonts w:asciiTheme="minorEastAsia" w:hAnsiTheme="minorEastAsia"/>
          <w:color w:val="000000"/>
          <w:sz w:val="32"/>
          <w:szCs w:val="32"/>
          <w:lang w:val="zh-CN" w:bidi="zh-CN"/>
        </w:rPr>
        <w:t>20</w:t>
      </w:r>
      <w:r>
        <w:rPr>
          <w:rFonts w:hint="eastAsia" w:asciiTheme="minorEastAsia" w:hAnsiTheme="minorEastAsia"/>
          <w:color w:val="000000"/>
          <w:sz w:val="32"/>
          <w:szCs w:val="32"/>
          <w:lang w:val="zh-CN" w:bidi="zh-CN"/>
        </w:rPr>
        <w:t>21年减少38万元，减少13.65</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，变动的主要原因是学生减少，公用经费和人员经费减少，且经费全部列支。</w:t>
      </w:r>
    </w:p>
    <w:p>
      <w:pPr>
        <w:spacing w:line="360" w:lineRule="auto"/>
        <w:ind w:firstLine="640" w:firstLineChars="200"/>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（三）</w:t>
      </w:r>
      <w:r>
        <w:rPr>
          <w:rFonts w:asciiTheme="minorEastAsia" w:hAnsiTheme="minorEastAsia"/>
          <w:color w:val="000000"/>
          <w:sz w:val="32"/>
          <w:szCs w:val="32"/>
          <w:lang w:val="zh-CN" w:bidi="zh-CN"/>
        </w:rPr>
        <w:t>部门财政资金</w:t>
      </w:r>
      <w:r>
        <w:rPr>
          <w:rFonts w:hint="eastAsia" w:asciiTheme="minorEastAsia" w:hAnsiTheme="minorEastAsia"/>
          <w:color w:val="000000"/>
          <w:sz w:val="32"/>
          <w:szCs w:val="32"/>
          <w:lang w:val="zh-CN" w:bidi="zh-CN"/>
        </w:rPr>
        <w:t>收</w:t>
      </w:r>
      <w:r>
        <w:rPr>
          <w:rFonts w:asciiTheme="minorEastAsia" w:hAnsiTheme="minorEastAsia"/>
          <w:color w:val="000000"/>
          <w:sz w:val="32"/>
          <w:szCs w:val="32"/>
          <w:lang w:val="zh-CN" w:bidi="zh-CN"/>
        </w:rPr>
        <w:t>支</w:t>
      </w:r>
      <w:r>
        <w:rPr>
          <w:rFonts w:hint="eastAsia" w:asciiTheme="minorEastAsia" w:hAnsiTheme="minorEastAsia"/>
          <w:color w:val="000000"/>
          <w:sz w:val="32"/>
          <w:szCs w:val="32"/>
          <w:lang w:val="zh-CN" w:bidi="zh-CN"/>
        </w:rPr>
        <w:t>分析</w:t>
      </w:r>
      <w:r>
        <w:rPr>
          <w:rFonts w:asciiTheme="minorEastAsia" w:hAnsiTheme="minorEastAsia"/>
          <w:color w:val="000000"/>
          <w:sz w:val="32"/>
          <w:szCs w:val="32"/>
          <w:lang w:val="zh-CN" w:bidi="zh-CN"/>
        </w:rPr>
        <w:t>。</w:t>
      </w:r>
    </w:p>
    <w:p>
      <w:pPr>
        <w:spacing w:line="360" w:lineRule="auto"/>
        <w:ind w:firstLine="640" w:firstLineChars="200"/>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20</w:t>
      </w:r>
      <w:r>
        <w:rPr>
          <w:rFonts w:hint="eastAsia" w:asciiTheme="minorEastAsia" w:hAnsiTheme="minorEastAsia"/>
          <w:color w:val="000000"/>
          <w:sz w:val="32"/>
          <w:szCs w:val="32"/>
          <w:lang w:val="zh-CN" w:bidi="zh-CN"/>
        </w:rPr>
        <w:t>22年碑垭小学收入总计278.37万元。支出总计278.37万元。支出与收入持平，主要原因是预算资金全部列支无结转。</w:t>
      </w:r>
    </w:p>
    <w:p>
      <w:pPr>
        <w:spacing w:line="360" w:lineRule="auto"/>
        <w:ind w:firstLine="640" w:firstLineChars="200"/>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1．收入支出与预算对比分析</w:t>
      </w:r>
    </w:p>
    <w:p>
      <w:pPr>
        <w:spacing w:line="360" w:lineRule="auto"/>
        <w:ind w:firstLine="640" w:firstLineChars="200"/>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20</w:t>
      </w:r>
      <w:r>
        <w:rPr>
          <w:rFonts w:hint="eastAsia" w:asciiTheme="minorEastAsia" w:hAnsiTheme="minorEastAsia"/>
          <w:color w:val="000000"/>
          <w:sz w:val="32"/>
          <w:szCs w:val="32"/>
          <w:lang w:val="zh-CN" w:bidi="zh-CN"/>
        </w:rPr>
        <w:t>22年财政预算278.37万元。其中：基本支出271.37万元，项目支出7万元；决算数278.37万元，其中基本支出271.37万元，项目支出7万元。预决算无差异原因是预算资金完全支付。</w:t>
      </w:r>
    </w:p>
    <w:p>
      <w:pPr>
        <w:spacing w:line="360" w:lineRule="auto"/>
        <w:ind w:firstLine="640" w:firstLineChars="200"/>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2．收入支出结构分析</w:t>
      </w:r>
    </w:p>
    <w:p>
      <w:pPr>
        <w:spacing w:line="360" w:lineRule="auto"/>
        <w:ind w:firstLine="640" w:firstLineChars="200"/>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（1）各项收入占总收入的比重，各项支出占总支出的比重</w:t>
      </w:r>
    </w:p>
    <w:p>
      <w:pPr>
        <w:spacing w:line="360" w:lineRule="auto"/>
        <w:ind w:firstLine="640" w:firstLineChars="200"/>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20</w:t>
      </w:r>
      <w:r>
        <w:rPr>
          <w:rFonts w:hint="eastAsia" w:asciiTheme="minorEastAsia" w:hAnsiTheme="minorEastAsia"/>
          <w:color w:val="000000"/>
          <w:sz w:val="32"/>
          <w:szCs w:val="32"/>
          <w:lang w:val="zh-CN" w:bidi="zh-CN"/>
        </w:rPr>
        <w:t>22年碑垭小学收入278.37万元，主要用于以下方面：一般公共服务支出</w:t>
      </w:r>
      <w:r>
        <w:rPr>
          <w:rFonts w:asciiTheme="minorEastAsia" w:hAnsiTheme="minorEastAsia"/>
          <w:color w:val="000000"/>
          <w:sz w:val="32"/>
          <w:szCs w:val="32"/>
          <w:lang w:val="zh-CN" w:bidi="zh-CN"/>
        </w:rPr>
        <w:t>0</w:t>
      </w:r>
      <w:r>
        <w:rPr>
          <w:rFonts w:hint="eastAsia" w:asciiTheme="minorEastAsia" w:hAnsiTheme="minorEastAsia"/>
          <w:color w:val="000000"/>
          <w:sz w:val="32"/>
          <w:szCs w:val="32"/>
          <w:lang w:val="zh-CN" w:bidi="zh-CN"/>
        </w:rPr>
        <w:t>万元；教育支出236.42万元，占84.93</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；社会保障和就业支出18.2万元，占6.54</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；医疗卫生支出9.1万元，占3.27</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；住房保障支出13.65万元，占4.9</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；其他支出1万元，占0.36</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w:t>
      </w:r>
    </w:p>
    <w:p>
      <w:pPr>
        <w:spacing w:line="360" w:lineRule="auto"/>
        <w:ind w:firstLine="640" w:firstLineChars="200"/>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20</w:t>
      </w:r>
      <w:r>
        <w:rPr>
          <w:rFonts w:hint="eastAsia" w:asciiTheme="minorEastAsia" w:hAnsiTheme="minorEastAsia"/>
          <w:color w:val="000000"/>
          <w:sz w:val="32"/>
          <w:szCs w:val="32"/>
          <w:lang w:val="zh-CN" w:bidi="zh-CN"/>
        </w:rPr>
        <w:t>22年碑垭小学支出278.37万元，主要用于以下方面：教育支出236.42万元，占84.93</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；社会保障和就业支出18.2万元，占6.54</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；医疗卫生支出9.1万元，占3.27</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；住房保障支出13.65万元，占4.9</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；其他支出1万元，占0.36</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w:t>
      </w:r>
    </w:p>
    <w:p>
      <w:pPr>
        <w:spacing w:line="360" w:lineRule="auto"/>
        <w:ind w:firstLine="320" w:firstLineChars="100"/>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（2）收入支出与上年度对比情况及原因分析</w:t>
      </w:r>
    </w:p>
    <w:p>
      <w:pPr>
        <w:spacing w:line="360" w:lineRule="auto"/>
        <w:ind w:firstLine="640" w:firstLineChars="200"/>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20</w:t>
      </w:r>
      <w:r>
        <w:rPr>
          <w:rFonts w:hint="eastAsia" w:asciiTheme="minorEastAsia" w:hAnsiTheme="minorEastAsia"/>
          <w:color w:val="000000"/>
          <w:sz w:val="32"/>
          <w:szCs w:val="32"/>
          <w:lang w:val="zh-CN" w:bidi="zh-CN"/>
        </w:rPr>
        <w:t>22年碑垭小学收入278.37万元，主要用于以下方面：教育支出236.42万元，占84.93</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，与2021年比较减少38.46万元，减少了14%，减少的原因是学生减少；社会保障和就业支出18.2万元，占6.54</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，与2021年比较增加0.47万元，增加2.65%，增加原因是人员增加；医疗卫生支出9.1万元，占3.27</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，与2021年比较增加0.23万元，增加2.59%，增加的原因是医疗保险基数增加；住房保障支出13.65万元，占4.9</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，与2021年比较增加2.24万元，增加了19.63%，增加的原因是住房公积金基数增加，住房公积金提标。其他支出1万元，占0.36</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w:t>
      </w:r>
    </w:p>
    <w:p>
      <w:pPr>
        <w:spacing w:line="360" w:lineRule="auto"/>
        <w:ind w:firstLine="640" w:firstLineChars="200"/>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20</w:t>
      </w:r>
      <w:r>
        <w:rPr>
          <w:rFonts w:hint="eastAsia" w:asciiTheme="minorEastAsia" w:hAnsiTheme="minorEastAsia"/>
          <w:color w:val="000000"/>
          <w:sz w:val="32"/>
          <w:szCs w:val="32"/>
          <w:lang w:val="zh-CN" w:bidi="zh-CN"/>
        </w:rPr>
        <w:t>22年碑垭小学支出278.37万元，主要用于以下方面：教育支出236.42万元，占84.93</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，与2021年比较减少38.46万元，减少了14%，减少的原因是学生减少；社会保障和就业支出18.2万元，占6.54</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，与2021年比较增加0.47万元，增加2.65%，增加原因是人员增加；医疗卫生支出9.1万元，占3.27</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，与2021年比较增加0.23万元，增加2.59%，增加的原因是医疗保险基数增加；住房保障支出13.65万元，占4.9</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，与2021年比较增加2.24万元，增加了19.63%，增加的原因是住房公积金基数增加，住房公积金提标。其他支出1万元，占0.36</w:t>
      </w:r>
      <w:r>
        <w:rPr>
          <w:rFonts w:asciiTheme="minorEastAsia" w:hAnsiTheme="minorEastAsia"/>
          <w:color w:val="000000"/>
          <w:sz w:val="32"/>
          <w:szCs w:val="32"/>
          <w:lang w:val="zh-CN" w:bidi="zh-CN"/>
        </w:rPr>
        <w:t>%</w:t>
      </w:r>
      <w:r>
        <w:rPr>
          <w:rFonts w:hint="eastAsia" w:asciiTheme="minorEastAsia" w:hAnsiTheme="minorEastAsia"/>
          <w:color w:val="000000"/>
          <w:sz w:val="32"/>
          <w:szCs w:val="32"/>
          <w:lang w:val="zh-CN" w:bidi="zh-CN"/>
        </w:rPr>
        <w:t>。</w:t>
      </w:r>
    </w:p>
    <w:p>
      <w:pPr>
        <w:spacing w:line="360" w:lineRule="auto"/>
        <w:ind w:firstLine="640" w:firstLineChars="200"/>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3.财政拨款收入支出分析。</w:t>
      </w:r>
    </w:p>
    <w:p>
      <w:pPr>
        <w:spacing w:line="360" w:lineRule="auto"/>
        <w:ind w:firstLine="640" w:firstLineChars="200"/>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20</w:t>
      </w:r>
      <w:r>
        <w:rPr>
          <w:rFonts w:hint="eastAsia" w:asciiTheme="minorEastAsia" w:hAnsiTheme="minorEastAsia"/>
          <w:color w:val="000000"/>
          <w:sz w:val="32"/>
          <w:szCs w:val="32"/>
          <w:lang w:val="zh-CN" w:bidi="zh-CN"/>
        </w:rPr>
        <w:t xml:space="preserve">22年碑垭小学财政拨款收入总计278.37万元。支出总计278.37万元。其中基本支出271.37万元，项目支出7万元。 </w:t>
      </w:r>
    </w:p>
    <w:p>
      <w:pPr>
        <w:snapToGrid w:val="0"/>
        <w:spacing w:line="520" w:lineRule="exact"/>
        <w:ind w:firstLine="640" w:firstLineChars="200"/>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(三)年末结转和结余情况</w:t>
      </w:r>
    </w:p>
    <w:p>
      <w:pPr>
        <w:snapToGrid w:val="0"/>
        <w:spacing w:line="520" w:lineRule="exact"/>
        <w:ind w:firstLine="640" w:firstLineChars="200"/>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本年度碑垭小学年终结转资金0万元，其中公用经费0万元，人员经费0万元，主要本年财政加大支付力度，本年度资金全部支付到位。</w:t>
      </w:r>
    </w:p>
    <w:p>
      <w:pPr>
        <w:spacing w:line="360" w:lineRule="auto"/>
        <w:ind w:firstLine="643" w:firstLineChars="200"/>
        <w:jc w:val="left"/>
        <w:rPr>
          <w:rFonts w:asciiTheme="minorEastAsia" w:hAnsiTheme="minorEastAsia"/>
          <w:b/>
          <w:color w:val="000000"/>
          <w:sz w:val="32"/>
          <w:szCs w:val="32"/>
          <w:lang w:val="zh-CN" w:bidi="zh-CN"/>
        </w:rPr>
      </w:pPr>
      <w:r>
        <w:rPr>
          <w:rFonts w:asciiTheme="minorEastAsia" w:hAnsiTheme="minorEastAsia"/>
          <w:b/>
          <w:color w:val="000000"/>
          <w:sz w:val="32"/>
          <w:szCs w:val="32"/>
          <w:lang w:val="zh-CN" w:bidi="zh-CN"/>
        </w:rPr>
        <w:t>三、部门整体预算绩效管理情况</w:t>
      </w:r>
      <w:bookmarkEnd w:id="60"/>
    </w:p>
    <w:p>
      <w:pPr>
        <w:spacing w:line="360" w:lineRule="auto"/>
        <w:ind w:firstLine="640" w:firstLineChars="200"/>
        <w:jc w:val="left"/>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(一）</w:t>
      </w:r>
      <w:r>
        <w:rPr>
          <w:rFonts w:asciiTheme="minorEastAsia" w:hAnsiTheme="minorEastAsia"/>
          <w:color w:val="000000"/>
          <w:sz w:val="32"/>
          <w:szCs w:val="32"/>
          <w:lang w:val="zh-CN" w:bidi="zh-CN"/>
        </w:rPr>
        <w:tab/>
      </w:r>
      <w:r>
        <w:rPr>
          <w:rFonts w:asciiTheme="minorEastAsia" w:hAnsiTheme="minorEastAsia"/>
          <w:color w:val="000000"/>
          <w:sz w:val="32"/>
          <w:szCs w:val="32"/>
          <w:lang w:val="zh-CN" w:bidi="zh-CN"/>
        </w:rPr>
        <w:t>部门预算管理。</w:t>
      </w:r>
    </w:p>
    <w:p>
      <w:pPr>
        <w:ind w:firstLine="640" w:firstLineChars="200"/>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202</w:t>
      </w:r>
      <w:r>
        <w:rPr>
          <w:rFonts w:hint="eastAsia" w:asciiTheme="minorEastAsia" w:hAnsiTheme="minorEastAsia"/>
          <w:color w:val="000000"/>
          <w:sz w:val="32"/>
          <w:szCs w:val="32"/>
          <w:lang w:val="en-US" w:bidi="zh-CN"/>
        </w:rPr>
        <w:t>2</w:t>
      </w:r>
      <w:r>
        <w:rPr>
          <w:rFonts w:hint="eastAsia" w:asciiTheme="minorEastAsia" w:hAnsiTheme="minorEastAsia"/>
          <w:color w:val="000000"/>
          <w:sz w:val="32"/>
          <w:szCs w:val="32"/>
          <w:lang w:val="zh-CN" w:bidi="zh-CN"/>
        </w:rPr>
        <w:t>年我校所有财政性资金、专项资金都纳入绩效管理的范围。我校各项开支严格执行预算，控制成本，开源节流，每一分钱的使用都有它的经济性、效率性、有效性和可持续性，促进学校教育教学各项活动的开动，提升质量，学生学习生活的环境得到极大的改善，教师的生活环境也得到了相应改善。对各项资金均进行制度化管理，按规划组织实施，保证了各项资金使用的真实、合法、有效，提高了资金的使用率。保证单位的高效运转；确保各项决策部署得到有效落实产生了良好的社会效应，也取得了发展的可持续性、长效性。</w:t>
      </w:r>
    </w:p>
    <w:p>
      <w:pPr>
        <w:ind w:firstLine="640" w:firstLineChars="200"/>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(二)</w:t>
      </w:r>
      <w:r>
        <w:rPr>
          <w:rFonts w:asciiTheme="minorEastAsia" w:hAnsiTheme="minorEastAsia"/>
          <w:color w:val="000000"/>
          <w:sz w:val="32"/>
          <w:szCs w:val="32"/>
          <w:lang w:val="zh-CN" w:bidi="zh-CN"/>
        </w:rPr>
        <w:t>结果应用情况。</w:t>
      </w:r>
    </w:p>
    <w:p>
      <w:pPr>
        <w:ind w:firstLine="640" w:firstLineChars="200"/>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1.教育基本经费的使用，力保学校教育教学工作的有效开展以及学校工作的正常运行。</w:t>
      </w:r>
    </w:p>
    <w:p>
      <w:pPr>
        <w:ind w:firstLine="640" w:firstLineChars="200"/>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2.学校的教育发展专项经费的使用，给学校教育教学设备设施得到充实，学校办学条件得到很大改善，大力推动了学校办学条件达标建设。</w:t>
      </w:r>
    </w:p>
    <w:p>
      <w:pPr>
        <w:ind w:firstLine="643" w:firstLineChars="200"/>
        <w:jc w:val="left"/>
        <w:rPr>
          <w:rFonts w:asciiTheme="minorEastAsia" w:hAnsiTheme="minorEastAsia"/>
          <w:b/>
          <w:color w:val="000000"/>
          <w:sz w:val="32"/>
          <w:szCs w:val="32"/>
          <w:lang w:val="zh-CN" w:bidi="zh-CN"/>
        </w:rPr>
      </w:pPr>
      <w:r>
        <w:rPr>
          <w:rFonts w:asciiTheme="minorEastAsia" w:hAnsiTheme="minorEastAsia"/>
          <w:b/>
          <w:color w:val="000000"/>
          <w:sz w:val="32"/>
          <w:szCs w:val="32"/>
          <w:lang w:val="zh-CN" w:bidi="zh-CN"/>
        </w:rPr>
        <w:t>四</w:t>
      </w:r>
      <w:r>
        <w:rPr>
          <w:rFonts w:hint="eastAsia" w:asciiTheme="minorEastAsia" w:hAnsiTheme="minorEastAsia"/>
          <w:b/>
          <w:color w:val="000000"/>
          <w:sz w:val="32"/>
          <w:szCs w:val="32"/>
          <w:lang w:val="zh-CN" w:bidi="zh-CN"/>
        </w:rPr>
        <w:t>、</w:t>
      </w:r>
      <w:r>
        <w:rPr>
          <w:rFonts w:asciiTheme="minorEastAsia" w:hAnsiTheme="minorEastAsia"/>
          <w:b/>
          <w:color w:val="000000"/>
          <w:sz w:val="32"/>
          <w:szCs w:val="32"/>
          <w:lang w:val="zh-CN" w:bidi="zh-CN"/>
        </w:rPr>
        <w:t>评价结论及建议</w:t>
      </w:r>
    </w:p>
    <w:p>
      <w:pPr>
        <w:ind w:firstLine="640" w:firstLineChars="200"/>
        <w:jc w:val="left"/>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(一）评价结论。</w:t>
      </w:r>
    </w:p>
    <w:p>
      <w:pPr>
        <w:ind w:firstLine="640" w:firstLineChars="200"/>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2022年碑垭小学绩效管理情况较为理想，达到了年初设定的各项绩效目标。所有资金使用严格按审批程序办理、操作规范，会计核算结果真实、准确，各项支出严格按照各项制度执行。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部门整体支出绩效情况：自评优良</w:t>
      </w:r>
    </w:p>
    <w:p>
      <w:pPr>
        <w:ind w:firstLine="640" w:firstLineChars="200"/>
        <w:jc w:val="left"/>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(二）存在问题。</w:t>
      </w:r>
    </w:p>
    <w:p>
      <w:pPr>
        <w:ind w:firstLine="640" w:firstLineChars="200"/>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编制教师人数少，因此我校多年来聘请了2名幼儿老师，导致经费开支过大。学前教育经费入不敷出，导致年年经费紧张。校园环境和办学条件不能改善，另外财政预算资金到位比较迟缓，各项目经费支付较滞后。</w:t>
      </w:r>
    </w:p>
    <w:p>
      <w:pPr>
        <w:ind w:firstLine="640" w:firstLineChars="200"/>
        <w:jc w:val="left"/>
        <w:rPr>
          <w:rFonts w:asciiTheme="minorEastAsia" w:hAnsiTheme="minorEastAsia"/>
          <w:color w:val="000000"/>
          <w:sz w:val="32"/>
          <w:szCs w:val="32"/>
          <w:lang w:val="zh-CN" w:bidi="zh-CN"/>
        </w:rPr>
      </w:pPr>
      <w:r>
        <w:rPr>
          <w:rFonts w:asciiTheme="minorEastAsia" w:hAnsiTheme="minorEastAsia"/>
          <w:color w:val="000000"/>
          <w:sz w:val="32"/>
          <w:szCs w:val="32"/>
          <w:lang w:val="zh-CN" w:bidi="zh-CN"/>
        </w:rPr>
        <w:t>(三）改进建议。</w:t>
      </w:r>
    </w:p>
    <w:p>
      <w:pPr>
        <w:ind w:firstLine="640" w:firstLineChars="200"/>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1、切实做好预算编制工作，做好本单位情况调查，仔细测算部门资金需求，努力使预算资金合理。</w:t>
      </w:r>
    </w:p>
    <w:p>
      <w:pPr>
        <w:ind w:firstLine="640" w:firstLineChars="200"/>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2、进一步建立健全财务制度，规范财务管理，加强绩效评价管理评价的可操作性，对相关业务人员进行相关培训，以提高业务知识水平。</w:t>
      </w:r>
    </w:p>
    <w:p>
      <w:pPr>
        <w:ind w:firstLine="640" w:firstLineChars="200"/>
        <w:jc w:val="left"/>
        <w:rPr>
          <w:rFonts w:hint="eastAsia"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3、年终加快经费支出力度，确保各项教育经费使用到位，更好促进教育事业发展。</w:t>
      </w:r>
    </w:p>
    <w:p>
      <w:pPr>
        <w:ind w:firstLine="640" w:firstLineChars="200"/>
        <w:jc w:val="left"/>
        <w:rPr>
          <w:rFonts w:hint="eastAsia" w:asciiTheme="minorEastAsia" w:hAnsiTheme="minorEastAsia"/>
          <w:color w:val="000000"/>
          <w:sz w:val="32"/>
          <w:szCs w:val="32"/>
          <w:lang w:val="zh-CN" w:bidi="zh-CN"/>
        </w:rPr>
      </w:pPr>
    </w:p>
    <w:p>
      <w:pPr>
        <w:ind w:firstLine="640" w:firstLineChars="200"/>
        <w:jc w:val="left"/>
        <w:rPr>
          <w:rFonts w:hint="eastAsia" w:asciiTheme="minorEastAsia" w:hAnsiTheme="minorEastAsia"/>
          <w:color w:val="000000"/>
          <w:sz w:val="32"/>
          <w:szCs w:val="32"/>
          <w:lang w:val="zh-CN" w:bidi="zh-CN"/>
        </w:rPr>
      </w:pPr>
    </w:p>
    <w:p>
      <w:pPr>
        <w:ind w:firstLine="640" w:firstLineChars="200"/>
        <w:jc w:val="left"/>
        <w:rPr>
          <w:rFonts w:asciiTheme="minorEastAsia" w:hAnsiTheme="minorEastAsia"/>
          <w:color w:val="000000"/>
          <w:sz w:val="32"/>
          <w:szCs w:val="32"/>
          <w:lang w:val="zh-CN" w:bidi="zh-CN"/>
        </w:rPr>
      </w:pPr>
    </w:p>
    <w:p>
      <w:pPr>
        <w:jc w:val="left"/>
        <w:rPr>
          <w:rFonts w:asciiTheme="minorEastAsia" w:hAnsiTheme="minorEastAsia"/>
          <w:b/>
          <w:color w:val="000000"/>
          <w:sz w:val="32"/>
          <w:szCs w:val="32"/>
          <w:lang w:val="zh-CN" w:bidi="zh-CN"/>
        </w:rPr>
      </w:pPr>
      <w:r>
        <w:rPr>
          <w:rFonts w:hint="eastAsia" w:ascii="仿宋_GB2312" w:hAnsi="Calibri" w:eastAsia="仿宋_GB2312" w:cs="仿宋"/>
          <w:b/>
          <w:bCs/>
          <w:color w:val="000000"/>
          <w:kern w:val="0"/>
          <w:sz w:val="28"/>
          <w:szCs w:val="28"/>
        </w:rPr>
        <w:t>附件2:</w:t>
      </w:r>
      <w:r>
        <w:rPr>
          <w:rFonts w:hint="eastAsia" w:eastAsiaTheme="minorEastAsia"/>
          <w:b/>
          <w:color w:val="000000"/>
          <w:spacing w:val="30"/>
          <w:sz w:val="36"/>
          <w:lang w:val="zh-CN" w:bidi="zh-CN"/>
        </w:rPr>
        <w:t xml:space="preserve"> </w:t>
      </w:r>
    </w:p>
    <w:p>
      <w:pPr>
        <w:pStyle w:val="35"/>
        <w:shd w:val="clear" w:color="auto" w:fill="auto"/>
        <w:tabs>
          <w:tab w:val="left" w:pos="1381"/>
        </w:tabs>
        <w:spacing w:line="60" w:lineRule="auto"/>
        <w:ind w:firstLine="843" w:firstLineChars="200"/>
        <w:jc w:val="left"/>
        <w:rPr>
          <w:rFonts w:hint="eastAsia" w:eastAsiaTheme="minorEastAsia"/>
          <w:b/>
          <w:color w:val="000000"/>
          <w:spacing w:val="30"/>
          <w:sz w:val="36"/>
          <w:szCs w:val="28"/>
          <w:lang w:val="zh-CN" w:bidi="zh-CN"/>
        </w:rPr>
      </w:pPr>
      <w:r>
        <w:rPr>
          <w:rFonts w:hint="eastAsia" w:eastAsiaTheme="minorEastAsia"/>
          <w:b/>
          <w:color w:val="000000"/>
          <w:spacing w:val="30"/>
          <w:sz w:val="36"/>
          <w:szCs w:val="28"/>
          <w:lang w:val="zh-CN" w:bidi="zh-CN"/>
        </w:rPr>
        <w:t>乡村少年宫</w:t>
      </w:r>
      <w:r>
        <w:rPr>
          <w:rFonts w:eastAsiaTheme="minorEastAsia"/>
          <w:b/>
          <w:color w:val="000000"/>
          <w:spacing w:val="30"/>
          <w:sz w:val="36"/>
          <w:szCs w:val="28"/>
          <w:lang w:val="zh-CN" w:bidi="zh-CN"/>
        </w:rPr>
        <w:t>项目</w:t>
      </w:r>
      <w:r>
        <w:rPr>
          <w:rFonts w:hint="eastAsia" w:eastAsiaTheme="minorEastAsia"/>
          <w:b/>
          <w:color w:val="000000"/>
          <w:spacing w:val="30"/>
          <w:sz w:val="36"/>
          <w:szCs w:val="28"/>
          <w:lang w:val="zh-CN" w:bidi="zh-CN"/>
        </w:rPr>
        <w:t>资金</w:t>
      </w:r>
      <w:r>
        <w:rPr>
          <w:rFonts w:eastAsiaTheme="minorEastAsia"/>
          <w:b/>
          <w:color w:val="000000"/>
          <w:spacing w:val="30"/>
          <w:sz w:val="36"/>
          <w:szCs w:val="28"/>
          <w:lang w:val="zh-CN" w:bidi="zh-CN"/>
        </w:rPr>
        <w:t>支出绩效自评报告</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一、</w:t>
      </w:r>
      <w:r>
        <w:rPr>
          <w:rFonts w:asciiTheme="minorEastAsia" w:hAnsiTheme="minorEastAsia"/>
          <w:color w:val="000000"/>
          <w:sz w:val="28"/>
          <w:szCs w:val="28"/>
          <w:lang w:val="zh-CN" w:bidi="zh-CN"/>
        </w:rPr>
        <w:t>项目概况</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碑垭小学乡村少年宫改建工程项目，财政预算总资金1.79万元，实施内容包括少年宫相关设备购置，学校校舍维修等。</w:t>
      </w:r>
    </w:p>
    <w:p>
      <w:pPr>
        <w:ind w:firstLine="422" w:firstLineChars="200"/>
        <w:jc w:val="left"/>
        <w:rPr>
          <w:rFonts w:asciiTheme="minorEastAsia" w:hAnsiTheme="minorEastAsia"/>
          <w:color w:val="000000"/>
          <w:sz w:val="28"/>
          <w:szCs w:val="28"/>
          <w:lang w:val="zh-CN" w:bidi="zh-CN"/>
        </w:rPr>
      </w:pPr>
      <w:r>
        <w:rPr>
          <w:rFonts w:asciiTheme="minorEastAsia" w:hAnsiTheme="minorEastAsia"/>
          <w:b/>
          <w:bCs/>
        </w:rPr>
        <w:t xml:space="preserve"> (一）</w:t>
      </w:r>
      <w:r>
        <w:rPr>
          <w:rFonts w:asciiTheme="minorEastAsia" w:hAnsiTheme="minorEastAsia"/>
          <w:b/>
          <w:bCs/>
        </w:rPr>
        <w:tab/>
      </w:r>
      <w:r>
        <w:rPr>
          <w:rFonts w:asciiTheme="minorEastAsia" w:hAnsiTheme="minorEastAsia"/>
          <w:b/>
          <w:bCs/>
          <w:sz w:val="28"/>
          <w:szCs w:val="28"/>
        </w:rPr>
        <w:t>项目资金申报及批复情况</w:t>
      </w:r>
      <w:r>
        <w:rPr>
          <w:rFonts w:asciiTheme="minorEastAsia" w:hAnsiTheme="minorEastAsia"/>
          <w:color w:val="000000"/>
          <w:sz w:val="28"/>
          <w:szCs w:val="28"/>
          <w:lang w:val="zh-CN" w:bidi="zh-CN"/>
        </w:rPr>
        <w:t>。</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碑垭小学乡村少年宫改建工程项目，财政预算资金1.79万元，经教育主管部门审批，学校行政会议讨论审核决议后实施。用于学校少年宫校舍维修，少年宫专项设备购置。经学校研究，该项目资金完全用于学校环境改建，设施设备购置，具有高度可行性。</w:t>
      </w:r>
    </w:p>
    <w:p>
      <w:pPr>
        <w:ind w:firstLine="422" w:firstLineChars="200"/>
        <w:jc w:val="left"/>
        <w:rPr>
          <w:rFonts w:asciiTheme="minorEastAsia" w:hAnsiTheme="minorEastAsia"/>
          <w:color w:val="000000"/>
          <w:sz w:val="28"/>
          <w:szCs w:val="28"/>
          <w:lang w:val="zh-CN" w:bidi="zh-CN"/>
        </w:rPr>
      </w:pPr>
      <w:r>
        <w:rPr>
          <w:rFonts w:asciiTheme="minorEastAsia" w:hAnsiTheme="minorEastAsia"/>
          <w:b/>
          <w:bCs/>
        </w:rPr>
        <w:t xml:space="preserve"> (二）</w:t>
      </w:r>
      <w:r>
        <w:rPr>
          <w:rFonts w:asciiTheme="minorEastAsia" w:hAnsiTheme="minorEastAsia"/>
          <w:b/>
          <w:bCs/>
          <w:sz w:val="28"/>
          <w:szCs w:val="28"/>
        </w:rPr>
        <w:t>项目绩效目标</w:t>
      </w:r>
      <w:r>
        <w:rPr>
          <w:rFonts w:asciiTheme="minorEastAsia" w:hAnsiTheme="minorEastAsia"/>
          <w:color w:val="000000"/>
          <w:sz w:val="28"/>
          <w:szCs w:val="28"/>
          <w:lang w:val="zh-CN" w:bidi="zh-CN"/>
        </w:rPr>
        <w:t>。</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1、经济性指标</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推动了地方经济的快速发展。乡村少年宫的实施，既有利于解决当地就业问题，又能促进学校少年宫建设，更好地为师生服务。对当地经济的发展起着推动作用。</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2、社会及效率指标</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工程竣工后，师生学习生活环境得到极大改善，学生学习环境得到保障，受到了学生及家长的一致好评。</w:t>
      </w:r>
    </w:p>
    <w:p>
      <w:pPr>
        <w:ind w:firstLine="422" w:firstLineChars="200"/>
        <w:jc w:val="left"/>
        <w:rPr>
          <w:rFonts w:asciiTheme="minorEastAsia" w:hAnsiTheme="minorEastAsia"/>
          <w:color w:val="000000"/>
          <w:sz w:val="28"/>
          <w:szCs w:val="28"/>
          <w:lang w:val="zh-CN" w:bidi="zh-CN"/>
        </w:rPr>
      </w:pPr>
      <w:r>
        <w:rPr>
          <w:rFonts w:asciiTheme="minorEastAsia" w:hAnsiTheme="minorEastAsia"/>
          <w:b/>
          <w:bCs/>
        </w:rPr>
        <w:t xml:space="preserve"> (三）</w:t>
      </w:r>
      <w:r>
        <w:rPr>
          <w:rFonts w:asciiTheme="minorEastAsia" w:hAnsiTheme="minorEastAsia"/>
          <w:b/>
          <w:bCs/>
        </w:rPr>
        <w:tab/>
      </w:r>
      <w:r>
        <w:rPr>
          <w:rFonts w:asciiTheme="minorEastAsia" w:hAnsiTheme="minorEastAsia"/>
          <w:b/>
          <w:bCs/>
          <w:sz w:val="28"/>
          <w:szCs w:val="28"/>
        </w:rPr>
        <w:t>项目资金申</w:t>
      </w:r>
      <w:r>
        <w:rPr>
          <w:rFonts w:hint="eastAsia" w:asciiTheme="minorEastAsia" w:hAnsiTheme="minorEastAsia"/>
          <w:b/>
          <w:bCs/>
          <w:sz w:val="28"/>
          <w:szCs w:val="28"/>
        </w:rPr>
        <w:t>报</w:t>
      </w:r>
      <w:r>
        <w:rPr>
          <w:rFonts w:asciiTheme="minorEastAsia" w:hAnsiTheme="minorEastAsia"/>
          <w:b/>
          <w:bCs/>
          <w:sz w:val="28"/>
          <w:szCs w:val="28"/>
        </w:rPr>
        <w:t>相符性。</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碑垭小学乡村少年宫项目申报内容与具体实施内容完全相符，项目申报前进行了可研调查，各项指标完全符合国家相应标准，项目可行性得到科学论证。</w:t>
      </w:r>
    </w:p>
    <w:p>
      <w:pPr>
        <w:ind w:firstLine="560" w:firstLineChars="200"/>
        <w:jc w:val="left"/>
        <w:rPr>
          <w:rFonts w:asciiTheme="minorEastAsia" w:hAnsiTheme="minorEastAsia"/>
          <w:color w:val="000000"/>
          <w:sz w:val="28"/>
          <w:szCs w:val="28"/>
          <w:lang w:val="zh-CN" w:bidi="zh-CN"/>
        </w:rPr>
      </w:pPr>
      <w:r>
        <w:rPr>
          <w:rFonts w:asciiTheme="minorEastAsia" w:hAnsiTheme="minorEastAsia"/>
          <w:color w:val="000000"/>
          <w:sz w:val="28"/>
          <w:szCs w:val="28"/>
          <w:lang w:val="zh-CN" w:bidi="zh-CN"/>
        </w:rPr>
        <w:t>二、</w:t>
      </w:r>
      <w:r>
        <w:rPr>
          <w:rFonts w:asciiTheme="minorEastAsia" w:hAnsiTheme="minorEastAsia"/>
          <w:color w:val="000000"/>
          <w:sz w:val="28"/>
          <w:szCs w:val="28"/>
          <w:lang w:val="zh-CN" w:bidi="zh-CN"/>
        </w:rPr>
        <w:tab/>
      </w:r>
      <w:r>
        <w:rPr>
          <w:rFonts w:asciiTheme="minorEastAsia" w:hAnsiTheme="minorEastAsia"/>
          <w:color w:val="000000"/>
          <w:sz w:val="28"/>
          <w:szCs w:val="28"/>
          <w:lang w:val="zh-CN" w:bidi="zh-CN"/>
        </w:rPr>
        <w:t>项目实施及管理情况</w:t>
      </w:r>
    </w:p>
    <w:p>
      <w:pPr>
        <w:ind w:firstLine="560" w:firstLineChars="200"/>
        <w:jc w:val="left"/>
        <w:rPr>
          <w:rFonts w:asciiTheme="minorEastAsia" w:hAnsiTheme="minorEastAsia"/>
          <w:color w:val="000000"/>
          <w:sz w:val="28"/>
          <w:szCs w:val="28"/>
          <w:lang w:val="zh-CN" w:bidi="zh-CN"/>
        </w:rPr>
      </w:pPr>
      <w:r>
        <w:rPr>
          <w:rFonts w:asciiTheme="minorEastAsia" w:hAnsiTheme="minorEastAsia"/>
          <w:color w:val="000000"/>
          <w:sz w:val="28"/>
          <w:szCs w:val="28"/>
          <w:lang w:val="zh-CN" w:bidi="zh-CN"/>
        </w:rPr>
        <w:t>资金计划、到位及使用情况。</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1、</w:t>
      </w:r>
      <w:r>
        <w:rPr>
          <w:rFonts w:asciiTheme="minorEastAsia" w:hAnsiTheme="minorEastAsia"/>
          <w:color w:val="000000"/>
          <w:sz w:val="28"/>
          <w:szCs w:val="28"/>
          <w:lang w:val="zh-CN" w:bidi="zh-CN"/>
        </w:rPr>
        <w:t>资金计划及到位。</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碑垭小学乡村少年宫项目资金来源于</w:t>
      </w:r>
      <w:r>
        <w:rPr>
          <w:rFonts w:asciiTheme="minorEastAsia" w:hAnsiTheme="minorEastAsia"/>
          <w:color w:val="000000"/>
          <w:sz w:val="28"/>
          <w:szCs w:val="28"/>
          <w:lang w:val="zh-CN" w:bidi="zh-CN"/>
        </w:rPr>
        <w:t>202</w:t>
      </w:r>
      <w:r>
        <w:rPr>
          <w:rFonts w:hint="eastAsia" w:asciiTheme="minorEastAsia" w:hAnsiTheme="minorEastAsia"/>
          <w:color w:val="000000"/>
          <w:sz w:val="28"/>
          <w:szCs w:val="28"/>
          <w:lang w:val="zh-CN" w:bidi="zh-CN"/>
        </w:rPr>
        <w:t>2年义务教育政府性基金少年宫专项资金1.79万元。专项经费到位及时，工程款能依</w:t>
      </w:r>
      <w:r>
        <w:fldChar w:fldCharType="begin"/>
      </w:r>
      <w:r>
        <w:instrText xml:space="preserve"> HYPERLINK "http://www.haoword.com/syfanwen/hetong/" \t "_blank" </w:instrText>
      </w:r>
      <w:r>
        <w:fldChar w:fldCharType="separate"/>
      </w:r>
      <w:r>
        <w:rPr>
          <w:rFonts w:hint="eastAsia" w:asciiTheme="minorEastAsia" w:hAnsiTheme="minorEastAsia"/>
          <w:color w:val="000000"/>
          <w:sz w:val="28"/>
          <w:szCs w:val="28"/>
          <w:lang w:val="zh-CN" w:bidi="zh-CN"/>
        </w:rPr>
        <w:t>合同</w:t>
      </w:r>
      <w:r>
        <w:rPr>
          <w:rFonts w:hint="eastAsia" w:asciiTheme="minorEastAsia" w:hAnsiTheme="minorEastAsia"/>
          <w:color w:val="000000"/>
          <w:sz w:val="28"/>
          <w:szCs w:val="28"/>
          <w:lang w:val="zh-CN" w:bidi="zh-CN"/>
        </w:rPr>
        <w:fldChar w:fldCharType="end"/>
      </w:r>
      <w:r>
        <w:rPr>
          <w:rFonts w:hint="eastAsia" w:asciiTheme="minorEastAsia" w:hAnsiTheme="minorEastAsia"/>
          <w:color w:val="000000"/>
          <w:sz w:val="28"/>
          <w:szCs w:val="28"/>
          <w:lang w:val="zh-CN" w:bidi="zh-CN"/>
        </w:rPr>
        <w:t>按时到位，到位率100%，确保了工程顺利推进。</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2、</w:t>
      </w:r>
      <w:r>
        <w:rPr>
          <w:rFonts w:asciiTheme="minorEastAsia" w:hAnsiTheme="minorEastAsia"/>
          <w:color w:val="000000"/>
          <w:sz w:val="28"/>
          <w:szCs w:val="28"/>
          <w:lang w:val="zh-CN" w:bidi="zh-CN"/>
        </w:rPr>
        <w:t>资金使用</w:t>
      </w:r>
      <w:r>
        <w:rPr>
          <w:rFonts w:hint="eastAsia" w:asciiTheme="minorEastAsia" w:hAnsiTheme="minorEastAsia"/>
          <w:color w:val="000000"/>
          <w:sz w:val="28"/>
          <w:szCs w:val="28"/>
          <w:lang w:val="zh-CN" w:bidi="zh-CN"/>
        </w:rPr>
        <w:t>。</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（二）项目财务管理情况。</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碑垭小学乡村少年宫项目专项资金支出依法合规，无虚列项目支出情况，无截留挤占挪用情况，无超标开支情况，无超预算情况。工程现已支付日常维护资金1.79万元，资金已全部支付到位。</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碑垭小学乡村少年宫项目内部控制</w:t>
      </w:r>
      <w:r>
        <w:fldChar w:fldCharType="begin"/>
      </w:r>
      <w:r>
        <w:instrText xml:space="preserve"> HYPERLINK "http://www.haoword.com/qiyewenhua/guizhangzhidu/" \t "_blank" </w:instrText>
      </w:r>
      <w:r>
        <w:fldChar w:fldCharType="separate"/>
      </w:r>
      <w:r>
        <w:rPr>
          <w:rFonts w:hint="eastAsia" w:asciiTheme="minorEastAsia" w:hAnsiTheme="minorEastAsia"/>
          <w:color w:val="000000"/>
          <w:sz w:val="28"/>
          <w:szCs w:val="28"/>
          <w:lang w:val="zh-CN" w:bidi="zh-CN"/>
        </w:rPr>
        <w:t>制度</w:t>
      </w:r>
      <w:r>
        <w:rPr>
          <w:rFonts w:hint="eastAsia" w:asciiTheme="minorEastAsia" w:hAnsiTheme="minorEastAsia"/>
          <w:color w:val="000000"/>
          <w:sz w:val="28"/>
          <w:szCs w:val="28"/>
          <w:lang w:val="zh-CN" w:bidi="zh-CN"/>
        </w:rPr>
        <w:fldChar w:fldCharType="end"/>
      </w:r>
      <w:r>
        <w:rPr>
          <w:rFonts w:hint="eastAsia" w:asciiTheme="minorEastAsia" w:hAnsiTheme="minorEastAsia"/>
          <w:color w:val="000000"/>
          <w:sz w:val="28"/>
          <w:szCs w:val="28"/>
          <w:lang w:val="zh-CN" w:bidi="zh-CN"/>
        </w:rPr>
        <w:t>基本健全，管理规范。学校会计报表、会计账簿等会计资料真实地反映了专项资金管理，费用支出情况。在财务管理方面，碑垭小学执行严格的财务审批制度，重大经济事项均由校党委集体研究组织实施，为提高工作质量和效率，明确规范管理，强化责任，碑垭小学通过制度和落实《财务管理制度》《财务工作人员考评细则》等内部管理制度，规范了内部管理，推进了智能型学校建设，确保了工程项目实施顺利进行。</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（三）项目组织实施情况。</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碑垭小学乡村少年宫项目由学校行政会议研究讨论决定，并上报教育局批复实施。在工程实施过程中，学校成立了专门的项目管理小组，由廉勤委实施全过程监督。项目资金到位后，严格执行国家相关工程项目实施流程。严格按照县主管部门要求实施，严格执行招标，公示制度。严格把握质量第一的要求，由专人负责工程质量，过程管理。严格执行签字手续。</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三、项目绩效情况</w:t>
      </w:r>
      <w:r>
        <w:rPr>
          <w:rFonts w:hint="eastAsia" w:asciiTheme="minorEastAsia" w:hAnsiTheme="minorEastAsia"/>
          <w:color w:val="000000"/>
          <w:sz w:val="28"/>
          <w:szCs w:val="28"/>
          <w:lang w:val="zh-CN" w:bidi="zh-CN"/>
        </w:rPr>
        <w:tab/>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（一）项目完成情况。</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碑垭小学乡村少年宫项目计划投资1.79万元，主要用于学校少年宫校舍维修，少年宫专项设备购置。该项目按照要求进行了少年宫日常维修维护，设备采购。按合同完成既定内容。该项目严格执行质量标准，成本标准，无超标超概现象。</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（二）项目效益情况。</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碑垭小学乡村少年宫项目的实施，改进了乡村少年的学习生活环境，减轻了家长的经济负担。对我校及碑垭经济的发展，都起着推动作用。</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碑垭小学乡村少年宫项目的实施，有效改进了我校师生的学习教学环境，让师生在学校生活，学习的愉悦感，幸福感增强。让教师，家长、学生的满意度等得到提高。</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四、问题及建议</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（一）存在的问题。</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无</w:t>
      </w:r>
    </w:p>
    <w:p>
      <w:pPr>
        <w:ind w:firstLine="560" w:firstLineChars="200"/>
        <w:jc w:val="left"/>
        <w:rPr>
          <w:rFonts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（二）相关建议。</w:t>
      </w:r>
    </w:p>
    <w:p>
      <w:pPr>
        <w:ind w:firstLine="560" w:firstLineChars="200"/>
        <w:jc w:val="left"/>
        <w:rPr>
          <w:rFonts w:hint="eastAsia" w:asciiTheme="minorEastAsia" w:hAnsiTheme="minorEastAsia"/>
          <w:color w:val="000000"/>
          <w:sz w:val="28"/>
          <w:szCs w:val="28"/>
          <w:lang w:val="zh-CN" w:bidi="zh-CN"/>
        </w:rPr>
      </w:pPr>
      <w:r>
        <w:rPr>
          <w:rFonts w:hint="eastAsia" w:asciiTheme="minorEastAsia" w:hAnsiTheme="minorEastAsia"/>
          <w:color w:val="000000"/>
          <w:sz w:val="28"/>
          <w:szCs w:val="28"/>
          <w:lang w:val="zh-CN" w:bidi="zh-CN"/>
        </w:rPr>
        <w:t>无</w:t>
      </w:r>
    </w:p>
    <w:p>
      <w:pPr>
        <w:ind w:firstLine="560" w:firstLineChars="200"/>
        <w:jc w:val="left"/>
        <w:rPr>
          <w:rFonts w:hint="eastAsia" w:asciiTheme="minorEastAsia" w:hAnsiTheme="minorEastAsia"/>
          <w:color w:val="000000"/>
          <w:sz w:val="28"/>
          <w:szCs w:val="28"/>
          <w:lang w:val="zh-CN" w:bidi="zh-CN"/>
        </w:rPr>
      </w:pPr>
    </w:p>
    <w:p>
      <w:pPr>
        <w:ind w:firstLine="560" w:firstLineChars="200"/>
        <w:jc w:val="left"/>
        <w:rPr>
          <w:rFonts w:asciiTheme="minorEastAsia" w:hAnsiTheme="minorEastAsia"/>
          <w:color w:val="000000"/>
          <w:sz w:val="28"/>
          <w:szCs w:val="28"/>
          <w:lang w:val="zh-CN" w:bidi="zh-CN"/>
        </w:rPr>
      </w:pPr>
    </w:p>
    <w:p>
      <w:pPr>
        <w:spacing w:line="600" w:lineRule="exact"/>
        <w:outlineLvl w:val="0"/>
        <w:rPr>
          <w:rFonts w:ascii="仿宋_GB2312" w:hAnsi="Calibri" w:eastAsia="仿宋_GB2312" w:cs="仿宋"/>
          <w:b/>
          <w:bCs/>
          <w:color w:val="000000"/>
          <w:kern w:val="0"/>
          <w:sz w:val="28"/>
          <w:szCs w:val="28"/>
        </w:rPr>
      </w:pPr>
      <w:r>
        <w:rPr>
          <w:rFonts w:hint="eastAsia" w:ascii="仿宋_GB2312" w:hAnsi="Calibri" w:eastAsia="仿宋_GB2312" w:cs="仿宋"/>
          <w:b/>
          <w:bCs/>
          <w:color w:val="000000"/>
          <w:kern w:val="0"/>
          <w:sz w:val="28"/>
          <w:szCs w:val="28"/>
        </w:rPr>
        <w:t>附件3:</w:t>
      </w:r>
    </w:p>
    <w:p>
      <w:pPr>
        <w:ind w:firstLine="640" w:firstLineChars="200"/>
        <w:jc w:val="left"/>
        <w:rPr>
          <w:rFonts w:asciiTheme="minorEastAsia" w:hAnsiTheme="minorEastAsia"/>
          <w:color w:val="000000"/>
          <w:sz w:val="32"/>
          <w:szCs w:val="32"/>
          <w:lang w:val="zh-CN" w:bidi="zh-CN"/>
        </w:rPr>
      </w:pPr>
    </w:p>
    <w:tbl>
      <w:tblPr>
        <w:tblStyle w:val="13"/>
        <w:tblW w:w="0" w:type="auto"/>
        <w:tblInd w:w="0" w:type="dxa"/>
        <w:tblLayout w:type="autofit"/>
        <w:tblCellMar>
          <w:top w:w="0" w:type="dxa"/>
          <w:left w:w="108" w:type="dxa"/>
          <w:bottom w:w="0" w:type="dxa"/>
          <w:right w:w="108" w:type="dxa"/>
        </w:tblCellMar>
      </w:tblPr>
      <w:tblGrid>
        <w:gridCol w:w="459"/>
        <w:gridCol w:w="477"/>
        <w:gridCol w:w="347"/>
        <w:gridCol w:w="1311"/>
        <w:gridCol w:w="2650"/>
        <w:gridCol w:w="459"/>
        <w:gridCol w:w="459"/>
        <w:gridCol w:w="581"/>
        <w:gridCol w:w="642"/>
        <w:gridCol w:w="399"/>
        <w:gridCol w:w="399"/>
        <w:gridCol w:w="339"/>
      </w:tblGrid>
      <w:tr>
        <w:tblPrEx>
          <w:tblCellMar>
            <w:top w:w="0" w:type="dxa"/>
            <w:left w:w="108" w:type="dxa"/>
            <w:bottom w:w="0" w:type="dxa"/>
            <w:right w:w="108" w:type="dxa"/>
          </w:tblCellMar>
        </w:tblPrEx>
        <w:trPr>
          <w:trHeight w:val="904"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51082322T000005304589</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学生营养改善计划</w:t>
            </w:r>
          </w:p>
        </w:tc>
      </w:tr>
      <w:tr>
        <w:tblPrEx>
          <w:tblCellMar>
            <w:top w:w="0" w:type="dxa"/>
            <w:left w:w="108" w:type="dxa"/>
            <w:bottom w:w="0" w:type="dxa"/>
            <w:right w:w="108" w:type="dxa"/>
          </w:tblCellMar>
        </w:tblPrEx>
        <w:trPr>
          <w:trHeight w:val="51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0" w:type="auto"/>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剑阁县碑垭小学校</w:t>
            </w:r>
          </w:p>
        </w:tc>
      </w:tr>
      <w:tr>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通过营养改善计划的实施，促进学生营养健康状态得到改善，学生整体素质得到提高。</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实施营养餐支付13.83万元，学生健康状态得到改善。</w:t>
            </w:r>
          </w:p>
        </w:tc>
      </w:tr>
      <w:tr>
        <w:tblPrEx>
          <w:tblCellMar>
            <w:top w:w="0" w:type="dxa"/>
            <w:left w:w="108" w:type="dxa"/>
            <w:bottom w:w="0" w:type="dxa"/>
            <w:right w:w="108" w:type="dxa"/>
          </w:tblCellMar>
        </w:tblPrEx>
        <w:trPr>
          <w:trHeight w:val="69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1、每生按5元/天预算用于学生加餐，每期预计100天左右。2、加餐分蛋奶、热菜等多种模式。3、全年支付营养餐加餐资金13.83万元。</w:t>
            </w:r>
          </w:p>
        </w:tc>
      </w:tr>
      <w:tr>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5.31</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17.57</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13.83</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78.67%</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blPrEx>
          <w:tblCellMar>
            <w:top w:w="0" w:type="dxa"/>
            <w:left w:w="108" w:type="dxa"/>
            <w:bottom w:w="0" w:type="dxa"/>
            <w:right w:w="108" w:type="dxa"/>
          </w:tblCellMar>
        </w:tblPrEx>
        <w:trPr>
          <w:trHeight w:val="43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5.31</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17.57</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13.83</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78.67%</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农村义务教育寄宿制学校营养改善计划食堂供餐率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资金到位率</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受益学生覆盖率</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生均享受标准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元/天</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农村义务教育学生营养健康状况</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健康状况得到改善</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8"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学生满意度</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98</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99</w:t>
            </w:r>
          </w:p>
        </w:tc>
        <w:tc>
          <w:tcPr>
            <w:tcW w:w="0" w:type="auto"/>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项目完成较好，学生健康状况得到改善，身体素质得到提高</w:t>
            </w:r>
          </w:p>
        </w:tc>
      </w:tr>
      <w:tr>
        <w:tblPrEx>
          <w:tblCellMar>
            <w:top w:w="0" w:type="dxa"/>
            <w:left w:w="108" w:type="dxa"/>
            <w:bottom w:w="0" w:type="dxa"/>
            <w:right w:w="108" w:type="dxa"/>
          </w:tblCellMar>
        </w:tblPrEx>
        <w:trPr>
          <w:trHeight w:val="57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项目负责人：李显章</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财务负责人：左思志</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51082322T000005305443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农村校舍安全保障长效机制补助</w:t>
            </w:r>
          </w:p>
        </w:tc>
      </w:tr>
      <w:tr>
        <w:tblPrEx>
          <w:tblCellMar>
            <w:top w:w="0" w:type="dxa"/>
            <w:left w:w="108" w:type="dxa"/>
            <w:bottom w:w="0" w:type="dxa"/>
            <w:right w:w="108" w:type="dxa"/>
          </w:tblCellMar>
        </w:tblPrEx>
        <w:trPr>
          <w:trHeight w:val="51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0" w:type="auto"/>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剑阁县碑垭小学校</w:t>
            </w:r>
          </w:p>
        </w:tc>
      </w:tr>
      <w:tr>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提升薄弱学校办学条件，改善学生生活环境，促进义务教育均衡发展</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完成学校围墙撤除重建、学校堡坎拆除重建、学校厕所露天通道打棚、学校办公楼电源线路改造，投入维修改造资金7.53万元</w:t>
            </w:r>
          </w:p>
        </w:tc>
      </w:tr>
      <w:tr>
        <w:tblPrEx>
          <w:tblCellMar>
            <w:top w:w="0" w:type="dxa"/>
            <w:left w:w="108" w:type="dxa"/>
            <w:bottom w:w="0" w:type="dxa"/>
            <w:right w:w="108" w:type="dxa"/>
          </w:tblCellMar>
        </w:tblPrEx>
        <w:trPr>
          <w:trHeight w:val="69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1、学校围墙撤除重建。2、学校堡坎拆除重建3、学校厕所露天通道打棚，4、学校办公楼电源线路改造，4、项目已按期完成，审计中。</w:t>
            </w:r>
          </w:p>
        </w:tc>
      </w:tr>
      <w:tr>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1.53</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7.53</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1.53</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20.30%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blPrEx>
          <w:tblCellMar>
            <w:top w:w="0" w:type="dxa"/>
            <w:left w:w="108" w:type="dxa"/>
            <w:bottom w:w="0" w:type="dxa"/>
            <w:right w:w="108" w:type="dxa"/>
          </w:tblCellMar>
        </w:tblPrEx>
        <w:trPr>
          <w:trHeight w:val="43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1.53</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7.53</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1.53</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20.30%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义务教育所数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所</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改造中小学校舍面积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870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870</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校舍改造工程验收合格率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完成时限</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年</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改善学校办学条件及生活条件</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办学条件得到改善</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8"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学校满意度</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98</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98</w:t>
            </w:r>
          </w:p>
        </w:tc>
        <w:tc>
          <w:tcPr>
            <w:tcW w:w="0" w:type="auto"/>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项目完成良好，学校办学条件得到改善，学生生活环境得到提高，学习生活愉悦感增强。</w:t>
            </w:r>
          </w:p>
        </w:tc>
      </w:tr>
      <w:tr>
        <w:tblPrEx>
          <w:tblCellMar>
            <w:top w:w="0" w:type="dxa"/>
            <w:left w:w="108" w:type="dxa"/>
            <w:bottom w:w="0" w:type="dxa"/>
            <w:right w:w="108" w:type="dxa"/>
          </w:tblCellMar>
        </w:tblPrEx>
        <w:trPr>
          <w:trHeight w:val="57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资金支付缴缓，支付比例不够</w:t>
            </w:r>
          </w:p>
        </w:tc>
      </w:tr>
      <w:tr>
        <w:tblPrEx>
          <w:tblCellMar>
            <w:top w:w="0" w:type="dxa"/>
            <w:left w:w="108" w:type="dxa"/>
            <w:bottom w:w="0" w:type="dxa"/>
            <w:right w:w="108" w:type="dxa"/>
          </w:tblCellMar>
        </w:tblPrEx>
        <w:trPr>
          <w:trHeight w:val="63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加大资金支付力度。完成财务核算</w:t>
            </w:r>
          </w:p>
        </w:tc>
      </w:tr>
      <w:tr>
        <w:tblPrEx>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项目负责人：李显章</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财务负责人：左思志</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51082322T000005305572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农村义务教育综合奖补</w:t>
            </w:r>
          </w:p>
        </w:tc>
      </w:tr>
      <w:tr>
        <w:tblPrEx>
          <w:tblCellMar>
            <w:top w:w="0" w:type="dxa"/>
            <w:left w:w="108" w:type="dxa"/>
            <w:bottom w:w="0" w:type="dxa"/>
            <w:right w:w="108" w:type="dxa"/>
          </w:tblCellMar>
        </w:tblPrEx>
        <w:trPr>
          <w:trHeight w:val="51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0" w:type="auto"/>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剑阁县碑垭小学校</w:t>
            </w:r>
          </w:p>
        </w:tc>
      </w:tr>
      <w:tr>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spacing w:after="240"/>
              <w:jc w:val="left"/>
              <w:rPr>
                <w:rFonts w:ascii="宋体" w:hAnsi="宋体" w:cs="宋体"/>
                <w:color w:val="000000"/>
                <w:kern w:val="0"/>
                <w:sz w:val="18"/>
                <w:szCs w:val="18"/>
              </w:rPr>
            </w:pPr>
            <w:r>
              <w:rPr>
                <w:rFonts w:hint="eastAsia" w:ascii="宋体" w:hAnsi="宋体" w:cs="宋体"/>
                <w:color w:val="000000"/>
                <w:kern w:val="0"/>
                <w:sz w:val="18"/>
                <w:szCs w:val="18"/>
              </w:rPr>
              <w:t>保障学校教学设备购置经费支出，改善办学条件，提高办学质量，办好群众家门的优质教育。</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完成教学设备购置经费支出2.7万元，办学质量得到提高</w:t>
            </w:r>
          </w:p>
        </w:tc>
      </w:tr>
      <w:tr>
        <w:tblPrEx>
          <w:tblCellMar>
            <w:top w:w="0" w:type="dxa"/>
            <w:left w:w="108" w:type="dxa"/>
            <w:bottom w:w="0" w:type="dxa"/>
            <w:right w:w="108" w:type="dxa"/>
          </w:tblCellMar>
        </w:tblPrEx>
        <w:trPr>
          <w:trHeight w:val="69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完成教学设备购置经费支出2.7万元，办学质量得到提高</w:t>
            </w:r>
          </w:p>
        </w:tc>
      </w:tr>
      <w:tr>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47.37%</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blPrEx>
          <w:tblCellMar>
            <w:top w:w="0" w:type="dxa"/>
            <w:left w:w="108" w:type="dxa"/>
            <w:bottom w:w="0" w:type="dxa"/>
            <w:right w:w="108" w:type="dxa"/>
          </w:tblCellMar>
        </w:tblPrEx>
        <w:trPr>
          <w:trHeight w:val="43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47.37%</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普及义务教育学校覆盖率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惠及学生人数</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102</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购置设备合格率</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完成时效</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年</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资金到位率</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使更多的学校条件得到改善</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办学条件得到改善</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8"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师生满意度</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98</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99</w:t>
            </w:r>
          </w:p>
        </w:tc>
        <w:tc>
          <w:tcPr>
            <w:tcW w:w="0" w:type="auto"/>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项目实施较好，学校办学条件得到改善，提高教育教学质量</w:t>
            </w:r>
          </w:p>
        </w:tc>
      </w:tr>
      <w:tr>
        <w:tblPrEx>
          <w:tblCellMar>
            <w:top w:w="0" w:type="dxa"/>
            <w:left w:w="108" w:type="dxa"/>
            <w:bottom w:w="0" w:type="dxa"/>
            <w:right w:w="108" w:type="dxa"/>
          </w:tblCellMar>
        </w:tblPrEx>
        <w:trPr>
          <w:trHeight w:val="57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项目负责人：李显章</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财务负责人：左思志</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51082322T000005306045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免作业本费</w:t>
            </w:r>
          </w:p>
        </w:tc>
      </w:tr>
      <w:tr>
        <w:tblPrEx>
          <w:tblCellMar>
            <w:top w:w="0" w:type="dxa"/>
            <w:left w:w="108" w:type="dxa"/>
            <w:bottom w:w="0" w:type="dxa"/>
            <w:right w:w="108" w:type="dxa"/>
          </w:tblCellMar>
        </w:tblPrEx>
        <w:trPr>
          <w:trHeight w:val="51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0" w:type="auto"/>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剑阁县碑垭小学校</w:t>
            </w:r>
          </w:p>
        </w:tc>
      </w:tr>
      <w:tr>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减轻学生家庭经济负担，促进教育事业发展</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全年支付免作业本学生102人次，完成支付预算资金0.2万元</w:t>
            </w:r>
          </w:p>
        </w:tc>
      </w:tr>
      <w:tr>
        <w:tblPrEx>
          <w:tblCellMar>
            <w:top w:w="0" w:type="dxa"/>
            <w:left w:w="108" w:type="dxa"/>
            <w:bottom w:w="0" w:type="dxa"/>
            <w:right w:w="108" w:type="dxa"/>
          </w:tblCellMar>
        </w:tblPrEx>
        <w:trPr>
          <w:trHeight w:val="69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义务教育阶段学生免作业本102人次，全年支付资金0.2万元。</w:t>
            </w:r>
          </w:p>
        </w:tc>
      </w:tr>
      <w:tr>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49.32%</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blPrEx>
          <w:tblCellMar>
            <w:top w:w="0" w:type="dxa"/>
            <w:left w:w="108" w:type="dxa"/>
            <w:bottom w:w="0" w:type="dxa"/>
            <w:right w:w="108" w:type="dxa"/>
          </w:tblCellMar>
        </w:tblPrEx>
        <w:trPr>
          <w:trHeight w:val="43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49.32%</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受益学生覆盖率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免作业本小学阶段生均标准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年</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资金到位率</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减轻学生家庭负担，促进教育发展</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有效减轻学生家庭经济负担</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学生及家长满意度</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98</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98</w:t>
            </w:r>
          </w:p>
        </w:tc>
        <w:tc>
          <w:tcPr>
            <w:tcW w:w="0" w:type="auto"/>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项目完成良好，学生家庭经济负担得到减轻，教育事业得到发展，助力乡村振兴发展。</w:t>
            </w:r>
          </w:p>
        </w:tc>
      </w:tr>
      <w:tr>
        <w:tblPrEx>
          <w:tblCellMar>
            <w:top w:w="0" w:type="dxa"/>
            <w:left w:w="108" w:type="dxa"/>
            <w:bottom w:w="0" w:type="dxa"/>
            <w:right w:w="108" w:type="dxa"/>
          </w:tblCellMar>
        </w:tblPrEx>
        <w:trPr>
          <w:trHeight w:val="57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51082322T000005306788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贫困寄宿生生活补助</w:t>
            </w:r>
          </w:p>
        </w:tc>
      </w:tr>
      <w:tr>
        <w:tblPrEx>
          <w:tblCellMar>
            <w:top w:w="0" w:type="dxa"/>
            <w:left w:w="108" w:type="dxa"/>
            <w:bottom w:w="0" w:type="dxa"/>
            <w:right w:w="108" w:type="dxa"/>
          </w:tblCellMar>
        </w:tblPrEx>
        <w:trPr>
          <w:trHeight w:val="51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0" w:type="auto"/>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剑阁县碑垭小学校</w:t>
            </w:r>
          </w:p>
        </w:tc>
      </w:tr>
      <w:tr>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解决寄宿困难学生上学难问题，促进教育高质量发展</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支付贫困寄宿生生活补助3.3万元，惠及学生人次66人</w:t>
            </w:r>
          </w:p>
        </w:tc>
      </w:tr>
      <w:tr>
        <w:tblPrEx>
          <w:tblCellMar>
            <w:top w:w="0" w:type="dxa"/>
            <w:left w:w="108" w:type="dxa"/>
            <w:bottom w:w="0" w:type="dxa"/>
            <w:right w:w="108" w:type="dxa"/>
          </w:tblCellMar>
        </w:tblPrEx>
        <w:trPr>
          <w:trHeight w:val="69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1、全年预算贫困寄宿生生活补助3.3万元。2、解决贫困寄宿学生上学困难问题。</w:t>
            </w:r>
          </w:p>
        </w:tc>
      </w:tr>
      <w:tr>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blPrEx>
          <w:tblCellMar>
            <w:top w:w="0" w:type="dxa"/>
            <w:left w:w="108" w:type="dxa"/>
            <w:bottom w:w="0" w:type="dxa"/>
            <w:right w:w="108" w:type="dxa"/>
          </w:tblCellMar>
        </w:tblPrEx>
        <w:trPr>
          <w:trHeight w:val="43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资助寄宿贫困生覆盖率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资金到位率</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完成时间</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年</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寄宿贫困生生活补助</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解决寄宿困难生上学难问题，促进教育高质量发展</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学生上学困难得到解决</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8"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家长学生满意度</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98</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项目实施较好，贫困寄宿生上学困难问题得到解决，促进了教育高质量发展</w:t>
            </w:r>
          </w:p>
        </w:tc>
      </w:tr>
      <w:tr>
        <w:tblPrEx>
          <w:tblCellMar>
            <w:top w:w="0" w:type="dxa"/>
            <w:left w:w="108" w:type="dxa"/>
            <w:bottom w:w="0" w:type="dxa"/>
            <w:right w:w="108" w:type="dxa"/>
          </w:tblCellMar>
        </w:tblPrEx>
        <w:trPr>
          <w:trHeight w:val="57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项目负责人：李显章</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财务负责人：左思志</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51082322T000005306905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贫困非寄宿生生活补助</w:t>
            </w:r>
          </w:p>
        </w:tc>
      </w:tr>
      <w:tr>
        <w:tblPrEx>
          <w:tblCellMar>
            <w:top w:w="0" w:type="dxa"/>
            <w:left w:w="108" w:type="dxa"/>
            <w:bottom w:w="0" w:type="dxa"/>
            <w:right w:w="108" w:type="dxa"/>
          </w:tblCellMar>
        </w:tblPrEx>
        <w:trPr>
          <w:trHeight w:val="51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0" w:type="auto"/>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剑阁县碑垭小学校</w:t>
            </w:r>
          </w:p>
        </w:tc>
      </w:tr>
      <w:tr>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补助义务教育阶段建档立卡非寄宿生生活费，解决上学难问题，切实做到义务教育入学有保障</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完成支付义务教育阶段贫困非寄宿生12人次，支付资金1.06万元</w:t>
            </w:r>
          </w:p>
        </w:tc>
      </w:tr>
      <w:tr>
        <w:tblPrEx>
          <w:tblCellMar>
            <w:top w:w="0" w:type="dxa"/>
            <w:left w:w="108" w:type="dxa"/>
            <w:bottom w:w="0" w:type="dxa"/>
            <w:right w:w="108" w:type="dxa"/>
          </w:tblCellMar>
        </w:tblPrEx>
        <w:trPr>
          <w:trHeight w:val="69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全年预算贫困非寄宿生资金0.3万元，惠及贫困寄宿生12人次</w:t>
            </w:r>
          </w:p>
        </w:tc>
      </w:tr>
      <w:tr>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blPrEx>
          <w:tblCellMar>
            <w:top w:w="0" w:type="dxa"/>
            <w:left w:w="108" w:type="dxa"/>
            <w:bottom w:w="0" w:type="dxa"/>
            <w:right w:w="108" w:type="dxa"/>
          </w:tblCellMar>
        </w:tblPrEx>
        <w:trPr>
          <w:trHeight w:val="43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资助义务教育非寄宿制经济困难学生</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资金到位率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完成时效率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非寄宿制生活补助费用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解决了非寄宿困难生上学难问题，入学有保障</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8"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家长学生满意度</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98</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项目完成较好，贫困非寄宿生上学困难问题得到解决，切实做到义务教育阶段学生入学有保障，全力推动乡村振兴。</w:t>
            </w:r>
          </w:p>
        </w:tc>
      </w:tr>
      <w:tr>
        <w:tblPrEx>
          <w:tblCellMar>
            <w:top w:w="0" w:type="dxa"/>
            <w:left w:w="108" w:type="dxa"/>
            <w:bottom w:w="0" w:type="dxa"/>
            <w:right w:w="108" w:type="dxa"/>
          </w:tblCellMar>
        </w:tblPrEx>
        <w:trPr>
          <w:trHeight w:val="57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项目负责人：李显章</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财务负责人：左思志</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51082322T000005310767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幼儿资助</w:t>
            </w:r>
          </w:p>
        </w:tc>
      </w:tr>
      <w:tr>
        <w:tblPrEx>
          <w:tblCellMar>
            <w:top w:w="0" w:type="dxa"/>
            <w:left w:w="108" w:type="dxa"/>
            <w:bottom w:w="0" w:type="dxa"/>
            <w:right w:w="108" w:type="dxa"/>
          </w:tblCellMar>
        </w:tblPrEx>
        <w:trPr>
          <w:trHeight w:val="51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0" w:type="auto"/>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剑阁县碑垭小学校</w:t>
            </w:r>
          </w:p>
        </w:tc>
      </w:tr>
      <w:tr>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加大宣传力度，落实学前免保教费资助政策</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落实学前保教费支付1.18万元，惠及学生24人</w:t>
            </w:r>
          </w:p>
        </w:tc>
      </w:tr>
      <w:tr>
        <w:tblPrEx>
          <w:tblCellMar>
            <w:top w:w="0" w:type="dxa"/>
            <w:left w:w="108" w:type="dxa"/>
            <w:bottom w:w="0" w:type="dxa"/>
            <w:right w:w="108" w:type="dxa"/>
          </w:tblCellMar>
        </w:tblPrEx>
        <w:trPr>
          <w:trHeight w:val="69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学前贫困免保教费学生24人，预算资金投入1.18万元。</w:t>
            </w:r>
          </w:p>
        </w:tc>
      </w:tr>
      <w:tr>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1.18</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1.18</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blPrEx>
          <w:tblCellMar>
            <w:top w:w="0" w:type="dxa"/>
            <w:left w:w="108" w:type="dxa"/>
            <w:bottom w:w="0" w:type="dxa"/>
            <w:right w:w="108" w:type="dxa"/>
          </w:tblCellMar>
        </w:tblPrEx>
        <w:trPr>
          <w:trHeight w:val="43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1.18</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1.18</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家庭苦难学生受资助比例</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困难家庭子女资助覆盖率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资助困难家庭子女人数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资助总金额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1.18</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缓解学生家庭经济困难</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8"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受资助学生及家长满意度</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98</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项目实施较好，学前保教费资助政策得到落实，家庭困难学生上学得到保障。</w:t>
            </w:r>
          </w:p>
        </w:tc>
      </w:tr>
      <w:tr>
        <w:tblPrEx>
          <w:tblCellMar>
            <w:top w:w="0" w:type="dxa"/>
            <w:left w:w="108" w:type="dxa"/>
            <w:bottom w:w="0" w:type="dxa"/>
            <w:right w:w="108" w:type="dxa"/>
          </w:tblCellMar>
        </w:tblPrEx>
        <w:trPr>
          <w:trHeight w:val="57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项目负责人：李显章</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财务负责人：左思志</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51082322T000005313569</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已建项目运转补助</w:t>
            </w:r>
          </w:p>
        </w:tc>
      </w:tr>
      <w:tr>
        <w:tblPrEx>
          <w:tblCellMar>
            <w:top w:w="0" w:type="dxa"/>
            <w:left w:w="108" w:type="dxa"/>
            <w:bottom w:w="0" w:type="dxa"/>
            <w:right w:w="108" w:type="dxa"/>
          </w:tblCellMar>
        </w:tblPrEx>
        <w:trPr>
          <w:trHeight w:val="51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0" w:type="auto"/>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剑阁县碑垭小学校</w:t>
            </w:r>
          </w:p>
        </w:tc>
      </w:tr>
      <w:tr>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落实乡村少年宫建设资金及乡村少年宫设备购置</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完成乡村少年宫运行保障经费支付1.79万元</w:t>
            </w:r>
          </w:p>
        </w:tc>
      </w:tr>
      <w:tr>
        <w:tblPrEx>
          <w:tblCellMar>
            <w:top w:w="0" w:type="dxa"/>
            <w:left w:w="108" w:type="dxa"/>
            <w:bottom w:w="0" w:type="dxa"/>
            <w:right w:w="108" w:type="dxa"/>
          </w:tblCellMar>
        </w:tblPrEx>
        <w:trPr>
          <w:trHeight w:val="69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少年宫相关设备购置，学校校舍维修等</w:t>
            </w:r>
          </w:p>
        </w:tc>
      </w:tr>
      <w:tr>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0.79</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1.79</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0.79</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44.26%</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blPrEx>
          <w:tblCellMar>
            <w:top w:w="0" w:type="dxa"/>
            <w:left w:w="108" w:type="dxa"/>
            <w:bottom w:w="0" w:type="dxa"/>
            <w:right w:w="108" w:type="dxa"/>
          </w:tblCellMar>
        </w:tblPrEx>
        <w:trPr>
          <w:trHeight w:val="43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0.79</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1.79</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0.79</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44.26%</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少年宫活动开展普及率</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购置设备合格率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乡村少年宫资金覆盖学校数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所</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投入总金额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1.79</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0.79</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改善办学条件</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乡村少年宫办学条件得到改善</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8"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受资助学生及家长满意度</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98</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98</w:t>
            </w:r>
          </w:p>
        </w:tc>
        <w:tc>
          <w:tcPr>
            <w:tcW w:w="0" w:type="auto"/>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项目实施良好，乡村少年宫建设资金得到落实，教育质量得到提升</w:t>
            </w:r>
          </w:p>
        </w:tc>
      </w:tr>
      <w:tr>
        <w:tblPrEx>
          <w:tblCellMar>
            <w:top w:w="0" w:type="dxa"/>
            <w:left w:w="108" w:type="dxa"/>
            <w:bottom w:w="0" w:type="dxa"/>
            <w:right w:w="108" w:type="dxa"/>
          </w:tblCellMar>
        </w:tblPrEx>
        <w:trPr>
          <w:trHeight w:val="57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项目负责人：李显章</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财务负责人：左思志</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51082322T000005313825-教育附加费安排的项目</w:t>
            </w:r>
          </w:p>
        </w:tc>
      </w:tr>
      <w:tr>
        <w:tblPrEx>
          <w:tblCellMar>
            <w:top w:w="0" w:type="dxa"/>
            <w:left w:w="108" w:type="dxa"/>
            <w:bottom w:w="0" w:type="dxa"/>
            <w:right w:w="108" w:type="dxa"/>
          </w:tblCellMar>
        </w:tblPrEx>
        <w:trPr>
          <w:trHeight w:val="51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0" w:type="auto"/>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剑阁县碑垭小学校</w:t>
            </w:r>
          </w:p>
        </w:tc>
      </w:tr>
      <w:tr>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校舍维修300平方米及设施改造，改善办学条件，提高办学质量</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完成校舍维修300平方米，投入维修资金5.7万元</w:t>
            </w:r>
          </w:p>
        </w:tc>
      </w:tr>
      <w:tr>
        <w:tblPrEx>
          <w:tblCellMar>
            <w:top w:w="0" w:type="dxa"/>
            <w:left w:w="108" w:type="dxa"/>
            <w:bottom w:w="0" w:type="dxa"/>
            <w:right w:w="108" w:type="dxa"/>
          </w:tblCellMar>
        </w:tblPrEx>
        <w:trPr>
          <w:trHeight w:val="69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教学楼楼梯贴砖，教室校舍维修等</w:t>
            </w:r>
          </w:p>
        </w:tc>
      </w:tr>
      <w:tr>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3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义务教育所数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所</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改造中小学校舍面积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校舍改造工程验收合格率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完成时限</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年</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改善学校办学条件及生活条件</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定性</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办学条件得到改善</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8" w:hRule="atLeast"/>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0" w:type="auto"/>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学校满意度</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98</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059" w:hRule="atLeast"/>
        </w:trPr>
        <w:tc>
          <w:tcPr>
            <w:tcW w:w="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88"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项目完成较好，学校校舍维修改造完成，办学条件得到改善，教学质量得到提升。</w:t>
            </w:r>
          </w:p>
        </w:tc>
      </w:tr>
      <w:tr>
        <w:tblPrEx>
          <w:tblCellMar>
            <w:top w:w="0" w:type="dxa"/>
            <w:left w:w="108" w:type="dxa"/>
            <w:bottom w:w="0" w:type="dxa"/>
            <w:right w:w="108" w:type="dxa"/>
          </w:tblCellMar>
        </w:tblPrEx>
        <w:trPr>
          <w:trHeight w:val="936" w:hRule="atLeast"/>
        </w:trPr>
        <w:tc>
          <w:tcPr>
            <w:tcW w:w="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88"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529" w:hRule="atLeast"/>
        </w:trPr>
        <w:tc>
          <w:tcPr>
            <w:tcW w:w="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88"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项目负责人：李显章</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财务负责人：左思志</w:t>
            </w:r>
          </w:p>
        </w:tc>
      </w:tr>
      <w:bookmarkEnd w:id="58"/>
    </w:tbl>
    <w:p>
      <w:pPr>
        <w:jc w:val="left"/>
        <w:rPr>
          <w:rFonts w:asciiTheme="minorEastAsia" w:hAnsiTheme="minorEastAsia"/>
          <w:color w:val="000000"/>
          <w:sz w:val="28"/>
          <w:szCs w:val="28"/>
          <w:lang w:val="zh-CN" w:bidi="zh-CN"/>
        </w:rPr>
      </w:pPr>
    </w:p>
    <w:bookmarkEnd w:id="56"/>
    <w:p>
      <w:pPr>
        <w:spacing w:line="600" w:lineRule="exact"/>
        <w:jc w:val="center"/>
        <w:outlineLvl w:val="0"/>
        <w:rPr>
          <w:rFonts w:hint="eastAsia" w:ascii="黑体" w:hAnsi="黑体" w:eastAsia="黑体"/>
          <w:color w:val="000000"/>
          <w:sz w:val="44"/>
          <w:szCs w:val="44"/>
        </w:rPr>
      </w:pPr>
      <w:bookmarkStart w:id="61" w:name="_Toc15396618"/>
      <w:bookmarkStart w:id="62" w:name="_Toc15396619"/>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61"/>
    </w:p>
    <w:p>
      <w:pPr>
        <w:pStyle w:val="3"/>
        <w:spacing w:line="60" w:lineRule="auto"/>
        <w:rPr>
          <w:rFonts w:ascii="仿宋" w:hAnsi="仿宋" w:eastAsia="仿宋" w:cs="Times New Roman"/>
          <w:color w:val="000000"/>
        </w:rPr>
      </w:pPr>
      <w:r>
        <w:rPr>
          <w:rFonts w:hint="eastAsia" w:ascii="仿宋" w:hAnsi="仿宋" w:eastAsia="仿宋" w:cs="仿宋"/>
          <w:b w:val="0"/>
          <w:bCs w:val="0"/>
          <w:color w:val="000000"/>
        </w:rPr>
        <w:t>一、收</w:t>
      </w:r>
      <w:r>
        <w:rPr>
          <w:rStyle w:val="18"/>
          <w:rFonts w:hint="eastAsia" w:ascii="仿宋" w:hAnsi="仿宋" w:eastAsia="仿宋" w:cs="仿宋"/>
          <w:b w:val="0"/>
          <w:bCs w:val="0"/>
        </w:rPr>
        <w:t>入支出决算总表</w:t>
      </w:r>
      <w:bookmarkEnd w:id="62"/>
    </w:p>
    <w:p>
      <w:pPr>
        <w:pStyle w:val="3"/>
        <w:spacing w:line="60" w:lineRule="auto"/>
        <w:rPr>
          <w:rFonts w:ascii="仿宋" w:hAnsi="仿宋" w:eastAsia="仿宋" w:cs="Times New Roman"/>
          <w:color w:val="000000"/>
        </w:rPr>
      </w:pPr>
      <w:bookmarkStart w:id="63" w:name="_Toc15396620"/>
      <w:r>
        <w:rPr>
          <w:rFonts w:hint="eastAsia" w:ascii="仿宋" w:hAnsi="仿宋" w:eastAsia="仿宋" w:cs="仿宋"/>
          <w:b w:val="0"/>
          <w:bCs w:val="0"/>
          <w:color w:val="000000"/>
        </w:rPr>
        <w:t>二、收</w:t>
      </w:r>
      <w:r>
        <w:rPr>
          <w:rStyle w:val="18"/>
          <w:rFonts w:hint="eastAsia" w:ascii="仿宋" w:hAnsi="仿宋" w:eastAsia="仿宋" w:cs="仿宋"/>
          <w:b w:val="0"/>
          <w:bCs w:val="0"/>
        </w:rPr>
        <w:t>入决算表</w:t>
      </w:r>
      <w:bookmarkEnd w:id="63"/>
    </w:p>
    <w:p>
      <w:pPr>
        <w:pStyle w:val="3"/>
        <w:spacing w:line="60" w:lineRule="auto"/>
        <w:rPr>
          <w:rFonts w:ascii="仿宋" w:hAnsi="仿宋" w:eastAsia="仿宋" w:cs="Times New Roman"/>
          <w:color w:val="000000"/>
        </w:rPr>
      </w:pPr>
      <w:bookmarkStart w:id="64" w:name="_Toc15396621"/>
      <w:r>
        <w:rPr>
          <w:rStyle w:val="18"/>
          <w:rFonts w:hint="eastAsia" w:ascii="仿宋" w:hAnsi="仿宋" w:eastAsia="仿宋" w:cs="仿宋"/>
          <w:b w:val="0"/>
          <w:bCs w:val="0"/>
        </w:rPr>
        <w:t>三、</w:t>
      </w:r>
      <w:r>
        <w:rPr>
          <w:rFonts w:hint="eastAsia" w:ascii="仿宋" w:hAnsi="仿宋" w:eastAsia="仿宋" w:cs="仿宋"/>
          <w:b w:val="0"/>
          <w:bCs w:val="0"/>
          <w:color w:val="000000"/>
        </w:rPr>
        <w:t>支</w:t>
      </w:r>
      <w:r>
        <w:rPr>
          <w:rStyle w:val="18"/>
          <w:rFonts w:hint="eastAsia" w:ascii="仿宋" w:hAnsi="仿宋" w:eastAsia="仿宋" w:cs="仿宋"/>
          <w:b w:val="0"/>
          <w:bCs w:val="0"/>
        </w:rPr>
        <w:t>出决算表</w:t>
      </w:r>
      <w:bookmarkEnd w:id="64"/>
    </w:p>
    <w:p>
      <w:pPr>
        <w:pStyle w:val="3"/>
        <w:spacing w:line="60" w:lineRule="auto"/>
        <w:rPr>
          <w:rFonts w:ascii="仿宋" w:hAnsi="仿宋" w:eastAsia="仿宋" w:cs="Times New Roman"/>
          <w:b w:val="0"/>
          <w:bCs w:val="0"/>
          <w:color w:val="000000"/>
        </w:rPr>
      </w:pPr>
      <w:bookmarkStart w:id="65" w:name="_Toc15396622"/>
      <w:r>
        <w:rPr>
          <w:rStyle w:val="18"/>
          <w:rFonts w:hint="eastAsia" w:ascii="仿宋" w:hAnsi="仿宋" w:eastAsia="仿宋" w:cs="仿宋"/>
          <w:b w:val="0"/>
          <w:bCs w:val="0"/>
        </w:rPr>
        <w:t>四、</w:t>
      </w:r>
      <w:r>
        <w:rPr>
          <w:rFonts w:hint="eastAsia" w:ascii="仿宋" w:hAnsi="仿宋" w:eastAsia="仿宋" w:cs="仿宋"/>
          <w:b w:val="0"/>
          <w:bCs w:val="0"/>
          <w:color w:val="000000"/>
        </w:rPr>
        <w:t>财</w:t>
      </w:r>
      <w:r>
        <w:rPr>
          <w:rStyle w:val="18"/>
          <w:rFonts w:hint="eastAsia" w:ascii="仿宋" w:hAnsi="仿宋" w:eastAsia="仿宋" w:cs="仿宋"/>
          <w:b w:val="0"/>
          <w:bCs w:val="0"/>
        </w:rPr>
        <w:t>政拨款收入支出决算总表</w:t>
      </w:r>
      <w:bookmarkEnd w:id="65"/>
    </w:p>
    <w:p>
      <w:pPr>
        <w:pStyle w:val="3"/>
        <w:spacing w:line="60" w:lineRule="auto"/>
        <w:rPr>
          <w:rStyle w:val="18"/>
          <w:rFonts w:ascii="仿宋" w:hAnsi="仿宋" w:eastAsia="仿宋" w:cs="Times New Roman"/>
          <w:b w:val="0"/>
          <w:bCs w:val="0"/>
        </w:rPr>
      </w:pPr>
      <w:bookmarkStart w:id="66" w:name="_Toc15396623"/>
      <w:r>
        <w:rPr>
          <w:rStyle w:val="18"/>
          <w:rFonts w:hint="eastAsia" w:ascii="仿宋" w:hAnsi="仿宋" w:eastAsia="仿宋" w:cs="仿宋"/>
          <w:b w:val="0"/>
          <w:bCs w:val="0"/>
        </w:rPr>
        <w:t>五、</w:t>
      </w:r>
      <w:r>
        <w:rPr>
          <w:rFonts w:hint="eastAsia" w:ascii="仿宋" w:hAnsi="仿宋" w:eastAsia="仿宋" w:cs="仿宋"/>
          <w:b w:val="0"/>
          <w:bCs w:val="0"/>
          <w:color w:val="000000"/>
        </w:rPr>
        <w:t>财</w:t>
      </w:r>
      <w:r>
        <w:rPr>
          <w:rStyle w:val="18"/>
          <w:rFonts w:hint="eastAsia" w:ascii="仿宋" w:hAnsi="仿宋" w:eastAsia="仿宋" w:cs="仿宋"/>
          <w:b w:val="0"/>
          <w:bCs w:val="0"/>
        </w:rPr>
        <w:t>政拨款支出决算明细表</w:t>
      </w:r>
      <w:bookmarkEnd w:id="66"/>
      <w:bookmarkStart w:id="67" w:name="_Toc15396624"/>
    </w:p>
    <w:p>
      <w:pPr>
        <w:pStyle w:val="3"/>
        <w:spacing w:line="60" w:lineRule="auto"/>
        <w:rPr>
          <w:rFonts w:ascii="仿宋" w:hAnsi="仿宋" w:eastAsia="仿宋" w:cs="Times New Roman"/>
          <w:color w:val="000000"/>
        </w:rPr>
      </w:pPr>
      <w:r>
        <w:rPr>
          <w:rStyle w:val="18"/>
          <w:rFonts w:hint="eastAsia" w:ascii="仿宋" w:hAnsi="仿宋" w:eastAsia="仿宋" w:cs="仿宋"/>
          <w:b w:val="0"/>
          <w:bCs w:val="0"/>
        </w:rPr>
        <w:t>六、</w:t>
      </w:r>
      <w:r>
        <w:rPr>
          <w:rFonts w:hint="eastAsia" w:ascii="仿宋" w:hAnsi="仿宋" w:eastAsia="仿宋" w:cs="仿宋"/>
          <w:b w:val="0"/>
          <w:bCs w:val="0"/>
          <w:color w:val="000000"/>
        </w:rPr>
        <w:t>一</w:t>
      </w:r>
      <w:r>
        <w:rPr>
          <w:rStyle w:val="18"/>
          <w:rFonts w:hint="eastAsia" w:ascii="仿宋" w:hAnsi="仿宋" w:eastAsia="仿宋" w:cs="仿宋"/>
          <w:b w:val="0"/>
          <w:bCs w:val="0"/>
        </w:rPr>
        <w:t>般公共预算财政拨款支出决算表</w:t>
      </w:r>
      <w:bookmarkEnd w:id="67"/>
    </w:p>
    <w:p>
      <w:pPr>
        <w:pStyle w:val="3"/>
        <w:spacing w:line="60" w:lineRule="auto"/>
        <w:rPr>
          <w:rFonts w:ascii="仿宋" w:hAnsi="仿宋" w:eastAsia="仿宋" w:cs="Times New Roman"/>
          <w:color w:val="000000"/>
        </w:rPr>
      </w:pPr>
      <w:bookmarkStart w:id="68" w:name="_Toc15396625"/>
      <w:r>
        <w:rPr>
          <w:rStyle w:val="18"/>
          <w:rFonts w:hint="eastAsia" w:ascii="仿宋" w:hAnsi="仿宋" w:eastAsia="仿宋" w:cs="仿宋"/>
          <w:b w:val="0"/>
          <w:bCs w:val="0"/>
        </w:rPr>
        <w:t>七、</w:t>
      </w:r>
      <w:r>
        <w:rPr>
          <w:rFonts w:hint="eastAsia" w:ascii="仿宋" w:hAnsi="仿宋" w:eastAsia="仿宋" w:cs="仿宋"/>
          <w:b w:val="0"/>
          <w:bCs w:val="0"/>
          <w:color w:val="000000"/>
        </w:rPr>
        <w:t>一</w:t>
      </w:r>
      <w:r>
        <w:rPr>
          <w:rStyle w:val="18"/>
          <w:rFonts w:hint="eastAsia" w:ascii="仿宋" w:hAnsi="仿宋" w:eastAsia="仿宋" w:cs="仿宋"/>
          <w:b w:val="0"/>
          <w:bCs w:val="0"/>
        </w:rPr>
        <w:t>般公共预算财政拨款支出决算明细表</w:t>
      </w:r>
      <w:bookmarkEnd w:id="68"/>
    </w:p>
    <w:p>
      <w:pPr>
        <w:pStyle w:val="3"/>
        <w:spacing w:line="60" w:lineRule="auto"/>
        <w:rPr>
          <w:rFonts w:ascii="仿宋" w:hAnsi="仿宋" w:eastAsia="仿宋" w:cs="Times New Roman"/>
          <w:color w:val="000000"/>
        </w:rPr>
      </w:pPr>
      <w:bookmarkStart w:id="69" w:name="_Toc15396626"/>
      <w:r>
        <w:rPr>
          <w:rStyle w:val="18"/>
          <w:rFonts w:hint="eastAsia" w:ascii="仿宋" w:hAnsi="仿宋" w:eastAsia="仿宋" w:cs="仿宋"/>
          <w:b w:val="0"/>
          <w:bCs w:val="0"/>
        </w:rPr>
        <w:t>八、</w:t>
      </w:r>
      <w:r>
        <w:rPr>
          <w:rFonts w:hint="eastAsia" w:ascii="仿宋" w:hAnsi="仿宋" w:eastAsia="仿宋" w:cs="仿宋"/>
          <w:b w:val="0"/>
          <w:bCs w:val="0"/>
          <w:color w:val="000000"/>
        </w:rPr>
        <w:t>一</w:t>
      </w:r>
      <w:r>
        <w:rPr>
          <w:rStyle w:val="18"/>
          <w:rFonts w:hint="eastAsia" w:ascii="仿宋" w:hAnsi="仿宋" w:eastAsia="仿宋" w:cs="仿宋"/>
          <w:b w:val="0"/>
          <w:bCs w:val="0"/>
        </w:rPr>
        <w:t>般公共预算财政拨款基本支出决算表</w:t>
      </w:r>
      <w:bookmarkEnd w:id="69"/>
    </w:p>
    <w:p>
      <w:pPr>
        <w:pStyle w:val="3"/>
        <w:spacing w:line="60" w:lineRule="auto"/>
        <w:rPr>
          <w:rFonts w:ascii="仿宋" w:hAnsi="仿宋" w:eastAsia="仿宋" w:cs="Times New Roman"/>
          <w:color w:val="000000"/>
        </w:rPr>
      </w:pPr>
      <w:bookmarkStart w:id="70" w:name="_Toc15396627"/>
      <w:r>
        <w:rPr>
          <w:rStyle w:val="18"/>
          <w:rFonts w:hint="eastAsia" w:ascii="仿宋" w:hAnsi="仿宋" w:eastAsia="仿宋" w:cs="仿宋"/>
          <w:b w:val="0"/>
          <w:bCs w:val="0"/>
        </w:rPr>
        <w:t>九、</w:t>
      </w:r>
      <w:r>
        <w:rPr>
          <w:rFonts w:hint="eastAsia" w:ascii="仿宋" w:hAnsi="仿宋" w:eastAsia="仿宋" w:cs="仿宋"/>
          <w:b w:val="0"/>
          <w:bCs w:val="0"/>
          <w:color w:val="000000"/>
        </w:rPr>
        <w:t>一</w:t>
      </w:r>
      <w:r>
        <w:rPr>
          <w:rStyle w:val="18"/>
          <w:rFonts w:hint="eastAsia" w:ascii="仿宋" w:hAnsi="仿宋" w:eastAsia="仿宋" w:cs="仿宋"/>
          <w:b w:val="0"/>
          <w:bCs w:val="0"/>
        </w:rPr>
        <w:t>般公共预算财政拨款项目支出决算表</w:t>
      </w:r>
      <w:bookmarkEnd w:id="70"/>
    </w:p>
    <w:p>
      <w:pPr>
        <w:pStyle w:val="3"/>
        <w:spacing w:line="60" w:lineRule="auto"/>
        <w:rPr>
          <w:rFonts w:ascii="仿宋" w:hAnsi="仿宋" w:eastAsia="仿宋" w:cs="Times New Roman"/>
          <w:color w:val="000000"/>
        </w:rPr>
      </w:pPr>
      <w:bookmarkStart w:id="71" w:name="_Toc15396628"/>
      <w:r>
        <w:rPr>
          <w:rStyle w:val="18"/>
          <w:rFonts w:hint="eastAsia" w:ascii="仿宋" w:hAnsi="仿宋" w:eastAsia="仿宋" w:cs="仿宋"/>
          <w:b w:val="0"/>
          <w:bCs w:val="0"/>
        </w:rPr>
        <w:t>十、</w:t>
      </w:r>
      <w:r>
        <w:rPr>
          <w:rFonts w:hint="eastAsia" w:ascii="仿宋" w:hAnsi="仿宋" w:eastAsia="仿宋" w:cs="仿宋"/>
          <w:b w:val="0"/>
          <w:bCs w:val="0"/>
          <w:color w:val="000000"/>
        </w:rPr>
        <w:t>一</w:t>
      </w:r>
      <w:r>
        <w:rPr>
          <w:rStyle w:val="18"/>
          <w:rFonts w:hint="eastAsia" w:ascii="仿宋" w:hAnsi="仿宋" w:eastAsia="仿宋" w:cs="仿宋"/>
          <w:b w:val="0"/>
          <w:bCs w:val="0"/>
        </w:rPr>
        <w:t>般公共预算财政拨款“三公”经费支出决算表</w:t>
      </w:r>
      <w:bookmarkEnd w:id="71"/>
    </w:p>
    <w:p>
      <w:pPr>
        <w:pStyle w:val="3"/>
        <w:spacing w:line="60" w:lineRule="auto"/>
        <w:rPr>
          <w:rFonts w:ascii="仿宋" w:hAnsi="仿宋" w:eastAsia="仿宋" w:cs="Times New Roman"/>
          <w:color w:val="000000"/>
        </w:rPr>
      </w:pPr>
      <w:bookmarkStart w:id="72" w:name="_Toc15396629"/>
      <w:r>
        <w:rPr>
          <w:rStyle w:val="18"/>
          <w:rFonts w:hint="eastAsia" w:ascii="仿宋" w:hAnsi="仿宋" w:eastAsia="仿宋" w:cs="仿宋"/>
          <w:b w:val="0"/>
          <w:bCs w:val="0"/>
        </w:rPr>
        <w:t>十一、</w:t>
      </w:r>
      <w:r>
        <w:rPr>
          <w:rFonts w:hint="eastAsia" w:ascii="仿宋" w:hAnsi="仿宋" w:eastAsia="仿宋" w:cs="仿宋"/>
          <w:b w:val="0"/>
          <w:bCs w:val="0"/>
          <w:color w:val="000000"/>
        </w:rPr>
        <w:t>政</w:t>
      </w:r>
      <w:r>
        <w:rPr>
          <w:rStyle w:val="18"/>
          <w:rFonts w:hint="eastAsia" w:ascii="仿宋" w:hAnsi="仿宋" w:eastAsia="仿宋" w:cs="仿宋"/>
          <w:b w:val="0"/>
          <w:bCs w:val="0"/>
        </w:rPr>
        <w:t>府性基金预算财政拨款收入支出决算表</w:t>
      </w:r>
      <w:bookmarkEnd w:id="72"/>
    </w:p>
    <w:p>
      <w:pPr>
        <w:pStyle w:val="3"/>
        <w:spacing w:line="60" w:lineRule="auto"/>
        <w:rPr>
          <w:rFonts w:ascii="仿宋" w:hAnsi="仿宋" w:eastAsia="仿宋" w:cs="Times New Roman"/>
          <w:color w:val="000000"/>
        </w:rPr>
      </w:pPr>
      <w:bookmarkStart w:id="73" w:name="_Toc15396630"/>
      <w:r>
        <w:rPr>
          <w:rStyle w:val="18"/>
          <w:rFonts w:hint="eastAsia" w:ascii="仿宋" w:hAnsi="仿宋" w:eastAsia="仿宋" w:cs="仿宋"/>
          <w:b w:val="0"/>
          <w:bCs w:val="0"/>
        </w:rPr>
        <w:t>十二、</w:t>
      </w:r>
      <w:r>
        <w:rPr>
          <w:rFonts w:hint="eastAsia" w:ascii="仿宋" w:hAnsi="仿宋" w:eastAsia="仿宋" w:cs="仿宋"/>
          <w:b w:val="0"/>
          <w:bCs w:val="0"/>
          <w:color w:val="000000"/>
        </w:rPr>
        <w:t>政</w:t>
      </w:r>
      <w:r>
        <w:rPr>
          <w:rStyle w:val="18"/>
          <w:rFonts w:hint="eastAsia" w:ascii="仿宋" w:hAnsi="仿宋" w:eastAsia="仿宋" w:cs="仿宋"/>
          <w:b w:val="0"/>
          <w:bCs w:val="0"/>
        </w:rPr>
        <w:t>府性基金预算财政拨款“三公”经费支出决算表</w:t>
      </w:r>
      <w:bookmarkEnd w:id="73"/>
    </w:p>
    <w:p>
      <w:pPr>
        <w:pStyle w:val="3"/>
        <w:spacing w:line="60" w:lineRule="auto"/>
        <w:rPr>
          <w:rFonts w:ascii="仿宋" w:hAnsi="仿宋" w:eastAsia="仿宋" w:cs="Times New Roman"/>
          <w:b w:val="0"/>
          <w:bCs w:val="0"/>
        </w:rPr>
      </w:pPr>
      <w:bookmarkStart w:id="74" w:name="_Toc15396631"/>
      <w:r>
        <w:rPr>
          <w:rStyle w:val="18"/>
          <w:rFonts w:hint="eastAsia" w:ascii="仿宋" w:hAnsi="仿宋" w:eastAsia="仿宋" w:cs="仿宋"/>
          <w:b w:val="0"/>
          <w:bCs w:val="0"/>
        </w:rPr>
        <w:t>十三、</w:t>
      </w:r>
      <w:r>
        <w:rPr>
          <w:rFonts w:hint="eastAsia" w:ascii="仿宋" w:hAnsi="仿宋" w:eastAsia="仿宋" w:cs="仿宋"/>
          <w:b w:val="0"/>
          <w:bCs w:val="0"/>
          <w:color w:val="000000"/>
        </w:rPr>
        <w:t>国</w:t>
      </w:r>
      <w:r>
        <w:rPr>
          <w:rStyle w:val="18"/>
          <w:rFonts w:hint="eastAsia" w:ascii="仿宋" w:hAnsi="仿宋" w:eastAsia="仿宋" w:cs="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71E261-B887-497C-B73E-43D84CE0A785}"/>
  </w:font>
  <w:font w:name="Courier New">
    <w:panose1 w:val="02070309020205020404"/>
    <w:charset w:val="01"/>
    <w:family w:val="modern"/>
    <w:pitch w:val="default"/>
    <w:sig w:usb0="E0002EFF" w:usb1="C0007843" w:usb2="00000009" w:usb3="00000000" w:csb0="400001FF" w:csb1="FFFF0000"/>
    <w:embedRegular r:id="rId2" w:fontKey="{1456678C-A77E-468A-BDCC-8B994FFB543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5D2D74F-BD64-4D1E-A785-967CF04D8D05}"/>
  </w:font>
  <w:font w:name="Cambria">
    <w:panose1 w:val="02040503050406030204"/>
    <w:charset w:val="00"/>
    <w:family w:val="roman"/>
    <w:pitch w:val="default"/>
    <w:sig w:usb0="E00006FF" w:usb1="420024FF" w:usb2="02000000" w:usb3="00000000" w:csb0="2000019F" w:csb1="00000000"/>
    <w:embedRegular r:id="rId4" w:fontKey="{1458427C-FF28-4737-BC1B-F2553ECD161A}"/>
  </w:font>
  <w:font w:name="仿宋_GB2312">
    <w:altName w:val="仿宋"/>
    <w:panose1 w:val="02010609030101010101"/>
    <w:charset w:val="86"/>
    <w:family w:val="modern"/>
    <w:pitch w:val="default"/>
    <w:sig w:usb0="00000000" w:usb1="00000000" w:usb2="00000010" w:usb3="00000000" w:csb0="00040000" w:csb1="00000000"/>
    <w:embedRegular r:id="rId5" w:fontKey="{E7393557-0589-48D3-AA58-4916B3C7265D}"/>
  </w:font>
  <w:font w:name="仿宋">
    <w:panose1 w:val="02010609060101010101"/>
    <w:charset w:val="86"/>
    <w:family w:val="modern"/>
    <w:pitch w:val="default"/>
    <w:sig w:usb0="800002BF" w:usb1="38CF7CFA" w:usb2="00000016" w:usb3="00000000" w:csb0="00040001" w:csb1="00000000"/>
    <w:embedRegular r:id="rId6" w:fontKey="{240BD314-6DEC-4E7F-8D57-974CF5ACECC9}"/>
  </w:font>
  <w:font w:name="方正小标宋简体">
    <w:panose1 w:val="02000000000000000000"/>
    <w:charset w:val="86"/>
    <w:family w:val="script"/>
    <w:pitch w:val="default"/>
    <w:sig w:usb0="00000001" w:usb1="08000000" w:usb2="00000000" w:usb3="00000000" w:csb0="00040000" w:csb1="00000000"/>
    <w:embedRegular r:id="rId7" w:fontKey="{69411FFB-72A6-4562-BFE7-EFBBFEF0DE44}"/>
  </w:font>
  <w:font w:name="微软雅黑">
    <w:panose1 w:val="020B0503020204020204"/>
    <w:charset w:val="86"/>
    <w:family w:val="swiss"/>
    <w:pitch w:val="default"/>
    <w:sig w:usb0="80000287" w:usb1="2ACF3C50" w:usb2="00000016" w:usb3="00000000" w:csb0="0004001F" w:csb1="00000000"/>
    <w:embedRegular r:id="rId8" w:fontKey="{C217E1C4-1F5A-45DA-9251-A9C0386854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11</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1M2VjZDNkNmI4OWZkMThmMzE1MjhjOWI3MzQzN2EifQ=="/>
  </w:docVars>
  <w:rsids>
    <w:rsidRoot w:val="00F1361C"/>
    <w:rsid w:val="00005FD9"/>
    <w:rsid w:val="00013147"/>
    <w:rsid w:val="000153BC"/>
    <w:rsid w:val="00017A4A"/>
    <w:rsid w:val="000222C6"/>
    <w:rsid w:val="0002549F"/>
    <w:rsid w:val="00027231"/>
    <w:rsid w:val="00030DB2"/>
    <w:rsid w:val="000468DB"/>
    <w:rsid w:val="0004751E"/>
    <w:rsid w:val="00055309"/>
    <w:rsid w:val="000613D3"/>
    <w:rsid w:val="0006487A"/>
    <w:rsid w:val="00065F8F"/>
    <w:rsid w:val="00070A43"/>
    <w:rsid w:val="00071371"/>
    <w:rsid w:val="000768F2"/>
    <w:rsid w:val="0009184B"/>
    <w:rsid w:val="00094236"/>
    <w:rsid w:val="0009593C"/>
    <w:rsid w:val="00097322"/>
    <w:rsid w:val="000A6A92"/>
    <w:rsid w:val="000B047F"/>
    <w:rsid w:val="000B4682"/>
    <w:rsid w:val="000B5923"/>
    <w:rsid w:val="000B5A48"/>
    <w:rsid w:val="000B6494"/>
    <w:rsid w:val="000B6FF3"/>
    <w:rsid w:val="000C25B3"/>
    <w:rsid w:val="000C3467"/>
    <w:rsid w:val="000C3CA6"/>
    <w:rsid w:val="000C7B3D"/>
    <w:rsid w:val="000D1267"/>
    <w:rsid w:val="000D139A"/>
    <w:rsid w:val="000D1D50"/>
    <w:rsid w:val="000D4613"/>
    <w:rsid w:val="000D5782"/>
    <w:rsid w:val="000E0648"/>
    <w:rsid w:val="000E6613"/>
    <w:rsid w:val="000E7119"/>
    <w:rsid w:val="00104461"/>
    <w:rsid w:val="00114E9B"/>
    <w:rsid w:val="00120805"/>
    <w:rsid w:val="00136056"/>
    <w:rsid w:val="00142216"/>
    <w:rsid w:val="00144D6A"/>
    <w:rsid w:val="0014729F"/>
    <w:rsid w:val="001473F7"/>
    <w:rsid w:val="00151806"/>
    <w:rsid w:val="00156C69"/>
    <w:rsid w:val="00157BAB"/>
    <w:rsid w:val="001654D1"/>
    <w:rsid w:val="00165CEB"/>
    <w:rsid w:val="00174518"/>
    <w:rsid w:val="001753B3"/>
    <w:rsid w:val="0018106D"/>
    <w:rsid w:val="001877A7"/>
    <w:rsid w:val="00191536"/>
    <w:rsid w:val="00196687"/>
    <w:rsid w:val="001A33D4"/>
    <w:rsid w:val="001C0962"/>
    <w:rsid w:val="001C6C04"/>
    <w:rsid w:val="001D1929"/>
    <w:rsid w:val="001D7531"/>
    <w:rsid w:val="001D7DBA"/>
    <w:rsid w:val="001E1B28"/>
    <w:rsid w:val="001E737D"/>
    <w:rsid w:val="001E7478"/>
    <w:rsid w:val="001F0592"/>
    <w:rsid w:val="001F7506"/>
    <w:rsid w:val="0020055F"/>
    <w:rsid w:val="002006CD"/>
    <w:rsid w:val="00202B36"/>
    <w:rsid w:val="00204B7A"/>
    <w:rsid w:val="00204CDE"/>
    <w:rsid w:val="00210C58"/>
    <w:rsid w:val="0021101A"/>
    <w:rsid w:val="00214A91"/>
    <w:rsid w:val="00214DBC"/>
    <w:rsid w:val="00220536"/>
    <w:rsid w:val="00220B9E"/>
    <w:rsid w:val="00226F13"/>
    <w:rsid w:val="00227ACC"/>
    <w:rsid w:val="00235629"/>
    <w:rsid w:val="00242142"/>
    <w:rsid w:val="00243CEF"/>
    <w:rsid w:val="002522B4"/>
    <w:rsid w:val="002555B9"/>
    <w:rsid w:val="00260C38"/>
    <w:rsid w:val="002616C0"/>
    <w:rsid w:val="00265372"/>
    <w:rsid w:val="002662AA"/>
    <w:rsid w:val="002704C0"/>
    <w:rsid w:val="002707F7"/>
    <w:rsid w:val="00271CF6"/>
    <w:rsid w:val="00280496"/>
    <w:rsid w:val="00294DC9"/>
    <w:rsid w:val="00295495"/>
    <w:rsid w:val="002A1342"/>
    <w:rsid w:val="002A31DE"/>
    <w:rsid w:val="002A4D40"/>
    <w:rsid w:val="002B2613"/>
    <w:rsid w:val="002B2A29"/>
    <w:rsid w:val="002B69C9"/>
    <w:rsid w:val="002C2823"/>
    <w:rsid w:val="002D19B0"/>
    <w:rsid w:val="002D6D05"/>
    <w:rsid w:val="002E42A9"/>
    <w:rsid w:val="002F1818"/>
    <w:rsid w:val="002F43DE"/>
    <w:rsid w:val="002F567B"/>
    <w:rsid w:val="00304381"/>
    <w:rsid w:val="003064C1"/>
    <w:rsid w:val="0031235A"/>
    <w:rsid w:val="003216A9"/>
    <w:rsid w:val="00324794"/>
    <w:rsid w:val="00331107"/>
    <w:rsid w:val="00335A74"/>
    <w:rsid w:val="0035383D"/>
    <w:rsid w:val="0036561B"/>
    <w:rsid w:val="0037013F"/>
    <w:rsid w:val="00372531"/>
    <w:rsid w:val="00373E21"/>
    <w:rsid w:val="00374E4B"/>
    <w:rsid w:val="00380C92"/>
    <w:rsid w:val="00385D17"/>
    <w:rsid w:val="003A3480"/>
    <w:rsid w:val="003A484F"/>
    <w:rsid w:val="003A4883"/>
    <w:rsid w:val="003B0BE0"/>
    <w:rsid w:val="003B0C1B"/>
    <w:rsid w:val="003B688C"/>
    <w:rsid w:val="003C0291"/>
    <w:rsid w:val="003C0F9E"/>
    <w:rsid w:val="003C2DF8"/>
    <w:rsid w:val="003C2F79"/>
    <w:rsid w:val="003C39AE"/>
    <w:rsid w:val="003C7B60"/>
    <w:rsid w:val="003D0C0F"/>
    <w:rsid w:val="003D1FB2"/>
    <w:rsid w:val="003D649F"/>
    <w:rsid w:val="003D66DA"/>
    <w:rsid w:val="003E1310"/>
    <w:rsid w:val="003E6F55"/>
    <w:rsid w:val="003F301B"/>
    <w:rsid w:val="003F3467"/>
    <w:rsid w:val="00401CF3"/>
    <w:rsid w:val="00406254"/>
    <w:rsid w:val="00416CD4"/>
    <w:rsid w:val="004223DE"/>
    <w:rsid w:val="00434489"/>
    <w:rsid w:val="00435998"/>
    <w:rsid w:val="00437085"/>
    <w:rsid w:val="00442D9A"/>
    <w:rsid w:val="00443880"/>
    <w:rsid w:val="004464F4"/>
    <w:rsid w:val="004656A7"/>
    <w:rsid w:val="00471401"/>
    <w:rsid w:val="00473F31"/>
    <w:rsid w:val="004748F2"/>
    <w:rsid w:val="00476883"/>
    <w:rsid w:val="00482009"/>
    <w:rsid w:val="0048263A"/>
    <w:rsid w:val="00483C1A"/>
    <w:rsid w:val="00484162"/>
    <w:rsid w:val="00484A77"/>
    <w:rsid w:val="00487E5D"/>
    <w:rsid w:val="0049232C"/>
    <w:rsid w:val="004A711F"/>
    <w:rsid w:val="004B199D"/>
    <w:rsid w:val="004B4690"/>
    <w:rsid w:val="004B5E3A"/>
    <w:rsid w:val="004D2A78"/>
    <w:rsid w:val="004E0A2D"/>
    <w:rsid w:val="004E206B"/>
    <w:rsid w:val="004E356B"/>
    <w:rsid w:val="004E6DF7"/>
    <w:rsid w:val="004F0FBD"/>
    <w:rsid w:val="004F403E"/>
    <w:rsid w:val="005005CE"/>
    <w:rsid w:val="00502D3A"/>
    <w:rsid w:val="00505A47"/>
    <w:rsid w:val="00512FDA"/>
    <w:rsid w:val="00520DA0"/>
    <w:rsid w:val="00540E7C"/>
    <w:rsid w:val="00557847"/>
    <w:rsid w:val="005664BB"/>
    <w:rsid w:val="00566FFA"/>
    <w:rsid w:val="0057481D"/>
    <w:rsid w:val="00575F0B"/>
    <w:rsid w:val="00582563"/>
    <w:rsid w:val="0058486E"/>
    <w:rsid w:val="00585B33"/>
    <w:rsid w:val="0059014D"/>
    <w:rsid w:val="005A4923"/>
    <w:rsid w:val="005B1339"/>
    <w:rsid w:val="005B5272"/>
    <w:rsid w:val="005B5C64"/>
    <w:rsid w:val="005C6BD0"/>
    <w:rsid w:val="005C6C4C"/>
    <w:rsid w:val="005D1C8B"/>
    <w:rsid w:val="005D468D"/>
    <w:rsid w:val="005D49FF"/>
    <w:rsid w:val="005D5CED"/>
    <w:rsid w:val="005D5D72"/>
    <w:rsid w:val="005E4327"/>
    <w:rsid w:val="005F1652"/>
    <w:rsid w:val="005F1A4C"/>
    <w:rsid w:val="005F2632"/>
    <w:rsid w:val="005F3274"/>
    <w:rsid w:val="00605688"/>
    <w:rsid w:val="00605D75"/>
    <w:rsid w:val="006070AF"/>
    <w:rsid w:val="00607E6C"/>
    <w:rsid w:val="00607FA1"/>
    <w:rsid w:val="006101B1"/>
    <w:rsid w:val="00614E44"/>
    <w:rsid w:val="00616118"/>
    <w:rsid w:val="0062270A"/>
    <w:rsid w:val="00622830"/>
    <w:rsid w:val="00623DA0"/>
    <w:rsid w:val="00625E33"/>
    <w:rsid w:val="00630AEF"/>
    <w:rsid w:val="006325F8"/>
    <w:rsid w:val="006330E2"/>
    <w:rsid w:val="00633463"/>
    <w:rsid w:val="00634C9A"/>
    <w:rsid w:val="006411DC"/>
    <w:rsid w:val="006440E4"/>
    <w:rsid w:val="0066343B"/>
    <w:rsid w:val="006634B3"/>
    <w:rsid w:val="00664777"/>
    <w:rsid w:val="00672CDE"/>
    <w:rsid w:val="006748A4"/>
    <w:rsid w:val="0067627A"/>
    <w:rsid w:val="006817C9"/>
    <w:rsid w:val="00681A31"/>
    <w:rsid w:val="00683E73"/>
    <w:rsid w:val="006848B7"/>
    <w:rsid w:val="006A3141"/>
    <w:rsid w:val="006A5E34"/>
    <w:rsid w:val="006B044D"/>
    <w:rsid w:val="006B2422"/>
    <w:rsid w:val="006B2B9A"/>
    <w:rsid w:val="006B4E85"/>
    <w:rsid w:val="006B5B13"/>
    <w:rsid w:val="006C1937"/>
    <w:rsid w:val="006F020C"/>
    <w:rsid w:val="006F2F08"/>
    <w:rsid w:val="006F3537"/>
    <w:rsid w:val="00701AF2"/>
    <w:rsid w:val="0070267B"/>
    <w:rsid w:val="007118DA"/>
    <w:rsid w:val="007127B7"/>
    <w:rsid w:val="00713316"/>
    <w:rsid w:val="0071798E"/>
    <w:rsid w:val="007200B9"/>
    <w:rsid w:val="0072047C"/>
    <w:rsid w:val="00727533"/>
    <w:rsid w:val="00730768"/>
    <w:rsid w:val="00736C22"/>
    <w:rsid w:val="007416B6"/>
    <w:rsid w:val="00743473"/>
    <w:rsid w:val="00743478"/>
    <w:rsid w:val="00746784"/>
    <w:rsid w:val="00746F48"/>
    <w:rsid w:val="00752B70"/>
    <w:rsid w:val="0075404D"/>
    <w:rsid w:val="0076182A"/>
    <w:rsid w:val="00767B7E"/>
    <w:rsid w:val="007704D0"/>
    <w:rsid w:val="007740C9"/>
    <w:rsid w:val="00776E67"/>
    <w:rsid w:val="007770C3"/>
    <w:rsid w:val="00781532"/>
    <w:rsid w:val="00784D24"/>
    <w:rsid w:val="00785FBA"/>
    <w:rsid w:val="00786E4A"/>
    <w:rsid w:val="007875EB"/>
    <w:rsid w:val="00790072"/>
    <w:rsid w:val="0079426B"/>
    <w:rsid w:val="00794999"/>
    <w:rsid w:val="007A15F5"/>
    <w:rsid w:val="007B027A"/>
    <w:rsid w:val="007B06AF"/>
    <w:rsid w:val="007B1B13"/>
    <w:rsid w:val="007B5648"/>
    <w:rsid w:val="007B7CA6"/>
    <w:rsid w:val="007C2766"/>
    <w:rsid w:val="007C5B66"/>
    <w:rsid w:val="007D1682"/>
    <w:rsid w:val="007D312A"/>
    <w:rsid w:val="007D3F19"/>
    <w:rsid w:val="007E23B0"/>
    <w:rsid w:val="007E25F6"/>
    <w:rsid w:val="007E79B6"/>
    <w:rsid w:val="007F1860"/>
    <w:rsid w:val="007F1991"/>
    <w:rsid w:val="007F2C2F"/>
    <w:rsid w:val="007F55FC"/>
    <w:rsid w:val="007F562C"/>
    <w:rsid w:val="007F5665"/>
    <w:rsid w:val="007F6763"/>
    <w:rsid w:val="00800112"/>
    <w:rsid w:val="00813348"/>
    <w:rsid w:val="00816530"/>
    <w:rsid w:val="00821E3D"/>
    <w:rsid w:val="008253BB"/>
    <w:rsid w:val="008323F1"/>
    <w:rsid w:val="00833962"/>
    <w:rsid w:val="0083706E"/>
    <w:rsid w:val="008408F6"/>
    <w:rsid w:val="008423A5"/>
    <w:rsid w:val="00847F1F"/>
    <w:rsid w:val="00850625"/>
    <w:rsid w:val="00853718"/>
    <w:rsid w:val="00855221"/>
    <w:rsid w:val="0085546B"/>
    <w:rsid w:val="0085570F"/>
    <w:rsid w:val="00856B06"/>
    <w:rsid w:val="00860645"/>
    <w:rsid w:val="00861DAF"/>
    <w:rsid w:val="00871F71"/>
    <w:rsid w:val="00872FD8"/>
    <w:rsid w:val="00885AF4"/>
    <w:rsid w:val="00886E1F"/>
    <w:rsid w:val="008939CD"/>
    <w:rsid w:val="008944B9"/>
    <w:rsid w:val="008B768C"/>
    <w:rsid w:val="008C18A6"/>
    <w:rsid w:val="008C284B"/>
    <w:rsid w:val="008C4DB1"/>
    <w:rsid w:val="008C4EAF"/>
    <w:rsid w:val="008C5176"/>
    <w:rsid w:val="008C75DA"/>
    <w:rsid w:val="008C7E8F"/>
    <w:rsid w:val="008C7FD0"/>
    <w:rsid w:val="008D35BC"/>
    <w:rsid w:val="008D57C4"/>
    <w:rsid w:val="008D7D90"/>
    <w:rsid w:val="008E018D"/>
    <w:rsid w:val="008E1DE7"/>
    <w:rsid w:val="008E5D50"/>
    <w:rsid w:val="008E6111"/>
    <w:rsid w:val="008E707C"/>
    <w:rsid w:val="00900B08"/>
    <w:rsid w:val="00902155"/>
    <w:rsid w:val="00902FA3"/>
    <w:rsid w:val="00923564"/>
    <w:rsid w:val="0092392E"/>
    <w:rsid w:val="009315F9"/>
    <w:rsid w:val="009330AA"/>
    <w:rsid w:val="00933499"/>
    <w:rsid w:val="00935C98"/>
    <w:rsid w:val="00941222"/>
    <w:rsid w:val="00946945"/>
    <w:rsid w:val="00951248"/>
    <w:rsid w:val="0095152F"/>
    <w:rsid w:val="00954C49"/>
    <w:rsid w:val="00955E37"/>
    <w:rsid w:val="0097099F"/>
    <w:rsid w:val="00971997"/>
    <w:rsid w:val="00971FFC"/>
    <w:rsid w:val="0098127D"/>
    <w:rsid w:val="00985766"/>
    <w:rsid w:val="0098660A"/>
    <w:rsid w:val="009925A2"/>
    <w:rsid w:val="009931C3"/>
    <w:rsid w:val="0099357F"/>
    <w:rsid w:val="009A14AD"/>
    <w:rsid w:val="009A2F42"/>
    <w:rsid w:val="009B03F4"/>
    <w:rsid w:val="009B2C43"/>
    <w:rsid w:val="009B4EAE"/>
    <w:rsid w:val="009B6467"/>
    <w:rsid w:val="009B7573"/>
    <w:rsid w:val="009C1189"/>
    <w:rsid w:val="009C22F4"/>
    <w:rsid w:val="009C2E98"/>
    <w:rsid w:val="009C37FB"/>
    <w:rsid w:val="009D3226"/>
    <w:rsid w:val="009D3447"/>
    <w:rsid w:val="009D4711"/>
    <w:rsid w:val="009F1185"/>
    <w:rsid w:val="009F18CD"/>
    <w:rsid w:val="009F2A13"/>
    <w:rsid w:val="009F34BB"/>
    <w:rsid w:val="009F6F85"/>
    <w:rsid w:val="009F7527"/>
    <w:rsid w:val="009F7DCA"/>
    <w:rsid w:val="00A039ED"/>
    <w:rsid w:val="00A04EB0"/>
    <w:rsid w:val="00A065A0"/>
    <w:rsid w:val="00A0679A"/>
    <w:rsid w:val="00A13CC1"/>
    <w:rsid w:val="00A16847"/>
    <w:rsid w:val="00A237D8"/>
    <w:rsid w:val="00A268C4"/>
    <w:rsid w:val="00A307CD"/>
    <w:rsid w:val="00A331C8"/>
    <w:rsid w:val="00A332F2"/>
    <w:rsid w:val="00A35117"/>
    <w:rsid w:val="00A359D9"/>
    <w:rsid w:val="00A3704A"/>
    <w:rsid w:val="00A40A00"/>
    <w:rsid w:val="00A4142F"/>
    <w:rsid w:val="00A422EB"/>
    <w:rsid w:val="00A459FD"/>
    <w:rsid w:val="00A45BB7"/>
    <w:rsid w:val="00A51AFA"/>
    <w:rsid w:val="00A56DF2"/>
    <w:rsid w:val="00A56E6E"/>
    <w:rsid w:val="00A67AB5"/>
    <w:rsid w:val="00A733B2"/>
    <w:rsid w:val="00A741C2"/>
    <w:rsid w:val="00A74D30"/>
    <w:rsid w:val="00A819C4"/>
    <w:rsid w:val="00A87F45"/>
    <w:rsid w:val="00A91760"/>
    <w:rsid w:val="00A92488"/>
    <w:rsid w:val="00A93B00"/>
    <w:rsid w:val="00A93C21"/>
    <w:rsid w:val="00AA42BB"/>
    <w:rsid w:val="00AB64C9"/>
    <w:rsid w:val="00AC0807"/>
    <w:rsid w:val="00AC3C6A"/>
    <w:rsid w:val="00AD060D"/>
    <w:rsid w:val="00AD0F83"/>
    <w:rsid w:val="00AD5620"/>
    <w:rsid w:val="00AD656B"/>
    <w:rsid w:val="00AD7C1B"/>
    <w:rsid w:val="00AE16BA"/>
    <w:rsid w:val="00AE1EBE"/>
    <w:rsid w:val="00AE5FD7"/>
    <w:rsid w:val="00AF3916"/>
    <w:rsid w:val="00B03C9D"/>
    <w:rsid w:val="00B05649"/>
    <w:rsid w:val="00B060AE"/>
    <w:rsid w:val="00B10517"/>
    <w:rsid w:val="00B10EE9"/>
    <w:rsid w:val="00B14E76"/>
    <w:rsid w:val="00B161B8"/>
    <w:rsid w:val="00B2048C"/>
    <w:rsid w:val="00B25285"/>
    <w:rsid w:val="00B27F2B"/>
    <w:rsid w:val="00B310B9"/>
    <w:rsid w:val="00B34058"/>
    <w:rsid w:val="00B35F3F"/>
    <w:rsid w:val="00B36CBB"/>
    <w:rsid w:val="00B36E0B"/>
    <w:rsid w:val="00B425E0"/>
    <w:rsid w:val="00B42E95"/>
    <w:rsid w:val="00B440AA"/>
    <w:rsid w:val="00B44B70"/>
    <w:rsid w:val="00B5083D"/>
    <w:rsid w:val="00B53C56"/>
    <w:rsid w:val="00B57DAF"/>
    <w:rsid w:val="00B66234"/>
    <w:rsid w:val="00B72F9A"/>
    <w:rsid w:val="00B74A7A"/>
    <w:rsid w:val="00B74C4C"/>
    <w:rsid w:val="00B762EA"/>
    <w:rsid w:val="00B77EA6"/>
    <w:rsid w:val="00B80838"/>
    <w:rsid w:val="00B81598"/>
    <w:rsid w:val="00B841F1"/>
    <w:rsid w:val="00B87D4E"/>
    <w:rsid w:val="00B944D6"/>
    <w:rsid w:val="00B96785"/>
    <w:rsid w:val="00BA27E5"/>
    <w:rsid w:val="00BB4DF0"/>
    <w:rsid w:val="00BB56C4"/>
    <w:rsid w:val="00BB6ED4"/>
    <w:rsid w:val="00BC289F"/>
    <w:rsid w:val="00BC2D50"/>
    <w:rsid w:val="00BC5361"/>
    <w:rsid w:val="00BC5460"/>
    <w:rsid w:val="00BC6B50"/>
    <w:rsid w:val="00BD0E25"/>
    <w:rsid w:val="00BE186D"/>
    <w:rsid w:val="00BE2569"/>
    <w:rsid w:val="00BF1474"/>
    <w:rsid w:val="00BF5BD6"/>
    <w:rsid w:val="00C00FA4"/>
    <w:rsid w:val="00C03E31"/>
    <w:rsid w:val="00C06B3A"/>
    <w:rsid w:val="00C16C10"/>
    <w:rsid w:val="00C17DAF"/>
    <w:rsid w:val="00C276F3"/>
    <w:rsid w:val="00C30E69"/>
    <w:rsid w:val="00C33E72"/>
    <w:rsid w:val="00C354B2"/>
    <w:rsid w:val="00C35554"/>
    <w:rsid w:val="00C3727B"/>
    <w:rsid w:val="00C37981"/>
    <w:rsid w:val="00C42709"/>
    <w:rsid w:val="00C533CC"/>
    <w:rsid w:val="00C5728B"/>
    <w:rsid w:val="00C5751C"/>
    <w:rsid w:val="00C61BFC"/>
    <w:rsid w:val="00C61FCC"/>
    <w:rsid w:val="00C62B85"/>
    <w:rsid w:val="00C63011"/>
    <w:rsid w:val="00C65438"/>
    <w:rsid w:val="00C84C44"/>
    <w:rsid w:val="00C91CBB"/>
    <w:rsid w:val="00C93C26"/>
    <w:rsid w:val="00CA3B16"/>
    <w:rsid w:val="00CA3F64"/>
    <w:rsid w:val="00CA4F8F"/>
    <w:rsid w:val="00CB11C7"/>
    <w:rsid w:val="00CB2EF2"/>
    <w:rsid w:val="00CB4E70"/>
    <w:rsid w:val="00CC09B6"/>
    <w:rsid w:val="00CC666F"/>
    <w:rsid w:val="00CD1E3F"/>
    <w:rsid w:val="00CE44F6"/>
    <w:rsid w:val="00CE49DA"/>
    <w:rsid w:val="00CE7B61"/>
    <w:rsid w:val="00D00095"/>
    <w:rsid w:val="00D114F0"/>
    <w:rsid w:val="00D16DB2"/>
    <w:rsid w:val="00D20620"/>
    <w:rsid w:val="00D254F7"/>
    <w:rsid w:val="00D26091"/>
    <w:rsid w:val="00D2685C"/>
    <w:rsid w:val="00D34E7C"/>
    <w:rsid w:val="00D35489"/>
    <w:rsid w:val="00D36AFE"/>
    <w:rsid w:val="00D51276"/>
    <w:rsid w:val="00D533F7"/>
    <w:rsid w:val="00D6737E"/>
    <w:rsid w:val="00D7035F"/>
    <w:rsid w:val="00D727EF"/>
    <w:rsid w:val="00D745AE"/>
    <w:rsid w:val="00D80918"/>
    <w:rsid w:val="00D82323"/>
    <w:rsid w:val="00DA634F"/>
    <w:rsid w:val="00DA65AC"/>
    <w:rsid w:val="00DB0A49"/>
    <w:rsid w:val="00DB1913"/>
    <w:rsid w:val="00DC410D"/>
    <w:rsid w:val="00DC5A81"/>
    <w:rsid w:val="00DC68CA"/>
    <w:rsid w:val="00DC7CBA"/>
    <w:rsid w:val="00DD2D6F"/>
    <w:rsid w:val="00DD5432"/>
    <w:rsid w:val="00DD73B7"/>
    <w:rsid w:val="00DF28BC"/>
    <w:rsid w:val="00DF34B9"/>
    <w:rsid w:val="00DF4EBF"/>
    <w:rsid w:val="00E01053"/>
    <w:rsid w:val="00E07ACF"/>
    <w:rsid w:val="00E162D0"/>
    <w:rsid w:val="00E202D7"/>
    <w:rsid w:val="00E21F0D"/>
    <w:rsid w:val="00E331A1"/>
    <w:rsid w:val="00E33202"/>
    <w:rsid w:val="00E336A9"/>
    <w:rsid w:val="00E472B1"/>
    <w:rsid w:val="00E50624"/>
    <w:rsid w:val="00E51274"/>
    <w:rsid w:val="00E568DF"/>
    <w:rsid w:val="00E573F7"/>
    <w:rsid w:val="00E60880"/>
    <w:rsid w:val="00E61AE3"/>
    <w:rsid w:val="00E64269"/>
    <w:rsid w:val="00E66797"/>
    <w:rsid w:val="00E70B3E"/>
    <w:rsid w:val="00E758A0"/>
    <w:rsid w:val="00E75C82"/>
    <w:rsid w:val="00E75EEA"/>
    <w:rsid w:val="00E81D89"/>
    <w:rsid w:val="00E82267"/>
    <w:rsid w:val="00E853CE"/>
    <w:rsid w:val="00E867B6"/>
    <w:rsid w:val="00E87F08"/>
    <w:rsid w:val="00E902D9"/>
    <w:rsid w:val="00E90CF4"/>
    <w:rsid w:val="00E91D32"/>
    <w:rsid w:val="00E9730B"/>
    <w:rsid w:val="00EA010F"/>
    <w:rsid w:val="00EA3B1A"/>
    <w:rsid w:val="00EA433C"/>
    <w:rsid w:val="00EC0578"/>
    <w:rsid w:val="00EC190B"/>
    <w:rsid w:val="00EC1DEF"/>
    <w:rsid w:val="00EC5144"/>
    <w:rsid w:val="00EC53FA"/>
    <w:rsid w:val="00ED1B63"/>
    <w:rsid w:val="00ED3C1F"/>
    <w:rsid w:val="00ED4085"/>
    <w:rsid w:val="00ED420E"/>
    <w:rsid w:val="00ED6FBE"/>
    <w:rsid w:val="00EE2F57"/>
    <w:rsid w:val="00EF4C34"/>
    <w:rsid w:val="00EF77C6"/>
    <w:rsid w:val="00F044D4"/>
    <w:rsid w:val="00F05438"/>
    <w:rsid w:val="00F108A2"/>
    <w:rsid w:val="00F13600"/>
    <w:rsid w:val="00F1361C"/>
    <w:rsid w:val="00F156F0"/>
    <w:rsid w:val="00F160C7"/>
    <w:rsid w:val="00F2408F"/>
    <w:rsid w:val="00F240E9"/>
    <w:rsid w:val="00F25756"/>
    <w:rsid w:val="00F36A3C"/>
    <w:rsid w:val="00F36D8F"/>
    <w:rsid w:val="00F3704C"/>
    <w:rsid w:val="00F417B1"/>
    <w:rsid w:val="00F45853"/>
    <w:rsid w:val="00F5352E"/>
    <w:rsid w:val="00F602DF"/>
    <w:rsid w:val="00F672D4"/>
    <w:rsid w:val="00F754A1"/>
    <w:rsid w:val="00F81E01"/>
    <w:rsid w:val="00F81FD9"/>
    <w:rsid w:val="00F83DB8"/>
    <w:rsid w:val="00F841AA"/>
    <w:rsid w:val="00F84A94"/>
    <w:rsid w:val="00F87E96"/>
    <w:rsid w:val="00FA23E8"/>
    <w:rsid w:val="00FC3D2E"/>
    <w:rsid w:val="00FD12AB"/>
    <w:rsid w:val="00FD2ADE"/>
    <w:rsid w:val="00FD3CC1"/>
    <w:rsid w:val="00FF1E02"/>
    <w:rsid w:val="00FF30B4"/>
    <w:rsid w:val="00FF7602"/>
    <w:rsid w:val="00FF79B6"/>
    <w:rsid w:val="10C055FF"/>
    <w:rsid w:val="16BB723D"/>
    <w:rsid w:val="240371BF"/>
    <w:rsid w:val="29FD04D3"/>
    <w:rsid w:val="2EBF5CD2"/>
    <w:rsid w:val="319F7F4E"/>
    <w:rsid w:val="4ECE2238"/>
    <w:rsid w:val="501E5EE5"/>
    <w:rsid w:val="54E66EDA"/>
    <w:rsid w:val="72734D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24"/>
      <w:szCs w:val="24"/>
    </w:rPr>
  </w:style>
  <w:style w:type="paragraph" w:styleId="6">
    <w:name w:val="toc 3"/>
    <w:basedOn w:val="1"/>
    <w:next w:val="1"/>
    <w:semiHidden/>
    <w:qFormat/>
    <w:uiPriority w:val="99"/>
    <w:pPr>
      <w:tabs>
        <w:tab w:val="right" w:leader="dot" w:pos="8296"/>
      </w:tabs>
      <w:ind w:left="840" w:leftChars="400"/>
    </w:pPr>
  </w:style>
  <w:style w:type="paragraph" w:styleId="7">
    <w:name w:val="Balloon Text"/>
    <w:basedOn w:val="1"/>
    <w:link w:val="21"/>
    <w:semiHidden/>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1">
    <w:name w:val="toc 2"/>
    <w:basedOn w:val="1"/>
    <w:next w:val="1"/>
    <w:semiHidden/>
    <w:qFormat/>
    <w:uiPriority w:val="99"/>
    <w:pPr>
      <w:tabs>
        <w:tab w:val="right" w:leader="dot" w:pos="8296"/>
      </w:tabs>
      <w:ind w:left="420" w:leftChars="200"/>
    </w:pPr>
  </w:style>
  <w:style w:type="paragraph" w:styleId="12">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99"/>
    <w:rPr>
      <w:b/>
      <w:bCs/>
    </w:rPr>
  </w:style>
  <w:style w:type="character" w:styleId="16">
    <w:name w:val="Hyperlink"/>
    <w:basedOn w:val="14"/>
    <w:qFormat/>
    <w:uiPriority w:val="99"/>
    <w:rPr>
      <w:color w:val="0000FF"/>
      <w:u w:val="single"/>
    </w:rPr>
  </w:style>
  <w:style w:type="character" w:customStyle="1" w:styleId="17">
    <w:name w:val="标题 1 Char"/>
    <w:basedOn w:val="14"/>
    <w:link w:val="2"/>
    <w:qFormat/>
    <w:locked/>
    <w:uiPriority w:val="9"/>
    <w:rPr>
      <w:rFonts w:ascii="Times New Roman" w:hAnsi="Times New Roman" w:cs="Times New Roman"/>
      <w:b/>
      <w:bCs/>
      <w:kern w:val="44"/>
      <w:sz w:val="44"/>
      <w:szCs w:val="44"/>
    </w:rPr>
  </w:style>
  <w:style w:type="character" w:customStyle="1" w:styleId="18">
    <w:name w:val="标题 2 Char"/>
    <w:basedOn w:val="14"/>
    <w:link w:val="3"/>
    <w:qFormat/>
    <w:locked/>
    <w:uiPriority w:val="99"/>
    <w:rPr>
      <w:rFonts w:ascii="Cambria" w:hAnsi="Cambria" w:eastAsia="宋体" w:cs="Cambria"/>
      <w:b/>
      <w:bCs/>
      <w:kern w:val="2"/>
      <w:sz w:val="32"/>
      <w:szCs w:val="32"/>
    </w:rPr>
  </w:style>
  <w:style w:type="character" w:customStyle="1" w:styleId="19">
    <w:name w:val="标题 3 Char"/>
    <w:basedOn w:val="14"/>
    <w:link w:val="4"/>
    <w:qFormat/>
    <w:locked/>
    <w:uiPriority w:val="99"/>
    <w:rPr>
      <w:rFonts w:ascii="Times New Roman" w:hAnsi="Times New Roman" w:cs="Times New Roman"/>
      <w:b/>
      <w:bCs/>
      <w:kern w:val="2"/>
      <w:sz w:val="32"/>
      <w:szCs w:val="32"/>
    </w:rPr>
  </w:style>
  <w:style w:type="character" w:customStyle="1" w:styleId="20">
    <w:name w:val="正文文本 Char"/>
    <w:link w:val="5"/>
    <w:qFormat/>
    <w:locked/>
    <w:uiPriority w:val="99"/>
    <w:rPr>
      <w:rFonts w:ascii="仿宋_GB2312" w:hAnsi="Times New Roman" w:eastAsia="仿宋_GB2312" w:cs="仿宋_GB2312"/>
      <w:sz w:val="24"/>
      <w:szCs w:val="24"/>
    </w:rPr>
  </w:style>
  <w:style w:type="character" w:customStyle="1" w:styleId="21">
    <w:name w:val="批注框文本 Char"/>
    <w:basedOn w:val="14"/>
    <w:link w:val="7"/>
    <w:semiHidden/>
    <w:qFormat/>
    <w:locked/>
    <w:uiPriority w:val="99"/>
    <w:rPr>
      <w:rFonts w:ascii="Times New Roman" w:hAnsi="Times New Roman" w:cs="Times New Roman"/>
      <w:kern w:val="2"/>
      <w:sz w:val="18"/>
      <w:szCs w:val="18"/>
    </w:rPr>
  </w:style>
  <w:style w:type="character" w:customStyle="1" w:styleId="22">
    <w:name w:val="页脚 Char"/>
    <w:link w:val="8"/>
    <w:qFormat/>
    <w:locked/>
    <w:uiPriority w:val="99"/>
    <w:rPr>
      <w:sz w:val="18"/>
      <w:szCs w:val="18"/>
    </w:rPr>
  </w:style>
  <w:style w:type="character" w:customStyle="1" w:styleId="23">
    <w:name w:val="页眉 Char"/>
    <w:link w:val="9"/>
    <w:semiHidden/>
    <w:qFormat/>
    <w:locked/>
    <w:uiPriority w:val="99"/>
    <w:rPr>
      <w:sz w:val="18"/>
      <w:szCs w:val="18"/>
    </w:rPr>
  </w:style>
  <w:style w:type="character" w:customStyle="1" w:styleId="24">
    <w:name w:val="Body Text Char"/>
    <w:basedOn w:val="14"/>
    <w:link w:val="5"/>
    <w:semiHidden/>
    <w:qFormat/>
    <w:locked/>
    <w:uiPriority w:val="99"/>
    <w:rPr>
      <w:rFonts w:ascii="Times New Roman" w:hAnsi="Times New Roman" w:cs="Times New Roman"/>
      <w:sz w:val="24"/>
      <w:szCs w:val="24"/>
    </w:rPr>
  </w:style>
  <w:style w:type="character" w:customStyle="1" w:styleId="25">
    <w:name w:val="Footer Char"/>
    <w:basedOn w:val="14"/>
    <w:link w:val="8"/>
    <w:semiHidden/>
    <w:qFormat/>
    <w:locked/>
    <w:uiPriority w:val="99"/>
    <w:rPr>
      <w:rFonts w:ascii="Times New Roman" w:hAnsi="Times New Roman" w:cs="Times New Roman"/>
      <w:sz w:val="18"/>
      <w:szCs w:val="18"/>
    </w:rPr>
  </w:style>
  <w:style w:type="character" w:customStyle="1" w:styleId="26">
    <w:name w:val="Header Char"/>
    <w:basedOn w:val="14"/>
    <w:link w:val="9"/>
    <w:semiHidden/>
    <w:qFormat/>
    <w:locked/>
    <w:uiPriority w:val="99"/>
    <w:rPr>
      <w:rFonts w:ascii="Times New Roman" w:hAnsi="Times New Roman" w:cs="Times New Roman"/>
      <w:sz w:val="18"/>
      <w:szCs w:val="18"/>
    </w:rPr>
  </w:style>
  <w:style w:type="paragraph" w:customStyle="1" w:styleId="2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paragraph" w:customStyle="1" w:styleId="29">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0">
    <w:name w:val="TOC 标题2"/>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1">
    <w:name w:val="列出段落1"/>
    <w:basedOn w:val="1"/>
    <w:qFormat/>
    <w:uiPriority w:val="34"/>
    <w:pPr>
      <w:ind w:firstLine="420" w:firstLineChars="200"/>
    </w:pPr>
    <w:rPr>
      <w:szCs w:val="24"/>
    </w:rPr>
  </w:style>
  <w:style w:type="character" w:customStyle="1" w:styleId="32">
    <w:name w:val="MSG_EN_FONT_STYLE_NAME_TEMPLATE_ROLE_NUMBER MSG_EN_FONT_STYLE_NAME_BY_ROLE_TEXT 2_"/>
    <w:basedOn w:val="14"/>
    <w:link w:val="33"/>
    <w:qFormat/>
    <w:uiPriority w:val="0"/>
    <w:rPr>
      <w:rFonts w:ascii="宋体" w:hAnsi="宋体" w:eastAsia="宋体" w:cs="宋体"/>
      <w:spacing w:val="30"/>
      <w:sz w:val="28"/>
      <w:szCs w:val="28"/>
      <w:shd w:val="clear" w:color="auto" w:fill="FFFFFF"/>
    </w:rPr>
  </w:style>
  <w:style w:type="paragraph" w:customStyle="1" w:styleId="33">
    <w:name w:val="MSG_EN_FONT_STYLE_NAME_TEMPLATE_ROLE_NUMBER MSG_EN_FONT_STYLE_NAME_BY_ROLE_TEXT 2"/>
    <w:basedOn w:val="1"/>
    <w:link w:val="32"/>
    <w:qFormat/>
    <w:uiPriority w:val="0"/>
    <w:pPr>
      <w:shd w:val="clear" w:color="auto" w:fill="FFFFFF"/>
      <w:spacing w:before="760" w:after="1480" w:line="280" w:lineRule="exact"/>
      <w:jc w:val="center"/>
    </w:pPr>
    <w:rPr>
      <w:rFonts w:ascii="宋体" w:hAnsi="宋体" w:eastAsia="宋体" w:cs="宋体"/>
      <w:spacing w:val="30"/>
      <w:kern w:val="0"/>
      <w:sz w:val="28"/>
      <w:szCs w:val="28"/>
    </w:rPr>
  </w:style>
  <w:style w:type="character" w:customStyle="1" w:styleId="34">
    <w:name w:val="MSG_EN_FONT_STYLE_NAME_TEMPLATE_ROLE_NUMBER MSG_EN_FONT_STYLE_NAME_BY_ROLE_TEXT 4_"/>
    <w:basedOn w:val="14"/>
    <w:link w:val="35"/>
    <w:qFormat/>
    <w:uiPriority w:val="0"/>
    <w:rPr>
      <w:rFonts w:ascii="宋体" w:hAnsi="宋体" w:eastAsia="宋体" w:cs="宋体"/>
      <w:sz w:val="32"/>
      <w:szCs w:val="32"/>
      <w:shd w:val="clear" w:color="auto" w:fill="FFFFFF"/>
    </w:rPr>
  </w:style>
  <w:style w:type="paragraph" w:customStyle="1" w:styleId="35">
    <w:name w:val="MSG_EN_FONT_STYLE_NAME_TEMPLATE_ROLE_NUMBER MSG_EN_FONT_STYLE_NAME_BY_ROLE_TEXT 4"/>
    <w:basedOn w:val="1"/>
    <w:link w:val="34"/>
    <w:qFormat/>
    <w:uiPriority w:val="0"/>
    <w:pPr>
      <w:shd w:val="clear" w:color="auto" w:fill="FFFFFF"/>
      <w:spacing w:line="598" w:lineRule="exact"/>
      <w:ind w:firstLine="700"/>
      <w:jc w:val="distribute"/>
    </w:pPr>
    <w:rPr>
      <w:rFonts w:ascii="宋体" w:hAnsi="宋体" w:eastAsia="宋体" w:cs="宋体"/>
      <w:kern w:val="0"/>
      <w:sz w:val="32"/>
      <w:szCs w:val="32"/>
    </w:rPr>
  </w:style>
  <w:style w:type="character" w:customStyle="1" w:styleId="36">
    <w:name w:val="MSG_EN_FONT_STYLE_NAME_TEMPLATE_ROLE_NUMBER MSG_EN_FONT_STYLE_NAME_BY_ROLE_TEXT 5_"/>
    <w:basedOn w:val="14"/>
    <w:link w:val="37"/>
    <w:qFormat/>
    <w:uiPriority w:val="0"/>
    <w:rPr>
      <w:rFonts w:ascii="宋体" w:hAnsi="宋体" w:eastAsia="宋体" w:cs="宋体"/>
      <w:b/>
      <w:bCs/>
      <w:spacing w:val="20"/>
      <w:sz w:val="28"/>
      <w:szCs w:val="28"/>
      <w:shd w:val="clear" w:color="auto" w:fill="FFFFFF"/>
    </w:rPr>
  </w:style>
  <w:style w:type="paragraph" w:customStyle="1" w:styleId="37">
    <w:name w:val="MSG_EN_FONT_STYLE_NAME_TEMPLATE_ROLE_NUMBER MSG_EN_FONT_STYLE_NAME_BY_ROLE_TEXT 5"/>
    <w:basedOn w:val="1"/>
    <w:link w:val="36"/>
    <w:qFormat/>
    <w:uiPriority w:val="0"/>
    <w:pPr>
      <w:shd w:val="clear" w:color="auto" w:fill="FFFFFF"/>
      <w:spacing w:line="598" w:lineRule="exact"/>
      <w:ind w:firstLine="700"/>
      <w:jc w:val="distribute"/>
    </w:pPr>
    <w:rPr>
      <w:rFonts w:ascii="宋体" w:hAnsi="宋体" w:eastAsia="宋体" w:cs="宋体"/>
      <w:b/>
      <w:bCs/>
      <w:spacing w:val="20"/>
      <w:kern w:val="0"/>
      <w:sz w:val="28"/>
      <w:szCs w:val="28"/>
    </w:rPr>
  </w:style>
  <w:style w:type="character" w:customStyle="1" w:styleId="38">
    <w:name w:val="MSG_EN_FONT_STYLE_NAME_TEMPLATE_ROLE_NUMBER MSG_EN_FONT_STYLE_NAME_BY_ROLE_TEXT 2 + MSG_EN_FONT_STYLE_MODIFER_BOLD"/>
    <w:basedOn w:val="32"/>
    <w:qFormat/>
    <w:uiPriority w:val="0"/>
    <w:rPr>
      <w:b/>
      <w:bCs/>
      <w:color w:val="000000"/>
      <w:spacing w:val="20"/>
      <w:w w:val="100"/>
      <w:position w:val="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PC-20190305KZCR\Desktop\&#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2022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278.37</c:v>
                </c:pt>
                <c:pt idx="1">
                  <c:v>278.37</c:v>
                </c:pt>
              </c:numCache>
            </c:numRef>
          </c:val>
        </c:ser>
        <c:ser>
          <c:idx val="1"/>
          <c:order val="1"/>
          <c:tx>
            <c:strRef>
              <c:f>Sheet1!$C$1</c:f>
              <c:strCache>
                <c:ptCount val="1"/>
                <c:pt idx="0">
                  <c:v>2021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316.37</c:v>
                </c:pt>
                <c:pt idx="1">
                  <c:v>316.37</c:v>
                </c:pt>
              </c:numCache>
            </c:numRef>
          </c:val>
        </c:ser>
        <c:dLbls>
          <c:showLegendKey val="0"/>
          <c:showVal val="1"/>
          <c:showCatName val="0"/>
          <c:showSerName val="0"/>
          <c:showPercent val="0"/>
          <c:showBubbleSize val="0"/>
        </c:dLbls>
        <c:gapWidth val="150"/>
        <c:axId val="112498176"/>
        <c:axId val="112603136"/>
      </c:barChart>
      <c:catAx>
        <c:axId val="11249817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2603136"/>
        <c:crosses val="autoZero"/>
        <c:auto val="1"/>
        <c:lblAlgn val="ctr"/>
        <c:lblOffset val="100"/>
        <c:noMultiLvlLbl val="0"/>
      </c:catAx>
      <c:valAx>
        <c:axId val="1126031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24981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收入决算情况</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财政拨款收入</c:v>
                </c:pt>
                <c:pt idx="1">
                  <c:v>事业收入</c:v>
                </c:pt>
                <c:pt idx="2">
                  <c:v>政府性基金预算收入</c:v>
                </c:pt>
                <c:pt idx="3">
                  <c:v>上年结转资金</c:v>
                </c:pt>
              </c:strCache>
            </c:strRef>
          </c:cat>
          <c:val>
            <c:numRef>
              <c:f>Sheet1!$B$2:$B$5</c:f>
              <c:numCache>
                <c:formatCode>General</c:formatCode>
                <c:ptCount val="4"/>
                <c:pt idx="0">
                  <c:v>277.37</c:v>
                </c:pt>
                <c:pt idx="1">
                  <c:v>0</c:v>
                </c:pt>
                <c:pt idx="2">
                  <c:v>1</c:v>
                </c:pt>
                <c:pt idx="3">
                  <c:v>0</c:v>
                </c:pt>
              </c:numCache>
            </c:numRef>
          </c:val>
        </c:ser>
        <c:dLbls>
          <c:showLegendKey val="0"/>
          <c:showVal val="1"/>
          <c:showCatName val="0"/>
          <c:showSerName val="0"/>
          <c:showPercent val="0"/>
          <c:showBubbleSize val="0"/>
          <c:showLeaderLines val="1"/>
        </c:dLbls>
        <c:firstSliceAng val="0"/>
      </c:pieChart>
      <c:spPr>
        <a:noFill/>
        <a:ln w="25382">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支出情况</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271.37</c:v>
                </c:pt>
                <c:pt idx="1">
                  <c:v>7</c:v>
                </c:pt>
              </c:numCache>
            </c:numRef>
          </c:val>
        </c:ser>
        <c:dLbls>
          <c:showLegendKey val="0"/>
          <c:showVal val="1"/>
          <c:showCatName val="0"/>
          <c:showSerName val="0"/>
          <c:showPercent val="0"/>
          <c:showBubbleSize val="0"/>
        </c:dLbls>
      </c:pie3DChart>
      <c:spPr>
        <a:noFill/>
        <a:ln w="25382">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Sheet1!$B$2:$B$3</c:f>
              <c:numCache>
                <c:formatCode>General</c:formatCode>
                <c:ptCount val="2"/>
                <c:pt idx="0">
                  <c:v>278.37</c:v>
                </c:pt>
                <c:pt idx="1">
                  <c:v>278.37</c:v>
                </c:pt>
              </c:numCache>
            </c:numRef>
          </c:val>
        </c:ser>
        <c:ser>
          <c:idx val="1"/>
          <c:order val="1"/>
          <c:tx>
            <c:strRef>
              <c:f>Sheet1!$C$1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Sheet1!$C$2:$C$3</c:f>
              <c:numCache>
                <c:formatCode>General</c:formatCode>
                <c:ptCount val="2"/>
                <c:pt idx="0">
                  <c:v>316.37</c:v>
                </c:pt>
                <c:pt idx="1">
                  <c:v>316.37</c:v>
                </c:pt>
              </c:numCache>
            </c:numRef>
          </c:val>
        </c:ser>
        <c:dLbls>
          <c:showLegendKey val="0"/>
          <c:showVal val="1"/>
          <c:showCatName val="0"/>
          <c:showSerName val="0"/>
          <c:showPercent val="0"/>
          <c:showBubbleSize val="0"/>
        </c:dLbls>
        <c:gapWidth val="150"/>
        <c:axId val="192706816"/>
        <c:axId val="192753664"/>
      </c:barChart>
      <c:catAx>
        <c:axId val="19270681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2753664"/>
        <c:crosses val="autoZero"/>
        <c:auto val="1"/>
        <c:lblAlgn val="ctr"/>
        <c:lblOffset val="100"/>
        <c:noMultiLvlLbl val="0"/>
      </c:catAx>
      <c:valAx>
        <c:axId val="1927536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270681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
          <c:w val="0.606249125109361"/>
          <c:h val="0.679911417322839"/>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图5!$A$1:$B$1</c:f>
              <c:strCache>
                <c:ptCount val="2"/>
                <c:pt idx="0">
                  <c:v>2021年</c:v>
                </c:pt>
                <c:pt idx="1">
                  <c:v>2022年</c:v>
                </c:pt>
              </c:strCache>
            </c:strRef>
          </c:cat>
          <c:val>
            <c:numRef>
              <c:f>图5!$A$2:$B$2</c:f>
              <c:numCache>
                <c:formatCode>General</c:formatCode>
                <c:ptCount val="2"/>
                <c:pt idx="0">
                  <c:v>312.89</c:v>
                </c:pt>
                <c:pt idx="1">
                  <c:v>277.37</c:v>
                </c:pt>
              </c:numCache>
            </c:numRef>
          </c:val>
        </c:ser>
        <c:dLbls>
          <c:showLegendKey val="0"/>
          <c:showVal val="1"/>
          <c:showCatName val="0"/>
          <c:showSerName val="0"/>
          <c:showPercent val="0"/>
          <c:showBubbleSize val="0"/>
        </c:dLbls>
        <c:gapWidth val="150"/>
        <c:axId val="201837184"/>
        <c:axId val="201864320"/>
      </c:barChart>
      <c:catAx>
        <c:axId val="201837184"/>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201864320"/>
        <c:crosses val="autoZero"/>
        <c:auto val="1"/>
        <c:lblAlgn val="ctr"/>
        <c:lblOffset val="100"/>
        <c:noMultiLvlLbl val="0"/>
      </c:catAx>
      <c:valAx>
        <c:axId val="2018643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1837184"/>
        <c:crosses val="autoZero"/>
        <c:crossBetween val="between"/>
      </c:valAx>
    </c:plotArea>
    <c:legend>
      <c:legendPos val="tr"/>
      <c:layout>
        <c:manualLayout>
          <c:xMode val="edge"/>
          <c:yMode val="edge"/>
          <c:x val="0.765931977252845"/>
          <c:y val="0.236111111111111"/>
          <c:w val="0.211845800524935"/>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一般公共预算财政拨款支出决算情况</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c:v>
                </c:pt>
                <c:pt idx="1">
                  <c:v>社会保障和就业</c:v>
                </c:pt>
                <c:pt idx="2">
                  <c:v>医疗卫生</c:v>
                </c:pt>
                <c:pt idx="3">
                  <c:v>住房保障</c:v>
                </c:pt>
              </c:strCache>
            </c:strRef>
          </c:cat>
          <c:val>
            <c:numRef>
              <c:f>Sheet1!$B$2:$B$5</c:f>
              <c:numCache>
                <c:formatCode>General</c:formatCode>
                <c:ptCount val="4"/>
                <c:pt idx="0">
                  <c:v>236.42</c:v>
                </c:pt>
                <c:pt idx="1">
                  <c:v>18.2</c:v>
                </c:pt>
                <c:pt idx="2">
                  <c:v>9.1</c:v>
                </c:pt>
                <c:pt idx="3">
                  <c:v>13.65</c:v>
                </c:pt>
              </c:numCache>
            </c:numRef>
          </c:val>
        </c:ser>
        <c:dLbls>
          <c:showLegendKey val="0"/>
          <c:showVal val="1"/>
          <c:showCatName val="0"/>
          <c:showSerName val="0"/>
          <c:showPercent val="0"/>
          <c:showBubbleSize val="0"/>
        </c:dLbls>
      </c:pie3DChart>
      <c:spPr>
        <a:noFill/>
        <a:ln w="25382">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2022年一般公共预算财政拨款基本支出决算结构</c:v>
                </c:pt>
              </c:strCache>
            </c:strRef>
          </c:tx>
          <c:explosion val="25"/>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人员经费</c:v>
                </c:pt>
                <c:pt idx="1">
                  <c:v>公用经费</c:v>
                </c:pt>
              </c:strCache>
            </c:strRef>
          </c:cat>
          <c:val>
            <c:numRef>
              <c:f>Sheet1!$B$2:$B$3</c:f>
              <c:numCache>
                <c:formatCode>General</c:formatCode>
                <c:ptCount val="2"/>
                <c:pt idx="0">
                  <c:v>248.64</c:v>
                </c:pt>
                <c:pt idx="1">
                  <c:v>22.73</c:v>
                </c:pt>
              </c:numCache>
            </c:numRef>
          </c:val>
        </c:ser>
        <c:dLbls>
          <c:showLegendKey val="0"/>
          <c:showVal val="1"/>
          <c:showCatName val="0"/>
          <c:showSerName val="0"/>
          <c:showPercent val="0"/>
          <c:showBubbleSize val="0"/>
          <c:showLeaderLines val="1"/>
        </c:dLbls>
        <c:firstSliceAng val="0"/>
      </c:pieChart>
      <c:spPr>
        <a:noFill/>
        <a:ln w="25382">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2022年“三公”经费财政拨款支出结构</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公务出国</c:v>
                </c:pt>
                <c:pt idx="1">
                  <c:v>公务用车</c:v>
                </c:pt>
                <c:pt idx="2">
                  <c:v>公务接待</c:v>
                </c:pt>
              </c:strCache>
            </c:strRef>
          </c:cat>
          <c:val>
            <c:numRef>
              <c:f>Sheet1!$B$2:$B$4</c:f>
              <c:numCache>
                <c:formatCode>General</c:formatCode>
                <c:ptCount val="3"/>
                <c:pt idx="0">
                  <c:v>0</c:v>
                </c:pt>
                <c:pt idx="1">
                  <c:v>0</c:v>
                </c:pt>
                <c:pt idx="2">
                  <c:v>0.38</c:v>
                </c:pt>
              </c:numCache>
            </c:numRef>
          </c:val>
        </c:ser>
        <c:dLbls>
          <c:showLegendKey val="0"/>
          <c:showVal val="1"/>
          <c:showCatName val="0"/>
          <c:showSerName val="0"/>
          <c:showPercent val="0"/>
          <c:showBubbleSize val="0"/>
        </c:dLbls>
      </c:pie3DChart>
      <c:spPr>
        <a:noFill/>
        <a:ln w="16772">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38</Pages>
  <Words>2655</Words>
  <Characters>15134</Characters>
  <Lines>126</Lines>
  <Paragraphs>35</Paragraphs>
  <TotalTime>955</TotalTime>
  <ScaleCrop>false</ScaleCrop>
  <LinksUpToDate>false</LinksUpToDate>
  <CharactersWithSpaces>17754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罗汉</cp:lastModifiedBy>
  <cp:lastPrinted>2020-11-07T03:55:00Z</cp:lastPrinted>
  <dcterms:modified xsi:type="dcterms:W3CDTF">2023-12-07T07:51:48Z</dcterms:modified>
  <dc:title>四川省***</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08CDB5E78545429D87382D71A38C4DBE_12</vt:lpwstr>
  </property>
</Properties>
</file>